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b/>
          <w:bCs/>
          <w:sz w:val="40"/>
          <w:szCs w:val="40"/>
          <w:highlight w:val="none"/>
        </w:rPr>
      </w:pPr>
    </w:p>
    <w:p>
      <w:pPr>
        <w:adjustRightInd w:val="0"/>
        <w:snapToGrid w:val="0"/>
        <w:jc w:val="center"/>
        <w:rPr>
          <w:rFonts w:ascii="隶书" w:hAnsi="宋体" w:eastAsia="隶书"/>
          <w:b/>
          <w:bCs/>
          <w:sz w:val="48"/>
          <w:szCs w:val="48"/>
          <w:highlight w:val="none"/>
        </w:rPr>
      </w:pPr>
      <w:r>
        <w:rPr>
          <w:rFonts w:hint="eastAsia" w:ascii="黑体" w:hAnsi="黑体" w:eastAsia="黑体" w:cs="黑体"/>
          <w:b/>
          <w:bCs/>
          <w:sz w:val="48"/>
          <w:szCs w:val="48"/>
          <w:highlight w:val="none"/>
        </w:rPr>
        <w:t>许昌魏都投资总公司为许昌魏轩园林绿化咨询建设管理有</w:t>
      </w:r>
      <w:bookmarkStart w:id="15" w:name="_GoBack"/>
      <w:bookmarkEnd w:id="15"/>
      <w:r>
        <w:rPr>
          <w:rFonts w:hint="eastAsia" w:ascii="黑体" w:hAnsi="黑体" w:eastAsia="黑体" w:cs="黑体"/>
          <w:b/>
          <w:bCs/>
          <w:sz w:val="48"/>
          <w:szCs w:val="48"/>
          <w:highlight w:val="none"/>
        </w:rPr>
        <w:t>限公司采购第三方合作机构项目</w:t>
      </w:r>
    </w:p>
    <w:p>
      <w:pPr>
        <w:pStyle w:val="14"/>
        <w:ind w:firstLine="0" w:firstLineChars="0"/>
        <w:rPr>
          <w:rFonts w:ascii="楷体" w:hAnsi="楷体" w:eastAsia="楷体" w:cs="Times New Roman"/>
          <w:b/>
          <w:bCs/>
          <w:kern w:val="2"/>
          <w:sz w:val="96"/>
          <w:szCs w:val="96"/>
          <w:highlight w:val="none"/>
        </w:rPr>
      </w:pPr>
    </w:p>
    <w:p>
      <w:pPr>
        <w:pStyle w:val="14"/>
        <w:ind w:firstLine="0" w:firstLineChars="0"/>
        <w:rPr>
          <w:rFonts w:cs="Times New Roman"/>
          <w:highlight w:val="none"/>
        </w:rPr>
      </w:pPr>
    </w:p>
    <w:p>
      <w:pPr>
        <w:pStyle w:val="14"/>
        <w:ind w:firstLine="0" w:firstLineChars="0"/>
        <w:rPr>
          <w:rFonts w:cs="Times New Roman"/>
          <w:highlight w:val="none"/>
        </w:rPr>
      </w:pPr>
    </w:p>
    <w:p>
      <w:pPr>
        <w:adjustRightInd w:val="0"/>
        <w:snapToGrid w:val="0"/>
        <w:jc w:val="center"/>
        <w:rPr>
          <w:rFonts w:ascii="楷体" w:hAnsi="楷体" w:eastAsia="楷体"/>
          <w:b/>
          <w:bCs/>
          <w:sz w:val="96"/>
          <w:szCs w:val="96"/>
          <w:highlight w:val="none"/>
        </w:rPr>
      </w:pPr>
      <w:r>
        <w:rPr>
          <w:rFonts w:hint="eastAsia" w:ascii="楷体" w:hAnsi="楷体" w:eastAsia="楷体" w:cs="楷体"/>
          <w:b/>
          <w:bCs/>
          <w:sz w:val="96"/>
          <w:szCs w:val="96"/>
          <w:highlight w:val="none"/>
        </w:rPr>
        <w:t>竞争性谈判文件</w:t>
      </w:r>
    </w:p>
    <w:p>
      <w:pPr>
        <w:adjustRightInd w:val="0"/>
        <w:snapToGrid w:val="0"/>
        <w:spacing w:line="300" w:lineRule="auto"/>
        <w:jc w:val="center"/>
        <w:rPr>
          <w:rFonts w:ascii="隶书" w:eastAsia="隶书"/>
          <w:b/>
          <w:bCs/>
          <w:sz w:val="28"/>
          <w:szCs w:val="28"/>
          <w:highlight w:val="none"/>
        </w:rPr>
      </w:pPr>
    </w:p>
    <w:p>
      <w:pPr>
        <w:pStyle w:val="14"/>
        <w:ind w:firstLine="281"/>
        <w:rPr>
          <w:rFonts w:ascii="隶书" w:eastAsia="隶书" w:cs="Times New Roman"/>
          <w:b/>
          <w:bCs/>
          <w:sz w:val="28"/>
          <w:szCs w:val="28"/>
          <w:highlight w:val="none"/>
        </w:rPr>
      </w:pPr>
    </w:p>
    <w:p>
      <w:pPr>
        <w:pStyle w:val="14"/>
        <w:ind w:firstLine="0" w:firstLineChars="0"/>
        <w:rPr>
          <w:rFonts w:cs="Times New Roman"/>
          <w:highlight w:val="none"/>
        </w:rPr>
      </w:pPr>
    </w:p>
    <w:p>
      <w:pPr>
        <w:adjustRightInd w:val="0"/>
        <w:snapToGrid w:val="0"/>
        <w:spacing w:line="360" w:lineRule="auto"/>
        <w:rPr>
          <w:rFonts w:ascii="隶书" w:eastAsia="隶书"/>
          <w:b/>
          <w:bCs/>
          <w:sz w:val="28"/>
          <w:szCs w:val="28"/>
          <w:highlight w:val="none"/>
        </w:rPr>
      </w:pPr>
    </w:p>
    <w:p>
      <w:pPr>
        <w:adjustRightInd w:val="0"/>
        <w:snapToGrid w:val="0"/>
        <w:spacing w:line="360" w:lineRule="auto"/>
        <w:rPr>
          <w:rFonts w:ascii="宋体" w:cs="宋体"/>
          <w:b/>
          <w:bCs/>
          <w:sz w:val="28"/>
          <w:szCs w:val="28"/>
          <w:highlight w:val="none"/>
        </w:rPr>
      </w:pPr>
      <w:r>
        <w:rPr>
          <w:rFonts w:ascii="宋体" w:hAnsi="宋体" w:cs="宋体"/>
          <w:b/>
          <w:bCs/>
          <w:sz w:val="28"/>
          <w:szCs w:val="28"/>
          <w:highlight w:val="none"/>
        </w:rPr>
        <w:t xml:space="preserve">          </w:t>
      </w:r>
      <w:r>
        <w:rPr>
          <w:rFonts w:hint="eastAsia" w:ascii="宋体" w:hAnsi="宋体" w:cs="宋体"/>
          <w:b/>
          <w:bCs/>
          <w:sz w:val="28"/>
          <w:szCs w:val="28"/>
          <w:highlight w:val="none"/>
        </w:rPr>
        <w:t>采</w:t>
      </w:r>
      <w:r>
        <w:rPr>
          <w:rFonts w:ascii="宋体" w:hAnsi="宋体" w:cs="宋体"/>
          <w:b/>
          <w:bCs/>
          <w:sz w:val="28"/>
          <w:szCs w:val="28"/>
          <w:highlight w:val="none"/>
        </w:rPr>
        <w:t xml:space="preserve"> </w:t>
      </w:r>
      <w:r>
        <w:rPr>
          <w:rFonts w:hint="eastAsia" w:ascii="宋体" w:hAnsi="宋体" w:cs="宋体"/>
          <w:b/>
          <w:bCs/>
          <w:sz w:val="28"/>
          <w:szCs w:val="28"/>
          <w:highlight w:val="none"/>
        </w:rPr>
        <w:t>购</w:t>
      </w:r>
      <w:r>
        <w:rPr>
          <w:rFonts w:ascii="宋体" w:hAnsi="宋体" w:cs="宋体"/>
          <w:b/>
          <w:bCs/>
          <w:sz w:val="28"/>
          <w:szCs w:val="28"/>
          <w:highlight w:val="none"/>
        </w:rPr>
        <w:t xml:space="preserve"> </w:t>
      </w:r>
      <w:r>
        <w:rPr>
          <w:rFonts w:hint="eastAsia" w:ascii="宋体" w:hAnsi="宋体" w:cs="宋体"/>
          <w:b/>
          <w:bCs/>
          <w:sz w:val="28"/>
          <w:szCs w:val="28"/>
          <w:highlight w:val="none"/>
        </w:rPr>
        <w:t>人：许昌魏都投资总公司</w:t>
      </w:r>
    </w:p>
    <w:p>
      <w:pPr>
        <w:adjustRightInd w:val="0"/>
        <w:snapToGrid w:val="0"/>
        <w:spacing w:line="360" w:lineRule="auto"/>
        <w:rPr>
          <w:rFonts w:ascii="宋体" w:cs="宋体"/>
          <w:b/>
          <w:bCs/>
          <w:sz w:val="28"/>
          <w:szCs w:val="28"/>
          <w:highlight w:val="none"/>
        </w:rPr>
      </w:pPr>
      <w:r>
        <w:rPr>
          <w:rFonts w:ascii="宋体" w:hAnsi="宋体" w:cs="宋体"/>
          <w:b/>
          <w:bCs/>
          <w:sz w:val="28"/>
          <w:szCs w:val="28"/>
          <w:highlight w:val="none"/>
        </w:rPr>
        <w:t xml:space="preserve">          </w:t>
      </w:r>
      <w:r>
        <w:rPr>
          <w:rFonts w:hint="eastAsia" w:ascii="宋体" w:hAnsi="宋体" w:cs="宋体"/>
          <w:b/>
          <w:bCs/>
          <w:sz w:val="28"/>
          <w:szCs w:val="28"/>
          <w:highlight w:val="none"/>
        </w:rPr>
        <w:t>代理机构：河南招标采购服务有限公司</w:t>
      </w:r>
    </w:p>
    <w:p>
      <w:pPr>
        <w:adjustRightInd w:val="0"/>
        <w:snapToGrid w:val="0"/>
        <w:spacing w:line="360" w:lineRule="auto"/>
        <w:ind w:left="2811" w:hanging="2811" w:hangingChars="1000"/>
        <w:rPr>
          <w:rFonts w:ascii="宋体" w:hAnsi="宋体" w:cs="宋体"/>
          <w:b/>
          <w:bCs/>
          <w:sz w:val="28"/>
          <w:szCs w:val="28"/>
          <w:highlight w:val="none"/>
        </w:rPr>
      </w:pPr>
      <w:r>
        <w:rPr>
          <w:rFonts w:ascii="宋体" w:hAnsi="宋体" w:cs="宋体"/>
          <w:b/>
          <w:bCs/>
          <w:sz w:val="28"/>
          <w:szCs w:val="28"/>
          <w:highlight w:val="none"/>
        </w:rPr>
        <w:t xml:space="preserve">          </w:t>
      </w:r>
      <w:r>
        <w:rPr>
          <w:rFonts w:hint="eastAsia" w:ascii="宋体" w:hAnsi="宋体" w:cs="宋体"/>
          <w:b/>
          <w:bCs/>
          <w:sz w:val="28"/>
          <w:szCs w:val="28"/>
          <w:highlight w:val="none"/>
        </w:rPr>
        <w:t>项目名称：许昌魏都投资总公司为许昌魏轩园林绿化咨询建设管理有限公司采购第三方合作机构项目</w:t>
      </w:r>
      <w:r>
        <w:rPr>
          <w:rFonts w:ascii="宋体" w:hAnsi="宋体" w:cs="宋体"/>
          <w:b/>
          <w:bCs/>
          <w:sz w:val="28"/>
          <w:szCs w:val="28"/>
          <w:highlight w:val="none"/>
        </w:rPr>
        <w:t xml:space="preserve">          </w:t>
      </w:r>
    </w:p>
    <w:p>
      <w:pPr>
        <w:adjustRightInd w:val="0"/>
        <w:snapToGrid w:val="0"/>
        <w:spacing w:line="360" w:lineRule="auto"/>
        <w:rPr>
          <w:rFonts w:ascii="宋体" w:hAnsi="宋体" w:cs="宋体"/>
          <w:b/>
          <w:bCs/>
          <w:sz w:val="28"/>
          <w:szCs w:val="28"/>
          <w:highlight w:val="none"/>
        </w:rPr>
      </w:pPr>
      <w:r>
        <w:rPr>
          <w:rFonts w:ascii="宋体" w:hAnsi="宋体" w:cs="宋体"/>
          <w:b/>
          <w:bCs/>
          <w:sz w:val="28"/>
          <w:szCs w:val="28"/>
          <w:highlight w:val="none"/>
        </w:rPr>
        <w:t xml:space="preserve">          </w:t>
      </w:r>
      <w:r>
        <w:rPr>
          <w:rFonts w:hint="eastAsia" w:ascii="宋体" w:hAnsi="宋体" w:cs="宋体"/>
          <w:b/>
          <w:bCs/>
          <w:sz w:val="28"/>
          <w:szCs w:val="28"/>
          <w:highlight w:val="none"/>
        </w:rPr>
        <w:t>项目编号：</w:t>
      </w:r>
      <w:r>
        <w:rPr>
          <w:rFonts w:hint="eastAsia" w:ascii="宋体" w:hAnsi="宋体" w:cs="宋体"/>
          <w:b/>
          <w:bCs/>
          <w:sz w:val="28"/>
          <w:szCs w:val="28"/>
          <w:highlight w:val="none"/>
          <w:lang w:val="en-US" w:eastAsia="zh-CN"/>
        </w:rPr>
        <w:t>魏采竞谈-2018036号</w:t>
      </w:r>
      <w:r>
        <w:rPr>
          <w:rFonts w:ascii="宋体" w:hAnsi="宋体" w:cs="宋体"/>
          <w:b/>
          <w:bCs/>
          <w:sz w:val="28"/>
          <w:szCs w:val="28"/>
          <w:highlight w:val="none"/>
        </w:rPr>
        <w:t xml:space="preserve"> </w:t>
      </w:r>
    </w:p>
    <w:p>
      <w:pPr>
        <w:adjustRightInd w:val="0"/>
        <w:snapToGrid w:val="0"/>
        <w:spacing w:line="360" w:lineRule="auto"/>
        <w:rPr>
          <w:rFonts w:ascii="宋体" w:cs="宋体"/>
          <w:b/>
          <w:bCs/>
          <w:sz w:val="28"/>
          <w:szCs w:val="28"/>
          <w:highlight w:val="none"/>
        </w:rPr>
      </w:pPr>
      <w:r>
        <w:rPr>
          <w:rFonts w:ascii="宋体" w:hAnsi="宋体" w:cs="宋体"/>
          <w:b/>
          <w:bCs/>
          <w:sz w:val="28"/>
          <w:szCs w:val="28"/>
          <w:highlight w:val="none"/>
        </w:rPr>
        <w:t xml:space="preserve">          </w:t>
      </w:r>
      <w:r>
        <w:rPr>
          <w:rFonts w:hint="eastAsia" w:ascii="宋体" w:hAnsi="宋体" w:cs="宋体"/>
          <w:b/>
          <w:bCs/>
          <w:sz w:val="28"/>
          <w:szCs w:val="28"/>
          <w:highlight w:val="none"/>
        </w:rPr>
        <w:t>时</w:t>
      </w:r>
      <w:r>
        <w:rPr>
          <w:rFonts w:ascii="宋体" w:hAnsi="宋体" w:cs="宋体"/>
          <w:b/>
          <w:bCs/>
          <w:sz w:val="28"/>
          <w:szCs w:val="28"/>
          <w:highlight w:val="none"/>
        </w:rPr>
        <w:t xml:space="preserve">    </w:t>
      </w:r>
      <w:r>
        <w:rPr>
          <w:rFonts w:hint="eastAsia" w:ascii="宋体" w:hAnsi="宋体" w:cs="宋体"/>
          <w:b/>
          <w:bCs/>
          <w:sz w:val="28"/>
          <w:szCs w:val="28"/>
          <w:highlight w:val="none"/>
        </w:rPr>
        <w:t>间：二〇一八年十一月</w:t>
      </w:r>
    </w:p>
    <w:p>
      <w:pPr>
        <w:spacing w:line="360" w:lineRule="auto"/>
        <w:rPr>
          <w:rFonts w:ascii="宋体"/>
          <w:highlight w:val="none"/>
        </w:rPr>
      </w:pPr>
    </w:p>
    <w:p>
      <w:pPr>
        <w:jc w:val="center"/>
        <w:rPr>
          <w:rFonts w:ascii="宋体"/>
          <w:sz w:val="32"/>
          <w:szCs w:val="32"/>
          <w:highlight w:val="none"/>
        </w:rPr>
      </w:pPr>
      <w:r>
        <w:rPr>
          <w:highlight w:val="none"/>
        </w:rPr>
        <w:pict>
          <v:shape id="_x0000_s1026" o:spid="_x0000_s1026" o:spt="75" type="#_x0000_t75" style="position:absolute;left:0pt;margin-left:73.1pt;margin-top:11.45pt;height:36.9pt;width:336pt;mso-wrap-distance-bottom:0pt;mso-wrap-distance-top:0pt;z-index:251658240;mso-width-relative:page;mso-height-relative:page;" o:ole="t" filled="f" o:preferrelative="t" stroked="f" coordsize="21600,21600">
            <v:path/>
            <v:fill on="f" focussize="0,0"/>
            <v:stroke on="f" joinstyle="miter"/>
            <v:imagedata r:id="rId13" cropbottom="13918f" o:title=""/>
            <o:lock v:ext="edit" aspectratio="t"/>
            <w10:wrap type="topAndBottom"/>
          </v:shape>
          <o:OLEObject Type="Embed" ProgID="WPS.Document.6" ShapeID="_x0000_s1026" DrawAspect="Content" ObjectID="_1468075725" r:id="rId12">
            <o:LockedField>false</o:LockedField>
          </o:OLEObject>
        </w:pict>
      </w:r>
      <w:r>
        <w:rPr>
          <w:highlight w:val="none"/>
        </w:rPr>
        <w:pict>
          <v:shape id="图片 2" o:spid="_x0000_s1027" o:spt="75" alt="公司徽标" type="#_x0000_t75" style="position:absolute;left:0pt;margin-left:8.75pt;margin-top:8.75pt;height:37.1pt;width:54pt;z-index:251657216;mso-width-relative:page;mso-height-relative:page;" filled="f" o:preferrelative="t" stroked="f" coordsize="21600,21600">
            <v:path/>
            <v:fill on="f" focussize="0,0"/>
            <v:stroke on="f" joinstyle="miter"/>
            <v:imagedata r:id="rId14" o:title=""/>
            <o:lock v:ext="edit" aspectratio="t"/>
          </v:shape>
        </w:pict>
      </w:r>
      <w:r>
        <w:rPr>
          <w:rFonts w:ascii="宋体" w:hAnsi="宋体" w:cs="宋体"/>
          <w:sz w:val="32"/>
          <w:szCs w:val="32"/>
          <w:highlight w:val="none"/>
        </w:rPr>
        <w:t>HENAN TENDER</w:t>
      </w:r>
      <w:r>
        <w:rPr>
          <w:rFonts w:ascii="宋体" w:cs="宋体"/>
          <w:sz w:val="32"/>
          <w:szCs w:val="32"/>
          <w:highlight w:val="none"/>
        </w:rPr>
        <w:t>-</w:t>
      </w:r>
      <w:r>
        <w:rPr>
          <w:rFonts w:ascii="宋体" w:hAnsi="宋体" w:cs="宋体"/>
          <w:sz w:val="32"/>
          <w:szCs w:val="32"/>
          <w:highlight w:val="none"/>
        </w:rPr>
        <w:t>PURCHASE SERVICE CO.,LTD.</w:t>
      </w:r>
    </w:p>
    <w:p>
      <w:pPr>
        <w:pStyle w:val="14"/>
        <w:ind w:firstLine="281"/>
        <w:rPr>
          <w:rFonts w:ascii="宋体" w:cs="宋体"/>
          <w:b/>
          <w:bCs/>
          <w:sz w:val="28"/>
          <w:szCs w:val="28"/>
          <w:highlight w:val="none"/>
        </w:rPr>
        <w:sectPr>
          <w:headerReference r:id="rId4" w:type="first"/>
          <w:headerReference r:id="rId3" w:type="default"/>
          <w:footerReference r:id="rId5" w:type="default"/>
          <w:pgSz w:w="11910" w:h="16840"/>
          <w:pgMar w:top="1440" w:right="1800" w:bottom="1440" w:left="1800" w:header="0" w:footer="894" w:gutter="0"/>
          <w:pgNumType w:start="1"/>
          <w:cols w:space="720" w:num="1"/>
          <w:titlePg/>
        </w:sectPr>
      </w:pPr>
    </w:p>
    <w:p>
      <w:pPr>
        <w:widowControl/>
        <w:spacing w:line="480" w:lineRule="exact"/>
        <w:jc w:val="center"/>
        <w:rPr>
          <w:rFonts w:ascii="宋体"/>
          <w:b/>
          <w:bCs/>
          <w:kern w:val="36"/>
          <w:sz w:val="44"/>
          <w:szCs w:val="44"/>
          <w:highlight w:val="none"/>
        </w:rPr>
      </w:pPr>
      <w:r>
        <w:rPr>
          <w:rFonts w:hint="eastAsia" w:ascii="宋体" w:hAnsi="宋体" w:cs="宋体"/>
          <w:b/>
          <w:bCs/>
          <w:kern w:val="36"/>
          <w:sz w:val="44"/>
          <w:szCs w:val="44"/>
          <w:highlight w:val="none"/>
        </w:rPr>
        <w:t>目</w:t>
      </w:r>
      <w:r>
        <w:rPr>
          <w:rFonts w:ascii="宋体" w:hAnsi="宋体" w:cs="宋体"/>
          <w:b/>
          <w:bCs/>
          <w:kern w:val="36"/>
          <w:sz w:val="44"/>
          <w:szCs w:val="44"/>
          <w:highlight w:val="none"/>
        </w:rPr>
        <w:t xml:space="preserve">   </w:t>
      </w:r>
      <w:r>
        <w:rPr>
          <w:rFonts w:hint="eastAsia" w:ascii="宋体" w:hAnsi="宋体" w:cs="宋体"/>
          <w:b/>
          <w:bCs/>
          <w:kern w:val="36"/>
          <w:sz w:val="44"/>
          <w:szCs w:val="44"/>
          <w:highlight w:val="none"/>
        </w:rPr>
        <w:t>录</w:t>
      </w:r>
    </w:p>
    <w:p>
      <w:pPr>
        <w:widowControl/>
        <w:spacing w:line="480" w:lineRule="exact"/>
        <w:ind w:firstLine="720" w:firstLineChars="224"/>
        <w:rPr>
          <w:rFonts w:ascii="黑体" w:hAnsi="华文中宋" w:eastAsia="黑体"/>
          <w:b/>
          <w:bCs/>
          <w:kern w:val="36"/>
          <w:sz w:val="32"/>
          <w:szCs w:val="32"/>
          <w:highlight w:val="none"/>
        </w:rPr>
      </w:pPr>
    </w:p>
    <w:p>
      <w:pPr>
        <w:widowControl/>
        <w:spacing w:line="480" w:lineRule="auto"/>
        <w:ind w:firstLine="810" w:firstLineChars="224"/>
        <w:rPr>
          <w:rFonts w:ascii="黑体" w:hAnsi="黑体" w:eastAsia="黑体"/>
          <w:b/>
          <w:bCs/>
          <w:kern w:val="36"/>
          <w:sz w:val="36"/>
          <w:szCs w:val="36"/>
          <w:highlight w:val="none"/>
        </w:rPr>
      </w:pPr>
    </w:p>
    <w:p>
      <w:pPr>
        <w:widowControl/>
        <w:spacing w:line="480" w:lineRule="auto"/>
        <w:ind w:firstLine="810" w:firstLineChars="224"/>
        <w:rPr>
          <w:rFonts w:ascii="黑体" w:hAnsi="黑体" w:eastAsia="黑体"/>
          <w:b/>
          <w:bCs/>
          <w:kern w:val="36"/>
          <w:sz w:val="36"/>
          <w:szCs w:val="36"/>
          <w:highlight w:val="none"/>
        </w:rPr>
      </w:pPr>
      <w:r>
        <w:rPr>
          <w:rFonts w:hint="eastAsia" w:ascii="黑体" w:hAnsi="黑体" w:eastAsia="黑体" w:cs="黑体"/>
          <w:b/>
          <w:bCs/>
          <w:kern w:val="36"/>
          <w:sz w:val="36"/>
          <w:szCs w:val="36"/>
          <w:highlight w:val="none"/>
        </w:rPr>
        <w:t>第一章</w:t>
      </w:r>
      <w:r>
        <w:rPr>
          <w:rFonts w:ascii="黑体" w:hAnsi="黑体" w:eastAsia="黑体" w:cs="黑体"/>
          <w:b/>
          <w:bCs/>
          <w:kern w:val="36"/>
          <w:sz w:val="36"/>
          <w:szCs w:val="36"/>
          <w:highlight w:val="none"/>
        </w:rPr>
        <w:t xml:space="preserve">  </w:t>
      </w:r>
      <w:r>
        <w:rPr>
          <w:rFonts w:hint="eastAsia" w:ascii="黑体" w:hAnsi="黑体" w:eastAsia="黑体" w:cs="黑体"/>
          <w:b/>
          <w:bCs/>
          <w:kern w:val="36"/>
          <w:sz w:val="36"/>
          <w:szCs w:val="36"/>
          <w:highlight w:val="none"/>
        </w:rPr>
        <w:t>竞争性谈判邀请函</w:t>
      </w:r>
    </w:p>
    <w:p>
      <w:pPr>
        <w:widowControl/>
        <w:spacing w:line="480" w:lineRule="auto"/>
        <w:ind w:firstLine="810" w:firstLineChars="224"/>
        <w:rPr>
          <w:rFonts w:ascii="黑体" w:hAnsi="黑体" w:eastAsia="黑体"/>
          <w:b/>
          <w:bCs/>
          <w:kern w:val="36"/>
          <w:sz w:val="36"/>
          <w:szCs w:val="36"/>
          <w:highlight w:val="none"/>
        </w:rPr>
      </w:pPr>
      <w:r>
        <w:rPr>
          <w:rFonts w:hint="eastAsia" w:ascii="黑体" w:hAnsi="黑体" w:eastAsia="黑体" w:cs="黑体"/>
          <w:b/>
          <w:bCs/>
          <w:kern w:val="36"/>
          <w:sz w:val="36"/>
          <w:szCs w:val="36"/>
          <w:highlight w:val="none"/>
        </w:rPr>
        <w:t>第二章</w:t>
      </w:r>
      <w:r>
        <w:rPr>
          <w:rFonts w:ascii="黑体" w:hAnsi="黑体" w:eastAsia="黑体" w:cs="黑体"/>
          <w:b/>
          <w:bCs/>
          <w:kern w:val="36"/>
          <w:sz w:val="36"/>
          <w:szCs w:val="36"/>
          <w:highlight w:val="none"/>
        </w:rPr>
        <w:t xml:space="preserve">  </w:t>
      </w:r>
      <w:r>
        <w:rPr>
          <w:rFonts w:hint="eastAsia" w:ascii="黑体" w:hAnsi="黑体" w:eastAsia="黑体" w:cs="黑体"/>
          <w:b/>
          <w:bCs/>
          <w:kern w:val="36"/>
          <w:sz w:val="36"/>
          <w:szCs w:val="36"/>
          <w:highlight w:val="none"/>
        </w:rPr>
        <w:t>竞争性谈判采购文件基本内容及要求</w:t>
      </w:r>
    </w:p>
    <w:p>
      <w:pPr>
        <w:widowControl/>
        <w:spacing w:line="480" w:lineRule="auto"/>
        <w:ind w:firstLine="810" w:firstLineChars="224"/>
        <w:rPr>
          <w:rFonts w:ascii="黑体" w:hAnsi="黑体" w:eastAsia="黑体"/>
          <w:b/>
          <w:bCs/>
          <w:kern w:val="36"/>
          <w:sz w:val="36"/>
          <w:szCs w:val="36"/>
          <w:highlight w:val="none"/>
        </w:rPr>
      </w:pPr>
      <w:r>
        <w:rPr>
          <w:rFonts w:hint="eastAsia" w:ascii="黑体" w:hAnsi="黑体" w:eastAsia="黑体" w:cs="黑体"/>
          <w:b/>
          <w:bCs/>
          <w:kern w:val="36"/>
          <w:sz w:val="36"/>
          <w:szCs w:val="36"/>
          <w:highlight w:val="none"/>
        </w:rPr>
        <w:t>第三章</w:t>
      </w:r>
      <w:r>
        <w:rPr>
          <w:rFonts w:ascii="黑体" w:hAnsi="黑体" w:eastAsia="黑体" w:cs="黑体"/>
          <w:b/>
          <w:bCs/>
          <w:kern w:val="36"/>
          <w:sz w:val="36"/>
          <w:szCs w:val="36"/>
          <w:highlight w:val="none"/>
        </w:rPr>
        <w:t xml:space="preserve">  </w:t>
      </w:r>
      <w:r>
        <w:rPr>
          <w:rFonts w:hint="eastAsia" w:ascii="黑体" w:hAnsi="黑体" w:eastAsia="黑体" w:cs="黑体"/>
          <w:b/>
          <w:bCs/>
          <w:kern w:val="36"/>
          <w:sz w:val="36"/>
          <w:szCs w:val="36"/>
          <w:highlight w:val="none"/>
        </w:rPr>
        <w:t>竞争性谈判响应文件内容</w:t>
      </w:r>
    </w:p>
    <w:p>
      <w:pPr>
        <w:widowControl/>
        <w:spacing w:line="480" w:lineRule="auto"/>
        <w:ind w:firstLine="810" w:firstLineChars="224"/>
        <w:rPr>
          <w:rFonts w:ascii="黑体" w:hAnsi="黑体" w:eastAsia="黑体"/>
          <w:b/>
          <w:bCs/>
          <w:kern w:val="36"/>
          <w:sz w:val="36"/>
          <w:szCs w:val="36"/>
          <w:highlight w:val="none"/>
        </w:rPr>
      </w:pPr>
      <w:r>
        <w:rPr>
          <w:rFonts w:hint="eastAsia" w:ascii="黑体" w:hAnsi="黑体" w:eastAsia="黑体" w:cs="黑体"/>
          <w:b/>
          <w:bCs/>
          <w:kern w:val="36"/>
          <w:sz w:val="36"/>
          <w:szCs w:val="36"/>
          <w:highlight w:val="none"/>
        </w:rPr>
        <w:t>第四章</w:t>
      </w:r>
      <w:r>
        <w:rPr>
          <w:rFonts w:ascii="黑体" w:hAnsi="黑体" w:eastAsia="黑体" w:cs="黑体"/>
          <w:b/>
          <w:bCs/>
          <w:kern w:val="36"/>
          <w:sz w:val="36"/>
          <w:szCs w:val="36"/>
          <w:highlight w:val="none"/>
        </w:rPr>
        <w:t xml:space="preserve">  </w:t>
      </w:r>
      <w:r>
        <w:rPr>
          <w:rFonts w:hint="eastAsia" w:ascii="黑体" w:hAnsi="黑体" w:eastAsia="黑体" w:cs="黑体"/>
          <w:b/>
          <w:bCs/>
          <w:kern w:val="36"/>
          <w:sz w:val="36"/>
          <w:szCs w:val="36"/>
          <w:highlight w:val="none"/>
        </w:rPr>
        <w:t>评审方法及成交原则</w:t>
      </w:r>
    </w:p>
    <w:p>
      <w:pPr>
        <w:widowControl/>
        <w:spacing w:line="480" w:lineRule="auto"/>
        <w:ind w:firstLine="810" w:firstLineChars="224"/>
        <w:rPr>
          <w:rFonts w:ascii="黑体" w:hAnsi="黑体" w:eastAsia="黑体"/>
          <w:b/>
          <w:bCs/>
          <w:kern w:val="36"/>
          <w:sz w:val="36"/>
          <w:szCs w:val="36"/>
          <w:highlight w:val="none"/>
        </w:rPr>
      </w:pPr>
      <w:r>
        <w:rPr>
          <w:rFonts w:hint="eastAsia" w:ascii="黑体" w:hAnsi="黑体" w:eastAsia="黑体" w:cs="黑体"/>
          <w:b/>
          <w:bCs/>
          <w:kern w:val="36"/>
          <w:sz w:val="36"/>
          <w:szCs w:val="36"/>
          <w:highlight w:val="none"/>
        </w:rPr>
        <w:t>第五章</w:t>
      </w:r>
      <w:r>
        <w:rPr>
          <w:rFonts w:ascii="黑体" w:hAnsi="黑体" w:eastAsia="黑体" w:cs="黑体"/>
          <w:b/>
          <w:bCs/>
          <w:kern w:val="36"/>
          <w:sz w:val="36"/>
          <w:szCs w:val="36"/>
          <w:highlight w:val="none"/>
        </w:rPr>
        <w:t xml:space="preserve">  </w:t>
      </w:r>
      <w:r>
        <w:rPr>
          <w:rFonts w:hint="eastAsia" w:ascii="黑体" w:hAnsi="黑体" w:eastAsia="黑体" w:cs="黑体"/>
          <w:b/>
          <w:bCs/>
          <w:kern w:val="36"/>
          <w:sz w:val="36"/>
          <w:szCs w:val="36"/>
          <w:highlight w:val="none"/>
        </w:rPr>
        <w:t>附件</w:t>
      </w:r>
    </w:p>
    <w:p>
      <w:pPr>
        <w:widowControl/>
        <w:spacing w:line="480" w:lineRule="auto"/>
        <w:ind w:firstLine="2255" w:firstLineChars="624"/>
        <w:rPr>
          <w:rFonts w:ascii="黑体" w:hAnsi="黑体" w:eastAsia="黑体"/>
          <w:b/>
          <w:bCs/>
          <w:kern w:val="36"/>
          <w:sz w:val="36"/>
          <w:szCs w:val="36"/>
          <w:highlight w:val="none"/>
        </w:rPr>
      </w:pPr>
      <w:r>
        <w:rPr>
          <w:rFonts w:ascii="黑体" w:hAnsi="黑体" w:eastAsia="黑体" w:cs="黑体"/>
          <w:b/>
          <w:bCs/>
          <w:kern w:val="36"/>
          <w:sz w:val="36"/>
          <w:szCs w:val="36"/>
          <w:highlight w:val="none"/>
        </w:rPr>
        <w:t>1</w:t>
      </w:r>
      <w:r>
        <w:rPr>
          <w:rFonts w:hint="eastAsia" w:ascii="黑体" w:hAnsi="黑体" w:eastAsia="黑体" w:cs="黑体"/>
          <w:b/>
          <w:bCs/>
          <w:kern w:val="36"/>
          <w:sz w:val="36"/>
          <w:szCs w:val="36"/>
          <w:highlight w:val="none"/>
        </w:rPr>
        <w:t>、供应商须知</w:t>
      </w:r>
    </w:p>
    <w:p>
      <w:pPr>
        <w:widowControl/>
        <w:spacing w:line="480" w:lineRule="auto"/>
        <w:ind w:firstLine="2255" w:firstLineChars="624"/>
        <w:rPr>
          <w:rFonts w:ascii="黑体" w:hAnsi="黑体" w:eastAsia="黑体"/>
          <w:b/>
          <w:bCs/>
          <w:kern w:val="36"/>
          <w:sz w:val="36"/>
          <w:szCs w:val="36"/>
          <w:highlight w:val="none"/>
        </w:rPr>
      </w:pPr>
      <w:r>
        <w:rPr>
          <w:rFonts w:ascii="黑体" w:hAnsi="黑体" w:eastAsia="黑体" w:cs="黑体"/>
          <w:b/>
          <w:bCs/>
          <w:kern w:val="36"/>
          <w:sz w:val="36"/>
          <w:szCs w:val="36"/>
          <w:highlight w:val="none"/>
        </w:rPr>
        <w:t>2</w:t>
      </w:r>
      <w:r>
        <w:rPr>
          <w:rFonts w:hint="eastAsia" w:ascii="黑体" w:hAnsi="黑体" w:eastAsia="黑体" w:cs="黑体"/>
          <w:b/>
          <w:bCs/>
          <w:kern w:val="36"/>
          <w:sz w:val="36"/>
          <w:szCs w:val="36"/>
          <w:highlight w:val="none"/>
        </w:rPr>
        <w:t>、谈判响应文件格式</w:t>
      </w:r>
    </w:p>
    <w:p>
      <w:pPr>
        <w:widowControl/>
        <w:spacing w:line="360" w:lineRule="auto"/>
        <w:ind w:firstLine="810" w:firstLineChars="224"/>
        <w:rPr>
          <w:rFonts w:ascii="黑体" w:hAnsi="黑体" w:eastAsia="黑体"/>
          <w:b/>
          <w:bCs/>
          <w:kern w:val="36"/>
          <w:sz w:val="36"/>
          <w:szCs w:val="36"/>
          <w:highlight w:val="none"/>
        </w:rPr>
      </w:pPr>
    </w:p>
    <w:p>
      <w:pPr>
        <w:adjustRightInd w:val="0"/>
        <w:snapToGrid w:val="0"/>
        <w:spacing w:afterLines="50" w:line="320" w:lineRule="exact"/>
        <w:ind w:right="521" w:rightChars="248"/>
        <w:rPr>
          <w:rFonts w:ascii="楷体_GB2312" w:hAnsi="宋体" w:eastAsia="楷体_GB2312"/>
          <w:sz w:val="30"/>
          <w:szCs w:val="30"/>
          <w:highlight w:val="none"/>
        </w:rPr>
      </w:pPr>
    </w:p>
    <w:p>
      <w:pPr>
        <w:adjustRightInd w:val="0"/>
        <w:snapToGrid w:val="0"/>
        <w:spacing w:afterLines="50" w:line="480" w:lineRule="exact"/>
        <w:ind w:right="-13" w:rightChars="-6" w:firstLine="551" w:firstLineChars="196"/>
        <w:rPr>
          <w:rFonts w:ascii="宋体"/>
          <w:sz w:val="28"/>
          <w:szCs w:val="28"/>
          <w:highlight w:val="none"/>
        </w:rPr>
      </w:pPr>
      <w:r>
        <w:rPr>
          <w:rFonts w:hint="eastAsia" w:ascii="宋体" w:hAnsi="宋体" w:cs="宋体"/>
          <w:b/>
          <w:bCs/>
          <w:sz w:val="28"/>
          <w:szCs w:val="28"/>
          <w:highlight w:val="none"/>
        </w:rPr>
        <w:t>说明</w:t>
      </w:r>
      <w:r>
        <w:rPr>
          <w:rFonts w:ascii="宋体" w:hAnsi="宋体" w:cs="宋体"/>
          <w:b/>
          <w:bCs/>
          <w:sz w:val="28"/>
          <w:szCs w:val="28"/>
          <w:highlight w:val="none"/>
        </w:rPr>
        <w:t>:</w:t>
      </w:r>
      <w:r>
        <w:rPr>
          <w:rFonts w:ascii="宋体" w:hAnsi="宋体" w:cs="宋体"/>
          <w:sz w:val="28"/>
          <w:szCs w:val="28"/>
          <w:highlight w:val="none"/>
        </w:rPr>
        <w:t xml:space="preserve"> </w:t>
      </w:r>
      <w:r>
        <w:rPr>
          <w:rFonts w:hint="eastAsia" w:ascii="宋体" w:hAnsi="宋体" w:cs="宋体"/>
          <w:sz w:val="28"/>
          <w:szCs w:val="28"/>
          <w:highlight w:val="none"/>
        </w:rPr>
        <w:t>采购文件由正文和附件组成，供应商应当完整地阅读、理解构成本采购文件的所有内容。正文和附件如有不一致的地方，须以正文为准。</w:t>
      </w:r>
    </w:p>
    <w:p>
      <w:pPr>
        <w:spacing w:afterLines="100"/>
        <w:jc w:val="center"/>
        <w:rPr>
          <w:rFonts w:ascii="宋体"/>
          <w:b/>
          <w:bCs/>
          <w:sz w:val="36"/>
          <w:szCs w:val="36"/>
          <w:highlight w:val="none"/>
        </w:rPr>
      </w:pPr>
      <w:r>
        <w:rPr>
          <w:rFonts w:ascii="宋体"/>
          <w:b/>
          <w:bCs/>
          <w:kern w:val="36"/>
          <w:sz w:val="24"/>
          <w:szCs w:val="24"/>
          <w:highlight w:val="none"/>
        </w:rPr>
        <w:br w:type="page"/>
      </w:r>
      <w:r>
        <w:rPr>
          <w:rFonts w:hint="eastAsia" w:ascii="宋体" w:hAnsi="宋体" w:cs="宋体"/>
          <w:b/>
          <w:bCs/>
          <w:sz w:val="36"/>
          <w:szCs w:val="36"/>
          <w:highlight w:val="none"/>
        </w:rPr>
        <w:t>第一章</w:t>
      </w:r>
      <w:r>
        <w:rPr>
          <w:rFonts w:ascii="宋体" w:hAnsi="宋体" w:cs="宋体"/>
          <w:b/>
          <w:bCs/>
          <w:sz w:val="36"/>
          <w:szCs w:val="36"/>
          <w:highlight w:val="none"/>
        </w:rPr>
        <w:t xml:space="preserve"> </w:t>
      </w:r>
      <w:r>
        <w:rPr>
          <w:rFonts w:hint="eastAsia" w:ascii="宋体" w:hAnsi="宋体" w:cs="宋体"/>
          <w:b/>
          <w:bCs/>
          <w:sz w:val="36"/>
          <w:szCs w:val="36"/>
          <w:highlight w:val="none"/>
        </w:rPr>
        <w:t>竞争性谈判邀请函</w:t>
      </w:r>
    </w:p>
    <w:p>
      <w:pPr>
        <w:widowControl/>
        <w:spacing w:line="400" w:lineRule="exact"/>
        <w:jc w:val="center"/>
        <w:rPr>
          <w:rFonts w:hint="eastAsia"/>
          <w:b/>
          <w:bCs/>
          <w:sz w:val="28"/>
          <w:szCs w:val="28"/>
          <w:lang w:val="en-US" w:eastAsia="zh-CN"/>
        </w:rPr>
      </w:pPr>
      <w:r>
        <w:rPr>
          <w:rFonts w:hint="eastAsia"/>
          <w:b/>
          <w:bCs/>
          <w:sz w:val="30"/>
          <w:szCs w:val="30"/>
          <w:highlight w:val="none"/>
          <w:shd w:val="clear" w:color="auto" w:fill="FFFFFF"/>
        </w:rPr>
        <w:t>许昌魏都投资总公司为许昌魏轩园林绿化咨询建设管理有限公司采购第三方合作机构项目</w:t>
      </w:r>
      <w:r>
        <w:rPr>
          <w:rFonts w:hint="eastAsia"/>
          <w:b/>
          <w:bCs/>
          <w:sz w:val="30"/>
          <w:szCs w:val="30"/>
          <w:highlight w:val="none"/>
          <w:shd w:val="clear" w:color="auto" w:fill="FFFFFF"/>
          <w:lang w:val="en-US" w:eastAsia="zh-CN"/>
        </w:rPr>
        <w:t>竞争性谈判公告</w:t>
      </w:r>
      <w:r>
        <w:rPr>
          <w:rFonts w:hint="eastAsia"/>
          <w:b/>
          <w:bCs/>
          <w:sz w:val="30"/>
          <w:szCs w:val="30"/>
          <w:highlight w:val="none"/>
          <w:shd w:val="clear" w:color="auto" w:fill="FFFFFF"/>
          <w:lang w:val="en-US" w:eastAsia="zh-CN"/>
        </w:rPr>
        <w:br w:type="textWrapping"/>
      </w:r>
      <w:r>
        <w:rPr>
          <w:rFonts w:hint="eastAsia"/>
          <w:b/>
          <w:bCs/>
          <w:sz w:val="28"/>
          <w:szCs w:val="28"/>
          <w:highlight w:val="none"/>
          <w:shd w:val="clear" w:color="auto" w:fill="FFFFFF"/>
          <w:lang w:val="en-US" w:eastAsia="zh-CN"/>
        </w:rPr>
        <w:t>项目编号：魏采竞谈-2018036号</w:t>
      </w:r>
    </w:p>
    <w:p>
      <w:pPr>
        <w:widowControl/>
        <w:spacing w:line="400" w:lineRule="exact"/>
        <w:ind w:firstLine="540" w:firstLineChars="225"/>
        <w:jc w:val="left"/>
        <w:rPr>
          <w:rFonts w:ascii="宋体"/>
          <w:kern w:val="0"/>
          <w:sz w:val="24"/>
          <w:szCs w:val="24"/>
          <w:highlight w:val="none"/>
        </w:rPr>
      </w:pPr>
      <w:r>
        <w:rPr>
          <w:rFonts w:hint="eastAsia" w:ascii="宋体" w:hAnsi="宋体" w:cs="宋体"/>
          <w:kern w:val="0"/>
          <w:sz w:val="24"/>
          <w:szCs w:val="24"/>
          <w:highlight w:val="none"/>
        </w:rPr>
        <w:t>河南招标采购服务有限公司受许昌魏都投资总公司的委托，根据委托协议委托的事项，就“许昌魏都投资总公司为许昌魏轩园林绿化咨询建设管理有限公司采购第三方合作机构项目”进行竞争性谈判采购，欢迎合格的供应商参加谈判。</w:t>
      </w:r>
    </w:p>
    <w:p>
      <w:pPr>
        <w:pStyle w:val="30"/>
        <w:shd w:val="clear" w:color="auto" w:fill="FFFFFF"/>
        <w:spacing w:before="0" w:beforeAutospacing="0" w:after="0" w:afterAutospacing="0" w:line="400" w:lineRule="exact"/>
        <w:rPr>
          <w:rFonts w:cs="Times New Roman"/>
          <w:b/>
          <w:bCs/>
          <w:highlight w:val="none"/>
        </w:rPr>
      </w:pPr>
      <w:r>
        <w:rPr>
          <w:rFonts w:hint="eastAsia"/>
          <w:b/>
          <w:bCs/>
          <w:highlight w:val="none"/>
          <w:shd w:val="clear" w:color="auto" w:fill="FFFFFF"/>
        </w:rPr>
        <w:t>一、项目基本情况</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rFonts w:hint="eastAsia"/>
          <w:highlight w:val="none"/>
          <w:shd w:val="clear" w:color="auto" w:fill="FFFFFF"/>
        </w:rPr>
        <w:t>（一）项目名称：许昌魏都投资总公司为许昌魏轩园林绿化咨询建设管理有限公司采购第三方合作机构项目</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rFonts w:hint="eastAsia"/>
          <w:highlight w:val="none"/>
          <w:shd w:val="clear" w:color="auto" w:fill="FFFFFF"/>
        </w:rPr>
        <w:t>（二）项目编号：</w:t>
      </w:r>
      <w:r>
        <w:rPr>
          <w:rFonts w:hint="eastAsia"/>
          <w:highlight w:val="none"/>
          <w:shd w:val="clear" w:color="auto" w:fill="FFFFFF"/>
          <w:lang w:val="en-US" w:eastAsia="zh-CN"/>
        </w:rPr>
        <w:t>魏采竞谈-2018036号</w:t>
      </w:r>
      <w:r>
        <w:rPr>
          <w:rFonts w:hint="eastAsia"/>
          <w:highlight w:val="none"/>
          <w:shd w:val="clear" w:color="auto" w:fill="FFFFFF"/>
        </w:rPr>
        <w:t xml:space="preserve"> </w:t>
      </w:r>
      <w:r>
        <w:rPr>
          <w:highlight w:val="none"/>
          <w:shd w:val="clear" w:color="auto" w:fill="FFFFFF"/>
        </w:rPr>
        <w:t xml:space="preserve"> </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rFonts w:hint="eastAsia"/>
          <w:highlight w:val="none"/>
          <w:shd w:val="clear" w:color="auto" w:fill="FFFFFF"/>
        </w:rPr>
        <w:t>（三）项目需求：本项目共分为二个标段（详见竞争性谈判采购文件）。</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rFonts w:hint="eastAsia"/>
          <w:highlight w:val="none"/>
          <w:shd w:val="clear" w:color="auto" w:fill="FFFFFF"/>
        </w:rPr>
        <w:t>通过本次采购选定第三方服务机构作为许昌魏轩园林绿化咨询建设管理有限公司的合作伙伴，围绕许昌魏轩园林绿化咨询建设管理有限公司业务开展进行合作服务。</w:t>
      </w:r>
    </w:p>
    <w:p>
      <w:pPr>
        <w:pStyle w:val="30"/>
        <w:shd w:val="clear" w:color="auto" w:fill="FFFFFF"/>
        <w:spacing w:before="0" w:beforeAutospacing="0" w:after="0" w:afterAutospacing="0" w:line="400" w:lineRule="exact"/>
        <w:ind w:firstLine="556"/>
        <w:rPr>
          <w:rFonts w:cs="Times New Roman"/>
          <w:highlight w:val="none"/>
          <w:shd w:val="clear" w:color="auto" w:fill="FFFFFF"/>
        </w:rPr>
      </w:pPr>
      <w:r>
        <w:rPr>
          <w:rFonts w:hint="eastAsia"/>
          <w:highlight w:val="none"/>
          <w:shd w:val="clear" w:color="auto" w:fill="FFFFFF"/>
        </w:rPr>
        <w:t>一标段：选定</w:t>
      </w:r>
      <w:r>
        <w:rPr>
          <w:highlight w:val="none"/>
          <w:shd w:val="clear" w:color="auto" w:fill="FFFFFF"/>
        </w:rPr>
        <w:t>3</w:t>
      </w:r>
      <w:r>
        <w:rPr>
          <w:rFonts w:hint="eastAsia"/>
          <w:highlight w:val="none"/>
          <w:shd w:val="clear" w:color="auto" w:fill="FFFFFF"/>
        </w:rPr>
        <w:t>家苗木供应公司，为许昌魏轩园林绿化咨询建设管理有限公司提供苗木供应相关服务，负责苗木供应及配套服务（具体以实际委托为准）。</w:t>
      </w:r>
    </w:p>
    <w:p>
      <w:pPr>
        <w:pStyle w:val="30"/>
        <w:shd w:val="clear" w:color="auto" w:fill="FFFFFF"/>
        <w:spacing w:before="0" w:beforeAutospacing="0" w:after="0" w:afterAutospacing="0" w:line="400" w:lineRule="exact"/>
        <w:ind w:firstLine="556"/>
        <w:rPr>
          <w:rFonts w:cs="Times New Roman"/>
          <w:highlight w:val="none"/>
          <w:shd w:val="clear" w:color="auto" w:fill="FFFFFF"/>
        </w:rPr>
      </w:pPr>
      <w:r>
        <w:rPr>
          <w:rFonts w:hint="eastAsia"/>
          <w:highlight w:val="none"/>
          <w:shd w:val="clear" w:color="auto" w:fill="FFFFFF"/>
        </w:rPr>
        <w:t>二标段：选定</w:t>
      </w:r>
      <w:r>
        <w:rPr>
          <w:highlight w:val="none"/>
          <w:shd w:val="clear" w:color="auto" w:fill="FFFFFF"/>
        </w:rPr>
        <w:t>2</w:t>
      </w:r>
      <w:r>
        <w:rPr>
          <w:rFonts w:hint="eastAsia"/>
          <w:highlight w:val="none"/>
          <w:shd w:val="clear" w:color="auto" w:fill="FFFFFF"/>
        </w:rPr>
        <w:t>家监理公司，为许昌魏轩园林绿化咨询建设管理有限公司提供监理服务，负责全过程监理服务（具体以实际委托为准）。</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rFonts w:hint="eastAsia"/>
          <w:highlight w:val="none"/>
          <w:shd w:val="clear" w:color="auto" w:fill="FFFFFF"/>
        </w:rPr>
        <w:t>（四）服务期限：自合同签订之日起两年。</w:t>
      </w:r>
    </w:p>
    <w:p>
      <w:pPr>
        <w:pStyle w:val="30"/>
        <w:shd w:val="clear" w:color="auto" w:fill="FFFFFF"/>
        <w:spacing w:before="0" w:beforeAutospacing="0" w:after="0" w:afterAutospacing="0" w:line="400" w:lineRule="exact"/>
        <w:rPr>
          <w:b/>
          <w:bCs/>
          <w:highlight w:val="none"/>
          <w:shd w:val="clear" w:color="auto" w:fill="FFFFFF"/>
        </w:rPr>
      </w:pPr>
      <w:r>
        <w:rPr>
          <w:rFonts w:hint="eastAsia"/>
          <w:b/>
          <w:bCs/>
          <w:highlight w:val="none"/>
        </w:rPr>
        <w:t>二、</w:t>
      </w:r>
      <w:r>
        <w:rPr>
          <w:rFonts w:hint="eastAsia"/>
          <w:b/>
          <w:bCs/>
          <w:highlight w:val="none"/>
          <w:shd w:val="clear" w:color="auto" w:fill="FFFFFF"/>
        </w:rPr>
        <w:t>供应商资格要求</w:t>
      </w:r>
      <w:r>
        <w:rPr>
          <w:b/>
          <w:bCs/>
          <w:highlight w:val="none"/>
          <w:shd w:val="clear" w:color="auto" w:fill="FFFFFF"/>
        </w:rPr>
        <w:t xml:space="preserve"> </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highlight w:val="none"/>
          <w:shd w:val="clear" w:color="auto" w:fill="FFFFFF"/>
        </w:rPr>
        <w:t>1</w:t>
      </w:r>
      <w:r>
        <w:rPr>
          <w:rFonts w:hint="eastAsia"/>
          <w:highlight w:val="none"/>
          <w:shd w:val="clear" w:color="auto" w:fill="FFFFFF"/>
        </w:rPr>
        <w:t>、</w:t>
      </w:r>
      <w:r>
        <w:rPr>
          <w:rFonts w:hint="eastAsia"/>
          <w:highlight w:val="none"/>
        </w:rPr>
        <w:t>具备</w:t>
      </w:r>
      <w:r>
        <w:rPr>
          <w:rFonts w:hint="eastAsia"/>
          <w:highlight w:val="none"/>
          <w:shd w:val="clear" w:color="auto" w:fill="FFFFFF"/>
        </w:rPr>
        <w:t>《</w:t>
      </w:r>
      <w:r>
        <w:rPr>
          <w:rFonts w:hint="eastAsia"/>
          <w:highlight w:val="none"/>
        </w:rPr>
        <w:t>中华人民共和国政府采购法</w:t>
      </w:r>
      <w:r>
        <w:rPr>
          <w:rFonts w:hint="eastAsia"/>
          <w:highlight w:val="none"/>
          <w:shd w:val="clear" w:color="auto" w:fill="FFFFFF"/>
        </w:rPr>
        <w:t>》第二十二条规定条件并提供相关材料。</w:t>
      </w:r>
    </w:p>
    <w:p>
      <w:pPr>
        <w:spacing w:line="400" w:lineRule="exact"/>
        <w:ind w:firstLine="480" w:firstLineChars="200"/>
        <w:rPr>
          <w:rFonts w:ascii="宋体"/>
          <w:sz w:val="24"/>
          <w:szCs w:val="24"/>
          <w:highlight w:val="none"/>
        </w:rPr>
      </w:pPr>
      <w:bookmarkStart w:id="0" w:name="_Hlk513273978"/>
      <w:r>
        <w:rPr>
          <w:rFonts w:ascii="宋体" w:hAnsi="宋体" w:cs="宋体"/>
          <w:sz w:val="24"/>
          <w:szCs w:val="24"/>
          <w:highlight w:val="none"/>
        </w:rPr>
        <w:t>2</w:t>
      </w:r>
      <w:r>
        <w:rPr>
          <w:rFonts w:hint="eastAsia" w:ascii="宋体" w:hAnsi="宋体" w:cs="宋体"/>
          <w:sz w:val="24"/>
          <w:szCs w:val="24"/>
          <w:highlight w:val="none"/>
        </w:rPr>
        <w:t>、一标段：投标人须具有有效的营业执照，且营业执照经营范围含有园林绿化。</w:t>
      </w:r>
    </w:p>
    <w:p>
      <w:pPr>
        <w:spacing w:line="400" w:lineRule="exact"/>
        <w:ind w:firstLine="480" w:firstLineChars="200"/>
        <w:rPr>
          <w:rFonts w:ascii="宋体"/>
          <w:sz w:val="24"/>
          <w:szCs w:val="24"/>
          <w:highlight w:val="none"/>
        </w:rPr>
      </w:pPr>
      <w:r>
        <w:rPr>
          <w:rFonts w:hint="eastAsia" w:ascii="宋体" w:hAnsi="宋体" w:cs="宋体"/>
          <w:sz w:val="24"/>
          <w:szCs w:val="24"/>
          <w:highlight w:val="none"/>
        </w:rPr>
        <w:t>二标段：投标人须具备具有建设行政主管部门颁发的工程监理综合资质或市政公用工程专业监理丙级及以上资质；拟派项目总监具备市政公用工程专业注册监理工程师资格，且必须是本单位在册职工。</w:t>
      </w:r>
    </w:p>
    <w:bookmarkEnd w:id="0"/>
    <w:p>
      <w:pPr>
        <w:widowControl/>
        <w:spacing w:line="400" w:lineRule="exact"/>
        <w:ind w:firstLine="540" w:firstLineChars="225"/>
        <w:jc w:val="left"/>
        <w:rPr>
          <w:rFonts w:ascii="宋体"/>
          <w:kern w:val="0"/>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、参加本次采购活动的供应商，在近三年内经营活动中没有重大违法记录，供应商须</w:t>
      </w:r>
      <w:r>
        <w:rPr>
          <w:rFonts w:hint="eastAsia" w:ascii="宋体" w:hAnsi="宋体" w:cs="宋体"/>
          <w:kern w:val="0"/>
          <w:sz w:val="24"/>
          <w:szCs w:val="24"/>
          <w:highlight w:val="none"/>
        </w:rPr>
        <w:t>自行承诺；</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highlight w:val="none"/>
          <w:shd w:val="clear" w:color="auto" w:fill="FFFFFF"/>
        </w:rPr>
        <w:t>4</w:t>
      </w:r>
      <w:r>
        <w:rPr>
          <w:rFonts w:hint="eastAsia"/>
          <w:highlight w:val="none"/>
          <w:shd w:val="clear" w:color="auto" w:fill="FFFFFF"/>
        </w:rPr>
        <w:t>、近三年</w:t>
      </w:r>
      <w:r>
        <w:rPr>
          <w:highlight w:val="none"/>
          <w:shd w:val="clear" w:color="auto" w:fill="FFFFFF"/>
        </w:rPr>
        <w:t>(2015</w:t>
      </w:r>
      <w:r>
        <w:rPr>
          <w:rFonts w:hint="eastAsia"/>
          <w:highlight w:val="none"/>
          <w:shd w:val="clear" w:color="auto" w:fill="FFFFFF"/>
        </w:rPr>
        <w:t>年至今）在“信用中国”网站</w:t>
      </w:r>
      <w:r>
        <w:rPr>
          <w:highlight w:val="none"/>
          <w:shd w:val="clear" w:color="auto" w:fill="FFFFFF"/>
        </w:rPr>
        <w:t>(www.creditchina.gov.cn</w:t>
      </w:r>
      <w:r>
        <w:rPr>
          <w:rFonts w:hint="eastAsia"/>
          <w:highlight w:val="none"/>
          <w:shd w:val="clear" w:color="auto" w:fill="FFFFFF"/>
        </w:rPr>
        <w:t>）和“中国政府采购网”</w:t>
      </w:r>
      <w:r>
        <w:rPr>
          <w:highlight w:val="none"/>
          <w:shd w:val="clear" w:color="auto" w:fill="FFFFFF"/>
        </w:rPr>
        <w:t>(www.ccgp.gov.cn</w:t>
      </w:r>
      <w:r>
        <w:rPr>
          <w:rFonts w:hint="eastAsia"/>
          <w:highlight w:val="none"/>
          <w:shd w:val="clear" w:color="auto" w:fill="FFFFFF"/>
        </w:rPr>
        <w:t>）上未被列入失信被执行人、重大税收违法案件当事人名单、政府采购严重违法失信行为记录名单等不良行为记录；</w:t>
      </w:r>
      <w:r>
        <w:rPr>
          <w:highlight w:val="none"/>
          <w:shd w:val="clear" w:color="auto" w:fill="FFFFFF"/>
        </w:rPr>
        <w:t>(</w:t>
      </w:r>
      <w:r>
        <w:rPr>
          <w:rFonts w:hint="eastAsia"/>
          <w:highlight w:val="none"/>
          <w:shd w:val="clear" w:color="auto" w:fill="FFFFFF"/>
        </w:rPr>
        <w:t>提供网页截图并加盖公章）；</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highlight w:val="none"/>
          <w:shd w:val="clear" w:color="auto" w:fill="FFFFFF"/>
        </w:rPr>
        <w:t>5</w:t>
      </w:r>
      <w:r>
        <w:rPr>
          <w:rFonts w:hint="eastAsia"/>
          <w:highlight w:val="none"/>
          <w:shd w:val="clear" w:color="auto" w:fill="FFFFFF"/>
        </w:rPr>
        <w:t>、供应商可以对多个标段进行投标，但只能按先后顺序中取一个标段。</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highlight w:val="none"/>
          <w:shd w:val="clear" w:color="auto" w:fill="FFFFFF"/>
        </w:rPr>
        <w:t>6</w:t>
      </w:r>
      <w:r>
        <w:rPr>
          <w:rFonts w:hint="eastAsia"/>
          <w:highlight w:val="none"/>
          <w:shd w:val="clear" w:color="auto" w:fill="FFFFFF"/>
        </w:rPr>
        <w:t>、本次招标不接受联合体参加谈判。</w:t>
      </w:r>
    </w:p>
    <w:p>
      <w:pPr>
        <w:pStyle w:val="30"/>
        <w:shd w:val="clear" w:color="auto" w:fill="FFFFFF"/>
        <w:spacing w:before="0" w:beforeAutospacing="0" w:after="0" w:afterAutospacing="0" w:line="400" w:lineRule="exact"/>
        <w:rPr>
          <w:rFonts w:cs="Times New Roman"/>
          <w:b/>
          <w:bCs/>
          <w:highlight w:val="none"/>
          <w:shd w:val="clear" w:color="auto" w:fill="FFFFFF"/>
        </w:rPr>
      </w:pPr>
      <w:r>
        <w:rPr>
          <w:rFonts w:hint="eastAsia"/>
          <w:b/>
          <w:bCs/>
          <w:highlight w:val="none"/>
          <w:shd w:val="clear" w:color="auto" w:fill="FFFFFF"/>
        </w:rPr>
        <w:t>三、获取谈判文件的时间、地点、方式</w:t>
      </w:r>
    </w:p>
    <w:p>
      <w:pPr>
        <w:spacing w:line="400" w:lineRule="exact"/>
        <w:jc w:val="left"/>
        <w:rPr>
          <w:rFonts w:ascii="宋体"/>
          <w:kern w:val="1"/>
          <w:sz w:val="24"/>
          <w:szCs w:val="24"/>
          <w:highlight w:val="none"/>
        </w:rPr>
      </w:pPr>
      <w:r>
        <w:rPr>
          <w:rFonts w:ascii="宋体" w:hAnsi="宋体" w:cs="宋体"/>
          <w:kern w:val="1"/>
          <w:sz w:val="24"/>
          <w:szCs w:val="24"/>
          <w:highlight w:val="none"/>
        </w:rPr>
        <w:t xml:space="preserve">    1</w:t>
      </w:r>
      <w:r>
        <w:rPr>
          <w:rFonts w:hint="eastAsia" w:ascii="宋体" w:hAnsi="宋体" w:cs="宋体"/>
          <w:kern w:val="1"/>
          <w:sz w:val="24"/>
          <w:szCs w:val="24"/>
          <w:highlight w:val="none"/>
        </w:rPr>
        <w:t>、凡有意参加的合格潜在供应商，请于</w:t>
      </w:r>
      <w:r>
        <w:rPr>
          <w:rFonts w:ascii="宋体" w:hAnsi="宋体" w:cs="宋体"/>
          <w:kern w:val="1"/>
          <w:sz w:val="24"/>
          <w:szCs w:val="24"/>
          <w:highlight w:val="none"/>
        </w:rPr>
        <w:t>2018</w:t>
      </w:r>
      <w:r>
        <w:rPr>
          <w:rFonts w:hint="eastAsia" w:ascii="宋体" w:hAnsi="宋体" w:cs="宋体"/>
          <w:kern w:val="1"/>
          <w:sz w:val="24"/>
          <w:szCs w:val="24"/>
          <w:highlight w:val="none"/>
        </w:rPr>
        <w:t>年</w:t>
      </w:r>
      <w:r>
        <w:rPr>
          <w:rFonts w:ascii="宋体" w:hAnsi="宋体" w:cs="宋体"/>
          <w:kern w:val="1"/>
          <w:sz w:val="24"/>
          <w:szCs w:val="24"/>
          <w:highlight w:val="none"/>
        </w:rPr>
        <w:t>11</w:t>
      </w:r>
      <w:r>
        <w:rPr>
          <w:rFonts w:hint="eastAsia" w:ascii="宋体" w:hAnsi="宋体" w:cs="宋体"/>
          <w:kern w:val="1"/>
          <w:sz w:val="24"/>
          <w:szCs w:val="24"/>
          <w:highlight w:val="none"/>
        </w:rPr>
        <w:t>月</w:t>
      </w:r>
      <w:r>
        <w:rPr>
          <w:rFonts w:hint="eastAsia" w:ascii="宋体" w:hAnsi="宋体" w:cs="宋体"/>
          <w:kern w:val="1"/>
          <w:sz w:val="24"/>
          <w:szCs w:val="24"/>
          <w:highlight w:val="none"/>
          <w:lang w:val="en-US" w:eastAsia="zh-CN"/>
        </w:rPr>
        <w:t>30</w:t>
      </w:r>
      <w:r>
        <w:rPr>
          <w:rFonts w:hint="eastAsia" w:ascii="宋体" w:hAnsi="宋体" w:cs="宋体"/>
          <w:kern w:val="1"/>
          <w:sz w:val="24"/>
          <w:szCs w:val="24"/>
          <w:highlight w:val="none"/>
        </w:rPr>
        <w:t>日</w:t>
      </w:r>
      <w:r>
        <w:rPr>
          <w:rFonts w:ascii="宋体" w:hAnsi="宋体" w:cs="宋体"/>
          <w:kern w:val="1"/>
          <w:sz w:val="24"/>
          <w:szCs w:val="24"/>
          <w:highlight w:val="none"/>
        </w:rPr>
        <w:t>—2018</w:t>
      </w:r>
      <w:r>
        <w:rPr>
          <w:rFonts w:hint="eastAsia" w:ascii="宋体" w:hAnsi="宋体" w:cs="宋体"/>
          <w:kern w:val="1"/>
          <w:sz w:val="24"/>
          <w:szCs w:val="24"/>
          <w:highlight w:val="none"/>
        </w:rPr>
        <w:t>年</w:t>
      </w:r>
      <w:r>
        <w:rPr>
          <w:rFonts w:ascii="宋体" w:hAnsi="宋体" w:cs="宋体"/>
          <w:kern w:val="1"/>
          <w:sz w:val="24"/>
          <w:szCs w:val="24"/>
          <w:highlight w:val="none"/>
        </w:rPr>
        <w:t>1</w:t>
      </w:r>
      <w:r>
        <w:rPr>
          <w:rFonts w:hint="eastAsia" w:ascii="宋体" w:hAnsi="宋体" w:cs="宋体"/>
          <w:kern w:val="1"/>
          <w:sz w:val="24"/>
          <w:szCs w:val="24"/>
          <w:highlight w:val="none"/>
          <w:lang w:val="en-US" w:eastAsia="zh-CN"/>
        </w:rPr>
        <w:t>2</w:t>
      </w:r>
      <w:r>
        <w:rPr>
          <w:rFonts w:hint="eastAsia" w:ascii="宋体" w:hAnsi="宋体" w:cs="宋体"/>
          <w:kern w:val="1"/>
          <w:sz w:val="24"/>
          <w:szCs w:val="24"/>
          <w:highlight w:val="none"/>
        </w:rPr>
        <w:t>月</w:t>
      </w:r>
      <w:r>
        <w:rPr>
          <w:rFonts w:ascii="宋体" w:hAnsi="宋体" w:cs="宋体"/>
          <w:kern w:val="1"/>
          <w:sz w:val="24"/>
          <w:szCs w:val="24"/>
          <w:highlight w:val="none"/>
        </w:rPr>
        <w:t xml:space="preserve">  </w:t>
      </w:r>
      <w:r>
        <w:rPr>
          <w:rFonts w:hint="eastAsia" w:ascii="宋体" w:hAnsi="宋体" w:cs="宋体"/>
          <w:kern w:val="1"/>
          <w:sz w:val="24"/>
          <w:szCs w:val="24"/>
          <w:highlight w:val="none"/>
          <w:lang w:val="en-US" w:eastAsia="zh-CN"/>
        </w:rPr>
        <w:t>5</w:t>
      </w:r>
      <w:r>
        <w:rPr>
          <w:rFonts w:hint="eastAsia" w:ascii="宋体" w:hAnsi="宋体" w:cs="宋体"/>
          <w:kern w:val="1"/>
          <w:sz w:val="24"/>
          <w:szCs w:val="24"/>
          <w:highlight w:val="none"/>
        </w:rPr>
        <w:t>日每天上午</w:t>
      </w:r>
      <w:r>
        <w:rPr>
          <w:rFonts w:ascii="宋体" w:hAnsi="宋体" w:cs="宋体"/>
          <w:kern w:val="1"/>
          <w:sz w:val="24"/>
          <w:szCs w:val="24"/>
          <w:highlight w:val="none"/>
        </w:rPr>
        <w:t>9:00-12:00</w:t>
      </w:r>
      <w:r>
        <w:rPr>
          <w:rFonts w:hint="eastAsia" w:ascii="宋体" w:hAnsi="宋体" w:cs="宋体"/>
          <w:kern w:val="1"/>
          <w:sz w:val="24"/>
          <w:szCs w:val="24"/>
          <w:highlight w:val="none"/>
        </w:rPr>
        <w:t>，</w:t>
      </w:r>
      <w:r>
        <w:rPr>
          <w:rFonts w:ascii="宋体" w:hAnsi="宋体" w:cs="宋体"/>
          <w:kern w:val="1"/>
          <w:sz w:val="24"/>
          <w:szCs w:val="24"/>
          <w:highlight w:val="none"/>
        </w:rPr>
        <w:t>14:00-17:00</w:t>
      </w:r>
      <w:r>
        <w:rPr>
          <w:rFonts w:hint="eastAsia" w:ascii="宋体" w:hAnsi="宋体" w:cs="宋体"/>
          <w:kern w:val="1"/>
          <w:sz w:val="24"/>
          <w:szCs w:val="24"/>
          <w:highlight w:val="none"/>
        </w:rPr>
        <w:t>（北京时间，节假日除外），在许昌市城乡一体化芙蓉大道芙蓉商务中心</w:t>
      </w:r>
      <w:r>
        <w:rPr>
          <w:rFonts w:ascii="宋体" w:hAnsi="宋体" w:cs="宋体"/>
          <w:kern w:val="1"/>
          <w:sz w:val="24"/>
          <w:szCs w:val="24"/>
          <w:highlight w:val="none"/>
        </w:rPr>
        <w:t>1</w:t>
      </w:r>
      <w:r>
        <w:rPr>
          <w:rFonts w:hint="eastAsia" w:ascii="宋体" w:hAnsi="宋体" w:cs="宋体"/>
          <w:kern w:val="1"/>
          <w:sz w:val="24"/>
          <w:szCs w:val="24"/>
          <w:highlight w:val="none"/>
        </w:rPr>
        <w:t>号楼</w:t>
      </w:r>
      <w:r>
        <w:rPr>
          <w:rFonts w:ascii="宋体" w:hAnsi="宋体" w:cs="宋体"/>
          <w:kern w:val="1"/>
          <w:sz w:val="24"/>
          <w:szCs w:val="24"/>
          <w:highlight w:val="none"/>
        </w:rPr>
        <w:t>21</w:t>
      </w:r>
      <w:r>
        <w:rPr>
          <w:rFonts w:hint="eastAsia" w:ascii="宋体" w:hAnsi="宋体" w:cs="宋体"/>
          <w:kern w:val="1"/>
          <w:sz w:val="24"/>
          <w:szCs w:val="24"/>
          <w:highlight w:val="none"/>
        </w:rPr>
        <w:t>楼</w:t>
      </w:r>
      <w:r>
        <w:rPr>
          <w:rFonts w:ascii="宋体" w:hAnsi="宋体" w:cs="宋体"/>
          <w:kern w:val="1"/>
          <w:sz w:val="24"/>
          <w:szCs w:val="24"/>
          <w:highlight w:val="none"/>
        </w:rPr>
        <w:t>2102</w:t>
      </w:r>
      <w:r>
        <w:rPr>
          <w:rFonts w:hint="eastAsia" w:ascii="宋体" w:hAnsi="宋体" w:cs="宋体"/>
          <w:kern w:val="1"/>
          <w:sz w:val="24"/>
          <w:szCs w:val="24"/>
          <w:highlight w:val="none"/>
        </w:rPr>
        <w:t>室进行报名并购买招标文件。</w:t>
      </w:r>
    </w:p>
    <w:p>
      <w:pPr>
        <w:spacing w:line="400" w:lineRule="exact"/>
        <w:ind w:firstLine="480" w:firstLineChars="200"/>
        <w:rPr>
          <w:rFonts w:ascii="宋体"/>
          <w:kern w:val="1"/>
          <w:sz w:val="24"/>
          <w:szCs w:val="24"/>
          <w:highlight w:val="none"/>
        </w:rPr>
      </w:pPr>
      <w:r>
        <w:rPr>
          <w:rFonts w:ascii="宋体" w:hAnsi="宋体" w:cs="宋体"/>
          <w:kern w:val="1"/>
          <w:sz w:val="24"/>
          <w:szCs w:val="24"/>
          <w:highlight w:val="none"/>
        </w:rPr>
        <w:t>2</w:t>
      </w:r>
      <w:r>
        <w:rPr>
          <w:rFonts w:hint="eastAsia" w:ascii="宋体" w:hAnsi="宋体" w:cs="宋体"/>
          <w:kern w:val="1"/>
          <w:sz w:val="24"/>
          <w:szCs w:val="24"/>
          <w:highlight w:val="none"/>
        </w:rPr>
        <w:t>、报名时需提交法定代表人身份证明或法定代表人授权委托书、被授权人有效的身份证、三证合一的营业执照（复印件）等资格要求所涉及的相关资料</w:t>
      </w:r>
      <w:r>
        <w:rPr>
          <w:rFonts w:ascii="宋体" w:cs="宋体"/>
          <w:kern w:val="1"/>
          <w:sz w:val="24"/>
          <w:szCs w:val="24"/>
          <w:highlight w:val="none"/>
        </w:rPr>
        <w:t>,</w:t>
      </w:r>
      <w:r>
        <w:rPr>
          <w:rFonts w:hint="eastAsia" w:ascii="宋体" w:hAnsi="宋体" w:cs="宋体"/>
          <w:kern w:val="1"/>
          <w:sz w:val="24"/>
          <w:szCs w:val="24"/>
          <w:highlight w:val="none"/>
        </w:rPr>
        <w:t>以上证件均须提供原件接受查验，并提供加盖公章的复印件二套。</w:t>
      </w:r>
    </w:p>
    <w:p>
      <w:pPr>
        <w:pStyle w:val="14"/>
        <w:spacing w:line="400" w:lineRule="exact"/>
        <w:ind w:firstLine="480" w:firstLineChars="200"/>
        <w:rPr>
          <w:rFonts w:ascii="宋体" w:cs="Times New Roman"/>
          <w:kern w:val="1"/>
          <w:highlight w:val="none"/>
        </w:rPr>
      </w:pPr>
      <w:r>
        <w:rPr>
          <w:rFonts w:ascii="宋体" w:hAnsi="宋体" w:cs="宋体"/>
          <w:kern w:val="1"/>
          <w:highlight w:val="none"/>
        </w:rPr>
        <w:t>3</w:t>
      </w:r>
      <w:r>
        <w:rPr>
          <w:rFonts w:hint="eastAsia" w:ascii="宋体" w:hAnsi="宋体" w:cs="宋体"/>
          <w:kern w:val="1"/>
          <w:highlight w:val="none"/>
        </w:rPr>
        <w:t>、谈判文件售价：人民币</w:t>
      </w:r>
      <w:r>
        <w:rPr>
          <w:rFonts w:hint="eastAsia" w:ascii="宋体" w:hAnsi="宋体" w:cs="宋体"/>
          <w:kern w:val="1"/>
          <w:highlight w:val="none"/>
          <w:lang w:val="en-US" w:eastAsia="zh-CN"/>
        </w:rPr>
        <w:t>3</w:t>
      </w:r>
      <w:r>
        <w:rPr>
          <w:rFonts w:ascii="宋体" w:hAnsi="宋体" w:cs="宋体"/>
          <w:kern w:val="1"/>
          <w:highlight w:val="none"/>
        </w:rPr>
        <w:t>00</w:t>
      </w:r>
      <w:r>
        <w:rPr>
          <w:rFonts w:hint="eastAsia" w:ascii="宋体" w:hAnsi="宋体" w:cs="宋体"/>
          <w:kern w:val="1"/>
          <w:highlight w:val="none"/>
        </w:rPr>
        <w:t>元</w:t>
      </w:r>
      <w:r>
        <w:rPr>
          <w:rFonts w:ascii="宋体" w:hAnsi="宋体" w:cs="宋体"/>
          <w:kern w:val="1"/>
          <w:highlight w:val="none"/>
        </w:rPr>
        <w:t>/</w:t>
      </w:r>
      <w:r>
        <w:rPr>
          <w:rFonts w:hint="eastAsia" w:ascii="宋体" w:hAnsi="宋体" w:cs="宋体"/>
          <w:kern w:val="1"/>
          <w:highlight w:val="none"/>
        </w:rPr>
        <w:t>标段。</w:t>
      </w:r>
    </w:p>
    <w:p>
      <w:pPr>
        <w:pStyle w:val="30"/>
        <w:shd w:val="clear" w:color="auto" w:fill="FFFFFF"/>
        <w:spacing w:before="0" w:beforeAutospacing="0" w:after="0" w:afterAutospacing="0" w:line="400" w:lineRule="exact"/>
        <w:rPr>
          <w:rFonts w:cs="Times New Roman"/>
          <w:b/>
          <w:bCs/>
          <w:highlight w:val="none"/>
        </w:rPr>
      </w:pPr>
      <w:r>
        <w:rPr>
          <w:rFonts w:hint="eastAsia"/>
          <w:b/>
          <w:bCs/>
          <w:highlight w:val="none"/>
          <w:shd w:val="clear" w:color="auto" w:fill="FFFFFF"/>
        </w:rPr>
        <w:t>四、谈判文件接收截止时间、谈判时间及地点</w:t>
      </w:r>
    </w:p>
    <w:p>
      <w:pPr>
        <w:pStyle w:val="30"/>
        <w:shd w:val="clear" w:color="auto" w:fill="FFFFFF"/>
        <w:spacing w:before="0" w:beforeAutospacing="0" w:after="0" w:afterAutospacing="0" w:line="400" w:lineRule="exact"/>
        <w:ind w:firstLine="562"/>
        <w:rPr>
          <w:rFonts w:cs="Times New Roman"/>
          <w:highlight w:val="none"/>
        </w:rPr>
      </w:pPr>
      <w:r>
        <w:rPr>
          <w:rFonts w:hint="eastAsia"/>
          <w:highlight w:val="none"/>
          <w:shd w:val="clear" w:color="auto" w:fill="FFFFFF"/>
        </w:rPr>
        <w:t>（一）谈判文件接收截止及谈判时间：</w:t>
      </w:r>
      <w:r>
        <w:rPr>
          <w:b/>
          <w:bCs/>
          <w:highlight w:val="none"/>
          <w:u w:val="single"/>
          <w:shd w:val="clear" w:color="auto" w:fill="FFFFFF"/>
        </w:rPr>
        <w:t>2018</w:t>
      </w:r>
      <w:r>
        <w:rPr>
          <w:rFonts w:hint="eastAsia"/>
          <w:b/>
          <w:bCs/>
          <w:highlight w:val="none"/>
          <w:u w:val="single"/>
          <w:shd w:val="clear" w:color="auto" w:fill="FFFFFF"/>
        </w:rPr>
        <w:t>年</w:t>
      </w:r>
      <w:r>
        <w:rPr>
          <w:b/>
          <w:bCs/>
          <w:highlight w:val="none"/>
          <w:u w:val="single"/>
          <w:shd w:val="clear" w:color="auto" w:fill="FFFFFF"/>
        </w:rPr>
        <w:t>12</w:t>
      </w:r>
      <w:r>
        <w:rPr>
          <w:rFonts w:hint="eastAsia"/>
          <w:b/>
          <w:bCs/>
          <w:highlight w:val="none"/>
          <w:u w:val="single"/>
          <w:shd w:val="clear" w:color="auto" w:fill="FFFFFF"/>
        </w:rPr>
        <w:t>月</w:t>
      </w:r>
      <w:r>
        <w:rPr>
          <w:rFonts w:hint="eastAsia"/>
          <w:b/>
          <w:bCs/>
          <w:highlight w:val="none"/>
          <w:u w:val="single"/>
          <w:shd w:val="clear" w:color="auto" w:fill="FFFFFF"/>
          <w:lang w:val="en-US" w:eastAsia="zh-CN"/>
        </w:rPr>
        <w:t>6</w:t>
      </w:r>
      <w:r>
        <w:rPr>
          <w:rFonts w:hint="eastAsia"/>
          <w:b/>
          <w:bCs/>
          <w:highlight w:val="none"/>
          <w:u w:val="single"/>
          <w:shd w:val="clear" w:color="auto" w:fill="FFFFFF"/>
        </w:rPr>
        <w:t>日</w:t>
      </w:r>
      <w:r>
        <w:rPr>
          <w:b/>
          <w:bCs/>
          <w:highlight w:val="none"/>
          <w:u w:val="single"/>
          <w:shd w:val="clear" w:color="auto" w:fill="FFFFFF"/>
        </w:rPr>
        <w:t xml:space="preserve"> </w:t>
      </w:r>
      <w:r>
        <w:rPr>
          <w:rFonts w:hint="eastAsia"/>
          <w:b/>
          <w:bCs/>
          <w:highlight w:val="none"/>
          <w:u w:val="single"/>
          <w:shd w:val="clear" w:color="auto" w:fill="FFFFFF"/>
          <w:lang w:val="en-US" w:eastAsia="zh-CN"/>
        </w:rPr>
        <w:t>15</w:t>
      </w:r>
      <w:r>
        <w:rPr>
          <w:b/>
          <w:bCs/>
          <w:highlight w:val="none"/>
          <w:u w:val="single"/>
          <w:shd w:val="clear" w:color="auto" w:fill="FFFFFF"/>
        </w:rPr>
        <w:t xml:space="preserve"> </w:t>
      </w:r>
      <w:r>
        <w:rPr>
          <w:rFonts w:hint="eastAsia"/>
          <w:b/>
          <w:bCs/>
          <w:highlight w:val="none"/>
          <w:u w:val="single"/>
          <w:shd w:val="clear" w:color="auto" w:fill="FFFFFF"/>
        </w:rPr>
        <w:t>时</w:t>
      </w:r>
      <w:r>
        <w:rPr>
          <w:b/>
          <w:bCs/>
          <w:highlight w:val="none"/>
          <w:u w:val="single"/>
          <w:shd w:val="clear" w:color="auto" w:fill="FFFFFF"/>
        </w:rPr>
        <w:t xml:space="preserve"> </w:t>
      </w:r>
      <w:r>
        <w:rPr>
          <w:rFonts w:hint="eastAsia"/>
          <w:b/>
          <w:bCs/>
          <w:highlight w:val="none"/>
          <w:u w:val="single"/>
          <w:shd w:val="clear" w:color="auto" w:fill="FFFFFF"/>
          <w:lang w:val="en-US" w:eastAsia="zh-CN"/>
        </w:rPr>
        <w:t>0</w:t>
      </w:r>
      <w:r>
        <w:rPr>
          <w:b/>
          <w:bCs/>
          <w:highlight w:val="none"/>
          <w:u w:val="single"/>
          <w:shd w:val="clear" w:color="auto" w:fill="FFFFFF"/>
        </w:rPr>
        <w:t xml:space="preserve">0 </w:t>
      </w:r>
      <w:r>
        <w:rPr>
          <w:rFonts w:hint="eastAsia"/>
          <w:b/>
          <w:bCs/>
          <w:highlight w:val="none"/>
          <w:u w:val="single"/>
          <w:shd w:val="clear" w:color="auto" w:fill="FFFFFF"/>
        </w:rPr>
        <w:t>分</w:t>
      </w:r>
      <w:r>
        <w:rPr>
          <w:rFonts w:hint="eastAsia"/>
          <w:b/>
          <w:bCs/>
          <w:highlight w:val="none"/>
          <w:shd w:val="clear" w:color="auto" w:fill="FFFFFF"/>
        </w:rPr>
        <w:t>（北京时间），</w:t>
      </w:r>
      <w:r>
        <w:rPr>
          <w:rFonts w:hint="eastAsia"/>
          <w:highlight w:val="none"/>
          <w:shd w:val="clear" w:color="auto" w:fill="FFFFFF"/>
        </w:rPr>
        <w:t>逾期送达或不符合规定的响应文件不予接受。</w:t>
      </w:r>
    </w:p>
    <w:p>
      <w:pPr>
        <w:pStyle w:val="30"/>
        <w:shd w:val="clear" w:color="auto" w:fill="FFFFFF"/>
        <w:spacing w:before="0" w:beforeAutospacing="0" w:after="0" w:afterAutospacing="0" w:line="400" w:lineRule="exact"/>
        <w:ind w:firstLine="562"/>
        <w:rPr>
          <w:rFonts w:cs="Times New Roman"/>
          <w:highlight w:val="none"/>
        </w:rPr>
      </w:pPr>
      <w:r>
        <w:rPr>
          <w:rFonts w:hint="eastAsia"/>
          <w:highlight w:val="none"/>
          <w:shd w:val="clear" w:color="auto" w:fill="FFFFFF"/>
        </w:rPr>
        <w:t>（二）谈判地点：</w:t>
      </w:r>
      <w:r>
        <w:rPr>
          <w:rFonts w:hint="eastAsia"/>
          <w:highlight w:val="none"/>
        </w:rPr>
        <w:t>许昌市天宝路魏都区政府办公楼</w:t>
      </w:r>
      <w:r>
        <w:rPr>
          <w:highlight w:val="none"/>
        </w:rPr>
        <w:t>5</w:t>
      </w:r>
      <w:r>
        <w:rPr>
          <w:rFonts w:hint="eastAsia"/>
          <w:highlight w:val="none"/>
        </w:rPr>
        <w:t>楼</w:t>
      </w:r>
      <w:r>
        <w:rPr>
          <w:rFonts w:hint="eastAsia"/>
          <w:highlight w:val="none"/>
          <w:lang w:val="en-US" w:eastAsia="zh-CN"/>
        </w:rPr>
        <w:t>530</w:t>
      </w:r>
      <w:r>
        <w:rPr>
          <w:rFonts w:hint="eastAsia"/>
          <w:highlight w:val="none"/>
        </w:rPr>
        <w:t>室。</w:t>
      </w:r>
    </w:p>
    <w:p>
      <w:pPr>
        <w:pStyle w:val="30"/>
        <w:shd w:val="clear" w:color="auto" w:fill="FFFFFF"/>
        <w:spacing w:before="0" w:beforeAutospacing="0" w:after="0" w:afterAutospacing="0" w:line="400" w:lineRule="exact"/>
        <w:rPr>
          <w:rFonts w:cs="Times New Roman"/>
          <w:b/>
          <w:bCs/>
          <w:highlight w:val="none"/>
          <w:shd w:val="clear" w:color="auto" w:fill="FFFFFF"/>
        </w:rPr>
      </w:pPr>
      <w:r>
        <w:rPr>
          <w:rFonts w:hint="eastAsia"/>
          <w:b/>
          <w:bCs/>
          <w:highlight w:val="none"/>
          <w:shd w:val="clear" w:color="auto" w:fill="FFFFFF"/>
        </w:rPr>
        <w:t>五、本次谈判公告同时在《中国采购与招标网》、《河南招标采购综合网》、《河南招标采购网》上发布。</w:t>
      </w:r>
    </w:p>
    <w:p>
      <w:pPr>
        <w:pStyle w:val="30"/>
        <w:shd w:val="clear" w:color="auto" w:fill="FFFFFF"/>
        <w:spacing w:before="0" w:beforeAutospacing="0" w:after="0" w:afterAutospacing="0" w:line="400" w:lineRule="exact"/>
        <w:rPr>
          <w:rFonts w:cs="Times New Roman"/>
          <w:highlight w:val="none"/>
          <w:shd w:val="clear" w:color="auto" w:fill="FFFFFF"/>
        </w:rPr>
      </w:pPr>
      <w:r>
        <w:rPr>
          <w:rFonts w:hint="eastAsia"/>
          <w:b/>
          <w:bCs/>
          <w:highlight w:val="none"/>
          <w:shd w:val="clear" w:color="auto" w:fill="FFFFFF"/>
        </w:rPr>
        <w:t>六、公告期限：</w:t>
      </w:r>
      <w:r>
        <w:rPr>
          <w:rFonts w:hint="eastAsia"/>
          <w:highlight w:val="none"/>
          <w:shd w:val="clear" w:color="auto" w:fill="FFFFFF"/>
        </w:rPr>
        <w:t>自本公告发布之日起</w:t>
      </w:r>
      <w:r>
        <w:rPr>
          <w:highlight w:val="none"/>
          <w:shd w:val="clear" w:color="auto" w:fill="FFFFFF"/>
        </w:rPr>
        <w:t>3</w:t>
      </w:r>
      <w:r>
        <w:rPr>
          <w:rFonts w:hint="eastAsia"/>
          <w:highlight w:val="none"/>
          <w:shd w:val="clear" w:color="auto" w:fill="FFFFFF"/>
        </w:rPr>
        <w:t>个工作日。</w:t>
      </w:r>
    </w:p>
    <w:p>
      <w:pPr>
        <w:pStyle w:val="30"/>
        <w:shd w:val="clear" w:color="auto" w:fill="FFFFFF"/>
        <w:spacing w:before="0" w:beforeAutospacing="0" w:after="0" w:afterAutospacing="0" w:line="400" w:lineRule="exact"/>
        <w:rPr>
          <w:rFonts w:cs="Times New Roman"/>
          <w:b/>
          <w:bCs/>
          <w:highlight w:val="none"/>
        </w:rPr>
      </w:pPr>
      <w:r>
        <w:rPr>
          <w:rFonts w:hint="eastAsia"/>
          <w:b/>
          <w:bCs/>
          <w:highlight w:val="none"/>
          <w:shd w:val="clear" w:color="auto" w:fill="FFFFFF"/>
        </w:rPr>
        <w:t>七、联系方式</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rFonts w:hint="eastAsia"/>
          <w:highlight w:val="none"/>
          <w:shd w:val="clear" w:color="auto" w:fill="FFFFFF"/>
        </w:rPr>
        <w:t>采购人：许昌魏都投资总公司</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rFonts w:hint="eastAsia"/>
          <w:highlight w:val="none"/>
          <w:shd w:val="clear" w:color="auto" w:fill="FFFFFF"/>
        </w:rPr>
        <w:t>地</w:t>
      </w:r>
      <w:r>
        <w:rPr>
          <w:highlight w:val="none"/>
          <w:shd w:val="clear" w:color="auto" w:fill="FFFFFF"/>
        </w:rPr>
        <w:t xml:space="preserve">  </w:t>
      </w:r>
      <w:r>
        <w:rPr>
          <w:rFonts w:hint="eastAsia"/>
          <w:highlight w:val="none"/>
          <w:shd w:val="clear" w:color="auto" w:fill="FFFFFF"/>
        </w:rPr>
        <w:t>址：许昌市魏都区天宝路中奥鑫天东楼</w:t>
      </w:r>
      <w:r>
        <w:rPr>
          <w:highlight w:val="none"/>
        </w:rPr>
        <w:t xml:space="preserve"> </w:t>
      </w:r>
    </w:p>
    <w:p>
      <w:pPr>
        <w:pStyle w:val="30"/>
        <w:shd w:val="clear" w:color="auto" w:fill="FFFFFF"/>
        <w:spacing w:before="0" w:beforeAutospacing="0" w:after="0" w:afterAutospacing="0" w:line="400" w:lineRule="exact"/>
        <w:ind w:firstLine="480" w:firstLineChars="200"/>
        <w:rPr>
          <w:highlight w:val="none"/>
          <w:shd w:val="clear" w:color="auto" w:fill="FFFFFF"/>
        </w:rPr>
      </w:pPr>
      <w:r>
        <w:rPr>
          <w:rFonts w:hint="eastAsia"/>
          <w:highlight w:val="none"/>
          <w:shd w:val="clear" w:color="auto" w:fill="FFFFFF"/>
        </w:rPr>
        <w:t>联系人：金先生</w:t>
      </w:r>
      <w:r>
        <w:rPr>
          <w:highlight w:val="none"/>
          <w:shd w:val="clear" w:color="auto" w:fill="FFFFFF"/>
        </w:rPr>
        <w:t xml:space="preserve">      </w:t>
      </w:r>
      <w:r>
        <w:rPr>
          <w:rFonts w:hint="eastAsia"/>
          <w:highlight w:val="none"/>
          <w:shd w:val="clear" w:color="auto" w:fill="FFFFFF"/>
        </w:rPr>
        <w:t>联系电话：</w:t>
      </w:r>
      <w:r>
        <w:rPr>
          <w:highlight w:val="none"/>
          <w:shd w:val="clear" w:color="auto" w:fill="FFFFFF"/>
        </w:rPr>
        <w:t>0374-2672266</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rFonts w:hint="eastAsia"/>
          <w:highlight w:val="none"/>
          <w:shd w:val="clear" w:color="auto" w:fill="FFFFFF"/>
        </w:rPr>
        <w:t>代理机构：河南招标采购服务有限公司</w:t>
      </w:r>
    </w:p>
    <w:p>
      <w:pPr>
        <w:pStyle w:val="30"/>
        <w:shd w:val="clear" w:color="auto" w:fill="FFFFFF"/>
        <w:spacing w:before="0" w:beforeAutospacing="0" w:after="0" w:afterAutospacing="0" w:line="400" w:lineRule="exact"/>
        <w:ind w:firstLine="480" w:firstLineChars="200"/>
        <w:rPr>
          <w:rFonts w:cs="Times New Roman"/>
          <w:highlight w:val="none"/>
          <w:shd w:val="clear" w:color="auto" w:fill="FFFFFF"/>
        </w:rPr>
      </w:pPr>
      <w:r>
        <w:rPr>
          <w:rFonts w:hint="eastAsia"/>
          <w:highlight w:val="none"/>
          <w:shd w:val="clear" w:color="auto" w:fill="FFFFFF"/>
        </w:rPr>
        <w:t>地</w:t>
      </w:r>
      <w:r>
        <w:rPr>
          <w:highlight w:val="none"/>
          <w:shd w:val="clear" w:color="auto" w:fill="FFFFFF"/>
        </w:rPr>
        <w:t xml:space="preserve">  </w:t>
      </w:r>
      <w:r>
        <w:rPr>
          <w:rFonts w:hint="eastAsia"/>
          <w:highlight w:val="none"/>
          <w:shd w:val="clear" w:color="auto" w:fill="FFFFFF"/>
        </w:rPr>
        <w:t>址：许昌市城乡一体化芙蓉大道芙蓉商务中心</w:t>
      </w:r>
      <w:r>
        <w:rPr>
          <w:highlight w:val="none"/>
          <w:shd w:val="clear" w:color="auto" w:fill="FFFFFF"/>
        </w:rPr>
        <w:t>1</w:t>
      </w:r>
      <w:r>
        <w:rPr>
          <w:rFonts w:hint="eastAsia"/>
          <w:highlight w:val="none"/>
          <w:shd w:val="clear" w:color="auto" w:fill="FFFFFF"/>
        </w:rPr>
        <w:t>号楼</w:t>
      </w:r>
      <w:r>
        <w:rPr>
          <w:highlight w:val="none"/>
          <w:shd w:val="clear" w:color="auto" w:fill="FFFFFF"/>
        </w:rPr>
        <w:t>21</w:t>
      </w:r>
      <w:r>
        <w:rPr>
          <w:rFonts w:hint="eastAsia"/>
          <w:highlight w:val="none"/>
          <w:shd w:val="clear" w:color="auto" w:fill="FFFFFF"/>
        </w:rPr>
        <w:t>楼</w:t>
      </w:r>
    </w:p>
    <w:p>
      <w:pPr>
        <w:pStyle w:val="30"/>
        <w:shd w:val="clear" w:color="auto" w:fill="FFFFFF"/>
        <w:spacing w:before="0" w:beforeAutospacing="0" w:after="0" w:afterAutospacing="0" w:line="400" w:lineRule="exact"/>
        <w:ind w:firstLine="480" w:firstLineChars="200"/>
        <w:rPr>
          <w:highlight w:val="none"/>
          <w:shd w:val="clear" w:color="auto" w:fill="FFFFFF"/>
        </w:rPr>
      </w:pPr>
      <w:r>
        <w:rPr>
          <w:rFonts w:hint="eastAsia"/>
          <w:highlight w:val="none"/>
          <w:shd w:val="clear" w:color="auto" w:fill="FFFFFF"/>
        </w:rPr>
        <w:t>联系人：刘女士</w:t>
      </w:r>
      <w:r>
        <w:rPr>
          <w:highlight w:val="none"/>
          <w:shd w:val="clear" w:color="auto" w:fill="FFFFFF"/>
        </w:rPr>
        <w:t xml:space="preserve">      </w:t>
      </w:r>
      <w:r>
        <w:rPr>
          <w:rFonts w:hint="eastAsia"/>
          <w:highlight w:val="none"/>
          <w:shd w:val="clear" w:color="auto" w:fill="FFFFFF"/>
        </w:rPr>
        <w:t>联系电话：</w:t>
      </w:r>
      <w:r>
        <w:rPr>
          <w:highlight w:val="none"/>
          <w:shd w:val="clear" w:color="auto" w:fill="FFFFFF"/>
        </w:rPr>
        <w:t xml:space="preserve">0374-2219766   </w:t>
      </w:r>
    </w:p>
    <w:p>
      <w:pPr>
        <w:pStyle w:val="30"/>
        <w:shd w:val="clear" w:color="auto" w:fill="FFFFFF"/>
        <w:spacing w:before="0" w:beforeAutospacing="0" w:after="0" w:afterAutospacing="0" w:line="400" w:lineRule="exact"/>
        <w:ind w:right="480"/>
        <w:rPr>
          <w:rFonts w:cs="Times New Roman"/>
          <w:highlight w:val="none"/>
          <w:shd w:val="clear" w:color="auto" w:fill="FFFFFF"/>
        </w:rPr>
      </w:pPr>
    </w:p>
    <w:p>
      <w:pPr>
        <w:pStyle w:val="30"/>
        <w:shd w:val="clear" w:color="auto" w:fill="FFFFFF"/>
        <w:spacing w:before="0" w:beforeAutospacing="0" w:after="0" w:afterAutospacing="0" w:line="400" w:lineRule="exact"/>
        <w:ind w:firstLine="480" w:firstLineChars="200"/>
        <w:jc w:val="right"/>
        <w:rPr>
          <w:rFonts w:cs="Times New Roman"/>
          <w:highlight w:val="none"/>
          <w:shd w:val="clear" w:color="auto" w:fill="FFFFFF"/>
        </w:rPr>
      </w:pPr>
      <w:r>
        <w:rPr>
          <w:rFonts w:hint="eastAsia"/>
          <w:highlight w:val="none"/>
          <w:shd w:val="clear" w:color="auto" w:fill="FFFFFF"/>
        </w:rPr>
        <w:t>许昌魏都投资总公司</w:t>
      </w:r>
    </w:p>
    <w:p>
      <w:pPr>
        <w:jc w:val="right"/>
      </w:pPr>
      <w:r>
        <w:rPr>
          <w:highlight w:val="none"/>
          <w:shd w:val="clear" w:color="auto" w:fill="FFFFFF"/>
        </w:rPr>
        <w:t xml:space="preserve">                                               2018</w:t>
      </w:r>
      <w:r>
        <w:rPr>
          <w:rFonts w:hint="eastAsia"/>
          <w:highlight w:val="none"/>
          <w:shd w:val="clear" w:color="auto" w:fill="FFFFFF"/>
        </w:rPr>
        <w:t>年</w:t>
      </w:r>
      <w:r>
        <w:rPr>
          <w:highlight w:val="none"/>
          <w:shd w:val="clear" w:color="auto" w:fill="FFFFFF"/>
        </w:rPr>
        <w:t>11</w:t>
      </w:r>
      <w:r>
        <w:rPr>
          <w:rFonts w:hint="eastAsia"/>
          <w:highlight w:val="none"/>
          <w:shd w:val="clear" w:color="auto" w:fill="FFFFFF"/>
        </w:rPr>
        <w:t>月</w:t>
      </w:r>
      <w:r>
        <w:rPr>
          <w:rFonts w:hint="eastAsia"/>
          <w:highlight w:val="none"/>
          <w:shd w:val="clear" w:color="auto" w:fill="FFFFFF"/>
          <w:lang w:val="en-US" w:eastAsia="zh-CN"/>
        </w:rPr>
        <w:t>30</w:t>
      </w:r>
      <w:r>
        <w:rPr>
          <w:rFonts w:hint="eastAsia"/>
          <w:highlight w:val="none"/>
          <w:shd w:val="clear" w:color="auto" w:fill="FFFFFF"/>
        </w:rPr>
        <w:t>日</w:t>
      </w:r>
    </w:p>
    <w:p>
      <w:pPr>
        <w:pStyle w:val="30"/>
        <w:shd w:val="clear" w:color="auto" w:fill="FFFFFF"/>
        <w:spacing w:before="0" w:beforeAutospacing="0" w:after="0" w:afterAutospacing="0" w:line="400" w:lineRule="exact"/>
        <w:ind w:firstLine="723" w:firstLineChars="200"/>
        <w:jc w:val="center"/>
        <w:rPr>
          <w:rFonts w:cs="Times New Roman"/>
          <w:highlight w:val="none"/>
          <w:shd w:val="clear" w:color="auto" w:fill="FFFFFF"/>
        </w:rPr>
      </w:pPr>
      <w:r>
        <w:rPr>
          <w:rFonts w:hint="eastAsia"/>
          <w:b/>
          <w:bCs/>
          <w:sz w:val="36"/>
          <w:szCs w:val="36"/>
          <w:highlight w:val="none"/>
        </w:rPr>
        <w:br w:type="page"/>
      </w:r>
      <w:r>
        <w:rPr>
          <w:rFonts w:hint="eastAsia"/>
          <w:b/>
          <w:bCs/>
          <w:sz w:val="36"/>
          <w:szCs w:val="36"/>
          <w:highlight w:val="none"/>
        </w:rPr>
        <w:t>第二章</w:t>
      </w:r>
      <w:r>
        <w:rPr>
          <w:b/>
          <w:bCs/>
          <w:sz w:val="36"/>
          <w:szCs w:val="36"/>
          <w:highlight w:val="none"/>
        </w:rPr>
        <w:t xml:space="preserve"> </w:t>
      </w:r>
      <w:r>
        <w:rPr>
          <w:rFonts w:hint="eastAsia"/>
          <w:b/>
          <w:bCs/>
          <w:sz w:val="36"/>
          <w:szCs w:val="36"/>
          <w:highlight w:val="none"/>
        </w:rPr>
        <w:t>竞争性谈判采购文件基本内容及要求</w:t>
      </w:r>
    </w:p>
    <w:p>
      <w:pPr>
        <w:widowControl/>
        <w:tabs>
          <w:tab w:val="left" w:pos="2161"/>
          <w:tab w:val="center" w:pos="4766"/>
        </w:tabs>
        <w:spacing w:line="400" w:lineRule="atLeast"/>
        <w:ind w:firstLine="422" w:firstLineChars="175"/>
        <w:jc w:val="left"/>
        <w:rPr>
          <w:highlight w:val="none"/>
        </w:rPr>
      </w:pPr>
      <w:r>
        <w:rPr>
          <w:rFonts w:hint="eastAsia" w:ascii="宋体" w:hAnsi="宋体" w:cs="宋体"/>
          <w:b/>
          <w:bCs/>
          <w:sz w:val="24"/>
          <w:szCs w:val="24"/>
          <w:highlight w:val="none"/>
        </w:rPr>
        <w:t>一、基本内容</w:t>
      </w:r>
    </w:p>
    <w:tbl>
      <w:tblPr>
        <w:tblStyle w:val="38"/>
        <w:tblW w:w="9622"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
      <w:tblGrid>
        <w:gridCol w:w="1561"/>
        <w:gridCol w:w="80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471" w:hRule="atLeast"/>
          <w:jc w:val="center"/>
        </w:trPr>
        <w:tc>
          <w:tcPr>
            <w:tcW w:w="1561" w:type="dxa"/>
            <w:tcBorders>
              <w:top w:val="double" w:color="auto" w:sz="4" w:space="0"/>
            </w:tcBorders>
            <w:vAlign w:val="center"/>
          </w:tcPr>
          <w:p>
            <w:pPr>
              <w:widowControl/>
              <w:spacing w:line="300" w:lineRule="auto"/>
              <w:jc w:val="center"/>
              <w:rPr>
                <w:rFonts w:ascii="宋体"/>
                <w:kern w:val="0"/>
                <w:highlight w:val="none"/>
              </w:rPr>
            </w:pPr>
            <w:r>
              <w:rPr>
                <w:rFonts w:hint="eastAsia" w:ascii="宋体" w:hAnsi="宋体" w:cs="宋体"/>
                <w:kern w:val="0"/>
                <w:highlight w:val="none"/>
              </w:rPr>
              <w:t>分项名称</w:t>
            </w:r>
          </w:p>
        </w:tc>
        <w:tc>
          <w:tcPr>
            <w:tcW w:w="8061" w:type="dxa"/>
            <w:tcBorders>
              <w:top w:val="double" w:color="auto" w:sz="4" w:space="0"/>
            </w:tcBorders>
            <w:vAlign w:val="center"/>
          </w:tcPr>
          <w:p>
            <w:pPr>
              <w:widowControl/>
              <w:spacing w:line="300" w:lineRule="auto"/>
              <w:jc w:val="center"/>
              <w:rPr>
                <w:rFonts w:ascii="宋体"/>
                <w:kern w:val="0"/>
                <w:highlight w:val="none"/>
              </w:rPr>
            </w:pPr>
            <w:r>
              <w:rPr>
                <w:rFonts w:hint="eastAsia" w:ascii="宋体" w:hAnsi="宋体" w:cs="宋体"/>
                <w:kern w:val="0"/>
                <w:highlight w:val="none"/>
              </w:rPr>
              <w:t>详细内容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90"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采购人</w:t>
            </w:r>
          </w:p>
        </w:tc>
        <w:tc>
          <w:tcPr>
            <w:tcW w:w="8061" w:type="dxa"/>
            <w:vAlign w:val="center"/>
          </w:tcPr>
          <w:p>
            <w:pPr>
              <w:spacing w:line="300" w:lineRule="auto"/>
              <w:rPr>
                <w:rFonts w:ascii="宋体"/>
                <w:highlight w:val="none"/>
              </w:rPr>
            </w:pPr>
            <w:r>
              <w:rPr>
                <w:rFonts w:hint="eastAsia" w:ascii="宋体" w:hAnsi="宋体" w:cs="宋体"/>
                <w:highlight w:val="none"/>
              </w:rPr>
              <w:t>许昌魏都投资总公司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253"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项目名称</w:t>
            </w:r>
          </w:p>
        </w:tc>
        <w:tc>
          <w:tcPr>
            <w:tcW w:w="8061" w:type="dxa"/>
            <w:vAlign w:val="center"/>
          </w:tcPr>
          <w:p>
            <w:pPr>
              <w:spacing w:line="300" w:lineRule="auto"/>
              <w:rPr>
                <w:rFonts w:ascii="宋体"/>
                <w:highlight w:val="none"/>
              </w:rPr>
            </w:pPr>
            <w:r>
              <w:rPr>
                <w:rFonts w:hint="eastAsia" w:ascii="宋体" w:hAnsi="宋体" w:cs="宋体"/>
                <w:highlight w:val="none"/>
                <w:shd w:val="clear" w:color="auto" w:fill="FFFFFF"/>
              </w:rPr>
              <w:t>许昌魏都投资总公司为许昌魏轩园林绿化咨询建设管理有限公司采购第三方合作机构项目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253"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项目编号</w:t>
            </w:r>
          </w:p>
        </w:tc>
        <w:tc>
          <w:tcPr>
            <w:tcW w:w="8061" w:type="dxa"/>
            <w:vAlign w:val="center"/>
          </w:tcPr>
          <w:p>
            <w:pPr>
              <w:spacing w:line="300" w:lineRule="auto"/>
              <w:rPr>
                <w:rFonts w:ascii="宋体"/>
                <w:highlight w:val="none"/>
              </w:rPr>
            </w:pPr>
            <w:r>
              <w:rPr>
                <w:rFonts w:hint="eastAsia" w:ascii="宋体"/>
                <w:highlight w:val="none"/>
                <w:lang w:val="en-US" w:eastAsia="zh-CN"/>
              </w:rPr>
              <w:t>魏采竞谈-2018036号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253"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代理机构</w:t>
            </w:r>
          </w:p>
        </w:tc>
        <w:tc>
          <w:tcPr>
            <w:tcW w:w="8061" w:type="dxa"/>
            <w:vAlign w:val="center"/>
          </w:tcPr>
          <w:p>
            <w:pPr>
              <w:spacing w:line="300" w:lineRule="auto"/>
              <w:rPr>
                <w:rFonts w:ascii="宋体"/>
                <w:highlight w:val="none"/>
              </w:rPr>
            </w:pPr>
            <w:r>
              <w:rPr>
                <w:rFonts w:hint="eastAsia" w:ascii="宋体" w:hAnsi="宋体" w:cs="宋体"/>
                <w:highlight w:val="none"/>
              </w:rPr>
              <w:t>河南招标采购服务有限公司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253"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采购方式</w:t>
            </w:r>
          </w:p>
        </w:tc>
        <w:tc>
          <w:tcPr>
            <w:tcW w:w="8061" w:type="dxa"/>
            <w:vAlign w:val="center"/>
          </w:tcPr>
          <w:p>
            <w:pPr>
              <w:spacing w:line="300" w:lineRule="auto"/>
              <w:rPr>
                <w:rFonts w:ascii="宋体"/>
                <w:highlight w:val="none"/>
              </w:rPr>
            </w:pPr>
            <w:r>
              <w:rPr>
                <w:rFonts w:hint="eastAsia" w:ascii="宋体" w:hAnsi="宋体" w:cs="宋体"/>
                <w:highlight w:val="none"/>
              </w:rPr>
              <w:t>竞争性谈判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1339"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合格供应商</w:t>
            </w:r>
          </w:p>
          <w:p>
            <w:pPr>
              <w:widowControl/>
              <w:spacing w:line="300" w:lineRule="auto"/>
              <w:jc w:val="center"/>
              <w:rPr>
                <w:rFonts w:ascii="宋体"/>
                <w:kern w:val="0"/>
                <w:highlight w:val="none"/>
              </w:rPr>
            </w:pPr>
            <w:r>
              <w:rPr>
                <w:rFonts w:hint="eastAsia" w:ascii="宋体" w:hAnsi="宋体" w:cs="宋体"/>
                <w:highlight w:val="none"/>
              </w:rPr>
              <w:t>的资格条件</w:t>
            </w:r>
          </w:p>
        </w:tc>
        <w:tc>
          <w:tcPr>
            <w:tcW w:w="8061" w:type="dxa"/>
            <w:vAlign w:val="center"/>
          </w:tcPr>
          <w:p>
            <w:pPr>
              <w:spacing w:line="300" w:lineRule="auto"/>
              <w:rPr>
                <w:rFonts w:ascii="宋体"/>
                <w:highlight w:val="none"/>
              </w:rPr>
            </w:pPr>
            <w:r>
              <w:rPr>
                <w:rFonts w:ascii="宋体" w:hAnsi="宋体" w:cs="宋体"/>
                <w:highlight w:val="none"/>
              </w:rPr>
              <w:t>1</w:t>
            </w:r>
            <w:r>
              <w:rPr>
                <w:rFonts w:hint="eastAsia" w:ascii="宋体" w:hAnsi="宋体" w:cs="宋体"/>
                <w:highlight w:val="none"/>
              </w:rPr>
              <w:t>、具备《中华人民共和国政府采购法》第二十二条规定条件并提供相关材料。</w:t>
            </w:r>
          </w:p>
          <w:p>
            <w:pPr>
              <w:spacing w:line="300" w:lineRule="auto"/>
              <w:rPr>
                <w:rFonts w:ascii="宋体"/>
                <w:highlight w:val="none"/>
              </w:rPr>
            </w:pPr>
            <w:r>
              <w:rPr>
                <w:rFonts w:ascii="宋体" w:hAnsi="宋体" w:cs="宋体"/>
                <w:highlight w:val="none"/>
              </w:rPr>
              <w:t>2</w:t>
            </w:r>
            <w:r>
              <w:rPr>
                <w:rFonts w:hint="eastAsia" w:ascii="宋体" w:hAnsi="宋体" w:cs="宋体"/>
                <w:highlight w:val="none"/>
              </w:rPr>
              <w:t>、一标段：投标人须具有有效的营业执照，且营业执照经营范围含有园林绿化。</w:t>
            </w:r>
          </w:p>
          <w:p>
            <w:pPr>
              <w:spacing w:line="300" w:lineRule="auto"/>
              <w:rPr>
                <w:rFonts w:ascii="宋体"/>
                <w:highlight w:val="none"/>
              </w:rPr>
            </w:pPr>
            <w:r>
              <w:rPr>
                <w:rFonts w:hint="eastAsia" w:ascii="宋体" w:hAnsi="宋体" w:cs="宋体"/>
                <w:highlight w:val="none"/>
              </w:rPr>
              <w:t>二标段：投标人须具备具有建设行政主管部门颁发的工程监理综合资质或市政公用工程专业监理丙级及以上资质；拟派项目总监具备市政公用工程专业注册监理工程师资格，且必须是本单位在册职工。</w:t>
            </w:r>
          </w:p>
          <w:p>
            <w:pPr>
              <w:spacing w:line="300" w:lineRule="auto"/>
              <w:rPr>
                <w:rFonts w:ascii="宋体"/>
                <w:highlight w:val="none"/>
              </w:rPr>
            </w:pPr>
            <w:r>
              <w:rPr>
                <w:rFonts w:ascii="宋体" w:hAnsi="宋体" w:cs="宋体"/>
                <w:highlight w:val="none"/>
              </w:rPr>
              <w:t>3</w:t>
            </w:r>
            <w:r>
              <w:rPr>
                <w:rFonts w:hint="eastAsia" w:ascii="宋体" w:hAnsi="宋体" w:cs="宋体"/>
                <w:highlight w:val="none"/>
              </w:rPr>
              <w:t>、参加本次采购活动的供应商，在近三年内经营活动中没有重大违法记录，供应商须自行承诺；</w:t>
            </w:r>
          </w:p>
          <w:p>
            <w:pPr>
              <w:spacing w:line="300" w:lineRule="auto"/>
              <w:rPr>
                <w:rFonts w:ascii="宋体"/>
                <w:highlight w:val="none"/>
              </w:rPr>
            </w:pPr>
            <w:r>
              <w:rPr>
                <w:rFonts w:ascii="宋体" w:hAnsi="宋体" w:cs="宋体"/>
                <w:highlight w:val="none"/>
              </w:rPr>
              <w:t>4</w:t>
            </w:r>
            <w:r>
              <w:rPr>
                <w:rFonts w:hint="eastAsia" w:ascii="宋体" w:hAnsi="宋体" w:cs="宋体"/>
                <w:highlight w:val="none"/>
              </w:rPr>
              <w:t>、近三年</w:t>
            </w:r>
            <w:r>
              <w:rPr>
                <w:rFonts w:ascii="宋体" w:hAnsi="宋体" w:cs="宋体"/>
                <w:highlight w:val="none"/>
              </w:rPr>
              <w:t>(2015</w:t>
            </w:r>
            <w:r>
              <w:rPr>
                <w:rFonts w:hint="eastAsia" w:ascii="宋体" w:hAnsi="宋体" w:cs="宋体"/>
                <w:highlight w:val="none"/>
              </w:rPr>
              <w:t>年至今）在“信用中国”网站</w:t>
            </w:r>
            <w:r>
              <w:rPr>
                <w:rFonts w:ascii="宋体" w:hAnsi="宋体" w:cs="宋体"/>
                <w:highlight w:val="none"/>
              </w:rPr>
              <w:t>(www.creditchina.gov.cn</w:t>
            </w:r>
            <w:r>
              <w:rPr>
                <w:rFonts w:hint="eastAsia" w:ascii="宋体" w:hAnsi="宋体" w:cs="宋体"/>
                <w:highlight w:val="none"/>
              </w:rPr>
              <w:t>）和“中国政府采购网”</w:t>
            </w:r>
            <w:r>
              <w:rPr>
                <w:rFonts w:ascii="宋体" w:hAnsi="宋体" w:cs="宋体"/>
                <w:highlight w:val="none"/>
              </w:rPr>
              <w:t>(www.ccgp.gov.cn</w:t>
            </w:r>
            <w:r>
              <w:rPr>
                <w:rFonts w:hint="eastAsia" w:ascii="宋体" w:hAnsi="宋体" w:cs="宋体"/>
                <w:highlight w:val="none"/>
              </w:rPr>
              <w:t>）上未被列入失信被执行人、重大税收违法案件当事人名单、政府采购严重违法失信行为记录名单等不良行为记录；</w:t>
            </w:r>
            <w:r>
              <w:rPr>
                <w:rFonts w:ascii="宋体" w:hAnsi="宋体" w:cs="宋体"/>
                <w:highlight w:val="none"/>
              </w:rPr>
              <w:t>(</w:t>
            </w:r>
            <w:r>
              <w:rPr>
                <w:rFonts w:hint="eastAsia" w:ascii="宋体" w:hAnsi="宋体" w:cs="宋体"/>
                <w:highlight w:val="none"/>
              </w:rPr>
              <w:t>提供网页截图并加盖公章）；</w:t>
            </w:r>
          </w:p>
          <w:p>
            <w:pPr>
              <w:spacing w:line="300" w:lineRule="auto"/>
              <w:rPr>
                <w:rFonts w:ascii="宋体"/>
                <w:highlight w:val="none"/>
              </w:rPr>
            </w:pPr>
            <w:r>
              <w:rPr>
                <w:rFonts w:ascii="宋体" w:hAnsi="宋体" w:cs="宋体"/>
                <w:highlight w:val="none"/>
              </w:rPr>
              <w:t>5</w:t>
            </w:r>
            <w:r>
              <w:rPr>
                <w:rFonts w:hint="eastAsia" w:ascii="宋体" w:hAnsi="宋体" w:cs="宋体"/>
                <w:highlight w:val="none"/>
              </w:rPr>
              <w:t>、供应商可以对多个标段进行投标，但只能按先后顺序中取一个标段。</w:t>
            </w:r>
          </w:p>
          <w:p>
            <w:pPr>
              <w:spacing w:line="300" w:lineRule="auto"/>
              <w:rPr>
                <w:rFonts w:ascii="宋体"/>
                <w:highlight w:val="none"/>
              </w:rPr>
            </w:pPr>
            <w:r>
              <w:rPr>
                <w:rFonts w:ascii="宋体" w:hAnsi="宋体" w:cs="宋体"/>
                <w:highlight w:val="none"/>
              </w:rPr>
              <w:t>6</w:t>
            </w:r>
            <w:r>
              <w:rPr>
                <w:rFonts w:hint="eastAsia" w:ascii="宋体" w:hAnsi="宋体" w:cs="宋体"/>
                <w:highlight w:val="none"/>
              </w:rPr>
              <w:t>、本次招标不接受联合体参加谈判。</w:t>
            </w:r>
            <w:r>
              <w:rPr>
                <w:rFonts w:ascii="宋体" w:hAnsi="宋体" w:cs="宋体"/>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372"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采购范围</w:t>
            </w:r>
          </w:p>
        </w:tc>
        <w:tc>
          <w:tcPr>
            <w:tcW w:w="8061" w:type="dxa"/>
            <w:vAlign w:val="center"/>
          </w:tcPr>
          <w:p>
            <w:pPr>
              <w:spacing w:line="300" w:lineRule="auto"/>
              <w:rPr>
                <w:rFonts w:ascii="宋体"/>
                <w:highlight w:val="none"/>
              </w:rPr>
            </w:pPr>
            <w:r>
              <w:rPr>
                <w:rFonts w:hint="eastAsia" w:ascii="宋体" w:hAnsi="宋体" w:cs="宋体"/>
                <w:highlight w:val="none"/>
              </w:rPr>
              <w:t>项目需求：本项目共分为二个标段（详见竞争性谈判采购文件）。</w:t>
            </w:r>
          </w:p>
          <w:p>
            <w:pPr>
              <w:spacing w:line="300" w:lineRule="auto"/>
              <w:ind w:firstLine="420" w:firstLineChars="200"/>
              <w:rPr>
                <w:rFonts w:ascii="宋体"/>
                <w:highlight w:val="none"/>
              </w:rPr>
            </w:pPr>
            <w:r>
              <w:rPr>
                <w:rFonts w:hint="eastAsia" w:ascii="宋体" w:hAnsi="宋体" w:cs="宋体"/>
                <w:highlight w:val="none"/>
              </w:rPr>
              <w:t>通过本次采购选定第三方服务机构作为许昌魏轩园林绿化咨询建设管理有限公司的合作伙伴，围绕许昌魏轩园林绿化咨询建设管理有限公司业务开展进行合作服务。</w:t>
            </w:r>
          </w:p>
          <w:p>
            <w:pPr>
              <w:spacing w:line="300" w:lineRule="auto"/>
              <w:ind w:firstLine="420" w:firstLineChars="200"/>
              <w:rPr>
                <w:rFonts w:ascii="宋体"/>
                <w:highlight w:val="none"/>
              </w:rPr>
            </w:pPr>
            <w:r>
              <w:rPr>
                <w:rFonts w:hint="eastAsia" w:ascii="宋体" w:hAnsi="宋体" w:cs="宋体"/>
                <w:highlight w:val="none"/>
              </w:rPr>
              <w:t>一标段：选定</w:t>
            </w:r>
            <w:r>
              <w:rPr>
                <w:rFonts w:ascii="宋体" w:hAnsi="宋体" w:cs="宋体"/>
                <w:highlight w:val="none"/>
              </w:rPr>
              <w:t>3</w:t>
            </w:r>
            <w:r>
              <w:rPr>
                <w:rFonts w:hint="eastAsia" w:ascii="宋体" w:hAnsi="宋体" w:cs="宋体"/>
                <w:highlight w:val="none"/>
              </w:rPr>
              <w:t>家苗木供应公司，为许昌魏轩园林绿化咨询建设管理有限公司提供苗木供应相关服务，负责苗木供应及配套服务（具体以实际委托为准）。</w:t>
            </w:r>
          </w:p>
          <w:p>
            <w:pPr>
              <w:spacing w:line="300" w:lineRule="auto"/>
              <w:ind w:firstLine="420" w:firstLineChars="200"/>
              <w:rPr>
                <w:rFonts w:ascii="宋体"/>
                <w:highlight w:val="none"/>
              </w:rPr>
            </w:pPr>
            <w:r>
              <w:rPr>
                <w:rFonts w:hint="eastAsia" w:ascii="宋体" w:hAnsi="宋体" w:cs="宋体"/>
                <w:highlight w:val="none"/>
              </w:rPr>
              <w:t>二标段：选定</w:t>
            </w:r>
            <w:r>
              <w:rPr>
                <w:rFonts w:ascii="宋体" w:hAnsi="宋体" w:cs="宋体"/>
                <w:highlight w:val="none"/>
              </w:rPr>
              <w:t>2</w:t>
            </w:r>
            <w:r>
              <w:rPr>
                <w:rFonts w:hint="eastAsia" w:ascii="宋体" w:hAnsi="宋体" w:cs="宋体"/>
                <w:highlight w:val="none"/>
              </w:rPr>
              <w:t>家监理公司，为许昌魏轩园林绿化咨询建设管理有限公司提供监理服务，负责全过程监理服务（具体以实际委托为准）。</w:t>
            </w:r>
            <w:r>
              <w:rPr>
                <w:rFonts w:ascii="宋体"/>
                <w:highlight w:val="none"/>
              </w:rPr>
              <w:br w:type="textWrapping"/>
            </w:r>
            <w:r>
              <w:rPr>
                <w:rFonts w:hint="eastAsia" w:ascii="宋体" w:hAnsi="宋体" w:cs="宋体"/>
                <w:b/>
                <w:bCs/>
                <w:highlight w:val="none"/>
              </w:rPr>
              <w:t>一、二标段谈判供应商均需委派两名专业人员针对本项目提供即时咨询服务，须在谈判响应文件中作出承诺，并提供人员姓名、联系方式。中标候选人入库后，须向采购人递交，对本项目组织的服务团队一览表及服务方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372"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服务期限</w:t>
            </w:r>
          </w:p>
        </w:tc>
        <w:tc>
          <w:tcPr>
            <w:tcW w:w="8061" w:type="dxa"/>
            <w:vAlign w:val="center"/>
          </w:tcPr>
          <w:p>
            <w:pPr>
              <w:pStyle w:val="23"/>
              <w:spacing w:after="0" w:line="360" w:lineRule="auto"/>
              <w:ind w:left="0" w:leftChars="0"/>
              <w:rPr>
                <w:rFonts w:ascii="宋体"/>
                <w:highlight w:val="none"/>
              </w:rPr>
            </w:pPr>
            <w:r>
              <w:rPr>
                <w:rFonts w:hint="eastAsia" w:ascii="宋体" w:hAnsi="宋体" w:cs="宋体"/>
                <w:highlight w:val="none"/>
              </w:rPr>
              <w:t>自合同签订之日起两年。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90"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谈判文件获取</w:t>
            </w:r>
          </w:p>
        </w:tc>
        <w:tc>
          <w:tcPr>
            <w:tcW w:w="8061" w:type="dxa"/>
            <w:vAlign w:val="center"/>
          </w:tcPr>
          <w:p>
            <w:pPr>
              <w:spacing w:line="300" w:lineRule="auto"/>
              <w:rPr>
                <w:rFonts w:ascii="宋体"/>
                <w:highlight w:val="none"/>
              </w:rPr>
            </w:pPr>
            <w:r>
              <w:rPr>
                <w:rFonts w:ascii="宋体" w:hAnsi="宋体" w:cs="宋体"/>
                <w:highlight w:val="none"/>
              </w:rPr>
              <w:t>1</w:t>
            </w:r>
            <w:r>
              <w:rPr>
                <w:rFonts w:hint="eastAsia" w:ascii="宋体" w:hAnsi="宋体" w:cs="宋体"/>
                <w:highlight w:val="none"/>
              </w:rPr>
              <w:t>、凡有意参加的合格潜在供应商，请2018年11月</w:t>
            </w:r>
            <w:r>
              <w:rPr>
                <w:rFonts w:hint="eastAsia" w:ascii="宋体" w:hAnsi="宋体" w:cs="宋体"/>
                <w:highlight w:val="none"/>
                <w:lang w:val="en-US" w:eastAsia="zh-CN"/>
              </w:rPr>
              <w:t>30</w:t>
            </w:r>
            <w:r>
              <w:rPr>
                <w:rFonts w:hint="eastAsia" w:ascii="宋体" w:hAnsi="宋体" w:cs="宋体"/>
                <w:highlight w:val="none"/>
              </w:rPr>
              <w:t>日—2018年1</w:t>
            </w:r>
            <w:r>
              <w:rPr>
                <w:rFonts w:hint="eastAsia" w:ascii="宋体" w:hAnsi="宋体" w:cs="宋体"/>
                <w:highlight w:val="none"/>
                <w:lang w:val="en-US" w:eastAsia="zh-CN"/>
              </w:rPr>
              <w:t>2</w:t>
            </w:r>
            <w:r>
              <w:rPr>
                <w:rFonts w:hint="eastAsia" w:ascii="宋体" w:hAnsi="宋体" w:cs="宋体"/>
                <w:highlight w:val="none"/>
              </w:rPr>
              <w:t xml:space="preserve">月 </w:t>
            </w:r>
            <w:r>
              <w:rPr>
                <w:rFonts w:hint="eastAsia" w:ascii="宋体" w:hAnsi="宋体" w:cs="宋体"/>
                <w:highlight w:val="none"/>
                <w:lang w:val="en-US" w:eastAsia="zh-CN"/>
              </w:rPr>
              <w:t>5</w:t>
            </w:r>
            <w:r>
              <w:rPr>
                <w:rFonts w:hint="eastAsia" w:ascii="宋体" w:hAnsi="宋体" w:cs="宋体"/>
                <w:highlight w:val="none"/>
              </w:rPr>
              <w:t>日每天上午</w:t>
            </w:r>
            <w:r>
              <w:rPr>
                <w:rFonts w:ascii="宋体" w:hAnsi="宋体" w:cs="宋体"/>
                <w:highlight w:val="none"/>
              </w:rPr>
              <w:t>9:00-12:00</w:t>
            </w:r>
            <w:r>
              <w:rPr>
                <w:rFonts w:hint="eastAsia" w:ascii="宋体" w:hAnsi="宋体" w:cs="宋体"/>
                <w:highlight w:val="none"/>
              </w:rPr>
              <w:t>，</w:t>
            </w:r>
            <w:r>
              <w:rPr>
                <w:rFonts w:ascii="宋体" w:hAnsi="宋体" w:cs="宋体"/>
                <w:highlight w:val="none"/>
              </w:rPr>
              <w:t>14:00-17:00</w:t>
            </w:r>
            <w:r>
              <w:rPr>
                <w:rFonts w:hint="eastAsia" w:ascii="宋体" w:hAnsi="宋体" w:cs="宋体"/>
                <w:highlight w:val="none"/>
              </w:rPr>
              <w:t>（北京时间，节假日除外），在许昌市城乡一体化芙蓉大道芙蓉商务中心</w:t>
            </w:r>
            <w:r>
              <w:rPr>
                <w:rFonts w:ascii="宋体" w:hAnsi="宋体" w:cs="宋体"/>
                <w:highlight w:val="none"/>
              </w:rPr>
              <w:t>1</w:t>
            </w:r>
            <w:r>
              <w:rPr>
                <w:rFonts w:hint="eastAsia" w:ascii="宋体" w:hAnsi="宋体" w:cs="宋体"/>
                <w:highlight w:val="none"/>
              </w:rPr>
              <w:t>号楼</w:t>
            </w:r>
            <w:r>
              <w:rPr>
                <w:rFonts w:ascii="宋体" w:hAnsi="宋体" w:cs="宋体"/>
                <w:highlight w:val="none"/>
              </w:rPr>
              <w:t>21</w:t>
            </w:r>
            <w:r>
              <w:rPr>
                <w:rFonts w:hint="eastAsia" w:ascii="宋体" w:hAnsi="宋体" w:cs="宋体"/>
                <w:highlight w:val="none"/>
              </w:rPr>
              <w:t>楼</w:t>
            </w:r>
            <w:r>
              <w:rPr>
                <w:rFonts w:ascii="宋体" w:hAnsi="宋体" w:cs="宋体"/>
                <w:highlight w:val="none"/>
              </w:rPr>
              <w:t>2102</w:t>
            </w:r>
            <w:r>
              <w:rPr>
                <w:rFonts w:hint="eastAsia" w:ascii="宋体" w:hAnsi="宋体" w:cs="宋体"/>
                <w:highlight w:val="none"/>
              </w:rPr>
              <w:t>室进行报名并购买招标文件。</w:t>
            </w:r>
          </w:p>
          <w:p>
            <w:pPr>
              <w:spacing w:line="300" w:lineRule="auto"/>
              <w:rPr>
                <w:rFonts w:ascii="宋体"/>
                <w:highlight w:val="none"/>
              </w:rPr>
            </w:pPr>
            <w:r>
              <w:rPr>
                <w:rFonts w:ascii="宋体" w:hAnsi="宋体" w:cs="宋体"/>
                <w:highlight w:val="none"/>
              </w:rPr>
              <w:t>2</w:t>
            </w:r>
            <w:r>
              <w:rPr>
                <w:rFonts w:hint="eastAsia" w:ascii="宋体" w:hAnsi="宋体" w:cs="宋体"/>
                <w:highlight w:val="none"/>
              </w:rPr>
              <w:t>、报名时需提交法定代表人身份证明或法定代表人授权委托书、被授权人有效的身份证、三证合一的营业执照（复印件）等资格要求所涉及的相关资料</w:t>
            </w:r>
            <w:r>
              <w:rPr>
                <w:rFonts w:ascii="宋体" w:cs="宋体"/>
                <w:highlight w:val="none"/>
              </w:rPr>
              <w:t>,</w:t>
            </w:r>
            <w:r>
              <w:rPr>
                <w:rFonts w:hint="eastAsia" w:ascii="宋体" w:hAnsi="宋体" w:cs="宋体"/>
                <w:highlight w:val="none"/>
              </w:rPr>
              <w:t>以上证件均须提供原件接受查验，并提供加盖公章的复印件二套。</w:t>
            </w:r>
          </w:p>
          <w:p>
            <w:pPr>
              <w:spacing w:line="300" w:lineRule="auto"/>
              <w:rPr>
                <w:rFonts w:ascii="宋体"/>
                <w:highlight w:val="none"/>
              </w:rPr>
            </w:pPr>
            <w:r>
              <w:rPr>
                <w:rFonts w:ascii="宋体" w:hAnsi="宋体" w:cs="宋体"/>
                <w:highlight w:val="none"/>
              </w:rPr>
              <w:t>3</w:t>
            </w:r>
            <w:r>
              <w:rPr>
                <w:rFonts w:hint="eastAsia" w:ascii="宋体" w:hAnsi="宋体" w:cs="宋体"/>
                <w:highlight w:val="none"/>
              </w:rPr>
              <w:t>、谈判文件售价：人民币</w:t>
            </w:r>
            <w:r>
              <w:rPr>
                <w:rFonts w:ascii="宋体" w:hAnsi="宋体" w:cs="宋体"/>
                <w:highlight w:val="none"/>
              </w:rPr>
              <w:t>300</w:t>
            </w:r>
            <w:r>
              <w:rPr>
                <w:rFonts w:hint="eastAsia" w:ascii="宋体" w:hAnsi="宋体" w:cs="宋体"/>
                <w:highlight w:val="none"/>
              </w:rPr>
              <w:t>元</w:t>
            </w:r>
            <w:r>
              <w:rPr>
                <w:rFonts w:ascii="宋体" w:hAnsi="宋体" w:cs="宋体"/>
                <w:highlight w:val="none"/>
              </w:rPr>
              <w:t>/</w:t>
            </w:r>
            <w:r>
              <w:rPr>
                <w:rFonts w:hint="eastAsia" w:ascii="宋体" w:hAnsi="宋体" w:cs="宋体"/>
                <w:highlight w:val="none"/>
              </w:rPr>
              <w:t>标段。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312"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谈判响应文件</w:t>
            </w:r>
          </w:p>
        </w:tc>
        <w:tc>
          <w:tcPr>
            <w:tcW w:w="8061" w:type="dxa"/>
            <w:vAlign w:val="center"/>
          </w:tcPr>
          <w:p>
            <w:pPr>
              <w:spacing w:line="300" w:lineRule="auto"/>
              <w:rPr>
                <w:rFonts w:ascii="宋体"/>
                <w:highlight w:val="none"/>
              </w:rPr>
            </w:pPr>
            <w:r>
              <w:rPr>
                <w:rFonts w:ascii="宋体" w:hAnsi="宋体" w:cs="宋体"/>
                <w:highlight w:val="none"/>
              </w:rPr>
              <w:t>1.</w:t>
            </w:r>
            <w:r>
              <w:rPr>
                <w:rFonts w:hint="eastAsia" w:ascii="宋体" w:hAnsi="宋体" w:cs="宋体"/>
                <w:highlight w:val="none"/>
              </w:rPr>
              <w:t>正本份数：壹份；副本份数：叁份。按具体要求密封、签署、盖章。</w:t>
            </w:r>
          </w:p>
          <w:p>
            <w:pPr>
              <w:spacing w:line="300" w:lineRule="auto"/>
              <w:rPr>
                <w:rFonts w:ascii="宋体"/>
                <w:highlight w:val="none"/>
              </w:rPr>
            </w:pPr>
            <w:r>
              <w:rPr>
                <w:rFonts w:ascii="宋体" w:hAnsi="宋体" w:cs="宋体"/>
                <w:highlight w:val="none"/>
              </w:rPr>
              <w:t>2.</w:t>
            </w:r>
            <w:r>
              <w:rPr>
                <w:rFonts w:hint="eastAsia" w:ascii="宋体" w:hAnsi="宋体" w:cs="宋体"/>
                <w:highlight w:val="none"/>
              </w:rPr>
              <w:t>纸质版谈判响应文件需按谈判文件的格式，在规定签字的地方签字，在规定盖章的地方盖章（单位公章）。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342" w:hRule="atLeast"/>
          <w:jc w:val="center"/>
        </w:trPr>
        <w:tc>
          <w:tcPr>
            <w:tcW w:w="1561" w:type="dxa"/>
            <w:vAlign w:val="center"/>
          </w:tcPr>
          <w:p>
            <w:pPr>
              <w:spacing w:line="300" w:lineRule="auto"/>
              <w:ind w:left="-199" w:leftChars="-95" w:right="-134" w:rightChars="-64"/>
              <w:jc w:val="center"/>
              <w:rPr>
                <w:rFonts w:ascii="宋体"/>
                <w:highlight w:val="none"/>
              </w:rPr>
            </w:pPr>
            <w:r>
              <w:rPr>
                <w:rFonts w:hint="eastAsia" w:ascii="宋体" w:hAnsi="宋体" w:cs="宋体"/>
                <w:highlight w:val="none"/>
              </w:rPr>
              <w:t>谈判响应文件递交地点</w:t>
            </w:r>
          </w:p>
        </w:tc>
        <w:tc>
          <w:tcPr>
            <w:tcW w:w="8061" w:type="dxa"/>
            <w:vAlign w:val="center"/>
          </w:tcPr>
          <w:p>
            <w:pPr>
              <w:spacing w:line="300" w:lineRule="auto"/>
              <w:rPr>
                <w:rFonts w:ascii="宋体"/>
                <w:highlight w:val="none"/>
              </w:rPr>
            </w:pPr>
            <w:r>
              <w:rPr>
                <w:rFonts w:hint="eastAsia" w:ascii="宋体" w:hAnsi="宋体" w:cs="宋体"/>
                <w:highlight w:val="none"/>
              </w:rPr>
              <w:t>许昌市天宝路魏都区政府办公楼</w:t>
            </w:r>
            <w:r>
              <w:rPr>
                <w:rFonts w:ascii="宋体" w:hAnsi="宋体" w:cs="宋体"/>
                <w:highlight w:val="none"/>
              </w:rPr>
              <w:t>5</w:t>
            </w:r>
            <w:r>
              <w:rPr>
                <w:rFonts w:hint="eastAsia" w:ascii="宋体" w:hAnsi="宋体" w:cs="宋体"/>
                <w:highlight w:val="none"/>
              </w:rPr>
              <w:t>楼</w:t>
            </w:r>
            <w:r>
              <w:rPr>
                <w:rFonts w:hint="eastAsia" w:ascii="宋体" w:hAnsi="宋体" w:cs="宋体"/>
                <w:highlight w:val="none"/>
                <w:lang w:val="en-US" w:eastAsia="zh-CN"/>
              </w:rPr>
              <w:t>530</w:t>
            </w:r>
            <w:r>
              <w:rPr>
                <w:rFonts w:hint="eastAsia" w:ascii="宋体" w:hAnsi="宋体" w:cs="宋体"/>
                <w:highlight w:val="none"/>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357" w:hRule="atLeast"/>
          <w:jc w:val="center"/>
        </w:trPr>
        <w:tc>
          <w:tcPr>
            <w:tcW w:w="1561" w:type="dxa"/>
            <w:vAlign w:val="center"/>
          </w:tcPr>
          <w:p>
            <w:pPr>
              <w:spacing w:line="300" w:lineRule="auto"/>
              <w:ind w:left="-199" w:leftChars="-95" w:right="-134" w:rightChars="-64"/>
              <w:jc w:val="center"/>
              <w:rPr>
                <w:rFonts w:ascii="宋体"/>
                <w:highlight w:val="none"/>
              </w:rPr>
            </w:pPr>
            <w:r>
              <w:rPr>
                <w:rFonts w:hint="eastAsia" w:ascii="宋体" w:hAnsi="宋体" w:cs="宋体"/>
                <w:highlight w:val="none"/>
              </w:rPr>
              <w:t>谈判截止时间</w:t>
            </w:r>
          </w:p>
        </w:tc>
        <w:tc>
          <w:tcPr>
            <w:tcW w:w="8061" w:type="dxa"/>
            <w:vAlign w:val="center"/>
          </w:tcPr>
          <w:p>
            <w:pPr>
              <w:spacing w:line="300" w:lineRule="auto"/>
              <w:rPr>
                <w:rFonts w:ascii="宋体"/>
                <w:highlight w:val="none"/>
              </w:rPr>
            </w:pPr>
            <w:r>
              <w:rPr>
                <w:rFonts w:hint="eastAsia" w:ascii="宋体" w:hAnsi="宋体" w:cs="宋体"/>
                <w:highlight w:val="none"/>
              </w:rPr>
              <w:t>谈判文件接收截止时间及谈判时间：</w:t>
            </w:r>
            <w:r>
              <w:rPr>
                <w:rFonts w:ascii="宋体" w:hAnsi="宋体" w:cs="宋体"/>
                <w:highlight w:val="none"/>
              </w:rPr>
              <w:t>2018</w:t>
            </w:r>
            <w:r>
              <w:rPr>
                <w:rFonts w:hint="eastAsia" w:ascii="宋体" w:hAnsi="宋体" w:cs="宋体"/>
                <w:highlight w:val="none"/>
              </w:rPr>
              <w:t>年</w:t>
            </w:r>
            <w:r>
              <w:rPr>
                <w:rFonts w:ascii="宋体" w:hAnsi="宋体" w:cs="宋体"/>
                <w:highlight w:val="none"/>
              </w:rPr>
              <w:t>12</w:t>
            </w:r>
            <w:r>
              <w:rPr>
                <w:rFonts w:hint="eastAsia" w:ascii="宋体" w:hAnsi="宋体" w:cs="宋体"/>
                <w:highlight w:val="none"/>
              </w:rPr>
              <w:t>月</w:t>
            </w:r>
            <w:r>
              <w:rPr>
                <w:rFonts w:hint="eastAsia" w:ascii="宋体" w:hAnsi="宋体" w:cs="宋体"/>
                <w:highlight w:val="none"/>
                <w:lang w:val="en-US" w:eastAsia="zh-CN"/>
              </w:rPr>
              <w:t>6</w:t>
            </w:r>
            <w:r>
              <w:rPr>
                <w:rFonts w:hint="eastAsia" w:ascii="宋体" w:hAnsi="宋体" w:cs="宋体"/>
                <w:highlight w:val="none"/>
              </w:rPr>
              <w:t>日</w:t>
            </w:r>
            <w:r>
              <w:rPr>
                <w:rFonts w:hint="eastAsia" w:ascii="宋体" w:hAnsi="宋体" w:cs="宋体"/>
                <w:highlight w:val="none"/>
                <w:lang w:val="en-US" w:eastAsia="zh-CN"/>
              </w:rPr>
              <w:t>15</w:t>
            </w:r>
            <w:r>
              <w:rPr>
                <w:rFonts w:ascii="宋体" w:hAnsi="宋体" w:cs="宋体"/>
                <w:highlight w:val="none"/>
              </w:rPr>
              <w:t xml:space="preserve"> </w:t>
            </w:r>
            <w:r>
              <w:rPr>
                <w:rFonts w:hint="eastAsia" w:ascii="宋体" w:hAnsi="宋体" w:cs="宋体"/>
                <w:highlight w:val="none"/>
              </w:rPr>
              <w:t>时</w:t>
            </w:r>
            <w:r>
              <w:rPr>
                <w:rFonts w:hint="eastAsia" w:ascii="宋体" w:hAnsi="宋体" w:cs="宋体"/>
                <w:highlight w:val="none"/>
                <w:lang w:val="en-US" w:eastAsia="zh-CN"/>
              </w:rPr>
              <w:t>0</w:t>
            </w:r>
            <w:r>
              <w:rPr>
                <w:rFonts w:ascii="宋体" w:hAnsi="宋体" w:cs="宋体"/>
                <w:highlight w:val="none"/>
              </w:rPr>
              <w:t xml:space="preserve">0 </w:t>
            </w:r>
            <w:r>
              <w:rPr>
                <w:rFonts w:hint="eastAsia" w:ascii="宋体" w:hAnsi="宋体" w:cs="宋体"/>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342"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谈判有效期</w:t>
            </w:r>
          </w:p>
        </w:tc>
        <w:tc>
          <w:tcPr>
            <w:tcW w:w="8061" w:type="dxa"/>
            <w:vAlign w:val="center"/>
          </w:tcPr>
          <w:p>
            <w:pPr>
              <w:spacing w:line="300" w:lineRule="auto"/>
              <w:rPr>
                <w:rFonts w:ascii="宋体"/>
                <w:highlight w:val="none"/>
              </w:rPr>
            </w:pPr>
            <w:r>
              <w:rPr>
                <w:rFonts w:hint="eastAsia" w:ascii="宋体" w:hAnsi="宋体" w:cs="宋体"/>
                <w:highlight w:val="none"/>
              </w:rPr>
              <w:t>自谈判之日起</w:t>
            </w:r>
            <w:r>
              <w:rPr>
                <w:rFonts w:ascii="宋体" w:hAnsi="宋体" w:cs="宋体"/>
                <w:highlight w:val="none"/>
              </w:rPr>
              <w:t>60</w:t>
            </w:r>
            <w:r>
              <w:rPr>
                <w:rFonts w:hint="eastAsia" w:ascii="宋体" w:hAnsi="宋体" w:cs="宋体"/>
                <w:highlight w:val="none"/>
              </w:rPr>
              <w:t>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90"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谈判保证金</w:t>
            </w:r>
          </w:p>
        </w:tc>
        <w:tc>
          <w:tcPr>
            <w:tcW w:w="8061" w:type="dxa"/>
            <w:vAlign w:val="center"/>
          </w:tcPr>
          <w:p>
            <w:pPr>
              <w:spacing w:line="300" w:lineRule="auto"/>
              <w:rPr>
                <w:rFonts w:ascii="宋体"/>
                <w:highlight w:val="none"/>
              </w:rPr>
            </w:pPr>
            <w:r>
              <w:rPr>
                <w:rFonts w:ascii="宋体" w:hAnsi="宋体" w:cs="宋体"/>
                <w:highlight w:val="none"/>
              </w:rPr>
              <w:t>1.</w:t>
            </w:r>
            <w:r>
              <w:rPr>
                <w:rFonts w:hint="eastAsia" w:ascii="宋体" w:hAnsi="宋体" w:cs="宋体"/>
                <w:highlight w:val="none"/>
              </w:rPr>
              <w:t>谈判保证金为谈判文件的组成部分之一。</w:t>
            </w:r>
          </w:p>
          <w:p>
            <w:pPr>
              <w:spacing w:line="300" w:lineRule="auto"/>
              <w:rPr>
                <w:rFonts w:ascii="宋体"/>
                <w:highlight w:val="none"/>
              </w:rPr>
            </w:pPr>
            <w:r>
              <w:rPr>
                <w:rFonts w:ascii="宋体" w:hAnsi="宋体" w:cs="宋体"/>
                <w:highlight w:val="none"/>
              </w:rPr>
              <w:t>2.</w:t>
            </w:r>
            <w:r>
              <w:rPr>
                <w:rFonts w:hint="eastAsia" w:ascii="宋体" w:hAnsi="宋体" w:cs="宋体"/>
                <w:highlight w:val="none"/>
              </w:rPr>
              <w:t>供应商应提交谈判保证金：</w:t>
            </w:r>
            <w:r>
              <w:rPr>
                <w:rFonts w:hint="eastAsia" w:ascii="宋体" w:hAnsi="宋体" w:cs="宋体"/>
                <w:highlight w:val="none"/>
                <w:u w:val="single"/>
              </w:rPr>
              <w:t>人民币贰万元整（</w:t>
            </w:r>
            <w:r>
              <w:rPr>
                <w:rFonts w:ascii="宋体"/>
                <w:highlight w:val="none"/>
                <w:u w:val="single"/>
              </w:rPr>
              <w:t>¥</w:t>
            </w:r>
            <w:r>
              <w:rPr>
                <w:rFonts w:ascii="宋体" w:hAnsi="宋体" w:cs="宋体"/>
                <w:highlight w:val="none"/>
                <w:u w:val="single"/>
              </w:rPr>
              <w:t>20000.00</w:t>
            </w:r>
            <w:r>
              <w:rPr>
                <w:rFonts w:hint="eastAsia" w:ascii="宋体" w:hAnsi="宋体" w:cs="宋体"/>
                <w:highlight w:val="none"/>
                <w:u w:val="single"/>
              </w:rPr>
              <w:t>元）。</w:t>
            </w:r>
          </w:p>
          <w:p>
            <w:pPr>
              <w:spacing w:line="300" w:lineRule="auto"/>
              <w:rPr>
                <w:rFonts w:ascii="宋体"/>
                <w:highlight w:val="none"/>
              </w:rPr>
            </w:pPr>
            <w:r>
              <w:rPr>
                <w:rFonts w:ascii="宋体" w:hAnsi="宋体" w:cs="宋体"/>
                <w:highlight w:val="none"/>
              </w:rPr>
              <w:t>3.</w:t>
            </w:r>
            <w:r>
              <w:rPr>
                <w:rFonts w:hint="eastAsia" w:ascii="宋体" w:hAnsi="宋体" w:cs="宋体"/>
                <w:highlight w:val="none"/>
              </w:rPr>
              <w:t>谈判保证金用于保护本次采购人免受供应商的行为而引起的风险。</w:t>
            </w:r>
          </w:p>
          <w:p>
            <w:pPr>
              <w:spacing w:line="300" w:lineRule="auto"/>
              <w:rPr>
                <w:rFonts w:ascii="宋体"/>
                <w:highlight w:val="none"/>
              </w:rPr>
            </w:pPr>
            <w:r>
              <w:rPr>
                <w:rFonts w:ascii="宋体" w:hAnsi="宋体" w:cs="宋体"/>
                <w:highlight w:val="none"/>
              </w:rPr>
              <w:t>4.</w:t>
            </w:r>
            <w:r>
              <w:rPr>
                <w:rFonts w:hint="eastAsia" w:ascii="宋体" w:hAnsi="宋体" w:cs="宋体"/>
                <w:highlight w:val="none"/>
              </w:rPr>
              <w:t>提交谈判保证金：</w:t>
            </w:r>
          </w:p>
          <w:p>
            <w:pPr>
              <w:pStyle w:val="14"/>
              <w:ind w:firstLine="210"/>
              <w:rPr>
                <w:rFonts w:ascii="宋体" w:cs="Times New Roman"/>
                <w:kern w:val="2"/>
                <w:sz w:val="21"/>
                <w:szCs w:val="21"/>
                <w:highlight w:val="none"/>
              </w:rPr>
            </w:pPr>
            <w:r>
              <w:rPr>
                <w:rFonts w:hint="eastAsia" w:ascii="宋体" w:hAnsi="宋体" w:cs="宋体"/>
                <w:kern w:val="2"/>
                <w:sz w:val="21"/>
                <w:szCs w:val="21"/>
                <w:highlight w:val="none"/>
              </w:rPr>
              <w:t>使用上述递交方式的，于截止时间前通过基本账户将款项足额递交到指定账户，以收款人到账时间为准，在途资金无效，逾期视为未按时交纳，放弃投标资格。</w:t>
            </w:r>
          </w:p>
          <w:p>
            <w:pPr>
              <w:pStyle w:val="14"/>
              <w:ind w:firstLine="210"/>
              <w:rPr>
                <w:rFonts w:ascii="宋体" w:cs="Times New Roman"/>
                <w:kern w:val="2"/>
                <w:sz w:val="21"/>
                <w:szCs w:val="21"/>
                <w:highlight w:val="none"/>
              </w:rPr>
            </w:pPr>
            <w:r>
              <w:rPr>
                <w:rFonts w:hint="eastAsia" w:ascii="宋体" w:hAnsi="宋体" w:cs="宋体"/>
                <w:kern w:val="2"/>
                <w:sz w:val="21"/>
                <w:szCs w:val="21"/>
                <w:highlight w:val="none"/>
              </w:rPr>
              <w:t>公司名称：河南招标采购服务有限公司</w:t>
            </w:r>
          </w:p>
          <w:p>
            <w:pPr>
              <w:pStyle w:val="14"/>
              <w:ind w:firstLine="210"/>
              <w:rPr>
                <w:rFonts w:ascii="宋体" w:cs="Times New Roman"/>
                <w:kern w:val="2"/>
                <w:sz w:val="21"/>
                <w:szCs w:val="21"/>
                <w:highlight w:val="none"/>
              </w:rPr>
            </w:pPr>
            <w:r>
              <w:rPr>
                <w:rFonts w:hint="eastAsia" w:ascii="宋体" w:hAnsi="宋体" w:cs="宋体"/>
                <w:kern w:val="2"/>
                <w:sz w:val="21"/>
                <w:szCs w:val="21"/>
                <w:highlight w:val="none"/>
              </w:rPr>
              <w:t>开</w:t>
            </w:r>
            <w:r>
              <w:rPr>
                <w:rFonts w:ascii="宋体" w:hAnsi="宋体" w:cs="宋体"/>
                <w:kern w:val="2"/>
                <w:sz w:val="21"/>
                <w:szCs w:val="21"/>
                <w:highlight w:val="none"/>
              </w:rPr>
              <w:t xml:space="preserve"> </w:t>
            </w:r>
            <w:r>
              <w:rPr>
                <w:rFonts w:hint="eastAsia" w:ascii="宋体" w:hAnsi="宋体" w:cs="宋体"/>
                <w:kern w:val="2"/>
                <w:sz w:val="21"/>
                <w:szCs w:val="21"/>
                <w:highlight w:val="none"/>
              </w:rPr>
              <w:t>户</w:t>
            </w:r>
            <w:r>
              <w:rPr>
                <w:rFonts w:ascii="宋体" w:hAnsi="宋体" w:cs="宋体"/>
                <w:kern w:val="2"/>
                <w:sz w:val="21"/>
                <w:szCs w:val="21"/>
                <w:highlight w:val="none"/>
              </w:rPr>
              <w:t xml:space="preserve"> </w:t>
            </w:r>
            <w:r>
              <w:rPr>
                <w:rFonts w:hint="eastAsia" w:ascii="宋体" w:hAnsi="宋体" w:cs="宋体"/>
                <w:kern w:val="2"/>
                <w:sz w:val="21"/>
                <w:szCs w:val="21"/>
                <w:highlight w:val="none"/>
              </w:rPr>
              <w:t>行：平安银行郑州分行营业部</w:t>
            </w:r>
          </w:p>
          <w:p>
            <w:pPr>
              <w:pStyle w:val="14"/>
              <w:ind w:firstLine="210"/>
              <w:rPr>
                <w:rFonts w:ascii="宋体" w:cs="Times New Roman"/>
                <w:kern w:val="2"/>
                <w:sz w:val="21"/>
                <w:szCs w:val="21"/>
                <w:highlight w:val="none"/>
              </w:rPr>
            </w:pPr>
            <w:r>
              <w:rPr>
                <w:rFonts w:hint="eastAsia" w:ascii="宋体" w:hAnsi="宋体" w:cs="宋体"/>
                <w:kern w:val="2"/>
                <w:sz w:val="21"/>
                <w:szCs w:val="21"/>
                <w:highlight w:val="none"/>
              </w:rPr>
              <w:t>帐</w:t>
            </w:r>
            <w:r>
              <w:rPr>
                <w:rFonts w:ascii="宋体" w:hAnsi="宋体" w:cs="宋体"/>
                <w:kern w:val="2"/>
                <w:sz w:val="21"/>
                <w:szCs w:val="21"/>
                <w:highlight w:val="none"/>
              </w:rPr>
              <w:t xml:space="preserve">   </w:t>
            </w:r>
            <w:r>
              <w:rPr>
                <w:rFonts w:hint="eastAsia" w:ascii="宋体" w:hAnsi="宋体" w:cs="宋体"/>
                <w:kern w:val="2"/>
                <w:sz w:val="21"/>
                <w:szCs w:val="21"/>
                <w:highlight w:val="none"/>
              </w:rPr>
              <w:t>号：</w:t>
            </w:r>
            <w:r>
              <w:rPr>
                <w:rFonts w:ascii="宋体" w:hAnsi="宋体" w:cs="宋体"/>
                <w:kern w:val="2"/>
                <w:sz w:val="21"/>
                <w:szCs w:val="21"/>
                <w:highlight w:val="none"/>
              </w:rPr>
              <w:t>30205916000012</w:t>
            </w:r>
          </w:p>
          <w:p>
            <w:pPr>
              <w:pStyle w:val="14"/>
              <w:ind w:firstLine="210"/>
              <w:rPr>
                <w:rFonts w:ascii="宋体" w:cs="Times New Roman"/>
                <w:kern w:val="2"/>
                <w:sz w:val="21"/>
                <w:szCs w:val="21"/>
                <w:highlight w:val="none"/>
              </w:rPr>
            </w:pPr>
            <w:r>
              <w:rPr>
                <w:rFonts w:hint="eastAsia" w:ascii="宋体" w:hAnsi="宋体" w:cs="宋体"/>
                <w:kern w:val="2"/>
                <w:sz w:val="21"/>
                <w:szCs w:val="21"/>
                <w:highlight w:val="none"/>
              </w:rPr>
              <w:t>★递交方式：要求从投标人基本账户转出，于递交截止时间之前到账（以收款帐号实际到账为准），银行转账单应备注写明“</w:t>
            </w:r>
            <w:r>
              <w:rPr>
                <w:rFonts w:ascii="宋体" w:hAnsi="宋体" w:cs="宋体"/>
                <w:kern w:val="2"/>
                <w:sz w:val="21"/>
                <w:szCs w:val="21"/>
                <w:highlight w:val="none"/>
              </w:rPr>
              <w:t>XXX</w:t>
            </w:r>
            <w:r>
              <w:rPr>
                <w:rFonts w:hint="eastAsia" w:ascii="宋体" w:hAnsi="宋体" w:cs="宋体"/>
                <w:kern w:val="2"/>
                <w:sz w:val="21"/>
                <w:szCs w:val="21"/>
                <w:highlight w:val="none"/>
              </w:rPr>
              <w:t>项目</w:t>
            </w:r>
            <w:r>
              <w:rPr>
                <w:rFonts w:ascii="宋体" w:hAnsi="宋体" w:cs="宋体"/>
                <w:kern w:val="2"/>
                <w:sz w:val="21"/>
                <w:szCs w:val="21"/>
                <w:highlight w:val="none"/>
              </w:rPr>
              <w:t>XX</w:t>
            </w:r>
            <w:r>
              <w:rPr>
                <w:rFonts w:hint="eastAsia" w:ascii="宋体" w:hAnsi="宋体" w:cs="宋体"/>
                <w:kern w:val="2"/>
                <w:sz w:val="21"/>
                <w:szCs w:val="21"/>
                <w:highlight w:val="none"/>
              </w:rPr>
              <w:t>标段投标保证金”。</w:t>
            </w:r>
          </w:p>
          <w:p>
            <w:pPr>
              <w:spacing w:line="300" w:lineRule="auto"/>
              <w:rPr>
                <w:rFonts w:ascii="宋体"/>
                <w:highlight w:val="none"/>
              </w:rPr>
            </w:pPr>
            <w:r>
              <w:rPr>
                <w:rFonts w:ascii="宋体" w:hAnsi="宋体" w:cs="宋体"/>
                <w:highlight w:val="none"/>
              </w:rPr>
              <w:t>5.</w:t>
            </w:r>
            <w:r>
              <w:rPr>
                <w:rFonts w:hint="eastAsia" w:ascii="宋体" w:hAnsi="宋体" w:cs="宋体"/>
                <w:highlight w:val="none"/>
              </w:rPr>
              <w:t>发生以下情况谈判保证金不予退还：</w:t>
            </w:r>
          </w:p>
          <w:p>
            <w:pPr>
              <w:spacing w:line="300" w:lineRule="auto"/>
              <w:rPr>
                <w:rFonts w:ascii="宋体"/>
                <w:highlight w:val="none"/>
              </w:rPr>
            </w:pPr>
            <w:r>
              <w:rPr>
                <w:rFonts w:ascii="宋体" w:hAnsi="宋体" w:cs="宋体"/>
                <w:highlight w:val="none"/>
              </w:rPr>
              <w:t>5.1</w:t>
            </w:r>
            <w:r>
              <w:rPr>
                <w:rFonts w:hint="eastAsia" w:ascii="宋体" w:hAnsi="宋体" w:cs="宋体"/>
                <w:highlight w:val="none"/>
              </w:rPr>
              <w:t>供应商在提交谈判响应文件截止时间后撤销谈判响应文件的；</w:t>
            </w:r>
          </w:p>
          <w:p>
            <w:pPr>
              <w:spacing w:line="300" w:lineRule="auto"/>
              <w:rPr>
                <w:rFonts w:ascii="宋体"/>
                <w:highlight w:val="none"/>
              </w:rPr>
            </w:pPr>
            <w:r>
              <w:rPr>
                <w:rFonts w:ascii="宋体" w:hAnsi="宋体" w:cs="宋体"/>
                <w:highlight w:val="none"/>
              </w:rPr>
              <w:t xml:space="preserve">5.2 </w:t>
            </w:r>
            <w:r>
              <w:rPr>
                <w:rFonts w:hint="eastAsia" w:ascii="宋体" w:hAnsi="宋体" w:cs="宋体"/>
                <w:highlight w:val="none"/>
              </w:rPr>
              <w:t>供应商在谈判响应文件中提供虚假材料的；</w:t>
            </w:r>
          </w:p>
          <w:p>
            <w:pPr>
              <w:spacing w:line="300" w:lineRule="auto"/>
              <w:rPr>
                <w:rFonts w:ascii="宋体"/>
                <w:highlight w:val="none"/>
              </w:rPr>
            </w:pPr>
            <w:r>
              <w:rPr>
                <w:rFonts w:ascii="宋体" w:hAnsi="宋体" w:cs="宋体"/>
                <w:highlight w:val="none"/>
              </w:rPr>
              <w:t xml:space="preserve">5.3 </w:t>
            </w:r>
            <w:r>
              <w:rPr>
                <w:rFonts w:hint="eastAsia" w:ascii="宋体" w:hAnsi="宋体" w:cs="宋体"/>
                <w:highlight w:val="none"/>
              </w:rPr>
              <w:t>除因不可抗力或谈判响应文件认可的情形以外，成交供应商不与采购人签订合同的；</w:t>
            </w:r>
          </w:p>
          <w:p>
            <w:pPr>
              <w:spacing w:line="300" w:lineRule="auto"/>
              <w:rPr>
                <w:rFonts w:ascii="宋体"/>
                <w:highlight w:val="none"/>
              </w:rPr>
            </w:pPr>
            <w:r>
              <w:rPr>
                <w:rFonts w:ascii="宋体" w:hAnsi="宋体" w:cs="宋体"/>
                <w:highlight w:val="none"/>
              </w:rPr>
              <w:t xml:space="preserve">5.4 </w:t>
            </w:r>
            <w:r>
              <w:rPr>
                <w:rFonts w:hint="eastAsia" w:ascii="宋体" w:hAnsi="宋体" w:cs="宋体"/>
                <w:highlight w:val="none"/>
              </w:rPr>
              <w:t>供应商与采购人、其他供应商或者采购代理机构恶意串通的；</w:t>
            </w:r>
          </w:p>
          <w:p>
            <w:pPr>
              <w:spacing w:line="300" w:lineRule="auto"/>
              <w:rPr>
                <w:rFonts w:ascii="宋体"/>
                <w:highlight w:val="none"/>
              </w:rPr>
            </w:pPr>
            <w:r>
              <w:rPr>
                <w:rFonts w:ascii="宋体" w:hAnsi="宋体" w:cs="宋体"/>
                <w:highlight w:val="none"/>
              </w:rPr>
              <w:t xml:space="preserve">5.5 </w:t>
            </w:r>
            <w:r>
              <w:rPr>
                <w:rFonts w:hint="eastAsia" w:ascii="宋体" w:hAnsi="宋体" w:cs="宋体"/>
                <w:highlight w:val="none"/>
              </w:rPr>
              <w:t>法律法规及谈判文件规定的其他情形。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90"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履约保证金</w:t>
            </w:r>
          </w:p>
        </w:tc>
        <w:tc>
          <w:tcPr>
            <w:tcW w:w="8061" w:type="dxa"/>
            <w:vAlign w:val="center"/>
          </w:tcPr>
          <w:p>
            <w:pPr>
              <w:spacing w:line="300" w:lineRule="auto"/>
              <w:ind w:right="-88" w:rightChars="-42"/>
              <w:rPr>
                <w:rFonts w:ascii="宋体"/>
                <w:highlight w:val="none"/>
              </w:rPr>
            </w:pPr>
            <w:r>
              <w:rPr>
                <w:rFonts w:hint="eastAsia" w:ascii="宋体" w:hAnsi="宋体" w:cs="宋体"/>
                <w:highlight w:val="none"/>
              </w:rPr>
              <w:t>转帐形式向采购人缴纳贰万元整履约保证金。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416" w:hRule="atLeast"/>
          <w:jc w:val="center"/>
        </w:trPr>
        <w:tc>
          <w:tcPr>
            <w:tcW w:w="1561" w:type="dxa"/>
            <w:vAlign w:val="center"/>
          </w:tcPr>
          <w:p>
            <w:pPr>
              <w:spacing w:line="300" w:lineRule="auto"/>
              <w:jc w:val="center"/>
              <w:rPr>
                <w:rFonts w:ascii="宋体"/>
                <w:highlight w:val="none"/>
              </w:rPr>
            </w:pPr>
            <w:r>
              <w:rPr>
                <w:rFonts w:hint="eastAsia" w:ascii="宋体" w:hAnsi="宋体" w:cs="宋体"/>
                <w:highlight w:val="none"/>
              </w:rPr>
              <w:t>特别说明</w:t>
            </w:r>
          </w:p>
        </w:tc>
        <w:tc>
          <w:tcPr>
            <w:tcW w:w="8061" w:type="dxa"/>
            <w:vAlign w:val="center"/>
          </w:tcPr>
          <w:p>
            <w:pPr>
              <w:numPr>
                <w:ilvl w:val="0"/>
                <w:numId w:val="3"/>
              </w:numPr>
              <w:spacing w:line="300" w:lineRule="auto"/>
              <w:rPr>
                <w:highlight w:val="none"/>
              </w:rPr>
            </w:pPr>
            <w:r>
              <w:rPr>
                <w:rFonts w:hint="eastAsia" w:cs="宋体"/>
                <w:highlight w:val="none"/>
              </w:rPr>
              <w:t>采购单位委派代表参加资格审查和评审委员会的，须向采购代理机构出具授权函。除授权代表外，采购单位委派纪检监察人员对评标过程实施监督的须进入监督室，并向采购代理机构出具授权函，且不得超过</w:t>
            </w:r>
            <w:r>
              <w:rPr>
                <w:highlight w:val="none"/>
              </w:rPr>
              <w:t>2</w:t>
            </w:r>
            <w:r>
              <w:rPr>
                <w:rFonts w:hint="eastAsia" w:cs="宋体"/>
                <w:highlight w:val="none"/>
              </w:rPr>
              <w:t>人。</w:t>
            </w:r>
          </w:p>
          <w:p>
            <w:pPr>
              <w:spacing w:line="300" w:lineRule="auto"/>
              <w:rPr>
                <w:highlight w:val="none"/>
              </w:rPr>
            </w:pPr>
            <w:r>
              <w:rPr>
                <w:highlight w:val="none"/>
              </w:rPr>
              <w:t>2.</w:t>
            </w:r>
            <w:r>
              <w:rPr>
                <w:rFonts w:hint="eastAsia" w:cs="宋体"/>
                <w:highlight w:val="none"/>
              </w:rPr>
              <w:t>不接受备选方案。</w:t>
            </w:r>
          </w:p>
          <w:p>
            <w:pPr>
              <w:spacing w:line="300" w:lineRule="auto"/>
              <w:rPr>
                <w:highlight w:val="none"/>
              </w:rPr>
            </w:pPr>
            <w:r>
              <w:rPr>
                <w:highlight w:val="none"/>
              </w:rPr>
              <w:t>3.</w:t>
            </w:r>
            <w:r>
              <w:rPr>
                <w:rFonts w:hint="eastAsia" w:cs="宋体"/>
                <w:highlight w:val="none"/>
              </w:rPr>
              <w:t>本谈判文件的解释权归采购人及所委托的代理机构。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416" w:hRule="atLeast"/>
          <w:jc w:val="center"/>
        </w:trPr>
        <w:tc>
          <w:tcPr>
            <w:tcW w:w="1561" w:type="dxa"/>
            <w:vAlign w:val="center"/>
          </w:tcPr>
          <w:p>
            <w:pPr>
              <w:spacing w:line="300" w:lineRule="auto"/>
              <w:jc w:val="center"/>
              <w:rPr>
                <w:rFonts w:ascii="宋体"/>
                <w:highlight w:val="none"/>
              </w:rPr>
            </w:pPr>
            <w:r>
              <w:rPr>
                <w:rFonts w:hint="eastAsia" w:ascii="宋体" w:cs="宋体"/>
                <w:highlight w:val="none"/>
              </w:rPr>
              <w:t>推荐候选人</w:t>
            </w:r>
          </w:p>
        </w:tc>
        <w:tc>
          <w:tcPr>
            <w:tcW w:w="8061" w:type="dxa"/>
            <w:vAlign w:val="center"/>
          </w:tcPr>
          <w:p>
            <w:pPr>
              <w:spacing w:line="300" w:lineRule="auto"/>
              <w:rPr>
                <w:rFonts w:ascii="宋体"/>
                <w:highlight w:val="none"/>
              </w:rPr>
            </w:pPr>
            <w:r>
              <w:rPr>
                <w:rFonts w:hint="eastAsia" w:ascii="宋体" w:cs="宋体"/>
                <w:highlight w:val="none"/>
              </w:rPr>
              <w:t>一标段推荐</w:t>
            </w:r>
            <w:r>
              <w:rPr>
                <w:rFonts w:ascii="宋体" w:cs="宋体"/>
                <w:highlight w:val="none"/>
              </w:rPr>
              <w:t>3</w:t>
            </w:r>
            <w:r>
              <w:rPr>
                <w:rFonts w:hint="eastAsia" w:ascii="宋体" w:cs="宋体"/>
                <w:highlight w:val="none"/>
              </w:rPr>
              <w:t>名中标候选人，二标段推荐</w:t>
            </w:r>
            <w:r>
              <w:rPr>
                <w:rFonts w:ascii="宋体" w:cs="宋体"/>
                <w:highlight w:val="none"/>
              </w:rPr>
              <w:t>2</w:t>
            </w:r>
            <w:r>
              <w:rPr>
                <w:rFonts w:hint="eastAsia" w:ascii="宋体" w:cs="宋体"/>
                <w:highlight w:val="none"/>
              </w:rPr>
              <w:t>名中标候选人。（数量不足的，以实际数量为准）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416" w:hRule="atLeast"/>
          <w:jc w:val="center"/>
        </w:trPr>
        <w:tc>
          <w:tcPr>
            <w:tcW w:w="1561" w:type="dxa"/>
            <w:vAlign w:val="center"/>
          </w:tcPr>
          <w:p>
            <w:pPr>
              <w:spacing w:line="300" w:lineRule="auto"/>
              <w:jc w:val="center"/>
              <w:rPr>
                <w:rFonts w:ascii="宋体"/>
                <w:highlight w:val="none"/>
              </w:rPr>
            </w:pPr>
            <w:r>
              <w:rPr>
                <w:rFonts w:hint="eastAsia" w:ascii="宋体" w:cs="宋体"/>
                <w:highlight w:val="none"/>
              </w:rPr>
              <w:t>报价（优惠率）</w:t>
            </w:r>
          </w:p>
        </w:tc>
        <w:tc>
          <w:tcPr>
            <w:tcW w:w="8061" w:type="dxa"/>
            <w:vAlign w:val="center"/>
          </w:tcPr>
          <w:p>
            <w:pPr>
              <w:spacing w:line="300" w:lineRule="auto"/>
              <w:rPr>
                <w:rFonts w:ascii="宋体"/>
                <w:highlight w:val="none"/>
              </w:rPr>
            </w:pPr>
            <w:r>
              <w:rPr>
                <w:rFonts w:hint="eastAsia" w:ascii="宋体" w:cs="宋体"/>
                <w:highlight w:val="none"/>
              </w:rPr>
              <w:t>各标段均按：国家相关收费标准进行报价（本次招标报价采用优惠率形式）。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416" w:hRule="atLeast"/>
          <w:jc w:val="center"/>
        </w:trPr>
        <w:tc>
          <w:tcPr>
            <w:tcW w:w="1561" w:type="dxa"/>
            <w:vAlign w:val="center"/>
          </w:tcPr>
          <w:p>
            <w:pPr>
              <w:spacing w:line="300" w:lineRule="auto"/>
              <w:jc w:val="center"/>
              <w:rPr>
                <w:rFonts w:ascii="宋体"/>
                <w:highlight w:val="none"/>
              </w:rPr>
            </w:pPr>
            <w:r>
              <w:rPr>
                <w:rFonts w:hint="eastAsia" w:ascii="宋体" w:cs="宋体"/>
                <w:highlight w:val="none"/>
              </w:rPr>
              <w:t>预算上限</w:t>
            </w:r>
          </w:p>
          <w:p>
            <w:pPr>
              <w:spacing w:line="300" w:lineRule="auto"/>
              <w:jc w:val="center"/>
              <w:rPr>
                <w:rFonts w:ascii="宋体"/>
                <w:highlight w:val="none"/>
              </w:rPr>
            </w:pPr>
            <w:r>
              <w:rPr>
                <w:rFonts w:hint="eastAsia" w:ascii="宋体" w:cs="宋体"/>
                <w:highlight w:val="none"/>
              </w:rPr>
              <w:t>（优惠率）</w:t>
            </w:r>
          </w:p>
        </w:tc>
        <w:tc>
          <w:tcPr>
            <w:tcW w:w="8061" w:type="dxa"/>
            <w:vAlign w:val="center"/>
          </w:tcPr>
          <w:p>
            <w:pPr>
              <w:spacing w:line="300" w:lineRule="auto"/>
              <w:rPr>
                <w:rFonts w:ascii="宋体"/>
                <w:highlight w:val="none"/>
              </w:rPr>
            </w:pPr>
            <w:r>
              <w:rPr>
                <w:rFonts w:hint="eastAsia" w:ascii="宋体" w:cs="宋体"/>
                <w:highlight w:val="none"/>
              </w:rPr>
              <w:t>一标段投标报价（优惠率）计算下浮依据：以市场合理价或财政评审价为准；</w:t>
            </w:r>
          </w:p>
          <w:p>
            <w:pPr>
              <w:spacing w:line="300" w:lineRule="auto"/>
              <w:rPr>
                <w:rFonts w:ascii="宋体"/>
                <w:highlight w:val="none"/>
              </w:rPr>
            </w:pPr>
            <w:r>
              <w:rPr>
                <w:rFonts w:hint="eastAsia" w:ascii="宋体" w:cs="宋体"/>
                <w:highlight w:val="none"/>
              </w:rPr>
              <w:t>二标段投标报价（优惠率）计算下浮依据：河南省建设监理协会关于印发《河南省建设工程施工监理费计费规则》通知</w:t>
            </w:r>
            <w:r>
              <w:rPr>
                <w:rFonts w:ascii="宋体" w:cs="宋体"/>
                <w:highlight w:val="none"/>
              </w:rPr>
              <w:t>-</w:t>
            </w:r>
            <w:r>
              <w:rPr>
                <w:rFonts w:hint="eastAsia" w:ascii="宋体" w:cs="宋体"/>
                <w:highlight w:val="none"/>
              </w:rPr>
              <w:t>豫建监协【</w:t>
            </w:r>
            <w:r>
              <w:rPr>
                <w:rFonts w:ascii="宋体" w:cs="宋体"/>
                <w:highlight w:val="none"/>
              </w:rPr>
              <w:t>2015</w:t>
            </w:r>
            <w:r>
              <w:rPr>
                <w:rFonts w:hint="eastAsia" w:ascii="宋体" w:cs="宋体"/>
                <w:highlight w:val="none"/>
              </w:rPr>
              <w:t>】</w:t>
            </w:r>
            <w:r>
              <w:rPr>
                <w:rFonts w:ascii="宋体" w:cs="宋体"/>
                <w:highlight w:val="none"/>
              </w:rPr>
              <w:t>19</w:t>
            </w:r>
            <w:r>
              <w:rPr>
                <w:rFonts w:hint="eastAsia" w:ascii="宋体" w:cs="宋体"/>
                <w:highlight w:val="none"/>
              </w:rPr>
              <w:t>号”文；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416" w:hRule="atLeast"/>
          <w:jc w:val="center"/>
        </w:trPr>
        <w:tc>
          <w:tcPr>
            <w:tcW w:w="1561" w:type="dxa"/>
            <w:vAlign w:val="center"/>
          </w:tcPr>
          <w:p>
            <w:pPr>
              <w:spacing w:line="300" w:lineRule="auto"/>
              <w:jc w:val="center"/>
              <w:rPr>
                <w:rFonts w:ascii="宋体"/>
                <w:highlight w:val="none"/>
              </w:rPr>
            </w:pPr>
            <w:r>
              <w:rPr>
                <w:rFonts w:hint="eastAsia" w:ascii="宋体" w:cs="宋体"/>
                <w:highlight w:val="none"/>
              </w:rPr>
              <w:t>类似业绩</w:t>
            </w:r>
          </w:p>
        </w:tc>
        <w:tc>
          <w:tcPr>
            <w:tcW w:w="8061" w:type="dxa"/>
            <w:vAlign w:val="center"/>
          </w:tcPr>
          <w:p>
            <w:pPr>
              <w:spacing w:line="300" w:lineRule="auto"/>
              <w:rPr>
                <w:rFonts w:ascii="宋体"/>
                <w:highlight w:val="none"/>
              </w:rPr>
            </w:pPr>
            <w:r>
              <w:rPr>
                <w:rFonts w:hint="eastAsia" w:ascii="宋体" w:cs="宋体"/>
                <w:highlight w:val="none"/>
              </w:rPr>
              <w:t>一标段指类似苗木采购项目；二标段指市政公用工程监理业绩。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113" w:type="dxa"/>
            <w:left w:w="108" w:type="dxa"/>
            <w:bottom w:w="0" w:type="dxa"/>
            <w:right w:w="108" w:type="dxa"/>
          </w:tblCellMar>
        </w:tblPrEx>
        <w:trPr>
          <w:trHeight w:val="416" w:hRule="atLeast"/>
          <w:jc w:val="center"/>
        </w:trPr>
        <w:tc>
          <w:tcPr>
            <w:tcW w:w="1561" w:type="dxa"/>
            <w:tcBorders>
              <w:bottom w:val="double" w:color="auto" w:sz="4" w:space="0"/>
            </w:tcBorders>
            <w:vAlign w:val="center"/>
          </w:tcPr>
          <w:p>
            <w:pPr>
              <w:spacing w:line="300" w:lineRule="auto"/>
              <w:jc w:val="center"/>
              <w:rPr>
                <w:rFonts w:ascii="宋体"/>
                <w:highlight w:val="none"/>
              </w:rPr>
            </w:pPr>
            <w:r>
              <w:rPr>
                <w:rFonts w:hint="eastAsia" w:ascii="宋体" w:cs="宋体"/>
                <w:highlight w:val="none"/>
              </w:rPr>
              <w:t>代理服务收费</w:t>
            </w:r>
          </w:p>
        </w:tc>
        <w:tc>
          <w:tcPr>
            <w:tcW w:w="8061" w:type="dxa"/>
            <w:tcBorders>
              <w:bottom w:val="double" w:color="auto" w:sz="4" w:space="0"/>
            </w:tcBorders>
            <w:vAlign w:val="center"/>
          </w:tcPr>
          <w:p>
            <w:pPr>
              <w:spacing w:line="300" w:lineRule="auto"/>
              <w:rPr>
                <w:rFonts w:ascii="宋体"/>
                <w:highlight w:val="none"/>
              </w:rPr>
            </w:pPr>
            <w:r>
              <w:rPr>
                <w:rFonts w:hint="eastAsia" w:ascii="宋体" w:cs="宋体"/>
                <w:highlight w:val="none"/>
              </w:rPr>
              <w:t>由成交供应商向代理公司支付，代理服务收费标准</w:t>
            </w:r>
            <w:r>
              <w:rPr>
                <w:rFonts w:ascii="宋体" w:cs="宋体"/>
                <w:highlight w:val="none"/>
              </w:rPr>
              <w:t>3000</w:t>
            </w:r>
            <w:r>
              <w:rPr>
                <w:rFonts w:hint="eastAsia" w:ascii="宋体" w:cs="宋体"/>
                <w:highlight w:val="none"/>
              </w:rPr>
              <w:t>元</w:t>
            </w:r>
            <w:r>
              <w:rPr>
                <w:rFonts w:ascii="宋体" w:cs="宋体"/>
                <w:highlight w:val="none"/>
              </w:rPr>
              <w:t>/</w:t>
            </w:r>
            <w:r>
              <w:rPr>
                <w:rFonts w:hint="eastAsia" w:ascii="宋体" w:cs="宋体"/>
                <w:highlight w:val="none"/>
              </w:rPr>
              <w:t>家。</w:t>
            </w:r>
          </w:p>
        </w:tc>
      </w:tr>
    </w:tbl>
    <w:p>
      <w:pPr>
        <w:pStyle w:val="14"/>
        <w:ind w:firstLine="0" w:firstLineChars="0"/>
        <w:rPr>
          <w:rFonts w:ascii="华文中宋" w:hAnsi="华文中宋" w:eastAsia="华文中宋" w:cs="Times New Roman"/>
          <w:b/>
          <w:bCs/>
          <w:sz w:val="32"/>
          <w:szCs w:val="32"/>
          <w:highlight w:val="none"/>
        </w:rPr>
      </w:pPr>
    </w:p>
    <w:p>
      <w:pPr>
        <w:spacing w:afterLines="100"/>
        <w:jc w:val="center"/>
        <w:rPr>
          <w:rFonts w:ascii="宋体"/>
          <w:b/>
          <w:bCs/>
          <w:sz w:val="32"/>
          <w:szCs w:val="32"/>
          <w:highlight w:val="none"/>
        </w:rPr>
      </w:pPr>
      <w:r>
        <w:rPr>
          <w:rFonts w:ascii="华文中宋" w:hAnsi="华文中宋" w:eastAsia="华文中宋"/>
          <w:b/>
          <w:bCs/>
          <w:sz w:val="32"/>
          <w:szCs w:val="32"/>
          <w:highlight w:val="none"/>
        </w:rPr>
        <w:br w:type="page"/>
      </w:r>
      <w:r>
        <w:rPr>
          <w:rFonts w:hint="eastAsia" w:ascii="宋体" w:hAnsi="宋体" w:cs="宋体"/>
          <w:b/>
          <w:bCs/>
          <w:sz w:val="36"/>
          <w:szCs w:val="36"/>
          <w:highlight w:val="none"/>
        </w:rPr>
        <w:t>第三章</w:t>
      </w:r>
      <w:r>
        <w:rPr>
          <w:rFonts w:ascii="宋体" w:hAnsi="宋体" w:cs="宋体"/>
          <w:b/>
          <w:bCs/>
          <w:sz w:val="36"/>
          <w:szCs w:val="36"/>
          <w:highlight w:val="none"/>
        </w:rPr>
        <w:t xml:space="preserve">  </w:t>
      </w:r>
      <w:r>
        <w:rPr>
          <w:rFonts w:hint="eastAsia" w:ascii="宋体" w:hAnsi="宋体" w:cs="宋体"/>
          <w:b/>
          <w:bCs/>
          <w:sz w:val="36"/>
          <w:szCs w:val="36"/>
          <w:highlight w:val="none"/>
        </w:rPr>
        <w:t>竞争性谈判响应文件内容</w:t>
      </w:r>
    </w:p>
    <w:tbl>
      <w:tblPr>
        <w:tblStyle w:val="38"/>
        <w:tblW w:w="9742"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746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2278" w:type="dxa"/>
            <w:tcBorders>
              <w:top w:val="double" w:color="auto" w:sz="4" w:space="0"/>
            </w:tcBorders>
            <w:vAlign w:val="center"/>
          </w:tcPr>
          <w:p>
            <w:pPr>
              <w:jc w:val="center"/>
              <w:rPr>
                <w:rFonts w:ascii="宋体"/>
                <w:b/>
                <w:bCs/>
                <w:highlight w:val="none"/>
              </w:rPr>
            </w:pPr>
            <w:r>
              <w:rPr>
                <w:rFonts w:hint="eastAsia" w:ascii="宋体" w:hAnsi="宋体" w:cs="宋体"/>
                <w:b/>
                <w:bCs/>
                <w:highlight w:val="none"/>
              </w:rPr>
              <w:t>项目</w:t>
            </w:r>
          </w:p>
        </w:tc>
        <w:tc>
          <w:tcPr>
            <w:tcW w:w="7464" w:type="dxa"/>
            <w:tcBorders>
              <w:top w:val="double" w:color="auto" w:sz="4" w:space="0"/>
            </w:tcBorders>
            <w:vAlign w:val="center"/>
          </w:tcPr>
          <w:p>
            <w:pPr>
              <w:jc w:val="center"/>
              <w:rPr>
                <w:rFonts w:ascii="宋体"/>
                <w:b/>
                <w:bCs/>
                <w:highlight w:val="none"/>
              </w:rPr>
            </w:pPr>
            <w:r>
              <w:rPr>
                <w:rFonts w:hint="eastAsia" w:ascii="宋体" w:hAnsi="宋体" w:cs="宋体"/>
                <w:b/>
                <w:bCs/>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2278" w:type="dxa"/>
            <w:vAlign w:val="center"/>
          </w:tcPr>
          <w:p>
            <w:pPr>
              <w:jc w:val="center"/>
              <w:rPr>
                <w:rFonts w:ascii="宋体"/>
                <w:b/>
                <w:bCs/>
                <w:highlight w:val="none"/>
              </w:rPr>
            </w:pPr>
            <w:r>
              <w:rPr>
                <w:rFonts w:hint="eastAsia" w:ascii="宋体" w:hAnsi="宋体" w:cs="宋体"/>
                <w:b/>
                <w:bCs/>
                <w:highlight w:val="none"/>
              </w:rPr>
              <w:t>谈判文件</w:t>
            </w:r>
          </w:p>
        </w:tc>
        <w:tc>
          <w:tcPr>
            <w:tcW w:w="7464" w:type="dxa"/>
            <w:vAlign w:val="center"/>
          </w:tcPr>
          <w:p>
            <w:pPr>
              <w:jc w:val="center"/>
              <w:rPr>
                <w:rFonts w:ascii="宋体"/>
                <w:highlight w:val="none"/>
              </w:rPr>
            </w:pPr>
            <w:r>
              <w:rPr>
                <w:rFonts w:hint="eastAsia" w:ascii="宋体" w:hAnsi="宋体" w:cs="宋体"/>
                <w:highlight w:val="none"/>
              </w:rPr>
              <w:t>封面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78" w:type="dxa"/>
            <w:vMerge w:val="restart"/>
            <w:vAlign w:val="center"/>
          </w:tcPr>
          <w:p>
            <w:pPr>
              <w:jc w:val="center"/>
              <w:rPr>
                <w:highlight w:val="none"/>
              </w:rPr>
            </w:pPr>
            <w:r>
              <w:rPr>
                <w:rFonts w:hint="eastAsia" w:ascii="宋体" w:hAnsi="宋体" w:cs="宋体"/>
                <w:b/>
                <w:bCs/>
                <w:highlight w:val="none"/>
              </w:rPr>
              <w:t>资格性审查材料</w:t>
            </w:r>
          </w:p>
        </w:tc>
        <w:tc>
          <w:tcPr>
            <w:tcW w:w="7464" w:type="dxa"/>
            <w:vAlign w:val="center"/>
          </w:tcPr>
          <w:p>
            <w:pPr>
              <w:rPr>
                <w:rFonts w:ascii="宋体"/>
                <w:highlight w:val="none"/>
              </w:rPr>
            </w:pPr>
            <w:bookmarkStart w:id="1" w:name="定位_【循环符合性证明材料】_201244141212"/>
            <w:bookmarkEnd w:id="1"/>
            <w:bookmarkStart w:id="2" w:name="定位_【循环符合性证明材料】_20122614258"/>
            <w:bookmarkEnd w:id="2"/>
            <w:bookmarkStart w:id="3" w:name="定位_【循环符合性证明材料】_20122314636"/>
            <w:bookmarkEnd w:id="3"/>
            <w:r>
              <w:rPr>
                <w:rFonts w:ascii="宋体" w:hAnsi="宋体" w:cs="宋体"/>
                <w:highlight w:val="none"/>
              </w:rPr>
              <w:t>1.</w:t>
            </w:r>
            <w:r>
              <w:rPr>
                <w:rFonts w:hint="eastAsia" w:ascii="宋体" w:hAnsi="宋体" w:cs="宋体"/>
                <w:highlight w:val="none"/>
              </w:rPr>
              <w:t>营业执照副本复印件（或三证合一）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278" w:type="dxa"/>
            <w:vMerge w:val="continue"/>
            <w:vAlign w:val="center"/>
          </w:tcPr>
          <w:p>
            <w:pPr>
              <w:jc w:val="center"/>
              <w:rPr>
                <w:rFonts w:ascii="宋体"/>
                <w:b/>
                <w:bCs/>
                <w:highlight w:val="none"/>
              </w:rPr>
            </w:pPr>
          </w:p>
        </w:tc>
        <w:tc>
          <w:tcPr>
            <w:tcW w:w="7464" w:type="dxa"/>
            <w:vAlign w:val="center"/>
          </w:tcPr>
          <w:p>
            <w:pPr>
              <w:rPr>
                <w:rFonts w:ascii="宋体"/>
                <w:highlight w:val="none"/>
              </w:rPr>
            </w:pPr>
            <w:r>
              <w:rPr>
                <w:rFonts w:ascii="宋体" w:hAnsi="宋体" w:cs="宋体"/>
                <w:highlight w:val="none"/>
              </w:rPr>
              <w:t>2.</w:t>
            </w:r>
            <w:r>
              <w:rPr>
                <w:rFonts w:hint="eastAsia" w:ascii="宋体" w:hAnsi="宋体" w:cs="宋体"/>
                <w:highlight w:val="none"/>
              </w:rPr>
              <w:t>税务登记证副本复印件（或三证合一）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278" w:type="dxa"/>
            <w:vMerge w:val="continue"/>
            <w:vAlign w:val="center"/>
          </w:tcPr>
          <w:p>
            <w:pPr>
              <w:jc w:val="center"/>
              <w:rPr>
                <w:rFonts w:ascii="宋体"/>
                <w:b/>
                <w:bCs/>
                <w:highlight w:val="none"/>
              </w:rPr>
            </w:pPr>
          </w:p>
        </w:tc>
        <w:tc>
          <w:tcPr>
            <w:tcW w:w="7464" w:type="dxa"/>
            <w:vAlign w:val="center"/>
          </w:tcPr>
          <w:p>
            <w:pPr>
              <w:rPr>
                <w:rFonts w:ascii="宋体"/>
                <w:highlight w:val="none"/>
              </w:rPr>
            </w:pPr>
            <w:r>
              <w:rPr>
                <w:rFonts w:ascii="宋体" w:hAnsi="宋体" w:cs="宋体"/>
                <w:highlight w:val="none"/>
              </w:rPr>
              <w:t>3.</w:t>
            </w:r>
            <w:r>
              <w:rPr>
                <w:rFonts w:hint="eastAsia" w:ascii="宋体" w:hAnsi="宋体" w:cs="宋体"/>
                <w:highlight w:val="none"/>
              </w:rPr>
              <w:t>被授权人身份证复印件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278" w:type="dxa"/>
            <w:vMerge w:val="continue"/>
            <w:vAlign w:val="center"/>
          </w:tcPr>
          <w:p>
            <w:pPr>
              <w:jc w:val="center"/>
              <w:rPr>
                <w:rFonts w:ascii="宋体"/>
                <w:b/>
                <w:bCs/>
                <w:highlight w:val="none"/>
              </w:rPr>
            </w:pPr>
          </w:p>
        </w:tc>
        <w:tc>
          <w:tcPr>
            <w:tcW w:w="7464" w:type="dxa"/>
            <w:vAlign w:val="center"/>
          </w:tcPr>
          <w:p>
            <w:pPr>
              <w:rPr>
                <w:highlight w:val="none"/>
              </w:rPr>
            </w:pPr>
            <w:r>
              <w:rPr>
                <w:rFonts w:ascii="宋体" w:hAnsi="宋体" w:cs="宋体"/>
                <w:highlight w:val="none"/>
              </w:rPr>
              <w:t>4</w:t>
            </w:r>
            <w:r>
              <w:rPr>
                <w:rFonts w:ascii="宋体" w:cs="宋体"/>
                <w:highlight w:val="none"/>
              </w:rPr>
              <w:t>.</w:t>
            </w:r>
            <w:r>
              <w:rPr>
                <w:rFonts w:hint="eastAsia" w:cs="宋体"/>
                <w:highlight w:val="none"/>
              </w:rPr>
              <w:t>法定代表人资格证明书或法定代表人资格证明书及法定代表人授权委托书原件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278" w:type="dxa"/>
            <w:vMerge w:val="continue"/>
            <w:vAlign w:val="center"/>
          </w:tcPr>
          <w:p>
            <w:pPr>
              <w:jc w:val="center"/>
              <w:rPr>
                <w:rFonts w:ascii="宋体"/>
                <w:b/>
                <w:bCs/>
                <w:highlight w:val="none"/>
              </w:rPr>
            </w:pPr>
          </w:p>
        </w:tc>
        <w:tc>
          <w:tcPr>
            <w:tcW w:w="7464" w:type="dxa"/>
            <w:vAlign w:val="center"/>
          </w:tcPr>
          <w:p>
            <w:pPr>
              <w:rPr>
                <w:rFonts w:ascii="宋体"/>
                <w:highlight w:val="none"/>
              </w:rPr>
            </w:pPr>
            <w:r>
              <w:rPr>
                <w:rFonts w:ascii="宋体" w:hAnsi="宋体" w:cs="宋体"/>
                <w:highlight w:val="none"/>
              </w:rPr>
              <w:t>5.</w:t>
            </w:r>
            <w:r>
              <w:rPr>
                <w:rFonts w:hint="eastAsia" w:ascii="宋体" w:hAnsi="宋体" w:cs="宋体"/>
                <w:highlight w:val="none"/>
              </w:rPr>
              <w:t>参加本项采购活动前三年内，在经营活动中没有重大违法记录声明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278" w:type="dxa"/>
            <w:vMerge w:val="continue"/>
            <w:vAlign w:val="center"/>
          </w:tcPr>
          <w:p>
            <w:pPr>
              <w:jc w:val="center"/>
              <w:rPr>
                <w:rFonts w:ascii="宋体"/>
                <w:b/>
                <w:bCs/>
                <w:highlight w:val="none"/>
              </w:rPr>
            </w:pPr>
          </w:p>
        </w:tc>
        <w:tc>
          <w:tcPr>
            <w:tcW w:w="7464" w:type="dxa"/>
            <w:vAlign w:val="center"/>
          </w:tcPr>
          <w:p>
            <w:pPr>
              <w:rPr>
                <w:rFonts w:ascii="宋体"/>
                <w:highlight w:val="none"/>
              </w:rPr>
            </w:pPr>
            <w:r>
              <w:rPr>
                <w:rFonts w:ascii="宋体" w:hAnsi="宋体" w:cs="宋体"/>
                <w:highlight w:val="none"/>
              </w:rPr>
              <w:t>6.</w:t>
            </w:r>
            <w:r>
              <w:rPr>
                <w:rFonts w:hint="eastAsia" w:ascii="宋体" w:hAnsi="宋体" w:cs="宋体"/>
                <w:highlight w:val="none"/>
              </w:rPr>
              <w:t>近三个月任意一个月缴纳社会保险金和缴纳税金的证明材料复印件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278" w:type="dxa"/>
            <w:vMerge w:val="continue"/>
            <w:vAlign w:val="center"/>
          </w:tcPr>
          <w:p>
            <w:pPr>
              <w:jc w:val="center"/>
              <w:rPr>
                <w:rFonts w:ascii="宋体"/>
                <w:b/>
                <w:bCs/>
                <w:highlight w:val="none"/>
              </w:rPr>
            </w:pPr>
          </w:p>
        </w:tc>
        <w:tc>
          <w:tcPr>
            <w:tcW w:w="7464" w:type="dxa"/>
            <w:vAlign w:val="center"/>
          </w:tcPr>
          <w:p>
            <w:pPr>
              <w:rPr>
                <w:rFonts w:ascii="宋体"/>
                <w:highlight w:val="none"/>
              </w:rPr>
            </w:pPr>
            <w:r>
              <w:rPr>
                <w:rFonts w:ascii="宋体" w:hAnsi="宋体" w:cs="宋体"/>
                <w:highlight w:val="none"/>
              </w:rPr>
              <w:t>7.2017</w:t>
            </w:r>
            <w:r>
              <w:rPr>
                <w:rFonts w:hint="eastAsia" w:ascii="宋体" w:hAnsi="宋体" w:cs="宋体"/>
                <w:highlight w:val="none"/>
              </w:rPr>
              <w:t>年度财务审计报告复印件。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278" w:type="dxa"/>
            <w:vMerge w:val="continue"/>
            <w:vAlign w:val="center"/>
          </w:tcPr>
          <w:p>
            <w:pPr>
              <w:jc w:val="center"/>
              <w:rPr>
                <w:rFonts w:ascii="宋体"/>
                <w:b/>
                <w:bCs/>
                <w:highlight w:val="none"/>
              </w:rPr>
            </w:pPr>
          </w:p>
        </w:tc>
        <w:tc>
          <w:tcPr>
            <w:tcW w:w="7464" w:type="dxa"/>
            <w:vAlign w:val="center"/>
          </w:tcPr>
          <w:p>
            <w:pPr>
              <w:rPr>
                <w:highlight w:val="none"/>
              </w:rPr>
            </w:pPr>
            <w:r>
              <w:rPr>
                <w:rFonts w:ascii="宋体" w:hAnsi="宋体" w:cs="宋体"/>
                <w:highlight w:val="none"/>
              </w:rPr>
              <w:t>8.</w:t>
            </w:r>
            <w:r>
              <w:rPr>
                <w:highlight w:val="none"/>
              </w:rPr>
              <w:t xml:space="preserve"> </w:t>
            </w:r>
            <w:r>
              <w:rPr>
                <w:rFonts w:hint="eastAsia" w:cs="宋体"/>
                <w:highlight w:val="none"/>
              </w:rPr>
              <w:t>一标段：投标人须具有有效的营业执照，且营业执照经营范围含有园林绿化。</w:t>
            </w:r>
          </w:p>
          <w:p>
            <w:pPr>
              <w:rPr>
                <w:rFonts w:ascii="宋体"/>
                <w:highlight w:val="none"/>
              </w:rPr>
            </w:pPr>
            <w:r>
              <w:rPr>
                <w:rFonts w:hint="eastAsia" w:cs="宋体"/>
                <w:highlight w:val="none"/>
              </w:rPr>
              <w:t>二标段：投标人须具备具有建设行政主管部门颁发的工程监理综合资质或市政公用工程专业监理丙级及以上资质；拟派项目总监具备市政公用工程专业注册监理工程师资格，且必须是本单位在册职工。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278" w:type="dxa"/>
            <w:vMerge w:val="continue"/>
            <w:vAlign w:val="center"/>
          </w:tcPr>
          <w:p>
            <w:pPr>
              <w:jc w:val="center"/>
              <w:rPr>
                <w:rFonts w:ascii="宋体"/>
                <w:b/>
                <w:bCs/>
                <w:highlight w:val="none"/>
              </w:rPr>
            </w:pPr>
          </w:p>
        </w:tc>
        <w:tc>
          <w:tcPr>
            <w:tcW w:w="7464" w:type="dxa"/>
            <w:vAlign w:val="center"/>
          </w:tcPr>
          <w:p>
            <w:pPr>
              <w:numPr>
                <w:ilvl w:val="0"/>
                <w:numId w:val="4"/>
              </w:numPr>
              <w:rPr>
                <w:rFonts w:ascii="宋体"/>
                <w:highlight w:val="none"/>
              </w:rPr>
            </w:pPr>
            <w:r>
              <w:rPr>
                <w:rFonts w:hint="eastAsia" w:ascii="宋体" w:hAnsi="宋体" w:cs="宋体"/>
                <w:highlight w:val="none"/>
              </w:rPr>
              <w:t>提供履行合同所必需的设备和专业技术能力的证明材料</w:t>
            </w:r>
          </w:p>
          <w:p>
            <w:pPr>
              <w:rPr>
                <w:rFonts w:ascii="宋体"/>
                <w:highlight w:val="none"/>
              </w:rPr>
            </w:pPr>
            <w:r>
              <w:rPr>
                <w:rFonts w:hint="eastAsia" w:ascii="宋体" w:hAnsi="宋体" w:cs="宋体"/>
                <w:highlight w:val="none"/>
              </w:rPr>
              <w:t>相关设备的购置发票、专业技术人员职称证书、用工合同等或者投标人相关承诺函或声明。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278" w:type="dxa"/>
            <w:vMerge w:val="continue"/>
            <w:vAlign w:val="center"/>
          </w:tcPr>
          <w:p>
            <w:pPr>
              <w:jc w:val="center"/>
              <w:rPr>
                <w:rFonts w:ascii="宋体"/>
                <w:b/>
                <w:bCs/>
                <w:highlight w:val="none"/>
              </w:rPr>
            </w:pPr>
          </w:p>
        </w:tc>
        <w:tc>
          <w:tcPr>
            <w:tcW w:w="7464" w:type="dxa"/>
            <w:vAlign w:val="center"/>
          </w:tcPr>
          <w:p>
            <w:pPr>
              <w:rPr>
                <w:rFonts w:ascii="宋体"/>
                <w:highlight w:val="none"/>
              </w:rPr>
            </w:pPr>
            <w:r>
              <w:rPr>
                <w:rFonts w:ascii="宋体" w:hAnsi="宋体" w:cs="宋体"/>
                <w:highlight w:val="none"/>
              </w:rPr>
              <w:t>10.</w:t>
            </w:r>
            <w:r>
              <w:rPr>
                <w:rFonts w:hint="eastAsia" w:ascii="宋体" w:hAnsi="宋体" w:cs="宋体"/>
                <w:highlight w:val="none"/>
              </w:rPr>
              <w:t>谈判保证金交纳证明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278" w:type="dxa"/>
            <w:vMerge w:val="continue"/>
            <w:vAlign w:val="center"/>
          </w:tcPr>
          <w:p>
            <w:pPr>
              <w:jc w:val="center"/>
              <w:rPr>
                <w:rFonts w:ascii="宋体"/>
                <w:b/>
                <w:bCs/>
                <w:highlight w:val="none"/>
              </w:rPr>
            </w:pPr>
          </w:p>
        </w:tc>
        <w:tc>
          <w:tcPr>
            <w:tcW w:w="7464" w:type="dxa"/>
            <w:vAlign w:val="center"/>
          </w:tcPr>
          <w:p>
            <w:pPr>
              <w:rPr>
                <w:rFonts w:ascii="宋体"/>
                <w:highlight w:val="none"/>
              </w:rPr>
            </w:pPr>
            <w:r>
              <w:rPr>
                <w:rFonts w:ascii="宋体" w:hAnsi="宋体" w:cs="宋体"/>
                <w:highlight w:val="none"/>
              </w:rPr>
              <w:t xml:space="preserve">11. </w:t>
            </w:r>
            <w:r>
              <w:rPr>
                <w:rFonts w:hint="eastAsia" w:ascii="宋体" w:hAnsi="宋体" w:cs="宋体"/>
                <w:highlight w:val="none"/>
              </w:rPr>
              <w:t>未被列入“信用中国”网站</w:t>
            </w:r>
            <w:r>
              <w:rPr>
                <w:rFonts w:ascii="宋体" w:hAnsi="宋体" w:cs="宋体"/>
                <w:highlight w:val="none"/>
              </w:rPr>
              <w:t>(www.creditchina.gov.cn)</w:t>
            </w:r>
            <w:r>
              <w:rPr>
                <w:rFonts w:hint="eastAsia" w:ascii="宋体" w:hAnsi="宋体" w:cs="宋体"/>
                <w:highlight w:val="none"/>
              </w:rPr>
              <w:t>信用记录失信被执行人、重大税收违法案件当事人名单、政府采购严重违法失信名单的供应商；中国政府采购网</w:t>
            </w:r>
            <w:r>
              <w:rPr>
                <w:rFonts w:ascii="宋体" w:hAnsi="宋体" w:cs="宋体"/>
                <w:highlight w:val="none"/>
              </w:rPr>
              <w:t>(www.ccgp.gov.cn)</w:t>
            </w:r>
            <w:r>
              <w:rPr>
                <w:rFonts w:hint="eastAsia" w:ascii="宋体" w:hAnsi="宋体" w:cs="宋体"/>
                <w:highlight w:val="none"/>
              </w:rPr>
              <w:t>政府采购严重违法失信行为记录名单的供应商人。以谈判现场，采购方现场查询为准。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278" w:type="dxa"/>
            <w:vMerge w:val="continue"/>
            <w:vAlign w:val="center"/>
          </w:tcPr>
          <w:p>
            <w:pPr>
              <w:jc w:val="center"/>
              <w:rPr>
                <w:rFonts w:ascii="宋体"/>
                <w:b/>
                <w:bCs/>
                <w:highlight w:val="none"/>
              </w:rPr>
            </w:pPr>
          </w:p>
        </w:tc>
        <w:tc>
          <w:tcPr>
            <w:tcW w:w="7464" w:type="dxa"/>
            <w:vAlign w:val="center"/>
          </w:tcPr>
          <w:p>
            <w:pPr>
              <w:numPr>
                <w:ilvl w:val="0"/>
                <w:numId w:val="5"/>
              </w:numPr>
              <w:rPr>
                <w:rFonts w:ascii="宋体"/>
                <w:highlight w:val="none"/>
              </w:rPr>
            </w:pPr>
            <w:r>
              <w:rPr>
                <w:rFonts w:hint="eastAsia" w:ascii="宋体" w:hAnsi="宋体" w:cs="宋体"/>
                <w:highlight w:val="none"/>
              </w:rPr>
              <w:t>报价（优惠率）</w:t>
            </w:r>
          </w:p>
          <w:p>
            <w:pPr>
              <w:rPr>
                <w:rFonts w:ascii="宋体"/>
                <w:highlight w:val="none"/>
              </w:rPr>
            </w:pPr>
            <w:r>
              <w:rPr>
                <w:rFonts w:hint="eastAsia" w:ascii="宋体" w:hAnsi="宋体" w:cs="宋体"/>
                <w:highlight w:val="none"/>
                <w:lang w:val="zh-CN"/>
              </w:rPr>
              <w:t>是否超出</w:t>
            </w:r>
            <w:r>
              <w:rPr>
                <w:rFonts w:hint="eastAsia" w:ascii="宋体" w:hAnsi="宋体" w:cs="宋体"/>
                <w:highlight w:val="none"/>
              </w:rPr>
              <w:t>谈判</w:t>
            </w:r>
            <w:r>
              <w:rPr>
                <w:rFonts w:hint="eastAsia" w:ascii="宋体" w:hAnsi="宋体" w:cs="宋体"/>
                <w:highlight w:val="none"/>
                <w:lang w:val="zh-CN"/>
              </w:rPr>
              <w:t>文件中规定的</w:t>
            </w:r>
            <w:r>
              <w:rPr>
                <w:rFonts w:hint="eastAsia" w:ascii="宋体" w:hAnsi="宋体" w:cs="宋体"/>
                <w:highlight w:val="none"/>
              </w:rPr>
              <w:t>预算上限</w:t>
            </w:r>
            <w:r>
              <w:rPr>
                <w:rFonts w:hint="eastAsia" w:ascii="宋体" w:hAnsi="宋体" w:cs="宋体"/>
                <w:highlight w:val="none"/>
                <w:lang w:val="zh-CN"/>
              </w:rPr>
              <w:t>，超出预算</w:t>
            </w:r>
            <w:r>
              <w:rPr>
                <w:rFonts w:hint="eastAsia" w:ascii="宋体" w:hAnsi="宋体" w:cs="宋体"/>
                <w:highlight w:val="none"/>
              </w:rPr>
              <w:t>上限</w:t>
            </w:r>
            <w:r>
              <w:rPr>
                <w:rFonts w:hint="eastAsia" w:ascii="宋体" w:hAnsi="宋体" w:cs="宋体"/>
                <w:highlight w:val="none"/>
                <w:lang w:val="zh-CN"/>
              </w:rPr>
              <w:t>的投标无效。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2278" w:type="dxa"/>
            <w:vMerge w:val="restart"/>
            <w:vAlign w:val="center"/>
          </w:tcPr>
          <w:p>
            <w:pPr>
              <w:jc w:val="center"/>
              <w:rPr>
                <w:rFonts w:ascii="宋体"/>
                <w:b/>
                <w:bCs/>
                <w:highlight w:val="none"/>
              </w:rPr>
            </w:pPr>
            <w:r>
              <w:rPr>
                <w:rFonts w:hint="eastAsia" w:ascii="宋体" w:hAnsi="宋体" w:cs="宋体"/>
                <w:b/>
                <w:bCs/>
                <w:highlight w:val="none"/>
              </w:rPr>
              <w:t>符合性审查材料</w:t>
            </w:r>
          </w:p>
        </w:tc>
        <w:tc>
          <w:tcPr>
            <w:tcW w:w="7464" w:type="dxa"/>
            <w:vAlign w:val="center"/>
          </w:tcPr>
          <w:p>
            <w:pPr>
              <w:jc w:val="left"/>
              <w:rPr>
                <w:rFonts w:ascii="宋体"/>
                <w:highlight w:val="none"/>
              </w:rPr>
            </w:pPr>
            <w:bookmarkStart w:id="4" w:name="定位_【循环资格性证明材料】_20122314645"/>
            <w:bookmarkEnd w:id="4"/>
            <w:bookmarkStart w:id="5" w:name="定位_【循环资格性证明材料】_201244141223"/>
            <w:bookmarkEnd w:id="5"/>
            <w:bookmarkStart w:id="6" w:name="定位_【循环资格性证明材料】_2012261436"/>
            <w:bookmarkEnd w:id="6"/>
            <w:r>
              <w:rPr>
                <w:rFonts w:ascii="宋体" w:hAnsi="宋体" w:cs="宋体"/>
                <w:highlight w:val="none"/>
              </w:rPr>
              <w:t>1</w:t>
            </w:r>
            <w:r>
              <w:rPr>
                <w:rFonts w:ascii="宋体" w:cs="宋体"/>
                <w:kern w:val="0"/>
                <w:highlight w:val="none"/>
              </w:rPr>
              <w:t>.</w:t>
            </w:r>
            <w:r>
              <w:rPr>
                <w:rFonts w:hint="eastAsia" w:ascii="宋体" w:hAnsi="宋体" w:cs="宋体"/>
                <w:highlight w:val="none"/>
              </w:rPr>
              <w:t>谈判响应</w:t>
            </w:r>
            <w:r>
              <w:rPr>
                <w:rFonts w:hint="eastAsia" w:ascii="宋体" w:hAnsi="宋体" w:cs="宋体"/>
                <w:kern w:val="0"/>
                <w:highlight w:val="none"/>
              </w:rPr>
              <w:t>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278" w:type="dxa"/>
            <w:vMerge w:val="continue"/>
            <w:vAlign w:val="center"/>
          </w:tcPr>
          <w:p>
            <w:pPr>
              <w:jc w:val="center"/>
              <w:rPr>
                <w:rFonts w:ascii="宋体"/>
                <w:b/>
                <w:bCs/>
                <w:highlight w:val="none"/>
              </w:rPr>
            </w:pPr>
          </w:p>
        </w:tc>
        <w:tc>
          <w:tcPr>
            <w:tcW w:w="7464" w:type="dxa"/>
            <w:vAlign w:val="center"/>
          </w:tcPr>
          <w:p>
            <w:pPr>
              <w:jc w:val="left"/>
              <w:rPr>
                <w:rFonts w:ascii="宋体"/>
                <w:highlight w:val="none"/>
              </w:rPr>
            </w:pPr>
            <w:r>
              <w:rPr>
                <w:rFonts w:ascii="宋体" w:hAnsi="宋体" w:cs="宋体"/>
                <w:highlight w:val="none"/>
              </w:rPr>
              <w:t>2</w:t>
            </w:r>
            <w:r>
              <w:rPr>
                <w:rFonts w:ascii="宋体" w:cs="宋体"/>
                <w:kern w:val="0"/>
                <w:highlight w:val="none"/>
              </w:rPr>
              <w:t>.</w:t>
            </w:r>
            <w:r>
              <w:rPr>
                <w:rFonts w:hint="eastAsia" w:ascii="宋体" w:hAnsi="宋体" w:cs="宋体"/>
                <w:highlight w:val="none"/>
              </w:rPr>
              <w:t>报价一览表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278" w:type="dxa"/>
            <w:vMerge w:val="continue"/>
            <w:vAlign w:val="center"/>
          </w:tcPr>
          <w:p>
            <w:pPr>
              <w:jc w:val="center"/>
              <w:rPr>
                <w:rFonts w:ascii="宋体"/>
                <w:b/>
                <w:bCs/>
                <w:highlight w:val="none"/>
              </w:rPr>
            </w:pPr>
          </w:p>
        </w:tc>
        <w:tc>
          <w:tcPr>
            <w:tcW w:w="7464" w:type="dxa"/>
            <w:vAlign w:val="center"/>
          </w:tcPr>
          <w:p>
            <w:pPr>
              <w:jc w:val="left"/>
              <w:rPr>
                <w:rFonts w:ascii="宋体"/>
                <w:highlight w:val="none"/>
              </w:rPr>
            </w:pPr>
            <w:r>
              <w:rPr>
                <w:rFonts w:ascii="宋体" w:hAnsi="宋体" w:cs="宋体"/>
                <w:highlight w:val="none"/>
              </w:rPr>
              <w:t>3</w:t>
            </w:r>
            <w:r>
              <w:rPr>
                <w:rFonts w:ascii="宋体" w:cs="宋体"/>
                <w:kern w:val="0"/>
                <w:highlight w:val="none"/>
              </w:rPr>
              <w:t>.</w:t>
            </w:r>
            <w:r>
              <w:rPr>
                <w:rFonts w:hint="eastAsia" w:ascii="宋体" w:hAnsi="宋体" w:cs="宋体"/>
                <w:highlight w:val="none"/>
              </w:rPr>
              <w:t>承诺书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2278" w:type="dxa"/>
            <w:vMerge w:val="continue"/>
            <w:vAlign w:val="center"/>
          </w:tcPr>
          <w:p>
            <w:pPr>
              <w:jc w:val="center"/>
              <w:rPr>
                <w:rFonts w:ascii="宋体"/>
                <w:b/>
                <w:bCs/>
                <w:highlight w:val="none"/>
              </w:rPr>
            </w:pPr>
          </w:p>
        </w:tc>
        <w:tc>
          <w:tcPr>
            <w:tcW w:w="7464" w:type="dxa"/>
            <w:vAlign w:val="center"/>
          </w:tcPr>
          <w:p>
            <w:pPr>
              <w:jc w:val="left"/>
              <w:rPr>
                <w:rFonts w:ascii="宋体"/>
                <w:highlight w:val="none"/>
              </w:rPr>
            </w:pPr>
            <w:r>
              <w:rPr>
                <w:rFonts w:ascii="宋体" w:hAnsi="宋体" w:cs="宋体"/>
                <w:highlight w:val="none"/>
              </w:rPr>
              <w:t>4.</w:t>
            </w:r>
            <w:r>
              <w:rPr>
                <w:rFonts w:hint="eastAsia" w:ascii="宋体" w:hAnsi="宋体" w:cs="宋体"/>
                <w:highlight w:val="none"/>
              </w:rPr>
              <w:t>实施方案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2278" w:type="dxa"/>
            <w:vMerge w:val="continue"/>
            <w:vAlign w:val="center"/>
          </w:tcPr>
          <w:p>
            <w:pPr>
              <w:jc w:val="center"/>
              <w:rPr>
                <w:rFonts w:ascii="宋体"/>
                <w:b/>
                <w:bCs/>
                <w:highlight w:val="none"/>
              </w:rPr>
            </w:pPr>
          </w:p>
        </w:tc>
        <w:tc>
          <w:tcPr>
            <w:tcW w:w="7464" w:type="dxa"/>
            <w:vAlign w:val="center"/>
          </w:tcPr>
          <w:p>
            <w:pPr>
              <w:jc w:val="left"/>
              <w:rPr>
                <w:rFonts w:ascii="宋体"/>
                <w:highlight w:val="none"/>
              </w:rPr>
            </w:pPr>
            <w:r>
              <w:rPr>
                <w:rFonts w:ascii="宋体" w:hAnsi="宋体" w:cs="宋体"/>
                <w:highlight w:val="none"/>
              </w:rPr>
              <w:t>5.</w:t>
            </w:r>
            <w:r>
              <w:rPr>
                <w:rFonts w:hint="eastAsia" w:ascii="宋体" w:hAnsi="宋体" w:cs="宋体"/>
                <w:highlight w:val="none"/>
              </w:rPr>
              <w:t>响应文件实质响应情况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2278" w:type="dxa"/>
            <w:tcBorders>
              <w:bottom w:val="double" w:color="auto" w:sz="4" w:space="0"/>
            </w:tcBorders>
            <w:vAlign w:val="center"/>
          </w:tcPr>
          <w:p>
            <w:pPr>
              <w:jc w:val="center"/>
              <w:rPr>
                <w:rFonts w:ascii="宋体"/>
                <w:b/>
                <w:bCs/>
                <w:highlight w:val="none"/>
              </w:rPr>
            </w:pPr>
            <w:r>
              <w:rPr>
                <w:rFonts w:hint="eastAsia" w:ascii="宋体" w:hAnsi="宋体" w:cs="宋体"/>
                <w:b/>
                <w:bCs/>
                <w:highlight w:val="none"/>
              </w:rPr>
              <w:t>其他材料</w:t>
            </w:r>
          </w:p>
        </w:tc>
        <w:tc>
          <w:tcPr>
            <w:tcW w:w="7464" w:type="dxa"/>
            <w:tcBorders>
              <w:bottom w:val="double" w:color="auto" w:sz="4" w:space="0"/>
            </w:tcBorders>
            <w:vAlign w:val="center"/>
          </w:tcPr>
          <w:p>
            <w:pPr>
              <w:jc w:val="left"/>
              <w:rPr>
                <w:rFonts w:ascii="宋体"/>
                <w:highlight w:val="none"/>
              </w:rPr>
            </w:pPr>
            <w:r>
              <w:rPr>
                <w:rFonts w:hint="eastAsia" w:ascii="宋体" w:hAnsi="宋体" w:cs="宋体"/>
                <w:highlight w:val="none"/>
              </w:rPr>
              <w:t>谈判供应商认为需要提供的其他相关数据和材料</w:t>
            </w:r>
          </w:p>
        </w:tc>
      </w:tr>
    </w:tbl>
    <w:p>
      <w:pPr>
        <w:ind w:firstLine="569" w:firstLineChars="236"/>
        <w:rPr>
          <w:rFonts w:ascii="宋体"/>
          <w:b/>
          <w:bCs/>
          <w:kern w:val="0"/>
          <w:sz w:val="24"/>
          <w:szCs w:val="24"/>
          <w:highlight w:val="none"/>
        </w:rPr>
      </w:pPr>
    </w:p>
    <w:p>
      <w:pPr>
        <w:ind w:firstLine="569" w:firstLineChars="236"/>
        <w:rPr>
          <w:rFonts w:ascii="宋体"/>
          <w:b/>
          <w:bCs/>
          <w:kern w:val="0"/>
          <w:sz w:val="24"/>
          <w:szCs w:val="24"/>
          <w:highlight w:val="none"/>
        </w:rPr>
      </w:pPr>
      <w:r>
        <w:rPr>
          <w:rFonts w:hint="eastAsia" w:ascii="宋体" w:hAnsi="宋体" w:cs="宋体"/>
          <w:b/>
          <w:bCs/>
          <w:kern w:val="0"/>
          <w:sz w:val="24"/>
          <w:szCs w:val="24"/>
          <w:highlight w:val="none"/>
        </w:rPr>
        <w:t>一、特别说明</w:t>
      </w:r>
    </w:p>
    <w:p>
      <w:pPr>
        <w:spacing w:line="440" w:lineRule="exact"/>
        <w:ind w:firstLine="480" w:firstLineChars="200"/>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“资格性审查材料”和“符合性审查材料”均须加盖供应商的公章。“资格性审查材料”和“符合性审查材料”中有一项不符合要求，谈判响应文件无效。</w:t>
      </w:r>
    </w:p>
    <w:p>
      <w:pPr>
        <w:spacing w:line="440" w:lineRule="exact"/>
        <w:ind w:firstLine="480" w:firstLineChars="20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对于给定格式的，必须按照给定的格式进行填报；没有给定格式的，供应商可以自行设计。</w:t>
      </w:r>
    </w:p>
    <w:p>
      <w:pPr>
        <w:spacing w:line="440" w:lineRule="exact"/>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不具有独立运作并自负盈亏的企业法人的分公司没有企业法人授权的拒绝参加谈判。</w:t>
      </w:r>
    </w:p>
    <w:p>
      <w:pPr>
        <w:spacing w:line="440" w:lineRule="exact"/>
        <w:ind w:firstLine="480" w:firstLineChars="200"/>
        <w:rPr>
          <w:rFonts w:ascii="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谈判响应文件依据谈判文件的要求提供的各类证明文件，须在谈判响应文件中提供加盖公章的复印件，竞争性谈判现场还须提供“资格性审查材料”</w:t>
      </w:r>
      <w:r>
        <w:rPr>
          <w:rFonts w:ascii="宋体" w:hAnsi="宋体" w:cs="宋体"/>
          <w:sz w:val="24"/>
          <w:szCs w:val="24"/>
          <w:highlight w:val="none"/>
        </w:rPr>
        <w:t>1</w:t>
      </w: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w:t>
      </w:r>
      <w:r>
        <w:rPr>
          <w:rFonts w:ascii="宋体" w:hAnsi="宋体" w:cs="宋体"/>
          <w:sz w:val="24"/>
          <w:szCs w:val="24"/>
          <w:highlight w:val="none"/>
        </w:rPr>
        <w:t>8</w:t>
      </w:r>
      <w:r>
        <w:rPr>
          <w:rFonts w:hint="eastAsia" w:ascii="宋体" w:hAnsi="宋体" w:cs="宋体"/>
          <w:sz w:val="24"/>
          <w:szCs w:val="24"/>
          <w:highlight w:val="none"/>
        </w:rPr>
        <w:t>项与复印件一致的原件查验，否则拒绝其参加谈判。</w:t>
      </w:r>
    </w:p>
    <w:p>
      <w:pPr>
        <w:spacing w:line="400" w:lineRule="exact"/>
        <w:ind w:firstLine="542" w:firstLineChars="225"/>
        <w:rPr>
          <w:rFonts w:ascii="宋体"/>
          <w:kern w:val="0"/>
          <w:sz w:val="24"/>
          <w:szCs w:val="24"/>
          <w:highlight w:val="none"/>
        </w:rPr>
      </w:pPr>
      <w:bookmarkStart w:id="7" w:name="定位_【采购人代理协议类型】_201042105219"/>
      <w:bookmarkEnd w:id="7"/>
      <w:r>
        <w:rPr>
          <w:rFonts w:hint="eastAsia" w:ascii="宋体" w:hAnsi="宋体" w:cs="宋体"/>
          <w:b/>
          <w:bCs/>
          <w:kern w:val="0"/>
          <w:sz w:val="24"/>
          <w:szCs w:val="24"/>
          <w:highlight w:val="none"/>
        </w:rPr>
        <w:t>二、谈判响应文件有下列情形之一的，按照无效谈判（或拒绝参加谈判）处理：</w:t>
      </w:r>
    </w:p>
    <w:p>
      <w:pPr>
        <w:spacing w:line="400" w:lineRule="exact"/>
        <w:ind w:firstLine="540" w:firstLineChars="225"/>
        <w:rPr>
          <w:rFonts w:ascii="宋体"/>
          <w:kern w:val="0"/>
          <w:sz w:val="24"/>
          <w:szCs w:val="24"/>
          <w:highlight w:val="none"/>
        </w:rPr>
      </w:pPr>
      <w:r>
        <w:rPr>
          <w:rFonts w:ascii="宋体" w:hAnsi="宋体" w:cs="宋体"/>
          <w:kern w:val="0"/>
          <w:sz w:val="24"/>
          <w:szCs w:val="24"/>
          <w:highlight w:val="none"/>
        </w:rPr>
        <w:t>1</w:t>
      </w:r>
      <w:r>
        <w:rPr>
          <w:rFonts w:hint="eastAsia" w:ascii="宋体" w:hAnsi="宋体" w:cs="宋体"/>
          <w:kern w:val="0"/>
          <w:sz w:val="24"/>
          <w:szCs w:val="24"/>
          <w:highlight w:val="none"/>
        </w:rPr>
        <w:t>．未提供谈判响应文件第三章所要求的“符合性审查材料”和“资格性审查材料”，或虽然提供了上述材料但未加盖谈判供应商公章的；</w:t>
      </w:r>
    </w:p>
    <w:p>
      <w:pPr>
        <w:spacing w:line="400" w:lineRule="exact"/>
        <w:ind w:firstLine="540" w:firstLineChars="225"/>
        <w:rPr>
          <w:rFonts w:ascii="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．谈判供应商的法定代表人（代表人）或其授权委托人未参加谈判会议且未在谈判参加记录上签字确认的；</w:t>
      </w:r>
    </w:p>
    <w:p>
      <w:pPr>
        <w:spacing w:line="400" w:lineRule="exact"/>
        <w:ind w:firstLine="540" w:firstLineChars="225"/>
        <w:rPr>
          <w:rFonts w:ascii="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．谈判响应文件附有不能接受的条件的；</w:t>
      </w:r>
    </w:p>
    <w:p>
      <w:pPr>
        <w:spacing w:line="400" w:lineRule="exact"/>
        <w:ind w:firstLine="540" w:firstLineChars="225"/>
        <w:rPr>
          <w:rFonts w:ascii="宋体"/>
          <w:kern w:val="0"/>
          <w:sz w:val="24"/>
          <w:szCs w:val="24"/>
          <w:highlight w:val="none"/>
        </w:rPr>
      </w:pPr>
      <w:r>
        <w:rPr>
          <w:rFonts w:ascii="宋体" w:hAnsi="宋体" w:cs="宋体"/>
          <w:kern w:val="0"/>
          <w:sz w:val="24"/>
          <w:szCs w:val="24"/>
          <w:highlight w:val="none"/>
        </w:rPr>
        <w:t>4</w:t>
      </w:r>
      <w:r>
        <w:rPr>
          <w:rFonts w:hint="eastAsia" w:ascii="宋体" w:hAnsi="宋体" w:cs="宋体"/>
          <w:kern w:val="0"/>
          <w:sz w:val="24"/>
          <w:szCs w:val="24"/>
          <w:highlight w:val="none"/>
        </w:rPr>
        <w:t>．谈判响应文件中未提供法人授权书原件和被授权人身份证复印件的，或者法定代表人参加谈判未提供身份证复印件的；</w:t>
      </w:r>
    </w:p>
    <w:p>
      <w:pPr>
        <w:spacing w:line="400" w:lineRule="exact"/>
        <w:ind w:firstLine="540" w:firstLineChars="225"/>
        <w:rPr>
          <w:rFonts w:ascii="宋体"/>
          <w:kern w:val="0"/>
          <w:sz w:val="24"/>
          <w:szCs w:val="24"/>
          <w:highlight w:val="none"/>
        </w:rPr>
      </w:pPr>
      <w:r>
        <w:rPr>
          <w:rFonts w:ascii="宋体" w:hAnsi="宋体" w:cs="宋体"/>
          <w:kern w:val="0"/>
          <w:sz w:val="24"/>
          <w:szCs w:val="24"/>
          <w:highlight w:val="none"/>
        </w:rPr>
        <w:t>5</w:t>
      </w:r>
      <w:r>
        <w:rPr>
          <w:rFonts w:hint="eastAsia" w:ascii="宋体" w:hAnsi="宋体" w:cs="宋体"/>
          <w:kern w:val="0"/>
          <w:sz w:val="24"/>
          <w:szCs w:val="24"/>
          <w:highlight w:val="none"/>
        </w:rPr>
        <w:t>．谈判响应文件未提供要求提供的相关证明文件复印件的；</w:t>
      </w:r>
    </w:p>
    <w:p>
      <w:pPr>
        <w:spacing w:line="400" w:lineRule="exact"/>
        <w:ind w:firstLine="540" w:firstLineChars="225"/>
        <w:rPr>
          <w:rFonts w:ascii="宋体"/>
          <w:kern w:val="0"/>
          <w:sz w:val="24"/>
          <w:szCs w:val="24"/>
          <w:highlight w:val="none"/>
        </w:rPr>
      </w:pPr>
      <w:r>
        <w:rPr>
          <w:rFonts w:ascii="宋体" w:hAnsi="宋体" w:cs="宋体"/>
          <w:kern w:val="0"/>
          <w:sz w:val="24"/>
          <w:szCs w:val="24"/>
          <w:highlight w:val="none"/>
        </w:rPr>
        <w:t>6</w:t>
      </w:r>
      <w:r>
        <w:rPr>
          <w:rFonts w:hint="eastAsia" w:ascii="宋体" w:hAnsi="宋体" w:cs="宋体"/>
          <w:kern w:val="0"/>
          <w:sz w:val="24"/>
          <w:szCs w:val="24"/>
          <w:highlight w:val="none"/>
        </w:rPr>
        <w:t>．谈判响应文件出现不符合法律、法规规定的其他实质性要求的；</w:t>
      </w:r>
    </w:p>
    <w:p>
      <w:pPr>
        <w:spacing w:line="400" w:lineRule="exact"/>
        <w:ind w:firstLine="540" w:firstLineChars="225"/>
        <w:rPr>
          <w:rFonts w:ascii="宋体"/>
          <w:kern w:val="0"/>
          <w:sz w:val="24"/>
          <w:szCs w:val="24"/>
          <w:highlight w:val="none"/>
        </w:rPr>
        <w:sectPr>
          <w:footerReference r:id="rId7" w:type="first"/>
          <w:footerReference r:id="rId6" w:type="default"/>
          <w:pgSz w:w="11910" w:h="16840"/>
          <w:pgMar w:top="1440" w:right="1800" w:bottom="1440" w:left="1800" w:header="0" w:footer="894" w:gutter="0"/>
          <w:pgNumType w:start="1"/>
          <w:cols w:space="720" w:num="1"/>
          <w:titlePg/>
        </w:sectPr>
      </w:pPr>
      <w:r>
        <w:rPr>
          <w:rFonts w:ascii="宋体" w:hAnsi="宋体" w:cs="宋体"/>
          <w:kern w:val="0"/>
          <w:sz w:val="24"/>
          <w:szCs w:val="24"/>
          <w:highlight w:val="none"/>
        </w:rPr>
        <w:t>7</w:t>
      </w:r>
      <w:r>
        <w:rPr>
          <w:rFonts w:hint="eastAsia" w:ascii="宋体" w:hAnsi="宋体" w:cs="宋体"/>
          <w:kern w:val="0"/>
          <w:sz w:val="24"/>
          <w:szCs w:val="24"/>
          <w:highlight w:val="none"/>
        </w:rPr>
        <w:t>．出现影响采购公正的违法、违规行为的。</w:t>
      </w:r>
    </w:p>
    <w:p>
      <w:pPr>
        <w:spacing w:line="360" w:lineRule="auto"/>
        <w:jc w:val="center"/>
        <w:rPr>
          <w:rFonts w:ascii="宋体"/>
          <w:sz w:val="24"/>
          <w:szCs w:val="24"/>
          <w:highlight w:val="none"/>
        </w:rPr>
      </w:pPr>
      <w:r>
        <w:rPr>
          <w:rFonts w:hint="eastAsia" w:ascii="宋体" w:hAnsi="宋体" w:cs="宋体"/>
          <w:b/>
          <w:bCs/>
          <w:sz w:val="36"/>
          <w:szCs w:val="36"/>
          <w:highlight w:val="none"/>
        </w:rPr>
        <w:t>第四章</w:t>
      </w:r>
      <w:r>
        <w:rPr>
          <w:rFonts w:ascii="宋体" w:hAnsi="宋体" w:cs="宋体"/>
          <w:b/>
          <w:bCs/>
          <w:sz w:val="36"/>
          <w:szCs w:val="36"/>
          <w:highlight w:val="none"/>
        </w:rPr>
        <w:t xml:space="preserve">  </w:t>
      </w:r>
      <w:r>
        <w:rPr>
          <w:rFonts w:hint="eastAsia" w:ascii="宋体" w:hAnsi="宋体" w:cs="宋体"/>
          <w:b/>
          <w:bCs/>
          <w:sz w:val="36"/>
          <w:szCs w:val="36"/>
          <w:highlight w:val="none"/>
        </w:rPr>
        <w:t>评审方法及成交原则</w:t>
      </w:r>
    </w:p>
    <w:p>
      <w:pPr>
        <w:spacing w:line="400" w:lineRule="exact"/>
        <w:ind w:firstLine="542" w:firstLineChars="225"/>
        <w:rPr>
          <w:rFonts w:ascii="宋体"/>
          <w:b/>
          <w:bCs/>
          <w:kern w:val="0"/>
          <w:sz w:val="24"/>
          <w:szCs w:val="24"/>
          <w:highlight w:val="none"/>
        </w:rPr>
      </w:pPr>
      <w:r>
        <w:rPr>
          <w:rFonts w:hint="eastAsia" w:ascii="宋体" w:hAnsi="宋体" w:cs="宋体"/>
          <w:b/>
          <w:bCs/>
          <w:kern w:val="0"/>
          <w:sz w:val="24"/>
          <w:szCs w:val="24"/>
          <w:highlight w:val="none"/>
        </w:rPr>
        <w:t>一、评审方法</w:t>
      </w:r>
    </w:p>
    <w:p>
      <w:pPr>
        <w:spacing w:line="400" w:lineRule="exact"/>
        <w:ind w:firstLine="480" w:firstLineChars="200"/>
        <w:rPr>
          <w:rFonts w:ascii="宋体"/>
          <w:kern w:val="0"/>
          <w:sz w:val="24"/>
          <w:szCs w:val="24"/>
          <w:highlight w:val="none"/>
        </w:rPr>
      </w:pPr>
      <w:r>
        <w:rPr>
          <w:rFonts w:ascii="宋体" w:hAnsi="宋体" w:cs="宋体"/>
          <w:kern w:val="0"/>
          <w:sz w:val="24"/>
          <w:szCs w:val="24"/>
          <w:highlight w:val="none"/>
        </w:rPr>
        <w:t>1</w:t>
      </w:r>
      <w:r>
        <w:rPr>
          <w:rFonts w:hint="eastAsia" w:ascii="宋体" w:hAnsi="宋体" w:cs="宋体"/>
          <w:kern w:val="0"/>
          <w:sz w:val="24"/>
          <w:szCs w:val="24"/>
          <w:highlight w:val="none"/>
        </w:rPr>
        <w:t>、进行资格审查</w:t>
      </w:r>
    </w:p>
    <w:p>
      <w:pPr>
        <w:spacing w:line="400" w:lineRule="exact"/>
        <w:ind w:firstLine="480" w:firstLineChars="200"/>
        <w:rPr>
          <w:rFonts w:ascii="宋体"/>
          <w:kern w:val="0"/>
          <w:sz w:val="24"/>
          <w:szCs w:val="24"/>
          <w:highlight w:val="none"/>
        </w:rPr>
      </w:pPr>
      <w:r>
        <w:rPr>
          <w:rFonts w:hint="eastAsia" w:ascii="宋体" w:hAnsi="宋体" w:cs="宋体"/>
          <w:kern w:val="0"/>
          <w:sz w:val="24"/>
          <w:szCs w:val="24"/>
          <w:highlight w:val="none"/>
        </w:rPr>
        <w:t>由采购人按照谈判文件的规定</w:t>
      </w:r>
      <w:r>
        <w:rPr>
          <w:rFonts w:ascii="宋体" w:cs="宋体"/>
          <w:kern w:val="0"/>
          <w:sz w:val="24"/>
          <w:szCs w:val="24"/>
          <w:highlight w:val="none"/>
        </w:rPr>
        <w:t>,</w:t>
      </w:r>
      <w:r>
        <w:rPr>
          <w:rFonts w:hint="eastAsia" w:ascii="宋体" w:hAnsi="宋体" w:cs="宋体"/>
          <w:kern w:val="0"/>
          <w:sz w:val="24"/>
          <w:szCs w:val="24"/>
          <w:highlight w:val="none"/>
        </w:rPr>
        <w:t>对响应供应商的资格进行审查</w:t>
      </w:r>
      <w:r>
        <w:rPr>
          <w:rFonts w:ascii="宋体" w:cs="宋体"/>
          <w:kern w:val="0"/>
          <w:sz w:val="24"/>
          <w:szCs w:val="24"/>
          <w:highlight w:val="none"/>
        </w:rPr>
        <w:t>,</w:t>
      </w:r>
      <w:r>
        <w:rPr>
          <w:rFonts w:hint="eastAsia" w:ascii="宋体" w:hAnsi="宋体" w:cs="宋体"/>
          <w:kern w:val="0"/>
          <w:sz w:val="24"/>
          <w:szCs w:val="24"/>
          <w:highlight w:val="none"/>
        </w:rPr>
        <w:t>审查合格后方可进入符合性审查。不符合资格审查的谈判响应供应商，为未响应谈判文件规定的资格条件，采购人拒绝参加下一步谈判。</w:t>
      </w:r>
    </w:p>
    <w:p>
      <w:pPr>
        <w:spacing w:line="400" w:lineRule="exact"/>
        <w:ind w:firstLine="480" w:firstLineChars="200"/>
        <w:rPr>
          <w:rFonts w:ascii="宋体"/>
          <w:kern w:val="0"/>
          <w:sz w:val="24"/>
          <w:szCs w:val="24"/>
          <w:highlight w:val="none"/>
        </w:rPr>
      </w:pPr>
      <w:r>
        <w:rPr>
          <w:rFonts w:hint="eastAsia" w:ascii="宋体" w:hAnsi="宋体" w:cs="宋体"/>
          <w:kern w:val="0"/>
          <w:sz w:val="24"/>
          <w:szCs w:val="24"/>
          <w:highlight w:val="none"/>
        </w:rPr>
        <w:t>资格审查内容详见第三章资格审查的要求。</w:t>
      </w:r>
    </w:p>
    <w:p>
      <w:pPr>
        <w:spacing w:line="400" w:lineRule="exact"/>
        <w:ind w:firstLine="480" w:firstLineChars="200"/>
        <w:rPr>
          <w:rFonts w:ascii="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、符合性审查</w:t>
      </w:r>
    </w:p>
    <w:p>
      <w:pPr>
        <w:spacing w:line="400" w:lineRule="exact"/>
        <w:ind w:firstLine="540" w:firstLineChars="225"/>
        <w:rPr>
          <w:rFonts w:ascii="宋体"/>
          <w:kern w:val="0"/>
          <w:sz w:val="24"/>
          <w:szCs w:val="24"/>
          <w:highlight w:val="none"/>
        </w:rPr>
      </w:pPr>
      <w:r>
        <w:rPr>
          <w:rFonts w:hint="eastAsia" w:ascii="宋体" w:hAnsi="宋体" w:cs="宋体"/>
          <w:kern w:val="0"/>
          <w:sz w:val="24"/>
          <w:szCs w:val="24"/>
          <w:highlight w:val="none"/>
        </w:rPr>
        <w:t>由谈判小组按照谈判文件的规定对谈判响应供应商的响应文件进行审查</w:t>
      </w:r>
      <w:r>
        <w:rPr>
          <w:rFonts w:ascii="宋体" w:cs="宋体"/>
          <w:kern w:val="0"/>
          <w:sz w:val="24"/>
          <w:szCs w:val="24"/>
          <w:highlight w:val="none"/>
        </w:rPr>
        <w:t>,</w:t>
      </w:r>
      <w:r>
        <w:rPr>
          <w:rFonts w:hint="eastAsia" w:ascii="宋体" w:hAnsi="宋体" w:cs="宋体"/>
          <w:kern w:val="0"/>
          <w:sz w:val="24"/>
          <w:szCs w:val="24"/>
          <w:highlight w:val="none"/>
        </w:rPr>
        <w:t>并根据谈判小组的要求进行谈判响应的补正，</w:t>
      </w:r>
    </w:p>
    <w:p>
      <w:pPr>
        <w:spacing w:line="400" w:lineRule="exact"/>
        <w:ind w:firstLine="480" w:firstLineChars="200"/>
        <w:rPr>
          <w:rFonts w:ascii="宋体"/>
          <w:kern w:val="0"/>
          <w:sz w:val="24"/>
          <w:szCs w:val="24"/>
          <w:highlight w:val="none"/>
        </w:rPr>
      </w:pPr>
      <w:r>
        <w:rPr>
          <w:rFonts w:hint="eastAsia" w:ascii="宋体" w:hAnsi="宋体" w:cs="宋体"/>
          <w:kern w:val="0"/>
          <w:sz w:val="24"/>
          <w:szCs w:val="24"/>
          <w:highlight w:val="none"/>
        </w:rPr>
        <w:t>符合性审查合格后方可进入下一步谈判。不符合符合审查的谈判响应供应商，为未响应谈判文件规定的资格条件，采购人拒绝参加下一步谈判。</w:t>
      </w:r>
    </w:p>
    <w:p>
      <w:pPr>
        <w:pStyle w:val="14"/>
        <w:spacing w:after="0" w:line="400" w:lineRule="atLeast"/>
        <w:ind w:firstLineChars="175"/>
        <w:rPr>
          <w:rFonts w:ascii="宋体" w:cs="Times New Roman"/>
          <w:highlight w:val="none"/>
        </w:rPr>
      </w:pPr>
      <w:r>
        <w:rPr>
          <w:rFonts w:hint="eastAsia" w:ascii="宋体" w:hAnsi="宋体" w:cs="宋体"/>
          <w:highlight w:val="none"/>
        </w:rPr>
        <w:t>符合性审查内容详见第三章符合性审查的要求。</w:t>
      </w:r>
    </w:p>
    <w:p>
      <w:pPr>
        <w:pStyle w:val="14"/>
        <w:spacing w:after="0" w:line="400" w:lineRule="atLeast"/>
        <w:ind w:firstLineChars="175"/>
        <w:rPr>
          <w:rFonts w:ascii="宋体" w:cs="Times New Roman"/>
          <w:highlight w:val="none"/>
        </w:rPr>
      </w:pPr>
      <w:r>
        <w:rPr>
          <w:rFonts w:ascii="宋体" w:hAnsi="宋体" w:cs="宋体"/>
          <w:highlight w:val="none"/>
        </w:rPr>
        <w:t>3</w:t>
      </w:r>
      <w:r>
        <w:rPr>
          <w:rFonts w:hint="eastAsia" w:ascii="宋体" w:hAnsi="宋体" w:cs="宋体"/>
          <w:highlight w:val="none"/>
        </w:rPr>
        <w:t>、选择谈判方法</w:t>
      </w:r>
    </w:p>
    <w:p>
      <w:pPr>
        <w:pStyle w:val="14"/>
        <w:spacing w:after="0" w:line="400" w:lineRule="atLeast"/>
        <w:ind w:firstLineChars="175"/>
        <w:rPr>
          <w:rFonts w:ascii="宋体" w:cs="Times New Roman"/>
          <w:highlight w:val="none"/>
        </w:rPr>
      </w:pPr>
      <w:r>
        <w:rPr>
          <w:rFonts w:hint="eastAsia" w:ascii="宋体" w:hAnsi="宋体" w:cs="宋体"/>
          <w:highlight w:val="none"/>
        </w:rPr>
        <w:t>由谈判小组按照谈判文件的规定对通过资格审查和符合性审查的供应商的谈判响应性文件进行综合打分，综合得分≧</w:t>
      </w:r>
      <w:r>
        <w:rPr>
          <w:rFonts w:ascii="宋体" w:hAnsi="宋体" w:cs="宋体"/>
          <w:highlight w:val="none"/>
        </w:rPr>
        <w:t>80</w:t>
      </w:r>
      <w:r>
        <w:rPr>
          <w:rFonts w:hint="eastAsia" w:ascii="宋体" w:hAnsi="宋体" w:cs="宋体"/>
          <w:highlight w:val="none"/>
        </w:rPr>
        <w:t>，进入下一步报价谈判，并要求其在规定时间提交报价。</w:t>
      </w:r>
    </w:p>
    <w:p>
      <w:pPr>
        <w:pStyle w:val="14"/>
        <w:spacing w:after="0" w:line="400" w:lineRule="atLeast"/>
        <w:ind w:left="420" w:firstLine="0" w:firstLineChars="0"/>
        <w:rPr>
          <w:rFonts w:ascii="宋体" w:cs="Times New Roman"/>
          <w:highlight w:val="none"/>
        </w:rPr>
      </w:pPr>
      <w:r>
        <w:rPr>
          <w:rFonts w:ascii="宋体" w:hAnsi="宋体" w:cs="宋体"/>
          <w:highlight w:val="none"/>
        </w:rPr>
        <w:t>4</w:t>
      </w:r>
      <w:r>
        <w:rPr>
          <w:rFonts w:hint="eastAsia" w:ascii="宋体" w:hAnsi="宋体" w:cs="宋体"/>
          <w:highlight w:val="none"/>
        </w:rPr>
        <w:t>、谈判小组对响应文件进行评审，并根据谈判文件规定的程序、评定成交的标准等事</w:t>
      </w:r>
    </w:p>
    <w:p>
      <w:pPr>
        <w:pStyle w:val="14"/>
        <w:spacing w:after="0" w:line="400" w:lineRule="atLeast"/>
        <w:ind w:firstLine="0" w:firstLineChars="0"/>
        <w:rPr>
          <w:rFonts w:ascii="宋体" w:cs="Times New Roman"/>
          <w:highlight w:val="none"/>
        </w:rPr>
      </w:pPr>
      <w:r>
        <w:rPr>
          <w:rFonts w:hint="eastAsia" w:ascii="宋体" w:hAnsi="宋体" w:cs="宋体"/>
          <w:highlight w:val="none"/>
        </w:rPr>
        <w:t>项与实质性响应谈判文件要求的供应商进行谈判。谈判小组全体人员应当集中与单一供应商分别进行谈判，并给所有参加谈判的供应商平等的谈判机会。</w:t>
      </w:r>
      <w:r>
        <w:rPr>
          <w:rFonts w:ascii="宋体" w:hAnsi="宋体" w:cs="宋体"/>
          <w:highlight w:val="none"/>
        </w:rPr>
        <w:t xml:space="preserve"> </w:t>
      </w:r>
    </w:p>
    <w:p>
      <w:pPr>
        <w:pStyle w:val="14"/>
        <w:spacing w:after="0" w:line="400" w:lineRule="atLeast"/>
        <w:ind w:firstLine="480" w:firstLineChars="200"/>
        <w:rPr>
          <w:rFonts w:ascii="宋体" w:cs="Times New Roman"/>
          <w:highlight w:val="none"/>
        </w:rPr>
      </w:pPr>
      <w:r>
        <w:rPr>
          <w:rFonts w:ascii="宋体" w:hAnsi="宋体" w:cs="宋体"/>
          <w:highlight w:val="none"/>
        </w:rPr>
        <w:t>5</w:t>
      </w:r>
      <w:r>
        <w:rPr>
          <w:rFonts w:hint="eastAsia" w:ascii="宋体" w:hAnsi="宋体" w:cs="宋体"/>
          <w:highlight w:val="none"/>
        </w:rPr>
        <w:t>、在谈判过程中，谈判小组可以根据谈判文件和谈判情况实质性变动采购需求中的服务要求以及合同草案条款，但不得变动谈判文件中的其他内容。谈判小组实质性变动的内容，须经采购方同意，对谈判文件作出的实质性变动是谈判文件的有效组成部分，谈判小组同时通知所有参加谈判的供应商。供应商应当按照谈判文件的变动情况和谈判小组的要求重新响应文件或补正文件。</w:t>
      </w:r>
    </w:p>
    <w:p>
      <w:pPr>
        <w:pStyle w:val="14"/>
        <w:spacing w:after="0" w:line="400" w:lineRule="atLeast"/>
        <w:ind w:firstLine="480" w:firstLineChars="200"/>
        <w:rPr>
          <w:rFonts w:ascii="宋体" w:cs="Times New Roman"/>
          <w:highlight w:val="none"/>
        </w:rPr>
      </w:pPr>
      <w:r>
        <w:rPr>
          <w:rFonts w:ascii="宋体" w:hAnsi="宋体" w:cs="宋体"/>
          <w:highlight w:val="none"/>
        </w:rPr>
        <w:t>6</w:t>
      </w:r>
      <w:r>
        <w:rPr>
          <w:rFonts w:hint="eastAsia" w:ascii="宋体" w:hAnsi="宋体" w:cs="宋体"/>
          <w:highlight w:val="none"/>
        </w:rPr>
        <w:t>、谈判小组应当从服务均能满足采购文件实质性响应要求并且综合得分≧</w:t>
      </w:r>
      <w:r>
        <w:rPr>
          <w:rFonts w:ascii="宋体" w:hAnsi="宋体" w:cs="宋体"/>
          <w:highlight w:val="none"/>
        </w:rPr>
        <w:t>80</w:t>
      </w:r>
      <w:r>
        <w:rPr>
          <w:rFonts w:hint="eastAsia" w:ascii="宋体" w:hAnsi="宋体" w:cs="宋体"/>
          <w:highlight w:val="none"/>
        </w:rPr>
        <w:t>的供应商中，按照最后报价（优惠率）由高到低的顺序推荐成交候选人（具体推荐数量详见第二章“性谈判文件基本内容及要求”），并编写评审报告。</w:t>
      </w:r>
    </w:p>
    <w:p>
      <w:pPr>
        <w:spacing w:line="400" w:lineRule="exact"/>
        <w:ind w:firstLine="542" w:firstLineChars="225"/>
        <w:rPr>
          <w:rFonts w:ascii="宋体"/>
          <w:b/>
          <w:bCs/>
          <w:kern w:val="0"/>
          <w:sz w:val="24"/>
          <w:szCs w:val="24"/>
          <w:highlight w:val="none"/>
        </w:rPr>
      </w:pPr>
      <w:r>
        <w:rPr>
          <w:rFonts w:hint="eastAsia" w:ascii="宋体" w:hAnsi="宋体" w:cs="宋体"/>
          <w:b/>
          <w:bCs/>
          <w:kern w:val="0"/>
          <w:sz w:val="24"/>
          <w:szCs w:val="24"/>
          <w:highlight w:val="none"/>
        </w:rPr>
        <w:t>二、确定成交供应商的原则</w:t>
      </w:r>
    </w:p>
    <w:p>
      <w:pPr>
        <w:spacing w:line="400" w:lineRule="exact"/>
        <w:ind w:firstLine="540" w:firstLineChars="225"/>
        <w:rPr>
          <w:rFonts w:ascii="宋体"/>
          <w:kern w:val="0"/>
          <w:sz w:val="24"/>
          <w:szCs w:val="24"/>
          <w:highlight w:val="none"/>
        </w:rPr>
      </w:pPr>
      <w:r>
        <w:rPr>
          <w:rFonts w:ascii="宋体" w:hAnsi="宋体" w:cs="宋体"/>
          <w:kern w:val="0"/>
          <w:sz w:val="24"/>
          <w:szCs w:val="24"/>
          <w:highlight w:val="none"/>
        </w:rPr>
        <w:t>1</w:t>
      </w:r>
      <w:r>
        <w:rPr>
          <w:rFonts w:hint="eastAsia" w:ascii="宋体" w:hAnsi="宋体" w:cs="宋体"/>
          <w:kern w:val="0"/>
          <w:sz w:val="24"/>
          <w:szCs w:val="24"/>
          <w:highlight w:val="none"/>
        </w:rPr>
        <w:t>．谈判结束后，谈判小组应当所有符合要求参加谈判的供应商在规定时间内进行最后报价，采购人从谈判小组提出的成交候选人中根据报价（优惠率）由高到低的顺序原则确定成交供应商。</w:t>
      </w:r>
    </w:p>
    <w:p>
      <w:pPr>
        <w:spacing w:line="400" w:lineRule="exact"/>
        <w:ind w:firstLine="480" w:firstLineChars="200"/>
        <w:rPr>
          <w:rFonts w:ascii="宋体"/>
          <w:b/>
          <w:bCs/>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w:t>
      </w:r>
      <w:r>
        <w:rPr>
          <w:rFonts w:hint="eastAsia" w:ascii="宋体" w:hAnsi="宋体" w:cs="宋体"/>
          <w:sz w:val="24"/>
          <w:szCs w:val="24"/>
          <w:highlight w:val="none"/>
        </w:rPr>
        <w:t>最终报价的优惠率相同的，按综合得分的高低进行排序。</w:t>
      </w:r>
      <w:r>
        <w:rPr>
          <w:rFonts w:hint="eastAsia" w:ascii="宋体" w:hAnsi="宋体" w:cs="宋体"/>
          <w:b/>
          <w:bCs/>
          <w:sz w:val="24"/>
          <w:szCs w:val="24"/>
          <w:highlight w:val="none"/>
        </w:rPr>
        <w:t>谈判小组认为，排在前面的成交候选供应商的最低谈判报价或者某些分项报价明显不合理或者低于成本，有可能影响服务质量和不能诚信履约的，应当要求其在规定的期限内提供书面文件予以解释说明，并提交相关证明材料；否则，谈判小组可以取消该供应商的成交候选资格，按顺序由排在后面的成交候选供应商递补，以此类推。</w:t>
      </w:r>
    </w:p>
    <w:p>
      <w:pPr>
        <w:spacing w:line="400" w:lineRule="exact"/>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．评审中遇到的其他问题，由谈判小组集体研究决定。</w:t>
      </w:r>
    </w:p>
    <w:p>
      <w:pPr>
        <w:pStyle w:val="21"/>
        <w:spacing w:line="400" w:lineRule="exact"/>
        <w:ind w:firstLine="482" w:firstLineChars="200"/>
        <w:rPr>
          <w:rFonts w:hAnsi="宋体" w:cs="Times New Roman"/>
          <w:b/>
          <w:bCs/>
          <w:sz w:val="24"/>
          <w:szCs w:val="24"/>
          <w:highlight w:val="none"/>
        </w:rPr>
      </w:pPr>
      <w:r>
        <w:rPr>
          <w:rFonts w:hAnsi="宋体"/>
          <w:b/>
          <w:bCs/>
          <w:sz w:val="24"/>
          <w:szCs w:val="24"/>
          <w:highlight w:val="none"/>
        </w:rPr>
        <w:t>4.</w:t>
      </w:r>
      <w:r>
        <w:rPr>
          <w:rFonts w:hint="eastAsia" w:hAnsi="宋体"/>
          <w:b/>
          <w:bCs/>
          <w:sz w:val="24"/>
          <w:szCs w:val="24"/>
          <w:highlight w:val="none"/>
        </w:rPr>
        <w:t>评分标准</w:t>
      </w:r>
    </w:p>
    <w:p>
      <w:pPr>
        <w:pStyle w:val="14"/>
        <w:ind w:firstLine="241"/>
        <w:jc w:val="center"/>
        <w:rPr>
          <w:rFonts w:ascii="宋体" w:cs="Times New Roman"/>
          <w:b/>
          <w:bCs/>
          <w:highlight w:val="none"/>
        </w:rPr>
      </w:pPr>
      <w:r>
        <w:rPr>
          <w:rFonts w:hint="eastAsia" w:ascii="宋体" w:hAnsi="宋体" w:cs="宋体"/>
          <w:b/>
          <w:bCs/>
          <w:highlight w:val="none"/>
        </w:rPr>
        <w:t>一标段：选定</w:t>
      </w:r>
      <w:r>
        <w:rPr>
          <w:rFonts w:ascii="宋体" w:hAnsi="宋体" w:cs="宋体"/>
          <w:b/>
          <w:bCs/>
          <w:highlight w:val="none"/>
        </w:rPr>
        <w:t>3</w:t>
      </w:r>
      <w:r>
        <w:rPr>
          <w:rFonts w:hint="eastAsia" w:ascii="宋体" w:hAnsi="宋体" w:cs="宋体"/>
          <w:b/>
          <w:bCs/>
          <w:highlight w:val="none"/>
        </w:rPr>
        <w:t>家苗木供应公司</w:t>
      </w:r>
    </w:p>
    <w:tbl>
      <w:tblPr>
        <w:tblStyle w:val="38"/>
        <w:tblW w:w="966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3"/>
        <w:gridCol w:w="6334"/>
        <w:gridCol w:w="1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jc w:val="center"/>
        </w:trPr>
        <w:tc>
          <w:tcPr>
            <w:tcW w:w="2183" w:type="dxa"/>
          </w:tcPr>
          <w:p>
            <w:pPr>
              <w:pStyle w:val="118"/>
              <w:spacing w:line="447" w:lineRule="exact"/>
              <w:ind w:left="147" w:right="143"/>
              <w:jc w:val="center"/>
              <w:rPr>
                <w:rFonts w:ascii="宋体" w:cs="Times New Roman"/>
                <w:highlight w:val="none"/>
              </w:rPr>
            </w:pPr>
            <w:r>
              <w:rPr>
                <w:rFonts w:hint="eastAsia" w:ascii="宋体" w:hAnsi="宋体" w:cs="宋体"/>
                <w:highlight w:val="none"/>
              </w:rPr>
              <w:t>分值构成</w:t>
            </w:r>
          </w:p>
          <w:p>
            <w:pPr>
              <w:pStyle w:val="118"/>
              <w:spacing w:line="468" w:lineRule="exact"/>
              <w:ind w:left="147" w:right="143"/>
              <w:jc w:val="center"/>
              <w:rPr>
                <w:rFonts w:ascii="宋体" w:cs="Times New Roman"/>
                <w:highlight w:val="none"/>
              </w:rPr>
            </w:pPr>
            <w:r>
              <w:rPr>
                <w:rFonts w:ascii="宋体" w:hAnsi="宋体" w:cs="宋体"/>
                <w:w w:val="120"/>
                <w:highlight w:val="none"/>
              </w:rPr>
              <w:t>(</w:t>
            </w:r>
            <w:r>
              <w:rPr>
                <w:rFonts w:hint="eastAsia" w:ascii="宋体" w:hAnsi="宋体" w:cs="宋体"/>
                <w:highlight w:val="none"/>
              </w:rPr>
              <w:t>总</w:t>
            </w:r>
            <w:r>
              <w:rPr>
                <w:rFonts w:ascii="宋体" w:hAnsi="宋体" w:cs="宋体"/>
                <w:highlight w:val="none"/>
              </w:rPr>
              <w:t xml:space="preserve">100 </w:t>
            </w:r>
            <w:r>
              <w:rPr>
                <w:rFonts w:hint="eastAsia" w:ascii="宋体" w:hAnsi="宋体" w:cs="宋体"/>
                <w:highlight w:val="none"/>
              </w:rPr>
              <w:t>分</w:t>
            </w:r>
            <w:r>
              <w:rPr>
                <w:rFonts w:ascii="宋体" w:hAnsi="宋体" w:cs="宋体"/>
                <w:w w:val="120"/>
                <w:highlight w:val="none"/>
              </w:rPr>
              <w:t>)</w:t>
            </w:r>
          </w:p>
        </w:tc>
        <w:tc>
          <w:tcPr>
            <w:tcW w:w="7479" w:type="dxa"/>
            <w:gridSpan w:val="2"/>
          </w:tcPr>
          <w:p>
            <w:pPr>
              <w:pStyle w:val="118"/>
              <w:tabs>
                <w:tab w:val="left" w:pos="2265"/>
                <w:tab w:val="left" w:pos="2745"/>
              </w:tabs>
              <w:spacing w:line="447" w:lineRule="exact"/>
              <w:ind w:left="585"/>
              <w:rPr>
                <w:rFonts w:ascii="宋体" w:cs="Times New Roman"/>
                <w:highlight w:val="none"/>
              </w:rPr>
            </w:pPr>
            <w:r>
              <w:rPr>
                <w:rFonts w:hint="eastAsia" w:ascii="宋体" w:hAnsi="宋体" w:cs="宋体"/>
                <w:highlight w:val="none"/>
              </w:rPr>
              <w:t>商务部分：</w:t>
            </w:r>
            <w:r>
              <w:rPr>
                <w:rFonts w:ascii="宋体" w:cs="Times New Roman"/>
                <w:highlight w:val="none"/>
                <w:u w:val="single"/>
              </w:rPr>
              <w:tab/>
            </w:r>
            <w:r>
              <w:rPr>
                <w:rFonts w:ascii="宋体" w:hAnsi="宋体" w:cs="宋体"/>
                <w:highlight w:val="none"/>
                <w:u w:val="single"/>
              </w:rPr>
              <w:t>45</w:t>
            </w:r>
            <w:r>
              <w:rPr>
                <w:rFonts w:ascii="宋体" w:hAnsi="宋体" w:cs="宋体"/>
                <w:highlight w:val="none"/>
                <w:u w:val="single"/>
              </w:rPr>
              <w:tab/>
            </w:r>
            <w:r>
              <w:rPr>
                <w:rFonts w:hint="eastAsia" w:ascii="宋体" w:hAnsi="宋体" w:cs="宋体"/>
                <w:highlight w:val="none"/>
              </w:rPr>
              <w:t>分</w:t>
            </w:r>
          </w:p>
          <w:p>
            <w:pPr>
              <w:pStyle w:val="118"/>
              <w:tabs>
                <w:tab w:val="left" w:pos="2265"/>
                <w:tab w:val="left" w:pos="2745"/>
              </w:tabs>
              <w:spacing w:line="468" w:lineRule="exact"/>
              <w:ind w:left="585"/>
              <w:rPr>
                <w:rFonts w:ascii="宋体" w:cs="Times New Roman"/>
                <w:highlight w:val="none"/>
              </w:rPr>
            </w:pPr>
            <w:r>
              <w:rPr>
                <w:rFonts w:hint="eastAsia" w:ascii="宋体" w:hAnsi="宋体" w:cs="宋体"/>
                <w:highlight w:val="none"/>
              </w:rPr>
              <w:t>技术部分：</w:t>
            </w:r>
            <w:r>
              <w:rPr>
                <w:rFonts w:ascii="宋体" w:cs="Times New Roman"/>
                <w:highlight w:val="none"/>
                <w:u w:val="single"/>
              </w:rPr>
              <w:tab/>
            </w:r>
            <w:r>
              <w:rPr>
                <w:rFonts w:ascii="宋体" w:hAnsi="宋体" w:cs="宋体"/>
                <w:highlight w:val="none"/>
                <w:u w:val="single"/>
              </w:rPr>
              <w:t>55</w:t>
            </w:r>
            <w:r>
              <w:rPr>
                <w:rFonts w:ascii="宋体" w:hAnsi="宋体" w:cs="宋体"/>
                <w:highlight w:val="none"/>
                <w:u w:val="single"/>
              </w:rPr>
              <w:tab/>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jc w:val="center"/>
        </w:trPr>
        <w:tc>
          <w:tcPr>
            <w:tcW w:w="9662" w:type="dxa"/>
            <w:gridSpan w:val="3"/>
            <w:vAlign w:val="center"/>
          </w:tcPr>
          <w:p>
            <w:pPr>
              <w:pStyle w:val="118"/>
              <w:spacing w:before="9"/>
              <w:ind w:left="4"/>
              <w:jc w:val="center"/>
              <w:rPr>
                <w:rFonts w:ascii="宋体" w:cs="Times New Roman"/>
                <w:highlight w:val="none"/>
              </w:rPr>
            </w:pPr>
            <w:r>
              <w:rPr>
                <w:rFonts w:hint="eastAsia" w:ascii="宋体" w:hAnsi="宋体" w:cs="宋体"/>
                <w:highlight w:val="none"/>
              </w:rPr>
              <w:t>商务部分（满分</w:t>
            </w:r>
            <w:r>
              <w:rPr>
                <w:rFonts w:ascii="宋体" w:hAnsi="宋体" w:cs="宋体"/>
                <w:highlight w:val="none"/>
                <w:u w:val="single"/>
              </w:rPr>
              <w:t xml:space="preserve">  45  </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jc w:val="center"/>
        </w:trPr>
        <w:tc>
          <w:tcPr>
            <w:tcW w:w="2183" w:type="dxa"/>
          </w:tcPr>
          <w:p>
            <w:pPr>
              <w:pStyle w:val="118"/>
              <w:spacing w:before="7"/>
              <w:ind w:left="146" w:right="143"/>
              <w:jc w:val="center"/>
              <w:rPr>
                <w:rFonts w:ascii="宋体" w:cs="Times New Roman"/>
                <w:highlight w:val="none"/>
              </w:rPr>
            </w:pPr>
            <w:r>
              <w:rPr>
                <w:rFonts w:hint="eastAsia" w:ascii="宋体" w:hAnsi="宋体" w:cs="宋体"/>
                <w:highlight w:val="none"/>
              </w:rPr>
              <w:t>评分因素</w:t>
            </w:r>
          </w:p>
        </w:tc>
        <w:tc>
          <w:tcPr>
            <w:tcW w:w="6334" w:type="dxa"/>
          </w:tcPr>
          <w:p>
            <w:pPr>
              <w:pStyle w:val="118"/>
              <w:spacing w:before="7"/>
              <w:ind w:left="125" w:right="125"/>
              <w:jc w:val="center"/>
              <w:rPr>
                <w:rFonts w:ascii="宋体" w:cs="Times New Roman"/>
                <w:highlight w:val="none"/>
              </w:rPr>
            </w:pPr>
            <w:r>
              <w:rPr>
                <w:rFonts w:hint="eastAsia" w:ascii="宋体" w:hAnsi="宋体" w:cs="宋体"/>
                <w:highlight w:val="none"/>
              </w:rPr>
              <w:t>评标标准</w:t>
            </w:r>
          </w:p>
        </w:tc>
        <w:tc>
          <w:tcPr>
            <w:tcW w:w="1145" w:type="dxa"/>
          </w:tcPr>
          <w:p>
            <w:pPr>
              <w:pStyle w:val="118"/>
              <w:spacing w:before="7"/>
              <w:ind w:left="179" w:right="174"/>
              <w:jc w:val="center"/>
              <w:rPr>
                <w:rFonts w:ascii="宋体" w:cs="Times New Roman"/>
                <w:highlight w:val="none"/>
              </w:rPr>
            </w:pPr>
            <w:r>
              <w:rPr>
                <w:rFonts w:hint="eastAsia" w:ascii="宋体" w:hAnsi="宋体" w:cs="宋体"/>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2" w:hRule="atLeast"/>
          <w:jc w:val="center"/>
        </w:trPr>
        <w:tc>
          <w:tcPr>
            <w:tcW w:w="2183" w:type="dxa"/>
            <w:vAlign w:val="center"/>
          </w:tcPr>
          <w:p>
            <w:pPr>
              <w:pStyle w:val="118"/>
              <w:spacing w:before="208"/>
              <w:ind w:right="391"/>
              <w:jc w:val="center"/>
              <w:rPr>
                <w:rFonts w:ascii="宋体" w:cs="Times New Roman"/>
                <w:highlight w:val="none"/>
              </w:rPr>
            </w:pPr>
            <w:r>
              <w:rPr>
                <w:rFonts w:ascii="宋体" w:hAnsi="宋体" w:cs="宋体"/>
                <w:highlight w:val="none"/>
              </w:rPr>
              <w:t xml:space="preserve">    </w:t>
            </w:r>
            <w:r>
              <w:rPr>
                <w:rFonts w:hint="eastAsia" w:ascii="宋体" w:hAnsi="宋体" w:cs="宋体"/>
                <w:highlight w:val="none"/>
              </w:rPr>
              <w:t>企业业绩</w:t>
            </w:r>
          </w:p>
        </w:tc>
        <w:tc>
          <w:tcPr>
            <w:tcW w:w="6334" w:type="dxa"/>
            <w:vAlign w:val="center"/>
          </w:tcPr>
          <w:p>
            <w:pPr>
              <w:pStyle w:val="118"/>
              <w:spacing w:line="483" w:lineRule="exact"/>
              <w:ind w:left="104"/>
              <w:rPr>
                <w:rFonts w:ascii="宋体" w:cs="Times New Roman"/>
                <w:b/>
                <w:bCs/>
                <w:highlight w:val="none"/>
              </w:rPr>
            </w:pPr>
            <w:r>
              <w:rPr>
                <w:rFonts w:hint="eastAsia" w:ascii="宋体" w:hAnsi="宋体" w:cs="宋体"/>
                <w:highlight w:val="none"/>
              </w:rPr>
              <w:t>投标人自</w:t>
            </w:r>
            <w:r>
              <w:rPr>
                <w:rFonts w:ascii="宋体" w:hAnsi="宋体" w:cs="宋体"/>
                <w:highlight w:val="none"/>
              </w:rPr>
              <w:t>2015</w:t>
            </w:r>
            <w:r>
              <w:rPr>
                <w:rFonts w:hint="eastAsia" w:ascii="宋体" w:hAnsi="宋体" w:cs="宋体"/>
                <w:highlight w:val="none"/>
              </w:rPr>
              <w:t>年</w:t>
            </w:r>
            <w:r>
              <w:rPr>
                <w:rFonts w:ascii="宋体" w:hAnsi="宋体" w:cs="宋体"/>
                <w:highlight w:val="none"/>
              </w:rPr>
              <w:t>1</w:t>
            </w:r>
            <w:r>
              <w:rPr>
                <w:rFonts w:hint="eastAsia" w:ascii="宋体" w:hAnsi="宋体" w:cs="宋体"/>
                <w:highlight w:val="none"/>
              </w:rPr>
              <w:t>月</w:t>
            </w:r>
            <w:r>
              <w:rPr>
                <w:rFonts w:ascii="宋体" w:hAnsi="宋体" w:cs="宋体"/>
                <w:highlight w:val="none"/>
              </w:rPr>
              <w:t>1</w:t>
            </w:r>
            <w:r>
              <w:rPr>
                <w:rFonts w:hint="eastAsia" w:ascii="宋体" w:hAnsi="宋体" w:cs="宋体"/>
                <w:highlight w:val="none"/>
              </w:rPr>
              <w:t>日以来承接过类似项目，</w:t>
            </w:r>
            <w:r>
              <w:rPr>
                <w:rFonts w:ascii="Arial" w:hAnsi="Arial" w:cs="Arial"/>
                <w:kern w:val="0"/>
                <w:highlight w:val="none"/>
              </w:rPr>
              <w:t>.</w:t>
            </w:r>
            <w:r>
              <w:rPr>
                <w:rFonts w:hint="eastAsia" w:ascii="宋体" w:hAnsi="宋体" w:cs="宋体"/>
                <w:highlight w:val="none"/>
              </w:rPr>
              <w:t>每提供一项得</w:t>
            </w:r>
            <w:r>
              <w:rPr>
                <w:rFonts w:ascii="宋体" w:hAnsi="宋体" w:cs="宋体"/>
                <w:highlight w:val="none"/>
              </w:rPr>
              <w:t>5</w:t>
            </w:r>
            <w:r>
              <w:rPr>
                <w:rFonts w:hint="eastAsia" w:ascii="宋体" w:hAnsi="宋体" w:cs="宋体"/>
                <w:highlight w:val="none"/>
              </w:rPr>
              <w:t>分，最多得</w:t>
            </w:r>
            <w:r>
              <w:rPr>
                <w:rFonts w:ascii="宋体" w:hAnsi="宋体" w:cs="宋体"/>
                <w:highlight w:val="none"/>
              </w:rPr>
              <w:t>15</w:t>
            </w:r>
            <w:r>
              <w:rPr>
                <w:rFonts w:hint="eastAsia" w:ascii="宋体" w:hAnsi="宋体" w:cs="宋体"/>
                <w:highlight w:val="none"/>
              </w:rPr>
              <w:t>分。</w:t>
            </w:r>
            <w:r>
              <w:rPr>
                <w:rFonts w:hint="eastAsia" w:ascii="Arial" w:hAnsi="Arial" w:cs="宋体"/>
                <w:b/>
                <w:bCs/>
                <w:kern w:val="0"/>
                <w:highlight w:val="none"/>
              </w:rPr>
              <w:t>（以合同为准）</w:t>
            </w:r>
          </w:p>
        </w:tc>
        <w:tc>
          <w:tcPr>
            <w:tcW w:w="1145" w:type="dxa"/>
            <w:vAlign w:val="center"/>
          </w:tcPr>
          <w:p>
            <w:pPr>
              <w:pStyle w:val="118"/>
              <w:spacing w:before="184"/>
              <w:ind w:left="179" w:right="176"/>
              <w:jc w:val="center"/>
              <w:rPr>
                <w:rFonts w:ascii="宋体" w:cs="Times New Roman"/>
                <w:highlight w:val="none"/>
              </w:rPr>
            </w:pPr>
            <w:r>
              <w:rPr>
                <w:rFonts w:ascii="宋体" w:hAnsi="宋体" w:cs="宋体"/>
                <w:highlight w:val="none"/>
              </w:rPr>
              <w:t xml:space="preserve">15 </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jc w:val="center"/>
        </w:trPr>
        <w:tc>
          <w:tcPr>
            <w:tcW w:w="2183" w:type="dxa"/>
            <w:vAlign w:val="center"/>
          </w:tcPr>
          <w:p>
            <w:pPr>
              <w:pStyle w:val="118"/>
              <w:spacing w:line="483" w:lineRule="exact"/>
              <w:ind w:left="104"/>
              <w:jc w:val="center"/>
              <w:rPr>
                <w:rFonts w:ascii="宋体" w:cs="Times New Roman"/>
                <w:highlight w:val="none"/>
              </w:rPr>
            </w:pPr>
            <w:r>
              <w:rPr>
                <w:rFonts w:hint="eastAsia" w:ascii="宋体" w:hAnsi="宋体" w:cs="宋体"/>
                <w:highlight w:val="none"/>
              </w:rPr>
              <w:t>企业信誉</w:t>
            </w:r>
          </w:p>
        </w:tc>
        <w:tc>
          <w:tcPr>
            <w:tcW w:w="6334" w:type="dxa"/>
          </w:tcPr>
          <w:p>
            <w:pPr>
              <w:pStyle w:val="118"/>
              <w:spacing w:line="483" w:lineRule="exact"/>
              <w:ind w:left="104"/>
              <w:rPr>
                <w:rFonts w:ascii="宋体" w:cs="Times New Roman"/>
                <w:highlight w:val="none"/>
              </w:rPr>
            </w:pPr>
            <w:r>
              <w:rPr>
                <w:rFonts w:hint="eastAsia" w:ascii="宋体" w:hAnsi="宋体" w:cs="宋体"/>
                <w:highlight w:val="none"/>
              </w:rPr>
              <w:t>企业获得“质量管理体系、职业健康安全管理体系、环境管理体系、”三大体系认证中的每一项得</w:t>
            </w:r>
            <w:r>
              <w:rPr>
                <w:rFonts w:ascii="宋体" w:hAnsi="宋体" w:cs="宋体"/>
                <w:highlight w:val="none"/>
              </w:rPr>
              <w:t xml:space="preserve">2 </w:t>
            </w:r>
            <w:r>
              <w:rPr>
                <w:rFonts w:hint="eastAsia" w:ascii="宋体" w:hAnsi="宋体" w:cs="宋体"/>
                <w:highlight w:val="none"/>
              </w:rPr>
              <w:t>分，最多得</w:t>
            </w:r>
            <w:r>
              <w:rPr>
                <w:rFonts w:ascii="宋体" w:hAnsi="宋体" w:cs="宋体"/>
                <w:highlight w:val="none"/>
              </w:rPr>
              <w:t xml:space="preserve">6 </w:t>
            </w:r>
            <w:r>
              <w:rPr>
                <w:rFonts w:hint="eastAsia" w:ascii="宋体" w:hAnsi="宋体" w:cs="宋体"/>
                <w:highlight w:val="none"/>
              </w:rPr>
              <w:t>分。</w:t>
            </w:r>
          </w:p>
        </w:tc>
        <w:tc>
          <w:tcPr>
            <w:tcW w:w="1145" w:type="dxa"/>
            <w:vAlign w:val="center"/>
          </w:tcPr>
          <w:p>
            <w:pPr>
              <w:pStyle w:val="118"/>
              <w:ind w:left="269" w:leftChars="128" w:firstLine="105" w:firstLineChars="50"/>
              <w:rPr>
                <w:rFonts w:ascii="宋体" w:cs="Times New Roman"/>
                <w:highlight w:val="none"/>
              </w:rPr>
            </w:pPr>
            <w:r>
              <w:rPr>
                <w:rFonts w:ascii="宋体" w:hAnsi="宋体" w:cs="宋体"/>
                <w:highlight w:val="none"/>
              </w:rPr>
              <w:t>6</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32" w:hRule="atLeast"/>
          <w:jc w:val="center"/>
        </w:trPr>
        <w:tc>
          <w:tcPr>
            <w:tcW w:w="2183" w:type="dxa"/>
            <w:vAlign w:val="center"/>
          </w:tcPr>
          <w:p>
            <w:pPr>
              <w:pStyle w:val="118"/>
              <w:ind w:left="345"/>
              <w:jc w:val="center"/>
              <w:rPr>
                <w:rFonts w:ascii="宋体" w:cs="Times New Roman"/>
                <w:highlight w:val="none"/>
              </w:rPr>
            </w:pPr>
            <w:r>
              <w:rPr>
                <w:rFonts w:hint="eastAsia" w:ascii="宋体" w:hAnsi="宋体" w:cs="宋体"/>
                <w:highlight w:val="none"/>
              </w:rPr>
              <w:t>企业制度</w:t>
            </w:r>
          </w:p>
        </w:tc>
        <w:tc>
          <w:tcPr>
            <w:tcW w:w="6334" w:type="dxa"/>
            <w:vAlign w:val="center"/>
          </w:tcPr>
          <w:p>
            <w:pPr>
              <w:pStyle w:val="118"/>
              <w:spacing w:line="520" w:lineRule="exact"/>
              <w:ind w:left="104"/>
              <w:rPr>
                <w:rFonts w:ascii="宋体" w:cs="Times New Roman"/>
                <w:highlight w:val="none"/>
              </w:rPr>
            </w:pPr>
            <w:r>
              <w:rPr>
                <w:rFonts w:ascii="宋体" w:hAnsi="宋体" w:cs="宋体"/>
                <w:highlight w:val="none"/>
              </w:rPr>
              <w:t>1</w:t>
            </w:r>
            <w:r>
              <w:rPr>
                <w:rFonts w:hint="eastAsia" w:ascii="宋体" w:hAnsi="宋体" w:cs="宋体"/>
                <w:highlight w:val="none"/>
              </w:rPr>
              <w:t>、人事制度。全面者得</w:t>
            </w:r>
            <w:r>
              <w:rPr>
                <w:rFonts w:ascii="宋体" w:hAnsi="宋体" w:cs="宋体"/>
                <w:highlight w:val="none"/>
              </w:rPr>
              <w:t>6</w:t>
            </w:r>
            <w:r>
              <w:rPr>
                <w:rFonts w:hint="eastAsia" w:ascii="宋体" w:hAnsi="宋体" w:cs="宋体"/>
                <w:highlight w:val="none"/>
              </w:rPr>
              <w:t>分，有的得</w:t>
            </w:r>
            <w:r>
              <w:rPr>
                <w:rFonts w:ascii="宋体" w:hAnsi="宋体" w:cs="宋体"/>
                <w:highlight w:val="none"/>
              </w:rPr>
              <w:t>3</w:t>
            </w:r>
            <w:r>
              <w:rPr>
                <w:rFonts w:hint="eastAsia" w:ascii="宋体" w:hAnsi="宋体" w:cs="宋体"/>
                <w:highlight w:val="none"/>
              </w:rPr>
              <w:t>分，不提供不得分。</w:t>
            </w:r>
          </w:p>
          <w:p>
            <w:pPr>
              <w:pStyle w:val="118"/>
              <w:spacing w:line="520" w:lineRule="exact"/>
              <w:ind w:left="104"/>
              <w:rPr>
                <w:rFonts w:ascii="宋体" w:cs="Times New Roman"/>
                <w:highlight w:val="none"/>
              </w:rPr>
            </w:pPr>
            <w:r>
              <w:rPr>
                <w:rFonts w:ascii="宋体" w:hAnsi="宋体" w:cs="宋体"/>
                <w:highlight w:val="none"/>
              </w:rPr>
              <w:t>2</w:t>
            </w:r>
            <w:r>
              <w:rPr>
                <w:rFonts w:hint="eastAsia" w:ascii="宋体" w:hAnsi="宋体" w:cs="宋体"/>
                <w:highlight w:val="none"/>
              </w:rPr>
              <w:t>、财务管理制度。全面者得</w:t>
            </w:r>
            <w:r>
              <w:rPr>
                <w:rFonts w:ascii="宋体" w:hAnsi="宋体" w:cs="宋体"/>
                <w:highlight w:val="none"/>
              </w:rPr>
              <w:t>6</w:t>
            </w:r>
            <w:r>
              <w:rPr>
                <w:rFonts w:hint="eastAsia" w:ascii="宋体" w:hAnsi="宋体" w:cs="宋体"/>
                <w:highlight w:val="none"/>
              </w:rPr>
              <w:t>分，有的得</w:t>
            </w:r>
            <w:r>
              <w:rPr>
                <w:rFonts w:ascii="宋体" w:hAnsi="宋体" w:cs="宋体"/>
                <w:highlight w:val="none"/>
              </w:rPr>
              <w:t>3</w:t>
            </w:r>
            <w:r>
              <w:rPr>
                <w:rFonts w:hint="eastAsia" w:ascii="宋体" w:hAnsi="宋体" w:cs="宋体"/>
                <w:highlight w:val="none"/>
              </w:rPr>
              <w:t>分，不提供不得分。</w:t>
            </w:r>
          </w:p>
          <w:p>
            <w:pPr>
              <w:pStyle w:val="118"/>
              <w:spacing w:line="520" w:lineRule="exact"/>
              <w:ind w:left="104"/>
              <w:rPr>
                <w:rFonts w:ascii="宋体" w:cs="Times New Roman"/>
                <w:highlight w:val="none"/>
              </w:rPr>
            </w:pPr>
            <w:r>
              <w:rPr>
                <w:rFonts w:ascii="宋体" w:hAnsi="宋体" w:cs="宋体"/>
                <w:highlight w:val="none"/>
              </w:rPr>
              <w:t>3</w:t>
            </w:r>
            <w:r>
              <w:rPr>
                <w:rFonts w:hint="eastAsia" w:ascii="宋体" w:hAnsi="宋体" w:cs="宋体"/>
                <w:highlight w:val="none"/>
              </w:rPr>
              <w:t>、质量控制制度。全面合理者得</w:t>
            </w:r>
            <w:r>
              <w:rPr>
                <w:rFonts w:ascii="宋体" w:hAnsi="宋体" w:cs="宋体"/>
                <w:highlight w:val="none"/>
              </w:rPr>
              <w:t>6</w:t>
            </w:r>
            <w:r>
              <w:rPr>
                <w:rFonts w:hint="eastAsia" w:ascii="宋体" w:hAnsi="宋体" w:cs="宋体"/>
                <w:highlight w:val="none"/>
              </w:rPr>
              <w:t>分，有的得</w:t>
            </w:r>
            <w:r>
              <w:rPr>
                <w:rFonts w:ascii="宋体" w:hAnsi="宋体" w:cs="宋体"/>
                <w:highlight w:val="none"/>
              </w:rPr>
              <w:t>3</w:t>
            </w:r>
            <w:r>
              <w:rPr>
                <w:rFonts w:hint="eastAsia" w:ascii="宋体" w:hAnsi="宋体" w:cs="宋体"/>
                <w:highlight w:val="none"/>
              </w:rPr>
              <w:t>分，不提供不得分。</w:t>
            </w:r>
          </w:p>
          <w:p>
            <w:pPr>
              <w:pStyle w:val="118"/>
              <w:spacing w:line="520" w:lineRule="exact"/>
              <w:ind w:left="104"/>
              <w:rPr>
                <w:rFonts w:ascii="宋体" w:cs="Times New Roman"/>
                <w:highlight w:val="none"/>
              </w:rPr>
            </w:pPr>
            <w:r>
              <w:rPr>
                <w:rFonts w:ascii="宋体" w:hAnsi="宋体" w:cs="宋体"/>
                <w:highlight w:val="none"/>
              </w:rPr>
              <w:t>4</w:t>
            </w:r>
            <w:r>
              <w:rPr>
                <w:rFonts w:hint="eastAsia" w:ascii="宋体" w:hAnsi="宋体" w:cs="宋体"/>
                <w:highlight w:val="none"/>
              </w:rPr>
              <w:t>、业务档案管理制度。科学合理者的</w:t>
            </w:r>
            <w:r>
              <w:rPr>
                <w:rFonts w:ascii="宋体" w:hAnsi="宋体" w:cs="宋体"/>
                <w:highlight w:val="none"/>
              </w:rPr>
              <w:t>6</w:t>
            </w:r>
            <w:r>
              <w:rPr>
                <w:rFonts w:hint="eastAsia" w:ascii="宋体" w:hAnsi="宋体" w:cs="宋体"/>
                <w:highlight w:val="none"/>
              </w:rPr>
              <w:t>分，有的得</w:t>
            </w:r>
            <w:r>
              <w:rPr>
                <w:rFonts w:ascii="宋体" w:hAnsi="宋体" w:cs="宋体"/>
                <w:highlight w:val="none"/>
              </w:rPr>
              <w:t>3</w:t>
            </w:r>
            <w:r>
              <w:rPr>
                <w:rFonts w:hint="eastAsia" w:ascii="宋体" w:hAnsi="宋体" w:cs="宋体"/>
                <w:highlight w:val="none"/>
              </w:rPr>
              <w:t>分，不提供不得分。</w:t>
            </w:r>
          </w:p>
        </w:tc>
        <w:tc>
          <w:tcPr>
            <w:tcW w:w="1145" w:type="dxa"/>
            <w:vAlign w:val="center"/>
          </w:tcPr>
          <w:p>
            <w:pPr>
              <w:pStyle w:val="118"/>
              <w:ind w:left="179" w:right="176"/>
              <w:jc w:val="center"/>
              <w:rPr>
                <w:rFonts w:ascii="宋体" w:cs="Times New Roman"/>
                <w:highlight w:val="none"/>
              </w:rPr>
            </w:pPr>
            <w:r>
              <w:rPr>
                <w:rFonts w:ascii="宋体" w:hAnsi="宋体" w:cs="宋体"/>
                <w:highlight w:val="none"/>
              </w:rPr>
              <w:t xml:space="preserve">24 </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jc w:val="center"/>
        </w:trPr>
        <w:tc>
          <w:tcPr>
            <w:tcW w:w="9662" w:type="dxa"/>
            <w:gridSpan w:val="3"/>
          </w:tcPr>
          <w:p>
            <w:pPr>
              <w:pStyle w:val="118"/>
              <w:tabs>
                <w:tab w:val="left" w:pos="2294"/>
              </w:tabs>
              <w:spacing w:before="28"/>
              <w:ind w:left="4"/>
              <w:jc w:val="center"/>
              <w:rPr>
                <w:rFonts w:ascii="宋体" w:cs="Times New Roman"/>
                <w:highlight w:val="none"/>
              </w:rPr>
            </w:pPr>
            <w:r>
              <w:rPr>
                <w:rFonts w:hint="eastAsia" w:ascii="宋体" w:hAnsi="宋体" w:cs="宋体"/>
                <w:highlight w:val="none"/>
              </w:rPr>
              <w:t>技术部分（满分</w:t>
            </w:r>
            <w:r>
              <w:rPr>
                <w:rFonts w:ascii="宋体" w:hAnsi="宋体" w:cs="宋体"/>
                <w:highlight w:val="none"/>
                <w:u w:val="single"/>
              </w:rPr>
              <w:t xml:space="preserve">  55</w:t>
            </w:r>
            <w:r>
              <w:rPr>
                <w:rFonts w:ascii="宋体" w:hAnsi="宋体" w:cs="宋体"/>
                <w:highlight w:val="none"/>
                <w:u w:val="single"/>
              </w:rPr>
              <w:tab/>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jc w:val="center"/>
        </w:trPr>
        <w:tc>
          <w:tcPr>
            <w:tcW w:w="2183" w:type="dxa"/>
          </w:tcPr>
          <w:p>
            <w:pPr>
              <w:pStyle w:val="118"/>
              <w:spacing w:before="11"/>
              <w:ind w:right="389"/>
              <w:jc w:val="right"/>
              <w:rPr>
                <w:rFonts w:ascii="宋体" w:cs="Times New Roman"/>
                <w:highlight w:val="none"/>
              </w:rPr>
            </w:pPr>
            <w:r>
              <w:rPr>
                <w:rFonts w:hint="eastAsia" w:ascii="宋体" w:hAnsi="宋体" w:cs="宋体"/>
                <w:highlight w:val="none"/>
              </w:rPr>
              <w:t>评分因素</w:t>
            </w:r>
          </w:p>
        </w:tc>
        <w:tc>
          <w:tcPr>
            <w:tcW w:w="6334" w:type="dxa"/>
          </w:tcPr>
          <w:p>
            <w:pPr>
              <w:pStyle w:val="118"/>
              <w:spacing w:before="11"/>
              <w:ind w:left="125" w:right="125"/>
              <w:jc w:val="center"/>
              <w:rPr>
                <w:rFonts w:ascii="宋体" w:cs="Times New Roman"/>
                <w:highlight w:val="none"/>
              </w:rPr>
            </w:pPr>
            <w:r>
              <w:rPr>
                <w:rFonts w:hint="eastAsia" w:ascii="宋体" w:hAnsi="宋体" w:cs="宋体"/>
                <w:highlight w:val="none"/>
              </w:rPr>
              <w:t>评标标准</w:t>
            </w:r>
          </w:p>
        </w:tc>
        <w:tc>
          <w:tcPr>
            <w:tcW w:w="1145" w:type="dxa"/>
          </w:tcPr>
          <w:p>
            <w:pPr>
              <w:pStyle w:val="118"/>
              <w:spacing w:before="11"/>
              <w:ind w:left="179" w:right="174"/>
              <w:jc w:val="center"/>
              <w:rPr>
                <w:rFonts w:ascii="宋体" w:cs="Times New Roman"/>
                <w:highlight w:val="none"/>
              </w:rPr>
            </w:pPr>
            <w:r>
              <w:rPr>
                <w:rFonts w:hint="eastAsia" w:ascii="宋体" w:hAnsi="宋体" w:cs="宋体"/>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jc w:val="center"/>
        </w:trPr>
        <w:tc>
          <w:tcPr>
            <w:tcW w:w="2183" w:type="dxa"/>
            <w:vMerge w:val="restart"/>
            <w:vAlign w:val="center"/>
          </w:tcPr>
          <w:p>
            <w:pPr>
              <w:pStyle w:val="118"/>
              <w:spacing w:line="146" w:lineRule="auto"/>
              <w:ind w:right="151"/>
              <w:jc w:val="center"/>
              <w:rPr>
                <w:rFonts w:ascii="宋体" w:cs="Times New Roman"/>
                <w:highlight w:val="none"/>
              </w:rPr>
            </w:pPr>
            <w:r>
              <w:rPr>
                <w:rFonts w:hint="eastAsia" w:ascii="宋体" w:hAnsi="宋体" w:cs="宋体"/>
                <w:highlight w:val="none"/>
              </w:rPr>
              <w:t>投标文件的规范程度</w:t>
            </w:r>
          </w:p>
        </w:tc>
        <w:tc>
          <w:tcPr>
            <w:tcW w:w="6334" w:type="dxa"/>
          </w:tcPr>
          <w:p>
            <w:pPr>
              <w:pStyle w:val="118"/>
              <w:numPr>
                <w:ilvl w:val="0"/>
                <w:numId w:val="6"/>
              </w:numPr>
              <w:spacing w:line="420" w:lineRule="exact"/>
              <w:rPr>
                <w:rFonts w:ascii="宋体" w:cs="Times New Roman"/>
                <w:spacing w:val="-10"/>
                <w:highlight w:val="none"/>
              </w:rPr>
            </w:pPr>
            <w:r>
              <w:rPr>
                <w:rFonts w:hint="eastAsia" w:ascii="宋体" w:hAnsi="宋体" w:cs="宋体"/>
                <w:spacing w:val="-10"/>
                <w:highlight w:val="none"/>
              </w:rPr>
              <w:t>投标文件的编制符合招标文件的规定，装订整齐规范的，</w:t>
            </w:r>
          </w:p>
          <w:p>
            <w:pPr>
              <w:pStyle w:val="118"/>
              <w:spacing w:line="420" w:lineRule="exact"/>
              <w:ind w:left="104"/>
              <w:rPr>
                <w:rFonts w:ascii="宋体" w:cs="Times New Roman"/>
                <w:highlight w:val="none"/>
              </w:rPr>
            </w:pPr>
            <w:r>
              <w:rPr>
                <w:rFonts w:hint="eastAsia" w:ascii="宋体" w:hAnsi="宋体" w:cs="宋体"/>
                <w:spacing w:val="-10"/>
                <w:highlight w:val="none"/>
              </w:rPr>
              <w:t>得</w:t>
            </w:r>
            <w:r>
              <w:rPr>
                <w:rFonts w:ascii="宋体" w:hAnsi="宋体" w:cs="宋体"/>
                <w:spacing w:val="-10"/>
                <w:highlight w:val="none"/>
              </w:rPr>
              <w:t>2</w:t>
            </w:r>
            <w:r>
              <w:rPr>
                <w:rFonts w:hint="eastAsia" w:ascii="宋体" w:hAnsi="宋体" w:cs="宋体"/>
                <w:spacing w:val="-10"/>
                <w:highlight w:val="none"/>
              </w:rPr>
              <w:t>分。</w:t>
            </w:r>
          </w:p>
        </w:tc>
        <w:tc>
          <w:tcPr>
            <w:tcW w:w="1145" w:type="dxa"/>
            <w:vMerge w:val="restart"/>
          </w:tcPr>
          <w:p>
            <w:pPr>
              <w:pStyle w:val="118"/>
              <w:rPr>
                <w:rFonts w:ascii="宋体" w:cs="Times New Roman"/>
                <w:highlight w:val="none"/>
              </w:rPr>
            </w:pPr>
          </w:p>
          <w:p>
            <w:pPr>
              <w:pStyle w:val="118"/>
              <w:spacing w:before="11"/>
              <w:rPr>
                <w:rFonts w:ascii="宋体" w:cs="Times New Roman"/>
                <w:highlight w:val="none"/>
              </w:rPr>
            </w:pPr>
          </w:p>
          <w:p>
            <w:pPr>
              <w:pStyle w:val="118"/>
              <w:ind w:left="179" w:right="176"/>
              <w:jc w:val="center"/>
              <w:rPr>
                <w:rFonts w:ascii="宋体" w:cs="Times New Roman"/>
                <w:highlight w:val="none"/>
              </w:rPr>
            </w:pPr>
            <w:r>
              <w:rPr>
                <w:rFonts w:ascii="宋体" w:hAnsi="宋体" w:cs="宋体"/>
                <w:highlight w:val="none"/>
              </w:rPr>
              <w:t>5</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jc w:val="center"/>
        </w:trPr>
        <w:tc>
          <w:tcPr>
            <w:tcW w:w="2183" w:type="dxa"/>
            <w:vMerge w:val="continue"/>
            <w:tcBorders>
              <w:top w:val="nil"/>
            </w:tcBorders>
          </w:tcPr>
          <w:p>
            <w:pPr>
              <w:rPr>
                <w:rFonts w:ascii="宋体"/>
                <w:highlight w:val="none"/>
              </w:rPr>
            </w:pPr>
          </w:p>
        </w:tc>
        <w:tc>
          <w:tcPr>
            <w:tcW w:w="6334" w:type="dxa"/>
          </w:tcPr>
          <w:p>
            <w:pPr>
              <w:pStyle w:val="118"/>
              <w:spacing w:line="420" w:lineRule="exact"/>
              <w:ind w:left="104"/>
              <w:rPr>
                <w:rFonts w:ascii="宋体" w:cs="Times New Roman"/>
                <w:highlight w:val="none"/>
              </w:rPr>
            </w:pPr>
            <w:r>
              <w:rPr>
                <w:rFonts w:ascii="宋体" w:hAnsi="宋体" w:cs="宋体"/>
                <w:highlight w:val="none"/>
              </w:rPr>
              <w:t>2</w:t>
            </w:r>
            <w:r>
              <w:rPr>
                <w:rFonts w:hint="eastAsia" w:ascii="宋体" w:hAnsi="宋体" w:cs="宋体"/>
                <w:spacing w:val="-10"/>
                <w:highlight w:val="none"/>
              </w:rPr>
              <w:t>、投标人编制投标文件逻辑严紧、描述规范、无文字错误</w:t>
            </w:r>
            <w:r>
              <w:rPr>
                <w:rFonts w:hint="eastAsia" w:ascii="宋体" w:hAnsi="宋体" w:cs="宋体"/>
                <w:highlight w:val="none"/>
              </w:rPr>
              <w:t>的，得</w:t>
            </w:r>
            <w:r>
              <w:rPr>
                <w:rFonts w:ascii="宋体" w:hAnsi="宋体" w:cs="宋体"/>
                <w:highlight w:val="none"/>
              </w:rPr>
              <w:t>3</w:t>
            </w:r>
            <w:r>
              <w:rPr>
                <w:rFonts w:hint="eastAsia" w:ascii="宋体" w:hAnsi="宋体" w:cs="宋体"/>
                <w:highlight w:val="none"/>
              </w:rPr>
              <w:t>分。</w:t>
            </w:r>
          </w:p>
        </w:tc>
        <w:tc>
          <w:tcPr>
            <w:tcW w:w="1145" w:type="dxa"/>
            <w:vMerge w:val="continue"/>
            <w:tcBorders>
              <w:top w:val="nil"/>
            </w:tcBorders>
          </w:tcPr>
          <w:p>
            <w:pPr>
              <w:rPr>
                <w:rFonts w:asci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0" w:hRule="atLeast"/>
          <w:jc w:val="center"/>
        </w:trPr>
        <w:tc>
          <w:tcPr>
            <w:tcW w:w="2183" w:type="dxa"/>
            <w:vMerge w:val="restart"/>
            <w:vAlign w:val="center"/>
          </w:tcPr>
          <w:p>
            <w:pPr>
              <w:pStyle w:val="118"/>
              <w:rPr>
                <w:rFonts w:ascii="宋体" w:cs="Times New Roman"/>
                <w:highlight w:val="none"/>
              </w:rPr>
            </w:pPr>
          </w:p>
          <w:p>
            <w:pPr>
              <w:pStyle w:val="118"/>
              <w:spacing w:before="4"/>
              <w:rPr>
                <w:rFonts w:ascii="宋体" w:cs="Times New Roman"/>
                <w:highlight w:val="none"/>
              </w:rPr>
            </w:pPr>
          </w:p>
          <w:p>
            <w:pPr>
              <w:pStyle w:val="118"/>
              <w:spacing w:line="220" w:lineRule="auto"/>
              <w:ind w:left="398" w:right="151" w:hanging="240"/>
              <w:jc w:val="center"/>
              <w:rPr>
                <w:rFonts w:ascii="宋体" w:cs="Times New Roman"/>
                <w:highlight w:val="none"/>
              </w:rPr>
            </w:pPr>
            <w:r>
              <w:rPr>
                <w:rFonts w:hint="eastAsia" w:ascii="宋体" w:hAnsi="宋体" w:cs="宋体"/>
                <w:highlight w:val="none"/>
              </w:rPr>
              <w:t>对招标文件的响应程度</w:t>
            </w:r>
          </w:p>
        </w:tc>
        <w:tc>
          <w:tcPr>
            <w:tcW w:w="6334" w:type="dxa"/>
          </w:tcPr>
          <w:p>
            <w:pPr>
              <w:pStyle w:val="118"/>
              <w:spacing w:line="444" w:lineRule="exact"/>
              <w:ind w:left="104" w:right="-29"/>
              <w:rPr>
                <w:rFonts w:ascii="宋体" w:cs="Times New Roman"/>
                <w:highlight w:val="none"/>
              </w:rPr>
            </w:pPr>
            <w:r>
              <w:rPr>
                <w:rFonts w:ascii="宋体" w:hAnsi="宋体" w:cs="宋体"/>
                <w:highlight w:val="none"/>
              </w:rPr>
              <w:t>1</w:t>
            </w:r>
            <w:r>
              <w:rPr>
                <w:rFonts w:hint="eastAsia" w:ascii="宋体" w:hAnsi="宋体" w:cs="宋体"/>
                <w:spacing w:val="-13"/>
                <w:highlight w:val="none"/>
              </w:rPr>
              <w:t>、服务理念。清晰的得</w:t>
            </w:r>
            <w:r>
              <w:rPr>
                <w:rFonts w:ascii="宋体" w:hAnsi="宋体" w:cs="宋体"/>
                <w:highlight w:val="none"/>
              </w:rPr>
              <w:t>5</w:t>
            </w:r>
            <w:r>
              <w:rPr>
                <w:rFonts w:hint="eastAsia" w:ascii="宋体" w:hAnsi="宋体" w:cs="宋体"/>
                <w:spacing w:val="-10"/>
                <w:highlight w:val="none"/>
              </w:rPr>
              <w:t>分，有的得</w:t>
            </w:r>
            <w:r>
              <w:rPr>
                <w:rFonts w:ascii="宋体" w:hAnsi="宋体" w:cs="宋体"/>
                <w:highlight w:val="none"/>
              </w:rPr>
              <w:t>3</w:t>
            </w:r>
            <w:r>
              <w:rPr>
                <w:rFonts w:hint="eastAsia" w:ascii="宋体" w:hAnsi="宋体" w:cs="宋体"/>
                <w:spacing w:val="-8"/>
                <w:highlight w:val="none"/>
              </w:rPr>
              <w:t>分，不提供不得分。</w:t>
            </w:r>
          </w:p>
        </w:tc>
        <w:tc>
          <w:tcPr>
            <w:tcW w:w="1145" w:type="dxa"/>
            <w:vMerge w:val="restart"/>
            <w:vAlign w:val="center"/>
          </w:tcPr>
          <w:p>
            <w:pPr>
              <w:pStyle w:val="118"/>
              <w:ind w:left="118"/>
              <w:jc w:val="center"/>
              <w:rPr>
                <w:rFonts w:ascii="宋体" w:cs="Times New Roman"/>
                <w:highlight w:val="none"/>
              </w:rPr>
            </w:pPr>
            <w:r>
              <w:rPr>
                <w:rFonts w:ascii="宋体" w:hAnsi="宋体" w:cs="宋体"/>
                <w:highlight w:val="none"/>
              </w:rPr>
              <w:t>50</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6" w:hRule="atLeast"/>
          <w:jc w:val="center"/>
        </w:trPr>
        <w:tc>
          <w:tcPr>
            <w:tcW w:w="2183" w:type="dxa"/>
            <w:vMerge w:val="continue"/>
          </w:tcPr>
          <w:p>
            <w:pPr>
              <w:rPr>
                <w:rFonts w:ascii="宋体"/>
                <w:highlight w:val="none"/>
              </w:rPr>
            </w:pPr>
          </w:p>
        </w:tc>
        <w:tc>
          <w:tcPr>
            <w:tcW w:w="6334" w:type="dxa"/>
          </w:tcPr>
          <w:p>
            <w:pPr>
              <w:pStyle w:val="118"/>
              <w:spacing w:line="367" w:lineRule="exact"/>
              <w:ind w:left="104"/>
              <w:rPr>
                <w:rFonts w:ascii="宋体" w:cs="Times New Roman"/>
                <w:highlight w:val="none"/>
              </w:rPr>
            </w:pPr>
            <w:r>
              <w:rPr>
                <w:rFonts w:ascii="宋体" w:hAnsi="宋体" w:cs="宋体"/>
                <w:highlight w:val="none"/>
              </w:rPr>
              <w:t>2</w:t>
            </w:r>
            <w:r>
              <w:rPr>
                <w:rFonts w:hint="eastAsia" w:ascii="宋体" w:hAnsi="宋体" w:cs="宋体"/>
                <w:spacing w:val="-7"/>
                <w:highlight w:val="none"/>
              </w:rPr>
              <w:t>、工作制度。健全者得</w:t>
            </w:r>
            <w:r>
              <w:rPr>
                <w:rFonts w:ascii="宋体" w:hAnsi="宋体" w:cs="宋体"/>
                <w:highlight w:val="none"/>
              </w:rPr>
              <w:t>5</w:t>
            </w:r>
            <w:r>
              <w:rPr>
                <w:rFonts w:hint="eastAsia" w:ascii="宋体" w:hAnsi="宋体" w:cs="宋体"/>
                <w:spacing w:val="-4"/>
                <w:highlight w:val="none"/>
              </w:rPr>
              <w:t>分，提供得</w:t>
            </w:r>
            <w:r>
              <w:rPr>
                <w:rFonts w:ascii="宋体" w:hAnsi="宋体" w:cs="宋体"/>
                <w:spacing w:val="-4"/>
                <w:highlight w:val="none"/>
              </w:rPr>
              <w:t>3</w:t>
            </w:r>
            <w:r>
              <w:rPr>
                <w:rFonts w:hint="eastAsia" w:ascii="宋体" w:hAnsi="宋体" w:cs="宋体"/>
                <w:spacing w:val="-6"/>
                <w:highlight w:val="none"/>
              </w:rPr>
              <w:t>分，不提</w:t>
            </w:r>
            <w:r>
              <w:rPr>
                <w:rFonts w:hint="eastAsia" w:ascii="宋体" w:hAnsi="宋体" w:cs="宋体"/>
                <w:highlight w:val="none"/>
              </w:rPr>
              <w:t>供不得分。</w:t>
            </w:r>
          </w:p>
        </w:tc>
        <w:tc>
          <w:tcPr>
            <w:tcW w:w="1145" w:type="dxa"/>
            <w:vMerge w:val="continue"/>
          </w:tcPr>
          <w:p>
            <w:pPr>
              <w:rPr>
                <w:rFonts w:asci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jc w:val="center"/>
        </w:trPr>
        <w:tc>
          <w:tcPr>
            <w:tcW w:w="2183" w:type="dxa"/>
            <w:vMerge w:val="continue"/>
          </w:tcPr>
          <w:p>
            <w:pPr>
              <w:rPr>
                <w:rFonts w:ascii="宋体"/>
                <w:highlight w:val="none"/>
              </w:rPr>
            </w:pPr>
          </w:p>
        </w:tc>
        <w:tc>
          <w:tcPr>
            <w:tcW w:w="6334" w:type="dxa"/>
          </w:tcPr>
          <w:p>
            <w:pPr>
              <w:pStyle w:val="118"/>
              <w:spacing w:line="367" w:lineRule="exact"/>
              <w:ind w:left="104"/>
              <w:rPr>
                <w:rFonts w:ascii="宋体" w:cs="Times New Roman"/>
                <w:highlight w:val="none"/>
              </w:rPr>
            </w:pPr>
            <w:r>
              <w:rPr>
                <w:rFonts w:ascii="宋体" w:hAnsi="宋体" w:cs="宋体"/>
                <w:highlight w:val="none"/>
              </w:rPr>
              <w:t>3</w:t>
            </w:r>
            <w:r>
              <w:rPr>
                <w:rFonts w:hint="eastAsia" w:ascii="宋体" w:hAnsi="宋体" w:cs="宋体"/>
                <w:highlight w:val="none"/>
              </w:rPr>
              <w:t>、工作进度计划措施及编制审核工作流程。科学</w:t>
            </w:r>
            <w:r>
              <w:rPr>
                <w:rFonts w:hint="eastAsia" w:ascii="宋体" w:hAnsi="宋体" w:cs="宋体"/>
                <w:spacing w:val="1"/>
                <w:highlight w:val="none"/>
              </w:rPr>
              <w:t>高效</w:t>
            </w:r>
            <w:r>
              <w:rPr>
                <w:rFonts w:ascii="宋体" w:hAnsi="宋体" w:cs="宋体"/>
                <w:highlight w:val="none"/>
              </w:rPr>
              <w:t>5</w:t>
            </w:r>
            <w:r>
              <w:rPr>
                <w:rFonts w:hint="eastAsia" w:ascii="宋体" w:hAnsi="宋体" w:cs="宋体"/>
                <w:spacing w:val="1"/>
                <w:highlight w:val="none"/>
              </w:rPr>
              <w:t>分，提供得</w:t>
            </w:r>
            <w:r>
              <w:rPr>
                <w:rFonts w:ascii="宋体" w:hAnsi="宋体" w:cs="宋体"/>
                <w:spacing w:val="1"/>
                <w:highlight w:val="none"/>
              </w:rPr>
              <w:t>3</w:t>
            </w:r>
            <w:r>
              <w:rPr>
                <w:rFonts w:hint="eastAsia" w:ascii="宋体" w:hAnsi="宋体" w:cs="宋体"/>
                <w:highlight w:val="none"/>
              </w:rPr>
              <w:t>分，不提供不得分。</w:t>
            </w:r>
          </w:p>
        </w:tc>
        <w:tc>
          <w:tcPr>
            <w:tcW w:w="1145" w:type="dxa"/>
            <w:vMerge w:val="continue"/>
          </w:tcPr>
          <w:p>
            <w:pPr>
              <w:rPr>
                <w:rFonts w:asci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jc w:val="center"/>
        </w:trPr>
        <w:tc>
          <w:tcPr>
            <w:tcW w:w="2183" w:type="dxa"/>
            <w:vMerge w:val="continue"/>
          </w:tcPr>
          <w:p>
            <w:pPr>
              <w:pStyle w:val="118"/>
              <w:rPr>
                <w:rFonts w:ascii="宋体" w:cs="Times New Roman"/>
                <w:highlight w:val="none"/>
              </w:rPr>
            </w:pPr>
          </w:p>
        </w:tc>
        <w:tc>
          <w:tcPr>
            <w:tcW w:w="6334" w:type="dxa"/>
          </w:tcPr>
          <w:p>
            <w:pPr>
              <w:pStyle w:val="118"/>
              <w:spacing w:line="367" w:lineRule="exact"/>
              <w:ind w:left="104"/>
              <w:rPr>
                <w:rFonts w:ascii="宋体" w:cs="Times New Roman"/>
                <w:highlight w:val="none"/>
              </w:rPr>
            </w:pPr>
            <w:r>
              <w:rPr>
                <w:rFonts w:ascii="宋体" w:hAnsi="宋体" w:cs="宋体"/>
                <w:highlight w:val="none"/>
              </w:rPr>
              <w:t>4</w:t>
            </w:r>
            <w:r>
              <w:rPr>
                <w:rFonts w:hint="eastAsia" w:ascii="宋体" w:hAnsi="宋体" w:cs="宋体"/>
                <w:highlight w:val="none"/>
              </w:rPr>
              <w:t>、针对政府投资特点应采取的内部控制制度。科学合理得</w:t>
            </w:r>
          </w:p>
          <w:p>
            <w:pPr>
              <w:pStyle w:val="118"/>
              <w:spacing w:line="333" w:lineRule="exact"/>
              <w:ind w:left="104"/>
              <w:rPr>
                <w:rFonts w:ascii="宋体" w:cs="Times New Roman"/>
                <w:highlight w:val="none"/>
              </w:rPr>
            </w:pPr>
            <w:r>
              <w:rPr>
                <w:rFonts w:ascii="宋体" w:hAnsi="宋体" w:cs="宋体"/>
                <w:highlight w:val="none"/>
              </w:rPr>
              <w:t>5</w:t>
            </w:r>
            <w:r>
              <w:rPr>
                <w:rFonts w:hint="eastAsia" w:ascii="宋体" w:hAnsi="宋体" w:cs="宋体"/>
                <w:highlight w:val="none"/>
              </w:rPr>
              <w:t>分，提供得</w:t>
            </w:r>
            <w:r>
              <w:rPr>
                <w:rFonts w:ascii="宋体" w:hAnsi="宋体" w:cs="宋体"/>
                <w:highlight w:val="none"/>
              </w:rPr>
              <w:t>3</w:t>
            </w:r>
            <w:r>
              <w:rPr>
                <w:rFonts w:hint="eastAsia" w:ascii="宋体" w:hAnsi="宋体" w:cs="宋体"/>
                <w:highlight w:val="none"/>
              </w:rPr>
              <w:t>分，不提供不得分。</w:t>
            </w:r>
          </w:p>
        </w:tc>
        <w:tc>
          <w:tcPr>
            <w:tcW w:w="1145" w:type="dxa"/>
            <w:vMerge w:val="continue"/>
          </w:tcPr>
          <w:p>
            <w:pPr>
              <w:pStyle w:val="118"/>
              <w:rPr>
                <w:rFonts w:ascii="宋体"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9" w:hRule="atLeast"/>
          <w:jc w:val="center"/>
        </w:trPr>
        <w:tc>
          <w:tcPr>
            <w:tcW w:w="2183" w:type="dxa"/>
            <w:vMerge w:val="continue"/>
          </w:tcPr>
          <w:p>
            <w:pPr>
              <w:rPr>
                <w:rFonts w:ascii="宋体"/>
                <w:highlight w:val="none"/>
              </w:rPr>
            </w:pPr>
          </w:p>
        </w:tc>
        <w:tc>
          <w:tcPr>
            <w:tcW w:w="6334" w:type="dxa"/>
          </w:tcPr>
          <w:p>
            <w:pPr>
              <w:pStyle w:val="118"/>
              <w:spacing w:line="367" w:lineRule="exact"/>
              <w:ind w:left="104"/>
              <w:rPr>
                <w:rFonts w:ascii="宋体" w:cs="Times New Roman"/>
                <w:highlight w:val="none"/>
              </w:rPr>
            </w:pPr>
            <w:r>
              <w:rPr>
                <w:rFonts w:ascii="宋体" w:hAnsi="宋体" w:cs="宋体"/>
                <w:highlight w:val="none"/>
              </w:rPr>
              <w:t>5</w:t>
            </w:r>
            <w:r>
              <w:rPr>
                <w:rFonts w:hint="eastAsia" w:ascii="宋体" w:hAnsi="宋体" w:cs="宋体"/>
                <w:highlight w:val="none"/>
              </w:rPr>
              <w:t>、如何保障项目人员的廉洁自律，避免和杜绝吃拿卡要的不良行为等内容做出相应承诺。合理完整者得</w:t>
            </w:r>
            <w:r>
              <w:rPr>
                <w:rFonts w:ascii="宋体" w:hAnsi="宋体" w:cs="宋体"/>
                <w:highlight w:val="none"/>
              </w:rPr>
              <w:t>2</w:t>
            </w:r>
            <w:r>
              <w:rPr>
                <w:rFonts w:hint="eastAsia" w:ascii="宋体" w:hAnsi="宋体" w:cs="宋体"/>
                <w:highlight w:val="none"/>
              </w:rPr>
              <w:t>分，提供者得</w:t>
            </w:r>
            <w:r>
              <w:rPr>
                <w:rFonts w:hint="eastAsia" w:ascii="宋体" w:hAnsi="宋体" w:cs="宋体"/>
                <w:highlight w:val="none"/>
                <w:lang w:val="en-US" w:eastAsia="zh-CN"/>
              </w:rPr>
              <w:t>1</w:t>
            </w:r>
            <w:r>
              <w:rPr>
                <w:rFonts w:hint="eastAsia" w:ascii="宋体" w:hAnsi="宋体" w:cs="宋体"/>
                <w:highlight w:val="none"/>
              </w:rPr>
              <w:t>分，不提供不得分。</w:t>
            </w:r>
          </w:p>
        </w:tc>
        <w:tc>
          <w:tcPr>
            <w:tcW w:w="1145" w:type="dxa"/>
            <w:vMerge w:val="continue"/>
          </w:tcPr>
          <w:p>
            <w:pPr>
              <w:rPr>
                <w:rFonts w:asci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2" w:hRule="atLeast"/>
          <w:jc w:val="center"/>
        </w:trPr>
        <w:tc>
          <w:tcPr>
            <w:tcW w:w="2183" w:type="dxa"/>
            <w:vMerge w:val="continue"/>
          </w:tcPr>
          <w:p>
            <w:pPr>
              <w:rPr>
                <w:rFonts w:ascii="宋体"/>
                <w:highlight w:val="none"/>
              </w:rPr>
            </w:pPr>
          </w:p>
        </w:tc>
        <w:tc>
          <w:tcPr>
            <w:tcW w:w="6334" w:type="dxa"/>
          </w:tcPr>
          <w:p>
            <w:pPr>
              <w:pStyle w:val="118"/>
              <w:spacing w:line="333" w:lineRule="exact"/>
              <w:ind w:left="104"/>
              <w:rPr>
                <w:rFonts w:ascii="宋体" w:cs="Times New Roman"/>
                <w:highlight w:val="none"/>
              </w:rPr>
            </w:pPr>
            <w:r>
              <w:rPr>
                <w:rFonts w:ascii="宋体" w:hAnsi="宋体" w:cs="宋体"/>
                <w:highlight w:val="none"/>
              </w:rPr>
              <w:t>6</w:t>
            </w:r>
            <w:r>
              <w:rPr>
                <w:rFonts w:hint="eastAsia" w:ascii="宋体" w:hAnsi="宋体" w:cs="宋体"/>
                <w:spacing w:val="-8"/>
                <w:highlight w:val="none"/>
              </w:rPr>
              <w:t>、承诺优先为采购人提供业务服务。提供者得</w:t>
            </w:r>
            <w:r>
              <w:rPr>
                <w:rFonts w:ascii="宋体" w:hAnsi="宋体" w:cs="宋体"/>
                <w:highlight w:val="none"/>
              </w:rPr>
              <w:t>3</w:t>
            </w:r>
            <w:r>
              <w:rPr>
                <w:rFonts w:hint="eastAsia" w:ascii="宋体" w:hAnsi="宋体" w:cs="宋体"/>
                <w:spacing w:val="-9"/>
                <w:highlight w:val="none"/>
              </w:rPr>
              <w:t>分，不提</w:t>
            </w:r>
            <w:r>
              <w:rPr>
                <w:rFonts w:hint="eastAsia" w:ascii="宋体" w:hAnsi="宋体" w:cs="宋体"/>
                <w:highlight w:val="none"/>
              </w:rPr>
              <w:t>供不得分。</w:t>
            </w:r>
          </w:p>
        </w:tc>
        <w:tc>
          <w:tcPr>
            <w:tcW w:w="1145" w:type="dxa"/>
            <w:vMerge w:val="continue"/>
          </w:tcPr>
          <w:p>
            <w:pPr>
              <w:rPr>
                <w:rFonts w:asci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2183" w:type="dxa"/>
            <w:vMerge w:val="continue"/>
          </w:tcPr>
          <w:p>
            <w:pPr>
              <w:rPr>
                <w:rFonts w:ascii="宋体"/>
                <w:highlight w:val="none"/>
              </w:rPr>
            </w:pPr>
          </w:p>
        </w:tc>
        <w:tc>
          <w:tcPr>
            <w:tcW w:w="6334" w:type="dxa"/>
          </w:tcPr>
          <w:p>
            <w:pPr>
              <w:pStyle w:val="118"/>
              <w:spacing w:line="367" w:lineRule="exact"/>
              <w:ind w:left="104"/>
              <w:rPr>
                <w:rFonts w:ascii="宋体" w:cs="Times New Roman"/>
                <w:highlight w:val="none"/>
              </w:rPr>
            </w:pPr>
            <w:r>
              <w:rPr>
                <w:rFonts w:ascii="宋体" w:hAnsi="宋体" w:cs="宋体"/>
                <w:highlight w:val="none"/>
              </w:rPr>
              <w:t>7</w:t>
            </w:r>
            <w:r>
              <w:rPr>
                <w:rFonts w:hint="eastAsia" w:ascii="宋体" w:hAnsi="宋体" w:cs="宋体"/>
                <w:spacing w:val="-8"/>
                <w:highlight w:val="none"/>
              </w:rPr>
              <w:t>、应急方案处理。科学、有效者得</w:t>
            </w:r>
            <w:r>
              <w:rPr>
                <w:rFonts w:ascii="宋体" w:hAnsi="宋体" w:cs="宋体"/>
                <w:highlight w:val="none"/>
              </w:rPr>
              <w:t>5</w:t>
            </w:r>
            <w:r>
              <w:rPr>
                <w:rFonts w:hint="eastAsia" w:ascii="宋体" w:hAnsi="宋体" w:cs="宋体"/>
                <w:spacing w:val="-4"/>
                <w:highlight w:val="none"/>
              </w:rPr>
              <w:t>分，提供得</w:t>
            </w:r>
            <w:r>
              <w:rPr>
                <w:rFonts w:ascii="宋体" w:hAnsi="宋体" w:cs="宋体"/>
                <w:highlight w:val="none"/>
              </w:rPr>
              <w:t>3</w:t>
            </w:r>
            <w:r>
              <w:rPr>
                <w:rFonts w:hint="eastAsia" w:ascii="宋体" w:hAnsi="宋体" w:cs="宋体"/>
                <w:spacing w:val="-7"/>
                <w:highlight w:val="none"/>
              </w:rPr>
              <w:t>分，不</w:t>
            </w:r>
            <w:r>
              <w:rPr>
                <w:rFonts w:hint="eastAsia" w:ascii="宋体" w:hAnsi="宋体" w:cs="宋体"/>
                <w:highlight w:val="none"/>
              </w:rPr>
              <w:t>提供不得分。</w:t>
            </w:r>
          </w:p>
        </w:tc>
        <w:tc>
          <w:tcPr>
            <w:tcW w:w="1145" w:type="dxa"/>
            <w:vMerge w:val="continue"/>
          </w:tcPr>
          <w:p>
            <w:pPr>
              <w:rPr>
                <w:rFonts w:asci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jc w:val="center"/>
        </w:trPr>
        <w:tc>
          <w:tcPr>
            <w:tcW w:w="2183" w:type="dxa"/>
            <w:vMerge w:val="continue"/>
          </w:tcPr>
          <w:p>
            <w:pPr>
              <w:rPr>
                <w:rFonts w:ascii="宋体"/>
                <w:highlight w:val="none"/>
              </w:rPr>
            </w:pPr>
          </w:p>
        </w:tc>
        <w:tc>
          <w:tcPr>
            <w:tcW w:w="6334" w:type="dxa"/>
          </w:tcPr>
          <w:p>
            <w:pPr>
              <w:pStyle w:val="118"/>
              <w:spacing w:line="369" w:lineRule="exact"/>
              <w:ind w:left="104"/>
              <w:rPr>
                <w:rFonts w:ascii="宋体" w:cs="Times New Roman"/>
                <w:highlight w:val="none"/>
              </w:rPr>
            </w:pPr>
            <w:r>
              <w:rPr>
                <w:rFonts w:ascii="宋体" w:hAnsi="宋体" w:cs="宋体"/>
                <w:highlight w:val="none"/>
              </w:rPr>
              <w:t>8</w:t>
            </w:r>
            <w:r>
              <w:rPr>
                <w:rFonts w:hint="eastAsia" w:ascii="宋体" w:hAnsi="宋体" w:cs="宋体"/>
                <w:spacing w:val="-4"/>
                <w:highlight w:val="none"/>
              </w:rPr>
              <w:t>、技术实施方案中，针对其苗木供应方案（根据本项目苗木需求，结合气候、种植环境制定的有关苗木筛选、起球、运输等方面）、栽培施工计划、施工保障措施（具体包含但不限于人员组织配备、技术设备跟进、养护措施等），进行综合评定。方案切实可行的、针对行强的，得</w:t>
            </w:r>
            <w:r>
              <w:rPr>
                <w:rFonts w:ascii="宋体" w:hAnsi="宋体" w:cs="宋体"/>
                <w:highlight w:val="none"/>
              </w:rPr>
              <w:t>20</w:t>
            </w:r>
            <w:r>
              <w:rPr>
                <w:rFonts w:hint="eastAsia" w:ascii="宋体" w:hAnsi="宋体" w:cs="宋体"/>
                <w:spacing w:val="-2"/>
                <w:highlight w:val="none"/>
              </w:rPr>
              <w:t>分，较好得</w:t>
            </w:r>
            <w:r>
              <w:rPr>
                <w:rFonts w:ascii="宋体" w:hAnsi="宋体" w:cs="宋体"/>
                <w:highlight w:val="none"/>
              </w:rPr>
              <w:t>13</w:t>
            </w:r>
            <w:r>
              <w:rPr>
                <w:rFonts w:hint="eastAsia" w:ascii="宋体" w:hAnsi="宋体" w:cs="宋体"/>
                <w:highlight w:val="none"/>
              </w:rPr>
              <w:t>分，一般的得</w:t>
            </w:r>
            <w:r>
              <w:rPr>
                <w:rFonts w:ascii="宋体" w:hAnsi="宋体" w:cs="宋体"/>
                <w:highlight w:val="none"/>
              </w:rPr>
              <w:t>6</w:t>
            </w:r>
            <w:r>
              <w:rPr>
                <w:rFonts w:hint="eastAsia" w:ascii="宋体" w:hAnsi="宋体" w:cs="宋体"/>
                <w:highlight w:val="none"/>
              </w:rPr>
              <w:t>分，差的不得分。</w:t>
            </w:r>
          </w:p>
        </w:tc>
        <w:tc>
          <w:tcPr>
            <w:tcW w:w="1145" w:type="dxa"/>
            <w:vMerge w:val="continue"/>
          </w:tcPr>
          <w:p>
            <w:pPr>
              <w:rPr>
                <w:rFonts w:ascii="宋体"/>
                <w:highlight w:val="none"/>
              </w:rPr>
            </w:pPr>
          </w:p>
        </w:tc>
      </w:tr>
    </w:tbl>
    <w:p>
      <w:pPr>
        <w:pStyle w:val="21"/>
        <w:spacing w:line="360" w:lineRule="auto"/>
        <w:jc w:val="both"/>
        <w:rPr>
          <w:rFonts w:hAnsi="宋体" w:cs="Times New Roman"/>
          <w:b/>
          <w:bCs/>
          <w:sz w:val="24"/>
          <w:szCs w:val="24"/>
          <w:highlight w:val="none"/>
        </w:rPr>
      </w:pPr>
    </w:p>
    <w:p>
      <w:pPr>
        <w:pStyle w:val="14"/>
        <w:ind w:firstLine="241"/>
        <w:jc w:val="center"/>
        <w:rPr>
          <w:rFonts w:ascii="宋体" w:cs="Times New Roman"/>
          <w:b/>
          <w:bCs/>
          <w:highlight w:val="none"/>
        </w:rPr>
      </w:pPr>
      <w:r>
        <w:rPr>
          <w:rFonts w:hint="eastAsia" w:ascii="宋体" w:hAnsi="宋体" w:cs="宋体"/>
          <w:b/>
          <w:bCs/>
          <w:highlight w:val="none"/>
        </w:rPr>
        <w:t>二</w:t>
      </w:r>
      <w:r>
        <w:rPr>
          <w:rFonts w:hint="eastAsia" w:ascii="宋体" w:hAnsi="宋体" w:cs="宋体"/>
          <w:b/>
          <w:bCs/>
          <w:highlight w:val="none"/>
          <w:shd w:val="clear" w:color="auto" w:fill="FFFFFF"/>
        </w:rPr>
        <w:t>标段：选定</w:t>
      </w:r>
      <w:r>
        <w:rPr>
          <w:rFonts w:ascii="宋体" w:hAnsi="宋体" w:cs="宋体"/>
          <w:b/>
          <w:bCs/>
          <w:highlight w:val="none"/>
          <w:shd w:val="clear" w:color="auto" w:fill="FFFFFF"/>
        </w:rPr>
        <w:t>2</w:t>
      </w:r>
      <w:r>
        <w:rPr>
          <w:rFonts w:hint="eastAsia" w:ascii="宋体" w:hAnsi="宋体" w:cs="宋体"/>
          <w:b/>
          <w:bCs/>
          <w:highlight w:val="none"/>
          <w:shd w:val="clear" w:color="auto" w:fill="FFFFFF"/>
        </w:rPr>
        <w:t>家监理公司</w:t>
      </w:r>
    </w:p>
    <w:tbl>
      <w:tblPr>
        <w:tblStyle w:val="38"/>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3"/>
        <w:gridCol w:w="1834"/>
        <w:gridCol w:w="4797"/>
        <w:gridCol w:w="1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jc w:val="center"/>
        </w:trPr>
        <w:tc>
          <w:tcPr>
            <w:tcW w:w="1833" w:type="dxa"/>
            <w:vAlign w:val="center"/>
          </w:tcPr>
          <w:p>
            <w:pPr>
              <w:pStyle w:val="118"/>
              <w:spacing w:line="447" w:lineRule="exact"/>
              <w:ind w:left="147" w:right="143"/>
              <w:jc w:val="center"/>
              <w:rPr>
                <w:rFonts w:ascii="宋体" w:cs="Times New Roman"/>
                <w:highlight w:val="none"/>
              </w:rPr>
            </w:pPr>
            <w:r>
              <w:rPr>
                <w:rFonts w:hint="eastAsia" w:ascii="宋体" w:hAnsi="宋体" w:cs="宋体"/>
                <w:highlight w:val="none"/>
              </w:rPr>
              <w:t>分值构成</w:t>
            </w:r>
          </w:p>
          <w:p>
            <w:pPr>
              <w:pStyle w:val="118"/>
              <w:spacing w:line="468" w:lineRule="exact"/>
              <w:ind w:left="147" w:right="143"/>
              <w:jc w:val="center"/>
              <w:rPr>
                <w:rFonts w:ascii="宋体" w:cs="Times New Roman"/>
                <w:highlight w:val="none"/>
              </w:rPr>
            </w:pPr>
            <w:r>
              <w:rPr>
                <w:rFonts w:ascii="宋体" w:hAnsi="宋体" w:cs="宋体"/>
                <w:w w:val="120"/>
                <w:highlight w:val="none"/>
              </w:rPr>
              <w:t>(</w:t>
            </w:r>
            <w:r>
              <w:rPr>
                <w:rFonts w:hint="eastAsia" w:ascii="宋体" w:hAnsi="宋体" w:cs="宋体"/>
                <w:highlight w:val="none"/>
              </w:rPr>
              <w:t>总分</w:t>
            </w:r>
            <w:r>
              <w:rPr>
                <w:rFonts w:ascii="宋体" w:hAnsi="宋体" w:cs="宋体"/>
                <w:highlight w:val="none"/>
              </w:rPr>
              <w:t xml:space="preserve"> 100 </w:t>
            </w:r>
            <w:r>
              <w:rPr>
                <w:rFonts w:hint="eastAsia" w:ascii="宋体" w:hAnsi="宋体" w:cs="宋体"/>
                <w:highlight w:val="none"/>
              </w:rPr>
              <w:t>分</w:t>
            </w:r>
            <w:r>
              <w:rPr>
                <w:rFonts w:ascii="宋体" w:hAnsi="宋体" w:cs="宋体"/>
                <w:w w:val="120"/>
                <w:highlight w:val="none"/>
              </w:rPr>
              <w:t>)</w:t>
            </w:r>
          </w:p>
        </w:tc>
        <w:tc>
          <w:tcPr>
            <w:tcW w:w="7795" w:type="dxa"/>
            <w:gridSpan w:val="3"/>
            <w:vAlign w:val="center"/>
          </w:tcPr>
          <w:p>
            <w:pPr>
              <w:pStyle w:val="118"/>
              <w:tabs>
                <w:tab w:val="left" w:pos="2265"/>
                <w:tab w:val="left" w:pos="2745"/>
              </w:tabs>
              <w:spacing w:line="447" w:lineRule="exact"/>
              <w:ind w:left="585"/>
              <w:rPr>
                <w:rFonts w:ascii="宋体" w:cs="Times New Roman"/>
                <w:highlight w:val="none"/>
              </w:rPr>
            </w:pPr>
            <w:r>
              <w:rPr>
                <w:rFonts w:hint="eastAsia" w:ascii="宋体" w:hAnsi="宋体" w:cs="宋体"/>
                <w:highlight w:val="none"/>
              </w:rPr>
              <w:t>商务部分：</w:t>
            </w:r>
            <w:r>
              <w:rPr>
                <w:rFonts w:ascii="宋体" w:cs="Times New Roman"/>
                <w:highlight w:val="none"/>
                <w:u w:val="single"/>
              </w:rPr>
              <w:tab/>
            </w:r>
            <w:r>
              <w:rPr>
                <w:rFonts w:ascii="宋体" w:hAnsi="宋体" w:cs="宋体"/>
                <w:highlight w:val="none"/>
                <w:u w:val="single"/>
              </w:rPr>
              <w:t>45</w:t>
            </w:r>
            <w:r>
              <w:rPr>
                <w:rFonts w:ascii="宋体" w:hAnsi="宋体" w:cs="宋体"/>
                <w:highlight w:val="none"/>
                <w:u w:val="single"/>
              </w:rPr>
              <w:tab/>
            </w:r>
            <w:r>
              <w:rPr>
                <w:rFonts w:hint="eastAsia" w:ascii="宋体" w:hAnsi="宋体" w:cs="宋体"/>
                <w:highlight w:val="none"/>
              </w:rPr>
              <w:t>分</w:t>
            </w:r>
          </w:p>
          <w:p>
            <w:pPr>
              <w:pStyle w:val="118"/>
              <w:tabs>
                <w:tab w:val="left" w:pos="2265"/>
                <w:tab w:val="left" w:pos="2745"/>
              </w:tabs>
              <w:spacing w:line="468" w:lineRule="exact"/>
              <w:ind w:left="585"/>
              <w:rPr>
                <w:rFonts w:ascii="宋体" w:cs="Times New Roman"/>
                <w:highlight w:val="none"/>
              </w:rPr>
            </w:pPr>
            <w:r>
              <w:rPr>
                <w:rFonts w:hint="eastAsia" w:ascii="宋体" w:hAnsi="宋体" w:cs="宋体"/>
                <w:highlight w:val="none"/>
              </w:rPr>
              <w:t>技术部分：</w:t>
            </w:r>
            <w:r>
              <w:rPr>
                <w:rFonts w:ascii="宋体" w:cs="Times New Roman"/>
                <w:highlight w:val="none"/>
                <w:u w:val="single"/>
              </w:rPr>
              <w:tab/>
            </w:r>
            <w:r>
              <w:rPr>
                <w:rFonts w:ascii="宋体" w:hAnsi="宋体" w:cs="宋体"/>
                <w:highlight w:val="none"/>
                <w:u w:val="single"/>
              </w:rPr>
              <w:t>55</w:t>
            </w:r>
            <w:r>
              <w:rPr>
                <w:rFonts w:ascii="宋体" w:hAnsi="宋体" w:cs="宋体"/>
                <w:highlight w:val="none"/>
                <w:u w:val="single"/>
              </w:rPr>
              <w:tab/>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jc w:val="center"/>
        </w:trPr>
        <w:tc>
          <w:tcPr>
            <w:tcW w:w="9628" w:type="dxa"/>
            <w:gridSpan w:val="4"/>
            <w:vAlign w:val="center"/>
          </w:tcPr>
          <w:p>
            <w:pPr>
              <w:pStyle w:val="118"/>
              <w:spacing w:before="9"/>
              <w:ind w:left="4"/>
              <w:jc w:val="center"/>
              <w:rPr>
                <w:rFonts w:ascii="宋体" w:cs="Times New Roman"/>
                <w:highlight w:val="none"/>
              </w:rPr>
            </w:pPr>
            <w:r>
              <w:rPr>
                <w:rFonts w:hint="eastAsia" w:ascii="宋体" w:hAnsi="宋体" w:cs="宋体"/>
                <w:highlight w:val="none"/>
              </w:rPr>
              <w:t>商务部分（满分</w:t>
            </w:r>
            <w:r>
              <w:rPr>
                <w:rFonts w:ascii="宋体" w:hAnsi="宋体" w:cs="宋体"/>
                <w:highlight w:val="none"/>
                <w:u w:val="single"/>
              </w:rPr>
              <w:t xml:space="preserve">  45  </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jc w:val="center"/>
        </w:trPr>
        <w:tc>
          <w:tcPr>
            <w:tcW w:w="1833" w:type="dxa"/>
            <w:vAlign w:val="center"/>
          </w:tcPr>
          <w:p>
            <w:pPr>
              <w:pStyle w:val="118"/>
              <w:spacing w:before="7"/>
              <w:ind w:left="146" w:right="143"/>
              <w:jc w:val="center"/>
              <w:rPr>
                <w:rFonts w:ascii="宋体" w:cs="Times New Roman"/>
                <w:highlight w:val="none"/>
              </w:rPr>
            </w:pPr>
            <w:r>
              <w:rPr>
                <w:rFonts w:hint="eastAsia" w:ascii="宋体" w:hAnsi="宋体" w:cs="宋体"/>
                <w:highlight w:val="none"/>
              </w:rPr>
              <w:t>评分因素</w:t>
            </w:r>
          </w:p>
        </w:tc>
        <w:tc>
          <w:tcPr>
            <w:tcW w:w="6631" w:type="dxa"/>
            <w:gridSpan w:val="2"/>
            <w:vAlign w:val="center"/>
          </w:tcPr>
          <w:p>
            <w:pPr>
              <w:pStyle w:val="118"/>
              <w:spacing w:before="7"/>
              <w:ind w:left="125" w:right="125"/>
              <w:jc w:val="center"/>
              <w:rPr>
                <w:rFonts w:ascii="宋体" w:cs="Times New Roman"/>
                <w:highlight w:val="none"/>
              </w:rPr>
            </w:pPr>
            <w:r>
              <w:rPr>
                <w:rFonts w:hint="eastAsia" w:ascii="宋体" w:hAnsi="宋体" w:cs="宋体"/>
                <w:highlight w:val="none"/>
              </w:rPr>
              <w:t>评标标准</w:t>
            </w:r>
          </w:p>
        </w:tc>
        <w:tc>
          <w:tcPr>
            <w:tcW w:w="1164" w:type="dxa"/>
            <w:vAlign w:val="center"/>
          </w:tcPr>
          <w:p>
            <w:pPr>
              <w:pStyle w:val="118"/>
              <w:spacing w:before="7"/>
              <w:ind w:left="179" w:right="174"/>
              <w:jc w:val="center"/>
              <w:rPr>
                <w:rFonts w:ascii="宋体" w:cs="Times New Roman"/>
                <w:highlight w:val="none"/>
              </w:rPr>
            </w:pPr>
            <w:r>
              <w:rPr>
                <w:rFonts w:hint="eastAsia" w:ascii="宋体" w:hAnsi="宋体" w:cs="宋体"/>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8" w:hRule="atLeast"/>
          <w:jc w:val="center"/>
        </w:trPr>
        <w:tc>
          <w:tcPr>
            <w:tcW w:w="1833" w:type="dxa"/>
            <w:vAlign w:val="center"/>
          </w:tcPr>
          <w:p>
            <w:pPr>
              <w:pStyle w:val="118"/>
              <w:spacing w:before="208"/>
              <w:ind w:right="391"/>
              <w:jc w:val="right"/>
              <w:rPr>
                <w:rFonts w:ascii="宋体" w:cs="Times New Roman"/>
                <w:highlight w:val="none"/>
              </w:rPr>
            </w:pPr>
            <w:r>
              <w:rPr>
                <w:rFonts w:hint="eastAsia" w:ascii="宋体" w:hAnsi="宋体" w:cs="宋体"/>
                <w:highlight w:val="none"/>
              </w:rPr>
              <w:t>企业业绩</w:t>
            </w:r>
          </w:p>
        </w:tc>
        <w:tc>
          <w:tcPr>
            <w:tcW w:w="6631" w:type="dxa"/>
            <w:gridSpan w:val="2"/>
            <w:vAlign w:val="center"/>
          </w:tcPr>
          <w:p>
            <w:pPr>
              <w:pStyle w:val="118"/>
              <w:spacing w:line="483" w:lineRule="exact"/>
              <w:ind w:left="104"/>
              <w:rPr>
                <w:rFonts w:ascii="宋体" w:cs="Times New Roman"/>
                <w:highlight w:val="none"/>
              </w:rPr>
            </w:pPr>
            <w:r>
              <w:rPr>
                <w:rFonts w:hint="eastAsia" w:ascii="宋体" w:hAnsi="宋体" w:cs="宋体"/>
                <w:highlight w:val="none"/>
              </w:rPr>
              <w:t>投标人自</w:t>
            </w:r>
            <w:r>
              <w:rPr>
                <w:rFonts w:ascii="宋体" w:hAnsi="宋体" w:cs="宋体"/>
                <w:highlight w:val="none"/>
              </w:rPr>
              <w:t>2015</w:t>
            </w:r>
            <w:r>
              <w:rPr>
                <w:rFonts w:hint="eastAsia" w:ascii="宋体" w:hAnsi="宋体" w:cs="宋体"/>
                <w:highlight w:val="none"/>
              </w:rPr>
              <w:t>年</w:t>
            </w:r>
            <w:r>
              <w:rPr>
                <w:rFonts w:ascii="宋体" w:hAnsi="宋体" w:cs="宋体"/>
                <w:highlight w:val="none"/>
              </w:rPr>
              <w:t>1</w:t>
            </w:r>
            <w:r>
              <w:rPr>
                <w:rFonts w:hint="eastAsia" w:ascii="宋体" w:hAnsi="宋体" w:cs="宋体"/>
                <w:highlight w:val="none"/>
              </w:rPr>
              <w:t>月</w:t>
            </w:r>
            <w:r>
              <w:rPr>
                <w:rFonts w:ascii="宋体" w:hAnsi="宋体" w:cs="宋体"/>
                <w:highlight w:val="none"/>
              </w:rPr>
              <w:t>1</w:t>
            </w:r>
            <w:r>
              <w:rPr>
                <w:rFonts w:hint="eastAsia" w:ascii="宋体" w:hAnsi="宋体" w:cs="宋体"/>
                <w:highlight w:val="none"/>
              </w:rPr>
              <w:t>日以来承接过类似项目，</w:t>
            </w:r>
            <w:r>
              <w:rPr>
                <w:rFonts w:ascii="宋体" w:cs="宋体"/>
                <w:kern w:val="0"/>
                <w:highlight w:val="none"/>
              </w:rPr>
              <w:t>.</w:t>
            </w:r>
            <w:r>
              <w:rPr>
                <w:rFonts w:hint="eastAsia" w:ascii="宋体" w:hAnsi="宋体" w:cs="宋体"/>
                <w:highlight w:val="none"/>
              </w:rPr>
              <w:t>每提供一项得</w:t>
            </w:r>
            <w:r>
              <w:rPr>
                <w:rFonts w:ascii="宋体" w:hAnsi="宋体" w:cs="宋体"/>
                <w:highlight w:val="none"/>
              </w:rPr>
              <w:t>3</w:t>
            </w:r>
            <w:r>
              <w:rPr>
                <w:rFonts w:hint="eastAsia" w:ascii="宋体" w:hAnsi="宋体" w:cs="宋体"/>
                <w:highlight w:val="none"/>
              </w:rPr>
              <w:t>分，最多得</w:t>
            </w:r>
            <w:r>
              <w:rPr>
                <w:rFonts w:ascii="宋体" w:hAnsi="宋体" w:cs="宋体"/>
                <w:highlight w:val="none"/>
              </w:rPr>
              <w:t>15</w:t>
            </w:r>
            <w:r>
              <w:rPr>
                <w:rFonts w:hint="eastAsia" w:ascii="宋体" w:hAnsi="宋体" w:cs="宋体"/>
                <w:highlight w:val="none"/>
              </w:rPr>
              <w:t>分。</w:t>
            </w:r>
            <w:r>
              <w:rPr>
                <w:rFonts w:hint="eastAsia" w:ascii="宋体" w:hAnsi="宋体" w:cs="宋体"/>
                <w:b/>
                <w:bCs/>
                <w:kern w:val="0"/>
                <w:highlight w:val="none"/>
              </w:rPr>
              <w:t>（以合同为准）</w:t>
            </w:r>
          </w:p>
        </w:tc>
        <w:tc>
          <w:tcPr>
            <w:tcW w:w="1164" w:type="dxa"/>
            <w:vAlign w:val="center"/>
          </w:tcPr>
          <w:p>
            <w:pPr>
              <w:pStyle w:val="118"/>
              <w:spacing w:before="184"/>
              <w:ind w:left="179" w:right="176"/>
              <w:jc w:val="center"/>
              <w:rPr>
                <w:rFonts w:ascii="宋体" w:cs="Times New Roman"/>
                <w:highlight w:val="none"/>
              </w:rPr>
            </w:pPr>
            <w:r>
              <w:rPr>
                <w:rFonts w:ascii="宋体" w:hAnsi="宋体" w:cs="宋体"/>
                <w:highlight w:val="none"/>
              </w:rPr>
              <w:t xml:space="preserve">15 </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0" w:hRule="atLeast"/>
          <w:jc w:val="center"/>
        </w:trPr>
        <w:tc>
          <w:tcPr>
            <w:tcW w:w="1833" w:type="dxa"/>
            <w:vAlign w:val="center"/>
          </w:tcPr>
          <w:p>
            <w:pPr>
              <w:pStyle w:val="118"/>
              <w:spacing w:line="483" w:lineRule="exact"/>
              <w:ind w:left="104"/>
              <w:jc w:val="center"/>
              <w:rPr>
                <w:rFonts w:ascii="宋体" w:cs="Times New Roman"/>
                <w:highlight w:val="none"/>
              </w:rPr>
            </w:pPr>
            <w:r>
              <w:rPr>
                <w:rFonts w:ascii="宋体" w:hAnsi="宋体" w:cs="宋体"/>
                <w:highlight w:val="none"/>
              </w:rPr>
              <w:t xml:space="preserve"> </w:t>
            </w:r>
            <w:r>
              <w:rPr>
                <w:rFonts w:hint="eastAsia" w:ascii="宋体" w:hAnsi="宋体" w:cs="宋体"/>
                <w:highlight w:val="none"/>
              </w:rPr>
              <w:t>企业信誉</w:t>
            </w:r>
          </w:p>
        </w:tc>
        <w:tc>
          <w:tcPr>
            <w:tcW w:w="6631" w:type="dxa"/>
            <w:gridSpan w:val="2"/>
          </w:tcPr>
          <w:p>
            <w:pPr>
              <w:pStyle w:val="118"/>
              <w:spacing w:line="483" w:lineRule="exact"/>
              <w:ind w:left="104"/>
              <w:rPr>
                <w:rFonts w:ascii="宋体" w:cs="Times New Roman"/>
                <w:highlight w:val="none"/>
              </w:rPr>
            </w:pPr>
            <w:r>
              <w:rPr>
                <w:rFonts w:hint="eastAsia" w:ascii="宋体" w:hAnsi="宋体" w:cs="宋体"/>
                <w:highlight w:val="none"/>
              </w:rPr>
              <w:t>投标企业获得</w:t>
            </w:r>
            <w:r>
              <w:rPr>
                <w:rFonts w:ascii="宋体" w:hAnsi="宋体" w:cs="宋体"/>
                <w:highlight w:val="none"/>
              </w:rPr>
              <w:t xml:space="preserve">AAA </w:t>
            </w:r>
            <w:r>
              <w:rPr>
                <w:rFonts w:hint="eastAsia" w:ascii="宋体" w:hAnsi="宋体" w:cs="宋体"/>
                <w:highlight w:val="none"/>
              </w:rPr>
              <w:t>资信等级证书的得</w:t>
            </w:r>
            <w:r>
              <w:rPr>
                <w:rFonts w:ascii="宋体" w:hAnsi="宋体" w:cs="宋体"/>
                <w:highlight w:val="none"/>
              </w:rPr>
              <w:t>5</w:t>
            </w:r>
            <w:r>
              <w:rPr>
                <w:rFonts w:hint="eastAsia" w:ascii="宋体" w:hAnsi="宋体" w:cs="宋体"/>
                <w:highlight w:val="none"/>
              </w:rPr>
              <w:t>分，获</w:t>
            </w:r>
            <w:r>
              <w:rPr>
                <w:rFonts w:ascii="宋体" w:hAnsi="宋体" w:cs="宋体"/>
                <w:highlight w:val="none"/>
              </w:rPr>
              <w:t xml:space="preserve">AA </w:t>
            </w:r>
            <w:r>
              <w:rPr>
                <w:rFonts w:hint="eastAsia" w:ascii="宋体" w:hAnsi="宋体" w:cs="宋体"/>
                <w:highlight w:val="none"/>
              </w:rPr>
              <w:t>资信等级证书的得</w:t>
            </w:r>
            <w:r>
              <w:rPr>
                <w:rFonts w:ascii="宋体" w:hAnsi="宋体" w:cs="宋体"/>
                <w:highlight w:val="none"/>
              </w:rPr>
              <w:t>3</w:t>
            </w:r>
            <w:r>
              <w:rPr>
                <w:rFonts w:hint="eastAsia" w:ascii="宋体" w:hAnsi="宋体" w:cs="宋体"/>
                <w:highlight w:val="none"/>
              </w:rPr>
              <w:t>分，获得</w:t>
            </w:r>
            <w:r>
              <w:rPr>
                <w:rFonts w:ascii="宋体" w:hAnsi="宋体" w:cs="宋体"/>
                <w:highlight w:val="none"/>
              </w:rPr>
              <w:t xml:space="preserve">A </w:t>
            </w:r>
            <w:r>
              <w:rPr>
                <w:rFonts w:hint="eastAsia" w:ascii="宋体" w:hAnsi="宋体" w:cs="宋体"/>
                <w:highlight w:val="none"/>
              </w:rPr>
              <w:t>资信等级证书的得</w:t>
            </w:r>
            <w:r>
              <w:rPr>
                <w:rFonts w:ascii="宋体" w:hAnsi="宋体" w:cs="宋体"/>
                <w:highlight w:val="none"/>
              </w:rPr>
              <w:t>1</w:t>
            </w:r>
            <w:r>
              <w:rPr>
                <w:rFonts w:hint="eastAsia" w:ascii="宋体" w:hAnsi="宋体" w:cs="宋体"/>
                <w:highlight w:val="none"/>
              </w:rPr>
              <w:t>分。（此项只计最高得分，不累计计算）</w:t>
            </w:r>
          </w:p>
          <w:p>
            <w:pPr>
              <w:pStyle w:val="118"/>
              <w:spacing w:line="483" w:lineRule="exact"/>
              <w:ind w:left="104"/>
              <w:rPr>
                <w:rFonts w:ascii="宋体" w:cs="Times New Roman"/>
                <w:highlight w:val="none"/>
              </w:rPr>
            </w:pPr>
            <w:r>
              <w:rPr>
                <w:rFonts w:hint="eastAsia" w:ascii="宋体" w:hAnsi="宋体" w:cs="宋体"/>
                <w:highlight w:val="none"/>
              </w:rPr>
              <w:t>企业同时通过</w:t>
            </w:r>
            <w:r>
              <w:rPr>
                <w:rFonts w:ascii="宋体" w:hAnsi="宋体" w:cs="宋体"/>
                <w:highlight w:val="none"/>
              </w:rPr>
              <w:t>ISO9001</w:t>
            </w:r>
            <w:r>
              <w:rPr>
                <w:rFonts w:hint="eastAsia" w:ascii="宋体" w:hAnsi="宋体" w:cs="宋体"/>
                <w:highlight w:val="none"/>
              </w:rPr>
              <w:t>质量管理体系认证、</w:t>
            </w:r>
            <w:r>
              <w:rPr>
                <w:rFonts w:ascii="宋体" w:hAnsi="宋体" w:cs="宋体"/>
                <w:highlight w:val="none"/>
              </w:rPr>
              <w:t>ISO14001</w:t>
            </w:r>
            <w:r>
              <w:rPr>
                <w:rFonts w:hint="eastAsia" w:ascii="宋体" w:hAnsi="宋体" w:cs="宋体"/>
                <w:highlight w:val="none"/>
              </w:rPr>
              <w:t>环境管理体系认证、</w:t>
            </w:r>
            <w:r>
              <w:rPr>
                <w:rFonts w:ascii="宋体" w:hAnsi="宋体" w:cs="宋体"/>
                <w:highlight w:val="none"/>
              </w:rPr>
              <w:t>GB/T28001</w:t>
            </w:r>
            <w:r>
              <w:rPr>
                <w:rFonts w:hint="eastAsia" w:ascii="宋体" w:hAnsi="宋体" w:cs="宋体"/>
                <w:highlight w:val="none"/>
              </w:rPr>
              <w:t>职业健康安全管理体系认证者，得</w:t>
            </w:r>
            <w:r>
              <w:rPr>
                <w:rFonts w:ascii="宋体" w:hAnsi="宋体" w:cs="宋体"/>
                <w:highlight w:val="none"/>
              </w:rPr>
              <w:t>5</w:t>
            </w:r>
            <w:r>
              <w:rPr>
                <w:rFonts w:hint="eastAsia" w:ascii="宋体" w:hAnsi="宋体" w:cs="宋体"/>
                <w:highlight w:val="none"/>
              </w:rPr>
              <w:t>分。</w:t>
            </w:r>
          </w:p>
        </w:tc>
        <w:tc>
          <w:tcPr>
            <w:tcW w:w="1164" w:type="dxa"/>
            <w:vAlign w:val="center"/>
          </w:tcPr>
          <w:p>
            <w:pPr>
              <w:pStyle w:val="118"/>
              <w:ind w:left="269" w:leftChars="128" w:firstLine="105" w:firstLineChars="50"/>
              <w:rPr>
                <w:rFonts w:ascii="宋体" w:cs="Times New Roman"/>
                <w:highlight w:val="none"/>
              </w:rPr>
            </w:pPr>
            <w:r>
              <w:rPr>
                <w:rFonts w:ascii="宋体" w:hAnsi="宋体" w:cs="宋体"/>
                <w:highlight w:val="none"/>
              </w:rPr>
              <w:t>10</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3" w:hRule="atLeast"/>
          <w:jc w:val="center"/>
        </w:trPr>
        <w:tc>
          <w:tcPr>
            <w:tcW w:w="1833" w:type="dxa"/>
            <w:vAlign w:val="center"/>
          </w:tcPr>
          <w:p>
            <w:pPr>
              <w:pStyle w:val="118"/>
              <w:spacing w:line="483" w:lineRule="exact"/>
              <w:ind w:left="104"/>
              <w:jc w:val="center"/>
              <w:rPr>
                <w:rFonts w:ascii="宋体" w:cs="Times New Roman"/>
                <w:highlight w:val="none"/>
              </w:rPr>
            </w:pPr>
            <w:r>
              <w:rPr>
                <w:rFonts w:hint="eastAsia" w:ascii="宋体" w:hAnsi="宋体" w:cs="宋体"/>
                <w:highlight w:val="none"/>
              </w:rPr>
              <w:t>企业荣誉</w:t>
            </w:r>
          </w:p>
        </w:tc>
        <w:tc>
          <w:tcPr>
            <w:tcW w:w="6631" w:type="dxa"/>
            <w:gridSpan w:val="2"/>
            <w:vAlign w:val="center"/>
          </w:tcPr>
          <w:p>
            <w:pPr>
              <w:pStyle w:val="118"/>
              <w:spacing w:line="483" w:lineRule="exact"/>
              <w:ind w:left="104"/>
              <w:rPr>
                <w:rFonts w:ascii="宋体" w:cs="Times New Roman"/>
                <w:highlight w:val="none"/>
              </w:rPr>
            </w:pPr>
            <w:r>
              <w:rPr>
                <w:rFonts w:ascii="宋体" w:hAnsi="宋体" w:cs="宋体"/>
                <w:highlight w:val="none"/>
              </w:rPr>
              <w:t>2015</w:t>
            </w:r>
            <w:r>
              <w:rPr>
                <w:rFonts w:hint="eastAsia" w:ascii="宋体" w:hAnsi="宋体" w:cs="宋体"/>
                <w:highlight w:val="none"/>
              </w:rPr>
              <w:t>年以来获得过行业主管部门颁发的荣誉、证书、奖项的，每份得</w:t>
            </w:r>
            <w:r>
              <w:rPr>
                <w:rFonts w:ascii="宋体" w:hAnsi="宋体" w:cs="宋体"/>
                <w:highlight w:val="none"/>
              </w:rPr>
              <w:t>1</w:t>
            </w:r>
            <w:r>
              <w:rPr>
                <w:rFonts w:hint="eastAsia" w:ascii="宋体" w:hAnsi="宋体" w:cs="宋体"/>
                <w:highlight w:val="none"/>
              </w:rPr>
              <w:t>分，满分</w:t>
            </w:r>
            <w:r>
              <w:rPr>
                <w:rFonts w:ascii="宋体" w:hAnsi="宋体" w:cs="宋体"/>
                <w:highlight w:val="none"/>
              </w:rPr>
              <w:t>5</w:t>
            </w:r>
            <w:r>
              <w:rPr>
                <w:rFonts w:hint="eastAsia" w:ascii="宋体" w:hAnsi="宋体" w:cs="宋体"/>
                <w:highlight w:val="none"/>
              </w:rPr>
              <w:t>分。（不累计计算）</w:t>
            </w:r>
          </w:p>
        </w:tc>
        <w:tc>
          <w:tcPr>
            <w:tcW w:w="1164" w:type="dxa"/>
            <w:vAlign w:val="center"/>
          </w:tcPr>
          <w:p>
            <w:pPr>
              <w:spacing w:line="330" w:lineRule="atLeast"/>
              <w:jc w:val="center"/>
              <w:rPr>
                <w:rFonts w:ascii="宋体"/>
                <w:highlight w:val="none"/>
              </w:rPr>
            </w:pPr>
            <w:r>
              <w:rPr>
                <w:rFonts w:ascii="宋体" w:hAnsi="宋体" w:cs="宋体"/>
                <w:highlight w:val="none"/>
              </w:rPr>
              <w:t>5</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1" w:hRule="atLeast"/>
          <w:jc w:val="center"/>
        </w:trPr>
        <w:tc>
          <w:tcPr>
            <w:tcW w:w="1833" w:type="dxa"/>
            <w:vAlign w:val="center"/>
          </w:tcPr>
          <w:p>
            <w:pPr>
              <w:pStyle w:val="118"/>
              <w:spacing w:line="483" w:lineRule="exact"/>
              <w:ind w:left="104"/>
              <w:jc w:val="center"/>
              <w:rPr>
                <w:rFonts w:ascii="宋体" w:cs="Times New Roman"/>
                <w:highlight w:val="none"/>
              </w:rPr>
            </w:pPr>
            <w:r>
              <w:rPr>
                <w:rFonts w:hint="eastAsia" w:ascii="宋体" w:hAnsi="宋体" w:cs="宋体"/>
                <w:highlight w:val="none"/>
              </w:rPr>
              <w:t>企业资质</w:t>
            </w:r>
          </w:p>
        </w:tc>
        <w:tc>
          <w:tcPr>
            <w:tcW w:w="6631" w:type="dxa"/>
            <w:gridSpan w:val="2"/>
            <w:vAlign w:val="center"/>
          </w:tcPr>
          <w:p>
            <w:pPr>
              <w:pStyle w:val="118"/>
              <w:spacing w:line="483" w:lineRule="exact"/>
              <w:ind w:left="104"/>
              <w:rPr>
                <w:rFonts w:ascii="宋体" w:cs="Times New Roman"/>
                <w:highlight w:val="none"/>
              </w:rPr>
            </w:pPr>
            <w:r>
              <w:rPr>
                <w:rFonts w:hint="eastAsia" w:ascii="宋体" w:hAnsi="宋体" w:cs="宋体"/>
                <w:highlight w:val="none"/>
              </w:rPr>
              <w:t>投标人具备建设行政主管部门颁发的工程监理综合资质得</w:t>
            </w:r>
            <w:r>
              <w:rPr>
                <w:rFonts w:ascii="宋体" w:hAnsi="宋体" w:cs="宋体"/>
                <w:highlight w:val="none"/>
              </w:rPr>
              <w:t>5</w:t>
            </w:r>
            <w:r>
              <w:rPr>
                <w:rFonts w:hint="eastAsia" w:ascii="宋体" w:hAnsi="宋体" w:cs="宋体"/>
                <w:highlight w:val="none"/>
              </w:rPr>
              <w:t>分，具备市政公用工程专业监理甲级资质得</w:t>
            </w:r>
            <w:r>
              <w:rPr>
                <w:rFonts w:ascii="宋体" w:hAnsi="宋体" w:cs="宋体"/>
                <w:highlight w:val="none"/>
              </w:rPr>
              <w:t>3</w:t>
            </w:r>
            <w:r>
              <w:rPr>
                <w:rFonts w:hint="eastAsia" w:ascii="宋体" w:hAnsi="宋体" w:cs="宋体"/>
                <w:highlight w:val="none"/>
              </w:rPr>
              <w:t>分，具备市政公用工程专业监理乙级资质得</w:t>
            </w:r>
            <w:r>
              <w:rPr>
                <w:rFonts w:ascii="宋体" w:hAnsi="宋体" w:cs="宋体"/>
                <w:highlight w:val="none"/>
              </w:rPr>
              <w:t>1</w:t>
            </w:r>
            <w:r>
              <w:rPr>
                <w:rFonts w:hint="eastAsia" w:ascii="宋体" w:hAnsi="宋体" w:cs="宋体"/>
                <w:highlight w:val="none"/>
              </w:rPr>
              <w:t>分。（不累计计算）</w:t>
            </w:r>
          </w:p>
        </w:tc>
        <w:tc>
          <w:tcPr>
            <w:tcW w:w="1164" w:type="dxa"/>
            <w:vAlign w:val="center"/>
          </w:tcPr>
          <w:p>
            <w:pPr>
              <w:spacing w:line="330" w:lineRule="atLeast"/>
              <w:jc w:val="center"/>
              <w:rPr>
                <w:rFonts w:ascii="宋体"/>
                <w:highlight w:val="none"/>
              </w:rPr>
            </w:pPr>
            <w:r>
              <w:rPr>
                <w:rFonts w:ascii="宋体" w:hAnsi="宋体" w:cs="宋体"/>
                <w:highlight w:val="none"/>
              </w:rPr>
              <w:t>5</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48" w:hRule="atLeast"/>
          <w:jc w:val="center"/>
        </w:trPr>
        <w:tc>
          <w:tcPr>
            <w:tcW w:w="1833" w:type="dxa"/>
            <w:vAlign w:val="center"/>
          </w:tcPr>
          <w:p>
            <w:pPr>
              <w:pStyle w:val="118"/>
              <w:spacing w:line="483" w:lineRule="exact"/>
              <w:ind w:left="104"/>
              <w:jc w:val="center"/>
              <w:rPr>
                <w:rFonts w:ascii="宋体" w:cs="Times New Roman"/>
                <w:highlight w:val="none"/>
              </w:rPr>
            </w:pPr>
            <w:r>
              <w:rPr>
                <w:rFonts w:hint="eastAsia" w:ascii="宋体" w:hAnsi="宋体" w:cs="宋体"/>
                <w:highlight w:val="none"/>
              </w:rPr>
              <w:t>服务承诺</w:t>
            </w:r>
          </w:p>
        </w:tc>
        <w:tc>
          <w:tcPr>
            <w:tcW w:w="6631" w:type="dxa"/>
            <w:gridSpan w:val="2"/>
            <w:vAlign w:val="center"/>
          </w:tcPr>
          <w:p>
            <w:pPr>
              <w:pStyle w:val="118"/>
              <w:spacing w:line="483" w:lineRule="exact"/>
              <w:ind w:left="104"/>
              <w:jc w:val="left"/>
              <w:rPr>
                <w:rFonts w:ascii="宋体" w:cs="Times New Roman"/>
                <w:highlight w:val="none"/>
              </w:rPr>
            </w:pPr>
            <w:r>
              <w:rPr>
                <w:rFonts w:ascii="宋体" w:hAnsi="宋体" w:cs="宋体"/>
                <w:highlight w:val="none"/>
              </w:rPr>
              <w:t>1</w:t>
            </w:r>
            <w:r>
              <w:rPr>
                <w:rFonts w:hint="eastAsia" w:ascii="宋体" w:hAnsi="宋体" w:cs="宋体"/>
                <w:highlight w:val="none"/>
              </w:rPr>
              <w:t>、协调合同纠纷的承诺，评委对比各投标人承诺的实质性及可行性情况，在</w:t>
            </w:r>
            <w:r>
              <w:rPr>
                <w:rFonts w:ascii="宋体" w:hAnsi="宋体" w:cs="宋体"/>
                <w:highlight w:val="none"/>
              </w:rPr>
              <w:t>0-1</w:t>
            </w:r>
            <w:r>
              <w:rPr>
                <w:rFonts w:hint="eastAsia" w:ascii="宋体" w:hAnsi="宋体" w:cs="宋体"/>
                <w:highlight w:val="none"/>
              </w:rPr>
              <w:t>分之间赋分。</w:t>
            </w:r>
            <w:r>
              <w:rPr>
                <w:rFonts w:ascii="宋体" w:hAnsi="宋体" w:cs="宋体"/>
                <w:highlight w:val="none"/>
              </w:rPr>
              <w:t xml:space="preserve"> </w:t>
            </w:r>
          </w:p>
          <w:p>
            <w:pPr>
              <w:pStyle w:val="118"/>
              <w:spacing w:line="483" w:lineRule="exact"/>
              <w:ind w:left="104"/>
              <w:jc w:val="left"/>
              <w:rPr>
                <w:rFonts w:ascii="宋体" w:cs="Times New Roman"/>
                <w:highlight w:val="none"/>
              </w:rPr>
            </w:pPr>
            <w:r>
              <w:rPr>
                <w:rFonts w:ascii="宋体" w:hAnsi="宋体" w:cs="宋体"/>
                <w:highlight w:val="none"/>
              </w:rPr>
              <w:t>2</w:t>
            </w:r>
            <w:r>
              <w:rPr>
                <w:rFonts w:hint="eastAsia" w:ascii="宋体" w:hAnsi="宋体" w:cs="宋体"/>
                <w:highlight w:val="none"/>
              </w:rPr>
              <w:t>、配备满足本项目实际需要的项目管理人员的承诺，评委对比各投标人承诺的实质性及可行性情况，在</w:t>
            </w:r>
            <w:r>
              <w:rPr>
                <w:rFonts w:ascii="宋体" w:hAnsi="宋体" w:cs="宋体"/>
                <w:highlight w:val="none"/>
              </w:rPr>
              <w:t>0-1</w:t>
            </w:r>
            <w:r>
              <w:rPr>
                <w:rFonts w:hint="eastAsia" w:ascii="宋体" w:hAnsi="宋体" w:cs="宋体"/>
                <w:highlight w:val="none"/>
              </w:rPr>
              <w:t>分之间赋分。</w:t>
            </w:r>
            <w:r>
              <w:rPr>
                <w:rFonts w:ascii="宋体" w:hAnsi="宋体" w:cs="宋体"/>
                <w:highlight w:val="none"/>
              </w:rPr>
              <w:t xml:space="preserve">  3</w:t>
            </w:r>
            <w:r>
              <w:rPr>
                <w:rFonts w:hint="eastAsia" w:ascii="宋体" w:hAnsi="宋体" w:cs="宋体"/>
                <w:highlight w:val="none"/>
              </w:rPr>
              <w:t>、与工程相关的协调工作的承诺，评委根据承诺的实质性及可行性情况在</w:t>
            </w:r>
            <w:r>
              <w:rPr>
                <w:rFonts w:ascii="宋体" w:hAnsi="宋体" w:cs="宋体"/>
                <w:highlight w:val="none"/>
              </w:rPr>
              <w:t>0-1</w:t>
            </w:r>
            <w:r>
              <w:rPr>
                <w:rFonts w:hint="eastAsia" w:ascii="宋体" w:hAnsi="宋体" w:cs="宋体"/>
                <w:highlight w:val="none"/>
              </w:rPr>
              <w:t>分之间赋分。</w:t>
            </w:r>
            <w:r>
              <w:rPr>
                <w:rFonts w:ascii="宋体" w:hAnsi="宋体" w:cs="宋体"/>
                <w:highlight w:val="none"/>
              </w:rPr>
              <w:t xml:space="preserve"> </w:t>
            </w:r>
          </w:p>
          <w:p>
            <w:pPr>
              <w:pStyle w:val="118"/>
              <w:spacing w:line="483" w:lineRule="exact"/>
              <w:ind w:left="104"/>
              <w:jc w:val="left"/>
              <w:rPr>
                <w:rFonts w:ascii="宋体" w:cs="Times New Roman"/>
                <w:highlight w:val="none"/>
              </w:rPr>
            </w:pPr>
            <w:r>
              <w:rPr>
                <w:rFonts w:ascii="宋体" w:hAnsi="宋体" w:cs="宋体"/>
                <w:highlight w:val="none"/>
              </w:rPr>
              <w:t>4</w:t>
            </w:r>
            <w:r>
              <w:rPr>
                <w:rFonts w:hint="eastAsia" w:ascii="宋体" w:hAnsi="宋体" w:cs="宋体"/>
                <w:highlight w:val="none"/>
              </w:rPr>
              <w:t>、关于缺陷责任期服务的优惠承诺，评委对比各投标人承诺的实质性及可行性情况，在</w:t>
            </w:r>
            <w:r>
              <w:rPr>
                <w:rFonts w:ascii="宋体" w:hAnsi="宋体" w:cs="宋体"/>
                <w:highlight w:val="none"/>
              </w:rPr>
              <w:t>0-1</w:t>
            </w:r>
            <w:r>
              <w:rPr>
                <w:rFonts w:hint="eastAsia" w:ascii="宋体" w:hAnsi="宋体" w:cs="宋体"/>
                <w:highlight w:val="none"/>
              </w:rPr>
              <w:t>分之间赋分。</w:t>
            </w:r>
          </w:p>
          <w:p>
            <w:pPr>
              <w:pStyle w:val="118"/>
              <w:spacing w:line="483" w:lineRule="exact"/>
              <w:ind w:left="104"/>
              <w:jc w:val="left"/>
              <w:rPr>
                <w:rFonts w:ascii="宋体" w:cs="Times New Roman"/>
                <w:highlight w:val="none"/>
              </w:rPr>
            </w:pPr>
            <w:r>
              <w:rPr>
                <w:rFonts w:ascii="宋体" w:hAnsi="宋体" w:cs="宋体"/>
                <w:highlight w:val="none"/>
              </w:rPr>
              <w:t xml:space="preserve">5 </w:t>
            </w:r>
            <w:r>
              <w:rPr>
                <w:rFonts w:hint="eastAsia" w:ascii="宋体" w:hAnsi="宋体" w:cs="宋体"/>
                <w:highlight w:val="none"/>
              </w:rPr>
              <w:t>、其他实质性优惠服务承诺，评委对比各投标人承诺的实质性及可行性情况，在</w:t>
            </w:r>
            <w:r>
              <w:rPr>
                <w:rFonts w:ascii="宋体" w:hAnsi="宋体" w:cs="宋体"/>
                <w:highlight w:val="none"/>
              </w:rPr>
              <w:t>0-2</w:t>
            </w:r>
            <w:r>
              <w:rPr>
                <w:rFonts w:hint="eastAsia" w:ascii="宋体" w:hAnsi="宋体" w:cs="宋体"/>
                <w:highlight w:val="none"/>
              </w:rPr>
              <w:t>分之间赋分。</w:t>
            </w:r>
          </w:p>
        </w:tc>
        <w:tc>
          <w:tcPr>
            <w:tcW w:w="1164" w:type="dxa"/>
            <w:vAlign w:val="center"/>
          </w:tcPr>
          <w:p>
            <w:pPr>
              <w:spacing w:line="330" w:lineRule="atLeast"/>
              <w:jc w:val="center"/>
              <w:rPr>
                <w:rFonts w:ascii="宋体"/>
                <w:highlight w:val="none"/>
              </w:rPr>
            </w:pPr>
            <w:r>
              <w:rPr>
                <w:rFonts w:ascii="宋体" w:hAnsi="宋体" w:cs="宋体"/>
                <w:highlight w:val="none"/>
              </w:rPr>
              <w:t>6</w:t>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6" w:hRule="atLeast"/>
          <w:jc w:val="center"/>
        </w:trPr>
        <w:tc>
          <w:tcPr>
            <w:tcW w:w="1833" w:type="dxa"/>
            <w:vMerge w:val="restart"/>
          </w:tcPr>
          <w:p>
            <w:pPr>
              <w:pStyle w:val="118"/>
              <w:rPr>
                <w:rFonts w:ascii="宋体" w:cs="Times New Roman"/>
                <w:highlight w:val="none"/>
              </w:rPr>
            </w:pPr>
          </w:p>
          <w:p>
            <w:pPr>
              <w:pStyle w:val="118"/>
              <w:spacing w:before="5"/>
              <w:rPr>
                <w:rFonts w:ascii="宋体" w:cs="Times New Roman"/>
                <w:highlight w:val="none"/>
              </w:rPr>
            </w:pPr>
          </w:p>
          <w:p>
            <w:pPr>
              <w:pStyle w:val="118"/>
              <w:ind w:left="518" w:right="151" w:hanging="360"/>
              <w:rPr>
                <w:rFonts w:ascii="宋体" w:cs="Times New Roman"/>
                <w:highlight w:val="none"/>
              </w:rPr>
            </w:pPr>
            <w:r>
              <w:rPr>
                <w:rFonts w:hint="eastAsia" w:ascii="宋体" w:hAnsi="宋体" w:cs="宋体"/>
                <w:highlight w:val="none"/>
              </w:rPr>
              <w:t>投标文件的规范程度</w:t>
            </w:r>
          </w:p>
        </w:tc>
        <w:tc>
          <w:tcPr>
            <w:tcW w:w="6631" w:type="dxa"/>
            <w:gridSpan w:val="2"/>
          </w:tcPr>
          <w:p>
            <w:pPr>
              <w:pStyle w:val="118"/>
              <w:spacing w:line="420" w:lineRule="exact"/>
              <w:ind w:left="104"/>
              <w:rPr>
                <w:rFonts w:ascii="宋体" w:cs="Times New Roman"/>
                <w:highlight w:val="none"/>
              </w:rPr>
            </w:pPr>
            <w:r>
              <w:rPr>
                <w:rFonts w:ascii="宋体" w:hAnsi="宋体" w:cs="宋体"/>
                <w:spacing w:val="-10"/>
                <w:highlight w:val="none"/>
              </w:rPr>
              <w:t>1</w:t>
            </w:r>
            <w:r>
              <w:rPr>
                <w:rFonts w:hint="eastAsia" w:ascii="宋体" w:hAnsi="宋体" w:cs="宋体"/>
                <w:spacing w:val="-10"/>
                <w:highlight w:val="none"/>
              </w:rPr>
              <w:t>、投标文件的编制符合招标文件的规定，装订整齐规范的，得</w:t>
            </w:r>
            <w:r>
              <w:rPr>
                <w:rFonts w:ascii="宋体" w:hAnsi="宋体" w:cs="宋体"/>
                <w:spacing w:val="-10"/>
                <w:highlight w:val="none"/>
              </w:rPr>
              <w:t xml:space="preserve"> 2 </w:t>
            </w:r>
            <w:r>
              <w:rPr>
                <w:rFonts w:hint="eastAsia" w:ascii="宋体" w:hAnsi="宋体" w:cs="宋体"/>
                <w:spacing w:val="-10"/>
                <w:highlight w:val="none"/>
              </w:rPr>
              <w:t>分。</w:t>
            </w:r>
          </w:p>
        </w:tc>
        <w:tc>
          <w:tcPr>
            <w:tcW w:w="1164" w:type="dxa"/>
            <w:vMerge w:val="restart"/>
          </w:tcPr>
          <w:p>
            <w:pPr>
              <w:pStyle w:val="118"/>
              <w:rPr>
                <w:rFonts w:ascii="宋体" w:cs="Times New Roman"/>
                <w:highlight w:val="none"/>
              </w:rPr>
            </w:pPr>
          </w:p>
          <w:p>
            <w:pPr>
              <w:pStyle w:val="118"/>
              <w:spacing w:before="11"/>
              <w:rPr>
                <w:rFonts w:ascii="宋体" w:cs="Times New Roman"/>
                <w:highlight w:val="none"/>
              </w:rPr>
            </w:pPr>
          </w:p>
          <w:p>
            <w:pPr>
              <w:pStyle w:val="118"/>
              <w:ind w:left="178"/>
              <w:jc w:val="center"/>
              <w:rPr>
                <w:rFonts w:ascii="宋体" w:cs="Times New Roman"/>
                <w:highlight w:val="none"/>
              </w:rPr>
            </w:pPr>
            <w:r>
              <w:rPr>
                <w:rFonts w:ascii="宋体" w:hAnsi="宋体" w:cs="宋体"/>
                <w:spacing w:val="-4"/>
                <w:highlight w:val="none"/>
              </w:rPr>
              <w:t>4</w:t>
            </w:r>
            <w:r>
              <w:rPr>
                <w:rFonts w:hint="eastAsia" w:ascii="宋体" w:hAnsi="宋体" w:cs="宋体"/>
                <w:spacing w:val="-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5" w:hRule="atLeast"/>
          <w:jc w:val="center"/>
        </w:trPr>
        <w:tc>
          <w:tcPr>
            <w:tcW w:w="1833" w:type="dxa"/>
            <w:vMerge w:val="continue"/>
            <w:vAlign w:val="center"/>
          </w:tcPr>
          <w:p>
            <w:pPr>
              <w:pStyle w:val="118"/>
              <w:spacing w:line="483" w:lineRule="exact"/>
              <w:ind w:left="104"/>
              <w:jc w:val="left"/>
              <w:rPr>
                <w:rFonts w:ascii="宋体" w:cs="Times New Roman"/>
                <w:highlight w:val="none"/>
              </w:rPr>
            </w:pPr>
          </w:p>
        </w:tc>
        <w:tc>
          <w:tcPr>
            <w:tcW w:w="6631" w:type="dxa"/>
            <w:gridSpan w:val="2"/>
          </w:tcPr>
          <w:p>
            <w:pPr>
              <w:pStyle w:val="118"/>
              <w:spacing w:line="420" w:lineRule="exact"/>
              <w:ind w:left="104"/>
              <w:rPr>
                <w:rFonts w:ascii="宋体" w:cs="Times New Roman"/>
                <w:highlight w:val="none"/>
              </w:rPr>
            </w:pPr>
            <w:r>
              <w:rPr>
                <w:rFonts w:ascii="宋体" w:hAnsi="宋体" w:cs="宋体"/>
                <w:highlight w:val="none"/>
              </w:rPr>
              <w:t>2</w:t>
            </w:r>
            <w:r>
              <w:rPr>
                <w:rFonts w:hint="eastAsia" w:ascii="宋体" w:hAnsi="宋体" w:cs="宋体"/>
                <w:spacing w:val="-10"/>
                <w:highlight w:val="none"/>
              </w:rPr>
              <w:t>、投标人编制投标文件逻辑严紧、描述规范、无文字错误</w:t>
            </w:r>
            <w:r>
              <w:rPr>
                <w:rFonts w:hint="eastAsia" w:ascii="宋体" w:hAnsi="宋体" w:cs="宋体"/>
                <w:highlight w:val="none"/>
              </w:rPr>
              <w:t>的，得</w:t>
            </w:r>
            <w:r>
              <w:rPr>
                <w:rFonts w:ascii="宋体" w:hAnsi="宋体" w:cs="宋体"/>
                <w:highlight w:val="none"/>
              </w:rPr>
              <w:t>2</w:t>
            </w:r>
            <w:r>
              <w:rPr>
                <w:rFonts w:hint="eastAsia" w:ascii="宋体" w:hAnsi="宋体" w:cs="宋体"/>
                <w:highlight w:val="none"/>
              </w:rPr>
              <w:t>分。</w:t>
            </w:r>
          </w:p>
        </w:tc>
        <w:tc>
          <w:tcPr>
            <w:tcW w:w="1164" w:type="dxa"/>
            <w:vMerge w:val="continue"/>
            <w:vAlign w:val="center"/>
          </w:tcPr>
          <w:p>
            <w:pPr>
              <w:pStyle w:val="118"/>
              <w:spacing w:line="483" w:lineRule="exact"/>
              <w:ind w:left="104"/>
              <w:jc w:val="left"/>
              <w:rPr>
                <w:rFonts w:ascii="宋体"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jc w:val="center"/>
        </w:trPr>
        <w:tc>
          <w:tcPr>
            <w:tcW w:w="9628" w:type="dxa"/>
            <w:gridSpan w:val="4"/>
            <w:vAlign w:val="center"/>
          </w:tcPr>
          <w:p>
            <w:pPr>
              <w:pStyle w:val="118"/>
              <w:tabs>
                <w:tab w:val="left" w:pos="2294"/>
              </w:tabs>
              <w:spacing w:before="28"/>
              <w:ind w:left="4"/>
              <w:jc w:val="center"/>
              <w:rPr>
                <w:rFonts w:ascii="宋体" w:cs="Times New Roman"/>
                <w:highlight w:val="none"/>
              </w:rPr>
            </w:pPr>
            <w:r>
              <w:rPr>
                <w:rFonts w:hint="eastAsia" w:ascii="宋体" w:hAnsi="宋体" w:cs="宋体"/>
                <w:highlight w:val="none"/>
              </w:rPr>
              <w:t>技术部分（满分</w:t>
            </w:r>
            <w:r>
              <w:rPr>
                <w:rFonts w:ascii="宋体" w:hAnsi="宋体" w:cs="宋体"/>
                <w:highlight w:val="none"/>
                <w:u w:val="single"/>
              </w:rPr>
              <w:t xml:space="preserve">  55</w:t>
            </w:r>
            <w:r>
              <w:rPr>
                <w:rFonts w:ascii="宋体" w:hAnsi="宋体" w:cs="宋体"/>
                <w:highlight w:val="none"/>
                <w:u w:val="single"/>
              </w:rPr>
              <w:tab/>
            </w:r>
            <w:r>
              <w:rPr>
                <w:rFonts w:hint="eastAsia" w:ascii="宋体" w:hAnsi="宋体" w:cs="宋体"/>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jc w:val="center"/>
        </w:trPr>
        <w:tc>
          <w:tcPr>
            <w:tcW w:w="1833" w:type="dxa"/>
            <w:vAlign w:val="center"/>
          </w:tcPr>
          <w:p>
            <w:pPr>
              <w:pStyle w:val="118"/>
              <w:spacing w:before="11"/>
              <w:ind w:right="389"/>
              <w:jc w:val="right"/>
              <w:rPr>
                <w:rFonts w:ascii="宋体" w:cs="Times New Roman"/>
                <w:highlight w:val="none"/>
              </w:rPr>
            </w:pPr>
            <w:r>
              <w:rPr>
                <w:rFonts w:hint="eastAsia" w:ascii="宋体" w:hAnsi="宋体" w:cs="宋体"/>
                <w:highlight w:val="none"/>
              </w:rPr>
              <w:t>评分因素</w:t>
            </w:r>
          </w:p>
        </w:tc>
        <w:tc>
          <w:tcPr>
            <w:tcW w:w="6631" w:type="dxa"/>
            <w:gridSpan w:val="2"/>
            <w:vAlign w:val="center"/>
          </w:tcPr>
          <w:p>
            <w:pPr>
              <w:pStyle w:val="118"/>
              <w:spacing w:before="11"/>
              <w:ind w:left="125" w:right="125"/>
              <w:jc w:val="center"/>
              <w:rPr>
                <w:rFonts w:ascii="宋体" w:cs="Times New Roman"/>
                <w:highlight w:val="none"/>
              </w:rPr>
            </w:pPr>
            <w:r>
              <w:rPr>
                <w:rFonts w:hint="eastAsia" w:ascii="宋体" w:hAnsi="宋体" w:cs="宋体"/>
                <w:highlight w:val="none"/>
              </w:rPr>
              <w:t>评标标准</w:t>
            </w:r>
          </w:p>
        </w:tc>
        <w:tc>
          <w:tcPr>
            <w:tcW w:w="1164" w:type="dxa"/>
            <w:vAlign w:val="center"/>
          </w:tcPr>
          <w:p>
            <w:pPr>
              <w:pStyle w:val="118"/>
              <w:spacing w:before="11"/>
              <w:ind w:left="179" w:right="174"/>
              <w:jc w:val="center"/>
              <w:rPr>
                <w:rFonts w:ascii="宋体" w:cs="Times New Roman"/>
                <w:highlight w:val="none"/>
              </w:rPr>
            </w:pPr>
            <w:r>
              <w:rPr>
                <w:rFonts w:hint="eastAsia" w:ascii="宋体" w:hAnsi="宋体" w:cs="宋体"/>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jc w:val="center"/>
        </w:trPr>
        <w:tc>
          <w:tcPr>
            <w:tcW w:w="1833" w:type="dxa"/>
            <w:vMerge w:val="restart"/>
            <w:vAlign w:val="center"/>
          </w:tcPr>
          <w:p>
            <w:pPr>
              <w:pStyle w:val="118"/>
              <w:ind w:left="518" w:right="151" w:hanging="360"/>
              <w:jc w:val="center"/>
              <w:rPr>
                <w:rFonts w:ascii="宋体" w:cs="Times New Roman"/>
                <w:highlight w:val="none"/>
              </w:rPr>
            </w:pPr>
            <w:r>
              <w:rPr>
                <w:rFonts w:hint="eastAsia" w:ascii="宋体" w:hAnsi="宋体" w:cs="宋体"/>
                <w:highlight w:val="none"/>
              </w:rPr>
              <w:t>技术实施方案</w:t>
            </w:r>
          </w:p>
          <w:p>
            <w:pPr>
              <w:pStyle w:val="118"/>
              <w:ind w:left="518" w:right="151" w:hanging="360"/>
              <w:jc w:val="center"/>
              <w:rPr>
                <w:rFonts w:ascii="宋体" w:cs="Times New Roman"/>
                <w:highlight w:val="none"/>
              </w:rPr>
            </w:pPr>
            <w:r>
              <w:rPr>
                <w:rFonts w:hint="eastAsia" w:ascii="宋体" w:hAnsi="宋体" w:cs="宋体"/>
                <w:highlight w:val="none"/>
              </w:rPr>
              <w:t>（监理大纲）</w:t>
            </w:r>
          </w:p>
          <w:p>
            <w:pPr>
              <w:pStyle w:val="118"/>
              <w:ind w:right="151"/>
              <w:jc w:val="center"/>
              <w:rPr>
                <w:rFonts w:ascii="宋体" w:cs="Times New Roman"/>
                <w:highlight w:val="none"/>
              </w:rPr>
            </w:pPr>
            <w:r>
              <w:rPr>
                <w:rFonts w:ascii="宋体" w:hAnsi="宋体" w:cs="宋体"/>
                <w:highlight w:val="none"/>
              </w:rPr>
              <w:t>(</w:t>
            </w:r>
            <w:r>
              <w:rPr>
                <w:rFonts w:hint="eastAsia" w:ascii="宋体" w:hAnsi="宋体" w:cs="宋体"/>
                <w:highlight w:val="none"/>
              </w:rPr>
              <w:t>如有缺项，该项内容按</w:t>
            </w:r>
            <w:r>
              <w:rPr>
                <w:rFonts w:ascii="宋体" w:cs="宋体"/>
                <w:highlight w:val="none"/>
              </w:rPr>
              <w:t>0</w:t>
            </w:r>
            <w:r>
              <w:rPr>
                <w:rFonts w:hint="eastAsia" w:ascii="宋体" w:hAnsi="宋体" w:cs="宋体"/>
                <w:highlight w:val="none"/>
              </w:rPr>
              <w:t>分计</w:t>
            </w:r>
            <w:r>
              <w:rPr>
                <w:rFonts w:ascii="宋体" w:hAnsi="宋体" w:cs="宋体"/>
                <w:highlight w:val="none"/>
              </w:rPr>
              <w:t>)</w:t>
            </w:r>
          </w:p>
        </w:tc>
        <w:tc>
          <w:tcPr>
            <w:tcW w:w="1834" w:type="dxa"/>
            <w:vAlign w:val="center"/>
          </w:tcPr>
          <w:p>
            <w:pPr>
              <w:spacing w:line="360" w:lineRule="auto"/>
              <w:jc w:val="center"/>
              <w:rPr>
                <w:rFonts w:ascii="宋体"/>
                <w:highlight w:val="none"/>
              </w:rPr>
            </w:pPr>
            <w:r>
              <w:rPr>
                <w:rFonts w:hint="eastAsia" w:ascii="宋体" w:hAnsi="宋体" w:cs="宋体"/>
                <w:highlight w:val="none"/>
              </w:rPr>
              <w:t>组织机构</w:t>
            </w:r>
          </w:p>
          <w:p>
            <w:pPr>
              <w:spacing w:line="360" w:lineRule="auto"/>
              <w:ind w:firstLine="58" w:firstLineChars="28"/>
              <w:jc w:val="center"/>
              <w:rPr>
                <w:rFonts w:ascii="宋体"/>
                <w:highlight w:val="none"/>
              </w:rPr>
            </w:pPr>
            <w:r>
              <w:rPr>
                <w:rFonts w:hint="eastAsia" w:ascii="宋体" w:hAnsi="宋体" w:cs="宋体"/>
                <w:highlight w:val="none"/>
              </w:rPr>
              <w:t>（</w:t>
            </w:r>
            <w:r>
              <w:rPr>
                <w:rFonts w:ascii="宋体" w:hAnsi="宋体" w:cs="宋体"/>
                <w:highlight w:val="none"/>
              </w:rPr>
              <w:t>0-7</w:t>
            </w:r>
            <w:r>
              <w:rPr>
                <w:rFonts w:hint="eastAsia" w:ascii="宋体" w:hAnsi="宋体" w:cs="宋体"/>
                <w:highlight w:val="none"/>
              </w:rPr>
              <w:t>分）</w:t>
            </w:r>
          </w:p>
        </w:tc>
        <w:tc>
          <w:tcPr>
            <w:tcW w:w="4797" w:type="dxa"/>
            <w:vAlign w:val="center"/>
          </w:tcPr>
          <w:p>
            <w:pPr>
              <w:spacing w:line="360" w:lineRule="auto"/>
              <w:rPr>
                <w:rFonts w:ascii="宋体"/>
                <w:highlight w:val="none"/>
              </w:rPr>
            </w:pPr>
            <w:r>
              <w:rPr>
                <w:rFonts w:hint="eastAsia" w:ascii="宋体" w:hAnsi="宋体" w:cs="宋体"/>
                <w:highlight w:val="none"/>
              </w:rPr>
              <w:t>⑴有现场监理组织机构图的得</w:t>
            </w:r>
            <w:r>
              <w:rPr>
                <w:rFonts w:ascii="宋体" w:hAnsi="宋体" w:cs="宋体"/>
                <w:highlight w:val="none"/>
              </w:rPr>
              <w:t>2</w:t>
            </w:r>
            <w:r>
              <w:rPr>
                <w:rFonts w:hint="eastAsia" w:ascii="宋体" w:hAnsi="宋体" w:cs="宋体"/>
                <w:highlight w:val="none"/>
              </w:rPr>
              <w:t>分，组织机构设置中考虑到监理公司对现场监理部监督管理的得</w:t>
            </w:r>
            <w:r>
              <w:rPr>
                <w:rFonts w:ascii="宋体" w:hAnsi="宋体" w:cs="宋体"/>
                <w:highlight w:val="none"/>
              </w:rPr>
              <w:t>2</w:t>
            </w:r>
            <w:r>
              <w:rPr>
                <w:rFonts w:hint="eastAsia" w:ascii="宋体" w:hAnsi="宋体" w:cs="宋体"/>
                <w:highlight w:val="none"/>
              </w:rPr>
              <w:t>分，此项最多得</w:t>
            </w:r>
            <w:r>
              <w:rPr>
                <w:rFonts w:ascii="宋体" w:hAnsi="宋体" w:cs="宋体"/>
                <w:highlight w:val="none"/>
              </w:rPr>
              <w:t>4</w:t>
            </w:r>
            <w:r>
              <w:rPr>
                <w:rFonts w:hint="eastAsia" w:ascii="宋体" w:hAnsi="宋体" w:cs="宋体"/>
                <w:highlight w:val="none"/>
              </w:rPr>
              <w:t>分；</w:t>
            </w:r>
          </w:p>
          <w:p>
            <w:pPr>
              <w:spacing w:line="360" w:lineRule="auto"/>
              <w:rPr>
                <w:rFonts w:ascii="宋体"/>
                <w:highlight w:val="none"/>
              </w:rPr>
            </w:pPr>
            <w:r>
              <w:rPr>
                <w:rFonts w:hint="eastAsia" w:ascii="宋体" w:hAnsi="宋体" w:cs="宋体"/>
                <w:highlight w:val="none"/>
              </w:rPr>
              <w:t>⑵有明确的各级监理人员（包括项目总监、专业监理工程师、监理员、造价员、见证员及工程信息管理员）岗位职责，得</w:t>
            </w:r>
            <w:r>
              <w:rPr>
                <w:rFonts w:ascii="宋体" w:hAnsi="宋体" w:cs="宋体"/>
                <w:highlight w:val="none"/>
              </w:rPr>
              <w:t>3</w:t>
            </w:r>
            <w:r>
              <w:rPr>
                <w:rFonts w:hint="eastAsia" w:ascii="宋体" w:hAnsi="宋体" w:cs="宋体"/>
                <w:highlight w:val="none"/>
              </w:rPr>
              <w:t>分，缺一个岗位职责扣</w:t>
            </w:r>
            <w:r>
              <w:rPr>
                <w:rFonts w:ascii="宋体" w:hAnsi="宋体" w:cs="宋体"/>
                <w:highlight w:val="none"/>
              </w:rPr>
              <w:t>0.5</w:t>
            </w:r>
            <w:r>
              <w:rPr>
                <w:rFonts w:hint="eastAsia" w:ascii="宋体" w:hAnsi="宋体" w:cs="宋体"/>
                <w:highlight w:val="none"/>
              </w:rPr>
              <w:t>分，扣完为止。</w:t>
            </w:r>
          </w:p>
        </w:tc>
        <w:tc>
          <w:tcPr>
            <w:tcW w:w="1164" w:type="dxa"/>
            <w:vMerge w:val="restart"/>
            <w:vAlign w:val="center"/>
          </w:tcPr>
          <w:p>
            <w:pPr>
              <w:pStyle w:val="118"/>
              <w:rPr>
                <w:rFonts w:ascii="宋体" w:cs="Times New Roman"/>
                <w:highlight w:val="none"/>
              </w:rPr>
            </w:pPr>
          </w:p>
          <w:p>
            <w:pPr>
              <w:pStyle w:val="118"/>
              <w:spacing w:before="11"/>
              <w:jc w:val="center"/>
              <w:rPr>
                <w:rFonts w:ascii="宋体" w:cs="Times New Roman"/>
                <w:highlight w:val="none"/>
              </w:rPr>
            </w:pPr>
            <w:r>
              <w:rPr>
                <w:rFonts w:ascii="宋体" w:hAnsi="宋体" w:cs="宋体"/>
                <w:highlight w:val="none"/>
              </w:rPr>
              <w:t>55</w:t>
            </w:r>
            <w:r>
              <w:rPr>
                <w:rFonts w:hint="eastAsia" w:ascii="宋体" w:hAnsi="宋体" w:cs="宋体"/>
                <w:highlight w:val="none"/>
              </w:rPr>
              <w:t>分</w:t>
            </w:r>
          </w:p>
          <w:p>
            <w:pPr>
              <w:pStyle w:val="118"/>
              <w:jc w:val="center"/>
              <w:rPr>
                <w:rFonts w:ascii="宋体"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jc w:val="center"/>
        </w:trPr>
        <w:tc>
          <w:tcPr>
            <w:tcW w:w="1833" w:type="dxa"/>
            <w:vMerge w:val="continue"/>
            <w:vAlign w:val="center"/>
          </w:tcPr>
          <w:p>
            <w:pPr>
              <w:pStyle w:val="118"/>
              <w:ind w:left="518" w:right="151" w:hanging="360"/>
              <w:jc w:val="center"/>
              <w:rPr>
                <w:rFonts w:ascii="宋体" w:cs="Times New Roman"/>
                <w:highlight w:val="none"/>
              </w:rPr>
            </w:pPr>
          </w:p>
        </w:tc>
        <w:tc>
          <w:tcPr>
            <w:tcW w:w="1834" w:type="dxa"/>
            <w:vAlign w:val="center"/>
          </w:tcPr>
          <w:p>
            <w:pPr>
              <w:spacing w:line="360" w:lineRule="auto"/>
              <w:jc w:val="center"/>
              <w:rPr>
                <w:rFonts w:ascii="宋体"/>
                <w:highlight w:val="none"/>
              </w:rPr>
            </w:pPr>
            <w:r>
              <w:rPr>
                <w:rFonts w:hint="eastAsia" w:ascii="宋体" w:hAnsi="宋体" w:cs="宋体"/>
                <w:highlight w:val="none"/>
              </w:rPr>
              <w:t>质量管理措施</w:t>
            </w:r>
          </w:p>
          <w:p>
            <w:pPr>
              <w:spacing w:line="360" w:lineRule="auto"/>
              <w:ind w:firstLine="58" w:firstLineChars="28"/>
              <w:jc w:val="center"/>
              <w:rPr>
                <w:rFonts w:ascii="宋体"/>
                <w:highlight w:val="none"/>
              </w:rPr>
            </w:pPr>
            <w:r>
              <w:rPr>
                <w:rFonts w:hint="eastAsia" w:ascii="宋体" w:hAnsi="宋体" w:cs="宋体"/>
                <w:highlight w:val="none"/>
              </w:rPr>
              <w:t>（</w:t>
            </w:r>
            <w:r>
              <w:rPr>
                <w:rFonts w:ascii="宋体" w:hAnsi="宋体" w:cs="宋体"/>
                <w:highlight w:val="none"/>
              </w:rPr>
              <w:t>3-6</w:t>
            </w:r>
            <w:r>
              <w:rPr>
                <w:rFonts w:hint="eastAsia" w:ascii="宋体" w:hAnsi="宋体" w:cs="宋体"/>
                <w:highlight w:val="none"/>
              </w:rPr>
              <w:t>分）</w:t>
            </w:r>
          </w:p>
        </w:tc>
        <w:tc>
          <w:tcPr>
            <w:tcW w:w="4797" w:type="dxa"/>
            <w:vAlign w:val="center"/>
          </w:tcPr>
          <w:p>
            <w:pPr>
              <w:spacing w:line="360" w:lineRule="auto"/>
              <w:rPr>
                <w:rFonts w:ascii="宋体"/>
                <w:highlight w:val="none"/>
              </w:rPr>
            </w:pPr>
            <w:r>
              <w:rPr>
                <w:rFonts w:hint="eastAsia" w:ascii="宋体" w:hAnsi="宋体" w:cs="宋体"/>
                <w:highlight w:val="none"/>
              </w:rPr>
              <w:t>⑴事前控制的措施和方法；</w:t>
            </w:r>
          </w:p>
          <w:p>
            <w:pPr>
              <w:spacing w:line="360" w:lineRule="auto"/>
              <w:rPr>
                <w:rFonts w:ascii="宋体"/>
                <w:highlight w:val="none"/>
              </w:rPr>
            </w:pPr>
            <w:r>
              <w:rPr>
                <w:rFonts w:hint="eastAsia" w:ascii="宋体" w:hAnsi="宋体" w:cs="宋体"/>
                <w:highlight w:val="none"/>
              </w:rPr>
              <w:t>⑵原材料质量控制的措施和方法；</w:t>
            </w:r>
          </w:p>
          <w:p>
            <w:pPr>
              <w:spacing w:line="360" w:lineRule="auto"/>
              <w:rPr>
                <w:rFonts w:ascii="宋体"/>
                <w:highlight w:val="none"/>
              </w:rPr>
            </w:pPr>
            <w:r>
              <w:rPr>
                <w:rFonts w:hint="eastAsia" w:ascii="宋体" w:hAnsi="宋体" w:cs="宋体"/>
                <w:highlight w:val="none"/>
              </w:rPr>
              <w:t>⑶事中控制的措施和方法；</w:t>
            </w:r>
          </w:p>
          <w:p>
            <w:pPr>
              <w:spacing w:line="360" w:lineRule="auto"/>
              <w:rPr>
                <w:rFonts w:ascii="宋体"/>
                <w:highlight w:val="none"/>
              </w:rPr>
            </w:pPr>
            <w:r>
              <w:rPr>
                <w:rFonts w:hint="eastAsia" w:ascii="宋体" w:hAnsi="宋体" w:cs="宋体"/>
                <w:highlight w:val="none"/>
              </w:rPr>
              <w:t>⑷事后质量控制措施和方法。</w:t>
            </w:r>
          </w:p>
        </w:tc>
        <w:tc>
          <w:tcPr>
            <w:tcW w:w="1164" w:type="dxa"/>
            <w:vMerge w:val="continue"/>
            <w:vAlign w:val="center"/>
          </w:tcPr>
          <w:p>
            <w:pPr>
              <w:pStyle w:val="118"/>
              <w:jc w:val="center"/>
              <w:rPr>
                <w:rFonts w:ascii="宋体"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 w:hRule="atLeast"/>
          <w:jc w:val="center"/>
        </w:trPr>
        <w:tc>
          <w:tcPr>
            <w:tcW w:w="1833" w:type="dxa"/>
            <w:vMerge w:val="continue"/>
            <w:vAlign w:val="center"/>
          </w:tcPr>
          <w:p>
            <w:pPr>
              <w:pStyle w:val="118"/>
              <w:ind w:left="518" w:right="151" w:hanging="360"/>
              <w:jc w:val="center"/>
              <w:rPr>
                <w:rFonts w:ascii="宋体" w:cs="Times New Roman"/>
                <w:highlight w:val="none"/>
              </w:rPr>
            </w:pPr>
          </w:p>
        </w:tc>
        <w:tc>
          <w:tcPr>
            <w:tcW w:w="1834" w:type="dxa"/>
            <w:vAlign w:val="center"/>
          </w:tcPr>
          <w:p>
            <w:pPr>
              <w:spacing w:line="360" w:lineRule="auto"/>
              <w:jc w:val="center"/>
              <w:rPr>
                <w:rFonts w:ascii="宋体"/>
                <w:highlight w:val="none"/>
              </w:rPr>
            </w:pPr>
            <w:r>
              <w:rPr>
                <w:rFonts w:hint="eastAsia" w:ascii="宋体" w:hAnsi="宋体" w:cs="宋体"/>
                <w:highlight w:val="none"/>
              </w:rPr>
              <w:t>旁站监理措施</w:t>
            </w:r>
          </w:p>
          <w:p>
            <w:pPr>
              <w:spacing w:line="360" w:lineRule="auto"/>
              <w:jc w:val="center"/>
              <w:rPr>
                <w:rFonts w:ascii="宋体"/>
                <w:highlight w:val="none"/>
              </w:rPr>
            </w:pPr>
            <w:r>
              <w:rPr>
                <w:rFonts w:hint="eastAsia" w:ascii="宋体" w:hAnsi="宋体" w:cs="宋体"/>
                <w:highlight w:val="none"/>
              </w:rPr>
              <w:t>（</w:t>
            </w:r>
            <w:r>
              <w:rPr>
                <w:rFonts w:ascii="宋体" w:hAnsi="宋体" w:cs="宋体"/>
                <w:highlight w:val="none"/>
              </w:rPr>
              <w:t>3-6</w:t>
            </w:r>
            <w:r>
              <w:rPr>
                <w:rFonts w:hint="eastAsia" w:ascii="宋体" w:hAnsi="宋体" w:cs="宋体"/>
                <w:highlight w:val="none"/>
              </w:rPr>
              <w:t>分）</w:t>
            </w:r>
          </w:p>
        </w:tc>
        <w:tc>
          <w:tcPr>
            <w:tcW w:w="4797" w:type="dxa"/>
            <w:vAlign w:val="center"/>
          </w:tcPr>
          <w:p>
            <w:pPr>
              <w:tabs>
                <w:tab w:val="left" w:pos="420"/>
                <w:tab w:val="left" w:pos="709"/>
              </w:tabs>
              <w:spacing w:line="360" w:lineRule="auto"/>
              <w:rPr>
                <w:rFonts w:ascii="宋体"/>
                <w:highlight w:val="none"/>
              </w:rPr>
            </w:pPr>
            <w:r>
              <w:rPr>
                <w:rFonts w:hint="eastAsia" w:ascii="宋体" w:hAnsi="宋体" w:cs="宋体"/>
                <w:highlight w:val="none"/>
              </w:rPr>
              <w:t>⑴设置工程旁站监理部位（过程）设置合理，包括各关键部位；</w:t>
            </w:r>
          </w:p>
          <w:p>
            <w:pPr>
              <w:tabs>
                <w:tab w:val="left" w:pos="420"/>
                <w:tab w:val="left" w:pos="709"/>
              </w:tabs>
              <w:spacing w:line="360" w:lineRule="auto"/>
              <w:rPr>
                <w:rFonts w:ascii="宋体"/>
                <w:highlight w:val="none"/>
              </w:rPr>
            </w:pPr>
            <w:r>
              <w:rPr>
                <w:rFonts w:hint="eastAsia" w:ascii="宋体" w:hAnsi="宋体" w:cs="宋体"/>
                <w:highlight w:val="none"/>
              </w:rPr>
              <w:t>⑵旁站监理措施详细。</w:t>
            </w:r>
          </w:p>
        </w:tc>
        <w:tc>
          <w:tcPr>
            <w:tcW w:w="1164" w:type="dxa"/>
            <w:vMerge w:val="continue"/>
            <w:vAlign w:val="center"/>
          </w:tcPr>
          <w:p>
            <w:pPr>
              <w:pStyle w:val="118"/>
              <w:jc w:val="center"/>
              <w:rPr>
                <w:rFonts w:ascii="宋体"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jc w:val="center"/>
        </w:trPr>
        <w:tc>
          <w:tcPr>
            <w:tcW w:w="1833" w:type="dxa"/>
            <w:vMerge w:val="continue"/>
            <w:vAlign w:val="center"/>
          </w:tcPr>
          <w:p>
            <w:pPr>
              <w:pStyle w:val="118"/>
              <w:ind w:left="518" w:right="151" w:hanging="360"/>
              <w:jc w:val="center"/>
              <w:rPr>
                <w:rFonts w:ascii="宋体" w:cs="Times New Roman"/>
                <w:highlight w:val="none"/>
              </w:rPr>
            </w:pPr>
          </w:p>
        </w:tc>
        <w:tc>
          <w:tcPr>
            <w:tcW w:w="1834" w:type="dxa"/>
            <w:vAlign w:val="center"/>
          </w:tcPr>
          <w:p>
            <w:pPr>
              <w:spacing w:line="360" w:lineRule="auto"/>
              <w:jc w:val="center"/>
              <w:rPr>
                <w:rFonts w:ascii="宋体"/>
                <w:highlight w:val="none"/>
              </w:rPr>
            </w:pPr>
            <w:r>
              <w:rPr>
                <w:rFonts w:hint="eastAsia" w:ascii="宋体" w:hAnsi="宋体" w:cs="宋体"/>
                <w:highlight w:val="none"/>
              </w:rPr>
              <w:t>进度控制措施</w:t>
            </w:r>
          </w:p>
          <w:p>
            <w:pPr>
              <w:spacing w:line="360" w:lineRule="auto"/>
              <w:jc w:val="center"/>
              <w:rPr>
                <w:rFonts w:ascii="宋体"/>
                <w:highlight w:val="none"/>
              </w:rPr>
            </w:pPr>
            <w:r>
              <w:rPr>
                <w:rFonts w:hint="eastAsia" w:ascii="宋体" w:hAnsi="宋体" w:cs="宋体"/>
                <w:highlight w:val="none"/>
              </w:rPr>
              <w:t>（</w:t>
            </w:r>
            <w:r>
              <w:rPr>
                <w:rFonts w:ascii="宋体" w:hAnsi="宋体" w:cs="宋体"/>
                <w:highlight w:val="none"/>
              </w:rPr>
              <w:t>3-6</w:t>
            </w:r>
            <w:r>
              <w:rPr>
                <w:rFonts w:hint="eastAsia" w:ascii="宋体" w:hAnsi="宋体" w:cs="宋体"/>
                <w:highlight w:val="none"/>
              </w:rPr>
              <w:t>分）</w:t>
            </w:r>
          </w:p>
        </w:tc>
        <w:tc>
          <w:tcPr>
            <w:tcW w:w="4797" w:type="dxa"/>
            <w:vAlign w:val="center"/>
          </w:tcPr>
          <w:p>
            <w:pPr>
              <w:tabs>
                <w:tab w:val="left" w:pos="420"/>
                <w:tab w:val="left" w:pos="709"/>
              </w:tabs>
              <w:spacing w:line="360" w:lineRule="auto"/>
              <w:rPr>
                <w:rFonts w:ascii="宋体"/>
                <w:highlight w:val="none"/>
              </w:rPr>
            </w:pPr>
            <w:r>
              <w:rPr>
                <w:rFonts w:hint="eastAsia" w:ascii="宋体" w:hAnsi="宋体" w:cs="宋体"/>
                <w:highlight w:val="none"/>
              </w:rPr>
              <w:t>⑴有对实现工期目标可行性论述。</w:t>
            </w:r>
          </w:p>
          <w:p>
            <w:pPr>
              <w:tabs>
                <w:tab w:val="left" w:pos="420"/>
                <w:tab w:val="left" w:pos="709"/>
              </w:tabs>
              <w:spacing w:line="360" w:lineRule="auto"/>
              <w:rPr>
                <w:rFonts w:ascii="宋体"/>
                <w:highlight w:val="none"/>
              </w:rPr>
            </w:pPr>
            <w:r>
              <w:rPr>
                <w:rFonts w:hint="eastAsia" w:ascii="宋体" w:hAnsi="宋体" w:cs="宋体"/>
                <w:highlight w:val="none"/>
              </w:rPr>
              <w:t>⑵进度控制的监理工作内容、原则、程序、方法</w:t>
            </w:r>
          </w:p>
          <w:p>
            <w:pPr>
              <w:tabs>
                <w:tab w:val="left" w:pos="420"/>
                <w:tab w:val="left" w:pos="709"/>
              </w:tabs>
              <w:spacing w:line="360" w:lineRule="auto"/>
              <w:rPr>
                <w:rFonts w:ascii="宋体"/>
                <w:highlight w:val="none"/>
              </w:rPr>
            </w:pPr>
            <w:r>
              <w:rPr>
                <w:rFonts w:hint="eastAsia" w:ascii="宋体" w:hAnsi="宋体" w:cs="宋体"/>
                <w:highlight w:val="none"/>
              </w:rPr>
              <w:t>⑶监理措施详细，技术措施、组织措施、经济措施、合同措施齐全。</w:t>
            </w:r>
          </w:p>
        </w:tc>
        <w:tc>
          <w:tcPr>
            <w:tcW w:w="1164" w:type="dxa"/>
            <w:vMerge w:val="continue"/>
            <w:vAlign w:val="center"/>
          </w:tcPr>
          <w:p>
            <w:pPr>
              <w:pStyle w:val="118"/>
              <w:jc w:val="center"/>
              <w:rPr>
                <w:rFonts w:ascii="宋体"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jc w:val="center"/>
        </w:trPr>
        <w:tc>
          <w:tcPr>
            <w:tcW w:w="1833" w:type="dxa"/>
            <w:vMerge w:val="continue"/>
            <w:vAlign w:val="center"/>
          </w:tcPr>
          <w:p>
            <w:pPr>
              <w:pStyle w:val="118"/>
              <w:ind w:left="518" w:right="151" w:hanging="360"/>
              <w:jc w:val="center"/>
              <w:rPr>
                <w:rFonts w:ascii="宋体" w:cs="Times New Roman"/>
                <w:highlight w:val="none"/>
              </w:rPr>
            </w:pPr>
          </w:p>
        </w:tc>
        <w:tc>
          <w:tcPr>
            <w:tcW w:w="1834" w:type="dxa"/>
            <w:vAlign w:val="center"/>
          </w:tcPr>
          <w:p>
            <w:pPr>
              <w:spacing w:line="360" w:lineRule="auto"/>
              <w:jc w:val="center"/>
              <w:rPr>
                <w:rFonts w:ascii="宋体"/>
                <w:highlight w:val="none"/>
              </w:rPr>
            </w:pPr>
            <w:r>
              <w:rPr>
                <w:rFonts w:hint="eastAsia" w:ascii="宋体" w:hAnsi="宋体" w:cs="宋体"/>
                <w:highlight w:val="none"/>
              </w:rPr>
              <w:t>投资控制措施</w:t>
            </w:r>
          </w:p>
          <w:p>
            <w:pPr>
              <w:spacing w:line="360" w:lineRule="auto"/>
              <w:jc w:val="center"/>
              <w:rPr>
                <w:rFonts w:ascii="宋体"/>
                <w:highlight w:val="none"/>
              </w:rPr>
            </w:pPr>
            <w:r>
              <w:rPr>
                <w:rFonts w:hint="eastAsia" w:ascii="宋体" w:hAnsi="宋体" w:cs="宋体"/>
                <w:highlight w:val="none"/>
              </w:rPr>
              <w:t>（</w:t>
            </w:r>
            <w:r>
              <w:rPr>
                <w:rFonts w:ascii="宋体" w:hAnsi="宋体" w:cs="宋体"/>
                <w:highlight w:val="none"/>
              </w:rPr>
              <w:t>3-6</w:t>
            </w:r>
            <w:r>
              <w:rPr>
                <w:rFonts w:hint="eastAsia" w:ascii="宋体" w:hAnsi="宋体" w:cs="宋体"/>
                <w:highlight w:val="none"/>
              </w:rPr>
              <w:t>分）</w:t>
            </w:r>
          </w:p>
        </w:tc>
        <w:tc>
          <w:tcPr>
            <w:tcW w:w="4797" w:type="dxa"/>
            <w:vAlign w:val="center"/>
          </w:tcPr>
          <w:p>
            <w:pPr>
              <w:tabs>
                <w:tab w:val="left" w:pos="420"/>
                <w:tab w:val="left" w:pos="709"/>
              </w:tabs>
              <w:spacing w:line="360" w:lineRule="auto"/>
              <w:rPr>
                <w:rFonts w:ascii="宋体"/>
                <w:highlight w:val="none"/>
              </w:rPr>
            </w:pPr>
            <w:r>
              <w:rPr>
                <w:rFonts w:hint="eastAsia" w:ascii="宋体" w:hAnsi="宋体" w:cs="宋体"/>
                <w:highlight w:val="none"/>
              </w:rPr>
              <w:t>⑴有投资控制的监理工作内容、原则、程序和方法；</w:t>
            </w:r>
          </w:p>
          <w:p>
            <w:pPr>
              <w:tabs>
                <w:tab w:val="left" w:pos="420"/>
                <w:tab w:val="left" w:pos="709"/>
              </w:tabs>
              <w:spacing w:line="360" w:lineRule="auto"/>
              <w:rPr>
                <w:rFonts w:ascii="宋体"/>
                <w:highlight w:val="none"/>
              </w:rPr>
            </w:pPr>
            <w:r>
              <w:rPr>
                <w:rFonts w:hint="eastAsia" w:ascii="宋体" w:hAnsi="宋体" w:cs="宋体"/>
                <w:highlight w:val="none"/>
              </w:rPr>
              <w:t>⑵监理措施详细，技术措施、组织措施、经济措施、合同措施齐全。</w:t>
            </w:r>
          </w:p>
          <w:p>
            <w:pPr>
              <w:tabs>
                <w:tab w:val="left" w:pos="420"/>
                <w:tab w:val="left" w:pos="709"/>
              </w:tabs>
              <w:spacing w:line="360" w:lineRule="auto"/>
              <w:rPr>
                <w:rFonts w:ascii="宋体"/>
                <w:highlight w:val="none"/>
              </w:rPr>
            </w:pPr>
            <w:r>
              <w:rPr>
                <w:rFonts w:hint="eastAsia" w:ascii="宋体" w:hAnsi="宋体" w:cs="宋体"/>
                <w:highlight w:val="none"/>
              </w:rPr>
              <w:t>⑶有工程变更、费用索赔的管理方法。</w:t>
            </w:r>
          </w:p>
        </w:tc>
        <w:tc>
          <w:tcPr>
            <w:tcW w:w="1164" w:type="dxa"/>
            <w:vMerge w:val="continue"/>
            <w:vAlign w:val="center"/>
          </w:tcPr>
          <w:p>
            <w:pPr>
              <w:pStyle w:val="118"/>
              <w:jc w:val="center"/>
              <w:rPr>
                <w:rFonts w:ascii="宋体"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jc w:val="center"/>
        </w:trPr>
        <w:tc>
          <w:tcPr>
            <w:tcW w:w="1833" w:type="dxa"/>
            <w:vMerge w:val="continue"/>
            <w:vAlign w:val="center"/>
          </w:tcPr>
          <w:p>
            <w:pPr>
              <w:pStyle w:val="118"/>
              <w:ind w:left="518" w:right="151" w:hanging="360"/>
              <w:jc w:val="center"/>
              <w:rPr>
                <w:rFonts w:ascii="宋体" w:cs="Times New Roman"/>
                <w:highlight w:val="none"/>
              </w:rPr>
            </w:pPr>
          </w:p>
          <w:p>
            <w:pPr>
              <w:pStyle w:val="118"/>
              <w:ind w:left="518" w:right="151" w:hanging="360"/>
              <w:jc w:val="center"/>
              <w:rPr>
                <w:rFonts w:ascii="宋体" w:cs="Times New Roman"/>
                <w:highlight w:val="none"/>
              </w:rPr>
            </w:pPr>
          </w:p>
        </w:tc>
        <w:tc>
          <w:tcPr>
            <w:tcW w:w="1834" w:type="dxa"/>
            <w:vAlign w:val="center"/>
          </w:tcPr>
          <w:p>
            <w:pPr>
              <w:spacing w:line="360" w:lineRule="auto"/>
              <w:jc w:val="center"/>
              <w:rPr>
                <w:rFonts w:ascii="宋体"/>
                <w:highlight w:val="none"/>
              </w:rPr>
            </w:pPr>
            <w:r>
              <w:rPr>
                <w:rFonts w:hint="eastAsia" w:ascii="宋体" w:hAnsi="宋体" w:cs="宋体"/>
                <w:highlight w:val="none"/>
              </w:rPr>
              <w:t>安全、文明控制措施</w:t>
            </w:r>
          </w:p>
          <w:p>
            <w:pPr>
              <w:spacing w:line="360" w:lineRule="auto"/>
              <w:jc w:val="center"/>
              <w:rPr>
                <w:rFonts w:ascii="宋体"/>
                <w:highlight w:val="none"/>
              </w:rPr>
            </w:pPr>
            <w:r>
              <w:rPr>
                <w:rFonts w:hint="eastAsia" w:ascii="宋体" w:hAnsi="宋体" w:cs="宋体"/>
                <w:highlight w:val="none"/>
              </w:rPr>
              <w:t>（</w:t>
            </w:r>
            <w:r>
              <w:rPr>
                <w:rFonts w:ascii="宋体" w:hAnsi="宋体" w:cs="宋体"/>
                <w:highlight w:val="none"/>
              </w:rPr>
              <w:t>3-6</w:t>
            </w:r>
            <w:r>
              <w:rPr>
                <w:rFonts w:hint="eastAsia" w:ascii="宋体" w:hAnsi="宋体" w:cs="宋体"/>
                <w:highlight w:val="none"/>
              </w:rPr>
              <w:t>分）</w:t>
            </w:r>
          </w:p>
        </w:tc>
        <w:tc>
          <w:tcPr>
            <w:tcW w:w="4797" w:type="dxa"/>
            <w:vAlign w:val="center"/>
          </w:tcPr>
          <w:p>
            <w:pPr>
              <w:tabs>
                <w:tab w:val="left" w:pos="420"/>
                <w:tab w:val="left" w:pos="709"/>
              </w:tabs>
              <w:spacing w:line="360" w:lineRule="auto"/>
              <w:rPr>
                <w:rFonts w:ascii="宋体"/>
                <w:highlight w:val="none"/>
              </w:rPr>
            </w:pPr>
            <w:r>
              <w:rPr>
                <w:rFonts w:hint="eastAsia" w:ascii="宋体" w:hAnsi="宋体" w:cs="宋体"/>
                <w:highlight w:val="none"/>
              </w:rPr>
              <w:t>⑴有文明、安全的监理工作内容、原则、程序和方法。</w:t>
            </w:r>
          </w:p>
          <w:p>
            <w:pPr>
              <w:tabs>
                <w:tab w:val="left" w:pos="420"/>
                <w:tab w:val="left" w:pos="709"/>
              </w:tabs>
              <w:spacing w:line="360" w:lineRule="auto"/>
              <w:rPr>
                <w:rFonts w:ascii="宋体"/>
                <w:highlight w:val="none"/>
              </w:rPr>
            </w:pPr>
            <w:r>
              <w:rPr>
                <w:rFonts w:hint="eastAsia" w:ascii="宋体" w:hAnsi="宋体" w:cs="宋体"/>
                <w:highlight w:val="none"/>
              </w:rPr>
              <w:t>⑵监理措施详细，技术措施、组织措施、经济措施、合同措施齐全。</w:t>
            </w:r>
          </w:p>
        </w:tc>
        <w:tc>
          <w:tcPr>
            <w:tcW w:w="1164" w:type="dxa"/>
            <w:vMerge w:val="continue"/>
            <w:vAlign w:val="center"/>
          </w:tcPr>
          <w:p>
            <w:pPr>
              <w:pStyle w:val="118"/>
              <w:jc w:val="center"/>
              <w:rPr>
                <w:rFonts w:ascii="宋体"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jc w:val="center"/>
        </w:trPr>
        <w:tc>
          <w:tcPr>
            <w:tcW w:w="1833" w:type="dxa"/>
            <w:vMerge w:val="continue"/>
            <w:vAlign w:val="center"/>
          </w:tcPr>
          <w:p>
            <w:pPr>
              <w:pStyle w:val="118"/>
              <w:ind w:left="518" w:right="151" w:hanging="360"/>
              <w:jc w:val="center"/>
              <w:rPr>
                <w:rFonts w:ascii="宋体" w:cs="Times New Roman"/>
                <w:highlight w:val="none"/>
              </w:rPr>
            </w:pPr>
          </w:p>
        </w:tc>
        <w:tc>
          <w:tcPr>
            <w:tcW w:w="1834" w:type="dxa"/>
            <w:vAlign w:val="center"/>
          </w:tcPr>
          <w:p>
            <w:pPr>
              <w:spacing w:line="360" w:lineRule="auto"/>
              <w:jc w:val="center"/>
              <w:rPr>
                <w:rFonts w:ascii="宋体"/>
                <w:highlight w:val="none"/>
              </w:rPr>
            </w:pPr>
            <w:r>
              <w:rPr>
                <w:rFonts w:hint="eastAsia" w:ascii="宋体" w:hAnsi="宋体" w:cs="宋体"/>
                <w:highlight w:val="none"/>
              </w:rPr>
              <w:t>工程合同管理措施</w:t>
            </w:r>
          </w:p>
          <w:p>
            <w:pPr>
              <w:spacing w:line="360" w:lineRule="auto"/>
              <w:jc w:val="center"/>
              <w:rPr>
                <w:rFonts w:ascii="宋体"/>
                <w:highlight w:val="none"/>
              </w:rPr>
            </w:pPr>
            <w:r>
              <w:rPr>
                <w:rFonts w:hint="eastAsia" w:ascii="宋体" w:hAnsi="宋体" w:cs="宋体"/>
                <w:highlight w:val="none"/>
              </w:rPr>
              <w:t>（</w:t>
            </w:r>
            <w:r>
              <w:rPr>
                <w:rFonts w:ascii="宋体" w:hAnsi="宋体" w:cs="宋体"/>
                <w:highlight w:val="none"/>
              </w:rPr>
              <w:t>3-6</w:t>
            </w:r>
            <w:r>
              <w:rPr>
                <w:rFonts w:hint="eastAsia" w:ascii="宋体" w:hAnsi="宋体" w:cs="宋体"/>
                <w:highlight w:val="none"/>
              </w:rPr>
              <w:t>分）</w:t>
            </w:r>
          </w:p>
        </w:tc>
        <w:tc>
          <w:tcPr>
            <w:tcW w:w="4797" w:type="dxa"/>
            <w:vAlign w:val="center"/>
          </w:tcPr>
          <w:p>
            <w:pPr>
              <w:tabs>
                <w:tab w:val="left" w:pos="420"/>
                <w:tab w:val="left" w:pos="709"/>
              </w:tabs>
              <w:spacing w:line="360" w:lineRule="auto"/>
              <w:rPr>
                <w:rFonts w:ascii="宋体"/>
                <w:highlight w:val="none"/>
              </w:rPr>
            </w:pPr>
            <w:r>
              <w:rPr>
                <w:rFonts w:hint="eastAsia" w:ascii="宋体" w:hAnsi="宋体" w:cs="宋体"/>
                <w:highlight w:val="none"/>
              </w:rPr>
              <w:t>⑴有合同管理的监理工作内容、原则、程序和方法。</w:t>
            </w:r>
          </w:p>
          <w:p>
            <w:pPr>
              <w:tabs>
                <w:tab w:val="left" w:pos="420"/>
                <w:tab w:val="left" w:pos="709"/>
              </w:tabs>
              <w:spacing w:line="360" w:lineRule="auto"/>
              <w:rPr>
                <w:rFonts w:ascii="宋体"/>
                <w:highlight w:val="none"/>
              </w:rPr>
            </w:pPr>
            <w:r>
              <w:rPr>
                <w:rFonts w:hint="eastAsia" w:ascii="宋体" w:hAnsi="宋体" w:cs="宋体"/>
                <w:highlight w:val="none"/>
              </w:rPr>
              <w:t>⑵合同管理的监理制措施合理齐全、针对性强。</w:t>
            </w:r>
          </w:p>
        </w:tc>
        <w:tc>
          <w:tcPr>
            <w:tcW w:w="1164" w:type="dxa"/>
            <w:vMerge w:val="continue"/>
            <w:vAlign w:val="center"/>
          </w:tcPr>
          <w:p>
            <w:pPr>
              <w:pStyle w:val="118"/>
              <w:jc w:val="center"/>
              <w:rPr>
                <w:rFonts w:ascii="宋体"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jc w:val="center"/>
        </w:trPr>
        <w:tc>
          <w:tcPr>
            <w:tcW w:w="1833" w:type="dxa"/>
            <w:vMerge w:val="continue"/>
            <w:vAlign w:val="center"/>
          </w:tcPr>
          <w:p>
            <w:pPr>
              <w:pStyle w:val="118"/>
              <w:ind w:left="518" w:right="151" w:hanging="360"/>
              <w:jc w:val="center"/>
              <w:rPr>
                <w:rFonts w:ascii="宋体" w:cs="Times New Roman"/>
                <w:highlight w:val="none"/>
              </w:rPr>
            </w:pPr>
          </w:p>
        </w:tc>
        <w:tc>
          <w:tcPr>
            <w:tcW w:w="1834" w:type="dxa"/>
            <w:vAlign w:val="center"/>
          </w:tcPr>
          <w:p>
            <w:pPr>
              <w:spacing w:line="360" w:lineRule="auto"/>
              <w:jc w:val="center"/>
              <w:rPr>
                <w:rFonts w:ascii="宋体"/>
                <w:highlight w:val="none"/>
              </w:rPr>
            </w:pPr>
            <w:r>
              <w:rPr>
                <w:rFonts w:hint="eastAsia" w:ascii="宋体" w:hAnsi="宋体" w:cs="宋体"/>
                <w:highlight w:val="none"/>
              </w:rPr>
              <w:t>工作协调的措施</w:t>
            </w:r>
          </w:p>
          <w:p>
            <w:pPr>
              <w:spacing w:line="360" w:lineRule="auto"/>
              <w:jc w:val="center"/>
              <w:rPr>
                <w:rFonts w:ascii="宋体"/>
                <w:highlight w:val="none"/>
              </w:rPr>
            </w:pPr>
            <w:r>
              <w:rPr>
                <w:rFonts w:hint="eastAsia" w:ascii="宋体" w:hAnsi="宋体" w:cs="宋体"/>
                <w:highlight w:val="none"/>
              </w:rPr>
              <w:t>（</w:t>
            </w:r>
            <w:r>
              <w:rPr>
                <w:rFonts w:ascii="宋体" w:hAnsi="宋体" w:cs="宋体"/>
                <w:highlight w:val="none"/>
              </w:rPr>
              <w:t>3-6</w:t>
            </w:r>
            <w:r>
              <w:rPr>
                <w:rFonts w:hint="eastAsia" w:ascii="宋体" w:hAnsi="宋体" w:cs="宋体"/>
                <w:highlight w:val="none"/>
              </w:rPr>
              <w:t>分）</w:t>
            </w:r>
          </w:p>
        </w:tc>
        <w:tc>
          <w:tcPr>
            <w:tcW w:w="4797" w:type="dxa"/>
            <w:vAlign w:val="center"/>
          </w:tcPr>
          <w:p>
            <w:pPr>
              <w:tabs>
                <w:tab w:val="left" w:pos="420"/>
                <w:tab w:val="left" w:pos="709"/>
              </w:tabs>
              <w:spacing w:line="360" w:lineRule="auto"/>
              <w:rPr>
                <w:rFonts w:ascii="宋体"/>
                <w:highlight w:val="none"/>
              </w:rPr>
            </w:pPr>
            <w:r>
              <w:rPr>
                <w:rFonts w:hint="eastAsia" w:ascii="宋体" w:hAnsi="宋体" w:cs="宋体"/>
                <w:highlight w:val="none"/>
              </w:rPr>
              <w:t>⑴有项目工作协调的工作内容、原则、程序和方法。</w:t>
            </w:r>
          </w:p>
          <w:p>
            <w:pPr>
              <w:tabs>
                <w:tab w:val="left" w:pos="420"/>
                <w:tab w:val="left" w:pos="709"/>
              </w:tabs>
              <w:spacing w:line="360" w:lineRule="auto"/>
              <w:rPr>
                <w:rFonts w:ascii="宋体"/>
                <w:highlight w:val="none"/>
              </w:rPr>
            </w:pPr>
            <w:r>
              <w:rPr>
                <w:rFonts w:hint="eastAsia" w:ascii="宋体" w:hAnsi="宋体" w:cs="宋体"/>
                <w:highlight w:val="none"/>
              </w:rPr>
              <w:t>⑵有项目工作协调的工作措施；监理措施详细，技术措施、组织措施、经济措施、合同措施齐全。</w:t>
            </w:r>
          </w:p>
        </w:tc>
        <w:tc>
          <w:tcPr>
            <w:tcW w:w="1164" w:type="dxa"/>
            <w:vMerge w:val="continue"/>
            <w:vAlign w:val="center"/>
          </w:tcPr>
          <w:p>
            <w:pPr>
              <w:pStyle w:val="118"/>
              <w:jc w:val="center"/>
              <w:rPr>
                <w:rFonts w:ascii="宋体"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0" w:hRule="atLeast"/>
          <w:jc w:val="center"/>
        </w:trPr>
        <w:tc>
          <w:tcPr>
            <w:tcW w:w="1833" w:type="dxa"/>
            <w:vMerge w:val="continue"/>
            <w:vAlign w:val="center"/>
          </w:tcPr>
          <w:p>
            <w:pPr>
              <w:pStyle w:val="118"/>
              <w:ind w:left="518" w:right="151" w:hanging="360"/>
              <w:jc w:val="center"/>
              <w:rPr>
                <w:rFonts w:ascii="宋体" w:cs="Times New Roman"/>
                <w:highlight w:val="none"/>
              </w:rPr>
            </w:pPr>
          </w:p>
        </w:tc>
        <w:tc>
          <w:tcPr>
            <w:tcW w:w="1834" w:type="dxa"/>
            <w:vAlign w:val="center"/>
          </w:tcPr>
          <w:p>
            <w:pPr>
              <w:spacing w:line="360" w:lineRule="auto"/>
              <w:jc w:val="center"/>
              <w:rPr>
                <w:rFonts w:ascii="宋体"/>
                <w:highlight w:val="none"/>
              </w:rPr>
            </w:pPr>
            <w:r>
              <w:rPr>
                <w:rFonts w:hint="eastAsia" w:ascii="宋体" w:hAnsi="宋体" w:cs="宋体"/>
                <w:highlight w:val="none"/>
              </w:rPr>
              <w:t>监理部仪器设备</w:t>
            </w:r>
          </w:p>
          <w:p>
            <w:pPr>
              <w:spacing w:line="360" w:lineRule="auto"/>
              <w:jc w:val="center"/>
              <w:rPr>
                <w:rFonts w:ascii="宋体"/>
                <w:highlight w:val="none"/>
              </w:rPr>
            </w:pPr>
            <w:r>
              <w:rPr>
                <w:rFonts w:hint="eastAsia" w:ascii="宋体" w:hAnsi="宋体" w:cs="宋体"/>
                <w:highlight w:val="none"/>
              </w:rPr>
              <w:t>（</w:t>
            </w:r>
            <w:r>
              <w:rPr>
                <w:rFonts w:ascii="宋体" w:hAnsi="宋体" w:cs="宋体"/>
                <w:highlight w:val="none"/>
              </w:rPr>
              <w:t>3-6</w:t>
            </w:r>
            <w:r>
              <w:rPr>
                <w:rFonts w:hint="eastAsia" w:ascii="宋体" w:hAnsi="宋体" w:cs="宋体"/>
                <w:highlight w:val="none"/>
              </w:rPr>
              <w:t>分）</w:t>
            </w:r>
          </w:p>
        </w:tc>
        <w:tc>
          <w:tcPr>
            <w:tcW w:w="4797" w:type="dxa"/>
            <w:vAlign w:val="center"/>
          </w:tcPr>
          <w:p>
            <w:pPr>
              <w:tabs>
                <w:tab w:val="left" w:pos="420"/>
                <w:tab w:val="left" w:pos="709"/>
              </w:tabs>
              <w:spacing w:line="360" w:lineRule="auto"/>
              <w:rPr>
                <w:rFonts w:ascii="宋体"/>
                <w:highlight w:val="none"/>
              </w:rPr>
            </w:pPr>
            <w:r>
              <w:rPr>
                <w:rFonts w:hint="eastAsia" w:ascii="宋体" w:hAnsi="宋体" w:cs="宋体"/>
                <w:highlight w:val="none"/>
              </w:rPr>
              <w:t>监理部自行配备有经纬仪、水准仪、计算机、预算软件、监理管理软件、打印机设备仪器者得</w:t>
            </w:r>
            <w:r>
              <w:rPr>
                <w:rFonts w:ascii="宋体" w:hAnsi="宋体" w:cs="宋体"/>
                <w:highlight w:val="none"/>
              </w:rPr>
              <w:t>6</w:t>
            </w:r>
            <w:r>
              <w:rPr>
                <w:rFonts w:hint="eastAsia" w:ascii="宋体" w:hAnsi="宋体" w:cs="宋体"/>
                <w:highlight w:val="none"/>
              </w:rPr>
              <w:t>分，缺一项扣</w:t>
            </w:r>
            <w:r>
              <w:rPr>
                <w:rFonts w:ascii="宋体" w:hAnsi="宋体" w:cs="宋体"/>
                <w:highlight w:val="none"/>
              </w:rPr>
              <w:t>1</w:t>
            </w:r>
            <w:r>
              <w:rPr>
                <w:rFonts w:hint="eastAsia" w:ascii="宋体" w:hAnsi="宋体" w:cs="宋体"/>
                <w:highlight w:val="none"/>
              </w:rPr>
              <w:t>分，扣完为止。</w:t>
            </w:r>
          </w:p>
        </w:tc>
        <w:tc>
          <w:tcPr>
            <w:tcW w:w="1164" w:type="dxa"/>
            <w:vMerge w:val="continue"/>
            <w:vAlign w:val="center"/>
          </w:tcPr>
          <w:p>
            <w:pPr>
              <w:pStyle w:val="118"/>
              <w:jc w:val="center"/>
              <w:rPr>
                <w:rFonts w:ascii="宋体" w:cs="Times New Roman"/>
                <w:highlight w:val="none"/>
              </w:rPr>
            </w:pPr>
          </w:p>
        </w:tc>
      </w:tr>
    </w:tbl>
    <w:p>
      <w:pPr>
        <w:pStyle w:val="21"/>
        <w:spacing w:line="360" w:lineRule="auto"/>
        <w:rPr>
          <w:rFonts w:hAnsi="宋体" w:cs="Times New Roman"/>
          <w:b/>
          <w:bCs/>
          <w:sz w:val="24"/>
          <w:szCs w:val="24"/>
          <w:highlight w:val="none"/>
          <w:lang w:val="zh-CN"/>
        </w:rPr>
      </w:pPr>
    </w:p>
    <w:p>
      <w:pPr>
        <w:pStyle w:val="14"/>
        <w:ind w:firstLine="361" w:firstLineChars="150"/>
        <w:rPr>
          <w:rFonts w:ascii="宋体" w:cs="Times New Roman"/>
          <w:kern w:val="2"/>
          <w:highlight w:val="none"/>
        </w:rPr>
      </w:pPr>
      <w:r>
        <w:rPr>
          <w:rFonts w:hint="eastAsia" w:ascii="宋体" w:hAnsi="宋体" w:cs="宋体"/>
          <w:b/>
          <w:bCs/>
          <w:kern w:val="2"/>
          <w:highlight w:val="none"/>
        </w:rPr>
        <w:t>备注：</w:t>
      </w:r>
      <w:r>
        <w:rPr>
          <w:rFonts w:hint="eastAsia" w:ascii="宋体" w:hAnsi="宋体" w:cs="宋体"/>
          <w:kern w:val="2"/>
          <w:highlight w:val="none"/>
        </w:rPr>
        <w:t>凡评分办法里涉及到的证书、证件及业绩材料等，均以原件并结合响应文件中所附复印件进行评审，二者缺其一，则该项得分应作</w:t>
      </w:r>
      <w:r>
        <w:rPr>
          <w:rFonts w:ascii="宋体" w:cs="宋体"/>
          <w:kern w:val="2"/>
          <w:highlight w:val="none"/>
        </w:rPr>
        <w:t>0</w:t>
      </w:r>
      <w:r>
        <w:rPr>
          <w:rFonts w:hint="eastAsia" w:ascii="宋体" w:hAnsi="宋体" w:cs="宋体"/>
          <w:kern w:val="2"/>
          <w:highlight w:val="none"/>
        </w:rPr>
        <w:t>分处理。</w:t>
      </w:r>
    </w:p>
    <w:p>
      <w:pPr>
        <w:pStyle w:val="14"/>
        <w:ind w:firstLine="0" w:firstLineChars="0"/>
        <w:rPr>
          <w:rFonts w:cs="Times New Roman"/>
          <w:highlight w:val="none"/>
        </w:rPr>
      </w:pPr>
    </w:p>
    <w:p>
      <w:pPr>
        <w:pStyle w:val="14"/>
        <w:ind w:firstLine="0" w:firstLineChars="0"/>
        <w:rPr>
          <w:rFonts w:cs="Times New Roman"/>
          <w:highlight w:val="none"/>
        </w:rPr>
      </w:pPr>
    </w:p>
    <w:p>
      <w:pPr>
        <w:spacing w:line="440" w:lineRule="exact"/>
        <w:jc w:val="center"/>
        <w:rPr>
          <w:rFonts w:ascii="宋体"/>
          <w:b/>
          <w:bCs/>
          <w:sz w:val="36"/>
          <w:szCs w:val="36"/>
          <w:highlight w:val="none"/>
        </w:rPr>
      </w:pPr>
      <w:r>
        <w:rPr>
          <w:rFonts w:ascii="宋体"/>
          <w:b/>
          <w:bCs/>
          <w:sz w:val="36"/>
          <w:szCs w:val="36"/>
          <w:highlight w:val="none"/>
        </w:rPr>
        <w:br w:type="page"/>
      </w:r>
    </w:p>
    <w:p>
      <w:pPr>
        <w:spacing w:line="440" w:lineRule="exact"/>
        <w:jc w:val="center"/>
        <w:rPr>
          <w:rFonts w:ascii="宋体"/>
          <w:b/>
          <w:bCs/>
          <w:sz w:val="36"/>
          <w:szCs w:val="36"/>
          <w:highlight w:val="none"/>
        </w:rPr>
      </w:pPr>
      <w:r>
        <w:rPr>
          <w:rFonts w:hint="eastAsia" w:ascii="宋体" w:hAnsi="宋体" w:cs="宋体"/>
          <w:b/>
          <w:bCs/>
          <w:sz w:val="36"/>
          <w:szCs w:val="36"/>
          <w:highlight w:val="none"/>
        </w:rPr>
        <w:t>第五章</w:t>
      </w:r>
      <w:r>
        <w:rPr>
          <w:rFonts w:ascii="宋体" w:hAnsi="宋体" w:cs="宋体"/>
          <w:b/>
          <w:bCs/>
          <w:sz w:val="36"/>
          <w:szCs w:val="36"/>
          <w:highlight w:val="none"/>
        </w:rPr>
        <w:t xml:space="preserve"> </w:t>
      </w:r>
      <w:r>
        <w:rPr>
          <w:rFonts w:hint="eastAsia" w:ascii="宋体" w:hAnsi="宋体" w:cs="宋体"/>
          <w:b/>
          <w:bCs/>
          <w:sz w:val="36"/>
          <w:szCs w:val="36"/>
          <w:highlight w:val="none"/>
        </w:rPr>
        <w:t>附件</w:t>
      </w:r>
    </w:p>
    <w:p>
      <w:pPr>
        <w:spacing w:after="50" w:line="320" w:lineRule="exact"/>
        <w:rPr>
          <w:rFonts w:ascii="宋体"/>
          <w:b/>
          <w:bCs/>
          <w:sz w:val="32"/>
          <w:szCs w:val="32"/>
          <w:highlight w:val="none"/>
        </w:rPr>
      </w:pPr>
      <w:r>
        <w:rPr>
          <w:rFonts w:hint="eastAsia" w:ascii="宋体" w:hAnsi="宋体" w:cs="宋体"/>
          <w:b/>
          <w:bCs/>
          <w:sz w:val="28"/>
          <w:szCs w:val="28"/>
          <w:highlight w:val="none"/>
        </w:rPr>
        <w:t>附件</w:t>
      </w:r>
      <w:r>
        <w:rPr>
          <w:rFonts w:ascii="宋体" w:hAnsi="宋体" w:cs="宋体"/>
          <w:b/>
          <w:bCs/>
          <w:sz w:val="28"/>
          <w:szCs w:val="28"/>
          <w:highlight w:val="none"/>
        </w:rPr>
        <w:t>1</w:t>
      </w:r>
    </w:p>
    <w:p>
      <w:pPr>
        <w:spacing w:after="50" w:line="320" w:lineRule="exact"/>
        <w:jc w:val="center"/>
        <w:rPr>
          <w:b/>
          <w:bCs/>
          <w:sz w:val="24"/>
          <w:szCs w:val="24"/>
          <w:highlight w:val="none"/>
        </w:rPr>
      </w:pPr>
      <w:r>
        <w:rPr>
          <w:rFonts w:hint="eastAsia" w:ascii="宋体" w:hAnsi="宋体" w:cs="宋体"/>
          <w:b/>
          <w:bCs/>
          <w:sz w:val="28"/>
          <w:szCs w:val="28"/>
          <w:highlight w:val="none"/>
        </w:rPr>
        <w:t>供应商须知</w:t>
      </w:r>
    </w:p>
    <w:p>
      <w:pPr>
        <w:tabs>
          <w:tab w:val="left" w:pos="3300"/>
          <w:tab w:val="center" w:pos="4776"/>
        </w:tabs>
        <w:spacing w:afterLines="50" w:line="320" w:lineRule="exact"/>
        <w:jc w:val="center"/>
        <w:outlineLvl w:val="0"/>
        <w:rPr>
          <w:b/>
          <w:bCs/>
          <w:sz w:val="24"/>
          <w:szCs w:val="24"/>
          <w:highlight w:val="none"/>
        </w:rPr>
      </w:pPr>
      <w:r>
        <w:rPr>
          <w:rFonts w:hint="eastAsia" w:cs="宋体"/>
          <w:b/>
          <w:bCs/>
          <w:sz w:val="24"/>
          <w:szCs w:val="24"/>
          <w:highlight w:val="none"/>
        </w:rPr>
        <w:t>一、总则</w:t>
      </w:r>
    </w:p>
    <w:p>
      <w:pPr>
        <w:tabs>
          <w:tab w:val="left" w:pos="3300"/>
          <w:tab w:val="center" w:pos="4776"/>
        </w:tabs>
        <w:spacing w:afterLines="50" w:line="320" w:lineRule="exact"/>
        <w:ind w:firstLine="472" w:firstLineChars="196"/>
        <w:outlineLvl w:val="0"/>
        <w:rPr>
          <w:rFonts w:ascii="宋体"/>
          <w:sz w:val="24"/>
          <w:szCs w:val="24"/>
          <w:highlight w:val="none"/>
        </w:rPr>
      </w:pPr>
      <w:r>
        <w:rPr>
          <w:rFonts w:ascii="宋体" w:hAnsi="宋体" w:cs="宋体"/>
          <w:b/>
          <w:bCs/>
          <w:sz w:val="24"/>
          <w:szCs w:val="24"/>
          <w:highlight w:val="none"/>
        </w:rPr>
        <w:t xml:space="preserve">1. </w:t>
      </w:r>
      <w:r>
        <w:rPr>
          <w:rFonts w:hint="eastAsia" w:ascii="宋体" w:hAnsi="宋体" w:cs="宋体"/>
          <w:b/>
          <w:bCs/>
          <w:sz w:val="24"/>
          <w:szCs w:val="24"/>
          <w:highlight w:val="none"/>
        </w:rPr>
        <w:t>适用范围：</w:t>
      </w:r>
      <w:r>
        <w:rPr>
          <w:rFonts w:hint="eastAsia" w:ascii="宋体" w:hAnsi="宋体" w:cs="宋体"/>
          <w:sz w:val="24"/>
          <w:szCs w:val="24"/>
          <w:highlight w:val="none"/>
        </w:rPr>
        <w:t>本须知适用于采购文件中所述装修改造及相关服务的谈判。</w:t>
      </w:r>
    </w:p>
    <w:p>
      <w:pPr>
        <w:tabs>
          <w:tab w:val="left" w:pos="3300"/>
          <w:tab w:val="center" w:pos="4776"/>
        </w:tabs>
        <w:spacing w:afterLines="50" w:line="320" w:lineRule="exact"/>
        <w:ind w:firstLine="472" w:firstLineChars="196"/>
        <w:outlineLvl w:val="0"/>
        <w:rPr>
          <w:rFonts w:ascii="宋体"/>
          <w:b/>
          <w:bCs/>
          <w:sz w:val="24"/>
          <w:szCs w:val="24"/>
          <w:highlight w:val="none"/>
        </w:rPr>
      </w:pPr>
      <w:r>
        <w:rPr>
          <w:rFonts w:ascii="宋体" w:hAnsi="宋体" w:cs="宋体"/>
          <w:b/>
          <w:bCs/>
          <w:sz w:val="24"/>
          <w:szCs w:val="24"/>
          <w:highlight w:val="none"/>
        </w:rPr>
        <w:t xml:space="preserve">2. </w:t>
      </w:r>
      <w:r>
        <w:rPr>
          <w:rFonts w:hint="eastAsia" w:ascii="宋体" w:hAnsi="宋体" w:cs="宋体"/>
          <w:b/>
          <w:bCs/>
          <w:sz w:val="24"/>
          <w:szCs w:val="24"/>
          <w:highlight w:val="none"/>
        </w:rPr>
        <w:t>定义：</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2.1 </w:t>
      </w:r>
      <w:r>
        <w:rPr>
          <w:rFonts w:hint="eastAsia" w:ascii="宋体" w:hAnsi="宋体" w:cs="宋体"/>
          <w:sz w:val="24"/>
          <w:szCs w:val="24"/>
          <w:highlight w:val="none"/>
        </w:rPr>
        <w:t>“采购代理机构”是指受采购单位的委托具体组织采购活动采购代理公司。</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2.2 </w:t>
      </w:r>
      <w:r>
        <w:rPr>
          <w:rFonts w:hint="eastAsia" w:ascii="宋体" w:hAnsi="宋体" w:cs="宋体"/>
          <w:sz w:val="24"/>
          <w:szCs w:val="24"/>
          <w:highlight w:val="none"/>
        </w:rPr>
        <w:t>“采购单位”是指依法进行采购的法人、其他组织或自然人。采购项目具体采购单位详见采购文件第二章“采购项目基本内容及要求”。</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2.3 </w:t>
      </w:r>
      <w:r>
        <w:rPr>
          <w:rFonts w:hint="eastAsia" w:ascii="宋体" w:hAnsi="宋体" w:cs="宋体"/>
          <w:sz w:val="24"/>
          <w:szCs w:val="24"/>
          <w:highlight w:val="none"/>
        </w:rPr>
        <w:t>“供应商”是指向采购人提供货物或者服务的法人、其他组织或者自然人。</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2.4 </w:t>
      </w:r>
      <w:r>
        <w:rPr>
          <w:rFonts w:hint="eastAsia" w:ascii="宋体" w:hAnsi="宋体" w:cs="宋体"/>
          <w:sz w:val="24"/>
          <w:szCs w:val="24"/>
          <w:highlight w:val="none"/>
        </w:rPr>
        <w:t>“谈判响应供应商”指按竞争性谈判文件规定取得谈判文件并参加竞争性谈判活动的法人、其他组织或自然人。</w:t>
      </w:r>
    </w:p>
    <w:p>
      <w:pPr>
        <w:spacing w:line="440" w:lineRule="exact"/>
        <w:ind w:firstLine="472" w:firstLineChars="196"/>
        <w:rPr>
          <w:rFonts w:ascii="宋体"/>
          <w:b/>
          <w:bCs/>
          <w:sz w:val="24"/>
          <w:szCs w:val="24"/>
          <w:highlight w:val="none"/>
        </w:rPr>
      </w:pPr>
      <w:r>
        <w:rPr>
          <w:rFonts w:ascii="宋体" w:hAnsi="宋体" w:cs="宋体"/>
          <w:b/>
          <w:bCs/>
          <w:sz w:val="24"/>
          <w:szCs w:val="24"/>
          <w:highlight w:val="none"/>
        </w:rPr>
        <w:t xml:space="preserve">3. </w:t>
      </w:r>
      <w:r>
        <w:rPr>
          <w:rFonts w:hint="eastAsia" w:ascii="宋体" w:hAnsi="宋体" w:cs="宋体"/>
          <w:b/>
          <w:bCs/>
          <w:sz w:val="24"/>
          <w:szCs w:val="24"/>
          <w:highlight w:val="none"/>
        </w:rPr>
        <w:t>合格供应商的资格条件</w:t>
      </w:r>
    </w:p>
    <w:p>
      <w:pPr>
        <w:spacing w:line="440" w:lineRule="exact"/>
        <w:ind w:firstLine="480" w:firstLineChars="200"/>
        <w:rPr>
          <w:rFonts w:ascii="宋体"/>
          <w:sz w:val="24"/>
          <w:szCs w:val="24"/>
          <w:highlight w:val="none"/>
        </w:rPr>
      </w:pPr>
      <w:r>
        <w:rPr>
          <w:rFonts w:hint="eastAsia" w:ascii="宋体" w:hAnsi="宋体" w:cs="宋体"/>
          <w:sz w:val="24"/>
          <w:szCs w:val="24"/>
          <w:highlight w:val="none"/>
        </w:rPr>
        <w:t>凡符合下列条件的潜在供应商是合格的供应商，均可参加采购活动。</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3.1 </w:t>
      </w:r>
      <w:r>
        <w:rPr>
          <w:rFonts w:hint="eastAsia" w:ascii="宋体" w:hAnsi="宋体" w:cs="宋体"/>
          <w:sz w:val="24"/>
          <w:szCs w:val="24"/>
          <w:highlight w:val="none"/>
        </w:rPr>
        <w:t>在中华人民共和国境内注册，能够独立承担民事责任，有生产或经营能力的法人、其他组织或自然人（如果所报货物实行许可证制度，则须持有相应的许可证）。</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3.2 </w:t>
      </w:r>
      <w:r>
        <w:rPr>
          <w:rFonts w:hint="eastAsia" w:ascii="宋体" w:hAnsi="宋体" w:cs="宋体"/>
          <w:sz w:val="24"/>
          <w:szCs w:val="24"/>
          <w:highlight w:val="none"/>
        </w:rPr>
        <w:t>遵守国家有关法律、法规、规章以及与采购有关的规章制度，具有良好的商业信誉和健全的财务会计制度。</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3.3 </w:t>
      </w:r>
      <w:r>
        <w:rPr>
          <w:rFonts w:hint="eastAsia" w:ascii="宋体" w:hAnsi="宋体" w:cs="宋体"/>
          <w:sz w:val="24"/>
          <w:szCs w:val="24"/>
          <w:highlight w:val="none"/>
        </w:rPr>
        <w:t>具备履行采购合同所必需的资金、技术和生产能力，向采购单位提供满意的、证明所有货物及其辅助服务来源的文件，并提供其有资格参加谈判和成交后有能力履行采购合同的证明。</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3.4 </w:t>
      </w:r>
      <w:r>
        <w:rPr>
          <w:rFonts w:hint="eastAsia" w:ascii="宋体" w:hAnsi="宋体" w:cs="宋体"/>
          <w:sz w:val="24"/>
          <w:szCs w:val="24"/>
          <w:highlight w:val="none"/>
        </w:rPr>
        <w:t>有依法交纳税收和社会保障资金的良好记录。</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3.5 </w:t>
      </w:r>
      <w:r>
        <w:rPr>
          <w:rFonts w:hint="eastAsia" w:ascii="宋体" w:hAnsi="宋体" w:cs="宋体"/>
          <w:sz w:val="24"/>
          <w:szCs w:val="24"/>
          <w:highlight w:val="none"/>
        </w:rPr>
        <w:t>参加采购活动前三年，在经营活动中没有重大违法记录。</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3.6 </w:t>
      </w:r>
      <w:r>
        <w:rPr>
          <w:rFonts w:hint="eastAsia" w:ascii="宋体" w:hAnsi="宋体" w:cs="宋体"/>
          <w:sz w:val="24"/>
          <w:szCs w:val="24"/>
          <w:highlight w:val="none"/>
        </w:rPr>
        <w:t>能够按照采购文件的要求编制响应文件，并对采购文件提出的要求和条件做出实质性响应。</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3.7 </w:t>
      </w:r>
      <w:r>
        <w:rPr>
          <w:rFonts w:hint="eastAsia" w:ascii="宋体" w:hAnsi="宋体" w:cs="宋体"/>
          <w:sz w:val="24"/>
          <w:szCs w:val="24"/>
          <w:highlight w:val="none"/>
        </w:rPr>
        <w:t>满足采购文件第二章“竞争性谈判文件基本内容及要求”规定的其他条件。</w:t>
      </w:r>
    </w:p>
    <w:p>
      <w:pPr>
        <w:spacing w:line="400" w:lineRule="exact"/>
        <w:ind w:firstLine="482" w:firstLineChars="200"/>
        <w:rPr>
          <w:rFonts w:ascii="宋体"/>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参加谈判费用</w:t>
      </w:r>
    </w:p>
    <w:p>
      <w:pPr>
        <w:spacing w:line="440" w:lineRule="exact"/>
        <w:ind w:firstLine="480" w:firstLineChars="200"/>
        <w:rPr>
          <w:rFonts w:hint="eastAsia"/>
          <w:lang w:val="en-US" w:eastAsia="zh-CN"/>
        </w:rPr>
      </w:pPr>
      <w:r>
        <w:rPr>
          <w:rFonts w:hint="eastAsia" w:ascii="宋体" w:hAnsi="宋体" w:cs="宋体"/>
          <w:sz w:val="24"/>
          <w:szCs w:val="24"/>
          <w:highlight w:val="none"/>
        </w:rPr>
        <w:t>供应商应自行承担所有与编写、提交谈判响应文件等有关费用。采购机构和采购单位在任何情况下均无义务和责任承担这些费用。</w:t>
      </w:r>
      <w:r>
        <w:rPr>
          <w:rFonts w:hint="eastAsia" w:ascii="宋体" w:hAnsi="宋体" w:cs="宋体"/>
          <w:sz w:val="24"/>
          <w:szCs w:val="24"/>
          <w:highlight w:val="none"/>
        </w:rPr>
        <w:br w:type="textWrapping"/>
      </w:r>
      <w:r>
        <w:rPr>
          <w:rFonts w:hint="eastAsia" w:ascii="宋体" w:hAnsi="宋体" w:cs="宋体"/>
          <w:sz w:val="24"/>
          <w:szCs w:val="24"/>
          <w:highlight w:val="none"/>
          <w:lang w:val="en-US" w:eastAsia="zh-CN"/>
        </w:rPr>
        <w:t xml:space="preserve">   </w:t>
      </w:r>
      <w:r>
        <w:rPr>
          <w:rFonts w:hint="eastAsia" w:ascii="宋体" w:hAnsi="宋体" w:cs="宋体"/>
          <w:b/>
          <w:bCs/>
          <w:sz w:val="24"/>
          <w:szCs w:val="24"/>
          <w:highlight w:val="none"/>
          <w:lang w:val="en-US" w:eastAsia="zh-CN"/>
        </w:rPr>
        <w:t xml:space="preserve"> 5、履约保证金</w:t>
      </w:r>
      <w:r>
        <w:rPr>
          <w:rFonts w:hint="eastAsia" w:ascii="宋体" w:hAnsi="宋体" w:cs="宋体"/>
          <w:b/>
          <w:bCs/>
          <w:sz w:val="24"/>
          <w:szCs w:val="24"/>
          <w:highlight w:val="none"/>
          <w:lang w:val="en-US" w:eastAsia="zh-CN"/>
        </w:rPr>
        <w:br w:type="textWrapping"/>
      </w:r>
      <w:r>
        <w:rPr>
          <w:rFonts w:hint="eastAsia" w:ascii="宋体" w:hAnsi="宋体" w:cs="宋体"/>
          <w:b/>
          <w:bCs/>
          <w:sz w:val="24"/>
          <w:szCs w:val="24"/>
          <w:highlight w:val="none"/>
          <w:lang w:val="en-US" w:eastAsia="zh-CN"/>
        </w:rPr>
        <w:t xml:space="preserve">    见前附表。</w:t>
      </w:r>
    </w:p>
    <w:p>
      <w:pPr>
        <w:spacing w:line="400" w:lineRule="exact"/>
        <w:ind w:firstLine="482" w:firstLineChars="200"/>
        <w:rPr>
          <w:rFonts w:ascii="宋体"/>
          <w:sz w:val="24"/>
          <w:szCs w:val="24"/>
          <w:highlight w:val="none"/>
        </w:rPr>
      </w:pPr>
      <w:r>
        <w:rPr>
          <w:rFonts w:ascii="宋体" w:hAnsi="宋体" w:cs="宋体"/>
          <w:b/>
          <w:bCs/>
          <w:sz w:val="24"/>
          <w:szCs w:val="24"/>
          <w:highlight w:val="none"/>
        </w:rPr>
        <w:t>6.</w:t>
      </w:r>
      <w:r>
        <w:rPr>
          <w:rFonts w:hint="eastAsia" w:ascii="宋体" w:hAnsi="宋体" w:cs="宋体"/>
          <w:b/>
          <w:bCs/>
          <w:sz w:val="24"/>
          <w:szCs w:val="24"/>
          <w:highlight w:val="none"/>
        </w:rPr>
        <w:t>代理服务费</w:t>
      </w:r>
    </w:p>
    <w:p>
      <w:pPr>
        <w:spacing w:line="440" w:lineRule="exact"/>
        <w:ind w:firstLine="480" w:firstLineChars="200"/>
        <w:rPr>
          <w:rFonts w:ascii="宋体"/>
          <w:b/>
          <w:bCs/>
          <w:sz w:val="24"/>
          <w:szCs w:val="24"/>
          <w:highlight w:val="none"/>
        </w:rPr>
      </w:pPr>
      <w:r>
        <w:rPr>
          <w:rFonts w:hint="eastAsia" w:ascii="宋体" w:hAnsi="宋体" w:cs="宋体"/>
          <w:sz w:val="24"/>
          <w:szCs w:val="24"/>
          <w:highlight w:val="none"/>
        </w:rPr>
        <w:t>成交供应商应在领取成交通知书的同时，向代理机构支付代理服务费，代理服务收费标准</w:t>
      </w:r>
      <w:r>
        <w:rPr>
          <w:rFonts w:ascii="宋体" w:hAnsi="宋体" w:cs="宋体"/>
          <w:sz w:val="24"/>
          <w:szCs w:val="24"/>
          <w:highlight w:val="none"/>
        </w:rPr>
        <w:t>3000</w:t>
      </w:r>
      <w:r>
        <w:rPr>
          <w:rFonts w:hint="eastAsia" w:ascii="宋体" w:hAnsi="宋体" w:cs="宋体"/>
          <w:sz w:val="24"/>
          <w:szCs w:val="24"/>
          <w:highlight w:val="none"/>
        </w:rPr>
        <w:t>元</w:t>
      </w:r>
      <w:r>
        <w:rPr>
          <w:rFonts w:ascii="宋体" w:hAnsi="宋体" w:cs="宋体"/>
          <w:sz w:val="24"/>
          <w:szCs w:val="24"/>
          <w:highlight w:val="none"/>
        </w:rPr>
        <w:t>/</w:t>
      </w:r>
      <w:r>
        <w:rPr>
          <w:rFonts w:hint="eastAsia" w:ascii="宋体" w:hAnsi="宋体" w:cs="宋体"/>
          <w:sz w:val="24"/>
          <w:szCs w:val="24"/>
          <w:highlight w:val="none"/>
        </w:rPr>
        <w:t>家。</w:t>
      </w:r>
    </w:p>
    <w:p>
      <w:pPr>
        <w:spacing w:line="440" w:lineRule="exact"/>
        <w:ind w:firstLine="482" w:firstLineChars="200"/>
        <w:jc w:val="center"/>
        <w:rPr>
          <w:rFonts w:ascii="宋体"/>
          <w:b/>
          <w:bCs/>
          <w:sz w:val="24"/>
          <w:szCs w:val="24"/>
          <w:highlight w:val="none"/>
        </w:rPr>
      </w:pPr>
    </w:p>
    <w:p>
      <w:pPr>
        <w:spacing w:line="440" w:lineRule="exact"/>
        <w:ind w:firstLine="482" w:firstLineChars="200"/>
        <w:jc w:val="center"/>
        <w:rPr>
          <w:rFonts w:ascii="宋体"/>
          <w:sz w:val="24"/>
          <w:szCs w:val="24"/>
          <w:highlight w:val="none"/>
        </w:rPr>
      </w:pPr>
      <w:r>
        <w:rPr>
          <w:rFonts w:hint="eastAsia" w:ascii="宋体" w:hAnsi="宋体" w:cs="宋体"/>
          <w:b/>
          <w:bCs/>
          <w:sz w:val="24"/>
          <w:szCs w:val="24"/>
          <w:highlight w:val="none"/>
        </w:rPr>
        <w:t>二、竞争性谈判采购文件</w:t>
      </w:r>
    </w:p>
    <w:p>
      <w:pPr>
        <w:spacing w:afterLines="50" w:line="320" w:lineRule="exact"/>
        <w:ind w:firstLine="472" w:firstLineChars="196"/>
        <w:rPr>
          <w:rFonts w:ascii="宋体"/>
          <w:b/>
          <w:bCs/>
          <w:sz w:val="24"/>
          <w:szCs w:val="24"/>
          <w:highlight w:val="none"/>
        </w:rPr>
      </w:pPr>
      <w:r>
        <w:rPr>
          <w:rFonts w:ascii="宋体" w:hAnsi="宋体" w:cs="宋体"/>
          <w:b/>
          <w:bCs/>
          <w:sz w:val="24"/>
          <w:szCs w:val="24"/>
          <w:highlight w:val="none"/>
        </w:rPr>
        <w:t xml:space="preserve">7. </w:t>
      </w:r>
      <w:r>
        <w:rPr>
          <w:rFonts w:hint="eastAsia" w:ascii="宋体" w:hAnsi="宋体" w:cs="宋体"/>
          <w:b/>
          <w:bCs/>
          <w:sz w:val="24"/>
          <w:szCs w:val="24"/>
          <w:highlight w:val="none"/>
        </w:rPr>
        <w:t>竞争性谈判采购文件构成</w:t>
      </w:r>
    </w:p>
    <w:p>
      <w:pPr>
        <w:spacing w:afterLines="50" w:line="320" w:lineRule="exact"/>
        <w:ind w:firstLine="480" w:firstLineChars="200"/>
        <w:rPr>
          <w:rFonts w:ascii="宋体"/>
          <w:sz w:val="24"/>
          <w:szCs w:val="24"/>
          <w:highlight w:val="none"/>
        </w:rPr>
      </w:pPr>
      <w:r>
        <w:rPr>
          <w:rFonts w:hint="eastAsia" w:ascii="宋体" w:hAnsi="宋体" w:cs="宋体"/>
          <w:sz w:val="24"/>
          <w:szCs w:val="24"/>
          <w:highlight w:val="none"/>
        </w:rPr>
        <w:t>第一章</w:t>
      </w:r>
      <w:r>
        <w:rPr>
          <w:rFonts w:ascii="宋体" w:hAnsi="宋体" w:cs="宋体"/>
          <w:sz w:val="24"/>
          <w:szCs w:val="24"/>
          <w:highlight w:val="none"/>
        </w:rPr>
        <w:t xml:space="preserve">  </w:t>
      </w:r>
      <w:r>
        <w:rPr>
          <w:rFonts w:hint="eastAsia" w:ascii="宋体" w:hAnsi="宋体" w:cs="宋体"/>
          <w:sz w:val="24"/>
          <w:szCs w:val="24"/>
          <w:highlight w:val="none"/>
        </w:rPr>
        <w:t>竞争性谈判邀请函</w:t>
      </w:r>
    </w:p>
    <w:p>
      <w:pPr>
        <w:spacing w:afterLines="50" w:line="320" w:lineRule="exact"/>
        <w:ind w:firstLine="480" w:firstLineChars="200"/>
        <w:rPr>
          <w:rFonts w:ascii="宋体"/>
          <w:sz w:val="24"/>
          <w:szCs w:val="24"/>
          <w:highlight w:val="none"/>
        </w:rPr>
      </w:pPr>
      <w:r>
        <w:rPr>
          <w:rFonts w:hint="eastAsia" w:ascii="宋体" w:hAnsi="宋体" w:cs="宋体"/>
          <w:sz w:val="24"/>
          <w:szCs w:val="24"/>
          <w:highlight w:val="none"/>
        </w:rPr>
        <w:t>第二章</w:t>
      </w:r>
      <w:r>
        <w:rPr>
          <w:rFonts w:ascii="宋体" w:hAnsi="宋体" w:cs="宋体"/>
          <w:sz w:val="24"/>
          <w:szCs w:val="24"/>
          <w:highlight w:val="none"/>
        </w:rPr>
        <w:t xml:space="preserve">  </w:t>
      </w:r>
      <w:r>
        <w:rPr>
          <w:rFonts w:hint="eastAsia" w:ascii="宋体" w:hAnsi="宋体" w:cs="宋体"/>
          <w:sz w:val="24"/>
          <w:szCs w:val="24"/>
          <w:highlight w:val="none"/>
        </w:rPr>
        <w:t>竞争性谈判文件基本内容及要求</w:t>
      </w:r>
    </w:p>
    <w:p>
      <w:pPr>
        <w:spacing w:afterLines="50" w:line="320" w:lineRule="exact"/>
        <w:ind w:firstLine="480" w:firstLineChars="200"/>
        <w:rPr>
          <w:rFonts w:ascii="宋体"/>
          <w:sz w:val="24"/>
          <w:szCs w:val="24"/>
          <w:highlight w:val="none"/>
        </w:rPr>
      </w:pPr>
      <w:r>
        <w:rPr>
          <w:rFonts w:hint="eastAsia" w:ascii="宋体" w:hAnsi="宋体" w:cs="宋体"/>
          <w:sz w:val="24"/>
          <w:szCs w:val="24"/>
          <w:highlight w:val="none"/>
        </w:rPr>
        <w:t>第三章</w:t>
      </w:r>
      <w:r>
        <w:rPr>
          <w:rFonts w:ascii="宋体" w:hAnsi="宋体" w:cs="宋体"/>
          <w:sz w:val="24"/>
          <w:szCs w:val="24"/>
          <w:highlight w:val="none"/>
        </w:rPr>
        <w:t xml:space="preserve">  </w:t>
      </w:r>
      <w:r>
        <w:rPr>
          <w:rFonts w:hint="eastAsia" w:ascii="宋体" w:hAnsi="宋体" w:cs="宋体"/>
          <w:sz w:val="24"/>
          <w:szCs w:val="24"/>
          <w:highlight w:val="none"/>
        </w:rPr>
        <w:t>竞争性谈判响应文件内容</w:t>
      </w:r>
    </w:p>
    <w:p>
      <w:pPr>
        <w:spacing w:afterLines="50" w:line="320" w:lineRule="exact"/>
        <w:ind w:firstLine="480" w:firstLineChars="200"/>
        <w:rPr>
          <w:rFonts w:ascii="宋体"/>
          <w:sz w:val="24"/>
          <w:szCs w:val="24"/>
          <w:highlight w:val="none"/>
        </w:rPr>
      </w:pPr>
      <w:r>
        <w:rPr>
          <w:rFonts w:hint="eastAsia" w:ascii="宋体" w:hAnsi="宋体" w:cs="宋体"/>
          <w:sz w:val="24"/>
          <w:szCs w:val="24"/>
          <w:highlight w:val="none"/>
        </w:rPr>
        <w:t>第四章</w:t>
      </w:r>
      <w:r>
        <w:rPr>
          <w:rFonts w:ascii="宋体" w:hAnsi="宋体" w:cs="宋体"/>
          <w:sz w:val="24"/>
          <w:szCs w:val="24"/>
          <w:highlight w:val="none"/>
        </w:rPr>
        <w:t xml:space="preserve">  </w:t>
      </w:r>
      <w:r>
        <w:rPr>
          <w:rFonts w:hint="eastAsia" w:ascii="宋体" w:hAnsi="宋体" w:cs="宋体"/>
          <w:sz w:val="24"/>
          <w:szCs w:val="24"/>
          <w:highlight w:val="none"/>
        </w:rPr>
        <w:t>评审方法及成交原则</w:t>
      </w:r>
    </w:p>
    <w:p>
      <w:pPr>
        <w:spacing w:afterLines="50" w:line="320" w:lineRule="exact"/>
        <w:ind w:firstLine="480" w:firstLineChars="200"/>
        <w:rPr>
          <w:rFonts w:ascii="宋体"/>
          <w:sz w:val="24"/>
          <w:szCs w:val="24"/>
          <w:highlight w:val="none"/>
        </w:rPr>
      </w:pPr>
      <w:r>
        <w:rPr>
          <w:rFonts w:hint="eastAsia" w:ascii="宋体" w:hAnsi="宋体" w:cs="宋体"/>
          <w:sz w:val="24"/>
          <w:szCs w:val="24"/>
          <w:highlight w:val="none"/>
        </w:rPr>
        <w:t>第五章</w:t>
      </w:r>
      <w:r>
        <w:rPr>
          <w:rFonts w:ascii="宋体" w:hAnsi="宋体" w:cs="宋体"/>
          <w:sz w:val="24"/>
          <w:szCs w:val="24"/>
          <w:highlight w:val="none"/>
        </w:rPr>
        <w:t xml:space="preserve">  </w:t>
      </w:r>
      <w:r>
        <w:rPr>
          <w:rFonts w:hint="eastAsia" w:ascii="宋体" w:hAnsi="宋体" w:cs="宋体"/>
          <w:sz w:val="24"/>
          <w:szCs w:val="24"/>
          <w:highlight w:val="none"/>
        </w:rPr>
        <w:t>附件</w:t>
      </w:r>
    </w:p>
    <w:p>
      <w:pPr>
        <w:spacing w:afterLines="50" w:line="320" w:lineRule="exact"/>
        <w:ind w:firstLine="1440" w:firstLineChars="600"/>
        <w:rPr>
          <w:rFonts w:ascii="宋体"/>
          <w:sz w:val="24"/>
          <w:szCs w:val="24"/>
          <w:highlight w:val="none"/>
        </w:rPr>
      </w:pPr>
      <w:r>
        <w:rPr>
          <w:rFonts w:hint="eastAsia" w:ascii="宋体" w:hAnsi="宋体" w:cs="宋体"/>
          <w:sz w:val="24"/>
          <w:szCs w:val="24"/>
          <w:highlight w:val="none"/>
        </w:rPr>
        <w:t>一、供应商须知</w:t>
      </w:r>
    </w:p>
    <w:p>
      <w:pPr>
        <w:spacing w:afterLines="50" w:line="320" w:lineRule="exact"/>
        <w:ind w:firstLine="1440" w:firstLineChars="600"/>
        <w:rPr>
          <w:rFonts w:ascii="宋体"/>
          <w:sz w:val="24"/>
          <w:szCs w:val="24"/>
          <w:highlight w:val="none"/>
        </w:rPr>
      </w:pPr>
      <w:r>
        <w:rPr>
          <w:rFonts w:hint="eastAsia" w:ascii="宋体" w:hAnsi="宋体" w:cs="宋体"/>
          <w:sz w:val="24"/>
          <w:szCs w:val="24"/>
          <w:highlight w:val="none"/>
        </w:rPr>
        <w:t>二、谈判响应文件格式</w:t>
      </w:r>
    </w:p>
    <w:p>
      <w:pPr>
        <w:spacing w:line="400" w:lineRule="exact"/>
        <w:ind w:firstLine="482" w:firstLineChars="200"/>
        <w:jc w:val="left"/>
        <w:rPr>
          <w:rFonts w:ascii="宋体"/>
          <w:b/>
          <w:bCs/>
          <w:sz w:val="24"/>
          <w:szCs w:val="24"/>
          <w:highlight w:val="none"/>
        </w:rPr>
      </w:pPr>
      <w:r>
        <w:rPr>
          <w:rFonts w:ascii="宋体" w:hAnsi="宋体" w:cs="宋体"/>
          <w:b/>
          <w:bCs/>
          <w:sz w:val="24"/>
          <w:szCs w:val="24"/>
          <w:highlight w:val="none"/>
        </w:rPr>
        <w:t xml:space="preserve">8. </w:t>
      </w:r>
      <w:r>
        <w:rPr>
          <w:rFonts w:hint="eastAsia" w:ascii="宋体" w:hAnsi="宋体" w:cs="宋体"/>
          <w:b/>
          <w:bCs/>
          <w:sz w:val="24"/>
          <w:szCs w:val="24"/>
          <w:highlight w:val="none"/>
        </w:rPr>
        <w:t>采购文件的澄清或修改</w:t>
      </w:r>
    </w:p>
    <w:p>
      <w:pPr>
        <w:spacing w:line="440" w:lineRule="exact"/>
        <w:ind w:firstLine="480" w:firstLineChars="200"/>
        <w:rPr>
          <w:sz w:val="24"/>
          <w:szCs w:val="24"/>
          <w:highlight w:val="none"/>
        </w:rPr>
      </w:pPr>
      <w:r>
        <w:rPr>
          <w:sz w:val="24"/>
          <w:szCs w:val="24"/>
          <w:highlight w:val="none"/>
        </w:rPr>
        <w:t xml:space="preserve">8.1 </w:t>
      </w:r>
      <w:r>
        <w:rPr>
          <w:rFonts w:hint="eastAsia" w:cs="宋体"/>
          <w:sz w:val="24"/>
          <w:szCs w:val="24"/>
          <w:highlight w:val="none"/>
        </w:rPr>
        <w:t>任何要求对采购文件进行澄清的供应商，均应将需澄清的事项及依据</w:t>
      </w:r>
      <w:r>
        <w:rPr>
          <w:rFonts w:hint="eastAsia" w:ascii="宋体" w:hAnsi="宋体" w:cs="宋体"/>
          <w:sz w:val="24"/>
          <w:szCs w:val="24"/>
          <w:highlight w:val="none"/>
        </w:rPr>
        <w:t>通过公共资源交易系统平台提出询问</w:t>
      </w:r>
      <w:r>
        <w:rPr>
          <w:rFonts w:hint="eastAsia" w:cs="宋体"/>
          <w:sz w:val="24"/>
          <w:szCs w:val="24"/>
          <w:highlight w:val="none"/>
        </w:rPr>
        <w:t>。</w:t>
      </w:r>
    </w:p>
    <w:p>
      <w:pPr>
        <w:spacing w:line="440" w:lineRule="exact"/>
        <w:ind w:firstLine="480" w:firstLineChars="200"/>
        <w:rPr>
          <w:sz w:val="24"/>
          <w:szCs w:val="24"/>
          <w:highlight w:val="none"/>
        </w:rPr>
      </w:pPr>
      <w:r>
        <w:rPr>
          <w:sz w:val="24"/>
          <w:szCs w:val="24"/>
          <w:highlight w:val="none"/>
        </w:rPr>
        <w:t xml:space="preserve">8.2 </w:t>
      </w:r>
      <w:r>
        <w:rPr>
          <w:rFonts w:hint="eastAsia" w:cs="宋体"/>
          <w:sz w:val="24"/>
          <w:szCs w:val="24"/>
          <w:highlight w:val="none"/>
        </w:rPr>
        <w:t>采购机构对已发出的采购文件进行必要澄清或修改的，应在指定的采购信息发布媒体上发布更正公告。采购文件的澄清或修改是采购文件的组成部分，并对所有供应商具有约束力。</w:t>
      </w:r>
    </w:p>
    <w:p>
      <w:pPr>
        <w:spacing w:line="440" w:lineRule="exact"/>
        <w:ind w:firstLine="480" w:firstLineChars="200"/>
        <w:rPr>
          <w:sz w:val="24"/>
          <w:szCs w:val="24"/>
          <w:highlight w:val="none"/>
        </w:rPr>
      </w:pPr>
      <w:r>
        <w:rPr>
          <w:sz w:val="24"/>
          <w:szCs w:val="24"/>
          <w:highlight w:val="none"/>
        </w:rPr>
        <w:t xml:space="preserve">8.3 </w:t>
      </w:r>
      <w:r>
        <w:rPr>
          <w:rFonts w:hint="eastAsia" w:cs="宋体"/>
          <w:sz w:val="24"/>
          <w:szCs w:val="24"/>
          <w:highlight w:val="none"/>
        </w:rPr>
        <w:t>采购机构可以视采购项目具体情况，酌情延长谈判截止时间和开标时间，并将变更时间在指定的采购信息发布媒体上发布变更公告。</w:t>
      </w:r>
    </w:p>
    <w:p>
      <w:pPr>
        <w:spacing w:afterLines="50" w:line="320" w:lineRule="exact"/>
        <w:jc w:val="center"/>
        <w:outlineLvl w:val="0"/>
        <w:rPr>
          <w:rFonts w:ascii="宋体"/>
          <w:b/>
          <w:bCs/>
          <w:sz w:val="24"/>
          <w:szCs w:val="24"/>
          <w:highlight w:val="none"/>
        </w:rPr>
      </w:pPr>
    </w:p>
    <w:p>
      <w:pPr>
        <w:spacing w:afterLines="50" w:line="320" w:lineRule="exact"/>
        <w:jc w:val="center"/>
        <w:outlineLvl w:val="0"/>
        <w:rPr>
          <w:rFonts w:ascii="宋体"/>
          <w:b/>
          <w:bCs/>
          <w:sz w:val="24"/>
          <w:szCs w:val="24"/>
          <w:highlight w:val="none"/>
        </w:rPr>
      </w:pPr>
      <w:r>
        <w:rPr>
          <w:rFonts w:hint="eastAsia" w:ascii="宋体" w:hAnsi="宋体" w:cs="宋体"/>
          <w:b/>
          <w:bCs/>
          <w:sz w:val="24"/>
          <w:szCs w:val="24"/>
          <w:highlight w:val="none"/>
        </w:rPr>
        <w:t>三、谈判响应文件</w:t>
      </w:r>
    </w:p>
    <w:p>
      <w:pPr>
        <w:spacing w:afterLines="50" w:line="320" w:lineRule="exact"/>
        <w:ind w:firstLine="472" w:firstLineChars="196"/>
        <w:rPr>
          <w:rFonts w:ascii="宋体"/>
          <w:sz w:val="24"/>
          <w:szCs w:val="24"/>
          <w:highlight w:val="none"/>
        </w:rPr>
      </w:pPr>
      <w:r>
        <w:rPr>
          <w:rFonts w:ascii="宋体" w:hAnsi="宋体" w:cs="宋体"/>
          <w:b/>
          <w:bCs/>
          <w:sz w:val="24"/>
          <w:szCs w:val="24"/>
          <w:highlight w:val="none"/>
        </w:rPr>
        <w:t xml:space="preserve">9. </w:t>
      </w:r>
      <w:r>
        <w:rPr>
          <w:rFonts w:hint="eastAsia" w:ascii="宋体" w:hAnsi="宋体" w:cs="宋体"/>
          <w:b/>
          <w:bCs/>
          <w:sz w:val="24"/>
          <w:szCs w:val="24"/>
          <w:highlight w:val="none"/>
        </w:rPr>
        <w:t>谈判响应文件语言及计量单位</w:t>
      </w:r>
    </w:p>
    <w:p>
      <w:pPr>
        <w:spacing w:line="440" w:lineRule="exact"/>
        <w:ind w:firstLine="480" w:firstLineChars="200"/>
        <w:rPr>
          <w:sz w:val="24"/>
          <w:szCs w:val="24"/>
          <w:highlight w:val="none"/>
        </w:rPr>
      </w:pPr>
      <w:r>
        <w:rPr>
          <w:sz w:val="24"/>
          <w:szCs w:val="24"/>
          <w:highlight w:val="none"/>
        </w:rPr>
        <w:t>9.1</w:t>
      </w:r>
      <w:r>
        <w:rPr>
          <w:rFonts w:hint="eastAsia" w:cs="宋体"/>
          <w:sz w:val="24"/>
          <w:szCs w:val="24"/>
          <w:highlight w:val="none"/>
        </w:rPr>
        <w:t>供应商提交的谈判响应文件以及供应商就有关谈判的所有来往函电均应使用中文。供应商可以在谈判响应文件中提交用其他语言打印的数据或资料，但是必须提供由专业翻译机构出具的中文译文，并以中文译文为准，否则视同未提供该数据或资料。</w:t>
      </w:r>
    </w:p>
    <w:p>
      <w:pPr>
        <w:spacing w:line="440" w:lineRule="exact"/>
        <w:ind w:firstLine="480" w:firstLineChars="200"/>
        <w:rPr>
          <w:sz w:val="24"/>
          <w:szCs w:val="24"/>
          <w:highlight w:val="none"/>
        </w:rPr>
      </w:pPr>
      <w:r>
        <w:rPr>
          <w:sz w:val="24"/>
          <w:szCs w:val="24"/>
          <w:highlight w:val="none"/>
        </w:rPr>
        <w:t xml:space="preserve">9.2 </w:t>
      </w:r>
      <w:r>
        <w:rPr>
          <w:rFonts w:hint="eastAsia" w:cs="宋体"/>
          <w:sz w:val="24"/>
          <w:szCs w:val="24"/>
          <w:highlight w:val="none"/>
        </w:rPr>
        <w:t>谈判响应文件中所使用的计量单位，除谈判采购文件有特殊规定外，应使用中华人民共和国法定计量单位。</w:t>
      </w:r>
    </w:p>
    <w:p>
      <w:pPr>
        <w:spacing w:line="380" w:lineRule="exact"/>
        <w:ind w:firstLine="472" w:firstLineChars="196"/>
        <w:rPr>
          <w:rFonts w:ascii="宋体"/>
          <w:b/>
          <w:bCs/>
          <w:sz w:val="24"/>
          <w:szCs w:val="24"/>
          <w:highlight w:val="none"/>
        </w:rPr>
      </w:pPr>
      <w:r>
        <w:rPr>
          <w:rFonts w:ascii="宋体" w:hAnsi="宋体" w:cs="宋体"/>
          <w:b/>
          <w:bCs/>
          <w:sz w:val="24"/>
          <w:szCs w:val="24"/>
          <w:highlight w:val="none"/>
        </w:rPr>
        <w:t xml:space="preserve">10. </w:t>
      </w:r>
      <w:r>
        <w:rPr>
          <w:rFonts w:hint="eastAsia" w:ascii="宋体" w:hAnsi="宋体" w:cs="宋体"/>
          <w:b/>
          <w:bCs/>
          <w:sz w:val="24"/>
          <w:szCs w:val="24"/>
          <w:highlight w:val="none"/>
        </w:rPr>
        <w:t>谈判响应文件编制的要求</w:t>
      </w:r>
    </w:p>
    <w:p>
      <w:pPr>
        <w:spacing w:line="440" w:lineRule="exact"/>
        <w:ind w:firstLine="480" w:firstLineChars="200"/>
        <w:rPr>
          <w:sz w:val="24"/>
          <w:szCs w:val="24"/>
          <w:highlight w:val="none"/>
        </w:rPr>
      </w:pPr>
      <w:r>
        <w:rPr>
          <w:sz w:val="24"/>
          <w:szCs w:val="24"/>
          <w:highlight w:val="none"/>
        </w:rPr>
        <w:t xml:space="preserve">10.1 </w:t>
      </w:r>
      <w:r>
        <w:rPr>
          <w:rFonts w:hint="eastAsia" w:cs="宋体"/>
          <w:sz w:val="24"/>
          <w:szCs w:val="24"/>
          <w:highlight w:val="none"/>
        </w:rPr>
        <w:t>供应商应认真阅读采购文件中所有的事项、格式、条款等要求，按要求编制谈判响应文件。未按要求提交全部资料或者谈判响应文件没有对采购文件的要求做出实质性响应，其谈判将被拒绝。</w:t>
      </w:r>
    </w:p>
    <w:p>
      <w:pPr>
        <w:spacing w:line="440" w:lineRule="exact"/>
        <w:ind w:firstLine="480" w:firstLineChars="200"/>
        <w:rPr>
          <w:sz w:val="24"/>
          <w:szCs w:val="24"/>
          <w:highlight w:val="none"/>
        </w:rPr>
      </w:pPr>
      <w:r>
        <w:rPr>
          <w:sz w:val="24"/>
          <w:szCs w:val="24"/>
          <w:highlight w:val="none"/>
        </w:rPr>
        <w:t>10.2</w:t>
      </w:r>
      <w:r>
        <w:rPr>
          <w:rFonts w:hint="eastAsia" w:cs="宋体"/>
          <w:sz w:val="24"/>
          <w:szCs w:val="24"/>
          <w:highlight w:val="none"/>
        </w:rPr>
        <w:t>谈判文件应字迹清楚，内容齐全，不得涂改和增删。如有修改错漏处，必须由供应商法定代表人（代表人）或其授权委托人签字。资格性审查材料的复印件应是清晰可辨的。</w:t>
      </w:r>
    </w:p>
    <w:p>
      <w:pPr>
        <w:spacing w:line="440" w:lineRule="exact"/>
        <w:ind w:firstLine="480" w:firstLineChars="200"/>
        <w:rPr>
          <w:sz w:val="24"/>
          <w:szCs w:val="24"/>
          <w:highlight w:val="none"/>
        </w:rPr>
      </w:pPr>
      <w:r>
        <w:rPr>
          <w:sz w:val="24"/>
          <w:szCs w:val="24"/>
          <w:highlight w:val="none"/>
        </w:rPr>
        <w:t xml:space="preserve">10.3 </w:t>
      </w:r>
      <w:r>
        <w:rPr>
          <w:rFonts w:hint="eastAsia" w:cs="宋体"/>
          <w:sz w:val="24"/>
          <w:szCs w:val="24"/>
          <w:highlight w:val="none"/>
        </w:rPr>
        <w:t>谈判响应文件所提供的全部数据必须真实可靠。若谈判响应文件填报的内容数据不详，或提供了虚假数据，其谈判响应文件为无效文件。</w:t>
      </w:r>
    </w:p>
    <w:p>
      <w:pPr>
        <w:spacing w:line="440" w:lineRule="exact"/>
        <w:ind w:firstLine="480" w:firstLineChars="200"/>
        <w:rPr>
          <w:sz w:val="24"/>
          <w:szCs w:val="24"/>
          <w:highlight w:val="none"/>
        </w:rPr>
      </w:pPr>
      <w:r>
        <w:rPr>
          <w:sz w:val="24"/>
          <w:szCs w:val="24"/>
          <w:highlight w:val="none"/>
        </w:rPr>
        <w:t xml:space="preserve">10.4 </w:t>
      </w:r>
      <w:r>
        <w:rPr>
          <w:rFonts w:hint="eastAsia" w:cs="宋体"/>
          <w:sz w:val="24"/>
          <w:szCs w:val="24"/>
          <w:highlight w:val="none"/>
        </w:rPr>
        <w:t>供应商必须按照采购文件给定的文件格式编制谈判响应文件，以</w:t>
      </w:r>
      <w:r>
        <w:rPr>
          <w:sz w:val="24"/>
          <w:szCs w:val="24"/>
          <w:highlight w:val="none"/>
        </w:rPr>
        <w:t>A4</w:t>
      </w:r>
      <w:r>
        <w:rPr>
          <w:rFonts w:hint="eastAsia" w:cs="宋体"/>
          <w:sz w:val="24"/>
          <w:szCs w:val="24"/>
          <w:highlight w:val="none"/>
        </w:rPr>
        <w:t>纸大小为标准胶装订成册（不得使用活页式）并自编目录及连续页码。除文件封面以外，每页应当编制页码，如有资格证明文件或宣传资料彩页等材料而无法编制页码的，可用不退色的墨水笔按顺序填写，但字迹必须清晰可认，不可潦草。由于编排混乱导致谈判响应文件被误读或查找不到而被视为无效等不利后果由供应商自行承担。</w:t>
      </w:r>
    </w:p>
    <w:p>
      <w:pPr>
        <w:spacing w:line="400" w:lineRule="exact"/>
        <w:ind w:firstLine="480" w:firstLineChars="200"/>
        <w:rPr>
          <w:sz w:val="24"/>
          <w:szCs w:val="24"/>
          <w:highlight w:val="none"/>
        </w:rPr>
      </w:pPr>
      <w:r>
        <w:rPr>
          <w:sz w:val="24"/>
          <w:szCs w:val="24"/>
          <w:highlight w:val="none"/>
        </w:rPr>
        <w:t xml:space="preserve">10.5 </w:t>
      </w:r>
      <w:r>
        <w:rPr>
          <w:rFonts w:hint="eastAsia" w:cs="宋体"/>
          <w:sz w:val="24"/>
          <w:szCs w:val="24"/>
          <w:highlight w:val="none"/>
        </w:rPr>
        <w:t>供应商在谈判响应文件及相关文件的签订、履行、通知等事项书面文件中的单位盖章、印章、公章等处均仅指与当事人名称全称相一致的标准公章，不得使用其他形式（如带有“专用章”等字样）的印章，否则将被视为无效。</w:t>
      </w:r>
    </w:p>
    <w:p>
      <w:pPr>
        <w:spacing w:line="440" w:lineRule="exact"/>
        <w:ind w:firstLine="482" w:firstLineChars="200"/>
        <w:rPr>
          <w:b/>
          <w:bCs/>
          <w:sz w:val="24"/>
          <w:szCs w:val="24"/>
          <w:highlight w:val="none"/>
        </w:rPr>
      </w:pPr>
      <w:r>
        <w:rPr>
          <w:b/>
          <w:bCs/>
          <w:sz w:val="24"/>
          <w:szCs w:val="24"/>
          <w:highlight w:val="none"/>
        </w:rPr>
        <w:t>11.</w:t>
      </w:r>
      <w:r>
        <w:rPr>
          <w:rFonts w:hint="eastAsia" w:cs="宋体"/>
          <w:b/>
          <w:bCs/>
          <w:sz w:val="24"/>
          <w:szCs w:val="24"/>
          <w:highlight w:val="none"/>
        </w:rPr>
        <w:t>谈判响应文件的构成</w:t>
      </w:r>
    </w:p>
    <w:p>
      <w:pPr>
        <w:spacing w:line="440" w:lineRule="exact"/>
        <w:ind w:firstLine="480" w:firstLineChars="200"/>
        <w:rPr>
          <w:sz w:val="24"/>
          <w:szCs w:val="24"/>
          <w:highlight w:val="none"/>
        </w:rPr>
      </w:pPr>
      <w:r>
        <w:rPr>
          <w:sz w:val="24"/>
          <w:szCs w:val="24"/>
          <w:highlight w:val="none"/>
        </w:rPr>
        <w:t xml:space="preserve">11.1 </w:t>
      </w:r>
      <w:r>
        <w:rPr>
          <w:rFonts w:hint="eastAsia" w:cs="宋体"/>
          <w:sz w:val="24"/>
          <w:szCs w:val="24"/>
          <w:highlight w:val="none"/>
        </w:rPr>
        <w:t>供应商编写的谈判响应文件内容构成，请参见项目采购文件“第三章谈判响应文件内容”的要求。</w:t>
      </w:r>
    </w:p>
    <w:p>
      <w:pPr>
        <w:spacing w:line="440" w:lineRule="exact"/>
        <w:ind w:firstLine="480" w:firstLineChars="200"/>
        <w:rPr>
          <w:sz w:val="24"/>
          <w:szCs w:val="24"/>
          <w:highlight w:val="none"/>
        </w:rPr>
      </w:pPr>
      <w:r>
        <w:rPr>
          <w:sz w:val="24"/>
          <w:szCs w:val="24"/>
          <w:highlight w:val="none"/>
        </w:rPr>
        <w:t xml:space="preserve">11.2 </w:t>
      </w:r>
      <w:r>
        <w:rPr>
          <w:rFonts w:hint="eastAsia" w:cs="宋体"/>
          <w:sz w:val="24"/>
          <w:szCs w:val="24"/>
          <w:highlight w:val="none"/>
        </w:rPr>
        <w:t>谈判开始前采购人或者采购机构不再另行安排资格预审，供应商的资格审查（详见采购文件第三章“谈判响应文件内容”）由评审小组负责，若供应商不按采购文件的要求提供资格审查材料，其风险由供应商自行承担。</w:t>
      </w:r>
    </w:p>
    <w:p>
      <w:pPr>
        <w:spacing w:line="440" w:lineRule="exact"/>
        <w:ind w:firstLine="482" w:firstLineChars="200"/>
        <w:rPr>
          <w:b/>
          <w:bCs/>
          <w:sz w:val="24"/>
          <w:szCs w:val="24"/>
          <w:highlight w:val="none"/>
        </w:rPr>
      </w:pPr>
      <w:r>
        <w:rPr>
          <w:b/>
          <w:bCs/>
          <w:sz w:val="24"/>
          <w:szCs w:val="24"/>
          <w:highlight w:val="none"/>
        </w:rPr>
        <w:t>12.</w:t>
      </w:r>
      <w:r>
        <w:rPr>
          <w:rFonts w:hint="eastAsia" w:cs="宋体"/>
          <w:b/>
          <w:bCs/>
          <w:sz w:val="24"/>
          <w:szCs w:val="24"/>
          <w:highlight w:val="none"/>
        </w:rPr>
        <w:t>谈判响应文件格式</w:t>
      </w:r>
    </w:p>
    <w:p>
      <w:pPr>
        <w:spacing w:line="440" w:lineRule="exact"/>
        <w:ind w:firstLine="480" w:firstLineChars="200"/>
        <w:rPr>
          <w:sz w:val="24"/>
          <w:szCs w:val="24"/>
          <w:highlight w:val="none"/>
        </w:rPr>
      </w:pPr>
      <w:r>
        <w:rPr>
          <w:sz w:val="24"/>
          <w:szCs w:val="24"/>
          <w:highlight w:val="none"/>
        </w:rPr>
        <w:t>12.1</w:t>
      </w:r>
      <w:r>
        <w:rPr>
          <w:rFonts w:hint="eastAsia" w:cs="宋体"/>
          <w:sz w:val="24"/>
          <w:szCs w:val="24"/>
          <w:highlight w:val="none"/>
        </w:rPr>
        <w:t>供应商应按采购文件提供的格式编写其响应文件，不得缺少或留空任何采购文件要求填写的表格或提交的资料，否则其风险由供应商自行承担。采购文件已提供有标准格式的按标准格式填列，未提供标准格式的可由供应商自行拟定。</w:t>
      </w:r>
    </w:p>
    <w:p>
      <w:pPr>
        <w:spacing w:line="440" w:lineRule="exact"/>
        <w:ind w:firstLine="480" w:firstLineChars="200"/>
        <w:rPr>
          <w:sz w:val="24"/>
          <w:szCs w:val="24"/>
          <w:highlight w:val="none"/>
        </w:rPr>
      </w:pPr>
      <w:r>
        <w:rPr>
          <w:sz w:val="24"/>
          <w:szCs w:val="24"/>
          <w:highlight w:val="none"/>
        </w:rPr>
        <w:t>12.2</w:t>
      </w:r>
      <w:r>
        <w:rPr>
          <w:rFonts w:hint="eastAsia" w:cs="宋体"/>
          <w:sz w:val="24"/>
          <w:szCs w:val="24"/>
          <w:highlight w:val="none"/>
        </w:rPr>
        <w:t>供应商应完整地填写谈判响应函。</w:t>
      </w:r>
    </w:p>
    <w:p>
      <w:pPr>
        <w:spacing w:line="440" w:lineRule="exact"/>
        <w:ind w:firstLine="480" w:firstLineChars="200"/>
        <w:rPr>
          <w:sz w:val="24"/>
          <w:szCs w:val="24"/>
          <w:highlight w:val="none"/>
        </w:rPr>
      </w:pPr>
      <w:r>
        <w:rPr>
          <w:sz w:val="24"/>
          <w:szCs w:val="24"/>
          <w:highlight w:val="none"/>
        </w:rPr>
        <w:t xml:space="preserve">12.3 </w:t>
      </w:r>
      <w:r>
        <w:rPr>
          <w:rFonts w:hint="eastAsia" w:cs="宋体"/>
          <w:sz w:val="24"/>
          <w:szCs w:val="24"/>
          <w:highlight w:val="none"/>
        </w:rPr>
        <w:t>供应商应完整地填写报价一览表及价格明细表，按格式填写、签署、盖章，不得自行增减内容。</w:t>
      </w:r>
    </w:p>
    <w:p>
      <w:pPr>
        <w:spacing w:line="400" w:lineRule="exact"/>
        <w:ind w:firstLine="482" w:firstLineChars="200"/>
        <w:rPr>
          <w:rFonts w:ascii="宋体"/>
          <w:b/>
          <w:bCs/>
          <w:sz w:val="24"/>
          <w:szCs w:val="24"/>
          <w:highlight w:val="none"/>
        </w:rPr>
      </w:pPr>
      <w:r>
        <w:rPr>
          <w:rFonts w:ascii="宋体" w:hAnsi="宋体" w:cs="宋体"/>
          <w:b/>
          <w:bCs/>
          <w:sz w:val="24"/>
          <w:szCs w:val="24"/>
          <w:highlight w:val="none"/>
        </w:rPr>
        <w:t xml:space="preserve">13. </w:t>
      </w:r>
      <w:r>
        <w:rPr>
          <w:rFonts w:hint="eastAsia" w:ascii="宋体" w:hAnsi="宋体" w:cs="宋体"/>
          <w:b/>
          <w:bCs/>
          <w:sz w:val="24"/>
          <w:szCs w:val="24"/>
          <w:highlight w:val="none"/>
        </w:rPr>
        <w:t>谈判报价</w:t>
      </w:r>
    </w:p>
    <w:p>
      <w:pPr>
        <w:spacing w:line="440" w:lineRule="exact"/>
        <w:ind w:firstLine="480" w:firstLineChars="200"/>
        <w:rPr>
          <w:sz w:val="24"/>
          <w:szCs w:val="24"/>
          <w:highlight w:val="none"/>
        </w:rPr>
      </w:pPr>
      <w:r>
        <w:rPr>
          <w:sz w:val="24"/>
          <w:szCs w:val="24"/>
          <w:highlight w:val="none"/>
        </w:rPr>
        <w:t xml:space="preserve">13.1 </w:t>
      </w:r>
      <w:r>
        <w:rPr>
          <w:rFonts w:hint="eastAsia" w:cs="宋体"/>
          <w:sz w:val="24"/>
          <w:szCs w:val="24"/>
          <w:highlight w:val="none"/>
        </w:rPr>
        <w:t>所有谈判报价均以人民币为计算单位。</w:t>
      </w:r>
    </w:p>
    <w:p>
      <w:pPr>
        <w:spacing w:line="440" w:lineRule="exact"/>
        <w:ind w:firstLine="480" w:firstLineChars="200"/>
        <w:rPr>
          <w:sz w:val="24"/>
          <w:szCs w:val="24"/>
          <w:highlight w:val="none"/>
        </w:rPr>
      </w:pPr>
      <w:r>
        <w:rPr>
          <w:sz w:val="24"/>
          <w:szCs w:val="24"/>
          <w:highlight w:val="none"/>
        </w:rPr>
        <w:t>13.2</w:t>
      </w:r>
      <w:r>
        <w:rPr>
          <w:rFonts w:hint="eastAsia" w:cs="宋体"/>
          <w:sz w:val="24"/>
          <w:szCs w:val="24"/>
          <w:highlight w:val="none"/>
        </w:rPr>
        <w:t>最终报价表中标明的价格在采购合同执行过程中是固定不变的，供应商不得以任何理由予以变更。以可调整的价格提交的投标将被视为非响应性报价，将作为无效谈判处理。</w:t>
      </w:r>
    </w:p>
    <w:p>
      <w:pPr>
        <w:spacing w:line="440" w:lineRule="exact"/>
        <w:ind w:firstLine="480" w:firstLineChars="200"/>
        <w:rPr>
          <w:sz w:val="24"/>
          <w:szCs w:val="24"/>
          <w:highlight w:val="none"/>
        </w:rPr>
      </w:pPr>
      <w:r>
        <w:rPr>
          <w:sz w:val="24"/>
          <w:szCs w:val="24"/>
          <w:highlight w:val="none"/>
        </w:rPr>
        <w:t>13.3</w:t>
      </w:r>
      <w:r>
        <w:rPr>
          <w:rFonts w:hint="eastAsia" w:cs="宋体"/>
          <w:sz w:val="24"/>
          <w:szCs w:val="24"/>
          <w:highlight w:val="none"/>
        </w:rPr>
        <w:t>采购人和代理机构不接受可选择的谈判报价。</w:t>
      </w:r>
    </w:p>
    <w:p>
      <w:pPr>
        <w:spacing w:line="400" w:lineRule="exact"/>
        <w:ind w:firstLine="472" w:firstLineChars="196"/>
        <w:rPr>
          <w:rFonts w:ascii="宋体"/>
          <w:sz w:val="24"/>
          <w:szCs w:val="24"/>
          <w:highlight w:val="none"/>
        </w:rPr>
      </w:pPr>
      <w:r>
        <w:rPr>
          <w:rFonts w:ascii="宋体" w:hAnsi="宋体" w:cs="宋体"/>
          <w:b/>
          <w:bCs/>
          <w:sz w:val="24"/>
          <w:szCs w:val="24"/>
          <w:highlight w:val="none"/>
        </w:rPr>
        <w:t>14.</w:t>
      </w:r>
      <w:r>
        <w:rPr>
          <w:rFonts w:hint="eastAsia" w:ascii="宋体" w:hAnsi="宋体" w:cs="宋体"/>
          <w:b/>
          <w:bCs/>
          <w:sz w:val="24"/>
          <w:szCs w:val="24"/>
          <w:highlight w:val="none"/>
        </w:rPr>
        <w:t>谈判保证金</w:t>
      </w:r>
    </w:p>
    <w:p>
      <w:pPr>
        <w:spacing w:line="440" w:lineRule="exact"/>
        <w:ind w:firstLine="480" w:firstLineChars="200"/>
        <w:rPr>
          <w:sz w:val="24"/>
          <w:szCs w:val="24"/>
          <w:highlight w:val="none"/>
        </w:rPr>
      </w:pPr>
      <w:r>
        <w:rPr>
          <w:sz w:val="24"/>
          <w:szCs w:val="24"/>
          <w:highlight w:val="none"/>
        </w:rPr>
        <w:t>14.1</w:t>
      </w:r>
      <w:r>
        <w:rPr>
          <w:rFonts w:hint="eastAsia" w:cs="宋体"/>
          <w:sz w:val="24"/>
          <w:szCs w:val="24"/>
          <w:highlight w:val="none"/>
        </w:rPr>
        <w:t>供应商应按采购文件第二章“竞争性谈判采购项目基本内容及要求”规定的时间和金额交纳谈判保证金，并作为谈判响应文件的一部分。凡未按要求交纳谈判保证金的响应文件，将被视为非响应性谈判文件而予以拒绝。</w:t>
      </w:r>
    </w:p>
    <w:p>
      <w:pPr>
        <w:spacing w:line="440" w:lineRule="exact"/>
        <w:ind w:firstLine="480" w:firstLineChars="200"/>
        <w:rPr>
          <w:sz w:val="24"/>
          <w:szCs w:val="24"/>
          <w:highlight w:val="none"/>
        </w:rPr>
      </w:pPr>
      <w:bookmarkStart w:id="8" w:name="_15__投标文件的有效期"/>
      <w:bookmarkEnd w:id="8"/>
      <w:bookmarkStart w:id="9" w:name="_14__投标文件的有效期"/>
      <w:bookmarkEnd w:id="9"/>
      <w:bookmarkStart w:id="10" w:name="_Toc80502558"/>
      <w:bookmarkStart w:id="11" w:name="_Toc80458903"/>
      <w:r>
        <w:rPr>
          <w:sz w:val="24"/>
          <w:szCs w:val="24"/>
          <w:highlight w:val="none"/>
        </w:rPr>
        <w:t xml:space="preserve">14.2 </w:t>
      </w:r>
      <w:r>
        <w:rPr>
          <w:rFonts w:hint="eastAsia" w:cs="宋体"/>
          <w:sz w:val="24"/>
          <w:szCs w:val="24"/>
          <w:highlight w:val="none"/>
        </w:rPr>
        <w:t>供应商必须准确填写谈判保证金汇出（交纳）人的名称，采购机构只按汇出（交纳）人的名称退还谈判保证金。</w:t>
      </w:r>
    </w:p>
    <w:p>
      <w:pPr>
        <w:spacing w:line="440" w:lineRule="exact"/>
        <w:ind w:firstLine="480" w:firstLineChars="200"/>
        <w:rPr>
          <w:sz w:val="24"/>
          <w:szCs w:val="24"/>
          <w:highlight w:val="none"/>
        </w:rPr>
      </w:pPr>
      <w:r>
        <w:rPr>
          <w:sz w:val="24"/>
          <w:szCs w:val="24"/>
          <w:highlight w:val="none"/>
        </w:rPr>
        <w:t xml:space="preserve">14.3 </w:t>
      </w:r>
      <w:r>
        <w:rPr>
          <w:rFonts w:hint="eastAsia" w:cs="宋体"/>
          <w:sz w:val="24"/>
          <w:szCs w:val="24"/>
          <w:highlight w:val="none"/>
        </w:rPr>
        <w:t>谈判保证金汇出（交纳）人和供应商必须为同一法人，否则将视同未按采购文件规定交纳谈判保证金。</w:t>
      </w:r>
    </w:p>
    <w:p>
      <w:pPr>
        <w:spacing w:line="440" w:lineRule="exact"/>
        <w:ind w:firstLine="480" w:firstLineChars="200"/>
        <w:rPr>
          <w:sz w:val="24"/>
          <w:szCs w:val="24"/>
          <w:highlight w:val="none"/>
        </w:rPr>
      </w:pPr>
      <w:r>
        <w:rPr>
          <w:sz w:val="24"/>
          <w:szCs w:val="24"/>
          <w:highlight w:val="none"/>
        </w:rPr>
        <w:t xml:space="preserve">14.4 </w:t>
      </w:r>
      <w:r>
        <w:rPr>
          <w:rFonts w:hint="eastAsia" w:cs="宋体"/>
          <w:sz w:val="24"/>
          <w:szCs w:val="24"/>
          <w:highlight w:val="none"/>
        </w:rPr>
        <w:t>在递交谈判响应文件时，供应商须出示已交纳谈判保证金的有效证明。采购机构将拒绝接收未按采购文件要求交纳谈判保证金或虽已交纳保证金，但所交纳的数额不足或未能出示已交纳保证金的有效证明的供应商的谈判响应文件。</w:t>
      </w:r>
    </w:p>
    <w:p>
      <w:pPr>
        <w:spacing w:line="440" w:lineRule="exact"/>
        <w:ind w:firstLine="480" w:firstLineChars="200"/>
        <w:rPr>
          <w:sz w:val="24"/>
          <w:szCs w:val="24"/>
          <w:highlight w:val="none"/>
        </w:rPr>
      </w:pPr>
      <w:r>
        <w:rPr>
          <w:sz w:val="24"/>
          <w:szCs w:val="24"/>
          <w:highlight w:val="none"/>
        </w:rPr>
        <w:t>14.5</w:t>
      </w:r>
      <w:r>
        <w:rPr>
          <w:rFonts w:hint="eastAsia" w:cs="宋体"/>
          <w:sz w:val="24"/>
          <w:szCs w:val="24"/>
          <w:highlight w:val="none"/>
        </w:rPr>
        <w:t>采购代理机构将在成交通知书发出后凭未成交供应商提交的采购代理机构财务部门出具的已交纳保证金的有效证明以转账（或现金）方式无息退还未成交供应商的保证金。在采购合同签订后凭成交供应商提交的采购机构财务部门出具的已交纳保证金的有效证明以转账或现金方式无息退还成交供应商的谈判响应保证金。</w:t>
      </w:r>
    </w:p>
    <w:p>
      <w:pPr>
        <w:spacing w:line="400" w:lineRule="exact"/>
        <w:ind w:firstLine="480" w:firstLineChars="200"/>
        <w:rPr>
          <w:sz w:val="24"/>
          <w:szCs w:val="24"/>
          <w:highlight w:val="none"/>
        </w:rPr>
      </w:pPr>
      <w:r>
        <w:rPr>
          <w:sz w:val="24"/>
          <w:szCs w:val="24"/>
          <w:highlight w:val="none"/>
        </w:rPr>
        <w:t xml:space="preserve">14.6 </w:t>
      </w:r>
      <w:r>
        <w:rPr>
          <w:rFonts w:hint="eastAsia" w:cs="宋体"/>
          <w:sz w:val="24"/>
          <w:szCs w:val="24"/>
          <w:highlight w:val="none"/>
        </w:rPr>
        <w:t>发生下列情况之一，供应商的保证金将不予退还：</w:t>
      </w:r>
    </w:p>
    <w:p>
      <w:pPr>
        <w:spacing w:line="400" w:lineRule="exact"/>
        <w:ind w:firstLine="480" w:firstLineChars="200"/>
        <w:rPr>
          <w:sz w:val="24"/>
          <w:szCs w:val="24"/>
          <w:highlight w:val="none"/>
        </w:rPr>
      </w:pPr>
      <w:r>
        <w:rPr>
          <w:rFonts w:hint="eastAsia" w:cs="宋体"/>
          <w:sz w:val="24"/>
          <w:szCs w:val="24"/>
          <w:highlight w:val="none"/>
        </w:rPr>
        <w:t>（</w:t>
      </w:r>
      <w:r>
        <w:rPr>
          <w:sz w:val="24"/>
          <w:szCs w:val="24"/>
          <w:highlight w:val="none"/>
        </w:rPr>
        <w:t>1</w:t>
      </w:r>
      <w:r>
        <w:rPr>
          <w:rFonts w:hint="eastAsia" w:cs="宋体"/>
          <w:sz w:val="24"/>
          <w:szCs w:val="24"/>
          <w:highlight w:val="none"/>
        </w:rPr>
        <w:t>）供应商在提交响应文件截止时间后撤回响应文件的；</w:t>
      </w:r>
    </w:p>
    <w:p>
      <w:pPr>
        <w:spacing w:line="400" w:lineRule="exact"/>
        <w:ind w:firstLine="480" w:firstLineChars="200"/>
        <w:rPr>
          <w:sz w:val="24"/>
          <w:szCs w:val="24"/>
          <w:highlight w:val="none"/>
        </w:rPr>
      </w:pPr>
      <w:r>
        <w:rPr>
          <w:rFonts w:hint="eastAsia" w:cs="宋体"/>
          <w:sz w:val="24"/>
          <w:szCs w:val="24"/>
          <w:highlight w:val="none"/>
        </w:rPr>
        <w:t>（</w:t>
      </w:r>
      <w:r>
        <w:rPr>
          <w:sz w:val="24"/>
          <w:szCs w:val="24"/>
          <w:highlight w:val="none"/>
        </w:rPr>
        <w:t>2</w:t>
      </w:r>
      <w:r>
        <w:rPr>
          <w:rFonts w:hint="eastAsia" w:cs="宋体"/>
          <w:sz w:val="24"/>
          <w:szCs w:val="24"/>
          <w:highlight w:val="none"/>
        </w:rPr>
        <w:t>）供应商在响应文件中提供虚假材料的；</w:t>
      </w:r>
    </w:p>
    <w:p>
      <w:pPr>
        <w:spacing w:line="400" w:lineRule="exact"/>
        <w:ind w:firstLine="480" w:firstLineChars="200"/>
        <w:rPr>
          <w:sz w:val="24"/>
          <w:szCs w:val="24"/>
          <w:highlight w:val="none"/>
        </w:rPr>
      </w:pPr>
      <w:r>
        <w:rPr>
          <w:rFonts w:hint="eastAsia" w:cs="宋体"/>
          <w:sz w:val="24"/>
          <w:szCs w:val="24"/>
          <w:highlight w:val="none"/>
        </w:rPr>
        <w:t>（</w:t>
      </w:r>
      <w:r>
        <w:rPr>
          <w:sz w:val="24"/>
          <w:szCs w:val="24"/>
          <w:highlight w:val="none"/>
        </w:rPr>
        <w:t>3</w:t>
      </w:r>
      <w:r>
        <w:rPr>
          <w:rFonts w:hint="eastAsia" w:cs="宋体"/>
          <w:sz w:val="24"/>
          <w:szCs w:val="24"/>
          <w:highlight w:val="none"/>
        </w:rPr>
        <w:t>）采取不正当手段诋毁、排挤其他供应商或者与采购单位、其他供应商恶意串通谋取成交资格的；</w:t>
      </w:r>
    </w:p>
    <w:p>
      <w:pPr>
        <w:spacing w:line="400" w:lineRule="exact"/>
        <w:ind w:firstLine="480" w:firstLineChars="200"/>
        <w:rPr>
          <w:sz w:val="24"/>
          <w:szCs w:val="24"/>
          <w:highlight w:val="none"/>
        </w:rPr>
      </w:pPr>
      <w:r>
        <w:rPr>
          <w:rFonts w:hint="eastAsia" w:cs="宋体"/>
          <w:sz w:val="24"/>
          <w:szCs w:val="24"/>
          <w:highlight w:val="none"/>
        </w:rPr>
        <w:t>（</w:t>
      </w:r>
      <w:r>
        <w:rPr>
          <w:sz w:val="24"/>
          <w:szCs w:val="24"/>
          <w:highlight w:val="none"/>
        </w:rPr>
        <w:t>4</w:t>
      </w:r>
      <w:r>
        <w:rPr>
          <w:rFonts w:hint="eastAsia" w:cs="宋体"/>
          <w:sz w:val="24"/>
          <w:szCs w:val="24"/>
          <w:highlight w:val="none"/>
        </w:rPr>
        <w:t>）供应商向采购单位、采购机构或者评审专家行贿或者提供其他不正当利益以牟取成交资格的；</w:t>
      </w:r>
    </w:p>
    <w:p>
      <w:pPr>
        <w:spacing w:line="400" w:lineRule="exact"/>
        <w:ind w:firstLine="480" w:firstLineChars="200"/>
        <w:rPr>
          <w:sz w:val="24"/>
          <w:szCs w:val="24"/>
          <w:highlight w:val="none"/>
        </w:rPr>
      </w:pPr>
      <w:r>
        <w:rPr>
          <w:rFonts w:hint="eastAsia" w:cs="宋体"/>
          <w:sz w:val="24"/>
          <w:szCs w:val="24"/>
          <w:highlight w:val="none"/>
        </w:rPr>
        <w:t>（</w:t>
      </w:r>
      <w:r>
        <w:rPr>
          <w:sz w:val="24"/>
          <w:szCs w:val="24"/>
          <w:highlight w:val="none"/>
        </w:rPr>
        <w:t>5</w:t>
      </w:r>
      <w:r>
        <w:rPr>
          <w:rFonts w:hint="eastAsia" w:cs="宋体"/>
          <w:sz w:val="24"/>
          <w:szCs w:val="24"/>
          <w:highlight w:val="none"/>
        </w:rPr>
        <w:t>）成交后，成交供应商拒绝交纳履约保证金的；</w:t>
      </w:r>
    </w:p>
    <w:p>
      <w:pPr>
        <w:spacing w:line="400" w:lineRule="exact"/>
        <w:ind w:firstLine="480" w:firstLineChars="200"/>
        <w:rPr>
          <w:sz w:val="24"/>
          <w:szCs w:val="24"/>
          <w:highlight w:val="none"/>
        </w:rPr>
      </w:pPr>
      <w:r>
        <w:rPr>
          <w:rFonts w:hint="eastAsia" w:cs="宋体"/>
          <w:sz w:val="24"/>
          <w:szCs w:val="24"/>
          <w:highlight w:val="none"/>
        </w:rPr>
        <w:t>（</w:t>
      </w:r>
      <w:r>
        <w:rPr>
          <w:sz w:val="24"/>
          <w:szCs w:val="24"/>
          <w:highlight w:val="none"/>
        </w:rPr>
        <w:t>6</w:t>
      </w:r>
      <w:r>
        <w:rPr>
          <w:rFonts w:hint="eastAsia" w:cs="宋体"/>
          <w:sz w:val="24"/>
          <w:szCs w:val="24"/>
          <w:highlight w:val="none"/>
        </w:rPr>
        <w:t>）成交后，成交供应商无正当理由拒绝与采购单位签订采购合同的；</w:t>
      </w:r>
    </w:p>
    <w:p>
      <w:pPr>
        <w:spacing w:line="400" w:lineRule="exact"/>
        <w:ind w:firstLine="480" w:firstLineChars="200"/>
        <w:rPr>
          <w:sz w:val="24"/>
          <w:szCs w:val="24"/>
          <w:highlight w:val="none"/>
        </w:rPr>
      </w:pPr>
      <w:r>
        <w:rPr>
          <w:rFonts w:hint="eastAsia" w:cs="宋体"/>
          <w:sz w:val="24"/>
          <w:szCs w:val="24"/>
          <w:highlight w:val="none"/>
        </w:rPr>
        <w:t>（</w:t>
      </w:r>
      <w:r>
        <w:rPr>
          <w:sz w:val="24"/>
          <w:szCs w:val="24"/>
          <w:highlight w:val="none"/>
        </w:rPr>
        <w:t>7</w:t>
      </w:r>
      <w:r>
        <w:rPr>
          <w:rFonts w:hint="eastAsia" w:cs="宋体"/>
          <w:sz w:val="24"/>
          <w:szCs w:val="24"/>
          <w:highlight w:val="none"/>
        </w:rPr>
        <w:t>）成交后，成交供应商将成交项目转让给他人或者分包给他人的；</w:t>
      </w:r>
    </w:p>
    <w:p>
      <w:pPr>
        <w:spacing w:line="400" w:lineRule="exact"/>
        <w:ind w:firstLine="480" w:firstLineChars="200"/>
        <w:rPr>
          <w:sz w:val="24"/>
          <w:szCs w:val="24"/>
          <w:highlight w:val="none"/>
        </w:rPr>
      </w:pPr>
      <w:r>
        <w:rPr>
          <w:rFonts w:hint="eastAsia" w:cs="宋体"/>
          <w:sz w:val="24"/>
          <w:szCs w:val="24"/>
          <w:highlight w:val="none"/>
        </w:rPr>
        <w:t>（</w:t>
      </w:r>
      <w:r>
        <w:rPr>
          <w:sz w:val="24"/>
          <w:szCs w:val="24"/>
          <w:highlight w:val="none"/>
        </w:rPr>
        <w:t>8</w:t>
      </w:r>
      <w:r>
        <w:rPr>
          <w:rFonts w:hint="eastAsia" w:cs="宋体"/>
          <w:sz w:val="24"/>
          <w:szCs w:val="24"/>
          <w:highlight w:val="none"/>
        </w:rPr>
        <w:t>）成交后，成交供应商不按照采购文件和成交供应商的谈判响应文件订立采购合同，或者与采购单位另行订立背离采购合同实质性内容的协议的；</w:t>
      </w:r>
    </w:p>
    <w:p>
      <w:pPr>
        <w:spacing w:line="400" w:lineRule="exact"/>
        <w:ind w:firstLine="480" w:firstLineChars="200"/>
        <w:rPr>
          <w:sz w:val="24"/>
          <w:szCs w:val="24"/>
          <w:highlight w:val="none"/>
        </w:rPr>
      </w:pPr>
      <w:r>
        <w:rPr>
          <w:rFonts w:hint="eastAsia" w:cs="宋体"/>
          <w:sz w:val="24"/>
          <w:szCs w:val="24"/>
          <w:highlight w:val="none"/>
        </w:rPr>
        <w:t>（</w:t>
      </w:r>
      <w:r>
        <w:rPr>
          <w:sz w:val="24"/>
          <w:szCs w:val="24"/>
          <w:highlight w:val="none"/>
        </w:rPr>
        <w:t>9</w:t>
      </w:r>
      <w:r>
        <w:rPr>
          <w:rFonts w:hint="eastAsia" w:cs="宋体"/>
          <w:sz w:val="24"/>
          <w:szCs w:val="24"/>
          <w:highlight w:val="none"/>
        </w:rPr>
        <w:t>）供应商的其他给采购活动带来不利后果的行为。</w:t>
      </w:r>
    </w:p>
    <w:bookmarkEnd w:id="10"/>
    <w:bookmarkEnd w:id="11"/>
    <w:p>
      <w:pPr>
        <w:spacing w:line="400" w:lineRule="exact"/>
        <w:ind w:firstLine="482" w:firstLineChars="200"/>
        <w:rPr>
          <w:rFonts w:ascii="宋体"/>
          <w:b/>
          <w:bCs/>
          <w:sz w:val="24"/>
          <w:szCs w:val="24"/>
          <w:highlight w:val="none"/>
        </w:rPr>
      </w:pPr>
      <w:r>
        <w:rPr>
          <w:rFonts w:ascii="宋体" w:hAnsi="宋体" w:cs="宋体"/>
          <w:b/>
          <w:bCs/>
          <w:sz w:val="24"/>
          <w:szCs w:val="24"/>
          <w:highlight w:val="none"/>
        </w:rPr>
        <w:t xml:space="preserve">15. </w:t>
      </w:r>
      <w:r>
        <w:rPr>
          <w:rFonts w:hint="eastAsia" w:ascii="宋体" w:hAnsi="宋体" w:cs="宋体"/>
          <w:b/>
          <w:bCs/>
          <w:sz w:val="24"/>
          <w:szCs w:val="24"/>
          <w:highlight w:val="none"/>
        </w:rPr>
        <w:t>谈判有效期</w:t>
      </w:r>
    </w:p>
    <w:p>
      <w:pPr>
        <w:spacing w:line="400" w:lineRule="exact"/>
        <w:ind w:firstLine="480" w:firstLineChars="200"/>
        <w:rPr>
          <w:sz w:val="24"/>
          <w:szCs w:val="24"/>
          <w:highlight w:val="none"/>
        </w:rPr>
      </w:pPr>
      <w:r>
        <w:rPr>
          <w:sz w:val="24"/>
          <w:szCs w:val="24"/>
          <w:highlight w:val="none"/>
        </w:rPr>
        <w:t xml:space="preserve">15.1 </w:t>
      </w:r>
      <w:r>
        <w:rPr>
          <w:rFonts w:hint="eastAsia" w:cs="宋体"/>
          <w:sz w:val="24"/>
          <w:szCs w:val="24"/>
          <w:highlight w:val="none"/>
        </w:rPr>
        <w:t>在采购文件第二章“竞争性谈判采购项目基本内容及要求”规定的有效期内，谈判响应文件应保持有效。有效期短于该规定期限的，将作为无效谈判处理。</w:t>
      </w:r>
    </w:p>
    <w:p>
      <w:pPr>
        <w:spacing w:line="440" w:lineRule="exact"/>
        <w:ind w:firstLine="480" w:firstLineChars="200"/>
        <w:rPr>
          <w:sz w:val="24"/>
          <w:szCs w:val="24"/>
          <w:highlight w:val="none"/>
        </w:rPr>
      </w:pPr>
      <w:r>
        <w:rPr>
          <w:sz w:val="24"/>
          <w:szCs w:val="24"/>
          <w:highlight w:val="none"/>
        </w:rPr>
        <w:t xml:space="preserve">15.2 </w:t>
      </w:r>
      <w:r>
        <w:rPr>
          <w:rFonts w:hint="eastAsia" w:cs="宋体"/>
          <w:sz w:val="24"/>
          <w:szCs w:val="24"/>
          <w:highlight w:val="none"/>
        </w:rPr>
        <w:t>在特殊情况下，在原谈判有效期期满之前，采购机构可与供应商协商延长谈判响应文件的有效期。这种要求和答复都应以书面形式进行。此时，按本须知规定的谈判保证金的有效期也相应延长。供应商可以拒绝接受延期要求而不会被没收谈判保证金。同意延长有效期的供应商除按照采购代理机构要求修改谈判响应文件有效期外，不得修改谈判响应文件的其他内容。</w:t>
      </w:r>
    </w:p>
    <w:p>
      <w:pPr>
        <w:spacing w:line="440" w:lineRule="exact"/>
        <w:ind w:firstLine="482" w:firstLineChars="200"/>
        <w:rPr>
          <w:rFonts w:ascii="宋体"/>
          <w:b/>
          <w:bCs/>
          <w:sz w:val="24"/>
          <w:szCs w:val="24"/>
          <w:highlight w:val="none"/>
        </w:rPr>
      </w:pPr>
      <w:r>
        <w:rPr>
          <w:rFonts w:ascii="宋体" w:hAnsi="宋体" w:cs="宋体"/>
          <w:b/>
          <w:bCs/>
          <w:sz w:val="24"/>
          <w:szCs w:val="24"/>
          <w:highlight w:val="none"/>
        </w:rPr>
        <w:t>16.</w:t>
      </w:r>
      <w:r>
        <w:rPr>
          <w:rFonts w:hint="eastAsia" w:ascii="宋体" w:hAnsi="宋体" w:cs="宋体"/>
          <w:b/>
          <w:bCs/>
          <w:sz w:val="24"/>
          <w:szCs w:val="24"/>
          <w:highlight w:val="none"/>
        </w:rPr>
        <w:t>谈判响应文件的式样和签署</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16.1 </w:t>
      </w:r>
      <w:r>
        <w:rPr>
          <w:rFonts w:hint="eastAsia" w:ascii="宋体" w:hAnsi="宋体" w:cs="宋体"/>
          <w:sz w:val="24"/>
          <w:szCs w:val="24"/>
          <w:highlight w:val="none"/>
        </w:rPr>
        <w:t>组成谈判响应文件的各种数据及资料均应遵守本条。</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16.2 </w:t>
      </w:r>
      <w:r>
        <w:rPr>
          <w:rFonts w:hint="eastAsia" w:ascii="宋体" w:hAnsi="宋体" w:cs="宋体"/>
          <w:sz w:val="24"/>
          <w:szCs w:val="24"/>
          <w:highlight w:val="none"/>
        </w:rPr>
        <w:t>供应商应递交一份谈判响应文件正本和采购文件第一章“采购项目基本内容及要求”中规定数量的副本，每份谈判响应文件须清楚的标明“正本”或“副本”。如果“正本”与“副本”不符，则以“正本”为准。</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16.3 </w:t>
      </w:r>
      <w:r>
        <w:rPr>
          <w:rFonts w:hint="eastAsia" w:ascii="宋体" w:hAnsi="宋体" w:cs="宋体"/>
          <w:sz w:val="24"/>
          <w:szCs w:val="24"/>
          <w:highlight w:val="none"/>
        </w:rPr>
        <w:t>谈判响应文件的“正本”必须用不退色的墨水书写或打印，注明“正本”字样。“副本”可以是“正本”的复印件。</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16.4 </w:t>
      </w:r>
      <w:r>
        <w:rPr>
          <w:rFonts w:hint="eastAsia" w:ascii="宋体" w:hAnsi="宋体" w:cs="宋体"/>
          <w:sz w:val="24"/>
          <w:szCs w:val="24"/>
          <w:highlight w:val="none"/>
        </w:rPr>
        <w:t>供应商名称应填写全称，不允许只填写简称。</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16.5 </w:t>
      </w:r>
      <w:r>
        <w:rPr>
          <w:rFonts w:hint="eastAsia" w:ascii="宋体" w:hAnsi="宋体" w:cs="宋体"/>
          <w:sz w:val="24"/>
          <w:szCs w:val="24"/>
          <w:highlight w:val="none"/>
        </w:rPr>
        <w:t>谈判响应文件正本必须由供应商的法定代表人（代表人）或其授权委托人签署并加盖谈判响应供应商公章。</w:t>
      </w:r>
    </w:p>
    <w:p>
      <w:pPr>
        <w:spacing w:line="440" w:lineRule="exact"/>
        <w:ind w:firstLine="480" w:firstLineChars="200"/>
        <w:rPr>
          <w:rFonts w:ascii="宋体"/>
          <w:sz w:val="24"/>
          <w:szCs w:val="24"/>
          <w:highlight w:val="none"/>
        </w:rPr>
      </w:pPr>
      <w:r>
        <w:rPr>
          <w:rFonts w:ascii="宋体" w:hAnsi="宋体" w:cs="宋体"/>
          <w:sz w:val="24"/>
          <w:szCs w:val="24"/>
          <w:highlight w:val="none"/>
        </w:rPr>
        <w:t xml:space="preserve">16.6 </w:t>
      </w:r>
      <w:r>
        <w:rPr>
          <w:rFonts w:hint="eastAsia" w:ascii="宋体" w:hAnsi="宋体" w:cs="宋体"/>
          <w:sz w:val="24"/>
          <w:szCs w:val="24"/>
          <w:highlight w:val="none"/>
        </w:rPr>
        <w:t>除供应商对错处做必要修改外，谈判响应文件不得行间插字、涂改和增删，如有修改错漏处，必须由响应供应商的法定代表人（代表人）或其授权委托人签字并盖章。</w:t>
      </w:r>
    </w:p>
    <w:p>
      <w:pPr>
        <w:spacing w:line="440" w:lineRule="exact"/>
        <w:ind w:firstLine="480" w:firstLineChars="200"/>
        <w:rPr>
          <w:sz w:val="24"/>
          <w:szCs w:val="24"/>
          <w:highlight w:val="none"/>
        </w:rPr>
      </w:pPr>
    </w:p>
    <w:p>
      <w:pPr>
        <w:spacing w:afterLines="50" w:line="320" w:lineRule="exact"/>
        <w:ind w:left="-105" w:leftChars="-50" w:firstLine="120" w:firstLineChars="50"/>
        <w:jc w:val="center"/>
        <w:outlineLvl w:val="0"/>
        <w:rPr>
          <w:rFonts w:ascii="宋体"/>
          <w:b/>
          <w:bCs/>
          <w:sz w:val="24"/>
          <w:szCs w:val="24"/>
          <w:highlight w:val="none"/>
        </w:rPr>
      </w:pPr>
      <w:r>
        <w:rPr>
          <w:rFonts w:hint="eastAsia" w:ascii="宋体" w:hAnsi="宋体" w:cs="宋体"/>
          <w:b/>
          <w:bCs/>
          <w:sz w:val="24"/>
          <w:szCs w:val="24"/>
          <w:highlight w:val="none"/>
        </w:rPr>
        <w:t>四、谈判响应文件的递交</w:t>
      </w:r>
    </w:p>
    <w:p>
      <w:pPr>
        <w:spacing w:line="400" w:lineRule="exact"/>
        <w:ind w:firstLine="472" w:firstLineChars="196"/>
        <w:rPr>
          <w:rFonts w:ascii="宋体"/>
          <w:b/>
          <w:bCs/>
          <w:sz w:val="24"/>
          <w:szCs w:val="24"/>
          <w:highlight w:val="none"/>
        </w:rPr>
      </w:pPr>
      <w:r>
        <w:rPr>
          <w:rFonts w:ascii="宋体" w:hAnsi="宋体" w:cs="宋体"/>
          <w:b/>
          <w:bCs/>
          <w:sz w:val="24"/>
          <w:szCs w:val="24"/>
          <w:highlight w:val="none"/>
        </w:rPr>
        <w:t xml:space="preserve">17. </w:t>
      </w:r>
      <w:r>
        <w:rPr>
          <w:rFonts w:hint="eastAsia" w:ascii="宋体" w:hAnsi="宋体" w:cs="宋体"/>
          <w:b/>
          <w:bCs/>
          <w:sz w:val="24"/>
          <w:szCs w:val="24"/>
          <w:highlight w:val="none"/>
        </w:rPr>
        <w:t>谈判响应文件的密封和标记</w:t>
      </w:r>
    </w:p>
    <w:p>
      <w:pPr>
        <w:spacing w:line="440" w:lineRule="exact"/>
        <w:ind w:firstLine="480" w:firstLineChars="200"/>
        <w:rPr>
          <w:sz w:val="24"/>
          <w:szCs w:val="24"/>
          <w:highlight w:val="none"/>
        </w:rPr>
      </w:pPr>
      <w:r>
        <w:rPr>
          <w:sz w:val="24"/>
          <w:szCs w:val="24"/>
          <w:highlight w:val="none"/>
        </w:rPr>
        <w:t xml:space="preserve">17.1 </w:t>
      </w:r>
      <w:r>
        <w:rPr>
          <w:rFonts w:hint="eastAsia" w:cs="宋体"/>
          <w:sz w:val="24"/>
          <w:szCs w:val="24"/>
          <w:highlight w:val="none"/>
        </w:rPr>
        <w:t>供应商应将谈判响应文件装订成册，单独密封，且标明“正本”、“副本”字样。</w:t>
      </w:r>
    </w:p>
    <w:p>
      <w:pPr>
        <w:spacing w:line="400" w:lineRule="exact"/>
        <w:ind w:firstLine="480" w:firstLineChars="200"/>
        <w:rPr>
          <w:sz w:val="24"/>
          <w:szCs w:val="24"/>
          <w:highlight w:val="none"/>
        </w:rPr>
      </w:pPr>
      <w:r>
        <w:rPr>
          <w:sz w:val="24"/>
          <w:szCs w:val="24"/>
          <w:highlight w:val="none"/>
        </w:rPr>
        <w:t xml:space="preserve">17.2 </w:t>
      </w:r>
      <w:r>
        <w:rPr>
          <w:rFonts w:hint="eastAsia" w:cs="宋体"/>
          <w:sz w:val="24"/>
          <w:szCs w:val="24"/>
          <w:highlight w:val="none"/>
        </w:rPr>
        <w:t>包封的封装处应：</w:t>
      </w:r>
    </w:p>
    <w:p>
      <w:pPr>
        <w:spacing w:line="440" w:lineRule="exact"/>
        <w:ind w:firstLine="480" w:firstLineChars="200"/>
        <w:rPr>
          <w:sz w:val="24"/>
          <w:szCs w:val="24"/>
          <w:highlight w:val="none"/>
        </w:rPr>
      </w:pPr>
      <w:r>
        <w:rPr>
          <w:rFonts w:hint="eastAsia" w:cs="宋体"/>
          <w:sz w:val="24"/>
          <w:szCs w:val="24"/>
          <w:highlight w:val="none"/>
        </w:rPr>
        <w:t>（</w:t>
      </w:r>
      <w:r>
        <w:rPr>
          <w:sz w:val="24"/>
          <w:szCs w:val="24"/>
          <w:highlight w:val="none"/>
        </w:rPr>
        <w:t>1</w:t>
      </w:r>
      <w:r>
        <w:rPr>
          <w:rFonts w:hint="eastAsia" w:cs="宋体"/>
          <w:sz w:val="24"/>
          <w:szCs w:val="24"/>
          <w:highlight w:val="none"/>
        </w:rPr>
        <w:t>）注明下列识别标志：采购项目名称、采购项目编号和“北京时间××年××月××日××时××分之前不得启封”的字样（具体时间详见采购文件第二章“采购项目基本内容及要求”规定的提交谈判响应文件截止时间）。</w:t>
      </w:r>
    </w:p>
    <w:p>
      <w:pPr>
        <w:spacing w:line="440" w:lineRule="exact"/>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）加盖供应商公章。</w:t>
      </w:r>
    </w:p>
    <w:p>
      <w:pPr>
        <w:spacing w:line="440" w:lineRule="exact"/>
        <w:ind w:firstLine="480" w:firstLineChars="200"/>
        <w:rPr>
          <w:rFonts w:ascii="宋体"/>
          <w:sz w:val="24"/>
          <w:szCs w:val="24"/>
          <w:highlight w:val="none"/>
        </w:rPr>
      </w:pPr>
      <w:r>
        <w:rPr>
          <w:rFonts w:ascii="宋体" w:hAnsi="宋体" w:cs="宋体"/>
          <w:sz w:val="24"/>
          <w:szCs w:val="24"/>
          <w:highlight w:val="none"/>
        </w:rPr>
        <w:t>17.3</w:t>
      </w:r>
      <w:r>
        <w:rPr>
          <w:rFonts w:hint="eastAsia" w:ascii="宋体" w:hAnsi="宋体" w:cs="宋体"/>
          <w:sz w:val="24"/>
          <w:szCs w:val="24"/>
          <w:highlight w:val="none"/>
        </w:rPr>
        <w:t>如果供应商未按第</w:t>
      </w:r>
      <w:r>
        <w:rPr>
          <w:rFonts w:ascii="宋体" w:hAnsi="宋体" w:cs="宋体"/>
          <w:sz w:val="24"/>
          <w:szCs w:val="24"/>
          <w:highlight w:val="none"/>
        </w:rPr>
        <w:t>17.1</w:t>
      </w:r>
      <w:r>
        <w:rPr>
          <w:rFonts w:hint="eastAsia" w:ascii="宋体" w:hAnsi="宋体" w:cs="宋体"/>
          <w:sz w:val="24"/>
          <w:szCs w:val="24"/>
          <w:highlight w:val="none"/>
        </w:rPr>
        <w:t>条和</w:t>
      </w:r>
      <w:r>
        <w:rPr>
          <w:rFonts w:ascii="宋体" w:hAnsi="宋体" w:cs="宋体"/>
          <w:sz w:val="24"/>
          <w:szCs w:val="24"/>
          <w:highlight w:val="none"/>
        </w:rPr>
        <w:t>17.2</w:t>
      </w:r>
      <w:r>
        <w:rPr>
          <w:rFonts w:hint="eastAsia" w:ascii="宋体" w:hAnsi="宋体" w:cs="宋体"/>
          <w:sz w:val="24"/>
          <w:szCs w:val="24"/>
          <w:highlight w:val="none"/>
        </w:rPr>
        <w:t>条要求密封和标记，采购代理机构对谈判响应文件的误投、错投或提前启封概不负责。对由此造成提前启封的谈判响应文件，采购机构将予以拒绝，并退回供应商。</w:t>
      </w:r>
    </w:p>
    <w:p>
      <w:pPr>
        <w:spacing w:line="440" w:lineRule="exact"/>
        <w:ind w:firstLine="472" w:firstLineChars="196"/>
        <w:rPr>
          <w:rFonts w:ascii="宋体"/>
          <w:b/>
          <w:bCs/>
          <w:sz w:val="24"/>
          <w:szCs w:val="24"/>
          <w:highlight w:val="none"/>
        </w:rPr>
      </w:pPr>
      <w:r>
        <w:rPr>
          <w:rFonts w:ascii="宋体" w:hAnsi="宋体" w:cs="宋体"/>
          <w:b/>
          <w:bCs/>
          <w:sz w:val="24"/>
          <w:szCs w:val="24"/>
          <w:highlight w:val="none"/>
        </w:rPr>
        <w:t>18.</w:t>
      </w:r>
      <w:r>
        <w:rPr>
          <w:rFonts w:hint="eastAsia" w:ascii="宋体" w:hAnsi="宋体" w:cs="宋体"/>
          <w:b/>
          <w:bCs/>
          <w:sz w:val="24"/>
          <w:szCs w:val="24"/>
          <w:highlight w:val="none"/>
        </w:rPr>
        <w:t>谈判响应文件递交截止时间</w:t>
      </w:r>
    </w:p>
    <w:p>
      <w:pPr>
        <w:spacing w:line="440" w:lineRule="exact"/>
        <w:ind w:firstLine="480" w:firstLineChars="200"/>
        <w:rPr>
          <w:sz w:val="24"/>
          <w:szCs w:val="24"/>
          <w:highlight w:val="none"/>
        </w:rPr>
      </w:pPr>
      <w:r>
        <w:rPr>
          <w:sz w:val="24"/>
          <w:szCs w:val="24"/>
          <w:highlight w:val="none"/>
        </w:rPr>
        <w:t>18.1</w:t>
      </w:r>
      <w:r>
        <w:rPr>
          <w:rFonts w:hint="eastAsia" w:cs="宋体"/>
          <w:sz w:val="24"/>
          <w:szCs w:val="24"/>
          <w:highlight w:val="none"/>
        </w:rPr>
        <w:t>供应商必须在“谈判邀请函”规定的递交截止时间前递交谈判响应文件。</w:t>
      </w:r>
    </w:p>
    <w:p>
      <w:pPr>
        <w:spacing w:line="440" w:lineRule="exact"/>
        <w:ind w:firstLine="480" w:firstLineChars="200"/>
        <w:rPr>
          <w:sz w:val="24"/>
          <w:szCs w:val="24"/>
          <w:highlight w:val="none"/>
        </w:rPr>
      </w:pPr>
      <w:r>
        <w:rPr>
          <w:sz w:val="24"/>
          <w:szCs w:val="24"/>
          <w:highlight w:val="none"/>
        </w:rPr>
        <w:t>18.2</w:t>
      </w:r>
      <w:r>
        <w:rPr>
          <w:rFonts w:hint="eastAsia" w:cs="宋体"/>
          <w:sz w:val="24"/>
          <w:szCs w:val="24"/>
          <w:highlight w:val="none"/>
        </w:rPr>
        <w:t>采购机构可以延长响应文件截止时间，在这种情况下，采购机构和供应商的权利及义务将受到新的谈判截止时间的约束。</w:t>
      </w:r>
    </w:p>
    <w:p>
      <w:pPr>
        <w:spacing w:line="440" w:lineRule="exact"/>
        <w:ind w:firstLine="480" w:firstLineChars="200"/>
        <w:rPr>
          <w:sz w:val="24"/>
          <w:szCs w:val="24"/>
          <w:highlight w:val="none"/>
        </w:rPr>
      </w:pPr>
      <w:r>
        <w:rPr>
          <w:sz w:val="24"/>
          <w:szCs w:val="24"/>
          <w:highlight w:val="none"/>
        </w:rPr>
        <w:t>18.3</w:t>
      </w:r>
      <w:r>
        <w:rPr>
          <w:rFonts w:hint="eastAsia" w:cs="宋体"/>
          <w:sz w:val="24"/>
          <w:szCs w:val="24"/>
          <w:highlight w:val="none"/>
        </w:rPr>
        <w:t>供应商在递交时有下列情形之一的，采购代理机构将拒绝接受其谈判响应文件：</w:t>
      </w:r>
    </w:p>
    <w:p>
      <w:pPr>
        <w:spacing w:line="440" w:lineRule="exact"/>
        <w:ind w:firstLine="480" w:firstLineChars="200"/>
        <w:rPr>
          <w:sz w:val="24"/>
          <w:szCs w:val="24"/>
          <w:highlight w:val="none"/>
        </w:rPr>
      </w:pPr>
      <w:r>
        <w:rPr>
          <w:rFonts w:hint="eastAsia" w:cs="宋体"/>
          <w:sz w:val="24"/>
          <w:szCs w:val="24"/>
          <w:highlight w:val="none"/>
        </w:rPr>
        <w:t>（</w:t>
      </w:r>
      <w:r>
        <w:rPr>
          <w:sz w:val="24"/>
          <w:szCs w:val="24"/>
          <w:highlight w:val="none"/>
        </w:rPr>
        <w:t>1</w:t>
      </w:r>
      <w:r>
        <w:rPr>
          <w:rFonts w:hint="eastAsia" w:cs="宋体"/>
          <w:sz w:val="24"/>
          <w:szCs w:val="24"/>
          <w:highlight w:val="none"/>
        </w:rPr>
        <w:t>）在采购文件规定的递交截止时间之后递交谈判响应文件的；</w:t>
      </w:r>
    </w:p>
    <w:p>
      <w:pPr>
        <w:spacing w:line="440" w:lineRule="exact"/>
        <w:ind w:firstLine="480" w:firstLineChars="200"/>
        <w:rPr>
          <w:sz w:val="24"/>
          <w:szCs w:val="24"/>
          <w:highlight w:val="none"/>
        </w:rPr>
      </w:pPr>
      <w:r>
        <w:rPr>
          <w:rFonts w:hint="eastAsia" w:cs="宋体"/>
          <w:sz w:val="24"/>
          <w:szCs w:val="24"/>
          <w:highlight w:val="none"/>
        </w:rPr>
        <w:t>（</w:t>
      </w:r>
      <w:r>
        <w:rPr>
          <w:sz w:val="24"/>
          <w:szCs w:val="24"/>
          <w:highlight w:val="none"/>
        </w:rPr>
        <w:t>2</w:t>
      </w:r>
      <w:r>
        <w:rPr>
          <w:rFonts w:hint="eastAsia" w:cs="宋体"/>
          <w:sz w:val="24"/>
          <w:szCs w:val="24"/>
          <w:highlight w:val="none"/>
        </w:rPr>
        <w:t>）谈判响应文件未按采购文件规定密封的；</w:t>
      </w:r>
    </w:p>
    <w:p>
      <w:pPr>
        <w:spacing w:line="440" w:lineRule="exact"/>
        <w:ind w:firstLine="480" w:firstLineChars="200"/>
        <w:rPr>
          <w:sz w:val="24"/>
          <w:szCs w:val="24"/>
          <w:highlight w:val="none"/>
        </w:rPr>
      </w:pPr>
      <w:r>
        <w:rPr>
          <w:rFonts w:hint="eastAsia" w:cs="宋体"/>
          <w:sz w:val="24"/>
          <w:szCs w:val="24"/>
          <w:highlight w:val="none"/>
        </w:rPr>
        <w:t>（</w:t>
      </w:r>
      <w:r>
        <w:rPr>
          <w:sz w:val="24"/>
          <w:szCs w:val="24"/>
          <w:highlight w:val="none"/>
        </w:rPr>
        <w:t>3</w:t>
      </w:r>
      <w:r>
        <w:rPr>
          <w:rFonts w:hint="eastAsia" w:cs="宋体"/>
          <w:sz w:val="24"/>
          <w:szCs w:val="24"/>
          <w:highlight w:val="none"/>
        </w:rPr>
        <w:t>）未出示已交纳谈判响应保证金的有效证明的。</w:t>
      </w:r>
    </w:p>
    <w:p>
      <w:pPr>
        <w:spacing w:line="440" w:lineRule="exact"/>
        <w:ind w:firstLine="472" w:firstLineChars="196"/>
        <w:rPr>
          <w:rFonts w:ascii="宋体"/>
          <w:b/>
          <w:bCs/>
          <w:sz w:val="24"/>
          <w:szCs w:val="24"/>
          <w:highlight w:val="none"/>
        </w:rPr>
      </w:pPr>
      <w:r>
        <w:rPr>
          <w:rFonts w:ascii="宋体" w:hAnsi="宋体" w:cs="宋体"/>
          <w:b/>
          <w:bCs/>
          <w:sz w:val="24"/>
          <w:szCs w:val="24"/>
          <w:highlight w:val="none"/>
        </w:rPr>
        <w:t>19.</w:t>
      </w:r>
      <w:r>
        <w:rPr>
          <w:rFonts w:hint="eastAsia" w:ascii="宋体" w:hAnsi="宋体" w:cs="宋体"/>
          <w:b/>
          <w:bCs/>
          <w:sz w:val="24"/>
          <w:szCs w:val="24"/>
          <w:highlight w:val="none"/>
        </w:rPr>
        <w:t>谈判响应文件的澄清、说明或者更正</w:t>
      </w:r>
    </w:p>
    <w:p>
      <w:pPr>
        <w:spacing w:line="440" w:lineRule="exact"/>
        <w:ind w:firstLine="480" w:firstLineChars="200"/>
        <w:rPr>
          <w:sz w:val="24"/>
          <w:szCs w:val="24"/>
          <w:highlight w:val="none"/>
        </w:rPr>
      </w:pPr>
      <w:r>
        <w:rPr>
          <w:sz w:val="24"/>
          <w:szCs w:val="24"/>
          <w:highlight w:val="none"/>
        </w:rPr>
        <w:t>19.1</w:t>
      </w:r>
      <w:r>
        <w:rPr>
          <w:rFonts w:hint="eastAsia" w:cs="宋体"/>
          <w:sz w:val="24"/>
          <w:szCs w:val="24"/>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sz w:val="24"/>
          <w:szCs w:val="24"/>
          <w:highlight w:val="none"/>
        </w:rPr>
      </w:pPr>
      <w:r>
        <w:rPr>
          <w:sz w:val="24"/>
          <w:szCs w:val="24"/>
          <w:highlight w:val="none"/>
        </w:rPr>
        <w:t>19.2</w:t>
      </w:r>
      <w:r>
        <w:rPr>
          <w:rFonts w:hint="eastAsia" w:cs="宋体"/>
          <w:sz w:val="24"/>
          <w:szCs w:val="24"/>
          <w:highlight w:val="none"/>
        </w:rPr>
        <w:t>谈判小组要求供应商澄清、说明或者更正响应文件应当以书面形式作出。供应商的澄清、说明或者更正应当由法定代表人或其授权代表签字或者加盖公章。由授权代表签字的，应当附法定代表人授权书。</w:t>
      </w:r>
    </w:p>
    <w:p>
      <w:pPr>
        <w:pStyle w:val="14"/>
        <w:ind w:firstLine="240"/>
        <w:rPr>
          <w:rFonts w:cs="Times New Roman"/>
          <w:highlight w:val="none"/>
        </w:rPr>
      </w:pPr>
    </w:p>
    <w:p>
      <w:pPr>
        <w:spacing w:line="400" w:lineRule="exact"/>
        <w:jc w:val="center"/>
        <w:outlineLvl w:val="0"/>
        <w:rPr>
          <w:rFonts w:ascii="宋体"/>
          <w:b/>
          <w:bCs/>
          <w:sz w:val="24"/>
          <w:szCs w:val="24"/>
          <w:highlight w:val="none"/>
        </w:rPr>
      </w:pPr>
      <w:r>
        <w:rPr>
          <w:rFonts w:hint="eastAsia" w:ascii="宋体" w:hAnsi="宋体" w:cs="宋体"/>
          <w:b/>
          <w:bCs/>
          <w:sz w:val="24"/>
          <w:szCs w:val="24"/>
          <w:highlight w:val="none"/>
        </w:rPr>
        <w:t>五、谈判与评审</w:t>
      </w:r>
    </w:p>
    <w:p>
      <w:pPr>
        <w:spacing w:line="400" w:lineRule="exact"/>
        <w:ind w:firstLine="472" w:firstLineChars="196"/>
        <w:rPr>
          <w:rFonts w:ascii="宋体"/>
          <w:b/>
          <w:bCs/>
          <w:sz w:val="24"/>
          <w:szCs w:val="24"/>
          <w:highlight w:val="none"/>
        </w:rPr>
      </w:pPr>
      <w:r>
        <w:rPr>
          <w:rFonts w:ascii="宋体" w:hAnsi="宋体" w:cs="宋体"/>
          <w:b/>
          <w:bCs/>
          <w:sz w:val="24"/>
          <w:szCs w:val="24"/>
          <w:highlight w:val="none"/>
        </w:rPr>
        <w:t xml:space="preserve">20. </w:t>
      </w:r>
      <w:r>
        <w:rPr>
          <w:rFonts w:hint="eastAsia" w:ascii="宋体" w:hAnsi="宋体" w:cs="宋体"/>
          <w:b/>
          <w:bCs/>
          <w:sz w:val="24"/>
          <w:szCs w:val="24"/>
          <w:highlight w:val="none"/>
        </w:rPr>
        <w:t>谈判</w:t>
      </w:r>
    </w:p>
    <w:p>
      <w:pPr>
        <w:spacing w:line="440" w:lineRule="exact"/>
        <w:ind w:firstLine="480" w:firstLineChars="200"/>
        <w:rPr>
          <w:sz w:val="24"/>
          <w:szCs w:val="24"/>
          <w:highlight w:val="none"/>
        </w:rPr>
      </w:pPr>
      <w:r>
        <w:rPr>
          <w:sz w:val="24"/>
          <w:szCs w:val="24"/>
          <w:highlight w:val="none"/>
        </w:rPr>
        <w:t>20.1</w:t>
      </w:r>
      <w:r>
        <w:rPr>
          <w:rFonts w:hint="eastAsia" w:cs="宋体"/>
          <w:sz w:val="24"/>
          <w:szCs w:val="24"/>
          <w:highlight w:val="none"/>
        </w:rPr>
        <w:t>采购机构按采购文件第二章“采购项目基本内容及要求”规定的时间和地点组织采购单位、响应供应商和有关方面的代表参加竞争性谈判会议。供应商法定代表人（代表人）或其授权委托人必须参加，并应签到以证明其出席。</w:t>
      </w:r>
    </w:p>
    <w:p>
      <w:pPr>
        <w:spacing w:line="400" w:lineRule="exact"/>
        <w:ind w:firstLine="480" w:firstLineChars="200"/>
        <w:rPr>
          <w:sz w:val="24"/>
          <w:szCs w:val="24"/>
          <w:highlight w:val="none"/>
        </w:rPr>
      </w:pPr>
      <w:r>
        <w:rPr>
          <w:sz w:val="24"/>
          <w:szCs w:val="24"/>
          <w:highlight w:val="none"/>
        </w:rPr>
        <w:t xml:space="preserve">20.2 </w:t>
      </w:r>
      <w:r>
        <w:rPr>
          <w:rFonts w:hint="eastAsia" w:cs="宋体"/>
          <w:sz w:val="24"/>
          <w:szCs w:val="24"/>
          <w:highlight w:val="none"/>
        </w:rPr>
        <w:t>首次报价以谈判响应文件中报价一览表为准。报价一览表中的大写金额与小写金额不一致的，以大写金额为准。</w:t>
      </w:r>
    </w:p>
    <w:p>
      <w:pPr>
        <w:spacing w:line="400" w:lineRule="exact"/>
        <w:ind w:firstLine="480" w:firstLineChars="200"/>
        <w:rPr>
          <w:sz w:val="24"/>
          <w:szCs w:val="24"/>
          <w:highlight w:val="none"/>
        </w:rPr>
      </w:pPr>
      <w:r>
        <w:rPr>
          <w:sz w:val="24"/>
          <w:szCs w:val="24"/>
          <w:highlight w:val="none"/>
        </w:rPr>
        <w:t>20.3</w:t>
      </w:r>
      <w:r>
        <w:rPr>
          <w:rFonts w:hint="eastAsia" w:cs="宋体"/>
          <w:sz w:val="24"/>
          <w:szCs w:val="24"/>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诉有关供应商。</w:t>
      </w:r>
    </w:p>
    <w:p>
      <w:pPr>
        <w:spacing w:line="400" w:lineRule="exact"/>
        <w:ind w:firstLine="480" w:firstLineChars="200"/>
        <w:rPr>
          <w:sz w:val="24"/>
          <w:szCs w:val="24"/>
          <w:highlight w:val="none"/>
        </w:rPr>
      </w:pPr>
      <w:r>
        <w:rPr>
          <w:sz w:val="24"/>
          <w:szCs w:val="24"/>
          <w:highlight w:val="none"/>
        </w:rPr>
        <w:t>20.4</w:t>
      </w:r>
      <w:r>
        <w:rPr>
          <w:rFonts w:hint="eastAsia" w:cs="宋体"/>
          <w:sz w:val="24"/>
          <w:szCs w:val="24"/>
          <w:highlight w:val="none"/>
        </w:rPr>
        <w:t>谈判小组所有成员应当集中与单一供应商分别进行谈判，并给于所有参加谈判的供应商平等的机会。</w:t>
      </w:r>
    </w:p>
    <w:p>
      <w:pPr>
        <w:spacing w:line="400" w:lineRule="exact"/>
        <w:ind w:firstLine="480" w:firstLineChars="200"/>
        <w:rPr>
          <w:sz w:val="24"/>
          <w:szCs w:val="24"/>
          <w:highlight w:val="none"/>
        </w:rPr>
      </w:pPr>
      <w:r>
        <w:rPr>
          <w:sz w:val="24"/>
          <w:szCs w:val="24"/>
          <w:highlight w:val="none"/>
        </w:rPr>
        <w:t>20.5</w:t>
      </w:r>
      <w:r>
        <w:rPr>
          <w:rFonts w:hint="eastAsia" w:cs="宋体"/>
          <w:sz w:val="24"/>
          <w:szCs w:val="24"/>
          <w:highlight w:val="none"/>
        </w:rPr>
        <w:t>在谈判过程中，谈判小组可以根据谈判文件和谈判情况实质性变动采购需求中的技术、服务要求以及合同草案条款，但不得变动谈判文件中的其他内容。实质性变动的内容，须经采购人代表确认。</w:t>
      </w:r>
    </w:p>
    <w:p>
      <w:pPr>
        <w:spacing w:line="400" w:lineRule="exact"/>
        <w:ind w:firstLine="480" w:firstLineChars="200"/>
        <w:rPr>
          <w:sz w:val="24"/>
          <w:szCs w:val="24"/>
          <w:highlight w:val="none"/>
        </w:rPr>
      </w:pPr>
      <w:r>
        <w:rPr>
          <w:rFonts w:hint="eastAsia" w:cs="宋体"/>
          <w:sz w:val="24"/>
          <w:szCs w:val="24"/>
          <w:highlight w:val="none"/>
        </w:rPr>
        <w:t>对谈判文件作出的实质性变动是谈判文件的有效组成部分，谈判小组应当及时以书面形式同时通知所有参加谈判的供应商。</w:t>
      </w:r>
    </w:p>
    <w:p>
      <w:pPr>
        <w:spacing w:line="400" w:lineRule="exact"/>
        <w:ind w:firstLine="480" w:firstLineChars="200"/>
        <w:rPr>
          <w:sz w:val="24"/>
          <w:szCs w:val="24"/>
          <w:highlight w:val="none"/>
        </w:rPr>
      </w:pPr>
      <w:r>
        <w:rPr>
          <w:rFonts w:hint="eastAsia" w:cs="宋体"/>
          <w:sz w:val="24"/>
          <w:szCs w:val="24"/>
          <w:highlight w:val="none"/>
        </w:rPr>
        <w:t>供应商应当按照谈判文件的变动情况和谈判小组的要求重新提交响应文件，并由其法定代表人或授权代表签字或者加盖公章。</w:t>
      </w:r>
    </w:p>
    <w:p>
      <w:pPr>
        <w:spacing w:line="400" w:lineRule="exact"/>
        <w:ind w:firstLine="480" w:firstLineChars="200"/>
        <w:rPr>
          <w:sz w:val="24"/>
          <w:szCs w:val="24"/>
          <w:highlight w:val="none"/>
        </w:rPr>
      </w:pPr>
      <w:r>
        <w:rPr>
          <w:sz w:val="24"/>
          <w:szCs w:val="24"/>
          <w:highlight w:val="none"/>
        </w:rPr>
        <w:t>20.6</w:t>
      </w:r>
      <w:r>
        <w:rPr>
          <w:rFonts w:hint="eastAsia" w:cs="宋体"/>
          <w:sz w:val="24"/>
          <w:szCs w:val="24"/>
          <w:highlight w:val="none"/>
        </w:rPr>
        <w:t>谈判文件能够详细列明采购标的的技术、服务要求的，谈判结束后，谈判小组应当要求所有继续参加谈判的供应商在规定时间内提交最后报价。</w:t>
      </w:r>
    </w:p>
    <w:p>
      <w:pPr>
        <w:spacing w:line="400" w:lineRule="exact"/>
        <w:ind w:firstLine="480" w:firstLineChars="200"/>
        <w:rPr>
          <w:sz w:val="24"/>
          <w:szCs w:val="24"/>
          <w:highlight w:val="none"/>
        </w:rPr>
      </w:pPr>
      <w:r>
        <w:rPr>
          <w:rFonts w:hint="eastAsia" w:cs="宋体"/>
          <w:sz w:val="24"/>
          <w:szCs w:val="24"/>
          <w:highlight w:val="none"/>
        </w:rPr>
        <w:t>谈判文件不能详细列明采购标的的技术、服务要求，需经谈判由供应商提供最终设计方案或解决方案的，谈判结束后，谈判小组应当按照少数服务从多数的原则投票推荐</w:t>
      </w:r>
      <w:r>
        <w:rPr>
          <w:sz w:val="24"/>
          <w:szCs w:val="24"/>
          <w:highlight w:val="none"/>
        </w:rPr>
        <w:t>3</w:t>
      </w:r>
      <w:r>
        <w:rPr>
          <w:rFonts w:hint="eastAsia" w:cs="宋体"/>
          <w:sz w:val="24"/>
          <w:szCs w:val="24"/>
          <w:highlight w:val="none"/>
        </w:rPr>
        <w:t>家以上供应商的设计方案或解决方案，并要求其在规定时间内提交最后报价。最后报价是供应商响应文件的有效组成部分。</w:t>
      </w:r>
    </w:p>
    <w:p>
      <w:pPr>
        <w:spacing w:line="400" w:lineRule="exact"/>
        <w:ind w:firstLine="480" w:firstLineChars="200"/>
        <w:rPr>
          <w:sz w:val="24"/>
          <w:szCs w:val="24"/>
          <w:highlight w:val="none"/>
        </w:rPr>
      </w:pPr>
      <w:r>
        <w:rPr>
          <w:sz w:val="24"/>
          <w:szCs w:val="24"/>
          <w:highlight w:val="none"/>
        </w:rPr>
        <w:t>20.7</w:t>
      </w:r>
      <w:r>
        <w:rPr>
          <w:rFonts w:hint="eastAsia" w:cs="宋体"/>
          <w:sz w:val="24"/>
          <w:szCs w:val="24"/>
          <w:highlight w:val="none"/>
        </w:rPr>
        <w:t>已提交响应文件的供应商，在提交最后报价之前，可以根据谈判情况退出谈判。采购人、采购代理机构应当退还退出谈判的供应商的保证金。</w:t>
      </w:r>
    </w:p>
    <w:p>
      <w:pPr>
        <w:spacing w:line="400" w:lineRule="exact"/>
        <w:ind w:left="720" w:leftChars="228" w:hanging="241" w:hangingChars="100"/>
        <w:rPr>
          <w:rFonts w:ascii="宋体"/>
          <w:b/>
          <w:bCs/>
          <w:sz w:val="24"/>
          <w:szCs w:val="24"/>
          <w:highlight w:val="none"/>
        </w:rPr>
      </w:pPr>
      <w:r>
        <w:rPr>
          <w:rFonts w:ascii="宋体" w:hAnsi="宋体" w:cs="宋体"/>
          <w:b/>
          <w:bCs/>
          <w:sz w:val="24"/>
          <w:szCs w:val="24"/>
          <w:highlight w:val="none"/>
        </w:rPr>
        <w:t xml:space="preserve">21. </w:t>
      </w:r>
      <w:r>
        <w:rPr>
          <w:rFonts w:hint="eastAsia" w:ascii="宋体" w:hAnsi="宋体" w:cs="宋体"/>
          <w:b/>
          <w:bCs/>
          <w:sz w:val="24"/>
          <w:szCs w:val="24"/>
          <w:highlight w:val="none"/>
        </w:rPr>
        <w:t>谈判小组的组成</w:t>
      </w:r>
    </w:p>
    <w:p>
      <w:pPr>
        <w:spacing w:line="440" w:lineRule="exact"/>
        <w:ind w:firstLine="480" w:firstLineChars="200"/>
        <w:rPr>
          <w:sz w:val="24"/>
          <w:szCs w:val="24"/>
          <w:highlight w:val="none"/>
        </w:rPr>
      </w:pPr>
      <w:r>
        <w:rPr>
          <w:sz w:val="24"/>
          <w:szCs w:val="24"/>
          <w:highlight w:val="none"/>
        </w:rPr>
        <w:t xml:space="preserve">21.1 </w:t>
      </w:r>
      <w:r>
        <w:rPr>
          <w:rFonts w:hint="eastAsia" w:cs="宋体"/>
          <w:sz w:val="24"/>
          <w:szCs w:val="24"/>
          <w:highlight w:val="none"/>
        </w:rPr>
        <w:t>竞争性谈判小组由采购人代表和谈判专家</w:t>
      </w:r>
      <w:r>
        <w:rPr>
          <w:rFonts w:hint="eastAsia" w:ascii="宋体" w:hAnsi="宋体" w:cs="宋体"/>
          <w:sz w:val="24"/>
          <w:szCs w:val="24"/>
          <w:highlight w:val="none"/>
        </w:rPr>
        <w:t>共</w:t>
      </w:r>
      <w:r>
        <w:rPr>
          <w:rFonts w:ascii="宋体" w:hAnsi="宋体" w:cs="宋体"/>
          <w:sz w:val="24"/>
          <w:szCs w:val="24"/>
          <w:highlight w:val="none"/>
        </w:rPr>
        <w:t>3</w:t>
      </w:r>
      <w:r>
        <w:rPr>
          <w:rFonts w:hint="eastAsia" w:ascii="宋体" w:hAnsi="宋体" w:cs="宋体"/>
          <w:sz w:val="24"/>
          <w:szCs w:val="24"/>
          <w:highlight w:val="none"/>
        </w:rPr>
        <w:t>人</w:t>
      </w:r>
      <w:r>
        <w:rPr>
          <w:rFonts w:hint="eastAsia" w:cs="宋体"/>
          <w:sz w:val="24"/>
          <w:szCs w:val="24"/>
          <w:highlight w:val="none"/>
        </w:rPr>
        <w:t>以上单数组成，其中谈判专家人数不得少于竞争性谈判小组成员总数的</w:t>
      </w:r>
      <w:r>
        <w:rPr>
          <w:rFonts w:ascii="宋体" w:hAnsi="宋体" w:cs="宋体"/>
          <w:sz w:val="24"/>
          <w:szCs w:val="24"/>
          <w:highlight w:val="none"/>
        </w:rPr>
        <w:t>2/3</w:t>
      </w:r>
      <w:r>
        <w:rPr>
          <w:rFonts w:hint="eastAsia" w:ascii="宋体" w:hAnsi="宋体" w:cs="宋体"/>
          <w:sz w:val="24"/>
          <w:szCs w:val="24"/>
          <w:highlight w:val="none"/>
        </w:rPr>
        <w:t>。</w:t>
      </w:r>
      <w:r>
        <w:rPr>
          <w:rFonts w:hint="eastAsia" w:cs="宋体"/>
          <w:sz w:val="24"/>
          <w:szCs w:val="24"/>
          <w:highlight w:val="none"/>
        </w:rPr>
        <w:t>采购人不得以谈判专家的身份参加本部门或部门或本单位采购项目的评审。采购代理机构人员不得参加本机构代理的采购项目的评审。</w:t>
      </w:r>
    </w:p>
    <w:p>
      <w:pPr>
        <w:spacing w:line="440" w:lineRule="exact"/>
        <w:ind w:firstLine="480" w:firstLineChars="200"/>
        <w:rPr>
          <w:sz w:val="24"/>
          <w:szCs w:val="24"/>
          <w:highlight w:val="none"/>
        </w:rPr>
      </w:pPr>
      <w:r>
        <w:rPr>
          <w:sz w:val="24"/>
          <w:szCs w:val="24"/>
          <w:highlight w:val="none"/>
        </w:rPr>
        <w:t xml:space="preserve">21.2 </w:t>
      </w:r>
      <w:r>
        <w:rPr>
          <w:rFonts w:hint="eastAsia" w:cs="宋体"/>
          <w:sz w:val="24"/>
          <w:szCs w:val="24"/>
          <w:highlight w:val="none"/>
        </w:rPr>
        <w:t>与供应商有利害关系的人不得进入谈判小组，已经进入的必须退出。</w:t>
      </w:r>
    </w:p>
    <w:p>
      <w:pPr>
        <w:spacing w:line="440" w:lineRule="exact"/>
        <w:ind w:firstLine="480" w:firstLineChars="200"/>
        <w:rPr>
          <w:sz w:val="24"/>
          <w:szCs w:val="24"/>
          <w:highlight w:val="none"/>
        </w:rPr>
      </w:pPr>
      <w:r>
        <w:rPr>
          <w:sz w:val="24"/>
          <w:szCs w:val="24"/>
          <w:highlight w:val="none"/>
        </w:rPr>
        <w:t xml:space="preserve">21.3 </w:t>
      </w:r>
      <w:r>
        <w:rPr>
          <w:rFonts w:hint="eastAsia" w:cs="宋体"/>
          <w:sz w:val="24"/>
          <w:szCs w:val="24"/>
          <w:highlight w:val="none"/>
        </w:rPr>
        <w:t>谈判小组负责具体评审事务，根据有关法律法规和采购文件规定的谈判程序、评审方法及评审标准独立履行评审职责。</w:t>
      </w:r>
    </w:p>
    <w:p>
      <w:pPr>
        <w:spacing w:line="440" w:lineRule="exact"/>
        <w:ind w:firstLine="482" w:firstLineChars="200"/>
        <w:rPr>
          <w:b/>
          <w:bCs/>
          <w:sz w:val="24"/>
          <w:szCs w:val="24"/>
          <w:highlight w:val="none"/>
        </w:rPr>
      </w:pPr>
      <w:r>
        <w:rPr>
          <w:b/>
          <w:bCs/>
          <w:sz w:val="24"/>
          <w:szCs w:val="24"/>
          <w:highlight w:val="none"/>
        </w:rPr>
        <w:t xml:space="preserve">22 </w:t>
      </w:r>
      <w:r>
        <w:rPr>
          <w:rFonts w:hint="eastAsia" w:cs="宋体"/>
          <w:b/>
          <w:bCs/>
          <w:sz w:val="24"/>
          <w:szCs w:val="24"/>
          <w:highlight w:val="none"/>
        </w:rPr>
        <w:t>谈判响应文件的初审</w:t>
      </w:r>
    </w:p>
    <w:p>
      <w:pPr>
        <w:spacing w:line="440" w:lineRule="exact"/>
        <w:ind w:firstLine="480" w:firstLineChars="200"/>
        <w:rPr>
          <w:sz w:val="24"/>
          <w:szCs w:val="24"/>
          <w:highlight w:val="none"/>
        </w:rPr>
      </w:pPr>
      <w:r>
        <w:rPr>
          <w:sz w:val="24"/>
          <w:szCs w:val="24"/>
          <w:highlight w:val="none"/>
        </w:rPr>
        <w:t xml:space="preserve">22.1 </w:t>
      </w:r>
      <w:r>
        <w:rPr>
          <w:rFonts w:hint="eastAsia" w:cs="宋体"/>
          <w:sz w:val="24"/>
          <w:szCs w:val="24"/>
          <w:highlight w:val="none"/>
        </w:rPr>
        <w:t>资格性审查。采购人依据有关法律法规和采购文件的规定，审查每个供应商提交的资格证明文件是否齐全、完整、合法、有效。</w:t>
      </w:r>
    </w:p>
    <w:p>
      <w:pPr>
        <w:spacing w:line="440" w:lineRule="exact"/>
        <w:ind w:firstLine="480" w:firstLineChars="200"/>
        <w:rPr>
          <w:sz w:val="24"/>
          <w:szCs w:val="24"/>
          <w:highlight w:val="none"/>
        </w:rPr>
      </w:pPr>
      <w:r>
        <w:rPr>
          <w:rFonts w:hint="eastAsia" w:cs="宋体"/>
          <w:sz w:val="24"/>
          <w:szCs w:val="24"/>
          <w:highlight w:val="none"/>
        </w:rPr>
        <w:t>在评审过程中，评审小组有权要求供应商提供资格证明文件的原件以供审查，供应商应在评审小组规定的时限内提供。供应商拒不提供或者不能在规定时限内提供的，其响应谈判将被作为无效投标（响应）处理。资格性审查条款详见采购文件第三章“竞争性谈判谈判文件内容”。</w:t>
      </w:r>
      <w:r>
        <w:rPr>
          <w:sz w:val="24"/>
          <w:szCs w:val="24"/>
          <w:highlight w:val="none"/>
        </w:rPr>
        <w:t xml:space="preserve"> </w:t>
      </w:r>
    </w:p>
    <w:p>
      <w:pPr>
        <w:spacing w:line="440" w:lineRule="exact"/>
        <w:ind w:firstLine="480" w:firstLineChars="200"/>
        <w:rPr>
          <w:sz w:val="24"/>
          <w:szCs w:val="24"/>
          <w:highlight w:val="none"/>
        </w:rPr>
      </w:pPr>
      <w:r>
        <w:rPr>
          <w:sz w:val="24"/>
          <w:szCs w:val="24"/>
          <w:highlight w:val="none"/>
        </w:rPr>
        <w:t xml:space="preserve">22.2 </w:t>
      </w:r>
      <w:r>
        <w:rPr>
          <w:rFonts w:hint="eastAsia" w:cs="宋体"/>
          <w:sz w:val="24"/>
          <w:szCs w:val="24"/>
          <w:highlight w:val="none"/>
        </w:rPr>
        <w:t>符合性审查。谈判小组依据有关法律法规和采购文件的规定，从响应文件的有效性、完整性和对采购文件的响应程度，审查响应文件是否对采购文件的实质性要求做出了响应。符合性审查条款详见采购文件第三章“竞争性谈判谈判文件内容”。</w:t>
      </w:r>
    </w:p>
    <w:p>
      <w:pPr>
        <w:spacing w:line="440" w:lineRule="exact"/>
        <w:ind w:firstLine="480" w:firstLineChars="200"/>
        <w:rPr>
          <w:sz w:val="24"/>
          <w:szCs w:val="24"/>
          <w:highlight w:val="none"/>
        </w:rPr>
      </w:pPr>
      <w:r>
        <w:rPr>
          <w:sz w:val="24"/>
          <w:szCs w:val="24"/>
          <w:highlight w:val="none"/>
        </w:rPr>
        <w:t xml:space="preserve">22.3 </w:t>
      </w:r>
      <w:r>
        <w:rPr>
          <w:rFonts w:hint="eastAsia" w:cs="宋体"/>
          <w:sz w:val="24"/>
          <w:szCs w:val="24"/>
          <w:highlight w:val="none"/>
        </w:rPr>
        <w:t>实质上响应的谈判是指与采购文件的全部条款、条件和规格相符，没有重大偏离。所谓重大偏离是指所报货物的技术规格、数量和交货期限等明显不能满足采购文件的要求，或者实质上与采购文件不一致，而且限制了采购单位的权利或供应商的义务，如果纠正这些偏离将对其他实质上响应采购文件要求的供应商竞争地位产生不公正的影响。</w:t>
      </w:r>
    </w:p>
    <w:p>
      <w:pPr>
        <w:spacing w:line="440" w:lineRule="exact"/>
        <w:ind w:firstLine="480" w:firstLineChars="200"/>
        <w:rPr>
          <w:sz w:val="24"/>
          <w:szCs w:val="24"/>
          <w:highlight w:val="none"/>
        </w:rPr>
      </w:pPr>
      <w:r>
        <w:rPr>
          <w:sz w:val="24"/>
          <w:szCs w:val="24"/>
          <w:highlight w:val="none"/>
        </w:rPr>
        <w:t xml:space="preserve">22.4 </w:t>
      </w:r>
      <w:r>
        <w:rPr>
          <w:rFonts w:hint="eastAsia" w:cs="宋体"/>
          <w:sz w:val="24"/>
          <w:szCs w:val="24"/>
          <w:highlight w:val="none"/>
        </w:rPr>
        <w:t>重大偏离不允许在谈判开始后修正，但谈判小组将允许修正响应文件中不构成重大偏离的地方，而且这些修正不会对其他实质上响应采购文件要求的供应商的竞争地位产生不公正的影响。</w:t>
      </w:r>
    </w:p>
    <w:p>
      <w:pPr>
        <w:spacing w:line="440" w:lineRule="exact"/>
        <w:ind w:firstLine="480" w:firstLineChars="200"/>
        <w:rPr>
          <w:sz w:val="24"/>
          <w:szCs w:val="24"/>
          <w:highlight w:val="none"/>
        </w:rPr>
      </w:pPr>
      <w:r>
        <w:rPr>
          <w:sz w:val="24"/>
          <w:szCs w:val="24"/>
          <w:highlight w:val="none"/>
        </w:rPr>
        <w:t xml:space="preserve">22.5 </w:t>
      </w:r>
      <w:r>
        <w:rPr>
          <w:rFonts w:hint="eastAsia" w:cs="宋体"/>
          <w:sz w:val="24"/>
          <w:szCs w:val="24"/>
          <w:highlight w:val="none"/>
        </w:rPr>
        <w:t>如果响应文件实质上没有响应采购文件的要求，将作为无效响应文件处理，供应商不得再对谈判响应文件进行任何修正从而使其谈判成为实质上响应的谈判。</w:t>
      </w:r>
    </w:p>
    <w:p>
      <w:pPr>
        <w:spacing w:line="440" w:lineRule="exact"/>
        <w:ind w:firstLine="480" w:firstLineChars="200"/>
        <w:rPr>
          <w:sz w:val="24"/>
          <w:szCs w:val="24"/>
          <w:highlight w:val="none"/>
        </w:rPr>
      </w:pPr>
      <w:r>
        <w:rPr>
          <w:sz w:val="24"/>
          <w:szCs w:val="24"/>
          <w:highlight w:val="none"/>
        </w:rPr>
        <w:t xml:space="preserve">22.6 </w:t>
      </w:r>
      <w:r>
        <w:rPr>
          <w:rFonts w:hint="eastAsia" w:cs="宋体"/>
          <w:sz w:val="24"/>
          <w:szCs w:val="24"/>
          <w:highlight w:val="none"/>
        </w:rPr>
        <w:t>谈判小组审定谈判响应文件的响应性只根据响应文件本身的内容而不寻求外部证据。</w:t>
      </w:r>
    </w:p>
    <w:p>
      <w:pPr>
        <w:spacing w:line="440" w:lineRule="exact"/>
        <w:ind w:firstLine="480" w:firstLineChars="200"/>
        <w:rPr>
          <w:sz w:val="24"/>
          <w:szCs w:val="24"/>
          <w:highlight w:val="none"/>
        </w:rPr>
      </w:pPr>
      <w:r>
        <w:rPr>
          <w:sz w:val="24"/>
          <w:szCs w:val="24"/>
          <w:highlight w:val="none"/>
        </w:rPr>
        <w:t xml:space="preserve">22.7 </w:t>
      </w:r>
      <w:r>
        <w:rPr>
          <w:rFonts w:hint="eastAsia" w:cs="宋体"/>
          <w:sz w:val="24"/>
          <w:szCs w:val="24"/>
          <w:highlight w:val="none"/>
        </w:rPr>
        <w:t>谈判响应文件中明显的文字和计算错误，按下列规则修正：</w:t>
      </w:r>
    </w:p>
    <w:p>
      <w:pPr>
        <w:spacing w:line="440" w:lineRule="exact"/>
        <w:ind w:firstLine="480" w:firstLineChars="200"/>
        <w:rPr>
          <w:sz w:val="24"/>
          <w:szCs w:val="24"/>
          <w:highlight w:val="none"/>
        </w:rPr>
      </w:pPr>
      <w:r>
        <w:rPr>
          <w:rFonts w:hint="eastAsia" w:cs="宋体"/>
          <w:sz w:val="24"/>
          <w:szCs w:val="24"/>
          <w:highlight w:val="none"/>
        </w:rPr>
        <w:t>（</w:t>
      </w:r>
      <w:r>
        <w:rPr>
          <w:sz w:val="24"/>
          <w:szCs w:val="24"/>
          <w:highlight w:val="none"/>
        </w:rPr>
        <w:t>1</w:t>
      </w:r>
      <w:r>
        <w:rPr>
          <w:rFonts w:hint="eastAsia" w:cs="宋体"/>
          <w:sz w:val="24"/>
          <w:szCs w:val="24"/>
          <w:highlight w:val="none"/>
        </w:rPr>
        <w:t>）大写金额与小写金额不一致的，以大写金额为准；</w:t>
      </w:r>
    </w:p>
    <w:p>
      <w:pPr>
        <w:spacing w:line="440" w:lineRule="exact"/>
        <w:ind w:firstLine="480" w:firstLineChars="200"/>
        <w:rPr>
          <w:sz w:val="24"/>
          <w:szCs w:val="24"/>
          <w:highlight w:val="none"/>
        </w:rPr>
      </w:pPr>
      <w:r>
        <w:rPr>
          <w:rFonts w:hint="eastAsia" w:cs="宋体"/>
          <w:sz w:val="24"/>
          <w:szCs w:val="24"/>
          <w:highlight w:val="none"/>
        </w:rPr>
        <w:t>（</w:t>
      </w:r>
      <w:r>
        <w:rPr>
          <w:sz w:val="24"/>
          <w:szCs w:val="24"/>
          <w:highlight w:val="none"/>
        </w:rPr>
        <w:t>2</w:t>
      </w:r>
      <w:r>
        <w:rPr>
          <w:rFonts w:hint="eastAsia" w:cs="宋体"/>
          <w:sz w:val="24"/>
          <w:szCs w:val="24"/>
          <w:highlight w:val="none"/>
        </w:rPr>
        <w:t>）总价金额与按单价汇总金额不一致的，以单价金额计算结果为准；</w:t>
      </w:r>
    </w:p>
    <w:p>
      <w:pPr>
        <w:spacing w:line="440" w:lineRule="exact"/>
        <w:ind w:firstLine="480" w:firstLineChars="200"/>
        <w:rPr>
          <w:sz w:val="24"/>
          <w:szCs w:val="24"/>
          <w:highlight w:val="none"/>
        </w:rPr>
      </w:pPr>
      <w:r>
        <w:rPr>
          <w:rFonts w:hint="eastAsia" w:cs="宋体"/>
          <w:sz w:val="24"/>
          <w:szCs w:val="24"/>
          <w:highlight w:val="none"/>
        </w:rPr>
        <w:t>（</w:t>
      </w:r>
      <w:r>
        <w:rPr>
          <w:sz w:val="24"/>
          <w:szCs w:val="24"/>
          <w:highlight w:val="none"/>
        </w:rPr>
        <w:t>3</w:t>
      </w:r>
      <w:r>
        <w:rPr>
          <w:rFonts w:hint="eastAsia" w:cs="宋体"/>
          <w:sz w:val="24"/>
          <w:szCs w:val="24"/>
          <w:highlight w:val="none"/>
        </w:rPr>
        <w:t>）单价金额小数点有明显错位的，应以总价为准，并修改单价；</w:t>
      </w:r>
    </w:p>
    <w:p>
      <w:pPr>
        <w:spacing w:line="440" w:lineRule="exact"/>
        <w:ind w:firstLine="480" w:firstLineChars="200"/>
        <w:rPr>
          <w:sz w:val="24"/>
          <w:szCs w:val="24"/>
          <w:highlight w:val="none"/>
        </w:rPr>
      </w:pPr>
      <w:r>
        <w:rPr>
          <w:rFonts w:hint="eastAsia" w:cs="宋体"/>
          <w:sz w:val="24"/>
          <w:szCs w:val="24"/>
          <w:highlight w:val="none"/>
        </w:rPr>
        <w:t>（</w:t>
      </w:r>
      <w:r>
        <w:rPr>
          <w:sz w:val="24"/>
          <w:szCs w:val="24"/>
          <w:highlight w:val="none"/>
        </w:rPr>
        <w:t>4</w:t>
      </w:r>
      <w:r>
        <w:rPr>
          <w:rFonts w:hint="eastAsia" w:cs="宋体"/>
          <w:sz w:val="24"/>
          <w:szCs w:val="24"/>
          <w:highlight w:val="none"/>
        </w:rPr>
        <w:t>）按上述规则调整后的价格为评审价格，对供应商具有约束力。如果供应商不接受按上述规则修正后的价格，其谈判响应将作为无效谈判响应处理，谈判响应保证金将被没收。</w:t>
      </w:r>
    </w:p>
    <w:p>
      <w:pPr>
        <w:spacing w:line="440" w:lineRule="exact"/>
        <w:ind w:firstLine="482" w:firstLineChars="200"/>
        <w:rPr>
          <w:b/>
          <w:bCs/>
          <w:sz w:val="24"/>
          <w:szCs w:val="24"/>
          <w:highlight w:val="none"/>
        </w:rPr>
      </w:pPr>
      <w:r>
        <w:rPr>
          <w:b/>
          <w:bCs/>
          <w:sz w:val="24"/>
          <w:szCs w:val="24"/>
          <w:highlight w:val="none"/>
        </w:rPr>
        <w:t>23</w:t>
      </w:r>
      <w:r>
        <w:rPr>
          <w:rFonts w:hint="eastAsia" w:cs="宋体"/>
          <w:b/>
          <w:bCs/>
          <w:sz w:val="24"/>
          <w:szCs w:val="24"/>
          <w:highlight w:val="none"/>
        </w:rPr>
        <w:t>谈判响应文件的澄清</w:t>
      </w:r>
    </w:p>
    <w:p>
      <w:pPr>
        <w:spacing w:line="440" w:lineRule="exact"/>
        <w:ind w:firstLine="480" w:firstLineChars="200"/>
        <w:rPr>
          <w:sz w:val="24"/>
          <w:szCs w:val="24"/>
          <w:highlight w:val="none"/>
        </w:rPr>
      </w:pPr>
      <w:r>
        <w:rPr>
          <w:sz w:val="24"/>
          <w:szCs w:val="24"/>
          <w:highlight w:val="none"/>
        </w:rPr>
        <w:t>23.1</w:t>
      </w:r>
      <w:r>
        <w:rPr>
          <w:rFonts w:hint="eastAsia" w:cs="宋体"/>
          <w:sz w:val="24"/>
          <w:szCs w:val="24"/>
          <w:highlight w:val="none"/>
        </w:rPr>
        <w:t>在评审期间，对响应文件中含义不明确、同类问题表述不一致或者有明显文字和计算错误的内容，谈判小组可以以书面形式要求供应商做出必要的澄清、说明或者纠正。代应商的澄清、说明或者纠正应当采用书面形式，由其法定代表人（代表人）或其授权委托人签字，并作为谈判响应文件的一部分。</w:t>
      </w:r>
    </w:p>
    <w:p>
      <w:pPr>
        <w:spacing w:line="440" w:lineRule="exact"/>
        <w:ind w:firstLine="480" w:firstLineChars="200"/>
        <w:rPr>
          <w:sz w:val="24"/>
          <w:szCs w:val="24"/>
          <w:highlight w:val="none"/>
        </w:rPr>
      </w:pPr>
      <w:r>
        <w:rPr>
          <w:sz w:val="24"/>
          <w:szCs w:val="24"/>
          <w:highlight w:val="none"/>
        </w:rPr>
        <w:t xml:space="preserve">23.2 </w:t>
      </w:r>
      <w:r>
        <w:rPr>
          <w:rFonts w:hint="eastAsia" w:cs="宋体"/>
          <w:sz w:val="24"/>
          <w:szCs w:val="24"/>
          <w:highlight w:val="none"/>
        </w:rPr>
        <w:t>供应商对谈判响应文件的澄清不得对报价价格或其他实质性内容进行更改。</w:t>
      </w:r>
    </w:p>
    <w:p>
      <w:pPr>
        <w:spacing w:line="440" w:lineRule="exact"/>
        <w:ind w:firstLine="482" w:firstLineChars="200"/>
        <w:rPr>
          <w:b/>
          <w:bCs/>
          <w:sz w:val="24"/>
          <w:szCs w:val="24"/>
          <w:highlight w:val="none"/>
        </w:rPr>
      </w:pPr>
      <w:r>
        <w:rPr>
          <w:b/>
          <w:bCs/>
          <w:sz w:val="24"/>
          <w:szCs w:val="24"/>
          <w:highlight w:val="none"/>
        </w:rPr>
        <w:t xml:space="preserve">24. </w:t>
      </w:r>
      <w:r>
        <w:rPr>
          <w:rFonts w:hint="eastAsia" w:cs="宋体"/>
          <w:b/>
          <w:bCs/>
          <w:sz w:val="24"/>
          <w:szCs w:val="24"/>
          <w:highlight w:val="none"/>
        </w:rPr>
        <w:t>评审方法及评审标准</w:t>
      </w:r>
    </w:p>
    <w:p>
      <w:pPr>
        <w:spacing w:line="440" w:lineRule="exact"/>
        <w:ind w:firstLine="480" w:firstLineChars="200"/>
        <w:rPr>
          <w:sz w:val="24"/>
          <w:szCs w:val="24"/>
          <w:highlight w:val="none"/>
        </w:rPr>
      </w:pPr>
      <w:r>
        <w:rPr>
          <w:rFonts w:hint="eastAsia" w:cs="宋体"/>
          <w:sz w:val="24"/>
          <w:szCs w:val="24"/>
          <w:highlight w:val="none"/>
        </w:rPr>
        <w:t>详见</w:t>
      </w:r>
      <w:r>
        <w:rPr>
          <w:sz w:val="24"/>
          <w:szCs w:val="24"/>
          <w:highlight w:val="none"/>
        </w:rPr>
        <w:t>“</w:t>
      </w:r>
      <w:r>
        <w:rPr>
          <w:rFonts w:hint="eastAsia" w:cs="宋体"/>
          <w:sz w:val="24"/>
          <w:szCs w:val="24"/>
          <w:highlight w:val="none"/>
        </w:rPr>
        <w:t>第五章评审方法及成交原则</w:t>
      </w:r>
      <w:r>
        <w:rPr>
          <w:sz w:val="24"/>
          <w:szCs w:val="24"/>
          <w:highlight w:val="none"/>
        </w:rPr>
        <w:t>”</w:t>
      </w:r>
      <w:r>
        <w:rPr>
          <w:rFonts w:hint="eastAsia" w:cs="宋体"/>
          <w:sz w:val="24"/>
          <w:szCs w:val="24"/>
          <w:highlight w:val="none"/>
        </w:rPr>
        <w:t>。</w:t>
      </w:r>
    </w:p>
    <w:p>
      <w:pPr>
        <w:spacing w:line="440" w:lineRule="exact"/>
        <w:ind w:firstLine="472" w:firstLineChars="196"/>
        <w:rPr>
          <w:rFonts w:ascii="宋体"/>
          <w:b/>
          <w:bCs/>
          <w:sz w:val="24"/>
          <w:szCs w:val="24"/>
          <w:highlight w:val="none"/>
        </w:rPr>
      </w:pPr>
      <w:r>
        <w:rPr>
          <w:rFonts w:ascii="宋体" w:hAnsi="宋体" w:cs="宋体"/>
          <w:b/>
          <w:bCs/>
          <w:sz w:val="24"/>
          <w:szCs w:val="24"/>
          <w:highlight w:val="none"/>
        </w:rPr>
        <w:t xml:space="preserve">25. </w:t>
      </w:r>
      <w:r>
        <w:rPr>
          <w:rFonts w:hint="eastAsia" w:ascii="宋体" w:hAnsi="宋体" w:cs="宋体"/>
          <w:b/>
          <w:bCs/>
          <w:sz w:val="24"/>
          <w:szCs w:val="24"/>
          <w:highlight w:val="none"/>
        </w:rPr>
        <w:t>评审过程的保密性</w:t>
      </w:r>
    </w:p>
    <w:p>
      <w:pPr>
        <w:spacing w:line="440" w:lineRule="exact"/>
        <w:ind w:firstLine="480" w:firstLineChars="200"/>
        <w:rPr>
          <w:sz w:val="24"/>
          <w:szCs w:val="24"/>
          <w:highlight w:val="none"/>
        </w:rPr>
      </w:pPr>
      <w:r>
        <w:rPr>
          <w:sz w:val="24"/>
          <w:szCs w:val="24"/>
          <w:highlight w:val="none"/>
        </w:rPr>
        <w:t xml:space="preserve">25.1 </w:t>
      </w:r>
      <w:r>
        <w:rPr>
          <w:rFonts w:hint="eastAsia" w:cs="宋体"/>
          <w:sz w:val="24"/>
          <w:szCs w:val="24"/>
          <w:highlight w:val="none"/>
        </w:rPr>
        <w:t>谈判开始之后，凡与审查、澄清、评价和比较有关的资料及评审意见等，均不得向供应商及与评审无关的其他人透露。</w:t>
      </w:r>
    </w:p>
    <w:p>
      <w:pPr>
        <w:spacing w:line="440" w:lineRule="exact"/>
        <w:ind w:firstLine="480" w:firstLineChars="200"/>
        <w:rPr>
          <w:rFonts w:ascii="宋体"/>
          <w:b/>
          <w:bCs/>
          <w:sz w:val="24"/>
          <w:szCs w:val="24"/>
          <w:highlight w:val="none"/>
        </w:rPr>
      </w:pPr>
      <w:r>
        <w:rPr>
          <w:sz w:val="24"/>
          <w:szCs w:val="24"/>
          <w:highlight w:val="none"/>
        </w:rPr>
        <w:t xml:space="preserve">25.2 </w:t>
      </w:r>
      <w:r>
        <w:rPr>
          <w:rFonts w:hint="eastAsia" w:cs="宋体"/>
          <w:sz w:val="24"/>
          <w:szCs w:val="24"/>
          <w:highlight w:val="none"/>
        </w:rPr>
        <w:t>在评审谈判过程中，供应商试图在响应文件审查、澄清、评价和比较及授予采购合同方面向评审小组、采购单位或采购机构施加影响的任何行为，将导致其谈判被拒绝，并由其承担相应的法律责任。</w:t>
      </w:r>
    </w:p>
    <w:p>
      <w:pPr>
        <w:spacing w:line="380" w:lineRule="atLeast"/>
        <w:rPr>
          <w:rFonts w:ascii="宋体"/>
          <w:b/>
          <w:bCs/>
          <w:sz w:val="24"/>
          <w:szCs w:val="24"/>
          <w:highlight w:val="none"/>
        </w:rPr>
      </w:pPr>
    </w:p>
    <w:p>
      <w:pPr>
        <w:spacing w:line="380" w:lineRule="atLeast"/>
        <w:jc w:val="center"/>
        <w:rPr>
          <w:rFonts w:ascii="宋体"/>
          <w:b/>
          <w:bCs/>
          <w:sz w:val="24"/>
          <w:szCs w:val="24"/>
          <w:highlight w:val="none"/>
        </w:rPr>
      </w:pPr>
      <w:r>
        <w:rPr>
          <w:rFonts w:hint="eastAsia" w:ascii="宋体" w:hAnsi="宋体" w:cs="宋体"/>
          <w:b/>
          <w:bCs/>
          <w:sz w:val="24"/>
          <w:szCs w:val="24"/>
          <w:highlight w:val="none"/>
        </w:rPr>
        <w:t>六、采购合同格式</w:t>
      </w:r>
    </w:p>
    <w:p>
      <w:pPr>
        <w:autoSpaceDE w:val="0"/>
        <w:autoSpaceDN w:val="0"/>
        <w:adjustRightInd w:val="0"/>
        <w:spacing w:afterLines="50" w:line="380" w:lineRule="atLeast"/>
        <w:jc w:val="center"/>
        <w:rPr>
          <w:rFonts w:ascii="宋体"/>
          <w:kern w:val="0"/>
          <w:sz w:val="24"/>
          <w:szCs w:val="24"/>
          <w:highlight w:val="none"/>
        </w:rPr>
      </w:pPr>
      <w:r>
        <w:rPr>
          <w:rFonts w:hint="eastAsia" w:ascii="宋体" w:hAnsi="宋体" w:cs="宋体"/>
          <w:kern w:val="0"/>
          <w:sz w:val="24"/>
          <w:szCs w:val="24"/>
          <w:highlight w:val="none"/>
        </w:rPr>
        <w:t>（以实际签订采购合同为准）</w:t>
      </w:r>
    </w:p>
    <w:p>
      <w:pPr>
        <w:spacing w:line="380" w:lineRule="atLeast"/>
        <w:ind w:firstLine="472" w:firstLineChars="196"/>
        <w:jc w:val="left"/>
        <w:rPr>
          <w:rFonts w:ascii="宋体"/>
          <w:b/>
          <w:bCs/>
          <w:sz w:val="24"/>
          <w:szCs w:val="24"/>
          <w:highlight w:val="none"/>
        </w:rPr>
      </w:pPr>
      <w:r>
        <w:rPr>
          <w:rFonts w:hint="eastAsia" w:ascii="宋体" w:hAnsi="宋体" w:cs="宋体"/>
          <w:b/>
          <w:bCs/>
          <w:sz w:val="24"/>
          <w:szCs w:val="24"/>
          <w:highlight w:val="none"/>
        </w:rPr>
        <w:t>采购合同编号：</w:t>
      </w:r>
    </w:p>
    <w:p>
      <w:pPr>
        <w:spacing w:line="380" w:lineRule="atLeast"/>
        <w:ind w:firstLine="472" w:firstLineChars="196"/>
        <w:jc w:val="left"/>
        <w:rPr>
          <w:rFonts w:ascii="宋体"/>
          <w:b/>
          <w:bCs/>
          <w:sz w:val="24"/>
          <w:szCs w:val="24"/>
          <w:highlight w:val="none"/>
        </w:rPr>
      </w:pPr>
      <w:r>
        <w:rPr>
          <w:rFonts w:hint="eastAsia" w:ascii="宋体" w:hAnsi="宋体" w:cs="宋体"/>
          <w:b/>
          <w:bCs/>
          <w:sz w:val="24"/>
          <w:szCs w:val="24"/>
          <w:highlight w:val="none"/>
        </w:rPr>
        <w:t>签订地点：</w:t>
      </w:r>
    </w:p>
    <w:p>
      <w:pPr>
        <w:spacing w:line="380" w:lineRule="atLeast"/>
        <w:ind w:firstLine="470" w:firstLineChars="196"/>
        <w:jc w:val="left"/>
        <w:rPr>
          <w:rFonts w:ascii="宋体"/>
          <w:sz w:val="24"/>
          <w:szCs w:val="24"/>
          <w:highlight w:val="none"/>
        </w:rPr>
      </w:pPr>
      <w:r>
        <w:rPr>
          <w:rFonts w:ascii="宋体" w:hAnsi="宋体" w:cs="宋体"/>
          <w:sz w:val="24"/>
          <w:szCs w:val="24"/>
          <w:highlight w:val="none"/>
          <w:u w:val="single"/>
        </w:rPr>
        <w:t xml:space="preserve">    (</w:t>
      </w:r>
      <w:r>
        <w:rPr>
          <w:rFonts w:hint="eastAsia" w:ascii="宋体" w:hAnsi="宋体" w:cs="宋体"/>
          <w:sz w:val="24"/>
          <w:szCs w:val="24"/>
          <w:highlight w:val="none"/>
          <w:u w:val="single"/>
        </w:rPr>
        <w:t>甲方名称</w:t>
      </w:r>
      <w:r>
        <w:rPr>
          <w:rFonts w:ascii="宋体" w:hAnsi="宋体" w:cs="宋体"/>
          <w:sz w:val="24"/>
          <w:szCs w:val="24"/>
          <w:highlight w:val="none"/>
          <w:u w:val="single"/>
        </w:rPr>
        <w:t xml:space="preserve">)    </w:t>
      </w:r>
      <w:r>
        <w:rPr>
          <w:rFonts w:hint="eastAsia" w:ascii="宋体" w:hAnsi="宋体" w:cs="宋体"/>
          <w:sz w:val="24"/>
          <w:szCs w:val="24"/>
          <w:highlight w:val="none"/>
        </w:rPr>
        <w:t>（以下简称买方）和</w:t>
      </w:r>
      <w:r>
        <w:rPr>
          <w:rFonts w:ascii="宋体" w:hAnsi="宋体" w:cs="宋体"/>
          <w:sz w:val="24"/>
          <w:szCs w:val="24"/>
          <w:highlight w:val="none"/>
          <w:u w:val="single"/>
        </w:rPr>
        <w:t xml:space="preserve">    (</w:t>
      </w:r>
      <w:r>
        <w:rPr>
          <w:rFonts w:hint="eastAsia" w:ascii="宋体" w:hAnsi="宋体" w:cs="宋体"/>
          <w:sz w:val="24"/>
          <w:szCs w:val="24"/>
          <w:highlight w:val="none"/>
          <w:u w:val="single"/>
        </w:rPr>
        <w:t>乙方名称</w:t>
      </w:r>
      <w:r>
        <w:rPr>
          <w:rFonts w:ascii="宋体" w:hAnsi="宋体" w:cs="宋体"/>
          <w:sz w:val="24"/>
          <w:szCs w:val="24"/>
          <w:highlight w:val="none"/>
          <w:u w:val="single"/>
        </w:rPr>
        <w:t xml:space="preserve">)    </w:t>
      </w:r>
      <w:r>
        <w:rPr>
          <w:rFonts w:hint="eastAsia" w:ascii="宋体" w:hAnsi="宋体" w:cs="宋体"/>
          <w:sz w:val="24"/>
          <w:szCs w:val="24"/>
          <w:highlight w:val="none"/>
        </w:rPr>
        <w:t>（以下简称卖方）根据《中华人民共和国合同法》和有关法律法规，遵循平等、自愿、公平和诚实信用原则，同意按照下面的条款和条件订立本采购合同，共同信守。</w:t>
      </w:r>
    </w:p>
    <w:p>
      <w:pPr>
        <w:spacing w:line="360" w:lineRule="atLeast"/>
        <w:ind w:firstLine="472" w:firstLineChars="196"/>
        <w:jc w:val="left"/>
        <w:rPr>
          <w:rFonts w:ascii="宋体"/>
          <w:b/>
          <w:bCs/>
          <w:sz w:val="24"/>
          <w:szCs w:val="24"/>
          <w:highlight w:val="none"/>
        </w:rPr>
      </w:pPr>
      <w:r>
        <w:rPr>
          <w:rFonts w:hint="eastAsia" w:ascii="宋体" w:hAnsi="宋体" w:cs="宋体"/>
          <w:b/>
          <w:bCs/>
          <w:sz w:val="24"/>
          <w:szCs w:val="24"/>
          <w:highlight w:val="none"/>
        </w:rPr>
        <w:t>一、采购合同文件</w:t>
      </w:r>
    </w:p>
    <w:p>
      <w:pPr>
        <w:spacing w:line="360" w:lineRule="atLeast"/>
        <w:ind w:firstLine="470" w:firstLineChars="196"/>
        <w:jc w:val="left"/>
        <w:rPr>
          <w:rFonts w:ascii="宋体"/>
          <w:sz w:val="24"/>
          <w:szCs w:val="24"/>
          <w:highlight w:val="none"/>
        </w:rPr>
      </w:pPr>
      <w:r>
        <w:rPr>
          <w:rFonts w:hint="eastAsia" w:ascii="宋体" w:hAnsi="宋体" w:cs="宋体"/>
          <w:sz w:val="24"/>
          <w:szCs w:val="24"/>
          <w:highlight w:val="none"/>
        </w:rPr>
        <w:t>本采购合同所附下列文件是构成本合同不可分割的部分：</w:t>
      </w:r>
    </w:p>
    <w:p>
      <w:pPr>
        <w:spacing w:line="360" w:lineRule="atLeast"/>
        <w:ind w:firstLine="470" w:firstLineChars="196"/>
        <w:jc w:val="left"/>
        <w:rPr>
          <w:rFonts w:ascii="宋体"/>
          <w:sz w:val="24"/>
          <w:szCs w:val="24"/>
          <w:highlight w:val="none"/>
        </w:rPr>
      </w:pPr>
      <w:r>
        <w:rPr>
          <w:rFonts w:ascii="宋体" w:hAnsi="宋体" w:cs="宋体"/>
          <w:sz w:val="24"/>
          <w:szCs w:val="24"/>
          <w:highlight w:val="none"/>
        </w:rPr>
        <w:t xml:space="preserve">1. </w:t>
      </w:r>
      <w:r>
        <w:rPr>
          <w:rFonts w:hint="eastAsia" w:ascii="宋体" w:hAnsi="宋体" w:cs="宋体"/>
          <w:sz w:val="24"/>
          <w:szCs w:val="24"/>
          <w:highlight w:val="none"/>
        </w:rPr>
        <w:t>采购文件（采购文件编号）；</w:t>
      </w:r>
    </w:p>
    <w:p>
      <w:pPr>
        <w:spacing w:line="360" w:lineRule="atLeast"/>
        <w:ind w:firstLine="480" w:firstLineChars="200"/>
        <w:jc w:val="left"/>
        <w:rPr>
          <w:rFonts w:ascii="宋体"/>
          <w:sz w:val="24"/>
          <w:szCs w:val="24"/>
          <w:highlight w:val="none"/>
        </w:rPr>
      </w:pPr>
      <w:r>
        <w:rPr>
          <w:rFonts w:ascii="宋体" w:hAnsi="宋体" w:cs="宋体"/>
          <w:sz w:val="24"/>
          <w:szCs w:val="24"/>
          <w:highlight w:val="none"/>
        </w:rPr>
        <w:t xml:space="preserve">2. </w:t>
      </w:r>
      <w:r>
        <w:rPr>
          <w:rFonts w:hint="eastAsia" w:ascii="宋体" w:hAnsi="宋体" w:cs="宋体"/>
          <w:sz w:val="24"/>
          <w:szCs w:val="24"/>
          <w:highlight w:val="none"/>
        </w:rPr>
        <w:t>成交供应商提交的谈判响应文件；</w:t>
      </w:r>
    </w:p>
    <w:p>
      <w:pPr>
        <w:spacing w:line="360" w:lineRule="atLeast"/>
        <w:ind w:firstLine="480" w:firstLineChars="200"/>
        <w:jc w:val="left"/>
        <w:rPr>
          <w:rFonts w:ascii="宋体"/>
          <w:sz w:val="24"/>
          <w:szCs w:val="24"/>
          <w:highlight w:val="none"/>
        </w:rPr>
      </w:pPr>
      <w:r>
        <w:rPr>
          <w:rFonts w:ascii="宋体" w:hAnsi="宋体" w:cs="宋体"/>
          <w:sz w:val="24"/>
          <w:szCs w:val="24"/>
          <w:highlight w:val="none"/>
        </w:rPr>
        <w:t xml:space="preserve">3. </w:t>
      </w:r>
      <w:r>
        <w:rPr>
          <w:rFonts w:hint="eastAsia" w:ascii="宋体" w:hAnsi="宋体" w:cs="宋体"/>
          <w:sz w:val="24"/>
          <w:szCs w:val="24"/>
          <w:highlight w:val="none"/>
        </w:rPr>
        <w:t>采购合同专用条款；</w:t>
      </w:r>
    </w:p>
    <w:p>
      <w:pPr>
        <w:spacing w:line="360" w:lineRule="atLeast"/>
        <w:ind w:firstLine="480" w:firstLineChars="200"/>
        <w:jc w:val="left"/>
        <w:rPr>
          <w:rFonts w:ascii="宋体"/>
          <w:sz w:val="24"/>
          <w:szCs w:val="24"/>
          <w:highlight w:val="none"/>
        </w:rPr>
      </w:pPr>
      <w:r>
        <w:rPr>
          <w:rFonts w:ascii="宋体" w:hAnsi="宋体" w:cs="宋体"/>
          <w:sz w:val="24"/>
          <w:szCs w:val="24"/>
          <w:highlight w:val="none"/>
        </w:rPr>
        <w:t xml:space="preserve">4. </w:t>
      </w:r>
      <w:r>
        <w:rPr>
          <w:rFonts w:hint="eastAsia" w:ascii="宋体" w:hAnsi="宋体" w:cs="宋体"/>
          <w:sz w:val="24"/>
          <w:szCs w:val="24"/>
          <w:highlight w:val="none"/>
        </w:rPr>
        <w:t>成交通知书。</w:t>
      </w:r>
    </w:p>
    <w:p>
      <w:pPr>
        <w:spacing w:line="360" w:lineRule="atLeast"/>
        <w:ind w:firstLine="480"/>
        <w:jc w:val="left"/>
        <w:outlineLvl w:val="0"/>
        <w:rPr>
          <w:rFonts w:ascii="宋体"/>
          <w:b/>
          <w:bCs/>
          <w:sz w:val="24"/>
          <w:szCs w:val="24"/>
          <w:highlight w:val="none"/>
        </w:rPr>
      </w:pPr>
      <w:r>
        <w:rPr>
          <w:rFonts w:hint="eastAsia" w:ascii="宋体" w:hAnsi="宋体" w:cs="宋体"/>
          <w:b/>
          <w:bCs/>
          <w:sz w:val="24"/>
          <w:szCs w:val="24"/>
          <w:highlight w:val="none"/>
        </w:rPr>
        <w:t>二、采购合同范围和条件</w:t>
      </w:r>
    </w:p>
    <w:p>
      <w:pPr>
        <w:spacing w:line="360" w:lineRule="atLeast"/>
        <w:ind w:firstLine="470" w:firstLineChars="196"/>
        <w:jc w:val="left"/>
        <w:rPr>
          <w:rFonts w:ascii="宋体"/>
          <w:sz w:val="24"/>
          <w:szCs w:val="24"/>
          <w:highlight w:val="none"/>
        </w:rPr>
      </w:pPr>
      <w:r>
        <w:rPr>
          <w:rFonts w:hint="eastAsia" w:ascii="宋体" w:hAnsi="宋体" w:cs="宋体"/>
          <w:sz w:val="24"/>
          <w:szCs w:val="24"/>
          <w:highlight w:val="none"/>
        </w:rPr>
        <w:t>本采购合同的范围和条件与上述采购合同文件的规定相一致。</w:t>
      </w:r>
    </w:p>
    <w:p>
      <w:pPr>
        <w:spacing w:line="360" w:lineRule="atLeast"/>
        <w:ind w:firstLine="480"/>
        <w:jc w:val="left"/>
        <w:outlineLvl w:val="0"/>
        <w:rPr>
          <w:rFonts w:ascii="宋体"/>
          <w:b/>
          <w:bCs/>
          <w:sz w:val="24"/>
          <w:szCs w:val="24"/>
          <w:highlight w:val="none"/>
        </w:rPr>
      </w:pPr>
      <w:r>
        <w:rPr>
          <w:rFonts w:hint="eastAsia" w:ascii="宋体" w:hAnsi="宋体" w:cs="宋体"/>
          <w:b/>
          <w:bCs/>
          <w:sz w:val="24"/>
          <w:szCs w:val="24"/>
          <w:highlight w:val="none"/>
        </w:rPr>
        <w:t>三、采购合同标的</w:t>
      </w:r>
    </w:p>
    <w:p>
      <w:pPr>
        <w:spacing w:line="360" w:lineRule="atLeast"/>
        <w:ind w:firstLine="480" w:firstLineChars="200"/>
        <w:jc w:val="left"/>
        <w:rPr>
          <w:rFonts w:ascii="宋体"/>
          <w:sz w:val="24"/>
          <w:szCs w:val="24"/>
          <w:highlight w:val="none"/>
        </w:rPr>
      </w:pPr>
      <w:r>
        <w:rPr>
          <w:rFonts w:hint="eastAsia" w:ascii="宋体" w:hAnsi="宋体" w:cs="宋体"/>
          <w:sz w:val="24"/>
          <w:szCs w:val="24"/>
          <w:highlight w:val="none"/>
        </w:rPr>
        <w:t>本采购合同的标的为采购合同货物清单中所列货物及相关服务。</w:t>
      </w:r>
    </w:p>
    <w:p>
      <w:pPr>
        <w:spacing w:line="360" w:lineRule="atLeast"/>
        <w:ind w:firstLine="480"/>
        <w:jc w:val="left"/>
        <w:outlineLvl w:val="0"/>
        <w:rPr>
          <w:rFonts w:ascii="宋体"/>
          <w:b/>
          <w:bCs/>
          <w:sz w:val="24"/>
          <w:szCs w:val="24"/>
          <w:highlight w:val="none"/>
        </w:rPr>
      </w:pPr>
      <w:r>
        <w:rPr>
          <w:rFonts w:hint="eastAsia" w:ascii="宋体" w:hAnsi="宋体" w:cs="宋体"/>
          <w:b/>
          <w:bCs/>
          <w:sz w:val="24"/>
          <w:szCs w:val="24"/>
          <w:highlight w:val="none"/>
        </w:rPr>
        <w:t>四、采购合同金额</w:t>
      </w:r>
    </w:p>
    <w:p>
      <w:pPr>
        <w:spacing w:line="360" w:lineRule="atLeast"/>
        <w:ind w:firstLine="480"/>
        <w:jc w:val="left"/>
        <w:outlineLvl w:val="0"/>
        <w:rPr>
          <w:rFonts w:ascii="宋体"/>
          <w:sz w:val="24"/>
          <w:szCs w:val="24"/>
          <w:highlight w:val="none"/>
        </w:rPr>
      </w:pPr>
      <w:r>
        <w:rPr>
          <w:rFonts w:hint="eastAsia" w:ascii="宋体" w:hAnsi="宋体" w:cs="宋体"/>
          <w:sz w:val="24"/>
          <w:szCs w:val="24"/>
          <w:highlight w:val="none"/>
        </w:rPr>
        <w:t>根据上述采购合同文件要求，采购合同的总金额为人民币（大写）元，（小写）￥：元。</w:t>
      </w:r>
    </w:p>
    <w:p>
      <w:pPr>
        <w:spacing w:line="360" w:lineRule="atLeast"/>
        <w:ind w:firstLine="482" w:firstLineChars="200"/>
        <w:jc w:val="left"/>
        <w:outlineLvl w:val="0"/>
        <w:rPr>
          <w:rFonts w:ascii="宋体"/>
          <w:b/>
          <w:bCs/>
          <w:sz w:val="24"/>
          <w:szCs w:val="24"/>
          <w:highlight w:val="none"/>
        </w:rPr>
      </w:pPr>
      <w:r>
        <w:rPr>
          <w:rFonts w:hint="eastAsia" w:ascii="宋体" w:hAnsi="宋体" w:cs="宋体"/>
          <w:b/>
          <w:bCs/>
          <w:sz w:val="24"/>
          <w:szCs w:val="24"/>
          <w:highlight w:val="none"/>
        </w:rPr>
        <w:t>五、付款条件、交货时间和交货地点</w:t>
      </w:r>
    </w:p>
    <w:p>
      <w:pPr>
        <w:spacing w:line="360" w:lineRule="atLeast"/>
        <w:ind w:firstLine="480" w:firstLineChars="200"/>
        <w:jc w:val="left"/>
        <w:outlineLvl w:val="0"/>
        <w:rPr>
          <w:rFonts w:ascii="宋体"/>
          <w:sz w:val="24"/>
          <w:szCs w:val="24"/>
          <w:highlight w:val="none"/>
        </w:rPr>
      </w:pPr>
      <w:r>
        <w:rPr>
          <w:rFonts w:hint="eastAsia" w:ascii="宋体" w:hAnsi="宋体" w:cs="宋体"/>
          <w:sz w:val="24"/>
          <w:szCs w:val="24"/>
          <w:highlight w:val="none"/>
        </w:rPr>
        <w:t>本采购合同货物的付款条件、交货时间和交货地点以采购文件第六章“采购合同专用条款”中的规定为准。</w:t>
      </w:r>
    </w:p>
    <w:p>
      <w:pPr>
        <w:spacing w:line="360" w:lineRule="atLeast"/>
        <w:ind w:firstLine="482" w:firstLineChars="200"/>
        <w:jc w:val="left"/>
        <w:outlineLvl w:val="0"/>
        <w:rPr>
          <w:rFonts w:ascii="宋体"/>
          <w:b/>
          <w:bCs/>
          <w:sz w:val="24"/>
          <w:szCs w:val="24"/>
          <w:highlight w:val="none"/>
        </w:rPr>
      </w:pPr>
      <w:r>
        <w:rPr>
          <w:rFonts w:hint="eastAsia" w:ascii="宋体" w:hAnsi="宋体" w:cs="宋体"/>
          <w:b/>
          <w:bCs/>
          <w:sz w:val="24"/>
          <w:szCs w:val="24"/>
          <w:highlight w:val="none"/>
        </w:rPr>
        <w:t>六、采购合同生效</w:t>
      </w:r>
    </w:p>
    <w:p>
      <w:pPr>
        <w:spacing w:line="360" w:lineRule="atLeast"/>
        <w:ind w:firstLine="480" w:firstLineChars="200"/>
        <w:jc w:val="left"/>
        <w:outlineLvl w:val="0"/>
        <w:rPr>
          <w:rFonts w:ascii="宋体"/>
          <w:sz w:val="24"/>
          <w:szCs w:val="24"/>
          <w:highlight w:val="none"/>
        </w:rPr>
      </w:pPr>
      <w:r>
        <w:rPr>
          <w:rFonts w:hint="eastAsia" w:ascii="宋体" w:hAnsi="宋体" w:cs="宋体"/>
          <w:sz w:val="24"/>
          <w:szCs w:val="24"/>
          <w:highlight w:val="none"/>
        </w:rPr>
        <w:t>本采购合同经双方授权代表签字盖章后生效。</w:t>
      </w:r>
    </w:p>
    <w:p>
      <w:pPr>
        <w:spacing w:line="360" w:lineRule="atLeast"/>
        <w:ind w:firstLine="482" w:firstLineChars="200"/>
        <w:jc w:val="left"/>
        <w:outlineLvl w:val="0"/>
        <w:rPr>
          <w:rFonts w:ascii="宋体"/>
          <w:b/>
          <w:bCs/>
          <w:sz w:val="24"/>
          <w:szCs w:val="24"/>
          <w:highlight w:val="none"/>
        </w:rPr>
      </w:pPr>
      <w:r>
        <w:rPr>
          <w:rFonts w:hint="eastAsia" w:ascii="宋体" w:hAnsi="宋体" w:cs="宋体"/>
          <w:b/>
          <w:bCs/>
          <w:sz w:val="24"/>
          <w:szCs w:val="24"/>
          <w:highlight w:val="none"/>
        </w:rPr>
        <w:t>七、采购合同份数</w:t>
      </w:r>
    </w:p>
    <w:p>
      <w:pPr>
        <w:spacing w:line="360" w:lineRule="atLeast"/>
        <w:ind w:firstLine="480" w:firstLineChars="200"/>
        <w:jc w:val="left"/>
        <w:outlineLvl w:val="0"/>
        <w:rPr>
          <w:rFonts w:ascii="宋体"/>
          <w:sz w:val="24"/>
          <w:szCs w:val="24"/>
          <w:highlight w:val="none"/>
        </w:rPr>
      </w:pPr>
      <w:r>
        <w:rPr>
          <w:rFonts w:hint="eastAsia" w:ascii="宋体" w:hAnsi="宋体" w:cs="宋体"/>
          <w:sz w:val="24"/>
          <w:szCs w:val="24"/>
          <w:highlight w:val="none"/>
        </w:rPr>
        <w:t>本合同一式三份，以中文书就，具备同等法律效力。买卖双方、采购代理机构各执一份。</w:t>
      </w:r>
    </w:p>
    <w:p>
      <w:pPr>
        <w:spacing w:line="360" w:lineRule="atLeast"/>
        <w:ind w:firstLine="482" w:firstLineChars="200"/>
        <w:jc w:val="left"/>
        <w:rPr>
          <w:rFonts w:ascii="宋体"/>
          <w:b/>
          <w:bCs/>
          <w:sz w:val="24"/>
          <w:szCs w:val="24"/>
          <w:highlight w:val="none"/>
        </w:rPr>
      </w:pPr>
      <w:r>
        <w:rPr>
          <w:rFonts w:hint="eastAsia" w:ascii="宋体" w:hAnsi="宋体" w:cs="宋体"/>
          <w:b/>
          <w:bCs/>
          <w:sz w:val="24"/>
          <w:szCs w:val="24"/>
          <w:highlight w:val="none"/>
        </w:rPr>
        <w:t>签约方：</w:t>
      </w:r>
    </w:p>
    <w:p>
      <w:pPr>
        <w:spacing w:line="360" w:lineRule="atLeast"/>
        <w:ind w:firstLine="480" w:firstLineChars="200"/>
        <w:jc w:val="left"/>
        <w:rPr>
          <w:rFonts w:ascii="宋体"/>
          <w:sz w:val="24"/>
          <w:szCs w:val="24"/>
          <w:highlight w:val="none"/>
        </w:rPr>
      </w:pPr>
      <w:r>
        <w:rPr>
          <w:rFonts w:hint="eastAsia" w:ascii="宋体" w:hAnsi="宋体" w:cs="宋体"/>
          <w:sz w:val="24"/>
          <w:szCs w:val="24"/>
          <w:highlight w:val="none"/>
        </w:rPr>
        <w:t>甲方（公章）：</w:t>
      </w:r>
      <w:r>
        <w:rPr>
          <w:rFonts w:ascii="宋体" w:hAnsi="宋体" w:cs="宋体"/>
          <w:sz w:val="24"/>
          <w:szCs w:val="24"/>
          <w:highlight w:val="none"/>
        </w:rPr>
        <w:t xml:space="preserve">                         </w:t>
      </w:r>
      <w:r>
        <w:rPr>
          <w:rFonts w:hint="eastAsia" w:ascii="宋体" w:hAnsi="宋体" w:cs="宋体"/>
          <w:sz w:val="24"/>
          <w:szCs w:val="24"/>
          <w:highlight w:val="none"/>
        </w:rPr>
        <w:t>乙方</w:t>
      </w:r>
      <w:r>
        <w:rPr>
          <w:rFonts w:ascii="宋体" w:hAnsi="宋体" w:cs="宋体"/>
          <w:sz w:val="24"/>
          <w:szCs w:val="24"/>
          <w:highlight w:val="none"/>
        </w:rPr>
        <w:t>(</w:t>
      </w:r>
      <w:r>
        <w:rPr>
          <w:rFonts w:hint="eastAsia" w:ascii="宋体" w:hAnsi="宋体" w:cs="宋体"/>
          <w:sz w:val="24"/>
          <w:szCs w:val="24"/>
          <w:highlight w:val="none"/>
        </w:rPr>
        <w:t>公章</w:t>
      </w:r>
      <w:r>
        <w:rPr>
          <w:rFonts w:ascii="宋体" w:hAnsi="宋体" w:cs="宋体"/>
          <w:sz w:val="24"/>
          <w:szCs w:val="24"/>
          <w:highlight w:val="none"/>
        </w:rPr>
        <w:t>)</w:t>
      </w:r>
      <w:r>
        <w:rPr>
          <w:rFonts w:hint="eastAsia" w:ascii="宋体" w:hAnsi="宋体" w:cs="宋体"/>
          <w:sz w:val="24"/>
          <w:szCs w:val="24"/>
          <w:highlight w:val="none"/>
        </w:rPr>
        <w:t>：</w:t>
      </w:r>
    </w:p>
    <w:p>
      <w:pPr>
        <w:spacing w:line="360" w:lineRule="atLeast"/>
        <w:ind w:firstLine="480" w:firstLineChars="200"/>
        <w:jc w:val="left"/>
        <w:rPr>
          <w:rFonts w:ascii="宋体"/>
          <w:sz w:val="24"/>
          <w:szCs w:val="24"/>
          <w:highlight w:val="none"/>
        </w:rPr>
      </w:pPr>
      <w:r>
        <w:rPr>
          <w:rFonts w:hint="eastAsia" w:ascii="宋体" w:hAnsi="宋体" w:cs="宋体"/>
          <w:sz w:val="24"/>
          <w:szCs w:val="24"/>
          <w:highlight w:val="none"/>
        </w:rPr>
        <w:t>法定代表人（代表人）或授权代表</w:t>
      </w:r>
      <w:r>
        <w:rPr>
          <w:rFonts w:ascii="宋体" w:hAnsi="宋体" w:cs="宋体"/>
          <w:sz w:val="24"/>
          <w:szCs w:val="24"/>
          <w:highlight w:val="none"/>
        </w:rPr>
        <w:t>(</w:t>
      </w:r>
      <w:r>
        <w:rPr>
          <w:rFonts w:hint="eastAsia" w:ascii="宋体" w:hAnsi="宋体" w:cs="宋体"/>
          <w:sz w:val="24"/>
          <w:szCs w:val="24"/>
          <w:highlight w:val="none"/>
        </w:rPr>
        <w:t>签字</w:t>
      </w:r>
      <w:r>
        <w:rPr>
          <w:rFonts w:ascii="宋体" w:hAnsi="宋体" w:cs="宋体"/>
          <w:sz w:val="24"/>
          <w:szCs w:val="24"/>
          <w:highlight w:val="none"/>
        </w:rPr>
        <w:t>)</w:t>
      </w: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法定代表人（代表人）或授权代表</w:t>
      </w:r>
      <w:r>
        <w:rPr>
          <w:rFonts w:ascii="宋体" w:hAnsi="宋体" w:cs="宋体"/>
          <w:sz w:val="24"/>
          <w:szCs w:val="24"/>
          <w:highlight w:val="none"/>
        </w:rPr>
        <w:t>(</w:t>
      </w:r>
      <w:r>
        <w:rPr>
          <w:rFonts w:hint="eastAsia" w:ascii="宋体" w:hAnsi="宋体" w:cs="宋体"/>
          <w:sz w:val="24"/>
          <w:szCs w:val="24"/>
          <w:highlight w:val="none"/>
        </w:rPr>
        <w:t>签字</w:t>
      </w:r>
      <w:r>
        <w:rPr>
          <w:rFonts w:ascii="宋体" w:hAnsi="宋体" w:cs="宋体"/>
          <w:sz w:val="24"/>
          <w:szCs w:val="24"/>
          <w:highlight w:val="none"/>
        </w:rPr>
        <w:t>)</w:t>
      </w:r>
      <w:r>
        <w:rPr>
          <w:rFonts w:hint="eastAsia" w:ascii="宋体" w:hAnsi="宋体" w:cs="宋体"/>
          <w:sz w:val="24"/>
          <w:szCs w:val="24"/>
          <w:highlight w:val="none"/>
        </w:rPr>
        <w:t>：</w:t>
      </w:r>
    </w:p>
    <w:p>
      <w:pPr>
        <w:spacing w:line="360" w:lineRule="atLeast"/>
        <w:ind w:firstLine="480" w:firstLineChars="200"/>
        <w:rPr>
          <w:rFonts w:ascii="宋体"/>
          <w:sz w:val="24"/>
          <w:szCs w:val="24"/>
          <w:highlight w:val="none"/>
        </w:rPr>
      </w:pPr>
      <w:r>
        <w:rPr>
          <w:rFonts w:hint="eastAsia" w:ascii="宋体" w:hAnsi="宋体" w:cs="宋体"/>
          <w:sz w:val="24"/>
          <w:szCs w:val="24"/>
          <w:highlight w:val="none"/>
        </w:rPr>
        <w:t>开户银行：</w:t>
      </w:r>
      <w:r>
        <w:rPr>
          <w:rFonts w:ascii="宋体" w:hAnsi="宋体" w:cs="宋体"/>
          <w:sz w:val="24"/>
          <w:szCs w:val="24"/>
          <w:highlight w:val="none"/>
        </w:rPr>
        <w:t xml:space="preserve">                             </w:t>
      </w:r>
      <w:r>
        <w:rPr>
          <w:rFonts w:hint="eastAsia" w:ascii="宋体" w:hAnsi="宋体" w:cs="宋体"/>
          <w:sz w:val="24"/>
          <w:szCs w:val="24"/>
          <w:highlight w:val="none"/>
        </w:rPr>
        <w:t>开户银行：</w:t>
      </w:r>
    </w:p>
    <w:p>
      <w:pPr>
        <w:spacing w:line="360" w:lineRule="atLeast"/>
        <w:ind w:firstLine="480" w:firstLineChars="200"/>
        <w:rPr>
          <w:rFonts w:ascii="宋体"/>
          <w:sz w:val="24"/>
          <w:szCs w:val="24"/>
          <w:highlight w:val="none"/>
        </w:rPr>
      </w:pPr>
      <w:r>
        <w:rPr>
          <w:rFonts w:hint="eastAsia" w:ascii="宋体" w:hAnsi="宋体" w:cs="宋体"/>
          <w:sz w:val="24"/>
          <w:szCs w:val="24"/>
          <w:highlight w:val="none"/>
        </w:rPr>
        <w:t>银行账号：</w:t>
      </w:r>
      <w:r>
        <w:rPr>
          <w:rFonts w:ascii="宋体" w:hAnsi="宋体" w:cs="宋体"/>
          <w:sz w:val="24"/>
          <w:szCs w:val="24"/>
          <w:highlight w:val="none"/>
        </w:rPr>
        <w:t xml:space="preserve">                             </w:t>
      </w:r>
      <w:r>
        <w:rPr>
          <w:rFonts w:hint="eastAsia" w:ascii="宋体" w:hAnsi="宋体" w:cs="宋体"/>
          <w:sz w:val="24"/>
          <w:szCs w:val="24"/>
          <w:highlight w:val="none"/>
        </w:rPr>
        <w:t>银行账号：</w:t>
      </w:r>
    </w:p>
    <w:p>
      <w:pPr>
        <w:spacing w:line="360" w:lineRule="atLeast"/>
        <w:ind w:firstLine="600" w:firstLineChars="250"/>
        <w:rPr>
          <w:rFonts w:ascii="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p>
      <w:pPr>
        <w:spacing w:after="50" w:line="320" w:lineRule="exact"/>
        <w:jc w:val="left"/>
        <w:rPr>
          <w:rFonts w:ascii="宋体"/>
          <w:b/>
          <w:bCs/>
          <w:sz w:val="28"/>
          <w:szCs w:val="28"/>
          <w:highlight w:val="none"/>
        </w:rPr>
      </w:pPr>
      <w:r>
        <w:rPr>
          <w:rFonts w:ascii="宋体"/>
          <w:sz w:val="24"/>
          <w:szCs w:val="24"/>
          <w:highlight w:val="none"/>
        </w:rPr>
        <w:br w:type="page"/>
      </w:r>
      <w:r>
        <w:rPr>
          <w:rFonts w:hint="eastAsia" w:ascii="宋体" w:hAnsi="宋体" w:cs="宋体"/>
          <w:b/>
          <w:bCs/>
          <w:sz w:val="28"/>
          <w:szCs w:val="28"/>
          <w:highlight w:val="none"/>
        </w:rPr>
        <w:t>附件</w:t>
      </w:r>
      <w:r>
        <w:rPr>
          <w:rFonts w:ascii="宋体" w:hAnsi="宋体" w:cs="宋体"/>
          <w:b/>
          <w:bCs/>
          <w:sz w:val="28"/>
          <w:szCs w:val="28"/>
          <w:highlight w:val="none"/>
        </w:rPr>
        <w:t>2</w:t>
      </w:r>
    </w:p>
    <w:p>
      <w:pPr>
        <w:spacing w:after="50" w:line="320" w:lineRule="exact"/>
        <w:jc w:val="center"/>
        <w:rPr>
          <w:rFonts w:ascii="宋体"/>
          <w:b/>
          <w:bCs/>
          <w:kern w:val="0"/>
          <w:sz w:val="28"/>
          <w:szCs w:val="28"/>
          <w:highlight w:val="none"/>
        </w:rPr>
      </w:pPr>
      <w:r>
        <w:rPr>
          <w:rFonts w:ascii="宋体" w:hAnsi="宋体" w:cs="宋体"/>
          <w:b/>
          <w:bCs/>
          <w:sz w:val="28"/>
          <w:szCs w:val="28"/>
          <w:highlight w:val="none"/>
        </w:rPr>
        <w:t xml:space="preserve"> </w:t>
      </w:r>
      <w:r>
        <w:rPr>
          <w:rFonts w:hint="eastAsia" w:ascii="宋体" w:hAnsi="宋体" w:cs="宋体"/>
          <w:b/>
          <w:bCs/>
          <w:sz w:val="28"/>
          <w:szCs w:val="28"/>
          <w:highlight w:val="none"/>
        </w:rPr>
        <w:t>谈判响应文件格式</w:t>
      </w:r>
    </w:p>
    <w:p>
      <w:pPr>
        <w:spacing w:line="480" w:lineRule="exact"/>
        <w:ind w:left="1"/>
        <w:rPr>
          <w:rFonts w:ascii="宋体"/>
          <w:kern w:val="0"/>
          <w:sz w:val="28"/>
          <w:szCs w:val="28"/>
          <w:highlight w:val="none"/>
        </w:rPr>
      </w:pPr>
      <w:r>
        <w:rPr>
          <w:rFonts w:hint="eastAsia" w:ascii="宋体" w:hAnsi="宋体" w:cs="宋体"/>
          <w:kern w:val="0"/>
          <w:sz w:val="28"/>
          <w:szCs w:val="28"/>
          <w:highlight w:val="none"/>
        </w:rPr>
        <w:t>注：</w:t>
      </w:r>
    </w:p>
    <w:p>
      <w:pPr>
        <w:spacing w:line="480" w:lineRule="exact"/>
        <w:ind w:left="1" w:firstLine="537" w:firstLineChars="192"/>
        <w:rPr>
          <w:rFonts w:ascii="宋体"/>
          <w:kern w:val="0"/>
          <w:sz w:val="28"/>
          <w:szCs w:val="28"/>
          <w:highlight w:val="none"/>
        </w:rPr>
      </w:pPr>
      <w:r>
        <w:rPr>
          <w:rFonts w:ascii="宋体" w:hAnsi="宋体" w:cs="宋体"/>
          <w:kern w:val="0"/>
          <w:sz w:val="28"/>
          <w:szCs w:val="28"/>
          <w:highlight w:val="none"/>
        </w:rPr>
        <w:t>1.</w:t>
      </w:r>
      <w:r>
        <w:rPr>
          <w:rFonts w:hint="eastAsia" w:ascii="宋体" w:hAnsi="宋体" w:cs="宋体"/>
          <w:kern w:val="0"/>
          <w:sz w:val="28"/>
          <w:szCs w:val="28"/>
          <w:highlight w:val="none"/>
        </w:rPr>
        <w:t>以下的谈判响应文件格式为通用的格式，供应商在制作谈判响应文件时应以“第三章谈判响应文件内容”的要求为准，选择相应的文件格式。</w:t>
      </w:r>
    </w:p>
    <w:p>
      <w:pPr>
        <w:spacing w:line="480" w:lineRule="exact"/>
        <w:ind w:left="1" w:firstLine="537" w:firstLineChars="192"/>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对于给定格式的，需按照给定的格式进行填报；没有给定格式的，供应商可以自行设计。</w:t>
      </w:r>
    </w:p>
    <w:p>
      <w:pPr>
        <w:spacing w:line="480" w:lineRule="exact"/>
        <w:rPr>
          <w:rFonts w:ascii="宋体"/>
          <w:b/>
          <w:bCs/>
          <w:kern w:val="0"/>
          <w:sz w:val="24"/>
          <w:szCs w:val="24"/>
          <w:highlight w:val="none"/>
        </w:rPr>
      </w:pPr>
      <w:r>
        <w:rPr>
          <w:rFonts w:ascii="宋体"/>
          <w:b/>
          <w:bCs/>
          <w:kern w:val="0"/>
          <w:sz w:val="28"/>
          <w:szCs w:val="28"/>
          <w:highlight w:val="none"/>
        </w:rPr>
        <w:br w:type="page"/>
      </w:r>
      <w:r>
        <w:rPr>
          <w:rFonts w:hint="eastAsia" w:ascii="宋体" w:hAnsi="宋体" w:cs="宋体"/>
          <w:b/>
          <w:bCs/>
          <w:position w:val="6"/>
          <w:sz w:val="24"/>
          <w:szCs w:val="24"/>
          <w:highlight w:val="none"/>
        </w:rPr>
        <w:t>格式</w:t>
      </w:r>
      <w:r>
        <w:rPr>
          <w:rFonts w:ascii="宋体" w:hAnsi="宋体" w:cs="宋体"/>
          <w:b/>
          <w:bCs/>
          <w:position w:val="6"/>
          <w:sz w:val="24"/>
          <w:szCs w:val="24"/>
          <w:highlight w:val="none"/>
        </w:rPr>
        <w:t>1</w:t>
      </w:r>
    </w:p>
    <w:p>
      <w:pPr>
        <w:spacing w:line="480" w:lineRule="exact"/>
        <w:jc w:val="left"/>
        <w:rPr>
          <w:rFonts w:ascii="Lucida Sans Unicode" w:hAnsi="Lucida Sans Unicode" w:cs="Lucida Sans Unicode"/>
          <w:b/>
          <w:bCs/>
          <w:highlight w:val="none"/>
        </w:rPr>
      </w:pPr>
      <w:r>
        <w:rPr>
          <w:rFonts w:hint="eastAsia" w:ascii="宋体" w:hAnsi="宋体" w:cs="宋体"/>
          <w:b/>
          <w:bCs/>
          <w:kern w:val="0"/>
          <w:sz w:val="24"/>
          <w:szCs w:val="24"/>
          <w:highlight w:val="none"/>
        </w:rPr>
        <w:t>注：请供应商使用此页格式作为所编写谈判响应文件的封皮。</w:t>
      </w:r>
    </w:p>
    <w:p>
      <w:pPr>
        <w:spacing w:line="480" w:lineRule="exact"/>
        <w:rPr>
          <w:rFonts w:ascii="Lucida Sans Unicode" w:hAnsi="Lucida Sans Unicode" w:cs="Lucida Sans Unicode"/>
          <w:b/>
          <w:bCs/>
          <w:highlight w:val="none"/>
        </w:rPr>
      </w:pPr>
    </w:p>
    <w:p>
      <w:pPr>
        <w:pStyle w:val="21"/>
        <w:spacing w:beforeLines="100" w:afterLines="100" w:line="600" w:lineRule="exact"/>
        <w:jc w:val="right"/>
        <w:rPr>
          <w:rFonts w:cs="Times New Roman"/>
          <w:b/>
          <w:bCs/>
          <w:sz w:val="32"/>
          <w:szCs w:val="32"/>
          <w:highlight w:val="none"/>
        </w:rPr>
      </w:pPr>
      <w:r>
        <w:rPr>
          <w:rFonts w:hint="eastAsia"/>
          <w:b/>
          <w:bCs/>
          <w:sz w:val="32"/>
          <w:szCs w:val="32"/>
          <w:highlight w:val="none"/>
          <w:bdr w:val="single" w:color="auto" w:sz="4" w:space="0"/>
        </w:rPr>
        <w:t>正本</w:t>
      </w:r>
      <w:r>
        <w:rPr>
          <w:b/>
          <w:bCs/>
          <w:sz w:val="32"/>
          <w:szCs w:val="32"/>
          <w:highlight w:val="none"/>
          <w:bdr w:val="single" w:color="auto" w:sz="4" w:space="0"/>
        </w:rPr>
        <w:t>/</w:t>
      </w:r>
      <w:r>
        <w:rPr>
          <w:rFonts w:hint="eastAsia"/>
          <w:b/>
          <w:bCs/>
          <w:sz w:val="32"/>
          <w:szCs w:val="32"/>
          <w:highlight w:val="none"/>
          <w:bdr w:val="single" w:color="auto" w:sz="4" w:space="0"/>
        </w:rPr>
        <w:t>副本</w:t>
      </w:r>
    </w:p>
    <w:p>
      <w:pPr>
        <w:pStyle w:val="21"/>
        <w:spacing w:beforeLines="100" w:afterLines="100" w:line="600" w:lineRule="exact"/>
        <w:rPr>
          <w:rFonts w:cs="Times New Roman"/>
          <w:b/>
          <w:bCs/>
          <w:sz w:val="44"/>
          <w:szCs w:val="44"/>
          <w:highlight w:val="none"/>
        </w:rPr>
      </w:pPr>
      <w:r>
        <w:rPr>
          <w:rFonts w:hAnsi="宋体"/>
          <w:b/>
          <w:bCs/>
          <w:sz w:val="40"/>
          <w:szCs w:val="40"/>
          <w:highlight w:val="none"/>
          <w:u w:val="single"/>
        </w:rPr>
        <w:t xml:space="preserve">                                   </w:t>
      </w:r>
      <w:r>
        <w:rPr>
          <w:rFonts w:hint="eastAsia" w:hAnsi="宋体"/>
          <w:b/>
          <w:bCs/>
          <w:sz w:val="40"/>
          <w:szCs w:val="40"/>
          <w:highlight w:val="none"/>
        </w:rPr>
        <w:t>项目名称</w:t>
      </w:r>
      <w:r>
        <w:rPr>
          <w:rFonts w:hAnsi="宋体"/>
          <w:b/>
          <w:bCs/>
          <w:sz w:val="40"/>
          <w:szCs w:val="40"/>
          <w:highlight w:val="none"/>
        </w:rPr>
        <w:t xml:space="preserve"> </w:t>
      </w:r>
    </w:p>
    <w:p>
      <w:pPr>
        <w:pStyle w:val="21"/>
        <w:spacing w:beforeLines="100" w:afterLines="100"/>
        <w:jc w:val="center"/>
        <w:rPr>
          <w:rFonts w:cs="Times New Roman"/>
          <w:b/>
          <w:bCs/>
          <w:sz w:val="84"/>
          <w:szCs w:val="84"/>
          <w:highlight w:val="none"/>
        </w:rPr>
      </w:pPr>
    </w:p>
    <w:p>
      <w:pPr>
        <w:pStyle w:val="21"/>
        <w:spacing w:beforeLines="100" w:afterLines="100"/>
        <w:jc w:val="center"/>
        <w:rPr>
          <w:rFonts w:cs="Times New Roman"/>
          <w:b/>
          <w:bCs/>
          <w:sz w:val="84"/>
          <w:szCs w:val="84"/>
          <w:highlight w:val="none"/>
        </w:rPr>
      </w:pPr>
      <w:r>
        <w:rPr>
          <w:rFonts w:hint="eastAsia"/>
          <w:b/>
          <w:bCs/>
          <w:sz w:val="84"/>
          <w:szCs w:val="84"/>
          <w:highlight w:val="none"/>
        </w:rPr>
        <w:t>谈判响应文件</w:t>
      </w:r>
    </w:p>
    <w:p>
      <w:pPr>
        <w:pStyle w:val="21"/>
        <w:spacing w:beforeLines="100" w:afterLines="100"/>
        <w:rPr>
          <w:b/>
          <w:bCs/>
          <w:sz w:val="36"/>
          <w:szCs w:val="36"/>
          <w:highlight w:val="none"/>
        </w:rPr>
      </w:pPr>
      <w:r>
        <w:rPr>
          <w:b/>
          <w:bCs/>
          <w:sz w:val="36"/>
          <w:szCs w:val="36"/>
          <w:highlight w:val="none"/>
        </w:rPr>
        <w:t xml:space="preserve">          </w:t>
      </w:r>
    </w:p>
    <w:p>
      <w:pPr>
        <w:pStyle w:val="21"/>
        <w:spacing w:beforeLines="100" w:afterLines="100"/>
        <w:rPr>
          <w:b/>
          <w:bCs/>
          <w:sz w:val="36"/>
          <w:szCs w:val="36"/>
          <w:highlight w:val="none"/>
        </w:rPr>
      </w:pPr>
    </w:p>
    <w:p>
      <w:pPr>
        <w:pStyle w:val="21"/>
        <w:spacing w:beforeLines="100" w:afterLines="100"/>
        <w:jc w:val="center"/>
        <w:rPr>
          <w:rFonts w:cs="Times New Roman"/>
          <w:b/>
          <w:bCs/>
          <w:sz w:val="36"/>
          <w:szCs w:val="36"/>
          <w:highlight w:val="none"/>
        </w:rPr>
      </w:pPr>
      <w:r>
        <w:rPr>
          <w:rFonts w:hint="eastAsia"/>
          <w:b/>
          <w:bCs/>
          <w:sz w:val="36"/>
          <w:szCs w:val="36"/>
          <w:highlight w:val="none"/>
        </w:rPr>
        <w:t>招标编号：</w:t>
      </w:r>
    </w:p>
    <w:p>
      <w:pPr>
        <w:pStyle w:val="21"/>
        <w:spacing w:beforeLines="100" w:afterLines="100"/>
        <w:jc w:val="center"/>
        <w:rPr>
          <w:rFonts w:cs="Times New Roman"/>
          <w:b/>
          <w:bCs/>
          <w:sz w:val="36"/>
          <w:szCs w:val="36"/>
          <w:highlight w:val="none"/>
        </w:rPr>
      </w:pPr>
      <w:r>
        <w:rPr>
          <w:rFonts w:hint="eastAsia"/>
          <w:b/>
          <w:bCs/>
          <w:sz w:val="36"/>
          <w:szCs w:val="36"/>
          <w:highlight w:val="none"/>
        </w:rPr>
        <w:t>标段：</w:t>
      </w:r>
    </w:p>
    <w:p>
      <w:pPr>
        <w:pStyle w:val="21"/>
        <w:spacing w:beforeLines="100" w:afterLines="100" w:line="480" w:lineRule="auto"/>
        <w:rPr>
          <w:rFonts w:cs="Times New Roman"/>
          <w:b/>
          <w:bCs/>
          <w:sz w:val="32"/>
          <w:szCs w:val="32"/>
          <w:highlight w:val="none"/>
          <w:u w:val="single"/>
        </w:rPr>
      </w:pPr>
    </w:p>
    <w:p>
      <w:pPr>
        <w:pStyle w:val="21"/>
        <w:spacing w:beforeLines="100" w:afterLines="100" w:line="480" w:lineRule="auto"/>
        <w:jc w:val="center"/>
        <w:rPr>
          <w:rFonts w:cs="Times New Roman"/>
          <w:b/>
          <w:bCs/>
          <w:sz w:val="32"/>
          <w:szCs w:val="32"/>
          <w:highlight w:val="none"/>
          <w:u w:val="single"/>
        </w:rPr>
      </w:pPr>
    </w:p>
    <w:p>
      <w:pPr>
        <w:spacing w:line="480" w:lineRule="auto"/>
        <w:rPr>
          <w:rFonts w:eastAsia="黑体"/>
          <w:sz w:val="28"/>
          <w:szCs w:val="28"/>
          <w:highlight w:val="none"/>
          <w:u w:val="single"/>
        </w:rPr>
      </w:pPr>
      <w:r>
        <w:rPr>
          <w:rFonts w:eastAsia="黑体"/>
          <w:sz w:val="28"/>
          <w:szCs w:val="28"/>
          <w:highlight w:val="none"/>
        </w:rPr>
        <w:t xml:space="preserve">         </w:t>
      </w:r>
      <w:r>
        <w:rPr>
          <w:rFonts w:hint="eastAsia" w:eastAsia="黑体" w:cs="黑体"/>
          <w:sz w:val="28"/>
          <w:szCs w:val="28"/>
          <w:highlight w:val="none"/>
        </w:rPr>
        <w:t>谈判供应商：</w:t>
      </w:r>
      <w:r>
        <w:rPr>
          <w:rFonts w:eastAsia="黑体"/>
          <w:sz w:val="28"/>
          <w:szCs w:val="28"/>
          <w:highlight w:val="none"/>
          <w:u w:val="single"/>
        </w:rPr>
        <w:t xml:space="preserve">                              </w:t>
      </w:r>
      <w:r>
        <w:rPr>
          <w:rFonts w:hint="eastAsia" w:eastAsia="黑体" w:cs="黑体"/>
          <w:sz w:val="28"/>
          <w:szCs w:val="28"/>
          <w:highlight w:val="none"/>
        </w:rPr>
        <w:t>（盖单位章）</w:t>
      </w:r>
    </w:p>
    <w:p>
      <w:pPr>
        <w:spacing w:line="480" w:lineRule="auto"/>
        <w:jc w:val="center"/>
        <w:rPr>
          <w:rFonts w:eastAsia="黑体"/>
          <w:sz w:val="28"/>
          <w:szCs w:val="28"/>
          <w:highlight w:val="none"/>
        </w:rPr>
      </w:pPr>
      <w:r>
        <w:rPr>
          <w:rFonts w:hint="eastAsia" w:eastAsia="黑体" w:cs="黑体"/>
          <w:sz w:val="28"/>
          <w:szCs w:val="28"/>
          <w:highlight w:val="none"/>
        </w:rPr>
        <w:t>法定代表人或其委托代理人：</w:t>
      </w:r>
      <w:r>
        <w:rPr>
          <w:rFonts w:eastAsia="黑体"/>
          <w:sz w:val="28"/>
          <w:szCs w:val="28"/>
          <w:highlight w:val="none"/>
          <w:u w:val="single"/>
        </w:rPr>
        <w:t xml:space="preserve">                </w:t>
      </w:r>
      <w:r>
        <w:rPr>
          <w:rFonts w:hint="eastAsia" w:eastAsia="黑体" w:cs="黑体"/>
          <w:sz w:val="28"/>
          <w:szCs w:val="28"/>
          <w:highlight w:val="none"/>
        </w:rPr>
        <w:t>（签字）</w:t>
      </w:r>
    </w:p>
    <w:p>
      <w:pPr>
        <w:spacing w:line="480" w:lineRule="auto"/>
        <w:jc w:val="center"/>
        <w:rPr>
          <w:rFonts w:eastAsia="黑体"/>
          <w:highlight w:val="none"/>
        </w:rPr>
      </w:pPr>
      <w:r>
        <w:rPr>
          <w:rFonts w:eastAsia="黑体"/>
          <w:sz w:val="28"/>
          <w:szCs w:val="28"/>
          <w:highlight w:val="none"/>
          <w:u w:val="single"/>
        </w:rPr>
        <w:t xml:space="preserve">        </w:t>
      </w:r>
      <w:r>
        <w:rPr>
          <w:rFonts w:hint="eastAsia" w:eastAsia="黑体" w:cs="黑体"/>
          <w:sz w:val="28"/>
          <w:szCs w:val="28"/>
          <w:highlight w:val="none"/>
        </w:rPr>
        <w:t>年</w:t>
      </w:r>
      <w:r>
        <w:rPr>
          <w:rFonts w:eastAsia="黑体"/>
          <w:sz w:val="28"/>
          <w:szCs w:val="28"/>
          <w:highlight w:val="none"/>
          <w:u w:val="single"/>
        </w:rPr>
        <w:t xml:space="preserve">        </w:t>
      </w:r>
      <w:r>
        <w:rPr>
          <w:rFonts w:hint="eastAsia" w:eastAsia="黑体" w:cs="黑体"/>
          <w:sz w:val="28"/>
          <w:szCs w:val="28"/>
          <w:highlight w:val="none"/>
        </w:rPr>
        <w:t>月</w:t>
      </w:r>
      <w:r>
        <w:rPr>
          <w:rFonts w:eastAsia="黑体"/>
          <w:sz w:val="28"/>
          <w:szCs w:val="28"/>
          <w:highlight w:val="none"/>
          <w:u w:val="single"/>
        </w:rPr>
        <w:t xml:space="preserve">        </w:t>
      </w:r>
      <w:r>
        <w:rPr>
          <w:rFonts w:hint="eastAsia" w:eastAsia="黑体" w:cs="黑体"/>
          <w:sz w:val="28"/>
          <w:szCs w:val="28"/>
          <w:highlight w:val="none"/>
        </w:rPr>
        <w:t>日</w:t>
      </w:r>
    </w:p>
    <w:p>
      <w:pPr>
        <w:spacing w:line="480" w:lineRule="exact"/>
        <w:rPr>
          <w:rFonts w:ascii="宋体"/>
          <w:b/>
          <w:bCs/>
          <w:position w:val="6"/>
          <w:sz w:val="24"/>
          <w:szCs w:val="24"/>
          <w:highlight w:val="none"/>
        </w:rPr>
      </w:pPr>
      <w:r>
        <w:rPr>
          <w:rFonts w:ascii="宋体"/>
          <w:b/>
          <w:bCs/>
          <w:position w:val="6"/>
          <w:sz w:val="24"/>
          <w:szCs w:val="24"/>
          <w:highlight w:val="none"/>
        </w:rPr>
        <w:br w:type="page"/>
      </w:r>
    </w:p>
    <w:p>
      <w:pPr>
        <w:spacing w:line="480" w:lineRule="exact"/>
        <w:rPr>
          <w:rFonts w:ascii="宋体"/>
          <w:b/>
          <w:bCs/>
          <w:position w:val="6"/>
          <w:sz w:val="24"/>
          <w:szCs w:val="24"/>
          <w:highlight w:val="none"/>
        </w:rPr>
      </w:pPr>
      <w:r>
        <w:rPr>
          <w:rFonts w:hint="eastAsia" w:ascii="宋体" w:hAnsi="宋体" w:cs="宋体"/>
          <w:b/>
          <w:bCs/>
          <w:position w:val="6"/>
          <w:sz w:val="24"/>
          <w:szCs w:val="24"/>
          <w:highlight w:val="none"/>
        </w:rPr>
        <w:t>格式</w:t>
      </w:r>
      <w:r>
        <w:rPr>
          <w:rFonts w:ascii="宋体" w:hAnsi="宋体" w:cs="宋体"/>
          <w:b/>
          <w:bCs/>
          <w:position w:val="6"/>
          <w:sz w:val="24"/>
          <w:szCs w:val="24"/>
          <w:highlight w:val="none"/>
        </w:rPr>
        <w:t>2</w:t>
      </w:r>
    </w:p>
    <w:p>
      <w:pPr>
        <w:spacing w:beforeLines="100" w:afterLines="100" w:line="480" w:lineRule="exact"/>
        <w:jc w:val="center"/>
        <w:rPr>
          <w:rFonts w:ascii="宋体"/>
          <w:b/>
          <w:bCs/>
          <w:sz w:val="44"/>
          <w:szCs w:val="44"/>
          <w:highlight w:val="none"/>
        </w:rPr>
      </w:pPr>
      <w:r>
        <w:rPr>
          <w:rFonts w:hint="eastAsia" w:ascii="宋体" w:hAnsi="宋体" w:cs="宋体"/>
          <w:b/>
          <w:bCs/>
          <w:sz w:val="44"/>
          <w:szCs w:val="44"/>
          <w:highlight w:val="none"/>
        </w:rPr>
        <w:t>目录</w:t>
      </w:r>
    </w:p>
    <w:p>
      <w:pPr>
        <w:widowControl/>
        <w:spacing w:line="480" w:lineRule="exact"/>
        <w:ind w:firstLine="537" w:firstLineChars="224"/>
        <w:jc w:val="distribute"/>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谈判响应</w:t>
      </w:r>
      <w:r>
        <w:rPr>
          <w:rFonts w:hint="eastAsia" w:ascii="宋体" w:hAnsi="宋体" w:cs="宋体"/>
          <w:kern w:val="0"/>
          <w:sz w:val="24"/>
          <w:szCs w:val="24"/>
          <w:highlight w:val="none"/>
        </w:rPr>
        <w:t>函</w:t>
      </w:r>
      <w:r>
        <w:rPr>
          <w:rFonts w:hint="eastAsia" w:ascii="宋体" w:hAnsi="宋体" w:cs="宋体"/>
          <w:sz w:val="24"/>
          <w:szCs w:val="24"/>
          <w:highlight w:val="none"/>
        </w:rPr>
        <w:t>………………………………………………………………………所在页码</w:t>
      </w:r>
    </w:p>
    <w:p>
      <w:pPr>
        <w:widowControl/>
        <w:spacing w:line="480" w:lineRule="exact"/>
        <w:ind w:firstLine="537" w:firstLineChars="224"/>
        <w:jc w:val="distribute"/>
        <w:rPr>
          <w:rFonts w:ascii="宋体"/>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报价一览表</w:t>
      </w:r>
      <w:r>
        <w:rPr>
          <w:rFonts w:hint="eastAsia" w:ascii="宋体" w:hAnsi="宋体" w:cs="宋体"/>
          <w:sz w:val="24"/>
          <w:szCs w:val="24"/>
          <w:highlight w:val="none"/>
        </w:rPr>
        <w:t>………………………………………………………………………所在页码</w:t>
      </w:r>
    </w:p>
    <w:p>
      <w:pPr>
        <w:widowControl/>
        <w:spacing w:line="480" w:lineRule="exact"/>
        <w:ind w:firstLine="537" w:firstLineChars="224"/>
        <w:jc w:val="distribute"/>
        <w:rPr>
          <w:rFonts w:ascii="宋体"/>
          <w:sz w:val="24"/>
          <w:szCs w:val="24"/>
          <w:highlight w:val="none"/>
        </w:rPr>
      </w:pPr>
      <w:r>
        <w:rPr>
          <w:rFonts w:ascii="宋体" w:hAnsi="宋体" w:cs="宋体"/>
          <w:sz w:val="24"/>
          <w:szCs w:val="24"/>
          <w:highlight w:val="none"/>
        </w:rPr>
        <w:t>3.</w:t>
      </w:r>
      <w:r>
        <w:rPr>
          <w:rFonts w:hint="eastAsia" w:ascii="宋体" w:hAnsi="宋体" w:cs="宋体"/>
          <w:kern w:val="0"/>
          <w:sz w:val="24"/>
          <w:szCs w:val="24"/>
          <w:highlight w:val="none"/>
        </w:rPr>
        <w:t>承诺书………………………………………………</w:t>
      </w:r>
      <w:r>
        <w:rPr>
          <w:rFonts w:hint="eastAsia" w:ascii="宋体" w:hAnsi="宋体" w:cs="宋体"/>
          <w:sz w:val="24"/>
          <w:szCs w:val="24"/>
          <w:highlight w:val="none"/>
        </w:rPr>
        <w:t>…………</w:t>
      </w:r>
      <w:r>
        <w:rPr>
          <w:rFonts w:hint="eastAsia" w:ascii="宋体" w:hAnsi="宋体" w:cs="宋体"/>
          <w:kern w:val="0"/>
          <w:sz w:val="24"/>
          <w:szCs w:val="24"/>
          <w:highlight w:val="none"/>
        </w:rPr>
        <w:t>……所在页码</w:t>
      </w:r>
    </w:p>
    <w:p>
      <w:pPr>
        <w:widowControl/>
        <w:spacing w:line="480" w:lineRule="exact"/>
        <w:ind w:firstLine="537" w:firstLineChars="224"/>
        <w:jc w:val="left"/>
        <w:rPr>
          <w:rFonts w:ascii="宋体"/>
          <w:kern w:val="0"/>
          <w:sz w:val="24"/>
          <w:szCs w:val="24"/>
          <w:highlight w:val="none"/>
        </w:rPr>
      </w:pPr>
      <w:r>
        <w:rPr>
          <w:rFonts w:ascii="宋体" w:hAnsi="宋体" w:cs="宋体"/>
          <w:kern w:val="0"/>
          <w:sz w:val="24"/>
          <w:szCs w:val="24"/>
          <w:highlight w:val="none"/>
        </w:rPr>
        <w:t>4.</w:t>
      </w:r>
      <w:r>
        <w:rPr>
          <w:rFonts w:hint="eastAsia" w:ascii="宋体" w:hAnsi="宋体" w:cs="宋体"/>
          <w:kern w:val="0"/>
          <w:sz w:val="24"/>
          <w:szCs w:val="24"/>
          <w:highlight w:val="none"/>
        </w:rPr>
        <w:t>供应商自觉抵制商业贿赂行为承诺书…………………</w:t>
      </w:r>
      <w:r>
        <w:rPr>
          <w:rFonts w:hint="eastAsia" w:ascii="宋体" w:hAnsi="宋体" w:cs="宋体"/>
          <w:sz w:val="24"/>
          <w:szCs w:val="24"/>
          <w:highlight w:val="none"/>
        </w:rPr>
        <w:t>…</w:t>
      </w:r>
      <w:r>
        <w:rPr>
          <w:rFonts w:hint="eastAsia" w:ascii="宋体" w:hAnsi="宋体" w:cs="宋体"/>
          <w:kern w:val="0"/>
          <w:sz w:val="24"/>
          <w:szCs w:val="24"/>
          <w:highlight w:val="none"/>
        </w:rPr>
        <w:t>…</w:t>
      </w:r>
      <w:r>
        <w:rPr>
          <w:rFonts w:hint="eastAsia" w:ascii="宋体" w:hAnsi="宋体" w:cs="宋体"/>
          <w:sz w:val="24"/>
          <w:szCs w:val="24"/>
          <w:highlight w:val="none"/>
        </w:rPr>
        <w:t>……………</w:t>
      </w:r>
      <w:r>
        <w:rPr>
          <w:rFonts w:hint="eastAsia" w:ascii="宋体" w:hAnsi="宋体" w:cs="宋体"/>
          <w:kern w:val="0"/>
          <w:sz w:val="24"/>
          <w:szCs w:val="24"/>
          <w:highlight w:val="none"/>
        </w:rPr>
        <w:t>……所在页码</w:t>
      </w:r>
    </w:p>
    <w:p>
      <w:pPr>
        <w:widowControl/>
        <w:spacing w:line="480" w:lineRule="exact"/>
        <w:ind w:firstLine="537" w:firstLineChars="224"/>
        <w:jc w:val="distribute"/>
        <w:rPr>
          <w:rFonts w:ascii="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资格证明材料…</w:t>
      </w:r>
      <w:r>
        <w:rPr>
          <w:rFonts w:hint="eastAsia" w:ascii="宋体" w:hAnsi="宋体" w:cs="宋体"/>
          <w:kern w:val="0"/>
          <w:sz w:val="24"/>
          <w:szCs w:val="24"/>
          <w:highlight w:val="none"/>
        </w:rPr>
        <w:t>…………………………………</w:t>
      </w:r>
      <w:r>
        <w:rPr>
          <w:rFonts w:hint="eastAsia" w:ascii="宋体" w:hAnsi="宋体" w:cs="宋体"/>
          <w:sz w:val="24"/>
          <w:szCs w:val="24"/>
          <w:highlight w:val="none"/>
        </w:rPr>
        <w:t>………………………所在页码</w:t>
      </w:r>
    </w:p>
    <w:p>
      <w:pPr>
        <w:widowControl/>
        <w:spacing w:line="480" w:lineRule="exact"/>
        <w:ind w:firstLine="537" w:firstLineChars="224"/>
        <w:jc w:val="distribute"/>
        <w:rPr>
          <w:rFonts w:ascii="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近三年无违法违纪、无不良记录承诺书……</w:t>
      </w:r>
      <w:r>
        <w:rPr>
          <w:rFonts w:hint="eastAsia" w:ascii="宋体" w:hAnsi="宋体" w:cs="宋体"/>
          <w:kern w:val="0"/>
          <w:sz w:val="24"/>
          <w:szCs w:val="24"/>
          <w:highlight w:val="none"/>
        </w:rPr>
        <w:t>…………………</w:t>
      </w:r>
      <w:r>
        <w:rPr>
          <w:rFonts w:hint="eastAsia" w:ascii="宋体" w:hAnsi="宋体" w:cs="宋体"/>
          <w:sz w:val="24"/>
          <w:szCs w:val="24"/>
          <w:highlight w:val="none"/>
        </w:rPr>
        <w:t>………所在页码</w:t>
      </w:r>
    </w:p>
    <w:p>
      <w:pPr>
        <w:widowControl/>
        <w:spacing w:line="480" w:lineRule="exact"/>
        <w:ind w:firstLine="537" w:firstLineChars="224"/>
        <w:jc w:val="distribute"/>
        <w:rPr>
          <w:rFonts w:ascii="宋体"/>
          <w:highlight w:val="none"/>
        </w:rPr>
      </w:pPr>
      <w:r>
        <w:rPr>
          <w:rFonts w:ascii="宋体" w:hAnsi="宋体" w:cs="宋体"/>
          <w:sz w:val="24"/>
          <w:szCs w:val="24"/>
          <w:highlight w:val="none"/>
        </w:rPr>
        <w:t>7.</w:t>
      </w:r>
      <w:r>
        <w:rPr>
          <w:rFonts w:hint="eastAsia" w:ascii="宋体" w:hAnsi="宋体" w:cs="宋体"/>
          <w:sz w:val="24"/>
          <w:szCs w:val="24"/>
          <w:highlight w:val="none"/>
        </w:rPr>
        <w:t>具备履行合同所必需的设备和专业技术能力的证明材料………………所在页码</w:t>
      </w:r>
    </w:p>
    <w:p>
      <w:pPr>
        <w:widowControl/>
        <w:spacing w:line="480" w:lineRule="exact"/>
        <w:ind w:firstLine="537" w:firstLineChars="224"/>
        <w:jc w:val="distribute"/>
        <w:rPr>
          <w:rFonts w:ascii="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法定代表人（代表人）资格证明书或法定代表人（代表人）授权</w:t>
      </w:r>
    </w:p>
    <w:p>
      <w:pPr>
        <w:widowControl/>
        <w:spacing w:line="480" w:lineRule="exact"/>
        <w:ind w:firstLine="537" w:firstLineChars="224"/>
        <w:rPr>
          <w:rFonts w:ascii="宋体"/>
          <w:sz w:val="24"/>
          <w:szCs w:val="24"/>
          <w:highlight w:val="none"/>
        </w:rPr>
      </w:pPr>
      <w:r>
        <w:rPr>
          <w:rFonts w:hint="eastAsia" w:ascii="宋体" w:hAnsi="宋体" w:cs="宋体"/>
          <w:sz w:val="24"/>
          <w:szCs w:val="24"/>
          <w:highlight w:val="none"/>
        </w:rPr>
        <w:t>………………………………………………………………………………………所在页码</w:t>
      </w:r>
    </w:p>
    <w:p>
      <w:pPr>
        <w:widowControl/>
        <w:spacing w:line="480" w:lineRule="exact"/>
        <w:ind w:firstLine="537" w:firstLineChars="224"/>
        <w:jc w:val="distribute"/>
        <w:rPr>
          <w:rFonts w:ascii="宋体"/>
          <w:sz w:val="24"/>
          <w:szCs w:val="24"/>
          <w:highlight w:val="none"/>
        </w:rPr>
      </w:pPr>
      <w:r>
        <w:rPr>
          <w:rFonts w:ascii="宋体" w:hAnsi="宋体" w:cs="宋体"/>
          <w:sz w:val="24"/>
          <w:szCs w:val="24"/>
          <w:highlight w:val="none"/>
        </w:rPr>
        <w:t>9.</w:t>
      </w:r>
      <w:r>
        <w:rPr>
          <w:rFonts w:hint="eastAsia" w:ascii="宋体" w:hAnsi="宋体" w:cs="宋体"/>
          <w:sz w:val="24"/>
          <w:szCs w:val="24"/>
          <w:highlight w:val="none"/>
        </w:rPr>
        <w:t>技术实施方案………</w:t>
      </w:r>
      <w:r>
        <w:rPr>
          <w:rFonts w:hint="eastAsia" w:ascii="宋体" w:cs="宋体"/>
          <w:sz w:val="24"/>
          <w:szCs w:val="24"/>
          <w:highlight w:val="none"/>
        </w:rPr>
        <w:t>…………</w:t>
      </w:r>
      <w:r>
        <w:rPr>
          <w:rFonts w:hint="eastAsia" w:ascii="宋体" w:hAnsi="宋体" w:cs="宋体"/>
          <w:sz w:val="24"/>
          <w:szCs w:val="24"/>
          <w:highlight w:val="none"/>
        </w:rPr>
        <w:t>……</w:t>
      </w:r>
      <w:r>
        <w:rPr>
          <w:rFonts w:hint="eastAsia" w:ascii="宋体" w:cs="宋体"/>
          <w:sz w:val="24"/>
          <w:szCs w:val="24"/>
          <w:highlight w:val="none"/>
        </w:rPr>
        <w:t>…………</w:t>
      </w:r>
      <w:r>
        <w:rPr>
          <w:rFonts w:hint="eastAsia" w:ascii="宋体" w:hAnsi="宋体" w:cs="宋体"/>
          <w:sz w:val="24"/>
          <w:szCs w:val="24"/>
          <w:highlight w:val="none"/>
        </w:rPr>
        <w:t>…………………所在页码</w:t>
      </w:r>
    </w:p>
    <w:p>
      <w:pPr>
        <w:widowControl/>
        <w:spacing w:line="480" w:lineRule="exact"/>
        <w:ind w:firstLine="776" w:firstLineChars="322"/>
        <w:rPr>
          <w:rFonts w:ascii="宋体"/>
          <w:b/>
          <w:bCs/>
          <w:sz w:val="24"/>
          <w:szCs w:val="24"/>
          <w:highlight w:val="none"/>
        </w:rPr>
      </w:pPr>
      <w:r>
        <w:rPr>
          <w:rFonts w:hint="eastAsia" w:ascii="宋体" w:hAnsi="宋体" w:cs="宋体"/>
          <w:b/>
          <w:bCs/>
          <w:sz w:val="24"/>
          <w:szCs w:val="24"/>
          <w:highlight w:val="none"/>
        </w:rPr>
        <w:t>其它材料</w:t>
      </w:r>
    </w:p>
    <w:p>
      <w:pPr>
        <w:widowControl/>
        <w:spacing w:line="480" w:lineRule="exact"/>
        <w:ind w:firstLine="537" w:firstLineChars="224"/>
        <w:rPr>
          <w:rFonts w:ascii="黑体" w:hAnsi="宋体" w:eastAsia="黑体"/>
          <w:sz w:val="24"/>
          <w:szCs w:val="24"/>
          <w:highlight w:val="none"/>
        </w:rPr>
      </w:pPr>
      <w:r>
        <w:rPr>
          <w:rFonts w:hint="eastAsia" w:ascii="黑体" w:hAnsi="宋体" w:eastAsia="黑体" w:cs="黑体"/>
          <w:sz w:val="24"/>
          <w:szCs w:val="24"/>
          <w:highlight w:val="none"/>
        </w:rPr>
        <w:t>……</w:t>
      </w:r>
    </w:p>
    <w:p>
      <w:pPr>
        <w:widowControl/>
        <w:spacing w:line="480" w:lineRule="exact"/>
        <w:ind w:firstLine="537" w:firstLineChars="224"/>
        <w:rPr>
          <w:rFonts w:ascii="黑体" w:hAnsi="宋体" w:eastAsia="黑体"/>
          <w:sz w:val="24"/>
          <w:szCs w:val="24"/>
          <w:highlight w:val="none"/>
        </w:rPr>
      </w:pPr>
    </w:p>
    <w:p>
      <w:pPr>
        <w:widowControl/>
        <w:spacing w:line="480" w:lineRule="exact"/>
        <w:ind w:firstLine="540" w:firstLineChars="224"/>
        <w:rPr>
          <w:rFonts w:ascii="宋体"/>
          <w:b/>
          <w:bCs/>
          <w:kern w:val="0"/>
          <w:sz w:val="24"/>
          <w:szCs w:val="24"/>
          <w:highlight w:val="none"/>
        </w:rPr>
      </w:pPr>
      <w:r>
        <w:rPr>
          <w:rFonts w:hint="eastAsia" w:ascii="宋体" w:hAnsi="宋体" w:cs="宋体"/>
          <w:b/>
          <w:bCs/>
          <w:sz w:val="24"/>
          <w:szCs w:val="24"/>
          <w:highlight w:val="none"/>
        </w:rPr>
        <w:t>注：以上目录格式和项数仅供参考</w:t>
      </w:r>
      <w:r>
        <w:rPr>
          <w:rFonts w:ascii="宋体" w:cs="宋体"/>
          <w:b/>
          <w:bCs/>
          <w:sz w:val="24"/>
          <w:szCs w:val="24"/>
          <w:highlight w:val="none"/>
        </w:rPr>
        <w:t>,</w:t>
      </w:r>
      <w:r>
        <w:rPr>
          <w:rFonts w:hint="eastAsia" w:ascii="宋体" w:hAnsi="宋体" w:cs="宋体"/>
          <w:b/>
          <w:bCs/>
          <w:sz w:val="24"/>
          <w:szCs w:val="24"/>
          <w:highlight w:val="none"/>
        </w:rPr>
        <w:t>请供应商按照采购文件要求，根据响应文件的具体内容详细编制响应文件的章节目录。</w:t>
      </w:r>
    </w:p>
    <w:p>
      <w:pPr>
        <w:spacing w:line="480" w:lineRule="exact"/>
        <w:rPr>
          <w:rFonts w:ascii="宋体"/>
          <w:b/>
          <w:bCs/>
          <w:kern w:val="12"/>
          <w:sz w:val="24"/>
          <w:szCs w:val="24"/>
          <w:highlight w:val="none"/>
        </w:rPr>
      </w:pPr>
      <w:r>
        <w:rPr>
          <w:rFonts w:ascii="黑体" w:hAnsi="宋体" w:eastAsia="黑体"/>
          <w:sz w:val="24"/>
          <w:szCs w:val="24"/>
          <w:highlight w:val="none"/>
        </w:rPr>
        <w:br w:type="page"/>
      </w:r>
      <w:r>
        <w:rPr>
          <w:rFonts w:hint="eastAsia" w:ascii="宋体" w:hAnsi="宋体" w:cs="宋体"/>
          <w:b/>
          <w:bCs/>
          <w:position w:val="6"/>
          <w:sz w:val="24"/>
          <w:szCs w:val="24"/>
          <w:highlight w:val="none"/>
        </w:rPr>
        <w:t>格式</w:t>
      </w:r>
      <w:r>
        <w:rPr>
          <w:rFonts w:ascii="宋体" w:hAnsi="宋体" w:cs="宋体"/>
          <w:b/>
          <w:bCs/>
          <w:position w:val="6"/>
          <w:sz w:val="24"/>
          <w:szCs w:val="24"/>
          <w:highlight w:val="none"/>
        </w:rPr>
        <w:t>3</w:t>
      </w:r>
    </w:p>
    <w:p>
      <w:pPr>
        <w:spacing w:line="480" w:lineRule="exact"/>
        <w:jc w:val="center"/>
        <w:rPr>
          <w:rFonts w:ascii="宋体"/>
          <w:b/>
          <w:bCs/>
          <w:kern w:val="12"/>
          <w:sz w:val="24"/>
          <w:szCs w:val="24"/>
          <w:highlight w:val="none"/>
        </w:rPr>
      </w:pPr>
      <w:r>
        <w:rPr>
          <w:rFonts w:hint="eastAsia" w:ascii="宋体" w:hAnsi="宋体" w:cs="宋体"/>
          <w:b/>
          <w:bCs/>
          <w:sz w:val="36"/>
          <w:szCs w:val="36"/>
          <w:highlight w:val="none"/>
        </w:rPr>
        <w:t>谈判响应函</w:t>
      </w:r>
      <w:r>
        <w:rPr>
          <w:rFonts w:ascii="宋体"/>
          <w:b/>
          <w:bCs/>
          <w:sz w:val="36"/>
          <w:szCs w:val="36"/>
          <w:highlight w:val="none"/>
        </w:rPr>
        <w:br w:type="textWrapping"/>
      </w:r>
    </w:p>
    <w:p>
      <w:pPr>
        <w:spacing w:afterLines="50" w:line="320" w:lineRule="exact"/>
        <w:rPr>
          <w:rFonts w:ascii="宋体"/>
          <w:b/>
          <w:bCs/>
          <w:sz w:val="24"/>
          <w:szCs w:val="24"/>
          <w:highlight w:val="none"/>
        </w:rPr>
      </w:pPr>
      <w:r>
        <w:rPr>
          <w:rFonts w:hint="eastAsia" w:ascii="宋体" w:hAnsi="宋体" w:cs="宋体"/>
          <w:b/>
          <w:bCs/>
          <w:sz w:val="24"/>
          <w:szCs w:val="24"/>
          <w:highlight w:val="none"/>
        </w:rPr>
        <w:t>致：河南招标采购服务有限公司</w:t>
      </w:r>
    </w:p>
    <w:p>
      <w:pPr>
        <w:spacing w:line="400" w:lineRule="exact"/>
        <w:ind w:firstLine="480" w:firstLineChars="200"/>
        <w:rPr>
          <w:rFonts w:ascii="宋体"/>
          <w:sz w:val="24"/>
          <w:szCs w:val="24"/>
          <w:highlight w:val="none"/>
        </w:rPr>
      </w:pPr>
      <w:r>
        <w:rPr>
          <w:rFonts w:ascii="宋体" w:hAnsi="宋体" w:cs="宋体"/>
          <w:sz w:val="24"/>
          <w:szCs w:val="24"/>
          <w:highlight w:val="none"/>
          <w:u w:val="single"/>
        </w:rPr>
        <w:t>&lt;</w:t>
      </w:r>
      <w:r>
        <w:rPr>
          <w:rFonts w:hint="eastAsia" w:ascii="宋体" w:hAnsi="宋体" w:cs="宋体"/>
          <w:sz w:val="24"/>
          <w:szCs w:val="24"/>
          <w:highlight w:val="none"/>
          <w:u w:val="single"/>
        </w:rPr>
        <w:t>供应商名称</w:t>
      </w:r>
      <w:r>
        <w:rPr>
          <w:rFonts w:ascii="宋体" w:hAnsi="宋体" w:cs="宋体"/>
          <w:sz w:val="24"/>
          <w:szCs w:val="24"/>
          <w:highlight w:val="none"/>
          <w:u w:val="single"/>
        </w:rPr>
        <w:t>&gt;</w:t>
      </w:r>
      <w:r>
        <w:rPr>
          <w:rFonts w:hint="eastAsia" w:ascii="宋体" w:hAnsi="宋体" w:cs="宋体"/>
          <w:sz w:val="24"/>
          <w:szCs w:val="24"/>
          <w:highlight w:val="none"/>
        </w:rPr>
        <w:t>正式授权</w:t>
      </w:r>
      <w:r>
        <w:rPr>
          <w:rFonts w:ascii="宋体" w:hAnsi="宋体" w:cs="宋体"/>
          <w:sz w:val="24"/>
          <w:szCs w:val="24"/>
          <w:highlight w:val="none"/>
          <w:u w:val="single"/>
        </w:rPr>
        <w:t>&lt;</w:t>
      </w:r>
      <w:r>
        <w:rPr>
          <w:rFonts w:hint="eastAsia" w:ascii="宋体" w:hAnsi="宋体" w:cs="宋体"/>
          <w:sz w:val="24"/>
          <w:szCs w:val="24"/>
          <w:highlight w:val="none"/>
          <w:u w:val="single"/>
        </w:rPr>
        <w:t>代表姓名、职务、职称</w:t>
      </w:r>
      <w:r>
        <w:rPr>
          <w:rFonts w:ascii="宋体" w:hAnsi="宋体" w:cs="宋体"/>
          <w:sz w:val="24"/>
          <w:szCs w:val="24"/>
          <w:highlight w:val="none"/>
          <w:u w:val="single"/>
        </w:rPr>
        <w:t>&gt;</w:t>
      </w:r>
      <w:r>
        <w:rPr>
          <w:rFonts w:hint="eastAsia" w:ascii="宋体" w:hAnsi="宋体" w:cs="宋体"/>
          <w:sz w:val="24"/>
          <w:szCs w:val="24"/>
          <w:highlight w:val="none"/>
        </w:rPr>
        <w:t>为我方代表，参加你公司组织的</w:t>
      </w:r>
      <w:r>
        <w:rPr>
          <w:rFonts w:ascii="宋体" w:hAnsi="宋体" w:cs="宋体"/>
          <w:sz w:val="24"/>
          <w:szCs w:val="24"/>
          <w:highlight w:val="none"/>
          <w:u w:val="single"/>
        </w:rPr>
        <w:t>&lt;</w:t>
      </w:r>
      <w:r>
        <w:rPr>
          <w:rFonts w:hint="eastAsia" w:ascii="宋体" w:hAnsi="宋体" w:cs="宋体"/>
          <w:sz w:val="24"/>
          <w:szCs w:val="24"/>
          <w:highlight w:val="none"/>
          <w:u w:val="single"/>
        </w:rPr>
        <w:t>项目编号、项目名称</w:t>
      </w:r>
      <w:r>
        <w:rPr>
          <w:rFonts w:ascii="宋体" w:hAnsi="宋体" w:cs="宋体"/>
          <w:sz w:val="24"/>
          <w:szCs w:val="24"/>
          <w:highlight w:val="none"/>
          <w:u w:val="single"/>
        </w:rPr>
        <w:t>&gt;</w:t>
      </w:r>
      <w:r>
        <w:rPr>
          <w:rFonts w:hint="eastAsia" w:ascii="宋体" w:hAnsi="宋体" w:cs="宋体"/>
          <w:sz w:val="24"/>
          <w:szCs w:val="24"/>
          <w:highlight w:val="none"/>
        </w:rPr>
        <w:t>项目谈判采购的有关活动，并对此采购项目进行谈判。</w:t>
      </w:r>
    </w:p>
    <w:p>
      <w:pPr>
        <w:spacing w:line="400" w:lineRule="exact"/>
        <w:ind w:firstLine="480" w:firstLineChars="200"/>
        <w:rPr>
          <w:rFonts w:ascii="宋体"/>
          <w:sz w:val="24"/>
          <w:szCs w:val="24"/>
          <w:highlight w:val="none"/>
        </w:rPr>
      </w:pPr>
      <w:r>
        <w:rPr>
          <w:rFonts w:hint="eastAsia" w:ascii="宋体" w:hAnsi="宋体" w:cs="宋体"/>
          <w:sz w:val="24"/>
          <w:szCs w:val="24"/>
          <w:highlight w:val="none"/>
        </w:rPr>
        <w:t>为此，我方按谈判文件规定的相关服务，所报总价（总优惠率）为：（大写）</w:t>
      </w:r>
      <w:r>
        <w:rPr>
          <w:rFonts w:ascii="宋体" w:hAnsi="宋体" w:cs="宋体"/>
          <w:sz w:val="24"/>
          <w:szCs w:val="24"/>
          <w:highlight w:val="none"/>
          <w:u w:val="single"/>
        </w:rPr>
        <w:t xml:space="preserve">       </w:t>
      </w:r>
      <w:r>
        <w:rPr>
          <w:rFonts w:hint="eastAsia" w:ascii="宋体" w:hAnsi="宋体" w:cs="宋体"/>
          <w:sz w:val="24"/>
          <w:szCs w:val="24"/>
          <w:highlight w:val="none"/>
        </w:rPr>
        <w:t>，（小写）</w:t>
      </w:r>
      <w:r>
        <w:rPr>
          <w:rFonts w:ascii="宋体" w:hAnsi="宋体" w:cs="宋体"/>
          <w:sz w:val="24"/>
          <w:szCs w:val="24"/>
          <w:highlight w:val="none"/>
          <w:u w:val="single"/>
        </w:rPr>
        <w:t xml:space="preserve">      </w:t>
      </w:r>
      <w:r>
        <w:rPr>
          <w:rFonts w:hint="eastAsia" w:ascii="宋体" w:hAnsi="宋体" w:cs="宋体"/>
          <w:sz w:val="24"/>
          <w:szCs w:val="24"/>
          <w:highlight w:val="none"/>
        </w:rPr>
        <w:t>。服务期限：</w:t>
      </w:r>
      <w:r>
        <w:rPr>
          <w:rFonts w:ascii="宋体" w:hAnsi="宋体" w:cs="宋体"/>
          <w:sz w:val="24"/>
          <w:szCs w:val="24"/>
          <w:highlight w:val="none"/>
          <w:u w:val="single"/>
        </w:rPr>
        <w:t xml:space="preserve">         </w:t>
      </w:r>
      <w:r>
        <w:rPr>
          <w:rFonts w:hint="eastAsia" w:ascii="宋体" w:hAnsi="宋体" w:cs="宋体"/>
          <w:sz w:val="24"/>
          <w:szCs w:val="24"/>
          <w:highlight w:val="none"/>
        </w:rPr>
        <w:t>，按合同约定实施和完成项目。</w:t>
      </w:r>
    </w:p>
    <w:p>
      <w:pPr>
        <w:spacing w:line="400" w:lineRule="exact"/>
        <w:ind w:firstLine="480" w:firstLineChars="200"/>
        <w:rPr>
          <w:rFonts w:ascii="宋体"/>
          <w:sz w:val="24"/>
          <w:szCs w:val="24"/>
          <w:highlight w:val="none"/>
        </w:rPr>
      </w:pPr>
      <w:r>
        <w:rPr>
          <w:rFonts w:ascii="宋体" w:hAnsi="宋体" w:cs="宋体"/>
          <w:sz w:val="24"/>
          <w:szCs w:val="24"/>
          <w:highlight w:val="none"/>
        </w:rPr>
        <w:t xml:space="preserve">1. </w:t>
      </w:r>
      <w:r>
        <w:rPr>
          <w:rFonts w:hint="eastAsia" w:ascii="宋体" w:hAnsi="宋体" w:cs="宋体"/>
          <w:sz w:val="24"/>
          <w:szCs w:val="24"/>
          <w:highlight w:val="none"/>
        </w:rPr>
        <w:t>我方同意在本采购项目谈判文件中规定的谈判之日起天内遵守本谈判响应文件中的承诺且在此谈判有效期期满之前均具有约束力。</w:t>
      </w:r>
    </w:p>
    <w:p>
      <w:pPr>
        <w:spacing w:line="400" w:lineRule="exact"/>
        <w:ind w:firstLine="480" w:firstLineChars="200"/>
        <w:rPr>
          <w:rFonts w:ascii="宋体"/>
          <w:sz w:val="24"/>
          <w:szCs w:val="24"/>
          <w:highlight w:val="none"/>
        </w:rPr>
      </w:pPr>
      <w:r>
        <w:rPr>
          <w:rFonts w:ascii="宋体" w:hAnsi="宋体" w:cs="宋体"/>
          <w:sz w:val="24"/>
          <w:szCs w:val="24"/>
          <w:highlight w:val="none"/>
        </w:rPr>
        <w:t xml:space="preserve">2. </w:t>
      </w:r>
      <w:r>
        <w:rPr>
          <w:rFonts w:hint="eastAsia" w:ascii="宋体" w:hAnsi="宋体" w:cs="宋体"/>
          <w:sz w:val="24"/>
          <w:szCs w:val="24"/>
          <w:highlight w:val="none"/>
        </w:rPr>
        <w:t>我方承诺已经具备谈判文件中规定的参加采购活动的供应商应当具备的条件。</w:t>
      </w:r>
    </w:p>
    <w:p>
      <w:pPr>
        <w:spacing w:line="400" w:lineRule="exact"/>
        <w:ind w:firstLine="480" w:firstLineChars="200"/>
        <w:rPr>
          <w:rFonts w:ascii="宋体"/>
          <w:sz w:val="24"/>
          <w:szCs w:val="24"/>
          <w:highlight w:val="none"/>
        </w:rPr>
      </w:pPr>
      <w:r>
        <w:rPr>
          <w:rFonts w:ascii="宋体" w:hAnsi="宋体" w:cs="宋体"/>
          <w:sz w:val="24"/>
          <w:szCs w:val="24"/>
          <w:highlight w:val="none"/>
        </w:rPr>
        <w:t xml:space="preserve">3. </w:t>
      </w:r>
      <w:r>
        <w:rPr>
          <w:rFonts w:hint="eastAsia" w:ascii="宋体" w:hAnsi="宋体" w:cs="宋体"/>
          <w:sz w:val="24"/>
          <w:szCs w:val="24"/>
          <w:highlight w:val="none"/>
        </w:rPr>
        <w:t>提供谈判文件规定的全部报价文件，包括响应文件正本</w:t>
      </w:r>
      <w:r>
        <w:rPr>
          <w:rFonts w:ascii="宋体" w:hAnsi="宋体" w:cs="宋体"/>
          <w:sz w:val="24"/>
          <w:szCs w:val="24"/>
          <w:highlight w:val="none"/>
          <w:u w:val="single"/>
        </w:rPr>
        <w:t>1</w:t>
      </w:r>
      <w:r>
        <w:rPr>
          <w:rFonts w:hint="eastAsia" w:ascii="宋体" w:hAnsi="宋体" w:cs="宋体"/>
          <w:sz w:val="24"/>
          <w:szCs w:val="24"/>
          <w:highlight w:val="none"/>
        </w:rPr>
        <w:t>份，副本</w:t>
      </w:r>
      <w:r>
        <w:rPr>
          <w:rFonts w:ascii="宋体" w:hAnsi="宋体" w:cs="宋体"/>
          <w:sz w:val="24"/>
          <w:szCs w:val="24"/>
          <w:highlight w:val="none"/>
          <w:u w:val="single"/>
        </w:rPr>
        <w:t>3</w:t>
      </w:r>
      <w:r>
        <w:rPr>
          <w:rFonts w:hint="eastAsia" w:ascii="宋体" w:hAnsi="宋体" w:cs="宋体"/>
          <w:sz w:val="24"/>
          <w:szCs w:val="24"/>
          <w:highlight w:val="none"/>
        </w:rPr>
        <w:t>份。</w:t>
      </w:r>
    </w:p>
    <w:p>
      <w:pPr>
        <w:spacing w:line="400" w:lineRule="exact"/>
        <w:ind w:firstLine="480" w:firstLineChars="200"/>
        <w:rPr>
          <w:rFonts w:ascii="宋体"/>
          <w:sz w:val="24"/>
          <w:szCs w:val="24"/>
          <w:highlight w:val="none"/>
        </w:rPr>
      </w:pPr>
      <w:r>
        <w:rPr>
          <w:rFonts w:ascii="宋体" w:hAnsi="宋体" w:cs="宋体"/>
          <w:sz w:val="24"/>
          <w:szCs w:val="24"/>
          <w:highlight w:val="none"/>
        </w:rPr>
        <w:t xml:space="preserve">4. </w:t>
      </w:r>
      <w:r>
        <w:rPr>
          <w:rFonts w:hint="eastAsia" w:ascii="宋体" w:hAnsi="宋体" w:cs="宋体"/>
          <w:sz w:val="24"/>
          <w:szCs w:val="24"/>
          <w:highlight w:val="none"/>
        </w:rPr>
        <w:t>如果我方成交，保证忠实地执行双方所签订的采购合同，并承担采购合同规定的责任和义务。</w:t>
      </w:r>
    </w:p>
    <w:p>
      <w:pPr>
        <w:spacing w:line="400" w:lineRule="exact"/>
        <w:ind w:firstLine="480" w:firstLineChars="200"/>
        <w:rPr>
          <w:rFonts w:ascii="宋体"/>
          <w:sz w:val="24"/>
          <w:szCs w:val="24"/>
          <w:highlight w:val="none"/>
        </w:rPr>
      </w:pPr>
      <w:r>
        <w:rPr>
          <w:rFonts w:ascii="宋体" w:hAnsi="宋体" w:cs="宋体"/>
          <w:sz w:val="24"/>
          <w:szCs w:val="24"/>
          <w:highlight w:val="none"/>
        </w:rPr>
        <w:t xml:space="preserve">5. </w:t>
      </w:r>
      <w:r>
        <w:rPr>
          <w:rFonts w:hint="eastAsia" w:ascii="宋体" w:hAnsi="宋体" w:cs="宋体"/>
          <w:sz w:val="24"/>
          <w:szCs w:val="24"/>
          <w:highlight w:val="none"/>
        </w:rPr>
        <w:t>我方保证遵守谈判文件的全部规定。</w:t>
      </w:r>
    </w:p>
    <w:p>
      <w:pPr>
        <w:spacing w:line="400" w:lineRule="exact"/>
        <w:ind w:firstLine="480" w:firstLineChars="200"/>
        <w:rPr>
          <w:rFonts w:ascii="宋体"/>
          <w:sz w:val="24"/>
          <w:szCs w:val="24"/>
          <w:highlight w:val="none"/>
        </w:rPr>
      </w:pPr>
      <w:r>
        <w:rPr>
          <w:rFonts w:ascii="宋体" w:hAnsi="宋体" w:cs="宋体"/>
          <w:sz w:val="24"/>
          <w:szCs w:val="24"/>
          <w:highlight w:val="none"/>
        </w:rPr>
        <w:t xml:space="preserve">6. </w:t>
      </w:r>
      <w:r>
        <w:rPr>
          <w:rFonts w:hint="eastAsia" w:ascii="宋体" w:hAnsi="宋体" w:cs="宋体"/>
          <w:sz w:val="24"/>
          <w:szCs w:val="24"/>
          <w:highlight w:val="none"/>
        </w:rPr>
        <w:t>我方保证尊重谈判小组的评审结果，完全理解本采购项目不一定接受最低报价。</w:t>
      </w:r>
    </w:p>
    <w:p>
      <w:pPr>
        <w:spacing w:line="400" w:lineRule="exact"/>
        <w:ind w:firstLine="480" w:firstLineChars="200"/>
        <w:rPr>
          <w:rFonts w:ascii="宋体"/>
          <w:sz w:val="24"/>
          <w:szCs w:val="24"/>
          <w:highlight w:val="none"/>
        </w:rPr>
      </w:pPr>
      <w:r>
        <w:rPr>
          <w:rFonts w:ascii="宋体" w:hAnsi="宋体" w:cs="宋体"/>
          <w:sz w:val="24"/>
          <w:szCs w:val="24"/>
          <w:highlight w:val="none"/>
        </w:rPr>
        <w:t xml:space="preserve">7. </w:t>
      </w:r>
      <w:r>
        <w:rPr>
          <w:rFonts w:hint="eastAsia" w:ascii="宋体" w:hAnsi="宋体" w:cs="宋体"/>
          <w:sz w:val="24"/>
          <w:szCs w:val="24"/>
          <w:highlight w:val="none"/>
        </w:rPr>
        <w:t>我方愿意向你公司提供任何与本采购项目谈判有关的数据、情况和技术数据，并根据需要提供一切承诺的证明材料。</w:t>
      </w:r>
    </w:p>
    <w:p>
      <w:pPr>
        <w:spacing w:line="400" w:lineRule="exact"/>
        <w:ind w:firstLine="480" w:firstLineChars="200"/>
        <w:rPr>
          <w:rFonts w:ascii="宋体"/>
          <w:sz w:val="24"/>
          <w:szCs w:val="24"/>
          <w:highlight w:val="none"/>
        </w:rPr>
      </w:pPr>
      <w:r>
        <w:rPr>
          <w:rFonts w:ascii="宋体" w:hAnsi="宋体" w:cs="宋体"/>
          <w:sz w:val="24"/>
          <w:szCs w:val="24"/>
          <w:highlight w:val="none"/>
        </w:rPr>
        <w:t xml:space="preserve">8. </w:t>
      </w:r>
      <w:r>
        <w:rPr>
          <w:rFonts w:hint="eastAsia" w:ascii="宋体" w:hAnsi="宋体" w:cs="宋体"/>
          <w:sz w:val="24"/>
          <w:szCs w:val="24"/>
          <w:highlight w:val="none"/>
        </w:rPr>
        <w:t>我方承诺：采购单位若需追加采购本采购项目谈判文件所列货物及相关服务的，在不改变采购合同其他实质性条款的前提下，按相同或更优惠的折扣保证供货。</w:t>
      </w:r>
    </w:p>
    <w:p>
      <w:pPr>
        <w:spacing w:line="400" w:lineRule="exact"/>
        <w:ind w:firstLine="480" w:firstLineChars="200"/>
        <w:rPr>
          <w:rFonts w:ascii="宋体"/>
          <w:sz w:val="24"/>
          <w:szCs w:val="24"/>
          <w:highlight w:val="none"/>
        </w:rPr>
      </w:pPr>
      <w:r>
        <w:rPr>
          <w:rFonts w:ascii="宋体" w:hAnsi="宋体" w:cs="宋体"/>
          <w:sz w:val="24"/>
          <w:szCs w:val="24"/>
          <w:highlight w:val="none"/>
        </w:rPr>
        <w:t xml:space="preserve">9. </w:t>
      </w:r>
      <w:r>
        <w:rPr>
          <w:rFonts w:hint="eastAsia" w:ascii="宋体" w:hAnsi="宋体" w:cs="宋体"/>
          <w:sz w:val="24"/>
          <w:szCs w:val="24"/>
          <w:highlight w:val="none"/>
        </w:rPr>
        <w:t>我方承诺接受谈判文件中采购合同条款及合同专用条款的全部内容且无任何异议。</w:t>
      </w:r>
    </w:p>
    <w:p>
      <w:pPr>
        <w:spacing w:line="400" w:lineRule="exact"/>
        <w:ind w:firstLine="480" w:firstLineChars="200"/>
        <w:rPr>
          <w:rFonts w:ascii="宋体"/>
          <w:sz w:val="24"/>
          <w:szCs w:val="24"/>
          <w:highlight w:val="none"/>
        </w:rPr>
      </w:pPr>
      <w:r>
        <w:rPr>
          <w:rFonts w:ascii="宋体" w:hAnsi="宋体" w:cs="宋体"/>
          <w:sz w:val="24"/>
          <w:szCs w:val="24"/>
          <w:highlight w:val="none"/>
        </w:rPr>
        <w:t xml:space="preserve">10. </w:t>
      </w:r>
      <w:r>
        <w:rPr>
          <w:rFonts w:hint="eastAsia" w:ascii="宋体" w:hAnsi="宋体" w:cs="宋体"/>
          <w:sz w:val="24"/>
          <w:szCs w:val="24"/>
          <w:highlight w:val="none"/>
        </w:rPr>
        <w:t>我方将严格遵守《合同法》的有关规定，若有下列情形之一的，将被处以谈判金额</w:t>
      </w:r>
      <w:r>
        <w:rPr>
          <w:rFonts w:ascii="宋体" w:hAnsi="宋体" w:cs="宋体"/>
          <w:sz w:val="24"/>
          <w:szCs w:val="24"/>
          <w:highlight w:val="none"/>
        </w:rPr>
        <w:t>5</w:t>
      </w:r>
      <w:r>
        <w:rPr>
          <w:rFonts w:hint="eastAsia" w:ascii="宋体" w:hAnsi="宋体" w:cs="宋体"/>
          <w:sz w:val="24"/>
          <w:szCs w:val="24"/>
          <w:highlight w:val="none"/>
        </w:rPr>
        <w:t>‰以上</w:t>
      </w:r>
      <w:r>
        <w:rPr>
          <w:rFonts w:ascii="宋体" w:hAnsi="宋体" w:cs="宋体"/>
          <w:sz w:val="24"/>
          <w:szCs w:val="24"/>
          <w:highlight w:val="none"/>
        </w:rPr>
        <w:t>10</w:t>
      </w:r>
      <w:r>
        <w:rPr>
          <w:rFonts w:hint="eastAsia" w:ascii="宋体" w:hAnsi="宋体" w:cs="宋体"/>
          <w:sz w:val="24"/>
          <w:szCs w:val="24"/>
          <w:highlight w:val="none"/>
        </w:rPr>
        <w:t>‰以下的罚款，列入不良行为记录名单，有违法所得的，并处没收违法所得；情节严重的，由工商行政管理机关吊销营业执照；构成犯罪的，依法追究刑事责任：</w:t>
      </w:r>
    </w:p>
    <w:p>
      <w:pPr>
        <w:spacing w:line="400" w:lineRule="exact"/>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）提供虚假材料谋取成交的；</w:t>
      </w:r>
    </w:p>
    <w:p>
      <w:pPr>
        <w:spacing w:line="400" w:lineRule="exact"/>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）采取不正当手段诋毁、排挤其他供应商的；</w:t>
      </w:r>
    </w:p>
    <w:p>
      <w:pPr>
        <w:spacing w:line="400" w:lineRule="exact"/>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）与采购单位、其他供应商或者采购代理机构恶意串通的；</w:t>
      </w:r>
    </w:p>
    <w:p>
      <w:pPr>
        <w:spacing w:line="400" w:lineRule="exact"/>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）向采购单位、采购代理机构行贿或者提供其他不正当利益的；</w:t>
      </w:r>
    </w:p>
    <w:p>
      <w:pPr>
        <w:spacing w:line="400" w:lineRule="exact"/>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）在评审过程中与采购单位私下进行协商谈判的；</w:t>
      </w:r>
    </w:p>
    <w:p>
      <w:pPr>
        <w:spacing w:line="400" w:lineRule="exact"/>
        <w:ind w:firstLine="480" w:firstLineChars="200"/>
        <w:rPr>
          <w:rFonts w:ascii="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）拒绝有关部门监督检查或提供虚假情况的。</w:t>
      </w:r>
    </w:p>
    <w:p>
      <w:pPr>
        <w:adjustRightInd w:val="0"/>
        <w:snapToGrid w:val="0"/>
        <w:spacing w:afterLines="50" w:line="320" w:lineRule="exact"/>
        <w:rPr>
          <w:rFonts w:ascii="宋体"/>
          <w:sz w:val="24"/>
          <w:szCs w:val="24"/>
          <w:highlight w:val="none"/>
        </w:rPr>
      </w:pPr>
    </w:p>
    <w:p>
      <w:pPr>
        <w:adjustRightInd w:val="0"/>
        <w:snapToGrid w:val="0"/>
        <w:spacing w:afterLines="50" w:line="320" w:lineRule="exact"/>
        <w:ind w:firstLine="482" w:firstLineChars="200"/>
        <w:rPr>
          <w:rFonts w:ascii="宋体"/>
          <w:b/>
          <w:bCs/>
          <w:sz w:val="24"/>
          <w:szCs w:val="24"/>
          <w:highlight w:val="none"/>
        </w:rPr>
      </w:pPr>
      <w:r>
        <w:rPr>
          <w:rFonts w:hint="eastAsia" w:ascii="宋体" w:hAnsi="宋体" w:cs="宋体"/>
          <w:b/>
          <w:bCs/>
          <w:sz w:val="24"/>
          <w:szCs w:val="24"/>
          <w:highlight w:val="none"/>
        </w:rPr>
        <w:t>与本谈判有关的一切往来通讯请寄：</w:t>
      </w:r>
    </w:p>
    <w:p>
      <w:pPr>
        <w:adjustRightInd w:val="0"/>
        <w:snapToGrid w:val="0"/>
        <w:spacing w:afterLines="50" w:line="320" w:lineRule="exact"/>
        <w:ind w:firstLine="480" w:firstLineChars="200"/>
        <w:outlineLvl w:val="0"/>
        <w:rPr>
          <w:rFonts w:ascii="宋体"/>
          <w:sz w:val="24"/>
          <w:szCs w:val="24"/>
          <w:highlight w:val="none"/>
          <w:u w:val="single"/>
        </w:rPr>
      </w:pPr>
      <w:r>
        <w:rPr>
          <w:rFonts w:hint="eastAsia" w:ascii="宋体" w:hAnsi="宋体" w:cs="宋体"/>
          <w:sz w:val="24"/>
          <w:szCs w:val="24"/>
          <w:highlight w:val="none"/>
        </w:rPr>
        <w:t>地址：</w:t>
      </w:r>
      <w:r>
        <w:rPr>
          <w:rFonts w:ascii="宋体" w:hAnsi="宋体" w:cs="宋体"/>
          <w:sz w:val="24"/>
          <w:szCs w:val="24"/>
          <w:highlight w:val="none"/>
        </w:rPr>
        <w:t xml:space="preserve">        </w:t>
      </w:r>
      <w:r>
        <w:rPr>
          <w:rFonts w:hint="eastAsia" w:ascii="宋体" w:hAnsi="宋体" w:cs="宋体"/>
          <w:sz w:val="24"/>
          <w:szCs w:val="24"/>
          <w:highlight w:val="none"/>
        </w:rPr>
        <w:t>邮编：</w:t>
      </w:r>
    </w:p>
    <w:p>
      <w:pPr>
        <w:adjustRightInd w:val="0"/>
        <w:snapToGrid w:val="0"/>
        <w:spacing w:afterLines="50" w:line="320" w:lineRule="exact"/>
        <w:ind w:firstLine="480" w:firstLineChars="200"/>
        <w:outlineLvl w:val="0"/>
        <w:rPr>
          <w:rFonts w:ascii="宋体"/>
          <w:sz w:val="24"/>
          <w:szCs w:val="24"/>
          <w:highlight w:val="none"/>
          <w:u w:val="single"/>
        </w:rPr>
      </w:pPr>
      <w:r>
        <w:rPr>
          <w:rFonts w:hint="eastAsia" w:ascii="宋体" w:hAnsi="宋体" w:cs="宋体"/>
          <w:sz w:val="24"/>
          <w:szCs w:val="24"/>
          <w:highlight w:val="none"/>
        </w:rPr>
        <w:t>电话：</w:t>
      </w:r>
      <w:r>
        <w:rPr>
          <w:rFonts w:ascii="宋体" w:hAnsi="宋体" w:cs="宋体"/>
          <w:sz w:val="24"/>
          <w:szCs w:val="24"/>
          <w:highlight w:val="none"/>
        </w:rPr>
        <w:t xml:space="preserve">        </w:t>
      </w:r>
      <w:r>
        <w:rPr>
          <w:rFonts w:hint="eastAsia" w:ascii="宋体" w:hAnsi="宋体" w:cs="宋体"/>
          <w:sz w:val="24"/>
          <w:szCs w:val="24"/>
          <w:highlight w:val="none"/>
        </w:rPr>
        <w:t>传真：</w:t>
      </w:r>
    </w:p>
    <w:p>
      <w:pPr>
        <w:adjustRightInd w:val="0"/>
        <w:snapToGrid w:val="0"/>
        <w:spacing w:afterLines="50" w:line="320" w:lineRule="exact"/>
        <w:ind w:firstLine="480" w:firstLineChars="200"/>
        <w:outlineLvl w:val="0"/>
        <w:rPr>
          <w:rFonts w:ascii="宋体"/>
          <w:sz w:val="24"/>
          <w:szCs w:val="24"/>
          <w:highlight w:val="none"/>
          <w:u w:val="single"/>
        </w:rPr>
      </w:pPr>
      <w:r>
        <w:rPr>
          <w:rFonts w:hint="eastAsia" w:ascii="宋体" w:hAnsi="宋体" w:cs="宋体"/>
          <w:sz w:val="24"/>
          <w:szCs w:val="24"/>
          <w:highlight w:val="none"/>
        </w:rPr>
        <w:t>电子函件：</w:t>
      </w:r>
    </w:p>
    <w:p>
      <w:pPr>
        <w:adjustRightInd w:val="0"/>
        <w:snapToGrid w:val="0"/>
        <w:spacing w:afterLines="50" w:line="320" w:lineRule="exact"/>
        <w:rPr>
          <w:rFonts w:ascii="宋体"/>
          <w:sz w:val="24"/>
          <w:szCs w:val="24"/>
          <w:highlight w:val="none"/>
        </w:rPr>
      </w:pPr>
    </w:p>
    <w:p>
      <w:pPr>
        <w:adjustRightInd w:val="0"/>
        <w:snapToGrid w:val="0"/>
        <w:spacing w:afterLines="50" w:line="320" w:lineRule="exact"/>
        <w:rPr>
          <w:rFonts w:ascii="宋体"/>
          <w:sz w:val="24"/>
          <w:szCs w:val="24"/>
          <w:highlight w:val="none"/>
        </w:rPr>
      </w:pPr>
    </w:p>
    <w:p>
      <w:pPr>
        <w:adjustRightInd w:val="0"/>
        <w:snapToGrid w:val="0"/>
        <w:spacing w:afterLines="50" w:line="320" w:lineRule="exact"/>
        <w:ind w:firstLine="480" w:firstLineChars="200"/>
        <w:rPr>
          <w:rFonts w:ascii="宋体"/>
          <w:sz w:val="24"/>
          <w:szCs w:val="24"/>
          <w:highlight w:val="none"/>
          <w:u w:val="single"/>
        </w:rPr>
      </w:pPr>
      <w:r>
        <w:rPr>
          <w:rFonts w:hint="eastAsia" w:ascii="宋体" w:hAnsi="宋体" w:cs="宋体"/>
          <w:sz w:val="24"/>
          <w:szCs w:val="24"/>
          <w:highlight w:val="none"/>
        </w:rPr>
        <w:t>供应商名称（并加盖公章）：</w:t>
      </w:r>
    </w:p>
    <w:p>
      <w:pPr>
        <w:pStyle w:val="19"/>
        <w:adjustRightInd w:val="0"/>
        <w:snapToGrid w:val="0"/>
        <w:spacing w:afterLines="50" w:line="320" w:lineRule="exact"/>
        <w:rPr>
          <w:rFonts w:hAnsi="宋体" w:cs="Times New Roman"/>
          <w:highlight w:val="none"/>
          <w:u w:val="single"/>
        </w:rPr>
      </w:pPr>
      <w:r>
        <w:rPr>
          <w:rFonts w:hint="eastAsia" w:hAnsi="宋体"/>
          <w:snapToGrid w:val="0"/>
          <w:kern w:val="0"/>
          <w:highlight w:val="none"/>
        </w:rPr>
        <w:t>法定代表人或其委托代理人：（签字）</w:t>
      </w:r>
    </w:p>
    <w:p>
      <w:pPr>
        <w:adjustRightInd w:val="0"/>
        <w:snapToGrid w:val="0"/>
        <w:spacing w:afterLines="50" w:line="320" w:lineRule="exact"/>
        <w:ind w:firstLine="480" w:firstLineChars="200"/>
        <w:outlineLvl w:val="0"/>
        <w:rPr>
          <w:rFonts w:ascii="宋体"/>
          <w:sz w:val="24"/>
          <w:szCs w:val="24"/>
          <w:highlight w:val="none"/>
        </w:rPr>
      </w:pPr>
      <w:r>
        <w:rPr>
          <w:rFonts w:hint="eastAsia" w:ascii="宋体" w:hAnsi="宋体" w:cs="宋体"/>
          <w:sz w:val="24"/>
          <w:szCs w:val="24"/>
          <w:highlight w:val="none"/>
        </w:rPr>
        <w:t>签署日期：年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p>
      <w:pPr>
        <w:adjustRightInd w:val="0"/>
        <w:snapToGrid w:val="0"/>
        <w:spacing w:afterLines="50" w:line="320" w:lineRule="exact"/>
        <w:rPr>
          <w:rFonts w:ascii="宋体"/>
          <w:sz w:val="24"/>
          <w:szCs w:val="24"/>
          <w:highlight w:val="none"/>
        </w:rPr>
      </w:pPr>
    </w:p>
    <w:p>
      <w:pPr>
        <w:pStyle w:val="16"/>
        <w:spacing w:before="60" w:afterLines="50" w:line="320" w:lineRule="exact"/>
        <w:ind w:firstLine="0" w:firstLineChars="0"/>
        <w:outlineLvl w:val="0"/>
        <w:rPr>
          <w:rFonts w:ascii="宋体"/>
          <w:b/>
          <w:bCs/>
          <w:kern w:val="2"/>
          <w:highlight w:val="none"/>
        </w:rPr>
      </w:pPr>
    </w:p>
    <w:p>
      <w:pPr>
        <w:spacing w:after="50" w:line="320" w:lineRule="exact"/>
        <w:rPr>
          <w:rFonts w:ascii="宋体"/>
          <w:kern w:val="12"/>
          <w:sz w:val="24"/>
          <w:szCs w:val="24"/>
          <w:highlight w:val="none"/>
        </w:rPr>
      </w:pPr>
    </w:p>
    <w:p>
      <w:pPr>
        <w:spacing w:line="480" w:lineRule="exact"/>
        <w:rPr>
          <w:rFonts w:ascii="宋体"/>
          <w:b/>
          <w:bCs/>
          <w:kern w:val="0"/>
          <w:sz w:val="24"/>
          <w:szCs w:val="24"/>
          <w:highlight w:val="none"/>
        </w:rPr>
      </w:pPr>
      <w:r>
        <w:rPr>
          <w:rFonts w:hAnsi="宋体"/>
          <w:kern w:val="12"/>
          <w:highlight w:val="none"/>
        </w:rPr>
        <w:br w:type="page"/>
      </w:r>
      <w:r>
        <w:rPr>
          <w:rFonts w:hint="eastAsia" w:ascii="宋体" w:hAnsi="宋体" w:cs="宋体"/>
          <w:b/>
          <w:bCs/>
          <w:position w:val="6"/>
          <w:sz w:val="24"/>
          <w:szCs w:val="24"/>
          <w:highlight w:val="none"/>
        </w:rPr>
        <w:t>格式</w:t>
      </w:r>
      <w:r>
        <w:rPr>
          <w:rFonts w:ascii="宋体" w:hAnsi="宋体" w:cs="宋体"/>
          <w:b/>
          <w:bCs/>
          <w:position w:val="6"/>
          <w:sz w:val="24"/>
          <w:szCs w:val="24"/>
          <w:highlight w:val="none"/>
        </w:rPr>
        <w:t>4</w:t>
      </w:r>
      <w:bookmarkStart w:id="12" w:name="_Toc398915288"/>
      <w:bookmarkStart w:id="13" w:name="_Toc294170359"/>
      <w:bookmarkStart w:id="14" w:name="_Toc433291435"/>
    </w:p>
    <w:p>
      <w:pPr>
        <w:spacing w:line="480" w:lineRule="exact"/>
        <w:jc w:val="center"/>
        <w:rPr>
          <w:rFonts w:ascii="宋体"/>
          <w:b/>
          <w:bCs/>
          <w:sz w:val="36"/>
          <w:szCs w:val="36"/>
          <w:highlight w:val="none"/>
        </w:rPr>
      </w:pPr>
      <w:r>
        <w:rPr>
          <w:rFonts w:hint="eastAsia" w:ascii="宋体" w:hAnsi="宋体" w:cs="宋体"/>
          <w:b/>
          <w:bCs/>
          <w:sz w:val="36"/>
          <w:szCs w:val="36"/>
          <w:highlight w:val="none"/>
        </w:rPr>
        <w:t>报价一览表</w:t>
      </w:r>
    </w:p>
    <w:p>
      <w:pPr>
        <w:ind w:firstLine="6746" w:firstLineChars="3200"/>
        <w:rPr>
          <w:highlight w:val="none"/>
          <w:u w:val="single"/>
        </w:rPr>
      </w:pPr>
      <w:r>
        <w:rPr>
          <w:rFonts w:hint="eastAsia" w:cs="宋体"/>
          <w:b/>
          <w:bCs/>
          <w:highlight w:val="none"/>
        </w:rPr>
        <w:t>单位：</w:t>
      </w:r>
      <w:r>
        <w:rPr>
          <w:b/>
          <w:bCs/>
          <w:highlight w:val="none"/>
          <w:u w:val="single"/>
        </w:rPr>
        <w:t xml:space="preserve">    </w:t>
      </w:r>
    </w:p>
    <w:tbl>
      <w:tblPr>
        <w:tblStyle w:val="38"/>
        <w:tblpPr w:leftFromText="180" w:rightFromText="180" w:vertAnchor="text" w:horzAnchor="margin" w:tblpX="160" w:tblpY="14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3060"/>
        <w:gridCol w:w="426"/>
        <w:gridCol w:w="519"/>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2208" w:type="dxa"/>
            <w:vAlign w:val="center"/>
          </w:tcPr>
          <w:p>
            <w:pPr>
              <w:autoSpaceDE w:val="0"/>
              <w:autoSpaceDN w:val="0"/>
              <w:adjustRightInd w:val="0"/>
              <w:jc w:val="center"/>
              <w:rPr>
                <w:rFonts w:ascii="宋体"/>
                <w:highlight w:val="none"/>
              </w:rPr>
            </w:pPr>
            <w:r>
              <w:rPr>
                <w:rFonts w:hint="eastAsia" w:ascii="宋体" w:hAnsi="宋体" w:cs="宋体"/>
                <w:highlight w:val="none"/>
              </w:rPr>
              <w:t>项目名称</w:t>
            </w:r>
          </w:p>
        </w:tc>
        <w:tc>
          <w:tcPr>
            <w:tcW w:w="3060" w:type="dxa"/>
            <w:vAlign w:val="center"/>
          </w:tcPr>
          <w:p>
            <w:pPr>
              <w:autoSpaceDE w:val="0"/>
              <w:autoSpaceDN w:val="0"/>
              <w:adjustRightInd w:val="0"/>
              <w:rPr>
                <w:rFonts w:ascii="宋体"/>
                <w:highlight w:val="none"/>
              </w:rPr>
            </w:pPr>
          </w:p>
        </w:tc>
        <w:tc>
          <w:tcPr>
            <w:tcW w:w="945" w:type="dxa"/>
            <w:gridSpan w:val="2"/>
            <w:vAlign w:val="center"/>
          </w:tcPr>
          <w:p>
            <w:pPr>
              <w:autoSpaceDE w:val="0"/>
              <w:autoSpaceDN w:val="0"/>
              <w:adjustRightInd w:val="0"/>
              <w:jc w:val="center"/>
              <w:rPr>
                <w:rFonts w:ascii="宋体"/>
                <w:highlight w:val="none"/>
              </w:rPr>
            </w:pPr>
            <w:r>
              <w:rPr>
                <w:rFonts w:hint="eastAsia" w:ascii="宋体" w:hAnsi="宋体" w:cs="宋体"/>
                <w:highlight w:val="none"/>
              </w:rPr>
              <w:t>标段</w:t>
            </w:r>
          </w:p>
        </w:tc>
        <w:tc>
          <w:tcPr>
            <w:tcW w:w="2967" w:type="dxa"/>
            <w:vAlign w:val="center"/>
          </w:tcPr>
          <w:p>
            <w:pPr>
              <w:autoSpaceDE w:val="0"/>
              <w:autoSpaceDN w:val="0"/>
              <w:adjustRightInd w:val="0"/>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2208" w:type="dxa"/>
            <w:vAlign w:val="center"/>
          </w:tcPr>
          <w:p>
            <w:pPr>
              <w:autoSpaceDE w:val="0"/>
              <w:autoSpaceDN w:val="0"/>
              <w:adjustRightInd w:val="0"/>
              <w:jc w:val="center"/>
              <w:rPr>
                <w:rFonts w:ascii="宋体"/>
                <w:highlight w:val="none"/>
              </w:rPr>
            </w:pPr>
            <w:r>
              <w:rPr>
                <w:rFonts w:hint="eastAsia" w:ascii="宋体" w:hAnsi="宋体" w:cs="宋体"/>
                <w:highlight w:val="none"/>
              </w:rPr>
              <w:t>供应商名称</w:t>
            </w:r>
          </w:p>
        </w:tc>
        <w:tc>
          <w:tcPr>
            <w:tcW w:w="6972" w:type="dxa"/>
            <w:gridSpan w:val="4"/>
            <w:vAlign w:val="center"/>
          </w:tcPr>
          <w:p>
            <w:pPr>
              <w:autoSpaceDE w:val="0"/>
              <w:autoSpaceDN w:val="0"/>
              <w:adjustRightInd w:val="0"/>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trPr>
        <w:tc>
          <w:tcPr>
            <w:tcW w:w="2208" w:type="dxa"/>
            <w:vAlign w:val="center"/>
          </w:tcPr>
          <w:p>
            <w:pPr>
              <w:autoSpaceDE w:val="0"/>
              <w:autoSpaceDN w:val="0"/>
              <w:adjustRightInd w:val="0"/>
              <w:jc w:val="center"/>
              <w:rPr>
                <w:rFonts w:ascii="宋体"/>
                <w:highlight w:val="none"/>
              </w:rPr>
            </w:pPr>
            <w:r>
              <w:rPr>
                <w:rFonts w:hint="eastAsia" w:ascii="宋体" w:hAnsi="宋体" w:cs="宋体"/>
                <w:highlight w:val="none"/>
              </w:rPr>
              <w:t>报价（优惠率）</w:t>
            </w:r>
          </w:p>
        </w:tc>
        <w:tc>
          <w:tcPr>
            <w:tcW w:w="3486" w:type="dxa"/>
            <w:gridSpan w:val="2"/>
            <w:vAlign w:val="center"/>
          </w:tcPr>
          <w:p>
            <w:pPr>
              <w:pStyle w:val="14"/>
              <w:ind w:firstLine="0" w:firstLineChars="0"/>
              <w:rPr>
                <w:rFonts w:ascii="宋体" w:cs="Times New Roman"/>
                <w:sz w:val="21"/>
                <w:szCs w:val="21"/>
                <w:highlight w:val="none"/>
              </w:rPr>
            </w:pPr>
            <w:r>
              <w:rPr>
                <w:rFonts w:hint="eastAsia" w:ascii="宋体" w:hAnsi="宋体" w:cs="宋体"/>
                <w:sz w:val="21"/>
                <w:szCs w:val="21"/>
                <w:highlight w:val="none"/>
              </w:rPr>
              <w:t>未财政评审填报优惠率（权重</w:t>
            </w:r>
            <w:r>
              <w:rPr>
                <w:rFonts w:ascii="宋体" w:hAnsi="宋体" w:cs="宋体"/>
                <w:sz w:val="21"/>
                <w:szCs w:val="21"/>
                <w:highlight w:val="none"/>
              </w:rPr>
              <w:t>60%</w:t>
            </w:r>
            <w:r>
              <w:rPr>
                <w:rFonts w:hint="eastAsia" w:ascii="宋体" w:hAnsi="宋体" w:cs="宋体"/>
                <w:sz w:val="21"/>
                <w:szCs w:val="21"/>
                <w:highlight w:val="none"/>
              </w:rPr>
              <w:t>）：</w:t>
            </w:r>
          </w:p>
          <w:p>
            <w:pPr>
              <w:pStyle w:val="14"/>
              <w:ind w:firstLine="0" w:firstLineChars="0"/>
              <w:rPr>
                <w:rFonts w:ascii="宋体" w:cs="Times New Roman"/>
                <w:sz w:val="21"/>
                <w:szCs w:val="21"/>
                <w:highlight w:val="none"/>
                <w:u w:val="single"/>
              </w:rPr>
            </w:pPr>
            <w:r>
              <w:rPr>
                <w:rFonts w:hint="eastAsia" w:ascii="宋体" w:hAnsi="宋体" w:cs="宋体"/>
                <w:sz w:val="21"/>
                <w:szCs w:val="21"/>
                <w:highlight w:val="none"/>
              </w:rPr>
              <w:t>大写：</w:t>
            </w:r>
            <w:r>
              <w:rPr>
                <w:rFonts w:ascii="宋体" w:hAnsi="宋体" w:cs="宋体"/>
                <w:sz w:val="21"/>
                <w:szCs w:val="21"/>
                <w:highlight w:val="none"/>
                <w:u w:val="single"/>
              </w:rPr>
              <w:t xml:space="preserve">         </w:t>
            </w:r>
          </w:p>
          <w:p>
            <w:pPr>
              <w:pStyle w:val="14"/>
              <w:ind w:firstLine="0" w:firstLineChars="0"/>
              <w:rPr>
                <w:rFonts w:ascii="宋体" w:cs="Times New Roman"/>
                <w:sz w:val="21"/>
                <w:szCs w:val="21"/>
                <w:highlight w:val="none"/>
                <w:u w:val="single"/>
              </w:rPr>
            </w:pPr>
            <w:r>
              <w:rPr>
                <w:rFonts w:hint="eastAsia" w:ascii="宋体" w:hAnsi="宋体" w:cs="宋体"/>
                <w:sz w:val="21"/>
                <w:szCs w:val="21"/>
                <w:highlight w:val="none"/>
              </w:rPr>
              <w:t>小写：</w:t>
            </w:r>
            <w:r>
              <w:rPr>
                <w:rFonts w:ascii="宋体" w:hAnsi="宋体" w:cs="宋体"/>
                <w:sz w:val="21"/>
                <w:szCs w:val="21"/>
                <w:highlight w:val="none"/>
                <w:u w:val="single"/>
              </w:rPr>
              <w:t xml:space="preserve">         </w:t>
            </w:r>
            <w:r>
              <w:rPr>
                <w:rFonts w:ascii="宋体" w:hAnsi="宋体" w:cs="宋体"/>
                <w:sz w:val="21"/>
                <w:szCs w:val="21"/>
                <w:highlight w:val="none"/>
              </w:rPr>
              <w:t xml:space="preserve">        </w:t>
            </w:r>
          </w:p>
        </w:tc>
        <w:tc>
          <w:tcPr>
            <w:tcW w:w="3486" w:type="dxa"/>
            <w:gridSpan w:val="2"/>
            <w:vAlign w:val="center"/>
          </w:tcPr>
          <w:p>
            <w:pPr>
              <w:pStyle w:val="14"/>
              <w:ind w:firstLine="0" w:firstLineChars="0"/>
              <w:rPr>
                <w:rFonts w:ascii="宋体" w:cs="Times New Roman"/>
                <w:sz w:val="21"/>
                <w:szCs w:val="21"/>
                <w:highlight w:val="none"/>
              </w:rPr>
            </w:pPr>
            <w:r>
              <w:rPr>
                <w:rFonts w:hint="eastAsia" w:ascii="宋体" w:hAnsi="宋体" w:cs="宋体"/>
                <w:sz w:val="21"/>
                <w:szCs w:val="21"/>
                <w:highlight w:val="none"/>
              </w:rPr>
              <w:t>经财政评审填报优惠率（权重</w:t>
            </w:r>
            <w:r>
              <w:rPr>
                <w:rFonts w:ascii="宋体" w:hAnsi="宋体" w:cs="宋体"/>
                <w:sz w:val="21"/>
                <w:szCs w:val="21"/>
                <w:highlight w:val="none"/>
              </w:rPr>
              <w:t>40%</w:t>
            </w:r>
            <w:r>
              <w:rPr>
                <w:rFonts w:hint="eastAsia" w:ascii="宋体" w:hAnsi="宋体" w:cs="宋体"/>
                <w:sz w:val="21"/>
                <w:szCs w:val="21"/>
                <w:highlight w:val="none"/>
              </w:rPr>
              <w:t>）：</w:t>
            </w:r>
          </w:p>
          <w:p>
            <w:pPr>
              <w:pStyle w:val="14"/>
              <w:ind w:firstLine="0" w:firstLineChars="0"/>
              <w:rPr>
                <w:rFonts w:ascii="宋体" w:cs="Times New Roman"/>
                <w:sz w:val="21"/>
                <w:szCs w:val="21"/>
                <w:highlight w:val="none"/>
                <w:u w:val="single"/>
              </w:rPr>
            </w:pPr>
            <w:r>
              <w:rPr>
                <w:rFonts w:hint="eastAsia" w:ascii="宋体" w:hAnsi="宋体" w:cs="宋体"/>
                <w:sz w:val="21"/>
                <w:szCs w:val="21"/>
                <w:highlight w:val="none"/>
              </w:rPr>
              <w:t>大写：</w:t>
            </w:r>
            <w:r>
              <w:rPr>
                <w:rFonts w:ascii="宋体" w:hAnsi="宋体" w:cs="宋体"/>
                <w:sz w:val="21"/>
                <w:szCs w:val="21"/>
                <w:highlight w:val="none"/>
                <w:u w:val="single"/>
              </w:rPr>
              <w:t xml:space="preserve">         </w:t>
            </w:r>
          </w:p>
          <w:p>
            <w:pPr>
              <w:pStyle w:val="14"/>
              <w:ind w:firstLine="0" w:firstLineChars="0"/>
              <w:rPr>
                <w:rFonts w:ascii="宋体" w:cs="Times New Roman"/>
                <w:sz w:val="21"/>
                <w:szCs w:val="21"/>
                <w:highlight w:val="none"/>
              </w:rPr>
            </w:pPr>
            <w:r>
              <w:rPr>
                <w:rFonts w:hint="eastAsia" w:ascii="宋体" w:hAnsi="宋体" w:cs="宋体"/>
                <w:sz w:val="21"/>
                <w:szCs w:val="21"/>
                <w:highlight w:val="none"/>
              </w:rPr>
              <w:t>小写：</w:t>
            </w:r>
            <w:r>
              <w:rPr>
                <w:rFonts w:ascii="宋体" w:hAnsi="宋体" w:cs="宋体"/>
                <w:sz w:val="21"/>
                <w:szCs w:val="21"/>
                <w:highlight w:val="none"/>
                <w:u w:val="single"/>
              </w:rPr>
              <w:t xml:space="preserve">         </w:t>
            </w:r>
            <w:r>
              <w:rPr>
                <w:rFonts w:ascii="宋体" w:hAnsi="宋体" w:cs="宋体"/>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2208" w:type="dxa"/>
            <w:vAlign w:val="center"/>
          </w:tcPr>
          <w:p>
            <w:pPr>
              <w:autoSpaceDE w:val="0"/>
              <w:autoSpaceDN w:val="0"/>
              <w:adjustRightInd w:val="0"/>
              <w:jc w:val="center"/>
              <w:rPr>
                <w:rFonts w:ascii="宋体"/>
                <w:highlight w:val="none"/>
              </w:rPr>
            </w:pPr>
            <w:r>
              <w:rPr>
                <w:rFonts w:hint="eastAsia" w:ascii="宋体" w:hAnsi="宋体" w:cs="宋体"/>
                <w:highlight w:val="none"/>
              </w:rPr>
              <w:t>总报价（总优惠率）</w:t>
            </w:r>
          </w:p>
        </w:tc>
        <w:tc>
          <w:tcPr>
            <w:tcW w:w="6972" w:type="dxa"/>
            <w:gridSpan w:val="4"/>
            <w:vAlign w:val="center"/>
          </w:tcPr>
          <w:p>
            <w:pPr>
              <w:pStyle w:val="14"/>
              <w:ind w:firstLine="0" w:firstLineChars="0"/>
              <w:rPr>
                <w:rFonts w:ascii="宋体" w:cs="Times New Roman"/>
                <w:sz w:val="21"/>
                <w:szCs w:val="21"/>
                <w:highlight w:val="none"/>
                <w:u w:val="single"/>
              </w:rPr>
            </w:pPr>
            <w:r>
              <w:rPr>
                <w:rFonts w:ascii="宋体" w:hAnsi="宋体" w:cs="宋体"/>
                <w:sz w:val="21"/>
                <w:szCs w:val="21"/>
                <w:highlight w:val="none"/>
              </w:rPr>
              <w:t>=</w:t>
            </w:r>
            <w:r>
              <w:rPr>
                <w:rFonts w:hint="eastAsia" w:ascii="宋体" w:hAnsi="宋体" w:cs="宋体"/>
                <w:sz w:val="21"/>
                <w:szCs w:val="21"/>
                <w:highlight w:val="none"/>
              </w:rPr>
              <w:t>（未财政评审填报优惠率</w:t>
            </w:r>
            <w:r>
              <w:rPr>
                <w:rFonts w:ascii="宋体" w:hAnsi="宋体" w:cs="宋体"/>
                <w:sz w:val="21"/>
                <w:szCs w:val="21"/>
                <w:highlight w:val="none"/>
              </w:rPr>
              <w:t>*60%+</w:t>
            </w:r>
            <w:r>
              <w:rPr>
                <w:rFonts w:hint="eastAsia" w:ascii="宋体" w:hAnsi="宋体" w:cs="宋体"/>
                <w:sz w:val="21"/>
                <w:szCs w:val="21"/>
                <w:highlight w:val="none"/>
              </w:rPr>
              <w:t>经财政评审填报优惠率</w:t>
            </w:r>
            <w:r>
              <w:rPr>
                <w:rFonts w:ascii="宋体" w:hAnsi="宋体" w:cs="宋体"/>
                <w:sz w:val="21"/>
                <w:szCs w:val="21"/>
                <w:highlight w:val="none"/>
              </w:rPr>
              <w:t>*40%</w:t>
            </w:r>
            <w:r>
              <w:rPr>
                <w:rFonts w:hint="eastAsia" w:ascii="宋体" w:hAnsi="宋体" w:cs="宋体"/>
                <w:sz w:val="21"/>
                <w:szCs w:val="21"/>
                <w:highlight w:val="none"/>
              </w:rPr>
              <w:t>）</w:t>
            </w:r>
            <w:r>
              <w:rPr>
                <w:rFonts w:ascii="宋体" w:hAnsi="宋体" w:cs="宋体"/>
                <w:sz w:val="21"/>
                <w:szCs w:val="21"/>
                <w:highlight w:val="none"/>
              </w:rPr>
              <w:t>/2</w:t>
            </w:r>
            <w:r>
              <w:rPr>
                <w:rFonts w:ascii="宋体" w:hAnsi="宋体" w:cs="宋体"/>
                <w:sz w:val="21"/>
                <w:szCs w:val="21"/>
                <w:highlight w:val="none"/>
              </w:rPr>
              <w:br w:type="textWrapping"/>
            </w:r>
            <w:r>
              <w:rPr>
                <w:rFonts w:hint="eastAsia" w:ascii="宋体" w:hAnsi="宋体" w:cs="宋体"/>
                <w:sz w:val="21"/>
                <w:szCs w:val="21"/>
                <w:highlight w:val="none"/>
              </w:rPr>
              <w:t>大写：</w:t>
            </w:r>
            <w:r>
              <w:rPr>
                <w:rFonts w:ascii="宋体" w:hAnsi="宋体" w:cs="宋体"/>
                <w:sz w:val="21"/>
                <w:szCs w:val="21"/>
                <w:highlight w:val="none"/>
                <w:u w:val="single"/>
              </w:rPr>
              <w:t xml:space="preserve">         </w:t>
            </w:r>
          </w:p>
          <w:p>
            <w:pPr>
              <w:autoSpaceDE w:val="0"/>
              <w:autoSpaceDN w:val="0"/>
              <w:adjustRightInd w:val="0"/>
              <w:rPr>
                <w:rFonts w:ascii="宋体"/>
                <w:highlight w:val="none"/>
              </w:rPr>
            </w:pPr>
            <w:r>
              <w:rPr>
                <w:rFonts w:hint="eastAsia" w:ascii="宋体" w:hAnsi="宋体" w:cs="宋体"/>
                <w:highlight w:val="none"/>
              </w:rPr>
              <w:t>小写：</w:t>
            </w:r>
            <w:r>
              <w:rPr>
                <w:rFonts w:ascii="宋体" w:hAnsi="宋体" w:cs="宋体"/>
                <w:highlight w:val="none"/>
                <w:u w:val="single"/>
              </w:rPr>
              <w:t xml:space="preserve">         </w:t>
            </w:r>
            <w:r>
              <w:rPr>
                <w:rFonts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2208" w:type="dxa"/>
            <w:vAlign w:val="center"/>
          </w:tcPr>
          <w:p>
            <w:pPr>
              <w:autoSpaceDE w:val="0"/>
              <w:autoSpaceDN w:val="0"/>
              <w:adjustRightInd w:val="0"/>
              <w:jc w:val="center"/>
              <w:rPr>
                <w:rFonts w:ascii="宋体"/>
                <w:highlight w:val="none"/>
              </w:rPr>
            </w:pPr>
            <w:r>
              <w:rPr>
                <w:rFonts w:hint="eastAsia" w:ascii="宋体" w:hAnsi="宋体" w:cs="宋体"/>
                <w:highlight w:val="none"/>
              </w:rPr>
              <w:t>服务期限</w:t>
            </w:r>
          </w:p>
        </w:tc>
        <w:tc>
          <w:tcPr>
            <w:tcW w:w="6972" w:type="dxa"/>
            <w:gridSpan w:val="4"/>
            <w:vAlign w:val="center"/>
          </w:tcPr>
          <w:p>
            <w:pPr>
              <w:autoSpaceDE w:val="0"/>
              <w:autoSpaceDN w:val="0"/>
              <w:adjustRightInd w:val="0"/>
              <w:ind w:firstLine="420" w:firstLineChars="200"/>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2208" w:type="dxa"/>
            <w:vAlign w:val="center"/>
          </w:tcPr>
          <w:p>
            <w:pPr>
              <w:autoSpaceDE w:val="0"/>
              <w:autoSpaceDN w:val="0"/>
              <w:adjustRightInd w:val="0"/>
              <w:jc w:val="center"/>
              <w:rPr>
                <w:rFonts w:ascii="宋体"/>
                <w:highlight w:val="none"/>
              </w:rPr>
            </w:pPr>
            <w:r>
              <w:rPr>
                <w:rFonts w:hint="eastAsia" w:ascii="宋体" w:hAnsi="宋体" w:cs="宋体"/>
                <w:highlight w:val="none"/>
              </w:rPr>
              <w:t>备注</w:t>
            </w:r>
          </w:p>
        </w:tc>
        <w:tc>
          <w:tcPr>
            <w:tcW w:w="6972" w:type="dxa"/>
            <w:gridSpan w:val="4"/>
            <w:vAlign w:val="center"/>
          </w:tcPr>
          <w:p>
            <w:pPr>
              <w:autoSpaceDE w:val="0"/>
              <w:autoSpaceDN w:val="0"/>
              <w:adjustRightInd w:val="0"/>
              <w:jc w:val="center"/>
              <w:rPr>
                <w:rFonts w:ascii="宋体"/>
                <w:highlight w:val="none"/>
              </w:rPr>
            </w:pPr>
          </w:p>
        </w:tc>
      </w:tr>
    </w:tbl>
    <w:p>
      <w:pPr>
        <w:spacing w:line="440" w:lineRule="exact"/>
        <w:ind w:firstLine="3600" w:firstLineChars="1500"/>
        <w:jc w:val="center"/>
        <w:rPr>
          <w:rFonts w:ascii="宋体"/>
          <w:sz w:val="24"/>
          <w:szCs w:val="24"/>
          <w:highlight w:val="none"/>
        </w:rPr>
      </w:pPr>
    </w:p>
    <w:p>
      <w:pPr>
        <w:spacing w:line="440" w:lineRule="exact"/>
        <w:ind w:firstLine="3600" w:firstLineChars="1500"/>
        <w:jc w:val="center"/>
        <w:rPr>
          <w:rFonts w:ascii="宋体"/>
          <w:sz w:val="24"/>
          <w:szCs w:val="24"/>
          <w:highlight w:val="none"/>
        </w:rPr>
      </w:pPr>
      <w:r>
        <w:rPr>
          <w:rFonts w:hint="eastAsia" w:ascii="宋体" w:hAnsi="宋体" w:cs="宋体"/>
          <w:sz w:val="24"/>
          <w:szCs w:val="24"/>
          <w:highlight w:val="none"/>
        </w:rPr>
        <w:t>供应商：（盖单位公章）</w:t>
      </w:r>
    </w:p>
    <w:p>
      <w:pPr>
        <w:spacing w:line="440" w:lineRule="exact"/>
        <w:ind w:firstLine="3480" w:firstLineChars="1450"/>
        <w:jc w:val="center"/>
        <w:rPr>
          <w:rFonts w:ascii="宋体"/>
          <w:highlight w:val="none"/>
        </w:rPr>
      </w:pPr>
      <w:r>
        <w:rPr>
          <w:rFonts w:hint="eastAsia" w:ascii="宋体" w:hAnsi="宋体" w:cs="宋体"/>
          <w:sz w:val="24"/>
          <w:szCs w:val="24"/>
          <w:highlight w:val="none"/>
        </w:rPr>
        <w:t>法定代表人或其委托代理人：（签字）</w:t>
      </w:r>
    </w:p>
    <w:p>
      <w:pPr>
        <w:spacing w:line="480" w:lineRule="exact"/>
        <w:jc w:val="center"/>
        <w:rPr>
          <w:rFonts w:ascii="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p>
      <w:pPr>
        <w:spacing w:line="480" w:lineRule="exact"/>
        <w:jc w:val="center"/>
        <w:rPr>
          <w:rFonts w:ascii="宋体"/>
          <w:sz w:val="24"/>
          <w:szCs w:val="24"/>
          <w:highlight w:val="none"/>
        </w:rPr>
      </w:pPr>
    </w:p>
    <w:p>
      <w:pPr>
        <w:spacing w:line="480" w:lineRule="exact"/>
        <w:jc w:val="center"/>
        <w:rPr>
          <w:rFonts w:ascii="宋体"/>
          <w:sz w:val="24"/>
          <w:szCs w:val="24"/>
          <w:highlight w:val="none"/>
        </w:rPr>
      </w:pPr>
    </w:p>
    <w:p>
      <w:pPr>
        <w:spacing w:line="480" w:lineRule="exact"/>
        <w:jc w:val="center"/>
        <w:rPr>
          <w:rFonts w:ascii="宋体"/>
          <w:sz w:val="24"/>
          <w:szCs w:val="24"/>
          <w:highlight w:val="none"/>
        </w:rPr>
      </w:pPr>
    </w:p>
    <w:p>
      <w:pPr>
        <w:spacing w:line="480" w:lineRule="exact"/>
        <w:jc w:val="center"/>
        <w:rPr>
          <w:rFonts w:ascii="宋体"/>
          <w:sz w:val="24"/>
          <w:szCs w:val="24"/>
          <w:highlight w:val="none"/>
        </w:rPr>
      </w:pPr>
    </w:p>
    <w:p>
      <w:pPr>
        <w:spacing w:line="480" w:lineRule="exact"/>
        <w:jc w:val="center"/>
        <w:rPr>
          <w:rFonts w:ascii="宋体"/>
          <w:sz w:val="24"/>
          <w:szCs w:val="24"/>
          <w:highlight w:val="none"/>
        </w:rPr>
      </w:pPr>
    </w:p>
    <w:p>
      <w:pPr>
        <w:spacing w:line="480" w:lineRule="exact"/>
        <w:jc w:val="center"/>
        <w:rPr>
          <w:rFonts w:ascii="宋体"/>
          <w:sz w:val="24"/>
          <w:szCs w:val="24"/>
          <w:highlight w:val="none"/>
        </w:rPr>
      </w:pPr>
    </w:p>
    <w:bookmarkEnd w:id="12"/>
    <w:bookmarkEnd w:id="13"/>
    <w:bookmarkEnd w:id="14"/>
    <w:p>
      <w:pPr>
        <w:spacing w:line="480" w:lineRule="exact"/>
        <w:rPr>
          <w:rFonts w:ascii="宋体"/>
          <w:b/>
          <w:bCs/>
          <w:position w:val="6"/>
          <w:sz w:val="24"/>
          <w:szCs w:val="24"/>
          <w:highlight w:val="none"/>
        </w:rPr>
      </w:pPr>
      <w:r>
        <w:rPr>
          <w:rFonts w:ascii="宋体"/>
          <w:b/>
          <w:bCs/>
          <w:position w:val="6"/>
          <w:sz w:val="24"/>
          <w:szCs w:val="24"/>
          <w:highlight w:val="none"/>
        </w:rPr>
        <w:br w:type="page"/>
      </w:r>
    </w:p>
    <w:p>
      <w:pPr>
        <w:spacing w:line="480" w:lineRule="exact"/>
        <w:rPr>
          <w:rFonts w:ascii="宋体"/>
          <w:b/>
          <w:bCs/>
          <w:position w:val="6"/>
          <w:sz w:val="24"/>
          <w:szCs w:val="24"/>
          <w:highlight w:val="none"/>
        </w:rPr>
      </w:pPr>
      <w:r>
        <w:rPr>
          <w:rFonts w:hint="eastAsia" w:ascii="宋体" w:hAnsi="宋体" w:cs="宋体"/>
          <w:b/>
          <w:bCs/>
          <w:position w:val="6"/>
          <w:sz w:val="24"/>
          <w:szCs w:val="24"/>
          <w:highlight w:val="none"/>
        </w:rPr>
        <w:t>格式</w:t>
      </w:r>
      <w:r>
        <w:rPr>
          <w:rFonts w:ascii="宋体" w:hAnsi="宋体" w:cs="宋体"/>
          <w:b/>
          <w:bCs/>
          <w:position w:val="6"/>
          <w:sz w:val="24"/>
          <w:szCs w:val="24"/>
          <w:highlight w:val="none"/>
        </w:rPr>
        <w:t>5</w:t>
      </w:r>
    </w:p>
    <w:p>
      <w:pPr>
        <w:spacing w:line="480" w:lineRule="exact"/>
        <w:jc w:val="center"/>
        <w:rPr>
          <w:rFonts w:ascii="宋体"/>
          <w:b/>
          <w:bCs/>
          <w:sz w:val="36"/>
          <w:szCs w:val="36"/>
          <w:highlight w:val="none"/>
        </w:rPr>
      </w:pPr>
    </w:p>
    <w:p>
      <w:pPr>
        <w:spacing w:line="480" w:lineRule="exact"/>
        <w:jc w:val="center"/>
        <w:rPr>
          <w:rFonts w:ascii="宋体"/>
          <w:b/>
          <w:bCs/>
          <w:sz w:val="36"/>
          <w:szCs w:val="36"/>
          <w:highlight w:val="none"/>
        </w:rPr>
      </w:pPr>
      <w:r>
        <w:rPr>
          <w:rFonts w:hint="eastAsia" w:ascii="宋体" w:hAnsi="宋体" w:cs="宋体"/>
          <w:b/>
          <w:bCs/>
          <w:sz w:val="36"/>
          <w:szCs w:val="36"/>
          <w:highlight w:val="none"/>
        </w:rPr>
        <w:t>供应商最后报价表</w:t>
      </w:r>
    </w:p>
    <w:p>
      <w:pPr>
        <w:ind w:firstLine="6746" w:firstLineChars="3200"/>
        <w:jc w:val="center"/>
        <w:rPr>
          <w:b/>
          <w:bCs/>
          <w:highlight w:val="none"/>
        </w:rPr>
      </w:pPr>
      <w:r>
        <w:rPr>
          <w:rFonts w:hint="eastAsia" w:ascii="宋体" w:hAnsi="宋体" w:cs="宋体"/>
          <w:b/>
          <w:bCs/>
          <w:highlight w:val="none"/>
        </w:rPr>
        <w:t>单位：</w:t>
      </w:r>
      <w:r>
        <w:rPr>
          <w:rFonts w:ascii="宋体" w:hAnsi="宋体" w:cs="宋体"/>
          <w:b/>
          <w:bCs/>
          <w:highlight w:val="none"/>
          <w:u w:val="single"/>
        </w:rPr>
        <w:t xml:space="preserve">     </w:t>
      </w:r>
    </w:p>
    <w:tbl>
      <w:tblPr>
        <w:tblStyle w:val="38"/>
        <w:tblpPr w:leftFromText="180" w:rightFromText="180" w:vertAnchor="text" w:horzAnchor="margin" w:tblpX="160" w:tblpY="14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330"/>
        <w:gridCol w:w="426"/>
        <w:gridCol w:w="744"/>
        <w:gridCol w:w="3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1951" w:type="dxa"/>
            <w:vAlign w:val="center"/>
          </w:tcPr>
          <w:p>
            <w:pPr>
              <w:autoSpaceDE w:val="0"/>
              <w:autoSpaceDN w:val="0"/>
              <w:adjustRightInd w:val="0"/>
              <w:jc w:val="center"/>
              <w:rPr>
                <w:rFonts w:ascii="宋体"/>
                <w:sz w:val="24"/>
                <w:szCs w:val="24"/>
                <w:highlight w:val="none"/>
              </w:rPr>
            </w:pPr>
            <w:r>
              <w:rPr>
                <w:rFonts w:hint="eastAsia" w:ascii="宋体" w:hAnsi="宋体" w:cs="宋体"/>
                <w:sz w:val="24"/>
                <w:szCs w:val="24"/>
                <w:highlight w:val="none"/>
              </w:rPr>
              <w:t>项目名称</w:t>
            </w:r>
          </w:p>
        </w:tc>
        <w:tc>
          <w:tcPr>
            <w:tcW w:w="3330" w:type="dxa"/>
            <w:vAlign w:val="center"/>
          </w:tcPr>
          <w:p>
            <w:pPr>
              <w:autoSpaceDE w:val="0"/>
              <w:autoSpaceDN w:val="0"/>
              <w:adjustRightInd w:val="0"/>
              <w:rPr>
                <w:rFonts w:ascii="宋体"/>
                <w:sz w:val="24"/>
                <w:szCs w:val="24"/>
                <w:highlight w:val="none"/>
              </w:rPr>
            </w:pPr>
          </w:p>
        </w:tc>
        <w:tc>
          <w:tcPr>
            <w:tcW w:w="1170" w:type="dxa"/>
            <w:gridSpan w:val="2"/>
            <w:vAlign w:val="center"/>
          </w:tcPr>
          <w:p>
            <w:pPr>
              <w:autoSpaceDE w:val="0"/>
              <w:autoSpaceDN w:val="0"/>
              <w:adjustRightInd w:val="0"/>
              <w:jc w:val="center"/>
              <w:rPr>
                <w:rFonts w:ascii="宋体"/>
                <w:sz w:val="24"/>
                <w:szCs w:val="24"/>
                <w:highlight w:val="none"/>
              </w:rPr>
            </w:pPr>
            <w:r>
              <w:rPr>
                <w:rFonts w:hint="eastAsia" w:ascii="宋体" w:hAnsi="宋体" w:cs="宋体"/>
                <w:sz w:val="24"/>
                <w:szCs w:val="24"/>
                <w:highlight w:val="none"/>
              </w:rPr>
              <w:t>标段</w:t>
            </w:r>
          </w:p>
        </w:tc>
        <w:tc>
          <w:tcPr>
            <w:tcW w:w="3013" w:type="dxa"/>
            <w:vAlign w:val="center"/>
          </w:tcPr>
          <w:p>
            <w:pPr>
              <w:autoSpaceDE w:val="0"/>
              <w:autoSpaceDN w:val="0"/>
              <w:adjustRightInd w:val="0"/>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951" w:type="dxa"/>
            <w:vAlign w:val="center"/>
          </w:tcPr>
          <w:p>
            <w:pPr>
              <w:autoSpaceDE w:val="0"/>
              <w:autoSpaceDN w:val="0"/>
              <w:adjustRightInd w:val="0"/>
              <w:jc w:val="center"/>
              <w:rPr>
                <w:rFonts w:ascii="宋体"/>
                <w:sz w:val="24"/>
                <w:szCs w:val="24"/>
                <w:highlight w:val="none"/>
              </w:rPr>
            </w:pPr>
            <w:r>
              <w:rPr>
                <w:rFonts w:hint="eastAsia" w:ascii="宋体" w:hAnsi="宋体" w:cs="宋体"/>
                <w:highlight w:val="none"/>
              </w:rPr>
              <w:t>报价（优惠率）</w:t>
            </w:r>
          </w:p>
        </w:tc>
        <w:tc>
          <w:tcPr>
            <w:tcW w:w="3756" w:type="dxa"/>
            <w:gridSpan w:val="2"/>
            <w:vAlign w:val="center"/>
          </w:tcPr>
          <w:p>
            <w:pPr>
              <w:pStyle w:val="14"/>
              <w:ind w:firstLine="0" w:firstLineChars="0"/>
              <w:rPr>
                <w:rFonts w:ascii="宋体" w:cs="Times New Roman"/>
                <w:sz w:val="21"/>
                <w:szCs w:val="21"/>
                <w:highlight w:val="none"/>
              </w:rPr>
            </w:pPr>
            <w:r>
              <w:rPr>
                <w:rFonts w:hint="eastAsia" w:ascii="宋体" w:hAnsi="宋体" w:cs="宋体"/>
                <w:sz w:val="21"/>
                <w:szCs w:val="21"/>
                <w:highlight w:val="none"/>
              </w:rPr>
              <w:t>未财政评审填报优惠率（权重</w:t>
            </w:r>
            <w:r>
              <w:rPr>
                <w:rFonts w:ascii="宋体" w:hAnsi="宋体" w:cs="宋体"/>
                <w:sz w:val="21"/>
                <w:szCs w:val="21"/>
                <w:highlight w:val="none"/>
              </w:rPr>
              <w:t>60%</w:t>
            </w:r>
            <w:r>
              <w:rPr>
                <w:rFonts w:hint="eastAsia" w:ascii="宋体" w:hAnsi="宋体" w:cs="宋体"/>
                <w:sz w:val="21"/>
                <w:szCs w:val="21"/>
                <w:highlight w:val="none"/>
              </w:rPr>
              <w:t>）：</w:t>
            </w:r>
          </w:p>
          <w:p>
            <w:pPr>
              <w:pStyle w:val="14"/>
              <w:ind w:firstLine="0" w:firstLineChars="0"/>
              <w:rPr>
                <w:rFonts w:ascii="宋体" w:cs="Times New Roman"/>
                <w:sz w:val="21"/>
                <w:szCs w:val="21"/>
                <w:highlight w:val="none"/>
                <w:u w:val="single"/>
              </w:rPr>
            </w:pPr>
            <w:r>
              <w:rPr>
                <w:rFonts w:hint="eastAsia" w:ascii="宋体" w:hAnsi="宋体" w:cs="宋体"/>
                <w:sz w:val="21"/>
                <w:szCs w:val="21"/>
                <w:highlight w:val="none"/>
              </w:rPr>
              <w:t>大写：</w:t>
            </w:r>
            <w:r>
              <w:rPr>
                <w:rFonts w:ascii="宋体" w:hAnsi="宋体" w:cs="宋体"/>
                <w:sz w:val="21"/>
                <w:szCs w:val="21"/>
                <w:highlight w:val="none"/>
                <w:u w:val="single"/>
              </w:rPr>
              <w:t xml:space="preserve">         </w:t>
            </w:r>
          </w:p>
          <w:p>
            <w:pPr>
              <w:pStyle w:val="14"/>
              <w:ind w:firstLine="0" w:firstLineChars="0"/>
              <w:rPr>
                <w:rFonts w:ascii="Times New Roman" w:hAnsi="Times New Roman" w:cs="Times New Roman"/>
                <w:highlight w:val="none"/>
              </w:rPr>
            </w:pPr>
            <w:r>
              <w:rPr>
                <w:rFonts w:hint="eastAsia" w:ascii="宋体" w:hAnsi="宋体" w:cs="宋体"/>
                <w:sz w:val="21"/>
                <w:szCs w:val="21"/>
                <w:highlight w:val="none"/>
              </w:rPr>
              <w:t>小写：</w:t>
            </w:r>
            <w:r>
              <w:rPr>
                <w:rFonts w:ascii="宋体" w:hAnsi="宋体" w:cs="宋体"/>
                <w:sz w:val="21"/>
                <w:szCs w:val="21"/>
                <w:highlight w:val="none"/>
                <w:u w:val="single"/>
              </w:rPr>
              <w:t xml:space="preserve">         </w:t>
            </w:r>
            <w:r>
              <w:rPr>
                <w:rFonts w:ascii="宋体" w:hAnsi="宋体" w:cs="宋体"/>
                <w:sz w:val="21"/>
                <w:szCs w:val="21"/>
                <w:highlight w:val="none"/>
              </w:rPr>
              <w:t xml:space="preserve">        </w:t>
            </w:r>
          </w:p>
        </w:tc>
        <w:tc>
          <w:tcPr>
            <w:tcW w:w="3757" w:type="dxa"/>
            <w:gridSpan w:val="2"/>
            <w:vAlign w:val="center"/>
          </w:tcPr>
          <w:p>
            <w:pPr>
              <w:pStyle w:val="14"/>
              <w:ind w:firstLine="0" w:firstLineChars="0"/>
              <w:rPr>
                <w:rFonts w:ascii="宋体" w:cs="Times New Roman"/>
                <w:sz w:val="21"/>
                <w:szCs w:val="21"/>
                <w:highlight w:val="none"/>
              </w:rPr>
            </w:pPr>
            <w:r>
              <w:rPr>
                <w:rFonts w:hint="eastAsia" w:ascii="宋体" w:hAnsi="宋体" w:cs="宋体"/>
                <w:sz w:val="21"/>
                <w:szCs w:val="21"/>
                <w:highlight w:val="none"/>
              </w:rPr>
              <w:t>经财政评审填报优惠率（权重</w:t>
            </w:r>
            <w:r>
              <w:rPr>
                <w:rFonts w:ascii="宋体" w:hAnsi="宋体" w:cs="宋体"/>
                <w:sz w:val="21"/>
                <w:szCs w:val="21"/>
                <w:highlight w:val="none"/>
              </w:rPr>
              <w:t>40%</w:t>
            </w:r>
            <w:r>
              <w:rPr>
                <w:rFonts w:hint="eastAsia" w:ascii="宋体" w:hAnsi="宋体" w:cs="宋体"/>
                <w:sz w:val="21"/>
                <w:szCs w:val="21"/>
                <w:highlight w:val="none"/>
              </w:rPr>
              <w:t>）：</w:t>
            </w:r>
          </w:p>
          <w:p>
            <w:pPr>
              <w:pStyle w:val="14"/>
              <w:ind w:firstLine="0" w:firstLineChars="0"/>
              <w:rPr>
                <w:rFonts w:ascii="宋体" w:cs="Times New Roman"/>
                <w:sz w:val="21"/>
                <w:szCs w:val="21"/>
                <w:highlight w:val="none"/>
                <w:u w:val="single"/>
              </w:rPr>
            </w:pPr>
            <w:r>
              <w:rPr>
                <w:rFonts w:hint="eastAsia" w:ascii="宋体" w:hAnsi="宋体" w:cs="宋体"/>
                <w:sz w:val="21"/>
                <w:szCs w:val="21"/>
                <w:highlight w:val="none"/>
              </w:rPr>
              <w:t>大写：</w:t>
            </w:r>
            <w:r>
              <w:rPr>
                <w:rFonts w:ascii="宋体" w:hAnsi="宋体" w:cs="宋体"/>
                <w:sz w:val="21"/>
                <w:szCs w:val="21"/>
                <w:highlight w:val="none"/>
                <w:u w:val="single"/>
              </w:rPr>
              <w:t xml:space="preserve">         </w:t>
            </w:r>
          </w:p>
          <w:p>
            <w:pPr>
              <w:pStyle w:val="14"/>
              <w:ind w:firstLine="0" w:firstLineChars="0"/>
              <w:rPr>
                <w:rFonts w:ascii="宋体" w:cs="Times New Roman"/>
                <w:sz w:val="21"/>
                <w:szCs w:val="21"/>
                <w:highlight w:val="none"/>
              </w:rPr>
            </w:pPr>
            <w:r>
              <w:rPr>
                <w:rFonts w:hint="eastAsia" w:ascii="宋体" w:hAnsi="宋体" w:cs="宋体"/>
                <w:sz w:val="21"/>
                <w:szCs w:val="21"/>
                <w:highlight w:val="none"/>
              </w:rPr>
              <w:t>小写：</w:t>
            </w:r>
            <w:r>
              <w:rPr>
                <w:rFonts w:ascii="宋体" w:hAnsi="宋体" w:cs="宋体"/>
                <w:sz w:val="21"/>
                <w:szCs w:val="21"/>
                <w:highlight w:val="none"/>
                <w:u w:val="single"/>
              </w:rPr>
              <w:t xml:space="preserve">         </w:t>
            </w:r>
            <w:r>
              <w:rPr>
                <w:rFonts w:ascii="宋体" w:hAnsi="宋体" w:cs="宋体"/>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951" w:type="dxa"/>
            <w:vAlign w:val="center"/>
          </w:tcPr>
          <w:p>
            <w:pPr>
              <w:autoSpaceDE w:val="0"/>
              <w:autoSpaceDN w:val="0"/>
              <w:adjustRightInd w:val="0"/>
              <w:jc w:val="center"/>
              <w:rPr>
                <w:rFonts w:ascii="宋体"/>
                <w:sz w:val="24"/>
                <w:szCs w:val="24"/>
                <w:highlight w:val="none"/>
              </w:rPr>
            </w:pPr>
            <w:r>
              <w:rPr>
                <w:rFonts w:hint="eastAsia" w:ascii="宋体" w:hAnsi="宋体" w:cs="宋体"/>
                <w:highlight w:val="none"/>
              </w:rPr>
              <w:t>总报价（总优惠率）</w:t>
            </w:r>
          </w:p>
        </w:tc>
        <w:tc>
          <w:tcPr>
            <w:tcW w:w="7513" w:type="dxa"/>
            <w:gridSpan w:val="4"/>
            <w:vAlign w:val="center"/>
          </w:tcPr>
          <w:p>
            <w:pPr>
              <w:pStyle w:val="14"/>
              <w:ind w:firstLine="0" w:firstLineChars="0"/>
              <w:rPr>
                <w:rFonts w:ascii="宋体" w:cs="Times New Roman"/>
                <w:sz w:val="21"/>
                <w:szCs w:val="21"/>
                <w:highlight w:val="none"/>
                <w:u w:val="single"/>
              </w:rPr>
            </w:pPr>
            <w:r>
              <w:rPr>
                <w:rFonts w:ascii="宋体" w:hAnsi="宋体" w:cs="宋体"/>
                <w:sz w:val="21"/>
                <w:szCs w:val="21"/>
                <w:highlight w:val="none"/>
              </w:rPr>
              <w:t>=</w:t>
            </w:r>
            <w:r>
              <w:rPr>
                <w:rFonts w:hint="eastAsia" w:ascii="宋体" w:hAnsi="宋体" w:cs="宋体"/>
                <w:sz w:val="21"/>
                <w:szCs w:val="21"/>
                <w:highlight w:val="none"/>
              </w:rPr>
              <w:t>（未财政评审填报优惠率</w:t>
            </w:r>
            <w:r>
              <w:rPr>
                <w:rFonts w:ascii="宋体" w:hAnsi="宋体" w:cs="宋体"/>
                <w:sz w:val="21"/>
                <w:szCs w:val="21"/>
                <w:highlight w:val="none"/>
              </w:rPr>
              <w:t>*60%+</w:t>
            </w:r>
            <w:r>
              <w:rPr>
                <w:rFonts w:hint="eastAsia" w:ascii="宋体" w:hAnsi="宋体" w:cs="宋体"/>
                <w:sz w:val="21"/>
                <w:szCs w:val="21"/>
                <w:highlight w:val="none"/>
              </w:rPr>
              <w:t>经财政评审填报优惠率</w:t>
            </w:r>
            <w:r>
              <w:rPr>
                <w:rFonts w:ascii="宋体" w:hAnsi="宋体" w:cs="宋体"/>
                <w:sz w:val="21"/>
                <w:szCs w:val="21"/>
                <w:highlight w:val="none"/>
              </w:rPr>
              <w:t>*40%</w:t>
            </w:r>
            <w:r>
              <w:rPr>
                <w:rFonts w:hint="eastAsia" w:ascii="宋体" w:hAnsi="宋体" w:cs="宋体"/>
                <w:sz w:val="21"/>
                <w:szCs w:val="21"/>
                <w:highlight w:val="none"/>
              </w:rPr>
              <w:t>）</w:t>
            </w:r>
            <w:r>
              <w:rPr>
                <w:rFonts w:ascii="宋体" w:hAnsi="宋体" w:cs="宋体"/>
                <w:sz w:val="21"/>
                <w:szCs w:val="21"/>
                <w:highlight w:val="none"/>
              </w:rPr>
              <w:t>/2</w:t>
            </w:r>
            <w:r>
              <w:rPr>
                <w:rFonts w:ascii="宋体" w:hAnsi="宋体" w:cs="宋体"/>
                <w:sz w:val="21"/>
                <w:szCs w:val="21"/>
                <w:highlight w:val="none"/>
              </w:rPr>
              <w:br w:type="textWrapping"/>
            </w:r>
            <w:r>
              <w:rPr>
                <w:rFonts w:hint="eastAsia" w:ascii="宋体" w:hAnsi="宋体" w:cs="宋体"/>
                <w:sz w:val="21"/>
                <w:szCs w:val="21"/>
                <w:highlight w:val="none"/>
              </w:rPr>
              <w:t>大写：</w:t>
            </w:r>
            <w:r>
              <w:rPr>
                <w:rFonts w:ascii="宋体" w:hAnsi="宋体" w:cs="宋体"/>
                <w:sz w:val="21"/>
                <w:szCs w:val="21"/>
                <w:highlight w:val="none"/>
                <w:u w:val="single"/>
              </w:rPr>
              <w:t xml:space="preserve">         </w:t>
            </w:r>
          </w:p>
          <w:p>
            <w:pPr>
              <w:autoSpaceDE w:val="0"/>
              <w:autoSpaceDN w:val="0"/>
              <w:adjustRightInd w:val="0"/>
              <w:rPr>
                <w:rFonts w:ascii="宋体"/>
                <w:sz w:val="24"/>
                <w:szCs w:val="24"/>
                <w:highlight w:val="none"/>
              </w:rPr>
            </w:pPr>
            <w:r>
              <w:rPr>
                <w:rFonts w:hint="eastAsia" w:ascii="宋体" w:hAnsi="宋体" w:cs="宋体"/>
                <w:highlight w:val="none"/>
              </w:rPr>
              <w:t>小写：</w:t>
            </w:r>
            <w:r>
              <w:rPr>
                <w:rFonts w:ascii="宋体" w:hAnsi="宋体" w:cs="宋体"/>
                <w:highlight w:val="none"/>
                <w:u w:val="single"/>
              </w:rPr>
              <w:t xml:space="preserve">         </w:t>
            </w:r>
            <w:r>
              <w:rPr>
                <w:rFonts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9464" w:type="dxa"/>
            <w:gridSpan w:val="5"/>
            <w:vAlign w:val="center"/>
          </w:tcPr>
          <w:p>
            <w:pPr>
              <w:pStyle w:val="14"/>
              <w:ind w:firstLine="240"/>
              <w:rPr>
                <w:rFonts w:cs="Times New Roman"/>
                <w:highlight w:val="none"/>
              </w:rPr>
            </w:pPr>
          </w:p>
          <w:p>
            <w:pPr>
              <w:pStyle w:val="14"/>
              <w:ind w:firstLine="240"/>
              <w:rPr>
                <w:rFonts w:cs="Times New Roman"/>
                <w:highlight w:val="none"/>
              </w:rPr>
            </w:pPr>
            <w:r>
              <w:rPr>
                <w:rFonts w:hint="eastAsia" w:cs="宋体"/>
                <w:highlight w:val="none"/>
              </w:rPr>
              <w:t>报价供应商：</w:t>
            </w:r>
          </w:p>
          <w:p>
            <w:pPr>
              <w:pStyle w:val="14"/>
              <w:ind w:firstLine="240"/>
              <w:rPr>
                <w:rFonts w:cs="Times New Roman"/>
                <w:highlight w:val="none"/>
              </w:rPr>
            </w:pPr>
          </w:p>
          <w:p>
            <w:pPr>
              <w:pStyle w:val="14"/>
              <w:ind w:firstLine="240"/>
              <w:rPr>
                <w:rFonts w:ascii="宋体" w:cs="Times New Roman"/>
                <w:highlight w:val="none"/>
              </w:rPr>
            </w:pPr>
            <w:r>
              <w:rPr>
                <w:rFonts w:hint="eastAsia" w:ascii="宋体" w:hAnsi="宋体" w:cs="宋体"/>
                <w:highlight w:val="none"/>
              </w:rPr>
              <w:t>被授权人或法人代表（签字）</w:t>
            </w:r>
          </w:p>
          <w:p>
            <w:pPr>
              <w:pStyle w:val="14"/>
              <w:ind w:firstLine="240"/>
              <w:rPr>
                <w:rFonts w:ascii="宋体" w:cs="Times New Roman"/>
                <w:highlight w:val="none"/>
              </w:rPr>
            </w:pPr>
            <w:r>
              <w:rPr>
                <w:rFonts w:ascii="宋体" w:hAnsi="宋体" w:cs="宋体"/>
                <w:highlight w:val="none"/>
              </w:rPr>
              <w:t xml:space="preserve">                                         </w:t>
            </w:r>
            <w:r>
              <w:rPr>
                <w:rFonts w:hint="eastAsia" w:ascii="宋体" w:hAnsi="宋体" w:cs="宋体"/>
                <w:highlight w:val="none"/>
              </w:rPr>
              <w:t>时间：</w:t>
            </w:r>
            <w:r>
              <w:rPr>
                <w:rFonts w:ascii="宋体" w:hAnsi="宋体" w:cs="宋体"/>
                <w:highlight w:val="none"/>
              </w:rPr>
              <w:t xml:space="preserve">     </w:t>
            </w:r>
            <w:r>
              <w:rPr>
                <w:rFonts w:hint="eastAsia" w:ascii="宋体" w:hAnsi="宋体" w:cs="宋体"/>
                <w:highlight w:val="none"/>
              </w:rPr>
              <w:t>年</w:t>
            </w:r>
            <w:r>
              <w:rPr>
                <w:rFonts w:ascii="宋体" w:hAnsi="宋体" w:cs="宋体"/>
                <w:highlight w:val="none"/>
              </w:rPr>
              <w:t xml:space="preserve">   </w:t>
            </w:r>
            <w:r>
              <w:rPr>
                <w:rFonts w:hint="eastAsia" w:ascii="宋体" w:hAnsi="宋体" w:cs="宋体"/>
                <w:highlight w:val="none"/>
              </w:rPr>
              <w:t>月</w:t>
            </w:r>
            <w:r>
              <w:rPr>
                <w:rFonts w:ascii="宋体" w:hAnsi="宋体" w:cs="宋体"/>
                <w:highlight w:val="none"/>
              </w:rPr>
              <w:t xml:space="preserve">   </w:t>
            </w:r>
            <w:r>
              <w:rPr>
                <w:rFonts w:hint="eastAsia" w:ascii="宋体" w:hAnsi="宋体" w:cs="宋体"/>
                <w:highlight w:val="none"/>
              </w:rPr>
              <w:t>日</w:t>
            </w:r>
          </w:p>
        </w:tc>
      </w:tr>
    </w:tbl>
    <w:p>
      <w:pPr>
        <w:pStyle w:val="19"/>
        <w:adjustRightInd w:val="0"/>
        <w:snapToGrid w:val="0"/>
        <w:spacing w:afterLines="50" w:line="320" w:lineRule="exact"/>
        <w:jc w:val="left"/>
        <w:rPr>
          <w:rFonts w:hAnsi="宋体" w:cs="Times New Roman"/>
          <w:snapToGrid w:val="0"/>
          <w:kern w:val="0"/>
          <w:highlight w:val="none"/>
        </w:rPr>
      </w:pPr>
      <w:r>
        <w:rPr>
          <w:rFonts w:hint="eastAsia" w:hAnsi="宋体"/>
          <w:snapToGrid w:val="0"/>
          <w:kern w:val="0"/>
          <w:highlight w:val="none"/>
        </w:rPr>
        <w:t>注：本表格为供应商最后报价使用，供应商在参加谈判时自备本表格。</w:t>
      </w:r>
    </w:p>
    <w:p>
      <w:pPr>
        <w:pStyle w:val="19"/>
        <w:spacing w:line="480" w:lineRule="exact"/>
        <w:ind w:firstLine="0" w:firstLineChars="0"/>
        <w:rPr>
          <w:rFonts w:hAnsi="宋体" w:cs="Times New Roman"/>
          <w:b/>
          <w:bCs/>
          <w:position w:val="6"/>
          <w:highlight w:val="none"/>
        </w:rPr>
      </w:pPr>
    </w:p>
    <w:p>
      <w:pPr>
        <w:pStyle w:val="19"/>
        <w:spacing w:line="480" w:lineRule="exact"/>
        <w:ind w:firstLine="0" w:firstLineChars="0"/>
        <w:rPr>
          <w:rFonts w:hAnsi="宋体" w:cs="Times New Roman"/>
          <w:b/>
          <w:bCs/>
          <w:position w:val="6"/>
          <w:highlight w:val="none"/>
        </w:rPr>
      </w:pPr>
    </w:p>
    <w:p>
      <w:pPr>
        <w:pStyle w:val="19"/>
        <w:spacing w:line="480" w:lineRule="exact"/>
        <w:ind w:firstLine="0" w:firstLineChars="0"/>
        <w:rPr>
          <w:rFonts w:hAnsi="宋体" w:cs="Times New Roman"/>
          <w:b/>
          <w:bCs/>
          <w:position w:val="6"/>
          <w:highlight w:val="none"/>
        </w:rPr>
      </w:pPr>
    </w:p>
    <w:p>
      <w:pPr>
        <w:pStyle w:val="19"/>
        <w:spacing w:line="480" w:lineRule="exact"/>
        <w:ind w:firstLine="0" w:firstLineChars="0"/>
        <w:rPr>
          <w:rFonts w:hAnsi="宋体" w:cs="Times New Roman"/>
          <w:b/>
          <w:bCs/>
          <w:position w:val="6"/>
          <w:highlight w:val="none"/>
        </w:rPr>
      </w:pPr>
    </w:p>
    <w:p>
      <w:pPr>
        <w:pStyle w:val="19"/>
        <w:spacing w:line="480" w:lineRule="exact"/>
        <w:ind w:firstLine="0" w:firstLineChars="0"/>
        <w:rPr>
          <w:rFonts w:hAnsi="宋体" w:cs="Times New Roman"/>
          <w:b/>
          <w:bCs/>
          <w:position w:val="6"/>
          <w:highlight w:val="none"/>
        </w:rPr>
      </w:pPr>
    </w:p>
    <w:p>
      <w:pPr>
        <w:pStyle w:val="19"/>
        <w:spacing w:line="480" w:lineRule="exact"/>
        <w:ind w:firstLine="0" w:firstLineChars="0"/>
        <w:rPr>
          <w:rFonts w:hAnsi="宋体" w:cs="Times New Roman"/>
          <w:b/>
          <w:bCs/>
          <w:position w:val="6"/>
          <w:highlight w:val="none"/>
        </w:rPr>
      </w:pPr>
    </w:p>
    <w:p>
      <w:pPr>
        <w:pStyle w:val="19"/>
        <w:spacing w:line="480" w:lineRule="exact"/>
        <w:ind w:firstLine="0" w:firstLineChars="0"/>
        <w:rPr>
          <w:rFonts w:hAnsi="宋体" w:cs="Times New Roman"/>
          <w:b/>
          <w:bCs/>
          <w:position w:val="6"/>
          <w:highlight w:val="none"/>
        </w:rPr>
      </w:pPr>
    </w:p>
    <w:p>
      <w:pPr>
        <w:pStyle w:val="19"/>
        <w:spacing w:line="480" w:lineRule="exact"/>
        <w:ind w:firstLine="0" w:firstLineChars="0"/>
        <w:rPr>
          <w:rFonts w:hAnsi="宋体" w:cs="Times New Roman"/>
          <w:b/>
          <w:bCs/>
          <w:position w:val="6"/>
          <w:highlight w:val="none"/>
        </w:rPr>
      </w:pPr>
    </w:p>
    <w:p>
      <w:pPr>
        <w:pStyle w:val="19"/>
        <w:spacing w:line="480" w:lineRule="exact"/>
        <w:ind w:firstLine="0" w:firstLineChars="0"/>
        <w:rPr>
          <w:rFonts w:hAnsi="宋体" w:cs="Times New Roman"/>
          <w:b/>
          <w:bCs/>
          <w:position w:val="6"/>
          <w:highlight w:val="none"/>
        </w:rPr>
      </w:pPr>
    </w:p>
    <w:p>
      <w:pPr>
        <w:spacing w:line="480" w:lineRule="exact"/>
        <w:rPr>
          <w:rFonts w:ascii="宋体"/>
          <w:b/>
          <w:bCs/>
          <w:position w:val="6"/>
          <w:sz w:val="24"/>
          <w:szCs w:val="24"/>
          <w:highlight w:val="none"/>
        </w:rPr>
      </w:pPr>
      <w:r>
        <w:rPr>
          <w:rFonts w:ascii="宋体"/>
          <w:b/>
          <w:bCs/>
          <w:position w:val="6"/>
          <w:sz w:val="24"/>
          <w:szCs w:val="24"/>
          <w:highlight w:val="none"/>
        </w:rPr>
        <w:br w:type="page"/>
      </w:r>
    </w:p>
    <w:p>
      <w:pPr>
        <w:spacing w:line="480" w:lineRule="exact"/>
        <w:rPr>
          <w:rFonts w:ascii="宋体"/>
          <w:b/>
          <w:bCs/>
          <w:position w:val="6"/>
          <w:sz w:val="24"/>
          <w:szCs w:val="24"/>
          <w:highlight w:val="none"/>
        </w:rPr>
      </w:pPr>
      <w:r>
        <w:rPr>
          <w:rFonts w:hint="eastAsia" w:ascii="宋体" w:hAnsi="宋体" w:cs="宋体"/>
          <w:b/>
          <w:bCs/>
          <w:position w:val="6"/>
          <w:sz w:val="24"/>
          <w:szCs w:val="24"/>
          <w:highlight w:val="none"/>
        </w:rPr>
        <w:t>格式</w:t>
      </w:r>
      <w:r>
        <w:rPr>
          <w:rFonts w:ascii="宋体" w:hAnsi="宋体" w:cs="宋体"/>
          <w:b/>
          <w:bCs/>
          <w:position w:val="6"/>
          <w:sz w:val="24"/>
          <w:szCs w:val="24"/>
          <w:highlight w:val="none"/>
        </w:rPr>
        <w:t>6</w:t>
      </w:r>
    </w:p>
    <w:p>
      <w:pPr>
        <w:spacing w:line="480" w:lineRule="exact"/>
        <w:jc w:val="center"/>
        <w:rPr>
          <w:rFonts w:ascii="宋体"/>
          <w:b/>
          <w:bCs/>
          <w:sz w:val="36"/>
          <w:szCs w:val="36"/>
          <w:highlight w:val="none"/>
        </w:rPr>
      </w:pPr>
      <w:r>
        <w:rPr>
          <w:rFonts w:hint="eastAsia" w:ascii="宋体" w:hAnsi="宋体" w:cs="宋体"/>
          <w:b/>
          <w:bCs/>
          <w:sz w:val="36"/>
          <w:szCs w:val="36"/>
          <w:highlight w:val="none"/>
        </w:rPr>
        <w:t>承诺书</w:t>
      </w:r>
    </w:p>
    <w:p>
      <w:pPr>
        <w:spacing w:afterLines="50" w:line="320" w:lineRule="exact"/>
        <w:jc w:val="center"/>
        <w:outlineLvl w:val="0"/>
        <w:rPr>
          <w:rFonts w:ascii="宋体"/>
          <w:b/>
          <w:bCs/>
          <w:sz w:val="24"/>
          <w:szCs w:val="24"/>
          <w:highlight w:val="none"/>
        </w:rPr>
      </w:pPr>
    </w:p>
    <w:p>
      <w:pPr>
        <w:spacing w:afterLines="50" w:line="320" w:lineRule="exact"/>
        <w:ind w:firstLine="480" w:firstLineChars="200"/>
        <w:rPr>
          <w:rFonts w:ascii="宋体"/>
          <w:sz w:val="24"/>
          <w:szCs w:val="24"/>
          <w:highlight w:val="none"/>
        </w:rPr>
      </w:pPr>
    </w:p>
    <w:p>
      <w:pPr>
        <w:spacing w:line="400" w:lineRule="exact"/>
        <w:ind w:firstLine="480" w:firstLineChars="200"/>
        <w:rPr>
          <w:rFonts w:ascii="宋体"/>
          <w:sz w:val="24"/>
          <w:szCs w:val="24"/>
          <w:highlight w:val="none"/>
        </w:rPr>
      </w:pPr>
      <w:r>
        <w:rPr>
          <w:rFonts w:hint="eastAsia" w:ascii="宋体" w:hAnsi="宋体" w:cs="宋体"/>
          <w:sz w:val="24"/>
          <w:szCs w:val="24"/>
          <w:highlight w:val="none"/>
        </w:rPr>
        <w:t>按</w:t>
      </w:r>
      <w:r>
        <w:rPr>
          <w:rFonts w:ascii="宋体" w:hAnsi="宋体" w:cs="宋体"/>
          <w:sz w:val="24"/>
          <w:szCs w:val="24"/>
          <w:highlight w:val="none"/>
          <w:u w:val="single"/>
        </w:rPr>
        <w:t>&lt;</w:t>
      </w:r>
      <w:r>
        <w:rPr>
          <w:rFonts w:hint="eastAsia" w:ascii="宋体" w:hAnsi="宋体" w:cs="宋体"/>
          <w:sz w:val="24"/>
          <w:szCs w:val="24"/>
          <w:highlight w:val="none"/>
          <w:u w:val="single"/>
        </w:rPr>
        <w:t>项目编号、项目名称</w:t>
      </w:r>
      <w:r>
        <w:rPr>
          <w:rFonts w:ascii="宋体" w:hAnsi="宋体" w:cs="宋体"/>
          <w:sz w:val="24"/>
          <w:szCs w:val="24"/>
          <w:highlight w:val="none"/>
          <w:u w:val="single"/>
        </w:rPr>
        <w:t>&gt;</w:t>
      </w:r>
      <w:r>
        <w:rPr>
          <w:rFonts w:hint="eastAsia" w:ascii="宋体" w:hAnsi="宋体" w:cs="宋体"/>
          <w:sz w:val="24"/>
          <w:szCs w:val="24"/>
          <w:highlight w:val="none"/>
        </w:rPr>
        <w:t>谈判文件的规定，我公司郑重承诺，如果我公司经评审后被确定为成交供应商，我公司对于成交货物（工程），除完全响应谈判文件合同条款和合同专用条款规定的所有要求外，还将按照以下条款提供优质和完善的服务：</w:t>
      </w:r>
    </w:p>
    <w:p>
      <w:pPr>
        <w:numPr>
          <w:ilvl w:val="0"/>
          <w:numId w:val="7"/>
        </w:numPr>
        <w:spacing w:line="400" w:lineRule="exact"/>
        <w:ind w:firstLine="480" w:firstLineChars="200"/>
        <w:rPr>
          <w:rFonts w:ascii="宋体"/>
          <w:sz w:val="24"/>
          <w:szCs w:val="24"/>
          <w:highlight w:val="none"/>
        </w:rPr>
      </w:pPr>
      <w:r>
        <w:rPr>
          <w:rFonts w:hint="eastAsia" w:ascii="宋体" w:hAnsi="宋体" w:cs="宋体"/>
          <w:sz w:val="24"/>
          <w:szCs w:val="24"/>
          <w:highlight w:val="none"/>
        </w:rPr>
        <w:t>详细的培训计划（如有）：</w:t>
      </w:r>
    </w:p>
    <w:p>
      <w:pPr>
        <w:numPr>
          <w:ilvl w:val="0"/>
          <w:numId w:val="7"/>
        </w:numPr>
        <w:spacing w:line="400" w:lineRule="exact"/>
        <w:ind w:firstLine="480" w:firstLineChars="200"/>
        <w:rPr>
          <w:rFonts w:ascii="宋体"/>
          <w:sz w:val="24"/>
          <w:szCs w:val="24"/>
          <w:highlight w:val="none"/>
        </w:rPr>
      </w:pPr>
      <w:r>
        <w:rPr>
          <w:rFonts w:hint="eastAsia" w:ascii="宋体" w:hAnsi="宋体" w:cs="宋体"/>
          <w:sz w:val="24"/>
          <w:szCs w:val="24"/>
          <w:highlight w:val="none"/>
        </w:rPr>
        <w:t>其他：</w:t>
      </w:r>
    </w:p>
    <w:p>
      <w:pPr>
        <w:spacing w:afterLines="50" w:line="320" w:lineRule="exact"/>
        <w:ind w:firstLine="480" w:firstLineChars="200"/>
        <w:rPr>
          <w:rFonts w:ascii="宋体"/>
          <w:sz w:val="24"/>
          <w:szCs w:val="24"/>
          <w:highlight w:val="none"/>
        </w:rPr>
      </w:pPr>
    </w:p>
    <w:p>
      <w:pPr>
        <w:pStyle w:val="14"/>
        <w:ind w:firstLine="240"/>
        <w:rPr>
          <w:rFonts w:cs="Times New Roman"/>
          <w:highlight w:val="none"/>
        </w:rPr>
      </w:pPr>
    </w:p>
    <w:p>
      <w:pPr>
        <w:pStyle w:val="14"/>
        <w:ind w:firstLine="0" w:firstLineChars="0"/>
        <w:rPr>
          <w:rFonts w:cs="Times New Roman"/>
          <w:highlight w:val="none"/>
        </w:rPr>
      </w:pPr>
    </w:p>
    <w:p>
      <w:pPr>
        <w:pStyle w:val="14"/>
        <w:ind w:firstLine="240"/>
        <w:rPr>
          <w:rFonts w:cs="Times New Roman"/>
          <w:highlight w:val="none"/>
        </w:rPr>
      </w:pPr>
    </w:p>
    <w:p>
      <w:pPr>
        <w:spacing w:afterLines="50" w:line="320" w:lineRule="exact"/>
        <w:rPr>
          <w:rFonts w:ascii="宋体"/>
          <w:sz w:val="24"/>
          <w:szCs w:val="24"/>
          <w:highlight w:val="none"/>
        </w:rPr>
      </w:pPr>
    </w:p>
    <w:p>
      <w:pPr>
        <w:spacing w:afterLines="50" w:line="320" w:lineRule="exact"/>
        <w:rPr>
          <w:rFonts w:ascii="宋体"/>
          <w:sz w:val="24"/>
          <w:szCs w:val="24"/>
          <w:highlight w:val="none"/>
          <w:u w:val="single"/>
        </w:rPr>
      </w:pPr>
      <w:r>
        <w:rPr>
          <w:rFonts w:hint="eastAsia" w:ascii="宋体" w:hAnsi="宋体" w:cs="宋体"/>
          <w:sz w:val="24"/>
          <w:szCs w:val="24"/>
          <w:highlight w:val="none"/>
        </w:rPr>
        <w:t>供应商名称（并加盖公章）：</w:t>
      </w:r>
    </w:p>
    <w:p>
      <w:pPr>
        <w:pStyle w:val="16"/>
        <w:spacing w:before="60" w:afterLines="50" w:line="320" w:lineRule="exact"/>
        <w:ind w:firstLine="0" w:firstLineChars="0"/>
        <w:rPr>
          <w:rFonts w:ascii="宋体"/>
          <w:highlight w:val="none"/>
        </w:rPr>
      </w:pPr>
      <w:r>
        <w:rPr>
          <w:rFonts w:hint="eastAsia" w:ascii="宋体" w:hAnsi="宋体" w:cs="宋体"/>
          <w:highlight w:val="none"/>
        </w:rPr>
        <w:t>法定代表人（代表人）或其授权委托人：</w:t>
      </w:r>
      <w:r>
        <w:rPr>
          <w:rFonts w:hint="eastAsia" w:ascii="黑体" w:hAnsi="宋体" w:eastAsia="黑体" w:cs="黑体"/>
          <w:sz w:val="22"/>
          <w:szCs w:val="22"/>
          <w:highlight w:val="none"/>
          <w:u w:val="single"/>
        </w:rPr>
        <w:t>（法定代表人（代表人）可签字或加盖名章，授权委托人必须签字）</w:t>
      </w:r>
    </w:p>
    <w:p>
      <w:pPr>
        <w:pStyle w:val="16"/>
        <w:spacing w:before="60" w:afterLines="50" w:line="320" w:lineRule="exact"/>
        <w:ind w:firstLine="0" w:firstLineChars="0"/>
        <w:rPr>
          <w:rFonts w:ascii="Arial" w:hAnsi="Arial" w:cs="Arial"/>
          <w:highlight w:val="none"/>
        </w:rPr>
      </w:pPr>
      <w:r>
        <w:rPr>
          <w:rFonts w:hint="eastAsia" w:ascii="宋体" w:hAnsi="宋体" w:cs="宋体"/>
          <w:highlight w:val="none"/>
        </w:rPr>
        <w:t>签署日期：年月日</w:t>
      </w:r>
    </w:p>
    <w:p>
      <w:pPr>
        <w:spacing w:afterLines="50" w:line="320" w:lineRule="exact"/>
        <w:rPr>
          <w:rFonts w:ascii="宋体"/>
          <w:sz w:val="24"/>
          <w:szCs w:val="24"/>
          <w:highlight w:val="none"/>
        </w:rPr>
      </w:pPr>
    </w:p>
    <w:p>
      <w:pPr>
        <w:spacing w:line="440" w:lineRule="exact"/>
        <w:ind w:firstLine="422" w:firstLineChars="200"/>
        <w:rPr>
          <w:rFonts w:ascii="宋体"/>
          <w:highlight w:val="none"/>
        </w:rPr>
      </w:pPr>
      <w:r>
        <w:rPr>
          <w:rFonts w:ascii="宋体" w:hAnsi="宋体" w:cs="宋体"/>
          <w:b/>
          <w:bCs/>
          <w:highlight w:val="none"/>
        </w:rPr>
        <w:t>1</w:t>
      </w:r>
      <w:r>
        <w:rPr>
          <w:rFonts w:hint="eastAsia" w:ascii="宋体" w:hAnsi="宋体" w:cs="宋体"/>
          <w:b/>
          <w:bCs/>
          <w:highlight w:val="none"/>
        </w:rPr>
        <w:t>、一、二标段谈判供应商均需委派两名专业人员针对本项目提供即时咨询服务，须在谈判响应文件中作出承诺，并提供人员姓名、联系方式。中标候选人入库后，须向采购人递交，对本项目组织的服务团队一览表及服务方案。</w:t>
      </w:r>
      <w:r>
        <w:rPr>
          <w:rFonts w:ascii="宋体"/>
          <w:b/>
          <w:bCs/>
          <w:highlight w:val="none"/>
        </w:rPr>
        <w:br w:type="textWrapping"/>
      </w:r>
      <w:r>
        <w:rPr>
          <w:rFonts w:ascii="宋体" w:hAnsi="宋体" w:cs="宋体"/>
          <w:b/>
          <w:bCs/>
          <w:highlight w:val="none"/>
        </w:rPr>
        <w:t xml:space="preserve">    2</w:t>
      </w:r>
      <w:r>
        <w:rPr>
          <w:rFonts w:hint="eastAsia" w:ascii="宋体" w:hAnsi="宋体" w:cs="宋体"/>
          <w:b/>
          <w:bCs/>
          <w:highlight w:val="none"/>
        </w:rPr>
        <w:t>、一标段，选定</w:t>
      </w:r>
      <w:r>
        <w:rPr>
          <w:rFonts w:ascii="宋体" w:hAnsi="宋体" w:cs="宋体"/>
          <w:b/>
          <w:bCs/>
          <w:highlight w:val="none"/>
        </w:rPr>
        <w:t>3</w:t>
      </w:r>
      <w:r>
        <w:rPr>
          <w:rFonts w:hint="eastAsia" w:ascii="宋体" w:hAnsi="宋体" w:cs="宋体"/>
          <w:b/>
          <w:bCs/>
          <w:highlight w:val="none"/>
        </w:rPr>
        <w:t>家苗木供应公司，承诺书中须包含但不限于以下内容：为许昌魏轩园林绿化咨询建设管理有限公司提供苗木供应相关服务，负责苗木供应及配套服务，包含苗木供应、劳务服务、机械设备、绿化设计、养护施工、运输等一体综合性服务（具体以实际委托为准）。拟派项目经理具有市政公用工程专业二级及以上注册建造师资格（不含临时）、有效的安全生产考核合格证且未担任其他在建工程，且是本单位在册职工。</w:t>
      </w:r>
    </w:p>
    <w:p>
      <w:pPr>
        <w:spacing w:line="480" w:lineRule="exact"/>
        <w:rPr>
          <w:rFonts w:hAnsi="宋体"/>
          <w:b/>
          <w:bCs/>
          <w:highlight w:val="none"/>
        </w:rPr>
      </w:pPr>
      <w:r>
        <w:rPr>
          <w:rFonts w:hAnsi="宋体"/>
          <w:b/>
          <w:bCs/>
          <w:highlight w:val="none"/>
        </w:rPr>
        <w:br w:type="page"/>
      </w:r>
      <w:r>
        <w:rPr>
          <w:rFonts w:hint="eastAsia" w:ascii="宋体" w:hAnsi="宋体" w:cs="宋体"/>
          <w:b/>
          <w:bCs/>
          <w:position w:val="6"/>
          <w:sz w:val="24"/>
          <w:szCs w:val="24"/>
          <w:highlight w:val="none"/>
        </w:rPr>
        <w:t>格式</w:t>
      </w:r>
      <w:r>
        <w:rPr>
          <w:rFonts w:ascii="宋体" w:hAnsi="宋体" w:cs="宋体"/>
          <w:b/>
          <w:bCs/>
          <w:position w:val="6"/>
          <w:sz w:val="24"/>
          <w:szCs w:val="24"/>
          <w:highlight w:val="none"/>
        </w:rPr>
        <w:t>7</w:t>
      </w:r>
    </w:p>
    <w:p>
      <w:pPr>
        <w:spacing w:line="480" w:lineRule="exact"/>
        <w:jc w:val="center"/>
        <w:rPr>
          <w:rFonts w:ascii="宋体"/>
          <w:b/>
          <w:bCs/>
          <w:sz w:val="36"/>
          <w:szCs w:val="36"/>
          <w:highlight w:val="none"/>
        </w:rPr>
      </w:pPr>
      <w:r>
        <w:rPr>
          <w:rFonts w:hint="eastAsia" w:ascii="宋体" w:hAnsi="宋体" w:cs="宋体"/>
          <w:b/>
          <w:bCs/>
          <w:sz w:val="36"/>
          <w:szCs w:val="36"/>
          <w:highlight w:val="none"/>
        </w:rPr>
        <w:t>供应商自觉抵制商业贿赂行为承诺书</w:t>
      </w:r>
    </w:p>
    <w:p>
      <w:pPr>
        <w:spacing w:afterLines="50" w:line="320" w:lineRule="exact"/>
        <w:rPr>
          <w:rFonts w:ascii="宋体"/>
          <w:sz w:val="24"/>
          <w:szCs w:val="24"/>
          <w:highlight w:val="none"/>
        </w:rPr>
      </w:pPr>
    </w:p>
    <w:p>
      <w:pPr>
        <w:spacing w:afterLines="50" w:line="320" w:lineRule="exact"/>
        <w:rPr>
          <w:rFonts w:ascii="宋体"/>
          <w:b/>
          <w:bCs/>
          <w:sz w:val="24"/>
          <w:szCs w:val="24"/>
          <w:highlight w:val="none"/>
        </w:rPr>
      </w:pPr>
      <w:r>
        <w:rPr>
          <w:rFonts w:hint="eastAsia" w:ascii="宋体" w:hAnsi="宋体" w:cs="宋体"/>
          <w:b/>
          <w:bCs/>
          <w:sz w:val="24"/>
          <w:szCs w:val="24"/>
          <w:highlight w:val="none"/>
        </w:rPr>
        <w:t>致：河南招标采购服务有限公司</w:t>
      </w:r>
    </w:p>
    <w:p>
      <w:pPr>
        <w:spacing w:line="440" w:lineRule="exact"/>
        <w:ind w:firstLine="635"/>
        <w:rPr>
          <w:rFonts w:ascii="宋体"/>
          <w:sz w:val="24"/>
          <w:szCs w:val="24"/>
          <w:highlight w:val="none"/>
        </w:rPr>
      </w:pPr>
      <w:r>
        <w:rPr>
          <w:rFonts w:hint="eastAsia" w:ascii="宋体" w:hAnsi="宋体" w:cs="宋体"/>
          <w:sz w:val="24"/>
          <w:szCs w:val="24"/>
          <w:highlight w:val="none"/>
        </w:rPr>
        <w:t>为进一步规范采购行为，营造公平竞争的采购市场环境，维护采购制度良好声誉，在参与采购机构组织的采购活动中，我方郑重承诺：</w:t>
      </w:r>
    </w:p>
    <w:p>
      <w:pPr>
        <w:spacing w:line="440" w:lineRule="exact"/>
        <w:ind w:firstLine="635"/>
        <w:rPr>
          <w:rFonts w:ascii="宋体"/>
          <w:sz w:val="24"/>
          <w:szCs w:val="24"/>
          <w:highlight w:val="none"/>
        </w:rPr>
      </w:pPr>
      <w:r>
        <w:rPr>
          <w:rFonts w:hint="eastAsia" w:ascii="宋体" w:hAnsi="宋体" w:cs="宋体"/>
          <w:sz w:val="24"/>
          <w:szCs w:val="24"/>
          <w:highlight w:val="none"/>
        </w:rPr>
        <w:t>一、依法参与采购活动，遵纪守法，诚信经营，公平竞争。</w:t>
      </w:r>
    </w:p>
    <w:p>
      <w:pPr>
        <w:spacing w:line="440" w:lineRule="exact"/>
        <w:ind w:firstLine="635"/>
        <w:rPr>
          <w:rFonts w:ascii="宋体"/>
          <w:sz w:val="24"/>
          <w:szCs w:val="24"/>
          <w:highlight w:val="none"/>
        </w:rPr>
      </w:pPr>
      <w:r>
        <w:rPr>
          <w:rFonts w:hint="eastAsia" w:ascii="宋体" w:hAnsi="宋体" w:cs="宋体"/>
          <w:sz w:val="24"/>
          <w:szCs w:val="24"/>
          <w:highlight w:val="none"/>
        </w:rPr>
        <w:t>二、不向采购单位、采购机构和采购评审专家提供任何形式的商业贿赂；对索取或接受商业贿赂的单位和个人，及时向由关机关举报。</w:t>
      </w:r>
    </w:p>
    <w:p>
      <w:pPr>
        <w:spacing w:line="440" w:lineRule="exact"/>
        <w:ind w:firstLine="635"/>
        <w:rPr>
          <w:rFonts w:ascii="宋体"/>
          <w:sz w:val="24"/>
          <w:szCs w:val="24"/>
          <w:highlight w:val="none"/>
        </w:rPr>
      </w:pPr>
      <w:r>
        <w:rPr>
          <w:rFonts w:hint="eastAsia" w:ascii="宋体" w:hAnsi="宋体" w:cs="宋体"/>
          <w:sz w:val="24"/>
          <w:szCs w:val="24"/>
          <w:highlight w:val="none"/>
        </w:rPr>
        <w:t>三、不以提供虚假资质文件等形式参与采购活动，不以虚假材料谋取成交。</w:t>
      </w:r>
    </w:p>
    <w:p>
      <w:pPr>
        <w:spacing w:line="440" w:lineRule="exact"/>
        <w:ind w:firstLine="635"/>
        <w:rPr>
          <w:rFonts w:ascii="宋体"/>
          <w:sz w:val="24"/>
          <w:szCs w:val="24"/>
          <w:highlight w:val="none"/>
        </w:rPr>
      </w:pPr>
      <w:r>
        <w:rPr>
          <w:rFonts w:hint="eastAsia" w:ascii="宋体" w:hAnsi="宋体" w:cs="宋体"/>
          <w:sz w:val="24"/>
          <w:szCs w:val="24"/>
          <w:highlight w:val="none"/>
        </w:rPr>
        <w:t>四、不采取不正当手段诋毁、排挤其他供应商，与其他参与采购活动供应商保持良性的竞争关系。</w:t>
      </w:r>
    </w:p>
    <w:p>
      <w:pPr>
        <w:spacing w:line="440" w:lineRule="exact"/>
        <w:ind w:firstLine="635"/>
        <w:rPr>
          <w:rFonts w:ascii="宋体"/>
          <w:sz w:val="24"/>
          <w:szCs w:val="24"/>
          <w:highlight w:val="none"/>
        </w:rPr>
      </w:pPr>
      <w:r>
        <w:rPr>
          <w:rFonts w:hint="eastAsia" w:ascii="宋体" w:hAnsi="宋体" w:cs="宋体"/>
          <w:sz w:val="24"/>
          <w:szCs w:val="24"/>
          <w:highlight w:val="none"/>
        </w:rPr>
        <w:t>五、不与采购单位、采购代理机构和采购评审专家恶意串通，自觉维护采购公平竞争的市场秩序。</w:t>
      </w:r>
    </w:p>
    <w:p>
      <w:pPr>
        <w:spacing w:line="440" w:lineRule="exact"/>
        <w:ind w:firstLine="635"/>
        <w:rPr>
          <w:rFonts w:ascii="宋体"/>
          <w:sz w:val="24"/>
          <w:szCs w:val="24"/>
          <w:highlight w:val="none"/>
        </w:rPr>
      </w:pPr>
      <w:r>
        <w:rPr>
          <w:rFonts w:hint="eastAsia" w:ascii="宋体" w:hAnsi="宋体" w:cs="宋体"/>
          <w:sz w:val="24"/>
          <w:szCs w:val="24"/>
          <w:highlight w:val="none"/>
        </w:rPr>
        <w:t>六、不与其他供应商串通采取围标、陪标等商业欺诈手段谋取成交，积极维护国家利益、社会公共利益和采购单位的合法权益。</w:t>
      </w:r>
    </w:p>
    <w:p>
      <w:pPr>
        <w:spacing w:line="440" w:lineRule="exact"/>
        <w:ind w:firstLine="635"/>
        <w:rPr>
          <w:rFonts w:ascii="宋体"/>
          <w:sz w:val="24"/>
          <w:szCs w:val="24"/>
          <w:highlight w:val="none"/>
        </w:rPr>
      </w:pPr>
      <w:r>
        <w:rPr>
          <w:rFonts w:hint="eastAsia" w:ascii="宋体" w:hAnsi="宋体" w:cs="宋体"/>
          <w:sz w:val="24"/>
          <w:szCs w:val="24"/>
          <w:highlight w:val="none"/>
        </w:rPr>
        <w:t>七、严格履行采购合同约定义务，不在采购合同执行过程中采取降低质量或标准、减少数量、拖延交付时间等方式损害采购单位的利益，并自觉承担违约责任。</w:t>
      </w:r>
    </w:p>
    <w:p>
      <w:pPr>
        <w:spacing w:line="440" w:lineRule="exact"/>
        <w:ind w:firstLine="635"/>
        <w:rPr>
          <w:rFonts w:ascii="宋体"/>
          <w:sz w:val="24"/>
          <w:szCs w:val="24"/>
          <w:highlight w:val="none"/>
        </w:rPr>
      </w:pPr>
      <w:r>
        <w:rPr>
          <w:rFonts w:hint="eastAsia" w:ascii="宋体" w:hAnsi="宋体" w:cs="宋体"/>
          <w:sz w:val="24"/>
          <w:szCs w:val="24"/>
          <w:highlight w:val="none"/>
        </w:rPr>
        <w:t>八、自觉接受并积极配合监督检查，如实反映情况，及时提供有关证明材料。</w:t>
      </w:r>
    </w:p>
    <w:p>
      <w:pPr>
        <w:spacing w:afterLines="50" w:line="320" w:lineRule="exact"/>
        <w:rPr>
          <w:rFonts w:ascii="宋体"/>
          <w:sz w:val="24"/>
          <w:szCs w:val="24"/>
          <w:highlight w:val="none"/>
        </w:rPr>
      </w:pPr>
    </w:p>
    <w:p>
      <w:pPr>
        <w:spacing w:afterLines="50" w:line="320" w:lineRule="exact"/>
        <w:rPr>
          <w:rFonts w:ascii="宋体"/>
          <w:sz w:val="24"/>
          <w:szCs w:val="24"/>
          <w:highlight w:val="none"/>
          <w:u w:val="single"/>
        </w:rPr>
      </w:pPr>
      <w:r>
        <w:rPr>
          <w:rFonts w:hint="eastAsia" w:ascii="宋体" w:hAnsi="宋体" w:cs="宋体"/>
          <w:sz w:val="24"/>
          <w:szCs w:val="24"/>
          <w:highlight w:val="none"/>
        </w:rPr>
        <w:t>供应商名称（并加盖公章）：</w:t>
      </w:r>
    </w:p>
    <w:p>
      <w:pPr>
        <w:pStyle w:val="16"/>
        <w:spacing w:before="60" w:afterLines="50" w:line="320" w:lineRule="exact"/>
        <w:ind w:firstLine="0" w:firstLineChars="0"/>
        <w:rPr>
          <w:rFonts w:ascii="宋体"/>
          <w:highlight w:val="none"/>
        </w:rPr>
      </w:pPr>
      <w:r>
        <w:rPr>
          <w:rFonts w:hint="eastAsia" w:ascii="宋体" w:hAnsi="宋体" w:cs="宋体"/>
          <w:highlight w:val="none"/>
        </w:rPr>
        <w:t>法定代表人（代表人）或其授权委托人：</w:t>
      </w:r>
      <w:r>
        <w:rPr>
          <w:rFonts w:hint="eastAsia" w:ascii="黑体" w:hAnsi="宋体" w:eastAsia="黑体" w:cs="黑体"/>
          <w:sz w:val="21"/>
          <w:szCs w:val="21"/>
          <w:highlight w:val="none"/>
          <w:u w:val="single"/>
        </w:rPr>
        <w:t>（法定代表人（代表人）可签字或加盖名章，授权委托人必须签字）</w:t>
      </w:r>
    </w:p>
    <w:p>
      <w:pPr>
        <w:pStyle w:val="16"/>
        <w:spacing w:before="60" w:afterLines="50" w:line="320" w:lineRule="exact"/>
        <w:ind w:firstLine="0" w:firstLineChars="0"/>
        <w:rPr>
          <w:rFonts w:ascii="宋体"/>
          <w:highlight w:val="none"/>
        </w:rPr>
      </w:pPr>
      <w:r>
        <w:rPr>
          <w:rFonts w:hint="eastAsia" w:ascii="宋体" w:hAnsi="宋体" w:cs="宋体"/>
          <w:highlight w:val="none"/>
        </w:rPr>
        <w:t>签署日期：年月日</w:t>
      </w:r>
    </w:p>
    <w:p>
      <w:pPr>
        <w:spacing w:line="480" w:lineRule="exact"/>
        <w:rPr>
          <w:rFonts w:ascii="宋体"/>
          <w:b/>
          <w:bCs/>
          <w:kern w:val="12"/>
          <w:sz w:val="24"/>
          <w:szCs w:val="24"/>
          <w:highlight w:val="none"/>
        </w:rPr>
      </w:pPr>
      <w:r>
        <w:rPr>
          <w:rFonts w:hint="eastAsia" w:ascii="宋体" w:hAnsi="宋体" w:cs="宋体"/>
          <w:b/>
          <w:bCs/>
          <w:position w:val="6"/>
          <w:sz w:val="24"/>
          <w:szCs w:val="24"/>
          <w:highlight w:val="none"/>
        </w:rPr>
        <w:t>格式</w:t>
      </w:r>
      <w:r>
        <w:rPr>
          <w:rFonts w:ascii="宋体" w:hAnsi="宋体" w:cs="宋体"/>
          <w:b/>
          <w:bCs/>
          <w:position w:val="6"/>
          <w:sz w:val="24"/>
          <w:szCs w:val="24"/>
          <w:highlight w:val="none"/>
        </w:rPr>
        <w:t>8</w:t>
      </w:r>
    </w:p>
    <w:p>
      <w:pPr>
        <w:pStyle w:val="16"/>
        <w:spacing w:before="60" w:afterLines="50" w:line="460" w:lineRule="exact"/>
        <w:ind w:firstLine="0" w:firstLineChars="0"/>
        <w:jc w:val="center"/>
        <w:rPr>
          <w:rFonts w:ascii="宋体"/>
          <w:b/>
          <w:bCs/>
          <w:highlight w:val="none"/>
        </w:rPr>
      </w:pPr>
      <w:r>
        <w:rPr>
          <w:rFonts w:hint="eastAsia" w:ascii="宋体" w:hAnsi="宋体" w:cs="宋体"/>
          <w:b/>
          <w:bCs/>
          <w:kern w:val="2"/>
          <w:sz w:val="32"/>
          <w:szCs w:val="32"/>
          <w:highlight w:val="none"/>
        </w:rPr>
        <w:t>参加本项采购活动前三年内，在经营活动中没有重大违法记录承诺书</w:t>
      </w:r>
    </w:p>
    <w:p>
      <w:pPr>
        <w:pStyle w:val="16"/>
        <w:spacing w:before="60" w:afterLines="50" w:line="320" w:lineRule="exact"/>
        <w:ind w:firstLine="0" w:firstLineChars="0"/>
        <w:jc w:val="center"/>
        <w:rPr>
          <w:rFonts w:ascii="宋体"/>
          <w:b/>
          <w:bCs/>
          <w:highlight w:val="none"/>
        </w:rPr>
      </w:pPr>
      <w:r>
        <w:rPr>
          <w:rFonts w:hint="eastAsia" w:ascii="宋体" w:hAnsi="宋体" w:cs="宋体"/>
          <w:b/>
          <w:bCs/>
          <w:highlight w:val="none"/>
        </w:rPr>
        <w:t>（自定格式）</w:t>
      </w:r>
    </w:p>
    <w:p>
      <w:pPr>
        <w:spacing w:line="480" w:lineRule="exact"/>
        <w:jc w:val="center"/>
        <w:rPr>
          <w:rFonts w:ascii="宋体"/>
          <w:b/>
          <w:bCs/>
          <w:sz w:val="36"/>
          <w:szCs w:val="36"/>
          <w:highlight w:val="none"/>
        </w:rPr>
      </w:pPr>
    </w:p>
    <w:p>
      <w:pPr>
        <w:pStyle w:val="19"/>
        <w:spacing w:line="480" w:lineRule="exact"/>
        <w:ind w:firstLine="0" w:firstLineChars="0"/>
        <w:rPr>
          <w:rFonts w:hAnsi="宋体" w:cs="Times New Roman"/>
          <w:b/>
          <w:bCs/>
          <w:kern w:val="12"/>
          <w:highlight w:val="none"/>
        </w:rPr>
      </w:pPr>
      <w:r>
        <w:rPr>
          <w:rFonts w:hAnsi="宋体" w:cs="Times New Roman"/>
          <w:b/>
          <w:bCs/>
          <w:kern w:val="12"/>
          <w:highlight w:val="none"/>
        </w:rPr>
        <w:br w:type="page"/>
      </w:r>
      <w:r>
        <w:rPr>
          <w:rFonts w:hint="eastAsia" w:hAnsi="宋体"/>
          <w:b/>
          <w:bCs/>
          <w:position w:val="6"/>
          <w:highlight w:val="none"/>
        </w:rPr>
        <w:t>格式</w:t>
      </w:r>
      <w:r>
        <w:rPr>
          <w:rFonts w:hAnsi="宋体"/>
          <w:b/>
          <w:bCs/>
          <w:position w:val="6"/>
          <w:highlight w:val="none"/>
        </w:rPr>
        <w:t>9</w:t>
      </w:r>
    </w:p>
    <w:p>
      <w:pPr>
        <w:pStyle w:val="16"/>
        <w:spacing w:before="60" w:afterLines="50" w:line="320" w:lineRule="exact"/>
        <w:ind w:firstLine="0" w:firstLineChars="0"/>
        <w:jc w:val="center"/>
        <w:rPr>
          <w:rFonts w:ascii="宋体"/>
          <w:b/>
          <w:bCs/>
          <w:kern w:val="2"/>
          <w:sz w:val="32"/>
          <w:szCs w:val="32"/>
          <w:highlight w:val="none"/>
        </w:rPr>
      </w:pPr>
      <w:r>
        <w:rPr>
          <w:rFonts w:hint="eastAsia" w:ascii="宋体" w:hAnsi="宋体" w:cs="宋体"/>
          <w:b/>
          <w:bCs/>
          <w:kern w:val="2"/>
          <w:sz w:val="32"/>
          <w:szCs w:val="32"/>
          <w:highlight w:val="none"/>
        </w:rPr>
        <w:t>具备履行合同所必需的设备和专业技术能力的证明材料</w:t>
      </w:r>
    </w:p>
    <w:p>
      <w:pPr>
        <w:pStyle w:val="16"/>
        <w:spacing w:before="60" w:afterLines="50" w:line="320" w:lineRule="exact"/>
        <w:ind w:firstLine="0" w:firstLineChars="0"/>
        <w:jc w:val="center"/>
        <w:rPr>
          <w:rFonts w:ascii="宋体"/>
          <w:b/>
          <w:bCs/>
          <w:highlight w:val="none"/>
        </w:rPr>
      </w:pPr>
      <w:r>
        <w:rPr>
          <w:rFonts w:hint="eastAsia" w:ascii="宋体" w:hAnsi="宋体" w:cs="宋体"/>
          <w:b/>
          <w:bCs/>
          <w:highlight w:val="none"/>
        </w:rPr>
        <w:t>（自定格式）</w:t>
      </w:r>
    </w:p>
    <w:p>
      <w:pPr>
        <w:pStyle w:val="16"/>
        <w:spacing w:before="60" w:afterLines="50" w:line="320" w:lineRule="exact"/>
        <w:ind w:firstLine="0" w:firstLineChars="0"/>
        <w:jc w:val="center"/>
        <w:rPr>
          <w:rFonts w:ascii="宋体"/>
          <w:highlight w:val="none"/>
        </w:rPr>
      </w:pPr>
      <w:r>
        <w:rPr>
          <w:rFonts w:hint="eastAsia" w:ascii="宋体" w:hAnsi="宋体" w:cs="宋体"/>
          <w:highlight w:val="none"/>
        </w:rPr>
        <w:t>可附相关设备的购置发票复印件、专业技术人员职称证书复印件、用工合同复印件等或者附供应商相关承诺函或声明。</w:t>
      </w:r>
    </w:p>
    <w:p>
      <w:pPr>
        <w:pStyle w:val="16"/>
        <w:spacing w:before="60" w:afterLines="50" w:line="320" w:lineRule="exact"/>
        <w:ind w:firstLine="0" w:firstLineChars="0"/>
        <w:rPr>
          <w:rFonts w:ascii="宋体"/>
          <w:b/>
          <w:bCs/>
          <w:highlight w:val="none"/>
        </w:rPr>
      </w:pPr>
    </w:p>
    <w:p>
      <w:pPr>
        <w:pStyle w:val="19"/>
        <w:spacing w:line="480" w:lineRule="exact"/>
        <w:ind w:firstLine="0" w:firstLineChars="0"/>
        <w:rPr>
          <w:rFonts w:hAnsi="宋体"/>
          <w:b/>
          <w:bCs/>
          <w:position w:val="6"/>
          <w:highlight w:val="none"/>
        </w:rPr>
      </w:pPr>
      <w:r>
        <w:rPr>
          <w:rFonts w:hint="eastAsia" w:hAnsi="宋体"/>
          <w:b/>
          <w:bCs/>
          <w:position w:val="6"/>
          <w:highlight w:val="none"/>
        </w:rPr>
        <w:t>格式</w:t>
      </w:r>
      <w:r>
        <w:rPr>
          <w:rFonts w:hAnsi="宋体"/>
          <w:b/>
          <w:bCs/>
          <w:position w:val="6"/>
          <w:highlight w:val="none"/>
        </w:rPr>
        <w:t>10</w:t>
      </w:r>
    </w:p>
    <w:p>
      <w:pPr>
        <w:spacing w:line="480" w:lineRule="exact"/>
        <w:jc w:val="center"/>
        <w:rPr>
          <w:rFonts w:ascii="宋体"/>
          <w:b/>
          <w:bCs/>
          <w:sz w:val="36"/>
          <w:szCs w:val="36"/>
          <w:highlight w:val="none"/>
        </w:rPr>
      </w:pPr>
      <w:r>
        <w:rPr>
          <w:rFonts w:hint="eastAsia" w:ascii="宋体" w:hAnsi="宋体" w:cs="宋体"/>
          <w:b/>
          <w:bCs/>
          <w:sz w:val="36"/>
          <w:szCs w:val="36"/>
          <w:highlight w:val="none"/>
        </w:rPr>
        <w:t>法定代表人（代表人）资格证明书</w:t>
      </w:r>
    </w:p>
    <w:p>
      <w:pPr>
        <w:autoSpaceDE w:val="0"/>
        <w:autoSpaceDN w:val="0"/>
        <w:adjustRightInd w:val="0"/>
        <w:spacing w:line="480" w:lineRule="auto"/>
        <w:ind w:firstLine="616" w:firstLineChars="257"/>
        <w:rPr>
          <w:rFonts w:ascii="宋体"/>
          <w:sz w:val="24"/>
          <w:szCs w:val="24"/>
          <w:highlight w:val="none"/>
        </w:rPr>
      </w:pPr>
    </w:p>
    <w:p>
      <w:pPr>
        <w:pStyle w:val="19"/>
        <w:spacing w:line="480" w:lineRule="auto"/>
        <w:ind w:firstLine="540" w:firstLineChars="225"/>
        <w:jc w:val="left"/>
        <w:rPr>
          <w:rFonts w:hAnsi="宋体" w:cs="Times New Roman"/>
          <w:highlight w:val="none"/>
        </w:rPr>
      </w:pPr>
      <w:r>
        <w:rPr>
          <w:rFonts w:hint="eastAsia" w:hAnsi="宋体"/>
          <w:highlight w:val="none"/>
        </w:rPr>
        <w:t>单位名称：</w:t>
      </w:r>
    </w:p>
    <w:p>
      <w:pPr>
        <w:pStyle w:val="19"/>
        <w:spacing w:line="480" w:lineRule="auto"/>
        <w:ind w:firstLine="540" w:firstLineChars="225"/>
        <w:jc w:val="left"/>
        <w:rPr>
          <w:rFonts w:hAnsi="宋体" w:cs="Times New Roman"/>
          <w:highlight w:val="none"/>
        </w:rPr>
      </w:pPr>
      <w:r>
        <w:rPr>
          <w:rFonts w:hint="eastAsia" w:hAnsi="宋体"/>
          <w:highlight w:val="none"/>
        </w:rPr>
        <w:t>地址：</w:t>
      </w:r>
    </w:p>
    <w:p>
      <w:pPr>
        <w:pStyle w:val="19"/>
        <w:spacing w:line="480" w:lineRule="auto"/>
        <w:ind w:firstLine="540" w:firstLineChars="225"/>
        <w:jc w:val="left"/>
        <w:rPr>
          <w:rFonts w:hAnsi="宋体"/>
          <w:highlight w:val="none"/>
        </w:rPr>
      </w:pPr>
      <w:r>
        <w:rPr>
          <w:rFonts w:hint="eastAsia" w:hAnsi="宋体"/>
          <w:highlight w:val="none"/>
        </w:rPr>
        <w:t>姓名：</w:t>
      </w:r>
      <w:r>
        <w:rPr>
          <w:rFonts w:hAnsi="宋体"/>
          <w:highlight w:val="none"/>
        </w:rPr>
        <w:t xml:space="preserve">          </w:t>
      </w:r>
      <w:r>
        <w:rPr>
          <w:rFonts w:hint="eastAsia" w:hAnsi="宋体"/>
          <w:highlight w:val="none"/>
        </w:rPr>
        <w:t>性别：</w:t>
      </w:r>
      <w:r>
        <w:rPr>
          <w:rFonts w:hAnsi="宋体"/>
          <w:highlight w:val="none"/>
        </w:rPr>
        <w:t xml:space="preserve">           </w:t>
      </w:r>
      <w:r>
        <w:rPr>
          <w:rFonts w:hint="eastAsia" w:hAnsi="宋体"/>
          <w:highlight w:val="none"/>
        </w:rPr>
        <w:t>年龄：</w:t>
      </w:r>
      <w:r>
        <w:rPr>
          <w:rFonts w:hAnsi="宋体"/>
          <w:highlight w:val="none"/>
        </w:rPr>
        <w:t xml:space="preserve">            </w:t>
      </w:r>
      <w:r>
        <w:rPr>
          <w:rFonts w:hint="eastAsia" w:hAnsi="宋体"/>
          <w:highlight w:val="none"/>
        </w:rPr>
        <w:t>职务：</w:t>
      </w:r>
      <w:r>
        <w:rPr>
          <w:rFonts w:hAnsi="宋体"/>
          <w:highlight w:val="none"/>
        </w:rPr>
        <w:t xml:space="preserve">        </w:t>
      </w:r>
    </w:p>
    <w:p>
      <w:pPr>
        <w:pStyle w:val="19"/>
        <w:spacing w:line="480" w:lineRule="auto"/>
        <w:ind w:firstLine="540" w:firstLineChars="225"/>
        <w:jc w:val="left"/>
        <w:rPr>
          <w:rFonts w:hAnsi="宋体" w:cs="Times New Roman"/>
          <w:highlight w:val="none"/>
        </w:rPr>
      </w:pPr>
      <w:r>
        <w:rPr>
          <w:rFonts w:hint="eastAsia" w:hAnsi="宋体"/>
          <w:highlight w:val="none"/>
        </w:rPr>
        <w:t>本人系</w:t>
      </w:r>
      <w:r>
        <w:rPr>
          <w:rFonts w:hAnsi="宋体"/>
          <w:highlight w:val="none"/>
          <w:u w:val="single"/>
        </w:rPr>
        <w:t>&lt;</w:t>
      </w:r>
      <w:r>
        <w:rPr>
          <w:rFonts w:hint="eastAsia" w:hAnsi="宋体"/>
          <w:highlight w:val="none"/>
          <w:u w:val="single"/>
        </w:rPr>
        <w:t>单位名称</w:t>
      </w:r>
      <w:r>
        <w:rPr>
          <w:rFonts w:hAnsi="宋体"/>
          <w:highlight w:val="none"/>
          <w:u w:val="single"/>
        </w:rPr>
        <w:t>&gt;</w:t>
      </w:r>
      <w:r>
        <w:rPr>
          <w:rFonts w:hint="eastAsia" w:hAnsi="宋体"/>
          <w:highlight w:val="none"/>
        </w:rPr>
        <w:t>的法定代表人（代表人）。就参加你公司组织的采购编号为</w:t>
      </w:r>
      <w:r>
        <w:rPr>
          <w:rFonts w:hAnsi="宋体"/>
          <w:highlight w:val="none"/>
          <w:u w:val="single"/>
        </w:rPr>
        <w:t>&lt;</w:t>
      </w:r>
      <w:r>
        <w:rPr>
          <w:rFonts w:hint="eastAsia" w:hAnsi="宋体"/>
          <w:highlight w:val="none"/>
          <w:u w:val="single"/>
        </w:rPr>
        <w:t>项目编号</w:t>
      </w:r>
      <w:r>
        <w:rPr>
          <w:rFonts w:hAnsi="宋体"/>
          <w:highlight w:val="none"/>
          <w:u w:val="single"/>
        </w:rPr>
        <w:t>&gt;</w:t>
      </w:r>
      <w:r>
        <w:rPr>
          <w:rFonts w:hint="eastAsia" w:hAnsi="宋体"/>
          <w:highlight w:val="none"/>
        </w:rPr>
        <w:t>的</w:t>
      </w:r>
      <w:r>
        <w:rPr>
          <w:rFonts w:hAnsi="宋体"/>
          <w:highlight w:val="none"/>
          <w:u w:val="single"/>
        </w:rPr>
        <w:t>&lt;</w:t>
      </w:r>
      <w:r>
        <w:rPr>
          <w:rFonts w:hint="eastAsia" w:hAnsi="宋体"/>
          <w:highlight w:val="none"/>
          <w:u w:val="single"/>
        </w:rPr>
        <w:t>项目名称</w:t>
      </w:r>
      <w:r>
        <w:rPr>
          <w:rFonts w:hAnsi="宋体"/>
          <w:highlight w:val="none"/>
          <w:u w:val="single"/>
        </w:rPr>
        <w:t>&gt;</w:t>
      </w:r>
      <w:r>
        <w:rPr>
          <w:rFonts w:hAnsi="宋体"/>
          <w:highlight w:val="none"/>
        </w:rPr>
        <w:t xml:space="preserve"> </w:t>
      </w:r>
      <w:r>
        <w:rPr>
          <w:rFonts w:hint="eastAsia" w:hAnsi="宋体"/>
          <w:highlight w:val="none"/>
        </w:rPr>
        <w:t>竞争性谈判采购项目的报价，签署上述项目的谈判响应文件及合同的执行、完成、服务和保修，签署合同和处理与之有关的一切事务。</w:t>
      </w:r>
    </w:p>
    <w:p>
      <w:pPr>
        <w:pStyle w:val="19"/>
        <w:spacing w:line="480" w:lineRule="auto"/>
        <w:ind w:firstLine="540" w:firstLineChars="225"/>
        <w:jc w:val="left"/>
        <w:rPr>
          <w:rFonts w:hAnsi="宋体" w:cs="Times New Roman"/>
          <w:highlight w:val="none"/>
        </w:rPr>
      </w:pPr>
      <w:r>
        <w:rPr>
          <w:rFonts w:hint="eastAsia" w:hAnsi="宋体"/>
          <w:highlight w:val="none"/>
        </w:rPr>
        <w:t>特此证明。</w:t>
      </w:r>
    </w:p>
    <w:p>
      <w:pPr>
        <w:pStyle w:val="19"/>
        <w:spacing w:line="480" w:lineRule="auto"/>
        <w:ind w:firstLine="540" w:firstLineChars="225"/>
        <w:jc w:val="left"/>
        <w:rPr>
          <w:rFonts w:hAnsi="宋体" w:cs="Times New Roman"/>
          <w:highlight w:val="none"/>
        </w:rPr>
      </w:pPr>
    </w:p>
    <w:p>
      <w:pPr>
        <w:pStyle w:val="19"/>
        <w:spacing w:line="480" w:lineRule="auto"/>
        <w:ind w:left="-538" w:leftChars="-256" w:firstLine="619" w:firstLineChars="257"/>
        <w:jc w:val="center"/>
        <w:rPr>
          <w:rFonts w:hAnsi="宋体" w:cs="Times New Roman"/>
          <w:b/>
          <w:bCs/>
          <w:highlight w:val="none"/>
        </w:rPr>
      </w:pPr>
      <w:r>
        <w:rPr>
          <w:rFonts w:hint="eastAsia" w:hAnsi="宋体"/>
          <w:b/>
          <w:bCs/>
          <w:highlight w:val="none"/>
        </w:rPr>
        <w:t>（※此处请粘贴法定代表人（代表人）身份证复印件，需清晰反映身份证有效期限※）</w:t>
      </w:r>
    </w:p>
    <w:p>
      <w:pPr>
        <w:pStyle w:val="19"/>
        <w:spacing w:line="480" w:lineRule="auto"/>
        <w:ind w:firstLine="540" w:firstLineChars="225"/>
        <w:jc w:val="left"/>
        <w:rPr>
          <w:rFonts w:hAnsi="宋体" w:cs="Times New Roman"/>
          <w:highlight w:val="none"/>
        </w:rPr>
      </w:pPr>
    </w:p>
    <w:p>
      <w:pPr>
        <w:spacing w:line="480" w:lineRule="auto"/>
        <w:rPr>
          <w:rFonts w:ascii="Arial" w:hAnsi="Arial" w:cs="Arial"/>
          <w:sz w:val="24"/>
          <w:szCs w:val="24"/>
          <w:highlight w:val="none"/>
          <w:u w:val="single"/>
        </w:rPr>
      </w:pPr>
      <w:r>
        <w:rPr>
          <w:rFonts w:hint="eastAsia" w:ascii="Arial" w:hAnsi="Arial" w:cs="宋体"/>
          <w:sz w:val="24"/>
          <w:szCs w:val="24"/>
          <w:highlight w:val="none"/>
        </w:rPr>
        <w:t>供应商名称（并加盖公章）：</w:t>
      </w:r>
    </w:p>
    <w:p>
      <w:pPr>
        <w:pStyle w:val="16"/>
        <w:spacing w:before="60" w:line="480" w:lineRule="auto"/>
        <w:ind w:firstLine="0" w:firstLineChars="0"/>
        <w:rPr>
          <w:rFonts w:ascii="Arial" w:hAnsi="Arial" w:cs="Arial"/>
          <w:highlight w:val="none"/>
        </w:rPr>
      </w:pPr>
      <w:r>
        <w:rPr>
          <w:rFonts w:hint="eastAsia" w:ascii="Arial" w:hAnsi="Arial" w:cs="宋体"/>
          <w:highlight w:val="none"/>
        </w:rPr>
        <w:t>签署日期：年月日</w:t>
      </w:r>
    </w:p>
    <w:p>
      <w:pPr>
        <w:pStyle w:val="22"/>
        <w:spacing w:line="480" w:lineRule="auto"/>
        <w:rPr>
          <w:rFonts w:ascii="Arial" w:hAnsi="Arial" w:cs="Arial"/>
          <w:highlight w:val="none"/>
        </w:rPr>
      </w:pPr>
    </w:p>
    <w:p>
      <w:pPr>
        <w:spacing w:line="480" w:lineRule="exact"/>
        <w:jc w:val="center"/>
        <w:rPr>
          <w:rFonts w:ascii="宋体"/>
          <w:b/>
          <w:bCs/>
          <w:kern w:val="12"/>
          <w:sz w:val="24"/>
          <w:szCs w:val="24"/>
          <w:highlight w:val="none"/>
        </w:rPr>
      </w:pPr>
    </w:p>
    <w:p>
      <w:pPr>
        <w:pStyle w:val="16"/>
        <w:spacing w:before="60" w:afterLines="50" w:line="320" w:lineRule="exact"/>
        <w:ind w:firstLine="0" w:firstLineChars="0"/>
        <w:rPr>
          <w:rFonts w:ascii="宋体"/>
          <w:b/>
          <w:bCs/>
          <w:highlight w:val="none"/>
        </w:rPr>
      </w:pPr>
      <w:r>
        <w:rPr>
          <w:rFonts w:hint="eastAsia" w:cs="宋体"/>
          <w:b/>
          <w:bCs/>
          <w:kern w:val="12"/>
          <w:highlight w:val="none"/>
        </w:rPr>
        <w:t>★说明：</w:t>
      </w:r>
      <w:r>
        <w:rPr>
          <w:rFonts w:hint="eastAsia" w:ascii="宋体" w:hAnsi="宋体" w:cs="宋体"/>
          <w:b/>
          <w:bCs/>
          <w:kern w:val="12"/>
          <w:highlight w:val="none"/>
        </w:rPr>
        <w:t>法定代表人（代表人）参加本采购项目竞争性谈判的，仅须出具此证明书。</w:t>
      </w:r>
      <w:r>
        <w:rPr>
          <w:rFonts w:ascii="宋体"/>
          <w:b/>
          <w:bCs/>
          <w:kern w:val="12"/>
          <w:highlight w:val="none"/>
        </w:rPr>
        <w:br w:type="page"/>
      </w:r>
    </w:p>
    <w:p>
      <w:pPr>
        <w:pStyle w:val="19"/>
        <w:spacing w:line="480" w:lineRule="exact"/>
        <w:ind w:firstLine="0" w:firstLineChars="0"/>
        <w:rPr>
          <w:rFonts w:hAnsi="宋体"/>
          <w:b/>
          <w:bCs/>
          <w:position w:val="6"/>
          <w:highlight w:val="none"/>
        </w:rPr>
      </w:pPr>
      <w:r>
        <w:rPr>
          <w:rFonts w:hint="eastAsia" w:hAnsi="宋体"/>
          <w:b/>
          <w:bCs/>
          <w:position w:val="6"/>
          <w:highlight w:val="none"/>
        </w:rPr>
        <w:t>格式</w:t>
      </w:r>
      <w:r>
        <w:rPr>
          <w:rFonts w:hAnsi="宋体"/>
          <w:b/>
          <w:bCs/>
          <w:position w:val="6"/>
          <w:highlight w:val="none"/>
        </w:rPr>
        <w:t>11</w:t>
      </w:r>
    </w:p>
    <w:p>
      <w:pPr>
        <w:spacing w:line="480" w:lineRule="exact"/>
        <w:jc w:val="center"/>
        <w:rPr>
          <w:rFonts w:ascii="宋体"/>
          <w:b/>
          <w:bCs/>
          <w:sz w:val="36"/>
          <w:szCs w:val="36"/>
          <w:highlight w:val="none"/>
        </w:rPr>
      </w:pPr>
      <w:r>
        <w:rPr>
          <w:rFonts w:hint="eastAsia" w:ascii="宋体" w:hAnsi="宋体" w:cs="宋体"/>
          <w:b/>
          <w:bCs/>
          <w:sz w:val="36"/>
          <w:szCs w:val="36"/>
          <w:highlight w:val="none"/>
        </w:rPr>
        <w:t>法定代表人（代表人）授权委托书</w:t>
      </w:r>
    </w:p>
    <w:p>
      <w:pPr>
        <w:spacing w:afterLines="50" w:line="480" w:lineRule="auto"/>
        <w:rPr>
          <w:rFonts w:ascii="宋体"/>
          <w:sz w:val="24"/>
          <w:szCs w:val="24"/>
          <w:highlight w:val="none"/>
        </w:rPr>
      </w:pPr>
    </w:p>
    <w:p>
      <w:pPr>
        <w:spacing w:line="480" w:lineRule="auto"/>
        <w:ind w:firstLine="480" w:firstLineChars="200"/>
        <w:rPr>
          <w:rFonts w:ascii="宋体"/>
          <w:sz w:val="24"/>
          <w:szCs w:val="24"/>
          <w:highlight w:val="none"/>
        </w:rPr>
      </w:pPr>
      <w:r>
        <w:rPr>
          <w:rFonts w:hint="eastAsia" w:ascii="宋体" w:hAnsi="宋体" w:cs="宋体"/>
          <w:sz w:val="24"/>
          <w:szCs w:val="24"/>
          <w:highlight w:val="none"/>
        </w:rPr>
        <w:t>本授权书声明：注册于（注册地点）的（单位名称）的（法定代表人（代表人）姓名与职务）代表本公司授权（单位名称）的（被授权人的姓名与职务）为本公司的合法代理人，就参加你公司组织的采购编号为（项目编号）的（项目名称）竞争性谈判采购项目的报价、签订合同以及合同的执行、完成、服务和保修，以本公司名义处理一切与之有关的事务。</w:t>
      </w:r>
    </w:p>
    <w:p>
      <w:pPr>
        <w:spacing w:line="480" w:lineRule="auto"/>
        <w:ind w:firstLine="480" w:firstLineChars="200"/>
        <w:rPr>
          <w:rFonts w:ascii="宋体"/>
          <w:sz w:val="24"/>
          <w:szCs w:val="24"/>
          <w:highlight w:val="none"/>
        </w:rPr>
      </w:pPr>
      <w:r>
        <w:rPr>
          <w:rFonts w:hint="eastAsia" w:ascii="宋体" w:hAnsi="宋体" w:cs="宋体"/>
          <w:sz w:val="24"/>
          <w:szCs w:val="24"/>
          <w:highlight w:val="none"/>
        </w:rPr>
        <w:t>本授权书于年月日签字生效，无转委托权，特此声明。</w:t>
      </w:r>
    </w:p>
    <w:p>
      <w:pPr>
        <w:spacing w:line="480" w:lineRule="auto"/>
        <w:rPr>
          <w:rFonts w:ascii="宋体"/>
          <w:sz w:val="24"/>
          <w:szCs w:val="24"/>
          <w:highlight w:val="none"/>
        </w:rPr>
      </w:pPr>
    </w:p>
    <w:p>
      <w:pPr>
        <w:pStyle w:val="15"/>
        <w:spacing w:line="480" w:lineRule="auto"/>
        <w:ind w:firstLine="480" w:firstLineChars="200"/>
        <w:rPr>
          <w:rFonts w:ascii="宋体"/>
          <w:highlight w:val="none"/>
          <w:u w:val="single"/>
        </w:rPr>
      </w:pPr>
      <w:r>
        <w:rPr>
          <w:rFonts w:hint="eastAsia" w:ascii="宋体" w:hAnsi="宋体" w:cs="宋体"/>
          <w:highlight w:val="none"/>
        </w:rPr>
        <w:t>代理人：</w:t>
      </w:r>
      <w:r>
        <w:rPr>
          <w:rFonts w:ascii="宋体" w:hAnsi="宋体" w:cs="宋体"/>
          <w:highlight w:val="none"/>
        </w:rPr>
        <w:t xml:space="preserve"> </w:t>
      </w:r>
      <w:r>
        <w:rPr>
          <w:rFonts w:hint="eastAsia" w:ascii="宋体" w:hAnsi="宋体" w:cs="宋体"/>
          <w:highlight w:val="none"/>
        </w:rPr>
        <w:t>性别：年龄：。</w:t>
      </w:r>
    </w:p>
    <w:p>
      <w:pPr>
        <w:pStyle w:val="15"/>
        <w:spacing w:line="480" w:lineRule="auto"/>
        <w:ind w:firstLine="480" w:firstLineChars="200"/>
        <w:rPr>
          <w:rFonts w:ascii="宋体"/>
          <w:highlight w:val="none"/>
          <w:u w:val="single"/>
        </w:rPr>
      </w:pPr>
      <w:r>
        <w:rPr>
          <w:rFonts w:hint="eastAsia" w:cs="宋体"/>
          <w:highlight w:val="none"/>
        </w:rPr>
        <w:t>单位：部门：职务：。</w:t>
      </w:r>
    </w:p>
    <w:p>
      <w:pPr>
        <w:pStyle w:val="22"/>
        <w:spacing w:afterLines="50" w:line="320" w:lineRule="exact"/>
        <w:rPr>
          <w:rFonts w:ascii="宋体"/>
          <w:highlight w:val="none"/>
        </w:rPr>
      </w:pPr>
    </w:p>
    <w:p>
      <w:pPr>
        <w:pStyle w:val="19"/>
        <w:ind w:firstLine="482"/>
        <w:jc w:val="center"/>
        <w:rPr>
          <w:rFonts w:hAnsi="宋体" w:cs="Times New Roman"/>
          <w:b/>
          <w:bCs/>
          <w:highlight w:val="none"/>
        </w:rPr>
      </w:pPr>
      <w:r>
        <w:rPr>
          <w:rFonts w:hint="eastAsia" w:hAnsi="宋体"/>
          <w:b/>
          <w:bCs/>
          <w:highlight w:val="none"/>
        </w:rPr>
        <w:t>（※此处请粘贴被授权人身份证复印件，需清晰反映身份证有效期限※）</w:t>
      </w:r>
    </w:p>
    <w:p>
      <w:pPr>
        <w:spacing w:afterLines="50" w:line="320" w:lineRule="exact"/>
        <w:rPr>
          <w:rFonts w:ascii="宋体"/>
          <w:sz w:val="24"/>
          <w:szCs w:val="24"/>
          <w:highlight w:val="none"/>
        </w:rPr>
      </w:pPr>
    </w:p>
    <w:p>
      <w:pPr>
        <w:pStyle w:val="15"/>
        <w:spacing w:after="0" w:line="480" w:lineRule="auto"/>
        <w:ind w:firstLine="480" w:firstLineChars="200"/>
        <w:rPr>
          <w:rFonts w:ascii="宋体"/>
          <w:highlight w:val="none"/>
          <w:u w:val="single"/>
        </w:rPr>
      </w:pPr>
      <w:r>
        <w:rPr>
          <w:rFonts w:hint="eastAsia" w:ascii="宋体" w:hAnsi="宋体" w:cs="宋体"/>
          <w:highlight w:val="none"/>
        </w:rPr>
        <w:t>供应商名称（并加盖公章）：</w:t>
      </w:r>
    </w:p>
    <w:p>
      <w:pPr>
        <w:pStyle w:val="15"/>
        <w:spacing w:after="0" w:line="480" w:lineRule="auto"/>
        <w:ind w:firstLine="480" w:firstLineChars="200"/>
        <w:rPr>
          <w:rFonts w:ascii="宋体"/>
          <w:highlight w:val="none"/>
        </w:rPr>
      </w:pPr>
      <w:r>
        <w:rPr>
          <w:rFonts w:hint="eastAsia" w:ascii="宋体" w:hAnsi="宋体" w:cs="宋体"/>
          <w:highlight w:val="none"/>
        </w:rPr>
        <w:t>法定代表人（代表人）（签字或加盖名章）：</w:t>
      </w:r>
    </w:p>
    <w:p>
      <w:pPr>
        <w:spacing w:line="480" w:lineRule="auto"/>
        <w:ind w:firstLine="480" w:firstLineChars="200"/>
        <w:rPr>
          <w:rFonts w:ascii="宋体"/>
          <w:b/>
          <w:bCs/>
          <w:kern w:val="12"/>
          <w:sz w:val="24"/>
          <w:szCs w:val="24"/>
          <w:highlight w:val="none"/>
        </w:rPr>
      </w:pPr>
      <w:r>
        <w:rPr>
          <w:rFonts w:hint="eastAsia" w:ascii="宋体" w:hAnsi="宋体" w:cs="宋体"/>
          <w:sz w:val="24"/>
          <w:szCs w:val="24"/>
          <w:highlight w:val="none"/>
        </w:rPr>
        <w:t>签署日期：年月日</w:t>
      </w:r>
    </w:p>
    <w:p>
      <w:pPr>
        <w:spacing w:afterLines="50" w:line="320" w:lineRule="exact"/>
        <w:rPr>
          <w:rFonts w:ascii="宋体"/>
          <w:b/>
          <w:bCs/>
          <w:kern w:val="12"/>
          <w:sz w:val="24"/>
          <w:szCs w:val="24"/>
          <w:highlight w:val="none"/>
        </w:rPr>
      </w:pPr>
    </w:p>
    <w:p>
      <w:pPr>
        <w:spacing w:line="320" w:lineRule="exact"/>
        <w:rPr>
          <w:rFonts w:ascii="宋体"/>
          <w:b/>
          <w:bCs/>
          <w:kern w:val="12"/>
          <w:sz w:val="24"/>
          <w:szCs w:val="24"/>
          <w:highlight w:val="none"/>
        </w:rPr>
      </w:pPr>
      <w:r>
        <w:rPr>
          <w:rFonts w:hint="eastAsia" w:cs="宋体"/>
          <w:b/>
          <w:bCs/>
          <w:kern w:val="12"/>
          <w:sz w:val="24"/>
          <w:szCs w:val="24"/>
          <w:highlight w:val="none"/>
        </w:rPr>
        <w:t>说明：</w:t>
      </w:r>
      <w:r>
        <w:rPr>
          <w:rFonts w:hint="eastAsia" w:ascii="宋体" w:hAnsi="宋体" w:cs="宋体"/>
          <w:b/>
          <w:bCs/>
          <w:kern w:val="12"/>
          <w:sz w:val="24"/>
          <w:szCs w:val="24"/>
          <w:highlight w:val="none"/>
        </w:rPr>
        <w:t>法定代表人（代表人）的授权委托人参加本采购项目竞争性谈判的，须出具此授权委托书及法定代表人（代表人）资格证明书。</w:t>
      </w:r>
    </w:p>
    <w:p>
      <w:pPr>
        <w:pStyle w:val="16"/>
        <w:spacing w:before="60" w:afterLines="50" w:line="320" w:lineRule="exact"/>
        <w:ind w:firstLine="0" w:firstLineChars="0"/>
        <w:rPr>
          <w:rFonts w:ascii="宋体"/>
          <w:b/>
          <w:bCs/>
          <w:highlight w:val="none"/>
        </w:rPr>
      </w:pPr>
    </w:p>
    <w:p>
      <w:pPr>
        <w:pStyle w:val="16"/>
        <w:spacing w:before="60" w:afterLines="50" w:line="320" w:lineRule="exact"/>
        <w:ind w:firstLine="0" w:firstLineChars="0"/>
        <w:rPr>
          <w:rFonts w:ascii="宋体"/>
          <w:b/>
          <w:bCs/>
          <w:highlight w:val="none"/>
        </w:rPr>
      </w:pPr>
    </w:p>
    <w:p>
      <w:pPr>
        <w:pStyle w:val="16"/>
        <w:spacing w:before="60" w:afterLines="50" w:line="320" w:lineRule="exact"/>
        <w:ind w:firstLine="0" w:firstLineChars="0"/>
        <w:rPr>
          <w:rFonts w:ascii="宋体"/>
          <w:b/>
          <w:bCs/>
          <w:highlight w:val="none"/>
        </w:rPr>
      </w:pPr>
    </w:p>
    <w:p>
      <w:pPr>
        <w:pStyle w:val="16"/>
        <w:spacing w:before="60" w:afterLines="50" w:line="320" w:lineRule="exact"/>
        <w:ind w:firstLine="0" w:firstLineChars="0"/>
        <w:rPr>
          <w:rFonts w:ascii="宋体"/>
          <w:b/>
          <w:bCs/>
          <w:highlight w:val="none"/>
        </w:rPr>
      </w:pPr>
    </w:p>
    <w:p>
      <w:pPr>
        <w:pStyle w:val="16"/>
        <w:spacing w:before="60" w:afterLines="50" w:line="320" w:lineRule="exact"/>
        <w:ind w:firstLine="0" w:firstLineChars="0"/>
        <w:rPr>
          <w:rFonts w:ascii="宋体"/>
          <w:b/>
          <w:bCs/>
          <w:highlight w:val="none"/>
        </w:rPr>
      </w:pPr>
    </w:p>
    <w:p>
      <w:pPr>
        <w:pStyle w:val="19"/>
        <w:spacing w:line="480" w:lineRule="exact"/>
        <w:ind w:firstLine="0" w:firstLineChars="0"/>
        <w:rPr>
          <w:rFonts w:hAnsi="宋体"/>
          <w:b/>
          <w:bCs/>
          <w:position w:val="6"/>
          <w:highlight w:val="none"/>
        </w:rPr>
      </w:pPr>
      <w:r>
        <w:rPr>
          <w:rFonts w:hint="eastAsia" w:hAnsi="宋体"/>
          <w:b/>
          <w:bCs/>
          <w:position w:val="6"/>
          <w:highlight w:val="none"/>
        </w:rPr>
        <w:t>格式</w:t>
      </w:r>
      <w:r>
        <w:rPr>
          <w:rFonts w:hAnsi="宋体"/>
          <w:b/>
          <w:bCs/>
          <w:position w:val="6"/>
          <w:highlight w:val="none"/>
        </w:rPr>
        <w:t>12</w:t>
      </w:r>
    </w:p>
    <w:p>
      <w:pPr>
        <w:pStyle w:val="16"/>
        <w:spacing w:before="60" w:afterLines="50" w:line="320" w:lineRule="exact"/>
        <w:ind w:firstLine="0" w:firstLineChars="0"/>
        <w:jc w:val="center"/>
        <w:rPr>
          <w:rFonts w:ascii="宋体"/>
          <w:b/>
          <w:bCs/>
          <w:kern w:val="2"/>
          <w:sz w:val="32"/>
          <w:szCs w:val="32"/>
          <w:highlight w:val="none"/>
        </w:rPr>
      </w:pPr>
      <w:r>
        <w:rPr>
          <w:rFonts w:hint="eastAsia" w:ascii="宋体" w:hAnsi="宋体" w:cs="宋体"/>
          <w:b/>
          <w:bCs/>
          <w:kern w:val="2"/>
          <w:sz w:val="32"/>
          <w:szCs w:val="32"/>
          <w:highlight w:val="none"/>
        </w:rPr>
        <w:t>技术实施方案</w:t>
      </w:r>
    </w:p>
    <w:p>
      <w:pPr>
        <w:pStyle w:val="16"/>
        <w:spacing w:before="60" w:afterLines="50" w:line="320" w:lineRule="exact"/>
        <w:ind w:firstLine="0" w:firstLineChars="0"/>
        <w:jc w:val="center"/>
        <w:rPr>
          <w:rFonts w:ascii="宋体"/>
          <w:b/>
          <w:bCs/>
          <w:highlight w:val="none"/>
        </w:rPr>
      </w:pPr>
    </w:p>
    <w:p>
      <w:pPr>
        <w:pStyle w:val="16"/>
        <w:spacing w:before="60" w:afterLines="50" w:line="320" w:lineRule="exact"/>
        <w:ind w:firstLine="0" w:firstLineChars="0"/>
        <w:jc w:val="center"/>
        <w:rPr>
          <w:rFonts w:ascii="宋体"/>
          <w:b/>
          <w:bCs/>
          <w:highlight w:val="none"/>
        </w:rPr>
      </w:pPr>
      <w:r>
        <w:rPr>
          <w:rFonts w:hint="eastAsia" w:ascii="宋体" w:hAnsi="宋体" w:cs="宋体"/>
          <w:b/>
          <w:bCs/>
          <w:highlight w:val="none"/>
        </w:rPr>
        <w:t>（内容格式自定）</w:t>
      </w:r>
    </w:p>
    <w:sectPr>
      <w:footerReference r:id="rId10" w:type="first"/>
      <w:headerReference r:id="rId8" w:type="default"/>
      <w:footerReference r:id="rId9" w:type="default"/>
      <w:pgSz w:w="11907" w:h="16840"/>
      <w:pgMar w:top="1474" w:right="1134" w:bottom="1474" w:left="1247" w:header="907" w:footer="907"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180" w:firstLineChars="100"/>
      <w:rPr>
        <w:rFonts w:cs="Times New Roman"/>
      </w:rPr>
    </w:pPr>
    <w:r>
      <w:rPr>
        <w:rFonts w:hint="eastAsia" w:cs="宋体"/>
      </w:rPr>
      <w:t>河南招标采购服务有限公司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180" w:firstLineChars="100"/>
      <w:rPr>
        <w:rFonts w:cs="Times New Roman"/>
      </w:rPr>
    </w:pPr>
    <w:r>
      <w:pict>
        <v:shape id="_x0000_s2049" o:spid="_x0000_s2049" o:spt="202" type="#_x0000_t202" style="position:absolute;left:0pt;margin-top:0pt;height:144pt;width:144pt;mso-position-horizontal:center;mso-position-horizontal-relative:margin;mso-wrap-style:none;z-index:251656192;mso-width-relative:page;mso-height-relative:page;" filled="f" stroked="f" coordsize="21600,21600">
          <v:path/>
          <v:fill on="f" focussize="0,0"/>
          <v:stroke on="f" weight="0.5pt" joinstyle="miter"/>
          <v:imagedata o:title=""/>
          <o:lock v:ext="edit"/>
          <v:textbox inset="0mm,0mm,0mm,0mm" style="mso-fit-shape-to-text:t;">
            <w:txbxContent>
              <w:p>
                <w:pPr>
                  <w:pStyle w:val="25"/>
                  <w:rPr>
                    <w:rFonts w:cs="Times New Roman"/>
                  </w:rPr>
                </w:pPr>
                <w:r>
                  <w:fldChar w:fldCharType="begin"/>
                </w:r>
                <w:r>
                  <w:instrText xml:space="preserve"> PAGE  \* MERGEFORMAT </w:instrText>
                </w:r>
                <w:r>
                  <w:fldChar w:fldCharType="separate"/>
                </w:r>
                <w:r>
                  <w:t>8</w:t>
                </w:r>
                <w:r>
                  <w:fldChar w:fldCharType="end"/>
                </w:r>
              </w:p>
            </w:txbxContent>
          </v:textbox>
        </v:shape>
      </w:pict>
    </w:r>
    <w:r>
      <w:rPr>
        <w:rFonts w:hint="eastAsia" w:cs="宋体"/>
      </w:rPr>
      <w:t>河南招标采购服务有限公司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180" w:firstLineChars="100"/>
      <w:rPr>
        <w:rFonts w:cs="Times New Roman"/>
      </w:rPr>
    </w:pPr>
    <w:r>
      <w:pict>
        <v:shape id="_x0000_s2050" o:spid="_x0000_s2050"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weight="0.5pt" joinstyle="miter"/>
          <v:imagedata o:title=""/>
          <o:lock v:ext="edit"/>
          <v:textbox inset="0mm,0mm,0mm,0mm" style="mso-fit-shape-to-text:t;">
            <w:txbxContent>
              <w:p>
                <w:pPr>
                  <w:pStyle w:val="25"/>
                  <w:rPr>
                    <w:rFonts w:cs="Times New Roman"/>
                  </w:rPr>
                </w:pPr>
                <w:r>
                  <w:fldChar w:fldCharType="begin"/>
                </w:r>
                <w:r>
                  <w:instrText xml:space="preserve"> PAGE  \* MERGEFORMAT </w:instrText>
                </w:r>
                <w:r>
                  <w:fldChar w:fldCharType="separate"/>
                </w:r>
                <w:r>
                  <w:t>1</w:t>
                </w:r>
                <w:r>
                  <w:fldChar w:fldCharType="end"/>
                </w:r>
              </w:p>
            </w:txbxContent>
          </v:textbox>
        </v:shape>
      </w:pict>
    </w:r>
    <w:r>
      <w:rPr>
        <w:rFonts w:hint="eastAsia" w:cs="宋体"/>
      </w:rPr>
      <w:t>河南招标采购服务有限公司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180" w:firstLineChars="100"/>
      <w:rPr>
        <w:rFonts w:cs="Times New Roman"/>
      </w:rPr>
    </w:pPr>
    <w:r>
      <w:pict>
        <v:shape id="_x0000_s2051" o:spid="_x0000_s2051"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25"/>
                  <w:rPr>
                    <w:rFonts w:cs="Times New Roman"/>
                  </w:rPr>
                </w:pPr>
                <w:r>
                  <w:fldChar w:fldCharType="begin"/>
                </w:r>
                <w:r>
                  <w:instrText xml:space="preserve"> PAGE  \* MERGEFORMAT </w:instrText>
                </w:r>
                <w:r>
                  <w:fldChar w:fldCharType="separate"/>
                </w:r>
                <w:r>
                  <w:t>34</w:t>
                </w:r>
                <w:r>
                  <w:fldChar w:fldCharType="end"/>
                </w:r>
              </w:p>
            </w:txbxContent>
          </v:textbox>
        </v:shape>
      </w:pict>
    </w:r>
    <w:r>
      <w:rPr>
        <w:rFonts w:hint="eastAsia" w:cs="宋体"/>
      </w:rPr>
      <w:t>河南招标采购服务有限公司</w:t>
    </w:r>
  </w:p>
  <w:p>
    <w:pPr>
      <w:pStyle w:val="25"/>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180" w:firstLineChars="100"/>
      <w:rPr>
        <w:rFonts w:cs="Times New Roman"/>
      </w:rPr>
    </w:pP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5"/>
                  <w:rPr>
                    <w:rFonts w:cs="Times New Roman"/>
                  </w:rPr>
                </w:pPr>
                <w:r>
                  <w:fldChar w:fldCharType="begin"/>
                </w:r>
                <w:r>
                  <w:instrText xml:space="preserve"> PAGE  \* MERGEFORMAT </w:instrText>
                </w:r>
                <w:r>
                  <w:fldChar w:fldCharType="separate"/>
                </w:r>
                <w:r>
                  <w:t>9</w:t>
                </w:r>
                <w:r>
                  <w:fldChar w:fldCharType="end"/>
                </w:r>
              </w:p>
            </w:txbxContent>
          </v:textbox>
        </v:shape>
      </w:pict>
    </w:r>
    <w:r>
      <w:t xml:space="preserve"> </w:t>
    </w:r>
    <w:r>
      <w:rPr>
        <w:rFonts w:hint="eastAsia" w:cs="宋体"/>
      </w:rPr>
      <w:t>河南招标采购服务有限公司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rPr>
        <w:rFonts w:cs="Times New Roman"/>
      </w:rPr>
    </w:pPr>
  </w:p>
  <w:p>
    <w:pPr>
      <w:pStyle w:val="26"/>
      <w:pBdr>
        <w:bottom w:val="none" w:color="auto" w:sz="0" w:space="0"/>
      </w:pBdr>
      <w:rPr>
        <w:rFonts w:cs="Times New Roman"/>
      </w:rPr>
    </w:pPr>
  </w:p>
  <w:p>
    <w:pPr>
      <w:pStyle w:val="26"/>
      <w:pBdr>
        <w:bottom w:val="none" w:color="auto" w:sz="0" w:space="0"/>
      </w:pBdr>
      <w:rPr>
        <w:rFonts w:cs="Times New Roman"/>
      </w:rPr>
    </w:pPr>
  </w:p>
  <w:p>
    <w:pPr>
      <w:pStyle w:val="26"/>
      <w:pBdr>
        <w:bottom w:val="none" w:color="auto" w:sz="0" w:space="0"/>
      </w:pBdr>
      <w:rPr>
        <w:rFonts w:cs="Times New Roman"/>
      </w:rPr>
    </w:pPr>
  </w:p>
  <w:p>
    <w:pPr>
      <w:pStyle w:val="26"/>
      <w:pBdr>
        <w:bottom w:val="single" w:color="auto" w:sz="4" w:space="1"/>
      </w:pBdr>
      <w:rPr>
        <w:rFonts w:cs="Times New Roman"/>
      </w:rPr>
    </w:pPr>
    <w:r>
      <w:rPr>
        <w:rFonts w:hint="eastAsia" w:cs="宋体"/>
      </w:rPr>
      <w:t>许昌魏都投资总公司采购第三方合作机构项目竞争性谈判采购文件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cs="Times New Roman"/>
      </w:rPr>
    </w:pPr>
    <w:r>
      <w:rPr>
        <w:rFonts w:ascii="隶书" w:hAnsi="宋体" w:eastAsia="隶书" w:cs="Times New Roman"/>
      </w:rPr>
      <w:tab/>
    </w:r>
  </w:p>
  <w:p>
    <w:pPr>
      <w:pStyle w:val="26"/>
      <w:rPr>
        <w:rFonts w:cs="Times New Roman"/>
      </w:rPr>
    </w:pPr>
    <w:r>
      <w:rPr>
        <w:rFonts w:hint="eastAsia" w:cs="宋体"/>
      </w:rPr>
      <w:t>许昌魏都投资总公司采购第三方合作机构项目竞争性谈判采购文件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59A8A8"/>
    <w:multiLevelType w:val="singleLevel"/>
    <w:tmpl w:val="C559A8A8"/>
    <w:lvl w:ilvl="0" w:tentative="0">
      <w:start w:val="9"/>
      <w:numFmt w:val="decimal"/>
      <w:lvlText w:val="%1."/>
      <w:lvlJc w:val="left"/>
      <w:pPr>
        <w:tabs>
          <w:tab w:val="left" w:pos="312"/>
        </w:tabs>
      </w:pPr>
    </w:lvl>
  </w:abstractNum>
  <w:abstractNum w:abstractNumId="1">
    <w:nsid w:val="0000000A"/>
    <w:multiLevelType w:val="multilevel"/>
    <w:tmpl w:val="0000000A"/>
    <w:lvl w:ilvl="0" w:tentative="0">
      <w:start w:val="1"/>
      <w:numFmt w:val="decimal"/>
      <w:pStyle w:val="9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A776DCA"/>
    <w:multiLevelType w:val="multilevel"/>
    <w:tmpl w:val="1A776DCA"/>
    <w:lvl w:ilvl="0" w:tentative="0">
      <w:start w:val="1"/>
      <w:numFmt w:val="decimal"/>
      <w:lvlText w:val="%1、"/>
      <w:lvlJc w:val="left"/>
      <w:pPr>
        <w:ind w:left="464" w:hanging="360"/>
      </w:pPr>
      <w:rPr>
        <w:rFonts w:hint="default"/>
      </w:rPr>
    </w:lvl>
    <w:lvl w:ilvl="1" w:tentative="0">
      <w:start w:val="1"/>
      <w:numFmt w:val="lowerLetter"/>
      <w:lvlText w:val="%2)"/>
      <w:lvlJc w:val="left"/>
      <w:pPr>
        <w:ind w:left="944" w:hanging="420"/>
      </w:pPr>
    </w:lvl>
    <w:lvl w:ilvl="2" w:tentative="0">
      <w:start w:val="1"/>
      <w:numFmt w:val="lowerRoman"/>
      <w:lvlText w:val="%3."/>
      <w:lvlJc w:val="right"/>
      <w:pPr>
        <w:ind w:left="1364" w:hanging="420"/>
      </w:pPr>
    </w:lvl>
    <w:lvl w:ilvl="3" w:tentative="0">
      <w:start w:val="1"/>
      <w:numFmt w:val="decimal"/>
      <w:lvlText w:val="%4."/>
      <w:lvlJc w:val="left"/>
      <w:pPr>
        <w:ind w:left="1784" w:hanging="420"/>
      </w:pPr>
    </w:lvl>
    <w:lvl w:ilvl="4" w:tentative="0">
      <w:start w:val="1"/>
      <w:numFmt w:val="lowerLetter"/>
      <w:lvlText w:val="%5)"/>
      <w:lvlJc w:val="left"/>
      <w:pPr>
        <w:ind w:left="2204" w:hanging="420"/>
      </w:pPr>
    </w:lvl>
    <w:lvl w:ilvl="5" w:tentative="0">
      <w:start w:val="1"/>
      <w:numFmt w:val="lowerRoman"/>
      <w:lvlText w:val="%6."/>
      <w:lvlJc w:val="right"/>
      <w:pPr>
        <w:ind w:left="2624" w:hanging="420"/>
      </w:pPr>
    </w:lvl>
    <w:lvl w:ilvl="6" w:tentative="0">
      <w:start w:val="1"/>
      <w:numFmt w:val="decimal"/>
      <w:lvlText w:val="%7."/>
      <w:lvlJc w:val="left"/>
      <w:pPr>
        <w:ind w:left="3044" w:hanging="420"/>
      </w:pPr>
    </w:lvl>
    <w:lvl w:ilvl="7" w:tentative="0">
      <w:start w:val="1"/>
      <w:numFmt w:val="lowerLetter"/>
      <w:lvlText w:val="%8)"/>
      <w:lvlJc w:val="left"/>
      <w:pPr>
        <w:ind w:left="3464" w:hanging="420"/>
      </w:pPr>
    </w:lvl>
    <w:lvl w:ilvl="8" w:tentative="0">
      <w:start w:val="1"/>
      <w:numFmt w:val="lowerRoman"/>
      <w:lvlText w:val="%9."/>
      <w:lvlJc w:val="right"/>
      <w:pPr>
        <w:ind w:left="3884" w:hanging="420"/>
      </w:pPr>
    </w:lvl>
  </w:abstractNum>
  <w:abstractNum w:abstractNumId="3">
    <w:nsid w:val="1C1E50C0"/>
    <w:multiLevelType w:val="multilevel"/>
    <w:tmpl w:val="1C1E50C0"/>
    <w:lvl w:ilvl="0" w:tentative="0">
      <w:start w:val="1"/>
      <w:numFmt w:val="decimal"/>
      <w:pStyle w:val="100"/>
      <w:lvlText w:val="%1"/>
      <w:lvlJc w:val="left"/>
      <w:pPr>
        <w:ind w:left="432" w:hanging="432"/>
      </w:pPr>
      <w:rPr>
        <w:b w:val="0"/>
        <w:bCs w:val="0"/>
      </w:rPr>
    </w:lvl>
    <w:lvl w:ilvl="1" w:tentative="0">
      <w:start w:val="1"/>
      <w:numFmt w:val="decimal"/>
      <w:pStyle w:val="116"/>
      <w:lvlText w:val="%1.%2"/>
      <w:lvlJc w:val="left"/>
      <w:pPr>
        <w:ind w:left="576" w:hanging="576"/>
      </w:pPr>
      <w:rPr>
        <w:rFonts w:ascii="黑体" w:hAnsi="黑体" w:eastAsia="黑体"/>
        <w:b w:val="0"/>
        <w:bCs w:val="0"/>
      </w:rPr>
    </w:lvl>
    <w:lvl w:ilvl="2" w:tentative="0">
      <w:start w:val="1"/>
      <w:numFmt w:val="decimal"/>
      <w:pStyle w:val="98"/>
      <w:lvlText w:val="%1.%2.%3"/>
      <w:lvlJc w:val="left"/>
      <w:pPr>
        <w:ind w:left="720" w:hanging="720"/>
      </w:pPr>
      <w:rPr>
        <w:rFonts w:ascii="黑体" w:hAnsi="黑体" w:eastAsia="黑体"/>
        <w:b w:val="0"/>
        <w:bCs w:val="0"/>
      </w:rPr>
    </w:lvl>
    <w:lvl w:ilvl="3" w:tentative="0">
      <w:start w:val="1"/>
      <w:numFmt w:val="decimal"/>
      <w:lvlText w:val="%1.%2.%3.%4"/>
      <w:lvlJc w:val="left"/>
      <w:pPr>
        <w:ind w:left="1006" w:hanging="864"/>
      </w:pPr>
      <w:rPr>
        <w:b w:val="0"/>
        <w:bCs w:val="0"/>
      </w:rPr>
    </w:lvl>
    <w:lvl w:ilvl="4" w:tentative="0">
      <w:start w:val="1"/>
      <w:numFmt w:val="decimal"/>
      <w:pStyle w:val="93"/>
      <w:lvlText w:val="%1.%2.%3.%4.%5"/>
      <w:lvlJc w:val="left"/>
      <w:pPr>
        <w:ind w:left="1008" w:hanging="1008"/>
      </w:pPr>
      <w:rPr>
        <w:rFonts w:ascii="黑体" w:hAnsi="黑体" w:eastAsia="黑体"/>
        <w:b w:val="0"/>
        <w:bCs w:val="0"/>
      </w:rPr>
    </w:lvl>
    <w:lvl w:ilvl="5" w:tentative="0">
      <w:start w:val="1"/>
      <w:numFmt w:val="decimal"/>
      <w:pStyle w:val="95"/>
      <w:lvlText w:val="%1.%2.%3.%4.%5.%6"/>
      <w:lvlJc w:val="left"/>
      <w:pPr>
        <w:ind w:left="1152" w:hanging="1152"/>
      </w:pPr>
      <w:rPr>
        <w:rFonts w:ascii="黑体" w:hAnsi="黑体" w:eastAsia="黑体"/>
      </w:rPr>
    </w:lvl>
    <w:lvl w:ilvl="6" w:tentative="0">
      <w:start w:val="1"/>
      <w:numFmt w:val="decimal"/>
      <w:pStyle w:val="106"/>
      <w:lvlText w:val="%1.%2.%3.%4.%5.%6.%7"/>
      <w:lvlJc w:val="left"/>
      <w:pPr>
        <w:ind w:left="1296" w:hanging="1296"/>
      </w:pPr>
      <w:rPr>
        <w:rFonts w:ascii="黑体" w:hAnsi="黑体" w:eastAsia="黑体"/>
        <w:b w:val="0"/>
        <w:bCs w:val="0"/>
      </w:rPr>
    </w:lvl>
    <w:lvl w:ilvl="7" w:tentative="0">
      <w:start w:val="1"/>
      <w:numFmt w:val="decimal"/>
      <w:pStyle w:val="114"/>
      <w:lvlText w:val="%1.%2.%3.%4.%5.%6.%7.%8"/>
      <w:lvlJc w:val="left"/>
      <w:pPr>
        <w:ind w:left="1440" w:hanging="1440"/>
      </w:pPr>
    </w:lvl>
    <w:lvl w:ilvl="8" w:tentative="0">
      <w:start w:val="1"/>
      <w:numFmt w:val="decimal"/>
      <w:pStyle w:val="103"/>
      <w:lvlText w:val="%1.%2.%3.%4.%5.%6.%7.%8.%9"/>
      <w:lvlJc w:val="left"/>
      <w:pPr>
        <w:ind w:left="1584" w:hanging="1584"/>
      </w:pPr>
    </w:lvl>
  </w:abstractNum>
  <w:abstractNum w:abstractNumId="4">
    <w:nsid w:val="25259591"/>
    <w:multiLevelType w:val="singleLevel"/>
    <w:tmpl w:val="25259591"/>
    <w:lvl w:ilvl="0" w:tentative="0">
      <w:start w:val="12"/>
      <w:numFmt w:val="decimal"/>
      <w:suff w:val="nothing"/>
      <w:lvlText w:val="%1、"/>
      <w:lvlJc w:val="left"/>
    </w:lvl>
  </w:abstractNum>
  <w:abstractNum w:abstractNumId="5">
    <w:nsid w:val="570B4198"/>
    <w:multiLevelType w:val="singleLevel"/>
    <w:tmpl w:val="570B4198"/>
    <w:lvl w:ilvl="0" w:tentative="0">
      <w:start w:val="1"/>
      <w:numFmt w:val="decimal"/>
      <w:suff w:val="space"/>
      <w:lvlText w:val="%1."/>
      <w:lvlJc w:val="left"/>
    </w:lvl>
  </w:abstractNum>
  <w:abstractNum w:abstractNumId="6">
    <w:nsid w:val="5A3A2A28"/>
    <w:multiLevelType w:val="singleLevel"/>
    <w:tmpl w:val="5A3A2A28"/>
    <w:lvl w:ilvl="0" w:tentative="0">
      <w:start w:val="1"/>
      <w:numFmt w:val="decimal"/>
      <w:lvlText w:val="%1."/>
      <w:lvlJc w:val="left"/>
      <w:pPr>
        <w:tabs>
          <w:tab w:val="left" w:pos="312"/>
        </w:tabs>
      </w:p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oNotHyphenateCaps/>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178"/>
    <w:rsid w:val="000027E3"/>
    <w:rsid w:val="0000280B"/>
    <w:rsid w:val="000040BC"/>
    <w:rsid w:val="000070BC"/>
    <w:rsid w:val="00010EC1"/>
    <w:rsid w:val="00012967"/>
    <w:rsid w:val="0002277A"/>
    <w:rsid w:val="00024A54"/>
    <w:rsid w:val="00032F3E"/>
    <w:rsid w:val="00033B29"/>
    <w:rsid w:val="00036C15"/>
    <w:rsid w:val="00045F13"/>
    <w:rsid w:val="0004726E"/>
    <w:rsid w:val="00052339"/>
    <w:rsid w:val="00054164"/>
    <w:rsid w:val="000547B0"/>
    <w:rsid w:val="00063F3E"/>
    <w:rsid w:val="00064A63"/>
    <w:rsid w:val="00065CF8"/>
    <w:rsid w:val="0007274D"/>
    <w:rsid w:val="000729D1"/>
    <w:rsid w:val="00073360"/>
    <w:rsid w:val="0007392C"/>
    <w:rsid w:val="000807B9"/>
    <w:rsid w:val="00083FF9"/>
    <w:rsid w:val="00084172"/>
    <w:rsid w:val="00090786"/>
    <w:rsid w:val="00092CE2"/>
    <w:rsid w:val="00093CB2"/>
    <w:rsid w:val="00093E40"/>
    <w:rsid w:val="0009527D"/>
    <w:rsid w:val="000A015A"/>
    <w:rsid w:val="000A0E87"/>
    <w:rsid w:val="000A2791"/>
    <w:rsid w:val="000B4E76"/>
    <w:rsid w:val="000C05C3"/>
    <w:rsid w:val="000C5049"/>
    <w:rsid w:val="000C7C7E"/>
    <w:rsid w:val="000D15AB"/>
    <w:rsid w:val="000D2739"/>
    <w:rsid w:val="000D3589"/>
    <w:rsid w:val="000E2FB6"/>
    <w:rsid w:val="000E3F5B"/>
    <w:rsid w:val="000E6A62"/>
    <w:rsid w:val="000F72CE"/>
    <w:rsid w:val="001025D9"/>
    <w:rsid w:val="001105D0"/>
    <w:rsid w:val="00112E9C"/>
    <w:rsid w:val="00114F83"/>
    <w:rsid w:val="00116295"/>
    <w:rsid w:val="00117165"/>
    <w:rsid w:val="00124E55"/>
    <w:rsid w:val="00126496"/>
    <w:rsid w:val="00131EBE"/>
    <w:rsid w:val="00134375"/>
    <w:rsid w:val="00137510"/>
    <w:rsid w:val="00137DAE"/>
    <w:rsid w:val="00141345"/>
    <w:rsid w:val="001429AC"/>
    <w:rsid w:val="00142DC8"/>
    <w:rsid w:val="00143E5C"/>
    <w:rsid w:val="0014521B"/>
    <w:rsid w:val="0014653C"/>
    <w:rsid w:val="00147B69"/>
    <w:rsid w:val="00153740"/>
    <w:rsid w:val="00153D8A"/>
    <w:rsid w:val="00154676"/>
    <w:rsid w:val="00156E5D"/>
    <w:rsid w:val="001578E7"/>
    <w:rsid w:val="00162D0E"/>
    <w:rsid w:val="00163255"/>
    <w:rsid w:val="001638C0"/>
    <w:rsid w:val="001638F0"/>
    <w:rsid w:val="00166428"/>
    <w:rsid w:val="00172A27"/>
    <w:rsid w:val="001825D6"/>
    <w:rsid w:val="00185641"/>
    <w:rsid w:val="00186A43"/>
    <w:rsid w:val="00192DB7"/>
    <w:rsid w:val="001A1AAD"/>
    <w:rsid w:val="001A7320"/>
    <w:rsid w:val="001B3D09"/>
    <w:rsid w:val="001B6E43"/>
    <w:rsid w:val="001C41E0"/>
    <w:rsid w:val="001C76A6"/>
    <w:rsid w:val="001D024F"/>
    <w:rsid w:val="001D3A7E"/>
    <w:rsid w:val="001D4EAD"/>
    <w:rsid w:val="001D565C"/>
    <w:rsid w:val="001D630C"/>
    <w:rsid w:val="001E219E"/>
    <w:rsid w:val="001E4BD9"/>
    <w:rsid w:val="001F2555"/>
    <w:rsid w:val="001F2690"/>
    <w:rsid w:val="001F60DE"/>
    <w:rsid w:val="00200F57"/>
    <w:rsid w:val="0020101B"/>
    <w:rsid w:val="0020423A"/>
    <w:rsid w:val="0020567D"/>
    <w:rsid w:val="0020751F"/>
    <w:rsid w:val="00207C68"/>
    <w:rsid w:val="002106A2"/>
    <w:rsid w:val="00210974"/>
    <w:rsid w:val="00210F0A"/>
    <w:rsid w:val="0021361F"/>
    <w:rsid w:val="0021507B"/>
    <w:rsid w:val="002209B2"/>
    <w:rsid w:val="00233878"/>
    <w:rsid w:val="002366F0"/>
    <w:rsid w:val="00241F18"/>
    <w:rsid w:val="00242B53"/>
    <w:rsid w:val="00243AC7"/>
    <w:rsid w:val="00252A2B"/>
    <w:rsid w:val="00253722"/>
    <w:rsid w:val="00254439"/>
    <w:rsid w:val="00256356"/>
    <w:rsid w:val="002575D3"/>
    <w:rsid w:val="0026055F"/>
    <w:rsid w:val="002615A9"/>
    <w:rsid w:val="0026437B"/>
    <w:rsid w:val="00274F7D"/>
    <w:rsid w:val="002764A3"/>
    <w:rsid w:val="002765EB"/>
    <w:rsid w:val="00276B1D"/>
    <w:rsid w:val="00280360"/>
    <w:rsid w:val="00284094"/>
    <w:rsid w:val="00285CBB"/>
    <w:rsid w:val="00287283"/>
    <w:rsid w:val="0028747D"/>
    <w:rsid w:val="002913F4"/>
    <w:rsid w:val="002A6901"/>
    <w:rsid w:val="002B018E"/>
    <w:rsid w:val="002B0431"/>
    <w:rsid w:val="002B6C3F"/>
    <w:rsid w:val="002C1F02"/>
    <w:rsid w:val="002C4D9D"/>
    <w:rsid w:val="002D472E"/>
    <w:rsid w:val="002D6220"/>
    <w:rsid w:val="002E226E"/>
    <w:rsid w:val="002E3A88"/>
    <w:rsid w:val="002F0268"/>
    <w:rsid w:val="002F04B1"/>
    <w:rsid w:val="002F1DF1"/>
    <w:rsid w:val="002F6D2A"/>
    <w:rsid w:val="002F78A6"/>
    <w:rsid w:val="00301668"/>
    <w:rsid w:val="00304731"/>
    <w:rsid w:val="00310C40"/>
    <w:rsid w:val="00313F5C"/>
    <w:rsid w:val="00317C0D"/>
    <w:rsid w:val="0032223A"/>
    <w:rsid w:val="003228B4"/>
    <w:rsid w:val="00331B19"/>
    <w:rsid w:val="00337111"/>
    <w:rsid w:val="00341131"/>
    <w:rsid w:val="0034373D"/>
    <w:rsid w:val="00343B1C"/>
    <w:rsid w:val="003469AD"/>
    <w:rsid w:val="00350361"/>
    <w:rsid w:val="003509B3"/>
    <w:rsid w:val="003531F5"/>
    <w:rsid w:val="00353A2E"/>
    <w:rsid w:val="0036023B"/>
    <w:rsid w:val="00362299"/>
    <w:rsid w:val="00364436"/>
    <w:rsid w:val="0036534F"/>
    <w:rsid w:val="0037424E"/>
    <w:rsid w:val="00374287"/>
    <w:rsid w:val="00380E8C"/>
    <w:rsid w:val="003820F9"/>
    <w:rsid w:val="003857D0"/>
    <w:rsid w:val="00391156"/>
    <w:rsid w:val="00391808"/>
    <w:rsid w:val="00391AEF"/>
    <w:rsid w:val="00393F2C"/>
    <w:rsid w:val="0039672A"/>
    <w:rsid w:val="003A15FF"/>
    <w:rsid w:val="003A301A"/>
    <w:rsid w:val="003A6DE8"/>
    <w:rsid w:val="003B4DA3"/>
    <w:rsid w:val="003B61B3"/>
    <w:rsid w:val="003C0D27"/>
    <w:rsid w:val="003C2EAE"/>
    <w:rsid w:val="003C5350"/>
    <w:rsid w:val="003C61A8"/>
    <w:rsid w:val="003C66E7"/>
    <w:rsid w:val="003D3DA9"/>
    <w:rsid w:val="003D4BDA"/>
    <w:rsid w:val="003D6AFD"/>
    <w:rsid w:val="003D74AC"/>
    <w:rsid w:val="003E377B"/>
    <w:rsid w:val="003E41C3"/>
    <w:rsid w:val="003E54E1"/>
    <w:rsid w:val="003E5976"/>
    <w:rsid w:val="003E6BB5"/>
    <w:rsid w:val="003F5BCA"/>
    <w:rsid w:val="00400EF4"/>
    <w:rsid w:val="00406F7D"/>
    <w:rsid w:val="004163F5"/>
    <w:rsid w:val="004167A5"/>
    <w:rsid w:val="00416B53"/>
    <w:rsid w:val="004179C7"/>
    <w:rsid w:val="00421D04"/>
    <w:rsid w:val="00436846"/>
    <w:rsid w:val="00437FCC"/>
    <w:rsid w:val="00451EF9"/>
    <w:rsid w:val="004751AA"/>
    <w:rsid w:val="00482FC8"/>
    <w:rsid w:val="00485A85"/>
    <w:rsid w:val="004873F8"/>
    <w:rsid w:val="00494F5E"/>
    <w:rsid w:val="004958A8"/>
    <w:rsid w:val="004A23FC"/>
    <w:rsid w:val="004A266F"/>
    <w:rsid w:val="004A3191"/>
    <w:rsid w:val="004A4305"/>
    <w:rsid w:val="004B05CC"/>
    <w:rsid w:val="004B3627"/>
    <w:rsid w:val="004C2D8C"/>
    <w:rsid w:val="004C449E"/>
    <w:rsid w:val="004D09C9"/>
    <w:rsid w:val="004D718D"/>
    <w:rsid w:val="004E02F5"/>
    <w:rsid w:val="004E0A9C"/>
    <w:rsid w:val="004E30E6"/>
    <w:rsid w:val="004E77CE"/>
    <w:rsid w:val="004F5519"/>
    <w:rsid w:val="004F72D1"/>
    <w:rsid w:val="00500747"/>
    <w:rsid w:val="005036A2"/>
    <w:rsid w:val="00505210"/>
    <w:rsid w:val="00505F1C"/>
    <w:rsid w:val="00527C12"/>
    <w:rsid w:val="00530277"/>
    <w:rsid w:val="005313D1"/>
    <w:rsid w:val="00531FF5"/>
    <w:rsid w:val="0053268B"/>
    <w:rsid w:val="00532E7E"/>
    <w:rsid w:val="00533FF6"/>
    <w:rsid w:val="00540B52"/>
    <w:rsid w:val="00541B99"/>
    <w:rsid w:val="00542D9F"/>
    <w:rsid w:val="005432A0"/>
    <w:rsid w:val="00545619"/>
    <w:rsid w:val="00546557"/>
    <w:rsid w:val="00546C73"/>
    <w:rsid w:val="00552794"/>
    <w:rsid w:val="00554CB0"/>
    <w:rsid w:val="0055747C"/>
    <w:rsid w:val="00557B10"/>
    <w:rsid w:val="00560DC4"/>
    <w:rsid w:val="00561F20"/>
    <w:rsid w:val="005654C8"/>
    <w:rsid w:val="00576876"/>
    <w:rsid w:val="0057731C"/>
    <w:rsid w:val="00580D18"/>
    <w:rsid w:val="0058398A"/>
    <w:rsid w:val="00586B47"/>
    <w:rsid w:val="005877DA"/>
    <w:rsid w:val="00591666"/>
    <w:rsid w:val="00595F0F"/>
    <w:rsid w:val="005A2CC3"/>
    <w:rsid w:val="005B2B5A"/>
    <w:rsid w:val="005C0BB0"/>
    <w:rsid w:val="005C547A"/>
    <w:rsid w:val="005D0191"/>
    <w:rsid w:val="005D2A8F"/>
    <w:rsid w:val="005E4196"/>
    <w:rsid w:val="005E4A16"/>
    <w:rsid w:val="005F0333"/>
    <w:rsid w:val="005F38F6"/>
    <w:rsid w:val="00602A88"/>
    <w:rsid w:val="0060323B"/>
    <w:rsid w:val="006045A8"/>
    <w:rsid w:val="0061272C"/>
    <w:rsid w:val="00613350"/>
    <w:rsid w:val="00624266"/>
    <w:rsid w:val="00634408"/>
    <w:rsid w:val="00634A15"/>
    <w:rsid w:val="00643135"/>
    <w:rsid w:val="0064752A"/>
    <w:rsid w:val="00651A81"/>
    <w:rsid w:val="00652820"/>
    <w:rsid w:val="00657E5B"/>
    <w:rsid w:val="00661713"/>
    <w:rsid w:val="006644DD"/>
    <w:rsid w:val="00674153"/>
    <w:rsid w:val="00674930"/>
    <w:rsid w:val="00674B2C"/>
    <w:rsid w:val="006828D5"/>
    <w:rsid w:val="0068359E"/>
    <w:rsid w:val="0068680D"/>
    <w:rsid w:val="00686F36"/>
    <w:rsid w:val="006901D0"/>
    <w:rsid w:val="00690EF7"/>
    <w:rsid w:val="00691F22"/>
    <w:rsid w:val="0069292D"/>
    <w:rsid w:val="00695CBA"/>
    <w:rsid w:val="006964DE"/>
    <w:rsid w:val="006C03F2"/>
    <w:rsid w:val="006C0F3C"/>
    <w:rsid w:val="006C139A"/>
    <w:rsid w:val="006C2CE4"/>
    <w:rsid w:val="006C33D4"/>
    <w:rsid w:val="006C45BC"/>
    <w:rsid w:val="006C616B"/>
    <w:rsid w:val="006D3D86"/>
    <w:rsid w:val="006E5CBD"/>
    <w:rsid w:val="006E5FE3"/>
    <w:rsid w:val="006E6C99"/>
    <w:rsid w:val="006E7857"/>
    <w:rsid w:val="006F1DF5"/>
    <w:rsid w:val="006F2674"/>
    <w:rsid w:val="006F57DF"/>
    <w:rsid w:val="006F6B2C"/>
    <w:rsid w:val="006F73CD"/>
    <w:rsid w:val="0070739C"/>
    <w:rsid w:val="00714654"/>
    <w:rsid w:val="00715D31"/>
    <w:rsid w:val="00734DFD"/>
    <w:rsid w:val="007353A1"/>
    <w:rsid w:val="007368ED"/>
    <w:rsid w:val="007405E2"/>
    <w:rsid w:val="00740BEB"/>
    <w:rsid w:val="00741531"/>
    <w:rsid w:val="00744113"/>
    <w:rsid w:val="00745012"/>
    <w:rsid w:val="00746257"/>
    <w:rsid w:val="00754570"/>
    <w:rsid w:val="007578EF"/>
    <w:rsid w:val="007622D6"/>
    <w:rsid w:val="00762337"/>
    <w:rsid w:val="00763F42"/>
    <w:rsid w:val="007675CC"/>
    <w:rsid w:val="0077194D"/>
    <w:rsid w:val="00773B39"/>
    <w:rsid w:val="00773EF6"/>
    <w:rsid w:val="00776D20"/>
    <w:rsid w:val="0078037C"/>
    <w:rsid w:val="0079189B"/>
    <w:rsid w:val="00791E9B"/>
    <w:rsid w:val="0079718A"/>
    <w:rsid w:val="007A2A40"/>
    <w:rsid w:val="007A6797"/>
    <w:rsid w:val="007A7C6E"/>
    <w:rsid w:val="007A7DC9"/>
    <w:rsid w:val="007A7EAF"/>
    <w:rsid w:val="007A7F77"/>
    <w:rsid w:val="007B3EFF"/>
    <w:rsid w:val="007B55EB"/>
    <w:rsid w:val="007C42E6"/>
    <w:rsid w:val="007C467C"/>
    <w:rsid w:val="007D274F"/>
    <w:rsid w:val="007D3B08"/>
    <w:rsid w:val="007D4088"/>
    <w:rsid w:val="007D6744"/>
    <w:rsid w:val="007E0D72"/>
    <w:rsid w:val="007E5345"/>
    <w:rsid w:val="007E5C43"/>
    <w:rsid w:val="007E6DEF"/>
    <w:rsid w:val="007F2255"/>
    <w:rsid w:val="00801885"/>
    <w:rsid w:val="008030E4"/>
    <w:rsid w:val="008065D1"/>
    <w:rsid w:val="00806EF2"/>
    <w:rsid w:val="00812A0C"/>
    <w:rsid w:val="00813A85"/>
    <w:rsid w:val="00814655"/>
    <w:rsid w:val="00815899"/>
    <w:rsid w:val="00817DAD"/>
    <w:rsid w:val="00820558"/>
    <w:rsid w:val="00827452"/>
    <w:rsid w:val="0083094B"/>
    <w:rsid w:val="00836A8F"/>
    <w:rsid w:val="00842315"/>
    <w:rsid w:val="00843635"/>
    <w:rsid w:val="00844DBE"/>
    <w:rsid w:val="0084695D"/>
    <w:rsid w:val="0085232B"/>
    <w:rsid w:val="00852B92"/>
    <w:rsid w:val="0085303D"/>
    <w:rsid w:val="00856562"/>
    <w:rsid w:val="008605B7"/>
    <w:rsid w:val="00860EFE"/>
    <w:rsid w:val="008616E8"/>
    <w:rsid w:val="00862C7E"/>
    <w:rsid w:val="00864E55"/>
    <w:rsid w:val="00865D62"/>
    <w:rsid w:val="008806AC"/>
    <w:rsid w:val="00895A5F"/>
    <w:rsid w:val="00896F34"/>
    <w:rsid w:val="008A1B9E"/>
    <w:rsid w:val="008A41B8"/>
    <w:rsid w:val="008A4709"/>
    <w:rsid w:val="008B3639"/>
    <w:rsid w:val="008B72D3"/>
    <w:rsid w:val="008C3D01"/>
    <w:rsid w:val="008C664F"/>
    <w:rsid w:val="008C7A71"/>
    <w:rsid w:val="008C7B76"/>
    <w:rsid w:val="008D4419"/>
    <w:rsid w:val="008D4F27"/>
    <w:rsid w:val="008E391A"/>
    <w:rsid w:val="008F0995"/>
    <w:rsid w:val="00900FDE"/>
    <w:rsid w:val="00901DF6"/>
    <w:rsid w:val="00905994"/>
    <w:rsid w:val="00907E24"/>
    <w:rsid w:val="0091212E"/>
    <w:rsid w:val="00913B39"/>
    <w:rsid w:val="0091654C"/>
    <w:rsid w:val="00917BCE"/>
    <w:rsid w:val="00920D0C"/>
    <w:rsid w:val="00921376"/>
    <w:rsid w:val="00922AA7"/>
    <w:rsid w:val="00924F0B"/>
    <w:rsid w:val="00925A0E"/>
    <w:rsid w:val="00931677"/>
    <w:rsid w:val="009336E8"/>
    <w:rsid w:val="00934857"/>
    <w:rsid w:val="00940073"/>
    <w:rsid w:val="00941487"/>
    <w:rsid w:val="00943010"/>
    <w:rsid w:val="0094480C"/>
    <w:rsid w:val="0095398A"/>
    <w:rsid w:val="009567DB"/>
    <w:rsid w:val="00965829"/>
    <w:rsid w:val="0096775A"/>
    <w:rsid w:val="009704E3"/>
    <w:rsid w:val="0097175F"/>
    <w:rsid w:val="0097406B"/>
    <w:rsid w:val="009759C7"/>
    <w:rsid w:val="009767D6"/>
    <w:rsid w:val="00981125"/>
    <w:rsid w:val="00981FE4"/>
    <w:rsid w:val="00984CFA"/>
    <w:rsid w:val="00990EFF"/>
    <w:rsid w:val="00995010"/>
    <w:rsid w:val="00995528"/>
    <w:rsid w:val="009A02DD"/>
    <w:rsid w:val="009A24A0"/>
    <w:rsid w:val="009A4228"/>
    <w:rsid w:val="009A42DE"/>
    <w:rsid w:val="009A62CD"/>
    <w:rsid w:val="009A6F4B"/>
    <w:rsid w:val="009C2215"/>
    <w:rsid w:val="009C4A64"/>
    <w:rsid w:val="009C6DD0"/>
    <w:rsid w:val="009C7543"/>
    <w:rsid w:val="009E327C"/>
    <w:rsid w:val="009E3850"/>
    <w:rsid w:val="009F385C"/>
    <w:rsid w:val="00A03131"/>
    <w:rsid w:val="00A064D1"/>
    <w:rsid w:val="00A0653A"/>
    <w:rsid w:val="00A075BD"/>
    <w:rsid w:val="00A07A42"/>
    <w:rsid w:val="00A10427"/>
    <w:rsid w:val="00A11CBE"/>
    <w:rsid w:val="00A1549B"/>
    <w:rsid w:val="00A17914"/>
    <w:rsid w:val="00A27D3C"/>
    <w:rsid w:val="00A35374"/>
    <w:rsid w:val="00A456AB"/>
    <w:rsid w:val="00A45DF3"/>
    <w:rsid w:val="00A4772C"/>
    <w:rsid w:val="00A511AC"/>
    <w:rsid w:val="00A552FC"/>
    <w:rsid w:val="00A579B6"/>
    <w:rsid w:val="00A865D4"/>
    <w:rsid w:val="00A91184"/>
    <w:rsid w:val="00A93E5D"/>
    <w:rsid w:val="00AA10EC"/>
    <w:rsid w:val="00AA6E39"/>
    <w:rsid w:val="00AB08E7"/>
    <w:rsid w:val="00AB0BDB"/>
    <w:rsid w:val="00AB2462"/>
    <w:rsid w:val="00AB24E6"/>
    <w:rsid w:val="00AB4CFC"/>
    <w:rsid w:val="00AB767B"/>
    <w:rsid w:val="00AE1379"/>
    <w:rsid w:val="00AE1C25"/>
    <w:rsid w:val="00AE28AD"/>
    <w:rsid w:val="00AE371B"/>
    <w:rsid w:val="00AE3C7A"/>
    <w:rsid w:val="00AE515D"/>
    <w:rsid w:val="00AF2405"/>
    <w:rsid w:val="00B01A74"/>
    <w:rsid w:val="00B0204A"/>
    <w:rsid w:val="00B02C1D"/>
    <w:rsid w:val="00B05CCE"/>
    <w:rsid w:val="00B20907"/>
    <w:rsid w:val="00B22688"/>
    <w:rsid w:val="00B26C70"/>
    <w:rsid w:val="00B34254"/>
    <w:rsid w:val="00B42104"/>
    <w:rsid w:val="00B4536D"/>
    <w:rsid w:val="00B46D67"/>
    <w:rsid w:val="00B47191"/>
    <w:rsid w:val="00B47F04"/>
    <w:rsid w:val="00B51081"/>
    <w:rsid w:val="00B51278"/>
    <w:rsid w:val="00B521FF"/>
    <w:rsid w:val="00B56054"/>
    <w:rsid w:val="00B57825"/>
    <w:rsid w:val="00B65BDE"/>
    <w:rsid w:val="00B66D1E"/>
    <w:rsid w:val="00B6785C"/>
    <w:rsid w:val="00B72199"/>
    <w:rsid w:val="00B73F3C"/>
    <w:rsid w:val="00B74200"/>
    <w:rsid w:val="00B777C1"/>
    <w:rsid w:val="00B81A58"/>
    <w:rsid w:val="00B81FF8"/>
    <w:rsid w:val="00B8659A"/>
    <w:rsid w:val="00B90DD0"/>
    <w:rsid w:val="00B95696"/>
    <w:rsid w:val="00B95D4B"/>
    <w:rsid w:val="00B96655"/>
    <w:rsid w:val="00B96CB3"/>
    <w:rsid w:val="00BA69DE"/>
    <w:rsid w:val="00BB1E0A"/>
    <w:rsid w:val="00BB205B"/>
    <w:rsid w:val="00BB3FAA"/>
    <w:rsid w:val="00BB7E1D"/>
    <w:rsid w:val="00BC1910"/>
    <w:rsid w:val="00BC4DA5"/>
    <w:rsid w:val="00BC55C9"/>
    <w:rsid w:val="00BD1B1D"/>
    <w:rsid w:val="00BD5216"/>
    <w:rsid w:val="00BD7588"/>
    <w:rsid w:val="00BD7815"/>
    <w:rsid w:val="00BE0B61"/>
    <w:rsid w:val="00BE2D1D"/>
    <w:rsid w:val="00BE5447"/>
    <w:rsid w:val="00BE78CD"/>
    <w:rsid w:val="00BE7AB1"/>
    <w:rsid w:val="00BF48EE"/>
    <w:rsid w:val="00BF6399"/>
    <w:rsid w:val="00C024D2"/>
    <w:rsid w:val="00C031B5"/>
    <w:rsid w:val="00C03FCA"/>
    <w:rsid w:val="00C06901"/>
    <w:rsid w:val="00C12E41"/>
    <w:rsid w:val="00C17FD6"/>
    <w:rsid w:val="00C217CA"/>
    <w:rsid w:val="00C25D2E"/>
    <w:rsid w:val="00C270EE"/>
    <w:rsid w:val="00C27F71"/>
    <w:rsid w:val="00C301B6"/>
    <w:rsid w:val="00C40ECD"/>
    <w:rsid w:val="00C41F0E"/>
    <w:rsid w:val="00C43A23"/>
    <w:rsid w:val="00C468CB"/>
    <w:rsid w:val="00C50713"/>
    <w:rsid w:val="00C53764"/>
    <w:rsid w:val="00C537F0"/>
    <w:rsid w:val="00C60349"/>
    <w:rsid w:val="00C643BD"/>
    <w:rsid w:val="00C7356B"/>
    <w:rsid w:val="00C73687"/>
    <w:rsid w:val="00C76453"/>
    <w:rsid w:val="00C802E6"/>
    <w:rsid w:val="00C844CD"/>
    <w:rsid w:val="00C84DA3"/>
    <w:rsid w:val="00C86198"/>
    <w:rsid w:val="00C908A3"/>
    <w:rsid w:val="00C94938"/>
    <w:rsid w:val="00C9537B"/>
    <w:rsid w:val="00C95875"/>
    <w:rsid w:val="00C95DE7"/>
    <w:rsid w:val="00C96A27"/>
    <w:rsid w:val="00CA060E"/>
    <w:rsid w:val="00CA101A"/>
    <w:rsid w:val="00CA10F2"/>
    <w:rsid w:val="00CA4171"/>
    <w:rsid w:val="00CA5CD3"/>
    <w:rsid w:val="00CB2D76"/>
    <w:rsid w:val="00CB5D1B"/>
    <w:rsid w:val="00CB7C09"/>
    <w:rsid w:val="00CB7ED0"/>
    <w:rsid w:val="00CC0E3E"/>
    <w:rsid w:val="00CC3D3B"/>
    <w:rsid w:val="00CC4D64"/>
    <w:rsid w:val="00CC7A82"/>
    <w:rsid w:val="00CD054B"/>
    <w:rsid w:val="00CD33EC"/>
    <w:rsid w:val="00CD4D9B"/>
    <w:rsid w:val="00CD5568"/>
    <w:rsid w:val="00CD5BCB"/>
    <w:rsid w:val="00CE127F"/>
    <w:rsid w:val="00CE2D86"/>
    <w:rsid w:val="00CE4697"/>
    <w:rsid w:val="00CE7DAC"/>
    <w:rsid w:val="00CF0C21"/>
    <w:rsid w:val="00CF3AAD"/>
    <w:rsid w:val="00D01969"/>
    <w:rsid w:val="00D12A29"/>
    <w:rsid w:val="00D15DCF"/>
    <w:rsid w:val="00D16DDB"/>
    <w:rsid w:val="00D212C9"/>
    <w:rsid w:val="00D26EE8"/>
    <w:rsid w:val="00D32F45"/>
    <w:rsid w:val="00D354CB"/>
    <w:rsid w:val="00D37E0D"/>
    <w:rsid w:val="00D43060"/>
    <w:rsid w:val="00D52564"/>
    <w:rsid w:val="00D54A32"/>
    <w:rsid w:val="00D54A47"/>
    <w:rsid w:val="00D55D2D"/>
    <w:rsid w:val="00D56D5E"/>
    <w:rsid w:val="00D649AC"/>
    <w:rsid w:val="00D65721"/>
    <w:rsid w:val="00D65CEA"/>
    <w:rsid w:val="00D70D25"/>
    <w:rsid w:val="00D72027"/>
    <w:rsid w:val="00D73238"/>
    <w:rsid w:val="00D7502D"/>
    <w:rsid w:val="00D7530C"/>
    <w:rsid w:val="00D76BE5"/>
    <w:rsid w:val="00D8210D"/>
    <w:rsid w:val="00D8323B"/>
    <w:rsid w:val="00D843D5"/>
    <w:rsid w:val="00D8700E"/>
    <w:rsid w:val="00D95B4E"/>
    <w:rsid w:val="00D96E80"/>
    <w:rsid w:val="00DA023A"/>
    <w:rsid w:val="00DA15FF"/>
    <w:rsid w:val="00DA3B87"/>
    <w:rsid w:val="00DA6CE4"/>
    <w:rsid w:val="00DB1FE5"/>
    <w:rsid w:val="00DB77C6"/>
    <w:rsid w:val="00DB7E09"/>
    <w:rsid w:val="00DC03E6"/>
    <w:rsid w:val="00DC0E66"/>
    <w:rsid w:val="00DC5662"/>
    <w:rsid w:val="00DD231E"/>
    <w:rsid w:val="00DD3376"/>
    <w:rsid w:val="00DD3C3F"/>
    <w:rsid w:val="00DD5B97"/>
    <w:rsid w:val="00DD5BFC"/>
    <w:rsid w:val="00DD7788"/>
    <w:rsid w:val="00DE10F3"/>
    <w:rsid w:val="00DE2111"/>
    <w:rsid w:val="00DE56A6"/>
    <w:rsid w:val="00DF0304"/>
    <w:rsid w:val="00E00B75"/>
    <w:rsid w:val="00E0415C"/>
    <w:rsid w:val="00E0418B"/>
    <w:rsid w:val="00E06DF9"/>
    <w:rsid w:val="00E1112F"/>
    <w:rsid w:val="00E16E19"/>
    <w:rsid w:val="00E170AA"/>
    <w:rsid w:val="00E179BF"/>
    <w:rsid w:val="00E2001C"/>
    <w:rsid w:val="00E21505"/>
    <w:rsid w:val="00E3097D"/>
    <w:rsid w:val="00E31F11"/>
    <w:rsid w:val="00E330FD"/>
    <w:rsid w:val="00E425AB"/>
    <w:rsid w:val="00E43509"/>
    <w:rsid w:val="00E4745A"/>
    <w:rsid w:val="00E553AE"/>
    <w:rsid w:val="00E5761E"/>
    <w:rsid w:val="00E616C1"/>
    <w:rsid w:val="00E85073"/>
    <w:rsid w:val="00E86D71"/>
    <w:rsid w:val="00E872D5"/>
    <w:rsid w:val="00E90BA7"/>
    <w:rsid w:val="00E96F5A"/>
    <w:rsid w:val="00E97309"/>
    <w:rsid w:val="00EB46B9"/>
    <w:rsid w:val="00EB7149"/>
    <w:rsid w:val="00EC5FD2"/>
    <w:rsid w:val="00EC653B"/>
    <w:rsid w:val="00ED0869"/>
    <w:rsid w:val="00EE0196"/>
    <w:rsid w:val="00EE1B64"/>
    <w:rsid w:val="00EE594B"/>
    <w:rsid w:val="00EF1E8A"/>
    <w:rsid w:val="00EF56FC"/>
    <w:rsid w:val="00F00FD7"/>
    <w:rsid w:val="00F010F7"/>
    <w:rsid w:val="00F0168F"/>
    <w:rsid w:val="00F02931"/>
    <w:rsid w:val="00F06652"/>
    <w:rsid w:val="00F06D3A"/>
    <w:rsid w:val="00F07A81"/>
    <w:rsid w:val="00F07CC7"/>
    <w:rsid w:val="00F11483"/>
    <w:rsid w:val="00F1735C"/>
    <w:rsid w:val="00F21949"/>
    <w:rsid w:val="00F25A10"/>
    <w:rsid w:val="00F31BF1"/>
    <w:rsid w:val="00F32A93"/>
    <w:rsid w:val="00F3381F"/>
    <w:rsid w:val="00F34842"/>
    <w:rsid w:val="00F4162E"/>
    <w:rsid w:val="00F45EC7"/>
    <w:rsid w:val="00F552FC"/>
    <w:rsid w:val="00F55FDC"/>
    <w:rsid w:val="00F5640E"/>
    <w:rsid w:val="00F56D81"/>
    <w:rsid w:val="00F57CAA"/>
    <w:rsid w:val="00F612A7"/>
    <w:rsid w:val="00F64399"/>
    <w:rsid w:val="00F70867"/>
    <w:rsid w:val="00F714C4"/>
    <w:rsid w:val="00F71A83"/>
    <w:rsid w:val="00F75594"/>
    <w:rsid w:val="00F82708"/>
    <w:rsid w:val="00F8314D"/>
    <w:rsid w:val="00F83E0D"/>
    <w:rsid w:val="00FA09D4"/>
    <w:rsid w:val="00FA4467"/>
    <w:rsid w:val="00FA46E1"/>
    <w:rsid w:val="00FA72F8"/>
    <w:rsid w:val="00FB5930"/>
    <w:rsid w:val="00FB61AE"/>
    <w:rsid w:val="00FB6BBE"/>
    <w:rsid w:val="00FC7C13"/>
    <w:rsid w:val="00FD05F2"/>
    <w:rsid w:val="00FD24B6"/>
    <w:rsid w:val="00FD4E83"/>
    <w:rsid w:val="00FD605F"/>
    <w:rsid w:val="00FE3142"/>
    <w:rsid w:val="00FE334F"/>
    <w:rsid w:val="00FE36AE"/>
    <w:rsid w:val="00FE5633"/>
    <w:rsid w:val="00FF0654"/>
    <w:rsid w:val="00FF10AE"/>
    <w:rsid w:val="00FF260D"/>
    <w:rsid w:val="01122119"/>
    <w:rsid w:val="012D0115"/>
    <w:rsid w:val="01383EF4"/>
    <w:rsid w:val="016F7352"/>
    <w:rsid w:val="01B91BC1"/>
    <w:rsid w:val="01C5534A"/>
    <w:rsid w:val="022547A5"/>
    <w:rsid w:val="02656992"/>
    <w:rsid w:val="02834957"/>
    <w:rsid w:val="02AA226C"/>
    <w:rsid w:val="02D47D1E"/>
    <w:rsid w:val="032F2F41"/>
    <w:rsid w:val="0351778C"/>
    <w:rsid w:val="03597BB0"/>
    <w:rsid w:val="03697175"/>
    <w:rsid w:val="03960C45"/>
    <w:rsid w:val="03CD01C1"/>
    <w:rsid w:val="03E2260D"/>
    <w:rsid w:val="03F35D05"/>
    <w:rsid w:val="03FB46A9"/>
    <w:rsid w:val="042D76F3"/>
    <w:rsid w:val="05046BDC"/>
    <w:rsid w:val="0509798A"/>
    <w:rsid w:val="05493F08"/>
    <w:rsid w:val="05650C0A"/>
    <w:rsid w:val="063211C1"/>
    <w:rsid w:val="07A45B36"/>
    <w:rsid w:val="08507AC3"/>
    <w:rsid w:val="08822990"/>
    <w:rsid w:val="088B2AB6"/>
    <w:rsid w:val="08B825DC"/>
    <w:rsid w:val="08CF54DB"/>
    <w:rsid w:val="09063EAA"/>
    <w:rsid w:val="092E53B1"/>
    <w:rsid w:val="096D32A9"/>
    <w:rsid w:val="09A8079E"/>
    <w:rsid w:val="09E17638"/>
    <w:rsid w:val="09FB1B9F"/>
    <w:rsid w:val="0A21279D"/>
    <w:rsid w:val="0A236FF4"/>
    <w:rsid w:val="0A53407A"/>
    <w:rsid w:val="0A825EB5"/>
    <w:rsid w:val="0A8932C1"/>
    <w:rsid w:val="0A913948"/>
    <w:rsid w:val="0AD314F2"/>
    <w:rsid w:val="0ADF21C3"/>
    <w:rsid w:val="0B2D4B66"/>
    <w:rsid w:val="0B4A7F31"/>
    <w:rsid w:val="0B827BFF"/>
    <w:rsid w:val="0BAE7727"/>
    <w:rsid w:val="0BD62FE8"/>
    <w:rsid w:val="0C1F55C1"/>
    <w:rsid w:val="0C2F0136"/>
    <w:rsid w:val="0C5D7423"/>
    <w:rsid w:val="0C631321"/>
    <w:rsid w:val="0C95499C"/>
    <w:rsid w:val="0CC13E98"/>
    <w:rsid w:val="0CD27F7B"/>
    <w:rsid w:val="0DB83337"/>
    <w:rsid w:val="0E8526DE"/>
    <w:rsid w:val="0E8A0B38"/>
    <w:rsid w:val="0F8A79C1"/>
    <w:rsid w:val="0FAA40BA"/>
    <w:rsid w:val="10772D1D"/>
    <w:rsid w:val="10D52198"/>
    <w:rsid w:val="10DC3E36"/>
    <w:rsid w:val="113C19D0"/>
    <w:rsid w:val="114179B1"/>
    <w:rsid w:val="11A46367"/>
    <w:rsid w:val="11A73FC2"/>
    <w:rsid w:val="120C7431"/>
    <w:rsid w:val="12B65988"/>
    <w:rsid w:val="1308275A"/>
    <w:rsid w:val="135925DF"/>
    <w:rsid w:val="13851EEC"/>
    <w:rsid w:val="13AB414E"/>
    <w:rsid w:val="13B27C3E"/>
    <w:rsid w:val="13DC5D15"/>
    <w:rsid w:val="13E253DB"/>
    <w:rsid w:val="15267F9C"/>
    <w:rsid w:val="153F65E8"/>
    <w:rsid w:val="15864884"/>
    <w:rsid w:val="159B7FB3"/>
    <w:rsid w:val="15BD1DD2"/>
    <w:rsid w:val="160B3E63"/>
    <w:rsid w:val="1667328A"/>
    <w:rsid w:val="16EF655D"/>
    <w:rsid w:val="17F507D1"/>
    <w:rsid w:val="17F872D1"/>
    <w:rsid w:val="180010FF"/>
    <w:rsid w:val="188B1EE8"/>
    <w:rsid w:val="19117150"/>
    <w:rsid w:val="191C7CEB"/>
    <w:rsid w:val="1935292C"/>
    <w:rsid w:val="193752C1"/>
    <w:rsid w:val="19442542"/>
    <w:rsid w:val="19806EAA"/>
    <w:rsid w:val="19A61E22"/>
    <w:rsid w:val="19AA7D6A"/>
    <w:rsid w:val="1A290D6B"/>
    <w:rsid w:val="1A5943FB"/>
    <w:rsid w:val="1AB1157E"/>
    <w:rsid w:val="1AC32709"/>
    <w:rsid w:val="1ACB042B"/>
    <w:rsid w:val="1ACB74F2"/>
    <w:rsid w:val="1B6C4927"/>
    <w:rsid w:val="1B770DD3"/>
    <w:rsid w:val="1BB0202F"/>
    <w:rsid w:val="1BE65CC8"/>
    <w:rsid w:val="1BEA00D1"/>
    <w:rsid w:val="1CB00BB2"/>
    <w:rsid w:val="1D5A5F68"/>
    <w:rsid w:val="1D704579"/>
    <w:rsid w:val="1DBD521D"/>
    <w:rsid w:val="1DF55FA5"/>
    <w:rsid w:val="1EBA5ED6"/>
    <w:rsid w:val="1EBD273E"/>
    <w:rsid w:val="1EF6070B"/>
    <w:rsid w:val="1F294332"/>
    <w:rsid w:val="1FB766D1"/>
    <w:rsid w:val="20562A02"/>
    <w:rsid w:val="20784C7B"/>
    <w:rsid w:val="20B136DD"/>
    <w:rsid w:val="20E31259"/>
    <w:rsid w:val="20E80ADD"/>
    <w:rsid w:val="20E95E96"/>
    <w:rsid w:val="216F142E"/>
    <w:rsid w:val="217C3862"/>
    <w:rsid w:val="21F96BCC"/>
    <w:rsid w:val="221450AB"/>
    <w:rsid w:val="22255E18"/>
    <w:rsid w:val="22350A1A"/>
    <w:rsid w:val="22A33F2E"/>
    <w:rsid w:val="22B01C18"/>
    <w:rsid w:val="23154DA9"/>
    <w:rsid w:val="233919BB"/>
    <w:rsid w:val="23A7190B"/>
    <w:rsid w:val="23D61F38"/>
    <w:rsid w:val="23F62202"/>
    <w:rsid w:val="23FC24D8"/>
    <w:rsid w:val="241C1704"/>
    <w:rsid w:val="24312922"/>
    <w:rsid w:val="24EB00D9"/>
    <w:rsid w:val="2521507B"/>
    <w:rsid w:val="26373B7B"/>
    <w:rsid w:val="2719221F"/>
    <w:rsid w:val="271E0072"/>
    <w:rsid w:val="27726A4E"/>
    <w:rsid w:val="27C44396"/>
    <w:rsid w:val="27DE7413"/>
    <w:rsid w:val="28563C31"/>
    <w:rsid w:val="2874223A"/>
    <w:rsid w:val="287B643B"/>
    <w:rsid w:val="28936DDC"/>
    <w:rsid w:val="289C0077"/>
    <w:rsid w:val="28B67EBB"/>
    <w:rsid w:val="28CB059A"/>
    <w:rsid w:val="28D13EA4"/>
    <w:rsid w:val="28E36D76"/>
    <w:rsid w:val="29570A11"/>
    <w:rsid w:val="29845795"/>
    <w:rsid w:val="299D39D4"/>
    <w:rsid w:val="29D36C55"/>
    <w:rsid w:val="29FF5201"/>
    <w:rsid w:val="2AB2778A"/>
    <w:rsid w:val="2ABC3520"/>
    <w:rsid w:val="2B2C0D2C"/>
    <w:rsid w:val="2BA25B80"/>
    <w:rsid w:val="2BB658F9"/>
    <w:rsid w:val="2BDA1786"/>
    <w:rsid w:val="2C7A6B94"/>
    <w:rsid w:val="2CAD4518"/>
    <w:rsid w:val="2CD67175"/>
    <w:rsid w:val="2D6362D3"/>
    <w:rsid w:val="2DE84927"/>
    <w:rsid w:val="2E3447D4"/>
    <w:rsid w:val="2E4F24A0"/>
    <w:rsid w:val="2F4F1DE1"/>
    <w:rsid w:val="30EB3D78"/>
    <w:rsid w:val="30EE28D0"/>
    <w:rsid w:val="31405B68"/>
    <w:rsid w:val="31FB7DDB"/>
    <w:rsid w:val="32436CE6"/>
    <w:rsid w:val="329B2BF7"/>
    <w:rsid w:val="32C21237"/>
    <w:rsid w:val="33732267"/>
    <w:rsid w:val="33C1433C"/>
    <w:rsid w:val="33FA3703"/>
    <w:rsid w:val="340705DB"/>
    <w:rsid w:val="341557EB"/>
    <w:rsid w:val="348914E4"/>
    <w:rsid w:val="34C53782"/>
    <w:rsid w:val="35341B14"/>
    <w:rsid w:val="35494F7D"/>
    <w:rsid w:val="35D30274"/>
    <w:rsid w:val="366A5C4C"/>
    <w:rsid w:val="37315429"/>
    <w:rsid w:val="37C416F7"/>
    <w:rsid w:val="37D903CC"/>
    <w:rsid w:val="3855531C"/>
    <w:rsid w:val="39AF2835"/>
    <w:rsid w:val="39CF104F"/>
    <w:rsid w:val="39FA5B2B"/>
    <w:rsid w:val="3B8A3489"/>
    <w:rsid w:val="3C20303D"/>
    <w:rsid w:val="3C5B5E1C"/>
    <w:rsid w:val="3CB66F48"/>
    <w:rsid w:val="3D63460F"/>
    <w:rsid w:val="3DA76EFE"/>
    <w:rsid w:val="3DCD75E3"/>
    <w:rsid w:val="3DF63399"/>
    <w:rsid w:val="3E5F19E9"/>
    <w:rsid w:val="3E7C7F4D"/>
    <w:rsid w:val="3F140E9A"/>
    <w:rsid w:val="3F7457AF"/>
    <w:rsid w:val="3F933318"/>
    <w:rsid w:val="3F944B3D"/>
    <w:rsid w:val="3FB869B8"/>
    <w:rsid w:val="403D36F4"/>
    <w:rsid w:val="40471266"/>
    <w:rsid w:val="40560D75"/>
    <w:rsid w:val="40621376"/>
    <w:rsid w:val="41273207"/>
    <w:rsid w:val="41543EE9"/>
    <w:rsid w:val="416C1384"/>
    <w:rsid w:val="41B660BB"/>
    <w:rsid w:val="41EA1C05"/>
    <w:rsid w:val="423D4D75"/>
    <w:rsid w:val="428F78D3"/>
    <w:rsid w:val="42C54B18"/>
    <w:rsid w:val="43420C0E"/>
    <w:rsid w:val="43717460"/>
    <w:rsid w:val="43EA4668"/>
    <w:rsid w:val="43FC54AB"/>
    <w:rsid w:val="440304BA"/>
    <w:rsid w:val="4456107B"/>
    <w:rsid w:val="450D3E1C"/>
    <w:rsid w:val="45132963"/>
    <w:rsid w:val="455970FD"/>
    <w:rsid w:val="45AA691F"/>
    <w:rsid w:val="45B87217"/>
    <w:rsid w:val="45DA43EA"/>
    <w:rsid w:val="460322AD"/>
    <w:rsid w:val="460E5C70"/>
    <w:rsid w:val="47036F6C"/>
    <w:rsid w:val="477830D2"/>
    <w:rsid w:val="48391728"/>
    <w:rsid w:val="4864773D"/>
    <w:rsid w:val="486D17CE"/>
    <w:rsid w:val="4872481A"/>
    <w:rsid w:val="49796E27"/>
    <w:rsid w:val="49C40DF6"/>
    <w:rsid w:val="4A003DF1"/>
    <w:rsid w:val="4A2D0812"/>
    <w:rsid w:val="4A6D24FF"/>
    <w:rsid w:val="4B4C1898"/>
    <w:rsid w:val="4B923520"/>
    <w:rsid w:val="4BE05207"/>
    <w:rsid w:val="4C8706B6"/>
    <w:rsid w:val="4CA95CA7"/>
    <w:rsid w:val="4CEB2F56"/>
    <w:rsid w:val="4CF16D8A"/>
    <w:rsid w:val="4D25409B"/>
    <w:rsid w:val="4D2729A1"/>
    <w:rsid w:val="4D896328"/>
    <w:rsid w:val="4E570C2E"/>
    <w:rsid w:val="4E691682"/>
    <w:rsid w:val="4F411E86"/>
    <w:rsid w:val="4F5C4B3F"/>
    <w:rsid w:val="4FD1347A"/>
    <w:rsid w:val="500E6070"/>
    <w:rsid w:val="504317A7"/>
    <w:rsid w:val="50A908CA"/>
    <w:rsid w:val="514A5ED5"/>
    <w:rsid w:val="51E45484"/>
    <w:rsid w:val="52127757"/>
    <w:rsid w:val="53BE0B3F"/>
    <w:rsid w:val="541D7038"/>
    <w:rsid w:val="544717E3"/>
    <w:rsid w:val="5451299D"/>
    <w:rsid w:val="546A6786"/>
    <w:rsid w:val="555722B0"/>
    <w:rsid w:val="559823B8"/>
    <w:rsid w:val="55AE23A0"/>
    <w:rsid w:val="55E90A4C"/>
    <w:rsid w:val="565C3D2E"/>
    <w:rsid w:val="56665AA9"/>
    <w:rsid w:val="56676289"/>
    <w:rsid w:val="56A32CC7"/>
    <w:rsid w:val="572371D6"/>
    <w:rsid w:val="572B3C6A"/>
    <w:rsid w:val="573864B2"/>
    <w:rsid w:val="579656BA"/>
    <w:rsid w:val="5821124D"/>
    <w:rsid w:val="58A84444"/>
    <w:rsid w:val="59B25802"/>
    <w:rsid w:val="5A551D6A"/>
    <w:rsid w:val="5ADA4BD5"/>
    <w:rsid w:val="5B7B2AEE"/>
    <w:rsid w:val="5B8F6B0D"/>
    <w:rsid w:val="5D324280"/>
    <w:rsid w:val="5DA5352D"/>
    <w:rsid w:val="5E5459EF"/>
    <w:rsid w:val="5E5A12C4"/>
    <w:rsid w:val="5E88036F"/>
    <w:rsid w:val="5EBA127A"/>
    <w:rsid w:val="5EC823E0"/>
    <w:rsid w:val="5F2D0585"/>
    <w:rsid w:val="5FAD16ED"/>
    <w:rsid w:val="60A66C3C"/>
    <w:rsid w:val="60DB5548"/>
    <w:rsid w:val="61481D34"/>
    <w:rsid w:val="62537A75"/>
    <w:rsid w:val="627153F8"/>
    <w:rsid w:val="62A34D91"/>
    <w:rsid w:val="62ED3579"/>
    <w:rsid w:val="62EE17E7"/>
    <w:rsid w:val="63270485"/>
    <w:rsid w:val="63387204"/>
    <w:rsid w:val="63634AA9"/>
    <w:rsid w:val="63911B91"/>
    <w:rsid w:val="63D55D55"/>
    <w:rsid w:val="63E85DBB"/>
    <w:rsid w:val="64052471"/>
    <w:rsid w:val="642F3463"/>
    <w:rsid w:val="644A79A7"/>
    <w:rsid w:val="654736FD"/>
    <w:rsid w:val="665B21E1"/>
    <w:rsid w:val="667D7C35"/>
    <w:rsid w:val="66B137E9"/>
    <w:rsid w:val="66D519C9"/>
    <w:rsid w:val="675B3DD3"/>
    <w:rsid w:val="67AF2518"/>
    <w:rsid w:val="67C245FA"/>
    <w:rsid w:val="67E858EB"/>
    <w:rsid w:val="68075FA1"/>
    <w:rsid w:val="681A4E23"/>
    <w:rsid w:val="693D28E3"/>
    <w:rsid w:val="69C27B82"/>
    <w:rsid w:val="6A0E6A75"/>
    <w:rsid w:val="6A1C17E5"/>
    <w:rsid w:val="6ABA08C1"/>
    <w:rsid w:val="6AE9324E"/>
    <w:rsid w:val="6B597325"/>
    <w:rsid w:val="6B5E4527"/>
    <w:rsid w:val="6BBB51C4"/>
    <w:rsid w:val="6C0A1C09"/>
    <w:rsid w:val="6C4B0F58"/>
    <w:rsid w:val="6C71644E"/>
    <w:rsid w:val="6CDA5121"/>
    <w:rsid w:val="6D04469C"/>
    <w:rsid w:val="6D0B07B6"/>
    <w:rsid w:val="6D773602"/>
    <w:rsid w:val="6DA24987"/>
    <w:rsid w:val="6E1F380D"/>
    <w:rsid w:val="6E5745C5"/>
    <w:rsid w:val="6E7C1A7C"/>
    <w:rsid w:val="6E961609"/>
    <w:rsid w:val="6E9D6C43"/>
    <w:rsid w:val="6EC56D4A"/>
    <w:rsid w:val="6F450411"/>
    <w:rsid w:val="6F9B3A2C"/>
    <w:rsid w:val="6FC43A72"/>
    <w:rsid w:val="6FFE7454"/>
    <w:rsid w:val="70597661"/>
    <w:rsid w:val="70F76A59"/>
    <w:rsid w:val="7192467D"/>
    <w:rsid w:val="719E3960"/>
    <w:rsid w:val="71A0304F"/>
    <w:rsid w:val="723259B4"/>
    <w:rsid w:val="72AF27EE"/>
    <w:rsid w:val="72B33E38"/>
    <w:rsid w:val="72D17DE3"/>
    <w:rsid w:val="72DE19D9"/>
    <w:rsid w:val="731F65D2"/>
    <w:rsid w:val="73DB551B"/>
    <w:rsid w:val="74213957"/>
    <w:rsid w:val="745F66ED"/>
    <w:rsid w:val="74857FF0"/>
    <w:rsid w:val="748D53A3"/>
    <w:rsid w:val="74996878"/>
    <w:rsid w:val="74A40D07"/>
    <w:rsid w:val="74B07D3F"/>
    <w:rsid w:val="74E90345"/>
    <w:rsid w:val="74FD1133"/>
    <w:rsid w:val="756532D7"/>
    <w:rsid w:val="75B7322A"/>
    <w:rsid w:val="75EB695D"/>
    <w:rsid w:val="765F7C55"/>
    <w:rsid w:val="76E6019F"/>
    <w:rsid w:val="77396A1C"/>
    <w:rsid w:val="778C25A1"/>
    <w:rsid w:val="779266AB"/>
    <w:rsid w:val="77D36C6F"/>
    <w:rsid w:val="7809439C"/>
    <w:rsid w:val="7875729F"/>
    <w:rsid w:val="78C114A6"/>
    <w:rsid w:val="78FC788A"/>
    <w:rsid w:val="79826C53"/>
    <w:rsid w:val="79D46A44"/>
    <w:rsid w:val="79F838F2"/>
    <w:rsid w:val="7A11509A"/>
    <w:rsid w:val="7A17238D"/>
    <w:rsid w:val="7A7F0DE9"/>
    <w:rsid w:val="7A7F26E4"/>
    <w:rsid w:val="7AB35E28"/>
    <w:rsid w:val="7ADB562F"/>
    <w:rsid w:val="7AF45559"/>
    <w:rsid w:val="7B472661"/>
    <w:rsid w:val="7B505A98"/>
    <w:rsid w:val="7B8D20BF"/>
    <w:rsid w:val="7BBA04AD"/>
    <w:rsid w:val="7BBE296A"/>
    <w:rsid w:val="7BD446F9"/>
    <w:rsid w:val="7BE40725"/>
    <w:rsid w:val="7C1C2800"/>
    <w:rsid w:val="7C8F2142"/>
    <w:rsid w:val="7C9F4D22"/>
    <w:rsid w:val="7CFA0A36"/>
    <w:rsid w:val="7CFF77E6"/>
    <w:rsid w:val="7D02404E"/>
    <w:rsid w:val="7D910386"/>
    <w:rsid w:val="7DB027D0"/>
    <w:rsid w:val="7E4D7CA0"/>
    <w:rsid w:val="7F7473D9"/>
    <w:rsid w:val="7FBE66EC"/>
    <w:rsid w:val="7FF21D9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0"/>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41"/>
    <w:qFormat/>
    <w:uiPriority w:val="99"/>
    <w:pPr>
      <w:keepNext/>
      <w:keepLines/>
      <w:adjustRightInd w:val="0"/>
      <w:spacing w:before="260" w:after="260" w:line="416" w:lineRule="atLeast"/>
      <w:jc w:val="left"/>
      <w:textAlignment w:val="baseline"/>
      <w:outlineLvl w:val="1"/>
    </w:pPr>
    <w:rPr>
      <w:rFonts w:ascii="Arial" w:hAnsi="Arial" w:eastAsia="黑体" w:cs="Arial"/>
      <w:b/>
      <w:bCs/>
      <w:kern w:val="0"/>
      <w:sz w:val="32"/>
      <w:szCs w:val="32"/>
    </w:rPr>
  </w:style>
  <w:style w:type="paragraph" w:styleId="5">
    <w:name w:val="heading 3"/>
    <w:basedOn w:val="1"/>
    <w:next w:val="1"/>
    <w:link w:val="42"/>
    <w:qFormat/>
    <w:uiPriority w:val="99"/>
    <w:pPr>
      <w:keepNext/>
      <w:keepLines/>
      <w:spacing w:before="260" w:after="260" w:line="415" w:lineRule="auto"/>
      <w:outlineLvl w:val="2"/>
    </w:pPr>
    <w:rPr>
      <w:b/>
      <w:bCs/>
      <w:sz w:val="32"/>
      <w:szCs w:val="32"/>
    </w:rPr>
  </w:style>
  <w:style w:type="paragraph" w:styleId="6">
    <w:name w:val="heading 4"/>
    <w:basedOn w:val="1"/>
    <w:next w:val="1"/>
    <w:link w:val="43"/>
    <w:qFormat/>
    <w:uiPriority w:val="99"/>
    <w:pPr>
      <w:keepNext/>
      <w:keepLines/>
      <w:adjustRightInd w:val="0"/>
      <w:spacing w:before="280" w:after="290" w:line="376" w:lineRule="atLeast"/>
      <w:jc w:val="left"/>
      <w:textAlignment w:val="baseline"/>
      <w:outlineLvl w:val="3"/>
    </w:pPr>
    <w:rPr>
      <w:rFonts w:ascii="Arial" w:hAnsi="Arial" w:eastAsia="黑体" w:cs="Arial"/>
      <w:b/>
      <w:bCs/>
      <w:kern w:val="0"/>
      <w:sz w:val="28"/>
      <w:szCs w:val="28"/>
    </w:rPr>
  </w:style>
  <w:style w:type="paragraph" w:styleId="7">
    <w:name w:val="heading 5"/>
    <w:basedOn w:val="1"/>
    <w:next w:val="1"/>
    <w:link w:val="44"/>
    <w:qFormat/>
    <w:uiPriority w:val="99"/>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45"/>
    <w:qFormat/>
    <w:uiPriority w:val="99"/>
    <w:pPr>
      <w:keepNext/>
      <w:keepLines/>
      <w:adjustRightInd w:val="0"/>
      <w:spacing w:before="240" w:after="64" w:line="320" w:lineRule="atLeast"/>
      <w:jc w:val="left"/>
      <w:textAlignment w:val="baseline"/>
      <w:outlineLvl w:val="5"/>
    </w:pPr>
    <w:rPr>
      <w:rFonts w:ascii="Arial" w:hAnsi="Arial" w:eastAsia="黑体" w:cs="Arial"/>
      <w:b/>
      <w:bCs/>
      <w:kern w:val="0"/>
      <w:sz w:val="24"/>
      <w:szCs w:val="24"/>
    </w:rPr>
  </w:style>
  <w:style w:type="paragraph" w:styleId="9">
    <w:name w:val="heading 7"/>
    <w:basedOn w:val="1"/>
    <w:next w:val="1"/>
    <w:link w:val="46"/>
    <w:qFormat/>
    <w:uiPriority w:val="99"/>
    <w:pPr>
      <w:keepNext/>
      <w:keepLines/>
      <w:adjustRightInd w:val="0"/>
      <w:spacing w:before="240" w:after="64" w:line="320" w:lineRule="atLeast"/>
      <w:jc w:val="left"/>
      <w:textAlignment w:val="baseline"/>
      <w:outlineLvl w:val="6"/>
    </w:pPr>
    <w:rPr>
      <w:b/>
      <w:bCs/>
      <w:kern w:val="0"/>
      <w:sz w:val="24"/>
      <w:szCs w:val="24"/>
    </w:rPr>
  </w:style>
  <w:style w:type="paragraph" w:styleId="10">
    <w:name w:val="heading 8"/>
    <w:basedOn w:val="1"/>
    <w:next w:val="1"/>
    <w:link w:val="47"/>
    <w:qFormat/>
    <w:uiPriority w:val="99"/>
    <w:pPr>
      <w:keepNext/>
      <w:keepLines/>
      <w:adjustRightInd w:val="0"/>
      <w:spacing w:before="240" w:after="64" w:line="320" w:lineRule="atLeast"/>
      <w:jc w:val="left"/>
      <w:textAlignment w:val="baseline"/>
      <w:outlineLvl w:val="7"/>
    </w:pPr>
    <w:rPr>
      <w:rFonts w:ascii="Arial" w:hAnsi="Arial" w:eastAsia="黑体" w:cs="Arial"/>
      <w:kern w:val="0"/>
      <w:sz w:val="24"/>
      <w:szCs w:val="24"/>
    </w:rPr>
  </w:style>
  <w:style w:type="paragraph" w:styleId="11">
    <w:name w:val="heading 9"/>
    <w:basedOn w:val="1"/>
    <w:next w:val="1"/>
    <w:link w:val="48"/>
    <w:qFormat/>
    <w:uiPriority w:val="99"/>
    <w:pPr>
      <w:keepNext/>
      <w:keepLines/>
      <w:adjustRightInd w:val="0"/>
      <w:spacing w:before="240" w:after="64" w:line="320" w:lineRule="atLeast"/>
      <w:jc w:val="left"/>
      <w:textAlignment w:val="baseline"/>
      <w:outlineLvl w:val="8"/>
    </w:pPr>
    <w:rPr>
      <w:rFonts w:ascii="Arial" w:hAnsi="Arial" w:eastAsia="黑体" w:cs="Arial"/>
      <w:kern w:val="0"/>
    </w:rPr>
  </w:style>
  <w:style w:type="character" w:default="1" w:styleId="31">
    <w:name w:val="Default Paragraph Font"/>
    <w:semiHidden/>
    <w:qFormat/>
    <w:uiPriority w:val="99"/>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Message Header"/>
    <w:basedOn w:val="1"/>
    <w:link w:val="49"/>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12">
    <w:name w:val="annotation subject"/>
    <w:basedOn w:val="13"/>
    <w:next w:val="13"/>
    <w:link w:val="51"/>
    <w:semiHidden/>
    <w:qFormat/>
    <w:uiPriority w:val="99"/>
    <w:rPr>
      <w:b/>
      <w:bCs/>
    </w:rPr>
  </w:style>
  <w:style w:type="paragraph" w:styleId="13">
    <w:name w:val="annotation text"/>
    <w:basedOn w:val="1"/>
    <w:link w:val="50"/>
    <w:semiHidden/>
    <w:qFormat/>
    <w:uiPriority w:val="99"/>
    <w:pPr>
      <w:jc w:val="left"/>
    </w:pPr>
    <w:rPr>
      <w:rFonts w:ascii="Calibri" w:hAnsi="Calibri" w:cs="Calibri"/>
    </w:rPr>
  </w:style>
  <w:style w:type="paragraph" w:styleId="14">
    <w:name w:val="Body Text First Indent"/>
    <w:basedOn w:val="15"/>
    <w:link w:val="53"/>
    <w:qFormat/>
    <w:uiPriority w:val="99"/>
    <w:pPr>
      <w:ind w:firstLine="420" w:firstLineChars="100"/>
    </w:pPr>
    <w:rPr>
      <w:rFonts w:ascii="Calibri" w:hAnsi="Calibri" w:cs="Calibri"/>
    </w:rPr>
  </w:style>
  <w:style w:type="paragraph" w:styleId="15">
    <w:name w:val="Body Text"/>
    <w:basedOn w:val="1"/>
    <w:link w:val="52"/>
    <w:qFormat/>
    <w:uiPriority w:val="99"/>
    <w:pPr>
      <w:adjustRightInd w:val="0"/>
      <w:spacing w:after="120" w:line="360" w:lineRule="atLeast"/>
      <w:jc w:val="left"/>
      <w:textAlignment w:val="baseline"/>
    </w:pPr>
    <w:rPr>
      <w:kern w:val="0"/>
      <w:sz w:val="24"/>
      <w:szCs w:val="24"/>
    </w:rPr>
  </w:style>
  <w:style w:type="paragraph" w:styleId="16">
    <w:name w:val="Normal Indent"/>
    <w:basedOn w:val="1"/>
    <w:qFormat/>
    <w:uiPriority w:val="99"/>
    <w:pPr>
      <w:adjustRightInd w:val="0"/>
      <w:spacing w:line="360" w:lineRule="atLeast"/>
      <w:ind w:firstLine="420" w:firstLineChars="200"/>
      <w:jc w:val="left"/>
      <w:textAlignment w:val="baseline"/>
    </w:pPr>
    <w:rPr>
      <w:kern w:val="0"/>
      <w:sz w:val="24"/>
      <w:szCs w:val="24"/>
    </w:rPr>
  </w:style>
  <w:style w:type="paragraph" w:styleId="17">
    <w:name w:val="Document Map"/>
    <w:basedOn w:val="1"/>
    <w:link w:val="54"/>
    <w:semiHidden/>
    <w:qFormat/>
    <w:uiPriority w:val="99"/>
    <w:rPr>
      <w:rFonts w:ascii="宋体" w:hAnsi="Calibri" w:cs="宋体"/>
      <w:kern w:val="0"/>
      <w:sz w:val="18"/>
      <w:szCs w:val="18"/>
    </w:rPr>
  </w:style>
  <w:style w:type="paragraph" w:styleId="18">
    <w:name w:val="Body Text 3"/>
    <w:basedOn w:val="1"/>
    <w:link w:val="55"/>
    <w:qFormat/>
    <w:uiPriority w:val="99"/>
    <w:pPr>
      <w:spacing w:after="120"/>
    </w:pPr>
    <w:rPr>
      <w:sz w:val="16"/>
      <w:szCs w:val="16"/>
    </w:rPr>
  </w:style>
  <w:style w:type="paragraph" w:styleId="19">
    <w:name w:val="Body Text Indent"/>
    <w:basedOn w:val="1"/>
    <w:link w:val="56"/>
    <w:qFormat/>
    <w:uiPriority w:val="99"/>
    <w:pPr>
      <w:spacing w:line="360" w:lineRule="auto"/>
      <w:ind w:firstLine="480" w:firstLineChars="200"/>
    </w:pPr>
    <w:rPr>
      <w:rFonts w:ascii="宋体" w:cs="宋体"/>
      <w:sz w:val="24"/>
      <w:szCs w:val="24"/>
    </w:rPr>
  </w:style>
  <w:style w:type="paragraph" w:styleId="20">
    <w:name w:val="toc 3"/>
    <w:basedOn w:val="1"/>
    <w:next w:val="1"/>
    <w:semiHidden/>
    <w:qFormat/>
    <w:uiPriority w:val="99"/>
    <w:pPr>
      <w:spacing w:line="360" w:lineRule="auto"/>
      <w:jc w:val="center"/>
    </w:pPr>
    <w:rPr>
      <w:rFonts w:ascii="宋体" w:hAnsi="宋体" w:cs="宋体"/>
      <w:sz w:val="32"/>
      <w:szCs w:val="32"/>
    </w:rPr>
  </w:style>
  <w:style w:type="paragraph" w:styleId="21">
    <w:name w:val="Plain Text"/>
    <w:basedOn w:val="1"/>
    <w:link w:val="57"/>
    <w:qFormat/>
    <w:uiPriority w:val="99"/>
    <w:pPr>
      <w:adjustRightInd w:val="0"/>
      <w:spacing w:line="360" w:lineRule="atLeast"/>
      <w:jc w:val="left"/>
      <w:textAlignment w:val="baseline"/>
    </w:pPr>
    <w:rPr>
      <w:rFonts w:ascii="宋体" w:hAnsi="Courier New" w:cs="宋体"/>
      <w:kern w:val="0"/>
    </w:rPr>
  </w:style>
  <w:style w:type="paragraph" w:styleId="22">
    <w:name w:val="Date"/>
    <w:basedOn w:val="1"/>
    <w:next w:val="1"/>
    <w:link w:val="58"/>
    <w:qFormat/>
    <w:uiPriority w:val="99"/>
    <w:rPr>
      <w:sz w:val="24"/>
      <w:szCs w:val="24"/>
    </w:rPr>
  </w:style>
  <w:style w:type="paragraph" w:styleId="23">
    <w:name w:val="Body Text Indent 2"/>
    <w:basedOn w:val="1"/>
    <w:link w:val="59"/>
    <w:qFormat/>
    <w:uiPriority w:val="99"/>
    <w:pPr>
      <w:spacing w:after="120" w:line="480" w:lineRule="auto"/>
      <w:ind w:left="420" w:leftChars="200"/>
    </w:pPr>
  </w:style>
  <w:style w:type="paragraph" w:styleId="24">
    <w:name w:val="Balloon Text"/>
    <w:basedOn w:val="1"/>
    <w:link w:val="60"/>
    <w:semiHidden/>
    <w:qFormat/>
    <w:uiPriority w:val="99"/>
    <w:rPr>
      <w:rFonts w:ascii="Calibri" w:hAnsi="Calibri" w:cs="Calibri"/>
      <w:kern w:val="0"/>
      <w:sz w:val="18"/>
      <w:szCs w:val="18"/>
    </w:rPr>
  </w:style>
  <w:style w:type="paragraph" w:styleId="25">
    <w:name w:val="footer"/>
    <w:basedOn w:val="1"/>
    <w:link w:val="61"/>
    <w:qFormat/>
    <w:uiPriority w:val="99"/>
    <w:pPr>
      <w:tabs>
        <w:tab w:val="center" w:pos="4153"/>
        <w:tab w:val="right" w:pos="8306"/>
      </w:tabs>
      <w:snapToGrid w:val="0"/>
      <w:jc w:val="left"/>
    </w:pPr>
    <w:rPr>
      <w:rFonts w:ascii="Calibri" w:hAnsi="Calibri" w:cs="Calibri"/>
      <w:kern w:val="0"/>
      <w:sz w:val="18"/>
      <w:szCs w:val="18"/>
    </w:rPr>
  </w:style>
  <w:style w:type="paragraph" w:styleId="26">
    <w:name w:val="header"/>
    <w:basedOn w:val="1"/>
    <w:link w:val="62"/>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27">
    <w:name w:val="List"/>
    <w:basedOn w:val="1"/>
    <w:qFormat/>
    <w:uiPriority w:val="99"/>
    <w:pPr>
      <w:ind w:left="420" w:hanging="420"/>
    </w:pPr>
    <w:rPr>
      <w:rFonts w:eastAsia="楷体_GB2312"/>
      <w:sz w:val="32"/>
      <w:szCs w:val="32"/>
    </w:rPr>
  </w:style>
  <w:style w:type="paragraph" w:styleId="28">
    <w:name w:val="Body Text Indent 3"/>
    <w:basedOn w:val="1"/>
    <w:link w:val="63"/>
    <w:qFormat/>
    <w:uiPriority w:val="99"/>
    <w:pPr>
      <w:adjustRightInd w:val="0"/>
      <w:spacing w:after="120" w:line="360" w:lineRule="atLeast"/>
      <w:ind w:left="420" w:leftChars="200"/>
      <w:jc w:val="left"/>
      <w:textAlignment w:val="baseline"/>
    </w:pPr>
    <w:rPr>
      <w:kern w:val="0"/>
      <w:sz w:val="16"/>
      <w:szCs w:val="16"/>
    </w:rPr>
  </w:style>
  <w:style w:type="paragraph" w:styleId="29">
    <w:name w:val="Body Text 2"/>
    <w:basedOn w:val="1"/>
    <w:link w:val="64"/>
    <w:qFormat/>
    <w:uiPriority w:val="99"/>
    <w:pPr>
      <w:adjustRightInd w:val="0"/>
      <w:spacing w:after="120" w:line="480" w:lineRule="auto"/>
      <w:jc w:val="left"/>
      <w:textAlignment w:val="baseline"/>
    </w:pPr>
    <w:rPr>
      <w:kern w:val="0"/>
      <w:sz w:val="24"/>
      <w:szCs w:val="24"/>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32">
    <w:name w:val="Strong"/>
    <w:basedOn w:val="31"/>
    <w:qFormat/>
    <w:uiPriority w:val="99"/>
    <w:rPr>
      <w:b/>
      <w:bCs/>
    </w:rPr>
  </w:style>
  <w:style w:type="character" w:styleId="33">
    <w:name w:val="page number"/>
    <w:basedOn w:val="31"/>
    <w:qFormat/>
    <w:uiPriority w:val="99"/>
  </w:style>
  <w:style w:type="character" w:styleId="34">
    <w:name w:val="FollowedHyperlink"/>
    <w:basedOn w:val="31"/>
    <w:qFormat/>
    <w:uiPriority w:val="99"/>
    <w:rPr>
      <w:color w:val="auto"/>
      <w:u w:val="none"/>
    </w:rPr>
  </w:style>
  <w:style w:type="character" w:styleId="35">
    <w:name w:val="Emphasis"/>
    <w:basedOn w:val="31"/>
    <w:qFormat/>
    <w:uiPriority w:val="99"/>
  </w:style>
  <w:style w:type="character" w:styleId="36">
    <w:name w:val="Hyperlink"/>
    <w:basedOn w:val="31"/>
    <w:qFormat/>
    <w:uiPriority w:val="99"/>
    <w:rPr>
      <w:color w:val="auto"/>
      <w:u w:val="none"/>
    </w:rPr>
  </w:style>
  <w:style w:type="character" w:styleId="37">
    <w:name w:val="annotation reference"/>
    <w:basedOn w:val="31"/>
    <w:semiHidden/>
    <w:qFormat/>
    <w:uiPriority w:val="99"/>
    <w:rPr>
      <w:sz w:val="21"/>
      <w:szCs w:val="21"/>
    </w:rPr>
  </w:style>
  <w:style w:type="table" w:styleId="39">
    <w:name w:val="Table Grid"/>
    <w:basedOn w:val="38"/>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0">
    <w:name w:val="Heading 1 Char"/>
    <w:basedOn w:val="31"/>
    <w:link w:val="3"/>
    <w:qFormat/>
    <w:locked/>
    <w:uiPriority w:val="99"/>
    <w:rPr>
      <w:rFonts w:ascii="Times New Roman" w:hAnsi="Times New Roman" w:cs="Times New Roman"/>
      <w:b/>
      <w:bCs/>
      <w:kern w:val="44"/>
      <w:sz w:val="44"/>
      <w:szCs w:val="44"/>
    </w:rPr>
  </w:style>
  <w:style w:type="character" w:customStyle="1" w:styleId="41">
    <w:name w:val="Heading 2 Char"/>
    <w:basedOn w:val="31"/>
    <w:link w:val="4"/>
    <w:qFormat/>
    <w:locked/>
    <w:uiPriority w:val="99"/>
    <w:rPr>
      <w:rFonts w:ascii="Arial" w:hAnsi="Arial" w:eastAsia="黑体" w:cs="Arial"/>
      <w:b/>
      <w:bCs/>
      <w:sz w:val="32"/>
      <w:szCs w:val="32"/>
    </w:rPr>
  </w:style>
  <w:style w:type="character" w:customStyle="1" w:styleId="42">
    <w:name w:val="Heading 3 Char"/>
    <w:basedOn w:val="31"/>
    <w:link w:val="5"/>
    <w:qFormat/>
    <w:locked/>
    <w:uiPriority w:val="99"/>
    <w:rPr>
      <w:rFonts w:ascii="Times New Roman" w:hAnsi="Times New Roman" w:cs="Times New Roman"/>
      <w:b/>
      <w:bCs/>
      <w:kern w:val="2"/>
      <w:sz w:val="32"/>
      <w:szCs w:val="32"/>
    </w:rPr>
  </w:style>
  <w:style w:type="character" w:customStyle="1" w:styleId="43">
    <w:name w:val="Heading 4 Char"/>
    <w:basedOn w:val="31"/>
    <w:link w:val="6"/>
    <w:locked/>
    <w:uiPriority w:val="99"/>
    <w:rPr>
      <w:rFonts w:ascii="Arial" w:hAnsi="Arial" w:eastAsia="黑体" w:cs="Arial"/>
      <w:b/>
      <w:bCs/>
      <w:sz w:val="28"/>
      <w:szCs w:val="28"/>
    </w:rPr>
  </w:style>
  <w:style w:type="character" w:customStyle="1" w:styleId="44">
    <w:name w:val="Heading 5 Char"/>
    <w:basedOn w:val="31"/>
    <w:link w:val="7"/>
    <w:locked/>
    <w:uiPriority w:val="99"/>
    <w:rPr>
      <w:rFonts w:ascii="Times New Roman" w:hAnsi="Times New Roman" w:cs="Times New Roman"/>
      <w:b/>
      <w:bCs/>
      <w:sz w:val="28"/>
      <w:szCs w:val="28"/>
    </w:rPr>
  </w:style>
  <w:style w:type="character" w:customStyle="1" w:styleId="45">
    <w:name w:val="Heading 6 Char"/>
    <w:basedOn w:val="31"/>
    <w:link w:val="8"/>
    <w:locked/>
    <w:uiPriority w:val="99"/>
    <w:rPr>
      <w:rFonts w:ascii="Arial" w:hAnsi="Arial" w:eastAsia="黑体" w:cs="Arial"/>
      <w:b/>
      <w:bCs/>
      <w:sz w:val="24"/>
      <w:szCs w:val="24"/>
    </w:rPr>
  </w:style>
  <w:style w:type="character" w:customStyle="1" w:styleId="46">
    <w:name w:val="Heading 7 Char"/>
    <w:basedOn w:val="31"/>
    <w:link w:val="9"/>
    <w:locked/>
    <w:uiPriority w:val="99"/>
    <w:rPr>
      <w:rFonts w:ascii="Times New Roman" w:hAnsi="Times New Roman" w:cs="Times New Roman"/>
      <w:b/>
      <w:bCs/>
      <w:sz w:val="24"/>
      <w:szCs w:val="24"/>
    </w:rPr>
  </w:style>
  <w:style w:type="character" w:customStyle="1" w:styleId="47">
    <w:name w:val="Heading 8 Char"/>
    <w:basedOn w:val="31"/>
    <w:link w:val="10"/>
    <w:qFormat/>
    <w:locked/>
    <w:uiPriority w:val="99"/>
    <w:rPr>
      <w:rFonts w:ascii="Arial" w:hAnsi="Arial" w:eastAsia="黑体" w:cs="Arial"/>
      <w:sz w:val="24"/>
      <w:szCs w:val="24"/>
    </w:rPr>
  </w:style>
  <w:style w:type="character" w:customStyle="1" w:styleId="48">
    <w:name w:val="Heading 9 Char"/>
    <w:basedOn w:val="31"/>
    <w:link w:val="11"/>
    <w:locked/>
    <w:uiPriority w:val="99"/>
    <w:rPr>
      <w:rFonts w:ascii="Arial" w:hAnsi="Arial" w:eastAsia="黑体" w:cs="Arial"/>
      <w:sz w:val="21"/>
      <w:szCs w:val="21"/>
    </w:rPr>
  </w:style>
  <w:style w:type="character" w:customStyle="1" w:styleId="49">
    <w:name w:val="Message Header Char"/>
    <w:basedOn w:val="31"/>
    <w:link w:val="2"/>
    <w:semiHidden/>
    <w:uiPriority w:val="99"/>
    <w:rPr>
      <w:rFonts w:asciiTheme="majorHAnsi" w:hAnsiTheme="majorHAnsi" w:eastAsiaTheme="majorEastAsia" w:cstheme="majorBidi"/>
      <w:sz w:val="24"/>
      <w:szCs w:val="24"/>
      <w:shd w:val="pct20" w:color="auto" w:fill="auto"/>
    </w:rPr>
  </w:style>
  <w:style w:type="character" w:customStyle="1" w:styleId="50">
    <w:name w:val="Comment Text Char"/>
    <w:basedOn w:val="31"/>
    <w:link w:val="13"/>
    <w:locked/>
    <w:uiPriority w:val="99"/>
    <w:rPr>
      <w:kern w:val="2"/>
      <w:sz w:val="22"/>
      <w:szCs w:val="22"/>
    </w:rPr>
  </w:style>
  <w:style w:type="character" w:customStyle="1" w:styleId="51">
    <w:name w:val="Comment Subject Char"/>
    <w:basedOn w:val="50"/>
    <w:link w:val="12"/>
    <w:locked/>
    <w:uiPriority w:val="99"/>
    <w:rPr>
      <w:b/>
      <w:bCs/>
    </w:rPr>
  </w:style>
  <w:style w:type="character" w:customStyle="1" w:styleId="52">
    <w:name w:val="Body Text Char"/>
    <w:basedOn w:val="31"/>
    <w:link w:val="15"/>
    <w:locked/>
    <w:uiPriority w:val="99"/>
    <w:rPr>
      <w:rFonts w:ascii="Times New Roman" w:hAnsi="Times New Roman" w:cs="Times New Roman"/>
      <w:sz w:val="24"/>
      <w:szCs w:val="24"/>
    </w:rPr>
  </w:style>
  <w:style w:type="character" w:customStyle="1" w:styleId="53">
    <w:name w:val="Body Text First Indent Char"/>
    <w:basedOn w:val="52"/>
    <w:link w:val="14"/>
    <w:locked/>
    <w:uiPriority w:val="99"/>
  </w:style>
  <w:style w:type="character" w:customStyle="1" w:styleId="54">
    <w:name w:val="Document Map Char"/>
    <w:basedOn w:val="31"/>
    <w:link w:val="17"/>
    <w:locked/>
    <w:uiPriority w:val="99"/>
    <w:rPr>
      <w:rFonts w:ascii="宋体" w:eastAsia="宋体" w:cs="宋体"/>
      <w:sz w:val="18"/>
      <w:szCs w:val="18"/>
    </w:rPr>
  </w:style>
  <w:style w:type="character" w:customStyle="1" w:styleId="55">
    <w:name w:val="Body Text 3 Char"/>
    <w:basedOn w:val="31"/>
    <w:link w:val="18"/>
    <w:locked/>
    <w:uiPriority w:val="99"/>
    <w:rPr>
      <w:rFonts w:ascii="Times New Roman" w:hAnsi="Times New Roman" w:cs="Times New Roman"/>
      <w:kern w:val="2"/>
      <w:sz w:val="16"/>
      <w:szCs w:val="16"/>
    </w:rPr>
  </w:style>
  <w:style w:type="character" w:customStyle="1" w:styleId="56">
    <w:name w:val="Body Text Indent Char"/>
    <w:basedOn w:val="31"/>
    <w:link w:val="19"/>
    <w:locked/>
    <w:uiPriority w:val="99"/>
    <w:rPr>
      <w:rFonts w:ascii="宋体" w:hAnsi="Times New Roman" w:cs="宋体"/>
      <w:kern w:val="2"/>
      <w:sz w:val="24"/>
      <w:szCs w:val="24"/>
    </w:rPr>
  </w:style>
  <w:style w:type="character" w:customStyle="1" w:styleId="57">
    <w:name w:val="Plain Text Char"/>
    <w:basedOn w:val="31"/>
    <w:link w:val="21"/>
    <w:locked/>
    <w:uiPriority w:val="99"/>
    <w:rPr>
      <w:rFonts w:ascii="宋体" w:hAnsi="Courier New" w:cs="宋体"/>
      <w:sz w:val="21"/>
      <w:szCs w:val="21"/>
    </w:rPr>
  </w:style>
  <w:style w:type="character" w:customStyle="1" w:styleId="58">
    <w:name w:val="Date Char"/>
    <w:basedOn w:val="31"/>
    <w:link w:val="22"/>
    <w:locked/>
    <w:uiPriority w:val="99"/>
    <w:rPr>
      <w:rFonts w:ascii="Times New Roman" w:hAnsi="Times New Roman" w:cs="Times New Roman"/>
      <w:kern w:val="2"/>
      <w:sz w:val="24"/>
      <w:szCs w:val="24"/>
    </w:rPr>
  </w:style>
  <w:style w:type="character" w:customStyle="1" w:styleId="59">
    <w:name w:val="Body Text Indent 2 Char"/>
    <w:basedOn w:val="31"/>
    <w:link w:val="23"/>
    <w:locked/>
    <w:uiPriority w:val="99"/>
    <w:rPr>
      <w:rFonts w:ascii="Times New Roman" w:hAnsi="Times New Roman" w:cs="Times New Roman"/>
      <w:kern w:val="2"/>
      <w:sz w:val="21"/>
      <w:szCs w:val="21"/>
    </w:rPr>
  </w:style>
  <w:style w:type="character" w:customStyle="1" w:styleId="60">
    <w:name w:val="Balloon Text Char"/>
    <w:basedOn w:val="31"/>
    <w:link w:val="24"/>
    <w:locked/>
    <w:uiPriority w:val="99"/>
    <w:rPr>
      <w:sz w:val="18"/>
      <w:szCs w:val="18"/>
    </w:rPr>
  </w:style>
  <w:style w:type="character" w:customStyle="1" w:styleId="61">
    <w:name w:val="Footer Char"/>
    <w:basedOn w:val="31"/>
    <w:link w:val="25"/>
    <w:locked/>
    <w:uiPriority w:val="99"/>
    <w:rPr>
      <w:sz w:val="18"/>
      <w:szCs w:val="18"/>
    </w:rPr>
  </w:style>
  <w:style w:type="character" w:customStyle="1" w:styleId="62">
    <w:name w:val="Header Char"/>
    <w:basedOn w:val="31"/>
    <w:link w:val="26"/>
    <w:locked/>
    <w:uiPriority w:val="99"/>
    <w:rPr>
      <w:sz w:val="18"/>
      <w:szCs w:val="18"/>
    </w:rPr>
  </w:style>
  <w:style w:type="character" w:customStyle="1" w:styleId="63">
    <w:name w:val="Body Text Indent 3 Char"/>
    <w:basedOn w:val="31"/>
    <w:link w:val="28"/>
    <w:locked/>
    <w:uiPriority w:val="99"/>
    <w:rPr>
      <w:rFonts w:ascii="Times New Roman" w:hAnsi="Times New Roman" w:cs="Times New Roman"/>
      <w:sz w:val="16"/>
      <w:szCs w:val="16"/>
    </w:rPr>
  </w:style>
  <w:style w:type="character" w:customStyle="1" w:styleId="64">
    <w:name w:val="Body Text 2 Char"/>
    <w:basedOn w:val="31"/>
    <w:link w:val="29"/>
    <w:locked/>
    <w:uiPriority w:val="99"/>
    <w:rPr>
      <w:rFonts w:ascii="Times New Roman" w:hAnsi="Times New Roman" w:cs="Times New Roman"/>
      <w:sz w:val="24"/>
      <w:szCs w:val="24"/>
    </w:rPr>
  </w:style>
  <w:style w:type="character" w:customStyle="1" w:styleId="65">
    <w:name w:val="red1"/>
    <w:uiPriority w:val="99"/>
    <w:rPr>
      <w:color w:val="FF0000"/>
      <w:sz w:val="18"/>
      <w:szCs w:val="18"/>
    </w:rPr>
  </w:style>
  <w:style w:type="character" w:customStyle="1" w:styleId="66">
    <w:name w:val="hover25"/>
    <w:basedOn w:val="31"/>
    <w:uiPriority w:val="99"/>
  </w:style>
  <w:style w:type="character" w:customStyle="1" w:styleId="67">
    <w:name w:val="页码1"/>
    <w:basedOn w:val="31"/>
    <w:uiPriority w:val="99"/>
  </w:style>
  <w:style w:type="character" w:customStyle="1" w:styleId="68">
    <w:name w:val="green1"/>
    <w:uiPriority w:val="99"/>
    <w:rPr>
      <w:color w:val="auto"/>
      <w:sz w:val="18"/>
      <w:szCs w:val="18"/>
    </w:rPr>
  </w:style>
  <w:style w:type="character" w:customStyle="1" w:styleId="69">
    <w:name w:val="right"/>
    <w:uiPriority w:val="99"/>
    <w:rPr>
      <w:color w:val="auto"/>
      <w:sz w:val="18"/>
      <w:szCs w:val="18"/>
    </w:rPr>
  </w:style>
  <w:style w:type="character" w:customStyle="1" w:styleId="70">
    <w:name w:val="green"/>
    <w:uiPriority w:val="99"/>
    <w:rPr>
      <w:color w:val="auto"/>
      <w:sz w:val="18"/>
      <w:szCs w:val="18"/>
    </w:rPr>
  </w:style>
  <w:style w:type="character" w:customStyle="1" w:styleId="71">
    <w:name w:val="lw_collapsiblearea_title1"/>
    <w:uiPriority w:val="99"/>
    <w:rPr>
      <w:rFonts w:ascii="Segoe UI" w:hAnsi="Segoe UI" w:cs="Segoe UI"/>
      <w:b/>
      <w:bCs/>
      <w:color w:val="auto"/>
      <w:sz w:val="37"/>
      <w:szCs w:val="37"/>
    </w:rPr>
  </w:style>
  <w:style w:type="character" w:customStyle="1" w:styleId="72">
    <w:name w:val="red2"/>
    <w:uiPriority w:val="99"/>
    <w:rPr>
      <w:color w:val="FF0000"/>
      <w:sz w:val="18"/>
      <w:szCs w:val="18"/>
    </w:rPr>
  </w:style>
  <w:style w:type="character" w:customStyle="1" w:styleId="73">
    <w:name w:val="parameter"/>
    <w:basedOn w:val="31"/>
    <w:uiPriority w:val="99"/>
  </w:style>
  <w:style w:type="character" w:customStyle="1" w:styleId="74">
    <w:name w:val="input"/>
    <w:uiPriority w:val="99"/>
    <w:rPr>
      <w:b/>
      <w:bCs/>
    </w:rPr>
  </w:style>
  <w:style w:type="character" w:customStyle="1" w:styleId="75">
    <w:name w:val="label"/>
    <w:uiPriority w:val="99"/>
    <w:rPr>
      <w:b/>
      <w:bCs/>
    </w:rPr>
  </w:style>
  <w:style w:type="character" w:customStyle="1" w:styleId="76">
    <w:name w:val="form-textarea-print1"/>
    <w:uiPriority w:val="99"/>
    <w:rPr>
      <w:sz w:val="18"/>
      <w:szCs w:val="18"/>
    </w:rPr>
  </w:style>
  <w:style w:type="character" w:customStyle="1" w:styleId="77">
    <w:name w:val="red"/>
    <w:qFormat/>
    <w:uiPriority w:val="99"/>
    <w:rPr>
      <w:color w:val="FF0000"/>
    </w:rPr>
  </w:style>
  <w:style w:type="character" w:customStyle="1" w:styleId="78">
    <w:name w:val="tgtsentence"/>
    <w:basedOn w:val="31"/>
    <w:qFormat/>
    <w:uiPriority w:val="99"/>
  </w:style>
  <w:style w:type="character" w:customStyle="1" w:styleId="79">
    <w:name w:val="font81"/>
    <w:basedOn w:val="31"/>
    <w:qFormat/>
    <w:uiPriority w:val="99"/>
    <w:rPr>
      <w:rFonts w:ascii="宋体" w:hAnsi="宋体" w:eastAsia="宋体" w:cs="宋体"/>
      <w:color w:val="000000"/>
      <w:sz w:val="18"/>
      <w:szCs w:val="18"/>
      <w:u w:val="none"/>
    </w:rPr>
  </w:style>
  <w:style w:type="character" w:customStyle="1" w:styleId="80">
    <w:name w:val="列出段落 Char"/>
    <w:link w:val="81"/>
    <w:qFormat/>
    <w:locked/>
    <w:uiPriority w:val="99"/>
    <w:rPr>
      <w:kern w:val="2"/>
      <w:sz w:val="21"/>
      <w:szCs w:val="21"/>
    </w:rPr>
  </w:style>
  <w:style w:type="paragraph" w:customStyle="1" w:styleId="81">
    <w:name w:val="列出段落1"/>
    <w:basedOn w:val="1"/>
    <w:link w:val="80"/>
    <w:qFormat/>
    <w:uiPriority w:val="99"/>
    <w:pPr>
      <w:ind w:firstLine="420" w:firstLineChars="200"/>
    </w:pPr>
    <w:rPr>
      <w:rFonts w:ascii="Calibri" w:hAnsi="Calibri" w:cs="Calibri"/>
    </w:rPr>
  </w:style>
  <w:style w:type="character" w:customStyle="1" w:styleId="82">
    <w:name w:val="gb-jt"/>
    <w:basedOn w:val="31"/>
    <w:qFormat/>
    <w:uiPriority w:val="99"/>
  </w:style>
  <w:style w:type="character" w:customStyle="1" w:styleId="83">
    <w:name w:val="blue"/>
    <w:qFormat/>
    <w:uiPriority w:val="99"/>
    <w:rPr>
      <w:color w:val="auto"/>
      <w:sz w:val="21"/>
      <w:szCs w:val="21"/>
    </w:rPr>
  </w:style>
  <w:style w:type="character" w:customStyle="1" w:styleId="84">
    <w:name w:val="hover"/>
    <w:basedOn w:val="31"/>
    <w:qFormat/>
    <w:uiPriority w:val="99"/>
  </w:style>
  <w:style w:type="character" w:customStyle="1" w:styleId="85">
    <w:name w:val="font11"/>
    <w:basedOn w:val="31"/>
    <w:qFormat/>
    <w:uiPriority w:val="99"/>
    <w:rPr>
      <w:rFonts w:ascii="宋体" w:hAnsi="宋体" w:eastAsia="宋体" w:cs="宋体"/>
      <w:color w:val="000000"/>
      <w:sz w:val="21"/>
      <w:szCs w:val="21"/>
      <w:u w:val="none"/>
    </w:rPr>
  </w:style>
  <w:style w:type="character" w:customStyle="1" w:styleId="86">
    <w:name w:val="font91"/>
    <w:basedOn w:val="31"/>
    <w:qFormat/>
    <w:uiPriority w:val="99"/>
    <w:rPr>
      <w:rFonts w:ascii="宋体" w:hAnsi="宋体" w:eastAsia="宋体" w:cs="宋体"/>
      <w:color w:val="000000"/>
      <w:sz w:val="18"/>
      <w:szCs w:val="18"/>
      <w:u w:val="none"/>
      <w:vertAlign w:val="superscript"/>
    </w:rPr>
  </w:style>
  <w:style w:type="character" w:customStyle="1" w:styleId="87">
    <w:name w:val="Char Char8"/>
    <w:qFormat/>
    <w:uiPriority w:val="99"/>
    <w:rPr>
      <w:rFonts w:ascii="Arial" w:hAnsi="Arial" w:eastAsia="黑体" w:cs="Arial"/>
      <w:b/>
      <w:bCs/>
      <w:kern w:val="2"/>
      <w:sz w:val="32"/>
      <w:szCs w:val="32"/>
      <w:lang w:val="en-US" w:eastAsia="zh-CN"/>
    </w:rPr>
  </w:style>
  <w:style w:type="character" w:customStyle="1" w:styleId="88">
    <w:name w:val="font01"/>
    <w:basedOn w:val="31"/>
    <w:qFormat/>
    <w:uiPriority w:val="99"/>
    <w:rPr>
      <w:rFonts w:ascii="宋体" w:hAnsi="宋体" w:eastAsia="宋体" w:cs="宋体"/>
      <w:color w:val="000000"/>
      <w:sz w:val="21"/>
      <w:szCs w:val="21"/>
      <w:u w:val="none"/>
      <w:vertAlign w:val="superscript"/>
    </w:rPr>
  </w:style>
  <w:style w:type="character" w:customStyle="1" w:styleId="89">
    <w:name w:val="code"/>
    <w:basedOn w:val="31"/>
    <w:qFormat/>
    <w:uiPriority w:val="99"/>
  </w:style>
  <w:style w:type="paragraph" w:customStyle="1" w:styleId="90">
    <w:name w:val="样式 标题 2 + 宋体 五号 非加粗 黑色"/>
    <w:basedOn w:val="4"/>
    <w:qFormat/>
    <w:uiPriority w:val="99"/>
    <w:rPr>
      <w:rFonts w:ascii="宋体" w:hAnsi="宋体" w:eastAsia="宋体" w:cs="宋体"/>
      <w:b w:val="0"/>
      <w:bCs w:val="0"/>
      <w:color w:val="000000"/>
      <w:sz w:val="21"/>
      <w:szCs w:val="21"/>
    </w:rPr>
  </w:style>
  <w:style w:type="paragraph" w:customStyle="1" w:styleId="91">
    <w:name w:val="Normal_22"/>
    <w:qFormat/>
    <w:uiPriority w:val="99"/>
    <w:pPr>
      <w:spacing w:before="120" w:after="240"/>
      <w:jc w:val="both"/>
    </w:pPr>
    <w:rPr>
      <w:rFonts w:ascii="Times New Roman" w:hAnsi="Times New Roman" w:eastAsia="宋体" w:cs="Times New Roman"/>
      <w:kern w:val="0"/>
      <w:sz w:val="22"/>
      <w:szCs w:val="22"/>
      <w:lang w:val="en-US" w:eastAsia="en-US" w:bidi="ar-SA"/>
    </w:rPr>
  </w:style>
  <w:style w:type="paragraph" w:customStyle="1" w:styleId="92">
    <w:name w:val="样式1"/>
    <w:basedOn w:val="1"/>
    <w:qFormat/>
    <w:uiPriority w:val="99"/>
    <w:pPr>
      <w:numPr>
        <w:ilvl w:val="0"/>
        <w:numId w:val="1"/>
      </w:numPr>
      <w:adjustRightInd w:val="0"/>
      <w:textAlignment w:val="baseline"/>
    </w:pPr>
    <w:rPr>
      <w:rFonts w:ascii="宋体" w:hAnsi="宋体" w:cs="宋体"/>
      <w:kern w:val="0"/>
    </w:rPr>
  </w:style>
  <w:style w:type="paragraph" w:customStyle="1" w:styleId="93">
    <w:name w:val="标题 51"/>
    <w:basedOn w:val="1"/>
    <w:next w:val="1"/>
    <w:qFormat/>
    <w:uiPriority w:val="99"/>
    <w:pPr>
      <w:keepNext/>
      <w:keepLines/>
      <w:numPr>
        <w:ilvl w:val="4"/>
        <w:numId w:val="2"/>
      </w:numPr>
      <w:spacing w:before="280" w:after="290" w:line="376" w:lineRule="auto"/>
      <w:outlineLvl w:val="4"/>
    </w:pPr>
    <w:rPr>
      <w:rFonts w:eastAsia="黑体"/>
      <w:b/>
      <w:bCs/>
      <w:sz w:val="28"/>
      <w:szCs w:val="28"/>
    </w:rPr>
  </w:style>
  <w:style w:type="paragraph" w:customStyle="1" w:styleId="94">
    <w:name w:val="Char Char Char Char"/>
    <w:basedOn w:val="1"/>
    <w:qFormat/>
    <w:uiPriority w:val="99"/>
    <w:rPr>
      <w:rFonts w:ascii="Tahoma" w:hAnsi="Tahoma" w:cs="Tahoma"/>
      <w:sz w:val="24"/>
      <w:szCs w:val="24"/>
    </w:rPr>
  </w:style>
  <w:style w:type="paragraph" w:customStyle="1" w:styleId="95">
    <w:name w:val="标题 61"/>
    <w:basedOn w:val="1"/>
    <w:next w:val="1"/>
    <w:qFormat/>
    <w:uiPriority w:val="99"/>
    <w:pPr>
      <w:keepNext/>
      <w:keepLines/>
      <w:numPr>
        <w:ilvl w:val="5"/>
        <w:numId w:val="2"/>
      </w:numPr>
      <w:spacing w:line="360" w:lineRule="auto"/>
      <w:outlineLvl w:val="5"/>
    </w:pPr>
    <w:rPr>
      <w:rFonts w:ascii="Arial" w:hAnsi="Arial" w:eastAsia="黑体" w:cs="Arial"/>
      <w:sz w:val="28"/>
      <w:szCs w:val="28"/>
    </w:rPr>
  </w:style>
  <w:style w:type="paragraph" w:customStyle="1" w:styleId="96">
    <w:name w:val="Char1 Char Char Char Char Char Char Char"/>
    <w:basedOn w:val="1"/>
    <w:qFormat/>
    <w:uiPriority w:val="99"/>
    <w:rPr>
      <w:rFonts w:ascii="Tahoma" w:hAnsi="Tahoma" w:cs="Tahoma"/>
      <w:sz w:val="24"/>
      <w:szCs w:val="24"/>
    </w:rPr>
  </w:style>
  <w:style w:type="paragraph" w:customStyle="1" w:styleId="97">
    <w:name w:val="PMstyle"/>
    <w:qFormat/>
    <w:uiPriority w:val="99"/>
    <w:rPr>
      <w:rFonts w:ascii="Tahoma" w:hAnsi="Tahoma" w:eastAsia="宋体" w:cs="Tahoma"/>
      <w:kern w:val="0"/>
      <w:sz w:val="22"/>
      <w:szCs w:val="22"/>
      <w:lang w:val="en-US" w:eastAsia="zh-CN" w:bidi="ar-SA"/>
    </w:rPr>
  </w:style>
  <w:style w:type="paragraph" w:customStyle="1" w:styleId="98">
    <w:name w:val="标题 31"/>
    <w:basedOn w:val="1"/>
    <w:next w:val="1"/>
    <w:qFormat/>
    <w:uiPriority w:val="99"/>
    <w:pPr>
      <w:keepNext/>
      <w:keepLines/>
      <w:numPr>
        <w:ilvl w:val="2"/>
        <w:numId w:val="2"/>
      </w:numPr>
      <w:spacing w:beforeLines="50" w:afterLines="50"/>
      <w:ind w:right="100" w:rightChars="100"/>
      <w:outlineLvl w:val="2"/>
    </w:pPr>
    <w:rPr>
      <w:rFonts w:ascii="楷体_GB2312" w:hAnsi="Arial" w:eastAsia="黑体" w:cs="楷体_GB2312"/>
      <w:sz w:val="32"/>
      <w:szCs w:val="32"/>
    </w:rPr>
  </w:style>
  <w:style w:type="paragraph" w:customStyle="1" w:styleId="99">
    <w:name w:val="p18"/>
    <w:basedOn w:val="1"/>
    <w:qFormat/>
    <w:uiPriority w:val="99"/>
    <w:pPr>
      <w:widowControl/>
      <w:spacing w:line="440" w:lineRule="atLeast"/>
    </w:pPr>
    <w:rPr>
      <w:rFonts w:ascii="宋体" w:hAnsi="宋体" w:cs="宋体"/>
      <w:kern w:val="0"/>
      <w:sz w:val="24"/>
      <w:szCs w:val="24"/>
    </w:rPr>
  </w:style>
  <w:style w:type="paragraph" w:customStyle="1" w:styleId="100">
    <w:name w:val="标题 11"/>
    <w:basedOn w:val="1"/>
    <w:next w:val="1"/>
    <w:qFormat/>
    <w:uiPriority w:val="99"/>
    <w:pPr>
      <w:keepNext/>
      <w:keepLines/>
      <w:numPr>
        <w:ilvl w:val="0"/>
        <w:numId w:val="2"/>
      </w:numPr>
      <w:spacing w:beforeLines="50" w:afterLines="50"/>
      <w:outlineLvl w:val="0"/>
    </w:pPr>
    <w:rPr>
      <w:rFonts w:ascii="黑体" w:hAnsi="Arial" w:eastAsia="黑体" w:cs="黑体"/>
      <w:kern w:val="44"/>
      <w:sz w:val="44"/>
      <w:szCs w:val="44"/>
    </w:rPr>
  </w:style>
  <w:style w:type="paragraph" w:customStyle="1" w:styleId="101">
    <w:name w:val="Char Char1 Char Char Char Char Char Char"/>
    <w:basedOn w:val="1"/>
    <w:qFormat/>
    <w:uiPriority w:val="99"/>
    <w:pPr>
      <w:widowControl/>
      <w:spacing w:after="160" w:line="240" w:lineRule="exact"/>
      <w:jc w:val="left"/>
    </w:pPr>
  </w:style>
  <w:style w:type="paragraph" w:customStyle="1" w:styleId="102">
    <w:name w:val="Char Char1 Char Char Char Char Char Char1"/>
    <w:basedOn w:val="1"/>
    <w:qFormat/>
    <w:uiPriority w:val="99"/>
    <w:pPr>
      <w:widowControl/>
      <w:spacing w:after="160" w:line="240" w:lineRule="exact"/>
      <w:jc w:val="left"/>
    </w:pPr>
  </w:style>
  <w:style w:type="paragraph" w:customStyle="1" w:styleId="103">
    <w:name w:val="标题 91"/>
    <w:basedOn w:val="1"/>
    <w:next w:val="1"/>
    <w:qFormat/>
    <w:uiPriority w:val="99"/>
    <w:pPr>
      <w:keepNext/>
      <w:keepLines/>
      <w:numPr>
        <w:ilvl w:val="8"/>
        <w:numId w:val="2"/>
      </w:numPr>
      <w:spacing w:before="240" w:after="64" w:line="320" w:lineRule="auto"/>
      <w:outlineLvl w:val="8"/>
    </w:pPr>
    <w:rPr>
      <w:rFonts w:ascii="Arial" w:hAnsi="Arial" w:eastAsia="黑体" w:cs="Arial"/>
    </w:rPr>
  </w:style>
  <w:style w:type="paragraph" w:customStyle="1" w:styleId="104">
    <w:name w:val="标书正文文本"/>
    <w:basedOn w:val="1"/>
    <w:qFormat/>
    <w:uiPriority w:val="99"/>
    <w:pPr>
      <w:spacing w:line="360" w:lineRule="auto"/>
      <w:ind w:firstLine="420"/>
    </w:pPr>
    <w:rPr>
      <w:rFonts w:eastAsia="楷体_GB2312"/>
      <w:sz w:val="28"/>
      <w:szCs w:val="28"/>
    </w:rPr>
  </w:style>
  <w:style w:type="paragraph" w:customStyle="1" w:styleId="105">
    <w:name w:val="p17"/>
    <w:basedOn w:val="1"/>
    <w:qFormat/>
    <w:uiPriority w:val="99"/>
    <w:pPr>
      <w:widowControl/>
      <w:ind w:left="720" w:right="25"/>
      <w:jc w:val="left"/>
    </w:pPr>
    <w:rPr>
      <w:rFonts w:ascii="仿宋_GB2312" w:hAnsi="宋体" w:eastAsia="仿宋_GB2312" w:cs="仿宋_GB2312"/>
      <w:kern w:val="0"/>
      <w:sz w:val="36"/>
      <w:szCs w:val="36"/>
    </w:rPr>
  </w:style>
  <w:style w:type="paragraph" w:customStyle="1" w:styleId="106">
    <w:name w:val="标题 71"/>
    <w:basedOn w:val="1"/>
    <w:next w:val="1"/>
    <w:qFormat/>
    <w:uiPriority w:val="99"/>
    <w:pPr>
      <w:keepNext/>
      <w:keepLines/>
      <w:numPr>
        <w:ilvl w:val="6"/>
        <w:numId w:val="2"/>
      </w:numPr>
      <w:spacing w:before="240" w:after="64" w:line="320" w:lineRule="auto"/>
      <w:outlineLvl w:val="6"/>
    </w:pPr>
    <w:rPr>
      <w:rFonts w:eastAsia="黑体"/>
      <w:b/>
      <w:bCs/>
      <w:sz w:val="28"/>
      <w:szCs w:val="28"/>
    </w:rPr>
  </w:style>
  <w:style w:type="paragraph" w:customStyle="1" w:styleId="107">
    <w:name w:val="p0"/>
    <w:basedOn w:val="1"/>
    <w:qFormat/>
    <w:uiPriority w:val="99"/>
    <w:pPr>
      <w:widowControl/>
    </w:pPr>
    <w:rPr>
      <w:kern w:val="0"/>
    </w:rPr>
  </w:style>
  <w:style w:type="paragraph" w:customStyle="1" w:styleId="108">
    <w:name w:val="p16"/>
    <w:basedOn w:val="1"/>
    <w:qFormat/>
    <w:uiPriority w:val="99"/>
    <w:pPr>
      <w:widowControl/>
      <w:spacing w:after="120"/>
      <w:ind w:firstLine="210"/>
      <w:jc w:val="left"/>
    </w:pPr>
    <w:rPr>
      <w:kern w:val="0"/>
      <w:sz w:val="20"/>
      <w:szCs w:val="20"/>
    </w:rPr>
  </w:style>
  <w:style w:type="paragraph" w:customStyle="1" w:styleId="109">
    <w:name w:val="p21"/>
    <w:basedOn w:val="1"/>
    <w:qFormat/>
    <w:uiPriority w:val="99"/>
    <w:pPr>
      <w:widowControl/>
      <w:spacing w:after="120"/>
    </w:pPr>
    <w:rPr>
      <w:kern w:val="0"/>
    </w:rPr>
  </w:style>
  <w:style w:type="paragraph" w:customStyle="1" w:styleId="110">
    <w:name w:val="样式 标题 1 + 四号 居中 段前: 12 磅 段后: 12 磅 行距: 单倍行距"/>
    <w:basedOn w:val="3"/>
    <w:qFormat/>
    <w:uiPriority w:val="99"/>
    <w:pPr>
      <w:tabs>
        <w:tab w:val="left" w:pos="735"/>
      </w:tabs>
      <w:adjustRightInd w:val="0"/>
      <w:spacing w:before="240" w:after="240" w:line="240" w:lineRule="auto"/>
      <w:ind w:left="735" w:hanging="735"/>
      <w:jc w:val="center"/>
      <w:textAlignment w:val="baseline"/>
    </w:pPr>
    <w:rPr>
      <w:sz w:val="28"/>
      <w:szCs w:val="28"/>
    </w:rPr>
  </w:style>
  <w:style w:type="paragraph" w:customStyle="1" w:styleId="111">
    <w:name w:val="样式 样式 标题 2 + 宋体 五号 非加粗 黑色 + 段前: 6 磅 段后: 0 磅 行距: 单倍行距"/>
    <w:basedOn w:val="90"/>
    <w:qFormat/>
    <w:uiPriority w:val="99"/>
  </w:style>
  <w:style w:type="paragraph" w:customStyle="1" w:styleId="112">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113">
    <w:name w:val="p19"/>
    <w:basedOn w:val="1"/>
    <w:qFormat/>
    <w:uiPriority w:val="99"/>
    <w:pPr>
      <w:widowControl/>
    </w:pPr>
    <w:rPr>
      <w:rFonts w:ascii="宋体" w:hAnsi="宋体" w:cs="宋体"/>
      <w:kern w:val="0"/>
    </w:rPr>
  </w:style>
  <w:style w:type="paragraph" w:customStyle="1" w:styleId="114">
    <w:name w:val="标题 81"/>
    <w:basedOn w:val="1"/>
    <w:next w:val="1"/>
    <w:qFormat/>
    <w:uiPriority w:val="99"/>
    <w:pPr>
      <w:keepNext/>
      <w:keepLines/>
      <w:numPr>
        <w:ilvl w:val="7"/>
        <w:numId w:val="2"/>
      </w:numPr>
      <w:spacing w:before="240" w:after="64" w:line="320" w:lineRule="auto"/>
      <w:outlineLvl w:val="7"/>
    </w:pPr>
    <w:rPr>
      <w:rFonts w:ascii="Arial" w:hAnsi="Arial" w:eastAsia="黑体" w:cs="Arial"/>
      <w:sz w:val="28"/>
      <w:szCs w:val="28"/>
    </w:rPr>
  </w:style>
  <w:style w:type="paragraph" w:customStyle="1" w:styleId="115">
    <w:name w:val="Char1"/>
    <w:basedOn w:val="1"/>
    <w:qFormat/>
    <w:uiPriority w:val="99"/>
    <w:pPr>
      <w:adjustRightInd w:val="0"/>
      <w:spacing w:line="600" w:lineRule="exact"/>
      <w:ind w:firstLine="560" w:firstLineChars="200"/>
      <w:jc w:val="center"/>
    </w:pPr>
  </w:style>
  <w:style w:type="paragraph" w:customStyle="1" w:styleId="116">
    <w:name w:val="标题 21"/>
    <w:basedOn w:val="1"/>
    <w:next w:val="1"/>
    <w:qFormat/>
    <w:uiPriority w:val="99"/>
    <w:pPr>
      <w:keepNext/>
      <w:keepLines/>
      <w:numPr>
        <w:ilvl w:val="1"/>
        <w:numId w:val="2"/>
      </w:numPr>
      <w:spacing w:beforeLines="50" w:afterLines="50"/>
      <w:outlineLvl w:val="1"/>
    </w:pPr>
    <w:rPr>
      <w:rFonts w:ascii="Cambria" w:hAnsi="Cambria" w:eastAsia="黑体" w:cs="Cambria"/>
      <w:sz w:val="36"/>
      <w:szCs w:val="36"/>
    </w:rPr>
  </w:style>
  <w:style w:type="paragraph" w:customStyle="1" w:styleId="117">
    <w:name w:val="普通(网站)1"/>
    <w:basedOn w:val="1"/>
    <w:qFormat/>
    <w:uiPriority w:val="99"/>
    <w:pPr>
      <w:jc w:val="left"/>
    </w:pPr>
    <w:rPr>
      <w:kern w:val="0"/>
      <w:sz w:val="24"/>
      <w:szCs w:val="24"/>
    </w:rPr>
  </w:style>
  <w:style w:type="paragraph" w:customStyle="1" w:styleId="118">
    <w:name w:val="Table Paragraph"/>
    <w:basedOn w:val="1"/>
    <w:qFormat/>
    <w:uiPriority w:val="99"/>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Info spid="_x0000_s205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35</Pages>
  <Words>3132</Words>
  <Characters>17854</Characters>
  <Lines>0</Lines>
  <Paragraphs>0</Paragraphs>
  <TotalTime>3</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2018-07-12T03:06:00Z</dcterms:created>
  <dc:creator>USER</dc:creator>
  <cp:lastModifiedBy>IceMint</cp:lastModifiedBy>
  <cp:lastPrinted>2018-11-29T07:04:00Z</cp:lastPrinted>
  <dcterms:modified xsi:type="dcterms:W3CDTF">2018-11-30T09:58:00Z</dcterms:modified>
  <dc:title>许昌市市直政府采购项目</dc:title>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