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  <w:sz w:val="32"/>
        </w:rPr>
        <w:t xml:space="preserve"> 第七部分 采购项目技术要求</w:t>
      </w:r>
    </w:p>
    <w:tbl>
      <w:tblPr>
        <w:tblStyle w:val="6"/>
        <w:tblW w:w="13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30"/>
        <w:gridCol w:w="11116"/>
        <w:gridCol w:w="633"/>
        <w:gridCol w:w="7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1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技术要求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3" w:hRule="atLeast"/>
        </w:trPr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网络摄像机</w:t>
            </w:r>
          </w:p>
        </w:tc>
        <w:tc>
          <w:tcPr>
            <w:tcW w:w="1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具有500万像素CMOS传感器。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需具有20路取流路数能力，以满足更多用户同时在线访问摄像机视频。（公安部型式检验报告证明）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最低照度彩色：0.001lx，黑白:0.0001lx，灰度等级不小于11级。（公安部型式检验报告证明）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红外补光距离不小于40米。（公安部型式检验报告证明）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需支持三码流技术，主码流最高2560x1920@30fps，第三码流最大1920x1080@30fps，子码流704x576@30fps。（公安部型式检验报告证明）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在2560x1920@30fps下，清晰度不小于1900TVL。（公安部型式检验报告证明）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支持H.264、H.265、MJPEG视频编码格式，且具有HighProfile编码能力。（公安部型式检验报告证明）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信噪比不小于55dB。（公安部型式检验报告证明）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需支持8行字符显示，字体颜色可设置，需具有图片叠加到视频画面功能。（公安部型式检验报告证明）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需具备人脸检测、区域入侵检测、越界检测、虚焦检测、进入区域、离开区域、徘徊、人员聚集、逆行、场景变更、虚焦侦测、音频异常等功能。（公安部型式检验报告证明）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需支持智能后检索功能。（公安部型式检验报告证明）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同一静止场景相同图像质量下，设备在H.265编码方式时，开启智能编码功能和不开启智能编码相比，码率节约1/2。（公安部型式检验报告证明）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摄像机能够在-30~60摄氏度，湿度小于93%环境下稳定工作。（公安部型式检验报告证明）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不低于IP67防尘防水等级。（公安部型式检验报告证明）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需支持DC12V供电，且在不小于DC12V±30%范围内变化时可以正常工作。（公安部型式检验报告证明）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设备工作状态时，支持空气放电8kV，接触放电6kV，并支持6kV峰值电压。（公安部型式检验报告证明）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设备与客户端之间用100米网线进行传输，数据包丢包率小于0.1%。（公安部型式检验报告证明）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在丢包率设置为5%的网络环境下，可正常显示监视画面。（公安部型式检验报告证明）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网络摄像机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具有400万像素CMOS传感器。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最大分辨率2560x1440。（公安部型式检验报告证明）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需具有20路取流路数能力，以满足更多用户同时在线访问摄像机视频。（公安部型式检验报告证明）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最低照度彩色：0.0008lx，黑白：0.0001lx，灰度等级不小于11级。（公安部型式检验报告证明）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红外补光距离不小于85米。（公安部型式检验报告证明）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需支持三码流技术，可同时输出三路码流，主码流最高2560x1440@30fps，第三码流最大2560x1440@30fps，子码流704x576@30fps。（公安部型式检验报告证明）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在2560x1440@25fps下，清晰度不小于1400TVL。（公安部型式检验报告证明）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支持H.264、H.265、MJPEG视频编码格式，且具有HighProfile编码能力。（公安部型式检验报告证明）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信噪比不小于55dB。（公安部型式检验报告证明）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不低于IP67防尘防水等级。（公安部型式检验报告证明）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需支持DC12V供电，且在不小于DC12V±30%范围内变化时可以正常工作。（公安部型式检验报告证明）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设备工作状态时，支持空气放电8kV，接触放电6kV，通讯端口支持6kV峰值电压。（公安部型式检验报告证明）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同一静止场景相同图像质量下，设备在H.265编码方式时，开启智能编码功能和不开启智能编码相比，码率节约1/2。（公安部型式检验报告证明）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网络摄像机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具有400万像素CMOS传感器。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最大分辨率2560x1440。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需具有20路取流路数能力，以满足更多用户同时在线访问摄像机视频。（公安部型式检验报告证明）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最低照度彩色：0.001lx(AGC开，RJ45输出)，黑白:0.0001lx(AGC开，RJ45输出)，灰度等级不小于11级。（公安部型式检验报告证明）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红外补光距离不小于50米。（公安部型式检验报告证明）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需支持三码流技术，可同时输出三路码流，主码流最高2560x1440@30fps，第三码流最大2560x1440@30fps，子码流704x576@30fps。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在2560x1440@25fps下，清晰度不小于1400TVL。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支持H.264、H.265、MJPEG视频编码格式，且具有HighProfile编码能力。（公安部型式检验报告证明）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信噪比不小于55dB。（公安部型式检验报告证明）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需支持8行字符显示，字体颜色可设置，需具有图片叠加到视频画面功能。（公安部型式检验报告证明）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需具有黑白名单功能，其中白名单可添加不小于10个IP地址。（公安部型式检验报告证明）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需具备人脸抓拍、区域入侵检测、越界检测、虚焦检测、进入区域、离开区域、徘徊、人员聚集、逆行、场景变更等功能。（公安部型式检验报告证明）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需支持智能后检索功能。（公安部型式检验报告证明）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摄像机能够在-30~60摄氏度，湿度小于93%环境下稳定工作。（公安部型式检验报告证明）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设备与客户端之间用100米网线进行传输，数据包丢包率小于0.1%。（公安部型式检验报告证明）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不低于IP67防尘防水等级。（公安部型式检验报告证明）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需具有1个RJ-4510M/100M自适应网络接口。（公安部型式检验报告证明）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需支持DC12V供电，且在不小于DC12V±30%范围内变化时可以正常工作。（公安部型式检验报告证明）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同一静止场景相同图像质量下，设备在H.265编码方式时，开启智能编码功能和不开启智能编码相比，码率节约1/2。（公安部型式检验报告证明）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设备工作状态时，支持空气放电8kV，接触放电6kV，通讯端口支持6kV峰值电压。（公安部型式检验报告证明）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硬盘录像机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支持报警输入触发一键撤防功能，撤防的报警类型可选（弹出报警画面、声音警告、上传中心、发送邮件、触发报警输出）（以公安部检测报告为准）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支持密码安全,密码错误次数超过7次，锁定账号；设备密码定期提示修改、删除；支持密码复杂度等级显示；设备密码不允许明文显示和拷贝操作（以公安部检测报告为准）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支持激活和重置，出厂设备需要激活；管理员密码重置需要安全码验证，支持通过安全问题恢复密码（以公安部检测报告为准）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支持实时查看设备状态，包括CPU使用率、内存使用率、CPU温度、机箱温度、风扇转速等（以公安部检测报告为准）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支持对任一录像文件打标签，单个文件最大支持1024个标签，设备可添加的标签个数不少于8192（以公安部检测报告为准）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可接入支持ONVIF协议、RTSP协议、GB/T28181协议的设备，可通过私有协议方式接入第三方摄像机，可一键激活并添加局域网内IPC；可通过onvif接入H.265编码相机（以公安部检测报告为准）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支持多屏输出，支持2屏显示输出图像，其中HDMI和VGA接口可同源或异源输出视频图像，并可分别控制进行预览、回放、配置等操作；支持36/32/25/16/9/8/6/4/1分屏预览，可自定义画面分屏（以公安部检测报告为准）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支持1路H.265编码、25fps、6912×2800格式的视频实时预览（以公安部检测报告为准）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支持录像打包时间1-300分钟可设置（以公安部检测报告为准）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支持1/8、1/4、1/2、1、2、4、8、16、32、64、128、256等倍速回放录像，支持录像回放的剪辑和回放截图功能（以公安部检测报告为准）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支持弹幕显示，录像回放时，当播放至有录像标签时间点时，可在画面上自动叠加显示标签内容（以公安部检测报告为准）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可支持最大接入总带宽640Mbps的32路H.265编码、1080p格式的视频图像（以公安部检测报告为准）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可接入H.265、H.264、MPEG4、smart265、smart264视频编码格式的IPC（以公安部检测报告为准）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对重要的数据能够进行备份，可按移动侦测、外部输入报警、智能侦测等事件类型进行数据备份，将录像文件或者图片保存至USB设备（U盘、移动硬盘）、eSATA盘、DVD刻录机等存储设备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浓缩播放功能，录像回放中，移动侦测、外部输入报警、智能侦测等类型的重要录像，视频默认按正常速度播放，其他普通录像视频自动按高倍速播放，并支持自定义设置普通录像和重要录像的播放速度，支持跳过普通录像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支持即时存储和回放功能，可回放设备断电、断网前一秒的录像（以公安部检测报告为准）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支持将选中通道24小时内的录像文件按时间平均分配至多个窗口进行分时回放，窗口数量可配置，最大16分屏（以公安部检测报告为准）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支持通过客户端软件预览或远程回放图像时，可重新编码一路与主码流不同分辨率、帧率、码率的图像（以公安部检测报告为准）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支持2个以太网口，可将2个网口设置不同网段的IP地址，分别接入不同网段IP地址的IPC（以公安部检测报告为准）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可设置定时抓图、移动侦测抓图、报警抓图、移动侦测且报警抓图、智能侦测抓图、手动抓图，可进行32路抓拍并存储1080P格式的图片（以公安部检测报告为准）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支持对任一录像文件加锁、解锁，只有解锁后才可被覆盖（以公安部检测报告为准）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支持系统备份功能，检测到一个系统异常时，可从另一个系统启动，并恢复异常系统（以公安部检测报告为准）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支持8个SATA接口，至少支持2个USB2.0，1个USB3.0接口；支持16路报警输入，4路报警输出接口（以公安部检测报告为准）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监控专用硬盘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10T，录像存储时间90天以上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监控专用电源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12V/2A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网络交换机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16个10/100/1000M自适应以太网交换机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网络交换机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8个10/100/1001M自适应以太网交换机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防水箱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设备防水防潮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液晶显示器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58寸液晶显示器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16防区报警主机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含键盘，内置电源、录音模块、无线接收模块CONTACT.ID、ADEMCO4+2通讯协议；接警中心、电话、本地警号三重报警；布防、周界布防、单防区布防、延时布防、远程布防五种布防设置；密码键盘撒防、无线遥控撒防、远程撒防、接警撒防四种撒防方式；2组6位用户密码，6位设置密码均可自行设置；可拨打4组电话号码1组中心号码，录音、监听、远程控制、防区类型、电话线检测及相关参数通过键盘按需要设置； 220VDC供电，可接监听头、12V7AH蓄电池，最多可接4个键盘。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智能红外双鉴探测器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红外、微波双技术探测器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玻璃破碎探测器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声音、脉冲两种探测方式，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玻璃窗户破碎触发报警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红外光栅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周界报警，8光束30米主动红外探测器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声光警号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12VDC，警声&gt;95db，强光闪亮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指纹门禁主机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指纹+刷卡+密码三种开锁方式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UPS后备电源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3Kva主机，12V/100AH电池16节，支持断电8小时以上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超五类双绞线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HSYV-5E 4*2*0.5，国标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报警线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RVV4*0.2，国标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800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电源线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RVV2*1.5，国标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其他要求</w:t>
            </w:r>
          </w:p>
        </w:tc>
        <w:tc>
          <w:tcPr>
            <w:tcW w:w="1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投标人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须具有河南省公安厅颁发的安防资质贰级及以上证书。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2.售后服务要求：质保期两年。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3.本项目没有现场图纸，投标人需进行现场勘查，并自行打印现场勘察表，现场了解各个监控点及报警点施工位置，并由甲方签字盖章确认。</w:t>
            </w:r>
          </w:p>
          <w:p>
            <w:pPr>
              <w:widowControl/>
              <w:ind w:firstLine="480" w:firstLineChars="200"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教14号楼1-3层走廊及出入口要求无死角，4层西侧3间文物室及西侧走廊出入口无死角，文物室要求监控报警及指纹门禁全面防护。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r>
        <w:rPr>
          <w:rFonts w:hint="eastAsia" w:ascii="宋体" w:hAnsi="宋体" w:cs="宋体"/>
          <w:b/>
          <w:bCs/>
          <w:color w:val="auto"/>
          <w:sz w:val="24"/>
        </w:rPr>
        <w:t>注：</w:t>
      </w:r>
      <w:r>
        <w:rPr>
          <w:rFonts w:hint="eastAsia" w:ascii="宋体" w:hAnsi="宋体"/>
          <w:b/>
          <w:bCs/>
          <w:color w:val="auto"/>
          <w:sz w:val="24"/>
          <w:szCs w:val="22"/>
        </w:rPr>
        <w:t>谈判文件中要求的所有的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t>★</w:t>
      </w:r>
      <w:r>
        <w:rPr>
          <w:rFonts w:hint="eastAsia" w:ascii="宋体" w:hAnsi="宋体"/>
          <w:b/>
          <w:bCs/>
          <w:color w:val="auto"/>
          <w:sz w:val="24"/>
          <w:szCs w:val="22"/>
        </w:rPr>
        <w:t>号项技术参数条款不允许有负偏差，否</w:t>
      </w:r>
      <w:bookmarkStart w:id="0" w:name="_GoBack"/>
      <w:bookmarkEnd w:id="0"/>
      <w:r>
        <w:rPr>
          <w:rFonts w:hint="eastAsia" w:ascii="宋体" w:hAnsi="宋体"/>
          <w:b/>
          <w:bCs/>
          <w:color w:val="auto"/>
          <w:sz w:val="24"/>
          <w:szCs w:val="22"/>
        </w:rPr>
        <w:t>则其响应将被视为无效响应。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楷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42112"/>
    <w:rsid w:val="0FC64674"/>
    <w:rsid w:val="1E642112"/>
    <w:rsid w:val="1EAB69C2"/>
    <w:rsid w:val="1F0E759A"/>
    <w:rsid w:val="33FE34FA"/>
    <w:rsid w:val="5C810CBF"/>
    <w:rsid w:val="651C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1"/>
    <w:qFormat/>
    <w:uiPriority w:val="0"/>
    <w:pPr>
      <w:spacing w:line="460" w:lineRule="exact"/>
    </w:pPr>
    <w:rPr>
      <w:rFonts w:ascii="汉鼎简楷体" w:hAnsi="宋体" w:eastAsia="汉鼎简楷体"/>
      <w:b/>
      <w:bCs/>
      <w:spacing w:val="4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2019-09-24T09:07:00Z</dcterms:created>
  <dc:creator>Administrator</dc:creator>
  <cp:lastModifiedBy>同类</cp:lastModifiedBy>
  <cp:lastPrinted>2019-09-25T07:07:00Z</cp:lastPrinted>
  <dcterms:modified xsi:type="dcterms:W3CDTF">2019-09-25T07:24:47Z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