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kinsoku w:val="0"/>
        <w:overflowPunct w:val="0"/>
        <w:ind w:left="0"/>
        <w:rPr>
          <w:rFonts w:hint="default" w:ascii="Times New Roman" w:hAnsi="Times New Roman" w:eastAsia="Times New Roman"/>
          <w:sz w:val="20"/>
        </w:rPr>
      </w:pPr>
    </w:p>
    <w:p>
      <w:pPr>
        <w:jc w:val="center"/>
        <w:rPr>
          <w:rFonts w:ascii="宋体" w:hAnsi="宋体"/>
          <w:b/>
          <w:color w:val="000000"/>
          <w:sz w:val="44"/>
          <w:szCs w:val="44"/>
        </w:rPr>
      </w:pPr>
      <w:r>
        <w:rPr>
          <w:rFonts w:hint="eastAsia"/>
          <w:b/>
          <w:sz w:val="44"/>
          <w:szCs w:val="44"/>
        </w:rPr>
        <w:t>邓州市环卫专用车辆采购项目</w:t>
      </w:r>
    </w:p>
    <w:p>
      <w:pPr>
        <w:jc w:val="center"/>
        <w:rPr>
          <w:rFonts w:ascii="宋体" w:hAnsi="宋体"/>
          <w:b/>
          <w:color w:val="000000"/>
          <w:sz w:val="44"/>
          <w:szCs w:val="44"/>
        </w:rPr>
      </w:pPr>
    </w:p>
    <w:p/>
    <w:p>
      <w:pPr>
        <w:pStyle w:val="25"/>
        <w:rPr>
          <w:rFonts w:hint="default"/>
        </w:rPr>
      </w:pPr>
    </w:p>
    <w:p/>
    <w:p>
      <w:pPr>
        <w:pStyle w:val="25"/>
        <w:rPr>
          <w:rFonts w:hint="default"/>
        </w:rPr>
      </w:pPr>
    </w:p>
    <w:p>
      <w:pPr>
        <w:jc w:val="center"/>
        <w:rPr>
          <w:rFonts w:ascii="宋体" w:hAnsi="宋体" w:cs="宋体"/>
          <w:b/>
          <w:bCs/>
          <w:color w:val="000000"/>
          <w:sz w:val="84"/>
          <w:szCs w:val="84"/>
        </w:rPr>
      </w:pPr>
    </w:p>
    <w:p>
      <w:pPr>
        <w:jc w:val="center"/>
        <w:rPr>
          <w:rFonts w:hint="default" w:eastAsia="宋体" w:cs="微软雅黑"/>
          <w:b/>
          <w:bCs/>
          <w:sz w:val="30"/>
          <w:szCs w:val="30"/>
        </w:rPr>
      </w:pPr>
      <w:r>
        <w:rPr>
          <w:rFonts w:hint="eastAsia" w:ascii="宋体" w:hAnsi="宋体" w:cs="宋体"/>
          <w:b/>
          <w:bCs/>
          <w:color w:val="000000"/>
          <w:sz w:val="96"/>
          <w:szCs w:val="96"/>
        </w:rPr>
        <w:t>招 标 文 件</w:t>
      </w:r>
    </w:p>
    <w:p>
      <w:pPr>
        <w:pStyle w:val="25"/>
        <w:rPr>
          <w:rFonts w:hint="default" w:cs="微软雅黑"/>
          <w:b/>
          <w:bCs/>
          <w:sz w:val="28"/>
          <w:szCs w:val="28"/>
        </w:rPr>
      </w:pPr>
    </w:p>
    <w:p>
      <w:pPr>
        <w:jc w:val="center"/>
      </w:pPr>
      <w:r>
        <w:rPr>
          <w:rFonts w:ascii="黑体" w:eastAsia="黑体"/>
          <w:color w:val="000000"/>
          <w:sz w:val="44"/>
        </w:rPr>
        <w:drawing>
          <wp:inline distT="0" distB="0" distL="114300" distR="114300">
            <wp:extent cx="2120265" cy="1344930"/>
            <wp:effectExtent l="0" t="0" r="13335" b="7620"/>
            <wp:docPr id="294" name="图片 10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102" descr="公司徽标"/>
                    <pic:cNvPicPr>
                      <a:picLocks noChangeAspect="1"/>
                    </pic:cNvPicPr>
                  </pic:nvPicPr>
                  <pic:blipFill>
                    <a:blip r:embed="rId5" cstate="print"/>
                    <a:srcRect l="13774" t="22760" r="11125"/>
                    <a:stretch>
                      <a:fillRect/>
                    </a:stretch>
                  </pic:blipFill>
                  <pic:spPr>
                    <a:xfrm>
                      <a:off x="0" y="0"/>
                      <a:ext cx="2120265" cy="1344930"/>
                    </a:xfrm>
                    <a:prstGeom prst="rect">
                      <a:avLst/>
                    </a:prstGeom>
                    <a:noFill/>
                    <a:ln>
                      <a:noFill/>
                    </a:ln>
                  </pic:spPr>
                </pic:pic>
              </a:graphicData>
            </a:graphic>
          </wp:inline>
        </w:drawing>
      </w:r>
    </w:p>
    <w:p/>
    <w:p>
      <w:pPr>
        <w:pStyle w:val="25"/>
        <w:rPr>
          <w:rFonts w:hint="default"/>
        </w:rPr>
      </w:pPr>
    </w:p>
    <w:p>
      <w:pPr>
        <w:pStyle w:val="25"/>
        <w:rPr>
          <w:rFonts w:hint="default"/>
        </w:rPr>
      </w:pPr>
    </w:p>
    <w:p/>
    <w:p>
      <w:pPr>
        <w:pStyle w:val="25"/>
        <w:ind w:left="0" w:leftChars="0" w:firstLine="0" w:firstLineChars="0"/>
        <w:rPr>
          <w:rFonts w:hint="default"/>
        </w:rPr>
      </w:pPr>
    </w:p>
    <w:p>
      <w:pPr>
        <w:pStyle w:val="25"/>
        <w:rPr>
          <w:rFonts w:hint="default" w:eastAsia="宋体"/>
          <w:b/>
          <w:bCs/>
          <w:sz w:val="28"/>
          <w:szCs w:val="28"/>
        </w:rPr>
      </w:pPr>
    </w:p>
    <w:p>
      <w:pPr>
        <w:pStyle w:val="25"/>
        <w:ind w:left="0" w:firstLine="0"/>
        <w:rPr>
          <w:rFonts w:hint="default" w:eastAsia="宋体"/>
          <w:b/>
          <w:bCs/>
          <w:sz w:val="16"/>
          <w:szCs w:val="16"/>
        </w:rPr>
      </w:pPr>
    </w:p>
    <w:p>
      <w:pPr>
        <w:pStyle w:val="25"/>
        <w:ind w:left="0" w:firstLine="0"/>
        <w:rPr>
          <w:rFonts w:hint="default" w:eastAsia="宋体"/>
          <w:b/>
          <w:bCs/>
          <w:sz w:val="16"/>
          <w:szCs w:val="16"/>
        </w:rPr>
      </w:pPr>
    </w:p>
    <w:p>
      <w:pPr>
        <w:pStyle w:val="25"/>
        <w:ind w:left="0" w:firstLine="0"/>
        <w:rPr>
          <w:rFonts w:hint="default" w:eastAsia="宋体"/>
          <w:b/>
          <w:bCs/>
          <w:sz w:val="16"/>
          <w:szCs w:val="16"/>
        </w:rPr>
      </w:pPr>
    </w:p>
    <w:p>
      <w:pPr>
        <w:pStyle w:val="25"/>
        <w:ind w:left="0" w:firstLine="0"/>
        <w:rPr>
          <w:rFonts w:hint="default" w:eastAsia="宋体"/>
          <w:b/>
          <w:bCs/>
          <w:sz w:val="16"/>
          <w:szCs w:val="16"/>
        </w:rPr>
      </w:pPr>
    </w:p>
    <w:p>
      <w:pPr>
        <w:pStyle w:val="25"/>
        <w:ind w:left="0" w:firstLine="0"/>
        <w:rPr>
          <w:rFonts w:hint="default" w:eastAsia="宋体"/>
          <w:b/>
          <w:bCs/>
          <w:sz w:val="16"/>
          <w:szCs w:val="16"/>
        </w:rPr>
      </w:pPr>
    </w:p>
    <w:p>
      <w:pPr>
        <w:autoSpaceDE/>
        <w:autoSpaceDN/>
        <w:adjustRightInd/>
        <w:spacing w:line="500" w:lineRule="exact"/>
        <w:ind w:firstLine="1506" w:firstLineChars="500"/>
        <w:rPr>
          <w:rFonts w:ascii="宋体" w:eastAsia="微软雅黑"/>
          <w:b/>
          <w:bCs/>
          <w:sz w:val="30"/>
          <w:szCs w:val="30"/>
        </w:rPr>
      </w:pPr>
      <w:r>
        <w:rPr>
          <w:rFonts w:hint="eastAsia" w:ascii="宋体" w:hAnsi="宋体" w:cs="微软雅黑"/>
          <w:b/>
          <w:bCs/>
          <w:sz w:val="30"/>
          <w:szCs w:val="30"/>
        </w:rPr>
        <w:t>采   购   人：邓州市环境卫生管理局</w:t>
      </w:r>
    </w:p>
    <w:p>
      <w:pPr>
        <w:autoSpaceDE/>
        <w:autoSpaceDN/>
        <w:adjustRightInd/>
        <w:spacing w:line="500" w:lineRule="exact"/>
        <w:ind w:right="-512" w:firstLine="1506" w:firstLineChars="500"/>
        <w:rPr>
          <w:rFonts w:ascii="宋体" w:eastAsia="微软雅黑"/>
          <w:b/>
          <w:bCs/>
          <w:sz w:val="30"/>
          <w:szCs w:val="30"/>
        </w:rPr>
      </w:pPr>
      <w:r>
        <w:rPr>
          <w:rFonts w:hint="eastAsia" w:ascii="宋体" w:hAnsi="宋体" w:cs="微软雅黑"/>
          <w:b/>
          <w:bCs/>
          <w:sz w:val="30"/>
          <w:szCs w:val="30"/>
        </w:rPr>
        <w:t>采购代理机构：河南招标采购服务有限公司</w:t>
      </w:r>
    </w:p>
    <w:p>
      <w:pPr>
        <w:autoSpaceDE/>
        <w:autoSpaceDN/>
        <w:adjustRightInd/>
        <w:spacing w:line="500" w:lineRule="exact"/>
        <w:ind w:right="-512" w:firstLine="1500" w:firstLineChars="498"/>
        <w:rPr>
          <w:rFonts w:ascii="宋体" w:hAnsi="宋体" w:cs="宋体"/>
          <w:color w:val="000000"/>
          <w:szCs w:val="24"/>
        </w:rPr>
      </w:pPr>
      <w:r>
        <w:rPr>
          <w:rFonts w:hint="eastAsia" w:ascii="宋体" w:hAnsi="宋体" w:cs="微软雅黑"/>
          <w:b/>
          <w:bCs/>
          <w:color w:val="000000"/>
          <w:sz w:val="30"/>
          <w:szCs w:val="30"/>
        </w:rPr>
        <w:t>日        期：</w:t>
      </w:r>
      <w:r>
        <w:rPr>
          <w:rFonts w:ascii="宋体" w:hAnsi="宋体" w:cs="宋体"/>
          <w:b/>
          <w:bCs/>
          <w:color w:val="000000"/>
          <w:sz w:val="30"/>
          <w:szCs w:val="30"/>
        </w:rPr>
        <w:t>2019</w:t>
      </w:r>
      <w:r>
        <w:rPr>
          <w:rFonts w:hint="eastAsia" w:ascii="宋体" w:hAnsi="宋体" w:cs="微软雅黑"/>
          <w:b/>
          <w:bCs/>
          <w:sz w:val="30"/>
          <w:szCs w:val="30"/>
        </w:rPr>
        <w:t>年</w:t>
      </w:r>
      <w:r>
        <w:rPr>
          <w:rFonts w:hint="eastAsia" w:ascii="宋体" w:hAnsi="宋体" w:cs="宋体"/>
          <w:b/>
          <w:bCs/>
          <w:sz w:val="30"/>
          <w:szCs w:val="30"/>
        </w:rPr>
        <w:t>1</w:t>
      </w:r>
      <w:r>
        <w:rPr>
          <w:rFonts w:hint="eastAsia" w:ascii="宋体" w:hAnsi="宋体" w:cs="宋体"/>
          <w:b/>
          <w:bCs/>
          <w:sz w:val="30"/>
          <w:szCs w:val="30"/>
          <w:lang w:val="en-US" w:eastAsia="zh-CN"/>
        </w:rPr>
        <w:t>1</w:t>
      </w:r>
      <w:r>
        <w:rPr>
          <w:rFonts w:hint="eastAsia" w:ascii="宋体" w:hAnsi="宋体" w:cs="微软雅黑"/>
          <w:b/>
          <w:bCs/>
          <w:sz w:val="30"/>
          <w:szCs w:val="30"/>
        </w:rPr>
        <w:t>月</w:t>
      </w:r>
    </w:p>
    <w:p>
      <w:pPr>
        <w:pStyle w:val="13"/>
        <w:kinsoku w:val="0"/>
        <w:overflowPunct w:val="0"/>
        <w:ind w:left="0"/>
        <w:rPr>
          <w:rFonts w:hint="default" w:ascii="Times New Roman" w:hAnsi="Times New Roman" w:eastAsia="Times New Roman"/>
          <w:sz w:val="17"/>
        </w:rPr>
      </w:pPr>
    </w:p>
    <w:p>
      <w:pPr>
        <w:pStyle w:val="13"/>
        <w:tabs>
          <w:tab w:val="left" w:pos="569"/>
        </w:tabs>
        <w:kinsoku w:val="0"/>
        <w:overflowPunct w:val="0"/>
        <w:spacing w:line="362" w:lineRule="exact"/>
        <w:ind w:left="30"/>
        <w:jc w:val="center"/>
        <w:rPr>
          <w:sz w:val="28"/>
        </w:rPr>
      </w:pPr>
    </w:p>
    <w:p>
      <w:pPr>
        <w:pStyle w:val="13"/>
        <w:tabs>
          <w:tab w:val="left" w:pos="569"/>
        </w:tabs>
        <w:kinsoku w:val="0"/>
        <w:overflowPunct w:val="0"/>
        <w:spacing w:line="362" w:lineRule="exact"/>
        <w:ind w:left="30"/>
        <w:jc w:val="center"/>
        <w:rPr>
          <w:rFonts w:hint="default"/>
          <w:sz w:val="28"/>
        </w:rPr>
      </w:pPr>
      <w:r>
        <w:rPr>
          <w:sz w:val="28"/>
        </w:rPr>
        <w:t>目</w:t>
      </w:r>
      <w:r>
        <w:rPr>
          <w:sz w:val="28"/>
        </w:rPr>
        <w:tab/>
      </w:r>
      <w:r>
        <w:rPr>
          <w:sz w:val="28"/>
        </w:rPr>
        <w:t>录</w:t>
      </w:r>
    </w:p>
    <w:p>
      <w:pPr>
        <w:pStyle w:val="13"/>
        <w:tabs>
          <w:tab w:val="right" w:leader="dot" w:pos="9680"/>
        </w:tabs>
        <w:kinsoku w:val="0"/>
        <w:overflowPunct w:val="0"/>
        <w:spacing w:line="360" w:lineRule="exact"/>
        <w:ind w:left="0"/>
        <w:jc w:val="center"/>
        <w:rPr>
          <w:rFonts w:hint="default" w:ascii="Calibri" w:hAnsi="Calibri" w:eastAsia="Calibri"/>
        </w:rPr>
      </w:pPr>
      <w:r>
        <w:fldChar w:fldCharType="begin"/>
      </w:r>
      <w:r>
        <w:instrText xml:space="preserve"> HYPERLINK \l "bookmark1" </w:instrText>
      </w:r>
      <w:r>
        <w:fldChar w:fldCharType="separate"/>
      </w:r>
      <w:r>
        <w:rPr>
          <w:rFonts w:ascii="微软雅黑" w:hAnsi="微软雅黑" w:eastAsia="微软雅黑"/>
        </w:rPr>
        <w:t>第一章招标公告</w:t>
      </w:r>
      <w:r>
        <w:rPr>
          <w:rFonts w:hint="default" w:ascii="Calibri" w:hAnsi="Calibri" w:eastAsia="Calibri"/>
        </w:rPr>
        <w:tab/>
      </w:r>
      <w:r>
        <w:rPr>
          <w:rFonts w:hint="default" w:ascii="Calibri" w:hAnsi="Calibri" w:eastAsia="Calibri"/>
        </w:rPr>
        <w:t>3</w:t>
      </w:r>
      <w:r>
        <w:rPr>
          <w:rFonts w:hint="default" w:ascii="Calibri" w:hAnsi="Calibri" w:eastAsia="Calibri"/>
        </w:rPr>
        <w:fldChar w:fldCharType="end"/>
      </w:r>
    </w:p>
    <w:p>
      <w:pPr>
        <w:pStyle w:val="13"/>
        <w:tabs>
          <w:tab w:val="right" w:leader="dot" w:pos="9680"/>
        </w:tabs>
        <w:kinsoku w:val="0"/>
        <w:overflowPunct w:val="0"/>
        <w:spacing w:line="360" w:lineRule="exact"/>
        <w:ind w:left="0"/>
        <w:jc w:val="center"/>
        <w:rPr>
          <w:rFonts w:hint="default" w:ascii="Calibri" w:hAnsi="Calibri" w:eastAsia="Calibri"/>
        </w:rPr>
      </w:pPr>
      <w:r>
        <w:fldChar w:fldCharType="begin"/>
      </w:r>
      <w:r>
        <w:instrText xml:space="preserve"> HYPERLINK \l "bookmark2" </w:instrText>
      </w:r>
      <w:r>
        <w:fldChar w:fldCharType="separate"/>
      </w:r>
      <w:r>
        <w:rPr>
          <w:rFonts w:ascii="微软雅黑" w:hAnsi="微软雅黑" w:eastAsia="微软雅黑"/>
          <w:spacing w:val="-2"/>
        </w:rPr>
        <w:t>第二章投标人须知</w:t>
      </w:r>
      <w:r>
        <w:rPr>
          <w:rFonts w:hint="default" w:ascii="Calibri" w:hAnsi="Calibri" w:eastAsia="Calibri"/>
          <w:spacing w:val="-2"/>
        </w:rPr>
        <w:tab/>
      </w:r>
      <w:r>
        <w:rPr>
          <w:rFonts w:ascii="Calibri" w:hAnsi="Calibri"/>
        </w:rPr>
        <w:t>6</w:t>
      </w:r>
      <w:r>
        <w:rPr>
          <w:rFonts w:ascii="Calibri" w:hAnsi="Calibri"/>
        </w:rPr>
        <w:fldChar w:fldCharType="end"/>
      </w:r>
    </w:p>
    <w:p>
      <w:pPr>
        <w:pStyle w:val="13"/>
        <w:tabs>
          <w:tab w:val="right" w:leader="dot" w:pos="9680"/>
        </w:tabs>
        <w:kinsoku w:val="0"/>
        <w:overflowPunct w:val="0"/>
        <w:spacing w:line="361" w:lineRule="exact"/>
        <w:ind w:left="0"/>
        <w:jc w:val="center"/>
        <w:rPr>
          <w:rFonts w:hint="default" w:ascii="Calibri" w:hAnsi="Calibri" w:eastAsia="Calibri"/>
        </w:rPr>
      </w:pPr>
      <w:r>
        <w:fldChar w:fldCharType="begin"/>
      </w:r>
      <w:r>
        <w:instrText xml:space="preserve"> HYPERLINK \l "bookmark3" </w:instrText>
      </w:r>
      <w:r>
        <w:fldChar w:fldCharType="separate"/>
      </w:r>
      <w:r>
        <w:rPr>
          <w:rFonts w:ascii="微软雅黑" w:hAnsi="微软雅黑" w:eastAsia="微软雅黑"/>
          <w:spacing w:val="-2"/>
        </w:rPr>
        <w:t>投标人须知前附表</w:t>
      </w:r>
      <w:r>
        <w:rPr>
          <w:rFonts w:hint="default" w:ascii="Calibri" w:hAnsi="Calibri" w:eastAsia="Calibri"/>
          <w:spacing w:val="-2"/>
        </w:rPr>
        <w:tab/>
      </w:r>
      <w:r>
        <w:rPr>
          <w:rFonts w:ascii="Calibri" w:hAnsi="Calibri"/>
        </w:rPr>
        <w:t>6</w:t>
      </w:r>
      <w:r>
        <w:rPr>
          <w:rFonts w:ascii="Calibri" w:hAnsi="Calibri"/>
        </w:rPr>
        <w:fldChar w:fldCharType="end"/>
      </w:r>
    </w:p>
    <w:p>
      <w:pPr>
        <w:pStyle w:val="13"/>
        <w:tabs>
          <w:tab w:val="right" w:leader="dot" w:pos="9681"/>
        </w:tabs>
        <w:kinsoku w:val="0"/>
        <w:overflowPunct w:val="0"/>
        <w:spacing w:line="361" w:lineRule="exact"/>
        <w:ind w:left="0" w:right="1"/>
        <w:jc w:val="center"/>
        <w:rPr>
          <w:rFonts w:hint="default" w:ascii="Calibri" w:hAnsi="Calibri" w:eastAsia="Calibri"/>
        </w:rPr>
      </w:pPr>
      <w:r>
        <w:fldChar w:fldCharType="begin"/>
      </w:r>
      <w:r>
        <w:instrText xml:space="preserve"> HYPERLINK \l "bookmark4" </w:instrText>
      </w:r>
      <w:r>
        <w:fldChar w:fldCharType="separate"/>
      </w:r>
      <w:r>
        <w:rPr>
          <w:rFonts w:ascii="微软雅黑" w:hAnsi="微软雅黑" w:eastAsia="微软雅黑"/>
        </w:rPr>
        <w:t xml:space="preserve">1. </w:t>
      </w:r>
      <w:r>
        <w:rPr>
          <w:rFonts w:ascii="微软雅黑" w:hAnsi="微软雅黑" w:eastAsia="微软雅黑"/>
          <w:spacing w:val="16"/>
        </w:rPr>
        <w:t xml:space="preserve"> </w:t>
      </w:r>
      <w:r>
        <w:rPr>
          <w:rFonts w:ascii="微软雅黑" w:hAnsi="微软雅黑" w:eastAsia="微软雅黑"/>
        </w:rPr>
        <w:t>总则</w:t>
      </w:r>
      <w:r>
        <w:rPr>
          <w:rFonts w:hint="default" w:ascii="Calibri" w:hAnsi="Calibri" w:eastAsia="Calibri"/>
        </w:rPr>
        <w:tab/>
      </w:r>
      <w:r>
        <w:rPr>
          <w:rFonts w:ascii="Calibri" w:hAnsi="Calibri" w:eastAsiaTheme="minorEastAsia"/>
        </w:rPr>
        <w:t>11</w:t>
      </w:r>
      <w:r>
        <w:rPr>
          <w:rFonts w:ascii="Calibri" w:hAnsi="Calibri" w:eastAsiaTheme="minorEastAsia"/>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"bookmark5" </w:instrText>
      </w:r>
      <w:r>
        <w:fldChar w:fldCharType="separate"/>
      </w:r>
      <w:r>
        <w:rPr>
          <w:rFonts w:ascii="微软雅黑" w:hAnsi="微软雅黑" w:eastAsia="微软雅黑"/>
        </w:rPr>
        <w:t xml:space="preserve">2. </w:t>
      </w:r>
      <w:r>
        <w:rPr>
          <w:rFonts w:ascii="微软雅黑" w:hAnsi="微软雅黑" w:eastAsia="微软雅黑"/>
          <w:spacing w:val="16"/>
        </w:rPr>
        <w:t xml:space="preserve"> </w:t>
      </w:r>
      <w:r>
        <w:rPr>
          <w:rFonts w:ascii="微软雅黑" w:hAnsi="微软雅黑" w:eastAsia="微软雅黑"/>
        </w:rPr>
        <w:t>招标文件</w:t>
      </w:r>
      <w:r>
        <w:rPr>
          <w:rFonts w:hint="default" w:ascii="Calibri" w:hAnsi="Calibri" w:eastAsia="Calibri"/>
        </w:rPr>
        <w:tab/>
      </w:r>
      <w:r>
        <w:rPr>
          <w:rFonts w:ascii="Calibri" w:hAnsi="Calibri" w:eastAsiaTheme="minorEastAsia"/>
        </w:rPr>
        <w:t>13</w:t>
      </w:r>
      <w:r>
        <w:rPr>
          <w:rFonts w:ascii="Calibri" w:hAnsi="Calibri" w:eastAsiaTheme="minorEastAsia"/>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"bookmark6" </w:instrText>
      </w:r>
      <w:r>
        <w:fldChar w:fldCharType="separate"/>
      </w:r>
      <w:r>
        <w:rPr>
          <w:rFonts w:ascii="微软雅黑" w:hAnsi="微软雅黑" w:eastAsia="微软雅黑"/>
        </w:rPr>
        <w:t xml:space="preserve">3. </w:t>
      </w:r>
      <w:r>
        <w:rPr>
          <w:rFonts w:ascii="微软雅黑" w:hAnsi="微软雅黑" w:eastAsia="微软雅黑"/>
          <w:spacing w:val="16"/>
        </w:rPr>
        <w:t xml:space="preserve"> </w:t>
      </w:r>
      <w:r>
        <w:rPr>
          <w:rFonts w:ascii="微软雅黑" w:hAnsi="微软雅黑" w:eastAsia="微软雅黑"/>
        </w:rPr>
        <w:t>投标文件</w:t>
      </w:r>
      <w:r>
        <w:rPr>
          <w:rFonts w:hint="default" w:ascii="Calibri" w:hAnsi="Calibri" w:eastAsia="Calibri"/>
        </w:rPr>
        <w:tab/>
      </w:r>
      <w:r>
        <w:rPr>
          <w:rFonts w:ascii="Calibri" w:hAnsi="Calibri" w:eastAsiaTheme="minorEastAsia"/>
        </w:rPr>
        <w:t>14</w:t>
      </w:r>
      <w:r>
        <w:rPr>
          <w:rFonts w:ascii="Calibri" w:hAnsi="Calibri" w:eastAsiaTheme="minorEastAsia"/>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"bookmark7" </w:instrText>
      </w:r>
      <w:r>
        <w:fldChar w:fldCharType="separate"/>
      </w:r>
      <w:r>
        <w:rPr>
          <w:rFonts w:ascii="微软雅黑" w:hAnsi="微软雅黑" w:eastAsia="微软雅黑"/>
        </w:rPr>
        <w:t xml:space="preserve">4. </w:t>
      </w:r>
      <w:r>
        <w:rPr>
          <w:rFonts w:ascii="微软雅黑" w:hAnsi="微软雅黑" w:eastAsia="微软雅黑"/>
          <w:spacing w:val="16"/>
        </w:rPr>
        <w:t xml:space="preserve"> </w:t>
      </w:r>
      <w:r>
        <w:rPr>
          <w:rFonts w:ascii="微软雅黑" w:hAnsi="微软雅黑" w:eastAsia="微软雅黑"/>
        </w:rPr>
        <w:t>投标</w:t>
      </w:r>
      <w:r>
        <w:rPr>
          <w:rFonts w:hint="default" w:ascii="Calibri" w:hAnsi="Calibri" w:eastAsia="Calibri"/>
        </w:rPr>
        <w:tab/>
      </w:r>
      <w:r>
        <w:rPr>
          <w:rFonts w:ascii="Calibri" w:hAnsi="Calibri" w:eastAsiaTheme="minorEastAsia"/>
        </w:rPr>
        <w:t>17</w:t>
      </w:r>
      <w:r>
        <w:rPr>
          <w:rFonts w:ascii="Calibri" w:hAnsi="Calibri" w:eastAsiaTheme="minorEastAsia"/>
        </w:rPr>
        <w:fldChar w:fldCharType="end"/>
      </w:r>
    </w:p>
    <w:p>
      <w:pPr>
        <w:pStyle w:val="13"/>
        <w:tabs>
          <w:tab w:val="right" w:leader="dot" w:pos="9681"/>
        </w:tabs>
        <w:kinsoku w:val="0"/>
        <w:overflowPunct w:val="0"/>
        <w:spacing w:line="360" w:lineRule="exact"/>
        <w:ind w:left="0" w:right="1"/>
        <w:jc w:val="center"/>
        <w:rPr>
          <w:rFonts w:ascii="Calibri" w:hAnsi="Calibri"/>
        </w:rPr>
      </w:pPr>
      <w:r>
        <w:fldChar w:fldCharType="begin"/>
      </w:r>
      <w:r>
        <w:instrText xml:space="preserve"> HYPERLINK \l "bookmark8" </w:instrText>
      </w:r>
      <w:r>
        <w:fldChar w:fldCharType="separate"/>
      </w:r>
      <w:r>
        <w:rPr>
          <w:rFonts w:ascii="微软雅黑" w:hAnsi="微软雅黑" w:eastAsia="微软雅黑"/>
        </w:rPr>
        <w:t xml:space="preserve">5. </w:t>
      </w:r>
      <w:r>
        <w:rPr>
          <w:rFonts w:ascii="微软雅黑" w:hAnsi="微软雅黑" w:eastAsia="微软雅黑"/>
          <w:spacing w:val="16"/>
        </w:rPr>
        <w:t xml:space="preserve"> </w:t>
      </w:r>
      <w:r>
        <w:rPr>
          <w:rFonts w:ascii="微软雅黑" w:hAnsi="微软雅黑" w:eastAsia="微软雅黑"/>
        </w:rPr>
        <w:t>开标</w:t>
      </w:r>
      <w:r>
        <w:rPr>
          <w:rFonts w:hint="default" w:ascii="Calibri" w:hAnsi="Calibri" w:eastAsia="Calibri"/>
        </w:rPr>
        <w:tab/>
      </w:r>
      <w:r>
        <w:rPr>
          <w:rFonts w:ascii="Calibri" w:hAnsi="Calibri"/>
        </w:rPr>
        <w:t>1</w:t>
      </w:r>
      <w:r>
        <w:rPr>
          <w:rFonts w:ascii="Calibri" w:hAnsi="Calibri"/>
        </w:rPr>
        <w:fldChar w:fldCharType="end"/>
      </w:r>
      <w:r>
        <w:rPr>
          <w:rFonts w:ascii="Calibri" w:hAnsi="Calibri"/>
        </w:rPr>
        <w:t>8</w:t>
      </w:r>
    </w:p>
    <w:p>
      <w:pPr>
        <w:pStyle w:val="13"/>
        <w:tabs>
          <w:tab w:val="right" w:leader="dot" w:pos="9681"/>
        </w:tabs>
        <w:kinsoku w:val="0"/>
        <w:overflowPunct w:val="0"/>
        <w:spacing w:line="360" w:lineRule="exact"/>
        <w:ind w:left="0" w:right="1"/>
        <w:jc w:val="center"/>
        <w:rPr>
          <w:rFonts w:hint="default" w:ascii="Calibri" w:hAnsi="Calibri"/>
        </w:rPr>
      </w:pPr>
      <w:r>
        <w:fldChar w:fldCharType="begin"/>
      </w:r>
      <w:r>
        <w:instrText xml:space="preserve"> HYPERLINK \l "bookmark9" </w:instrText>
      </w:r>
      <w:r>
        <w:fldChar w:fldCharType="separate"/>
      </w:r>
      <w:r>
        <w:rPr>
          <w:rFonts w:ascii="微软雅黑" w:hAnsi="微软雅黑" w:eastAsia="微软雅黑"/>
          <w:spacing w:val="1"/>
        </w:rPr>
        <w:t>6.</w:t>
      </w:r>
      <w:r>
        <w:rPr>
          <w:rFonts w:ascii="微软雅黑" w:hAnsi="微软雅黑" w:eastAsia="微软雅黑"/>
          <w:spacing w:val="2"/>
        </w:rPr>
        <w:t xml:space="preserve"> </w:t>
      </w:r>
      <w:r>
        <w:rPr>
          <w:rFonts w:ascii="微软雅黑" w:hAnsi="微软雅黑" w:eastAsia="微软雅黑"/>
        </w:rPr>
        <w:t>初步评审</w:t>
      </w:r>
      <w:r>
        <w:rPr>
          <w:rFonts w:hint="default" w:ascii="Calibri" w:hAnsi="Calibri" w:eastAsia="Calibri"/>
        </w:rPr>
        <w:tab/>
      </w:r>
      <w:r>
        <w:rPr>
          <w:rFonts w:ascii="Calibri" w:hAnsi="Calibri" w:eastAsiaTheme="minorEastAsia"/>
        </w:rPr>
        <w:t>1</w:t>
      </w:r>
      <w:r>
        <w:rPr>
          <w:rFonts w:ascii="Calibri" w:hAnsi="Calibri" w:eastAsiaTheme="minorEastAsia"/>
        </w:rPr>
        <w:fldChar w:fldCharType="end"/>
      </w:r>
      <w:r>
        <w:t>9</w:t>
      </w:r>
    </w:p>
    <w:p>
      <w:pPr>
        <w:pStyle w:val="13"/>
        <w:tabs>
          <w:tab w:val="right" w:leader="dot" w:pos="9681"/>
        </w:tabs>
        <w:kinsoku w:val="0"/>
        <w:overflowPunct w:val="0"/>
        <w:spacing w:line="360" w:lineRule="exact"/>
        <w:ind w:left="0" w:right="1"/>
        <w:jc w:val="center"/>
        <w:rPr>
          <w:rFonts w:hint="default" w:ascii="Calibri" w:hAnsi="Calibri"/>
        </w:rPr>
      </w:pPr>
      <w:r>
        <w:fldChar w:fldCharType="begin"/>
      </w:r>
      <w:r>
        <w:instrText xml:space="preserve"> HYPERLINK \l "bookmark10" </w:instrText>
      </w:r>
      <w:r>
        <w:fldChar w:fldCharType="separate"/>
      </w:r>
      <w:r>
        <w:rPr>
          <w:rFonts w:ascii="微软雅黑" w:hAnsi="微软雅黑" w:eastAsia="微软雅黑"/>
        </w:rPr>
        <w:t>7、评标</w:t>
      </w:r>
      <w:r>
        <w:rPr>
          <w:rFonts w:hint="default" w:ascii="Calibri" w:hAnsi="Calibri" w:eastAsia="Calibri"/>
        </w:rPr>
        <w:tab/>
      </w:r>
      <w:r>
        <w:rPr>
          <w:rFonts w:ascii="Calibri" w:hAnsi="Calibri" w:eastAsiaTheme="minorEastAsia"/>
        </w:rPr>
        <w:t>2</w:t>
      </w:r>
      <w:r>
        <w:rPr>
          <w:rFonts w:ascii="Calibri" w:hAnsi="Calibri" w:eastAsiaTheme="minorEastAsia"/>
        </w:rPr>
        <w:fldChar w:fldCharType="end"/>
      </w:r>
      <w:r>
        <w:rPr>
          <w:rFonts w:ascii="Calibri" w:hAnsi="Calibri"/>
        </w:rPr>
        <w:t>0</w:t>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"bookmark11" </w:instrText>
      </w:r>
      <w:r>
        <w:fldChar w:fldCharType="separate"/>
      </w:r>
      <w:r>
        <w:rPr>
          <w:rFonts w:ascii="微软雅黑" w:hAnsi="微软雅黑" w:eastAsia="微软雅黑"/>
        </w:rPr>
        <w:t xml:space="preserve">8. </w:t>
      </w:r>
      <w:r>
        <w:rPr>
          <w:rFonts w:ascii="微软雅黑" w:hAnsi="微软雅黑" w:eastAsia="微软雅黑"/>
          <w:spacing w:val="15"/>
        </w:rPr>
        <w:t xml:space="preserve"> </w:t>
      </w:r>
      <w:r>
        <w:rPr>
          <w:rFonts w:ascii="微软雅黑" w:hAnsi="微软雅黑" w:eastAsia="微软雅黑"/>
          <w:spacing w:val="2"/>
        </w:rPr>
        <w:t>合同授予</w:t>
      </w:r>
      <w:r>
        <w:rPr>
          <w:rFonts w:hint="default" w:ascii="Calibri" w:hAnsi="Calibri" w:eastAsia="Calibri"/>
          <w:spacing w:val="2"/>
        </w:rPr>
        <w:tab/>
      </w:r>
      <w:r>
        <w:rPr>
          <w:rFonts w:hint="default" w:ascii="Calibri" w:hAnsi="Calibri" w:eastAsia="Calibri"/>
        </w:rPr>
        <w:t>2</w:t>
      </w:r>
      <w:r>
        <w:rPr>
          <w:rFonts w:ascii="Calibri" w:hAnsi="Calibri" w:eastAsiaTheme="minorEastAsia"/>
        </w:rPr>
        <w:t>1</w:t>
      </w:r>
      <w:r>
        <w:rPr>
          <w:rFonts w:ascii="Calibri" w:hAnsi="Calibri" w:eastAsiaTheme="minorEastAsia"/>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"bookmark12" </w:instrText>
      </w:r>
      <w:r>
        <w:fldChar w:fldCharType="separate"/>
      </w:r>
      <w:r>
        <w:rPr>
          <w:rFonts w:ascii="微软雅黑" w:hAnsi="微软雅黑" w:eastAsia="微软雅黑"/>
        </w:rPr>
        <w:t>9.</w:t>
      </w:r>
      <w:r>
        <w:rPr>
          <w:rFonts w:ascii="微软雅黑" w:hAnsi="微软雅黑" w:eastAsia="微软雅黑"/>
          <w:spacing w:val="57"/>
        </w:rPr>
        <w:t xml:space="preserve"> </w:t>
      </w:r>
      <w:r>
        <w:rPr>
          <w:rFonts w:ascii="微软雅黑" w:hAnsi="微软雅黑" w:eastAsia="微软雅黑"/>
        </w:rPr>
        <w:t>纪律和监督</w:t>
      </w:r>
      <w:r>
        <w:rPr>
          <w:rFonts w:hint="default" w:ascii="Calibri" w:hAnsi="Calibri" w:eastAsia="Calibri"/>
        </w:rPr>
        <w:tab/>
      </w:r>
      <w:r>
        <w:rPr>
          <w:rFonts w:hint="default" w:ascii="Calibri" w:hAnsi="Calibri" w:eastAsia="Calibri"/>
        </w:rPr>
        <w:t>2</w:t>
      </w:r>
      <w:r>
        <w:rPr>
          <w:rFonts w:ascii="Calibri" w:hAnsi="Calibri"/>
        </w:rPr>
        <w:t>3</w:t>
      </w:r>
      <w:r>
        <w:rPr>
          <w:rFonts w:ascii="Calibri" w:hAnsi="Calibri"/>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"bookmark13" </w:instrText>
      </w:r>
      <w:r>
        <w:fldChar w:fldCharType="separate"/>
      </w:r>
      <w:r>
        <w:rPr>
          <w:rFonts w:ascii="微软雅黑" w:hAnsi="微软雅黑" w:eastAsia="微软雅黑"/>
        </w:rPr>
        <w:t xml:space="preserve">10. </w:t>
      </w:r>
      <w:r>
        <w:rPr>
          <w:rFonts w:ascii="微软雅黑" w:hAnsi="微软雅黑" w:eastAsia="微软雅黑"/>
          <w:spacing w:val="14"/>
        </w:rPr>
        <w:t xml:space="preserve"> </w:t>
      </w:r>
      <w:r>
        <w:rPr>
          <w:rFonts w:ascii="微软雅黑" w:hAnsi="微软雅黑" w:eastAsia="微软雅黑"/>
        </w:rPr>
        <w:t>是否采用电子招标投标</w:t>
      </w:r>
      <w:r>
        <w:rPr>
          <w:rFonts w:hint="default" w:ascii="Calibri" w:hAnsi="Calibri" w:eastAsia="Calibri"/>
        </w:rPr>
        <w:tab/>
      </w:r>
      <w:r>
        <w:rPr>
          <w:rFonts w:hint="default" w:ascii="Calibri" w:hAnsi="Calibri" w:eastAsia="Calibri"/>
        </w:rPr>
        <w:t>2</w:t>
      </w:r>
      <w:r>
        <w:rPr>
          <w:rFonts w:ascii="Calibri" w:hAnsi="Calibri"/>
        </w:rPr>
        <w:t>4</w:t>
      </w:r>
      <w:r>
        <w:rPr>
          <w:rFonts w:ascii="Calibri" w:hAnsi="Calibri"/>
        </w:rPr>
        <w:fldChar w:fldCharType="end"/>
      </w:r>
    </w:p>
    <w:p>
      <w:pPr>
        <w:pStyle w:val="13"/>
        <w:tabs>
          <w:tab w:val="right" w:leader="dot" w:pos="9681"/>
        </w:tabs>
        <w:kinsoku w:val="0"/>
        <w:overflowPunct w:val="0"/>
        <w:spacing w:line="361" w:lineRule="exact"/>
        <w:ind w:left="0" w:right="1"/>
        <w:jc w:val="center"/>
        <w:rPr>
          <w:rFonts w:hint="default" w:ascii="Calibri" w:hAnsi="Calibri" w:eastAsia="Calibri"/>
        </w:rPr>
      </w:pPr>
      <w:r>
        <w:fldChar w:fldCharType="begin"/>
      </w:r>
      <w:r>
        <w:instrText xml:space="preserve"> HYPERLINK \l "bookmark14" </w:instrText>
      </w:r>
      <w:r>
        <w:fldChar w:fldCharType="separate"/>
      </w:r>
      <w:r>
        <w:rPr>
          <w:rFonts w:ascii="微软雅黑" w:hAnsi="微软雅黑" w:eastAsia="微软雅黑"/>
        </w:rPr>
        <w:t xml:space="preserve">11. </w:t>
      </w:r>
      <w:r>
        <w:rPr>
          <w:rFonts w:ascii="微软雅黑" w:hAnsi="微软雅黑" w:eastAsia="微软雅黑"/>
          <w:spacing w:val="9"/>
        </w:rPr>
        <w:t xml:space="preserve"> </w:t>
      </w:r>
      <w:r>
        <w:rPr>
          <w:rFonts w:ascii="微软雅黑" w:hAnsi="微软雅黑" w:eastAsia="微软雅黑"/>
        </w:rPr>
        <w:t>需要补充的其他内容</w:t>
      </w:r>
      <w:r>
        <w:rPr>
          <w:rFonts w:hint="default" w:ascii="Calibri" w:hAnsi="Calibri" w:eastAsia="Calibri"/>
        </w:rPr>
        <w:tab/>
      </w:r>
      <w:r>
        <w:rPr>
          <w:rFonts w:hint="default" w:ascii="Calibri" w:hAnsi="Calibri" w:eastAsia="Calibri"/>
        </w:rPr>
        <w:t>2</w:t>
      </w:r>
      <w:r>
        <w:rPr>
          <w:rFonts w:ascii="Calibri" w:hAnsi="Calibri"/>
        </w:rPr>
        <w:t>4</w:t>
      </w:r>
      <w:r>
        <w:rPr>
          <w:rFonts w:ascii="Calibri" w:hAnsi="Calibri"/>
        </w:rPr>
        <w:fldChar w:fldCharType="end"/>
      </w:r>
    </w:p>
    <w:p>
      <w:pPr>
        <w:pStyle w:val="13"/>
        <w:tabs>
          <w:tab w:val="right" w:leader="dot" w:pos="9681"/>
        </w:tabs>
        <w:kinsoku w:val="0"/>
        <w:overflowPunct w:val="0"/>
        <w:spacing w:line="361" w:lineRule="exact"/>
        <w:ind w:left="0" w:right="1"/>
        <w:jc w:val="center"/>
        <w:rPr>
          <w:rFonts w:hint="default" w:ascii="Calibri" w:hAnsi="Calibri"/>
        </w:rPr>
      </w:pPr>
      <w:r>
        <w:fldChar w:fldCharType="begin"/>
      </w:r>
      <w:r>
        <w:instrText xml:space="preserve"> HYPERLINK \l "bookmark15" </w:instrText>
      </w:r>
      <w:r>
        <w:fldChar w:fldCharType="separate"/>
      </w:r>
      <w:r>
        <w:rPr>
          <w:rFonts w:ascii="微软雅黑" w:hAnsi="微软雅黑" w:eastAsia="微软雅黑"/>
          <w:spacing w:val="-1"/>
        </w:rPr>
        <w:t>第三章评标方法（综合评分法）</w:t>
      </w:r>
      <w:r>
        <w:rPr>
          <w:rFonts w:hint="default" w:ascii="Calibri" w:hAnsi="Calibri" w:eastAsia="Calibri"/>
          <w:spacing w:val="-1"/>
        </w:rPr>
        <w:tab/>
      </w:r>
      <w:r>
        <w:rPr>
          <w:rFonts w:ascii="Calibri" w:hAnsi="Calibri"/>
        </w:rPr>
        <w:t>2</w:t>
      </w:r>
      <w:r>
        <w:rPr>
          <w:rFonts w:ascii="Calibri" w:hAnsi="Calibri"/>
        </w:rPr>
        <w:fldChar w:fldCharType="end"/>
      </w:r>
      <w:r>
        <w:rPr>
          <w:rFonts w:ascii="Calibri" w:hAnsi="Calibri"/>
        </w:rPr>
        <w:t>9</w:t>
      </w:r>
    </w:p>
    <w:p>
      <w:pPr>
        <w:pStyle w:val="13"/>
        <w:tabs>
          <w:tab w:val="right" w:leader="dot" w:pos="9681"/>
        </w:tabs>
        <w:kinsoku w:val="0"/>
        <w:overflowPunct w:val="0"/>
        <w:spacing w:line="360" w:lineRule="exact"/>
        <w:ind w:left="0" w:right="1"/>
        <w:jc w:val="center"/>
        <w:rPr>
          <w:rFonts w:hint="default" w:ascii="Calibri" w:hAnsi="Calibri"/>
        </w:rPr>
      </w:pPr>
      <w:r>
        <w:fldChar w:fldCharType="begin"/>
      </w:r>
      <w:r>
        <w:instrText xml:space="preserve"> HYPERLINK \l "bookmark16" </w:instrText>
      </w:r>
      <w:r>
        <w:fldChar w:fldCharType="separate"/>
      </w:r>
      <w:r>
        <w:rPr>
          <w:rFonts w:ascii="微软雅黑" w:hAnsi="微软雅黑" w:eastAsia="微软雅黑"/>
          <w:spacing w:val="-1"/>
        </w:rPr>
        <w:t>一、资格审查</w:t>
      </w:r>
      <w:r>
        <w:rPr>
          <w:rFonts w:hint="default" w:ascii="Calibri" w:hAnsi="Calibri" w:eastAsia="Calibri"/>
          <w:spacing w:val="-1"/>
        </w:rPr>
        <w:tab/>
      </w:r>
      <w:r>
        <w:rPr>
          <w:rFonts w:ascii="Calibri" w:hAnsi="Calibri"/>
        </w:rPr>
        <w:t>2</w:t>
      </w:r>
      <w:r>
        <w:rPr>
          <w:rFonts w:ascii="Calibri" w:hAnsi="Calibri"/>
        </w:rPr>
        <w:fldChar w:fldCharType="end"/>
      </w:r>
      <w:r>
        <w:rPr>
          <w:rFonts w:ascii="Calibri" w:hAnsi="Calibri"/>
        </w:rPr>
        <w:t>9</w:t>
      </w:r>
    </w:p>
    <w:p>
      <w:pPr>
        <w:pStyle w:val="13"/>
        <w:tabs>
          <w:tab w:val="right" w:leader="dot" w:pos="9681"/>
        </w:tabs>
        <w:kinsoku w:val="0"/>
        <w:overflowPunct w:val="0"/>
        <w:spacing w:line="360" w:lineRule="exact"/>
        <w:ind w:left="0" w:right="1"/>
        <w:jc w:val="center"/>
        <w:rPr>
          <w:rFonts w:hint="default" w:ascii="Calibri" w:hAnsi="Calibri"/>
        </w:rPr>
      </w:pPr>
      <w:r>
        <w:fldChar w:fldCharType="begin"/>
      </w:r>
      <w:r>
        <w:instrText xml:space="preserve"> HYPERLINK \l "bookmark17" </w:instrText>
      </w:r>
      <w:r>
        <w:fldChar w:fldCharType="separate"/>
      </w:r>
      <w:r>
        <w:rPr>
          <w:rFonts w:ascii="微软雅黑" w:hAnsi="微软雅黑" w:eastAsia="微软雅黑"/>
          <w:spacing w:val="-2"/>
        </w:rPr>
        <w:t>二、符合性审查</w:t>
      </w:r>
      <w:r>
        <w:rPr>
          <w:rFonts w:hint="default" w:ascii="Calibri" w:hAnsi="Calibri" w:eastAsia="Calibri"/>
          <w:spacing w:val="-2"/>
        </w:rPr>
        <w:tab/>
      </w:r>
      <w:r>
        <w:rPr>
          <w:rFonts w:ascii="Calibri" w:hAnsi="Calibri"/>
        </w:rPr>
        <w:t>3</w:t>
      </w:r>
      <w:r>
        <w:rPr>
          <w:rFonts w:ascii="Calibri" w:hAnsi="Calibri"/>
        </w:rPr>
        <w:fldChar w:fldCharType="end"/>
      </w:r>
      <w:r>
        <w:rPr>
          <w:rFonts w:ascii="Calibri" w:hAnsi="Calibri"/>
        </w:rPr>
        <w:t>0</w:t>
      </w:r>
    </w:p>
    <w:p>
      <w:pPr>
        <w:pStyle w:val="13"/>
        <w:tabs>
          <w:tab w:val="right" w:leader="dot" w:pos="9681"/>
        </w:tabs>
        <w:kinsoku w:val="0"/>
        <w:overflowPunct w:val="0"/>
        <w:spacing w:line="360" w:lineRule="exact"/>
        <w:ind w:left="0" w:right="1"/>
        <w:jc w:val="center"/>
        <w:rPr>
          <w:rFonts w:hint="default" w:ascii="Calibri" w:hAnsi="Calibri"/>
        </w:rPr>
      </w:pPr>
      <w:r>
        <w:fldChar w:fldCharType="begin"/>
      </w:r>
      <w:r>
        <w:instrText xml:space="preserve"> HYPERLINK \l "bookmark18" </w:instrText>
      </w:r>
      <w:r>
        <w:fldChar w:fldCharType="separate"/>
      </w:r>
      <w:r>
        <w:rPr>
          <w:rFonts w:ascii="微软雅黑" w:hAnsi="微软雅黑" w:eastAsia="微软雅黑"/>
          <w:spacing w:val="-1"/>
        </w:rPr>
        <w:t>三、评标方法</w:t>
      </w:r>
      <w:r>
        <w:rPr>
          <w:rFonts w:hint="default" w:ascii="Calibri" w:hAnsi="Calibri" w:eastAsia="Calibri"/>
          <w:spacing w:val="-1"/>
        </w:rPr>
        <w:tab/>
      </w:r>
      <w:r>
        <w:rPr>
          <w:rFonts w:ascii="Calibri" w:hAnsi="Calibri"/>
        </w:rPr>
        <w:t>3</w:t>
      </w:r>
      <w:r>
        <w:rPr>
          <w:rFonts w:ascii="Calibri" w:hAnsi="Calibri"/>
        </w:rPr>
        <w:fldChar w:fldCharType="end"/>
      </w:r>
      <w:r>
        <w:rPr>
          <w:rFonts w:ascii="Calibri" w:hAnsi="Calibri"/>
        </w:rPr>
        <w:t>0</w:t>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"bookmark20" </w:instrText>
      </w:r>
      <w:r>
        <w:fldChar w:fldCharType="separate"/>
      </w:r>
      <w:r>
        <w:rPr>
          <w:rFonts w:ascii="微软雅黑" w:hAnsi="微软雅黑" w:eastAsia="微软雅黑"/>
        </w:rPr>
        <w:t>第四章</w:t>
      </w:r>
      <w:r>
        <w:rPr>
          <w:rFonts w:ascii="微软雅黑" w:hAnsi="微软雅黑" w:eastAsia="微软雅黑"/>
          <w:spacing w:val="60"/>
        </w:rPr>
        <w:t xml:space="preserve"> </w:t>
      </w:r>
      <w:r>
        <w:rPr>
          <w:rFonts w:ascii="微软雅黑" w:hAnsi="微软雅黑" w:eastAsia="微软雅黑"/>
          <w:spacing w:val="-2"/>
        </w:rPr>
        <w:t>合同条款及格式</w:t>
      </w:r>
      <w:r>
        <w:rPr>
          <w:rFonts w:hint="default" w:ascii="Calibri" w:hAnsi="Calibri" w:eastAsia="Calibri"/>
          <w:spacing w:val="-2"/>
        </w:rPr>
        <w:tab/>
      </w:r>
      <w:r>
        <w:rPr>
          <w:rFonts w:hint="default" w:ascii="Calibri" w:hAnsi="Calibri" w:eastAsia="Calibri"/>
        </w:rPr>
        <w:t>3</w:t>
      </w:r>
      <w:r>
        <w:rPr>
          <w:rFonts w:ascii="Calibri" w:hAnsi="Calibri"/>
        </w:rPr>
        <w:t>6</w:t>
      </w:r>
      <w:r>
        <w:rPr>
          <w:rFonts w:ascii="Calibri" w:hAnsi="Calibri"/>
        </w:rPr>
        <w:fldChar w:fldCharType="end"/>
      </w:r>
    </w:p>
    <w:p>
      <w:pPr>
        <w:pStyle w:val="13"/>
        <w:tabs>
          <w:tab w:val="right" w:leader="dot" w:pos="9681"/>
        </w:tabs>
        <w:kinsoku w:val="0"/>
        <w:overflowPunct w:val="0"/>
        <w:spacing w:line="360" w:lineRule="exact"/>
        <w:ind w:left="0" w:right="1"/>
        <w:jc w:val="center"/>
        <w:rPr>
          <w:rFonts w:hint="default" w:ascii="Calibri" w:hAnsi="Calibri" w:eastAsia="Calibri"/>
        </w:rPr>
      </w:pPr>
      <w:r>
        <w:fldChar w:fldCharType="begin"/>
      </w:r>
      <w:r>
        <w:instrText xml:space="preserve"> HYPERLINK \l "bookmark23" </w:instrText>
      </w:r>
      <w:r>
        <w:fldChar w:fldCharType="separate"/>
      </w:r>
      <w:r>
        <w:rPr>
          <w:rFonts w:ascii="微软雅黑" w:hAnsi="微软雅黑" w:eastAsia="微软雅黑"/>
          <w:spacing w:val="-1"/>
        </w:rPr>
        <w:t>第五章  采购需求及技术要求</w:t>
      </w:r>
      <w:r>
        <w:rPr>
          <w:rFonts w:hint="default" w:ascii="Calibri" w:hAnsi="Calibri" w:eastAsia="Calibri"/>
          <w:spacing w:val="-1"/>
        </w:rPr>
        <w:tab/>
      </w:r>
      <w:r>
        <w:rPr>
          <w:rFonts w:hint="default" w:ascii="Calibri" w:hAnsi="Calibri" w:eastAsia="Calibri"/>
        </w:rPr>
        <w:t>5</w:t>
      </w:r>
      <w:r>
        <w:rPr>
          <w:rFonts w:ascii="Calibri" w:hAnsi="Calibri"/>
        </w:rPr>
        <w:t>2</w:t>
      </w:r>
      <w:r>
        <w:rPr>
          <w:rFonts w:ascii="Calibri" w:hAnsi="Calibri"/>
        </w:rPr>
        <w:fldChar w:fldCharType="end"/>
      </w:r>
    </w:p>
    <w:p>
      <w:pPr>
        <w:pStyle w:val="13"/>
        <w:tabs>
          <w:tab w:val="right" w:leader="dot" w:pos="9681"/>
        </w:tabs>
        <w:kinsoku w:val="0"/>
        <w:overflowPunct w:val="0"/>
        <w:spacing w:line="361" w:lineRule="exact"/>
        <w:ind w:left="0" w:right="1"/>
        <w:jc w:val="center"/>
        <w:rPr>
          <w:rFonts w:hint="default" w:ascii="Calibri" w:hAnsi="Calibri" w:eastAsia="Calibri"/>
        </w:rPr>
      </w:pPr>
      <w:r>
        <w:fldChar w:fldCharType="begin"/>
      </w:r>
      <w:r>
        <w:instrText xml:space="preserve"> HYPERLINK \l "bookmark25" </w:instrText>
      </w:r>
      <w:r>
        <w:fldChar w:fldCharType="separate"/>
      </w:r>
      <w:r>
        <w:rPr>
          <w:rFonts w:ascii="微软雅黑" w:hAnsi="微软雅黑" w:eastAsia="微软雅黑"/>
          <w:spacing w:val="-1"/>
        </w:rPr>
        <w:t>第六章投标文件格式</w:t>
      </w:r>
      <w:r>
        <w:rPr>
          <w:rFonts w:hint="default" w:ascii="Calibri" w:hAnsi="Calibri" w:eastAsia="Calibri"/>
          <w:spacing w:val="-1"/>
        </w:rPr>
        <w:tab/>
      </w:r>
      <w:r>
        <w:rPr>
          <w:rFonts w:hint="default" w:ascii="Calibri" w:hAnsi="Calibri" w:eastAsia="Calibri"/>
        </w:rPr>
        <w:t>5</w:t>
      </w:r>
      <w:r>
        <w:rPr>
          <w:rFonts w:ascii="Calibri" w:hAnsi="Calibri" w:eastAsiaTheme="minorEastAsia"/>
        </w:rPr>
        <w:t>4</w:t>
      </w:r>
      <w:r>
        <w:rPr>
          <w:rFonts w:ascii="Calibri" w:hAnsi="Calibri" w:eastAsiaTheme="minorEastAsia"/>
        </w:rPr>
        <w:fldChar w:fldCharType="end"/>
      </w:r>
    </w:p>
    <w:p>
      <w:pPr>
        <w:pStyle w:val="13"/>
        <w:tabs>
          <w:tab w:val="right" w:leader="dot" w:pos="9681"/>
        </w:tabs>
        <w:kinsoku w:val="0"/>
        <w:overflowPunct w:val="0"/>
        <w:spacing w:line="363" w:lineRule="exact"/>
        <w:ind w:left="0" w:right="1"/>
        <w:jc w:val="center"/>
        <w:rPr>
          <w:rFonts w:hint="default" w:ascii="Calibri" w:hAnsi="Calibri" w:eastAsia="Calibri"/>
        </w:rPr>
      </w:pPr>
      <w:r>
        <w:fldChar w:fldCharType="begin"/>
      </w:r>
      <w:r>
        <w:instrText xml:space="preserve"> HYPERLINK \l "bookmark26" </w:instrText>
      </w:r>
      <w:r>
        <w:fldChar w:fldCharType="separate"/>
      </w:r>
      <w:r>
        <w:rPr>
          <w:rFonts w:ascii="微软雅黑" w:hAnsi="微软雅黑" w:eastAsia="微软雅黑"/>
        </w:rPr>
        <w:t>第七章</w:t>
      </w:r>
      <w:r>
        <w:rPr>
          <w:rFonts w:ascii="微软雅黑" w:hAnsi="微软雅黑" w:eastAsia="微软雅黑"/>
          <w:spacing w:val="60"/>
        </w:rPr>
        <w:t xml:space="preserve"> </w:t>
      </w:r>
      <w:r>
        <w:rPr>
          <w:rFonts w:ascii="微软雅黑" w:hAnsi="微软雅黑" w:eastAsia="微软雅黑"/>
          <w:spacing w:val="-2"/>
        </w:rPr>
        <w:t>政府采购政策</w:t>
      </w:r>
      <w:r>
        <w:rPr>
          <w:rFonts w:hint="default" w:ascii="Calibri" w:hAnsi="Calibri" w:eastAsia="Calibri"/>
          <w:spacing w:val="-2"/>
        </w:rPr>
        <w:tab/>
      </w:r>
      <w:r>
        <w:rPr>
          <w:rFonts w:ascii="Calibri" w:hAnsi="Calibri" w:eastAsiaTheme="minorEastAsia"/>
        </w:rPr>
        <w:t>76</w:t>
      </w:r>
      <w:r>
        <w:rPr>
          <w:rFonts w:ascii="Calibri" w:hAnsi="Calibri" w:eastAsiaTheme="minorEastAsia"/>
        </w:rPr>
        <w:fldChar w:fldCharType="end"/>
      </w: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rPr>
          <w:rFonts w:eastAsia="Calibri"/>
          <w:sz w:val="18"/>
        </w:rPr>
      </w:pPr>
    </w:p>
    <w:p>
      <w:pPr>
        <w:pStyle w:val="25"/>
        <w:rPr>
          <w:rFonts w:hint="default"/>
        </w:rPr>
      </w:pPr>
    </w:p>
    <w:p>
      <w:pPr>
        <w:pStyle w:val="13"/>
        <w:kinsoku w:val="0"/>
        <w:overflowPunct w:val="0"/>
        <w:ind w:left="0"/>
        <w:rPr>
          <w:rFonts w:hint="default" w:ascii="Calibri" w:hAnsi="Calibri" w:eastAsia="Calibri"/>
          <w:sz w:val="18"/>
        </w:rPr>
      </w:pPr>
    </w:p>
    <w:p>
      <w:pPr>
        <w:pStyle w:val="13"/>
        <w:kinsoku w:val="0"/>
        <w:overflowPunct w:val="0"/>
        <w:ind w:left="0"/>
        <w:rPr>
          <w:rFonts w:hint="default" w:ascii="Calibri" w:hAnsi="Calibri" w:eastAsia="Calibri"/>
          <w:sz w:val="18"/>
        </w:rPr>
      </w:pPr>
    </w:p>
    <w:p>
      <w:pPr>
        <w:pStyle w:val="13"/>
        <w:kinsoku w:val="0"/>
        <w:overflowPunct w:val="0"/>
        <w:ind w:left="0" w:right="100"/>
        <w:jc w:val="center"/>
        <w:rPr>
          <w:rFonts w:hint="default"/>
          <w:b/>
          <w:bCs/>
          <w:spacing w:val="-1"/>
          <w:sz w:val="32"/>
          <w:szCs w:val="32"/>
        </w:rPr>
      </w:pPr>
      <w:bookmarkStart w:id="0" w:name="bookmark1"/>
      <w:bookmarkEnd w:id="0"/>
    </w:p>
    <w:p>
      <w:pPr>
        <w:pStyle w:val="13"/>
        <w:kinsoku w:val="0"/>
        <w:overflowPunct w:val="0"/>
        <w:ind w:left="0" w:right="100"/>
        <w:jc w:val="center"/>
        <w:rPr>
          <w:rFonts w:hint="default"/>
          <w:b/>
          <w:bCs/>
          <w:spacing w:val="-1"/>
          <w:sz w:val="32"/>
          <w:szCs w:val="32"/>
        </w:rPr>
      </w:pPr>
    </w:p>
    <w:p>
      <w:pPr>
        <w:pStyle w:val="13"/>
        <w:kinsoku w:val="0"/>
        <w:overflowPunct w:val="0"/>
        <w:ind w:left="0" w:right="100"/>
        <w:jc w:val="center"/>
        <w:rPr>
          <w:rFonts w:hint="default"/>
          <w:b/>
          <w:bCs/>
          <w:spacing w:val="-1"/>
          <w:sz w:val="32"/>
          <w:szCs w:val="32"/>
        </w:rPr>
      </w:pPr>
    </w:p>
    <w:p>
      <w:pPr>
        <w:pStyle w:val="13"/>
        <w:kinsoku w:val="0"/>
        <w:overflowPunct w:val="0"/>
        <w:ind w:left="0" w:right="100"/>
        <w:jc w:val="center"/>
        <w:rPr>
          <w:rFonts w:hint="default"/>
          <w:b/>
          <w:bCs/>
          <w:spacing w:val="-1"/>
          <w:sz w:val="32"/>
          <w:szCs w:val="32"/>
        </w:rPr>
      </w:pPr>
      <w:r>
        <w:rPr>
          <w:b/>
          <w:bCs/>
          <w:spacing w:val="-1"/>
          <w:sz w:val="32"/>
          <w:szCs w:val="32"/>
        </w:rPr>
        <w:t>第一章招标公告</w:t>
      </w:r>
    </w:p>
    <w:p>
      <w:pPr>
        <w:bidi w:val="0"/>
        <w:rPr>
          <w:rFonts w:hint="default"/>
        </w:rPr>
      </w:pPr>
    </w:p>
    <w:p>
      <w:pPr>
        <w:keepNext w:val="0"/>
        <w:keepLines w:val="0"/>
        <w:pageBreakBefore w:val="0"/>
        <w:kinsoku/>
        <w:wordWrap/>
        <w:overflowPunct/>
        <w:topLinePunct w:val="0"/>
        <w:autoSpaceDE/>
        <w:autoSpaceDN/>
        <w:bidi w:val="0"/>
        <w:adjustRightInd/>
        <w:spacing w:line="400" w:lineRule="atLeast"/>
        <w:jc w:val="center"/>
        <w:textAlignment w:val="auto"/>
        <w:rPr>
          <w:rFonts w:hint="eastAsia" w:ascii="宋体" w:hAnsi="宋体" w:cs="宋体"/>
          <w:b/>
          <w:bCs/>
          <w:color w:val="000000"/>
          <w:sz w:val="30"/>
          <w:szCs w:val="30"/>
        </w:rPr>
      </w:pPr>
      <w:bookmarkStart w:id="1" w:name="_Toc19492_WPSOffice_Level2"/>
      <w:r>
        <w:rPr>
          <w:rFonts w:hint="eastAsia" w:ascii="宋体" w:hAnsi="宋体" w:cs="宋体"/>
          <w:b/>
          <w:bCs/>
          <w:color w:val="000000"/>
          <w:sz w:val="30"/>
          <w:szCs w:val="30"/>
        </w:rPr>
        <w:t>邓州市环卫专用车辆采购项目</w:t>
      </w:r>
      <w:r>
        <w:rPr>
          <w:rFonts w:hint="eastAsia" w:ascii="宋体" w:hAnsi="宋体" w:cs="宋体"/>
          <w:b/>
          <w:bCs/>
          <w:color w:val="000000"/>
          <w:sz w:val="30"/>
          <w:szCs w:val="30"/>
          <w:lang w:eastAsia="zh-CN"/>
        </w:rPr>
        <w:t>公开</w:t>
      </w:r>
      <w:r>
        <w:rPr>
          <w:rFonts w:hint="eastAsia" w:ascii="宋体" w:hAnsi="宋体" w:cs="宋体"/>
          <w:b/>
          <w:bCs/>
          <w:color w:val="000000"/>
          <w:sz w:val="30"/>
          <w:szCs w:val="30"/>
        </w:rPr>
        <w:t>招标公告</w:t>
      </w:r>
      <w:bookmarkEnd w:id="1"/>
    </w:p>
    <w:p>
      <w:pPr>
        <w:bidi w:val="0"/>
      </w:pPr>
    </w:p>
    <w:p>
      <w:pPr>
        <w:jc w:val="both"/>
        <w:rPr>
          <w:rFonts w:ascii="宋体" w:hAnsi="宋体" w:cs="宋体"/>
          <w:bCs/>
          <w:szCs w:val="24"/>
        </w:rPr>
      </w:pPr>
      <w:bookmarkStart w:id="2" w:name="_Toc19243_WPSOffice_Level2"/>
      <w:r>
        <w:rPr>
          <w:rFonts w:hint="eastAsia" w:ascii="宋体" w:hAnsi="宋体" w:cs="宋体"/>
          <w:bCs/>
          <w:szCs w:val="24"/>
        </w:rPr>
        <w:t>一、采购项目名称：</w:t>
      </w:r>
      <w:bookmarkEnd w:id="2"/>
      <w:r>
        <w:rPr>
          <w:rFonts w:hint="eastAsia" w:ascii="宋体" w:hAnsi="宋体" w:cs="宋体"/>
          <w:bCs/>
          <w:szCs w:val="24"/>
        </w:rPr>
        <w:t>邓州市环卫专用车辆采购项目</w:t>
      </w:r>
    </w:p>
    <w:p>
      <w:pPr>
        <w:widowControl/>
        <w:snapToGrid w:val="0"/>
        <w:spacing w:line="440" w:lineRule="exact"/>
        <w:rPr>
          <w:rFonts w:ascii="宋体" w:hAnsi="宋体" w:cs="宋体"/>
          <w:bCs/>
          <w:szCs w:val="24"/>
          <w:highlight w:val="none"/>
        </w:rPr>
      </w:pPr>
      <w:bookmarkStart w:id="3" w:name="_Toc29100_WPSOffice_Level2"/>
      <w:r>
        <w:rPr>
          <w:rFonts w:hint="eastAsia" w:ascii="宋体" w:hAnsi="宋体" w:cs="宋体"/>
          <w:b/>
          <w:szCs w:val="24"/>
          <w:highlight w:val="none"/>
        </w:rPr>
        <w:t>二、</w:t>
      </w:r>
      <w:r>
        <w:rPr>
          <w:rFonts w:hint="eastAsia" w:ascii="宋体" w:hAnsi="宋体" w:cs="宋体"/>
          <w:bCs/>
          <w:szCs w:val="24"/>
          <w:highlight w:val="none"/>
        </w:rPr>
        <w:t>采购项目编号：</w:t>
      </w:r>
      <w:bookmarkEnd w:id="3"/>
      <w:r>
        <w:rPr>
          <w:rFonts w:hint="eastAsia" w:ascii="宋体" w:hAnsi="宋体" w:cs="宋体"/>
          <w:bCs/>
          <w:szCs w:val="24"/>
          <w:highlight w:val="none"/>
          <w:lang w:eastAsia="zh-CN"/>
        </w:rPr>
        <w:t>邓采（</w:t>
      </w:r>
      <w:r>
        <w:rPr>
          <w:rFonts w:hint="eastAsia" w:ascii="宋体" w:hAnsi="宋体" w:cs="宋体"/>
          <w:bCs/>
          <w:szCs w:val="24"/>
          <w:highlight w:val="none"/>
          <w:lang w:val="en-US" w:eastAsia="zh-CN"/>
        </w:rPr>
        <w:t>2019）407号</w:t>
      </w:r>
      <w:r>
        <w:rPr>
          <w:rFonts w:hint="eastAsia" w:ascii="宋体" w:hAnsi="宋体" w:cs="宋体"/>
          <w:bCs/>
          <w:szCs w:val="24"/>
          <w:highlight w:val="none"/>
          <w:lang w:val="zh-CN"/>
        </w:rPr>
        <w:t xml:space="preserve">  </w:t>
      </w:r>
    </w:p>
    <w:p>
      <w:pPr>
        <w:widowControl/>
        <w:snapToGrid w:val="0"/>
        <w:spacing w:line="440" w:lineRule="exact"/>
        <w:rPr>
          <w:rFonts w:ascii="宋体" w:hAnsi="宋体" w:cs="宋体"/>
          <w:color w:val="000000"/>
          <w:szCs w:val="24"/>
          <w:u w:val="single"/>
        </w:rPr>
      </w:pPr>
      <w:bookmarkStart w:id="4" w:name="_Toc12764_WPSOffice_Level2"/>
      <w:r>
        <w:rPr>
          <w:rFonts w:hint="eastAsia" w:ascii="宋体" w:hAnsi="宋体" w:cs="宋体"/>
          <w:b/>
          <w:szCs w:val="24"/>
        </w:rPr>
        <w:t>三、</w:t>
      </w:r>
      <w:r>
        <w:rPr>
          <w:rFonts w:hint="eastAsia" w:ascii="宋体" w:hAnsi="宋体" w:cs="宋体"/>
          <w:bCs/>
          <w:szCs w:val="24"/>
        </w:rPr>
        <w:t>项目预算金额</w:t>
      </w:r>
      <w:r>
        <w:rPr>
          <w:rFonts w:hint="eastAsia" w:ascii="宋体" w:hAnsi="宋体" w:cs="宋体"/>
          <w:bCs/>
        </w:rPr>
        <w:t>(</w:t>
      </w:r>
      <w:r>
        <w:rPr>
          <w:rFonts w:hint="eastAsia" w:ascii="宋体" w:hAnsi="宋体" w:cs="宋体"/>
          <w:szCs w:val="24"/>
        </w:rPr>
        <w:t>最高投标限价）：51万元</w:t>
      </w:r>
      <w:bookmarkEnd w:id="4"/>
    </w:p>
    <w:p>
      <w:pPr>
        <w:widowControl/>
        <w:snapToGrid w:val="0"/>
        <w:spacing w:line="440" w:lineRule="exact"/>
        <w:rPr>
          <w:rFonts w:ascii="宋体" w:hAnsi="宋体" w:cs="宋体"/>
          <w:b/>
          <w:szCs w:val="24"/>
          <w:lang w:val="zh-CN"/>
        </w:rPr>
      </w:pPr>
      <w:bookmarkStart w:id="5" w:name="_Toc15080_WPSOffice_Level2"/>
      <w:r>
        <w:rPr>
          <w:rFonts w:hint="eastAsia" w:ascii="宋体" w:hAnsi="宋体" w:cs="宋体"/>
          <w:b/>
          <w:szCs w:val="24"/>
          <w:lang w:val="zh-CN"/>
        </w:rPr>
        <w:t>四、采购需求：</w:t>
      </w:r>
      <w:bookmarkEnd w:id="5"/>
      <w:r>
        <w:rPr>
          <w:rFonts w:hint="eastAsia" w:ascii="宋体" w:hAnsi="宋体" w:cs="宋体"/>
          <w:b/>
          <w:szCs w:val="24"/>
          <w:lang w:val="zh-CN"/>
        </w:rPr>
        <w:t>共一个标段</w:t>
      </w:r>
    </w:p>
    <w:tbl>
      <w:tblPr>
        <w:tblStyle w:val="26"/>
        <w:tblW w:w="892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841"/>
        <w:gridCol w:w="1024"/>
        <w:gridCol w:w="810"/>
        <w:gridCol w:w="1379"/>
        <w:gridCol w:w="1074"/>
        <w:gridCol w:w="19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897" w:type="dxa"/>
            <w:tcBorders>
              <w:top w:val="single" w:color="000000" w:sz="12" w:space="0"/>
              <w:left w:val="single" w:color="000000" w:sz="12" w:space="0"/>
              <w:bottom w:val="single" w:color="000000" w:sz="6" w:space="0"/>
              <w:right w:val="single" w:color="000000" w:sz="6" w:space="0"/>
            </w:tcBorders>
            <w:noWrap w:val="0"/>
            <w:vAlign w:val="center"/>
          </w:tcPr>
          <w:p>
            <w:pPr>
              <w:spacing w:line="440" w:lineRule="exact"/>
              <w:jc w:val="center"/>
              <w:rPr>
                <w:rStyle w:val="42"/>
                <w:b/>
                <w:bCs/>
                <w:szCs w:val="24"/>
              </w:rPr>
            </w:pPr>
            <w:r>
              <w:rPr>
                <w:rStyle w:val="42"/>
                <w:rFonts w:hint="eastAsia"/>
                <w:b/>
                <w:bCs/>
                <w:szCs w:val="24"/>
              </w:rPr>
              <w:t>序号</w:t>
            </w:r>
          </w:p>
        </w:tc>
        <w:tc>
          <w:tcPr>
            <w:tcW w:w="1841"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b/>
                <w:bCs/>
                <w:szCs w:val="24"/>
              </w:rPr>
              <w:t>设</w:t>
            </w:r>
            <w:r>
              <w:rPr>
                <w:rStyle w:val="42"/>
                <w:rFonts w:hint="eastAsia"/>
                <w:b/>
                <w:bCs/>
                <w:szCs w:val="24"/>
              </w:rPr>
              <w:t xml:space="preserve"> </w:t>
            </w:r>
            <w:r>
              <w:rPr>
                <w:rStyle w:val="42"/>
                <w:b/>
                <w:bCs/>
                <w:szCs w:val="24"/>
              </w:rPr>
              <w:t>备</w:t>
            </w:r>
            <w:r>
              <w:rPr>
                <w:rStyle w:val="42"/>
                <w:rFonts w:hint="eastAsia"/>
                <w:b/>
                <w:bCs/>
                <w:szCs w:val="24"/>
              </w:rPr>
              <w:t xml:space="preserve"> </w:t>
            </w:r>
            <w:r>
              <w:rPr>
                <w:rStyle w:val="42"/>
                <w:b/>
                <w:bCs/>
                <w:szCs w:val="24"/>
              </w:rPr>
              <w:t>名</w:t>
            </w:r>
            <w:r>
              <w:rPr>
                <w:rStyle w:val="42"/>
                <w:rFonts w:hint="eastAsia"/>
                <w:b/>
                <w:bCs/>
                <w:szCs w:val="24"/>
              </w:rPr>
              <w:t xml:space="preserve"> </w:t>
            </w:r>
            <w:r>
              <w:rPr>
                <w:rStyle w:val="42"/>
                <w:b/>
                <w:bCs/>
                <w:szCs w:val="24"/>
              </w:rPr>
              <w:t>称</w:t>
            </w:r>
          </w:p>
        </w:tc>
        <w:tc>
          <w:tcPr>
            <w:tcW w:w="1024"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b/>
                <w:bCs/>
                <w:szCs w:val="24"/>
              </w:rPr>
              <w:t>单位</w:t>
            </w:r>
          </w:p>
        </w:tc>
        <w:tc>
          <w:tcPr>
            <w:tcW w:w="810"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b/>
                <w:bCs/>
                <w:szCs w:val="24"/>
              </w:rPr>
              <w:t>数量</w:t>
            </w:r>
          </w:p>
        </w:tc>
        <w:tc>
          <w:tcPr>
            <w:tcW w:w="1379"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rFonts w:hint="eastAsia"/>
                <w:b/>
                <w:bCs/>
                <w:szCs w:val="24"/>
              </w:rPr>
              <w:t>质量标准</w:t>
            </w:r>
          </w:p>
        </w:tc>
        <w:tc>
          <w:tcPr>
            <w:tcW w:w="1074"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rFonts w:hint="eastAsia"/>
                <w:b/>
                <w:bCs/>
                <w:szCs w:val="24"/>
              </w:rPr>
              <w:t>质保期</w:t>
            </w:r>
          </w:p>
        </w:tc>
        <w:tc>
          <w:tcPr>
            <w:tcW w:w="1901" w:type="dxa"/>
            <w:tcBorders>
              <w:top w:val="single" w:color="000000" w:sz="12" w:space="0"/>
              <w:left w:val="single" w:color="000000" w:sz="6" w:space="0"/>
              <w:bottom w:val="single" w:color="000000" w:sz="6" w:space="0"/>
              <w:right w:val="single" w:color="000000" w:sz="6" w:space="0"/>
            </w:tcBorders>
            <w:noWrap w:val="0"/>
            <w:vAlign w:val="center"/>
          </w:tcPr>
          <w:p>
            <w:pPr>
              <w:spacing w:line="440" w:lineRule="exact"/>
              <w:jc w:val="center"/>
              <w:rPr>
                <w:rStyle w:val="42"/>
                <w:b/>
                <w:bCs/>
                <w:szCs w:val="24"/>
              </w:rPr>
            </w:pPr>
            <w:r>
              <w:rPr>
                <w:rStyle w:val="42"/>
                <w:rFonts w:hint="eastAsia"/>
                <w:b/>
                <w:bCs/>
                <w:szCs w:val="24"/>
              </w:rPr>
              <w:t>交货期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exact"/>
          <w:jc w:val="center"/>
        </w:trPr>
        <w:tc>
          <w:tcPr>
            <w:tcW w:w="897" w:type="dxa"/>
            <w:tcBorders>
              <w:top w:val="single" w:color="000000" w:sz="6" w:space="0"/>
              <w:left w:val="single" w:color="000000" w:sz="12" w:space="0"/>
              <w:right w:val="single" w:color="000000" w:sz="6" w:space="0"/>
            </w:tcBorders>
            <w:noWrap w:val="0"/>
            <w:vAlign w:val="center"/>
          </w:tcPr>
          <w:p>
            <w:pPr>
              <w:spacing w:line="440" w:lineRule="exact"/>
              <w:jc w:val="center"/>
              <w:rPr>
                <w:rStyle w:val="42"/>
                <w:rFonts w:eastAsia="Calibri"/>
                <w:szCs w:val="24"/>
              </w:rPr>
            </w:pPr>
            <w:r>
              <w:rPr>
                <w:rStyle w:val="42"/>
                <w:rFonts w:hint="eastAsia" w:eastAsia="Calibri"/>
                <w:szCs w:val="24"/>
              </w:rPr>
              <w:t>1</w:t>
            </w:r>
          </w:p>
        </w:tc>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szCs w:val="24"/>
              </w:rPr>
            </w:pPr>
            <w:r>
              <w:rPr>
                <w:rStyle w:val="42"/>
                <w:rFonts w:hint="eastAsia"/>
                <w:szCs w:val="24"/>
              </w:rPr>
              <w:t>吸粪车</w:t>
            </w:r>
          </w:p>
        </w:tc>
        <w:tc>
          <w:tcPr>
            <w:tcW w:w="1024"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szCs w:val="24"/>
              </w:rPr>
            </w:pPr>
            <w:r>
              <w:rPr>
                <w:rStyle w:val="42"/>
                <w:rFonts w:hint="eastAsia"/>
                <w:szCs w:val="24"/>
              </w:rPr>
              <w:t>台</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rFonts w:eastAsia="Calibri"/>
                <w:szCs w:val="24"/>
              </w:rPr>
            </w:pPr>
            <w:r>
              <w:rPr>
                <w:rStyle w:val="42"/>
                <w:rFonts w:hint="eastAsia" w:eastAsia="Calibri"/>
                <w:szCs w:val="24"/>
              </w:rPr>
              <w:t>1</w:t>
            </w:r>
          </w:p>
        </w:tc>
        <w:tc>
          <w:tcPr>
            <w:tcW w:w="1379" w:type="dxa"/>
            <w:vMerge w:val="restart"/>
            <w:tcBorders>
              <w:left w:val="single" w:color="000000" w:sz="6" w:space="0"/>
              <w:right w:val="single" w:color="000000" w:sz="6" w:space="0"/>
            </w:tcBorders>
            <w:noWrap w:val="0"/>
            <w:vAlign w:val="center"/>
          </w:tcPr>
          <w:p>
            <w:pPr>
              <w:spacing w:line="440" w:lineRule="exact"/>
              <w:jc w:val="center"/>
              <w:rPr>
                <w:rFonts w:ascii="宋体" w:hAnsi="宋体" w:cs="宋体"/>
                <w:szCs w:val="24"/>
              </w:rPr>
            </w:pPr>
            <w:r>
              <w:rPr>
                <w:rFonts w:hint="eastAsia" w:ascii="宋体" w:hAnsi="宋体" w:cs="宋体"/>
                <w:szCs w:val="24"/>
              </w:rPr>
              <w:t>国家合格标准</w:t>
            </w:r>
          </w:p>
        </w:tc>
        <w:tc>
          <w:tcPr>
            <w:tcW w:w="1074" w:type="dxa"/>
            <w:vMerge w:val="restart"/>
            <w:tcBorders>
              <w:left w:val="single" w:color="000000" w:sz="6" w:space="0"/>
              <w:right w:val="single" w:color="000000" w:sz="6" w:space="0"/>
            </w:tcBorders>
            <w:noWrap w:val="0"/>
            <w:vAlign w:val="center"/>
          </w:tcPr>
          <w:p>
            <w:pPr>
              <w:spacing w:line="440" w:lineRule="exact"/>
              <w:jc w:val="center"/>
              <w:rPr>
                <w:rFonts w:ascii="宋体" w:hAnsi="宋体" w:cs="宋体"/>
                <w:szCs w:val="24"/>
              </w:rPr>
            </w:pPr>
            <w:r>
              <w:rPr>
                <w:rFonts w:hint="eastAsia" w:ascii="宋体" w:hAnsi="宋体" w:cs="宋体"/>
                <w:szCs w:val="24"/>
              </w:rPr>
              <w:t>一年</w:t>
            </w:r>
          </w:p>
        </w:tc>
        <w:tc>
          <w:tcPr>
            <w:tcW w:w="1901" w:type="dxa"/>
            <w:vMerge w:val="restart"/>
            <w:tcBorders>
              <w:left w:val="single" w:color="000000" w:sz="6" w:space="0"/>
              <w:right w:val="single" w:color="000000" w:sz="6" w:space="0"/>
            </w:tcBorders>
            <w:noWrap w:val="0"/>
            <w:vAlign w:val="center"/>
          </w:tcPr>
          <w:p>
            <w:pPr>
              <w:spacing w:line="440" w:lineRule="exact"/>
              <w:jc w:val="center"/>
              <w:rPr>
                <w:rFonts w:ascii="宋体" w:hAnsi="宋体" w:cs="宋体"/>
                <w:szCs w:val="24"/>
              </w:rPr>
            </w:pPr>
            <w:r>
              <w:rPr>
                <w:rFonts w:hint="eastAsia" w:ascii="宋体" w:hAnsi="宋体" w:cs="宋体"/>
                <w:szCs w:val="24"/>
              </w:rPr>
              <w:t>合同签订后30日内交付使用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1" w:hRule="exact"/>
          <w:jc w:val="center"/>
        </w:trPr>
        <w:tc>
          <w:tcPr>
            <w:tcW w:w="897" w:type="dxa"/>
            <w:tcBorders>
              <w:left w:val="single" w:color="000000" w:sz="12" w:space="0"/>
              <w:bottom w:val="single" w:color="000000" w:sz="6" w:space="0"/>
              <w:right w:val="single" w:color="000000" w:sz="6" w:space="0"/>
            </w:tcBorders>
            <w:noWrap w:val="0"/>
            <w:vAlign w:val="center"/>
          </w:tcPr>
          <w:p>
            <w:pPr>
              <w:spacing w:line="440" w:lineRule="exact"/>
              <w:jc w:val="center"/>
              <w:rPr>
                <w:rStyle w:val="42"/>
                <w:rFonts w:eastAsia="Calibri"/>
                <w:szCs w:val="24"/>
              </w:rPr>
            </w:pPr>
            <w:r>
              <w:rPr>
                <w:rStyle w:val="42"/>
                <w:rFonts w:hint="eastAsia" w:eastAsia="Calibri"/>
                <w:szCs w:val="24"/>
              </w:rPr>
              <w:t>2</w:t>
            </w:r>
          </w:p>
        </w:tc>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rFonts w:eastAsia="Calibri"/>
                <w:szCs w:val="24"/>
              </w:rPr>
            </w:pPr>
            <w:r>
              <w:rPr>
                <w:rStyle w:val="42"/>
                <w:rFonts w:hint="eastAsia" w:eastAsia="Calibri"/>
                <w:szCs w:val="24"/>
              </w:rPr>
              <w:t>喷</w:t>
            </w:r>
            <w:r>
              <w:rPr>
                <w:rStyle w:val="42"/>
                <w:rFonts w:hint="eastAsia"/>
                <w:szCs w:val="24"/>
              </w:rPr>
              <w:t>洒</w:t>
            </w:r>
            <w:r>
              <w:rPr>
                <w:rStyle w:val="42"/>
                <w:rFonts w:hint="eastAsia" w:eastAsia="Calibri"/>
                <w:szCs w:val="24"/>
              </w:rPr>
              <w:t>车</w:t>
            </w:r>
          </w:p>
        </w:tc>
        <w:tc>
          <w:tcPr>
            <w:tcW w:w="1024"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rFonts w:eastAsia="Calibri"/>
                <w:szCs w:val="24"/>
              </w:rPr>
            </w:pPr>
            <w:r>
              <w:rPr>
                <w:rStyle w:val="42"/>
                <w:rFonts w:hint="eastAsia"/>
                <w:szCs w:val="24"/>
              </w:rPr>
              <w:t>台</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Style w:val="42"/>
                <w:rFonts w:eastAsia="Calibri"/>
                <w:szCs w:val="24"/>
              </w:rPr>
            </w:pPr>
            <w:r>
              <w:rPr>
                <w:rStyle w:val="42"/>
                <w:rFonts w:hint="eastAsia" w:eastAsia="Calibri"/>
                <w:szCs w:val="24"/>
              </w:rPr>
              <w:t>1</w:t>
            </w:r>
          </w:p>
        </w:tc>
        <w:tc>
          <w:tcPr>
            <w:tcW w:w="1379" w:type="dxa"/>
            <w:vMerge w:val="continue"/>
            <w:tcBorders>
              <w:left w:val="single" w:color="000000" w:sz="6" w:space="0"/>
              <w:bottom w:val="single" w:color="000000" w:sz="6" w:space="0"/>
              <w:right w:val="single" w:color="000000" w:sz="6" w:space="0"/>
            </w:tcBorders>
            <w:noWrap w:val="0"/>
            <w:vAlign w:val="center"/>
          </w:tcPr>
          <w:p>
            <w:pPr>
              <w:spacing w:line="440" w:lineRule="exact"/>
              <w:jc w:val="center"/>
              <w:rPr>
                <w:rFonts w:ascii="宋体" w:hAnsi="宋体" w:cs="宋体"/>
                <w:szCs w:val="24"/>
              </w:rPr>
            </w:pPr>
          </w:p>
        </w:tc>
        <w:tc>
          <w:tcPr>
            <w:tcW w:w="1074" w:type="dxa"/>
            <w:vMerge w:val="continue"/>
            <w:tcBorders>
              <w:left w:val="single" w:color="000000" w:sz="6" w:space="0"/>
              <w:bottom w:val="single" w:color="000000" w:sz="6" w:space="0"/>
              <w:right w:val="single" w:color="000000" w:sz="6" w:space="0"/>
            </w:tcBorders>
            <w:noWrap w:val="0"/>
            <w:vAlign w:val="center"/>
          </w:tcPr>
          <w:p>
            <w:pPr>
              <w:spacing w:line="440" w:lineRule="exact"/>
              <w:jc w:val="center"/>
              <w:rPr>
                <w:rFonts w:ascii="宋体" w:hAnsi="宋体" w:cs="宋体"/>
                <w:szCs w:val="24"/>
              </w:rPr>
            </w:pPr>
          </w:p>
        </w:tc>
        <w:tc>
          <w:tcPr>
            <w:tcW w:w="1901" w:type="dxa"/>
            <w:vMerge w:val="continue"/>
            <w:tcBorders>
              <w:left w:val="single" w:color="000000" w:sz="6" w:space="0"/>
              <w:bottom w:val="single" w:color="000000" w:sz="6" w:space="0"/>
              <w:right w:val="single" w:color="000000" w:sz="6" w:space="0"/>
            </w:tcBorders>
            <w:noWrap w:val="0"/>
            <w:vAlign w:val="center"/>
          </w:tcPr>
          <w:p>
            <w:pPr>
              <w:spacing w:line="440" w:lineRule="exact"/>
              <w:jc w:val="center"/>
              <w:rPr>
                <w:rFonts w:ascii="宋体" w:hAnsi="宋体" w:cs="宋体"/>
                <w:szCs w:val="24"/>
              </w:rPr>
            </w:pPr>
          </w:p>
        </w:tc>
      </w:tr>
    </w:tbl>
    <w:p>
      <w:pPr>
        <w:numPr>
          <w:ilvl w:val="0"/>
          <w:numId w:val="1"/>
        </w:numPr>
        <w:autoSpaceDE/>
        <w:autoSpaceDN/>
        <w:spacing w:line="420" w:lineRule="exact"/>
        <w:rPr>
          <w:rFonts w:ascii="宋体" w:hAnsi="宋体" w:eastAsia="宋体" w:cs="宋体"/>
          <w:b/>
          <w:szCs w:val="24"/>
          <w:lang w:val="zh-CN"/>
        </w:rPr>
      </w:pPr>
      <w:bookmarkStart w:id="6" w:name="_Toc21728_WPSOffice_Level2"/>
      <w:r>
        <w:rPr>
          <w:rFonts w:hint="eastAsia" w:ascii="宋体" w:hAnsi="宋体" w:eastAsia="宋体" w:cs="宋体"/>
          <w:b/>
          <w:szCs w:val="24"/>
          <w:lang w:val="zh-CN"/>
        </w:rPr>
        <w:t>采购项目需要落实的政府采购政策：</w:t>
      </w:r>
      <w:bookmarkEnd w:id="6"/>
    </w:p>
    <w:p>
      <w:pPr>
        <w:pStyle w:val="23"/>
        <w:keepNext w:val="0"/>
        <w:keepLines w:val="0"/>
        <w:pageBreakBefore w:val="0"/>
        <w:kinsoku/>
        <w:wordWrap/>
        <w:overflowPunct/>
        <w:topLinePunct w:val="0"/>
        <w:autoSpaceDE/>
        <w:autoSpaceDN/>
        <w:bidi w:val="0"/>
        <w:adjustRightInd w:val="0"/>
        <w:spacing w:beforeAutospacing="0" w:afterAutospacing="0" w:line="400" w:lineRule="exact"/>
        <w:ind w:firstLine="420" w:firstLineChars="175"/>
        <w:jc w:val="both"/>
        <w:textAlignment w:val="auto"/>
        <w:rPr>
          <w:rFonts w:ascii="宋体" w:hAnsi="宋体" w:eastAsia="宋体" w:cs="宋体"/>
          <w:bCs/>
          <w:szCs w:val="24"/>
          <w:lang w:val="zh-CN"/>
        </w:rPr>
      </w:pPr>
      <w:r>
        <w:rPr>
          <w:rFonts w:hint="eastAsia" w:ascii="宋体" w:hAnsi="宋体" w:eastAsia="宋体" w:cs="宋体"/>
          <w:bCs/>
          <w:szCs w:val="24"/>
        </w:rPr>
        <w:t>1、</w:t>
      </w:r>
      <w:r>
        <w:rPr>
          <w:rFonts w:hint="eastAsia" w:ascii="宋体" w:hAnsi="宋体" w:eastAsia="宋体" w:cs="宋体"/>
          <w:bCs/>
          <w:szCs w:val="24"/>
          <w:lang w:val="zh-CN"/>
        </w:rPr>
        <w:t>执行《财政部、国家发展改革委关于印发〈节能产品政府采购实施意见〉的通知》（财库[2004]185号）；</w:t>
      </w:r>
    </w:p>
    <w:p>
      <w:pPr>
        <w:pStyle w:val="23"/>
        <w:keepNext w:val="0"/>
        <w:keepLines w:val="0"/>
        <w:pageBreakBefore w:val="0"/>
        <w:kinsoku/>
        <w:wordWrap/>
        <w:overflowPunct/>
        <w:topLinePunct w:val="0"/>
        <w:autoSpaceDE/>
        <w:autoSpaceDN/>
        <w:bidi w:val="0"/>
        <w:adjustRightInd w:val="0"/>
        <w:spacing w:beforeAutospacing="0" w:afterAutospacing="0" w:line="400" w:lineRule="exact"/>
        <w:ind w:firstLine="420" w:firstLineChars="175"/>
        <w:jc w:val="both"/>
        <w:textAlignment w:val="auto"/>
        <w:rPr>
          <w:rFonts w:ascii="宋体" w:hAnsi="宋体" w:eastAsia="宋体" w:cs="宋体"/>
          <w:bCs/>
          <w:szCs w:val="24"/>
          <w:lang w:val="zh-CN"/>
        </w:rPr>
      </w:pPr>
      <w:r>
        <w:rPr>
          <w:rFonts w:hint="eastAsia" w:ascii="宋体" w:hAnsi="宋体" w:eastAsia="宋体" w:cs="宋体"/>
          <w:bCs/>
          <w:szCs w:val="24"/>
        </w:rPr>
        <w:t>2、</w:t>
      </w:r>
      <w:r>
        <w:rPr>
          <w:rFonts w:hint="eastAsia" w:ascii="宋体" w:hAnsi="宋体" w:eastAsia="宋体" w:cs="宋体"/>
          <w:bCs/>
          <w:szCs w:val="24"/>
          <w:lang w:val="zh-CN"/>
        </w:rPr>
        <w:t>执行《财政部、环保总局关于环境标志产品政府采购实施的意见》（财库[2006]90号）；</w:t>
      </w:r>
    </w:p>
    <w:p>
      <w:pPr>
        <w:pStyle w:val="23"/>
        <w:keepNext w:val="0"/>
        <w:keepLines w:val="0"/>
        <w:pageBreakBefore w:val="0"/>
        <w:kinsoku/>
        <w:wordWrap/>
        <w:overflowPunct/>
        <w:topLinePunct w:val="0"/>
        <w:autoSpaceDE/>
        <w:autoSpaceDN/>
        <w:bidi w:val="0"/>
        <w:adjustRightInd w:val="0"/>
        <w:spacing w:beforeAutospacing="0" w:afterAutospacing="0" w:line="400" w:lineRule="exact"/>
        <w:ind w:firstLine="420" w:firstLineChars="175"/>
        <w:jc w:val="both"/>
        <w:textAlignment w:val="auto"/>
        <w:rPr>
          <w:rFonts w:ascii="宋体" w:hAnsi="宋体" w:eastAsia="宋体" w:cs="宋体"/>
          <w:bCs/>
          <w:szCs w:val="24"/>
          <w:lang w:val="zh-CN"/>
        </w:rPr>
      </w:pPr>
      <w:r>
        <w:rPr>
          <w:rFonts w:hint="eastAsia" w:ascii="宋体" w:hAnsi="宋体" w:eastAsia="宋体" w:cs="宋体"/>
          <w:bCs/>
          <w:szCs w:val="24"/>
        </w:rPr>
        <w:t>3、</w:t>
      </w:r>
      <w:r>
        <w:rPr>
          <w:rFonts w:hint="eastAsia" w:ascii="宋体" w:hAnsi="宋体" w:eastAsia="宋体" w:cs="宋体"/>
          <w:bCs/>
          <w:szCs w:val="24"/>
          <w:lang w:val="zh-CN"/>
        </w:rPr>
        <w:t>执行《政府采购促进中小企业发展暂行办法》（财库[2011]181号）；</w:t>
      </w:r>
    </w:p>
    <w:p>
      <w:pPr>
        <w:pStyle w:val="23"/>
        <w:keepNext w:val="0"/>
        <w:keepLines w:val="0"/>
        <w:pageBreakBefore w:val="0"/>
        <w:kinsoku/>
        <w:wordWrap/>
        <w:overflowPunct/>
        <w:topLinePunct w:val="0"/>
        <w:autoSpaceDE/>
        <w:autoSpaceDN/>
        <w:bidi w:val="0"/>
        <w:adjustRightInd w:val="0"/>
        <w:spacing w:beforeAutospacing="0" w:afterAutospacing="0" w:line="400" w:lineRule="exact"/>
        <w:ind w:firstLine="420" w:firstLineChars="175"/>
        <w:jc w:val="both"/>
        <w:textAlignment w:val="auto"/>
        <w:rPr>
          <w:rFonts w:ascii="宋体" w:hAnsi="宋体" w:eastAsia="宋体" w:cs="宋体"/>
          <w:bCs/>
          <w:szCs w:val="24"/>
          <w:lang w:val="zh-CN"/>
        </w:rPr>
      </w:pPr>
      <w:r>
        <w:rPr>
          <w:rFonts w:hint="eastAsia" w:ascii="宋体" w:hAnsi="宋体" w:eastAsia="宋体" w:cs="宋体"/>
          <w:bCs/>
          <w:szCs w:val="24"/>
        </w:rPr>
        <w:t>4、</w:t>
      </w:r>
      <w:r>
        <w:rPr>
          <w:rFonts w:hint="eastAsia" w:ascii="宋体" w:hAnsi="宋体" w:eastAsia="宋体" w:cs="宋体"/>
          <w:bCs/>
          <w:szCs w:val="24"/>
          <w:lang w:val="zh-CN"/>
        </w:rPr>
        <w:t>执行《财政部、司法部关于政府采购支持监狱企业发展有关问题的通知》（财库[2014]68号）；</w:t>
      </w:r>
    </w:p>
    <w:p>
      <w:pPr>
        <w:pStyle w:val="23"/>
        <w:keepNext w:val="0"/>
        <w:keepLines w:val="0"/>
        <w:pageBreakBefore w:val="0"/>
        <w:kinsoku/>
        <w:wordWrap/>
        <w:overflowPunct/>
        <w:topLinePunct w:val="0"/>
        <w:autoSpaceDE/>
        <w:autoSpaceDN/>
        <w:bidi w:val="0"/>
        <w:adjustRightInd w:val="0"/>
        <w:spacing w:beforeAutospacing="0" w:afterAutospacing="0" w:line="400" w:lineRule="exact"/>
        <w:ind w:firstLine="420" w:firstLineChars="175"/>
        <w:jc w:val="both"/>
        <w:textAlignment w:val="auto"/>
        <w:rPr>
          <w:rFonts w:ascii="宋体" w:hAnsi="宋体" w:eastAsia="宋体" w:cs="宋体"/>
          <w:bCs/>
          <w:szCs w:val="24"/>
          <w:lang w:val="zh-CN"/>
        </w:rPr>
      </w:pPr>
      <w:r>
        <w:rPr>
          <w:rFonts w:hint="eastAsia" w:ascii="宋体" w:hAnsi="宋体" w:eastAsia="宋体" w:cs="宋体"/>
          <w:bCs/>
          <w:szCs w:val="24"/>
        </w:rPr>
        <w:t>5、</w:t>
      </w:r>
      <w:r>
        <w:rPr>
          <w:rFonts w:hint="eastAsia" w:ascii="宋体" w:hAnsi="宋体" w:eastAsia="宋体" w:cs="宋体"/>
          <w:bCs/>
          <w:szCs w:val="24"/>
          <w:lang w:val="zh-CN"/>
        </w:rPr>
        <w:t>执行《三部门联合发布关于促进残疾人就业政府采购政策的通知》（财库[2017]141号）。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val="0"/>
        <w:spacing w:line="400" w:lineRule="exact"/>
        <w:textAlignment w:val="auto"/>
        <w:rPr>
          <w:rFonts w:ascii="宋体" w:hAnsi="宋体" w:eastAsia="宋体" w:cs="宋体"/>
          <w:b/>
          <w:szCs w:val="24"/>
          <w:lang w:val="zh-CN"/>
        </w:rPr>
      </w:pPr>
      <w:bookmarkStart w:id="7" w:name="_Toc29137_WPSOffice_Level2"/>
      <w:r>
        <w:rPr>
          <w:rFonts w:hint="eastAsia" w:ascii="宋体" w:hAnsi="宋体" w:eastAsia="宋体" w:cs="宋体"/>
          <w:b/>
          <w:szCs w:val="24"/>
          <w:lang w:val="zh-CN"/>
        </w:rPr>
        <w:t>六、供应商资格要求：</w:t>
      </w:r>
      <w:bookmarkEnd w:id="7"/>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1、符合《中华人民共和国政府采购法》第二十二条、《中华人民共和国政府采购法实施条例》第十七条规定。</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2、投标人应具有法人资格，具有有效的相应经营范围的营业执照。</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cs="宋体"/>
          <w:szCs w:val="21"/>
        </w:rPr>
        <w:t>3、</w:t>
      </w:r>
      <w:r>
        <w:rPr>
          <w:rFonts w:hint="eastAsia" w:ascii="宋体" w:hAnsi="宋体" w:eastAsia="宋体" w:cs="宋体"/>
          <w:szCs w:val="24"/>
        </w:rPr>
        <w:t>具有良好的商业信誉和健全的财务会计管理制度（提供2018年经审计的财务报告；如截止到开标时间投标人成立时间不足年限的，须提供近三个月内其基本开户银行出具的资信证明）；</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4、有依法缴纳税收和社会保障资金的良好记录（提供2019年1月以来任意3个月纳税和社保证明材料）；</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5、参加政府采购活动前三年内，在经营活动中没有重大违法记录。（投标人需提供近三年无重大违法记录的书面声明。）</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7、本次招标不接受联合体投标。</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b/>
          <w:szCs w:val="24"/>
        </w:rPr>
      </w:pPr>
      <w:bookmarkStart w:id="8" w:name="_Toc31714_WPSOffice_Level2"/>
      <w:r>
        <w:rPr>
          <w:rFonts w:hint="eastAsia" w:ascii="宋体" w:hAnsi="宋体" w:eastAsia="宋体" w:cs="宋体"/>
          <w:b/>
          <w:szCs w:val="24"/>
        </w:rPr>
        <w:t>七、是否接受进口产品：否</w:t>
      </w:r>
      <w:bookmarkEnd w:id="8"/>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b/>
          <w:szCs w:val="24"/>
        </w:rPr>
      </w:pPr>
      <w:bookmarkStart w:id="9" w:name="_Toc5813_WPSOffice_Level2"/>
      <w:r>
        <w:rPr>
          <w:rFonts w:hint="eastAsia" w:ascii="宋体" w:hAnsi="宋体" w:eastAsia="宋体" w:cs="宋体"/>
          <w:b/>
          <w:szCs w:val="24"/>
        </w:rPr>
        <w:t>八、</w:t>
      </w:r>
      <w:bookmarkEnd w:id="9"/>
      <w:r>
        <w:rPr>
          <w:rFonts w:hint="eastAsia" w:ascii="宋体" w:hAnsi="宋体" w:eastAsia="宋体" w:cs="宋体"/>
          <w:b/>
          <w:szCs w:val="24"/>
        </w:rPr>
        <w:t>投标报名及招标文件的获取：</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bookmarkStart w:id="10" w:name="_Toc18457_WPSOffice_Level2"/>
      <w:r>
        <w:rPr>
          <w:rFonts w:hint="eastAsia" w:ascii="宋体" w:hAnsi="宋体" w:eastAsia="宋体" w:cs="宋体"/>
          <w:szCs w:val="24"/>
        </w:rPr>
        <w:t>8.1企业诚信库注册及 CA 办理</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本项目只接受邓州市公共资源电子交易平台中已加入企业诚信库的企业报名，由于邓州市交易中心启用新版电子交易系统，已在旧版系统中注册的各交易主体应重新在新版交易系统中注册完善相关信息后绑定原 CA 证书，新注册的各交易主体直接在新版交易系统中注册完善相关信息并绑定 CA 证书（详见邓州市公共资源交易中心网站《关于启用新版电子交易系统的通知》，请各潜在投标人按邓州市公共资源交易中心网站规定及时办理，未按邓州市交易中心规定办理相关手续导致无法参与投标的，投标人责任自负）。</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CA 数字证书办理咨询电话：13283794990。</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8.2报名时间：</w:t>
      </w:r>
      <w:r>
        <w:rPr>
          <w:rFonts w:hint="eastAsia" w:ascii="宋体" w:hAnsi="宋体" w:eastAsia="宋体" w:cs="宋体"/>
          <w:color w:val="auto"/>
          <w:szCs w:val="24"/>
          <w:highlight w:val="none"/>
        </w:rPr>
        <w:t>2019 年11月4日 08：00 至 2019 年11月11日 18：00</w:t>
      </w:r>
      <w:r>
        <w:rPr>
          <w:rFonts w:hint="eastAsia" w:ascii="宋体" w:hAnsi="宋体" w:eastAsia="宋体" w:cs="宋体"/>
          <w:szCs w:val="24"/>
        </w:rPr>
        <w:t>（北京时间）。</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8.3报名方法：本项目只接受邓州市公共资源交易系统网上报名，不接受其它形式报名。潜在投标人报名需通过邓州市公共资源交易网新版系统首页（右侧“投标单位登录”入口登录交易系统进行网上报名。（详见邓州市公共资源交易网下载专区《投标人操作手册》）</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highlight w:val="none"/>
        </w:rPr>
      </w:pPr>
      <w:r>
        <w:rPr>
          <w:rFonts w:hint="eastAsia" w:ascii="宋体" w:hAnsi="宋体" w:eastAsia="宋体" w:cs="宋体"/>
          <w:szCs w:val="24"/>
        </w:rPr>
        <w:t>8.4招标文件获取方法：潜在投标人网上报名成功后，即可在交易系统中直接下载招标文件，招标文件下载时间：</w:t>
      </w:r>
      <w:r>
        <w:rPr>
          <w:rFonts w:hint="eastAsia" w:ascii="宋体" w:hAnsi="宋体" w:eastAsia="宋体" w:cs="宋体"/>
          <w:szCs w:val="24"/>
          <w:highlight w:val="none"/>
        </w:rPr>
        <w:t>2019 年11月4日 08：00 至 2019 年11月11日 18：00。</w:t>
      </w:r>
    </w:p>
    <w:p>
      <w:pPr>
        <w:keepNext w:val="0"/>
        <w:keepLines w:val="0"/>
        <w:pageBreakBefore w:val="0"/>
        <w:kinsoku/>
        <w:wordWrap/>
        <w:overflowPunct/>
        <w:topLinePunct w:val="0"/>
        <w:autoSpaceDE/>
        <w:autoSpaceDN/>
        <w:bidi w:val="0"/>
        <w:adjustRightInd w:val="0"/>
        <w:spacing w:line="400" w:lineRule="exact"/>
        <w:ind w:left="8" w:hanging="8"/>
        <w:textAlignment w:val="auto"/>
        <w:rPr>
          <w:rFonts w:ascii="宋体" w:hAnsi="宋体" w:eastAsia="宋体" w:cs="宋体"/>
          <w:b/>
          <w:szCs w:val="24"/>
        </w:rPr>
      </w:pPr>
      <w:r>
        <w:rPr>
          <w:rFonts w:hint="eastAsia" w:ascii="宋体" w:hAnsi="宋体" w:eastAsia="宋体" w:cs="宋体"/>
          <w:b/>
          <w:szCs w:val="24"/>
        </w:rPr>
        <w:t>重要提示：</w:t>
      </w:r>
    </w:p>
    <w:p>
      <w:pPr>
        <w:pStyle w:val="40"/>
        <w:keepNext w:val="0"/>
        <w:keepLines w:val="0"/>
        <w:pageBreakBefore w:val="0"/>
        <w:kinsoku/>
        <w:wordWrap/>
        <w:overflowPunct/>
        <w:topLinePunct w:val="0"/>
        <w:autoSpaceDE/>
        <w:autoSpaceDN/>
        <w:bidi w:val="0"/>
        <w:adjustRightInd w:val="0"/>
        <w:spacing w:line="400" w:lineRule="exact"/>
        <w:ind w:right="127" w:rightChars="53" w:firstLine="429" w:firstLineChars="184"/>
        <w:jc w:val="both"/>
        <w:textAlignment w:val="auto"/>
        <w:rPr>
          <w:rFonts w:ascii="宋体" w:hAnsi="宋体" w:eastAsia="宋体" w:cs="宋体"/>
          <w:b/>
          <w:spacing w:val="-4"/>
          <w:szCs w:val="24"/>
        </w:rPr>
      </w:pPr>
      <w:r>
        <w:rPr>
          <w:rFonts w:hint="eastAsia" w:ascii="宋体" w:hAnsi="宋体" w:eastAsia="宋体" w:cs="宋体"/>
          <w:b/>
          <w:spacing w:val="-4"/>
          <w:szCs w:val="24"/>
        </w:rPr>
        <w:t>（1）投标报名、招标文件获取等均有时间要求，错过时间后将无法完成操作，一切后果由潜在投标人自负。</w:t>
      </w:r>
    </w:p>
    <w:p>
      <w:pPr>
        <w:pStyle w:val="40"/>
        <w:keepNext w:val="0"/>
        <w:keepLines w:val="0"/>
        <w:pageBreakBefore w:val="0"/>
        <w:kinsoku/>
        <w:wordWrap/>
        <w:overflowPunct/>
        <w:topLinePunct w:val="0"/>
        <w:autoSpaceDE/>
        <w:autoSpaceDN/>
        <w:bidi w:val="0"/>
        <w:adjustRightInd w:val="0"/>
        <w:spacing w:line="400" w:lineRule="exact"/>
        <w:ind w:right="127" w:rightChars="53" w:firstLine="429" w:firstLineChars="184"/>
        <w:jc w:val="both"/>
        <w:textAlignment w:val="auto"/>
        <w:rPr>
          <w:rFonts w:ascii="宋体" w:hAnsi="宋体" w:eastAsia="宋体" w:cs="宋体"/>
          <w:b/>
          <w:spacing w:val="-4"/>
          <w:szCs w:val="24"/>
        </w:rPr>
      </w:pPr>
      <w:r>
        <w:rPr>
          <w:rFonts w:hint="eastAsia" w:ascii="宋体" w:hAnsi="宋体" w:eastAsia="宋体" w:cs="宋体"/>
          <w:b/>
          <w:spacing w:val="-4"/>
          <w:szCs w:val="24"/>
        </w:rPr>
        <w:t>（2）潜在投标人务必在获取招标文件时间内完成招标文件下载并确保文件下载完整（电子版招标文件及相关附件一并下载），获取时间截止后将无法下载任何招标文件内容，若由此原因影响投标文件制作、投标文件递交、投标文件解密等情况，造成的损失由投标企业自行承担。</w:t>
      </w:r>
    </w:p>
    <w:p>
      <w:pPr>
        <w:pStyle w:val="40"/>
        <w:keepNext w:val="0"/>
        <w:keepLines w:val="0"/>
        <w:pageBreakBefore w:val="0"/>
        <w:kinsoku/>
        <w:wordWrap/>
        <w:overflowPunct/>
        <w:topLinePunct w:val="0"/>
        <w:autoSpaceDE/>
        <w:autoSpaceDN/>
        <w:bidi w:val="0"/>
        <w:adjustRightInd w:val="0"/>
        <w:spacing w:line="400" w:lineRule="exact"/>
        <w:ind w:right="127" w:rightChars="53" w:firstLine="429" w:firstLineChars="184"/>
        <w:jc w:val="both"/>
        <w:textAlignment w:val="auto"/>
        <w:rPr>
          <w:rFonts w:ascii="宋体" w:hAnsi="宋体" w:eastAsia="宋体" w:cs="宋体"/>
          <w:b/>
          <w:spacing w:val="-4"/>
          <w:szCs w:val="24"/>
        </w:rPr>
      </w:pPr>
      <w:r>
        <w:rPr>
          <w:rFonts w:hint="eastAsia" w:ascii="宋体" w:hAnsi="宋体" w:eastAsia="宋体" w:cs="宋体"/>
          <w:b/>
          <w:spacing w:val="-4"/>
          <w:szCs w:val="24"/>
        </w:rPr>
        <w:t>（3）投标人（供应商）应委派法定代表人（携带个人身份证原件及法定代表人身份证明）或其授权委托人（携带个人身份证原件及授权委托书）携带 CA 密匙参加开标会议，否则将不予接受投标文件。</w:t>
      </w:r>
    </w:p>
    <w:p>
      <w:pPr>
        <w:pStyle w:val="40"/>
        <w:keepNext w:val="0"/>
        <w:keepLines w:val="0"/>
        <w:pageBreakBefore w:val="0"/>
        <w:kinsoku/>
        <w:wordWrap/>
        <w:overflowPunct/>
        <w:topLinePunct w:val="0"/>
        <w:autoSpaceDE/>
        <w:autoSpaceDN/>
        <w:bidi w:val="0"/>
        <w:adjustRightInd w:val="0"/>
        <w:spacing w:line="400" w:lineRule="exact"/>
        <w:ind w:right="127" w:rightChars="53" w:firstLine="429" w:firstLineChars="184"/>
        <w:jc w:val="both"/>
        <w:textAlignment w:val="auto"/>
        <w:rPr>
          <w:rFonts w:ascii="宋体" w:hAnsi="宋体" w:eastAsia="宋体" w:cs="宋体"/>
          <w:b/>
          <w:spacing w:val="-4"/>
          <w:szCs w:val="24"/>
        </w:rPr>
      </w:pPr>
      <w:r>
        <w:rPr>
          <w:rFonts w:hint="eastAsia" w:ascii="宋体" w:hAnsi="宋体" w:eastAsia="宋体" w:cs="宋体"/>
          <w:b/>
          <w:spacing w:val="-4"/>
          <w:szCs w:val="24"/>
        </w:rPr>
        <w:t>（4）在邓州市公共资源交易中心电子招标运行初期，原则上进行电子评标，如电子评标系统由于各种非投标人原因导致无法电子评标的，评标委员会有转为纸质评标的权利，不再对投标人解释，请各投标人悉知。</w:t>
      </w:r>
    </w:p>
    <w:p>
      <w:pPr>
        <w:pStyle w:val="40"/>
        <w:keepNext w:val="0"/>
        <w:keepLines w:val="0"/>
        <w:pageBreakBefore w:val="0"/>
        <w:kinsoku/>
        <w:wordWrap/>
        <w:overflowPunct/>
        <w:topLinePunct w:val="0"/>
        <w:autoSpaceDE/>
        <w:autoSpaceDN/>
        <w:bidi w:val="0"/>
        <w:adjustRightInd w:val="0"/>
        <w:spacing w:line="400" w:lineRule="exact"/>
        <w:ind w:right="127" w:rightChars="53" w:firstLine="429" w:firstLineChars="184"/>
        <w:jc w:val="both"/>
        <w:textAlignment w:val="auto"/>
        <w:rPr>
          <w:rFonts w:ascii="宋体" w:hAnsi="宋体" w:eastAsia="宋体" w:cs="宋体"/>
          <w:b/>
          <w:szCs w:val="24"/>
        </w:rPr>
      </w:pPr>
      <w:r>
        <w:rPr>
          <w:rFonts w:hint="eastAsia" w:ascii="宋体" w:hAnsi="宋体" w:eastAsia="宋体" w:cs="宋体"/>
          <w:b/>
          <w:spacing w:val="-4"/>
          <w:szCs w:val="24"/>
        </w:rPr>
        <w:t>（5）各潜在投标人请及时关注网站更新信息，若因为其他原因未能及时看到网上更新信息而造成的损失，采购人及采购代理机构将不负任何责任。</w:t>
      </w:r>
    </w:p>
    <w:bookmarkEnd w:id="10"/>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b/>
          <w:szCs w:val="24"/>
        </w:rPr>
      </w:pPr>
      <w:bookmarkStart w:id="11" w:name="_Toc18088_WPSOffice_Level2"/>
      <w:r>
        <w:rPr>
          <w:rFonts w:hint="eastAsia" w:ascii="宋体" w:hAnsi="宋体" w:eastAsia="宋体" w:cs="宋体"/>
          <w:b/>
          <w:szCs w:val="24"/>
        </w:rPr>
        <w:t>九、投标截止时间（投标文件递交/上传截止时间）及地点</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color w:val="auto"/>
          <w:szCs w:val="24"/>
        </w:rPr>
      </w:pPr>
      <w:r>
        <w:rPr>
          <w:rFonts w:hint="eastAsia" w:ascii="宋体" w:hAnsi="宋体" w:eastAsia="宋体" w:cs="宋体"/>
          <w:szCs w:val="24"/>
        </w:rPr>
        <w:t>9.1投标截止时间：</w:t>
      </w:r>
      <w:r>
        <w:rPr>
          <w:rFonts w:hint="eastAsia" w:ascii="宋体" w:hAnsi="宋体" w:eastAsia="宋体" w:cs="宋体"/>
          <w:color w:val="auto"/>
          <w:szCs w:val="24"/>
        </w:rPr>
        <w:t>2019 年</w:t>
      </w:r>
      <w:r>
        <w:rPr>
          <w:rFonts w:hint="eastAsia" w:ascii="宋体" w:hAnsi="宋体" w:cs="宋体"/>
          <w:color w:val="auto"/>
          <w:szCs w:val="24"/>
          <w:lang w:val="en-US" w:eastAsia="zh-CN"/>
        </w:rPr>
        <w:t>11</w:t>
      </w:r>
      <w:r>
        <w:rPr>
          <w:rFonts w:hint="eastAsia" w:ascii="宋体" w:hAnsi="宋体" w:eastAsia="宋体" w:cs="宋体"/>
          <w:color w:val="auto"/>
          <w:szCs w:val="24"/>
        </w:rPr>
        <w:t>月</w:t>
      </w:r>
      <w:r>
        <w:rPr>
          <w:rFonts w:hint="eastAsia" w:ascii="宋体" w:hAnsi="宋体" w:cs="宋体"/>
          <w:color w:val="auto"/>
          <w:szCs w:val="24"/>
          <w:lang w:val="en-US" w:eastAsia="zh-CN"/>
        </w:rPr>
        <w:t>27</w:t>
      </w:r>
      <w:r>
        <w:rPr>
          <w:rFonts w:hint="eastAsia" w:ascii="宋体" w:hAnsi="宋体" w:eastAsia="宋体" w:cs="宋体"/>
          <w:color w:val="auto"/>
          <w:szCs w:val="24"/>
        </w:rPr>
        <w:t>日</w:t>
      </w:r>
      <w:r>
        <w:rPr>
          <w:rFonts w:hint="eastAsia" w:ascii="宋体" w:hAnsi="宋体" w:cs="宋体"/>
          <w:color w:val="auto"/>
          <w:szCs w:val="24"/>
          <w:lang w:val="en-US" w:eastAsia="zh-CN"/>
        </w:rPr>
        <w:t>9</w:t>
      </w:r>
      <w:r>
        <w:rPr>
          <w:rFonts w:hint="eastAsia" w:ascii="宋体" w:hAnsi="宋体" w:eastAsia="宋体" w:cs="宋体"/>
          <w:color w:val="auto"/>
          <w:szCs w:val="24"/>
        </w:rPr>
        <w:t>时</w:t>
      </w:r>
      <w:r>
        <w:rPr>
          <w:rFonts w:hint="eastAsia" w:ascii="宋体" w:hAnsi="宋体" w:cs="宋体"/>
          <w:color w:val="auto"/>
          <w:szCs w:val="24"/>
          <w:lang w:val="en-US" w:eastAsia="zh-CN"/>
        </w:rPr>
        <w:t>00</w:t>
      </w:r>
      <w:r>
        <w:rPr>
          <w:rFonts w:hint="eastAsia" w:ascii="宋体" w:hAnsi="宋体" w:eastAsia="宋体" w:cs="宋体"/>
          <w:color w:val="auto"/>
          <w:szCs w:val="24"/>
        </w:rPr>
        <w:t>分整（北京时间）。</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color w:val="auto"/>
          <w:szCs w:val="24"/>
        </w:rPr>
      </w:pPr>
      <w:r>
        <w:rPr>
          <w:rFonts w:hint="eastAsia" w:ascii="宋体" w:hAnsi="宋体" w:eastAsia="宋体" w:cs="宋体"/>
          <w:color w:val="auto"/>
          <w:szCs w:val="24"/>
        </w:rPr>
        <w:t>9.2投标地点：邓州市公共资源交易中心</w:t>
      </w:r>
      <w:r>
        <w:rPr>
          <w:rFonts w:hint="eastAsia" w:ascii="宋体" w:hAnsi="宋体" w:cs="宋体"/>
          <w:color w:val="auto"/>
          <w:szCs w:val="24"/>
          <w:lang w:eastAsia="zh-CN"/>
        </w:rPr>
        <w:t>十楼</w:t>
      </w:r>
      <w:r>
        <w:rPr>
          <w:rFonts w:hint="eastAsia" w:ascii="宋体" w:hAnsi="宋体" w:eastAsia="宋体" w:cs="宋体"/>
          <w:color w:val="auto"/>
          <w:szCs w:val="24"/>
        </w:rPr>
        <w:t>第一开标室；</w:t>
      </w:r>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r>
        <w:rPr>
          <w:rFonts w:hint="eastAsia" w:ascii="宋体" w:hAnsi="宋体" w:eastAsia="宋体" w:cs="宋体"/>
          <w:szCs w:val="24"/>
        </w:rPr>
        <w:t>9.3投标人应在截止时间前通过邓州市公共资源交易平台递交电子投标文件。并将纸质版投标文件 (正本壹份，副本肆份，A4 纸打印并胶装)密封提交，及电子版投标文件 U 盘三份（加密的.mbf 格式，未加密的.bf 格式，FDF 或 word 版各 1 份）分别单独密封提交。</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b/>
          <w:szCs w:val="24"/>
          <w:lang w:val="zh-CN"/>
        </w:rPr>
      </w:pPr>
      <w:r>
        <w:rPr>
          <w:rFonts w:hint="eastAsia" w:ascii="宋体" w:hAnsi="宋体" w:eastAsia="宋体" w:cs="宋体"/>
          <w:b/>
          <w:szCs w:val="24"/>
          <w:lang w:val="zh-CN"/>
        </w:rPr>
        <w:t>十、发布公告的媒介及招标公告期限</w:t>
      </w:r>
      <w:bookmarkEnd w:id="11"/>
    </w:p>
    <w:p>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ascii="宋体" w:hAnsi="宋体" w:eastAsia="宋体" w:cs="宋体"/>
          <w:szCs w:val="24"/>
        </w:rPr>
      </w:pPr>
      <w:bookmarkStart w:id="12" w:name="_Toc144974495"/>
      <w:bookmarkStart w:id="13" w:name="_Toc152045527"/>
      <w:bookmarkStart w:id="14" w:name="_Toc152042303"/>
      <w:bookmarkStart w:id="15" w:name="_Toc530034207"/>
      <w:r>
        <w:rPr>
          <w:rFonts w:hint="eastAsia" w:ascii="宋体" w:hAnsi="宋体" w:eastAsia="宋体" w:cs="宋体"/>
          <w:szCs w:val="24"/>
        </w:rPr>
        <w:t>本次招标公告同时在《中国招标投标公共服务平台》、</w:t>
      </w:r>
      <w:bookmarkEnd w:id="12"/>
      <w:bookmarkEnd w:id="13"/>
      <w:bookmarkEnd w:id="14"/>
      <w:bookmarkEnd w:id="15"/>
      <w:r>
        <w:rPr>
          <w:rFonts w:hint="eastAsia" w:ascii="宋体" w:hAnsi="宋体" w:eastAsia="宋体" w:cs="宋体"/>
          <w:szCs w:val="24"/>
        </w:rPr>
        <w:t>《河南省政府采购网》、《邓州市公共资源交易中心网》。公告期限为5个工作日。</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b/>
          <w:szCs w:val="24"/>
          <w:lang w:val="zh-CN"/>
        </w:rPr>
      </w:pPr>
      <w:bookmarkStart w:id="16" w:name="_Toc29136_WPSOffice_Level2"/>
      <w:r>
        <w:rPr>
          <w:rFonts w:hint="eastAsia" w:ascii="宋体" w:hAnsi="宋体" w:eastAsia="宋体" w:cs="宋体"/>
          <w:b/>
          <w:szCs w:val="24"/>
          <w:lang w:val="zh-CN"/>
        </w:rPr>
        <w:t>十一、联系方式</w:t>
      </w:r>
      <w:bookmarkEnd w:id="16"/>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采购人：</w:t>
      </w:r>
      <w:r>
        <w:rPr>
          <w:rFonts w:hint="eastAsia" w:ascii="宋体" w:hAnsi="宋体" w:eastAsia="宋体" w:cs="宋体"/>
          <w:szCs w:val="22"/>
        </w:rPr>
        <w:t>邓州市环境卫生管理局</w:t>
      </w: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 xml:space="preserve">联系人：胡先生 </w:t>
      </w: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联系电话：18637778537</w:t>
      </w:r>
      <w:r>
        <w:rPr>
          <w:rFonts w:hint="eastAsia" w:ascii="宋体" w:hAnsi="宋体" w:eastAsia="宋体" w:cs="宋体"/>
          <w:bCs/>
        </w:rPr>
        <w:t xml:space="preserve"> </w:t>
      </w: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color w:val="444444"/>
          <w:szCs w:val="24"/>
          <w:shd w:val="clear" w:color="auto" w:fill="FFFFFF"/>
        </w:rPr>
      </w:pPr>
      <w:r>
        <w:rPr>
          <w:rFonts w:hint="eastAsia" w:ascii="宋体" w:hAnsi="宋体" w:eastAsia="宋体" w:cs="宋体"/>
        </w:rPr>
        <w:t>采购人地址：</w:t>
      </w:r>
      <w:r>
        <w:rPr>
          <w:rFonts w:hint="eastAsia" w:ascii="宋体" w:hAnsi="宋体" w:eastAsia="宋体" w:cs="宋体"/>
          <w:szCs w:val="22"/>
        </w:rPr>
        <w:t>南阳市邓州市北环中路699号</w:t>
      </w:r>
      <w:r>
        <w:rPr>
          <w:rFonts w:hint="eastAsia" w:ascii="宋体" w:hAnsi="宋体" w:eastAsia="宋体" w:cs="宋体"/>
          <w:color w:val="444444"/>
          <w:szCs w:val="24"/>
          <w:shd w:val="clear" w:color="auto" w:fill="FFFFFF"/>
        </w:rPr>
        <w:t xml:space="preserve"> </w:t>
      </w:r>
    </w:p>
    <w:p>
      <w:pPr>
        <w:keepNext w:val="0"/>
        <w:keepLines w:val="0"/>
        <w:pageBreakBefore w:val="0"/>
        <w:kinsoku/>
        <w:wordWrap/>
        <w:overflowPunct/>
        <w:topLinePunct w:val="0"/>
        <w:bidi w:val="0"/>
        <w:adjustRightInd w:val="0"/>
        <w:spacing w:line="400" w:lineRule="exact"/>
        <w:textAlignment w:val="auto"/>
      </w:pP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代理机构：河南招标采购服务有限公司</w:t>
      </w: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联系人：王春悦</w:t>
      </w:r>
    </w:p>
    <w:p>
      <w:pPr>
        <w:keepNext w:val="0"/>
        <w:keepLines w:val="0"/>
        <w:pageBreakBefore w:val="0"/>
        <w:tabs>
          <w:tab w:val="left" w:pos="900"/>
        </w:tabs>
        <w:kinsoku/>
        <w:wordWrap/>
        <w:overflowPunct/>
        <w:topLinePunct w:val="0"/>
        <w:autoSpaceDE/>
        <w:autoSpaceDN/>
        <w:bidi w:val="0"/>
        <w:adjustRightInd w:val="0"/>
        <w:snapToGrid w:val="0"/>
        <w:spacing w:line="400" w:lineRule="exact"/>
        <w:ind w:firstLine="470" w:firstLineChars="196"/>
        <w:textAlignment w:val="auto"/>
        <w:rPr>
          <w:rFonts w:ascii="宋体" w:hAnsi="宋体" w:eastAsia="宋体" w:cs="宋体"/>
        </w:rPr>
      </w:pPr>
      <w:r>
        <w:rPr>
          <w:rFonts w:hint="eastAsia" w:ascii="宋体" w:hAnsi="宋体" w:eastAsia="宋体" w:cs="宋体"/>
        </w:rPr>
        <w:t>联系电话：15839918770 、0377-63533599</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ascii="宋体" w:hAnsi="宋体" w:cs="宋体"/>
          <w:bCs/>
          <w:szCs w:val="24"/>
          <w:lang w:val="zh-CN"/>
        </w:rPr>
      </w:pPr>
      <w:r>
        <w:rPr>
          <w:rFonts w:hint="eastAsia" w:ascii="宋体" w:hAnsi="宋体" w:eastAsia="宋体" w:cs="宋体"/>
        </w:rPr>
        <w:t>联系地址：郑州市纬四路13号（花园路与纬四路交叉口东50米路北）</w:t>
      </w:r>
      <w:r>
        <w:rPr>
          <w:rFonts w:hint="eastAsia" w:ascii="宋体" w:hAnsi="宋体" w:cs="宋体"/>
          <w:color w:val="000000"/>
          <w:szCs w:val="24"/>
        </w:rPr>
        <w:t xml:space="preserve">  </w:t>
      </w:r>
    </w:p>
    <w:p>
      <w:pPr>
        <w:snapToGrid w:val="0"/>
        <w:spacing w:line="420" w:lineRule="exact"/>
        <w:rPr>
          <w:rFonts w:ascii="宋体" w:hAnsi="宋体" w:cs="宋体"/>
          <w:bCs/>
          <w:szCs w:val="24"/>
        </w:rPr>
      </w:pPr>
      <w:r>
        <w:rPr>
          <w:rFonts w:hint="eastAsia" w:ascii="宋体" w:hAnsi="宋体" w:cs="宋体"/>
          <w:bCs/>
          <w:szCs w:val="24"/>
        </w:rPr>
        <w:t xml:space="preserve">     </w:t>
      </w:r>
    </w:p>
    <w:p>
      <w:pPr>
        <w:bidi w:val="0"/>
        <w:rPr>
          <w:rFonts w:hint="default"/>
          <w:lang w:val="zh-CN"/>
        </w:rPr>
      </w:pPr>
    </w:p>
    <w:p>
      <w:pPr>
        <w:widowControl/>
        <w:autoSpaceDE/>
        <w:autoSpaceDN/>
        <w:snapToGrid w:val="0"/>
        <w:spacing w:line="420" w:lineRule="exact"/>
        <w:ind w:firstLine="480" w:firstLineChars="200"/>
        <w:rPr>
          <w:rFonts w:ascii="宋体" w:hAnsi="宋体" w:eastAsia="宋体" w:cs="宋体"/>
          <w:szCs w:val="22"/>
        </w:rPr>
      </w:pPr>
      <w:r>
        <w:rPr>
          <w:rFonts w:hint="eastAsia" w:ascii="宋体" w:hAnsi="宋体" w:cs="宋体"/>
          <w:bCs/>
          <w:szCs w:val="24"/>
        </w:rPr>
        <w:t xml:space="preserve">                             </w:t>
      </w:r>
      <w:bookmarkStart w:id="17" w:name="_Toc9454_WPSOffice_Level2"/>
      <w:r>
        <w:rPr>
          <w:rFonts w:hint="eastAsia" w:ascii="宋体" w:hAnsi="宋体" w:eastAsia="宋体" w:cs="宋体"/>
          <w:szCs w:val="22"/>
          <w:lang w:val="zh-CN"/>
        </w:rPr>
        <w:t>发 布 人：</w:t>
      </w:r>
      <w:r>
        <w:rPr>
          <w:rFonts w:hint="eastAsia" w:ascii="宋体" w:hAnsi="宋体" w:eastAsia="宋体" w:cs="宋体"/>
          <w:szCs w:val="22"/>
        </w:rPr>
        <w:t>河南招标采购服务有限公司</w:t>
      </w:r>
      <w:bookmarkEnd w:id="17"/>
    </w:p>
    <w:p>
      <w:pPr>
        <w:widowControl/>
        <w:autoSpaceDE/>
        <w:autoSpaceDN/>
        <w:snapToGrid w:val="0"/>
        <w:spacing w:line="420" w:lineRule="exact"/>
        <w:ind w:firstLine="480" w:firstLineChars="200"/>
        <w:rPr>
          <w:rFonts w:ascii="宋体" w:hAnsi="宋体" w:eastAsia="宋体" w:cs="宋体"/>
          <w:szCs w:val="22"/>
        </w:rPr>
      </w:pPr>
      <w:r>
        <w:rPr>
          <w:rFonts w:hint="eastAsia" w:ascii="宋体" w:hAnsi="宋体" w:eastAsia="宋体" w:cs="宋体"/>
          <w:szCs w:val="22"/>
        </w:rPr>
        <w:t xml:space="preserve">                                    </w:t>
      </w:r>
      <w:bookmarkStart w:id="18" w:name="_Toc25921_WPSOffice_Level2"/>
      <w:r>
        <w:rPr>
          <w:rFonts w:hint="eastAsia" w:ascii="宋体" w:hAnsi="宋体" w:eastAsia="宋体" w:cs="宋体"/>
          <w:szCs w:val="22"/>
          <w:lang w:val="zh-CN"/>
        </w:rPr>
        <w:t>发布时间：</w:t>
      </w:r>
      <w:r>
        <w:rPr>
          <w:rFonts w:hint="eastAsia" w:ascii="宋体" w:hAnsi="宋体" w:eastAsia="宋体" w:cs="宋体"/>
          <w:szCs w:val="22"/>
        </w:rPr>
        <w:t>2019年1</w:t>
      </w:r>
      <w:r>
        <w:rPr>
          <w:rFonts w:hint="eastAsia" w:ascii="宋体" w:hAnsi="宋体" w:cs="宋体"/>
          <w:szCs w:val="22"/>
          <w:lang w:val="en-US" w:eastAsia="zh-CN"/>
        </w:rPr>
        <w:t>1</w:t>
      </w:r>
      <w:r>
        <w:rPr>
          <w:rFonts w:hint="eastAsia" w:ascii="宋体" w:hAnsi="宋体" w:eastAsia="宋体" w:cs="宋体"/>
          <w:szCs w:val="22"/>
        </w:rPr>
        <w:t>月</w:t>
      </w:r>
      <w:r>
        <w:rPr>
          <w:rFonts w:hint="eastAsia" w:ascii="宋体" w:hAnsi="宋体" w:cs="宋体"/>
          <w:szCs w:val="22"/>
          <w:lang w:val="en-US" w:eastAsia="zh-CN"/>
        </w:rPr>
        <w:t>1</w:t>
      </w:r>
      <w:r>
        <w:rPr>
          <w:rFonts w:hint="eastAsia" w:ascii="宋体" w:hAnsi="宋体" w:eastAsia="宋体" w:cs="宋体"/>
          <w:szCs w:val="22"/>
        </w:rPr>
        <w:t>日</w:t>
      </w:r>
      <w:bookmarkEnd w:id="18"/>
    </w:p>
    <w:p>
      <w:pPr>
        <w:pStyle w:val="13"/>
        <w:kinsoku w:val="0"/>
        <w:overflowPunct w:val="0"/>
        <w:ind w:left="0"/>
        <w:rPr>
          <w:rFonts w:hint="default"/>
          <w:sz w:val="20"/>
        </w:rPr>
      </w:pPr>
    </w:p>
    <w:p>
      <w:pPr>
        <w:pStyle w:val="13"/>
        <w:kinsoku w:val="0"/>
        <w:overflowPunct w:val="0"/>
        <w:spacing w:line="397" w:lineRule="exact"/>
        <w:ind w:left="3532" w:right="3388"/>
        <w:jc w:val="center"/>
        <w:rPr>
          <w:b/>
          <w:spacing w:val="1"/>
          <w:sz w:val="32"/>
        </w:rPr>
      </w:pPr>
      <w:bookmarkStart w:id="19" w:name="bookmark2"/>
      <w:bookmarkEnd w:id="19"/>
    </w:p>
    <w:p>
      <w:pPr>
        <w:pStyle w:val="13"/>
        <w:kinsoku w:val="0"/>
        <w:overflowPunct w:val="0"/>
        <w:spacing w:line="397" w:lineRule="exact"/>
        <w:ind w:left="3532" w:right="3388"/>
        <w:jc w:val="center"/>
        <w:rPr>
          <w:rFonts w:hint="default"/>
          <w:sz w:val="32"/>
        </w:rPr>
      </w:pPr>
      <w:r>
        <w:rPr>
          <w:b/>
          <w:spacing w:val="1"/>
          <w:sz w:val="32"/>
        </w:rPr>
        <w:t>第二章投标人须知</w:t>
      </w:r>
    </w:p>
    <w:p>
      <w:pPr>
        <w:pStyle w:val="7"/>
        <w:kinsoku w:val="0"/>
        <w:overflowPunct w:val="0"/>
        <w:spacing w:line="360" w:lineRule="auto"/>
        <w:ind w:left="3532" w:right="3385"/>
        <w:jc w:val="center"/>
        <w:rPr>
          <w:rFonts w:hint="default"/>
          <w:b w:val="0"/>
        </w:rPr>
      </w:pPr>
      <w:bookmarkStart w:id="20" w:name="bookmark3"/>
      <w:bookmarkEnd w:id="20"/>
      <w:r>
        <w:rPr>
          <w:sz w:val="24"/>
          <w:szCs w:val="24"/>
        </w:rPr>
        <w:t>投标人须知前附表</w:t>
      </w:r>
    </w:p>
    <w:p>
      <w:pPr>
        <w:pStyle w:val="13"/>
        <w:kinsoku w:val="0"/>
        <w:overflowPunct w:val="0"/>
        <w:spacing w:line="360" w:lineRule="auto"/>
        <w:ind w:left="0"/>
        <w:rPr>
          <w:rFonts w:hint="default"/>
          <w:b/>
          <w:sz w:val="8"/>
        </w:rPr>
      </w:pPr>
    </w:p>
    <w:tbl>
      <w:tblPr>
        <w:tblStyle w:val="26"/>
        <w:tblW w:w="9307" w:type="dxa"/>
        <w:tblInd w:w="204" w:type="dxa"/>
        <w:tblLayout w:type="fixed"/>
        <w:tblCellMar>
          <w:top w:w="0" w:type="dxa"/>
          <w:left w:w="108" w:type="dxa"/>
          <w:bottom w:w="0" w:type="dxa"/>
          <w:right w:w="108" w:type="dxa"/>
        </w:tblCellMar>
      </w:tblPr>
      <w:tblGrid>
        <w:gridCol w:w="847"/>
        <w:gridCol w:w="1995"/>
        <w:gridCol w:w="6465"/>
      </w:tblGrid>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条款名称</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编列内容</w:t>
            </w:r>
          </w:p>
        </w:tc>
      </w:tr>
      <w:tr>
        <w:tblPrEx>
          <w:tblCellMar>
            <w:top w:w="0" w:type="dxa"/>
            <w:left w:w="108" w:type="dxa"/>
            <w:bottom w:w="0" w:type="dxa"/>
            <w:right w:w="108" w:type="dxa"/>
          </w:tblCellMar>
        </w:tblPrEx>
        <w:trPr>
          <w:trHeight w:val="1555"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招标人</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采购人：邓州市环境卫生管理局</w:t>
            </w:r>
          </w:p>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 胡先生</w:t>
            </w:r>
          </w:p>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联系电话：18637778537  </w:t>
            </w:r>
          </w:p>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采购人地址：南阳市邓州市北环中路699号 </w:t>
            </w:r>
          </w:p>
          <w:p>
            <w:pPr>
              <w:pStyle w:val="41"/>
              <w:kinsoku w:val="0"/>
              <w:overflowPunct w:val="0"/>
              <w:spacing w:line="360" w:lineRule="auto"/>
              <w:ind w:left="-2"/>
              <w:rPr>
                <w:rFonts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561"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招标代理机构</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代理机构：河南招标采购服务有限公司</w:t>
            </w:r>
          </w:p>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联系人：王春悦</w:t>
            </w:r>
          </w:p>
          <w:p>
            <w:pPr>
              <w:tabs>
                <w:tab w:val="left" w:pos="900"/>
              </w:tabs>
              <w:autoSpaceDE/>
              <w:autoSpaceDN/>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联系电话：15839918770、0377-63533599</w:t>
            </w:r>
          </w:p>
          <w:p>
            <w:pPr>
              <w:pStyle w:val="41"/>
              <w:kinsoku w:val="0"/>
              <w:overflowPunct w:val="0"/>
              <w:spacing w:line="360" w:lineRule="auto"/>
              <w:ind w:left="-2" w:right="37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联系地址：郑州市纬四路13号</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招标项目名称</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邓州市环卫专用车辆采购项目</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标包划分</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本项目共分为一个标包</w:t>
            </w:r>
          </w:p>
        </w:tc>
      </w:tr>
      <w:tr>
        <w:tblPrEx>
          <w:tblCellMar>
            <w:top w:w="0" w:type="dxa"/>
            <w:left w:w="108" w:type="dxa"/>
            <w:bottom w:w="0" w:type="dxa"/>
            <w:right w:w="108" w:type="dxa"/>
          </w:tblCellMar>
        </w:tblPrEx>
        <w:trPr>
          <w:trHeight w:val="466"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资金来源及比例</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财政资金，100%</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资金落实情况</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已落实</w:t>
            </w:r>
          </w:p>
        </w:tc>
      </w:tr>
      <w:tr>
        <w:tblPrEx>
          <w:tblCellMar>
            <w:top w:w="0" w:type="dxa"/>
            <w:left w:w="108" w:type="dxa"/>
            <w:bottom w:w="0" w:type="dxa"/>
            <w:right w:w="108" w:type="dxa"/>
          </w:tblCellMar>
        </w:tblPrEx>
        <w:trPr>
          <w:trHeight w:val="552"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交货期</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合同签订后30日交付使用</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交货地点</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招标人指定地点</w:t>
            </w:r>
          </w:p>
        </w:tc>
      </w:tr>
      <w:tr>
        <w:tblPrEx>
          <w:tblCellMar>
            <w:top w:w="0" w:type="dxa"/>
            <w:left w:w="108" w:type="dxa"/>
            <w:bottom w:w="0" w:type="dxa"/>
            <w:right w:w="108" w:type="dxa"/>
          </w:tblCellMar>
        </w:tblPrEx>
        <w:trPr>
          <w:trHeight w:val="466"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技术性能指标</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详见第五章“采购需求及技术要求”</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质保期</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一年</w:t>
            </w:r>
          </w:p>
        </w:tc>
      </w:tr>
      <w:tr>
        <w:tblPrEx>
          <w:tblCellMar>
            <w:top w:w="0" w:type="dxa"/>
            <w:left w:w="108" w:type="dxa"/>
            <w:bottom w:w="0" w:type="dxa"/>
            <w:right w:w="108" w:type="dxa"/>
          </w:tblCellMar>
        </w:tblPrEx>
        <w:trPr>
          <w:trHeight w:val="464"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质量要求</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国家合格标准</w:t>
            </w:r>
          </w:p>
        </w:tc>
      </w:tr>
      <w:tr>
        <w:tblPrEx>
          <w:tblCellMar>
            <w:top w:w="0" w:type="dxa"/>
            <w:left w:w="108" w:type="dxa"/>
            <w:bottom w:w="0" w:type="dxa"/>
            <w:right w:w="108" w:type="dxa"/>
          </w:tblCellMar>
        </w:tblPrEx>
        <w:trPr>
          <w:trHeight w:val="7401" w:hRule="exact"/>
        </w:trPr>
        <w:tc>
          <w:tcPr>
            <w:tcW w:w="84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p>
          <w:p>
            <w:pPr>
              <w:pStyle w:val="41"/>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9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p>
          <w:p>
            <w:pPr>
              <w:pStyle w:val="41"/>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投标人资格要求</w:t>
            </w:r>
          </w:p>
        </w:tc>
        <w:tc>
          <w:tcPr>
            <w:tcW w:w="6465" w:type="dxa"/>
            <w:tcBorders>
              <w:top w:val="single" w:color="000000" w:sz="4" w:space="0"/>
              <w:left w:val="single" w:color="000000" w:sz="4" w:space="0"/>
              <w:bottom w:val="single" w:color="000000" w:sz="4" w:space="0"/>
              <w:right w:val="single" w:color="000000" w:sz="4" w:space="0"/>
              <w:tl2br w:val="nil"/>
              <w:tr2bl w:val="nil"/>
            </w:tcBorders>
          </w:tcPr>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1、符合《中华人民共和国政府采购法》第二十二条、《中华人民共和国政府采购法实施条例》第十七条规定。</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2、投标人应具有法人资格，具有有效的相应经营范围的营业执照。</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3、具有良好的商业信誉和健全的财务会计管理制度（提供2018年经审计的财务报告；如截止到开标时间投标人成立时间不足年限的，须提供近三个月内其基本开户银行出具的资信证明）；</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4、有依法缴纳税收和社会保障资金的良好记录（提供2019年1月以来任意3个月纳税和社保证明材料）；</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5、参加政府采购活动前三年内，在经营活动中没有重大违法记录。（投标人需提供近三年无重大违法记录的书面声明。）</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autoSpaceDE/>
              <w:autoSpaceDN/>
              <w:spacing w:line="360" w:lineRule="auto"/>
              <w:ind w:firstLine="412" w:firstLineChars="200"/>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7、本次招标不接受联合体投标。</w:t>
            </w:r>
          </w:p>
          <w:p>
            <w:pPr>
              <w:autoSpaceDE/>
              <w:autoSpaceDN/>
              <w:spacing w:line="360" w:lineRule="auto"/>
              <w:ind w:firstLine="412" w:firstLineChars="200"/>
              <w:rPr>
                <w:rFonts w:asciiTheme="minorEastAsia" w:hAnsiTheme="minorEastAsia" w:eastAsiaTheme="minorEastAsia" w:cstheme="minorEastAsia"/>
                <w:spacing w:val="-2"/>
                <w:sz w:val="21"/>
                <w:szCs w:val="21"/>
              </w:rPr>
            </w:pPr>
          </w:p>
        </w:tc>
      </w:tr>
    </w:tbl>
    <w:p>
      <w:pPr>
        <w:pStyle w:val="13"/>
        <w:kinsoku w:val="0"/>
        <w:overflowPunct w:val="0"/>
        <w:spacing w:line="360" w:lineRule="auto"/>
        <w:ind w:left="0"/>
        <w:rPr>
          <w:rFonts w:hint="default"/>
          <w:b/>
          <w:sz w:val="4"/>
        </w:rPr>
      </w:pPr>
    </w:p>
    <w:p>
      <w:pPr>
        <w:pStyle w:val="13"/>
        <w:kinsoku w:val="0"/>
        <w:overflowPunct w:val="0"/>
        <w:spacing w:line="360" w:lineRule="auto"/>
        <w:ind w:left="0"/>
        <w:rPr>
          <w:rFonts w:hint="default" w:ascii="Calibri" w:hAnsi="Calibri" w:eastAsia="Calibri"/>
          <w:sz w:val="5"/>
        </w:rPr>
      </w:pPr>
      <w:r>
        <w:rPr>
          <w:rFonts w:hint="default" w:ascii="Calibri" w:hAnsi="Calibri" w:eastAsia="Calibri"/>
          <w:sz w:val="18"/>
        </w:rPr>
        <w:pict>
          <v:shape id="任意多边形 2" o:spid="_x0000_s2050" o:spt="100" style="position:absolute;left:0pt;margin-left:362.95pt;margin-top:242.15pt;height:1pt;width:2.4pt;mso-position-horizontal-relative:page;mso-position-vertical-relative:page;z-index:-251658240;mso-width-relative:page;mso-height-relative:page;" filled="f" coordsize="48,20" o:gfxdata="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6fqC2gAAAAsBAAAPAAAAAAAAAAEAIAAAACIAAABkcnMvZG93bnJldi54bWxQSwECFAAUAAAACACH&#10;TuJAq4/0viICAABIBAAADgAAAAAAAAABACAAAAApAQAAZHJzL2Uyb0RvYy54bWxQSwUGAAAAAAYA&#10;BgBZAQAAvQUAAAAA&#10;" path="m0,7l47,7e">
            <v:path o:connecttype="segments"/>
            <v:fill on="f" focussize="0,0"/>
            <v:stroke weight="0.82pt" joinstyle="round"/>
            <v:imagedata o:title=""/>
            <o:lock v:ext="edit"/>
          </v:shape>
        </w:pict>
      </w:r>
    </w:p>
    <w:tbl>
      <w:tblPr>
        <w:tblStyle w:val="26"/>
        <w:tblW w:w="9322" w:type="dxa"/>
        <w:tblInd w:w="204" w:type="dxa"/>
        <w:tblLayout w:type="fixed"/>
        <w:tblCellMar>
          <w:top w:w="0" w:type="dxa"/>
          <w:left w:w="108" w:type="dxa"/>
          <w:bottom w:w="0" w:type="dxa"/>
          <w:right w:w="108" w:type="dxa"/>
        </w:tblCellMar>
      </w:tblPr>
      <w:tblGrid>
        <w:gridCol w:w="832"/>
        <w:gridCol w:w="2010"/>
        <w:gridCol w:w="6480"/>
      </w:tblGrid>
      <w:tr>
        <w:tblPrEx>
          <w:tblCellMar>
            <w:top w:w="0" w:type="dxa"/>
            <w:left w:w="108" w:type="dxa"/>
            <w:bottom w:w="0" w:type="dxa"/>
            <w:right w:w="108" w:type="dxa"/>
          </w:tblCellMar>
        </w:tblPrEx>
        <w:trPr>
          <w:trHeight w:val="701"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1.4.2</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是否接受联合体投标</w:t>
            </w:r>
          </w:p>
        </w:tc>
        <w:tc>
          <w:tcPr>
            <w:tcW w:w="64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jc w:val="both"/>
            </w:pPr>
            <w:r>
              <w:rPr>
                <w:rFonts w:hint="eastAsia" w:ascii="宋体" w:hAnsi="宋体"/>
                <w:sz w:val="21"/>
              </w:rPr>
              <w:t>不接受</w:t>
            </w:r>
          </w:p>
        </w:tc>
      </w:tr>
      <w:tr>
        <w:tblPrEx>
          <w:tblCellMar>
            <w:top w:w="0" w:type="dxa"/>
            <w:left w:w="108" w:type="dxa"/>
            <w:bottom w:w="0" w:type="dxa"/>
            <w:right w:w="108" w:type="dxa"/>
          </w:tblCellMar>
        </w:tblPrEx>
        <w:trPr>
          <w:trHeight w:val="713"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1.4.3</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投标人不得存在的其他情形</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pPr>
            <w:r>
              <w:rPr>
                <w:rFonts w:eastAsia="Calibri"/>
                <w:sz w:val="21"/>
              </w:rPr>
              <w:t>/</w:t>
            </w:r>
          </w:p>
        </w:tc>
      </w:tr>
      <w:tr>
        <w:tblPrEx>
          <w:tblCellMar>
            <w:top w:w="0" w:type="dxa"/>
            <w:left w:w="108" w:type="dxa"/>
            <w:bottom w:w="0" w:type="dxa"/>
            <w:right w:w="108" w:type="dxa"/>
          </w:tblCellMar>
        </w:tblPrEx>
        <w:trPr>
          <w:trHeight w:val="463"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1.9.1</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right="461"/>
              <w:jc w:val="center"/>
            </w:pPr>
            <w:r>
              <w:rPr>
                <w:rFonts w:hint="eastAsia" w:ascii="宋体" w:hAnsi="宋体"/>
                <w:sz w:val="21"/>
              </w:rPr>
              <w:t>分包</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pPr>
            <w:r>
              <w:rPr>
                <w:rFonts w:hint="eastAsia" w:ascii="宋体" w:hAnsi="宋体"/>
                <w:sz w:val="21"/>
              </w:rPr>
              <w:t>不允许</w:t>
            </w:r>
          </w:p>
        </w:tc>
      </w:tr>
      <w:tr>
        <w:tblPrEx>
          <w:tblCellMar>
            <w:top w:w="0" w:type="dxa"/>
            <w:left w:w="108" w:type="dxa"/>
            <w:bottom w:w="0" w:type="dxa"/>
            <w:right w:w="108" w:type="dxa"/>
          </w:tblCellMar>
        </w:tblPrEx>
        <w:trPr>
          <w:trHeight w:val="1287"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pPr>
            <w:r>
              <w:rPr>
                <w:rFonts w:eastAsia="Calibri"/>
                <w:spacing w:val="-2"/>
                <w:sz w:val="21"/>
              </w:rPr>
              <w:t>1.10.1</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pPr>
            <w:r>
              <w:rPr>
                <w:rFonts w:hint="eastAsia" w:ascii="宋体" w:hAnsi="宋体"/>
                <w:spacing w:val="-2"/>
                <w:sz w:val="21"/>
              </w:rPr>
              <w:t>实质性要求和条件</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2"/>
              <w:jc w:val="both"/>
            </w:pPr>
            <w:r>
              <w:rPr>
                <w:rFonts w:hint="eastAsia" w:ascii="宋体" w:hAnsi="宋体"/>
                <w:b/>
                <w:spacing w:val="14"/>
                <w:sz w:val="21"/>
              </w:rPr>
              <w:t>带</w:t>
            </w:r>
            <w:r>
              <w:rPr>
                <w:rFonts w:eastAsia="Calibri"/>
                <w:b/>
                <w:spacing w:val="14"/>
                <w:sz w:val="21"/>
              </w:rPr>
              <w:t>“*”</w:t>
            </w:r>
            <w:r>
              <w:rPr>
                <w:rFonts w:hint="eastAsia" w:ascii="宋体" w:hAnsi="宋体"/>
                <w:b/>
                <w:spacing w:val="14"/>
                <w:sz w:val="21"/>
              </w:rPr>
              <w:t>号条款；投标无效条款；招标文件中用</w:t>
            </w:r>
            <w:r>
              <w:rPr>
                <w:rFonts w:eastAsia="Calibri"/>
                <w:b/>
                <w:spacing w:val="14"/>
                <w:sz w:val="21"/>
              </w:rPr>
              <w:t>“</w:t>
            </w:r>
            <w:r>
              <w:rPr>
                <w:rFonts w:hint="eastAsia" w:ascii="宋体" w:hAnsi="宋体"/>
                <w:b/>
                <w:spacing w:val="14"/>
                <w:sz w:val="21"/>
              </w:rPr>
              <w:t>拒</w:t>
            </w:r>
            <w:r>
              <w:rPr>
                <w:rFonts w:hint="eastAsia" w:ascii="宋体" w:hAnsi="宋体"/>
                <w:b/>
                <w:spacing w:val="-1"/>
                <w:sz w:val="21"/>
              </w:rPr>
              <w:t>绝</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不（予）接受</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不得</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不允许偏离</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否决</w:t>
            </w:r>
            <w:r>
              <w:rPr>
                <w:rFonts w:eastAsia="Calibri"/>
                <w:b/>
                <w:spacing w:val="-1"/>
                <w:sz w:val="21"/>
              </w:rPr>
              <w:t>”</w:t>
            </w:r>
            <w:r>
              <w:rPr>
                <w:rFonts w:hint="eastAsia" w:ascii="宋体" w:hAnsi="宋体"/>
                <w:b/>
                <w:spacing w:val="-1"/>
                <w:sz w:val="21"/>
              </w:rPr>
              <w:t>等文字规定的条款</w:t>
            </w:r>
            <w:r>
              <w:rPr>
                <w:rFonts w:hint="eastAsia" w:ascii="宋体" w:hAnsi="宋体"/>
                <w:spacing w:val="-1"/>
                <w:sz w:val="21"/>
              </w:rPr>
              <w:t>；</w:t>
            </w:r>
            <w:r>
              <w:rPr>
                <w:rFonts w:hint="eastAsia" w:ascii="宋体" w:hAnsi="宋体"/>
                <w:b/>
                <w:spacing w:val="-1"/>
                <w:sz w:val="21"/>
              </w:rPr>
              <w:t>法律、法规、规章的相关规</w:t>
            </w:r>
            <w:r>
              <w:rPr>
                <w:rFonts w:hint="eastAsia" w:ascii="宋体" w:hAnsi="宋体"/>
                <w:b/>
                <w:sz w:val="21"/>
              </w:rPr>
              <w:t>定。</w:t>
            </w:r>
          </w:p>
        </w:tc>
      </w:tr>
      <w:tr>
        <w:tblPrEx>
          <w:tblCellMar>
            <w:top w:w="0" w:type="dxa"/>
            <w:left w:w="108" w:type="dxa"/>
            <w:bottom w:w="0" w:type="dxa"/>
            <w:right w:w="108" w:type="dxa"/>
          </w:tblCellMar>
        </w:tblPrEx>
        <w:trPr>
          <w:trHeight w:val="699"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4"/>
                <w:sz w:val="21"/>
              </w:rPr>
              <w:t>1.10.4</w:t>
            </w:r>
          </w:p>
        </w:tc>
        <w:tc>
          <w:tcPr>
            <w:tcW w:w="20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right="461"/>
              <w:jc w:val="center"/>
            </w:pPr>
            <w:r>
              <w:rPr>
                <w:rFonts w:hint="eastAsia" w:ascii="宋体" w:hAnsi="宋体"/>
                <w:sz w:val="21"/>
              </w:rPr>
              <w:t>偏差</w:t>
            </w:r>
          </w:p>
        </w:tc>
        <w:tc>
          <w:tcPr>
            <w:tcW w:w="64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right="-1"/>
              <w:jc w:val="both"/>
            </w:pPr>
            <w:r>
              <w:rPr>
                <w:rFonts w:hint="eastAsia" w:ascii="宋体" w:hAnsi="宋体"/>
                <w:spacing w:val="-4"/>
                <w:sz w:val="21"/>
                <w:szCs w:val="22"/>
              </w:rPr>
              <w:t>实质性要求和条件不允许偏差，其他条款允许偏差。</w:t>
            </w:r>
          </w:p>
        </w:tc>
      </w:tr>
      <w:tr>
        <w:tblPrEx>
          <w:tblCellMar>
            <w:top w:w="0" w:type="dxa"/>
            <w:left w:w="108" w:type="dxa"/>
            <w:bottom w:w="0" w:type="dxa"/>
            <w:right w:w="108" w:type="dxa"/>
          </w:tblCellMar>
        </w:tblPrEx>
        <w:trPr>
          <w:trHeight w:val="463"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1.11.1</w:t>
            </w:r>
          </w:p>
        </w:tc>
        <w:tc>
          <w:tcPr>
            <w:tcW w:w="20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pPr>
            <w:r>
              <w:rPr>
                <w:rFonts w:hint="eastAsia" w:ascii="宋体" w:hAnsi="宋体"/>
                <w:spacing w:val="-1"/>
                <w:sz w:val="21"/>
              </w:rPr>
              <w:t>采购进口产品</w:t>
            </w:r>
          </w:p>
        </w:tc>
        <w:tc>
          <w:tcPr>
            <w:tcW w:w="648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ascii="宋体" w:hAnsi="宋体"/>
                <w:spacing w:val="-4"/>
                <w:sz w:val="21"/>
              </w:rPr>
              <w:t>本采购项目拒绝进口产品参加投标</w:t>
            </w:r>
          </w:p>
        </w:tc>
      </w:tr>
      <w:tr>
        <w:tblPrEx>
          <w:tblCellMar>
            <w:top w:w="0" w:type="dxa"/>
            <w:left w:w="108" w:type="dxa"/>
            <w:bottom w:w="0" w:type="dxa"/>
            <w:right w:w="108" w:type="dxa"/>
          </w:tblCellMar>
        </w:tblPrEx>
        <w:trPr>
          <w:trHeight w:val="716"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5"/>
              <w:jc w:val="both"/>
            </w:pPr>
            <w:r>
              <w:rPr>
                <w:rFonts w:eastAsia="Calibri"/>
                <w:spacing w:val="-1"/>
                <w:sz w:val="21"/>
              </w:rPr>
              <w:t>2.1</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构成招标文件的其他资料</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4"/>
            </w:pPr>
            <w:r>
              <w:rPr>
                <w:rFonts w:hint="eastAsia" w:ascii="宋体" w:hAnsi="宋体"/>
                <w:sz w:val="21"/>
              </w:rPr>
              <w:t>/</w:t>
            </w:r>
          </w:p>
        </w:tc>
      </w:tr>
      <w:tr>
        <w:tblPrEx>
          <w:tblCellMar>
            <w:top w:w="0" w:type="dxa"/>
            <w:left w:w="108" w:type="dxa"/>
            <w:bottom w:w="0" w:type="dxa"/>
            <w:right w:w="108" w:type="dxa"/>
          </w:tblCellMar>
        </w:tblPrEx>
        <w:trPr>
          <w:trHeight w:val="732" w:hRule="exact"/>
        </w:trPr>
        <w:tc>
          <w:tcPr>
            <w:tcW w:w="83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2.2.1</w:t>
            </w:r>
          </w:p>
        </w:tc>
        <w:tc>
          <w:tcPr>
            <w:tcW w:w="2010"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投标人要求澄清招标文件</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110"/>
            </w:pPr>
            <w:r>
              <w:rPr>
                <w:rFonts w:hint="eastAsia" w:ascii="宋体" w:hAnsi="宋体"/>
                <w:spacing w:val="-2"/>
                <w:sz w:val="21"/>
              </w:rPr>
              <w:t>时间：应当在获取采购文件或者采购文件公告期限届满之日起</w:t>
            </w:r>
            <w:r>
              <w:rPr>
                <w:rFonts w:eastAsia="Calibri"/>
                <w:spacing w:val="-2"/>
                <w:sz w:val="21"/>
              </w:rPr>
              <w:t>7</w:t>
            </w:r>
            <w:r>
              <w:rPr>
                <w:rFonts w:hint="eastAsia" w:ascii="宋体" w:hAnsi="宋体"/>
                <w:spacing w:val="-2"/>
                <w:sz w:val="21"/>
              </w:rPr>
              <w:t>个工作日内提出。</w:t>
            </w:r>
          </w:p>
        </w:tc>
      </w:tr>
      <w:tr>
        <w:tblPrEx>
          <w:tblCellMar>
            <w:top w:w="0" w:type="dxa"/>
            <w:left w:w="108" w:type="dxa"/>
            <w:bottom w:w="0" w:type="dxa"/>
            <w:right w:w="108" w:type="dxa"/>
          </w:tblCellMar>
        </w:tblPrEx>
        <w:trPr>
          <w:trHeight w:val="744" w:hRule="exact"/>
        </w:trPr>
        <w:tc>
          <w:tcPr>
            <w:tcW w:w="832"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110"/>
            </w:pPr>
          </w:p>
        </w:tc>
        <w:tc>
          <w:tcPr>
            <w:tcW w:w="2010"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110"/>
            </w:pP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形式：在邓州市公共资源交易中心交易平台提出。</w:t>
            </w:r>
          </w:p>
          <w:p>
            <w:pPr>
              <w:pStyle w:val="41"/>
              <w:kinsoku w:val="0"/>
              <w:overflowPunct w:val="0"/>
              <w:spacing w:line="360" w:lineRule="auto"/>
              <w:ind w:left="-2"/>
              <w:rPr>
                <w:rFonts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采用非电子招标投标时，采用书面形式。</w:t>
            </w:r>
          </w:p>
        </w:tc>
      </w:tr>
      <w:tr>
        <w:tblPrEx>
          <w:tblCellMar>
            <w:top w:w="0" w:type="dxa"/>
            <w:left w:w="108" w:type="dxa"/>
            <w:bottom w:w="0" w:type="dxa"/>
            <w:right w:w="108" w:type="dxa"/>
          </w:tblCellMar>
        </w:tblPrEx>
        <w:trPr>
          <w:trHeight w:val="2136"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pPr>
            <w:r>
              <w:rPr>
                <w:rFonts w:eastAsia="Calibri"/>
                <w:spacing w:val="-1"/>
                <w:sz w:val="21"/>
              </w:rPr>
              <w:t>2.2.2</w:t>
            </w:r>
          </w:p>
        </w:tc>
        <w:tc>
          <w:tcPr>
            <w:tcW w:w="201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6"/>
              </w:rPr>
            </w:pPr>
          </w:p>
          <w:p>
            <w:pPr>
              <w:pStyle w:val="41"/>
              <w:kinsoku w:val="0"/>
              <w:overflowPunct w:val="0"/>
              <w:spacing w:line="360" w:lineRule="auto"/>
            </w:pPr>
            <w:r>
              <w:rPr>
                <w:rFonts w:hint="eastAsia" w:ascii="宋体" w:hAnsi="宋体"/>
                <w:spacing w:val="-3"/>
                <w:sz w:val="21"/>
              </w:rPr>
              <w:t>招标文件澄清发出的形式</w:t>
            </w:r>
          </w:p>
        </w:tc>
        <w:tc>
          <w:tcPr>
            <w:tcW w:w="648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采用电子招标投标时，在原公告发布媒体上发布澄清或修改公告，供应商在提交响应文件截止时间前 须自行查看在原公告发布媒体上发布的澄清或修改公告，因供应商未及时查看而造成的后果自负； 采用非电子招标投标时，在原公告发布媒体上发布 澄清或修改公告，并以书面形式通知所有获取采购文件的潜在供应商。</w:t>
            </w:r>
          </w:p>
        </w:tc>
      </w:tr>
      <w:tr>
        <w:tblPrEx>
          <w:tblCellMar>
            <w:top w:w="0" w:type="dxa"/>
            <w:left w:w="108" w:type="dxa"/>
            <w:bottom w:w="0" w:type="dxa"/>
            <w:right w:w="108" w:type="dxa"/>
          </w:tblCellMar>
        </w:tblPrEx>
        <w:trPr>
          <w:trHeight w:val="1646" w:hRule="exact"/>
        </w:trPr>
        <w:tc>
          <w:tcPr>
            <w:tcW w:w="83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2.2.3</w:t>
            </w:r>
          </w:p>
        </w:tc>
        <w:tc>
          <w:tcPr>
            <w:tcW w:w="20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pPr>
            <w:r>
              <w:rPr>
                <w:rFonts w:hint="eastAsia" w:ascii="宋体" w:hAnsi="宋体"/>
                <w:spacing w:val="-3"/>
                <w:sz w:val="21"/>
              </w:rPr>
              <w:t>投标人确认收到招标文件澄清</w:t>
            </w:r>
          </w:p>
        </w:tc>
        <w:tc>
          <w:tcPr>
            <w:tcW w:w="6480" w:type="dxa"/>
            <w:tcBorders>
              <w:top w:val="single" w:color="000000" w:sz="4" w:space="0"/>
              <w:left w:val="single" w:color="000000" w:sz="4" w:space="0"/>
              <w:bottom w:val="nil"/>
              <w:right w:val="single" w:color="000000" w:sz="4" w:space="0"/>
              <w:tl2br w:val="nil"/>
              <w:tr2bl w:val="nil"/>
            </w:tcBorders>
          </w:tcPr>
          <w:p>
            <w:pPr>
              <w:pStyle w:val="41"/>
              <w:kinsoku w:val="0"/>
              <w:overflowPunct w:val="0"/>
              <w:spacing w:line="360" w:lineRule="auto"/>
              <w:ind w:left="-2"/>
            </w:pPr>
            <w:r>
              <w:rPr>
                <w:rFonts w:hint="eastAsia" w:ascii="宋体" w:hAnsi="宋体"/>
                <w:spacing w:val="-2"/>
                <w:sz w:val="21"/>
              </w:rPr>
              <w:t>采用电子招标投标时，在原公告发布媒体上发布澄清或修改公告，供应商在提交响应文件截止时间前</w:t>
            </w:r>
            <w:r>
              <w:rPr>
                <w:rFonts w:hint="eastAsia" w:ascii="宋体" w:hAnsi="宋体"/>
                <w:spacing w:val="35"/>
                <w:sz w:val="21"/>
              </w:rPr>
              <w:t xml:space="preserve"> </w:t>
            </w:r>
            <w:r>
              <w:rPr>
                <w:rFonts w:hint="eastAsia" w:ascii="宋体" w:hAnsi="宋体"/>
                <w:spacing w:val="-2"/>
                <w:sz w:val="21"/>
              </w:rPr>
              <w:t>须自行查看在原公告发布媒体上发布的澄清或修改公告，因供应商未及时查看而造成的后果自负；采用非电子招标投标时，在收到相应澄清文件后</w:t>
            </w:r>
            <w:r>
              <w:rPr>
                <w:rFonts w:eastAsia="Calibri"/>
                <w:spacing w:val="-2"/>
                <w:sz w:val="21"/>
              </w:rPr>
              <w:t>24</w:t>
            </w:r>
            <w:r>
              <w:rPr>
                <w:rFonts w:eastAsia="Calibri"/>
                <w:spacing w:val="33"/>
                <w:sz w:val="21"/>
              </w:rPr>
              <w:t xml:space="preserve"> </w:t>
            </w:r>
            <w:r>
              <w:rPr>
                <w:rFonts w:hint="eastAsia" w:ascii="宋体" w:hAnsi="宋体"/>
                <w:sz w:val="21"/>
              </w:rPr>
              <w:t>小时内。</w:t>
            </w:r>
          </w:p>
        </w:tc>
      </w:tr>
    </w:tbl>
    <w:tbl>
      <w:tblPr>
        <w:tblStyle w:val="26"/>
        <w:tblpPr w:leftFromText="180" w:rightFromText="180" w:vertAnchor="text" w:horzAnchor="page" w:tblpX="1427" w:tblpY="16"/>
        <w:tblOverlap w:val="never"/>
        <w:tblW w:w="9330" w:type="dxa"/>
        <w:tblInd w:w="0" w:type="dxa"/>
        <w:tblLayout w:type="fixed"/>
        <w:tblCellMar>
          <w:top w:w="0" w:type="dxa"/>
          <w:left w:w="108" w:type="dxa"/>
          <w:bottom w:w="0" w:type="dxa"/>
          <w:right w:w="108" w:type="dxa"/>
        </w:tblCellMar>
      </w:tblPr>
      <w:tblGrid>
        <w:gridCol w:w="862"/>
        <w:gridCol w:w="1973"/>
        <w:gridCol w:w="6495"/>
      </w:tblGrid>
      <w:tr>
        <w:tblPrEx>
          <w:tblCellMar>
            <w:top w:w="0" w:type="dxa"/>
            <w:left w:w="108" w:type="dxa"/>
            <w:bottom w:w="0" w:type="dxa"/>
            <w:right w:w="108" w:type="dxa"/>
          </w:tblCellMar>
        </w:tblPrEx>
        <w:trPr>
          <w:trHeight w:val="2098"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pPr>
            <w:r>
              <w:rPr>
                <w:rFonts w:eastAsia="Calibri"/>
                <w:spacing w:val="-1"/>
                <w:sz w:val="21"/>
              </w:rPr>
              <w:t>2.3.1</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6"/>
              </w:rPr>
            </w:pPr>
          </w:p>
          <w:p>
            <w:pPr>
              <w:pStyle w:val="41"/>
              <w:kinsoku w:val="0"/>
              <w:overflowPunct w:val="0"/>
              <w:spacing w:line="360" w:lineRule="auto"/>
            </w:pPr>
            <w:r>
              <w:rPr>
                <w:rFonts w:hint="eastAsia" w:ascii="宋体" w:hAnsi="宋体"/>
                <w:spacing w:val="-3"/>
                <w:sz w:val="21"/>
              </w:rPr>
              <w:t>招标文件修改发出的形式</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pPr>
            <w:r>
              <w:rPr>
                <w:rFonts w:hint="eastAsia" w:ascii="宋体" w:hAnsi="宋体"/>
                <w:spacing w:val="-2"/>
                <w:sz w:val="21"/>
              </w:rPr>
              <w:t>采用电子招标投标时，在原公告发布媒体上发布澄清或修改公告，供应商在提交响应文件截止时间前须自行查看在原公告发布媒体上发布的澄清或修改公告，因供应商未及时查看而造成的后果自负；采用非电子招标投标时，在原公告发布媒体上发布澄清或修改公告，并以书面形式通知所有获取采购文件的潜在供应商。</w:t>
            </w:r>
          </w:p>
        </w:tc>
      </w:tr>
      <w:tr>
        <w:tblPrEx>
          <w:tblCellMar>
            <w:top w:w="0" w:type="dxa"/>
            <w:left w:w="108" w:type="dxa"/>
            <w:bottom w:w="0" w:type="dxa"/>
            <w:right w:w="108" w:type="dxa"/>
          </w:tblCellMar>
        </w:tblPrEx>
        <w:trPr>
          <w:trHeight w:val="1637"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pPr>
            <w:r>
              <w:rPr>
                <w:rFonts w:eastAsia="Calibri"/>
                <w:spacing w:val="-1"/>
                <w:sz w:val="21"/>
              </w:rPr>
              <w:t>2.3.2</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3"/>
              </w:rPr>
            </w:pPr>
          </w:p>
          <w:p>
            <w:pPr>
              <w:pStyle w:val="41"/>
              <w:kinsoku w:val="0"/>
              <w:overflowPunct w:val="0"/>
              <w:spacing w:line="360" w:lineRule="auto"/>
            </w:pPr>
            <w:r>
              <w:rPr>
                <w:rFonts w:hint="eastAsia" w:ascii="宋体" w:hAnsi="宋体"/>
                <w:spacing w:val="-3"/>
                <w:sz w:val="21"/>
              </w:rPr>
              <w:t>投标人确认收到招标文件修改</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jc w:val="both"/>
              <w:rPr>
                <w:rFonts w:ascii="宋体" w:hAnsi="宋体"/>
                <w:spacing w:val="-2"/>
                <w:sz w:val="21"/>
              </w:rPr>
            </w:pPr>
            <w:r>
              <w:rPr>
                <w:rFonts w:hint="eastAsia" w:ascii="宋体" w:hAnsi="宋体"/>
                <w:spacing w:val="-2"/>
                <w:sz w:val="21"/>
              </w:rPr>
              <w:t>采用电子招标投标时，在原公告发布媒体上发布澄清或修改公告，供应商在提交响应文件截止时间前须自行查看在原公告发布媒体上发布的澄清或修改公告，因供应商未及时查看而造成的后果自负；</w:t>
            </w:r>
          </w:p>
          <w:p>
            <w:pPr>
              <w:pStyle w:val="41"/>
              <w:kinsoku w:val="0"/>
              <w:overflowPunct w:val="0"/>
              <w:spacing w:line="360" w:lineRule="auto"/>
              <w:ind w:left="-2" w:right="107"/>
              <w:jc w:val="both"/>
            </w:pPr>
            <w:r>
              <w:rPr>
                <w:rFonts w:hint="eastAsia" w:ascii="宋体" w:hAnsi="宋体"/>
                <w:spacing w:val="-2"/>
                <w:sz w:val="21"/>
              </w:rPr>
              <w:t>采用非电子招标投标时，在收到相应澄清文件后</w:t>
            </w:r>
            <w:r>
              <w:rPr>
                <w:rFonts w:eastAsia="Calibri"/>
                <w:spacing w:val="-2"/>
                <w:sz w:val="21"/>
              </w:rPr>
              <w:t>24</w:t>
            </w:r>
            <w:r>
              <w:rPr>
                <w:rFonts w:eastAsia="Calibri"/>
                <w:spacing w:val="33"/>
                <w:sz w:val="21"/>
              </w:rPr>
              <w:t xml:space="preserve"> </w:t>
            </w:r>
            <w:r>
              <w:rPr>
                <w:rFonts w:hint="eastAsia" w:ascii="宋体" w:hAnsi="宋体"/>
                <w:sz w:val="21"/>
              </w:rPr>
              <w:t>小时内。</w:t>
            </w:r>
          </w:p>
        </w:tc>
      </w:tr>
      <w:tr>
        <w:tblPrEx>
          <w:tblCellMar>
            <w:top w:w="0" w:type="dxa"/>
            <w:left w:w="108" w:type="dxa"/>
            <w:bottom w:w="0" w:type="dxa"/>
            <w:right w:w="108" w:type="dxa"/>
          </w:tblCellMar>
        </w:tblPrEx>
        <w:trPr>
          <w:trHeight w:val="769"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3.1.1</w:t>
            </w:r>
          </w:p>
        </w:tc>
        <w:tc>
          <w:tcPr>
            <w:tcW w:w="19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pPr>
            <w:r>
              <w:rPr>
                <w:rFonts w:hint="eastAsia" w:ascii="宋体" w:hAnsi="宋体"/>
                <w:spacing w:val="-3"/>
                <w:sz w:val="21"/>
              </w:rPr>
              <w:t>构成投标文件的其他资料</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ascii="宋体" w:hAnsi="宋体"/>
                <w:spacing w:val="-2"/>
                <w:sz w:val="21"/>
              </w:rPr>
              <w:t>其他需要补充说明的资料。</w:t>
            </w:r>
          </w:p>
        </w:tc>
      </w:tr>
      <w:tr>
        <w:tblPrEx>
          <w:tblCellMar>
            <w:top w:w="0" w:type="dxa"/>
            <w:left w:w="108" w:type="dxa"/>
            <w:bottom w:w="0" w:type="dxa"/>
            <w:right w:w="108" w:type="dxa"/>
          </w:tblCellMar>
        </w:tblPrEx>
        <w:trPr>
          <w:trHeight w:val="774"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3.2.4</w:t>
            </w:r>
          </w:p>
        </w:tc>
        <w:tc>
          <w:tcPr>
            <w:tcW w:w="19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rPr>
                <w:rFonts w:ascii="宋体" w:hAnsi="宋体"/>
                <w:spacing w:val="-2"/>
                <w:sz w:val="21"/>
              </w:rPr>
            </w:pPr>
            <w:r>
              <w:rPr>
                <w:rFonts w:hint="eastAsia" w:ascii="宋体" w:hAnsi="宋体"/>
                <w:spacing w:val="-2"/>
                <w:sz w:val="21"/>
              </w:rPr>
              <w:t>预算金额</w:t>
            </w:r>
          </w:p>
          <w:p>
            <w:pPr>
              <w:pStyle w:val="41"/>
              <w:kinsoku w:val="0"/>
              <w:overflowPunct w:val="0"/>
              <w:spacing w:line="360" w:lineRule="auto"/>
              <w:jc w:val="center"/>
            </w:pPr>
            <w:r>
              <w:rPr>
                <w:rFonts w:hint="eastAsia" w:ascii="宋体" w:hAnsi="宋体"/>
                <w:spacing w:val="-2"/>
                <w:sz w:val="21"/>
              </w:rPr>
              <w:t>（最高限价）</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ascii="宋体" w:hAnsi="宋体"/>
                <w:spacing w:val="-1"/>
                <w:sz w:val="21"/>
                <w:szCs w:val="22"/>
              </w:rPr>
              <w:t>51万元（超过最高限价的按废标处理）</w:t>
            </w:r>
          </w:p>
        </w:tc>
      </w:tr>
      <w:tr>
        <w:tblPrEx>
          <w:tblCellMar>
            <w:top w:w="0" w:type="dxa"/>
            <w:left w:w="108" w:type="dxa"/>
            <w:bottom w:w="0" w:type="dxa"/>
            <w:right w:w="108" w:type="dxa"/>
          </w:tblCellMar>
        </w:tblPrEx>
        <w:trPr>
          <w:trHeight w:val="733"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3.2.5</w:t>
            </w:r>
          </w:p>
        </w:tc>
        <w:tc>
          <w:tcPr>
            <w:tcW w:w="19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rPr>
                <w:rFonts w:ascii="宋体" w:hAnsi="宋体"/>
                <w:spacing w:val="-3"/>
                <w:sz w:val="21"/>
              </w:rPr>
            </w:pPr>
            <w:r>
              <w:rPr>
                <w:rFonts w:hint="eastAsia" w:ascii="宋体" w:hAnsi="宋体"/>
                <w:spacing w:val="-3"/>
                <w:sz w:val="21"/>
              </w:rPr>
              <w:t>投标报价的</w:t>
            </w:r>
          </w:p>
          <w:p>
            <w:pPr>
              <w:pStyle w:val="41"/>
              <w:kinsoku w:val="0"/>
              <w:overflowPunct w:val="0"/>
              <w:spacing w:line="360" w:lineRule="auto"/>
              <w:jc w:val="center"/>
            </w:pPr>
            <w:r>
              <w:rPr>
                <w:rFonts w:hint="eastAsia" w:ascii="宋体" w:hAnsi="宋体"/>
                <w:spacing w:val="-3"/>
                <w:sz w:val="21"/>
              </w:rPr>
              <w:t>其他要求</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ascii="宋体" w:hAnsi="宋体"/>
                <w:sz w:val="21"/>
              </w:rPr>
              <w:t>无</w:t>
            </w:r>
          </w:p>
        </w:tc>
      </w:tr>
      <w:tr>
        <w:tblPrEx>
          <w:tblCellMar>
            <w:top w:w="0" w:type="dxa"/>
            <w:left w:w="108" w:type="dxa"/>
            <w:bottom w:w="0" w:type="dxa"/>
            <w:right w:w="108" w:type="dxa"/>
          </w:tblCellMar>
        </w:tblPrEx>
        <w:trPr>
          <w:trHeight w:val="463"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3.3.1</w:t>
            </w:r>
          </w:p>
        </w:tc>
        <w:tc>
          <w:tcPr>
            <w:tcW w:w="197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pPr>
            <w:r>
              <w:rPr>
                <w:rFonts w:hint="eastAsia" w:ascii="宋体" w:hAnsi="宋体"/>
                <w:spacing w:val="-1"/>
                <w:sz w:val="21"/>
              </w:rPr>
              <w:t>投标有效期</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spacing w:val="-1"/>
                <w:sz w:val="21"/>
              </w:rPr>
              <w:t>6</w:t>
            </w:r>
            <w:r>
              <w:rPr>
                <w:rFonts w:eastAsia="Calibri"/>
                <w:spacing w:val="-1"/>
                <w:sz w:val="21"/>
              </w:rPr>
              <w:t>0</w:t>
            </w:r>
            <w:r>
              <w:rPr>
                <w:rFonts w:hint="eastAsia" w:ascii="宋体" w:hAnsi="宋体"/>
                <w:spacing w:val="-1"/>
                <w:sz w:val="21"/>
              </w:rPr>
              <w:t>日历天</w:t>
            </w:r>
          </w:p>
        </w:tc>
      </w:tr>
      <w:tr>
        <w:tblPrEx>
          <w:tblCellMar>
            <w:top w:w="0" w:type="dxa"/>
            <w:left w:w="108" w:type="dxa"/>
            <w:bottom w:w="0" w:type="dxa"/>
            <w:right w:w="108" w:type="dxa"/>
          </w:tblCellMar>
        </w:tblPrEx>
        <w:trPr>
          <w:trHeight w:val="922"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pacing w:val="-1"/>
                <w:sz w:val="21"/>
                <w:szCs w:val="22"/>
              </w:rPr>
            </w:pPr>
          </w:p>
          <w:p>
            <w:pPr>
              <w:pStyle w:val="41"/>
              <w:kinsoku w:val="0"/>
              <w:overflowPunct w:val="0"/>
              <w:spacing w:line="360" w:lineRule="auto"/>
              <w:rPr>
                <w:rFonts w:eastAsia="Calibri"/>
                <w:spacing w:val="-1"/>
                <w:sz w:val="21"/>
                <w:szCs w:val="22"/>
              </w:rPr>
            </w:pPr>
            <w:r>
              <w:rPr>
                <w:rFonts w:hint="eastAsia" w:eastAsia="Calibri"/>
                <w:spacing w:val="-1"/>
                <w:sz w:val="21"/>
                <w:szCs w:val="22"/>
              </w:rPr>
              <w:t>3.3.2</w:t>
            </w: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2"/>
              </w:rPr>
            </w:pPr>
          </w:p>
          <w:p>
            <w:pPr>
              <w:pStyle w:val="41"/>
              <w:kinsoku w:val="0"/>
              <w:overflowPunct w:val="0"/>
              <w:spacing w:line="360" w:lineRule="auto"/>
              <w:ind w:left="363"/>
            </w:pPr>
            <w:r>
              <w:rPr>
                <w:rFonts w:eastAsia="Calibri"/>
                <w:spacing w:val="-1"/>
                <w:sz w:val="21"/>
              </w:rPr>
              <w:t>3.4.1</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jc w:val="center"/>
            </w:pPr>
            <w:r>
              <w:rPr>
                <w:rFonts w:hint="eastAsia" w:ascii="宋体" w:hAnsi="宋体"/>
                <w:spacing w:val="-1"/>
                <w:sz w:val="21"/>
              </w:rPr>
              <w:t>投标保证金</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rPr>
                <w:rFonts w:ascii="宋体" w:hAnsi="宋体" w:cs="宋体"/>
                <w:b/>
                <w:bCs/>
                <w:color w:val="000000"/>
                <w:sz w:val="21"/>
                <w:szCs w:val="21"/>
              </w:rPr>
            </w:pPr>
            <w:r>
              <w:rPr>
                <w:rFonts w:hint="eastAsia" w:ascii="宋体" w:hAnsi="宋体" w:cs="宋体"/>
                <w:b/>
                <w:bCs/>
                <w:color w:val="000000"/>
                <w:sz w:val="21"/>
                <w:szCs w:val="21"/>
              </w:rPr>
              <w:t>投标保证金：</w:t>
            </w:r>
            <w:r>
              <w:rPr>
                <w:rFonts w:hint="eastAsia" w:ascii="宋体" w:hAnsi="宋体" w:cs="宋体"/>
                <w:b/>
                <w:bCs/>
                <w:sz w:val="21"/>
                <w:szCs w:val="21"/>
              </w:rPr>
              <w:t>本项目不需缴纳投标保证金(根据河南省财政厅文件豫财购{2019}4号规定）。</w:t>
            </w:r>
          </w:p>
          <w:p>
            <w:pPr>
              <w:pStyle w:val="41"/>
              <w:kinsoku w:val="0"/>
              <w:overflowPunct w:val="0"/>
              <w:spacing w:line="360" w:lineRule="auto"/>
              <w:ind w:left="-2" w:right="-8"/>
            </w:pPr>
          </w:p>
        </w:tc>
      </w:tr>
      <w:tr>
        <w:tblPrEx>
          <w:tblCellMar>
            <w:top w:w="0" w:type="dxa"/>
            <w:left w:w="108" w:type="dxa"/>
            <w:bottom w:w="0" w:type="dxa"/>
            <w:right w:w="108" w:type="dxa"/>
          </w:tblCellMar>
        </w:tblPrEx>
        <w:trPr>
          <w:trHeight w:val="731"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3.4.4</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4"/>
            </w:pPr>
            <w:r>
              <w:rPr>
                <w:rFonts w:hint="eastAsia" w:ascii="宋体" w:hAnsi="宋体"/>
                <w:spacing w:val="-2"/>
                <w:sz w:val="21"/>
              </w:rPr>
              <w:t>其他可以不予退还投标保证金的情形</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4"/>
            </w:pPr>
            <w:r>
              <w:rPr>
                <w:rFonts w:hint="eastAsia" w:ascii="宋体" w:hAnsi="宋体"/>
                <w:sz w:val="21"/>
              </w:rPr>
              <w:t>/</w:t>
            </w:r>
          </w:p>
        </w:tc>
      </w:tr>
      <w:tr>
        <w:tblPrEx>
          <w:tblCellMar>
            <w:top w:w="0" w:type="dxa"/>
            <w:left w:w="108" w:type="dxa"/>
            <w:bottom w:w="0" w:type="dxa"/>
            <w:right w:w="108" w:type="dxa"/>
          </w:tblCellMar>
        </w:tblPrEx>
        <w:trPr>
          <w:trHeight w:val="733"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3.5</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资格审查资料的特殊要求</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pPr>
            <w:r>
              <w:rPr>
                <w:rFonts w:hint="eastAsia" w:ascii="宋体" w:hAnsi="宋体"/>
                <w:sz w:val="21"/>
              </w:rPr>
              <w:t>无</w:t>
            </w:r>
          </w:p>
        </w:tc>
      </w:tr>
      <w:tr>
        <w:tblPrEx>
          <w:tblCellMar>
            <w:top w:w="0" w:type="dxa"/>
            <w:left w:w="108" w:type="dxa"/>
            <w:bottom w:w="0" w:type="dxa"/>
            <w:right w:w="108" w:type="dxa"/>
          </w:tblCellMar>
        </w:tblPrEx>
        <w:trPr>
          <w:trHeight w:val="813"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3.5.2</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近年财务状况的年份要求</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hint="eastAsia" w:ascii="宋体" w:hAnsi="宋体"/>
                <w:spacing w:val="-62"/>
                <w:sz w:val="21"/>
              </w:rPr>
              <w:t xml:space="preserve"> </w:t>
            </w:r>
            <w:r>
              <w:rPr>
                <w:rFonts w:eastAsia="Calibri"/>
                <w:spacing w:val="-3"/>
                <w:sz w:val="21"/>
              </w:rPr>
              <w:t>2018</w:t>
            </w:r>
            <w:r>
              <w:rPr>
                <w:rFonts w:hint="eastAsia" w:ascii="宋体" w:hAnsi="宋体"/>
                <w:spacing w:val="-3"/>
                <w:sz w:val="21"/>
              </w:rPr>
              <w:t>年</w:t>
            </w:r>
          </w:p>
        </w:tc>
      </w:tr>
      <w:tr>
        <w:tblPrEx>
          <w:tblCellMar>
            <w:top w:w="0" w:type="dxa"/>
            <w:left w:w="108" w:type="dxa"/>
            <w:bottom w:w="0" w:type="dxa"/>
            <w:right w:w="108" w:type="dxa"/>
          </w:tblCellMar>
        </w:tblPrEx>
        <w:trPr>
          <w:trHeight w:val="716"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3.5.5</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4"/>
            </w:pPr>
            <w:r>
              <w:rPr>
                <w:rFonts w:hint="eastAsia" w:ascii="宋体" w:hAnsi="宋体"/>
                <w:spacing w:val="-2"/>
                <w:sz w:val="21"/>
              </w:rPr>
              <w:t>近年完成的类似项目情况的时间要求</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rPr>
                <w:color w:val="0000FF"/>
              </w:rPr>
            </w:pPr>
            <w:r>
              <w:rPr>
                <w:rFonts w:eastAsia="Calibri"/>
                <w:spacing w:val="-1"/>
                <w:sz w:val="21"/>
              </w:rPr>
              <w:t>2016</w:t>
            </w:r>
            <w:r>
              <w:rPr>
                <w:rFonts w:hint="eastAsia" w:ascii="宋体" w:hAnsi="宋体"/>
                <w:spacing w:val="-1"/>
                <w:sz w:val="21"/>
              </w:rPr>
              <w:t>年</w:t>
            </w:r>
            <w:r>
              <w:rPr>
                <w:rFonts w:hint="eastAsia" w:ascii="宋体" w:hAnsi="宋体"/>
                <w:spacing w:val="-60"/>
                <w:sz w:val="21"/>
              </w:rPr>
              <w:t xml:space="preserve"> </w:t>
            </w:r>
            <w:r>
              <w:rPr>
                <w:rFonts w:eastAsia="Calibri"/>
                <w:sz w:val="21"/>
              </w:rPr>
              <w:t>1</w:t>
            </w:r>
            <w:r>
              <w:rPr>
                <w:rFonts w:hint="eastAsia" w:ascii="宋体" w:hAnsi="宋体"/>
                <w:sz w:val="21"/>
              </w:rPr>
              <w:t>月</w:t>
            </w:r>
            <w:r>
              <w:rPr>
                <w:rFonts w:hint="eastAsia" w:ascii="宋体" w:hAnsi="宋体"/>
                <w:spacing w:val="-60"/>
                <w:sz w:val="21"/>
              </w:rPr>
              <w:t xml:space="preserve"> </w:t>
            </w:r>
            <w:r>
              <w:rPr>
                <w:rFonts w:eastAsia="Calibri"/>
                <w:spacing w:val="-2"/>
                <w:sz w:val="21"/>
              </w:rPr>
              <w:t>1</w:t>
            </w:r>
            <w:r>
              <w:rPr>
                <w:rFonts w:hint="eastAsia" w:ascii="宋体" w:hAnsi="宋体"/>
                <w:spacing w:val="-2"/>
                <w:sz w:val="21"/>
              </w:rPr>
              <w:t>日以来</w:t>
            </w:r>
          </w:p>
        </w:tc>
      </w:tr>
      <w:tr>
        <w:tblPrEx>
          <w:tblCellMar>
            <w:top w:w="0" w:type="dxa"/>
            <w:left w:w="108" w:type="dxa"/>
            <w:bottom w:w="0" w:type="dxa"/>
            <w:right w:w="108" w:type="dxa"/>
          </w:tblCellMar>
        </w:tblPrEx>
        <w:trPr>
          <w:trHeight w:val="863"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3.6.1</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3"/>
                <w:sz w:val="21"/>
              </w:rPr>
              <w:t>是否允许递交备选投标方案</w:t>
            </w:r>
          </w:p>
        </w:tc>
        <w:tc>
          <w:tcPr>
            <w:tcW w:w="64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jc w:val="both"/>
            </w:pPr>
            <w:r>
              <w:rPr>
                <w:rFonts w:hint="eastAsia" w:ascii="宋体" w:hAnsi="宋体"/>
                <w:sz w:val="21"/>
              </w:rPr>
              <w:t>不允许</w:t>
            </w:r>
          </w:p>
        </w:tc>
      </w:tr>
      <w:tr>
        <w:tblPrEx>
          <w:tblCellMar>
            <w:top w:w="0" w:type="dxa"/>
            <w:left w:w="108" w:type="dxa"/>
            <w:bottom w:w="0" w:type="dxa"/>
            <w:right w:w="108" w:type="dxa"/>
          </w:tblCellMar>
        </w:tblPrEx>
        <w:trPr>
          <w:trHeight w:val="1616" w:hRule="exact"/>
        </w:trPr>
        <w:tc>
          <w:tcPr>
            <w:tcW w:w="862"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2"/>
              </w:rPr>
            </w:pPr>
          </w:p>
          <w:p>
            <w:pPr>
              <w:pStyle w:val="41"/>
              <w:kinsoku w:val="0"/>
              <w:overflowPunct w:val="0"/>
              <w:spacing w:line="360" w:lineRule="auto"/>
              <w:ind w:right="-26"/>
            </w:pPr>
            <w:r>
              <w:rPr>
                <w:rFonts w:eastAsia="Calibri"/>
                <w:sz w:val="21"/>
              </w:rPr>
              <w:t>3</w:t>
            </w:r>
            <w:r>
              <w:rPr>
                <w:rFonts w:eastAsia="Calibri"/>
                <w:spacing w:val="-1"/>
                <w:sz w:val="21"/>
              </w:rPr>
              <w:t>.7</w:t>
            </w:r>
            <w:r>
              <w:rPr>
                <w:rFonts w:eastAsia="Calibri"/>
                <w:spacing w:val="-2"/>
                <w:sz w:val="21"/>
              </w:rPr>
              <w:t>.</w:t>
            </w:r>
            <w:r>
              <w:rPr>
                <w:rFonts w:hint="eastAsia"/>
                <w:spacing w:val="-2"/>
                <w:sz w:val="21"/>
              </w:rPr>
              <w:t>1</w:t>
            </w:r>
          </w:p>
        </w:tc>
        <w:tc>
          <w:tcPr>
            <w:tcW w:w="1973"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ind w:left="310"/>
            </w:pPr>
            <w:r>
              <w:rPr>
                <w:rFonts w:hint="eastAsia" w:ascii="宋体" w:hAnsi="宋体"/>
                <w:spacing w:val="-2"/>
                <w:sz w:val="21"/>
              </w:rPr>
              <w:t>投标文件递交</w:t>
            </w:r>
          </w:p>
        </w:tc>
        <w:tc>
          <w:tcPr>
            <w:tcW w:w="64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right="6"/>
            </w:pPr>
            <w:r>
              <w:rPr>
                <w:rFonts w:hint="eastAsia" w:ascii="宋体" w:hAnsi="宋体"/>
                <w:spacing w:val="-2"/>
                <w:sz w:val="21"/>
              </w:rPr>
              <w:t>投标人应在截止时间前通过邓州市公共资源交易平台递交电子投标文件</w:t>
            </w:r>
            <w:r>
              <w:rPr>
                <w:rFonts w:eastAsia="Calibri"/>
                <w:spacing w:val="-2"/>
                <w:sz w:val="21"/>
              </w:rPr>
              <w:t>(.mbf</w:t>
            </w:r>
            <w:r>
              <w:rPr>
                <w:rFonts w:hint="eastAsia" w:ascii="宋体" w:hAnsi="宋体"/>
                <w:spacing w:val="-2"/>
                <w:sz w:val="21"/>
              </w:rPr>
              <w:t>格式</w:t>
            </w:r>
            <w:r>
              <w:rPr>
                <w:rFonts w:eastAsia="Calibri"/>
                <w:spacing w:val="-2"/>
                <w:sz w:val="21"/>
              </w:rPr>
              <w:t>)</w:t>
            </w:r>
            <w:r>
              <w:rPr>
                <w:rFonts w:hint="eastAsia" w:ascii="宋体" w:hAnsi="宋体"/>
                <w:spacing w:val="-2"/>
                <w:sz w:val="21"/>
              </w:rPr>
              <w:t>。并将纸质版投标文件</w:t>
            </w:r>
            <w:r>
              <w:rPr>
                <w:rFonts w:eastAsia="Calibri"/>
                <w:spacing w:val="-2"/>
                <w:sz w:val="21"/>
              </w:rPr>
              <w:t>(</w:t>
            </w:r>
            <w:r>
              <w:rPr>
                <w:rFonts w:hint="eastAsia" w:ascii="宋体" w:hAnsi="宋体"/>
                <w:spacing w:val="-2"/>
                <w:sz w:val="21"/>
              </w:rPr>
              <w:t>正本壹份，副本肆份，</w:t>
            </w:r>
            <w:r>
              <w:rPr>
                <w:rFonts w:eastAsia="Calibri"/>
                <w:spacing w:val="-2"/>
                <w:sz w:val="21"/>
              </w:rPr>
              <w:t>A4</w:t>
            </w:r>
            <w:r>
              <w:rPr>
                <w:rFonts w:hint="eastAsia" w:ascii="宋体" w:hAnsi="宋体"/>
                <w:spacing w:val="-2"/>
                <w:sz w:val="21"/>
              </w:rPr>
              <w:t>纸打印并胶装</w:t>
            </w:r>
            <w:r>
              <w:rPr>
                <w:rFonts w:eastAsia="Calibri"/>
                <w:spacing w:val="-2"/>
                <w:sz w:val="21"/>
              </w:rPr>
              <w:t>)</w:t>
            </w:r>
            <w:r>
              <w:rPr>
                <w:rFonts w:hint="eastAsia" w:ascii="宋体" w:hAnsi="宋体"/>
                <w:spacing w:val="-2"/>
                <w:sz w:val="21"/>
              </w:rPr>
              <w:t>密封提交，及电子版投标文件</w:t>
            </w:r>
            <w:r>
              <w:rPr>
                <w:rFonts w:eastAsia="Calibri"/>
                <w:spacing w:val="-2"/>
                <w:sz w:val="21"/>
              </w:rPr>
              <w:t>U</w:t>
            </w:r>
            <w:r>
              <w:rPr>
                <w:rFonts w:hint="eastAsia" w:ascii="宋体" w:hAnsi="宋体"/>
                <w:spacing w:val="-2"/>
                <w:sz w:val="21"/>
              </w:rPr>
              <w:t>盘三份（加密的</w:t>
            </w:r>
            <w:r>
              <w:rPr>
                <w:rFonts w:eastAsia="Calibri"/>
                <w:spacing w:val="-2"/>
                <w:sz w:val="21"/>
              </w:rPr>
              <w:t>.mbf</w:t>
            </w:r>
            <w:r>
              <w:rPr>
                <w:rFonts w:hint="eastAsia" w:ascii="宋体" w:hAnsi="宋体"/>
                <w:spacing w:val="-2"/>
                <w:sz w:val="21"/>
              </w:rPr>
              <w:t>格</w:t>
            </w:r>
            <w:r>
              <w:rPr>
                <w:rFonts w:hint="eastAsia" w:ascii="宋体" w:hAnsi="宋体"/>
                <w:spacing w:val="33"/>
                <w:sz w:val="21"/>
              </w:rPr>
              <w:t xml:space="preserve"> </w:t>
            </w:r>
            <w:r>
              <w:rPr>
                <w:rFonts w:hint="eastAsia" w:ascii="宋体" w:hAnsi="宋体"/>
                <w:spacing w:val="-2"/>
                <w:sz w:val="21"/>
              </w:rPr>
              <w:t>式，未加密的</w:t>
            </w:r>
            <w:r>
              <w:rPr>
                <w:rFonts w:eastAsia="Calibri"/>
                <w:spacing w:val="-2"/>
                <w:sz w:val="21"/>
              </w:rPr>
              <w:t>.bf</w:t>
            </w:r>
            <w:r>
              <w:rPr>
                <w:rFonts w:hint="eastAsia" w:ascii="宋体" w:hAnsi="宋体"/>
                <w:spacing w:val="-2"/>
                <w:sz w:val="21"/>
              </w:rPr>
              <w:t>格式，</w:t>
            </w:r>
            <w:r>
              <w:rPr>
                <w:rFonts w:eastAsia="Calibri"/>
                <w:spacing w:val="-2"/>
                <w:sz w:val="21"/>
              </w:rPr>
              <w:t>FDF</w:t>
            </w:r>
            <w:r>
              <w:rPr>
                <w:rFonts w:hint="eastAsia" w:ascii="宋体" w:hAnsi="宋体"/>
                <w:spacing w:val="-2"/>
                <w:sz w:val="21"/>
              </w:rPr>
              <w:t>或</w:t>
            </w:r>
            <w:r>
              <w:rPr>
                <w:rFonts w:eastAsia="Calibri"/>
                <w:spacing w:val="-2"/>
                <w:sz w:val="21"/>
              </w:rPr>
              <w:t>word</w:t>
            </w:r>
            <w:r>
              <w:rPr>
                <w:rFonts w:hint="eastAsia" w:ascii="宋体" w:hAnsi="宋体"/>
                <w:spacing w:val="-2"/>
                <w:sz w:val="21"/>
              </w:rPr>
              <w:t>版各</w:t>
            </w:r>
            <w:r>
              <w:rPr>
                <w:rFonts w:eastAsia="Calibri"/>
                <w:spacing w:val="-2"/>
                <w:sz w:val="21"/>
              </w:rPr>
              <w:t>1</w:t>
            </w:r>
            <w:r>
              <w:rPr>
                <w:rFonts w:hint="eastAsia" w:ascii="宋体" w:hAnsi="宋体"/>
                <w:spacing w:val="-2"/>
                <w:sz w:val="21"/>
              </w:rPr>
              <w:t>份）分别单独密封</w:t>
            </w:r>
            <w:r>
              <w:rPr>
                <w:rFonts w:hint="eastAsia" w:ascii="宋体" w:hAnsi="宋体"/>
                <w:sz w:val="21"/>
              </w:rPr>
              <w:t>提交。</w:t>
            </w:r>
          </w:p>
        </w:tc>
      </w:tr>
    </w:tbl>
    <w:tbl>
      <w:tblPr>
        <w:tblStyle w:val="26"/>
        <w:tblpPr w:leftFromText="180" w:rightFromText="180" w:vertAnchor="text" w:horzAnchor="page" w:tblpX="1397" w:tblpY="72"/>
        <w:tblOverlap w:val="never"/>
        <w:tblW w:w="9370" w:type="dxa"/>
        <w:tblInd w:w="0" w:type="dxa"/>
        <w:tblLayout w:type="fixed"/>
        <w:tblCellMar>
          <w:top w:w="0" w:type="dxa"/>
          <w:left w:w="108" w:type="dxa"/>
          <w:bottom w:w="0" w:type="dxa"/>
          <w:right w:w="108" w:type="dxa"/>
        </w:tblCellMar>
      </w:tblPr>
      <w:tblGrid>
        <w:gridCol w:w="895"/>
        <w:gridCol w:w="1955"/>
        <w:gridCol w:w="6520"/>
      </w:tblGrid>
      <w:tr>
        <w:tblPrEx>
          <w:tblCellMar>
            <w:top w:w="0" w:type="dxa"/>
            <w:left w:w="108" w:type="dxa"/>
            <w:bottom w:w="0" w:type="dxa"/>
            <w:right w:w="108" w:type="dxa"/>
          </w:tblCellMar>
        </w:tblPrEx>
        <w:trPr>
          <w:trHeight w:val="721" w:hRule="exact"/>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both"/>
            </w:pPr>
            <w:r>
              <w:rPr>
                <w:rFonts w:eastAsia="Calibri"/>
                <w:sz w:val="21"/>
              </w:rPr>
              <w:t>3</w:t>
            </w:r>
            <w:r>
              <w:rPr>
                <w:rFonts w:eastAsia="Calibri"/>
                <w:spacing w:val="-1"/>
                <w:sz w:val="21"/>
              </w:rPr>
              <w:t>.7</w:t>
            </w:r>
            <w:r>
              <w:rPr>
                <w:rFonts w:eastAsia="Calibri"/>
                <w:spacing w:val="-2"/>
                <w:sz w:val="21"/>
              </w:rPr>
              <w:t>.</w:t>
            </w:r>
            <w:r>
              <w:rPr>
                <w:rFonts w:hint="eastAsia"/>
                <w:spacing w:val="-2"/>
                <w:sz w:val="21"/>
              </w:rPr>
              <w:t>2</w:t>
            </w:r>
          </w:p>
        </w:tc>
        <w:tc>
          <w:tcPr>
            <w:tcW w:w="19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both"/>
            </w:pPr>
            <w:r>
              <w:rPr>
                <w:rFonts w:hint="eastAsia" w:ascii="宋体" w:hAnsi="宋体"/>
                <w:spacing w:val="-3"/>
                <w:sz w:val="21"/>
              </w:rPr>
              <w:t>投标文件是否需分册装订</w:t>
            </w:r>
          </w:p>
        </w:tc>
        <w:tc>
          <w:tcPr>
            <w:tcW w:w="65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jc w:val="both"/>
            </w:pPr>
            <w:r>
              <w:rPr>
                <w:rFonts w:hint="eastAsia" w:ascii="宋体" w:hAnsi="宋体"/>
                <w:sz w:val="21"/>
              </w:rPr>
              <w:t>不需要</w:t>
            </w:r>
          </w:p>
        </w:tc>
      </w:tr>
      <w:tr>
        <w:tblPrEx>
          <w:tblCellMar>
            <w:top w:w="0" w:type="dxa"/>
            <w:left w:w="108" w:type="dxa"/>
            <w:bottom w:w="0" w:type="dxa"/>
            <w:right w:w="108" w:type="dxa"/>
          </w:tblCellMar>
        </w:tblPrEx>
        <w:trPr>
          <w:trHeight w:val="755" w:hRule="exact"/>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28"/>
              <w:jc w:val="both"/>
            </w:pPr>
            <w:r>
              <w:rPr>
                <w:rFonts w:eastAsia="Calibri"/>
                <w:spacing w:val="-1"/>
                <w:sz w:val="21"/>
              </w:rPr>
              <w:t>3.7.3</w:t>
            </w:r>
          </w:p>
        </w:tc>
        <w:tc>
          <w:tcPr>
            <w:tcW w:w="19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tabs>
                <w:tab w:val="left" w:pos="522"/>
              </w:tabs>
              <w:kinsoku w:val="0"/>
              <w:overflowPunct w:val="0"/>
              <w:spacing w:line="360" w:lineRule="auto"/>
              <w:ind w:left="-172"/>
              <w:jc w:val="center"/>
            </w:pPr>
            <w:r>
              <w:rPr>
                <w:rFonts w:hint="eastAsia" w:ascii="宋体" w:hAnsi="宋体"/>
                <w:spacing w:val="-2"/>
                <w:position w:val="1"/>
                <w:sz w:val="21"/>
              </w:rPr>
              <w:t>投标文件加密要求</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right="-21"/>
            </w:pPr>
            <w:r>
              <w:rPr>
                <w:rFonts w:hint="eastAsia" w:ascii="宋体" w:hAnsi="宋体"/>
                <w:sz w:val="21"/>
              </w:rPr>
              <w:t>通过邓州市公共资源交易平台将电子版投标文件加</w:t>
            </w:r>
            <w:r>
              <w:rPr>
                <w:rFonts w:hint="eastAsia" w:ascii="宋体" w:hAnsi="宋体"/>
                <w:spacing w:val="-2"/>
                <w:sz w:val="21"/>
              </w:rPr>
              <w:t>密为</w:t>
            </w:r>
            <w:r>
              <w:rPr>
                <w:rFonts w:eastAsia="Calibri"/>
                <w:spacing w:val="-2"/>
                <w:sz w:val="21"/>
              </w:rPr>
              <w:t>.mbf</w:t>
            </w:r>
            <w:r>
              <w:rPr>
                <w:rFonts w:hint="eastAsia" w:ascii="宋体" w:hAnsi="宋体"/>
                <w:spacing w:val="-2"/>
                <w:sz w:val="21"/>
              </w:rPr>
              <w:t>格式并在规定时间前上传。</w:t>
            </w:r>
          </w:p>
        </w:tc>
      </w:tr>
      <w:tr>
        <w:tblPrEx>
          <w:tblCellMar>
            <w:top w:w="0" w:type="dxa"/>
            <w:left w:w="108" w:type="dxa"/>
            <w:bottom w:w="0" w:type="dxa"/>
            <w:right w:w="108" w:type="dxa"/>
          </w:tblCellMar>
        </w:tblPrEx>
        <w:trPr>
          <w:trHeight w:val="2393"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pPr>
            <w:r>
              <w:rPr>
                <w:rFonts w:eastAsia="Calibri"/>
                <w:spacing w:val="-1"/>
                <w:sz w:val="21"/>
              </w:rPr>
              <w:t>4.1.2</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rPr>
                <w:rFonts w:eastAsia="Calibri"/>
              </w:rPr>
            </w:pPr>
          </w:p>
          <w:p>
            <w:pPr>
              <w:pStyle w:val="41"/>
              <w:kinsoku w:val="0"/>
              <w:overflowPunct w:val="0"/>
              <w:spacing w:line="360" w:lineRule="auto"/>
            </w:pPr>
            <w:r>
              <w:rPr>
                <w:rFonts w:hint="eastAsia" w:ascii="宋体" w:hAnsi="宋体"/>
                <w:spacing w:val="-3"/>
                <w:sz w:val="21"/>
              </w:rPr>
              <w:t>封套上应载明的信息</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宋体" w:hAnsi="宋体"/>
                <w:spacing w:val="-2"/>
                <w:sz w:val="21"/>
              </w:rPr>
            </w:pPr>
            <w:r>
              <w:rPr>
                <w:rFonts w:hint="eastAsia" w:ascii="宋体" w:hAnsi="宋体"/>
                <w:spacing w:val="-2"/>
                <w:sz w:val="21"/>
              </w:rPr>
              <w:t>招标人名称：</w:t>
            </w:r>
          </w:p>
          <w:p>
            <w:pPr>
              <w:pStyle w:val="41"/>
              <w:kinsoku w:val="0"/>
              <w:overflowPunct w:val="0"/>
              <w:spacing w:line="360" w:lineRule="auto"/>
              <w:ind w:right="-4"/>
              <w:rPr>
                <w:rFonts w:ascii="宋体" w:hAnsi="宋体"/>
                <w:spacing w:val="21"/>
                <w:sz w:val="21"/>
              </w:rPr>
            </w:pPr>
            <w:r>
              <w:rPr>
                <w:rFonts w:hint="eastAsia" w:ascii="宋体" w:hAnsi="宋体"/>
                <w:sz w:val="21"/>
              </w:rPr>
              <w:t>（项目名称）项目投标</w:t>
            </w:r>
            <w:r>
              <w:rPr>
                <w:rFonts w:hint="eastAsia" w:ascii="宋体" w:hAnsi="宋体"/>
                <w:spacing w:val="-2"/>
                <w:sz w:val="21"/>
              </w:rPr>
              <w:t>文件</w:t>
            </w:r>
            <w:r>
              <w:rPr>
                <w:rFonts w:hint="eastAsia" w:ascii="宋体" w:hAnsi="宋体"/>
                <w:spacing w:val="21"/>
                <w:sz w:val="21"/>
              </w:rPr>
              <w:t xml:space="preserve"> </w:t>
            </w:r>
          </w:p>
          <w:p>
            <w:pPr>
              <w:pStyle w:val="41"/>
              <w:kinsoku w:val="0"/>
              <w:overflowPunct w:val="0"/>
              <w:spacing w:line="360" w:lineRule="auto"/>
              <w:ind w:left="-2" w:right="-28"/>
              <w:rPr>
                <w:rFonts w:ascii="宋体" w:hAnsi="宋体"/>
                <w:spacing w:val="-1"/>
                <w:sz w:val="21"/>
              </w:rPr>
            </w:pPr>
            <w:r>
              <w:rPr>
                <w:rFonts w:hint="eastAsia" w:ascii="宋体" w:hAnsi="宋体"/>
                <w:spacing w:val="-1"/>
                <w:sz w:val="21"/>
              </w:rPr>
              <w:t>采购编号：</w:t>
            </w:r>
          </w:p>
          <w:p>
            <w:pPr>
              <w:pStyle w:val="41"/>
              <w:tabs>
                <w:tab w:val="left" w:pos="718"/>
                <w:tab w:val="left" w:pos="1438"/>
                <w:tab w:val="left" w:pos="2159"/>
                <w:tab w:val="left" w:pos="2879"/>
              </w:tabs>
              <w:kinsoku w:val="0"/>
              <w:overflowPunct w:val="0"/>
              <w:spacing w:line="360" w:lineRule="auto"/>
              <w:ind w:left="-2" w:right="599"/>
              <w:rPr>
                <w:rFonts w:ascii="宋体" w:hAnsi="宋体"/>
                <w:spacing w:val="21"/>
                <w:sz w:val="21"/>
              </w:rPr>
            </w:pPr>
            <w:r>
              <w:rPr>
                <w:rFonts w:hint="eastAsia" w:ascii="宋体" w:hAnsi="宋体"/>
                <w:sz w:val="21"/>
              </w:rPr>
              <w:t xml:space="preserve">在 </w:t>
            </w:r>
            <w:r>
              <w:rPr>
                <w:rFonts w:hint="eastAsia" w:ascii="宋体" w:hAnsi="宋体"/>
                <w:sz w:val="21"/>
                <w:szCs w:val="22"/>
              </w:rPr>
              <w:tab/>
            </w:r>
            <w:r>
              <w:rPr>
                <w:rFonts w:hint="eastAsia" w:ascii="宋体" w:hAnsi="宋体"/>
                <w:sz w:val="21"/>
                <w:szCs w:val="22"/>
              </w:rPr>
              <w:t xml:space="preserve">年 </w:t>
            </w:r>
            <w:r>
              <w:rPr>
                <w:rFonts w:hint="eastAsia" w:ascii="宋体" w:hAnsi="宋体"/>
                <w:sz w:val="21"/>
                <w:szCs w:val="22"/>
              </w:rPr>
              <w:tab/>
            </w:r>
            <w:r>
              <w:rPr>
                <w:rFonts w:hint="eastAsia" w:ascii="宋体" w:hAnsi="宋体"/>
                <w:sz w:val="21"/>
                <w:szCs w:val="22"/>
              </w:rPr>
              <w:t xml:space="preserve">月 </w:t>
            </w:r>
            <w:r>
              <w:rPr>
                <w:rFonts w:hint="eastAsia" w:ascii="宋体" w:hAnsi="宋体"/>
                <w:sz w:val="21"/>
                <w:szCs w:val="22"/>
              </w:rPr>
              <w:tab/>
            </w:r>
            <w:r>
              <w:rPr>
                <w:rFonts w:hint="eastAsia" w:ascii="宋体" w:hAnsi="宋体"/>
                <w:sz w:val="21"/>
                <w:szCs w:val="22"/>
              </w:rPr>
              <w:t xml:space="preserve">日 </w:t>
            </w:r>
            <w:r>
              <w:rPr>
                <w:rFonts w:hint="eastAsia" w:ascii="宋体" w:hAnsi="宋体"/>
                <w:sz w:val="21"/>
                <w:szCs w:val="22"/>
              </w:rPr>
              <w:tab/>
            </w:r>
            <w:r>
              <w:rPr>
                <w:rFonts w:hint="eastAsia" w:ascii="宋体" w:hAnsi="宋体"/>
                <w:spacing w:val="-3"/>
                <w:sz w:val="21"/>
              </w:rPr>
              <w:t>时   分前不得开启</w:t>
            </w:r>
            <w:r>
              <w:rPr>
                <w:rFonts w:hint="eastAsia" w:ascii="宋体" w:hAnsi="宋体"/>
                <w:spacing w:val="21"/>
                <w:sz w:val="21"/>
              </w:rPr>
              <w:t xml:space="preserve"> </w:t>
            </w:r>
          </w:p>
          <w:p>
            <w:pPr>
              <w:pStyle w:val="41"/>
              <w:kinsoku w:val="0"/>
              <w:overflowPunct w:val="0"/>
              <w:spacing w:line="360" w:lineRule="auto"/>
              <w:ind w:left="-2"/>
              <w:rPr>
                <w:rFonts w:ascii="宋体" w:hAnsi="宋体"/>
                <w:spacing w:val="-2"/>
                <w:sz w:val="21"/>
              </w:rPr>
            </w:pPr>
            <w:r>
              <w:rPr>
                <w:rFonts w:hint="eastAsia" w:ascii="宋体" w:hAnsi="宋体"/>
                <w:spacing w:val="-2"/>
                <w:sz w:val="21"/>
              </w:rPr>
              <w:t>投标人名称：（盖公章）</w:t>
            </w:r>
          </w:p>
          <w:p>
            <w:pPr>
              <w:pStyle w:val="41"/>
              <w:kinsoku w:val="0"/>
              <w:overflowPunct w:val="0"/>
              <w:spacing w:line="360" w:lineRule="auto"/>
              <w:ind w:left="-2"/>
              <w:rPr>
                <w:rFonts w:ascii="宋体" w:hAnsi="宋体"/>
                <w:spacing w:val="-2"/>
                <w:sz w:val="21"/>
              </w:rPr>
            </w:pPr>
            <w:r>
              <w:rPr>
                <w:rFonts w:hint="eastAsia" w:ascii="宋体" w:hAnsi="宋体"/>
                <w:spacing w:val="-2"/>
                <w:sz w:val="21"/>
              </w:rPr>
              <w:t>投标人地址：</w:t>
            </w:r>
          </w:p>
          <w:p>
            <w:pPr>
              <w:pStyle w:val="41"/>
              <w:tabs>
                <w:tab w:val="left" w:pos="718"/>
                <w:tab w:val="left" w:pos="1438"/>
                <w:tab w:val="left" w:pos="2159"/>
                <w:tab w:val="left" w:pos="2879"/>
              </w:tabs>
              <w:kinsoku w:val="0"/>
              <w:overflowPunct w:val="0"/>
              <w:spacing w:line="360" w:lineRule="auto"/>
              <w:ind w:left="-2" w:right="599"/>
            </w:pPr>
          </w:p>
        </w:tc>
      </w:tr>
      <w:tr>
        <w:tblPrEx>
          <w:tblCellMar>
            <w:top w:w="0" w:type="dxa"/>
            <w:left w:w="108" w:type="dxa"/>
            <w:bottom w:w="0" w:type="dxa"/>
            <w:right w:w="108" w:type="dxa"/>
          </w:tblCellMar>
        </w:tblPrEx>
        <w:trPr>
          <w:trHeight w:val="463"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4.2.1</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2"/>
                <w:sz w:val="21"/>
              </w:rPr>
              <w:t>投标截止时间</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color w:val="auto"/>
              </w:rPr>
            </w:pPr>
            <w:r>
              <w:rPr>
                <w:rFonts w:hint="eastAsia" w:ascii="宋体" w:hAnsi="宋体" w:cs="Times New Roman"/>
                <w:color w:val="auto"/>
                <w:spacing w:val="-2"/>
                <w:sz w:val="21"/>
                <w:szCs w:val="22"/>
              </w:rPr>
              <w:t>2019 年</w:t>
            </w:r>
            <w:r>
              <w:rPr>
                <w:rFonts w:hint="eastAsia" w:ascii="宋体" w:hAnsi="宋体" w:cs="Times New Roman"/>
                <w:color w:val="auto"/>
                <w:spacing w:val="-2"/>
                <w:sz w:val="21"/>
                <w:szCs w:val="22"/>
                <w:lang w:val="en-US" w:eastAsia="zh-CN"/>
              </w:rPr>
              <w:t xml:space="preserve"> 11 </w:t>
            </w:r>
            <w:r>
              <w:rPr>
                <w:rFonts w:hint="eastAsia" w:ascii="宋体" w:hAnsi="宋体" w:cs="Times New Roman"/>
                <w:color w:val="auto"/>
                <w:spacing w:val="-2"/>
                <w:sz w:val="21"/>
                <w:szCs w:val="22"/>
              </w:rPr>
              <w:t>月</w:t>
            </w:r>
            <w:r>
              <w:rPr>
                <w:rFonts w:hint="eastAsia" w:ascii="宋体" w:hAnsi="宋体" w:cs="Times New Roman"/>
                <w:color w:val="auto"/>
                <w:spacing w:val="-2"/>
                <w:sz w:val="21"/>
                <w:szCs w:val="22"/>
                <w:lang w:val="en-US" w:eastAsia="zh-CN"/>
              </w:rPr>
              <w:t xml:space="preserve"> 27 </w:t>
            </w:r>
            <w:r>
              <w:rPr>
                <w:rFonts w:hint="eastAsia" w:ascii="宋体" w:hAnsi="宋体" w:cs="Times New Roman"/>
                <w:color w:val="auto"/>
                <w:spacing w:val="-2"/>
                <w:sz w:val="21"/>
                <w:szCs w:val="22"/>
              </w:rPr>
              <w:t>日 9 时 00 分整</w:t>
            </w:r>
          </w:p>
        </w:tc>
      </w:tr>
      <w:tr>
        <w:tblPrEx>
          <w:tblCellMar>
            <w:top w:w="0" w:type="dxa"/>
            <w:left w:w="108" w:type="dxa"/>
            <w:bottom w:w="0" w:type="dxa"/>
            <w:right w:w="108" w:type="dxa"/>
          </w:tblCellMar>
        </w:tblPrEx>
        <w:trPr>
          <w:trHeight w:val="466"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4.2.2</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2"/>
                <w:sz w:val="21"/>
              </w:rPr>
              <w:t>递交投标文件地点</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color w:val="auto"/>
              </w:rPr>
            </w:pPr>
            <w:r>
              <w:rPr>
                <w:rFonts w:hint="eastAsia" w:ascii="宋体" w:hAnsi="宋体"/>
                <w:color w:val="auto"/>
                <w:spacing w:val="-2"/>
                <w:sz w:val="21"/>
              </w:rPr>
              <w:t>邓州市公共资源交易中心十楼第一开标室</w:t>
            </w:r>
          </w:p>
        </w:tc>
      </w:tr>
      <w:tr>
        <w:tblPrEx>
          <w:tblCellMar>
            <w:top w:w="0" w:type="dxa"/>
            <w:left w:w="108" w:type="dxa"/>
            <w:bottom w:w="0" w:type="dxa"/>
            <w:right w:w="108" w:type="dxa"/>
          </w:tblCellMar>
        </w:tblPrEx>
        <w:trPr>
          <w:trHeight w:val="463"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eastAsia="Calibri"/>
                <w:spacing w:val="-1"/>
                <w:sz w:val="21"/>
              </w:rPr>
              <w:t>4.2.3</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pPr>
            <w:r>
              <w:rPr>
                <w:rFonts w:hint="eastAsia" w:ascii="宋体" w:hAnsi="宋体"/>
                <w:spacing w:val="-2"/>
                <w:sz w:val="21"/>
              </w:rPr>
              <w:t>投标文件是否退还</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pPr>
            <w:r>
              <w:rPr>
                <w:rFonts w:hint="eastAsia" w:ascii="宋体" w:hAnsi="宋体"/>
                <w:sz w:val="21"/>
              </w:rPr>
              <w:t>否</w:t>
            </w:r>
          </w:p>
        </w:tc>
      </w:tr>
      <w:tr>
        <w:tblPrEx>
          <w:tblCellMar>
            <w:top w:w="0" w:type="dxa"/>
            <w:left w:w="108" w:type="dxa"/>
            <w:bottom w:w="0" w:type="dxa"/>
            <w:right w:w="108" w:type="dxa"/>
          </w:tblCellMar>
        </w:tblPrEx>
        <w:trPr>
          <w:trHeight w:val="1604"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2"/>
              </w:rPr>
            </w:pPr>
          </w:p>
          <w:p>
            <w:pPr>
              <w:pStyle w:val="41"/>
              <w:kinsoku w:val="0"/>
              <w:overflowPunct w:val="0"/>
              <w:spacing w:line="360" w:lineRule="auto"/>
              <w:rPr>
                <w:rFonts w:eastAsia="Calibri"/>
                <w:sz w:val="25"/>
              </w:rPr>
            </w:pPr>
          </w:p>
          <w:p>
            <w:pPr>
              <w:pStyle w:val="41"/>
              <w:kinsoku w:val="0"/>
              <w:overflowPunct w:val="0"/>
              <w:spacing w:line="360" w:lineRule="auto"/>
            </w:pPr>
            <w:r>
              <w:rPr>
                <w:rFonts w:eastAsia="Calibri"/>
                <w:spacing w:val="-1"/>
                <w:sz w:val="21"/>
              </w:rPr>
              <w:t>5.1</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0"/>
              </w:rPr>
            </w:pPr>
          </w:p>
          <w:p>
            <w:pPr>
              <w:pStyle w:val="41"/>
              <w:kinsoku w:val="0"/>
              <w:overflowPunct w:val="0"/>
              <w:spacing w:line="360" w:lineRule="auto"/>
              <w:ind w:right="204"/>
              <w:jc w:val="center"/>
            </w:pPr>
            <w:r>
              <w:rPr>
                <w:rFonts w:hint="eastAsia" w:ascii="宋体" w:hAnsi="宋体"/>
                <w:sz w:val="21"/>
              </w:rPr>
              <w:t>开标时间及地点</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8"/>
              <w:rPr>
                <w:rFonts w:ascii="宋体" w:hAnsi="宋体"/>
                <w:spacing w:val="-3"/>
                <w:sz w:val="21"/>
              </w:rPr>
            </w:pPr>
            <w:r>
              <w:rPr>
                <w:rFonts w:hint="eastAsia" w:ascii="宋体" w:hAnsi="宋体"/>
                <w:spacing w:val="-3"/>
                <w:sz w:val="21"/>
              </w:rPr>
              <w:t>开标时间：同投标截止时间</w:t>
            </w:r>
          </w:p>
          <w:p>
            <w:pPr>
              <w:pStyle w:val="41"/>
              <w:kinsoku w:val="0"/>
              <w:overflowPunct w:val="0"/>
              <w:spacing w:line="360" w:lineRule="auto"/>
              <w:ind w:left="-2" w:right="-8"/>
              <w:rPr>
                <w:rFonts w:ascii="宋体" w:hAnsi="宋体"/>
                <w:spacing w:val="-2"/>
                <w:sz w:val="21"/>
              </w:rPr>
            </w:pPr>
            <w:r>
              <w:rPr>
                <w:rFonts w:hint="eastAsia" w:ascii="宋体" w:hAnsi="宋体"/>
                <w:spacing w:val="-2"/>
                <w:sz w:val="21"/>
              </w:rPr>
              <w:t>开标地点：同递交投标文件地点。</w:t>
            </w:r>
          </w:p>
          <w:p>
            <w:pPr>
              <w:pStyle w:val="41"/>
              <w:kinsoku w:val="0"/>
              <w:overflowPunct w:val="0"/>
              <w:spacing w:line="360" w:lineRule="auto"/>
              <w:ind w:left="-2" w:right="-8"/>
            </w:pPr>
            <w:r>
              <w:rPr>
                <w:rFonts w:hint="eastAsia" w:ascii="宋体" w:hAnsi="宋体"/>
                <w:spacing w:val="2"/>
                <w:sz w:val="21"/>
              </w:rPr>
              <w:t>电子投标文件必须凭制作投标文件所用的</w:t>
            </w:r>
            <w:r>
              <w:rPr>
                <w:rFonts w:hint="eastAsia" w:ascii="宋体" w:hAnsi="宋体"/>
                <w:spacing w:val="17"/>
                <w:sz w:val="21"/>
              </w:rPr>
              <w:t xml:space="preserve"> </w:t>
            </w:r>
            <w:r>
              <w:rPr>
                <w:rFonts w:eastAsia="Calibri"/>
                <w:sz w:val="21"/>
              </w:rPr>
              <w:t xml:space="preserve">CA </w:t>
            </w:r>
            <w:r>
              <w:rPr>
                <w:rFonts w:eastAsia="Calibri"/>
                <w:spacing w:val="15"/>
                <w:sz w:val="21"/>
              </w:rPr>
              <w:t xml:space="preserve"> </w:t>
            </w:r>
            <w:r>
              <w:rPr>
                <w:rFonts w:hint="eastAsia" w:ascii="宋体" w:hAnsi="宋体"/>
                <w:spacing w:val="4"/>
                <w:sz w:val="21"/>
              </w:rPr>
              <w:t>密匙</w:t>
            </w:r>
            <w:r>
              <w:rPr>
                <w:rFonts w:hint="eastAsia" w:ascii="宋体" w:hAnsi="宋体"/>
                <w:spacing w:val="-2"/>
                <w:sz w:val="21"/>
              </w:rPr>
              <w:t>在开标开始</w:t>
            </w:r>
            <w:r>
              <w:rPr>
                <w:rFonts w:hint="eastAsia" w:ascii="宋体" w:hAnsi="宋体"/>
                <w:spacing w:val="-53"/>
                <w:sz w:val="21"/>
              </w:rPr>
              <w:t xml:space="preserve"> </w:t>
            </w:r>
            <w:r>
              <w:rPr>
                <w:rFonts w:hint="eastAsia"/>
                <w:spacing w:val="-1"/>
                <w:sz w:val="21"/>
              </w:rPr>
              <w:t>4</w:t>
            </w:r>
            <w:r>
              <w:rPr>
                <w:rFonts w:eastAsia="Calibri"/>
                <w:spacing w:val="-1"/>
                <w:sz w:val="21"/>
              </w:rPr>
              <w:t>0</w:t>
            </w:r>
            <w:r>
              <w:rPr>
                <w:rFonts w:eastAsia="Calibri"/>
                <w:spacing w:val="6"/>
                <w:sz w:val="21"/>
              </w:rPr>
              <w:t xml:space="preserve"> </w:t>
            </w:r>
            <w:r>
              <w:rPr>
                <w:rFonts w:hint="eastAsia" w:ascii="宋体" w:hAnsi="宋体"/>
                <w:spacing w:val="-2"/>
                <w:sz w:val="21"/>
              </w:rPr>
              <w:t>分钟内完成解密。</w:t>
            </w:r>
          </w:p>
        </w:tc>
      </w:tr>
      <w:tr>
        <w:tblPrEx>
          <w:tblCellMar>
            <w:top w:w="0" w:type="dxa"/>
            <w:left w:w="108" w:type="dxa"/>
            <w:bottom w:w="0" w:type="dxa"/>
            <w:right w:w="108" w:type="dxa"/>
          </w:tblCellMar>
        </w:tblPrEx>
        <w:trPr>
          <w:trHeight w:val="3584" w:hRule="exact"/>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rPr>
                <w:spacing w:val="-1"/>
                <w:sz w:val="21"/>
              </w:rPr>
            </w:pPr>
            <w:r>
              <w:rPr>
                <w:rFonts w:hint="eastAsia"/>
                <w:spacing w:val="-1"/>
                <w:sz w:val="21"/>
              </w:rPr>
              <w:t>5.2</w:t>
            </w:r>
          </w:p>
        </w:tc>
        <w:tc>
          <w:tcPr>
            <w:tcW w:w="19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right="204"/>
              <w:jc w:val="center"/>
              <w:rPr>
                <w:rFonts w:ascii="宋体" w:hAnsi="宋体"/>
                <w:sz w:val="21"/>
              </w:rPr>
            </w:pPr>
            <w:r>
              <w:rPr>
                <w:rFonts w:hint="eastAsia" w:ascii="宋体" w:hAnsi="宋体"/>
                <w:sz w:val="21"/>
              </w:rPr>
              <w:t>开标程序</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right="-4"/>
              <w:rPr>
                <w:rFonts w:ascii="宋体" w:hAnsi="宋体"/>
                <w:sz w:val="21"/>
              </w:rPr>
            </w:pPr>
            <w:r>
              <w:rPr>
                <w:rFonts w:eastAsia="Calibri"/>
                <w:spacing w:val="-2"/>
                <w:sz w:val="21"/>
              </w:rPr>
              <w:t>1</w:t>
            </w:r>
            <w:r>
              <w:rPr>
                <w:rFonts w:hint="eastAsia" w:ascii="宋体" w:hAnsi="宋体"/>
                <w:spacing w:val="-2"/>
                <w:sz w:val="21"/>
              </w:rPr>
              <w:t>、投标人授权委托人代表持</w:t>
            </w:r>
            <w:r>
              <w:rPr>
                <w:rFonts w:hint="eastAsia" w:ascii="宋体" w:hAnsi="宋体"/>
                <w:spacing w:val="-57"/>
                <w:sz w:val="21"/>
              </w:rPr>
              <w:t xml:space="preserve"> </w:t>
            </w:r>
            <w:r>
              <w:rPr>
                <w:rFonts w:eastAsia="Calibri"/>
                <w:spacing w:val="-1"/>
                <w:sz w:val="21"/>
              </w:rPr>
              <w:t>CA</w:t>
            </w:r>
            <w:r>
              <w:rPr>
                <w:rFonts w:eastAsia="Calibri"/>
                <w:spacing w:val="-2"/>
                <w:sz w:val="21"/>
              </w:rPr>
              <w:t xml:space="preserve"> </w:t>
            </w:r>
            <w:r>
              <w:rPr>
                <w:rFonts w:hint="eastAsia" w:ascii="宋体" w:hAnsi="宋体"/>
                <w:spacing w:val="-2"/>
                <w:sz w:val="21"/>
              </w:rPr>
              <w:t>数字证书进入开标</w:t>
            </w:r>
            <w:r>
              <w:rPr>
                <w:rFonts w:hint="eastAsia" w:ascii="宋体" w:hAnsi="宋体"/>
                <w:sz w:val="21"/>
              </w:rPr>
              <w:t>现场。</w:t>
            </w:r>
          </w:p>
          <w:p>
            <w:pPr>
              <w:pStyle w:val="41"/>
              <w:kinsoku w:val="0"/>
              <w:overflowPunct w:val="0"/>
              <w:spacing w:line="360" w:lineRule="auto"/>
              <w:ind w:left="102"/>
              <w:rPr>
                <w:rFonts w:ascii="宋体" w:hAnsi="宋体"/>
                <w:spacing w:val="-2"/>
                <w:sz w:val="21"/>
              </w:rPr>
            </w:pPr>
            <w:r>
              <w:rPr>
                <w:rFonts w:eastAsia="Calibri"/>
                <w:spacing w:val="-2"/>
                <w:sz w:val="21"/>
              </w:rPr>
              <w:t>2</w:t>
            </w:r>
            <w:r>
              <w:rPr>
                <w:rFonts w:hint="eastAsia" w:ascii="宋体" w:hAnsi="宋体"/>
                <w:spacing w:val="-2"/>
                <w:sz w:val="21"/>
              </w:rPr>
              <w:t>、宣布开标纪律。</w:t>
            </w:r>
          </w:p>
          <w:p>
            <w:pPr>
              <w:pStyle w:val="41"/>
              <w:kinsoku w:val="0"/>
              <w:overflowPunct w:val="0"/>
              <w:spacing w:line="360" w:lineRule="auto"/>
              <w:ind w:left="102"/>
              <w:rPr>
                <w:rFonts w:ascii="宋体" w:hAnsi="宋体"/>
                <w:spacing w:val="-2"/>
                <w:sz w:val="21"/>
              </w:rPr>
            </w:pPr>
            <w:r>
              <w:rPr>
                <w:rFonts w:eastAsia="Calibri"/>
                <w:spacing w:val="-2"/>
                <w:sz w:val="21"/>
              </w:rPr>
              <w:t>3</w:t>
            </w:r>
            <w:r>
              <w:rPr>
                <w:rFonts w:hint="eastAsia" w:ascii="宋体" w:hAnsi="宋体"/>
                <w:spacing w:val="-2"/>
                <w:sz w:val="21"/>
              </w:rPr>
              <w:t>、介绍与会各方代表。</w:t>
            </w:r>
          </w:p>
          <w:p>
            <w:pPr>
              <w:pStyle w:val="41"/>
              <w:kinsoku w:val="0"/>
              <w:overflowPunct w:val="0"/>
              <w:spacing w:line="360" w:lineRule="auto"/>
              <w:ind w:left="102" w:right="112"/>
              <w:rPr>
                <w:rFonts w:ascii="宋体" w:hAnsi="宋体"/>
                <w:spacing w:val="-2"/>
                <w:sz w:val="21"/>
              </w:rPr>
            </w:pPr>
            <w:r>
              <w:rPr>
                <w:rFonts w:eastAsia="Calibri"/>
                <w:spacing w:val="-2"/>
                <w:sz w:val="21"/>
              </w:rPr>
              <w:t>4</w:t>
            </w:r>
            <w:r>
              <w:rPr>
                <w:rFonts w:hint="eastAsia" w:ascii="宋体" w:hAnsi="宋体"/>
                <w:spacing w:val="-2"/>
                <w:sz w:val="21"/>
              </w:rPr>
              <w:t>、开标顺序：按电子投标文件到达交易系统的先后顺序，分标段进行开标。</w:t>
            </w:r>
          </w:p>
          <w:p>
            <w:pPr>
              <w:pStyle w:val="41"/>
              <w:kinsoku w:val="0"/>
              <w:overflowPunct w:val="0"/>
              <w:spacing w:line="360" w:lineRule="auto"/>
              <w:ind w:left="102" w:right="148"/>
              <w:rPr>
                <w:rFonts w:ascii="宋体" w:hAnsi="宋体"/>
                <w:spacing w:val="-2"/>
                <w:sz w:val="21"/>
              </w:rPr>
            </w:pPr>
            <w:r>
              <w:rPr>
                <w:rFonts w:eastAsia="Calibri"/>
                <w:spacing w:val="-1"/>
                <w:sz w:val="21"/>
              </w:rPr>
              <w:t>(1)</w:t>
            </w:r>
            <w:r>
              <w:rPr>
                <w:rFonts w:eastAsia="Calibri"/>
                <w:spacing w:val="1"/>
                <w:sz w:val="21"/>
              </w:rPr>
              <w:t xml:space="preserve"> </w:t>
            </w:r>
            <w:r>
              <w:rPr>
                <w:rFonts w:hint="eastAsia" w:ascii="宋体" w:hAnsi="宋体"/>
                <w:spacing w:val="-2"/>
                <w:sz w:val="21"/>
              </w:rPr>
              <w:t>投标人解密：开标现场投标企业使用本单位企业数字证书进行解密。</w:t>
            </w:r>
          </w:p>
          <w:p>
            <w:pPr>
              <w:pStyle w:val="41"/>
              <w:kinsoku w:val="0"/>
              <w:overflowPunct w:val="0"/>
              <w:spacing w:line="360" w:lineRule="auto"/>
              <w:ind w:left="102" w:right="148"/>
              <w:rPr>
                <w:rFonts w:ascii="宋体" w:hAnsi="宋体"/>
                <w:spacing w:val="-2"/>
                <w:sz w:val="21"/>
              </w:rPr>
            </w:pPr>
            <w:r>
              <w:rPr>
                <w:rFonts w:eastAsia="Calibri"/>
                <w:spacing w:val="-1"/>
                <w:sz w:val="21"/>
              </w:rPr>
              <w:t>(2)</w:t>
            </w:r>
            <w:r>
              <w:rPr>
                <w:rFonts w:eastAsia="Calibri"/>
                <w:spacing w:val="1"/>
                <w:sz w:val="21"/>
              </w:rPr>
              <w:t xml:space="preserve"> </w:t>
            </w:r>
            <w:r>
              <w:rPr>
                <w:rFonts w:hint="eastAsia" w:ascii="宋体" w:hAnsi="宋体"/>
                <w:spacing w:val="-2"/>
                <w:sz w:val="21"/>
              </w:rPr>
              <w:t>招标人解密。招标人或其委托的代理机构持有</w:t>
            </w:r>
            <w:r>
              <w:rPr>
                <w:rFonts w:hint="eastAsia" w:ascii="宋体" w:hAnsi="宋体"/>
                <w:sz w:val="21"/>
              </w:rPr>
              <w:t>本单位</w:t>
            </w:r>
            <w:r>
              <w:rPr>
                <w:rFonts w:hint="eastAsia" w:ascii="宋体" w:hAnsi="宋体"/>
                <w:spacing w:val="-60"/>
                <w:sz w:val="21"/>
              </w:rPr>
              <w:t xml:space="preserve"> </w:t>
            </w:r>
            <w:r>
              <w:rPr>
                <w:rFonts w:eastAsia="Calibri"/>
                <w:spacing w:val="-1"/>
                <w:sz w:val="21"/>
              </w:rPr>
              <w:t>CA</w:t>
            </w:r>
            <w:r>
              <w:rPr>
                <w:rFonts w:eastAsia="Calibri"/>
                <w:spacing w:val="-2"/>
                <w:sz w:val="21"/>
              </w:rPr>
              <w:t xml:space="preserve"> </w:t>
            </w:r>
            <w:r>
              <w:rPr>
                <w:rFonts w:hint="eastAsia" w:ascii="宋体" w:hAnsi="宋体"/>
                <w:spacing w:val="-2"/>
                <w:sz w:val="21"/>
              </w:rPr>
              <w:t>数字证书进行二次解密。</w:t>
            </w:r>
          </w:p>
          <w:p>
            <w:pPr>
              <w:ind w:firstLine="413"/>
            </w:pPr>
          </w:p>
        </w:tc>
      </w:tr>
      <w:tr>
        <w:tblPrEx>
          <w:tblCellMar>
            <w:top w:w="0" w:type="dxa"/>
            <w:left w:w="108" w:type="dxa"/>
            <w:bottom w:w="0" w:type="dxa"/>
            <w:right w:w="108" w:type="dxa"/>
          </w:tblCellMar>
        </w:tblPrEx>
        <w:trPr>
          <w:trHeight w:val="4529" w:hRule="exact"/>
        </w:trPr>
        <w:tc>
          <w:tcPr>
            <w:tcW w:w="895" w:type="dxa"/>
            <w:tcBorders>
              <w:top w:val="single" w:color="000000" w:sz="4" w:space="0"/>
              <w:left w:val="single" w:color="000000" w:sz="4" w:space="0"/>
              <w:right w:val="single" w:color="000000" w:sz="4" w:space="0"/>
              <w:tl2br w:val="nil"/>
              <w:tr2bl w:val="nil"/>
            </w:tcBorders>
            <w:vAlign w:val="center"/>
          </w:tcPr>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sz w:val="22"/>
              </w:rPr>
            </w:pPr>
          </w:p>
          <w:p>
            <w:pPr>
              <w:pStyle w:val="41"/>
              <w:kinsoku w:val="0"/>
              <w:overflowPunct w:val="0"/>
              <w:spacing w:line="360" w:lineRule="auto"/>
              <w:rPr>
                <w:rFonts w:eastAsia="Calibri"/>
              </w:rPr>
            </w:pPr>
          </w:p>
          <w:p>
            <w:pPr>
              <w:pStyle w:val="41"/>
              <w:kinsoku w:val="0"/>
              <w:overflowPunct w:val="0"/>
              <w:spacing w:line="360" w:lineRule="auto"/>
              <w:ind w:left="152"/>
            </w:pPr>
          </w:p>
        </w:tc>
        <w:tc>
          <w:tcPr>
            <w:tcW w:w="1955" w:type="dxa"/>
            <w:tcBorders>
              <w:top w:val="single" w:color="000000" w:sz="4" w:space="0"/>
              <w:left w:val="single" w:color="000000" w:sz="4" w:space="0"/>
              <w:right w:val="single" w:color="000000" w:sz="4" w:space="0"/>
              <w:tl2br w:val="nil"/>
              <w:tr2bl w:val="nil"/>
            </w:tcBorders>
            <w:vAlign w:val="center"/>
          </w:tcPr>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0"/>
              </w:rPr>
            </w:pPr>
          </w:p>
          <w:p>
            <w:pPr>
              <w:pStyle w:val="41"/>
              <w:kinsoku w:val="0"/>
              <w:overflowPunct w:val="0"/>
              <w:spacing w:line="360" w:lineRule="auto"/>
              <w:rPr>
                <w:rFonts w:eastAsia="Calibri"/>
                <w:sz w:val="26"/>
              </w:rPr>
            </w:pPr>
          </w:p>
          <w:p>
            <w:pPr>
              <w:pStyle w:val="41"/>
              <w:kinsoku w:val="0"/>
              <w:overflowPunct w:val="0"/>
              <w:spacing w:line="360" w:lineRule="auto"/>
              <w:jc w:val="center"/>
            </w:pP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102" w:right="6"/>
              <w:rPr>
                <w:rFonts w:ascii="宋体" w:hAnsi="宋体"/>
                <w:spacing w:val="-2"/>
                <w:sz w:val="21"/>
              </w:rPr>
            </w:pPr>
            <w:r>
              <w:rPr>
                <w:rFonts w:eastAsia="Calibri"/>
                <w:spacing w:val="-1"/>
                <w:sz w:val="21"/>
              </w:rPr>
              <w:t>(3)</w:t>
            </w:r>
            <w:r>
              <w:rPr>
                <w:rFonts w:eastAsia="Calibri"/>
                <w:spacing w:val="1"/>
                <w:sz w:val="21"/>
              </w:rPr>
              <w:t xml:space="preserve"> </w:t>
            </w:r>
            <w:r>
              <w:rPr>
                <w:rFonts w:hint="eastAsia" w:ascii="宋体" w:hAnsi="宋体"/>
                <w:spacing w:val="-2"/>
                <w:sz w:val="21"/>
              </w:rPr>
              <w:t>开标现场无法解密的，由代理机构工作人员启封投标企业未加密的投标文件备用光盘，导入投标文件。若未加密光盘无法导入系统或未加密光盘内容与投标企业原上传系统的加密投标文件内容不一致的，视为投标无效。</w:t>
            </w:r>
          </w:p>
          <w:p>
            <w:pPr>
              <w:pStyle w:val="41"/>
              <w:kinsoku w:val="0"/>
              <w:overflowPunct w:val="0"/>
              <w:spacing w:line="360" w:lineRule="auto"/>
              <w:ind w:left="102"/>
              <w:rPr>
                <w:rFonts w:ascii="宋体" w:hAnsi="宋体"/>
                <w:spacing w:val="-1"/>
                <w:sz w:val="21"/>
              </w:rPr>
            </w:pPr>
            <w:r>
              <w:rPr>
                <w:rFonts w:eastAsia="Calibri"/>
                <w:spacing w:val="-1"/>
                <w:sz w:val="21"/>
              </w:rPr>
              <w:t>(4)</w:t>
            </w:r>
            <w:r>
              <w:rPr>
                <w:rFonts w:eastAsia="Calibri"/>
                <w:spacing w:val="1"/>
                <w:sz w:val="21"/>
              </w:rPr>
              <w:t xml:space="preserve"> </w:t>
            </w:r>
            <w:r>
              <w:rPr>
                <w:rFonts w:hint="eastAsia" w:ascii="宋体" w:hAnsi="宋体"/>
                <w:spacing w:val="-1"/>
                <w:sz w:val="21"/>
              </w:rPr>
              <w:t>唱标。</w:t>
            </w:r>
          </w:p>
          <w:p>
            <w:pPr>
              <w:pStyle w:val="41"/>
              <w:kinsoku w:val="0"/>
              <w:overflowPunct w:val="0"/>
              <w:spacing w:line="360" w:lineRule="auto"/>
              <w:ind w:left="102" w:right="6"/>
              <w:rPr>
                <w:rFonts w:ascii="宋体" w:hAnsi="宋体"/>
                <w:spacing w:val="-1"/>
                <w:sz w:val="21"/>
              </w:rPr>
            </w:pPr>
            <w:r>
              <w:rPr>
                <w:rFonts w:eastAsia="Calibri"/>
                <w:spacing w:val="-1"/>
                <w:sz w:val="21"/>
              </w:rPr>
              <w:t>(5)</w:t>
            </w:r>
            <w:r>
              <w:rPr>
                <w:rFonts w:eastAsia="Calibri"/>
                <w:spacing w:val="1"/>
                <w:sz w:val="21"/>
              </w:rPr>
              <w:t xml:space="preserve"> </w:t>
            </w:r>
            <w:r>
              <w:rPr>
                <w:rFonts w:hint="eastAsia" w:ascii="宋体" w:hAnsi="宋体"/>
                <w:spacing w:val="-2"/>
                <w:sz w:val="21"/>
              </w:rPr>
              <w:t>投标人（或其授权委托代理人）、招标人、监督代表、等相关人员在开标记录表上签字确认，投标人（或其授权委托代理人）未签字确认的视为默</w:t>
            </w:r>
            <w:r>
              <w:rPr>
                <w:rFonts w:hint="eastAsia" w:ascii="宋体" w:hAnsi="宋体"/>
                <w:spacing w:val="35"/>
                <w:sz w:val="21"/>
              </w:rPr>
              <w:t xml:space="preserve"> </w:t>
            </w:r>
            <w:r>
              <w:rPr>
                <w:rFonts w:hint="eastAsia" w:ascii="宋体" w:hAnsi="宋体"/>
                <w:spacing w:val="-1"/>
                <w:sz w:val="21"/>
              </w:rPr>
              <w:t>认开标结果。</w:t>
            </w:r>
          </w:p>
          <w:p>
            <w:pPr>
              <w:pStyle w:val="41"/>
              <w:kinsoku w:val="0"/>
              <w:overflowPunct w:val="0"/>
              <w:spacing w:line="360" w:lineRule="auto"/>
              <w:ind w:left="102" w:right="112"/>
              <w:rPr>
                <w:rFonts w:ascii="宋体" w:hAnsi="宋体"/>
                <w:spacing w:val="27"/>
                <w:sz w:val="21"/>
              </w:rPr>
            </w:pPr>
            <w:r>
              <w:rPr>
                <w:rFonts w:eastAsia="Calibri"/>
                <w:spacing w:val="-1"/>
                <w:sz w:val="21"/>
              </w:rPr>
              <w:t>(6)</w:t>
            </w:r>
            <w:r>
              <w:rPr>
                <w:rFonts w:eastAsia="Calibri"/>
                <w:spacing w:val="1"/>
                <w:sz w:val="21"/>
              </w:rPr>
              <w:t xml:space="preserve"> </w:t>
            </w:r>
            <w:r>
              <w:rPr>
                <w:rFonts w:hint="eastAsia" w:ascii="宋体" w:hAnsi="宋体"/>
                <w:spacing w:val="-2"/>
                <w:sz w:val="21"/>
              </w:rPr>
              <w:t>宣布开标结束。</w:t>
            </w:r>
            <w:r>
              <w:rPr>
                <w:rFonts w:hint="eastAsia" w:ascii="宋体" w:hAnsi="宋体"/>
                <w:spacing w:val="27"/>
                <w:sz w:val="21"/>
              </w:rPr>
              <w:t xml:space="preserve"> </w:t>
            </w:r>
          </w:p>
          <w:p>
            <w:pPr>
              <w:pStyle w:val="41"/>
              <w:kinsoku w:val="0"/>
              <w:overflowPunct w:val="0"/>
              <w:spacing w:line="360" w:lineRule="auto"/>
              <w:ind w:left="102" w:right="112"/>
            </w:pPr>
            <w:r>
              <w:rPr>
                <w:rFonts w:eastAsia="Calibri"/>
                <w:spacing w:val="-2"/>
                <w:sz w:val="21"/>
              </w:rPr>
              <w:t>5</w:t>
            </w:r>
            <w:r>
              <w:rPr>
                <w:rFonts w:hint="eastAsia" w:ascii="宋体" w:hAnsi="宋体"/>
                <w:spacing w:val="-2"/>
                <w:sz w:val="21"/>
              </w:rPr>
              <w:t>、代理机构在开标结束后将招标文件和有效电子投标文件导入评标系统。</w:t>
            </w:r>
          </w:p>
        </w:tc>
      </w:tr>
      <w:tr>
        <w:tblPrEx>
          <w:tblCellMar>
            <w:top w:w="0" w:type="dxa"/>
            <w:left w:w="108" w:type="dxa"/>
            <w:bottom w:w="0" w:type="dxa"/>
            <w:right w:w="108" w:type="dxa"/>
          </w:tblCellMar>
        </w:tblPrEx>
        <w:trPr>
          <w:trHeight w:val="746" w:hRule="exact"/>
        </w:trPr>
        <w:tc>
          <w:tcPr>
            <w:tcW w:w="89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22"/>
              </w:rPr>
            </w:pPr>
          </w:p>
          <w:p>
            <w:pPr>
              <w:pStyle w:val="41"/>
              <w:kinsoku w:val="0"/>
              <w:overflowPunct w:val="0"/>
              <w:spacing w:line="360" w:lineRule="auto"/>
            </w:pPr>
            <w:r>
              <w:rPr>
                <w:rFonts w:eastAsia="Calibri"/>
                <w:spacing w:val="-1"/>
                <w:sz w:val="21"/>
              </w:rPr>
              <w:t>7.1.1</w:t>
            </w:r>
          </w:p>
        </w:tc>
        <w:tc>
          <w:tcPr>
            <w:tcW w:w="19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19"/>
              </w:rPr>
            </w:pPr>
          </w:p>
          <w:p>
            <w:pPr>
              <w:pStyle w:val="41"/>
              <w:kinsoku w:val="0"/>
              <w:overflowPunct w:val="0"/>
              <w:spacing w:line="360" w:lineRule="auto"/>
            </w:pPr>
            <w:r>
              <w:rPr>
                <w:rFonts w:hint="eastAsia" w:ascii="宋体" w:hAnsi="宋体"/>
                <w:spacing w:val="-2"/>
                <w:sz w:val="21"/>
              </w:rPr>
              <w:t>评标委员会的组建</w:t>
            </w:r>
          </w:p>
        </w:tc>
        <w:tc>
          <w:tcPr>
            <w:tcW w:w="6520"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4"/>
            </w:pPr>
            <w:r>
              <w:rPr>
                <w:rFonts w:hint="eastAsia" w:ascii="宋体" w:hAnsi="宋体"/>
                <w:sz w:val="21"/>
              </w:rPr>
              <w:t>评标</w:t>
            </w:r>
            <w:r>
              <w:rPr>
                <w:rFonts w:hint="eastAsia" w:ascii="宋体" w:hAnsi="宋体"/>
                <w:spacing w:val="-5"/>
                <w:sz w:val="21"/>
              </w:rPr>
              <w:t>委</w:t>
            </w:r>
            <w:r>
              <w:rPr>
                <w:rFonts w:hint="eastAsia" w:ascii="宋体" w:hAnsi="宋体"/>
                <w:sz w:val="21"/>
              </w:rPr>
              <w:t>员</w:t>
            </w:r>
            <w:r>
              <w:rPr>
                <w:rFonts w:hint="eastAsia" w:ascii="宋体" w:hAnsi="宋体"/>
                <w:spacing w:val="-5"/>
                <w:sz w:val="21"/>
              </w:rPr>
              <w:t>会</w:t>
            </w:r>
            <w:r>
              <w:rPr>
                <w:rFonts w:hint="eastAsia" w:ascii="宋体" w:hAnsi="宋体"/>
                <w:sz w:val="21"/>
              </w:rPr>
              <w:t>构</w:t>
            </w:r>
            <w:r>
              <w:rPr>
                <w:rFonts w:hint="eastAsia" w:ascii="宋体" w:hAnsi="宋体"/>
                <w:spacing w:val="-3"/>
                <w:sz w:val="21"/>
              </w:rPr>
              <w:t>成</w:t>
            </w:r>
            <w:r>
              <w:rPr>
                <w:rFonts w:hint="eastAsia" w:ascii="宋体" w:hAnsi="宋体"/>
                <w:sz w:val="21"/>
              </w:rPr>
              <w:t>：</w:t>
            </w:r>
            <w:r>
              <w:rPr>
                <w:rFonts w:ascii="Times New Roman" w:hAnsi="Times New Roman" w:eastAsia="Times New Roman"/>
                <w:sz w:val="21"/>
                <w:u w:val="single"/>
              </w:rPr>
              <w:t xml:space="preserve">5 </w:t>
            </w:r>
            <w:r>
              <w:rPr>
                <w:rFonts w:ascii="Times New Roman" w:hAnsi="Times New Roman" w:eastAsia="Times New Roman"/>
                <w:spacing w:val="12"/>
                <w:sz w:val="21"/>
                <w:u w:val="single"/>
              </w:rPr>
              <w:t xml:space="preserve"> </w:t>
            </w:r>
            <w:r>
              <w:rPr>
                <w:rFonts w:hint="eastAsia" w:ascii="宋体" w:hAnsi="宋体"/>
                <w:sz w:val="21"/>
              </w:rPr>
              <w:t>人</w:t>
            </w:r>
            <w:r>
              <w:rPr>
                <w:rFonts w:hint="eastAsia" w:ascii="宋体" w:hAnsi="宋体"/>
                <w:spacing w:val="-21"/>
                <w:sz w:val="21"/>
              </w:rPr>
              <w:t xml:space="preserve"> </w:t>
            </w:r>
            <w:r>
              <w:rPr>
                <w:rFonts w:hint="eastAsia" w:ascii="宋体" w:hAnsi="宋体"/>
                <w:spacing w:val="-3"/>
                <w:sz w:val="21"/>
              </w:rPr>
              <w:t>其</w:t>
            </w:r>
            <w:r>
              <w:rPr>
                <w:rFonts w:hint="eastAsia" w:ascii="宋体" w:hAnsi="宋体"/>
                <w:sz w:val="21"/>
              </w:rPr>
              <w:t>中</w:t>
            </w:r>
            <w:r>
              <w:rPr>
                <w:rFonts w:hint="eastAsia" w:ascii="宋体" w:hAnsi="宋体"/>
                <w:spacing w:val="-3"/>
                <w:sz w:val="21"/>
              </w:rPr>
              <w:t>招标人</w:t>
            </w:r>
            <w:r>
              <w:rPr>
                <w:rFonts w:hint="eastAsia" w:ascii="宋体" w:hAnsi="宋体"/>
                <w:sz w:val="21"/>
              </w:rPr>
              <w:t>代表</w:t>
            </w:r>
            <w:r>
              <w:rPr>
                <w:rFonts w:hint="eastAsia" w:ascii="宋体" w:hAnsi="宋体"/>
                <w:spacing w:val="-33"/>
                <w:sz w:val="21"/>
              </w:rPr>
              <w:t xml:space="preserve"> </w:t>
            </w:r>
            <w:r>
              <w:rPr>
                <w:rFonts w:ascii="Times New Roman" w:hAnsi="Times New Roman" w:eastAsia="Times New Roman"/>
                <w:sz w:val="21"/>
                <w:u w:val="single"/>
              </w:rPr>
              <w:t xml:space="preserve">1 </w:t>
            </w:r>
            <w:r>
              <w:rPr>
                <w:rFonts w:ascii="Times New Roman" w:hAnsi="Times New Roman" w:eastAsia="Times New Roman"/>
                <w:spacing w:val="12"/>
                <w:sz w:val="21"/>
                <w:u w:val="single"/>
              </w:rPr>
              <w:t xml:space="preserve"> </w:t>
            </w:r>
            <w:r>
              <w:rPr>
                <w:rFonts w:hint="eastAsia" w:ascii="宋体" w:hAnsi="宋体"/>
                <w:spacing w:val="-3"/>
                <w:sz w:val="21"/>
              </w:rPr>
              <w:t>人</w:t>
            </w:r>
            <w:r>
              <w:rPr>
                <w:rFonts w:hint="eastAsia" w:ascii="宋体" w:hAnsi="宋体"/>
                <w:spacing w:val="-63"/>
                <w:sz w:val="21"/>
              </w:rPr>
              <w:t>，</w:t>
            </w:r>
            <w:r>
              <w:rPr>
                <w:rFonts w:hint="eastAsia" w:ascii="宋体" w:hAnsi="宋体"/>
                <w:sz w:val="21"/>
              </w:rPr>
              <w:t>专家</w:t>
            </w:r>
            <w:r>
              <w:rPr>
                <w:rFonts w:hint="eastAsia" w:ascii="宋体" w:hAnsi="宋体"/>
                <w:sz w:val="21"/>
                <w:u w:val="single"/>
              </w:rPr>
              <w:t xml:space="preserve"> </w:t>
            </w:r>
            <w:r>
              <w:rPr>
                <w:rFonts w:ascii="Times New Roman" w:hAnsi="Times New Roman" w:eastAsia="Times New Roman"/>
                <w:sz w:val="21"/>
                <w:u w:val="single"/>
              </w:rPr>
              <w:t>4</w:t>
            </w:r>
            <w:r>
              <w:rPr>
                <w:rFonts w:ascii="Times New Roman" w:hAnsi="Times New Roman" w:eastAsia="Times New Roman"/>
                <w:spacing w:val="-10"/>
                <w:sz w:val="21"/>
                <w:u w:val="single"/>
              </w:rPr>
              <w:t xml:space="preserve"> </w:t>
            </w:r>
            <w:r>
              <w:rPr>
                <w:rFonts w:hint="eastAsia" w:ascii="Times New Roman" w:hAnsi="Times New Roman"/>
                <w:spacing w:val="-10"/>
                <w:sz w:val="21"/>
                <w:u w:val="single"/>
              </w:rPr>
              <w:t xml:space="preserve"> </w:t>
            </w:r>
            <w:r>
              <w:rPr>
                <w:rFonts w:hint="eastAsia" w:ascii="宋体" w:hAnsi="宋体"/>
                <w:spacing w:val="-3"/>
                <w:sz w:val="21"/>
              </w:rPr>
              <w:t>人；</w:t>
            </w:r>
            <w:r>
              <w:rPr>
                <w:rFonts w:hint="eastAsia" w:ascii="宋体" w:hAnsi="宋体"/>
                <w:spacing w:val="18"/>
                <w:sz w:val="21"/>
              </w:rPr>
              <w:t xml:space="preserve"> </w:t>
            </w:r>
            <w:r>
              <w:rPr>
                <w:rFonts w:hint="eastAsia" w:ascii="宋体" w:hAnsi="宋体"/>
                <w:spacing w:val="3"/>
                <w:sz w:val="21"/>
              </w:rPr>
              <w:t>评标专家确定方式：从相关专家库中随</w:t>
            </w:r>
            <w:r>
              <w:rPr>
                <w:rFonts w:hint="eastAsia" w:ascii="宋体" w:hAnsi="宋体"/>
                <w:sz w:val="21"/>
              </w:rPr>
              <w:t>机抽取。</w:t>
            </w:r>
          </w:p>
        </w:tc>
      </w:tr>
    </w:tbl>
    <w:tbl>
      <w:tblPr>
        <w:tblStyle w:val="26"/>
        <w:tblpPr w:leftFromText="180" w:rightFromText="180" w:vertAnchor="text" w:horzAnchor="page" w:tblpX="1397" w:tblpY="35"/>
        <w:tblOverlap w:val="never"/>
        <w:tblW w:w="9400" w:type="dxa"/>
        <w:tblInd w:w="0" w:type="dxa"/>
        <w:tblLayout w:type="fixed"/>
        <w:tblCellMar>
          <w:top w:w="0" w:type="dxa"/>
          <w:left w:w="108" w:type="dxa"/>
          <w:bottom w:w="0" w:type="dxa"/>
          <w:right w:w="108" w:type="dxa"/>
        </w:tblCellMar>
      </w:tblPr>
      <w:tblGrid>
        <w:gridCol w:w="877"/>
        <w:gridCol w:w="1968"/>
        <w:gridCol w:w="6555"/>
      </w:tblGrid>
      <w:tr>
        <w:tblPrEx>
          <w:tblCellMar>
            <w:top w:w="0" w:type="dxa"/>
            <w:left w:w="108" w:type="dxa"/>
            <w:bottom w:w="0" w:type="dxa"/>
            <w:right w:w="108" w:type="dxa"/>
          </w:tblCellMar>
        </w:tblPrEx>
        <w:trPr>
          <w:trHeight w:val="744"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pPr>
            <w:r>
              <w:rPr>
                <w:rFonts w:eastAsia="Calibri"/>
                <w:spacing w:val="-1"/>
                <w:sz w:val="21"/>
              </w:rPr>
              <w:t>7.3.2</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4"/>
              <w:jc w:val="center"/>
              <w:rPr>
                <w:rFonts w:ascii="宋体" w:hAnsi="宋体"/>
                <w:spacing w:val="-3"/>
                <w:sz w:val="21"/>
              </w:rPr>
            </w:pPr>
            <w:r>
              <w:rPr>
                <w:rFonts w:hint="eastAsia" w:ascii="宋体" w:hAnsi="宋体"/>
                <w:spacing w:val="-3"/>
                <w:sz w:val="21"/>
              </w:rPr>
              <w:t>评标委员会推荐</w:t>
            </w:r>
          </w:p>
          <w:p>
            <w:pPr>
              <w:pStyle w:val="41"/>
              <w:kinsoku w:val="0"/>
              <w:overflowPunct w:val="0"/>
              <w:spacing w:line="360" w:lineRule="auto"/>
              <w:ind w:left="-4"/>
              <w:jc w:val="center"/>
            </w:pPr>
            <w:r>
              <w:rPr>
                <w:rFonts w:hint="eastAsia" w:ascii="宋体" w:hAnsi="宋体"/>
                <w:spacing w:val="-3"/>
                <w:sz w:val="21"/>
              </w:rPr>
              <w:t>中标候选人的人数</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2"/>
              <w:jc w:val="both"/>
            </w:pPr>
            <w:r>
              <w:rPr>
                <w:rFonts w:eastAsia="Calibri"/>
                <w:spacing w:val="-1"/>
                <w:sz w:val="21"/>
              </w:rPr>
              <w:t>1-3</w:t>
            </w:r>
            <w:r>
              <w:rPr>
                <w:rFonts w:hint="eastAsia" w:ascii="宋体" w:hAnsi="宋体"/>
                <w:spacing w:val="-1"/>
                <w:sz w:val="21"/>
              </w:rPr>
              <w:t>人</w:t>
            </w:r>
          </w:p>
        </w:tc>
      </w:tr>
      <w:tr>
        <w:tblPrEx>
          <w:tblCellMar>
            <w:top w:w="0" w:type="dxa"/>
            <w:left w:w="108" w:type="dxa"/>
            <w:bottom w:w="0" w:type="dxa"/>
            <w:right w:w="108" w:type="dxa"/>
          </w:tblCellMar>
        </w:tblPrEx>
        <w:trPr>
          <w:trHeight w:val="668"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right="49"/>
              <w:jc w:val="center"/>
            </w:pPr>
            <w:r>
              <w:rPr>
                <w:rFonts w:eastAsia="Calibri"/>
                <w:spacing w:val="-1"/>
                <w:sz w:val="21"/>
              </w:rPr>
              <w:t>8.1</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ascii="宋体" w:hAnsi="宋体"/>
                <w:spacing w:val="-2"/>
                <w:sz w:val="21"/>
              </w:rPr>
            </w:pPr>
            <w:r>
              <w:rPr>
                <w:rFonts w:hint="eastAsia" w:ascii="宋体" w:hAnsi="宋体"/>
                <w:spacing w:val="-2"/>
                <w:sz w:val="21"/>
              </w:rPr>
              <w:t>是否授权评标委员会</w:t>
            </w:r>
          </w:p>
          <w:p>
            <w:pPr>
              <w:pStyle w:val="41"/>
              <w:kinsoku w:val="0"/>
              <w:overflowPunct w:val="0"/>
              <w:spacing w:line="360" w:lineRule="auto"/>
              <w:jc w:val="center"/>
            </w:pPr>
            <w:r>
              <w:rPr>
                <w:rFonts w:hint="eastAsia" w:ascii="宋体" w:hAnsi="宋体"/>
                <w:spacing w:val="-2"/>
                <w:sz w:val="21"/>
              </w:rPr>
              <w:t>确定中标人</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jc w:val="both"/>
            </w:pPr>
            <w:r>
              <w:rPr>
                <w:rFonts w:hint="eastAsia" w:ascii="宋体" w:hAnsi="宋体"/>
                <w:sz w:val="21"/>
              </w:rPr>
              <w:t>否</w:t>
            </w:r>
          </w:p>
        </w:tc>
      </w:tr>
      <w:tr>
        <w:tblPrEx>
          <w:tblCellMar>
            <w:top w:w="0" w:type="dxa"/>
            <w:left w:w="108" w:type="dxa"/>
            <w:bottom w:w="0" w:type="dxa"/>
            <w:right w:w="108" w:type="dxa"/>
          </w:tblCellMar>
        </w:tblPrEx>
        <w:trPr>
          <w:trHeight w:val="768"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rPr>
                <w:rFonts w:eastAsia="Calibri"/>
                <w:sz w:val="20"/>
              </w:rPr>
            </w:pPr>
          </w:p>
          <w:p>
            <w:pPr>
              <w:pStyle w:val="41"/>
              <w:kinsoku w:val="0"/>
              <w:overflowPunct w:val="0"/>
              <w:spacing w:line="360" w:lineRule="auto"/>
              <w:ind w:left="-240" w:leftChars="-100"/>
              <w:jc w:val="center"/>
            </w:pPr>
            <w:r>
              <w:rPr>
                <w:rFonts w:eastAsia="Calibri"/>
                <w:spacing w:val="-1"/>
                <w:sz w:val="21"/>
              </w:rPr>
              <w:t>8.2</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pPr>
            <w:r>
              <w:rPr>
                <w:rFonts w:hint="eastAsia" w:ascii="宋体" w:hAnsi="宋体"/>
                <w:spacing w:val="-3"/>
                <w:sz w:val="21"/>
              </w:rPr>
              <w:t>中标、成交结果公告媒介及期限</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right="-28"/>
              <w:jc w:val="both"/>
              <w:rPr>
                <w:rFonts w:ascii="宋体" w:hAnsi="宋体"/>
                <w:spacing w:val="27"/>
                <w:sz w:val="21"/>
              </w:rPr>
            </w:pPr>
            <w:r>
              <w:rPr>
                <w:rFonts w:hint="eastAsia" w:ascii="宋体" w:hAnsi="宋体"/>
                <w:spacing w:val="-2"/>
                <w:sz w:val="21"/>
              </w:rPr>
              <w:t>公告媒介：原招标公告发布媒体</w:t>
            </w:r>
            <w:r>
              <w:rPr>
                <w:rFonts w:hint="eastAsia" w:ascii="宋体" w:hAnsi="宋体"/>
                <w:spacing w:val="27"/>
                <w:sz w:val="21"/>
              </w:rPr>
              <w:t xml:space="preserve"> </w:t>
            </w:r>
          </w:p>
          <w:p>
            <w:pPr>
              <w:pStyle w:val="41"/>
              <w:kinsoku w:val="0"/>
              <w:overflowPunct w:val="0"/>
              <w:spacing w:line="360" w:lineRule="auto"/>
              <w:ind w:left="102" w:right="-28"/>
              <w:jc w:val="both"/>
            </w:pPr>
            <w:r>
              <w:rPr>
                <w:rFonts w:hint="eastAsia" w:ascii="宋体" w:hAnsi="宋体"/>
                <w:spacing w:val="-2"/>
                <w:sz w:val="21"/>
              </w:rPr>
              <w:t>公告期限：</w:t>
            </w:r>
            <w:r>
              <w:rPr>
                <w:rFonts w:hint="eastAsia" w:ascii="宋体" w:hAnsi="宋体"/>
                <w:spacing w:val="-17"/>
                <w:sz w:val="21"/>
              </w:rPr>
              <w:t xml:space="preserve"> </w:t>
            </w:r>
            <w:r>
              <w:rPr>
                <w:rFonts w:hint="eastAsia" w:ascii="宋体" w:hAnsi="宋体"/>
                <w:sz w:val="21"/>
                <w:u w:val="single"/>
              </w:rPr>
              <w:t>一</w:t>
            </w:r>
            <w:r>
              <w:rPr>
                <w:rFonts w:hint="eastAsia" w:ascii="宋体" w:hAnsi="宋体"/>
                <w:spacing w:val="-66"/>
                <w:sz w:val="21"/>
                <w:u w:val="single"/>
              </w:rPr>
              <w:t xml:space="preserve"> </w:t>
            </w:r>
            <w:r>
              <w:rPr>
                <w:rFonts w:hint="eastAsia" w:ascii="宋体" w:hAnsi="宋体"/>
                <w:sz w:val="21"/>
                <w:u w:val="single"/>
              </w:rPr>
              <w:t>个</w:t>
            </w:r>
            <w:r>
              <w:rPr>
                <w:rFonts w:hint="eastAsia" w:ascii="宋体" w:hAnsi="宋体"/>
                <w:spacing w:val="-63"/>
                <w:sz w:val="21"/>
                <w:u w:val="single"/>
              </w:rPr>
              <w:t xml:space="preserve"> </w:t>
            </w:r>
            <w:r>
              <w:rPr>
                <w:rFonts w:hint="eastAsia" w:ascii="宋体" w:hAnsi="宋体"/>
                <w:sz w:val="21"/>
                <w:u w:val="single"/>
              </w:rPr>
              <w:t>工</w:t>
            </w:r>
            <w:r>
              <w:rPr>
                <w:rFonts w:hint="eastAsia" w:ascii="宋体" w:hAnsi="宋体"/>
                <w:spacing w:val="-66"/>
                <w:sz w:val="21"/>
                <w:u w:val="single"/>
              </w:rPr>
              <w:t xml:space="preserve"> </w:t>
            </w:r>
            <w:r>
              <w:rPr>
                <w:rFonts w:hint="eastAsia" w:ascii="宋体" w:hAnsi="宋体"/>
                <w:sz w:val="21"/>
                <w:u w:val="single"/>
              </w:rPr>
              <w:t>作</w:t>
            </w:r>
            <w:r>
              <w:rPr>
                <w:rFonts w:hint="eastAsia" w:ascii="宋体" w:hAnsi="宋体"/>
                <w:spacing w:val="-63"/>
                <w:sz w:val="21"/>
                <w:u w:val="single"/>
              </w:rPr>
              <w:t xml:space="preserve"> </w:t>
            </w:r>
            <w:r>
              <w:rPr>
                <w:rFonts w:hint="eastAsia" w:ascii="宋体" w:hAnsi="宋体"/>
                <w:sz w:val="21"/>
                <w:u w:val="single"/>
              </w:rPr>
              <w:t>日</w:t>
            </w:r>
          </w:p>
        </w:tc>
      </w:tr>
      <w:tr>
        <w:tblPrEx>
          <w:tblCellMar>
            <w:top w:w="0" w:type="dxa"/>
            <w:left w:w="108" w:type="dxa"/>
            <w:bottom w:w="0" w:type="dxa"/>
            <w:right w:w="108" w:type="dxa"/>
          </w:tblCellMar>
        </w:tblPrEx>
        <w:trPr>
          <w:trHeight w:val="438"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pPr>
            <w:r>
              <w:rPr>
                <w:rFonts w:eastAsia="Calibri"/>
                <w:spacing w:val="-1"/>
                <w:sz w:val="21"/>
              </w:rPr>
              <w:t>8.4.1</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pPr>
            <w:r>
              <w:rPr>
                <w:rFonts w:hint="eastAsia" w:ascii="宋体" w:hAnsi="宋体"/>
                <w:spacing w:val="-1"/>
                <w:sz w:val="21"/>
              </w:rPr>
              <w:t>履约保证金</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right="-28"/>
              <w:jc w:val="both"/>
              <w:rPr>
                <w:rFonts w:ascii="宋体" w:hAnsi="宋体"/>
                <w:spacing w:val="-2"/>
                <w:sz w:val="21"/>
                <w:szCs w:val="22"/>
              </w:rPr>
            </w:pPr>
            <w:r>
              <w:rPr>
                <w:rFonts w:hint="eastAsia" w:ascii="宋体" w:hAnsi="宋体"/>
                <w:spacing w:val="-2"/>
                <w:sz w:val="21"/>
                <w:szCs w:val="22"/>
              </w:rPr>
              <w:t>合同约定</w:t>
            </w:r>
          </w:p>
        </w:tc>
      </w:tr>
      <w:tr>
        <w:tblPrEx>
          <w:tblCellMar>
            <w:top w:w="0" w:type="dxa"/>
            <w:left w:w="108" w:type="dxa"/>
            <w:bottom w:w="0" w:type="dxa"/>
            <w:right w:w="108" w:type="dxa"/>
          </w:tblCellMar>
        </w:tblPrEx>
        <w:trPr>
          <w:trHeight w:val="694"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rPr>
                <w:spacing w:val="-1"/>
                <w:sz w:val="21"/>
              </w:rPr>
            </w:pPr>
            <w:r>
              <w:rPr>
                <w:rFonts w:hint="eastAsia"/>
                <w:spacing w:val="-1"/>
                <w:sz w:val="21"/>
              </w:rPr>
              <w:t>9</w:t>
            </w:r>
          </w:p>
        </w:tc>
        <w:tc>
          <w:tcPr>
            <w:tcW w:w="19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jc w:val="center"/>
              <w:rPr>
                <w:rFonts w:ascii="宋体" w:hAnsi="宋体"/>
                <w:spacing w:val="-1"/>
                <w:sz w:val="21"/>
              </w:rPr>
            </w:pPr>
            <w:r>
              <w:rPr>
                <w:rFonts w:hint="eastAsia" w:ascii="宋体" w:hAnsi="宋体"/>
                <w:spacing w:val="-1"/>
                <w:sz w:val="21"/>
              </w:rPr>
              <w:t>付款方式</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right="-28"/>
              <w:jc w:val="both"/>
              <w:rPr>
                <w:rFonts w:ascii="宋体" w:hAnsi="宋体"/>
                <w:spacing w:val="-2"/>
                <w:sz w:val="21"/>
                <w:szCs w:val="22"/>
              </w:rPr>
            </w:pPr>
            <w:r>
              <w:rPr>
                <w:rFonts w:hint="eastAsia" w:ascii="宋体" w:hAnsi="宋体" w:cs="宋体"/>
                <w:sz w:val="21"/>
                <w:szCs w:val="21"/>
              </w:rPr>
              <w:t>采购单位验收合格后向供方支付全部货款的95%，其余5%作为质保金，质保期到期无问题后一个月内予以支付。</w:t>
            </w:r>
          </w:p>
        </w:tc>
      </w:tr>
      <w:tr>
        <w:tblPrEx>
          <w:tblCellMar>
            <w:top w:w="0" w:type="dxa"/>
            <w:left w:w="108" w:type="dxa"/>
            <w:bottom w:w="0" w:type="dxa"/>
            <w:right w:w="108" w:type="dxa"/>
          </w:tblCellMar>
        </w:tblPrEx>
        <w:trPr>
          <w:trHeight w:val="893"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rPr>
                <w:rFonts w:eastAsia="Calibri"/>
                <w:sz w:val="20"/>
              </w:rPr>
            </w:pPr>
          </w:p>
          <w:p>
            <w:pPr>
              <w:pStyle w:val="41"/>
              <w:kinsoku w:val="0"/>
              <w:overflowPunct w:val="0"/>
              <w:spacing w:line="360" w:lineRule="auto"/>
              <w:ind w:left="-240" w:leftChars="-100"/>
              <w:jc w:val="center"/>
              <w:rPr>
                <w:rFonts w:eastAsia="Calibri"/>
                <w:sz w:val="16"/>
              </w:rPr>
            </w:pPr>
          </w:p>
          <w:p>
            <w:pPr>
              <w:pStyle w:val="41"/>
              <w:kinsoku w:val="0"/>
              <w:overflowPunct w:val="0"/>
              <w:spacing w:line="360" w:lineRule="auto"/>
              <w:ind w:left="-240" w:leftChars="-100" w:right="5"/>
              <w:jc w:val="center"/>
            </w:pPr>
            <w:r>
              <w:rPr>
                <w:rFonts w:ascii="Times New Roman" w:hAnsi="Times New Roman" w:eastAsia="Times New Roman"/>
                <w:sz w:val="21"/>
              </w:rPr>
              <w:t>10</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pPr>
            <w:r>
              <w:rPr>
                <w:rFonts w:hint="eastAsia" w:ascii="宋体" w:hAnsi="宋体"/>
                <w:spacing w:val="-2"/>
                <w:sz w:val="21"/>
              </w:rPr>
              <w:t>是否采用电子招标投标</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102" w:right="6"/>
              <w:jc w:val="both"/>
            </w:pPr>
            <w:r>
              <w:rPr>
                <w:rFonts w:hint="eastAsia" w:ascii="宋体" w:hAnsi="宋体"/>
                <w:spacing w:val="-2"/>
                <w:sz w:val="21"/>
              </w:rPr>
              <w:t>是；具体要求：本次投标原则上采用电子招标投标，若交易中心电子评标系统运行不畅，则以纸质投标文件和线下评标为准。</w:t>
            </w:r>
          </w:p>
        </w:tc>
      </w:tr>
      <w:tr>
        <w:tblPrEx>
          <w:tblCellMar>
            <w:top w:w="0" w:type="dxa"/>
            <w:left w:w="108" w:type="dxa"/>
            <w:bottom w:w="0" w:type="dxa"/>
            <w:right w:w="108" w:type="dxa"/>
          </w:tblCellMar>
        </w:tblPrEx>
        <w:trPr>
          <w:trHeight w:val="612"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pPr>
            <w:r>
              <w:rPr>
                <w:rFonts w:eastAsia="Calibri"/>
                <w:sz w:val="21"/>
              </w:rPr>
              <w:t>11</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pPr>
            <w:r>
              <w:rPr>
                <w:rFonts w:hint="eastAsia" w:ascii="宋体" w:hAnsi="宋体"/>
                <w:spacing w:val="-3"/>
                <w:sz w:val="21"/>
              </w:rPr>
              <w:t>需要补充的其他内容</w:t>
            </w:r>
          </w:p>
        </w:tc>
        <w:tc>
          <w:tcPr>
            <w:tcW w:w="655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1"/>
              <w:kinsoku w:val="0"/>
              <w:overflowPunct w:val="0"/>
              <w:spacing w:line="360" w:lineRule="auto"/>
              <w:ind w:left="46"/>
              <w:jc w:val="both"/>
            </w:pPr>
            <w:r>
              <w:rPr>
                <w:rFonts w:hint="eastAsia" w:ascii="宋体" w:hAnsi="宋体"/>
                <w:sz w:val="21"/>
              </w:rPr>
              <w:t>/</w:t>
            </w:r>
          </w:p>
        </w:tc>
      </w:tr>
      <w:tr>
        <w:tblPrEx>
          <w:tblCellMar>
            <w:top w:w="0" w:type="dxa"/>
            <w:left w:w="108" w:type="dxa"/>
            <w:bottom w:w="0" w:type="dxa"/>
            <w:right w:w="108" w:type="dxa"/>
          </w:tblCellMar>
        </w:tblPrEx>
        <w:trPr>
          <w:trHeight w:val="1510"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rPr>
                <w:rFonts w:eastAsia="Calibri"/>
                <w:sz w:val="20"/>
              </w:rPr>
            </w:pPr>
          </w:p>
          <w:p>
            <w:pPr>
              <w:pStyle w:val="41"/>
              <w:kinsoku w:val="0"/>
              <w:overflowPunct w:val="0"/>
              <w:spacing w:line="360" w:lineRule="auto"/>
              <w:ind w:left="-240" w:leftChars="-100"/>
              <w:jc w:val="center"/>
              <w:rPr>
                <w:rFonts w:eastAsia="Calibri"/>
                <w:sz w:val="20"/>
              </w:rPr>
            </w:pPr>
          </w:p>
          <w:p>
            <w:pPr>
              <w:pStyle w:val="41"/>
              <w:kinsoku w:val="0"/>
              <w:overflowPunct w:val="0"/>
              <w:spacing w:line="360" w:lineRule="auto"/>
              <w:ind w:left="-240" w:leftChars="-100"/>
              <w:jc w:val="center"/>
            </w:pPr>
            <w:r>
              <w:rPr>
                <w:rFonts w:ascii="Times New Roman" w:hAnsi="Times New Roman" w:eastAsia="Times New Roman"/>
                <w:sz w:val="21"/>
              </w:rPr>
              <w:t>11.1</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jc w:val="center"/>
              <w:rPr>
                <w:rFonts w:eastAsia="Calibri"/>
                <w:sz w:val="20"/>
              </w:rPr>
            </w:pPr>
          </w:p>
          <w:p>
            <w:pPr>
              <w:pStyle w:val="41"/>
              <w:kinsoku w:val="0"/>
              <w:overflowPunct w:val="0"/>
              <w:spacing w:line="360" w:lineRule="auto"/>
              <w:jc w:val="center"/>
              <w:rPr>
                <w:rFonts w:eastAsia="Calibri"/>
                <w:sz w:val="20"/>
              </w:rPr>
            </w:pPr>
          </w:p>
          <w:p>
            <w:pPr>
              <w:pStyle w:val="41"/>
              <w:kinsoku w:val="0"/>
              <w:overflowPunct w:val="0"/>
              <w:spacing w:line="360" w:lineRule="auto"/>
              <w:jc w:val="center"/>
            </w:pPr>
            <w:r>
              <w:rPr>
                <w:rFonts w:hint="eastAsia" w:ascii="宋体" w:hAnsi="宋体"/>
                <w:spacing w:val="-1"/>
                <w:sz w:val="21"/>
              </w:rPr>
              <w:t>招标代理服务费</w:t>
            </w:r>
          </w:p>
        </w:tc>
        <w:tc>
          <w:tcPr>
            <w:tcW w:w="65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ight="4"/>
              <w:jc w:val="both"/>
              <w:rPr>
                <w:rFonts w:ascii="宋体" w:hAnsi="宋体"/>
                <w:spacing w:val="-2"/>
                <w:sz w:val="21"/>
                <w:szCs w:val="22"/>
              </w:rPr>
            </w:pPr>
            <w:r>
              <w:rPr>
                <w:rFonts w:eastAsia="Calibri"/>
                <w:spacing w:val="-2"/>
                <w:sz w:val="21"/>
              </w:rPr>
              <w:t>1</w:t>
            </w:r>
            <w:r>
              <w:rPr>
                <w:rFonts w:hint="eastAsia" w:ascii="宋体" w:hAnsi="宋体"/>
                <w:spacing w:val="-2"/>
                <w:sz w:val="21"/>
              </w:rPr>
              <w:t>、本项目招标代理服务费由中标人缴纳，缴纳标准按照</w:t>
            </w:r>
            <w:r>
              <w:rPr>
                <w:rFonts w:eastAsia="Calibri"/>
                <w:spacing w:val="-2"/>
                <w:sz w:val="21"/>
              </w:rPr>
              <w:t>“</w:t>
            </w:r>
            <w:r>
              <w:rPr>
                <w:rFonts w:hint="eastAsia" w:ascii="宋体" w:hAnsi="宋体"/>
                <w:spacing w:val="-2"/>
                <w:sz w:val="21"/>
              </w:rPr>
              <w:t>计价格</w:t>
            </w:r>
            <w:r>
              <w:rPr>
                <w:rFonts w:eastAsia="Calibri"/>
                <w:spacing w:val="-2"/>
                <w:sz w:val="21"/>
              </w:rPr>
              <w:t>[2002]1980</w:t>
            </w:r>
            <w:r>
              <w:rPr>
                <w:rFonts w:hint="eastAsia" w:ascii="宋体" w:hAnsi="宋体"/>
                <w:spacing w:val="-2"/>
                <w:sz w:val="21"/>
              </w:rPr>
              <w:t>号</w:t>
            </w:r>
            <w:r>
              <w:rPr>
                <w:rFonts w:eastAsia="Calibri"/>
                <w:spacing w:val="-2"/>
                <w:sz w:val="21"/>
              </w:rPr>
              <w:t>”</w:t>
            </w:r>
            <w:r>
              <w:rPr>
                <w:rFonts w:hint="eastAsia" w:ascii="宋体" w:hAnsi="宋体"/>
                <w:spacing w:val="-2"/>
                <w:sz w:val="21"/>
              </w:rPr>
              <w:t>文件和</w:t>
            </w:r>
            <w:r>
              <w:rPr>
                <w:rFonts w:hint="eastAsia" w:ascii="宋体" w:hAnsi="宋体"/>
                <w:spacing w:val="-2"/>
                <w:sz w:val="21"/>
                <w:szCs w:val="22"/>
              </w:rPr>
              <w:t>发改办价格[2015]299号文件规定收取招标代理费；</w:t>
            </w:r>
          </w:p>
          <w:p>
            <w:pPr>
              <w:pStyle w:val="41"/>
              <w:kinsoku w:val="0"/>
              <w:overflowPunct w:val="0"/>
              <w:spacing w:line="360" w:lineRule="auto"/>
              <w:ind w:left="-2"/>
              <w:jc w:val="both"/>
            </w:pPr>
            <w:r>
              <w:rPr>
                <w:rFonts w:eastAsia="Calibri"/>
                <w:spacing w:val="-2"/>
                <w:sz w:val="21"/>
              </w:rPr>
              <w:t>2</w:t>
            </w:r>
            <w:r>
              <w:rPr>
                <w:rFonts w:hint="eastAsia" w:ascii="宋体" w:hAnsi="宋体"/>
                <w:spacing w:val="-2"/>
                <w:sz w:val="21"/>
              </w:rPr>
              <w:t>、交纳时间：领取《中标通知书》时交纳。</w:t>
            </w:r>
          </w:p>
        </w:tc>
      </w:tr>
      <w:tr>
        <w:tblPrEx>
          <w:tblCellMar>
            <w:top w:w="0" w:type="dxa"/>
            <w:left w:w="108" w:type="dxa"/>
            <w:bottom w:w="0" w:type="dxa"/>
            <w:right w:w="108" w:type="dxa"/>
          </w:tblCellMar>
        </w:tblPrEx>
        <w:trPr>
          <w:trHeight w:val="1255" w:hRule="exact"/>
        </w:trPr>
        <w:tc>
          <w:tcPr>
            <w:tcW w:w="877"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40" w:leftChars="-100"/>
              <w:jc w:val="center"/>
              <w:rPr>
                <w:rFonts w:eastAsia="Calibri"/>
                <w:sz w:val="22"/>
              </w:rPr>
            </w:pPr>
          </w:p>
          <w:p>
            <w:pPr>
              <w:pStyle w:val="41"/>
              <w:kinsoku w:val="0"/>
              <w:overflowPunct w:val="0"/>
              <w:spacing w:line="360" w:lineRule="auto"/>
              <w:ind w:left="-240" w:leftChars="-100" w:right="1"/>
              <w:jc w:val="center"/>
            </w:pPr>
            <w:r>
              <w:rPr>
                <w:rFonts w:eastAsia="Calibri"/>
                <w:spacing w:val="-1"/>
                <w:sz w:val="21"/>
              </w:rPr>
              <w:t>11.2</w:t>
            </w:r>
          </w:p>
        </w:tc>
        <w:tc>
          <w:tcPr>
            <w:tcW w:w="1968"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rPr>
                <w:rFonts w:eastAsia="Calibri"/>
                <w:sz w:val="19"/>
              </w:rPr>
            </w:pPr>
          </w:p>
          <w:p>
            <w:pPr>
              <w:pStyle w:val="41"/>
              <w:kinsoku w:val="0"/>
              <w:overflowPunct w:val="0"/>
              <w:spacing w:line="360" w:lineRule="auto"/>
              <w:jc w:val="center"/>
            </w:pPr>
            <w:r>
              <w:rPr>
                <w:rFonts w:hint="eastAsia" w:ascii="宋体" w:hAnsi="宋体"/>
                <w:spacing w:val="-1"/>
                <w:sz w:val="21"/>
              </w:rPr>
              <w:t>特别提示</w:t>
            </w:r>
          </w:p>
        </w:tc>
        <w:tc>
          <w:tcPr>
            <w:tcW w:w="6555" w:type="dxa"/>
            <w:tcBorders>
              <w:top w:val="single" w:color="000000" w:sz="4" w:space="0"/>
              <w:left w:val="single" w:color="000000" w:sz="4" w:space="0"/>
              <w:bottom w:val="single" w:color="000000" w:sz="4" w:space="0"/>
              <w:right w:val="single" w:color="000000" w:sz="4" w:space="0"/>
              <w:tl2br w:val="nil"/>
              <w:tr2bl w:val="nil"/>
            </w:tcBorders>
          </w:tcPr>
          <w:p>
            <w:pPr>
              <w:pStyle w:val="41"/>
              <w:kinsoku w:val="0"/>
              <w:overflowPunct w:val="0"/>
              <w:spacing w:line="360" w:lineRule="auto"/>
              <w:ind w:left="-2"/>
              <w:rPr>
                <w:rFonts w:ascii="宋体" w:hAnsi="宋体"/>
                <w:b/>
                <w:spacing w:val="-1"/>
                <w:sz w:val="21"/>
              </w:rPr>
            </w:pPr>
            <w:r>
              <w:rPr>
                <w:rFonts w:hint="eastAsia" w:ascii="宋体" w:hAnsi="宋体"/>
                <w:b/>
                <w:spacing w:val="3"/>
                <w:sz w:val="21"/>
              </w:rPr>
              <w:t>招标文件内容前后不一致的以投标人须知前附表为</w:t>
            </w:r>
            <w:r>
              <w:rPr>
                <w:rFonts w:hint="eastAsia" w:ascii="宋体" w:hAnsi="宋体"/>
                <w:b/>
                <w:spacing w:val="-1"/>
                <w:sz w:val="21"/>
              </w:rPr>
              <w:t>准，投标人须知前附表没有的以最后内容为准。</w:t>
            </w:r>
          </w:p>
          <w:p>
            <w:pPr>
              <w:pStyle w:val="41"/>
              <w:kinsoku w:val="0"/>
              <w:overflowPunct w:val="0"/>
              <w:spacing w:line="360" w:lineRule="auto"/>
              <w:ind w:left="-2"/>
              <w:rPr>
                <w:rFonts w:ascii="宋体" w:hAnsi="宋体"/>
                <w:b/>
                <w:spacing w:val="-1"/>
                <w:sz w:val="21"/>
              </w:rPr>
            </w:pPr>
            <w:r>
              <w:rPr>
                <w:rFonts w:hint="eastAsia" w:ascii="宋体" w:hAnsi="宋体"/>
                <w:b/>
                <w:spacing w:val="-1"/>
                <w:sz w:val="21"/>
              </w:rPr>
              <w:t>招标文件售价：500元/份（开标现场收取，现金支付，售后不退）</w:t>
            </w:r>
          </w:p>
          <w:p>
            <w:pPr>
              <w:pStyle w:val="41"/>
              <w:kinsoku w:val="0"/>
              <w:overflowPunct w:val="0"/>
              <w:spacing w:line="360" w:lineRule="auto"/>
              <w:ind w:left="-2"/>
              <w:rPr>
                <w:rFonts w:ascii="宋体" w:hAnsi="宋体"/>
                <w:b/>
                <w:spacing w:val="-1"/>
                <w:sz w:val="21"/>
              </w:rPr>
            </w:pPr>
          </w:p>
        </w:tc>
      </w:tr>
    </w:tbl>
    <w:p>
      <w:pPr>
        <w:pStyle w:val="4"/>
        <w:kinsoku w:val="0"/>
        <w:overflowPunct w:val="0"/>
        <w:spacing w:line="423" w:lineRule="exact"/>
        <w:ind w:left="4280" w:right="4275"/>
        <w:jc w:val="center"/>
        <w:rPr>
          <w:rFonts w:hint="default"/>
          <w:b w:val="0"/>
        </w:rPr>
      </w:pPr>
      <w:bookmarkStart w:id="21" w:name="bookmark4"/>
      <w:bookmarkEnd w:id="21"/>
      <w:r>
        <w:rPr>
          <w:rFonts w:hint="default" w:ascii="Cambria" w:hAnsi="Cambria" w:eastAsia="Cambria"/>
        </w:rPr>
        <w:t>1.</w:t>
      </w:r>
      <w:r>
        <w:rPr>
          <w:rFonts w:hint="default" w:ascii="Cambria" w:hAnsi="Cambria" w:eastAsia="Cambria"/>
          <w:spacing w:val="69"/>
        </w:rPr>
        <w:t xml:space="preserve"> </w:t>
      </w:r>
      <w:r>
        <w:rPr>
          <w:spacing w:val="4"/>
        </w:rPr>
        <w:t>总则</w:t>
      </w:r>
    </w:p>
    <w:p>
      <w:pPr>
        <w:pStyle w:val="13"/>
        <w:kinsoku w:val="0"/>
        <w:overflowPunct w:val="0"/>
        <w:spacing w:line="360" w:lineRule="auto"/>
        <w:ind w:left="0"/>
        <w:rPr>
          <w:rFonts w:hint="default" w:asciiTheme="minorEastAsia" w:hAnsiTheme="minorEastAsia" w:eastAsiaTheme="minorEastAsia" w:cstheme="minorEastAsia"/>
          <w:b/>
          <w:sz w:val="24"/>
          <w:szCs w:val="24"/>
        </w:rPr>
      </w:pP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1.1</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招标项目概况</w:t>
      </w:r>
    </w:p>
    <w:p>
      <w:pPr>
        <w:pStyle w:val="13"/>
        <w:kinsoku w:val="0"/>
        <w:overflowPunct w:val="0"/>
        <w:spacing w:line="360" w:lineRule="auto"/>
        <w:ind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1.1.1</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z w:val="24"/>
          <w:szCs w:val="24"/>
        </w:rPr>
        <w:t>根</w:t>
      </w:r>
      <w:r>
        <w:rPr>
          <w:rFonts w:asciiTheme="minorEastAsia" w:hAnsiTheme="minorEastAsia" w:eastAsiaTheme="minorEastAsia" w:cstheme="minorEastAsia"/>
          <w:spacing w:val="-12"/>
          <w:sz w:val="24"/>
          <w:szCs w:val="24"/>
        </w:rPr>
        <w:t>据</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5"/>
          <w:sz w:val="24"/>
          <w:szCs w:val="24"/>
        </w:rPr>
        <w:t>中</w:t>
      </w:r>
      <w:r>
        <w:rPr>
          <w:rFonts w:asciiTheme="minorEastAsia" w:hAnsiTheme="minorEastAsia" w:eastAsiaTheme="minorEastAsia" w:cstheme="minorEastAsia"/>
          <w:sz w:val="24"/>
          <w:szCs w:val="24"/>
        </w:rPr>
        <w:t>华</w:t>
      </w:r>
      <w:r>
        <w:rPr>
          <w:rFonts w:asciiTheme="minorEastAsia" w:hAnsiTheme="minorEastAsia" w:eastAsiaTheme="minorEastAsia" w:cstheme="minorEastAsia"/>
          <w:spacing w:val="-5"/>
          <w:sz w:val="24"/>
          <w:szCs w:val="24"/>
        </w:rPr>
        <w:t>人</w:t>
      </w:r>
      <w:r>
        <w:rPr>
          <w:rFonts w:asciiTheme="minorEastAsia" w:hAnsiTheme="minorEastAsia" w:eastAsiaTheme="minorEastAsia" w:cstheme="minorEastAsia"/>
          <w:sz w:val="24"/>
          <w:szCs w:val="24"/>
        </w:rPr>
        <w:t>民</w:t>
      </w:r>
      <w:r>
        <w:rPr>
          <w:rFonts w:asciiTheme="minorEastAsia" w:hAnsiTheme="minorEastAsia" w:eastAsiaTheme="minorEastAsia" w:cstheme="minorEastAsia"/>
          <w:spacing w:val="-5"/>
          <w:sz w:val="24"/>
          <w:szCs w:val="24"/>
        </w:rPr>
        <w:t>共</w:t>
      </w:r>
      <w:r>
        <w:rPr>
          <w:rFonts w:asciiTheme="minorEastAsia" w:hAnsiTheme="minorEastAsia" w:eastAsiaTheme="minorEastAsia" w:cstheme="minorEastAsia"/>
          <w:spacing w:val="-3"/>
          <w:sz w:val="24"/>
          <w:szCs w:val="24"/>
        </w:rPr>
        <w:t>和</w:t>
      </w:r>
      <w:r>
        <w:rPr>
          <w:rFonts w:asciiTheme="minorEastAsia" w:hAnsiTheme="minorEastAsia" w:eastAsiaTheme="minorEastAsia" w:cstheme="minorEastAsia"/>
          <w:sz w:val="24"/>
          <w:szCs w:val="24"/>
        </w:rPr>
        <w:t>国</w:t>
      </w:r>
      <w:r>
        <w:rPr>
          <w:rFonts w:asciiTheme="minorEastAsia" w:hAnsiTheme="minorEastAsia" w:eastAsiaTheme="minorEastAsia" w:cstheme="minorEastAsia"/>
          <w:spacing w:val="-3"/>
          <w:sz w:val="24"/>
          <w:szCs w:val="24"/>
        </w:rPr>
        <w:t>政</w:t>
      </w:r>
      <w:r>
        <w:rPr>
          <w:rFonts w:asciiTheme="minorEastAsia" w:hAnsiTheme="minorEastAsia" w:eastAsiaTheme="minorEastAsia" w:cstheme="minorEastAsia"/>
          <w:sz w:val="24"/>
          <w:szCs w:val="24"/>
        </w:rPr>
        <w:t>府</w:t>
      </w:r>
      <w:r>
        <w:rPr>
          <w:rFonts w:asciiTheme="minorEastAsia" w:hAnsiTheme="minorEastAsia" w:eastAsiaTheme="minorEastAsia" w:cstheme="minorEastAsia"/>
          <w:spacing w:val="-3"/>
          <w:sz w:val="24"/>
          <w:szCs w:val="24"/>
        </w:rPr>
        <w:t>采</w:t>
      </w:r>
      <w:r>
        <w:rPr>
          <w:rFonts w:asciiTheme="minorEastAsia" w:hAnsiTheme="minorEastAsia" w:eastAsiaTheme="minorEastAsia" w:cstheme="minorEastAsia"/>
          <w:sz w:val="24"/>
          <w:szCs w:val="24"/>
        </w:rPr>
        <w:t>购</w:t>
      </w:r>
      <w:r>
        <w:rPr>
          <w:rFonts w:asciiTheme="minorEastAsia" w:hAnsiTheme="minorEastAsia" w:eastAsiaTheme="minorEastAsia" w:cstheme="minorEastAsia"/>
          <w:spacing w:val="-3"/>
          <w:sz w:val="24"/>
          <w:szCs w:val="24"/>
        </w:rPr>
        <w:t>法</w:t>
      </w:r>
      <w:r>
        <w:rPr>
          <w:rFonts w:asciiTheme="minorEastAsia" w:hAnsiTheme="minorEastAsia" w:eastAsiaTheme="minorEastAsia" w:cstheme="minorEastAsia"/>
          <w:spacing w:val="-106"/>
          <w:sz w:val="24"/>
          <w:szCs w:val="24"/>
        </w:rPr>
        <w:t>》</w:t>
      </w:r>
      <w:r>
        <w:rPr>
          <w:rFonts w:asciiTheme="minorEastAsia" w:hAnsiTheme="minorEastAsia" w:eastAsiaTheme="minorEastAsia" w:cstheme="minorEastAsia"/>
          <w:spacing w:val="-118"/>
          <w:sz w:val="24"/>
          <w:szCs w:val="24"/>
        </w:rPr>
        <w:t>、</w:t>
      </w:r>
      <w:r>
        <w:rPr>
          <w:rFonts w:asciiTheme="minorEastAsia" w:hAnsiTheme="minorEastAsia" w:eastAsiaTheme="minorEastAsia" w:cstheme="minorEastAsia"/>
          <w:spacing w:val="-3"/>
          <w:sz w:val="24"/>
          <w:szCs w:val="24"/>
        </w:rPr>
        <w:t>《中</w:t>
      </w:r>
      <w:r>
        <w:rPr>
          <w:rFonts w:asciiTheme="minorEastAsia" w:hAnsiTheme="minorEastAsia" w:eastAsiaTheme="minorEastAsia" w:cstheme="minorEastAsia"/>
          <w:spacing w:val="-5"/>
          <w:sz w:val="24"/>
          <w:szCs w:val="24"/>
        </w:rPr>
        <w:t>华</w:t>
      </w:r>
      <w:r>
        <w:rPr>
          <w:rFonts w:asciiTheme="minorEastAsia" w:hAnsiTheme="minorEastAsia" w:eastAsiaTheme="minorEastAsia" w:cstheme="minorEastAsia"/>
          <w:spacing w:val="-3"/>
          <w:sz w:val="24"/>
          <w:szCs w:val="24"/>
        </w:rPr>
        <w:t>人</w:t>
      </w:r>
      <w:r>
        <w:rPr>
          <w:rFonts w:asciiTheme="minorEastAsia" w:hAnsiTheme="minorEastAsia" w:eastAsiaTheme="minorEastAsia" w:cstheme="minorEastAsia"/>
          <w:sz w:val="24"/>
          <w:szCs w:val="24"/>
        </w:rPr>
        <w:t>民</w:t>
      </w:r>
      <w:r>
        <w:rPr>
          <w:rFonts w:asciiTheme="minorEastAsia" w:hAnsiTheme="minorEastAsia" w:eastAsiaTheme="minorEastAsia" w:cstheme="minorEastAsia"/>
          <w:spacing w:val="-3"/>
          <w:sz w:val="24"/>
          <w:szCs w:val="24"/>
        </w:rPr>
        <w:t>共和</w:t>
      </w:r>
      <w:r>
        <w:rPr>
          <w:rFonts w:asciiTheme="minorEastAsia" w:hAnsiTheme="minorEastAsia" w:eastAsiaTheme="minorEastAsia" w:cstheme="minorEastAsia"/>
          <w:sz w:val="24"/>
          <w:szCs w:val="24"/>
        </w:rPr>
        <w:t>国</w:t>
      </w:r>
      <w:r>
        <w:rPr>
          <w:rFonts w:asciiTheme="minorEastAsia" w:hAnsiTheme="minorEastAsia" w:eastAsiaTheme="minorEastAsia" w:cstheme="minorEastAsia"/>
          <w:spacing w:val="-5"/>
          <w:sz w:val="24"/>
          <w:szCs w:val="24"/>
        </w:rPr>
        <w:t>政</w:t>
      </w:r>
      <w:r>
        <w:rPr>
          <w:rFonts w:asciiTheme="minorEastAsia" w:hAnsiTheme="minorEastAsia" w:eastAsiaTheme="minorEastAsia" w:cstheme="minorEastAsia"/>
          <w:spacing w:val="-3"/>
          <w:sz w:val="24"/>
          <w:szCs w:val="24"/>
        </w:rPr>
        <w:t>府采</w:t>
      </w:r>
      <w:r>
        <w:rPr>
          <w:rFonts w:asciiTheme="minorEastAsia" w:hAnsiTheme="minorEastAsia" w:eastAsiaTheme="minorEastAsia" w:cstheme="minorEastAsia"/>
          <w:spacing w:val="-5"/>
          <w:sz w:val="24"/>
          <w:szCs w:val="24"/>
        </w:rPr>
        <w:t>购</w:t>
      </w:r>
      <w:r>
        <w:rPr>
          <w:rFonts w:asciiTheme="minorEastAsia" w:hAnsiTheme="minorEastAsia" w:eastAsiaTheme="minorEastAsia" w:cstheme="minorEastAsia"/>
          <w:spacing w:val="-2"/>
          <w:sz w:val="24"/>
          <w:szCs w:val="24"/>
        </w:rPr>
        <w:t>法</w:t>
      </w:r>
      <w:r>
        <w:rPr>
          <w:rFonts w:asciiTheme="minorEastAsia" w:hAnsiTheme="minorEastAsia" w:eastAsiaTheme="minorEastAsia" w:cstheme="minorEastAsia"/>
          <w:spacing w:val="-3"/>
          <w:sz w:val="24"/>
          <w:szCs w:val="24"/>
        </w:rPr>
        <w:t>实施</w:t>
      </w:r>
      <w:r>
        <w:rPr>
          <w:rFonts w:asciiTheme="minorEastAsia" w:hAnsiTheme="minorEastAsia" w:eastAsiaTheme="minorEastAsia" w:cstheme="minorEastAsia"/>
          <w:sz w:val="24"/>
          <w:szCs w:val="24"/>
        </w:rPr>
        <w:t>条</w:t>
      </w:r>
      <w:r>
        <w:rPr>
          <w:rFonts w:asciiTheme="minorEastAsia" w:hAnsiTheme="minorEastAsia" w:eastAsiaTheme="minorEastAsia" w:cstheme="minorEastAsia"/>
          <w:spacing w:val="-5"/>
          <w:sz w:val="24"/>
          <w:szCs w:val="24"/>
        </w:rPr>
        <w:t>例</w:t>
      </w:r>
      <w:r>
        <w:rPr>
          <w:rFonts w:asciiTheme="minorEastAsia" w:hAnsiTheme="minorEastAsia" w:eastAsiaTheme="minorEastAsia" w:cstheme="minorEastAsia"/>
          <w:spacing w:val="-8"/>
          <w:sz w:val="24"/>
          <w:szCs w:val="24"/>
        </w:rPr>
        <w:t>》</w:t>
      </w:r>
      <w:r>
        <w:rPr>
          <w:rFonts w:asciiTheme="minorEastAsia" w:hAnsiTheme="minorEastAsia" w:eastAsiaTheme="minorEastAsia" w:cstheme="minorEastAsia"/>
          <w:spacing w:val="-3"/>
          <w:sz w:val="24"/>
          <w:szCs w:val="24"/>
        </w:rPr>
        <w:t>等有</w:t>
      </w:r>
      <w:r>
        <w:rPr>
          <w:rFonts w:asciiTheme="minorEastAsia" w:hAnsiTheme="minorEastAsia" w:eastAsiaTheme="minorEastAsia" w:cstheme="minorEastAsia"/>
          <w:sz w:val="24"/>
          <w:szCs w:val="24"/>
        </w:rPr>
        <w:t xml:space="preserve">关法律、 </w:t>
      </w:r>
      <w:r>
        <w:rPr>
          <w:rFonts w:asciiTheme="minorEastAsia" w:hAnsiTheme="minorEastAsia" w:eastAsiaTheme="minorEastAsia" w:cstheme="minorEastAsia"/>
          <w:spacing w:val="-3"/>
          <w:sz w:val="24"/>
          <w:szCs w:val="24"/>
        </w:rPr>
        <w:t>法规和规章的规定，本招标项目已具备招标条件，现对设备采购进行招标。</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招标人：见投标人须知前附表。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1.1.3</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招标代理机构：见投标人须知前附表。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1.1.4</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3"/>
          <w:sz w:val="24"/>
          <w:szCs w:val="24"/>
        </w:rPr>
        <w:t>招标项目名称：见投标人须知前附表。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1.1.5</w:t>
      </w:r>
      <w:r>
        <w:rPr>
          <w:rFonts w:asciiTheme="minorEastAsia" w:hAnsiTheme="minorEastAsia" w:eastAsiaTheme="minorEastAsia" w:cstheme="minorEastAsia"/>
          <w:spacing w:val="-2"/>
          <w:sz w:val="24"/>
          <w:szCs w:val="24"/>
        </w:rPr>
        <w:t xml:space="preserve"> 采购设备名称: </w:t>
      </w:r>
      <w:r>
        <w:rPr>
          <w:rFonts w:asciiTheme="minorEastAsia" w:hAnsiTheme="minorEastAsia" w:eastAsiaTheme="minorEastAsia" w:cstheme="minorEastAsia"/>
          <w:spacing w:val="-3"/>
          <w:sz w:val="24"/>
          <w:szCs w:val="24"/>
        </w:rPr>
        <w:t>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1.1.6</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标包划分：见投标人须知前附表。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1.1.7</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核心产品：见投标人须知前附表。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1.2</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招标项目的资金来源和落实情况</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1.2.1</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资金来源及比例：见投标人须知前附表。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1.2.2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资金落实情况：见投标人须知前附表。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1.3</w:t>
      </w:r>
      <w:r>
        <w:rPr>
          <w:rFonts w:asciiTheme="minorEastAsia" w:hAnsiTheme="minorEastAsia" w:eastAsiaTheme="minorEastAsia" w:cstheme="minorEastAsia"/>
          <w:b/>
          <w:bCs/>
          <w:sz w:val="24"/>
          <w:szCs w:val="24"/>
        </w:rPr>
        <w:t xml:space="preserve"> </w:t>
      </w:r>
      <w:r>
        <w:rPr>
          <w:rFonts w:asciiTheme="minorEastAsia" w:hAnsiTheme="minorEastAsia" w:eastAsiaTheme="minorEastAsia" w:cstheme="minorEastAsia"/>
          <w:b/>
          <w:bCs/>
          <w:spacing w:val="-2"/>
          <w:sz w:val="24"/>
          <w:szCs w:val="24"/>
        </w:rPr>
        <w:t>招标范围、交货期、交货地点和技术性能指标、质保期</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1.3.1</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交货期：见投标人须知前附表。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交货地点：见投标人须知前附表。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1.3.3</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技术性能指标：见投标人须知前附表。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1.3.4</w:t>
      </w:r>
      <w:r>
        <w:rPr>
          <w:rFonts w:asciiTheme="minorEastAsia" w:hAnsiTheme="minorEastAsia" w:eastAsiaTheme="minorEastAsia" w:cstheme="minorEastAsia"/>
          <w:spacing w:val="-2"/>
          <w:sz w:val="24"/>
          <w:szCs w:val="24"/>
        </w:rPr>
        <w:t xml:space="preserve"> 质保期：见投标人须知前附表。</w:t>
      </w:r>
    </w:p>
    <w:p>
      <w:pPr>
        <w:pStyle w:val="13"/>
        <w:kinsoku w:val="0"/>
        <w:overflowPunct w:val="0"/>
        <w:spacing w:line="360" w:lineRule="auto"/>
        <w:ind w:left="544"/>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1.3.5</w:t>
      </w:r>
      <w:r>
        <w:rPr>
          <w:rFonts w:asciiTheme="minorEastAsia" w:hAnsiTheme="minorEastAsia" w:eastAsiaTheme="minorEastAsia" w:cstheme="minorEastAsia"/>
          <w:spacing w:val="-55"/>
          <w:sz w:val="24"/>
          <w:szCs w:val="24"/>
        </w:rPr>
        <w:t xml:space="preserve">  </w:t>
      </w:r>
      <w:r>
        <w:rPr>
          <w:rFonts w:asciiTheme="minorEastAsia" w:hAnsiTheme="minorEastAsia" w:eastAsiaTheme="minorEastAsia" w:cstheme="minorEastAsia"/>
          <w:spacing w:val="-3"/>
          <w:sz w:val="24"/>
          <w:szCs w:val="24"/>
        </w:rPr>
        <w:t>质量要求：见投标人须知前附表。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1.4</w:t>
      </w:r>
      <w:r>
        <w:rPr>
          <w:rFonts w:asciiTheme="minorEastAsia" w:hAnsiTheme="minorEastAsia" w:eastAsiaTheme="minorEastAsia" w:cstheme="minorEastAsia"/>
          <w:b/>
          <w:bCs/>
          <w:sz w:val="24"/>
          <w:szCs w:val="24"/>
        </w:rPr>
        <w:t xml:space="preserve"> </w:t>
      </w:r>
      <w:r>
        <w:rPr>
          <w:rFonts w:asciiTheme="minorEastAsia" w:hAnsiTheme="minorEastAsia" w:eastAsiaTheme="minorEastAsia" w:cstheme="minorEastAsia"/>
          <w:b/>
          <w:bCs/>
          <w:spacing w:val="-2"/>
          <w:sz w:val="24"/>
          <w:szCs w:val="24"/>
        </w:rPr>
        <w:t>投标人资格要求</w:t>
      </w:r>
    </w:p>
    <w:p>
      <w:pPr>
        <w:pStyle w:val="13"/>
        <w:kinsoku w:val="0"/>
        <w:overflowPunct w:val="0"/>
        <w:spacing w:line="360" w:lineRule="auto"/>
        <w:ind w:left="5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1.4.1</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投标人的资格要求见投标人须知前附表；</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1.4.2</w:t>
      </w:r>
      <w:r>
        <w:rPr>
          <w:rFonts w:asciiTheme="minorEastAsia" w:hAnsiTheme="minorEastAsia" w:eastAsiaTheme="minorEastAsia" w:cstheme="minorEastAsia"/>
          <w:spacing w:val="-2"/>
          <w:sz w:val="24"/>
          <w:szCs w:val="24"/>
        </w:rPr>
        <w:t xml:space="preserve"> 投标人须知前附表规定接受联合体投标的，联合体除应符合本章第</w:t>
      </w:r>
      <w:r>
        <w:rPr>
          <w:rFonts w:asciiTheme="minorEastAsia" w:hAnsiTheme="minorEastAsia" w:eastAsiaTheme="minorEastAsia" w:cstheme="minorEastAsia"/>
          <w:spacing w:val="1"/>
          <w:sz w:val="24"/>
          <w:szCs w:val="24"/>
        </w:rPr>
        <w:t xml:space="preserve"> </w:t>
      </w:r>
      <w:r>
        <w:rPr>
          <w:rFonts w:asciiTheme="minorEastAsia" w:hAnsiTheme="minorEastAsia" w:eastAsiaTheme="minorEastAsia" w:cstheme="minorEastAsia"/>
          <w:spacing w:val="-2"/>
          <w:sz w:val="24"/>
          <w:szCs w:val="24"/>
        </w:rPr>
        <w:t>1.4.1</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2"/>
          <w:sz w:val="24"/>
          <w:szCs w:val="24"/>
        </w:rPr>
        <w:t>项和投标人须知前附表的要求外，还应遵守以下规定：</w:t>
      </w:r>
    </w:p>
    <w:p>
      <w:pPr>
        <w:pStyle w:val="13"/>
        <w:kinsoku w:val="0"/>
        <w:overflowPunct w:val="0"/>
        <w:spacing w:line="360" w:lineRule="auto"/>
        <w:ind w:right="144" w:rightChars="60" w:firstLine="312"/>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（1）联合体各方应按招标文件提供的格式签订联合体协议书，明确联合体牵头人和各方权利义务，</w:t>
      </w:r>
      <w:r>
        <w:rPr>
          <w:rFonts w:asciiTheme="minorEastAsia" w:hAnsiTheme="minorEastAsia" w:eastAsiaTheme="minorEastAsia" w:cstheme="minorEastAsia"/>
          <w:spacing w:val="-3"/>
          <w:sz w:val="24"/>
          <w:szCs w:val="24"/>
        </w:rPr>
        <w:t>并承诺就中标项目向招标人承担连带责任；</w:t>
      </w:r>
    </w:p>
    <w:p>
      <w:pPr>
        <w:pStyle w:val="13"/>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13"/>
        <w:kinsoku w:val="0"/>
        <w:overflowPunct w:val="0"/>
        <w:spacing w:line="360" w:lineRule="auto"/>
        <w:ind w:left="539" w:right="144" w:rightChars="6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1.4.3</w:t>
      </w:r>
      <w:r>
        <w:rPr>
          <w:rFonts w:asciiTheme="minorEastAsia" w:hAnsiTheme="minorEastAsia" w:eastAsiaTheme="minorEastAsia" w:cstheme="minorEastAsia"/>
          <w:spacing w:val="-2"/>
          <w:sz w:val="24"/>
          <w:szCs w:val="24"/>
        </w:rPr>
        <w:t xml:space="preserve"> 投标人不得存在下列情形之一：</w:t>
      </w:r>
    </w:p>
    <w:p>
      <w:pPr>
        <w:pStyle w:val="13"/>
        <w:kinsoku w:val="0"/>
        <w:overflowPunct w:val="0"/>
        <w:spacing w:line="360" w:lineRule="auto"/>
        <w:ind w:right="144" w:rightChars="60"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（1）单位负责人为同一人或者存在直接控股、管理关系的不同供应商，不得参加同一合同项下的</w:t>
      </w:r>
      <w:r>
        <w:rPr>
          <w:rFonts w:asciiTheme="minorEastAsia" w:hAnsiTheme="minorEastAsia" w:eastAsiaTheme="minorEastAsia" w:cstheme="minorEastAsia"/>
          <w:spacing w:val="-1"/>
          <w:sz w:val="24"/>
          <w:szCs w:val="24"/>
        </w:rPr>
        <w:t>政府采购活动。</w:t>
      </w:r>
    </w:p>
    <w:p>
      <w:pPr>
        <w:pStyle w:val="13"/>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（2）为采购项目提供整体设计、规范编制或者项目管理、监理、检测等服务的供应商，不得再参加该项目的其他采购活动。</w:t>
      </w:r>
    </w:p>
    <w:p>
      <w:pPr>
        <w:pStyle w:val="13"/>
        <w:kinsoku w:val="0"/>
        <w:overflowPunct w:val="0"/>
        <w:spacing w:line="360" w:lineRule="auto"/>
        <w:ind w:left="431"/>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（3）法律法规或投标人须知前附表规定的其他情形。</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1.5</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费用承担</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投标人准备和参加投标活动发生的费用自理。</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1.6</w:t>
      </w:r>
      <w:r>
        <w:rPr>
          <w:rFonts w:asciiTheme="minorEastAsia" w:hAnsiTheme="minorEastAsia" w:eastAsiaTheme="minorEastAsia" w:cstheme="minorEastAsia"/>
          <w:b/>
          <w:bCs/>
          <w:sz w:val="24"/>
          <w:szCs w:val="24"/>
        </w:rPr>
        <w:t xml:space="preserve"> </w:t>
      </w:r>
      <w:r>
        <w:rPr>
          <w:rFonts w:asciiTheme="minorEastAsia" w:hAnsiTheme="minorEastAsia" w:eastAsiaTheme="minorEastAsia" w:cstheme="minorEastAsia"/>
          <w:b/>
          <w:bCs/>
          <w:spacing w:val="-3"/>
          <w:sz w:val="24"/>
          <w:szCs w:val="24"/>
        </w:rPr>
        <w:t>保密</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参与招标投标活动的各方应对招标文件和投标文件中的商业和技术等秘密保密，否则应承担相应</w:t>
      </w:r>
      <w:r>
        <w:rPr>
          <w:rFonts w:asciiTheme="minorEastAsia" w:hAnsiTheme="minorEastAsia" w:eastAsiaTheme="minorEastAsia" w:cstheme="minorEastAsia"/>
          <w:spacing w:val="-3"/>
          <w:sz w:val="24"/>
          <w:szCs w:val="24"/>
        </w:rPr>
        <w:t>的法律责任。</w:t>
      </w:r>
    </w:p>
    <w:p>
      <w:pPr>
        <w:pStyle w:val="8"/>
        <w:kinsoku w:val="0"/>
        <w:overflowPunct w:val="0"/>
        <w:spacing w:line="360" w:lineRule="auto"/>
        <w:ind w:right="144" w:rightChars="60"/>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1.7</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语言文字</w:t>
      </w:r>
    </w:p>
    <w:p>
      <w:pPr>
        <w:pStyle w:val="13"/>
        <w:kinsoku w:val="0"/>
        <w:overflowPunct w:val="0"/>
        <w:spacing w:line="360" w:lineRule="auto"/>
        <w:ind w:left="539" w:right="144" w:rightChars="6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招标投标文件使用的语言文字为中文。专用术语使用外文的，应附有中文注释。</w:t>
      </w:r>
    </w:p>
    <w:p>
      <w:pPr>
        <w:pStyle w:val="8"/>
        <w:kinsoku w:val="0"/>
        <w:overflowPunct w:val="0"/>
        <w:spacing w:line="360" w:lineRule="auto"/>
        <w:ind w:right="144" w:rightChars="60"/>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1.8</w:t>
      </w:r>
      <w:r>
        <w:rPr>
          <w:rFonts w:asciiTheme="minorEastAsia" w:hAnsiTheme="minorEastAsia" w:eastAsiaTheme="minorEastAsia" w:cstheme="minorEastAsia"/>
          <w:b/>
          <w:bCs/>
          <w:spacing w:val="-3"/>
          <w:sz w:val="24"/>
          <w:szCs w:val="24"/>
        </w:rPr>
        <w:t xml:space="preserve"> </w:t>
      </w:r>
      <w:r>
        <w:rPr>
          <w:rFonts w:asciiTheme="minorEastAsia" w:hAnsiTheme="minorEastAsia" w:eastAsiaTheme="minorEastAsia" w:cstheme="minorEastAsia"/>
          <w:b/>
          <w:bCs/>
          <w:spacing w:val="-1"/>
          <w:sz w:val="24"/>
          <w:szCs w:val="24"/>
        </w:rPr>
        <w:t>计量单位</w:t>
      </w:r>
    </w:p>
    <w:p>
      <w:pPr>
        <w:pStyle w:val="13"/>
        <w:kinsoku w:val="0"/>
        <w:overflowPunct w:val="0"/>
        <w:spacing w:line="360" w:lineRule="auto"/>
        <w:ind w:left="539" w:right="144" w:rightChars="6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所有计量均采用中华人民共和国法定计量单位。</w:t>
      </w:r>
    </w:p>
    <w:p>
      <w:pPr>
        <w:pStyle w:val="8"/>
        <w:kinsoku w:val="0"/>
        <w:overflowPunct w:val="0"/>
        <w:spacing w:line="360" w:lineRule="auto"/>
        <w:ind w:right="144" w:rightChars="60"/>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1.9</w:t>
      </w:r>
      <w:r>
        <w:rPr>
          <w:rFonts w:asciiTheme="minorEastAsia" w:hAnsiTheme="minorEastAsia" w:eastAsiaTheme="minorEastAsia" w:cstheme="minorEastAsia"/>
          <w:b/>
          <w:bCs/>
          <w:spacing w:val="65"/>
          <w:sz w:val="24"/>
          <w:szCs w:val="24"/>
        </w:rPr>
        <w:t xml:space="preserve"> </w:t>
      </w:r>
      <w:r>
        <w:rPr>
          <w:rFonts w:asciiTheme="minorEastAsia" w:hAnsiTheme="minorEastAsia" w:eastAsiaTheme="minorEastAsia" w:cstheme="minorEastAsia"/>
          <w:b/>
          <w:bCs/>
          <w:sz w:val="24"/>
          <w:szCs w:val="24"/>
        </w:rPr>
        <w:t>分包</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1.9.1</w:t>
      </w:r>
      <w:r>
        <w:rPr>
          <w:rFonts w:asciiTheme="minorEastAsia" w:hAnsiTheme="minorEastAsia" w:eastAsiaTheme="minorEastAsia" w:cstheme="minorEastAsia"/>
          <w:spacing w:val="-2"/>
          <w:sz w:val="24"/>
          <w:szCs w:val="24"/>
        </w:rPr>
        <w:t xml:space="preserve"> 投标人拟在中标后将中标项目的非主体设备进行分包的，应符合投标人须知前附表规定的分包内容、分包金额和资质要求等限制性条件，除投标人须知前附表规定的非主体设备外，其他工作不得</w:t>
      </w:r>
      <w:r>
        <w:rPr>
          <w:rFonts w:asciiTheme="minorEastAsia" w:hAnsiTheme="minorEastAsia" w:eastAsiaTheme="minorEastAsia" w:cstheme="minorEastAsia"/>
          <w:spacing w:val="-1"/>
          <w:sz w:val="24"/>
          <w:szCs w:val="24"/>
        </w:rPr>
        <w:t>分包。</w:t>
      </w:r>
    </w:p>
    <w:p>
      <w:pPr>
        <w:pStyle w:val="13"/>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1"/>
          <w:sz w:val="24"/>
          <w:szCs w:val="24"/>
        </w:rPr>
        <w:t>1.9.2</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1"/>
          <w:sz w:val="24"/>
          <w:szCs w:val="24"/>
        </w:rPr>
        <w:t>中标人不得向他人转让中标项目，接受分包的人不得再次分包。中标人应当就分包</w:t>
      </w:r>
      <w:r>
        <w:rPr>
          <w:rFonts w:asciiTheme="minorEastAsia" w:hAnsiTheme="minorEastAsia" w:eastAsiaTheme="minorEastAsia" w:cstheme="minorEastAsia"/>
          <w:sz w:val="24"/>
          <w:szCs w:val="24"/>
        </w:rPr>
        <w:t>项目向</w:t>
      </w:r>
      <w:r>
        <w:rPr>
          <w:rFonts w:asciiTheme="minorEastAsia" w:hAnsiTheme="minorEastAsia" w:eastAsiaTheme="minorEastAsia" w:cstheme="minorEastAsia"/>
          <w:spacing w:val="-3"/>
          <w:sz w:val="24"/>
          <w:szCs w:val="24"/>
        </w:rPr>
        <w:t>招标人负责，接受分包的人就分包项目承担连带责任。</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3"/>
          <w:sz w:val="24"/>
          <w:szCs w:val="24"/>
        </w:rPr>
        <w:t>1.10</w:t>
      </w:r>
      <w:r>
        <w:rPr>
          <w:rFonts w:asciiTheme="minorEastAsia" w:hAnsiTheme="minorEastAsia" w:eastAsiaTheme="minorEastAsia" w:cstheme="minorEastAsia"/>
          <w:b/>
          <w:bCs/>
          <w:spacing w:val="-2"/>
          <w:sz w:val="24"/>
          <w:szCs w:val="24"/>
        </w:rPr>
        <w:t xml:space="preserve"> 响应和偏差</w:t>
      </w:r>
    </w:p>
    <w:p>
      <w:pPr>
        <w:pStyle w:val="13"/>
        <w:kinsoku w:val="0"/>
        <w:overflowPunct w:val="0"/>
        <w:spacing w:line="360" w:lineRule="auto"/>
        <w:ind w:right="70"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1.10.1</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1"/>
          <w:sz w:val="24"/>
          <w:szCs w:val="24"/>
        </w:rPr>
        <w:t>投标文件应当对招标文件的实质性要求和条件作出满足性或更有利于招标人的响应，否则，</w:t>
      </w:r>
      <w:r>
        <w:rPr>
          <w:rFonts w:asciiTheme="minorEastAsia" w:hAnsiTheme="minorEastAsia" w:eastAsiaTheme="minorEastAsia" w:cstheme="minorEastAsia"/>
          <w:spacing w:val="-2"/>
          <w:sz w:val="24"/>
          <w:szCs w:val="24"/>
        </w:rPr>
        <w:t>投标人的投标将被否决。实质性要求和条件见投标人须知前附表。</w:t>
      </w:r>
    </w:p>
    <w:p>
      <w:pPr>
        <w:pStyle w:val="13"/>
        <w:kinsoku w:val="0"/>
        <w:overflowPunct w:val="0"/>
        <w:spacing w:line="360" w:lineRule="auto"/>
        <w:ind w:right="2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1.10.2 投标人应根据招标文件的要求提供投标设备技术性能指标的详细描述、技术支持资料及技术</w:t>
      </w:r>
      <w:r>
        <w:rPr>
          <w:rFonts w:asciiTheme="minorEastAsia" w:hAnsiTheme="minorEastAsia" w:eastAsiaTheme="minorEastAsia" w:cstheme="minorEastAsia"/>
          <w:spacing w:val="-3"/>
          <w:sz w:val="24"/>
          <w:szCs w:val="24"/>
        </w:rPr>
        <w:t>服务和质保期服务计划等内容以对招标文件作出响应。</w:t>
      </w:r>
    </w:p>
    <w:p>
      <w:pPr>
        <w:pStyle w:val="13"/>
        <w:kinsoku w:val="0"/>
        <w:overflowPunct w:val="0"/>
        <w:spacing w:line="360" w:lineRule="auto"/>
        <w:ind w:right="20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1.10.3 投标文件中应针对实质性要求和条件中列明的技术要求提供技术支持资料。技术支持资料以</w:t>
      </w:r>
      <w:r>
        <w:rPr>
          <w:rFonts w:asciiTheme="minorEastAsia" w:hAnsiTheme="minorEastAsia" w:eastAsiaTheme="minorEastAsia" w:cstheme="minorEastAsia"/>
          <w:sz w:val="24"/>
          <w:szCs w:val="24"/>
        </w:rPr>
        <w:t>制造商公开发布的印刷资料，或检测机构出具的检测报告或投标人须知前附表允许的其他形式为准，不</w:t>
      </w:r>
      <w:r>
        <w:rPr>
          <w:rFonts w:asciiTheme="minorEastAsia" w:hAnsiTheme="minorEastAsia" w:eastAsiaTheme="minorEastAsia" w:cstheme="minorEastAsia"/>
          <w:spacing w:val="-3"/>
          <w:sz w:val="24"/>
          <w:szCs w:val="24"/>
        </w:rPr>
        <w:t>符合前述要求的，视为无技术支持资料，其投标将被否决。</w:t>
      </w:r>
    </w:p>
    <w:p>
      <w:pPr>
        <w:pStyle w:val="13"/>
        <w:kinsoku w:val="0"/>
        <w:overflowPunct w:val="0"/>
        <w:spacing w:line="360" w:lineRule="auto"/>
        <w:ind w:right="2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1.10.4 投标人须知前附表规定了可以偏差的范围和最高偏差项数的，偏差应当符合投标人须知前附</w:t>
      </w:r>
      <w:r>
        <w:rPr>
          <w:rFonts w:asciiTheme="minorEastAsia" w:hAnsiTheme="minorEastAsia" w:eastAsiaTheme="minorEastAsia" w:cstheme="minorEastAsia"/>
          <w:spacing w:val="-3"/>
          <w:sz w:val="24"/>
          <w:szCs w:val="24"/>
        </w:rPr>
        <w:t>表规定的偏差范围和最高项数，超出偏差范围和最高偏差项数的投标将被否决。</w:t>
      </w:r>
    </w:p>
    <w:p>
      <w:pPr>
        <w:pStyle w:val="13"/>
        <w:kinsoku w:val="0"/>
        <w:overflowPunct w:val="0"/>
        <w:spacing w:line="360" w:lineRule="auto"/>
        <w:ind w:right="20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1.10.5 投标文件对招标文件的全部偏差，均应在投标文件的商务和技术偏差表中列明，除列明的内</w:t>
      </w:r>
      <w:r>
        <w:rPr>
          <w:rFonts w:asciiTheme="minorEastAsia" w:hAnsiTheme="minorEastAsia" w:eastAsiaTheme="minorEastAsia" w:cstheme="minorEastAsia"/>
          <w:spacing w:val="-3"/>
          <w:sz w:val="24"/>
          <w:szCs w:val="24"/>
        </w:rPr>
        <w:t>容外，视为投标人响应招标文件的全部要求。</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1.11</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采购进口产品</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1.11.1除招标文件前附表另有规定外，本采购项目拒绝进口产品参加投标。</w:t>
      </w:r>
    </w:p>
    <w:p>
      <w:pPr>
        <w:pStyle w:val="13"/>
        <w:kinsoku w:val="0"/>
        <w:overflowPunct w:val="0"/>
        <w:spacing w:line="360" w:lineRule="auto"/>
        <w:ind w:right="20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1.11.2本章第1.11.1款规定同意购买进口产品的，不限制满足招标文件要求的国内产品参与投标竞争。</w:t>
      </w:r>
      <w:bookmarkStart w:id="22" w:name="bookmark5"/>
      <w:bookmarkEnd w:id="22"/>
    </w:p>
    <w:p>
      <w:pPr>
        <w:pStyle w:val="4"/>
        <w:kinsoku w:val="0"/>
        <w:overflowPunct w:val="0"/>
        <w:spacing w:line="423" w:lineRule="exact"/>
        <w:ind w:left="0" w:right="-94"/>
        <w:jc w:val="center"/>
        <w:rPr>
          <w:rFonts w:hint="default" w:ascii="Cambria" w:hAnsi="Cambria" w:eastAsia="Cambria"/>
          <w:szCs w:val="22"/>
        </w:rPr>
      </w:pPr>
      <w:r>
        <w:rPr>
          <w:rFonts w:ascii="Cambria" w:hAnsi="Cambria" w:eastAsia="Cambria"/>
          <w:szCs w:val="22"/>
        </w:rPr>
        <w:t>2. 招标文件</w:t>
      </w:r>
    </w:p>
    <w:p>
      <w:pPr>
        <w:pStyle w:val="13"/>
        <w:kinsoku w:val="0"/>
        <w:overflowPunct w:val="0"/>
        <w:spacing w:line="360" w:lineRule="auto"/>
        <w:ind w:left="0"/>
        <w:rPr>
          <w:rFonts w:hint="default" w:asciiTheme="minorEastAsia" w:hAnsiTheme="minorEastAsia" w:eastAsiaTheme="minorEastAsia" w:cstheme="minorEastAsia"/>
          <w:b/>
          <w:sz w:val="24"/>
          <w:szCs w:val="24"/>
        </w:rPr>
      </w:pP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2.1</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2"/>
          <w:sz w:val="24"/>
          <w:szCs w:val="24"/>
        </w:rPr>
        <w:t>招标文件的组成</w:t>
      </w:r>
    </w:p>
    <w:p>
      <w:pPr>
        <w:pStyle w:val="13"/>
        <w:kinsoku w:val="0"/>
        <w:overflowPunct w:val="0"/>
        <w:spacing w:line="360" w:lineRule="auto"/>
        <w:ind w:left="479" w:firstLine="236" w:firstLineChars="1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本招标文件包括：</w:t>
      </w:r>
    </w:p>
    <w:p>
      <w:pPr>
        <w:pStyle w:val="13"/>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1</w:t>
      </w:r>
      <w:r>
        <w:rPr>
          <w:rFonts w:asciiTheme="minorEastAsia" w:hAnsiTheme="minorEastAsia" w:eastAsiaTheme="minorEastAsia" w:cstheme="minorEastAsia"/>
          <w:spacing w:val="-5"/>
          <w:sz w:val="24"/>
          <w:szCs w:val="24"/>
        </w:rPr>
        <w:t>）</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3"/>
          <w:sz w:val="24"/>
          <w:szCs w:val="24"/>
        </w:rPr>
        <w:t>标公告（</w:t>
      </w:r>
      <w:r>
        <w:rPr>
          <w:rFonts w:asciiTheme="minorEastAsia" w:hAnsiTheme="minorEastAsia" w:eastAsiaTheme="minorEastAsia" w:cstheme="minorEastAsia"/>
          <w:spacing w:val="-2"/>
          <w:sz w:val="24"/>
          <w:szCs w:val="24"/>
        </w:rPr>
        <w:t>或</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标邀</w:t>
      </w:r>
      <w:r>
        <w:rPr>
          <w:rFonts w:asciiTheme="minorEastAsia" w:hAnsiTheme="minorEastAsia" w:eastAsiaTheme="minorEastAsia" w:cstheme="minorEastAsia"/>
          <w:sz w:val="24"/>
          <w:szCs w:val="24"/>
        </w:rPr>
        <w:t>请书</w:t>
      </w:r>
      <w:r>
        <w:rPr>
          <w:rFonts w:asciiTheme="minorEastAsia" w:hAnsiTheme="minorEastAsia" w:eastAsiaTheme="minorEastAsia" w:cstheme="minorEastAsia"/>
          <w:spacing w:val="-111"/>
          <w:sz w:val="24"/>
          <w:szCs w:val="24"/>
        </w:rPr>
        <w:t>）</w:t>
      </w:r>
      <w:r>
        <w:rPr>
          <w:rFonts w:asciiTheme="minorEastAsia" w:hAnsiTheme="minorEastAsia" w:eastAsiaTheme="minorEastAsia" w:cstheme="minorEastAsia"/>
          <w:sz w:val="24"/>
          <w:szCs w:val="24"/>
        </w:rPr>
        <w:t>；</w:t>
      </w:r>
    </w:p>
    <w:p>
      <w:pPr>
        <w:pStyle w:val="13"/>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（2）投标人须知；</w:t>
      </w:r>
    </w:p>
    <w:p>
      <w:pPr>
        <w:pStyle w:val="13"/>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（3）评标办法；</w:t>
      </w:r>
    </w:p>
    <w:p>
      <w:pPr>
        <w:pStyle w:val="13"/>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（4）合同条款及格式；</w:t>
      </w:r>
    </w:p>
    <w:p>
      <w:pPr>
        <w:pStyle w:val="13"/>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（5）采购需求；</w:t>
      </w:r>
    </w:p>
    <w:p>
      <w:pPr>
        <w:pStyle w:val="13"/>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（6）投标文件格式；</w:t>
      </w:r>
    </w:p>
    <w:p>
      <w:pPr>
        <w:pStyle w:val="13"/>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（7）政府采购政策</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根据本章第</w:t>
      </w:r>
      <w:r>
        <w:rPr>
          <w:rFonts w:asciiTheme="minorEastAsia" w:hAnsiTheme="minorEastAsia" w:eastAsiaTheme="minorEastAsia" w:cstheme="minorEastAsia"/>
          <w:spacing w:val="-9"/>
          <w:sz w:val="24"/>
          <w:szCs w:val="24"/>
        </w:rPr>
        <w:t xml:space="preserve"> </w:t>
      </w:r>
      <w:r>
        <w:rPr>
          <w:rFonts w:asciiTheme="minorEastAsia" w:hAnsiTheme="minorEastAsia" w:eastAsiaTheme="minorEastAsia" w:cstheme="minorEastAsia"/>
          <w:spacing w:val="-2"/>
          <w:sz w:val="24"/>
          <w:szCs w:val="24"/>
        </w:rPr>
        <w:t>2.2 款和第</w:t>
      </w:r>
      <w:r>
        <w:rPr>
          <w:rFonts w:asciiTheme="minorEastAsia" w:hAnsiTheme="minorEastAsia" w:eastAsiaTheme="minorEastAsia" w:cstheme="minorEastAsia"/>
          <w:spacing w:val="-9"/>
          <w:sz w:val="24"/>
          <w:szCs w:val="24"/>
        </w:rPr>
        <w:t xml:space="preserve"> </w:t>
      </w:r>
      <w:r>
        <w:rPr>
          <w:rFonts w:asciiTheme="minorEastAsia" w:hAnsiTheme="minorEastAsia" w:eastAsiaTheme="minorEastAsia" w:cstheme="minorEastAsia"/>
          <w:spacing w:val="-1"/>
          <w:sz w:val="24"/>
          <w:szCs w:val="24"/>
        </w:rPr>
        <w:t>2.3</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款对招标文件所作的澄清、修改，构成招标文件的组成部分。</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2.2</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2"/>
          <w:sz w:val="24"/>
          <w:szCs w:val="24"/>
        </w:rPr>
        <w:t>招标文件的澄清</w:t>
      </w:r>
    </w:p>
    <w:p>
      <w:pPr>
        <w:pStyle w:val="13"/>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2.2.1 </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应仔细</w:t>
      </w:r>
      <w:r>
        <w:rPr>
          <w:rFonts w:asciiTheme="minorEastAsia" w:hAnsiTheme="minorEastAsia" w:eastAsiaTheme="minorEastAsia" w:cstheme="minorEastAsia"/>
          <w:spacing w:val="2"/>
          <w:sz w:val="24"/>
          <w:szCs w:val="24"/>
        </w:rPr>
        <w:t>阅</w:t>
      </w:r>
      <w:r>
        <w:rPr>
          <w:rFonts w:asciiTheme="minorEastAsia" w:hAnsiTheme="minorEastAsia" w:eastAsiaTheme="minorEastAsia" w:cstheme="minorEastAsia"/>
          <w:spacing w:val="-3"/>
          <w:sz w:val="24"/>
          <w:szCs w:val="24"/>
        </w:rPr>
        <w:t>读</w:t>
      </w:r>
      <w:r>
        <w:rPr>
          <w:rFonts w:asciiTheme="minorEastAsia" w:hAnsiTheme="minorEastAsia" w:eastAsiaTheme="minorEastAsia" w:cstheme="minorEastAsia"/>
          <w:sz w:val="24"/>
          <w:szCs w:val="24"/>
        </w:rPr>
        <w:t>和</w:t>
      </w:r>
      <w:r>
        <w:rPr>
          <w:rFonts w:asciiTheme="minorEastAsia" w:hAnsiTheme="minorEastAsia" w:eastAsiaTheme="minorEastAsia" w:cstheme="minorEastAsia"/>
          <w:spacing w:val="2"/>
          <w:sz w:val="24"/>
          <w:szCs w:val="24"/>
        </w:rPr>
        <w:t>检查</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3"/>
          <w:sz w:val="24"/>
          <w:szCs w:val="24"/>
        </w:rPr>
        <w:t>文</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z w:val="24"/>
          <w:szCs w:val="24"/>
        </w:rPr>
        <w:t>的全部内容</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pacing w:val="2"/>
          <w:sz w:val="24"/>
          <w:szCs w:val="24"/>
        </w:rPr>
        <w:t>如</w:t>
      </w:r>
      <w:r>
        <w:rPr>
          <w:rFonts w:asciiTheme="minorEastAsia" w:hAnsiTheme="minorEastAsia" w:eastAsiaTheme="minorEastAsia" w:cstheme="minorEastAsia"/>
          <w:spacing w:val="-3"/>
          <w:sz w:val="24"/>
          <w:szCs w:val="24"/>
        </w:rPr>
        <w:t>发</w:t>
      </w:r>
      <w:r>
        <w:rPr>
          <w:rFonts w:asciiTheme="minorEastAsia" w:hAnsiTheme="minorEastAsia" w:eastAsiaTheme="minorEastAsia" w:cstheme="minorEastAsia"/>
          <w:spacing w:val="2"/>
          <w:sz w:val="24"/>
          <w:szCs w:val="24"/>
        </w:rPr>
        <w:t>现</w:t>
      </w:r>
      <w:r>
        <w:rPr>
          <w:rFonts w:asciiTheme="minorEastAsia" w:hAnsiTheme="minorEastAsia" w:eastAsiaTheme="minorEastAsia" w:cstheme="minorEastAsia"/>
          <w:spacing w:val="-3"/>
          <w:sz w:val="24"/>
          <w:szCs w:val="24"/>
        </w:rPr>
        <w:t>缺</w:t>
      </w:r>
      <w:r>
        <w:rPr>
          <w:rFonts w:asciiTheme="minorEastAsia" w:hAnsiTheme="minorEastAsia" w:eastAsiaTheme="minorEastAsia" w:cstheme="minorEastAsia"/>
          <w:spacing w:val="2"/>
          <w:sz w:val="24"/>
          <w:szCs w:val="24"/>
        </w:rPr>
        <w:t>页</w:t>
      </w:r>
      <w:r>
        <w:rPr>
          <w:rFonts w:asciiTheme="minorEastAsia" w:hAnsiTheme="minorEastAsia" w:eastAsiaTheme="minorEastAsia" w:cstheme="minorEastAsia"/>
          <w:sz w:val="24"/>
          <w:szCs w:val="24"/>
        </w:rPr>
        <w:t>或附件不</w:t>
      </w:r>
      <w:r>
        <w:rPr>
          <w:rFonts w:asciiTheme="minorEastAsia" w:hAnsiTheme="minorEastAsia" w:eastAsiaTheme="minorEastAsia" w:cstheme="minorEastAsia"/>
          <w:spacing w:val="2"/>
          <w:sz w:val="24"/>
          <w:szCs w:val="24"/>
        </w:rPr>
        <w:t>全</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2"/>
          <w:sz w:val="24"/>
          <w:szCs w:val="24"/>
        </w:rPr>
        <w:t>及</w:t>
      </w:r>
      <w:r>
        <w:rPr>
          <w:rFonts w:asciiTheme="minorEastAsia" w:hAnsiTheme="minorEastAsia" w:eastAsiaTheme="minorEastAsia" w:cstheme="minorEastAsia"/>
          <w:spacing w:val="-3"/>
          <w:sz w:val="24"/>
          <w:szCs w:val="24"/>
        </w:rPr>
        <w:t>时</w:t>
      </w:r>
      <w:r>
        <w:rPr>
          <w:rFonts w:asciiTheme="minorEastAsia" w:hAnsiTheme="minorEastAsia" w:eastAsiaTheme="minorEastAsia" w:cstheme="minorEastAsia"/>
          <w:spacing w:val="2"/>
          <w:sz w:val="24"/>
          <w:szCs w:val="24"/>
        </w:rPr>
        <w:t>向</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人提出，以便补齐。如有质疑，应按投标人须知前附表规定的时间和形式将提出的问题送达招标人，要求招</w:t>
      </w:r>
      <w:r>
        <w:rPr>
          <w:rFonts w:asciiTheme="minorEastAsia" w:hAnsiTheme="minorEastAsia" w:eastAsiaTheme="minorEastAsia" w:cstheme="minorEastAsia"/>
          <w:spacing w:val="-3"/>
          <w:sz w:val="24"/>
          <w:szCs w:val="24"/>
        </w:rPr>
        <w:t>标人对招标文件予以澄清。</w:t>
      </w:r>
    </w:p>
    <w:p>
      <w:pPr>
        <w:pStyle w:val="13"/>
        <w:kinsoku w:val="0"/>
        <w:overflowPunct w:val="0"/>
        <w:spacing w:line="360" w:lineRule="auto"/>
        <w:ind w:left="0" w:firstLine="480" w:firstLineChars="20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2.2.2 </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4"/>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的</w:t>
      </w:r>
      <w:r>
        <w:rPr>
          <w:rFonts w:asciiTheme="minorEastAsia" w:hAnsiTheme="minorEastAsia" w:eastAsiaTheme="minorEastAsia" w:cstheme="minorEastAsia"/>
          <w:sz w:val="24"/>
          <w:szCs w:val="24"/>
        </w:rPr>
        <w:t>澄</w:t>
      </w:r>
      <w:r>
        <w:rPr>
          <w:rFonts w:asciiTheme="minorEastAsia" w:hAnsiTheme="minorEastAsia" w:eastAsiaTheme="minorEastAsia" w:cstheme="minorEastAsia"/>
          <w:spacing w:val="4"/>
          <w:sz w:val="24"/>
          <w:szCs w:val="24"/>
        </w:rPr>
        <w:t>清</w:t>
      </w:r>
      <w:r>
        <w:rPr>
          <w:rFonts w:asciiTheme="minorEastAsia" w:hAnsiTheme="minorEastAsia" w:eastAsiaTheme="minorEastAsia" w:cstheme="minorEastAsia"/>
          <w:sz w:val="24"/>
          <w:szCs w:val="24"/>
        </w:rPr>
        <w:t>以投</w:t>
      </w:r>
      <w:r>
        <w:rPr>
          <w:rFonts w:asciiTheme="minorEastAsia" w:hAnsiTheme="minorEastAsia" w:eastAsiaTheme="minorEastAsia" w:cstheme="minorEastAsia"/>
          <w:spacing w:val="4"/>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2"/>
          <w:sz w:val="24"/>
          <w:szCs w:val="24"/>
        </w:rPr>
        <w:t>知</w:t>
      </w:r>
      <w:r>
        <w:rPr>
          <w:rFonts w:asciiTheme="minorEastAsia" w:hAnsiTheme="minorEastAsia" w:eastAsiaTheme="minorEastAsia" w:cstheme="minorEastAsia"/>
          <w:sz w:val="24"/>
          <w:szCs w:val="24"/>
        </w:rPr>
        <w:t>前</w:t>
      </w:r>
      <w:r>
        <w:rPr>
          <w:rFonts w:asciiTheme="minorEastAsia" w:hAnsiTheme="minorEastAsia" w:eastAsiaTheme="minorEastAsia" w:cstheme="minorEastAsia"/>
          <w:spacing w:val="4"/>
          <w:sz w:val="24"/>
          <w:szCs w:val="24"/>
        </w:rPr>
        <w:t>附</w:t>
      </w:r>
      <w:r>
        <w:rPr>
          <w:rFonts w:asciiTheme="minorEastAsia" w:hAnsiTheme="minorEastAsia" w:eastAsiaTheme="minorEastAsia" w:cstheme="minorEastAsia"/>
          <w:sz w:val="24"/>
          <w:szCs w:val="24"/>
        </w:rPr>
        <w:t>表</w:t>
      </w:r>
      <w:r>
        <w:rPr>
          <w:rFonts w:asciiTheme="minorEastAsia" w:hAnsiTheme="minorEastAsia" w:eastAsiaTheme="minorEastAsia" w:cstheme="minorEastAsia"/>
          <w:spacing w:val="2"/>
          <w:sz w:val="24"/>
          <w:szCs w:val="24"/>
        </w:rPr>
        <w:t>规</w:t>
      </w:r>
      <w:r>
        <w:rPr>
          <w:rFonts w:asciiTheme="minorEastAsia" w:hAnsiTheme="minorEastAsia" w:eastAsiaTheme="minorEastAsia" w:cstheme="minorEastAsia"/>
          <w:sz w:val="24"/>
          <w:szCs w:val="24"/>
        </w:rPr>
        <w:t>定</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z w:val="24"/>
          <w:szCs w:val="24"/>
        </w:rPr>
        <w:t>形</w:t>
      </w:r>
      <w:r>
        <w:rPr>
          <w:rFonts w:asciiTheme="minorEastAsia" w:hAnsiTheme="minorEastAsia" w:eastAsiaTheme="minorEastAsia" w:cstheme="minorEastAsia"/>
          <w:spacing w:val="4"/>
          <w:sz w:val="24"/>
          <w:szCs w:val="24"/>
        </w:rPr>
        <w:t>式</w:t>
      </w:r>
      <w:r>
        <w:rPr>
          <w:rFonts w:asciiTheme="minorEastAsia" w:hAnsiTheme="minorEastAsia" w:eastAsiaTheme="minorEastAsia" w:cstheme="minorEastAsia"/>
          <w:spacing w:val="2"/>
          <w:sz w:val="24"/>
          <w:szCs w:val="24"/>
        </w:rPr>
        <w:t>发</w:t>
      </w:r>
      <w:r>
        <w:rPr>
          <w:rFonts w:asciiTheme="minorEastAsia" w:hAnsiTheme="minorEastAsia" w:eastAsiaTheme="minorEastAsia" w:cstheme="minorEastAsia"/>
          <w:sz w:val="24"/>
          <w:szCs w:val="24"/>
        </w:rPr>
        <w:t>给</w:t>
      </w:r>
      <w:r>
        <w:rPr>
          <w:rFonts w:asciiTheme="minorEastAsia" w:hAnsiTheme="minorEastAsia" w:eastAsiaTheme="minorEastAsia" w:cstheme="minorEastAsia"/>
          <w:spacing w:val="2"/>
          <w:sz w:val="24"/>
          <w:szCs w:val="24"/>
        </w:rPr>
        <w:t>所</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z w:val="24"/>
          <w:szCs w:val="24"/>
        </w:rPr>
        <w:t>买</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2"/>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4"/>
          <w:sz w:val="24"/>
          <w:szCs w:val="24"/>
        </w:rPr>
        <w:t>的</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z w:val="24"/>
          <w:szCs w:val="24"/>
        </w:rPr>
        <w:t>标人</w:t>
      </w:r>
      <w:r>
        <w:rPr>
          <w:rFonts w:asciiTheme="minorEastAsia" w:hAnsiTheme="minorEastAsia" w:eastAsiaTheme="minorEastAsia" w:cstheme="minorEastAsia"/>
          <w:spacing w:val="-20"/>
          <w:sz w:val="24"/>
          <w:szCs w:val="24"/>
        </w:rPr>
        <w:t>，</w:t>
      </w:r>
      <w:r>
        <w:rPr>
          <w:rFonts w:asciiTheme="minorEastAsia" w:hAnsiTheme="minorEastAsia" w:eastAsiaTheme="minorEastAsia" w:cstheme="minorEastAsia"/>
          <w:spacing w:val="2"/>
          <w:sz w:val="24"/>
          <w:szCs w:val="24"/>
        </w:rPr>
        <w:t>但</w:t>
      </w:r>
      <w:r>
        <w:rPr>
          <w:rFonts w:asciiTheme="minorEastAsia" w:hAnsiTheme="minorEastAsia" w:eastAsiaTheme="minorEastAsia" w:cstheme="minorEastAsia"/>
          <w:spacing w:val="4"/>
          <w:sz w:val="24"/>
          <w:szCs w:val="24"/>
        </w:rPr>
        <w:t>不</w:t>
      </w:r>
      <w:r>
        <w:rPr>
          <w:rFonts w:asciiTheme="minorEastAsia" w:hAnsiTheme="minorEastAsia" w:eastAsiaTheme="minorEastAsia" w:cstheme="minorEastAsia"/>
          <w:spacing w:val="3"/>
          <w:sz w:val="24"/>
          <w:szCs w:val="24"/>
        </w:rPr>
        <w:t>指</w:t>
      </w:r>
      <w:r>
        <w:rPr>
          <w:rFonts w:asciiTheme="minorEastAsia" w:hAnsiTheme="minorEastAsia" w:eastAsiaTheme="minorEastAsia" w:cstheme="minorEastAsia"/>
          <w:sz w:val="24"/>
          <w:szCs w:val="24"/>
        </w:rPr>
        <w:t>明</w:t>
      </w:r>
      <w:r>
        <w:rPr>
          <w:rFonts w:asciiTheme="minorEastAsia" w:hAnsiTheme="minorEastAsia" w:eastAsiaTheme="minorEastAsia" w:cstheme="minorEastAsia"/>
          <w:spacing w:val="-2"/>
          <w:position w:val="1"/>
          <w:sz w:val="24"/>
          <w:szCs w:val="24"/>
        </w:rPr>
        <w:t xml:space="preserve">澄清问题的来源。澄清发出的时间距本章第 </w:t>
      </w:r>
      <w:r>
        <w:rPr>
          <w:rFonts w:asciiTheme="minorEastAsia" w:hAnsiTheme="minorEastAsia" w:eastAsiaTheme="minorEastAsia" w:cstheme="minorEastAsia"/>
          <w:spacing w:val="-1"/>
          <w:position w:val="1"/>
          <w:sz w:val="24"/>
          <w:szCs w:val="24"/>
        </w:rPr>
        <w:t>4.2.1</w:t>
      </w:r>
      <w:r>
        <w:rPr>
          <w:rFonts w:asciiTheme="minorEastAsia" w:hAnsiTheme="minorEastAsia" w:eastAsiaTheme="minorEastAsia" w:cstheme="minorEastAsia"/>
          <w:spacing w:val="5"/>
          <w:position w:val="1"/>
          <w:sz w:val="24"/>
          <w:szCs w:val="24"/>
        </w:rPr>
        <w:t xml:space="preserve"> </w:t>
      </w:r>
      <w:r>
        <w:rPr>
          <w:rFonts w:asciiTheme="minorEastAsia" w:hAnsiTheme="minorEastAsia" w:eastAsiaTheme="minorEastAsia" w:cstheme="minorEastAsia"/>
          <w:spacing w:val="-2"/>
          <w:position w:val="1"/>
          <w:sz w:val="24"/>
          <w:szCs w:val="24"/>
        </w:rPr>
        <w:t>项规定的投标截止时间不足</w:t>
      </w:r>
      <w:r>
        <w:rPr>
          <w:rFonts w:asciiTheme="minorEastAsia" w:hAnsiTheme="minorEastAsia" w:eastAsiaTheme="minorEastAsia" w:cstheme="minorEastAsia"/>
          <w:position w:val="1"/>
          <w:sz w:val="24"/>
          <w:szCs w:val="24"/>
        </w:rPr>
        <w:t>15</w:t>
      </w:r>
      <w:r>
        <w:rPr>
          <w:rFonts w:asciiTheme="minorEastAsia" w:hAnsiTheme="minorEastAsia" w:eastAsiaTheme="minorEastAsia" w:cstheme="minorEastAsia"/>
          <w:spacing w:val="-3"/>
          <w:position w:val="1"/>
          <w:sz w:val="24"/>
          <w:szCs w:val="24"/>
        </w:rPr>
        <w:t>日的，</w:t>
      </w:r>
      <w:r>
        <w:rPr>
          <w:rFonts w:asciiTheme="minorEastAsia" w:hAnsiTheme="minorEastAsia" w:eastAsiaTheme="minorEastAsia" w:cstheme="minorEastAsia"/>
          <w:spacing w:val="-3"/>
          <w:sz w:val="24"/>
          <w:szCs w:val="24"/>
        </w:rPr>
        <w:t>并且澄清内容可能影响投标文件编制的，将相应延长投标截止时间。</w:t>
      </w:r>
    </w:p>
    <w:p>
      <w:pPr>
        <w:pStyle w:val="13"/>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2.2.3</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投标人在收到澄清后，应按投标人须知前附表规定的时间和形式通知招标人，确认已</w:t>
      </w:r>
      <w:r>
        <w:rPr>
          <w:rFonts w:asciiTheme="minorEastAsia" w:hAnsiTheme="minorEastAsia" w:eastAsiaTheme="minorEastAsia" w:cstheme="minorEastAsia"/>
          <w:spacing w:val="4"/>
          <w:sz w:val="24"/>
          <w:szCs w:val="24"/>
        </w:rPr>
        <w:t>收到</w:t>
      </w:r>
      <w:r>
        <w:rPr>
          <w:rFonts w:asciiTheme="minorEastAsia" w:hAnsiTheme="minorEastAsia" w:eastAsiaTheme="minorEastAsia" w:cstheme="minorEastAsia"/>
          <w:spacing w:val="-1"/>
          <w:sz w:val="24"/>
          <w:szCs w:val="24"/>
        </w:rPr>
        <w:t>该澄清。</w:t>
      </w:r>
    </w:p>
    <w:p>
      <w:pPr>
        <w:pStyle w:val="13"/>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2.2.4</w:t>
      </w:r>
      <w:r>
        <w:rPr>
          <w:rFonts w:asciiTheme="minorEastAsia" w:hAnsiTheme="minorEastAsia" w:eastAsiaTheme="minorEastAsia" w:cstheme="minorEastAsia"/>
          <w:spacing w:val="50"/>
          <w:sz w:val="24"/>
          <w:szCs w:val="24"/>
        </w:rPr>
        <w:t xml:space="preserve"> </w:t>
      </w:r>
      <w:r>
        <w:rPr>
          <w:rFonts w:asciiTheme="minorEastAsia" w:hAnsiTheme="minorEastAsia" w:eastAsiaTheme="minorEastAsia" w:cstheme="minorEastAsia"/>
          <w:spacing w:val="-1"/>
          <w:sz w:val="24"/>
          <w:szCs w:val="24"/>
        </w:rPr>
        <w:t>除非招标人认为确有必要答复，否则，招标人有权拒绝回复投标人在本章第</w:t>
      </w:r>
      <w:r>
        <w:rPr>
          <w:rFonts w:asciiTheme="minorEastAsia" w:hAnsiTheme="minorEastAsia" w:eastAsiaTheme="minorEastAsia" w:cstheme="minorEastAsia"/>
          <w:spacing w:val="-2"/>
          <w:sz w:val="24"/>
          <w:szCs w:val="24"/>
        </w:rPr>
        <w:t>2.2.1</w:t>
      </w:r>
      <w:r>
        <w:rPr>
          <w:rFonts w:asciiTheme="minorEastAsia" w:hAnsiTheme="minorEastAsia" w:eastAsiaTheme="minorEastAsia" w:cstheme="minorEastAsia"/>
          <w:spacing w:val="15"/>
          <w:sz w:val="24"/>
          <w:szCs w:val="24"/>
        </w:rPr>
        <w:t xml:space="preserve"> </w:t>
      </w:r>
      <w:r>
        <w:rPr>
          <w:rFonts w:asciiTheme="minorEastAsia" w:hAnsiTheme="minorEastAsia" w:eastAsiaTheme="minorEastAsia" w:cstheme="minorEastAsia"/>
          <w:sz w:val="24"/>
          <w:szCs w:val="24"/>
        </w:rPr>
        <w:t>项规定</w:t>
      </w:r>
      <w:r>
        <w:rPr>
          <w:rFonts w:asciiTheme="minorEastAsia" w:hAnsiTheme="minorEastAsia" w:eastAsiaTheme="minorEastAsia" w:cstheme="minorEastAsia"/>
          <w:spacing w:val="-3"/>
          <w:sz w:val="24"/>
          <w:szCs w:val="24"/>
        </w:rPr>
        <w:t>的时间后的任何澄清要求。</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2.3</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2"/>
          <w:sz w:val="24"/>
          <w:szCs w:val="24"/>
        </w:rPr>
        <w:t>招标文件的修改</w:t>
      </w:r>
    </w:p>
    <w:p>
      <w:pPr>
        <w:pStyle w:val="13"/>
        <w:kinsoku w:val="0"/>
        <w:overflowPunct w:val="0"/>
        <w:spacing w:line="360" w:lineRule="auto"/>
        <w:ind w:left="19" w:firstLine="518" w:firstLineChars="216"/>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2.3.1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以</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3"/>
          <w:sz w:val="24"/>
          <w:szCs w:val="24"/>
        </w:rPr>
        <w:t>须知</w:t>
      </w:r>
      <w:r>
        <w:rPr>
          <w:rFonts w:asciiTheme="minorEastAsia" w:hAnsiTheme="minorEastAsia" w:eastAsiaTheme="minorEastAsia" w:cstheme="minorEastAsia"/>
          <w:sz w:val="24"/>
          <w:szCs w:val="24"/>
        </w:rPr>
        <w:t>前</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z w:val="24"/>
          <w:szCs w:val="24"/>
        </w:rPr>
        <w:t>规</w:t>
      </w:r>
      <w:r>
        <w:rPr>
          <w:rFonts w:asciiTheme="minorEastAsia" w:hAnsiTheme="minorEastAsia" w:eastAsiaTheme="minorEastAsia" w:cstheme="minorEastAsia"/>
          <w:spacing w:val="-3"/>
          <w:sz w:val="24"/>
          <w:szCs w:val="24"/>
        </w:rPr>
        <w:t>定</w:t>
      </w:r>
      <w:r>
        <w:rPr>
          <w:rFonts w:asciiTheme="minorEastAsia" w:hAnsiTheme="minorEastAsia" w:eastAsiaTheme="minorEastAsia" w:cstheme="minorEastAsia"/>
          <w:sz w:val="24"/>
          <w:szCs w:val="24"/>
        </w:rPr>
        <w:t>的</w:t>
      </w:r>
      <w:r>
        <w:rPr>
          <w:rFonts w:asciiTheme="minorEastAsia" w:hAnsiTheme="minorEastAsia" w:eastAsiaTheme="minorEastAsia" w:cstheme="minorEastAsia"/>
          <w:spacing w:val="-2"/>
          <w:sz w:val="24"/>
          <w:szCs w:val="24"/>
        </w:rPr>
        <w:t>形</w:t>
      </w:r>
      <w:r>
        <w:rPr>
          <w:rFonts w:asciiTheme="minorEastAsia" w:hAnsiTheme="minorEastAsia" w:eastAsiaTheme="minorEastAsia" w:cstheme="minorEastAsia"/>
          <w:sz w:val="24"/>
          <w:szCs w:val="24"/>
        </w:rPr>
        <w:t>式</w:t>
      </w:r>
      <w:r>
        <w:rPr>
          <w:rFonts w:asciiTheme="minorEastAsia" w:hAnsiTheme="minorEastAsia" w:eastAsiaTheme="minorEastAsia" w:cstheme="minorEastAsia"/>
          <w:spacing w:val="-3"/>
          <w:sz w:val="24"/>
          <w:szCs w:val="24"/>
        </w:rPr>
        <w:t>修</w:t>
      </w:r>
      <w:r>
        <w:rPr>
          <w:rFonts w:asciiTheme="minorEastAsia" w:hAnsiTheme="minorEastAsia" w:eastAsiaTheme="minorEastAsia" w:cstheme="minorEastAsia"/>
          <w:sz w:val="24"/>
          <w:szCs w:val="24"/>
        </w:rPr>
        <w:t>改</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z w:val="24"/>
          <w:szCs w:val="24"/>
        </w:rPr>
        <w:t>标文件</w:t>
      </w:r>
      <w:r>
        <w:rPr>
          <w:rFonts w:asciiTheme="minorEastAsia" w:hAnsiTheme="minorEastAsia" w:eastAsiaTheme="minorEastAsia" w:cstheme="minorEastAsia"/>
          <w:spacing w:val="-24"/>
          <w:sz w:val="24"/>
          <w:szCs w:val="24"/>
        </w:rPr>
        <w:t>，</w:t>
      </w:r>
      <w:r>
        <w:rPr>
          <w:rFonts w:asciiTheme="minorEastAsia" w:hAnsiTheme="minorEastAsia" w:eastAsiaTheme="minorEastAsia" w:cstheme="minorEastAsia"/>
          <w:sz w:val="24"/>
          <w:szCs w:val="24"/>
        </w:rPr>
        <w:t>并</w:t>
      </w:r>
      <w:r>
        <w:rPr>
          <w:rFonts w:asciiTheme="minorEastAsia" w:hAnsiTheme="minorEastAsia" w:eastAsiaTheme="minorEastAsia" w:cstheme="minorEastAsia"/>
          <w:spacing w:val="-3"/>
          <w:sz w:val="24"/>
          <w:szCs w:val="24"/>
        </w:rPr>
        <w:t>通</w:t>
      </w:r>
      <w:r>
        <w:rPr>
          <w:rFonts w:asciiTheme="minorEastAsia" w:hAnsiTheme="minorEastAsia" w:eastAsiaTheme="minorEastAsia" w:cstheme="minorEastAsia"/>
          <w:sz w:val="24"/>
          <w:szCs w:val="24"/>
        </w:rPr>
        <w:t>知</w:t>
      </w:r>
      <w:r>
        <w:rPr>
          <w:rFonts w:asciiTheme="minorEastAsia" w:hAnsiTheme="minorEastAsia" w:eastAsiaTheme="minorEastAsia" w:cstheme="minorEastAsia"/>
          <w:spacing w:val="-3"/>
          <w:sz w:val="24"/>
          <w:szCs w:val="24"/>
        </w:rPr>
        <w:t>所</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3"/>
          <w:sz w:val="24"/>
          <w:szCs w:val="24"/>
        </w:rPr>
        <w:t>已购</w:t>
      </w:r>
      <w:r>
        <w:rPr>
          <w:rFonts w:asciiTheme="minorEastAsia" w:hAnsiTheme="minorEastAsia" w:eastAsiaTheme="minorEastAsia" w:cstheme="minorEastAsia"/>
          <w:sz w:val="24"/>
          <w:szCs w:val="24"/>
        </w:rPr>
        <w:t>买招标文</w:t>
      </w:r>
      <w:r>
        <w:rPr>
          <w:rFonts w:asciiTheme="minorEastAsia" w:hAnsiTheme="minorEastAsia" w:eastAsiaTheme="minorEastAsia" w:cstheme="minorEastAsia"/>
          <w:spacing w:val="-3"/>
          <w:sz w:val="24"/>
          <w:szCs w:val="24"/>
        </w:rPr>
        <w:t>件</w:t>
      </w:r>
      <w:r>
        <w:rPr>
          <w:rFonts w:asciiTheme="minorEastAsia" w:hAnsiTheme="minorEastAsia" w:eastAsiaTheme="minorEastAsia" w:cstheme="minorEastAsia"/>
          <w:sz w:val="24"/>
          <w:szCs w:val="24"/>
        </w:rPr>
        <w:t>的投标人。</w:t>
      </w:r>
      <w:r>
        <w:rPr>
          <w:rFonts w:asciiTheme="minorEastAsia" w:hAnsiTheme="minorEastAsia" w:eastAsiaTheme="minorEastAsia" w:cstheme="minorEastAsia"/>
          <w:spacing w:val="-2"/>
          <w:sz w:val="24"/>
          <w:szCs w:val="24"/>
        </w:rPr>
        <w:t>修改招标文件的时间距本章第4.2.1项规定的投标截止时间不足</w:t>
      </w:r>
      <w:r>
        <w:rPr>
          <w:rFonts w:asciiTheme="minorEastAsia" w:hAnsiTheme="minorEastAsia" w:eastAsiaTheme="minorEastAsia" w:cstheme="minorEastAsia"/>
          <w:sz w:val="24"/>
          <w:szCs w:val="24"/>
        </w:rPr>
        <w:t>15</w:t>
      </w:r>
      <w:r>
        <w:rPr>
          <w:rFonts w:asciiTheme="minorEastAsia" w:hAnsiTheme="minorEastAsia" w:eastAsiaTheme="minorEastAsia" w:cstheme="minorEastAsia"/>
          <w:spacing w:val="-3"/>
          <w:sz w:val="24"/>
          <w:szCs w:val="24"/>
        </w:rPr>
        <w:t>日的，并且修改内容可能影响投标文件编制的，将相应延长投标截止时间。</w:t>
      </w:r>
    </w:p>
    <w:p>
      <w:pPr>
        <w:pStyle w:val="13"/>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 xml:space="preserve">2.3.2 </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收到修</w:t>
      </w:r>
      <w:r>
        <w:rPr>
          <w:rFonts w:asciiTheme="minorEastAsia" w:hAnsiTheme="minorEastAsia" w:eastAsiaTheme="minorEastAsia" w:cstheme="minorEastAsia"/>
          <w:spacing w:val="2"/>
          <w:sz w:val="24"/>
          <w:szCs w:val="24"/>
        </w:rPr>
        <w:t>改</w:t>
      </w:r>
      <w:r>
        <w:rPr>
          <w:rFonts w:asciiTheme="minorEastAsia" w:hAnsiTheme="minorEastAsia" w:eastAsiaTheme="minorEastAsia" w:cstheme="minorEastAsia"/>
          <w:spacing w:val="-3"/>
          <w:sz w:val="24"/>
          <w:szCs w:val="24"/>
        </w:rPr>
        <w:t>内</w:t>
      </w:r>
      <w:r>
        <w:rPr>
          <w:rFonts w:asciiTheme="minorEastAsia" w:hAnsiTheme="minorEastAsia" w:eastAsiaTheme="minorEastAsia" w:cstheme="minorEastAsia"/>
          <w:sz w:val="24"/>
          <w:szCs w:val="24"/>
        </w:rPr>
        <w:t>容</w:t>
      </w:r>
      <w:r>
        <w:rPr>
          <w:rFonts w:asciiTheme="minorEastAsia" w:hAnsiTheme="minorEastAsia" w:eastAsiaTheme="minorEastAsia" w:cstheme="minorEastAsia"/>
          <w:spacing w:val="2"/>
          <w:sz w:val="24"/>
          <w:szCs w:val="24"/>
        </w:rPr>
        <w:t>后</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pacing w:val="-3"/>
          <w:sz w:val="24"/>
          <w:szCs w:val="24"/>
        </w:rPr>
        <w:t>应</w:t>
      </w:r>
      <w:r>
        <w:rPr>
          <w:rFonts w:asciiTheme="minorEastAsia" w:hAnsiTheme="minorEastAsia" w:eastAsiaTheme="minorEastAsia" w:cstheme="minorEastAsia"/>
          <w:spacing w:val="2"/>
          <w:sz w:val="24"/>
          <w:szCs w:val="24"/>
        </w:rPr>
        <w:t>按</w:t>
      </w:r>
      <w:r>
        <w:rPr>
          <w:rFonts w:asciiTheme="minorEastAsia" w:hAnsiTheme="minorEastAsia" w:eastAsiaTheme="minorEastAsia" w:cstheme="minorEastAsia"/>
          <w:sz w:val="24"/>
          <w:szCs w:val="24"/>
        </w:rPr>
        <w:t>投标人</w:t>
      </w:r>
      <w:r>
        <w:rPr>
          <w:rFonts w:asciiTheme="minorEastAsia" w:hAnsiTheme="minorEastAsia" w:eastAsiaTheme="minorEastAsia" w:cstheme="minorEastAsia"/>
          <w:spacing w:val="2"/>
          <w:sz w:val="24"/>
          <w:szCs w:val="24"/>
        </w:rPr>
        <w:t>须</w:t>
      </w:r>
      <w:r>
        <w:rPr>
          <w:rFonts w:asciiTheme="minorEastAsia" w:hAnsiTheme="minorEastAsia" w:eastAsiaTheme="minorEastAsia" w:cstheme="minorEastAsia"/>
          <w:spacing w:val="-3"/>
          <w:sz w:val="24"/>
          <w:szCs w:val="24"/>
        </w:rPr>
        <w:t>知</w:t>
      </w:r>
      <w:r>
        <w:rPr>
          <w:rFonts w:asciiTheme="minorEastAsia" w:hAnsiTheme="minorEastAsia" w:eastAsiaTheme="minorEastAsia" w:cstheme="minorEastAsia"/>
          <w:sz w:val="24"/>
          <w:szCs w:val="24"/>
        </w:rPr>
        <w:t>前附</w:t>
      </w:r>
      <w:r>
        <w:rPr>
          <w:rFonts w:asciiTheme="minorEastAsia" w:hAnsiTheme="minorEastAsia" w:eastAsiaTheme="minorEastAsia" w:cstheme="minorEastAsia"/>
          <w:spacing w:val="2"/>
          <w:sz w:val="24"/>
          <w:szCs w:val="24"/>
        </w:rPr>
        <w:t>表规</w:t>
      </w:r>
      <w:r>
        <w:rPr>
          <w:rFonts w:asciiTheme="minorEastAsia" w:hAnsiTheme="minorEastAsia" w:eastAsiaTheme="minorEastAsia" w:cstheme="minorEastAsia"/>
          <w:spacing w:val="-3"/>
          <w:sz w:val="24"/>
          <w:szCs w:val="24"/>
        </w:rPr>
        <w:t>定</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3"/>
          <w:sz w:val="24"/>
          <w:szCs w:val="24"/>
        </w:rPr>
        <w:t>时</w:t>
      </w:r>
      <w:r>
        <w:rPr>
          <w:rFonts w:asciiTheme="minorEastAsia" w:hAnsiTheme="minorEastAsia" w:eastAsiaTheme="minorEastAsia" w:cstheme="minorEastAsia"/>
          <w:spacing w:val="2"/>
          <w:sz w:val="24"/>
          <w:szCs w:val="24"/>
        </w:rPr>
        <w:t>间</w:t>
      </w:r>
      <w:r>
        <w:rPr>
          <w:rFonts w:asciiTheme="minorEastAsia" w:hAnsiTheme="minorEastAsia" w:eastAsiaTheme="minorEastAsia" w:cstheme="minorEastAsia"/>
          <w:sz w:val="24"/>
          <w:szCs w:val="24"/>
        </w:rPr>
        <w:t>和形式通知</w:t>
      </w:r>
      <w:r>
        <w:rPr>
          <w:rFonts w:asciiTheme="minorEastAsia" w:hAnsiTheme="minorEastAsia" w:eastAsiaTheme="minorEastAsia" w:cstheme="minorEastAsia"/>
          <w:spacing w:val="2"/>
          <w:sz w:val="24"/>
          <w:szCs w:val="24"/>
        </w:rPr>
        <w:t>招标</w:t>
      </w:r>
      <w:r>
        <w:rPr>
          <w:rFonts w:asciiTheme="minorEastAsia" w:hAnsiTheme="minorEastAsia" w:eastAsiaTheme="minorEastAsia" w:cstheme="minorEastAsia"/>
          <w:spacing w:val="-3"/>
          <w:sz w:val="24"/>
          <w:szCs w:val="24"/>
        </w:rPr>
        <w:t>人</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z w:val="24"/>
          <w:szCs w:val="24"/>
        </w:rPr>
        <w:t>确认已</w:t>
      </w:r>
      <w:r>
        <w:rPr>
          <w:rFonts w:asciiTheme="minorEastAsia" w:hAnsiTheme="minorEastAsia" w:eastAsiaTheme="minorEastAsia" w:cstheme="minorEastAsia"/>
          <w:spacing w:val="2"/>
          <w:sz w:val="24"/>
          <w:szCs w:val="24"/>
        </w:rPr>
        <w:t>收</w:t>
      </w:r>
      <w:r>
        <w:rPr>
          <w:rFonts w:asciiTheme="minorEastAsia" w:hAnsiTheme="minorEastAsia" w:eastAsiaTheme="minorEastAsia" w:cstheme="minorEastAsia"/>
          <w:sz w:val="24"/>
          <w:szCs w:val="24"/>
        </w:rPr>
        <w:t>到</w:t>
      </w:r>
      <w:r>
        <w:rPr>
          <w:rFonts w:asciiTheme="minorEastAsia" w:hAnsiTheme="minorEastAsia" w:eastAsiaTheme="minorEastAsia" w:cstheme="minorEastAsia"/>
          <w:spacing w:val="-3"/>
          <w:sz w:val="24"/>
          <w:szCs w:val="24"/>
        </w:rPr>
        <w:t>该修改。</w:t>
      </w:r>
    </w:p>
    <w:p>
      <w:pPr>
        <w:pStyle w:val="4"/>
        <w:kinsoku w:val="0"/>
        <w:overflowPunct w:val="0"/>
        <w:spacing w:line="360" w:lineRule="auto"/>
        <w:ind w:left="0" w:right="47"/>
        <w:jc w:val="center"/>
        <w:rPr>
          <w:rFonts w:hint="default" w:asciiTheme="minorEastAsia" w:hAnsiTheme="minorEastAsia" w:eastAsiaTheme="minorEastAsia" w:cstheme="minorEastAsia"/>
          <w:b w:val="0"/>
          <w:sz w:val="30"/>
          <w:szCs w:val="30"/>
        </w:rPr>
      </w:pPr>
      <w:bookmarkStart w:id="23" w:name="bookmark6"/>
      <w:bookmarkEnd w:id="23"/>
      <w:r>
        <w:rPr>
          <w:rFonts w:asciiTheme="minorEastAsia" w:hAnsiTheme="minorEastAsia" w:eastAsiaTheme="minorEastAsia" w:cstheme="minorEastAsia"/>
          <w:sz w:val="30"/>
          <w:szCs w:val="30"/>
        </w:rPr>
        <w:t>3.</w:t>
      </w:r>
      <w:r>
        <w:rPr>
          <w:rFonts w:asciiTheme="minorEastAsia" w:hAnsiTheme="minorEastAsia" w:eastAsiaTheme="minorEastAsia" w:cstheme="minorEastAsia"/>
          <w:spacing w:val="62"/>
          <w:sz w:val="30"/>
          <w:szCs w:val="30"/>
        </w:rPr>
        <w:t xml:space="preserve"> </w:t>
      </w:r>
      <w:r>
        <w:rPr>
          <w:rFonts w:asciiTheme="minorEastAsia" w:hAnsiTheme="minorEastAsia" w:eastAsiaTheme="minorEastAsia" w:cstheme="minorEastAsia"/>
          <w:spacing w:val="4"/>
          <w:sz w:val="30"/>
          <w:szCs w:val="30"/>
        </w:rPr>
        <w:t>投标文件</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3.1</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2"/>
          <w:sz w:val="24"/>
          <w:szCs w:val="24"/>
        </w:rPr>
        <w:t>投标文件的组成</w:t>
      </w:r>
    </w:p>
    <w:p>
      <w:pPr>
        <w:pStyle w:val="13"/>
        <w:kinsoku w:val="0"/>
        <w:overflowPunct w:val="0"/>
        <w:spacing w:line="360" w:lineRule="auto"/>
        <w:ind w:right="110"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详见第六章投标文件格式。</w:t>
      </w:r>
    </w:p>
    <w:p>
      <w:pPr>
        <w:pStyle w:val="13"/>
        <w:kinsoku w:val="0"/>
        <w:overflowPunct w:val="0"/>
        <w:spacing w:line="360" w:lineRule="auto"/>
        <w:ind w:right="1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投标人在评标过程中作出的符合法律法规和招标文件规定的澄清、说明、补正，构成投标文件的组</w:t>
      </w:r>
      <w:r>
        <w:rPr>
          <w:rFonts w:asciiTheme="minorEastAsia" w:hAnsiTheme="minorEastAsia" w:eastAsiaTheme="minorEastAsia" w:cstheme="minorEastAsia"/>
          <w:spacing w:val="-2"/>
          <w:sz w:val="24"/>
          <w:szCs w:val="24"/>
        </w:rPr>
        <w:t>成部分。</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3.2</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1"/>
          <w:sz w:val="24"/>
          <w:szCs w:val="24"/>
        </w:rPr>
        <w:t>投标报价</w:t>
      </w:r>
    </w:p>
    <w:p>
      <w:pPr>
        <w:pStyle w:val="13"/>
        <w:kinsoku w:val="0"/>
        <w:overflowPunct w:val="0"/>
        <w:spacing w:line="360" w:lineRule="auto"/>
        <w:ind w:right="105"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3.2.1 </w:t>
      </w:r>
      <w:r>
        <w:rPr>
          <w:rFonts w:asciiTheme="minorEastAsia" w:hAnsiTheme="minorEastAsia" w:eastAsiaTheme="minorEastAsia" w:cstheme="minorEastAsia"/>
          <w:spacing w:val="1"/>
          <w:sz w:val="24"/>
          <w:szCs w:val="24"/>
        </w:rPr>
        <w:t>投标报价应包括国家规定的税金。投标人应按第六章“投标文件格式”的要求在投标函及开</w:t>
      </w:r>
      <w:r>
        <w:rPr>
          <w:rFonts w:asciiTheme="minorEastAsia" w:hAnsiTheme="minorEastAsia" w:eastAsiaTheme="minorEastAsia" w:cstheme="minorEastAsia"/>
          <w:spacing w:val="-2"/>
          <w:sz w:val="24"/>
          <w:szCs w:val="24"/>
        </w:rPr>
        <w:t>标一览表中进行报价并填写分项报价表。</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投标人应充分了解该项目的总体情况以及影响投标报价的其他要素。</w:t>
      </w:r>
    </w:p>
    <w:p>
      <w:pPr>
        <w:pStyle w:val="13"/>
        <w:kinsoku w:val="0"/>
        <w:overflowPunct w:val="0"/>
        <w:spacing w:line="360" w:lineRule="auto"/>
        <w:ind w:right="10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3.2.3</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4"/>
          <w:sz w:val="24"/>
          <w:szCs w:val="24"/>
        </w:rPr>
        <w:t>投</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4"/>
          <w:sz w:val="24"/>
          <w:szCs w:val="24"/>
        </w:rPr>
        <w:t>报</w:t>
      </w:r>
      <w:r>
        <w:rPr>
          <w:rFonts w:asciiTheme="minorEastAsia" w:hAnsiTheme="minorEastAsia" w:eastAsiaTheme="minorEastAsia" w:cstheme="minorEastAsia"/>
          <w:sz w:val="24"/>
          <w:szCs w:val="24"/>
        </w:rPr>
        <w:t>价</w:t>
      </w:r>
      <w:r>
        <w:rPr>
          <w:rFonts w:asciiTheme="minorEastAsia" w:hAnsiTheme="minorEastAsia" w:eastAsiaTheme="minorEastAsia" w:cstheme="minorEastAsia"/>
          <w:spacing w:val="5"/>
          <w:sz w:val="24"/>
          <w:szCs w:val="24"/>
        </w:rPr>
        <w:t>为</w:t>
      </w:r>
      <w:r>
        <w:rPr>
          <w:rFonts w:asciiTheme="minorEastAsia" w:hAnsiTheme="minorEastAsia" w:eastAsiaTheme="minorEastAsia" w:cstheme="minorEastAsia"/>
          <w:spacing w:val="2"/>
          <w:sz w:val="24"/>
          <w:szCs w:val="24"/>
        </w:rPr>
        <w:t>各</w:t>
      </w:r>
      <w:r>
        <w:rPr>
          <w:rFonts w:asciiTheme="minorEastAsia" w:hAnsiTheme="minorEastAsia" w:eastAsiaTheme="minorEastAsia" w:cstheme="minorEastAsia"/>
          <w:spacing w:val="4"/>
          <w:sz w:val="24"/>
          <w:szCs w:val="24"/>
        </w:rPr>
        <w:t>分</w:t>
      </w:r>
      <w:r>
        <w:rPr>
          <w:rFonts w:asciiTheme="minorEastAsia" w:hAnsiTheme="minorEastAsia" w:eastAsiaTheme="minorEastAsia" w:cstheme="minorEastAsia"/>
          <w:sz w:val="24"/>
          <w:szCs w:val="24"/>
        </w:rPr>
        <w:t>项</w:t>
      </w:r>
      <w:r>
        <w:rPr>
          <w:rFonts w:asciiTheme="minorEastAsia" w:hAnsiTheme="minorEastAsia" w:eastAsiaTheme="minorEastAsia" w:cstheme="minorEastAsia"/>
          <w:spacing w:val="2"/>
          <w:sz w:val="24"/>
          <w:szCs w:val="24"/>
        </w:rPr>
        <w:t>报</w:t>
      </w:r>
      <w:r>
        <w:rPr>
          <w:rFonts w:asciiTheme="minorEastAsia" w:hAnsiTheme="minorEastAsia" w:eastAsiaTheme="minorEastAsia" w:cstheme="minorEastAsia"/>
          <w:spacing w:val="4"/>
          <w:sz w:val="24"/>
          <w:szCs w:val="24"/>
        </w:rPr>
        <w:t>价金</w:t>
      </w:r>
      <w:r>
        <w:rPr>
          <w:rFonts w:asciiTheme="minorEastAsia" w:hAnsiTheme="minorEastAsia" w:eastAsiaTheme="minorEastAsia" w:cstheme="minorEastAsia"/>
          <w:spacing w:val="2"/>
          <w:sz w:val="24"/>
          <w:szCs w:val="24"/>
        </w:rPr>
        <w:t>额之和</w:t>
      </w:r>
      <w:r>
        <w:rPr>
          <w:rFonts w:asciiTheme="minorEastAsia" w:hAnsiTheme="minorEastAsia" w:eastAsiaTheme="minorEastAsia" w:cstheme="minorEastAsia"/>
          <w:spacing w:val="-34"/>
          <w:sz w:val="24"/>
          <w:szCs w:val="24"/>
        </w:rPr>
        <w:t>，</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4"/>
          <w:sz w:val="24"/>
          <w:szCs w:val="24"/>
        </w:rPr>
        <w:t>标</w:t>
      </w:r>
      <w:r>
        <w:rPr>
          <w:rFonts w:asciiTheme="minorEastAsia" w:hAnsiTheme="minorEastAsia" w:eastAsiaTheme="minorEastAsia" w:cstheme="minorEastAsia"/>
          <w:sz w:val="24"/>
          <w:szCs w:val="24"/>
        </w:rPr>
        <w:t>报</w:t>
      </w:r>
      <w:r>
        <w:rPr>
          <w:rFonts w:asciiTheme="minorEastAsia" w:hAnsiTheme="minorEastAsia" w:eastAsiaTheme="minorEastAsia" w:cstheme="minorEastAsia"/>
          <w:spacing w:val="2"/>
          <w:sz w:val="24"/>
          <w:szCs w:val="24"/>
        </w:rPr>
        <w:t>价与</w:t>
      </w:r>
      <w:r>
        <w:rPr>
          <w:rFonts w:asciiTheme="minorEastAsia" w:hAnsiTheme="minorEastAsia" w:eastAsiaTheme="minorEastAsia" w:cstheme="minorEastAsia"/>
          <w:spacing w:val="4"/>
          <w:sz w:val="24"/>
          <w:szCs w:val="24"/>
        </w:rPr>
        <w:t>分项</w:t>
      </w:r>
      <w:r>
        <w:rPr>
          <w:rFonts w:asciiTheme="minorEastAsia" w:hAnsiTheme="minorEastAsia" w:eastAsiaTheme="minorEastAsia" w:cstheme="minorEastAsia"/>
          <w:spacing w:val="2"/>
          <w:sz w:val="24"/>
          <w:szCs w:val="24"/>
        </w:rPr>
        <w:t>报价的</w:t>
      </w:r>
      <w:r>
        <w:rPr>
          <w:rFonts w:asciiTheme="minorEastAsia" w:hAnsiTheme="minorEastAsia" w:eastAsiaTheme="minorEastAsia" w:cstheme="minorEastAsia"/>
          <w:spacing w:val="4"/>
          <w:sz w:val="24"/>
          <w:szCs w:val="24"/>
        </w:rPr>
        <w:t>合</w:t>
      </w:r>
      <w:r>
        <w:rPr>
          <w:rFonts w:asciiTheme="minorEastAsia" w:hAnsiTheme="minorEastAsia" w:eastAsiaTheme="minorEastAsia" w:cstheme="minorEastAsia"/>
          <w:spacing w:val="3"/>
          <w:sz w:val="24"/>
          <w:szCs w:val="24"/>
        </w:rPr>
        <w:t>价</w:t>
      </w:r>
      <w:r>
        <w:rPr>
          <w:rFonts w:asciiTheme="minorEastAsia" w:hAnsiTheme="minorEastAsia" w:eastAsiaTheme="minorEastAsia" w:cstheme="minorEastAsia"/>
          <w:spacing w:val="2"/>
          <w:sz w:val="24"/>
          <w:szCs w:val="24"/>
        </w:rPr>
        <w:t>不一致的</w:t>
      </w:r>
      <w:r>
        <w:rPr>
          <w:rFonts w:asciiTheme="minorEastAsia" w:hAnsiTheme="minorEastAsia" w:eastAsiaTheme="minorEastAsia" w:cstheme="minorEastAsia"/>
          <w:spacing w:val="-34"/>
          <w:sz w:val="24"/>
          <w:szCs w:val="24"/>
        </w:rPr>
        <w:t>，</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以</w:t>
      </w:r>
      <w:r>
        <w:rPr>
          <w:rFonts w:asciiTheme="minorEastAsia" w:hAnsiTheme="minorEastAsia" w:eastAsiaTheme="minorEastAsia" w:cstheme="minorEastAsia"/>
          <w:spacing w:val="4"/>
          <w:sz w:val="24"/>
          <w:szCs w:val="24"/>
        </w:rPr>
        <w:t>各</w:t>
      </w:r>
      <w:r>
        <w:rPr>
          <w:rFonts w:asciiTheme="minorEastAsia" w:hAnsiTheme="minorEastAsia" w:eastAsiaTheme="minorEastAsia" w:cstheme="minorEastAsia"/>
          <w:sz w:val="24"/>
          <w:szCs w:val="24"/>
        </w:rPr>
        <w:t>分</w:t>
      </w:r>
      <w:r>
        <w:rPr>
          <w:rFonts w:asciiTheme="minorEastAsia" w:hAnsiTheme="minorEastAsia" w:eastAsiaTheme="minorEastAsia" w:cstheme="minorEastAsia"/>
          <w:spacing w:val="4"/>
          <w:sz w:val="24"/>
          <w:szCs w:val="24"/>
        </w:rPr>
        <w:t>项合</w:t>
      </w:r>
      <w:r>
        <w:rPr>
          <w:rFonts w:asciiTheme="minorEastAsia" w:hAnsiTheme="minorEastAsia" w:eastAsiaTheme="minorEastAsia" w:cstheme="minorEastAsia"/>
          <w:spacing w:val="2"/>
          <w:sz w:val="24"/>
          <w:szCs w:val="24"/>
        </w:rPr>
        <w:t>价</w:t>
      </w:r>
      <w:r>
        <w:rPr>
          <w:rFonts w:asciiTheme="minorEastAsia" w:hAnsiTheme="minorEastAsia" w:eastAsiaTheme="minorEastAsia" w:cstheme="minorEastAsia"/>
          <w:sz w:val="24"/>
          <w:szCs w:val="24"/>
        </w:rPr>
        <w:t>累</w:t>
      </w:r>
      <w:r>
        <w:rPr>
          <w:rFonts w:asciiTheme="minorEastAsia" w:hAnsiTheme="minorEastAsia" w:eastAsiaTheme="minorEastAsia" w:cstheme="minorEastAsia"/>
          <w:spacing w:val="-2"/>
          <w:sz w:val="24"/>
          <w:szCs w:val="24"/>
        </w:rPr>
        <w:t>计数为准，修正投标报价；如分项报价中存在缺漏项，则视为缺漏项价格已包含在其他分项报价之中。</w:t>
      </w:r>
      <w:r>
        <w:rPr>
          <w:rFonts w:asciiTheme="minorEastAsia" w:hAnsiTheme="minorEastAsia" w:eastAsiaTheme="minorEastAsia" w:cstheme="minorEastAsia"/>
          <w:spacing w:val="37"/>
          <w:sz w:val="24"/>
          <w:szCs w:val="24"/>
        </w:rPr>
        <w:t xml:space="preserve"> </w:t>
      </w:r>
      <w:r>
        <w:rPr>
          <w:rFonts w:asciiTheme="minorEastAsia" w:hAnsiTheme="minorEastAsia" w:eastAsiaTheme="minorEastAsia" w:cstheme="minorEastAsia"/>
          <w:spacing w:val="-2"/>
          <w:sz w:val="24"/>
          <w:szCs w:val="24"/>
        </w:rPr>
        <w:t>投标人在投标截止时间前修改投标函及开标一览表中的投标报价总额，应同时修改投标文件</w:t>
      </w:r>
      <w:r>
        <w:rPr>
          <w:rFonts w:asciiTheme="minorEastAsia" w:hAnsiTheme="minorEastAsia" w:eastAsiaTheme="minorEastAsia" w:cstheme="minorEastAsia"/>
          <w:spacing w:val="-3"/>
          <w:sz w:val="24"/>
          <w:szCs w:val="24"/>
        </w:rPr>
        <w:t>“分项报价表”中的相应报价。此修改须符合本章第</w:t>
      </w:r>
      <w:r>
        <w:rPr>
          <w:rFonts w:asciiTheme="minorEastAsia" w:hAnsiTheme="minorEastAsia" w:eastAsiaTheme="minorEastAsia" w:cstheme="minorEastAsia"/>
          <w:spacing w:val="-12"/>
          <w:sz w:val="24"/>
          <w:szCs w:val="24"/>
        </w:rPr>
        <w:t xml:space="preserve"> </w:t>
      </w:r>
      <w:r>
        <w:rPr>
          <w:rFonts w:asciiTheme="minorEastAsia" w:hAnsiTheme="minorEastAsia" w:eastAsiaTheme="minorEastAsia" w:cstheme="minorEastAsia"/>
          <w:spacing w:val="-1"/>
          <w:sz w:val="24"/>
          <w:szCs w:val="24"/>
        </w:rPr>
        <w:t>4.3</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3"/>
          <w:sz w:val="24"/>
          <w:szCs w:val="24"/>
        </w:rPr>
        <w:t>款的有关要求。</w:t>
      </w:r>
    </w:p>
    <w:p>
      <w:pPr>
        <w:pStyle w:val="13"/>
        <w:kinsoku w:val="0"/>
        <w:overflowPunct w:val="0"/>
        <w:spacing w:line="360" w:lineRule="auto"/>
        <w:ind w:right="116"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3.2.4投标报价不得超过招标文件中规定的预算金额或者最高限价，否则投标无效。预算金额或者</w:t>
      </w:r>
      <w:r>
        <w:rPr>
          <w:rFonts w:asciiTheme="minorEastAsia" w:hAnsiTheme="minorEastAsia" w:eastAsiaTheme="minorEastAsia" w:cstheme="minorEastAsia"/>
          <w:spacing w:val="-2"/>
          <w:sz w:val="24"/>
          <w:szCs w:val="24"/>
        </w:rPr>
        <w:t>最高限价在投标人须知前附表中载明。</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3.2.5</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投标报价的其他要求见投标人须知前附表。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3.3</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投标有效期</w:t>
      </w:r>
    </w:p>
    <w:p>
      <w:pPr>
        <w:pStyle w:val="13"/>
        <w:kinsoku w:val="0"/>
        <w:overflowPunct w:val="0"/>
        <w:spacing w:line="360" w:lineRule="auto"/>
        <w:ind w:right="107"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3.3.1 </w:t>
      </w:r>
      <w:r>
        <w:rPr>
          <w:rFonts w:asciiTheme="minorEastAsia" w:hAnsiTheme="minorEastAsia" w:eastAsiaTheme="minorEastAsia" w:cstheme="minorEastAsia"/>
          <w:spacing w:val="1"/>
          <w:sz w:val="24"/>
          <w:szCs w:val="24"/>
        </w:rPr>
        <w:t>除投标人须知前附表另有规定外，投标有效期为</w:t>
      </w:r>
      <w:r>
        <w:rPr>
          <w:rFonts w:asciiTheme="minorEastAsia" w:hAnsiTheme="minorEastAsia" w:eastAsiaTheme="minorEastAsia" w:cstheme="minorEastAsia"/>
          <w:spacing w:val="-2"/>
          <w:sz w:val="24"/>
          <w:szCs w:val="24"/>
        </w:rPr>
        <w:t>60</w:t>
      </w:r>
      <w:r>
        <w:rPr>
          <w:rFonts w:asciiTheme="minorEastAsia" w:hAnsiTheme="minorEastAsia" w:eastAsiaTheme="minorEastAsia" w:cstheme="minorEastAsia"/>
          <w:sz w:val="24"/>
          <w:szCs w:val="24"/>
        </w:rPr>
        <w:t>天。投标有效期从提交投标文件的截止</w:t>
      </w:r>
      <w:r>
        <w:rPr>
          <w:rFonts w:asciiTheme="minorEastAsia" w:hAnsiTheme="minorEastAsia" w:eastAsiaTheme="minorEastAsia" w:cstheme="minorEastAsia"/>
          <w:spacing w:val="-2"/>
          <w:sz w:val="24"/>
          <w:szCs w:val="24"/>
        </w:rPr>
        <w:t>之日起算。投标文件中承诺的投标有效期应当不少于招标文件中载明的投标有效期。</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3.3.2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在投标有效期内，投标人撤销投标文件的，应承担招标文件和法律规定的责任。</w:t>
      </w:r>
    </w:p>
    <w:p>
      <w:pPr>
        <w:pStyle w:val="13"/>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3.3.3 </w:t>
      </w:r>
      <w:r>
        <w:rPr>
          <w:rFonts w:asciiTheme="minorEastAsia" w:hAnsiTheme="minorEastAsia" w:eastAsiaTheme="minorEastAsia" w:cstheme="minorEastAsia"/>
          <w:spacing w:val="2"/>
          <w:sz w:val="24"/>
          <w:szCs w:val="24"/>
        </w:rPr>
        <w:t>出</w:t>
      </w:r>
      <w:r>
        <w:rPr>
          <w:rFonts w:asciiTheme="minorEastAsia" w:hAnsiTheme="minorEastAsia" w:eastAsiaTheme="minorEastAsia" w:cstheme="minorEastAsia"/>
          <w:spacing w:val="-3"/>
          <w:sz w:val="24"/>
          <w:szCs w:val="24"/>
        </w:rPr>
        <w:t>现</w:t>
      </w:r>
      <w:r>
        <w:rPr>
          <w:rFonts w:asciiTheme="minorEastAsia" w:hAnsiTheme="minorEastAsia" w:eastAsiaTheme="minorEastAsia" w:cstheme="minorEastAsia"/>
          <w:spacing w:val="2"/>
          <w:sz w:val="24"/>
          <w:szCs w:val="24"/>
        </w:rPr>
        <w:t>特</w:t>
      </w:r>
      <w:r>
        <w:rPr>
          <w:rFonts w:asciiTheme="minorEastAsia" w:hAnsiTheme="minorEastAsia" w:eastAsiaTheme="minorEastAsia" w:cstheme="minorEastAsia"/>
          <w:sz w:val="24"/>
          <w:szCs w:val="24"/>
        </w:rPr>
        <w:t>殊情况</w:t>
      </w:r>
      <w:r>
        <w:rPr>
          <w:rFonts w:asciiTheme="minorEastAsia" w:hAnsiTheme="minorEastAsia" w:eastAsiaTheme="minorEastAsia" w:cstheme="minorEastAsia"/>
          <w:spacing w:val="2"/>
          <w:sz w:val="24"/>
          <w:szCs w:val="24"/>
        </w:rPr>
        <w:t>需</w:t>
      </w:r>
      <w:r>
        <w:rPr>
          <w:rFonts w:asciiTheme="minorEastAsia" w:hAnsiTheme="minorEastAsia" w:eastAsiaTheme="minorEastAsia" w:cstheme="minorEastAsia"/>
          <w:spacing w:val="-3"/>
          <w:sz w:val="24"/>
          <w:szCs w:val="24"/>
        </w:rPr>
        <w:t>要</w:t>
      </w:r>
      <w:r>
        <w:rPr>
          <w:rFonts w:asciiTheme="minorEastAsia" w:hAnsiTheme="minorEastAsia" w:eastAsiaTheme="minorEastAsia" w:cstheme="minorEastAsia"/>
          <w:sz w:val="24"/>
          <w:szCs w:val="24"/>
        </w:rPr>
        <w:t>延</w:t>
      </w:r>
      <w:r>
        <w:rPr>
          <w:rFonts w:asciiTheme="minorEastAsia" w:hAnsiTheme="minorEastAsia" w:eastAsiaTheme="minorEastAsia" w:cstheme="minorEastAsia"/>
          <w:spacing w:val="2"/>
          <w:sz w:val="24"/>
          <w:szCs w:val="24"/>
        </w:rPr>
        <w:t>长投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有</w:t>
      </w:r>
      <w:r>
        <w:rPr>
          <w:rFonts w:asciiTheme="minorEastAsia" w:hAnsiTheme="minorEastAsia" w:eastAsiaTheme="minorEastAsia" w:cstheme="minorEastAsia"/>
          <w:spacing w:val="-3"/>
          <w:sz w:val="24"/>
          <w:szCs w:val="24"/>
        </w:rPr>
        <w:t>效</w:t>
      </w:r>
      <w:r>
        <w:rPr>
          <w:rFonts w:asciiTheme="minorEastAsia" w:hAnsiTheme="minorEastAsia" w:eastAsiaTheme="minorEastAsia" w:cstheme="minorEastAsia"/>
          <w:spacing w:val="2"/>
          <w:sz w:val="24"/>
          <w:szCs w:val="24"/>
        </w:rPr>
        <w:t>期</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75"/>
          <w:sz w:val="24"/>
          <w:szCs w:val="24"/>
        </w:rPr>
        <w:t>，</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以书</w:t>
      </w:r>
      <w:r>
        <w:rPr>
          <w:rFonts w:asciiTheme="minorEastAsia" w:hAnsiTheme="minorEastAsia" w:eastAsiaTheme="minorEastAsia" w:cstheme="minorEastAsia"/>
          <w:spacing w:val="2"/>
          <w:sz w:val="24"/>
          <w:szCs w:val="24"/>
        </w:rPr>
        <w:t>面</w:t>
      </w:r>
      <w:r>
        <w:rPr>
          <w:rFonts w:asciiTheme="minorEastAsia" w:hAnsiTheme="minorEastAsia" w:eastAsiaTheme="minorEastAsia" w:cstheme="minorEastAsia"/>
          <w:sz w:val="24"/>
          <w:szCs w:val="24"/>
        </w:rPr>
        <w:t>形式通</w:t>
      </w:r>
      <w:r>
        <w:rPr>
          <w:rFonts w:asciiTheme="minorEastAsia" w:hAnsiTheme="minorEastAsia" w:eastAsiaTheme="minorEastAsia" w:cstheme="minorEastAsia"/>
          <w:spacing w:val="3"/>
          <w:sz w:val="24"/>
          <w:szCs w:val="24"/>
        </w:rPr>
        <w:t>知</w:t>
      </w:r>
      <w:r>
        <w:rPr>
          <w:rFonts w:asciiTheme="minorEastAsia" w:hAnsiTheme="minorEastAsia" w:eastAsiaTheme="minorEastAsia" w:cstheme="minorEastAsia"/>
          <w:spacing w:val="-3"/>
          <w:sz w:val="24"/>
          <w:szCs w:val="24"/>
        </w:rPr>
        <w:t>所</w:t>
      </w:r>
      <w:r>
        <w:rPr>
          <w:rFonts w:asciiTheme="minorEastAsia" w:hAnsiTheme="minorEastAsia" w:eastAsiaTheme="minorEastAsia" w:cstheme="minorEastAsia"/>
          <w:spacing w:val="2"/>
          <w:sz w:val="24"/>
          <w:szCs w:val="24"/>
        </w:rPr>
        <w:t>有</w:t>
      </w:r>
      <w:r>
        <w:rPr>
          <w:rFonts w:asciiTheme="minorEastAsia" w:hAnsiTheme="minorEastAsia" w:eastAsiaTheme="minorEastAsia" w:cstheme="minorEastAsia"/>
          <w:spacing w:val="-3"/>
          <w:sz w:val="24"/>
          <w:szCs w:val="24"/>
        </w:rPr>
        <w:t>投</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人延</w:t>
      </w:r>
      <w:r>
        <w:rPr>
          <w:rFonts w:asciiTheme="minorEastAsia" w:hAnsiTheme="minorEastAsia" w:eastAsiaTheme="minorEastAsia" w:cstheme="minorEastAsia"/>
          <w:spacing w:val="2"/>
          <w:sz w:val="24"/>
          <w:szCs w:val="24"/>
        </w:rPr>
        <w:t>长</w:t>
      </w:r>
      <w:r>
        <w:rPr>
          <w:rFonts w:asciiTheme="minorEastAsia" w:hAnsiTheme="minorEastAsia" w:eastAsiaTheme="minorEastAsia" w:cstheme="minorEastAsia"/>
          <w:sz w:val="24"/>
          <w:szCs w:val="24"/>
        </w:rPr>
        <w:t>投标有</w:t>
      </w:r>
      <w:r>
        <w:rPr>
          <w:rFonts w:asciiTheme="minorEastAsia" w:hAnsiTheme="minorEastAsia" w:eastAsiaTheme="minorEastAsia" w:cstheme="minorEastAsia"/>
          <w:spacing w:val="2"/>
          <w:sz w:val="24"/>
          <w:szCs w:val="24"/>
        </w:rPr>
        <w:t>效</w:t>
      </w:r>
      <w:r>
        <w:rPr>
          <w:rFonts w:asciiTheme="minorEastAsia" w:hAnsiTheme="minorEastAsia" w:eastAsiaTheme="minorEastAsia" w:cstheme="minorEastAsia"/>
          <w:sz w:val="24"/>
          <w:szCs w:val="24"/>
        </w:rPr>
        <w:t>期。</w:t>
      </w:r>
      <w:r>
        <w:rPr>
          <w:rFonts w:asciiTheme="minorEastAsia" w:hAnsiTheme="minorEastAsia" w:eastAsiaTheme="minorEastAsia" w:cstheme="minorEastAsia"/>
          <w:spacing w:val="-2"/>
          <w:sz w:val="24"/>
          <w:szCs w:val="24"/>
        </w:rPr>
        <w:t>投标人应予以书面答复，同意延长的，应相应延长其投标保证金的有效期，但不得要求或被允许修改其</w:t>
      </w:r>
      <w:r>
        <w:rPr>
          <w:rFonts w:asciiTheme="minorEastAsia" w:hAnsiTheme="minorEastAsia" w:eastAsiaTheme="minorEastAsia" w:cstheme="minorEastAsia"/>
          <w:spacing w:val="-3"/>
          <w:sz w:val="24"/>
          <w:szCs w:val="24"/>
        </w:rPr>
        <w:t>投标文件；投标人拒绝延长的，有权收回其投标保证金。</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3.4</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投标保证金（本项目不适用）</w:t>
      </w:r>
    </w:p>
    <w:p>
      <w:pPr>
        <w:pStyle w:val="13"/>
        <w:kinsoku w:val="0"/>
        <w:overflowPunct w:val="0"/>
        <w:spacing w:line="360" w:lineRule="auto"/>
        <w:ind w:right="-94" w:rightChars="-39"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 xml:space="preserve">3.4.1 </w:t>
      </w:r>
      <w:r>
        <w:rPr>
          <w:rFonts w:asciiTheme="minorEastAsia" w:hAnsiTheme="minorEastAsia" w:eastAsiaTheme="minorEastAsia" w:cstheme="minorEastAsia"/>
          <w:spacing w:val="1"/>
          <w:sz w:val="24"/>
          <w:szCs w:val="24"/>
        </w:rPr>
        <w:t>投标人在递交投标文件的同时，应按投标人须知前附表规定的金额、形式和第六章“投标文</w:t>
      </w:r>
      <w:r>
        <w:rPr>
          <w:rFonts w:asciiTheme="minorEastAsia" w:hAnsiTheme="minorEastAsia" w:eastAsiaTheme="minorEastAsia" w:cstheme="minorEastAsia"/>
          <w:spacing w:val="29"/>
          <w:sz w:val="24"/>
          <w:szCs w:val="24"/>
        </w:rPr>
        <w:t xml:space="preserve"> </w:t>
      </w:r>
      <w:r>
        <w:rPr>
          <w:rFonts w:asciiTheme="minorEastAsia" w:hAnsiTheme="minorEastAsia" w:eastAsiaTheme="minorEastAsia" w:cstheme="minorEastAsia"/>
          <w:sz w:val="24"/>
          <w:szCs w:val="24"/>
        </w:rPr>
        <w:t>件格式”规定的投标保证金格式递交投标保证金，并作为其投标文件的组成部分。境内投标人以支票形式提交的投标保证金，应当从其基本账户转出并在投标文件中附上基本账户开户证明。联合体投标的，</w:t>
      </w:r>
      <w:r>
        <w:rPr>
          <w:rFonts w:asciiTheme="minorEastAsia" w:hAnsiTheme="minorEastAsia" w:eastAsiaTheme="minorEastAsia" w:cstheme="minorEastAsia"/>
          <w:spacing w:val="-2"/>
          <w:sz w:val="24"/>
          <w:szCs w:val="24"/>
        </w:rPr>
        <w:t>其投标保证金可以由牵头人递交，并应符合投标人须知前附表的</w:t>
      </w:r>
      <w:r>
        <w:rPr>
          <w:rFonts w:asciiTheme="minorEastAsia" w:hAnsiTheme="minorEastAsia" w:eastAsiaTheme="minorEastAsia" w:cstheme="minorEastAsia"/>
          <w:spacing w:val="-1"/>
          <w:sz w:val="24"/>
          <w:szCs w:val="24"/>
        </w:rPr>
        <w:t>规定。</w:t>
      </w:r>
    </w:p>
    <w:p>
      <w:pPr>
        <w:pStyle w:val="13"/>
        <w:kinsoku w:val="0"/>
        <w:overflowPunct w:val="0"/>
        <w:spacing w:line="360" w:lineRule="auto"/>
        <w:ind w:left="539"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3.4.2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2"/>
          <w:sz w:val="24"/>
          <w:szCs w:val="24"/>
        </w:rPr>
        <w:t>投标人不按本章第</w:t>
      </w:r>
      <w:r>
        <w:rPr>
          <w:rFonts w:asciiTheme="minorEastAsia" w:hAnsiTheme="minorEastAsia" w:eastAsiaTheme="minorEastAsia" w:cstheme="minorEastAsia"/>
          <w:spacing w:val="-14"/>
          <w:sz w:val="24"/>
          <w:szCs w:val="24"/>
        </w:rPr>
        <w:t xml:space="preserve"> </w:t>
      </w:r>
      <w:r>
        <w:rPr>
          <w:rFonts w:asciiTheme="minorEastAsia" w:hAnsiTheme="minorEastAsia" w:eastAsiaTheme="minorEastAsia" w:cstheme="minorEastAsia"/>
          <w:spacing w:val="-1"/>
          <w:sz w:val="24"/>
          <w:szCs w:val="24"/>
        </w:rPr>
        <w:t>3.4.1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项要求提交投标保证金的，评标委员会将否决其投标。</w:t>
      </w:r>
    </w:p>
    <w:p>
      <w:pPr>
        <w:pStyle w:val="13"/>
        <w:kinsoku w:val="0"/>
        <w:overflowPunct w:val="0"/>
        <w:spacing w:line="360" w:lineRule="auto"/>
        <w:ind w:right="-94" w:rightChars="-3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3.4.3</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采购人或者采购代理机构在中标通知书发出之日起5个工作日内退还未中标人的投标保证金，</w:t>
      </w:r>
      <w:r>
        <w:rPr>
          <w:rFonts w:asciiTheme="minorEastAsia" w:hAnsiTheme="minorEastAsia" w:eastAsiaTheme="minorEastAsia" w:cstheme="minorEastAsia"/>
          <w:spacing w:val="-2"/>
          <w:sz w:val="24"/>
          <w:szCs w:val="24"/>
        </w:rPr>
        <w:t>自采购合同签订之日起5个工作日内退还中标人的投标保证金或者转为中标人的履约保证金。</w:t>
      </w:r>
    </w:p>
    <w:p>
      <w:pPr>
        <w:pStyle w:val="13"/>
        <w:kinsoku w:val="0"/>
        <w:overflowPunct w:val="0"/>
        <w:spacing w:line="360" w:lineRule="auto"/>
        <w:ind w:left="539" w:right="-94" w:rightChars="-39"/>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3.4.4</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有下列情形之一的，投标保证金将不予退还：</w:t>
      </w:r>
    </w:p>
    <w:p>
      <w:pPr>
        <w:pStyle w:val="13"/>
        <w:kinsoku w:val="0"/>
        <w:overflowPunct w:val="0"/>
        <w:spacing w:line="360" w:lineRule="auto"/>
        <w:ind w:left="434"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（1）投标人在投标有效期内撤销投标文件；</w:t>
      </w:r>
    </w:p>
    <w:p>
      <w:pPr>
        <w:pStyle w:val="13"/>
        <w:kinsoku w:val="0"/>
        <w:overflowPunct w:val="0"/>
        <w:spacing w:line="360" w:lineRule="auto"/>
        <w:ind w:right="-94" w:rightChars="-39" w:firstLine="312"/>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（2）中标人在收到中标通知书后，无正当理由不与招标人订立合同，在签订合同时向招标 人提出附</w:t>
      </w:r>
      <w:r>
        <w:rPr>
          <w:rFonts w:asciiTheme="minorEastAsia" w:hAnsiTheme="minorEastAsia" w:eastAsiaTheme="minorEastAsia" w:cstheme="minorEastAsia"/>
          <w:spacing w:val="-3"/>
          <w:sz w:val="24"/>
          <w:szCs w:val="24"/>
        </w:rPr>
        <w:t>加条件，或者不按照招标文件要求提交履约保证金；</w:t>
      </w:r>
    </w:p>
    <w:p>
      <w:pPr>
        <w:pStyle w:val="13"/>
        <w:kinsoku w:val="0"/>
        <w:overflowPunct w:val="0"/>
        <w:spacing w:line="360" w:lineRule="auto"/>
        <w:ind w:left="434"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（3）发生投标人须知前附表规定的其他可以不予退还投标保证金的情形。</w:t>
      </w:r>
    </w:p>
    <w:p>
      <w:pPr>
        <w:pStyle w:val="13"/>
        <w:kinsoku w:val="0"/>
        <w:overflowPunct w:val="0"/>
        <w:spacing w:line="360" w:lineRule="auto"/>
        <w:ind w:left="256"/>
        <w:rPr>
          <w:rFonts w:hint="default" w:asciiTheme="minorEastAsia" w:hAnsiTheme="minorEastAsia" w:eastAsiaTheme="minorEastAsia" w:cstheme="minorEastAsia"/>
          <w:b/>
          <w:bCs/>
          <w:color w:val="0000FF"/>
          <w:spacing w:val="-2"/>
          <w:sz w:val="24"/>
          <w:szCs w:val="24"/>
        </w:rPr>
      </w:pPr>
      <w:r>
        <w:rPr>
          <w:rFonts w:asciiTheme="minorEastAsia" w:hAnsiTheme="minorEastAsia" w:eastAsiaTheme="minorEastAsia" w:cstheme="minorEastAsia"/>
          <w:b/>
          <w:bCs/>
          <w:spacing w:val="-1"/>
          <w:sz w:val="24"/>
          <w:szCs w:val="24"/>
        </w:rPr>
        <w:t>3.5</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资格审查资料（资格审查所要求的资料均应提供原件）</w:t>
      </w:r>
    </w:p>
    <w:p>
      <w:pPr>
        <w:tabs>
          <w:tab w:val="left" w:pos="786"/>
          <w:tab w:val="left" w:pos="900"/>
        </w:tabs>
        <w:spacing w:line="360" w:lineRule="auto"/>
        <w:ind w:firstLine="480" w:firstLineChars="200"/>
        <w:rPr>
          <w:rFonts w:ascii="宋体" w:hAnsi="宋体" w:cs="宋体"/>
          <w:color w:val="000000"/>
          <w:szCs w:val="24"/>
        </w:rPr>
      </w:pPr>
      <w:r>
        <w:rPr>
          <w:rFonts w:hint="eastAsia" w:ascii="宋体" w:hAnsi="宋体" w:cs="宋体"/>
          <w:color w:val="000000"/>
          <w:szCs w:val="24"/>
        </w:rPr>
        <w:t>依据“投标人须知前附表”中的要求按第六章投标文件格式提交相应的资格证明文件，作为投标文件的一部分，以证明其有资格进行投标和有能力履行合同。</w:t>
      </w:r>
    </w:p>
    <w:p>
      <w:pPr>
        <w:pStyle w:val="8"/>
        <w:kinsoku w:val="0"/>
        <w:overflowPunct w:val="0"/>
        <w:spacing w:line="360" w:lineRule="auto"/>
        <w:ind w:left="356"/>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3.6</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备选投标方案</w:t>
      </w:r>
    </w:p>
    <w:p>
      <w:pPr>
        <w:pStyle w:val="13"/>
        <w:kinsoku w:val="0"/>
        <w:overflowPunct w:val="0"/>
        <w:spacing w:line="360" w:lineRule="auto"/>
        <w:ind w:left="0" w:firstLine="720" w:firstLineChars="30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3.6.1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z w:val="24"/>
          <w:szCs w:val="24"/>
        </w:rPr>
        <w:t>除</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3"/>
          <w:sz w:val="24"/>
          <w:szCs w:val="24"/>
        </w:rPr>
        <w:t>知前</w:t>
      </w:r>
      <w:r>
        <w:rPr>
          <w:rFonts w:asciiTheme="minorEastAsia" w:hAnsiTheme="minorEastAsia" w:eastAsiaTheme="minorEastAsia" w:cstheme="minorEastAsia"/>
          <w:spacing w:val="-5"/>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z w:val="24"/>
          <w:szCs w:val="24"/>
        </w:rPr>
        <w:t>规</w:t>
      </w:r>
      <w:r>
        <w:rPr>
          <w:rFonts w:asciiTheme="minorEastAsia" w:hAnsiTheme="minorEastAsia" w:eastAsiaTheme="minorEastAsia" w:cstheme="minorEastAsia"/>
          <w:spacing w:val="-3"/>
          <w:sz w:val="24"/>
          <w:szCs w:val="24"/>
        </w:rPr>
        <w:t>定允</w:t>
      </w:r>
      <w:r>
        <w:rPr>
          <w:rFonts w:asciiTheme="minorEastAsia" w:hAnsiTheme="minorEastAsia" w:eastAsiaTheme="minorEastAsia" w:cstheme="minorEastAsia"/>
          <w:sz w:val="24"/>
          <w:szCs w:val="24"/>
        </w:rPr>
        <w:t>许</w:t>
      </w:r>
      <w:r>
        <w:rPr>
          <w:rFonts w:asciiTheme="minorEastAsia" w:hAnsiTheme="minorEastAsia" w:eastAsiaTheme="minorEastAsia" w:cstheme="minorEastAsia"/>
          <w:spacing w:val="-5"/>
          <w:sz w:val="24"/>
          <w:szCs w:val="24"/>
        </w:rPr>
        <w:t>外</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人不得</w:t>
      </w:r>
      <w:r>
        <w:rPr>
          <w:rFonts w:asciiTheme="minorEastAsia" w:hAnsiTheme="minorEastAsia" w:eastAsiaTheme="minorEastAsia" w:cstheme="minorEastAsia"/>
          <w:sz w:val="24"/>
          <w:szCs w:val="24"/>
        </w:rPr>
        <w:t>递</w:t>
      </w:r>
      <w:r>
        <w:rPr>
          <w:rFonts w:asciiTheme="minorEastAsia" w:hAnsiTheme="minorEastAsia" w:eastAsiaTheme="minorEastAsia" w:cstheme="minorEastAsia"/>
          <w:spacing w:val="-3"/>
          <w:sz w:val="24"/>
          <w:szCs w:val="24"/>
        </w:rPr>
        <w:t>交备</w:t>
      </w:r>
      <w:r>
        <w:rPr>
          <w:rFonts w:asciiTheme="minorEastAsia" w:hAnsiTheme="minorEastAsia" w:eastAsiaTheme="minorEastAsia" w:cstheme="minorEastAsia"/>
          <w:sz w:val="24"/>
          <w:szCs w:val="24"/>
        </w:rPr>
        <w:t>选</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方</w:t>
      </w:r>
      <w:r>
        <w:rPr>
          <w:rFonts w:asciiTheme="minorEastAsia" w:hAnsiTheme="minorEastAsia" w:eastAsiaTheme="minorEastAsia" w:cstheme="minorEastAsia"/>
          <w:sz w:val="24"/>
          <w:szCs w:val="24"/>
        </w:rPr>
        <w:t>案</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pacing w:val="-3"/>
          <w:sz w:val="24"/>
          <w:szCs w:val="24"/>
        </w:rPr>
        <w:t>否则</w:t>
      </w:r>
      <w:r>
        <w:rPr>
          <w:rFonts w:asciiTheme="minorEastAsia" w:hAnsiTheme="minorEastAsia" w:eastAsiaTheme="minorEastAsia" w:cstheme="minorEastAsia"/>
          <w:sz w:val="24"/>
          <w:szCs w:val="24"/>
        </w:rPr>
        <w:t>其</w:t>
      </w:r>
      <w:r>
        <w:rPr>
          <w:rFonts w:asciiTheme="minorEastAsia" w:hAnsiTheme="minorEastAsia" w:eastAsiaTheme="minorEastAsia" w:cstheme="minorEastAsia"/>
          <w:spacing w:val="-3"/>
          <w:sz w:val="24"/>
          <w:szCs w:val="24"/>
        </w:rPr>
        <w:t>投标</w:t>
      </w:r>
      <w:r>
        <w:rPr>
          <w:rFonts w:asciiTheme="minorEastAsia" w:hAnsiTheme="minorEastAsia" w:eastAsiaTheme="minorEastAsia" w:cstheme="minorEastAsia"/>
          <w:sz w:val="24"/>
          <w:szCs w:val="24"/>
        </w:rPr>
        <w:t>将</w:t>
      </w:r>
      <w:r>
        <w:rPr>
          <w:rFonts w:asciiTheme="minorEastAsia" w:hAnsiTheme="minorEastAsia" w:eastAsiaTheme="minorEastAsia" w:cstheme="minorEastAsia"/>
          <w:spacing w:val="-5"/>
          <w:sz w:val="24"/>
          <w:szCs w:val="24"/>
        </w:rPr>
        <w:t>被</w:t>
      </w:r>
      <w:r>
        <w:rPr>
          <w:rFonts w:asciiTheme="minorEastAsia" w:hAnsiTheme="minorEastAsia" w:eastAsiaTheme="minorEastAsia" w:cstheme="minorEastAsia"/>
          <w:sz w:val="24"/>
          <w:szCs w:val="24"/>
        </w:rPr>
        <w:t>否</w:t>
      </w:r>
      <w:r>
        <w:rPr>
          <w:rFonts w:asciiTheme="minorEastAsia" w:hAnsiTheme="minorEastAsia" w:eastAsiaTheme="minorEastAsia" w:cstheme="minorEastAsia"/>
          <w:spacing w:val="-3"/>
          <w:sz w:val="24"/>
          <w:szCs w:val="24"/>
        </w:rPr>
        <w:t>决</w:t>
      </w:r>
      <w:r>
        <w:rPr>
          <w:rFonts w:asciiTheme="minorEastAsia" w:hAnsiTheme="minorEastAsia" w:eastAsiaTheme="minorEastAsia" w:cstheme="minorEastAsia"/>
          <w:sz w:val="24"/>
          <w:szCs w:val="24"/>
        </w:rPr>
        <w:t>。</w:t>
      </w:r>
    </w:p>
    <w:p>
      <w:pPr>
        <w:pStyle w:val="13"/>
        <w:tabs>
          <w:tab w:val="left" w:pos="1376"/>
        </w:tabs>
        <w:kinsoku w:val="0"/>
        <w:overflowPunct w:val="0"/>
        <w:spacing w:line="360" w:lineRule="auto"/>
        <w:ind w:left="219" w:right="146"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3.6.2</w:t>
      </w:r>
      <w:r>
        <w:rPr>
          <w:rFonts w:asciiTheme="minorEastAsia" w:hAnsiTheme="minorEastAsia" w:eastAsiaTheme="minorEastAsia" w:cstheme="minorEastAsia"/>
          <w:sz w:val="24"/>
          <w:szCs w:val="24"/>
        </w:rPr>
        <w:tab/>
      </w:r>
      <w:r>
        <w:rPr>
          <w:rFonts w:asciiTheme="minorEastAsia" w:hAnsiTheme="minorEastAsia" w:eastAsiaTheme="minorEastAsia" w:cstheme="minorEastAsia"/>
          <w:spacing w:val="-2"/>
          <w:sz w:val="24"/>
          <w:szCs w:val="24"/>
        </w:rPr>
        <w:t xml:space="preserve">允许投标人递交备选投标方案的，只有中标人所递交的备选投标方案方可予以考虑。 </w:t>
      </w:r>
      <w:r>
        <w:rPr>
          <w:rFonts w:asciiTheme="minorEastAsia" w:hAnsiTheme="minorEastAsia" w:eastAsiaTheme="minorEastAsia" w:cstheme="minorEastAsia"/>
          <w:spacing w:val="-3"/>
          <w:sz w:val="24"/>
          <w:szCs w:val="24"/>
        </w:rPr>
        <w:t>评标</w:t>
      </w:r>
      <w:r>
        <w:rPr>
          <w:rFonts w:asciiTheme="minorEastAsia" w:hAnsiTheme="minorEastAsia" w:eastAsiaTheme="minorEastAsia" w:cstheme="minorEastAsia"/>
          <w:spacing w:val="-2"/>
          <w:sz w:val="24"/>
          <w:szCs w:val="24"/>
        </w:rPr>
        <w:t>委员会认为中标人的备选投标方案优于其按照招标文件要求编制的投标方案的，招标人可以接受该备选投标方案。</w:t>
      </w:r>
    </w:p>
    <w:p>
      <w:pPr>
        <w:pStyle w:val="13"/>
        <w:kinsoku w:val="0"/>
        <w:overflowPunct w:val="0"/>
        <w:spacing w:line="360" w:lineRule="auto"/>
        <w:ind w:left="219"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3.6.3</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提</w:t>
      </w:r>
      <w:r>
        <w:rPr>
          <w:rFonts w:asciiTheme="minorEastAsia" w:hAnsiTheme="minorEastAsia" w:eastAsiaTheme="minorEastAsia" w:cstheme="minorEastAsia"/>
          <w:spacing w:val="-2"/>
          <w:sz w:val="24"/>
          <w:szCs w:val="24"/>
        </w:rPr>
        <w:t>供</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z w:val="24"/>
          <w:szCs w:val="24"/>
        </w:rPr>
        <w:t>个</w:t>
      </w:r>
      <w:r>
        <w:rPr>
          <w:rFonts w:asciiTheme="minorEastAsia" w:hAnsiTheme="minorEastAsia" w:eastAsiaTheme="minorEastAsia" w:cstheme="minorEastAsia"/>
          <w:spacing w:val="-5"/>
          <w:sz w:val="24"/>
          <w:szCs w:val="24"/>
        </w:rPr>
        <w:t>或</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z w:val="24"/>
          <w:szCs w:val="24"/>
        </w:rPr>
        <w:t>个</w:t>
      </w:r>
      <w:r>
        <w:rPr>
          <w:rFonts w:asciiTheme="minorEastAsia" w:hAnsiTheme="minorEastAsia" w:eastAsiaTheme="minorEastAsia" w:cstheme="minorEastAsia"/>
          <w:spacing w:val="-3"/>
          <w:sz w:val="24"/>
          <w:szCs w:val="24"/>
        </w:rPr>
        <w:t>以上</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报</w:t>
      </w:r>
      <w:r>
        <w:rPr>
          <w:rFonts w:asciiTheme="minorEastAsia" w:hAnsiTheme="minorEastAsia" w:eastAsiaTheme="minorEastAsia" w:cstheme="minorEastAsia"/>
          <w:spacing w:val="-2"/>
          <w:sz w:val="24"/>
          <w:szCs w:val="24"/>
        </w:rPr>
        <w:t>价</w:t>
      </w:r>
      <w:r>
        <w:rPr>
          <w:rFonts w:asciiTheme="minorEastAsia" w:hAnsiTheme="minorEastAsia" w:eastAsiaTheme="minorEastAsia" w:cstheme="minorEastAsia"/>
          <w:spacing w:val="-41"/>
          <w:sz w:val="24"/>
          <w:szCs w:val="24"/>
        </w:rPr>
        <w:t>，</w:t>
      </w:r>
      <w:r>
        <w:rPr>
          <w:rFonts w:asciiTheme="minorEastAsia" w:hAnsiTheme="minorEastAsia" w:eastAsiaTheme="minorEastAsia" w:cstheme="minorEastAsia"/>
          <w:spacing w:val="-3"/>
          <w:sz w:val="24"/>
          <w:szCs w:val="24"/>
        </w:rPr>
        <w:t>或者在</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3"/>
          <w:sz w:val="24"/>
          <w:szCs w:val="24"/>
        </w:rPr>
        <w:t>标文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5"/>
          <w:sz w:val="24"/>
          <w:szCs w:val="24"/>
        </w:rPr>
        <w:t>中</w:t>
      </w:r>
      <w:r>
        <w:rPr>
          <w:rFonts w:asciiTheme="minorEastAsia" w:hAnsiTheme="minorEastAsia" w:eastAsiaTheme="minorEastAsia" w:cstheme="minorEastAsia"/>
          <w:sz w:val="24"/>
          <w:szCs w:val="24"/>
        </w:rPr>
        <w:t>提</w:t>
      </w:r>
      <w:r>
        <w:rPr>
          <w:rFonts w:asciiTheme="minorEastAsia" w:hAnsiTheme="minorEastAsia" w:eastAsiaTheme="minorEastAsia" w:cstheme="minorEastAsia"/>
          <w:spacing w:val="-5"/>
          <w:sz w:val="24"/>
          <w:szCs w:val="24"/>
        </w:rPr>
        <w:t>供</w:t>
      </w:r>
      <w:r>
        <w:rPr>
          <w:rFonts w:asciiTheme="minorEastAsia" w:hAnsiTheme="minorEastAsia" w:eastAsiaTheme="minorEastAsia" w:cstheme="minorEastAsia"/>
          <w:sz w:val="24"/>
          <w:szCs w:val="24"/>
        </w:rPr>
        <w:t>一</w:t>
      </w:r>
      <w:r>
        <w:rPr>
          <w:rFonts w:asciiTheme="minorEastAsia" w:hAnsiTheme="minorEastAsia" w:eastAsiaTheme="minorEastAsia" w:cstheme="minorEastAsia"/>
          <w:spacing w:val="-3"/>
          <w:sz w:val="24"/>
          <w:szCs w:val="24"/>
        </w:rPr>
        <w:t>个报价</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z w:val="24"/>
          <w:szCs w:val="24"/>
        </w:rPr>
        <w:t>但</w:t>
      </w:r>
      <w:r>
        <w:rPr>
          <w:rFonts w:asciiTheme="minorEastAsia" w:hAnsiTheme="minorEastAsia" w:eastAsiaTheme="minorEastAsia" w:cstheme="minorEastAsia"/>
          <w:spacing w:val="-5"/>
          <w:sz w:val="24"/>
          <w:szCs w:val="24"/>
        </w:rPr>
        <w:t>同</w:t>
      </w:r>
      <w:r>
        <w:rPr>
          <w:rFonts w:asciiTheme="minorEastAsia" w:hAnsiTheme="minorEastAsia" w:eastAsiaTheme="minorEastAsia" w:cstheme="minorEastAsia"/>
          <w:sz w:val="24"/>
          <w:szCs w:val="24"/>
        </w:rPr>
        <w:t>时</w:t>
      </w:r>
      <w:r>
        <w:rPr>
          <w:rFonts w:asciiTheme="minorEastAsia" w:hAnsiTheme="minorEastAsia" w:eastAsiaTheme="minorEastAsia" w:cstheme="minorEastAsia"/>
          <w:spacing w:val="-5"/>
          <w:sz w:val="24"/>
          <w:szCs w:val="24"/>
        </w:rPr>
        <w:t>提</w:t>
      </w:r>
      <w:r>
        <w:rPr>
          <w:rFonts w:asciiTheme="minorEastAsia" w:hAnsiTheme="minorEastAsia" w:eastAsiaTheme="minorEastAsia" w:cstheme="minorEastAsia"/>
          <w:sz w:val="24"/>
          <w:szCs w:val="24"/>
        </w:rPr>
        <w:t>供</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pacing w:val="-2"/>
          <w:sz w:val="24"/>
          <w:szCs w:val="24"/>
        </w:rPr>
        <w:t>个</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3"/>
          <w:sz w:val="24"/>
          <w:szCs w:val="24"/>
        </w:rPr>
        <w:t>两个以上供货方案的，视为提供备选方案。</w:t>
      </w:r>
    </w:p>
    <w:p>
      <w:pPr>
        <w:pStyle w:val="8"/>
        <w:kinsoku w:val="0"/>
        <w:overflowPunct w:val="0"/>
        <w:spacing w:line="360" w:lineRule="auto"/>
        <w:ind w:left="356"/>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3.7</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投标文件的编制</w:t>
      </w:r>
    </w:p>
    <w:p>
      <w:pPr>
        <w:pStyle w:val="13"/>
        <w:kinsoku w:val="0"/>
        <w:overflowPunct w:val="0"/>
        <w:spacing w:line="360" w:lineRule="auto"/>
        <w:ind w:left="538"/>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3.7.1、投标人首先通过邓州市公共资源交易中心新系统注册并绑定</w:t>
      </w:r>
      <w:r>
        <w:rPr>
          <w:rFonts w:asciiTheme="minorEastAsia" w:hAnsiTheme="minorEastAsia" w:eastAsiaTheme="minorEastAsia" w:cstheme="minorEastAsia"/>
          <w:spacing w:val="-60"/>
          <w:sz w:val="24"/>
          <w:szCs w:val="24"/>
        </w:rPr>
        <w:t xml:space="preserve"> </w:t>
      </w:r>
      <w:r>
        <w:rPr>
          <w:rFonts w:asciiTheme="minorEastAsia" w:hAnsiTheme="minorEastAsia" w:eastAsiaTheme="minorEastAsia" w:cstheme="minorEastAsia"/>
          <w:spacing w:val="-1"/>
          <w:sz w:val="24"/>
          <w:szCs w:val="24"/>
        </w:rPr>
        <w:t>CA。</w:t>
      </w:r>
    </w:p>
    <w:p>
      <w:pPr>
        <w:pStyle w:val="13"/>
        <w:kinsoku w:val="0"/>
        <w:overflowPunct w:val="0"/>
        <w:spacing w:line="360" w:lineRule="auto"/>
        <w:ind w:left="53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3.7.2、投标人通过“邓州市公共资源交易平台”下载专区下载“投标文件制作工具”。</w:t>
      </w:r>
    </w:p>
    <w:p>
      <w:pPr>
        <w:pStyle w:val="13"/>
        <w:kinsoku w:val="0"/>
        <w:overflowPunct w:val="0"/>
        <w:spacing w:line="360" w:lineRule="auto"/>
        <w:ind w:left="53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3.7.3、投标人登陆并按提示自行下载每个项目每个标段的.tf</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2"/>
          <w:sz w:val="24"/>
          <w:szCs w:val="24"/>
        </w:rPr>
        <w:t>格式招标文件。</w:t>
      </w:r>
    </w:p>
    <w:p>
      <w:pPr>
        <w:pStyle w:val="13"/>
        <w:kinsoku w:val="0"/>
        <w:overflowPunct w:val="0"/>
        <w:spacing w:line="360" w:lineRule="auto"/>
        <w:ind w:left="53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3.7.4、投标人须在投标文件递交截止时间前制作并加密、提交：</w:t>
      </w:r>
    </w:p>
    <w:p>
      <w:pPr>
        <w:pStyle w:val="13"/>
        <w:kinsoku w:val="0"/>
        <w:overflowPunct w:val="0"/>
        <w:spacing w:line="360" w:lineRule="auto"/>
        <w:ind w:left="118"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 xml:space="preserve">（1）加密的电子投标文件（*.mbf </w:t>
      </w:r>
      <w:r>
        <w:rPr>
          <w:rFonts w:asciiTheme="minorEastAsia" w:hAnsiTheme="minorEastAsia" w:eastAsiaTheme="minorEastAsia" w:cstheme="minorEastAsia"/>
          <w:spacing w:val="16"/>
          <w:sz w:val="24"/>
          <w:szCs w:val="24"/>
        </w:rPr>
        <w:t xml:space="preserve"> </w:t>
      </w:r>
      <w:r>
        <w:rPr>
          <w:rFonts w:asciiTheme="minorEastAsia" w:hAnsiTheme="minorEastAsia" w:eastAsiaTheme="minorEastAsia" w:cstheme="minorEastAsia"/>
          <w:sz w:val="24"/>
          <w:szCs w:val="24"/>
        </w:rPr>
        <w:t>格式）,应在投标文件截止时间前通过“邓州市公共资源交易平台”上传；</w:t>
      </w:r>
    </w:p>
    <w:p>
      <w:pPr>
        <w:pStyle w:val="13"/>
        <w:kinsoku w:val="0"/>
        <w:overflowPunct w:val="0"/>
        <w:spacing w:line="360" w:lineRule="auto"/>
        <w:ind w:left="118"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（2）加密的电子投标文件（*.</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2"/>
          <w:sz w:val="24"/>
          <w:szCs w:val="24"/>
        </w:rPr>
        <w:t>mbf</w:t>
      </w:r>
      <w:r>
        <w:rPr>
          <w:rFonts w:asciiTheme="minorEastAsia" w:hAnsiTheme="minorEastAsia" w:eastAsiaTheme="minorEastAsia" w:cstheme="minorEastAsia"/>
          <w:spacing w:val="29"/>
          <w:sz w:val="24"/>
          <w:szCs w:val="24"/>
        </w:rPr>
        <w:t xml:space="preserve"> </w:t>
      </w:r>
      <w:r>
        <w:rPr>
          <w:rFonts w:asciiTheme="minorEastAsia" w:hAnsiTheme="minorEastAsia" w:eastAsiaTheme="minorEastAsia" w:cstheme="minorEastAsia"/>
          <w:spacing w:val="-2"/>
          <w:sz w:val="24"/>
          <w:szCs w:val="24"/>
        </w:rPr>
        <w:t>格式）1</w:t>
      </w:r>
      <w:r>
        <w:rPr>
          <w:rFonts w:asciiTheme="minorEastAsia" w:hAnsiTheme="minorEastAsia" w:eastAsiaTheme="minorEastAsia" w:cstheme="minorEastAsia"/>
          <w:spacing w:val="-1"/>
          <w:sz w:val="24"/>
          <w:szCs w:val="24"/>
        </w:rPr>
        <w:t>份（U</w:t>
      </w:r>
      <w:r>
        <w:rPr>
          <w:rFonts w:asciiTheme="minorEastAsia" w:hAnsiTheme="minorEastAsia" w:eastAsiaTheme="minorEastAsia" w:cstheme="minorEastAsia"/>
          <w:spacing w:val="-2"/>
          <w:sz w:val="24"/>
          <w:szCs w:val="24"/>
        </w:rPr>
        <w:t>盘介质）；未加密的电子投标文件（*.bf格式）1</w:t>
      </w:r>
      <w:r>
        <w:rPr>
          <w:rFonts w:asciiTheme="minorEastAsia" w:hAnsiTheme="minorEastAsia" w:eastAsiaTheme="minorEastAsia" w:cstheme="minorEastAsia"/>
          <w:sz w:val="24"/>
          <w:szCs w:val="24"/>
        </w:rPr>
        <w:t>份（U</w:t>
      </w:r>
      <w:r>
        <w:rPr>
          <w:rFonts w:asciiTheme="minorEastAsia" w:hAnsiTheme="minorEastAsia" w:eastAsiaTheme="minorEastAsia" w:cstheme="minorEastAsia"/>
          <w:spacing w:val="4"/>
          <w:sz w:val="24"/>
          <w:szCs w:val="24"/>
        </w:rPr>
        <w:t xml:space="preserve"> </w:t>
      </w:r>
      <w:r>
        <w:rPr>
          <w:rFonts w:asciiTheme="minorEastAsia" w:hAnsiTheme="minorEastAsia" w:eastAsiaTheme="minorEastAsia" w:cstheme="minorEastAsia"/>
          <w:spacing w:val="-2"/>
          <w:sz w:val="24"/>
          <w:szCs w:val="24"/>
        </w:rPr>
        <w:t>盘介质），FDF</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52"/>
          <w:sz w:val="24"/>
          <w:szCs w:val="24"/>
        </w:rPr>
        <w:t xml:space="preserve"> </w:t>
      </w:r>
      <w:r>
        <w:rPr>
          <w:rFonts w:asciiTheme="minorEastAsia" w:hAnsiTheme="minorEastAsia" w:eastAsiaTheme="minorEastAsia" w:cstheme="minorEastAsia"/>
          <w:spacing w:val="-2"/>
          <w:sz w:val="24"/>
          <w:szCs w:val="24"/>
        </w:rPr>
        <w:t>word</w:t>
      </w:r>
      <w:r>
        <w:rPr>
          <w:rFonts w:asciiTheme="minorEastAsia" w:hAnsiTheme="minorEastAsia" w:eastAsiaTheme="minorEastAsia" w:cstheme="minorEastAsia"/>
          <w:spacing w:val="7"/>
          <w:sz w:val="24"/>
          <w:szCs w:val="24"/>
        </w:rPr>
        <w:t xml:space="preserve"> </w:t>
      </w:r>
      <w:r>
        <w:rPr>
          <w:rFonts w:asciiTheme="minorEastAsia" w:hAnsiTheme="minorEastAsia" w:eastAsiaTheme="minorEastAsia" w:cstheme="minorEastAsia"/>
          <w:sz w:val="24"/>
          <w:szCs w:val="24"/>
        </w:rPr>
        <w:t>版</w:t>
      </w:r>
      <w:r>
        <w:rPr>
          <w:rFonts w:asciiTheme="minorEastAsia" w:hAnsiTheme="minorEastAsia" w:eastAsiaTheme="minorEastAsia" w:cstheme="minorEastAsia"/>
          <w:spacing w:val="-55"/>
          <w:sz w:val="24"/>
          <w:szCs w:val="24"/>
        </w:rPr>
        <w:t xml:space="preserve"> </w:t>
      </w:r>
      <w:r>
        <w:rPr>
          <w:rFonts w:asciiTheme="minorEastAsia" w:hAnsiTheme="minorEastAsia" w:eastAsiaTheme="minorEastAsia" w:cstheme="minorEastAsia"/>
          <w:sz w:val="24"/>
          <w:szCs w:val="24"/>
        </w:rPr>
        <w:t>1份（U</w:t>
      </w:r>
      <w:r>
        <w:rPr>
          <w:rFonts w:asciiTheme="minorEastAsia" w:hAnsiTheme="minorEastAsia" w:eastAsiaTheme="minorEastAsia" w:cstheme="minorEastAsia"/>
          <w:spacing w:val="4"/>
          <w:sz w:val="24"/>
          <w:szCs w:val="24"/>
        </w:rPr>
        <w:t xml:space="preserve"> </w:t>
      </w:r>
      <w:r>
        <w:rPr>
          <w:rFonts w:asciiTheme="minorEastAsia" w:hAnsiTheme="minorEastAsia" w:eastAsiaTheme="minorEastAsia" w:cstheme="minorEastAsia"/>
          <w:spacing w:val="-2"/>
          <w:sz w:val="24"/>
          <w:szCs w:val="24"/>
        </w:rPr>
        <w:t>盘介质），分别单独密封提交；</w:t>
      </w:r>
    </w:p>
    <w:p>
      <w:pPr>
        <w:pStyle w:val="13"/>
        <w:kinsoku w:val="0"/>
        <w:overflowPunct w:val="0"/>
        <w:spacing w:line="360" w:lineRule="auto"/>
        <w:ind w:left="53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（3）纸质投标文件正本壹份，副本肆份（A4</w:t>
      </w:r>
      <w:r>
        <w:rPr>
          <w:rFonts w:asciiTheme="minorEastAsia" w:hAnsiTheme="minorEastAsia" w:eastAsiaTheme="minorEastAsia" w:cstheme="minorEastAsia"/>
          <w:spacing w:val="9"/>
          <w:sz w:val="24"/>
          <w:szCs w:val="24"/>
        </w:rPr>
        <w:t xml:space="preserve"> </w:t>
      </w:r>
      <w:r>
        <w:rPr>
          <w:rFonts w:asciiTheme="minorEastAsia" w:hAnsiTheme="minorEastAsia" w:eastAsiaTheme="minorEastAsia" w:cstheme="minorEastAsia"/>
          <w:spacing w:val="-2"/>
          <w:sz w:val="24"/>
          <w:szCs w:val="24"/>
        </w:rPr>
        <w:t>纸打印并胶装），密封提交。</w:t>
      </w:r>
    </w:p>
    <w:p>
      <w:pPr>
        <w:pStyle w:val="13"/>
        <w:kinsoku w:val="0"/>
        <w:overflowPunct w:val="0"/>
        <w:spacing w:line="360" w:lineRule="auto"/>
        <w:ind w:left="118" w:right="1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3.7.5、加密的电子投标文件为“邓州市公共资源交易平台”</w:t>
      </w:r>
      <w:r>
        <w:rPr>
          <w:rFonts w:asciiTheme="minorEastAsia" w:hAnsiTheme="minorEastAsia" w:eastAsiaTheme="minorEastAsia" w:cstheme="minorEastAsia"/>
          <w:spacing w:val="13"/>
          <w:sz w:val="24"/>
          <w:szCs w:val="24"/>
        </w:rPr>
        <w:t xml:space="preserve"> </w:t>
      </w:r>
      <w:r>
        <w:rPr>
          <w:rFonts w:asciiTheme="minorEastAsia" w:hAnsiTheme="minorEastAsia" w:eastAsiaTheme="minorEastAsia" w:cstheme="minorEastAsia"/>
          <w:spacing w:val="1"/>
          <w:sz w:val="24"/>
          <w:szCs w:val="24"/>
        </w:rPr>
        <w:t>网站提供的“投标文件制作工具”软件</w:t>
      </w:r>
      <w:r>
        <w:rPr>
          <w:rFonts w:asciiTheme="minorEastAsia" w:hAnsiTheme="minorEastAsia" w:eastAsiaTheme="minorEastAsia" w:cstheme="minorEastAsia"/>
          <w:spacing w:val="22"/>
          <w:sz w:val="24"/>
          <w:szCs w:val="24"/>
        </w:rPr>
        <w:t xml:space="preserve"> </w:t>
      </w:r>
      <w:r>
        <w:rPr>
          <w:rFonts w:asciiTheme="minorEastAsia" w:hAnsiTheme="minorEastAsia" w:eastAsiaTheme="minorEastAsia" w:cstheme="minorEastAsia"/>
          <w:spacing w:val="-2"/>
          <w:sz w:val="24"/>
          <w:szCs w:val="24"/>
        </w:rPr>
        <w:t>制作生成的加密版投标文件。未加密的电子投标文件应与加密的电子投标文件为同时生成的版本。</w:t>
      </w:r>
    </w:p>
    <w:p>
      <w:pPr>
        <w:pStyle w:val="13"/>
        <w:kinsoku w:val="0"/>
        <w:overflowPunct w:val="0"/>
        <w:spacing w:line="360" w:lineRule="auto"/>
        <w:ind w:left="118" w:right="107"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3.7.6、投标人在制作电子投标文件时，开标一览表中的内容应认真填写。所有投标文件内容编制完毕</w:t>
      </w:r>
      <w:r>
        <w:rPr>
          <w:rFonts w:asciiTheme="minorEastAsia" w:hAnsiTheme="minorEastAsia" w:eastAsiaTheme="minorEastAsia" w:cstheme="minorEastAsia"/>
          <w:sz w:val="24"/>
          <w:szCs w:val="24"/>
        </w:rPr>
        <w:t>且标记为已完成后，须按照招标文件要求签电子公章及法定代表人章，在签章过程中企业</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z w:val="24"/>
          <w:szCs w:val="24"/>
        </w:rPr>
        <w:t>CA</w:t>
      </w:r>
      <w:r>
        <w:rPr>
          <w:rFonts w:asciiTheme="minorEastAsia" w:hAnsiTheme="minorEastAsia" w:eastAsiaTheme="minorEastAsia" w:cstheme="minorEastAsia"/>
          <w:spacing w:val="13"/>
          <w:sz w:val="24"/>
          <w:szCs w:val="24"/>
        </w:rPr>
        <w:t xml:space="preserve"> </w:t>
      </w:r>
      <w:r>
        <w:rPr>
          <w:rFonts w:asciiTheme="minorEastAsia" w:hAnsiTheme="minorEastAsia" w:eastAsiaTheme="minorEastAsia" w:cstheme="minorEastAsia"/>
          <w:sz w:val="24"/>
          <w:szCs w:val="24"/>
        </w:rPr>
        <w:t>与法人</w:t>
      </w:r>
      <w:r>
        <w:rPr>
          <w:rFonts w:asciiTheme="minorEastAsia" w:hAnsiTheme="minorEastAsia" w:eastAsiaTheme="minorEastAsia" w:cstheme="minorEastAsia"/>
          <w:spacing w:val="3"/>
          <w:sz w:val="24"/>
          <w:szCs w:val="24"/>
        </w:rPr>
        <w:t xml:space="preserve"> </w:t>
      </w:r>
      <w:r>
        <w:rPr>
          <w:rFonts w:asciiTheme="minorEastAsia" w:hAnsiTheme="minorEastAsia" w:eastAsiaTheme="minorEastAsia" w:cstheme="minorEastAsia"/>
          <w:spacing w:val="-3"/>
          <w:sz w:val="24"/>
          <w:szCs w:val="24"/>
        </w:rPr>
        <w:t>CA</w:t>
      </w:r>
      <w:r>
        <w:rPr>
          <w:rFonts w:asciiTheme="minorEastAsia" w:hAnsiTheme="minorEastAsia" w:eastAsiaTheme="minorEastAsia" w:cstheme="minorEastAsia"/>
          <w:spacing w:val="45"/>
          <w:sz w:val="24"/>
          <w:szCs w:val="24"/>
        </w:rPr>
        <w:t xml:space="preserve"> </w:t>
      </w:r>
      <w:r>
        <w:rPr>
          <w:rFonts w:asciiTheme="minorEastAsia" w:hAnsiTheme="minorEastAsia" w:eastAsiaTheme="minorEastAsia" w:cstheme="minorEastAsia"/>
          <w:sz w:val="24"/>
          <w:szCs w:val="24"/>
        </w:rPr>
        <w:t>不能同时插入电脑，签章完毕后须用企业</w:t>
      </w:r>
      <w:r>
        <w:rPr>
          <w:rFonts w:asciiTheme="minorEastAsia" w:hAnsiTheme="minorEastAsia" w:eastAsiaTheme="minorEastAsia" w:cstheme="minorEastAsia"/>
          <w:spacing w:val="4"/>
          <w:sz w:val="24"/>
          <w:szCs w:val="24"/>
        </w:rPr>
        <w:t xml:space="preserve"> </w:t>
      </w:r>
      <w:r>
        <w:rPr>
          <w:rFonts w:asciiTheme="minorEastAsia" w:hAnsiTheme="minorEastAsia" w:eastAsiaTheme="minorEastAsia" w:cstheme="minorEastAsia"/>
          <w:sz w:val="24"/>
          <w:szCs w:val="24"/>
        </w:rPr>
        <w:t>CA</w:t>
      </w:r>
      <w:r>
        <w:rPr>
          <w:rFonts w:asciiTheme="minorEastAsia" w:hAnsiTheme="minorEastAsia" w:eastAsiaTheme="minorEastAsia" w:cstheme="minorEastAsia"/>
          <w:spacing w:val="13"/>
          <w:sz w:val="24"/>
          <w:szCs w:val="24"/>
        </w:rPr>
        <w:t xml:space="preserve"> </w:t>
      </w:r>
      <w:r>
        <w:rPr>
          <w:rFonts w:asciiTheme="minorEastAsia" w:hAnsiTheme="minorEastAsia" w:eastAsiaTheme="minorEastAsia" w:cstheme="minorEastAsia"/>
          <w:sz w:val="24"/>
          <w:szCs w:val="24"/>
        </w:rPr>
        <w:t>进行加密，并妥善保存系统生成的秘钥，以供开标现场</w:t>
      </w:r>
      <w:r>
        <w:rPr>
          <w:rFonts w:asciiTheme="minorEastAsia" w:hAnsiTheme="minorEastAsia" w:eastAsiaTheme="minorEastAsia" w:cstheme="minorEastAsia"/>
          <w:spacing w:val="1"/>
          <w:sz w:val="24"/>
          <w:szCs w:val="24"/>
        </w:rPr>
        <w:t xml:space="preserve"> </w:t>
      </w:r>
      <w:r>
        <w:rPr>
          <w:rFonts w:asciiTheme="minorEastAsia" w:hAnsiTheme="minorEastAsia" w:eastAsiaTheme="minorEastAsia" w:cstheme="minorEastAsia"/>
          <w:sz w:val="24"/>
          <w:szCs w:val="24"/>
        </w:rPr>
        <w:t>CA</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2"/>
          <w:sz w:val="24"/>
          <w:szCs w:val="24"/>
        </w:rPr>
        <w:t>不能正常解密的情况下使用。</w:t>
      </w:r>
    </w:p>
    <w:p>
      <w:pPr>
        <w:pStyle w:val="13"/>
        <w:kinsoku w:val="0"/>
        <w:overflowPunct w:val="0"/>
        <w:spacing w:line="360" w:lineRule="auto"/>
        <w:ind w:left="18" w:firstLine="611" w:firstLineChars="25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纸质投标文件须按招标文件格式要求加盖投标人的公章并经法定代表人或授权代表签字。</w:t>
      </w:r>
      <w:r>
        <w:rPr>
          <w:rFonts w:asciiTheme="minorEastAsia" w:hAnsiTheme="minorEastAsia" w:eastAsiaTheme="minorEastAsia" w:cstheme="minorEastAsia"/>
          <w:spacing w:val="-1"/>
          <w:sz w:val="24"/>
          <w:szCs w:val="24"/>
        </w:rPr>
        <w:t>招标文件格式所要求包含的全部资料应全部制作在投标文件内，严格按照本项目招标文件所有格式如实填写（不涉及的内容除外），不应存在漏项或缺项，否则将存在投标文件被拒绝的风险。开标一览表，</w:t>
      </w:r>
      <w:r>
        <w:rPr>
          <w:rFonts w:asciiTheme="minorEastAsia" w:hAnsiTheme="minorEastAsia" w:eastAsiaTheme="minorEastAsia" w:cstheme="minorEastAsia"/>
          <w:spacing w:val="-2"/>
          <w:sz w:val="24"/>
          <w:szCs w:val="24"/>
        </w:rPr>
        <w:t>须严格按照格式编辑，并作为电子开评标系统上传的依据。</w:t>
      </w:r>
    </w:p>
    <w:p>
      <w:pPr>
        <w:pStyle w:val="4"/>
        <w:kinsoku w:val="0"/>
        <w:overflowPunct w:val="0"/>
        <w:spacing w:line="360" w:lineRule="auto"/>
        <w:ind w:left="5"/>
        <w:jc w:val="center"/>
        <w:rPr>
          <w:rFonts w:hint="default" w:asciiTheme="minorEastAsia" w:hAnsiTheme="minorEastAsia" w:eastAsiaTheme="minorEastAsia" w:cstheme="minorEastAsia"/>
          <w:b w:val="0"/>
          <w:sz w:val="30"/>
          <w:szCs w:val="30"/>
        </w:rPr>
      </w:pPr>
      <w:bookmarkStart w:id="24" w:name="bookmark7"/>
      <w:bookmarkEnd w:id="24"/>
      <w:r>
        <w:rPr>
          <w:rFonts w:asciiTheme="minorEastAsia" w:hAnsiTheme="minorEastAsia" w:eastAsiaTheme="minorEastAsia" w:cstheme="minorEastAsia"/>
          <w:sz w:val="30"/>
          <w:szCs w:val="30"/>
        </w:rPr>
        <w:t>4.</w:t>
      </w:r>
      <w:r>
        <w:rPr>
          <w:rFonts w:asciiTheme="minorEastAsia" w:hAnsiTheme="minorEastAsia" w:eastAsiaTheme="minorEastAsia" w:cstheme="minorEastAsia"/>
          <w:spacing w:val="69"/>
          <w:sz w:val="30"/>
          <w:szCs w:val="30"/>
        </w:rPr>
        <w:t xml:space="preserve"> </w:t>
      </w:r>
      <w:r>
        <w:rPr>
          <w:rFonts w:asciiTheme="minorEastAsia" w:hAnsiTheme="minorEastAsia" w:eastAsiaTheme="minorEastAsia" w:cstheme="minorEastAsia"/>
          <w:spacing w:val="4"/>
          <w:sz w:val="30"/>
          <w:szCs w:val="30"/>
        </w:rPr>
        <w:t>投 标</w:t>
      </w:r>
    </w:p>
    <w:p>
      <w:pPr>
        <w:pStyle w:val="8"/>
        <w:kinsoku w:val="0"/>
        <w:overflowPunct w:val="0"/>
        <w:spacing w:line="360" w:lineRule="auto"/>
        <w:ind w:left="356"/>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4.1</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投标文件的密封和标记</w:t>
      </w:r>
    </w:p>
    <w:p>
      <w:pPr>
        <w:pStyle w:val="13"/>
        <w:kinsoku w:val="0"/>
        <w:overflowPunct w:val="0"/>
        <w:spacing w:line="360" w:lineRule="auto"/>
        <w:ind w:firstLine="476" w:firstLineChars="20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4.1.1 投标文件应密封包装，并在封套的封口处加盖投标人单位章或由投标人的法定代表人（单位负责人）或其授权的代理人签字。</w:t>
      </w:r>
    </w:p>
    <w:p>
      <w:pPr>
        <w:pStyle w:val="13"/>
        <w:kinsoku w:val="0"/>
        <w:overflowPunct w:val="0"/>
        <w:spacing w:line="360" w:lineRule="auto"/>
        <w:ind w:left="6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4.1.2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投标文件封套上应写明的内容见投标人须知前附表。</w:t>
      </w:r>
    </w:p>
    <w:p>
      <w:pPr>
        <w:pStyle w:val="13"/>
        <w:kinsoku w:val="0"/>
        <w:overflowPunct w:val="0"/>
        <w:spacing w:line="360" w:lineRule="auto"/>
        <w:ind w:left="6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4.1.3</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2"/>
          <w:sz w:val="24"/>
          <w:szCs w:val="24"/>
        </w:rPr>
        <w:t>未按本章第</w:t>
      </w:r>
      <w:r>
        <w:rPr>
          <w:rFonts w:asciiTheme="minorEastAsia" w:hAnsiTheme="minorEastAsia" w:eastAsiaTheme="minorEastAsia" w:cstheme="minorEastAsia"/>
          <w:spacing w:val="-11"/>
          <w:sz w:val="24"/>
          <w:szCs w:val="24"/>
        </w:rPr>
        <w:t xml:space="preserve"> </w:t>
      </w:r>
      <w:r>
        <w:rPr>
          <w:rFonts w:asciiTheme="minorEastAsia" w:hAnsiTheme="minorEastAsia" w:eastAsiaTheme="minorEastAsia" w:cstheme="minorEastAsia"/>
          <w:spacing w:val="-1"/>
          <w:sz w:val="24"/>
          <w:szCs w:val="24"/>
        </w:rPr>
        <w:t>4.1.1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3"/>
          <w:sz w:val="24"/>
          <w:szCs w:val="24"/>
        </w:rPr>
        <w:t>项要求密封的投标文件，招标人将予以拒收。</w:t>
      </w:r>
    </w:p>
    <w:p>
      <w:pPr>
        <w:pStyle w:val="8"/>
        <w:kinsoku w:val="0"/>
        <w:overflowPunct w:val="0"/>
        <w:spacing w:line="360" w:lineRule="auto"/>
        <w:ind w:left="356"/>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4.2</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投标文件的递交</w:t>
      </w:r>
    </w:p>
    <w:p>
      <w:pPr>
        <w:pStyle w:val="13"/>
        <w:kinsoku w:val="0"/>
        <w:overflowPunct w:val="0"/>
        <w:spacing w:line="360" w:lineRule="auto"/>
        <w:ind w:firstLine="476" w:firstLineChars="2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4.2.1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z w:val="24"/>
          <w:szCs w:val="24"/>
        </w:rPr>
        <w:t>投标人应在本章第</w:t>
      </w:r>
      <w:r>
        <w:rPr>
          <w:rFonts w:asciiTheme="minorEastAsia" w:hAnsiTheme="minorEastAsia" w:eastAsiaTheme="minorEastAsia" w:cstheme="minorEastAsia"/>
          <w:spacing w:val="-8"/>
          <w:sz w:val="24"/>
          <w:szCs w:val="24"/>
        </w:rPr>
        <w:t xml:space="preserve"> </w:t>
      </w:r>
      <w:r>
        <w:rPr>
          <w:rFonts w:asciiTheme="minorEastAsia" w:hAnsiTheme="minorEastAsia" w:eastAsiaTheme="minorEastAsia" w:cstheme="minorEastAsia"/>
          <w:sz w:val="24"/>
          <w:szCs w:val="24"/>
        </w:rPr>
        <w:t>2.2.2</w:t>
      </w:r>
      <w:r>
        <w:rPr>
          <w:rFonts w:asciiTheme="minorEastAsia" w:hAnsiTheme="minorEastAsia" w:eastAsiaTheme="minorEastAsia" w:cstheme="minorEastAsia"/>
          <w:spacing w:val="-13"/>
          <w:sz w:val="24"/>
          <w:szCs w:val="24"/>
        </w:rPr>
        <w:t xml:space="preserve"> </w:t>
      </w:r>
      <w:r>
        <w:rPr>
          <w:rFonts w:asciiTheme="minorEastAsia" w:hAnsiTheme="minorEastAsia" w:eastAsiaTheme="minorEastAsia" w:cstheme="minorEastAsia"/>
          <w:sz w:val="24"/>
          <w:szCs w:val="24"/>
        </w:rPr>
        <w:t>项规定的投标截止时间前递交电子投标文件。投标人递交电子投</w:t>
      </w:r>
      <w:r>
        <w:rPr>
          <w:rFonts w:asciiTheme="minorEastAsia" w:hAnsiTheme="minorEastAsia" w:eastAsiaTheme="minorEastAsia" w:cstheme="minorEastAsia"/>
          <w:spacing w:val="-2"/>
          <w:sz w:val="24"/>
          <w:szCs w:val="24"/>
        </w:rPr>
        <w:t>标文件的地点：见投标人须知前附表。</w:t>
      </w:r>
    </w:p>
    <w:p>
      <w:pPr>
        <w:pStyle w:val="13"/>
        <w:kinsoku w:val="0"/>
        <w:overflowPunct w:val="0"/>
        <w:spacing w:line="360" w:lineRule="auto"/>
        <w:ind w:firstLine="476" w:firstLineChars="2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4.2.2</w:t>
      </w:r>
      <w:r>
        <w:rPr>
          <w:rFonts w:asciiTheme="minorEastAsia" w:hAnsiTheme="minorEastAsia" w:eastAsiaTheme="minorEastAsia" w:cstheme="minorEastAsia"/>
          <w:spacing w:val="43"/>
          <w:sz w:val="24"/>
          <w:szCs w:val="24"/>
        </w:rPr>
        <w:t xml:space="preserve"> </w:t>
      </w:r>
      <w:r>
        <w:rPr>
          <w:rFonts w:asciiTheme="minorEastAsia" w:hAnsiTheme="minorEastAsia" w:eastAsiaTheme="minorEastAsia" w:cstheme="minorEastAsia"/>
          <w:spacing w:val="-2"/>
          <w:sz w:val="24"/>
          <w:szCs w:val="24"/>
        </w:rPr>
        <w:t>投标人应在邓州市公共资源交易系统下载“电子投标文件制作工具”，并按照招标文件要求编制和上传递交加密的电子投标文件。</w:t>
      </w:r>
    </w:p>
    <w:p>
      <w:pPr>
        <w:pStyle w:val="13"/>
        <w:kinsoku w:val="0"/>
        <w:overflowPunct w:val="0"/>
        <w:spacing w:line="360" w:lineRule="auto"/>
        <w:ind w:left="10" w:firstLine="556" w:firstLineChars="234"/>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4.2.3</w:t>
      </w:r>
      <w:r>
        <w:rPr>
          <w:rFonts w:asciiTheme="minorEastAsia" w:hAnsiTheme="minorEastAsia" w:eastAsiaTheme="minorEastAsia" w:cstheme="minorEastAsia"/>
          <w:spacing w:val="-3"/>
          <w:sz w:val="24"/>
          <w:szCs w:val="24"/>
        </w:rPr>
        <w:t xml:space="preserve"> </w:t>
      </w:r>
      <w:r>
        <w:rPr>
          <w:rFonts w:asciiTheme="minorEastAsia" w:hAnsiTheme="minorEastAsia" w:eastAsiaTheme="minorEastAsia" w:cstheme="minorEastAsia"/>
          <w:spacing w:val="-1"/>
          <w:sz w:val="24"/>
          <w:szCs w:val="24"/>
        </w:rPr>
        <w:t>投标人的电子投标文件应在招标文件规定的投标截止时间前到达交易系统。逾期到达交易系</w:t>
      </w:r>
      <w:r>
        <w:rPr>
          <w:rFonts w:asciiTheme="minorEastAsia" w:hAnsiTheme="minorEastAsia" w:eastAsiaTheme="minorEastAsia" w:cstheme="minorEastAsia"/>
          <w:spacing w:val="-2"/>
          <w:sz w:val="24"/>
          <w:szCs w:val="24"/>
        </w:rPr>
        <w:t>统的电子投标文件视为放弃本次投标。</w:t>
      </w:r>
    </w:p>
    <w:p>
      <w:pPr>
        <w:pStyle w:val="13"/>
        <w:kinsoku w:val="0"/>
        <w:overflowPunct w:val="0"/>
        <w:spacing w:line="360" w:lineRule="auto"/>
        <w:ind w:left="10" w:firstLine="556" w:firstLineChars="234"/>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4.2.4</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2"/>
          <w:sz w:val="24"/>
          <w:szCs w:val="24"/>
        </w:rPr>
        <w:t>投标人所递交的电子投标文件在投标截止时间之后不予退回。</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4.3</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投标文件的修改与撤回</w:t>
      </w:r>
    </w:p>
    <w:p>
      <w:pPr>
        <w:pStyle w:val="13"/>
        <w:kinsoku w:val="0"/>
        <w:overflowPunct w:val="0"/>
        <w:spacing w:line="360" w:lineRule="auto"/>
        <w:ind w:left="10" w:firstLine="556" w:firstLineChars="234"/>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4.3.1</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2"/>
          <w:sz w:val="24"/>
          <w:szCs w:val="24"/>
        </w:rPr>
        <w:t>在投标人须知前附表规定的投标截止时间前，投标人可以修改或撤回已上传的电子投标文件，最终电子投标文件以投标截止时间前完成上传至邓州市公共资源交易中心网交易系统最后一份投标文件为准。</w:t>
      </w:r>
    </w:p>
    <w:p>
      <w:pPr>
        <w:pStyle w:val="13"/>
        <w:kinsoku w:val="0"/>
        <w:overflowPunct w:val="0"/>
        <w:spacing w:line="360" w:lineRule="auto"/>
        <w:ind w:left="10" w:firstLine="556" w:firstLineChars="234"/>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4.3.2</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2"/>
          <w:sz w:val="24"/>
          <w:szCs w:val="24"/>
        </w:rPr>
        <w:t>投标截止时间之后，投标单位不得修改或撤回电子投标文件；</w:t>
      </w:r>
    </w:p>
    <w:p>
      <w:pPr>
        <w:pStyle w:val="13"/>
        <w:kinsoku w:val="0"/>
        <w:overflowPunct w:val="0"/>
        <w:spacing w:line="360" w:lineRule="auto"/>
        <w:ind w:left="18" w:firstLine="547" w:firstLineChars="23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4.3.3</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2"/>
          <w:sz w:val="24"/>
          <w:szCs w:val="24"/>
        </w:rPr>
        <w:t>投标截止时间之后，在投标有效期内，投标人不得撤回电子投标文件，否则投标保证金</w:t>
      </w:r>
      <w:r>
        <w:rPr>
          <w:rFonts w:asciiTheme="minorEastAsia" w:hAnsiTheme="minorEastAsia" w:eastAsiaTheme="minorEastAsia" w:cstheme="minorEastAsia"/>
          <w:spacing w:val="-1"/>
          <w:sz w:val="24"/>
          <w:szCs w:val="24"/>
        </w:rPr>
        <w:t>将不予退回。</w:t>
      </w:r>
    </w:p>
    <w:p>
      <w:pPr>
        <w:pStyle w:val="8"/>
        <w:tabs>
          <w:tab w:val="left" w:pos="964"/>
        </w:tabs>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 xml:space="preserve">4.4 </w:t>
      </w:r>
      <w:r>
        <w:rPr>
          <w:rFonts w:asciiTheme="minorEastAsia" w:hAnsiTheme="minorEastAsia" w:eastAsiaTheme="minorEastAsia" w:cstheme="minorEastAsia"/>
          <w:b/>
          <w:bCs/>
          <w:spacing w:val="-1"/>
          <w:sz w:val="24"/>
          <w:szCs w:val="24"/>
        </w:rPr>
        <w:t>供应商信用记录查询</w:t>
      </w:r>
    </w:p>
    <w:p>
      <w:pPr>
        <w:pStyle w:val="13"/>
        <w:kinsoku w:val="0"/>
        <w:overflowPunct w:val="0"/>
        <w:spacing w:line="360" w:lineRule="auto"/>
        <w:ind w:right="203"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根据《关于在政府采购活动中查询及使用信用记录有关问题的通知》(财库[2016]125号) 和豫财购【2016】15号的规定，采购人或采购代理机构应当在供应商递交投标文件或响应文件时查询供应商信用记录。查询时将查询网页、内容进行截图，以作证据留存</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截</w:t>
      </w:r>
      <w:r>
        <w:rPr>
          <w:rFonts w:asciiTheme="minorEastAsia" w:hAnsiTheme="minorEastAsia" w:eastAsiaTheme="minorEastAsia" w:cstheme="minorEastAsia"/>
          <w:spacing w:val="2"/>
          <w:sz w:val="24"/>
          <w:szCs w:val="24"/>
        </w:rPr>
        <w:t>图</w:t>
      </w:r>
      <w:r>
        <w:rPr>
          <w:rFonts w:asciiTheme="minorEastAsia" w:hAnsiTheme="minorEastAsia" w:eastAsiaTheme="minorEastAsia" w:cstheme="minorEastAsia"/>
          <w:spacing w:val="4"/>
          <w:sz w:val="24"/>
          <w:szCs w:val="24"/>
        </w:rPr>
        <w:t>或拍</w:t>
      </w:r>
      <w:r>
        <w:rPr>
          <w:rFonts w:asciiTheme="minorEastAsia" w:hAnsiTheme="minorEastAsia" w:eastAsiaTheme="minorEastAsia" w:cstheme="minorEastAsia"/>
          <w:spacing w:val="2"/>
          <w:sz w:val="24"/>
          <w:szCs w:val="24"/>
        </w:rPr>
        <w:t>照</w:t>
      </w:r>
      <w:r>
        <w:rPr>
          <w:rFonts w:asciiTheme="minorEastAsia" w:hAnsiTheme="minorEastAsia" w:eastAsiaTheme="minorEastAsia" w:cstheme="minorEastAsia"/>
          <w:spacing w:val="4"/>
          <w:sz w:val="24"/>
          <w:szCs w:val="24"/>
        </w:rPr>
        <w:t>内</w:t>
      </w:r>
      <w:r>
        <w:rPr>
          <w:rFonts w:asciiTheme="minorEastAsia" w:hAnsiTheme="minorEastAsia" w:eastAsiaTheme="minorEastAsia" w:cstheme="minorEastAsia"/>
          <w:spacing w:val="2"/>
          <w:sz w:val="24"/>
          <w:szCs w:val="24"/>
        </w:rPr>
        <w:t>容</w:t>
      </w:r>
      <w:r>
        <w:rPr>
          <w:rFonts w:asciiTheme="minorEastAsia" w:hAnsiTheme="minorEastAsia" w:eastAsiaTheme="minorEastAsia" w:cstheme="minorEastAsia"/>
          <w:spacing w:val="4"/>
          <w:sz w:val="24"/>
          <w:szCs w:val="24"/>
        </w:rPr>
        <w:t>要</w:t>
      </w:r>
      <w:r>
        <w:rPr>
          <w:rFonts w:asciiTheme="minorEastAsia" w:hAnsiTheme="minorEastAsia" w:eastAsiaTheme="minorEastAsia" w:cstheme="minorEastAsia"/>
          <w:spacing w:val="2"/>
          <w:sz w:val="24"/>
          <w:szCs w:val="24"/>
        </w:rPr>
        <w:t>完</w:t>
      </w:r>
      <w:r>
        <w:rPr>
          <w:rFonts w:asciiTheme="minorEastAsia" w:hAnsiTheme="minorEastAsia" w:eastAsiaTheme="minorEastAsia" w:cstheme="minorEastAsia"/>
          <w:spacing w:val="4"/>
          <w:sz w:val="24"/>
          <w:szCs w:val="24"/>
        </w:rPr>
        <w:t>整</w:t>
      </w:r>
      <w:r>
        <w:rPr>
          <w:rFonts w:asciiTheme="minorEastAsia" w:hAnsiTheme="minorEastAsia" w:eastAsiaTheme="minorEastAsia" w:cstheme="minorEastAsia"/>
          <w:spacing w:val="2"/>
          <w:sz w:val="24"/>
          <w:szCs w:val="24"/>
        </w:rPr>
        <w:t>清晰</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4"/>
          <w:sz w:val="24"/>
          <w:szCs w:val="24"/>
        </w:rPr>
        <w:t>对列</w:t>
      </w:r>
      <w:r>
        <w:rPr>
          <w:rFonts w:asciiTheme="minorEastAsia" w:hAnsiTheme="minorEastAsia" w:eastAsiaTheme="minorEastAsia" w:cstheme="minorEastAsia"/>
          <w:spacing w:val="2"/>
          <w:sz w:val="24"/>
          <w:szCs w:val="24"/>
        </w:rPr>
        <w:t>入</w:t>
      </w:r>
      <w:r>
        <w:rPr>
          <w:rFonts w:asciiTheme="minorEastAsia" w:hAnsiTheme="minorEastAsia" w:eastAsiaTheme="minorEastAsia" w:cstheme="minorEastAsia"/>
          <w:spacing w:val="4"/>
          <w:sz w:val="24"/>
          <w:szCs w:val="24"/>
        </w:rPr>
        <w:t>失</w:t>
      </w:r>
      <w:r>
        <w:rPr>
          <w:rFonts w:asciiTheme="minorEastAsia" w:hAnsiTheme="minorEastAsia" w:eastAsiaTheme="minorEastAsia" w:cstheme="minorEastAsia"/>
          <w:spacing w:val="2"/>
          <w:sz w:val="24"/>
          <w:szCs w:val="24"/>
        </w:rPr>
        <w:t>信</w:t>
      </w:r>
      <w:r>
        <w:rPr>
          <w:rFonts w:asciiTheme="minorEastAsia" w:hAnsiTheme="minorEastAsia" w:eastAsiaTheme="minorEastAsia" w:cstheme="minorEastAsia"/>
          <w:spacing w:val="4"/>
          <w:sz w:val="24"/>
          <w:szCs w:val="24"/>
        </w:rPr>
        <w:t>被</w:t>
      </w:r>
      <w:r>
        <w:rPr>
          <w:rFonts w:asciiTheme="minorEastAsia" w:hAnsiTheme="minorEastAsia" w:eastAsiaTheme="minorEastAsia" w:cstheme="minorEastAsia"/>
          <w:spacing w:val="2"/>
          <w:sz w:val="24"/>
          <w:szCs w:val="24"/>
        </w:rPr>
        <w:t>执</w:t>
      </w:r>
      <w:r>
        <w:rPr>
          <w:rFonts w:asciiTheme="minorEastAsia" w:hAnsiTheme="minorEastAsia" w:eastAsiaTheme="minorEastAsia" w:cstheme="minorEastAsia"/>
          <w:spacing w:val="4"/>
          <w:sz w:val="24"/>
          <w:szCs w:val="24"/>
        </w:rPr>
        <w:t>行</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4"/>
          <w:sz w:val="24"/>
          <w:szCs w:val="24"/>
        </w:rPr>
        <w:t>、</w:t>
      </w:r>
      <w:r>
        <w:rPr>
          <w:rFonts w:asciiTheme="minorEastAsia" w:hAnsiTheme="minorEastAsia" w:eastAsiaTheme="minorEastAsia" w:cstheme="minorEastAsia"/>
          <w:spacing w:val="2"/>
          <w:sz w:val="24"/>
          <w:szCs w:val="24"/>
        </w:rPr>
        <w:t>重</w:t>
      </w:r>
      <w:r>
        <w:rPr>
          <w:rFonts w:asciiTheme="minorEastAsia" w:hAnsiTheme="minorEastAsia" w:eastAsiaTheme="minorEastAsia" w:cstheme="minorEastAsia"/>
          <w:spacing w:val="4"/>
          <w:sz w:val="24"/>
          <w:szCs w:val="24"/>
        </w:rPr>
        <w:t>大税</w:t>
      </w:r>
      <w:r>
        <w:rPr>
          <w:rFonts w:asciiTheme="minorEastAsia" w:hAnsiTheme="minorEastAsia" w:eastAsiaTheme="minorEastAsia" w:cstheme="minorEastAsia"/>
          <w:spacing w:val="2"/>
          <w:sz w:val="24"/>
          <w:szCs w:val="24"/>
        </w:rPr>
        <w:t>收</w:t>
      </w:r>
      <w:r>
        <w:rPr>
          <w:rFonts w:asciiTheme="minorEastAsia" w:hAnsiTheme="minorEastAsia" w:eastAsiaTheme="minorEastAsia" w:cstheme="minorEastAsia"/>
          <w:spacing w:val="4"/>
          <w:sz w:val="24"/>
          <w:szCs w:val="24"/>
        </w:rPr>
        <w:t>违</w:t>
      </w:r>
      <w:r>
        <w:rPr>
          <w:rFonts w:asciiTheme="minorEastAsia" w:hAnsiTheme="minorEastAsia" w:eastAsiaTheme="minorEastAsia" w:cstheme="minorEastAsia"/>
          <w:spacing w:val="2"/>
          <w:sz w:val="24"/>
          <w:szCs w:val="24"/>
        </w:rPr>
        <w:t>法</w:t>
      </w:r>
      <w:r>
        <w:rPr>
          <w:rFonts w:asciiTheme="minorEastAsia" w:hAnsiTheme="minorEastAsia" w:eastAsiaTheme="minorEastAsia" w:cstheme="minorEastAsia"/>
          <w:spacing w:val="4"/>
          <w:sz w:val="24"/>
          <w:szCs w:val="24"/>
        </w:rPr>
        <w:t>案</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pacing w:val="4"/>
          <w:sz w:val="24"/>
          <w:szCs w:val="24"/>
        </w:rPr>
        <w:t>当</w:t>
      </w:r>
      <w:r>
        <w:rPr>
          <w:rFonts w:asciiTheme="minorEastAsia" w:hAnsiTheme="minorEastAsia" w:eastAsiaTheme="minorEastAsia" w:cstheme="minorEastAsia"/>
          <w:spacing w:val="2"/>
          <w:sz w:val="24"/>
          <w:szCs w:val="24"/>
        </w:rPr>
        <w:t>事</w:t>
      </w:r>
      <w:r>
        <w:rPr>
          <w:rFonts w:asciiTheme="minorEastAsia" w:hAnsiTheme="minorEastAsia" w:eastAsiaTheme="minorEastAsia" w:cstheme="minorEastAsia"/>
          <w:spacing w:val="4"/>
          <w:sz w:val="24"/>
          <w:szCs w:val="24"/>
        </w:rPr>
        <w:t>人</w:t>
      </w:r>
      <w:r>
        <w:rPr>
          <w:rFonts w:asciiTheme="minorEastAsia" w:hAnsiTheme="minorEastAsia" w:eastAsiaTheme="minorEastAsia" w:cstheme="minorEastAsia"/>
          <w:spacing w:val="2"/>
          <w:sz w:val="24"/>
          <w:szCs w:val="24"/>
        </w:rPr>
        <w:t>名</w:t>
      </w:r>
      <w:r>
        <w:rPr>
          <w:rFonts w:asciiTheme="minorEastAsia" w:hAnsiTheme="minorEastAsia" w:eastAsiaTheme="minorEastAsia" w:cstheme="minorEastAsia"/>
          <w:spacing w:val="4"/>
          <w:sz w:val="24"/>
          <w:szCs w:val="24"/>
        </w:rPr>
        <w:t>单、</w:t>
      </w:r>
      <w:r>
        <w:rPr>
          <w:rFonts w:asciiTheme="minorEastAsia" w:hAnsiTheme="minorEastAsia" w:eastAsiaTheme="minorEastAsia" w:cstheme="minorEastAsia"/>
          <w:spacing w:val="2"/>
          <w:sz w:val="24"/>
          <w:szCs w:val="24"/>
        </w:rPr>
        <w:t>政</w:t>
      </w:r>
      <w:r>
        <w:rPr>
          <w:rFonts w:asciiTheme="minorEastAsia" w:hAnsiTheme="minorEastAsia" w:eastAsiaTheme="minorEastAsia" w:cstheme="minorEastAsia"/>
          <w:spacing w:val="4"/>
          <w:sz w:val="24"/>
          <w:szCs w:val="24"/>
        </w:rPr>
        <w:t>府</w:t>
      </w:r>
      <w:r>
        <w:rPr>
          <w:rFonts w:asciiTheme="minorEastAsia" w:hAnsiTheme="minorEastAsia" w:eastAsiaTheme="minorEastAsia" w:cstheme="minorEastAsia"/>
          <w:spacing w:val="2"/>
          <w:sz w:val="24"/>
          <w:szCs w:val="24"/>
        </w:rPr>
        <w:t>采</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pacing w:val="2"/>
          <w:sz w:val="24"/>
          <w:szCs w:val="24"/>
        </w:rPr>
        <w:t>严</w:t>
      </w:r>
      <w:r>
        <w:rPr>
          <w:rFonts w:asciiTheme="minorEastAsia" w:hAnsiTheme="minorEastAsia" w:eastAsiaTheme="minorEastAsia" w:cstheme="minorEastAsia"/>
          <w:spacing w:val="4"/>
          <w:sz w:val="24"/>
          <w:szCs w:val="24"/>
        </w:rPr>
        <w:t>重</w:t>
      </w:r>
      <w:r>
        <w:rPr>
          <w:rFonts w:asciiTheme="minorEastAsia" w:hAnsiTheme="minorEastAsia" w:eastAsiaTheme="minorEastAsia" w:cstheme="minorEastAsia"/>
          <w:spacing w:val="2"/>
          <w:sz w:val="24"/>
          <w:szCs w:val="24"/>
        </w:rPr>
        <w:t>违</w:t>
      </w:r>
      <w:r>
        <w:rPr>
          <w:rFonts w:asciiTheme="minorEastAsia" w:hAnsiTheme="minorEastAsia" w:eastAsiaTheme="minorEastAsia" w:cstheme="minorEastAsia"/>
          <w:spacing w:val="4"/>
          <w:sz w:val="24"/>
          <w:szCs w:val="24"/>
        </w:rPr>
        <w:t>法</w:t>
      </w:r>
      <w:r>
        <w:rPr>
          <w:rFonts w:asciiTheme="minorEastAsia" w:hAnsiTheme="minorEastAsia" w:eastAsiaTheme="minorEastAsia" w:cstheme="minorEastAsia"/>
          <w:spacing w:val="2"/>
          <w:sz w:val="24"/>
          <w:szCs w:val="24"/>
        </w:rPr>
        <w:t>失</w:t>
      </w:r>
      <w:r>
        <w:rPr>
          <w:rFonts w:asciiTheme="minorEastAsia" w:hAnsiTheme="minorEastAsia" w:eastAsiaTheme="minorEastAsia" w:cstheme="minorEastAsia"/>
          <w:spacing w:val="4"/>
          <w:sz w:val="24"/>
          <w:szCs w:val="24"/>
        </w:rPr>
        <w:t>信行</w:t>
      </w:r>
      <w:r>
        <w:rPr>
          <w:rFonts w:asciiTheme="minorEastAsia" w:hAnsiTheme="minorEastAsia" w:eastAsiaTheme="minorEastAsia" w:cstheme="minorEastAsia"/>
          <w:spacing w:val="2"/>
          <w:sz w:val="24"/>
          <w:szCs w:val="24"/>
        </w:rPr>
        <w:t>为</w:t>
      </w:r>
      <w:r>
        <w:rPr>
          <w:rFonts w:asciiTheme="minorEastAsia" w:hAnsiTheme="minorEastAsia" w:eastAsiaTheme="minorEastAsia" w:cstheme="minorEastAsia"/>
          <w:spacing w:val="4"/>
          <w:sz w:val="24"/>
          <w:szCs w:val="24"/>
        </w:rPr>
        <w:t>记</w:t>
      </w:r>
      <w:r>
        <w:rPr>
          <w:rFonts w:asciiTheme="minorEastAsia" w:hAnsiTheme="minorEastAsia" w:eastAsiaTheme="minorEastAsia" w:cstheme="minorEastAsia"/>
          <w:spacing w:val="2"/>
          <w:sz w:val="24"/>
          <w:szCs w:val="24"/>
        </w:rPr>
        <w:t>录</w:t>
      </w:r>
      <w:r>
        <w:rPr>
          <w:rFonts w:asciiTheme="minorEastAsia" w:hAnsiTheme="minorEastAsia" w:eastAsiaTheme="minorEastAsia" w:cstheme="minorEastAsia"/>
          <w:spacing w:val="4"/>
          <w:sz w:val="24"/>
          <w:szCs w:val="24"/>
        </w:rPr>
        <w:t>名</w:t>
      </w:r>
      <w:r>
        <w:rPr>
          <w:rFonts w:asciiTheme="minorEastAsia" w:hAnsiTheme="minorEastAsia" w:eastAsiaTheme="minorEastAsia" w:cstheme="minorEastAsia"/>
          <w:spacing w:val="2"/>
          <w:sz w:val="24"/>
          <w:szCs w:val="24"/>
        </w:rPr>
        <w:t>单</w:t>
      </w:r>
      <w:r>
        <w:rPr>
          <w:rFonts w:asciiTheme="minorEastAsia" w:hAnsiTheme="minorEastAsia" w:eastAsiaTheme="minorEastAsia" w:cstheme="minorEastAsia"/>
          <w:spacing w:val="4"/>
          <w:sz w:val="24"/>
          <w:szCs w:val="24"/>
        </w:rPr>
        <w:t>及</w:t>
      </w:r>
      <w:r>
        <w:rPr>
          <w:rFonts w:asciiTheme="minorEastAsia" w:hAnsiTheme="minorEastAsia" w:eastAsiaTheme="minorEastAsia" w:cstheme="minorEastAsia"/>
          <w:spacing w:val="2"/>
          <w:sz w:val="24"/>
          <w:szCs w:val="24"/>
        </w:rPr>
        <w:t>其他</w:t>
      </w:r>
      <w:r>
        <w:rPr>
          <w:rFonts w:asciiTheme="minorEastAsia" w:hAnsiTheme="minorEastAsia" w:eastAsiaTheme="minorEastAsia" w:cstheme="minorEastAsia"/>
          <w:sz w:val="24"/>
          <w:szCs w:val="24"/>
        </w:rPr>
        <w:t xml:space="preserve">不 </w:t>
      </w:r>
      <w:r>
        <w:rPr>
          <w:rFonts w:asciiTheme="minorEastAsia" w:hAnsiTheme="minorEastAsia" w:eastAsiaTheme="minorEastAsia" w:cstheme="minorEastAsia"/>
          <w:spacing w:val="4"/>
          <w:sz w:val="24"/>
          <w:szCs w:val="24"/>
        </w:rPr>
        <w:t>符合</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中</w:t>
      </w:r>
      <w:r>
        <w:rPr>
          <w:rFonts w:asciiTheme="minorEastAsia" w:hAnsiTheme="minorEastAsia" w:eastAsiaTheme="minorEastAsia" w:cstheme="minorEastAsia"/>
          <w:spacing w:val="2"/>
          <w:sz w:val="24"/>
          <w:szCs w:val="24"/>
        </w:rPr>
        <w:t>华</w:t>
      </w:r>
      <w:r>
        <w:rPr>
          <w:rFonts w:asciiTheme="minorEastAsia" w:hAnsiTheme="minorEastAsia" w:eastAsiaTheme="minorEastAsia" w:cstheme="minorEastAsia"/>
          <w:spacing w:val="4"/>
          <w:sz w:val="24"/>
          <w:szCs w:val="24"/>
        </w:rPr>
        <w:t>人</w:t>
      </w:r>
      <w:r>
        <w:rPr>
          <w:rFonts w:asciiTheme="minorEastAsia" w:hAnsiTheme="minorEastAsia" w:eastAsiaTheme="minorEastAsia" w:cstheme="minorEastAsia"/>
          <w:spacing w:val="2"/>
          <w:sz w:val="24"/>
          <w:szCs w:val="24"/>
        </w:rPr>
        <w:t>民</w:t>
      </w:r>
      <w:r>
        <w:rPr>
          <w:rFonts w:asciiTheme="minorEastAsia" w:hAnsiTheme="minorEastAsia" w:eastAsiaTheme="minorEastAsia" w:cstheme="minorEastAsia"/>
          <w:spacing w:val="4"/>
          <w:sz w:val="24"/>
          <w:szCs w:val="24"/>
        </w:rPr>
        <w:t>共</w:t>
      </w:r>
      <w:r>
        <w:rPr>
          <w:rFonts w:asciiTheme="minorEastAsia" w:hAnsiTheme="minorEastAsia" w:eastAsiaTheme="minorEastAsia" w:cstheme="minorEastAsia"/>
          <w:spacing w:val="2"/>
          <w:sz w:val="24"/>
          <w:szCs w:val="24"/>
        </w:rPr>
        <w:t>和</w:t>
      </w:r>
      <w:r>
        <w:rPr>
          <w:rFonts w:asciiTheme="minorEastAsia" w:hAnsiTheme="minorEastAsia" w:eastAsiaTheme="minorEastAsia" w:cstheme="minorEastAsia"/>
          <w:spacing w:val="4"/>
          <w:sz w:val="24"/>
          <w:szCs w:val="24"/>
        </w:rPr>
        <w:t>国</w:t>
      </w:r>
      <w:r>
        <w:rPr>
          <w:rFonts w:asciiTheme="minorEastAsia" w:hAnsiTheme="minorEastAsia" w:eastAsiaTheme="minorEastAsia" w:cstheme="minorEastAsia"/>
          <w:spacing w:val="2"/>
          <w:sz w:val="24"/>
          <w:szCs w:val="24"/>
        </w:rPr>
        <w:t>政</w:t>
      </w:r>
      <w:r>
        <w:rPr>
          <w:rFonts w:asciiTheme="minorEastAsia" w:hAnsiTheme="minorEastAsia" w:eastAsiaTheme="minorEastAsia" w:cstheme="minorEastAsia"/>
          <w:spacing w:val="4"/>
          <w:sz w:val="24"/>
          <w:szCs w:val="24"/>
        </w:rPr>
        <w:t>府采</w:t>
      </w:r>
      <w:r>
        <w:rPr>
          <w:rFonts w:asciiTheme="minorEastAsia" w:hAnsiTheme="minorEastAsia" w:eastAsiaTheme="minorEastAsia" w:cstheme="minorEastAsia"/>
          <w:spacing w:val="2"/>
          <w:sz w:val="24"/>
          <w:szCs w:val="24"/>
        </w:rPr>
        <w:t>购</w:t>
      </w:r>
      <w:r>
        <w:rPr>
          <w:rFonts w:asciiTheme="minorEastAsia" w:hAnsiTheme="minorEastAsia" w:eastAsiaTheme="minorEastAsia" w:cstheme="minorEastAsia"/>
          <w:spacing w:val="4"/>
          <w:sz w:val="24"/>
          <w:szCs w:val="24"/>
        </w:rPr>
        <w:t>法</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第</w:t>
      </w:r>
      <w:r>
        <w:rPr>
          <w:rFonts w:asciiTheme="minorEastAsia" w:hAnsiTheme="minorEastAsia" w:eastAsiaTheme="minorEastAsia" w:cstheme="minorEastAsia"/>
          <w:spacing w:val="2"/>
          <w:sz w:val="24"/>
          <w:szCs w:val="24"/>
        </w:rPr>
        <w:t>二</w:t>
      </w:r>
      <w:r>
        <w:rPr>
          <w:rFonts w:asciiTheme="minorEastAsia" w:hAnsiTheme="minorEastAsia" w:eastAsiaTheme="minorEastAsia" w:cstheme="minorEastAsia"/>
          <w:spacing w:val="4"/>
          <w:sz w:val="24"/>
          <w:szCs w:val="24"/>
        </w:rPr>
        <w:t>十</w:t>
      </w:r>
      <w:r>
        <w:rPr>
          <w:rFonts w:asciiTheme="minorEastAsia" w:hAnsiTheme="minorEastAsia" w:eastAsiaTheme="minorEastAsia" w:cstheme="minorEastAsia"/>
          <w:spacing w:val="2"/>
          <w:sz w:val="24"/>
          <w:szCs w:val="24"/>
        </w:rPr>
        <w:t>二</w:t>
      </w:r>
      <w:r>
        <w:rPr>
          <w:rFonts w:asciiTheme="minorEastAsia" w:hAnsiTheme="minorEastAsia" w:eastAsiaTheme="minorEastAsia" w:cstheme="minorEastAsia"/>
          <w:spacing w:val="4"/>
          <w:sz w:val="24"/>
          <w:szCs w:val="24"/>
        </w:rPr>
        <w:t>条</w:t>
      </w:r>
      <w:r>
        <w:rPr>
          <w:rFonts w:asciiTheme="minorEastAsia" w:hAnsiTheme="minorEastAsia" w:eastAsiaTheme="minorEastAsia" w:cstheme="minorEastAsia"/>
          <w:spacing w:val="2"/>
          <w:sz w:val="24"/>
          <w:szCs w:val="24"/>
        </w:rPr>
        <w:t>规</w:t>
      </w:r>
      <w:r>
        <w:rPr>
          <w:rFonts w:asciiTheme="minorEastAsia" w:hAnsiTheme="minorEastAsia" w:eastAsiaTheme="minorEastAsia" w:cstheme="minorEastAsia"/>
          <w:spacing w:val="4"/>
          <w:sz w:val="24"/>
          <w:szCs w:val="24"/>
        </w:rPr>
        <w:t>定条</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pacing w:val="4"/>
          <w:sz w:val="24"/>
          <w:szCs w:val="24"/>
        </w:rPr>
        <w:t>的</w:t>
      </w:r>
      <w:r>
        <w:rPr>
          <w:rFonts w:asciiTheme="minorEastAsia" w:hAnsiTheme="minorEastAsia" w:eastAsiaTheme="minorEastAsia" w:cstheme="minorEastAsia"/>
          <w:spacing w:val="2"/>
          <w:sz w:val="24"/>
          <w:szCs w:val="24"/>
        </w:rPr>
        <w:t>供</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商</w:t>
      </w:r>
      <w:r>
        <w:rPr>
          <w:rFonts w:asciiTheme="minorEastAsia" w:hAnsiTheme="minorEastAsia" w:eastAsiaTheme="minorEastAsia" w:cstheme="minorEastAsia"/>
          <w:spacing w:val="4"/>
          <w:sz w:val="24"/>
          <w:szCs w:val="24"/>
        </w:rPr>
        <w:t>，</w:t>
      </w:r>
      <w:r>
        <w:rPr>
          <w:rFonts w:asciiTheme="minorEastAsia" w:hAnsiTheme="minorEastAsia" w:eastAsiaTheme="minorEastAsia" w:cstheme="minorEastAsia"/>
          <w:spacing w:val="2"/>
          <w:sz w:val="24"/>
          <w:szCs w:val="24"/>
        </w:rPr>
        <w:t>采</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4"/>
          <w:sz w:val="24"/>
          <w:szCs w:val="24"/>
        </w:rPr>
        <w:t>、采</w:t>
      </w:r>
      <w:r>
        <w:rPr>
          <w:rFonts w:asciiTheme="minorEastAsia" w:hAnsiTheme="minorEastAsia" w:eastAsiaTheme="minorEastAsia" w:cstheme="minorEastAsia"/>
          <w:spacing w:val="2"/>
          <w:sz w:val="24"/>
          <w:szCs w:val="24"/>
        </w:rPr>
        <w:t>购</w:t>
      </w:r>
      <w:r>
        <w:rPr>
          <w:rFonts w:asciiTheme="minorEastAsia" w:hAnsiTheme="minorEastAsia" w:eastAsiaTheme="minorEastAsia" w:cstheme="minorEastAsia"/>
          <w:spacing w:val="4"/>
          <w:sz w:val="24"/>
          <w:szCs w:val="24"/>
        </w:rPr>
        <w:t>代</w:t>
      </w:r>
      <w:r>
        <w:rPr>
          <w:rFonts w:asciiTheme="minorEastAsia" w:hAnsiTheme="minorEastAsia" w:eastAsiaTheme="minorEastAsia" w:cstheme="minorEastAsia"/>
          <w:spacing w:val="2"/>
          <w:sz w:val="24"/>
          <w:szCs w:val="24"/>
        </w:rPr>
        <w:t>理</w:t>
      </w:r>
      <w:r>
        <w:rPr>
          <w:rFonts w:asciiTheme="minorEastAsia" w:hAnsiTheme="minorEastAsia" w:eastAsiaTheme="minorEastAsia" w:cstheme="minorEastAsia"/>
          <w:spacing w:val="4"/>
          <w:sz w:val="24"/>
          <w:szCs w:val="24"/>
        </w:rPr>
        <w:t>机</w:t>
      </w:r>
      <w:r>
        <w:rPr>
          <w:rFonts w:asciiTheme="minorEastAsia" w:hAnsiTheme="minorEastAsia" w:eastAsiaTheme="minorEastAsia" w:cstheme="minorEastAsia"/>
          <w:spacing w:val="2"/>
          <w:sz w:val="24"/>
          <w:szCs w:val="24"/>
        </w:rPr>
        <w:t>构</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当拒</w:t>
      </w:r>
      <w:r>
        <w:rPr>
          <w:rFonts w:asciiTheme="minorEastAsia" w:hAnsiTheme="minorEastAsia" w:eastAsiaTheme="minorEastAsia" w:cstheme="minorEastAsia"/>
          <w:sz w:val="24"/>
          <w:szCs w:val="24"/>
        </w:rPr>
        <w:t>绝</w:t>
      </w:r>
      <w:r>
        <w:rPr>
          <w:rFonts w:asciiTheme="minorEastAsia" w:hAnsiTheme="minorEastAsia" w:eastAsiaTheme="minorEastAsia" w:cstheme="minorEastAsia"/>
          <w:spacing w:val="-2"/>
          <w:sz w:val="24"/>
          <w:szCs w:val="24"/>
        </w:rPr>
        <w:t>其参加政府采购活动。</w:t>
      </w:r>
    </w:p>
    <w:p>
      <w:pPr>
        <w:pStyle w:val="13"/>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6"/>
          <w:sz w:val="24"/>
          <w:szCs w:val="24"/>
        </w:rPr>
        <w:t>查询渠道：失信被执行人和重大税收违法案件当事人名单（查询网址“</w:t>
      </w:r>
      <w:r>
        <w:rPr>
          <w:rFonts w:asciiTheme="minorEastAsia" w:hAnsiTheme="minorEastAsia" w:eastAsiaTheme="minorEastAsia" w:cstheme="minorEastAsia"/>
          <w:spacing w:val="-86"/>
          <w:sz w:val="24"/>
          <w:szCs w:val="24"/>
        </w:rPr>
        <w:t xml:space="preserve"> </w:t>
      </w:r>
      <w:r>
        <w:rPr>
          <w:rFonts w:asciiTheme="minorEastAsia" w:hAnsiTheme="minorEastAsia" w:eastAsiaTheme="minorEastAsia" w:cstheme="minorEastAsia"/>
          <w:spacing w:val="14"/>
          <w:sz w:val="24"/>
          <w:szCs w:val="24"/>
        </w:rPr>
        <w:t>信用中国”网（</w:t>
      </w:r>
      <w:r>
        <w:rPr>
          <w:rFonts w:asciiTheme="minorEastAsia" w:hAnsiTheme="minorEastAsia" w:eastAsiaTheme="minorEastAsia" w:cstheme="minorEastAsia"/>
          <w:spacing w:val="-53"/>
          <w:sz w:val="24"/>
          <w:szCs w:val="24"/>
        </w:rPr>
        <w:t xml:space="preserve"> </w:t>
      </w:r>
      <w:r>
        <w:rPr>
          <w:rFonts w:asciiTheme="minorEastAsia" w:hAnsiTheme="minorEastAsia" w:eastAsiaTheme="minorEastAsia" w:cstheme="minorEastAsia"/>
          <w:spacing w:val="-23"/>
          <w:sz w:val="24"/>
          <w:szCs w:val="24"/>
        </w:rPr>
        <w:t xml:space="preserve"> </w:t>
      </w:r>
      <w:r>
        <w:fldChar w:fldCharType="begin"/>
      </w:r>
      <w:r>
        <w:instrText xml:space="preserve"> HYPERLINK "http://www.creditchina.gov.cn/" </w:instrText>
      </w:r>
      <w:r>
        <w:fldChar w:fldCharType="separate"/>
      </w:r>
      <w:r>
        <w:rPr>
          <w:rFonts w:asciiTheme="minorEastAsia" w:hAnsiTheme="minorEastAsia" w:eastAsiaTheme="minorEastAsia" w:cstheme="minorEastAsia"/>
          <w:spacing w:val="2"/>
          <w:sz w:val="24"/>
          <w:szCs w:val="24"/>
        </w:rPr>
        <w:t>www.creditchina.gov.cn</w:t>
      </w:r>
      <w:r>
        <w:rPr>
          <w:rFonts w:asciiTheme="minorEastAsia" w:hAnsiTheme="minorEastAsia" w:eastAsiaTheme="minorEastAsia" w:cstheme="minorEastAsia"/>
          <w:spacing w:val="2"/>
          <w:sz w:val="24"/>
          <w:szCs w:val="24"/>
        </w:rPr>
        <w:fldChar w:fldCharType="end"/>
      </w:r>
      <w:r>
        <w:rPr>
          <w:rFonts w:asciiTheme="minorEastAsia" w:hAnsiTheme="minorEastAsia" w:eastAsiaTheme="minorEastAsia" w:cstheme="minorEastAsia"/>
          <w:spacing w:val="2"/>
          <w:sz w:val="24"/>
          <w:szCs w:val="24"/>
        </w:rPr>
        <w:t>））、政府采购严重违法失信行为记录名单（查询网址“中国政府采购”网</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78"/>
          <w:sz w:val="24"/>
          <w:szCs w:val="24"/>
        </w:rPr>
        <w:t xml:space="preserve"> </w:t>
      </w:r>
      <w:r>
        <w:fldChar w:fldCharType="begin"/>
      </w:r>
      <w:r>
        <w:instrText xml:space="preserve"> HYPERLINK "http://www.ccgp.gov.cn/" </w:instrText>
      </w:r>
      <w:r>
        <w:fldChar w:fldCharType="separate"/>
      </w:r>
      <w:r>
        <w:rPr>
          <w:rFonts w:asciiTheme="minorEastAsia" w:hAnsiTheme="minorEastAsia" w:eastAsiaTheme="minorEastAsia" w:cstheme="minorEastAsia"/>
          <w:spacing w:val="-1"/>
          <w:sz w:val="24"/>
          <w:szCs w:val="24"/>
        </w:rPr>
        <w:t>www.ccgp.gov.cn</w:t>
      </w:r>
      <w:r>
        <w:rPr>
          <w:rFonts w:asciiTheme="minorEastAsia" w:hAnsiTheme="minorEastAsia" w:eastAsiaTheme="minorEastAsia" w:cstheme="minorEastAsia"/>
          <w:spacing w:val="-1"/>
          <w:sz w:val="24"/>
          <w:szCs w:val="24"/>
        </w:rPr>
        <w:fldChar w:fldCharType="end"/>
      </w:r>
      <w:r>
        <w:rPr>
          <w:rFonts w:asciiTheme="minorEastAsia" w:hAnsiTheme="minorEastAsia" w:eastAsiaTheme="minorEastAsia" w:cstheme="minorEastAsia"/>
          <w:spacing w:val="-1"/>
          <w:sz w:val="24"/>
          <w:szCs w:val="24"/>
        </w:rPr>
        <w:t>）。</w:t>
      </w:r>
    </w:p>
    <w:p>
      <w:pPr>
        <w:pStyle w:val="4"/>
        <w:kinsoku w:val="0"/>
        <w:overflowPunct w:val="0"/>
        <w:spacing w:line="360" w:lineRule="auto"/>
        <w:ind w:left="0" w:right="52"/>
        <w:jc w:val="center"/>
        <w:rPr>
          <w:rFonts w:hint="default" w:asciiTheme="minorEastAsia" w:hAnsiTheme="minorEastAsia" w:eastAsiaTheme="minorEastAsia" w:cstheme="minorEastAsia"/>
          <w:sz w:val="30"/>
          <w:szCs w:val="30"/>
        </w:rPr>
      </w:pPr>
      <w:bookmarkStart w:id="25" w:name="bookmark8"/>
      <w:bookmarkEnd w:id="25"/>
      <w:r>
        <w:rPr>
          <w:rFonts w:asciiTheme="minorEastAsia" w:hAnsiTheme="minorEastAsia" w:eastAsiaTheme="minorEastAsia" w:cstheme="minorEastAsia"/>
          <w:sz w:val="30"/>
          <w:szCs w:val="30"/>
        </w:rPr>
        <w:t>5.</w:t>
      </w:r>
      <w:r>
        <w:rPr>
          <w:rFonts w:asciiTheme="minorEastAsia" w:hAnsiTheme="minorEastAsia" w:eastAsiaTheme="minorEastAsia" w:cstheme="minorEastAsia"/>
          <w:spacing w:val="69"/>
          <w:sz w:val="30"/>
          <w:szCs w:val="30"/>
        </w:rPr>
        <w:t xml:space="preserve"> </w:t>
      </w:r>
      <w:r>
        <w:rPr>
          <w:rFonts w:asciiTheme="minorEastAsia" w:hAnsiTheme="minorEastAsia" w:eastAsiaTheme="minorEastAsia" w:cstheme="minorEastAsia"/>
          <w:spacing w:val="4"/>
          <w:sz w:val="30"/>
          <w:szCs w:val="30"/>
        </w:rPr>
        <w:t>开  标</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pacing w:val="-1"/>
          <w:sz w:val="24"/>
          <w:szCs w:val="24"/>
        </w:rPr>
        <w:t>5.1</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2"/>
          <w:sz w:val="24"/>
          <w:szCs w:val="24"/>
        </w:rPr>
        <w:t>开标</w:t>
      </w:r>
    </w:p>
    <w:p>
      <w:pPr>
        <w:pStyle w:val="13"/>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1"/>
          <w:sz w:val="24"/>
          <w:szCs w:val="24"/>
        </w:rPr>
        <w:t>标</w:t>
      </w:r>
      <w:r>
        <w:rPr>
          <w:rFonts w:asciiTheme="minorEastAsia" w:hAnsiTheme="minorEastAsia" w:eastAsiaTheme="minorEastAsia" w:cstheme="minorEastAsia"/>
          <w:spacing w:val="-3"/>
          <w:sz w:val="24"/>
          <w:szCs w:val="24"/>
        </w:rPr>
        <w:t>人在本章</w:t>
      </w:r>
      <w:r>
        <w:rPr>
          <w:rFonts w:asciiTheme="minorEastAsia" w:hAnsiTheme="minorEastAsia" w:eastAsiaTheme="minorEastAsia" w:cstheme="minorEastAsia"/>
          <w:sz w:val="24"/>
          <w:szCs w:val="24"/>
        </w:rPr>
        <w:t>第</w:t>
      </w:r>
      <w:r>
        <w:rPr>
          <w:rFonts w:asciiTheme="minorEastAsia" w:hAnsiTheme="minorEastAsia" w:eastAsiaTheme="minorEastAsia" w:cstheme="minorEastAsia"/>
          <w:spacing w:val="-6"/>
          <w:sz w:val="24"/>
          <w:szCs w:val="24"/>
        </w:rPr>
        <w:t xml:space="preserve"> </w:t>
      </w:r>
      <w:r>
        <w:rPr>
          <w:rFonts w:asciiTheme="minorEastAsia" w:hAnsiTheme="minorEastAsia" w:eastAsiaTheme="minorEastAsia" w:cstheme="minorEastAsia"/>
          <w:sz w:val="24"/>
          <w:szCs w:val="24"/>
        </w:rPr>
        <w:t>4.2</w:t>
      </w:r>
      <w:r>
        <w:rPr>
          <w:rFonts w:asciiTheme="minorEastAsia" w:hAnsiTheme="minorEastAsia" w:eastAsiaTheme="minorEastAsia" w:cstheme="minorEastAsia"/>
          <w:spacing w:val="-5"/>
          <w:sz w:val="24"/>
          <w:szCs w:val="24"/>
        </w:rPr>
        <w:t>.</w:t>
      </w:r>
      <w:r>
        <w:rPr>
          <w:rFonts w:asciiTheme="minorEastAsia" w:hAnsiTheme="minorEastAsia" w:eastAsiaTheme="minorEastAsia" w:cstheme="minorEastAsia"/>
          <w:sz w:val="24"/>
          <w:szCs w:val="24"/>
        </w:rPr>
        <w:t xml:space="preserve">1 </w:t>
      </w:r>
      <w:r>
        <w:rPr>
          <w:rFonts w:asciiTheme="minorEastAsia" w:hAnsiTheme="minorEastAsia" w:eastAsiaTheme="minorEastAsia" w:cstheme="minorEastAsia"/>
          <w:spacing w:val="-3"/>
          <w:sz w:val="24"/>
          <w:szCs w:val="24"/>
        </w:rPr>
        <w:t>项规</w:t>
      </w:r>
      <w:r>
        <w:rPr>
          <w:rFonts w:asciiTheme="minorEastAsia" w:hAnsiTheme="minorEastAsia" w:eastAsiaTheme="minorEastAsia" w:cstheme="minorEastAsia"/>
          <w:sz w:val="24"/>
          <w:szCs w:val="24"/>
        </w:rPr>
        <w:t>定的</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截</w:t>
      </w:r>
      <w:r>
        <w:rPr>
          <w:rFonts w:asciiTheme="minorEastAsia" w:hAnsiTheme="minorEastAsia" w:eastAsiaTheme="minorEastAsia" w:cstheme="minorEastAsia"/>
          <w:sz w:val="24"/>
          <w:szCs w:val="24"/>
        </w:rPr>
        <w:t>止</w:t>
      </w:r>
      <w:r>
        <w:rPr>
          <w:rFonts w:asciiTheme="minorEastAsia" w:hAnsiTheme="minorEastAsia" w:eastAsiaTheme="minorEastAsia" w:cstheme="minorEastAsia"/>
          <w:spacing w:val="-5"/>
          <w:sz w:val="24"/>
          <w:szCs w:val="24"/>
        </w:rPr>
        <w:t>时</w:t>
      </w:r>
      <w:r>
        <w:rPr>
          <w:rFonts w:asciiTheme="minorEastAsia" w:hAnsiTheme="minorEastAsia" w:eastAsiaTheme="minorEastAsia" w:cstheme="minorEastAsia"/>
          <w:spacing w:val="-39"/>
          <w:sz w:val="24"/>
          <w:szCs w:val="24"/>
        </w:rPr>
        <w:t>间</w:t>
      </w:r>
      <w:r>
        <w:rPr>
          <w:rFonts w:asciiTheme="minorEastAsia" w:hAnsiTheme="minorEastAsia" w:eastAsiaTheme="minorEastAsia" w:cstheme="minorEastAsia"/>
          <w:spacing w:val="-3"/>
          <w:sz w:val="24"/>
          <w:szCs w:val="24"/>
        </w:rPr>
        <w:t>（开标</w:t>
      </w:r>
      <w:r>
        <w:rPr>
          <w:rFonts w:asciiTheme="minorEastAsia" w:hAnsiTheme="minorEastAsia" w:eastAsiaTheme="minorEastAsia" w:cstheme="minorEastAsia"/>
          <w:sz w:val="24"/>
          <w:szCs w:val="24"/>
        </w:rPr>
        <w:t>时间</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z w:val="24"/>
          <w:szCs w:val="24"/>
        </w:rPr>
        <w:t>和</w:t>
      </w:r>
      <w:r>
        <w:rPr>
          <w:rFonts w:asciiTheme="minorEastAsia" w:hAnsiTheme="minorEastAsia" w:eastAsiaTheme="minorEastAsia" w:cstheme="minorEastAsia"/>
          <w:spacing w:val="-3"/>
          <w:sz w:val="24"/>
          <w:szCs w:val="24"/>
        </w:rPr>
        <w:t>投标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5"/>
          <w:sz w:val="24"/>
          <w:szCs w:val="24"/>
        </w:rPr>
        <w:t>知</w:t>
      </w:r>
      <w:r>
        <w:rPr>
          <w:rFonts w:asciiTheme="minorEastAsia" w:hAnsiTheme="minorEastAsia" w:eastAsiaTheme="minorEastAsia" w:cstheme="minorEastAsia"/>
          <w:spacing w:val="-3"/>
          <w:sz w:val="24"/>
          <w:szCs w:val="24"/>
        </w:rPr>
        <w:t>前附</w:t>
      </w:r>
      <w:r>
        <w:rPr>
          <w:rFonts w:asciiTheme="minorEastAsia" w:hAnsiTheme="minorEastAsia" w:eastAsiaTheme="minorEastAsia" w:cstheme="minorEastAsia"/>
          <w:sz w:val="24"/>
          <w:szCs w:val="24"/>
        </w:rPr>
        <w:t>表规</w:t>
      </w:r>
      <w:r>
        <w:rPr>
          <w:rFonts w:asciiTheme="minorEastAsia" w:hAnsiTheme="minorEastAsia" w:eastAsiaTheme="minorEastAsia" w:cstheme="minorEastAsia"/>
          <w:spacing w:val="-5"/>
          <w:sz w:val="24"/>
          <w:szCs w:val="24"/>
        </w:rPr>
        <w:t>定</w:t>
      </w:r>
      <w:r>
        <w:rPr>
          <w:rFonts w:asciiTheme="minorEastAsia" w:hAnsiTheme="minorEastAsia" w:eastAsiaTheme="minorEastAsia" w:cstheme="minorEastAsia"/>
          <w:sz w:val="24"/>
          <w:szCs w:val="24"/>
        </w:rPr>
        <w:t>的</w:t>
      </w:r>
      <w:r>
        <w:rPr>
          <w:rFonts w:asciiTheme="minorEastAsia" w:hAnsiTheme="minorEastAsia" w:eastAsiaTheme="minorEastAsia" w:cstheme="minorEastAsia"/>
          <w:spacing w:val="-3"/>
          <w:sz w:val="24"/>
          <w:szCs w:val="24"/>
        </w:rPr>
        <w:t>地点</w:t>
      </w:r>
      <w:r>
        <w:rPr>
          <w:rFonts w:asciiTheme="minorEastAsia" w:hAnsiTheme="minorEastAsia" w:eastAsiaTheme="minorEastAsia" w:cstheme="minorEastAsia"/>
          <w:sz w:val="24"/>
          <w:szCs w:val="24"/>
        </w:rPr>
        <w:t>公</w:t>
      </w:r>
      <w:r>
        <w:rPr>
          <w:rFonts w:asciiTheme="minorEastAsia" w:hAnsiTheme="minorEastAsia" w:eastAsiaTheme="minorEastAsia" w:cstheme="minorEastAsia"/>
          <w:spacing w:val="-3"/>
          <w:sz w:val="24"/>
          <w:szCs w:val="24"/>
        </w:rPr>
        <w:t>开</w:t>
      </w:r>
      <w:r>
        <w:rPr>
          <w:rFonts w:asciiTheme="minorEastAsia" w:hAnsiTheme="minorEastAsia" w:eastAsiaTheme="minorEastAsia" w:cstheme="minorEastAsia"/>
          <w:sz w:val="24"/>
          <w:szCs w:val="24"/>
        </w:rPr>
        <w:t>开</w:t>
      </w:r>
      <w:r>
        <w:rPr>
          <w:rFonts w:asciiTheme="minorEastAsia" w:hAnsiTheme="minorEastAsia" w:eastAsiaTheme="minorEastAsia" w:cstheme="minorEastAsia"/>
          <w:spacing w:val="-2"/>
          <w:sz w:val="24"/>
          <w:szCs w:val="24"/>
        </w:rPr>
        <w:t>标，邀请投标人参加。评标委员会成员不得参加开标活动。</w:t>
      </w:r>
    </w:p>
    <w:p>
      <w:pPr>
        <w:pStyle w:val="10"/>
        <w:kinsoku w:val="0"/>
        <w:overflowPunct w:val="0"/>
        <w:spacing w:line="360" w:lineRule="auto"/>
        <w:ind w:left="539"/>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投标人未参加开标的，视同认可开标结果。</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投标人不足3家的，不得开标。</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5.2</w:t>
      </w:r>
      <w:r>
        <w:rPr>
          <w:rFonts w:asciiTheme="minorEastAsia" w:hAnsiTheme="minorEastAsia" w:eastAsiaTheme="minorEastAsia" w:cstheme="minorEastAsia"/>
          <w:b/>
          <w:bCs/>
          <w:sz w:val="24"/>
          <w:szCs w:val="24"/>
        </w:rPr>
        <w:t xml:space="preserve"> </w:t>
      </w:r>
      <w:r>
        <w:rPr>
          <w:rFonts w:asciiTheme="minorEastAsia" w:hAnsiTheme="minorEastAsia" w:eastAsiaTheme="minorEastAsia" w:cstheme="minorEastAsia"/>
          <w:b/>
          <w:bCs/>
          <w:spacing w:val="-1"/>
          <w:sz w:val="24"/>
          <w:szCs w:val="24"/>
        </w:rPr>
        <w:t>开标程序</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主持人按下列程序进行开标：</w:t>
      </w:r>
    </w:p>
    <w:p>
      <w:pPr>
        <w:pStyle w:val="13"/>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1、投标人授权委托人代表持</w:t>
      </w:r>
      <w:r>
        <w:rPr>
          <w:rFonts w:asciiTheme="minorEastAsia" w:hAnsiTheme="minorEastAsia" w:eastAsiaTheme="minorEastAsia" w:cstheme="minorEastAsia"/>
          <w:sz w:val="24"/>
          <w:szCs w:val="24"/>
        </w:rPr>
        <w:t xml:space="preserve"> CA</w:t>
      </w:r>
      <w:r>
        <w:rPr>
          <w:rFonts w:asciiTheme="minorEastAsia" w:hAnsiTheme="minorEastAsia" w:eastAsiaTheme="minorEastAsia" w:cstheme="minorEastAsia"/>
          <w:spacing w:val="-2"/>
          <w:sz w:val="24"/>
          <w:szCs w:val="24"/>
        </w:rPr>
        <w:t xml:space="preserve"> 数字证书进入开标现场。</w:t>
      </w:r>
    </w:p>
    <w:p>
      <w:pPr>
        <w:pStyle w:val="13"/>
        <w:kinsoku w:val="0"/>
        <w:overflowPunct w:val="0"/>
        <w:spacing w:line="360" w:lineRule="auto"/>
        <w:ind w:left="698"/>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2、宣布开标纪律。</w:t>
      </w:r>
    </w:p>
    <w:p>
      <w:pPr>
        <w:pStyle w:val="13"/>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3、介绍与会各方代表。</w:t>
      </w:r>
    </w:p>
    <w:p>
      <w:pPr>
        <w:pStyle w:val="13"/>
        <w:kinsoku w:val="0"/>
        <w:overflowPunct w:val="0"/>
        <w:spacing w:line="360" w:lineRule="auto"/>
        <w:ind w:left="698"/>
        <w:rPr>
          <w:rFonts w:hint="default" w:asciiTheme="minorEastAsia" w:hAnsiTheme="minorEastAsia" w:eastAsiaTheme="minorEastAsia" w:cstheme="minorEastAsia"/>
          <w:spacing w:val="47"/>
          <w:sz w:val="24"/>
          <w:szCs w:val="24"/>
        </w:rPr>
      </w:pPr>
      <w:r>
        <w:rPr>
          <w:rFonts w:asciiTheme="minorEastAsia" w:hAnsiTheme="minorEastAsia" w:eastAsiaTheme="minorEastAsia" w:cstheme="minorEastAsia"/>
          <w:spacing w:val="-2"/>
          <w:sz w:val="24"/>
          <w:szCs w:val="24"/>
        </w:rPr>
        <w:t>4、开标顺序：按电子投标文件到达交易系统的先后顺序，分标段进行开标。</w:t>
      </w:r>
      <w:r>
        <w:rPr>
          <w:rFonts w:asciiTheme="minorEastAsia" w:hAnsiTheme="minorEastAsia" w:eastAsiaTheme="minorEastAsia" w:cstheme="minorEastAsia"/>
          <w:spacing w:val="47"/>
          <w:sz w:val="24"/>
          <w:szCs w:val="24"/>
        </w:rPr>
        <w:t xml:space="preserve"> </w:t>
      </w:r>
    </w:p>
    <w:p>
      <w:pPr>
        <w:pStyle w:val="13"/>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(1)投标人解密：开标现场投标企业使用本单位企业数字证书进行解密。</w:t>
      </w:r>
    </w:p>
    <w:p>
      <w:pPr>
        <w:pStyle w:val="13"/>
        <w:kinsoku w:val="0"/>
        <w:overflowPunct w:val="0"/>
        <w:spacing w:line="360" w:lineRule="auto"/>
        <w:ind w:left="697" w:right="-94" w:firstLine="31"/>
        <w:rPr>
          <w:rFonts w:hint="default" w:asciiTheme="minorEastAsia" w:hAnsiTheme="minorEastAsia" w:eastAsiaTheme="minorEastAsia" w:cstheme="minorEastAsia"/>
          <w:spacing w:val="55"/>
          <w:sz w:val="24"/>
          <w:szCs w:val="24"/>
        </w:rPr>
      </w:pPr>
      <w:r>
        <w:rPr>
          <w:rFonts w:asciiTheme="minorEastAsia" w:hAnsiTheme="minorEastAsia" w:eastAsiaTheme="minorEastAsia" w:cstheme="minorEastAsia"/>
          <w:spacing w:val="-2"/>
          <w:sz w:val="24"/>
          <w:szCs w:val="24"/>
        </w:rPr>
        <w:t>(2)招标人解密。招标人或其委托的代理机构持有本单位</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2"/>
          <w:sz w:val="24"/>
          <w:szCs w:val="24"/>
        </w:rPr>
        <w:t>CA</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2"/>
          <w:sz w:val="24"/>
          <w:szCs w:val="24"/>
        </w:rPr>
        <w:t>数字证书进行二次解密。</w:t>
      </w:r>
      <w:r>
        <w:rPr>
          <w:rFonts w:asciiTheme="minorEastAsia" w:hAnsiTheme="minorEastAsia" w:eastAsiaTheme="minorEastAsia" w:cstheme="minorEastAsia"/>
          <w:spacing w:val="55"/>
          <w:sz w:val="24"/>
          <w:szCs w:val="24"/>
        </w:rPr>
        <w:t xml:space="preserve"> </w:t>
      </w:r>
    </w:p>
    <w:p>
      <w:pPr>
        <w:pStyle w:val="13"/>
        <w:kinsoku w:val="0"/>
        <w:overflowPunct w:val="0"/>
        <w:spacing w:line="360" w:lineRule="auto"/>
        <w:ind w:left="278" w:firstLine="417"/>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(3)开标现场无法解密的，由代理机构工作人员启封投标企业未加密的投标文件备用光盘，导入投标文件。若未加密光盘无法导入系统或未加密光盘内容与投标企业原上传系统的加密投标文件 内容不一致的，视为投标无效。</w:t>
      </w:r>
    </w:p>
    <w:p>
      <w:pPr>
        <w:pStyle w:val="13"/>
        <w:kinsoku w:val="0"/>
        <w:overflowPunct w:val="0"/>
        <w:spacing w:line="360" w:lineRule="auto"/>
        <w:ind w:left="695"/>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asciiTheme="minorEastAsia" w:hAnsiTheme="minorEastAsia" w:eastAsiaTheme="minorEastAsia" w:cstheme="minorEastAsia"/>
          <w:spacing w:val="-61"/>
          <w:sz w:val="24"/>
          <w:szCs w:val="24"/>
        </w:rPr>
        <w:t xml:space="preserve"> </w:t>
      </w:r>
      <w:r>
        <w:rPr>
          <w:rFonts w:asciiTheme="minorEastAsia" w:hAnsiTheme="minorEastAsia" w:eastAsiaTheme="minorEastAsia" w:cstheme="minorEastAsia"/>
          <w:sz w:val="24"/>
          <w:szCs w:val="24"/>
        </w:rPr>
        <w:t>唱标。</w:t>
      </w:r>
    </w:p>
    <w:p>
      <w:pPr>
        <w:pStyle w:val="13"/>
        <w:kinsoku w:val="0"/>
        <w:overflowPunct w:val="0"/>
        <w:spacing w:line="360" w:lineRule="auto"/>
        <w:ind w:left="278" w:firstLine="417"/>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(5)</w:t>
      </w:r>
      <w:r>
        <w:rPr>
          <w:rFonts w:asciiTheme="minorEastAsia" w:hAnsiTheme="minorEastAsia" w:eastAsiaTheme="minorEastAsia" w:cstheme="minorEastAsia"/>
          <w:spacing w:val="-66"/>
          <w:sz w:val="24"/>
          <w:szCs w:val="24"/>
        </w:rPr>
        <w:t xml:space="preserve"> </w:t>
      </w:r>
      <w:r>
        <w:rPr>
          <w:rFonts w:asciiTheme="minorEastAsia" w:hAnsiTheme="minorEastAsia" w:eastAsiaTheme="minorEastAsia" w:cstheme="minorEastAsia"/>
          <w:spacing w:val="-2"/>
          <w:sz w:val="24"/>
          <w:szCs w:val="24"/>
        </w:rPr>
        <w:t>投标人（或其授权委托代理人）、招标人、监督代表、等相关人员在开标记录表上签字确认，投标人（或其授权委托代理人）未签字确认的视为默认开标结果。</w:t>
      </w:r>
    </w:p>
    <w:p>
      <w:pPr>
        <w:pStyle w:val="13"/>
        <w:kinsoku w:val="0"/>
        <w:overflowPunct w:val="0"/>
        <w:spacing w:line="360" w:lineRule="auto"/>
        <w:ind w:left="698" w:right="566"/>
        <w:rPr>
          <w:rFonts w:hint="default" w:asciiTheme="minorEastAsia" w:hAnsiTheme="minorEastAsia" w:eastAsiaTheme="minorEastAsia" w:cstheme="minorEastAsia"/>
          <w:spacing w:val="22"/>
          <w:sz w:val="24"/>
          <w:szCs w:val="24"/>
        </w:rPr>
      </w:pPr>
      <w:r>
        <w:rPr>
          <w:rFonts w:asciiTheme="minorEastAsia" w:hAnsiTheme="minorEastAsia" w:eastAsiaTheme="minorEastAsia" w:cstheme="minorEastAsia"/>
          <w:spacing w:val="-1"/>
          <w:sz w:val="24"/>
          <w:szCs w:val="24"/>
        </w:rPr>
        <w:t>(6)宣布开标结束。</w:t>
      </w:r>
      <w:r>
        <w:rPr>
          <w:rFonts w:asciiTheme="minorEastAsia" w:hAnsiTheme="minorEastAsia" w:eastAsiaTheme="minorEastAsia" w:cstheme="minorEastAsia"/>
          <w:spacing w:val="22"/>
          <w:sz w:val="24"/>
          <w:szCs w:val="24"/>
        </w:rPr>
        <w:t xml:space="preserve"> </w:t>
      </w:r>
    </w:p>
    <w:p>
      <w:pPr>
        <w:pStyle w:val="13"/>
        <w:kinsoku w:val="0"/>
        <w:overflowPunct w:val="0"/>
        <w:spacing w:line="360" w:lineRule="auto"/>
        <w:ind w:left="698" w:right="566"/>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5、代理机构在开标结束后将招标文件和有效电子投标文件导入评标系统。</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5.3</w:t>
      </w:r>
      <w:r>
        <w:rPr>
          <w:rFonts w:asciiTheme="minorEastAsia" w:hAnsiTheme="minorEastAsia" w:eastAsiaTheme="minorEastAsia" w:cstheme="minorEastAsia"/>
          <w:b/>
          <w:bCs/>
          <w:sz w:val="24"/>
          <w:szCs w:val="24"/>
        </w:rPr>
        <w:t xml:space="preserve"> </w:t>
      </w:r>
      <w:r>
        <w:rPr>
          <w:rFonts w:asciiTheme="minorEastAsia" w:hAnsiTheme="minorEastAsia" w:eastAsiaTheme="minorEastAsia" w:cstheme="minorEastAsia"/>
          <w:b/>
          <w:bCs/>
          <w:spacing w:val="-1"/>
          <w:sz w:val="24"/>
          <w:szCs w:val="24"/>
        </w:rPr>
        <w:t>开标疑义</w:t>
      </w:r>
    </w:p>
    <w:p>
      <w:pPr>
        <w:pStyle w:val="13"/>
        <w:kinsoku w:val="0"/>
        <w:overflowPunct w:val="0"/>
        <w:spacing w:line="360" w:lineRule="auto"/>
        <w:ind w:right="305"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投标人代表对开标过程和开标记录有疑义，以及认为采购人、采购代理机构相关工作人员有需要回</w:t>
      </w:r>
      <w:r>
        <w:rPr>
          <w:rFonts w:asciiTheme="minorEastAsia" w:hAnsiTheme="minorEastAsia" w:eastAsiaTheme="minorEastAsia" w:cstheme="minorEastAsia"/>
          <w:spacing w:val="60"/>
          <w:sz w:val="24"/>
          <w:szCs w:val="24"/>
        </w:rPr>
        <w:t xml:space="preserve"> </w:t>
      </w:r>
      <w:r>
        <w:rPr>
          <w:rFonts w:asciiTheme="minorEastAsia" w:hAnsiTheme="minorEastAsia" w:eastAsiaTheme="minorEastAsia" w:cstheme="minorEastAsia"/>
          <w:spacing w:val="4"/>
          <w:sz w:val="24"/>
          <w:szCs w:val="24"/>
        </w:rPr>
        <w:t>避的情形的，应当场提出询问或者回避申请。采购人、采购代理机构对投标人代表提出的询问或者回</w:t>
      </w:r>
      <w:r>
        <w:rPr>
          <w:rFonts w:asciiTheme="minorEastAsia" w:hAnsiTheme="minorEastAsia" w:eastAsiaTheme="minorEastAsia" w:cstheme="minorEastAsia"/>
          <w:spacing w:val="56"/>
          <w:sz w:val="24"/>
          <w:szCs w:val="24"/>
        </w:rPr>
        <w:t xml:space="preserve"> </w:t>
      </w:r>
      <w:r>
        <w:rPr>
          <w:rFonts w:asciiTheme="minorEastAsia" w:hAnsiTheme="minorEastAsia" w:eastAsiaTheme="minorEastAsia" w:cstheme="minorEastAsia"/>
          <w:sz w:val="24"/>
          <w:szCs w:val="24"/>
        </w:rPr>
        <w:t>避申请应当及时处理。</w:t>
      </w:r>
    </w:p>
    <w:p>
      <w:pPr>
        <w:pStyle w:val="4"/>
        <w:kinsoku w:val="0"/>
        <w:overflowPunct w:val="0"/>
        <w:spacing w:line="360" w:lineRule="auto"/>
        <w:ind w:left="0" w:right="231"/>
        <w:jc w:val="center"/>
        <w:rPr>
          <w:rFonts w:hint="default" w:asciiTheme="minorEastAsia" w:hAnsiTheme="minorEastAsia" w:eastAsiaTheme="minorEastAsia" w:cstheme="minorEastAsia"/>
          <w:sz w:val="30"/>
          <w:szCs w:val="30"/>
        </w:rPr>
      </w:pPr>
      <w:bookmarkStart w:id="26" w:name="bookmark9"/>
      <w:bookmarkEnd w:id="26"/>
      <w:r>
        <w:rPr>
          <w:rFonts w:asciiTheme="minorEastAsia" w:hAnsiTheme="minorEastAsia" w:eastAsiaTheme="minorEastAsia" w:cstheme="minorEastAsia"/>
          <w:sz w:val="30"/>
          <w:szCs w:val="30"/>
        </w:rPr>
        <w:t>6. 初步评审</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6.1</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资格审查</w:t>
      </w:r>
    </w:p>
    <w:p>
      <w:pPr>
        <w:pStyle w:val="8"/>
        <w:kinsoku w:val="0"/>
        <w:overflowPunct w:val="0"/>
        <w:spacing w:line="360" w:lineRule="auto"/>
        <w:ind w:right="-94" w:rightChars="-39" w:firstLine="244" w:firstLineChars="1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6.1.1 公开招标采购项目开标结束后，采购人或者采购代理机构应当依法对投标人的资格进行审查。</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6.1.2 合格投标人不足3家的，不得评标。</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6.1.3 资格审查标准见第三章。</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6.2</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符合性审查</w:t>
      </w:r>
    </w:p>
    <w:p>
      <w:pPr>
        <w:pStyle w:val="13"/>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评标委员会应当对符合资格的投标人的投标文件进行符合性评审，以确定其是否满足招</w:t>
      </w:r>
      <w:r>
        <w:rPr>
          <w:rFonts w:asciiTheme="minorEastAsia" w:hAnsiTheme="minorEastAsia" w:eastAsiaTheme="minorEastAsia" w:cstheme="minorEastAsia"/>
          <w:spacing w:val="68"/>
          <w:sz w:val="24"/>
          <w:szCs w:val="24"/>
        </w:rPr>
        <w:t xml:space="preserve"> </w:t>
      </w:r>
      <w:r>
        <w:rPr>
          <w:rFonts w:asciiTheme="minorEastAsia" w:hAnsiTheme="minorEastAsia" w:eastAsiaTheme="minorEastAsia" w:cstheme="minorEastAsia"/>
          <w:sz w:val="24"/>
          <w:szCs w:val="24"/>
        </w:rPr>
        <w:t>标文件的实质性要求。</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符合性评审标准见第三章。</w:t>
      </w:r>
    </w:p>
    <w:p>
      <w:pPr>
        <w:pStyle w:val="4"/>
        <w:kinsoku w:val="0"/>
        <w:overflowPunct w:val="0"/>
        <w:spacing w:line="360" w:lineRule="auto"/>
        <w:ind w:left="0" w:right="231"/>
        <w:jc w:val="center"/>
        <w:rPr>
          <w:rFonts w:hint="default" w:asciiTheme="minorEastAsia" w:hAnsiTheme="minorEastAsia" w:eastAsiaTheme="minorEastAsia" w:cstheme="minorEastAsia"/>
          <w:sz w:val="30"/>
          <w:szCs w:val="30"/>
        </w:rPr>
      </w:pPr>
      <w:bookmarkStart w:id="27" w:name="bookmark10"/>
      <w:bookmarkEnd w:id="27"/>
      <w:r>
        <w:rPr>
          <w:rFonts w:asciiTheme="minorEastAsia" w:hAnsiTheme="minorEastAsia" w:eastAsiaTheme="minorEastAsia" w:cstheme="minorEastAsia"/>
          <w:sz w:val="30"/>
          <w:szCs w:val="30"/>
        </w:rPr>
        <w:t>7.评 标</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7.1</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评标委员会</w:t>
      </w:r>
    </w:p>
    <w:p>
      <w:pPr>
        <w:pStyle w:val="13"/>
        <w:kinsoku w:val="0"/>
        <w:overflowPunct w:val="0"/>
        <w:spacing w:line="360" w:lineRule="auto"/>
        <w:ind w:right="146" w:firstLine="420"/>
        <w:rPr>
          <w:rFonts w:hint="default" w:asciiTheme="minorEastAsia" w:hAnsiTheme="minorEastAsia" w:eastAsiaTheme="minorEastAsia" w:cstheme="minorEastAsia"/>
          <w:spacing w:val="34"/>
          <w:sz w:val="24"/>
          <w:szCs w:val="24"/>
        </w:rPr>
      </w:pPr>
      <w:r>
        <w:rPr>
          <w:rFonts w:asciiTheme="minorEastAsia" w:hAnsiTheme="minorEastAsia" w:eastAsiaTheme="minorEastAsia" w:cstheme="minorEastAsia"/>
          <w:sz w:val="24"/>
          <w:szCs w:val="24"/>
        </w:rPr>
        <w:t>7.1.1</w:t>
      </w:r>
      <w:r>
        <w:rPr>
          <w:rFonts w:asciiTheme="minorEastAsia" w:hAnsiTheme="minorEastAsia" w:eastAsiaTheme="minorEastAsia" w:cstheme="minorEastAsia"/>
          <w:spacing w:val="2"/>
          <w:sz w:val="24"/>
          <w:szCs w:val="24"/>
        </w:rPr>
        <w:t xml:space="preserve"> </w:t>
      </w:r>
      <w:r>
        <w:rPr>
          <w:rFonts w:asciiTheme="minorEastAsia" w:hAnsiTheme="minorEastAsia" w:eastAsiaTheme="minorEastAsia" w:cstheme="minorEastAsia"/>
          <w:spacing w:val="4"/>
          <w:sz w:val="24"/>
          <w:szCs w:val="24"/>
        </w:rPr>
        <w:t>评</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4"/>
          <w:sz w:val="24"/>
          <w:szCs w:val="24"/>
        </w:rPr>
        <w:t>由</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pacing w:val="2"/>
          <w:sz w:val="24"/>
          <w:szCs w:val="24"/>
        </w:rPr>
        <w:t>人依</w:t>
      </w:r>
      <w:r>
        <w:rPr>
          <w:rFonts w:asciiTheme="minorEastAsia" w:hAnsiTheme="minorEastAsia" w:eastAsiaTheme="minorEastAsia" w:cstheme="minorEastAsia"/>
          <w:sz w:val="24"/>
          <w:szCs w:val="24"/>
        </w:rPr>
        <w:t>法</w:t>
      </w:r>
      <w:r>
        <w:rPr>
          <w:rFonts w:asciiTheme="minorEastAsia" w:hAnsiTheme="minorEastAsia" w:eastAsiaTheme="minorEastAsia" w:cstheme="minorEastAsia"/>
          <w:spacing w:val="2"/>
          <w:sz w:val="24"/>
          <w:szCs w:val="24"/>
        </w:rPr>
        <w:t>组</w:t>
      </w:r>
      <w:r>
        <w:rPr>
          <w:rFonts w:asciiTheme="minorEastAsia" w:hAnsiTheme="minorEastAsia" w:eastAsiaTheme="minorEastAsia" w:cstheme="minorEastAsia"/>
          <w:spacing w:val="4"/>
          <w:sz w:val="24"/>
          <w:szCs w:val="24"/>
        </w:rPr>
        <w:t>建的</w:t>
      </w:r>
      <w:r>
        <w:rPr>
          <w:rFonts w:asciiTheme="minorEastAsia" w:hAnsiTheme="minorEastAsia" w:eastAsiaTheme="minorEastAsia" w:cstheme="minorEastAsia"/>
          <w:spacing w:val="2"/>
          <w:sz w:val="24"/>
          <w:szCs w:val="24"/>
        </w:rPr>
        <w:t>评标委</w:t>
      </w:r>
      <w:r>
        <w:rPr>
          <w:rFonts w:asciiTheme="minorEastAsia" w:hAnsiTheme="minorEastAsia" w:eastAsiaTheme="minorEastAsia" w:cstheme="minorEastAsia"/>
          <w:spacing w:val="4"/>
          <w:sz w:val="24"/>
          <w:szCs w:val="24"/>
        </w:rPr>
        <w:t>员</w:t>
      </w:r>
      <w:r>
        <w:rPr>
          <w:rFonts w:asciiTheme="minorEastAsia" w:hAnsiTheme="minorEastAsia" w:eastAsiaTheme="minorEastAsia" w:cstheme="minorEastAsia"/>
          <w:sz w:val="24"/>
          <w:szCs w:val="24"/>
        </w:rPr>
        <w:t>会</w:t>
      </w:r>
      <w:r>
        <w:rPr>
          <w:rFonts w:asciiTheme="minorEastAsia" w:hAnsiTheme="minorEastAsia" w:eastAsiaTheme="minorEastAsia" w:cstheme="minorEastAsia"/>
          <w:spacing w:val="4"/>
          <w:sz w:val="24"/>
          <w:szCs w:val="24"/>
        </w:rPr>
        <w:t>负</w:t>
      </w:r>
      <w:r>
        <w:rPr>
          <w:rFonts w:asciiTheme="minorEastAsia" w:hAnsiTheme="minorEastAsia" w:eastAsiaTheme="minorEastAsia" w:cstheme="minorEastAsia"/>
          <w:spacing w:val="2"/>
          <w:sz w:val="24"/>
          <w:szCs w:val="24"/>
        </w:rPr>
        <w:t>责</w:t>
      </w:r>
      <w:r>
        <w:rPr>
          <w:rFonts w:asciiTheme="minorEastAsia" w:hAnsiTheme="minorEastAsia" w:eastAsiaTheme="minorEastAsia" w:cstheme="minorEastAsia"/>
          <w:spacing w:val="-75"/>
          <w:sz w:val="24"/>
          <w:szCs w:val="24"/>
        </w:rPr>
        <w:t>。</w:t>
      </w:r>
      <w:r>
        <w:rPr>
          <w:rFonts w:asciiTheme="minorEastAsia" w:hAnsiTheme="minorEastAsia" w:eastAsiaTheme="minorEastAsia" w:cstheme="minorEastAsia"/>
          <w:spacing w:val="4"/>
          <w:sz w:val="24"/>
          <w:szCs w:val="24"/>
        </w:rPr>
        <w:t>评</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4"/>
          <w:sz w:val="24"/>
          <w:szCs w:val="24"/>
        </w:rPr>
        <w:t>委员</w:t>
      </w:r>
      <w:r>
        <w:rPr>
          <w:rFonts w:asciiTheme="minorEastAsia" w:hAnsiTheme="minorEastAsia" w:eastAsiaTheme="minorEastAsia" w:cstheme="minorEastAsia"/>
          <w:sz w:val="24"/>
          <w:szCs w:val="24"/>
        </w:rPr>
        <w:t>会</w:t>
      </w:r>
      <w:r>
        <w:rPr>
          <w:rFonts w:asciiTheme="minorEastAsia" w:hAnsiTheme="minorEastAsia" w:eastAsiaTheme="minorEastAsia" w:cstheme="minorEastAsia"/>
          <w:spacing w:val="4"/>
          <w:sz w:val="24"/>
          <w:szCs w:val="24"/>
        </w:rPr>
        <w:t>由</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4"/>
          <w:sz w:val="24"/>
          <w:szCs w:val="24"/>
        </w:rPr>
        <w:t>代</w:t>
      </w:r>
      <w:r>
        <w:rPr>
          <w:rFonts w:asciiTheme="minorEastAsia" w:hAnsiTheme="minorEastAsia" w:eastAsiaTheme="minorEastAsia" w:cstheme="minorEastAsia"/>
          <w:sz w:val="24"/>
          <w:szCs w:val="24"/>
        </w:rPr>
        <w:t>表</w:t>
      </w:r>
      <w:r>
        <w:rPr>
          <w:rFonts w:asciiTheme="minorEastAsia" w:hAnsiTheme="minorEastAsia" w:eastAsiaTheme="minorEastAsia" w:cstheme="minorEastAsia"/>
          <w:spacing w:val="4"/>
          <w:sz w:val="24"/>
          <w:szCs w:val="24"/>
        </w:rPr>
        <w:t>，以及</w:t>
      </w:r>
      <w:r>
        <w:rPr>
          <w:rFonts w:asciiTheme="minorEastAsia" w:hAnsiTheme="minorEastAsia" w:eastAsiaTheme="minorEastAsia" w:cstheme="minorEastAsia"/>
          <w:spacing w:val="2"/>
          <w:sz w:val="24"/>
          <w:szCs w:val="24"/>
        </w:rPr>
        <w:t>有</w:t>
      </w:r>
      <w:r>
        <w:rPr>
          <w:rFonts w:asciiTheme="minorEastAsia" w:hAnsiTheme="minorEastAsia" w:eastAsiaTheme="minorEastAsia" w:cstheme="minorEastAsia"/>
          <w:spacing w:val="4"/>
          <w:sz w:val="24"/>
          <w:szCs w:val="24"/>
        </w:rPr>
        <w:t>关</w:t>
      </w:r>
      <w:r>
        <w:rPr>
          <w:rFonts w:asciiTheme="minorEastAsia" w:hAnsiTheme="minorEastAsia" w:eastAsiaTheme="minorEastAsia" w:cstheme="minorEastAsia"/>
          <w:spacing w:val="2"/>
          <w:sz w:val="24"/>
          <w:szCs w:val="24"/>
        </w:rPr>
        <w:t>技</w:t>
      </w:r>
      <w:r>
        <w:rPr>
          <w:rFonts w:asciiTheme="minorEastAsia" w:hAnsiTheme="minorEastAsia" w:eastAsiaTheme="minorEastAsia" w:cstheme="minorEastAsia"/>
          <w:spacing w:val="6"/>
          <w:sz w:val="24"/>
          <w:szCs w:val="24"/>
        </w:rPr>
        <w:t>术</w:t>
      </w:r>
      <w:r>
        <w:rPr>
          <w:rFonts w:asciiTheme="minorEastAsia" w:hAnsiTheme="minorEastAsia" w:eastAsiaTheme="minorEastAsia" w:cstheme="minorEastAsia"/>
          <w:spacing w:val="2"/>
          <w:sz w:val="24"/>
          <w:szCs w:val="24"/>
        </w:rPr>
        <w:t>、经济</w:t>
      </w:r>
      <w:r>
        <w:rPr>
          <w:rFonts w:asciiTheme="minorEastAsia" w:hAnsiTheme="minorEastAsia" w:eastAsiaTheme="minorEastAsia" w:cstheme="minorEastAsia"/>
          <w:spacing w:val="-2"/>
          <w:sz w:val="24"/>
          <w:szCs w:val="24"/>
        </w:rPr>
        <w:t>等方面的专家组成。评标委员会成员人数以及</w:t>
      </w:r>
      <w:r>
        <w:rPr>
          <w:rFonts w:asciiTheme="minorEastAsia" w:hAnsiTheme="minorEastAsia" w:eastAsiaTheme="minorEastAsia" w:cstheme="minorEastAsia"/>
          <w:spacing w:val="-3"/>
          <w:sz w:val="24"/>
          <w:szCs w:val="24"/>
        </w:rPr>
        <w:t>技术、经济等方面专家的确定方式见投标人须知前附表。</w:t>
      </w:r>
      <w:r>
        <w:rPr>
          <w:rFonts w:asciiTheme="minorEastAsia" w:hAnsiTheme="minorEastAsia" w:eastAsiaTheme="minorEastAsia" w:cstheme="minorEastAsia"/>
          <w:spacing w:val="34"/>
          <w:sz w:val="24"/>
          <w:szCs w:val="24"/>
        </w:rPr>
        <w:t xml:space="preserve"> </w:t>
      </w:r>
    </w:p>
    <w:p>
      <w:pPr>
        <w:pStyle w:val="13"/>
        <w:kinsoku w:val="0"/>
        <w:overflowPunct w:val="0"/>
        <w:spacing w:line="360" w:lineRule="auto"/>
        <w:ind w:right="146"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7.1.2评标中因评标委员会成员缺席、回避或者健康等特殊原因导致评标委员会组成不符合本办法</w:t>
      </w:r>
      <w:r>
        <w:rPr>
          <w:rFonts w:asciiTheme="minorEastAsia" w:hAnsiTheme="minorEastAsia" w:eastAsiaTheme="minorEastAsia" w:cstheme="minorEastAsia"/>
          <w:sz w:val="24"/>
          <w:szCs w:val="24"/>
        </w:rPr>
        <w:t>规定的，采购人或者采购代理机构应当依法补足后继续评标。被更换的评标委员会成员所作出的评标意</w:t>
      </w:r>
      <w:r>
        <w:rPr>
          <w:rFonts w:asciiTheme="minorEastAsia" w:hAnsiTheme="minorEastAsia" w:eastAsiaTheme="minorEastAsia" w:cstheme="minorEastAsia"/>
          <w:spacing w:val="-1"/>
          <w:sz w:val="24"/>
          <w:szCs w:val="24"/>
        </w:rPr>
        <w:t>见无效。</w:t>
      </w:r>
    </w:p>
    <w:p>
      <w:pPr>
        <w:pStyle w:val="13"/>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无法及时补足评标委员会成员的，采购人或者采购代理机构应当停止评标活动，封存所有投标文件</w:t>
      </w:r>
      <w:r>
        <w:rPr>
          <w:rFonts w:asciiTheme="minorEastAsia" w:hAnsiTheme="minorEastAsia" w:eastAsiaTheme="minorEastAsia" w:cstheme="minorEastAsia"/>
          <w:spacing w:val="-2"/>
          <w:sz w:val="24"/>
          <w:szCs w:val="24"/>
        </w:rPr>
        <w:t>和开标、评标资料，依法重新组建评标委员会进行评标。原评标委员会所作出的评标意见无效。</w:t>
      </w:r>
    </w:p>
    <w:p>
      <w:pPr>
        <w:pStyle w:val="13"/>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采购人或者采购代理机构应当将变更、重新组建评标委员会的情况予以记录，并随采购文件一并存档。</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7.1.3评标委员会成员名单在评标结果公告前应当保密。</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7.2</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评标原则</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评标活动遵循公平、公正、科学和择优的原则。</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7.3</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评标</w:t>
      </w:r>
    </w:p>
    <w:p>
      <w:pPr>
        <w:pStyle w:val="13"/>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7.3.1评标委员会应当按照招标文件中规定的评标方法和标准，对初步评审合格的投标文件进行商</w:t>
      </w:r>
      <w:r>
        <w:rPr>
          <w:rFonts w:asciiTheme="minorEastAsia" w:hAnsiTheme="minorEastAsia" w:eastAsiaTheme="minorEastAsia" w:cstheme="minorEastAsia"/>
          <w:spacing w:val="-3"/>
          <w:sz w:val="24"/>
          <w:szCs w:val="24"/>
        </w:rPr>
        <w:t>务和技术评估，综合比较与评价。招标文件没有规定的评标方法、评审因素和标准，不作为评标依据。</w:t>
      </w:r>
    </w:p>
    <w:p>
      <w:pPr>
        <w:pStyle w:val="13"/>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7.3.2评标时，评标委员会各成员应当独立对每个投标人的投标文件进行评价，并汇总每个投标人</w:t>
      </w:r>
      <w:r>
        <w:rPr>
          <w:rFonts w:asciiTheme="minorEastAsia" w:hAnsiTheme="minorEastAsia" w:eastAsiaTheme="minorEastAsia" w:cstheme="minorEastAsia"/>
          <w:spacing w:val="-1"/>
          <w:sz w:val="24"/>
          <w:szCs w:val="24"/>
        </w:rPr>
        <w:t>的得分。</w:t>
      </w:r>
    </w:p>
    <w:p>
      <w:pPr>
        <w:pStyle w:val="13"/>
        <w:kinsoku w:val="0"/>
        <w:overflowPunct w:val="0"/>
        <w:spacing w:line="360" w:lineRule="auto"/>
        <w:ind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评标完成后，评标委员会应当向招标人提交书面评标报告和中标候选人名单。评标委员会推荐中标</w:t>
      </w:r>
      <w:r>
        <w:rPr>
          <w:rFonts w:asciiTheme="minorEastAsia" w:hAnsiTheme="minorEastAsia" w:eastAsiaTheme="minorEastAsia" w:cstheme="minorEastAsia"/>
          <w:spacing w:val="82"/>
          <w:sz w:val="24"/>
          <w:szCs w:val="24"/>
        </w:rPr>
        <w:t xml:space="preserve"> </w:t>
      </w:r>
      <w:r>
        <w:rPr>
          <w:rFonts w:asciiTheme="minorEastAsia" w:hAnsiTheme="minorEastAsia" w:eastAsiaTheme="minorEastAsia" w:cstheme="minorEastAsia"/>
          <w:spacing w:val="-3"/>
          <w:sz w:val="24"/>
          <w:szCs w:val="24"/>
        </w:rPr>
        <w:t>候选人的人数见投标人须知前附表。</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7.3.3评标委员会负责具体评标事务，并独立履行下列职责：</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（一）审查、评价投标文件是否符合招标文件的商务、技术等实质性要求；</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（二）要求投标人对投标文件有关事项作出澄清或者说明；</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（三）对投标文件进行比较和评价；</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（四）确定中标候选人名单，以及根据采购人委托直接确定中标人；</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（五）向采购人、采购代理机构或者有关部门报告评标中发现的违法行为。</w:t>
      </w:r>
    </w:p>
    <w:p>
      <w:pPr>
        <w:pStyle w:val="8"/>
        <w:tabs>
          <w:tab w:val="left" w:pos="1245"/>
        </w:tabs>
        <w:kinsoku w:val="0"/>
        <w:overflowPunct w:val="0"/>
        <w:spacing w:line="360" w:lineRule="auto"/>
        <w:ind w:left="537"/>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7.4</w:t>
      </w:r>
      <w:r>
        <w:rPr>
          <w:rFonts w:asciiTheme="minorEastAsia" w:hAnsiTheme="minorEastAsia" w:eastAsiaTheme="minorEastAsia" w:cstheme="minorEastAsia"/>
          <w:b/>
          <w:bCs/>
          <w:sz w:val="24"/>
          <w:szCs w:val="24"/>
        </w:rPr>
        <w:tab/>
      </w:r>
      <w:r>
        <w:rPr>
          <w:rFonts w:asciiTheme="minorEastAsia" w:hAnsiTheme="minorEastAsia" w:eastAsiaTheme="minorEastAsia" w:cstheme="minorEastAsia"/>
          <w:b/>
          <w:bCs/>
          <w:sz w:val="24"/>
          <w:szCs w:val="24"/>
        </w:rPr>
        <w:t>废标</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招标采购中，出现下列情形之一的，应予废标：</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（一）符合专业条件的供应商或者对招标文件作实质响应的供应商不足三家的；</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（二）出现影响采购公正的违法、违规行为的；</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（三）投标人的报价均超过了采购预算，采购人不能支付的；</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（四）因重大变故，采购任务取消的。废标后，采购人应当将废标理由通知所有投标人</w:t>
      </w:r>
    </w:p>
    <w:p>
      <w:pPr>
        <w:ind w:firstLine="474" w:firstLineChars="200"/>
        <w:rPr>
          <w:rFonts w:asciiTheme="minorEastAsia" w:hAnsiTheme="minorEastAsia" w:eastAsiaTheme="minorEastAsia" w:cstheme="minorEastAsia"/>
          <w:b/>
          <w:bCs/>
          <w:spacing w:val="-2"/>
          <w:szCs w:val="24"/>
        </w:rPr>
      </w:pPr>
      <w:r>
        <w:rPr>
          <w:rFonts w:hint="eastAsia" w:asciiTheme="minorEastAsia" w:hAnsiTheme="minorEastAsia" w:eastAsiaTheme="minorEastAsia" w:cstheme="minorEastAsia"/>
          <w:b/>
          <w:bCs/>
          <w:spacing w:val="-2"/>
          <w:szCs w:val="24"/>
        </w:rPr>
        <w:t>（五）投标文件制作机器码一致的；</w:t>
      </w:r>
    </w:p>
    <w:p>
      <w:pPr>
        <w:rPr>
          <w:rFonts w:asciiTheme="minorEastAsia" w:hAnsiTheme="minorEastAsia" w:eastAsiaTheme="minorEastAsia" w:cstheme="minorEastAsia"/>
          <w:spacing w:val="-2"/>
          <w:szCs w:val="24"/>
        </w:rPr>
      </w:pPr>
    </w:p>
    <w:p>
      <w:pPr>
        <w:pStyle w:val="25"/>
        <w:rPr>
          <w:rFonts w:hint="default" w:asciiTheme="minorEastAsia" w:hAnsiTheme="minorEastAsia" w:eastAsiaTheme="minorEastAsia" w:cstheme="minorEastAsia"/>
          <w:spacing w:val="-2"/>
          <w:sz w:val="24"/>
          <w:szCs w:val="24"/>
        </w:rPr>
      </w:pPr>
    </w:p>
    <w:p>
      <w:pPr>
        <w:pStyle w:val="25"/>
        <w:rPr>
          <w:rFonts w:hint="default" w:asciiTheme="minorEastAsia" w:hAnsiTheme="minorEastAsia" w:eastAsiaTheme="minorEastAsia" w:cstheme="minorEastAsia"/>
          <w:spacing w:val="-2"/>
          <w:sz w:val="24"/>
          <w:szCs w:val="24"/>
        </w:rPr>
      </w:pPr>
    </w:p>
    <w:p>
      <w:pPr>
        <w:pStyle w:val="25"/>
        <w:rPr>
          <w:rFonts w:hint="default" w:asciiTheme="minorEastAsia" w:hAnsiTheme="minorEastAsia" w:eastAsiaTheme="minorEastAsia" w:cstheme="minorEastAsia"/>
          <w:spacing w:val="-2"/>
          <w:sz w:val="24"/>
          <w:szCs w:val="24"/>
        </w:rPr>
      </w:pPr>
    </w:p>
    <w:p>
      <w:pPr>
        <w:pStyle w:val="4"/>
        <w:kinsoku w:val="0"/>
        <w:overflowPunct w:val="0"/>
        <w:spacing w:line="360" w:lineRule="auto"/>
        <w:ind w:left="0" w:right="50"/>
        <w:jc w:val="center"/>
        <w:rPr>
          <w:rFonts w:hint="default" w:asciiTheme="minorEastAsia" w:hAnsiTheme="minorEastAsia" w:eastAsiaTheme="minorEastAsia" w:cstheme="minorEastAsia"/>
          <w:b w:val="0"/>
          <w:sz w:val="30"/>
          <w:szCs w:val="30"/>
        </w:rPr>
      </w:pPr>
      <w:bookmarkStart w:id="28" w:name="bookmark11"/>
      <w:bookmarkEnd w:id="28"/>
      <w:r>
        <w:rPr>
          <w:rFonts w:asciiTheme="minorEastAsia" w:hAnsiTheme="minorEastAsia" w:eastAsiaTheme="minorEastAsia" w:cstheme="minorEastAsia"/>
          <w:sz w:val="30"/>
          <w:szCs w:val="30"/>
        </w:rPr>
        <w:t>8.</w:t>
      </w:r>
      <w:r>
        <w:rPr>
          <w:rFonts w:asciiTheme="minorEastAsia" w:hAnsiTheme="minorEastAsia" w:eastAsiaTheme="minorEastAsia" w:cstheme="minorEastAsia"/>
          <w:spacing w:val="60"/>
          <w:sz w:val="30"/>
          <w:szCs w:val="30"/>
        </w:rPr>
        <w:t xml:space="preserve"> </w:t>
      </w:r>
      <w:r>
        <w:rPr>
          <w:rFonts w:asciiTheme="minorEastAsia" w:hAnsiTheme="minorEastAsia" w:eastAsiaTheme="minorEastAsia" w:cstheme="minorEastAsia"/>
          <w:spacing w:val="4"/>
          <w:sz w:val="30"/>
          <w:szCs w:val="30"/>
        </w:rPr>
        <w:t>合</w:t>
      </w:r>
      <w:r>
        <w:rPr>
          <w:rFonts w:asciiTheme="minorEastAsia" w:hAnsiTheme="minorEastAsia" w:eastAsiaTheme="minorEastAsia" w:cstheme="minorEastAsia"/>
          <w:spacing w:val="2"/>
          <w:sz w:val="30"/>
          <w:szCs w:val="30"/>
        </w:rPr>
        <w:t>同授</w:t>
      </w:r>
      <w:r>
        <w:rPr>
          <w:rFonts w:asciiTheme="minorEastAsia" w:hAnsiTheme="minorEastAsia" w:eastAsiaTheme="minorEastAsia" w:cstheme="minorEastAsia"/>
          <w:sz w:val="30"/>
          <w:szCs w:val="30"/>
        </w:rPr>
        <w:t>予</w:t>
      </w:r>
    </w:p>
    <w:p>
      <w:pPr>
        <w:pStyle w:val="8"/>
        <w:tabs>
          <w:tab w:val="left" w:pos="959"/>
        </w:tabs>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8.1</w:t>
      </w:r>
      <w:r>
        <w:rPr>
          <w:rFonts w:asciiTheme="minorEastAsia" w:hAnsiTheme="minorEastAsia" w:eastAsiaTheme="minorEastAsia" w:cstheme="minorEastAsia"/>
          <w:b/>
          <w:bCs/>
          <w:sz w:val="24"/>
          <w:szCs w:val="24"/>
        </w:rPr>
        <w:tab/>
      </w:r>
      <w:r>
        <w:rPr>
          <w:rFonts w:asciiTheme="minorEastAsia" w:hAnsiTheme="minorEastAsia" w:eastAsiaTheme="minorEastAsia" w:cstheme="minorEastAsia"/>
          <w:b/>
          <w:bCs/>
          <w:sz w:val="24"/>
          <w:szCs w:val="24"/>
        </w:rPr>
        <w:t>定标</w:t>
      </w:r>
    </w:p>
    <w:p>
      <w:pPr>
        <w:pStyle w:val="13"/>
        <w:kinsoku w:val="0"/>
        <w:overflowPunct w:val="0"/>
        <w:spacing w:line="360" w:lineRule="auto"/>
        <w:ind w:firstLine="472" w:firstLineChars="20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按照投标人须知前附表的规定，招标人或招标人授权的评标委员会依法确定中标人。</w:t>
      </w:r>
      <w:r>
        <w:rPr>
          <w:rFonts w:asciiTheme="minorEastAsia" w:hAnsiTheme="minorEastAsia" w:eastAsiaTheme="minorEastAsia" w:cstheme="minorEastAsia"/>
          <w:sz w:val="24"/>
          <w:szCs w:val="24"/>
        </w:rPr>
        <w:t>中标或者成交供应商拒绝与采购人签订合同的，采购人可以按照评审报告推荐的中标或者成交候选</w:t>
      </w:r>
      <w:r>
        <w:rPr>
          <w:rFonts w:asciiTheme="minorEastAsia" w:hAnsiTheme="minorEastAsia" w:eastAsiaTheme="minorEastAsia" w:cstheme="minorEastAsia"/>
          <w:spacing w:val="-2"/>
          <w:sz w:val="24"/>
          <w:szCs w:val="24"/>
        </w:rPr>
        <w:t>人名单排序，确定下一候选人为中标或者成交供应商，也可以重新开展政府采购活动。</w:t>
      </w:r>
    </w:p>
    <w:p>
      <w:pPr>
        <w:pStyle w:val="8"/>
        <w:kinsoku w:val="0"/>
        <w:overflowPunct w:val="0"/>
        <w:spacing w:line="360" w:lineRule="auto"/>
        <w:jc w:val="both"/>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8.2</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中标、成交结果公告</w:t>
      </w:r>
    </w:p>
    <w:p>
      <w:pPr>
        <w:pStyle w:val="13"/>
        <w:kinsoku w:val="0"/>
        <w:overflowPunct w:val="0"/>
        <w:spacing w:line="360" w:lineRule="auto"/>
        <w:ind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3"/>
          <w:sz w:val="24"/>
          <w:szCs w:val="24"/>
        </w:rPr>
        <w:t>采购代理机构应当自评审结束之日起2个工作日内将评审报告送交采购人。采购人应当自收到评审</w:t>
      </w:r>
      <w:r>
        <w:rPr>
          <w:rFonts w:asciiTheme="minorEastAsia" w:hAnsiTheme="minorEastAsia" w:eastAsiaTheme="minorEastAsia" w:cstheme="minorEastAsia"/>
          <w:spacing w:val="-2"/>
          <w:sz w:val="24"/>
          <w:szCs w:val="24"/>
        </w:rPr>
        <w:t>报告之日起5个工作日内在评审报告推荐的中标或者成交候选人中按顺序确定中标或者成交供应商。</w:t>
      </w:r>
    </w:p>
    <w:p>
      <w:pPr>
        <w:pStyle w:val="13"/>
        <w:kinsoku w:val="0"/>
        <w:overflowPunct w:val="0"/>
        <w:spacing w:line="360" w:lineRule="auto"/>
        <w:ind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3"/>
          <w:sz w:val="24"/>
          <w:szCs w:val="24"/>
        </w:rPr>
        <w:t>采购人或者采购代理机构应当自中标、成交供应商确定之日起2个工作日内，发出中标、成交通知</w:t>
      </w:r>
      <w:r>
        <w:rPr>
          <w:rFonts w:asciiTheme="minorEastAsia" w:hAnsiTheme="minorEastAsia" w:eastAsiaTheme="minorEastAsia" w:cstheme="minorEastAsia"/>
          <w:spacing w:val="-2"/>
          <w:sz w:val="24"/>
          <w:szCs w:val="24"/>
        </w:rPr>
        <w:t>书，并在省级以上人民政府财政部门指定的媒体上公告中标、成交结果。</w:t>
      </w:r>
    </w:p>
    <w:p>
      <w:pPr>
        <w:pStyle w:val="13"/>
        <w:kinsoku w:val="0"/>
        <w:overflowPunct w:val="0"/>
        <w:spacing w:line="360" w:lineRule="auto"/>
        <w:ind w:left="5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中标公告期限为1个工作日。</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8.3</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中标通知</w:t>
      </w:r>
    </w:p>
    <w:p>
      <w:pPr>
        <w:pStyle w:val="13"/>
        <w:kinsoku w:val="0"/>
        <w:overflowPunct w:val="0"/>
        <w:spacing w:line="360" w:lineRule="auto"/>
        <w:ind w:left="5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在公告中标结果的同时，采购人或者采购代理机构应当向中标人发出中标通知书；</w:t>
      </w:r>
    </w:p>
    <w:p>
      <w:pPr>
        <w:pStyle w:val="8"/>
        <w:kinsoku w:val="0"/>
        <w:overflowPunct w:val="0"/>
        <w:spacing w:line="360" w:lineRule="auto"/>
        <w:jc w:val="both"/>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8.4</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履约保证金</w:t>
      </w:r>
    </w:p>
    <w:p>
      <w:pPr>
        <w:pStyle w:val="13"/>
        <w:kinsoku w:val="0"/>
        <w:overflowPunct w:val="0"/>
        <w:spacing w:line="360" w:lineRule="auto"/>
        <w:ind w:right="105" w:firstLine="420"/>
        <w:jc w:val="both"/>
        <w:rPr>
          <w:rFonts w:hint="default" w:asciiTheme="minorEastAsia" w:hAnsiTheme="minorEastAsia" w:eastAsiaTheme="minorEastAsia" w:cstheme="minorEastAsia"/>
          <w:spacing w:val="-2"/>
          <w:sz w:val="24"/>
          <w:szCs w:val="24"/>
          <w:highlight w:val="yellow"/>
        </w:rPr>
      </w:pPr>
      <w:r>
        <w:rPr>
          <w:rFonts w:asciiTheme="minorEastAsia" w:hAnsiTheme="minorEastAsia" w:eastAsiaTheme="minorEastAsia" w:cstheme="minorEastAsia"/>
          <w:spacing w:val="-1"/>
          <w:sz w:val="24"/>
          <w:szCs w:val="24"/>
        </w:rPr>
        <w:t>8.4.1</w:t>
      </w:r>
      <w:r>
        <w:rPr>
          <w:rFonts w:asciiTheme="minorEastAsia" w:hAnsiTheme="minorEastAsia" w:eastAsiaTheme="minorEastAsia" w:cstheme="minorEastAsia"/>
          <w:sz w:val="24"/>
          <w:szCs w:val="24"/>
        </w:rPr>
        <w:t xml:space="preserve"> </w:t>
      </w:r>
      <w:r>
        <w:rPr>
          <w:rFonts w:cs="宋体"/>
          <w:color w:val="000000"/>
          <w:sz w:val="24"/>
          <w:szCs w:val="24"/>
        </w:rPr>
        <w:t>中标人应按照招标文件或合同条款的规定，采用招标文件中提供的履约保函格式、政府采购履约担保函格式或采购人可以接受的其他形式向采购人提交履约保证金。</w:t>
      </w:r>
    </w:p>
    <w:p>
      <w:pPr>
        <w:pStyle w:val="13"/>
        <w:kinsoku w:val="0"/>
        <w:overflowPunct w:val="0"/>
        <w:spacing w:line="360" w:lineRule="auto"/>
        <w:ind w:right="2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8.4.2</w:t>
      </w:r>
      <w:r>
        <w:rPr>
          <w:rFonts w:asciiTheme="minorEastAsia" w:hAnsiTheme="minorEastAsia" w:eastAsiaTheme="minorEastAsia" w:cstheme="minorEastAsia"/>
          <w:spacing w:val="3"/>
          <w:sz w:val="24"/>
          <w:szCs w:val="24"/>
        </w:rPr>
        <w:t xml:space="preserve"> 中标人不能按本章第</w:t>
      </w:r>
      <w:r>
        <w:rPr>
          <w:rFonts w:asciiTheme="minorEastAsia" w:hAnsiTheme="minorEastAsia" w:eastAsiaTheme="minorEastAsia" w:cstheme="minorEastAsia"/>
          <w:spacing w:val="12"/>
          <w:sz w:val="24"/>
          <w:szCs w:val="24"/>
        </w:rPr>
        <w:t xml:space="preserve"> </w:t>
      </w:r>
      <w:r>
        <w:rPr>
          <w:rFonts w:asciiTheme="minorEastAsia" w:hAnsiTheme="minorEastAsia" w:eastAsiaTheme="minorEastAsia" w:cstheme="minorEastAsia"/>
          <w:spacing w:val="-1"/>
          <w:sz w:val="24"/>
          <w:szCs w:val="24"/>
        </w:rPr>
        <w:t>8.4.1</w:t>
      </w:r>
      <w:r>
        <w:rPr>
          <w:rFonts w:asciiTheme="minorEastAsia" w:hAnsiTheme="minorEastAsia" w:eastAsiaTheme="minorEastAsia" w:cstheme="minorEastAsia"/>
          <w:spacing w:val="5"/>
          <w:sz w:val="24"/>
          <w:szCs w:val="24"/>
        </w:rPr>
        <w:t xml:space="preserve"> </w:t>
      </w:r>
      <w:r>
        <w:rPr>
          <w:rFonts w:asciiTheme="minorEastAsia" w:hAnsiTheme="minorEastAsia" w:eastAsiaTheme="minorEastAsia" w:cstheme="minorEastAsia"/>
          <w:spacing w:val="3"/>
          <w:sz w:val="24"/>
          <w:szCs w:val="24"/>
        </w:rPr>
        <w:t>项要求提交履约保证金的，视为放弃中标，其投标保证金不予</w:t>
      </w:r>
      <w:r>
        <w:rPr>
          <w:rFonts w:asciiTheme="minorEastAsia" w:hAnsiTheme="minorEastAsia" w:eastAsiaTheme="minorEastAsia" w:cstheme="minorEastAsia"/>
          <w:spacing w:val="-2"/>
          <w:sz w:val="24"/>
          <w:szCs w:val="24"/>
        </w:rPr>
        <w:t>退还，给招标人造成的损失超过投标保证金数额的，中标人还应当对超过部分予以赔偿。</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8.5</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1"/>
          <w:sz w:val="24"/>
          <w:szCs w:val="24"/>
        </w:rPr>
        <w:t>签订合同</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1"/>
          <w:sz w:val="24"/>
          <w:szCs w:val="24"/>
        </w:rPr>
        <w:t>8.5.1 采购人应当自中标通知书发出之日起30日内，按照招标文件和中标人投标文件的规定，与中</w:t>
      </w:r>
      <w:r>
        <w:rPr>
          <w:rFonts w:asciiTheme="minorEastAsia" w:hAnsiTheme="minorEastAsia" w:eastAsiaTheme="minorEastAsia" w:cstheme="minorEastAsia"/>
          <w:spacing w:val="-4"/>
          <w:sz w:val="24"/>
          <w:szCs w:val="24"/>
        </w:rPr>
        <w:t>标人签订书面合同。所签订的合同不得对招标文件确定的事项和中标人投标文件作实质性修改。</w:t>
      </w:r>
    </w:p>
    <w:p>
      <w:pPr>
        <w:pStyle w:val="13"/>
        <w:kinsoku w:val="0"/>
        <w:overflowPunct w:val="0"/>
        <w:spacing w:line="360" w:lineRule="auto"/>
        <w:ind w:left="539" w:right="144" w:rightChars="60"/>
        <w:jc w:val="both"/>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8.5.2 采购人不得向中标人提出任何不合理的要求作为签订合同的条件。</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8.5.3 中标人无正当理由拒签合同，在签订合同时向招标人提出附加条件，或者不按照招标文件要</w:t>
      </w:r>
      <w:r>
        <w:rPr>
          <w:rFonts w:asciiTheme="minorEastAsia" w:hAnsiTheme="minorEastAsia" w:eastAsiaTheme="minorEastAsia" w:cstheme="minorEastAsia"/>
          <w:spacing w:val="1"/>
          <w:sz w:val="24"/>
          <w:szCs w:val="24"/>
        </w:rPr>
        <w:t>求提交履约保证金的，招标人有权取消其中标资格，其投标保证金不予退</w:t>
      </w:r>
      <w:r>
        <w:rPr>
          <w:rFonts w:asciiTheme="minorEastAsia" w:hAnsiTheme="minorEastAsia" w:eastAsiaTheme="minorEastAsia" w:cstheme="minorEastAsia"/>
          <w:sz w:val="24"/>
          <w:szCs w:val="24"/>
        </w:rPr>
        <w:t>还；给招标人造成的损失超</w:t>
      </w:r>
      <w:r>
        <w:rPr>
          <w:rFonts w:asciiTheme="minorEastAsia" w:hAnsiTheme="minorEastAsia" w:eastAsiaTheme="minorEastAsia" w:cstheme="minorEastAsia"/>
          <w:spacing w:val="28"/>
          <w:sz w:val="24"/>
          <w:szCs w:val="24"/>
        </w:rPr>
        <w:t xml:space="preserve"> </w:t>
      </w:r>
      <w:r>
        <w:rPr>
          <w:rFonts w:asciiTheme="minorEastAsia" w:hAnsiTheme="minorEastAsia" w:eastAsiaTheme="minorEastAsia" w:cstheme="minorEastAsia"/>
          <w:spacing w:val="-3"/>
          <w:sz w:val="24"/>
          <w:szCs w:val="24"/>
        </w:rPr>
        <w:t>过投标保证金数额的，中标人还应当对超过部分予以赔偿。</w:t>
      </w:r>
    </w:p>
    <w:p>
      <w:pPr>
        <w:pStyle w:val="13"/>
        <w:kinsoku w:val="0"/>
        <w:overflowPunct w:val="0"/>
        <w:spacing w:line="360" w:lineRule="auto"/>
        <w:ind w:right="144" w:rightChars="60"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8.5</w:t>
      </w: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 xml:space="preserve">4 </w:t>
      </w:r>
      <w:r>
        <w:rPr>
          <w:rFonts w:asciiTheme="minorEastAsia" w:hAnsiTheme="minorEastAsia" w:eastAsiaTheme="minorEastAsia" w:cstheme="minorEastAsia"/>
          <w:spacing w:val="2"/>
          <w:sz w:val="24"/>
          <w:szCs w:val="24"/>
        </w:rPr>
        <w:t>发</w:t>
      </w:r>
      <w:r>
        <w:rPr>
          <w:rFonts w:asciiTheme="minorEastAsia" w:hAnsiTheme="minorEastAsia" w:eastAsiaTheme="minorEastAsia" w:cstheme="minorEastAsia"/>
          <w:sz w:val="24"/>
          <w:szCs w:val="24"/>
        </w:rPr>
        <w:t>出</w:t>
      </w:r>
      <w:r>
        <w:rPr>
          <w:rFonts w:asciiTheme="minorEastAsia" w:hAnsiTheme="minorEastAsia" w:eastAsiaTheme="minorEastAsia" w:cstheme="minorEastAsia"/>
          <w:spacing w:val="2"/>
          <w:sz w:val="24"/>
          <w:szCs w:val="24"/>
        </w:rPr>
        <w:t>中</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3"/>
          <w:sz w:val="24"/>
          <w:szCs w:val="24"/>
        </w:rPr>
        <w:t>通</w:t>
      </w:r>
      <w:r>
        <w:rPr>
          <w:rFonts w:asciiTheme="minorEastAsia" w:hAnsiTheme="minorEastAsia" w:eastAsiaTheme="minorEastAsia" w:cstheme="minorEastAsia"/>
          <w:sz w:val="24"/>
          <w:szCs w:val="24"/>
        </w:rPr>
        <w:t>知书后</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2"/>
          <w:sz w:val="24"/>
          <w:szCs w:val="24"/>
        </w:rPr>
        <w:t>招标</w:t>
      </w:r>
      <w:r>
        <w:rPr>
          <w:rFonts w:asciiTheme="minorEastAsia" w:hAnsiTheme="minorEastAsia" w:eastAsiaTheme="minorEastAsia" w:cstheme="minorEastAsia"/>
          <w:spacing w:val="-3"/>
          <w:sz w:val="24"/>
          <w:szCs w:val="24"/>
        </w:rPr>
        <w:t>人</w:t>
      </w:r>
      <w:r>
        <w:rPr>
          <w:rFonts w:asciiTheme="minorEastAsia" w:hAnsiTheme="minorEastAsia" w:eastAsiaTheme="minorEastAsia" w:cstheme="minorEastAsia"/>
          <w:spacing w:val="2"/>
          <w:sz w:val="24"/>
          <w:szCs w:val="24"/>
        </w:rPr>
        <w:t>无</w:t>
      </w:r>
      <w:r>
        <w:rPr>
          <w:rFonts w:asciiTheme="minorEastAsia" w:hAnsiTheme="minorEastAsia" w:eastAsiaTheme="minorEastAsia" w:cstheme="minorEastAsia"/>
          <w:sz w:val="24"/>
          <w:szCs w:val="24"/>
        </w:rPr>
        <w:t>正</w:t>
      </w:r>
      <w:r>
        <w:rPr>
          <w:rFonts w:asciiTheme="minorEastAsia" w:hAnsiTheme="minorEastAsia" w:eastAsiaTheme="minorEastAsia" w:cstheme="minorEastAsia"/>
          <w:spacing w:val="2"/>
          <w:sz w:val="24"/>
          <w:szCs w:val="24"/>
        </w:rPr>
        <w:t>当</w:t>
      </w:r>
      <w:r>
        <w:rPr>
          <w:rFonts w:asciiTheme="minorEastAsia" w:hAnsiTheme="minorEastAsia" w:eastAsiaTheme="minorEastAsia" w:cstheme="minorEastAsia"/>
          <w:spacing w:val="-2"/>
          <w:sz w:val="24"/>
          <w:szCs w:val="24"/>
        </w:rPr>
        <w:t>理</w:t>
      </w:r>
      <w:r>
        <w:rPr>
          <w:rFonts w:asciiTheme="minorEastAsia" w:hAnsiTheme="minorEastAsia" w:eastAsiaTheme="minorEastAsia" w:cstheme="minorEastAsia"/>
          <w:spacing w:val="2"/>
          <w:sz w:val="24"/>
          <w:szCs w:val="24"/>
        </w:rPr>
        <w:t>由</w:t>
      </w:r>
      <w:r>
        <w:rPr>
          <w:rFonts w:asciiTheme="minorEastAsia" w:hAnsiTheme="minorEastAsia" w:eastAsiaTheme="minorEastAsia" w:cstheme="minorEastAsia"/>
          <w:sz w:val="24"/>
          <w:szCs w:val="24"/>
        </w:rPr>
        <w:t>拒签合</w:t>
      </w:r>
      <w:r>
        <w:rPr>
          <w:rFonts w:asciiTheme="minorEastAsia" w:hAnsiTheme="minorEastAsia" w:eastAsiaTheme="minorEastAsia" w:cstheme="minorEastAsia"/>
          <w:spacing w:val="2"/>
          <w:sz w:val="24"/>
          <w:szCs w:val="24"/>
        </w:rPr>
        <w:t>同</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2"/>
          <w:sz w:val="24"/>
          <w:szCs w:val="24"/>
        </w:rPr>
        <w:t>者</w:t>
      </w:r>
      <w:r>
        <w:rPr>
          <w:rFonts w:asciiTheme="minorEastAsia" w:hAnsiTheme="minorEastAsia" w:eastAsiaTheme="minorEastAsia" w:cstheme="minorEastAsia"/>
          <w:spacing w:val="-3"/>
          <w:sz w:val="24"/>
          <w:szCs w:val="24"/>
        </w:rPr>
        <w:t>在</w:t>
      </w:r>
      <w:r>
        <w:rPr>
          <w:rFonts w:asciiTheme="minorEastAsia" w:hAnsiTheme="minorEastAsia" w:eastAsiaTheme="minorEastAsia" w:cstheme="minorEastAsia"/>
          <w:spacing w:val="2"/>
          <w:sz w:val="24"/>
          <w:szCs w:val="24"/>
        </w:rPr>
        <w:t>签</w:t>
      </w:r>
      <w:r>
        <w:rPr>
          <w:rFonts w:asciiTheme="minorEastAsia" w:hAnsiTheme="minorEastAsia" w:eastAsiaTheme="minorEastAsia" w:cstheme="minorEastAsia"/>
          <w:sz w:val="24"/>
          <w:szCs w:val="24"/>
        </w:rPr>
        <w:t>订</w:t>
      </w:r>
      <w:r>
        <w:rPr>
          <w:rFonts w:asciiTheme="minorEastAsia" w:hAnsiTheme="minorEastAsia" w:eastAsiaTheme="minorEastAsia" w:cstheme="minorEastAsia"/>
          <w:spacing w:val="2"/>
          <w:sz w:val="24"/>
          <w:szCs w:val="24"/>
        </w:rPr>
        <w:t>合</w:t>
      </w:r>
      <w:r>
        <w:rPr>
          <w:rFonts w:asciiTheme="minorEastAsia" w:hAnsiTheme="minorEastAsia" w:eastAsiaTheme="minorEastAsia" w:cstheme="minorEastAsia"/>
          <w:spacing w:val="-3"/>
          <w:sz w:val="24"/>
          <w:szCs w:val="24"/>
        </w:rPr>
        <w:t>同</w:t>
      </w:r>
      <w:r>
        <w:rPr>
          <w:rFonts w:asciiTheme="minorEastAsia" w:hAnsiTheme="minorEastAsia" w:eastAsiaTheme="minorEastAsia" w:cstheme="minorEastAsia"/>
          <w:sz w:val="24"/>
          <w:szCs w:val="24"/>
        </w:rPr>
        <w:t>时向</w:t>
      </w:r>
      <w:r>
        <w:rPr>
          <w:rFonts w:asciiTheme="minorEastAsia" w:hAnsiTheme="minorEastAsia" w:eastAsiaTheme="minorEastAsia" w:cstheme="minorEastAsia"/>
          <w:spacing w:val="2"/>
          <w:sz w:val="24"/>
          <w:szCs w:val="24"/>
        </w:rPr>
        <w:t>中标</w:t>
      </w:r>
      <w:r>
        <w:rPr>
          <w:rFonts w:asciiTheme="minorEastAsia" w:hAnsiTheme="minorEastAsia" w:eastAsiaTheme="minorEastAsia" w:cstheme="minorEastAsia"/>
          <w:sz w:val="24"/>
          <w:szCs w:val="24"/>
        </w:rPr>
        <w:t>人提出</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z w:val="24"/>
          <w:szCs w:val="24"/>
        </w:rPr>
        <w:t>加</w:t>
      </w:r>
      <w:r>
        <w:rPr>
          <w:rFonts w:asciiTheme="minorEastAsia" w:hAnsiTheme="minorEastAsia" w:eastAsiaTheme="minorEastAsia" w:cstheme="minorEastAsia"/>
          <w:spacing w:val="3"/>
          <w:sz w:val="24"/>
          <w:szCs w:val="24"/>
        </w:rPr>
        <w:t>条</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的，招标人向中标人退还投标保证金；给中标人造成损失的，还应当赔偿损失</w:t>
      </w:r>
    </w:p>
    <w:p>
      <w:pPr>
        <w:pStyle w:val="13"/>
        <w:kinsoku w:val="0"/>
        <w:overflowPunct w:val="0"/>
        <w:spacing w:line="360" w:lineRule="auto"/>
        <w:ind w:left="0" w:firstLine="480" w:firstLineChars="20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8.5.5 联合体中标的，联合体各方应当共同与招标人签订合同，就中标项目向招标人承担连带责任。</w:t>
      </w:r>
    </w:p>
    <w:p>
      <w:pPr>
        <w:pStyle w:val="8"/>
        <w:tabs>
          <w:tab w:val="left" w:pos="964"/>
        </w:tabs>
        <w:kinsoku w:val="0"/>
        <w:overflowPunct w:val="0"/>
        <w:spacing w:line="360" w:lineRule="auto"/>
        <w:jc w:val="both"/>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8.6 货款支付</w:t>
      </w:r>
    </w:p>
    <w:p>
      <w:pPr>
        <w:pStyle w:val="13"/>
        <w:kinsoku w:val="0"/>
        <w:overflowPunct w:val="0"/>
        <w:spacing w:line="360" w:lineRule="auto"/>
        <w:ind w:left="0" w:right="70" w:firstLine="566" w:firstLineChars="24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采购人应当按照政府采购合同规定，及时向中标或者成交供应商支付采购资金。政府采购项目资金支付程序，按照国家有关财政资金支付管理的规定执行。</w:t>
      </w:r>
    </w:p>
    <w:p>
      <w:pPr>
        <w:pStyle w:val="8"/>
        <w:kinsoku w:val="0"/>
        <w:overflowPunct w:val="0"/>
        <w:spacing w:line="360" w:lineRule="auto"/>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8.7</w:t>
      </w:r>
      <w:r>
        <w:rPr>
          <w:rFonts w:asciiTheme="minorEastAsia" w:hAnsiTheme="minorEastAsia" w:eastAsiaTheme="minorEastAsia" w:cstheme="minorEastAsia"/>
          <w:b/>
          <w:bCs/>
          <w:spacing w:val="2"/>
          <w:sz w:val="24"/>
          <w:szCs w:val="24"/>
        </w:rPr>
        <w:t xml:space="preserve"> </w:t>
      </w:r>
      <w:r>
        <w:rPr>
          <w:rFonts w:asciiTheme="minorEastAsia" w:hAnsiTheme="minorEastAsia" w:eastAsiaTheme="minorEastAsia" w:cstheme="minorEastAsia"/>
          <w:b/>
          <w:bCs/>
          <w:sz w:val="24"/>
          <w:szCs w:val="24"/>
        </w:rPr>
        <w:t>中标无效</w:t>
      </w:r>
    </w:p>
    <w:p>
      <w:pPr>
        <w:pStyle w:val="13"/>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供应商有下列情形之一的，中标、成交无效：</w:t>
      </w:r>
    </w:p>
    <w:p>
      <w:pPr>
        <w:pStyle w:val="13"/>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（1）提供虚假材料谋取中标的；</w:t>
      </w:r>
    </w:p>
    <w:p>
      <w:pPr>
        <w:pStyle w:val="13"/>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（2）采取不正当手段诋毁、排挤其他供应商的；</w:t>
      </w:r>
    </w:p>
    <w:p>
      <w:pPr>
        <w:pStyle w:val="13"/>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（3）与采购人、其他供应商或者采购代理机构恶意串通的；</w:t>
      </w:r>
    </w:p>
    <w:p>
      <w:pPr>
        <w:pStyle w:val="13"/>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（4）向采购人、采购代理机构行贿或者提供其他不正当利益的；</w:t>
      </w:r>
    </w:p>
    <w:p>
      <w:pPr>
        <w:pStyle w:val="13"/>
        <w:kinsoku w:val="0"/>
        <w:overflowPunct w:val="0"/>
        <w:spacing w:line="360" w:lineRule="auto"/>
        <w:ind w:left="0" w:right="70" w:firstLine="556" w:firstLineChars="24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4"/>
          <w:sz w:val="24"/>
          <w:szCs w:val="24"/>
        </w:rPr>
        <w:t>（5）在招标采购过程中与采购人进行协商谈判的。</w:t>
      </w:r>
      <w:r>
        <w:rPr>
          <w:rFonts w:asciiTheme="minorEastAsia" w:hAnsiTheme="minorEastAsia" w:eastAsiaTheme="minorEastAsia" w:cstheme="minorEastAsia"/>
          <w:spacing w:val="-2"/>
          <w:sz w:val="24"/>
          <w:szCs w:val="24"/>
        </w:rPr>
        <w:t>在此情况下，报经同级政府采购管理部门批准，可将合同授予下一顺位中标候选人，或者重新组织</w:t>
      </w:r>
      <w:r>
        <w:rPr>
          <w:rFonts w:asciiTheme="minorEastAsia" w:hAnsiTheme="minorEastAsia" w:eastAsiaTheme="minorEastAsia" w:cstheme="minorEastAsia"/>
          <w:spacing w:val="-3"/>
          <w:sz w:val="24"/>
          <w:szCs w:val="24"/>
        </w:rPr>
        <w:t>采购。</w:t>
      </w:r>
    </w:p>
    <w:p>
      <w:pPr>
        <w:pStyle w:val="4"/>
        <w:kinsoku w:val="0"/>
        <w:overflowPunct w:val="0"/>
        <w:spacing w:line="360" w:lineRule="auto"/>
        <w:ind w:left="3332" w:right="3485"/>
        <w:jc w:val="center"/>
        <w:rPr>
          <w:rFonts w:hint="default" w:asciiTheme="minorEastAsia" w:hAnsiTheme="minorEastAsia" w:eastAsiaTheme="minorEastAsia" w:cstheme="minorEastAsia"/>
          <w:b w:val="0"/>
          <w:sz w:val="24"/>
          <w:szCs w:val="24"/>
        </w:rPr>
      </w:pPr>
      <w:bookmarkStart w:id="29" w:name="bookmark12"/>
      <w:bookmarkEnd w:id="29"/>
      <w:r>
        <w:rPr>
          <w:rFonts w:asciiTheme="minorEastAsia" w:hAnsiTheme="minorEastAsia" w:eastAsiaTheme="minorEastAsia" w:cstheme="minorEastAsia"/>
          <w:sz w:val="24"/>
          <w:szCs w:val="24"/>
        </w:rPr>
        <w:t>9.</w:t>
      </w:r>
      <w:r>
        <w:rPr>
          <w:rFonts w:asciiTheme="minorEastAsia" w:hAnsiTheme="minorEastAsia" w:eastAsiaTheme="minorEastAsia" w:cstheme="minorEastAsia"/>
          <w:spacing w:val="49"/>
          <w:sz w:val="24"/>
          <w:szCs w:val="24"/>
        </w:rPr>
        <w:t xml:space="preserve"> </w:t>
      </w:r>
      <w:r>
        <w:rPr>
          <w:rFonts w:asciiTheme="minorEastAsia" w:hAnsiTheme="minorEastAsia" w:eastAsiaTheme="minorEastAsia" w:cstheme="minorEastAsia"/>
          <w:spacing w:val="2"/>
          <w:sz w:val="24"/>
          <w:szCs w:val="24"/>
        </w:rPr>
        <w:t>纪律和监督</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z w:val="24"/>
          <w:szCs w:val="24"/>
        </w:rPr>
        <w:t>9.1</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2"/>
          <w:sz w:val="24"/>
          <w:szCs w:val="24"/>
        </w:rPr>
        <w:t>对招标人的纪律要求</w:t>
      </w:r>
    </w:p>
    <w:p>
      <w:pPr>
        <w:pStyle w:val="13"/>
        <w:kinsoku w:val="0"/>
        <w:overflowPunct w:val="0"/>
        <w:spacing w:line="360" w:lineRule="auto"/>
        <w:ind w:right="3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1"/>
          <w:sz w:val="24"/>
          <w:szCs w:val="24"/>
        </w:rPr>
        <w:t>标</w:t>
      </w:r>
      <w:r>
        <w:rPr>
          <w:rFonts w:asciiTheme="minorEastAsia" w:hAnsiTheme="minorEastAsia" w:eastAsiaTheme="minorEastAsia" w:cstheme="minorEastAsia"/>
          <w:spacing w:val="-5"/>
          <w:sz w:val="24"/>
          <w:szCs w:val="24"/>
        </w:rPr>
        <w:t>人</w:t>
      </w:r>
      <w:r>
        <w:rPr>
          <w:rFonts w:asciiTheme="minorEastAsia" w:hAnsiTheme="minorEastAsia" w:eastAsiaTheme="minorEastAsia" w:cstheme="minorEastAsia"/>
          <w:sz w:val="24"/>
          <w:szCs w:val="24"/>
        </w:rPr>
        <w:t>不</w:t>
      </w:r>
      <w:r>
        <w:rPr>
          <w:rFonts w:asciiTheme="minorEastAsia" w:hAnsiTheme="minorEastAsia" w:eastAsiaTheme="minorEastAsia" w:cstheme="minorEastAsia"/>
          <w:spacing w:val="-5"/>
          <w:sz w:val="24"/>
          <w:szCs w:val="24"/>
        </w:rPr>
        <w:t>得</w:t>
      </w:r>
      <w:r>
        <w:rPr>
          <w:rFonts w:asciiTheme="minorEastAsia" w:hAnsiTheme="minorEastAsia" w:eastAsiaTheme="minorEastAsia" w:cstheme="minorEastAsia"/>
          <w:sz w:val="24"/>
          <w:szCs w:val="24"/>
        </w:rPr>
        <w:t>泄</w:t>
      </w:r>
      <w:r>
        <w:rPr>
          <w:rFonts w:asciiTheme="minorEastAsia" w:hAnsiTheme="minorEastAsia" w:eastAsiaTheme="minorEastAsia" w:cstheme="minorEastAsia"/>
          <w:spacing w:val="-3"/>
          <w:sz w:val="24"/>
          <w:szCs w:val="24"/>
        </w:rPr>
        <w:t>露</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pacing w:val="-3"/>
          <w:sz w:val="24"/>
          <w:szCs w:val="24"/>
        </w:rPr>
        <w:t>标投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活动</w:t>
      </w:r>
      <w:r>
        <w:rPr>
          <w:rFonts w:asciiTheme="minorEastAsia" w:hAnsiTheme="minorEastAsia" w:eastAsiaTheme="minorEastAsia" w:cstheme="minorEastAsia"/>
          <w:spacing w:val="-5"/>
          <w:sz w:val="24"/>
          <w:szCs w:val="24"/>
        </w:rPr>
        <w:t>中</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5"/>
          <w:sz w:val="24"/>
          <w:szCs w:val="24"/>
        </w:rPr>
        <w:t>当</w:t>
      </w:r>
      <w:r>
        <w:rPr>
          <w:rFonts w:asciiTheme="minorEastAsia" w:hAnsiTheme="minorEastAsia" w:eastAsiaTheme="minorEastAsia" w:cstheme="minorEastAsia"/>
          <w:sz w:val="24"/>
          <w:szCs w:val="24"/>
        </w:rPr>
        <w:t>保</w:t>
      </w:r>
      <w:r>
        <w:rPr>
          <w:rFonts w:asciiTheme="minorEastAsia" w:hAnsiTheme="minorEastAsia" w:eastAsiaTheme="minorEastAsia" w:cstheme="minorEastAsia"/>
          <w:spacing w:val="-3"/>
          <w:sz w:val="24"/>
          <w:szCs w:val="24"/>
        </w:rPr>
        <w:t>密</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3"/>
          <w:sz w:val="24"/>
          <w:szCs w:val="24"/>
        </w:rPr>
        <w:t>情况</w:t>
      </w:r>
      <w:r>
        <w:rPr>
          <w:rFonts w:asciiTheme="minorEastAsia" w:hAnsiTheme="minorEastAsia" w:eastAsiaTheme="minorEastAsia" w:cstheme="minorEastAsia"/>
          <w:spacing w:val="-5"/>
          <w:sz w:val="24"/>
          <w:szCs w:val="24"/>
        </w:rPr>
        <w:t>和</w:t>
      </w:r>
      <w:r>
        <w:rPr>
          <w:rFonts w:asciiTheme="minorEastAsia" w:hAnsiTheme="minorEastAsia" w:eastAsiaTheme="minorEastAsia" w:cstheme="minorEastAsia"/>
          <w:sz w:val="24"/>
          <w:szCs w:val="24"/>
        </w:rPr>
        <w:t>资</w:t>
      </w:r>
      <w:r>
        <w:rPr>
          <w:rFonts w:asciiTheme="minorEastAsia" w:hAnsiTheme="minorEastAsia" w:eastAsiaTheme="minorEastAsia" w:cstheme="minorEastAsia"/>
          <w:spacing w:val="-3"/>
          <w:sz w:val="24"/>
          <w:szCs w:val="24"/>
        </w:rPr>
        <w:t>料</w:t>
      </w:r>
      <w:r>
        <w:rPr>
          <w:rFonts w:asciiTheme="minorEastAsia" w:hAnsiTheme="minorEastAsia" w:eastAsiaTheme="minorEastAsia" w:cstheme="minorEastAsia"/>
          <w:spacing w:val="-75"/>
          <w:sz w:val="24"/>
          <w:szCs w:val="24"/>
        </w:rPr>
        <w:t>，</w:t>
      </w:r>
      <w:r>
        <w:rPr>
          <w:rFonts w:asciiTheme="minorEastAsia" w:hAnsiTheme="minorEastAsia" w:eastAsiaTheme="minorEastAsia" w:cstheme="minorEastAsia"/>
          <w:spacing w:val="-5"/>
          <w:sz w:val="24"/>
          <w:szCs w:val="24"/>
        </w:rPr>
        <w:t>不</w:t>
      </w:r>
      <w:r>
        <w:rPr>
          <w:rFonts w:asciiTheme="minorEastAsia" w:hAnsiTheme="minorEastAsia" w:eastAsiaTheme="minorEastAsia" w:cstheme="minorEastAsia"/>
          <w:sz w:val="24"/>
          <w:szCs w:val="24"/>
        </w:rPr>
        <w:t>得</w:t>
      </w:r>
      <w:r>
        <w:rPr>
          <w:rFonts w:asciiTheme="minorEastAsia" w:hAnsiTheme="minorEastAsia" w:eastAsiaTheme="minorEastAsia" w:cstheme="minorEastAsia"/>
          <w:spacing w:val="-5"/>
          <w:sz w:val="24"/>
          <w:szCs w:val="24"/>
        </w:rPr>
        <w:t>与</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串通</w:t>
      </w:r>
      <w:r>
        <w:rPr>
          <w:rFonts w:asciiTheme="minorEastAsia" w:hAnsiTheme="minorEastAsia" w:eastAsiaTheme="minorEastAsia" w:cstheme="minorEastAsia"/>
          <w:spacing w:val="-5"/>
          <w:sz w:val="24"/>
          <w:szCs w:val="24"/>
        </w:rPr>
        <w:t>损</w:t>
      </w:r>
      <w:r>
        <w:rPr>
          <w:rFonts w:asciiTheme="minorEastAsia" w:hAnsiTheme="minorEastAsia" w:eastAsiaTheme="minorEastAsia" w:cstheme="minorEastAsia"/>
          <w:sz w:val="24"/>
          <w:szCs w:val="24"/>
        </w:rPr>
        <w:t>害国</w:t>
      </w:r>
      <w:r>
        <w:rPr>
          <w:rFonts w:asciiTheme="minorEastAsia" w:hAnsiTheme="minorEastAsia" w:eastAsiaTheme="minorEastAsia" w:cstheme="minorEastAsia"/>
          <w:spacing w:val="-5"/>
          <w:sz w:val="24"/>
          <w:szCs w:val="24"/>
        </w:rPr>
        <w:t>家</w:t>
      </w:r>
      <w:r>
        <w:rPr>
          <w:rFonts w:asciiTheme="minorEastAsia" w:hAnsiTheme="minorEastAsia" w:eastAsiaTheme="minorEastAsia" w:cstheme="minorEastAsia"/>
          <w:sz w:val="24"/>
          <w:szCs w:val="24"/>
        </w:rPr>
        <w:t>利</w:t>
      </w:r>
      <w:r>
        <w:rPr>
          <w:rFonts w:asciiTheme="minorEastAsia" w:hAnsiTheme="minorEastAsia" w:eastAsiaTheme="minorEastAsia" w:cstheme="minorEastAsia"/>
          <w:spacing w:val="-5"/>
          <w:sz w:val="24"/>
          <w:szCs w:val="24"/>
        </w:rPr>
        <w:t>益</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3"/>
          <w:sz w:val="24"/>
          <w:szCs w:val="24"/>
        </w:rPr>
        <w:t>社</w:t>
      </w:r>
      <w:r>
        <w:rPr>
          <w:rFonts w:asciiTheme="minorEastAsia" w:hAnsiTheme="minorEastAsia" w:eastAsiaTheme="minorEastAsia" w:cstheme="minorEastAsia"/>
          <w:sz w:val="24"/>
          <w:szCs w:val="24"/>
        </w:rPr>
        <w:t>会公</w:t>
      </w:r>
      <w:r>
        <w:rPr>
          <w:rFonts w:asciiTheme="minorEastAsia" w:hAnsiTheme="minorEastAsia" w:eastAsiaTheme="minorEastAsia" w:cstheme="minorEastAsia"/>
          <w:spacing w:val="-3"/>
          <w:sz w:val="24"/>
          <w:szCs w:val="24"/>
        </w:rPr>
        <w:t>共利益或者他人合法权益。</w:t>
      </w:r>
    </w:p>
    <w:p>
      <w:pPr>
        <w:pStyle w:val="8"/>
        <w:kinsoku w:val="0"/>
        <w:overflowPunct w:val="0"/>
        <w:spacing w:line="360" w:lineRule="auto"/>
        <w:jc w:val="both"/>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9.2</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2"/>
          <w:sz w:val="24"/>
          <w:szCs w:val="24"/>
        </w:rPr>
        <w:t>对投标人的纪律要求</w:t>
      </w:r>
    </w:p>
    <w:p>
      <w:pPr>
        <w:pStyle w:val="8"/>
        <w:kinsoku w:val="0"/>
        <w:overflowPunct w:val="0"/>
        <w:spacing w:line="360" w:lineRule="auto"/>
        <w:ind w:left="0" w:firstLine="480" w:firstLineChars="20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w:t>
      </w:r>
      <w:r>
        <w:rPr>
          <w:rFonts w:asciiTheme="minorEastAsia" w:hAnsiTheme="minorEastAsia" w:eastAsiaTheme="minorEastAsia" w:cstheme="minorEastAsia"/>
          <w:spacing w:val="-1"/>
          <w:sz w:val="24"/>
          <w:szCs w:val="24"/>
        </w:rPr>
        <w:t>工作。</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z w:val="24"/>
          <w:szCs w:val="24"/>
        </w:rPr>
        <w:t>9.3</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2"/>
          <w:sz w:val="24"/>
          <w:szCs w:val="24"/>
        </w:rPr>
        <w:t>评标委员会成员不得有以下行为：</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（一）确定参与评标至评标结束前私自接触投标人；</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（二）接受投标人提出的与投标文件不一致的澄清或者说明，87号令第五十一条规定的情形除外；</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（三）违反评标纪律发表倾向性意见或者征询采购人的倾向性意见；</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（四）对需要专业判断的主观评审因素协商评分；</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（五）在评标过程中擅离职守，影响评标程序正常进行的；</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（六）评标委员会成员收受他人的财物或者其他好处；</w:t>
      </w:r>
    </w:p>
    <w:p>
      <w:pPr>
        <w:pStyle w:val="13"/>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position w:val="1"/>
          <w:sz w:val="24"/>
          <w:szCs w:val="24"/>
        </w:rPr>
        <w:t>（七）使用招标文件</w:t>
      </w:r>
      <w:r>
        <w:rPr>
          <w:rFonts w:asciiTheme="minorEastAsia" w:hAnsiTheme="minorEastAsia" w:eastAsiaTheme="minorEastAsia" w:cstheme="minorEastAsia"/>
          <w:spacing w:val="-3"/>
          <w:sz w:val="24"/>
          <w:szCs w:val="24"/>
        </w:rPr>
        <w:t>没有规定的评审因素和标准进行评标；</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position w:val="1"/>
          <w:sz w:val="24"/>
          <w:szCs w:val="24"/>
        </w:rPr>
        <w:t>（八）</w:t>
      </w:r>
      <w:r>
        <w:rPr>
          <w:rFonts w:asciiTheme="minorEastAsia" w:hAnsiTheme="minorEastAsia" w:eastAsiaTheme="minorEastAsia" w:cstheme="minorEastAsia"/>
          <w:spacing w:val="-2"/>
          <w:sz w:val="24"/>
          <w:szCs w:val="24"/>
        </w:rPr>
        <w:t>泄露评审文件、评审情况和评审中获悉的商业秘密；</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（九）记录、复制或者带走任何评标资料；</w:t>
      </w:r>
    </w:p>
    <w:p>
      <w:pPr>
        <w:pStyle w:val="13"/>
        <w:kinsoku w:val="0"/>
        <w:overflowPunct w:val="0"/>
        <w:spacing w:line="360" w:lineRule="auto"/>
        <w:ind w:right="-94" w:rightChars="-39" w:firstLine="472" w:firstLineChars="2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（十）其他不遵守评标纪律的行为。</w:t>
      </w:r>
      <w:r>
        <w:rPr>
          <w:rFonts w:asciiTheme="minorEastAsia" w:hAnsiTheme="minorEastAsia" w:eastAsiaTheme="minorEastAsia" w:cstheme="minorEastAsia"/>
          <w:spacing w:val="29"/>
          <w:sz w:val="24"/>
          <w:szCs w:val="24"/>
        </w:rPr>
        <w:t xml:space="preserve"> </w:t>
      </w:r>
      <w:r>
        <w:rPr>
          <w:rFonts w:asciiTheme="minorEastAsia" w:hAnsiTheme="minorEastAsia" w:eastAsiaTheme="minorEastAsia" w:cstheme="minorEastAsia"/>
          <w:sz w:val="24"/>
          <w:szCs w:val="24"/>
        </w:rPr>
        <w:t>评标委员会成员有前款第一至七项行为之一的，其评审意见无效，并不得获取评审劳务报酬和报销</w:t>
      </w:r>
      <w:r>
        <w:rPr>
          <w:rFonts w:asciiTheme="minorEastAsia" w:hAnsiTheme="minorEastAsia" w:eastAsiaTheme="minorEastAsia" w:cstheme="minorEastAsia"/>
          <w:spacing w:val="-2"/>
          <w:sz w:val="24"/>
          <w:szCs w:val="24"/>
        </w:rPr>
        <w:t>异地评审差旅费。</w:t>
      </w:r>
    </w:p>
    <w:p>
      <w:pPr>
        <w:pStyle w:val="8"/>
        <w:kinsoku w:val="0"/>
        <w:overflowPunct w:val="0"/>
        <w:spacing w:line="360" w:lineRule="auto"/>
        <w:ind w:right="-94" w:rightChars="-39"/>
        <w:rPr>
          <w:rFonts w:hint="default" w:asciiTheme="minorEastAsia" w:hAnsiTheme="minorEastAsia" w:eastAsiaTheme="minorEastAsia" w:cstheme="minorEastAsia"/>
          <w:b/>
          <w:bCs/>
          <w:spacing w:val="-2"/>
          <w:sz w:val="24"/>
          <w:szCs w:val="24"/>
        </w:rPr>
      </w:pPr>
      <w:r>
        <w:rPr>
          <w:rFonts w:asciiTheme="minorEastAsia" w:hAnsiTheme="minorEastAsia" w:eastAsiaTheme="minorEastAsia" w:cstheme="minorEastAsia"/>
          <w:b/>
          <w:bCs/>
          <w:sz w:val="24"/>
          <w:szCs w:val="24"/>
        </w:rPr>
        <w:t>9.4</w:t>
      </w:r>
      <w:r>
        <w:rPr>
          <w:rFonts w:asciiTheme="minorEastAsia" w:hAnsiTheme="minorEastAsia" w:eastAsiaTheme="minorEastAsia" w:cstheme="minorEastAsia"/>
          <w:b/>
          <w:bCs/>
          <w:spacing w:val="67"/>
          <w:sz w:val="24"/>
          <w:szCs w:val="24"/>
        </w:rPr>
        <w:t xml:space="preserve"> </w:t>
      </w:r>
      <w:r>
        <w:rPr>
          <w:rFonts w:asciiTheme="minorEastAsia" w:hAnsiTheme="minorEastAsia" w:eastAsiaTheme="minorEastAsia" w:cstheme="minorEastAsia"/>
          <w:b/>
          <w:bCs/>
          <w:spacing w:val="-2"/>
          <w:sz w:val="24"/>
          <w:szCs w:val="24"/>
        </w:rPr>
        <w:t>对与评标活动有关的工作人员的纪律要求</w:t>
      </w:r>
    </w:p>
    <w:p>
      <w:pPr>
        <w:pStyle w:val="13"/>
        <w:kinsoku w:val="0"/>
        <w:overflowPunct w:val="0"/>
        <w:spacing w:line="360" w:lineRule="auto"/>
        <w:ind w:right="-94" w:rightChars="-3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w:t>
      </w:r>
      <w:r>
        <w:rPr>
          <w:rFonts w:asciiTheme="minorEastAsia" w:hAnsiTheme="minorEastAsia" w:eastAsiaTheme="minorEastAsia" w:cstheme="minorEastAsia"/>
          <w:spacing w:val="-3"/>
          <w:sz w:val="24"/>
          <w:szCs w:val="24"/>
        </w:rPr>
        <w:t>不得擅离职守，影响评标程序正常进行。</w:t>
      </w:r>
    </w:p>
    <w:p>
      <w:pPr>
        <w:pStyle w:val="8"/>
        <w:tabs>
          <w:tab w:val="left" w:pos="964"/>
        </w:tabs>
        <w:kinsoku w:val="0"/>
        <w:overflowPunct w:val="0"/>
        <w:spacing w:line="360" w:lineRule="auto"/>
        <w:ind w:right="-94" w:rightChars="-39" w:firstLine="241" w:firstLineChars="100"/>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9.5 回避要求</w:t>
      </w:r>
    </w:p>
    <w:p>
      <w:pPr>
        <w:pStyle w:val="13"/>
        <w:kinsoku w:val="0"/>
        <w:overflowPunct w:val="0"/>
        <w:spacing w:line="360" w:lineRule="auto"/>
        <w:ind w:left="539" w:right="-94" w:rightChars="-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在政府采购活动中，采购人员、评标委员会及相关人员与供应商有下列利害关系之一的，应当回避：</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（一）参加采购活动前3年内与供应商存在劳动关系；</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（二）参加采购活动前3年内担任供应商的董事、监事；</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（三）参加采购活动前3年内是供应商的控股股东或者实际控制人；</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（四）与供应商的法定代表人或者负责人有夫妻、直系血亲、三代以内旁系血亲或者近姻亲关系；</w:t>
      </w:r>
    </w:p>
    <w:p>
      <w:pPr>
        <w:pStyle w:val="13"/>
        <w:kinsoku w:val="0"/>
        <w:overflowPunct w:val="0"/>
        <w:spacing w:line="360" w:lineRule="auto"/>
        <w:ind w:left="0" w:right="99" w:firstLine="566" w:firstLineChars="240"/>
        <w:rPr>
          <w:rFonts w:hint="default" w:asciiTheme="minorEastAsia" w:hAnsiTheme="minorEastAsia" w:eastAsiaTheme="minorEastAsia" w:cstheme="minorEastAsia"/>
          <w:spacing w:val="47"/>
          <w:sz w:val="24"/>
          <w:szCs w:val="24"/>
        </w:rPr>
      </w:pPr>
      <w:r>
        <w:rPr>
          <w:rFonts w:asciiTheme="minorEastAsia" w:hAnsiTheme="minorEastAsia" w:eastAsiaTheme="minorEastAsia" w:cstheme="minorEastAsia"/>
          <w:spacing w:val="-2"/>
          <w:sz w:val="24"/>
          <w:szCs w:val="24"/>
        </w:rPr>
        <w:t>（五）与供应商有其他可能影响政府采购活动公平、公正进行的关系。</w:t>
      </w:r>
      <w:r>
        <w:rPr>
          <w:rFonts w:asciiTheme="minorEastAsia" w:hAnsiTheme="minorEastAsia" w:eastAsiaTheme="minorEastAsia" w:cstheme="minorEastAsia"/>
          <w:spacing w:val="47"/>
          <w:sz w:val="24"/>
          <w:szCs w:val="24"/>
        </w:rPr>
        <w:t xml:space="preserve"> </w:t>
      </w:r>
    </w:p>
    <w:p>
      <w:pPr>
        <w:pStyle w:val="13"/>
        <w:kinsoku w:val="0"/>
        <w:overflowPunct w:val="0"/>
        <w:spacing w:line="360" w:lineRule="auto"/>
        <w:ind w:left="0" w:right="99" w:firstLine="576" w:firstLineChars="24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w:t>
      </w:r>
      <w:r>
        <w:rPr>
          <w:rFonts w:asciiTheme="minorEastAsia" w:hAnsiTheme="minorEastAsia" w:eastAsiaTheme="minorEastAsia" w:cstheme="minorEastAsia"/>
          <w:spacing w:val="-2"/>
          <w:sz w:val="24"/>
          <w:szCs w:val="24"/>
        </w:rPr>
        <w:t>申请回避人员应当回避。</w:t>
      </w:r>
    </w:p>
    <w:p>
      <w:pPr>
        <w:pStyle w:val="8"/>
        <w:kinsoku w:val="0"/>
        <w:overflowPunct w:val="0"/>
        <w:spacing w:line="360" w:lineRule="auto"/>
        <w:ind w:left="240" w:leftChars="100" w:firstLine="224" w:firstLineChars="93"/>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 xml:space="preserve">9.6 </w:t>
      </w:r>
      <w:r>
        <w:rPr>
          <w:rFonts w:asciiTheme="minorEastAsia" w:hAnsiTheme="minorEastAsia" w:eastAsiaTheme="minorEastAsia" w:cstheme="minorEastAsia"/>
          <w:b/>
          <w:bCs/>
          <w:spacing w:val="67"/>
          <w:sz w:val="24"/>
          <w:szCs w:val="24"/>
        </w:rPr>
        <w:t>疑问</w:t>
      </w:r>
      <w:r>
        <w:rPr>
          <w:rFonts w:asciiTheme="minorEastAsia" w:hAnsiTheme="minorEastAsia" w:eastAsiaTheme="minorEastAsia" w:cstheme="minorEastAsia"/>
          <w:b/>
          <w:bCs/>
          <w:sz w:val="24"/>
          <w:szCs w:val="24"/>
        </w:rPr>
        <w:t>和</w:t>
      </w:r>
      <w:r>
        <w:rPr>
          <w:rFonts w:asciiTheme="minorEastAsia" w:hAnsiTheme="minorEastAsia" w:eastAsiaTheme="minorEastAsia" w:cstheme="minorEastAsia"/>
          <w:b/>
          <w:bCs/>
          <w:spacing w:val="-73"/>
          <w:sz w:val="24"/>
          <w:szCs w:val="24"/>
        </w:rPr>
        <w:t xml:space="preserve"> </w:t>
      </w:r>
      <w:r>
        <w:rPr>
          <w:rFonts w:asciiTheme="minorEastAsia" w:hAnsiTheme="minorEastAsia" w:eastAsiaTheme="minorEastAsia" w:cstheme="minorEastAsia"/>
          <w:b/>
          <w:bCs/>
          <w:spacing w:val="-3"/>
          <w:sz w:val="24"/>
          <w:szCs w:val="24"/>
        </w:rPr>
        <w:t>质疑</w:t>
      </w:r>
    </w:p>
    <w:p>
      <w:pPr>
        <w:pStyle w:val="13"/>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供应商对政府采购活动事项有疑问的，可以向采购人提出询问，采购人应当及时作出答复，但答复</w:t>
      </w:r>
      <w:r>
        <w:rPr>
          <w:rFonts w:asciiTheme="minorEastAsia" w:hAnsiTheme="minorEastAsia" w:eastAsiaTheme="minorEastAsia" w:cstheme="minorEastAsia"/>
          <w:spacing w:val="-2"/>
          <w:sz w:val="24"/>
          <w:szCs w:val="24"/>
        </w:rPr>
        <w:t>的内容不得涉及商业秘密。</w:t>
      </w:r>
    </w:p>
    <w:p>
      <w:pPr>
        <w:pStyle w:val="13"/>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供应商认为采购文件、采购过程和中标、成交结果使自己的权益受到损害的，可以在知道或者应知</w:t>
      </w:r>
      <w:r>
        <w:rPr>
          <w:rFonts w:asciiTheme="minorEastAsia" w:hAnsiTheme="minorEastAsia" w:eastAsiaTheme="minorEastAsia" w:cstheme="minorEastAsia"/>
          <w:spacing w:val="-2"/>
          <w:sz w:val="24"/>
          <w:szCs w:val="24"/>
        </w:rPr>
        <w:t>其权益受到损害之日起七个工作日内，以书面形式向采购人提出质疑。</w:t>
      </w:r>
    </w:p>
    <w:p>
      <w:pPr>
        <w:pStyle w:val="4"/>
        <w:kinsoku w:val="0"/>
        <w:overflowPunct w:val="0"/>
        <w:spacing w:line="360" w:lineRule="auto"/>
        <w:ind w:left="2947"/>
        <w:rPr>
          <w:rFonts w:hint="default" w:asciiTheme="minorEastAsia" w:hAnsiTheme="minorEastAsia" w:eastAsiaTheme="minorEastAsia" w:cstheme="minorEastAsia"/>
          <w:b w:val="0"/>
          <w:sz w:val="24"/>
          <w:szCs w:val="24"/>
        </w:rPr>
      </w:pPr>
      <w:bookmarkStart w:id="30" w:name="bookmark13"/>
      <w:bookmarkEnd w:id="30"/>
      <w:r>
        <w:rPr>
          <w:rFonts w:asciiTheme="minorEastAsia" w:hAnsiTheme="minorEastAsia" w:eastAsiaTheme="minorEastAsia" w:cstheme="minorEastAsia"/>
          <w:sz w:val="24"/>
          <w:szCs w:val="24"/>
        </w:rPr>
        <w:t>10.</w:t>
      </w:r>
      <w:r>
        <w:rPr>
          <w:rFonts w:asciiTheme="minorEastAsia" w:hAnsiTheme="minorEastAsia" w:eastAsiaTheme="minorEastAsia" w:cstheme="minorEastAsia"/>
          <w:spacing w:val="41"/>
          <w:sz w:val="24"/>
          <w:szCs w:val="24"/>
        </w:rPr>
        <w:t xml:space="preserve"> </w:t>
      </w:r>
      <w:r>
        <w:rPr>
          <w:rFonts w:asciiTheme="minorEastAsia" w:hAnsiTheme="minorEastAsia" w:eastAsiaTheme="minorEastAsia" w:cstheme="minorEastAsia"/>
          <w:spacing w:val="3"/>
          <w:sz w:val="24"/>
          <w:szCs w:val="24"/>
        </w:rPr>
        <w:t>是否采用电子招标投标</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本招标项目是否采用电子招标投标方式，见投标人须知前附表。</w:t>
      </w:r>
    </w:p>
    <w:p>
      <w:pPr>
        <w:pStyle w:val="4"/>
        <w:kinsoku w:val="0"/>
        <w:overflowPunct w:val="0"/>
        <w:spacing w:line="360" w:lineRule="auto"/>
        <w:ind w:left="2788"/>
        <w:rPr>
          <w:rFonts w:hint="default" w:asciiTheme="minorEastAsia" w:hAnsiTheme="minorEastAsia" w:eastAsiaTheme="minorEastAsia" w:cstheme="minorEastAsia"/>
          <w:b w:val="0"/>
          <w:sz w:val="24"/>
          <w:szCs w:val="24"/>
        </w:rPr>
      </w:pPr>
      <w:bookmarkStart w:id="31" w:name="bookmark14"/>
      <w:bookmarkEnd w:id="31"/>
      <w:r>
        <w:rPr>
          <w:rFonts w:asciiTheme="minorEastAsia" w:hAnsiTheme="minorEastAsia" w:eastAsiaTheme="minorEastAsia" w:cstheme="minorEastAsia"/>
          <w:sz w:val="24"/>
          <w:szCs w:val="24"/>
        </w:rPr>
        <w:t>11.</w:t>
      </w:r>
      <w:r>
        <w:rPr>
          <w:rFonts w:asciiTheme="minorEastAsia" w:hAnsiTheme="minorEastAsia" w:eastAsiaTheme="minorEastAsia" w:cstheme="minorEastAsia"/>
          <w:spacing w:val="39"/>
          <w:sz w:val="24"/>
          <w:szCs w:val="24"/>
        </w:rPr>
        <w:t xml:space="preserve"> </w:t>
      </w:r>
      <w:r>
        <w:rPr>
          <w:rFonts w:asciiTheme="minorEastAsia" w:hAnsiTheme="minorEastAsia" w:eastAsiaTheme="minorEastAsia" w:cstheme="minorEastAsia"/>
          <w:spacing w:val="3"/>
          <w:sz w:val="24"/>
          <w:szCs w:val="24"/>
        </w:rPr>
        <w:t>需要补充的其他内容</w:t>
      </w:r>
    </w:p>
    <w:p>
      <w:pPr>
        <w:pStyle w:val="13"/>
        <w:kinsoku w:val="0"/>
        <w:overflowPunct w:val="0"/>
        <w:spacing w:line="360" w:lineRule="auto"/>
        <w:ind w:left="219" w:firstLine="234" w:firstLineChars="10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需要补充的其他内容：见投标人须知前附表。</w:t>
      </w: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pStyle w:val="13"/>
        <w:kinsoku w:val="0"/>
        <w:overflowPunct w:val="0"/>
        <w:spacing w:line="360" w:lineRule="auto"/>
        <w:ind w:left="0"/>
        <w:rPr>
          <w:rFonts w:hint="default" w:asciiTheme="minorEastAsia" w:hAnsiTheme="minorEastAsia" w:eastAsiaTheme="minorEastAsia" w:cstheme="minorEastAsia"/>
          <w:sz w:val="24"/>
          <w:szCs w:val="24"/>
        </w:rPr>
      </w:pPr>
    </w:p>
    <w:p>
      <w:pPr>
        <w:rPr>
          <w:rFonts w:asciiTheme="minorEastAsia" w:hAnsiTheme="minorEastAsia" w:eastAsiaTheme="minorEastAsia" w:cstheme="minorEastAsia"/>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25"/>
        <w:rPr>
          <w:rFonts w:hint="default" w:asciiTheme="minorEastAsia" w:hAnsiTheme="minorEastAsia" w:eastAsiaTheme="minorEastAsia" w:cstheme="minorEastAsia"/>
          <w:sz w:val="24"/>
          <w:szCs w:val="24"/>
        </w:rPr>
      </w:pPr>
    </w:p>
    <w:p>
      <w:pPr>
        <w:pStyle w:val="4"/>
        <w:rPr>
          <w:rFonts w:hint="default"/>
          <w:color w:val="000000"/>
          <w:sz w:val="24"/>
          <w:szCs w:val="24"/>
        </w:rPr>
      </w:pPr>
      <w:r>
        <w:rPr>
          <w:color w:val="000000"/>
          <w:sz w:val="24"/>
          <w:szCs w:val="24"/>
        </w:rPr>
        <w:t>附件一：</w:t>
      </w:r>
    </w:p>
    <w:p>
      <w:pPr>
        <w:pStyle w:val="4"/>
        <w:jc w:val="center"/>
        <w:rPr>
          <w:rFonts w:hint="default"/>
          <w:color w:val="000000"/>
        </w:rPr>
      </w:pPr>
      <w:r>
        <w:rPr>
          <w:color w:val="000000"/>
        </w:rPr>
        <w:t>问题澄清通知</w:t>
      </w:r>
    </w:p>
    <w:p>
      <w:pPr>
        <w:spacing w:line="440" w:lineRule="exact"/>
        <w:rPr>
          <w:rFonts w:ascii="宋体" w:hAnsi="宋体"/>
          <w:color w:val="000000"/>
          <w:szCs w:val="24"/>
        </w:rPr>
      </w:pPr>
      <w:r>
        <w:rPr>
          <w:rFonts w:ascii="宋体" w:hAnsi="宋体"/>
          <w:color w:val="000000"/>
          <w:szCs w:val="21"/>
        </w:rPr>
        <w:t xml:space="preserve">                        </w:t>
      </w:r>
      <w:r>
        <w:rPr>
          <w:rFonts w:ascii="宋体" w:hAnsi="宋体"/>
          <w:color w:val="000000"/>
          <w:szCs w:val="24"/>
        </w:rPr>
        <w:t xml:space="preserve">       </w:t>
      </w:r>
      <w:r>
        <w:rPr>
          <w:rFonts w:hint="eastAsia" w:ascii="宋体" w:hAnsi="宋体"/>
          <w:color w:val="000000"/>
          <w:szCs w:val="24"/>
        </w:rPr>
        <w:t xml:space="preserve"> </w:t>
      </w:r>
      <w:r>
        <w:rPr>
          <w:rFonts w:ascii="宋体" w:hAnsi="宋体"/>
          <w:color w:val="000000"/>
          <w:szCs w:val="24"/>
        </w:rPr>
        <w:t>编号：</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xml:space="preserve">  </w:t>
      </w:r>
      <w:r>
        <w:rPr>
          <w:rFonts w:ascii="宋体" w:hAnsi="宋体"/>
          <w:color w:val="000000"/>
          <w:szCs w:val="24"/>
          <w:u w:val="single"/>
        </w:rPr>
        <w:t xml:space="preserve">            </w:t>
      </w:r>
      <w:r>
        <w:rPr>
          <w:rFonts w:ascii="宋体" w:hAnsi="宋体"/>
          <w:color w:val="000000"/>
          <w:szCs w:val="24"/>
        </w:rPr>
        <w:t>（投标人名称）：</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xml:space="preserve">　　  </w:t>
      </w:r>
      <w:r>
        <w:rPr>
          <w:rFonts w:ascii="宋体" w:hAnsi="宋体"/>
          <w:color w:val="000000"/>
          <w:szCs w:val="24"/>
          <w:u w:val="single"/>
        </w:rPr>
        <w:t xml:space="preserve">　             </w:t>
      </w:r>
      <w:r>
        <w:rPr>
          <w:rFonts w:ascii="宋体" w:hAnsi="宋体"/>
          <w:color w:val="000000"/>
          <w:szCs w:val="24"/>
        </w:rPr>
        <w:t xml:space="preserve"> （项目名称）招标的评标委员会，对你方的投标文件进行了仔细的审查，现需你方对下列问题以书面形式予以澄清：</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xml:space="preserve">    1.</w:t>
      </w:r>
    </w:p>
    <w:p>
      <w:pPr>
        <w:spacing w:line="440" w:lineRule="exact"/>
        <w:rPr>
          <w:rFonts w:ascii="宋体" w:hAnsi="宋体"/>
          <w:color w:val="000000"/>
          <w:szCs w:val="24"/>
        </w:rPr>
      </w:pPr>
      <w:r>
        <w:rPr>
          <w:rFonts w:ascii="宋体" w:hAnsi="宋体"/>
          <w:color w:val="000000"/>
          <w:szCs w:val="24"/>
        </w:rPr>
        <w:t xml:space="preserve">    2.</w:t>
      </w:r>
    </w:p>
    <w:p>
      <w:pPr>
        <w:spacing w:line="440" w:lineRule="exact"/>
        <w:rPr>
          <w:rFonts w:ascii="宋体" w:hAnsi="宋体"/>
          <w:color w:val="000000"/>
          <w:szCs w:val="24"/>
        </w:rPr>
      </w:pPr>
      <w:r>
        <w:rPr>
          <w:rFonts w:ascii="宋体" w:hAnsi="宋体"/>
          <w:color w:val="000000"/>
          <w:szCs w:val="24"/>
        </w:rPr>
        <w:t xml:space="preserve">     ......   </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请将上述问题的澄清于</w:t>
      </w:r>
      <w:r>
        <w:rPr>
          <w:rFonts w:ascii="宋体" w:hAnsi="宋体"/>
          <w:color w:val="000000"/>
          <w:szCs w:val="24"/>
          <w:u w:val="single"/>
        </w:rPr>
        <w:t xml:space="preserve">        </w:t>
      </w:r>
      <w:r>
        <w:rPr>
          <w:rFonts w:ascii="宋体" w:hAnsi="宋体"/>
          <w:color w:val="000000"/>
          <w:szCs w:val="24"/>
        </w:rPr>
        <w:t>年</w:t>
      </w:r>
      <w:r>
        <w:rPr>
          <w:rFonts w:ascii="宋体" w:hAnsi="宋体"/>
          <w:color w:val="000000"/>
          <w:szCs w:val="24"/>
          <w:u w:val="single"/>
        </w:rPr>
        <w:t xml:space="preserve">        </w:t>
      </w:r>
      <w:r>
        <w:rPr>
          <w:rFonts w:ascii="宋体" w:hAnsi="宋体"/>
          <w:color w:val="000000"/>
          <w:szCs w:val="24"/>
        </w:rPr>
        <w:t>月</w:t>
      </w:r>
      <w:r>
        <w:rPr>
          <w:rFonts w:ascii="宋体" w:hAnsi="宋体"/>
          <w:color w:val="000000"/>
          <w:szCs w:val="24"/>
          <w:u w:val="single"/>
        </w:rPr>
        <w:t xml:space="preserve">        </w:t>
      </w:r>
      <w:r>
        <w:rPr>
          <w:rFonts w:ascii="宋体" w:hAnsi="宋体"/>
          <w:color w:val="000000"/>
          <w:szCs w:val="24"/>
        </w:rPr>
        <w:t>日</w:t>
      </w:r>
      <w:r>
        <w:rPr>
          <w:rFonts w:ascii="宋体" w:hAnsi="宋体"/>
          <w:color w:val="000000"/>
          <w:szCs w:val="24"/>
          <w:u w:val="single"/>
        </w:rPr>
        <w:t xml:space="preserve">        </w:t>
      </w:r>
      <w:r>
        <w:rPr>
          <w:rFonts w:ascii="宋体" w:hAnsi="宋体"/>
          <w:color w:val="000000"/>
          <w:szCs w:val="24"/>
        </w:rPr>
        <w:t>时前递交至</w:t>
      </w:r>
      <w:r>
        <w:rPr>
          <w:rFonts w:ascii="宋体" w:hAnsi="宋体"/>
          <w:color w:val="000000"/>
          <w:szCs w:val="24"/>
          <w:u w:val="single"/>
        </w:rPr>
        <w:t xml:space="preserve">    </w:t>
      </w:r>
      <w:r>
        <w:rPr>
          <w:rFonts w:hint="eastAsia" w:ascii="宋体" w:hAnsi="宋体"/>
          <w:color w:val="000000"/>
          <w:szCs w:val="24"/>
          <w:u w:val="single"/>
        </w:rPr>
        <w:t xml:space="preserve">                    </w:t>
      </w:r>
      <w:r>
        <w:rPr>
          <w:rFonts w:ascii="宋体" w:hAnsi="宋体"/>
          <w:color w:val="000000"/>
          <w:szCs w:val="24"/>
          <w:u w:val="single"/>
        </w:rPr>
        <w:t xml:space="preserve"> </w:t>
      </w:r>
      <w:r>
        <w:rPr>
          <w:rFonts w:hint="eastAsia" w:ascii="宋体" w:hAnsi="宋体"/>
          <w:color w:val="000000"/>
          <w:szCs w:val="24"/>
          <w:u w:val="single"/>
        </w:rPr>
        <w:t xml:space="preserve">    </w:t>
      </w:r>
      <w:r>
        <w:rPr>
          <w:rFonts w:ascii="宋体" w:hAnsi="宋体"/>
          <w:color w:val="000000"/>
          <w:szCs w:val="24"/>
        </w:rPr>
        <w:t>（详细地址）</w:t>
      </w:r>
      <w:r>
        <w:rPr>
          <w:rFonts w:hint="eastAsia" w:ascii="宋体" w:hAnsi="宋体"/>
          <w:color w:val="000000"/>
          <w:szCs w:val="24"/>
        </w:rPr>
        <w:t>或传真至</w:t>
      </w:r>
      <w:r>
        <w:rPr>
          <w:rFonts w:hint="eastAsia" w:ascii="宋体" w:hAnsi="宋体"/>
          <w:color w:val="000000"/>
          <w:szCs w:val="24"/>
          <w:u w:val="single"/>
        </w:rPr>
        <w:t xml:space="preserve">         </w:t>
      </w:r>
      <w:r>
        <w:rPr>
          <w:rFonts w:hint="eastAsia" w:ascii="宋体" w:hAnsi="宋体"/>
          <w:color w:val="000000"/>
          <w:szCs w:val="24"/>
        </w:rPr>
        <w:t>（传真号码）。采用传真方式的，应在</w:t>
      </w:r>
      <w:r>
        <w:rPr>
          <w:rFonts w:ascii="宋体" w:hAnsi="宋体"/>
          <w:color w:val="000000"/>
          <w:szCs w:val="24"/>
          <w:u w:val="single"/>
        </w:rPr>
        <w:t xml:space="preserve">     </w:t>
      </w:r>
      <w:r>
        <w:rPr>
          <w:rFonts w:ascii="宋体" w:hAnsi="宋体"/>
          <w:color w:val="000000"/>
          <w:szCs w:val="24"/>
        </w:rPr>
        <w:t>年</w:t>
      </w:r>
      <w:r>
        <w:rPr>
          <w:rFonts w:ascii="宋体" w:hAnsi="宋体"/>
          <w:color w:val="000000"/>
          <w:szCs w:val="24"/>
          <w:u w:val="single"/>
        </w:rPr>
        <w:t xml:space="preserve">      </w:t>
      </w:r>
      <w:r>
        <w:rPr>
          <w:rFonts w:ascii="宋体" w:hAnsi="宋体"/>
          <w:color w:val="000000"/>
          <w:szCs w:val="24"/>
        </w:rPr>
        <w:t>月</w:t>
      </w:r>
      <w:r>
        <w:rPr>
          <w:rFonts w:ascii="宋体" w:hAnsi="宋体"/>
          <w:color w:val="000000"/>
          <w:szCs w:val="24"/>
          <w:u w:val="single"/>
        </w:rPr>
        <w:t xml:space="preserve">    </w:t>
      </w:r>
      <w:r>
        <w:rPr>
          <w:rFonts w:ascii="宋体" w:hAnsi="宋体"/>
          <w:color w:val="000000"/>
          <w:szCs w:val="24"/>
        </w:rPr>
        <w:t>日</w:t>
      </w:r>
      <w:r>
        <w:rPr>
          <w:rFonts w:ascii="宋体" w:hAnsi="宋体"/>
          <w:color w:val="000000"/>
          <w:szCs w:val="24"/>
          <w:u w:val="single"/>
        </w:rPr>
        <w:t xml:space="preserve">    </w:t>
      </w:r>
      <w:r>
        <w:rPr>
          <w:rFonts w:hint="eastAsia" w:ascii="宋体" w:hAnsi="宋体"/>
          <w:color w:val="000000"/>
          <w:szCs w:val="24"/>
        </w:rPr>
        <w:t>时前将原件递交至</w:t>
      </w:r>
      <w:r>
        <w:rPr>
          <w:rFonts w:ascii="宋体" w:hAnsi="宋体"/>
          <w:color w:val="000000"/>
          <w:szCs w:val="24"/>
          <w:u w:val="single"/>
        </w:rPr>
        <w:t xml:space="preserve">    </w:t>
      </w:r>
      <w:r>
        <w:rPr>
          <w:rFonts w:hint="eastAsia" w:ascii="宋体" w:hAnsi="宋体"/>
          <w:color w:val="000000"/>
          <w:szCs w:val="24"/>
          <w:u w:val="single"/>
        </w:rPr>
        <w:t xml:space="preserve">                 </w:t>
      </w:r>
      <w:r>
        <w:rPr>
          <w:rFonts w:ascii="宋体" w:hAnsi="宋体"/>
          <w:color w:val="000000"/>
          <w:szCs w:val="24"/>
        </w:rPr>
        <w:t>（详细地址）。</w:t>
      </w:r>
    </w:p>
    <w:p>
      <w:pPr>
        <w:spacing w:line="440" w:lineRule="exact"/>
        <w:rPr>
          <w:rFonts w:ascii="宋体" w:hAnsi="宋体"/>
          <w:color w:val="000000"/>
          <w:szCs w:val="24"/>
        </w:rPr>
      </w:pPr>
    </w:p>
    <w:p>
      <w:pPr>
        <w:spacing w:line="440" w:lineRule="exact"/>
        <w:rPr>
          <w:rFonts w:ascii="宋体" w:hAnsi="宋体"/>
          <w:color w:val="000000"/>
          <w:szCs w:val="24"/>
        </w:rPr>
      </w:pPr>
    </w:p>
    <w:p>
      <w:pPr>
        <w:widowControl/>
        <w:rPr>
          <w:rFonts w:ascii="宋体" w:hAnsi="宋体"/>
          <w:color w:val="000000"/>
          <w:szCs w:val="24"/>
        </w:rPr>
      </w:pPr>
      <w:r>
        <w:rPr>
          <w:rFonts w:ascii="宋体" w:hAnsi="宋体"/>
          <w:color w:val="000000"/>
          <w:szCs w:val="24"/>
        </w:rPr>
        <w:t xml:space="preserve">              </w:t>
      </w:r>
      <w:r>
        <w:rPr>
          <w:rFonts w:hint="eastAsia" w:ascii="宋体" w:hAnsi="宋体"/>
          <w:color w:val="000000"/>
          <w:szCs w:val="24"/>
        </w:rPr>
        <w:t xml:space="preserve">          评标委员会授权的招标人或招标代理机构：（签字或盖章）</w:t>
      </w:r>
    </w:p>
    <w:p>
      <w:pPr>
        <w:spacing w:line="440" w:lineRule="exact"/>
        <w:rPr>
          <w:rFonts w:ascii="宋体" w:hAnsi="宋体"/>
          <w:color w:val="000000"/>
          <w:szCs w:val="24"/>
        </w:rPr>
      </w:pPr>
      <w:r>
        <w:rPr>
          <w:rFonts w:hint="eastAsia" w:ascii="宋体" w:hAnsi="宋体"/>
          <w:color w:val="000000"/>
          <w:szCs w:val="24"/>
        </w:rPr>
        <w:t xml:space="preserve">                                          </w:t>
      </w:r>
    </w:p>
    <w:p>
      <w:pPr>
        <w:spacing w:line="440" w:lineRule="exact"/>
        <w:ind w:firstLine="3480" w:firstLineChars="1450"/>
        <w:rPr>
          <w:rFonts w:ascii="宋体" w:hAnsi="宋体"/>
          <w:color w:val="000000"/>
          <w:szCs w:val="24"/>
        </w:rPr>
      </w:pPr>
      <w:r>
        <w:rPr>
          <w:rFonts w:ascii="宋体" w:hAnsi="宋体"/>
          <w:color w:val="000000"/>
          <w:szCs w:val="24"/>
        </w:rPr>
        <w:t xml:space="preserve">       </w:t>
      </w:r>
      <w:r>
        <w:rPr>
          <w:rFonts w:hint="eastAsia" w:ascii="宋体" w:hAnsi="宋体"/>
          <w:color w:val="000000"/>
          <w:szCs w:val="24"/>
        </w:rPr>
        <w:t xml:space="preserve"> </w:t>
      </w:r>
      <w:r>
        <w:rPr>
          <w:rFonts w:ascii="宋体" w:hAnsi="宋体"/>
          <w:color w:val="000000"/>
          <w:szCs w:val="24"/>
        </w:rPr>
        <w:t xml:space="preserve">    </w:t>
      </w:r>
      <w:r>
        <w:rPr>
          <w:rFonts w:ascii="宋体" w:hAnsi="宋体"/>
          <w:color w:val="000000"/>
          <w:szCs w:val="24"/>
          <w:u w:val="single"/>
        </w:rPr>
        <w:t xml:space="preserve">       </w:t>
      </w:r>
      <w:r>
        <w:rPr>
          <w:rFonts w:ascii="宋体" w:hAnsi="宋体"/>
          <w:color w:val="000000"/>
          <w:szCs w:val="24"/>
        </w:rPr>
        <w:t xml:space="preserve">年 </w:t>
      </w:r>
      <w:r>
        <w:rPr>
          <w:rFonts w:hint="eastAsia" w:ascii="宋体" w:hAnsi="宋体"/>
          <w:color w:val="000000"/>
          <w:szCs w:val="24"/>
          <w:u w:val="single"/>
        </w:rPr>
        <w:t xml:space="preserve">     </w:t>
      </w:r>
      <w:r>
        <w:rPr>
          <w:rFonts w:ascii="宋体" w:hAnsi="宋体"/>
          <w:color w:val="000000"/>
          <w:szCs w:val="24"/>
          <w:u w:val="single"/>
        </w:rPr>
        <w:t xml:space="preserve"> </w:t>
      </w:r>
      <w:r>
        <w:rPr>
          <w:rFonts w:ascii="宋体" w:hAnsi="宋体"/>
          <w:color w:val="000000"/>
          <w:szCs w:val="24"/>
        </w:rPr>
        <w:t xml:space="preserve">月 </w:t>
      </w:r>
      <w:r>
        <w:rPr>
          <w:rFonts w:ascii="宋体" w:hAnsi="宋体"/>
          <w:color w:val="000000"/>
          <w:szCs w:val="24"/>
          <w:u w:val="single"/>
        </w:rPr>
        <w:t xml:space="preserve"> </w:t>
      </w:r>
      <w:r>
        <w:rPr>
          <w:rFonts w:hint="eastAsia" w:ascii="宋体" w:hAnsi="宋体"/>
          <w:color w:val="000000"/>
          <w:szCs w:val="24"/>
          <w:u w:val="single"/>
        </w:rPr>
        <w:t xml:space="preserve">   </w:t>
      </w:r>
      <w:r>
        <w:rPr>
          <w:rFonts w:ascii="宋体" w:hAnsi="宋体"/>
          <w:color w:val="000000"/>
          <w:szCs w:val="24"/>
          <w:u w:val="single"/>
        </w:rPr>
        <w:t xml:space="preserve"> </w:t>
      </w:r>
      <w:r>
        <w:rPr>
          <w:rFonts w:ascii="宋体" w:hAnsi="宋体"/>
          <w:color w:val="000000"/>
          <w:szCs w:val="24"/>
        </w:rPr>
        <w:t>日</w:t>
      </w:r>
    </w:p>
    <w:p>
      <w:pPr>
        <w:spacing w:line="400" w:lineRule="exact"/>
        <w:rPr>
          <w:rFonts w:ascii="宋体" w:hAnsi="宋体"/>
          <w:color w:val="000000"/>
        </w:rPr>
      </w:pPr>
    </w:p>
    <w:p>
      <w:pPr>
        <w:pStyle w:val="4"/>
        <w:rPr>
          <w:rFonts w:hint="default"/>
          <w:color w:val="000000"/>
          <w:sz w:val="24"/>
          <w:szCs w:val="24"/>
        </w:rPr>
      </w:pPr>
      <w:r>
        <w:rPr>
          <w:color w:val="000000"/>
        </w:rPr>
        <w:br w:type="page"/>
      </w:r>
      <w:bookmarkStart w:id="32" w:name="_Toc417283112"/>
      <w:bookmarkStart w:id="33" w:name="_Toc246996226"/>
      <w:bookmarkStart w:id="34" w:name="_Toc179632601"/>
      <w:bookmarkStart w:id="35" w:name="_Toc417283200"/>
      <w:bookmarkStart w:id="36" w:name="_Toc152045583"/>
      <w:bookmarkStart w:id="37" w:name="_Toc247085741"/>
      <w:bookmarkStart w:id="38" w:name="_Toc152042360"/>
      <w:bookmarkStart w:id="39" w:name="_Toc30413"/>
      <w:bookmarkStart w:id="40" w:name="_Toc144974550"/>
      <w:bookmarkStart w:id="41" w:name="_Toc246996969"/>
      <w:bookmarkStart w:id="42" w:name="_Toc296602471"/>
      <w:r>
        <w:rPr>
          <w:color w:val="000000"/>
          <w:sz w:val="24"/>
          <w:szCs w:val="24"/>
        </w:rPr>
        <w:t>附件二：</w:t>
      </w:r>
      <w:bookmarkEnd w:id="32"/>
      <w:bookmarkEnd w:id="33"/>
      <w:bookmarkEnd w:id="34"/>
      <w:bookmarkEnd w:id="35"/>
      <w:bookmarkEnd w:id="36"/>
      <w:bookmarkEnd w:id="37"/>
      <w:bookmarkEnd w:id="38"/>
      <w:bookmarkEnd w:id="39"/>
      <w:bookmarkEnd w:id="40"/>
      <w:bookmarkEnd w:id="41"/>
      <w:bookmarkEnd w:id="42"/>
    </w:p>
    <w:p>
      <w:pPr>
        <w:spacing w:line="400" w:lineRule="exact"/>
        <w:jc w:val="center"/>
        <w:rPr>
          <w:rFonts w:ascii="宋体" w:hAnsi="宋体"/>
          <w:b/>
          <w:color w:val="000000"/>
          <w:sz w:val="32"/>
          <w:szCs w:val="32"/>
        </w:rPr>
      </w:pPr>
      <w:r>
        <w:rPr>
          <w:rFonts w:hint="eastAsia" w:ascii="宋体" w:hAnsi="宋体"/>
          <w:b/>
          <w:color w:val="000000"/>
          <w:sz w:val="32"/>
          <w:szCs w:val="32"/>
        </w:rPr>
        <w:t>问题的澄清</w:t>
      </w:r>
    </w:p>
    <w:p>
      <w:pPr>
        <w:spacing w:line="400" w:lineRule="exact"/>
        <w:ind w:firstLine="3960" w:firstLineChars="1650"/>
        <w:rPr>
          <w:rFonts w:ascii="宋体" w:hAnsi="宋体"/>
          <w:color w:val="000000"/>
          <w:szCs w:val="24"/>
        </w:rPr>
      </w:pPr>
      <w:r>
        <w:rPr>
          <w:rFonts w:hint="eastAsia" w:ascii="宋体" w:hAnsi="宋体"/>
          <w:color w:val="000000"/>
          <w:szCs w:val="24"/>
        </w:rPr>
        <w:t xml:space="preserve">编号： </w:t>
      </w:r>
    </w:p>
    <w:p>
      <w:pPr>
        <w:spacing w:line="40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u w:val="single"/>
        </w:rPr>
        <w:t xml:space="preserve">                  （</w:t>
      </w:r>
      <w:r>
        <w:rPr>
          <w:rFonts w:ascii="宋体" w:hAnsi="宋体"/>
          <w:color w:val="000000"/>
          <w:szCs w:val="24"/>
        </w:rPr>
        <w:t>项目名称）招标评标委员会：</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问题澄清通知（编号：</w:t>
      </w:r>
      <w:r>
        <w:rPr>
          <w:rFonts w:ascii="宋体" w:hAnsi="宋体"/>
          <w:color w:val="000000"/>
          <w:szCs w:val="24"/>
          <w:u w:val="single"/>
        </w:rPr>
        <w:t xml:space="preserve">        </w:t>
      </w:r>
      <w:r>
        <w:rPr>
          <w:rFonts w:ascii="宋体" w:hAnsi="宋体"/>
          <w:color w:val="000000"/>
          <w:szCs w:val="24"/>
        </w:rPr>
        <w:t>）已收悉，现澄清如下：</w:t>
      </w:r>
    </w:p>
    <w:p>
      <w:pPr>
        <w:spacing w:line="440" w:lineRule="exact"/>
        <w:rPr>
          <w:rFonts w:ascii="宋体" w:hAnsi="宋体"/>
          <w:color w:val="000000"/>
          <w:szCs w:val="24"/>
        </w:rPr>
      </w:pPr>
      <w:r>
        <w:rPr>
          <w:rFonts w:ascii="宋体" w:hAnsi="宋体"/>
          <w:color w:val="000000"/>
          <w:szCs w:val="24"/>
        </w:rPr>
        <w:t>　     1.</w:t>
      </w:r>
    </w:p>
    <w:p>
      <w:pPr>
        <w:spacing w:line="440" w:lineRule="exact"/>
        <w:rPr>
          <w:rFonts w:ascii="宋体" w:hAnsi="宋体"/>
          <w:color w:val="000000"/>
          <w:szCs w:val="24"/>
        </w:rPr>
      </w:pPr>
      <w:r>
        <w:rPr>
          <w:rFonts w:ascii="宋体" w:hAnsi="宋体"/>
          <w:color w:val="000000"/>
          <w:szCs w:val="24"/>
        </w:rPr>
        <w:t>　     2.</w:t>
      </w:r>
    </w:p>
    <w:p>
      <w:pPr>
        <w:spacing w:line="440" w:lineRule="exact"/>
        <w:rPr>
          <w:rFonts w:ascii="宋体" w:hAnsi="宋体"/>
          <w:color w:val="000000"/>
          <w:szCs w:val="24"/>
        </w:rPr>
      </w:pPr>
      <w:r>
        <w:rPr>
          <w:rFonts w:ascii="宋体" w:hAnsi="宋体"/>
          <w:color w:val="000000"/>
          <w:szCs w:val="24"/>
        </w:rPr>
        <w:t xml:space="preserve">　   </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xml:space="preserve">                       </w:t>
      </w:r>
    </w:p>
    <w:p>
      <w:pPr>
        <w:spacing w:line="440" w:lineRule="exact"/>
        <w:rPr>
          <w:rFonts w:ascii="宋体" w:hAnsi="宋体"/>
          <w:color w:val="000000"/>
          <w:szCs w:val="24"/>
        </w:rPr>
      </w:pPr>
      <w:r>
        <w:rPr>
          <w:rFonts w:ascii="宋体" w:hAnsi="宋体"/>
          <w:color w:val="000000"/>
          <w:szCs w:val="24"/>
        </w:rPr>
        <w:t xml:space="preserve">　 </w:t>
      </w: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投标人：（盖单位章）</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法定代表人或其委托代理人：</w:t>
      </w:r>
      <w:r>
        <w:rPr>
          <w:rFonts w:ascii="宋体" w:hAnsi="宋体"/>
          <w:color w:val="000000"/>
          <w:szCs w:val="24"/>
          <w:u w:val="single"/>
        </w:rPr>
        <w:t xml:space="preserve">        </w:t>
      </w:r>
      <w:r>
        <w:rPr>
          <w:rFonts w:ascii="宋体" w:hAnsi="宋体"/>
          <w:color w:val="000000"/>
          <w:szCs w:val="24"/>
        </w:rPr>
        <w:t>（签字）</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xml:space="preserve">　　　　　　　　　　　　　　　        </w:t>
      </w:r>
      <w:r>
        <w:rPr>
          <w:rFonts w:hint="eastAsia" w:ascii="宋体" w:hAnsi="宋体"/>
          <w:color w:val="000000"/>
          <w:szCs w:val="24"/>
        </w:rPr>
        <w:t xml:space="preserve">    </w:t>
      </w:r>
      <w:r>
        <w:rPr>
          <w:rFonts w:ascii="宋体" w:hAnsi="宋体"/>
          <w:color w:val="000000"/>
          <w:szCs w:val="24"/>
          <w:u w:val="single"/>
        </w:rPr>
        <w:t xml:space="preserve">     </w:t>
      </w:r>
      <w:r>
        <w:rPr>
          <w:rFonts w:ascii="宋体" w:hAnsi="宋体"/>
          <w:color w:val="000000"/>
          <w:szCs w:val="24"/>
        </w:rPr>
        <w:t>年</w:t>
      </w:r>
      <w:r>
        <w:rPr>
          <w:rFonts w:ascii="宋体" w:hAnsi="宋体"/>
          <w:color w:val="000000"/>
          <w:szCs w:val="24"/>
          <w:u w:val="single"/>
        </w:rPr>
        <w:t xml:space="preserve">      </w:t>
      </w:r>
      <w:r>
        <w:rPr>
          <w:rFonts w:ascii="宋体" w:hAnsi="宋体"/>
          <w:color w:val="000000"/>
          <w:szCs w:val="24"/>
        </w:rPr>
        <w:t>月</w:t>
      </w:r>
      <w:r>
        <w:rPr>
          <w:rFonts w:ascii="宋体" w:hAnsi="宋体"/>
          <w:color w:val="000000"/>
          <w:szCs w:val="24"/>
          <w:u w:val="single"/>
        </w:rPr>
        <w:t xml:space="preserve">      </w:t>
      </w:r>
      <w:r>
        <w:rPr>
          <w:rFonts w:ascii="宋体" w:hAnsi="宋体"/>
          <w:color w:val="000000"/>
          <w:szCs w:val="24"/>
        </w:rPr>
        <w:t>日</w:t>
      </w:r>
    </w:p>
    <w:p>
      <w:pPr>
        <w:spacing w:line="400" w:lineRule="exact"/>
        <w:rPr>
          <w:rFonts w:ascii="宋体" w:hAnsi="宋体"/>
          <w:color w:val="000000"/>
          <w:szCs w:val="24"/>
        </w:rPr>
      </w:pPr>
    </w:p>
    <w:p>
      <w:pPr>
        <w:pStyle w:val="8"/>
        <w:kinsoku w:val="0"/>
        <w:overflowPunct w:val="0"/>
        <w:spacing w:line="358" w:lineRule="exact"/>
        <w:rPr>
          <w:rFonts w:hint="default"/>
          <w:spacing w:val="-2"/>
          <w:sz w:val="24"/>
          <w:szCs w:val="24"/>
        </w:rPr>
      </w:pPr>
      <w:r>
        <w:rPr>
          <w:color w:val="000000"/>
        </w:rPr>
        <w:br w:type="page"/>
      </w:r>
      <w:r>
        <w:rPr>
          <w:spacing w:val="-2"/>
          <w:sz w:val="24"/>
          <w:szCs w:val="24"/>
        </w:rPr>
        <w:t>附件三：</w:t>
      </w:r>
    </w:p>
    <w:p>
      <w:pPr>
        <w:pStyle w:val="13"/>
        <w:kinsoku w:val="0"/>
        <w:overflowPunct w:val="0"/>
        <w:ind w:left="0"/>
        <w:rPr>
          <w:rFonts w:hint="default"/>
          <w:sz w:val="20"/>
        </w:rPr>
      </w:pPr>
    </w:p>
    <w:p>
      <w:pPr>
        <w:spacing w:line="400" w:lineRule="exact"/>
        <w:jc w:val="center"/>
        <w:rPr>
          <w:rFonts w:ascii="宋体" w:hAnsi="宋体"/>
          <w:b/>
          <w:color w:val="000000"/>
          <w:sz w:val="32"/>
          <w:szCs w:val="32"/>
        </w:rPr>
      </w:pPr>
    </w:p>
    <w:p>
      <w:pPr>
        <w:spacing w:line="400" w:lineRule="exact"/>
        <w:jc w:val="center"/>
        <w:rPr>
          <w:rFonts w:ascii="宋体" w:hAnsi="宋体"/>
          <w:b/>
          <w:color w:val="000000"/>
          <w:sz w:val="32"/>
          <w:szCs w:val="32"/>
        </w:rPr>
      </w:pPr>
      <w:r>
        <w:rPr>
          <w:rFonts w:hint="eastAsia" w:ascii="宋体" w:hAnsi="宋体"/>
          <w:b/>
          <w:color w:val="000000"/>
          <w:sz w:val="32"/>
          <w:szCs w:val="32"/>
        </w:rPr>
        <w:t>确认通知</w:t>
      </w:r>
    </w:p>
    <w:p>
      <w:pPr>
        <w:pStyle w:val="13"/>
        <w:kinsoku w:val="0"/>
        <w:overflowPunct w:val="0"/>
        <w:ind w:left="0"/>
        <w:rPr>
          <w:rFonts w:hint="default"/>
          <w:sz w:val="20"/>
        </w:rPr>
      </w:pPr>
    </w:p>
    <w:p>
      <w:pPr>
        <w:pStyle w:val="13"/>
        <w:kinsoku w:val="0"/>
        <w:overflowPunct w:val="0"/>
        <w:ind w:left="0"/>
        <w:rPr>
          <w:rFonts w:hint="default"/>
          <w:sz w:val="19"/>
        </w:rPr>
      </w:pPr>
    </w:p>
    <w:p>
      <w:pPr>
        <w:pStyle w:val="13"/>
        <w:tabs>
          <w:tab w:val="left" w:pos="2318"/>
        </w:tabs>
        <w:kinsoku w:val="0"/>
        <w:overflowPunct w:val="0"/>
        <w:rPr>
          <w:rFonts w:hint="default"/>
          <w:sz w:val="24"/>
          <w:szCs w:val="24"/>
        </w:rPr>
      </w:pPr>
      <w:r>
        <w:rPr>
          <w:sz w:val="24"/>
          <w:szCs w:val="24"/>
          <w:u w:val="single"/>
        </w:rPr>
        <w:t xml:space="preserve"> </w:t>
      </w:r>
      <w:r>
        <w:rPr>
          <w:sz w:val="24"/>
          <w:szCs w:val="24"/>
          <w:u w:val="single"/>
        </w:rPr>
        <w:tab/>
      </w:r>
      <w:r>
        <w:rPr>
          <w:spacing w:val="-3"/>
          <w:sz w:val="24"/>
          <w:szCs w:val="24"/>
        </w:rPr>
        <w:t>（</w:t>
      </w:r>
      <w:r>
        <w:rPr>
          <w:sz w:val="24"/>
          <w:szCs w:val="24"/>
        </w:rPr>
        <w:t>招</w:t>
      </w:r>
      <w:r>
        <w:rPr>
          <w:spacing w:val="-3"/>
          <w:sz w:val="24"/>
          <w:szCs w:val="24"/>
        </w:rPr>
        <w:t>标人</w:t>
      </w:r>
      <w:r>
        <w:rPr>
          <w:sz w:val="24"/>
          <w:szCs w:val="24"/>
        </w:rPr>
        <w:t>名</w:t>
      </w:r>
      <w:r>
        <w:rPr>
          <w:spacing w:val="-5"/>
          <w:sz w:val="24"/>
          <w:szCs w:val="24"/>
        </w:rPr>
        <w:t>称</w:t>
      </w:r>
      <w:r>
        <w:rPr>
          <w:spacing w:val="-108"/>
          <w:sz w:val="24"/>
          <w:szCs w:val="24"/>
        </w:rPr>
        <w:t>）</w:t>
      </w:r>
      <w:r>
        <w:rPr>
          <w:sz w:val="24"/>
          <w:szCs w:val="24"/>
        </w:rPr>
        <w:t>：</w:t>
      </w:r>
    </w:p>
    <w:p>
      <w:pPr>
        <w:pStyle w:val="13"/>
        <w:kinsoku w:val="0"/>
        <w:overflowPunct w:val="0"/>
        <w:ind w:left="0"/>
        <w:rPr>
          <w:rFonts w:hint="default"/>
          <w:sz w:val="24"/>
          <w:szCs w:val="24"/>
        </w:rPr>
      </w:pPr>
    </w:p>
    <w:p>
      <w:pPr>
        <w:pStyle w:val="13"/>
        <w:kinsoku w:val="0"/>
        <w:overflowPunct w:val="0"/>
        <w:ind w:left="0"/>
        <w:rPr>
          <w:rFonts w:hint="default"/>
          <w:sz w:val="24"/>
          <w:szCs w:val="24"/>
        </w:rPr>
      </w:pPr>
    </w:p>
    <w:p>
      <w:pPr>
        <w:pStyle w:val="13"/>
        <w:tabs>
          <w:tab w:val="left" w:pos="1897"/>
          <w:tab w:val="left" w:pos="2858"/>
          <w:tab w:val="left" w:pos="3799"/>
          <w:tab w:val="left" w:pos="5599"/>
        </w:tabs>
        <w:kinsoku w:val="0"/>
        <w:overflowPunct w:val="0"/>
        <w:ind w:left="539"/>
        <w:rPr>
          <w:rFonts w:hint="default"/>
          <w:sz w:val="24"/>
          <w:szCs w:val="24"/>
        </w:rPr>
      </w:pPr>
      <w:r>
        <w:rPr>
          <w:spacing w:val="-1"/>
          <w:sz w:val="24"/>
          <w:szCs w:val="24"/>
        </w:rPr>
        <w:t>你方于</w:t>
      </w:r>
      <w:r>
        <w:rPr>
          <w:spacing w:val="-1"/>
          <w:sz w:val="24"/>
          <w:szCs w:val="24"/>
          <w:u w:val="single"/>
        </w:rPr>
        <w:t xml:space="preserve"> </w:t>
      </w:r>
      <w:r>
        <w:rPr>
          <w:spacing w:val="-1"/>
          <w:sz w:val="24"/>
          <w:szCs w:val="24"/>
          <w:u w:val="single"/>
        </w:rPr>
        <w:tab/>
      </w:r>
      <w:r>
        <w:rPr>
          <w:sz w:val="24"/>
          <w:szCs w:val="24"/>
        </w:rPr>
        <w:t>年</w:t>
      </w:r>
      <w:r>
        <w:rPr>
          <w:sz w:val="24"/>
          <w:szCs w:val="24"/>
          <w:u w:val="single"/>
        </w:rPr>
        <w:t xml:space="preserve">    </w:t>
      </w:r>
      <w:r>
        <w:rPr>
          <w:sz w:val="24"/>
          <w:szCs w:val="24"/>
        </w:rPr>
        <w:t>月</w:t>
      </w:r>
      <w:r>
        <w:rPr>
          <w:sz w:val="24"/>
          <w:szCs w:val="24"/>
          <w:u w:val="single"/>
        </w:rPr>
        <w:t xml:space="preserve">     </w:t>
      </w:r>
      <w:r>
        <w:rPr>
          <w:spacing w:val="-1"/>
          <w:sz w:val="24"/>
          <w:szCs w:val="24"/>
        </w:rPr>
        <w:t>日发出的</w:t>
      </w:r>
      <w:r>
        <w:rPr>
          <w:spacing w:val="-1"/>
          <w:sz w:val="24"/>
          <w:szCs w:val="24"/>
          <w:u w:val="single"/>
        </w:rPr>
        <w:t xml:space="preserve"> </w:t>
      </w:r>
      <w:r>
        <w:rPr>
          <w:spacing w:val="-1"/>
          <w:sz w:val="24"/>
          <w:szCs w:val="24"/>
          <w:u w:val="single"/>
        </w:rPr>
        <w:tab/>
      </w:r>
      <w:r>
        <w:rPr>
          <w:spacing w:val="-2"/>
          <w:sz w:val="24"/>
          <w:szCs w:val="24"/>
          <w:u w:val="single"/>
        </w:rPr>
        <w:t>（项目名称）</w:t>
      </w:r>
      <w:r>
        <w:rPr>
          <w:spacing w:val="-2"/>
          <w:sz w:val="24"/>
          <w:szCs w:val="24"/>
        </w:rPr>
        <w:t>设备采购招标关于</w:t>
      </w:r>
      <w:r>
        <w:rPr>
          <w:spacing w:val="-2"/>
          <w:sz w:val="24"/>
          <w:szCs w:val="24"/>
          <w:u w:val="single"/>
        </w:rPr>
        <w:t>招</w:t>
      </w:r>
    </w:p>
    <w:p>
      <w:pPr>
        <w:pStyle w:val="13"/>
        <w:kinsoku w:val="0"/>
        <w:overflowPunct w:val="0"/>
        <w:ind w:left="0"/>
        <w:rPr>
          <w:rFonts w:hint="default"/>
          <w:sz w:val="24"/>
          <w:szCs w:val="24"/>
        </w:rPr>
      </w:pPr>
    </w:p>
    <w:p>
      <w:pPr>
        <w:pStyle w:val="13"/>
        <w:tabs>
          <w:tab w:val="left" w:pos="4260"/>
          <w:tab w:val="left" w:pos="5220"/>
          <w:tab w:val="left" w:pos="6158"/>
        </w:tabs>
        <w:kinsoku w:val="0"/>
        <w:overflowPunct w:val="0"/>
        <w:spacing w:line="375" w:lineRule="auto"/>
        <w:ind w:left="542" w:right="146" w:hanging="423"/>
        <w:rPr>
          <w:rFonts w:hint="default"/>
          <w:spacing w:val="21"/>
          <w:sz w:val="24"/>
          <w:szCs w:val="24"/>
        </w:rPr>
      </w:pPr>
      <w:r>
        <w:rPr>
          <w:spacing w:val="-2"/>
          <w:sz w:val="24"/>
          <w:szCs w:val="24"/>
          <w:u w:val="single"/>
        </w:rPr>
        <w:t>标文件的澄清/修改</w:t>
      </w:r>
      <w:r>
        <w:rPr>
          <w:spacing w:val="-2"/>
          <w:sz w:val="24"/>
          <w:szCs w:val="24"/>
        </w:rPr>
        <w:t>的通知，我方已于</w:t>
      </w:r>
      <w:r>
        <w:rPr>
          <w:spacing w:val="-2"/>
          <w:sz w:val="24"/>
          <w:szCs w:val="24"/>
          <w:u w:val="single"/>
        </w:rPr>
        <w:t xml:space="preserve"> </w:t>
      </w:r>
      <w:r>
        <w:rPr>
          <w:spacing w:val="-2"/>
          <w:sz w:val="24"/>
          <w:szCs w:val="24"/>
          <w:u w:val="single"/>
        </w:rPr>
        <w:tab/>
      </w:r>
      <w:r>
        <w:rPr>
          <w:spacing w:val="-2"/>
          <w:sz w:val="24"/>
          <w:szCs w:val="24"/>
          <w:u w:val="single"/>
        </w:rPr>
        <w:t xml:space="preserve">   </w:t>
      </w:r>
      <w:r>
        <w:rPr>
          <w:sz w:val="24"/>
          <w:szCs w:val="24"/>
        </w:rPr>
        <w:t>年</w:t>
      </w:r>
      <w:r>
        <w:rPr>
          <w:sz w:val="24"/>
          <w:szCs w:val="24"/>
          <w:u w:val="single"/>
        </w:rPr>
        <w:t xml:space="preserve"> </w:t>
      </w:r>
      <w:r>
        <w:rPr>
          <w:sz w:val="24"/>
          <w:szCs w:val="24"/>
          <w:u w:val="single"/>
        </w:rPr>
        <w:tab/>
      </w:r>
      <w:r>
        <w:rPr>
          <w:sz w:val="24"/>
          <w:szCs w:val="24"/>
          <w:u w:val="single"/>
        </w:rPr>
        <w:t xml:space="preserve"> </w:t>
      </w:r>
      <w:r>
        <w:rPr>
          <w:sz w:val="24"/>
          <w:szCs w:val="24"/>
        </w:rPr>
        <w:t>月</w:t>
      </w:r>
      <w:r>
        <w:rPr>
          <w:sz w:val="24"/>
          <w:szCs w:val="24"/>
          <w:u w:val="single"/>
        </w:rPr>
        <w:t xml:space="preserve"> </w:t>
      </w:r>
      <w:r>
        <w:rPr>
          <w:sz w:val="24"/>
          <w:szCs w:val="24"/>
          <w:u w:val="single"/>
        </w:rPr>
        <w:tab/>
      </w:r>
      <w:r>
        <w:rPr>
          <w:spacing w:val="-2"/>
          <w:sz w:val="24"/>
          <w:szCs w:val="24"/>
        </w:rPr>
        <w:t>日收到。</w:t>
      </w:r>
      <w:r>
        <w:rPr>
          <w:spacing w:val="21"/>
          <w:sz w:val="24"/>
          <w:szCs w:val="24"/>
        </w:rPr>
        <w:t xml:space="preserve"> </w:t>
      </w:r>
    </w:p>
    <w:p>
      <w:pPr>
        <w:pStyle w:val="13"/>
        <w:tabs>
          <w:tab w:val="left" w:pos="4260"/>
          <w:tab w:val="left" w:pos="5220"/>
          <w:tab w:val="left" w:pos="6158"/>
        </w:tabs>
        <w:kinsoku w:val="0"/>
        <w:overflowPunct w:val="0"/>
        <w:spacing w:line="375" w:lineRule="auto"/>
        <w:ind w:left="598" w:leftChars="249" w:right="146" w:firstLine="56" w:firstLineChars="24"/>
        <w:rPr>
          <w:rFonts w:hint="default"/>
          <w:spacing w:val="-2"/>
          <w:sz w:val="24"/>
          <w:szCs w:val="24"/>
        </w:rPr>
      </w:pPr>
      <w:r>
        <w:rPr>
          <w:spacing w:val="-2"/>
          <w:sz w:val="24"/>
          <w:szCs w:val="24"/>
        </w:rPr>
        <w:t>特此确认。</w:t>
      </w:r>
    </w:p>
    <w:p>
      <w:pPr>
        <w:pStyle w:val="13"/>
        <w:kinsoku w:val="0"/>
        <w:overflowPunct w:val="0"/>
        <w:ind w:left="0"/>
        <w:rPr>
          <w:rFonts w:hint="default"/>
          <w:sz w:val="24"/>
          <w:szCs w:val="24"/>
        </w:rPr>
      </w:pPr>
    </w:p>
    <w:p>
      <w:pPr>
        <w:pStyle w:val="13"/>
        <w:kinsoku w:val="0"/>
        <w:overflowPunct w:val="0"/>
        <w:ind w:left="0"/>
        <w:rPr>
          <w:rFonts w:hint="default"/>
          <w:sz w:val="24"/>
          <w:szCs w:val="24"/>
        </w:rPr>
      </w:pPr>
    </w:p>
    <w:p>
      <w:pPr>
        <w:pStyle w:val="13"/>
        <w:kinsoku w:val="0"/>
        <w:overflowPunct w:val="0"/>
        <w:ind w:left="0"/>
        <w:rPr>
          <w:rFonts w:hint="default"/>
          <w:sz w:val="24"/>
          <w:szCs w:val="24"/>
        </w:rPr>
      </w:pPr>
    </w:p>
    <w:p>
      <w:pPr>
        <w:pStyle w:val="13"/>
        <w:tabs>
          <w:tab w:val="left" w:pos="7141"/>
        </w:tabs>
        <w:kinsoku w:val="0"/>
        <w:overflowPunct w:val="0"/>
        <w:ind w:left="2534"/>
        <w:rPr>
          <w:rFonts w:hint="default"/>
          <w:sz w:val="24"/>
          <w:szCs w:val="24"/>
        </w:rPr>
      </w:pPr>
      <w:r>
        <w:rPr>
          <w:spacing w:val="-2"/>
          <w:sz w:val="24"/>
          <w:szCs w:val="24"/>
        </w:rPr>
        <w:t>投标人：（盖单位章）</w:t>
      </w:r>
    </w:p>
    <w:p>
      <w:pPr>
        <w:pStyle w:val="13"/>
        <w:kinsoku w:val="0"/>
        <w:overflowPunct w:val="0"/>
        <w:ind w:left="0"/>
        <w:rPr>
          <w:rFonts w:hint="default"/>
          <w:sz w:val="24"/>
          <w:szCs w:val="24"/>
        </w:rPr>
      </w:pPr>
    </w:p>
    <w:p>
      <w:pPr>
        <w:pStyle w:val="13"/>
        <w:tabs>
          <w:tab w:val="left" w:pos="7359"/>
        </w:tabs>
        <w:kinsoku w:val="0"/>
        <w:overflowPunct w:val="0"/>
        <w:ind w:left="2534"/>
        <w:rPr>
          <w:rFonts w:hint="default"/>
          <w:spacing w:val="-2"/>
          <w:sz w:val="24"/>
          <w:szCs w:val="24"/>
        </w:rPr>
      </w:pPr>
      <w:r>
        <w:rPr>
          <w:spacing w:val="-3"/>
          <w:sz w:val="24"/>
          <w:szCs w:val="24"/>
        </w:rPr>
        <w:t xml:space="preserve">法定代表人（单位负责人）或委托代理人： </w:t>
      </w:r>
      <w:r>
        <w:rPr>
          <w:spacing w:val="-3"/>
          <w:sz w:val="24"/>
          <w:szCs w:val="24"/>
        </w:rPr>
        <w:tab/>
      </w:r>
      <w:r>
        <w:rPr>
          <w:spacing w:val="-2"/>
          <w:sz w:val="24"/>
          <w:szCs w:val="24"/>
        </w:rPr>
        <w:t>（签字）</w:t>
      </w:r>
    </w:p>
    <w:p>
      <w:pPr>
        <w:pStyle w:val="13"/>
        <w:kinsoku w:val="0"/>
        <w:overflowPunct w:val="0"/>
        <w:ind w:left="0"/>
        <w:rPr>
          <w:rFonts w:hint="default"/>
          <w:sz w:val="24"/>
          <w:szCs w:val="24"/>
        </w:rPr>
      </w:pPr>
    </w:p>
    <w:p>
      <w:pPr>
        <w:spacing w:line="440" w:lineRule="exact"/>
        <w:rPr>
          <w:rFonts w:ascii="宋体" w:hAnsi="宋体"/>
          <w:color w:val="000000"/>
          <w:szCs w:val="24"/>
        </w:rPr>
      </w:pPr>
      <w:r>
        <w:rPr>
          <w:rFonts w:hint="eastAsia" w:ascii="宋体" w:hAnsi="宋体"/>
          <w:color w:val="000000"/>
          <w:szCs w:val="24"/>
        </w:rPr>
        <w:t xml:space="preserve">                                        </w:t>
      </w:r>
      <w:r>
        <w:rPr>
          <w:rFonts w:hint="eastAsia" w:ascii="宋体" w:hAnsi="宋体"/>
          <w:color w:val="000000"/>
          <w:szCs w:val="24"/>
          <w:u w:val="single"/>
        </w:rPr>
        <w:t xml:space="preserve"> </w:t>
      </w:r>
      <w:r>
        <w:rPr>
          <w:rFonts w:ascii="宋体" w:hAnsi="宋体"/>
          <w:color w:val="000000"/>
          <w:szCs w:val="24"/>
          <w:u w:val="single"/>
        </w:rPr>
        <w:t xml:space="preserve">    </w:t>
      </w:r>
      <w:r>
        <w:rPr>
          <w:rFonts w:ascii="宋体" w:hAnsi="宋体"/>
          <w:color w:val="000000"/>
          <w:szCs w:val="24"/>
        </w:rPr>
        <w:t>年</w:t>
      </w:r>
      <w:r>
        <w:rPr>
          <w:rFonts w:ascii="宋体" w:hAnsi="宋体"/>
          <w:color w:val="000000"/>
          <w:szCs w:val="24"/>
          <w:u w:val="single"/>
        </w:rPr>
        <w:t xml:space="preserve">      </w:t>
      </w:r>
      <w:r>
        <w:rPr>
          <w:rFonts w:ascii="宋体" w:hAnsi="宋体"/>
          <w:color w:val="000000"/>
          <w:szCs w:val="24"/>
        </w:rPr>
        <w:t>月</w:t>
      </w:r>
      <w:r>
        <w:rPr>
          <w:rFonts w:ascii="宋体" w:hAnsi="宋体"/>
          <w:color w:val="000000"/>
          <w:szCs w:val="24"/>
          <w:u w:val="single"/>
        </w:rPr>
        <w:t xml:space="preserve">      </w:t>
      </w:r>
      <w:r>
        <w:rPr>
          <w:rFonts w:ascii="宋体" w:hAnsi="宋体"/>
          <w:color w:val="000000"/>
          <w:szCs w:val="24"/>
        </w:rPr>
        <w:t>日</w:t>
      </w:r>
    </w:p>
    <w:p>
      <w:pPr>
        <w:spacing w:line="400" w:lineRule="exact"/>
        <w:rPr>
          <w:rFonts w:ascii="宋体" w:hAnsi="宋体"/>
          <w:color w:val="000000"/>
          <w:szCs w:val="24"/>
        </w:rPr>
      </w:pPr>
    </w:p>
    <w:p>
      <w:pPr>
        <w:pStyle w:val="13"/>
        <w:kinsoku w:val="0"/>
        <w:overflowPunct w:val="0"/>
        <w:ind w:left="0"/>
        <w:rPr>
          <w:rFonts w:hint="default"/>
          <w:sz w:val="24"/>
          <w:szCs w:val="24"/>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4"/>
        <w:rPr>
          <w:sz w:val="20"/>
        </w:rPr>
      </w:pPr>
    </w:p>
    <w:p>
      <w:pPr>
        <w:pStyle w:val="4"/>
        <w:kinsoku w:val="0"/>
        <w:overflowPunct w:val="0"/>
        <w:ind w:left="6"/>
        <w:jc w:val="center"/>
        <w:rPr>
          <w:rFonts w:hint="default"/>
          <w:bCs/>
        </w:rPr>
      </w:pPr>
      <w:bookmarkStart w:id="43" w:name="bookmark15"/>
      <w:bookmarkEnd w:id="43"/>
      <w:r>
        <w:rPr>
          <w:bCs/>
          <w:spacing w:val="1"/>
        </w:rPr>
        <w:t>第三章 评标方法（综合评分法）</w:t>
      </w:r>
    </w:p>
    <w:p>
      <w:pPr>
        <w:pStyle w:val="13"/>
        <w:kinsoku w:val="0"/>
        <w:overflowPunct w:val="0"/>
        <w:spacing w:line="360" w:lineRule="auto"/>
        <w:ind w:left="10"/>
        <w:jc w:val="center"/>
        <w:rPr>
          <w:rFonts w:hint="default"/>
          <w:b/>
          <w:spacing w:val="2"/>
          <w:sz w:val="24"/>
          <w:szCs w:val="24"/>
        </w:rPr>
      </w:pPr>
      <w:bookmarkStart w:id="44" w:name="bookmark16"/>
      <w:bookmarkEnd w:id="44"/>
    </w:p>
    <w:p>
      <w:pPr>
        <w:pStyle w:val="13"/>
        <w:kinsoku w:val="0"/>
        <w:overflowPunct w:val="0"/>
        <w:spacing w:line="360" w:lineRule="auto"/>
        <w:ind w:left="10"/>
        <w:jc w:val="center"/>
        <w:rPr>
          <w:rFonts w:hint="default"/>
          <w:sz w:val="24"/>
          <w:szCs w:val="24"/>
        </w:rPr>
      </w:pPr>
      <w:r>
        <w:rPr>
          <w:b/>
          <w:spacing w:val="2"/>
          <w:sz w:val="24"/>
          <w:szCs w:val="24"/>
        </w:rPr>
        <w:t>一、资格审查</w:t>
      </w:r>
    </w:p>
    <w:p>
      <w:pPr>
        <w:pStyle w:val="13"/>
        <w:kinsoku w:val="0"/>
        <w:overflowPunct w:val="0"/>
        <w:spacing w:line="360" w:lineRule="auto"/>
        <w:ind w:left="118" w:firstLine="662" w:firstLineChars="276"/>
        <w:rPr>
          <w:rFonts w:hint="default"/>
          <w:sz w:val="24"/>
          <w:szCs w:val="24"/>
        </w:rPr>
      </w:pPr>
      <w:r>
        <w:rPr>
          <w:rFonts w:cs="宋体"/>
          <w:sz w:val="24"/>
        </w:rPr>
        <w:t>按照《政府采购货物和服务招标投标管理办法》（财政部第</w:t>
      </w:r>
      <w:r>
        <w:rPr>
          <w:rFonts w:cs="宋体"/>
          <w:spacing w:val="-36"/>
          <w:sz w:val="24"/>
        </w:rPr>
        <w:t xml:space="preserve"> </w:t>
      </w:r>
      <w:r>
        <w:rPr>
          <w:rFonts w:cs="宋体"/>
          <w:sz w:val="24"/>
        </w:rPr>
        <w:t>87</w:t>
      </w:r>
      <w:r>
        <w:rPr>
          <w:rFonts w:cs="宋体"/>
          <w:spacing w:val="-30"/>
          <w:sz w:val="24"/>
        </w:rPr>
        <w:t xml:space="preserve"> </w:t>
      </w:r>
      <w:r>
        <w:rPr>
          <w:rFonts w:cs="宋体"/>
          <w:sz w:val="24"/>
        </w:rPr>
        <w:t>号</w:t>
      </w:r>
      <w:r>
        <w:rPr>
          <w:rFonts w:cs="宋体"/>
          <w:spacing w:val="-1"/>
          <w:sz w:val="24"/>
        </w:rPr>
        <w:t>令）由采购人对投标人的资格性进行审查</w:t>
      </w:r>
      <w:r>
        <w:rPr>
          <w:sz w:val="24"/>
          <w:szCs w:val="24"/>
        </w:rPr>
        <w:t>，有一项不符合审查标准的，则资格审查不合格，其投标将被否决。</w:t>
      </w:r>
    </w:p>
    <w:tbl>
      <w:tblPr>
        <w:tblStyle w:val="26"/>
        <w:tblW w:w="9405" w:type="dxa"/>
        <w:tblInd w:w="261" w:type="dxa"/>
        <w:tblLayout w:type="fixed"/>
        <w:tblCellMar>
          <w:top w:w="0" w:type="dxa"/>
          <w:left w:w="0" w:type="dxa"/>
          <w:bottom w:w="0" w:type="dxa"/>
          <w:right w:w="0" w:type="dxa"/>
        </w:tblCellMar>
      </w:tblPr>
      <w:tblGrid>
        <w:gridCol w:w="856"/>
        <w:gridCol w:w="3158"/>
        <w:gridCol w:w="5391"/>
      </w:tblGrid>
      <w:tr>
        <w:tblPrEx>
          <w:tblCellMar>
            <w:top w:w="0" w:type="dxa"/>
            <w:left w:w="0" w:type="dxa"/>
            <w:bottom w:w="0" w:type="dxa"/>
            <w:right w:w="0" w:type="dxa"/>
          </w:tblCellMar>
        </w:tblPrEx>
        <w:trPr>
          <w:trHeight w:val="556" w:hRule="exact"/>
        </w:trPr>
        <w:tc>
          <w:tcPr>
            <w:tcW w:w="4014" w:type="dxa"/>
            <w:gridSpan w:val="2"/>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before="78"/>
              <w:ind w:left="539"/>
              <w:jc w:val="center"/>
              <w:rPr>
                <w:sz w:val="21"/>
                <w:szCs w:val="21"/>
              </w:rPr>
            </w:pPr>
            <w:r>
              <w:rPr>
                <w:rFonts w:ascii="宋体"/>
                <w:b/>
                <w:sz w:val="21"/>
                <w:szCs w:val="21"/>
              </w:rPr>
              <w:t>评审因素</w:t>
            </w:r>
          </w:p>
        </w:tc>
        <w:tc>
          <w:tcPr>
            <w:tcW w:w="5391" w:type="dxa"/>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before="78"/>
              <w:ind w:left="19" w:hanging="19" w:hangingChars="9"/>
              <w:jc w:val="center"/>
              <w:rPr>
                <w:sz w:val="21"/>
                <w:szCs w:val="21"/>
              </w:rPr>
            </w:pPr>
            <w:r>
              <w:rPr>
                <w:rFonts w:ascii="宋体"/>
                <w:b/>
                <w:spacing w:val="-1"/>
                <w:sz w:val="21"/>
                <w:szCs w:val="21"/>
              </w:rPr>
              <w:t>评审标准</w:t>
            </w:r>
          </w:p>
        </w:tc>
      </w:tr>
      <w:tr>
        <w:tblPrEx>
          <w:tblCellMar>
            <w:top w:w="0" w:type="dxa"/>
            <w:left w:w="0" w:type="dxa"/>
            <w:bottom w:w="0" w:type="dxa"/>
            <w:right w:w="0" w:type="dxa"/>
          </w:tblCellMar>
        </w:tblPrEx>
        <w:trPr>
          <w:trHeight w:val="601" w:hRule="exact"/>
        </w:trPr>
        <w:tc>
          <w:tcPr>
            <w:tcW w:w="856" w:type="dxa"/>
            <w:vMerge w:val="restart"/>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rPr>
                <w:rFonts w:ascii="宋体"/>
                <w:sz w:val="21"/>
                <w:szCs w:val="21"/>
              </w:rPr>
            </w:pPr>
          </w:p>
          <w:p>
            <w:pPr>
              <w:pStyle w:val="41"/>
              <w:kinsoku w:val="0"/>
              <w:overflowPunct w:val="0"/>
              <w:rPr>
                <w:rFonts w:ascii="宋体"/>
                <w:sz w:val="21"/>
                <w:szCs w:val="21"/>
              </w:rPr>
            </w:pPr>
          </w:p>
          <w:p>
            <w:pPr>
              <w:pStyle w:val="41"/>
              <w:kinsoku w:val="0"/>
              <w:overflowPunct w:val="0"/>
              <w:spacing w:before="7"/>
              <w:rPr>
                <w:rFonts w:ascii="宋体"/>
                <w:sz w:val="21"/>
                <w:szCs w:val="21"/>
              </w:rPr>
            </w:pPr>
          </w:p>
          <w:p>
            <w:pPr>
              <w:pStyle w:val="41"/>
              <w:kinsoku w:val="0"/>
              <w:overflowPunct w:val="0"/>
              <w:spacing w:line="355" w:lineRule="auto"/>
              <w:ind w:left="59" w:right="27" w:firstLine="55"/>
              <w:rPr>
                <w:sz w:val="21"/>
                <w:szCs w:val="21"/>
              </w:rPr>
            </w:pPr>
            <w:r>
              <w:rPr>
                <w:rFonts w:ascii="宋体"/>
                <w:sz w:val="21"/>
                <w:szCs w:val="21"/>
              </w:rPr>
              <w:t xml:space="preserve">资 </w:t>
            </w:r>
            <w:r>
              <w:rPr>
                <w:rFonts w:ascii="宋体"/>
                <w:spacing w:val="10"/>
                <w:sz w:val="21"/>
                <w:szCs w:val="21"/>
              </w:rPr>
              <w:t>格性审</w:t>
            </w:r>
            <w:r>
              <w:rPr>
                <w:rFonts w:ascii="宋体"/>
                <w:sz w:val="21"/>
                <w:szCs w:val="21"/>
              </w:rPr>
              <w:t xml:space="preserve"> 查 </w:t>
            </w: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投标人名称</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sz w:val="21"/>
                <w:szCs w:val="21"/>
              </w:rPr>
            </w:pPr>
            <w:r>
              <w:rPr>
                <w:rFonts w:hint="eastAsia" w:ascii="宋体" w:hAnsi="宋体" w:cs="宋体"/>
                <w:sz w:val="21"/>
                <w:szCs w:val="21"/>
              </w:rPr>
              <w:t>与营业执照一致</w:t>
            </w:r>
          </w:p>
        </w:tc>
      </w:tr>
      <w:tr>
        <w:tblPrEx>
          <w:tblCellMar>
            <w:top w:w="0" w:type="dxa"/>
            <w:left w:w="0" w:type="dxa"/>
            <w:bottom w:w="0" w:type="dxa"/>
            <w:right w:w="0" w:type="dxa"/>
          </w:tblCellMar>
        </w:tblPrEx>
        <w:trPr>
          <w:trHeight w:val="601" w:hRule="exact"/>
        </w:trPr>
        <w:tc>
          <w:tcPr>
            <w:tcW w:w="856" w:type="dxa"/>
            <w:vMerge w:val="continue"/>
            <w:tcBorders>
              <w:left w:val="single" w:color="000000" w:sz="6" w:space="0"/>
              <w:right w:val="single" w:color="000000" w:sz="6" w:space="0"/>
              <w:tl2br w:val="nil"/>
              <w:tr2bl w:val="nil"/>
            </w:tcBorders>
          </w:tcPr>
          <w:p>
            <w:pPr>
              <w:pStyle w:val="41"/>
              <w:kinsoku w:val="0"/>
              <w:overflowPunct w:val="0"/>
              <w:spacing w:line="355" w:lineRule="auto"/>
              <w:ind w:left="59" w:right="27" w:firstLine="55"/>
              <w:rPr>
                <w:rFonts w:ascii="宋体"/>
                <w:sz w:val="21"/>
                <w:szCs w:val="21"/>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营业执照</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before="151"/>
              <w:ind w:left="118"/>
              <w:rPr>
                <w:sz w:val="21"/>
                <w:szCs w:val="21"/>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信用查询</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539"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before="151"/>
              <w:ind w:left="118"/>
              <w:rPr>
                <w:sz w:val="21"/>
                <w:szCs w:val="21"/>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审计报告</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764"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before="151"/>
              <w:ind w:left="118"/>
              <w:rPr>
                <w:sz w:val="21"/>
                <w:szCs w:val="21"/>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纳税和社保证明</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700" w:hRule="exact"/>
        </w:trPr>
        <w:tc>
          <w:tcPr>
            <w:tcW w:w="856" w:type="dxa"/>
            <w:vMerge w:val="continue"/>
            <w:tcBorders>
              <w:top w:val="single" w:color="000000" w:sz="6" w:space="0"/>
              <w:left w:val="single" w:color="000000" w:sz="6" w:space="0"/>
              <w:bottom w:val="single" w:color="000000" w:sz="6" w:space="0"/>
              <w:right w:val="single" w:color="000000" w:sz="6" w:space="0"/>
              <w:tl2br w:val="nil"/>
              <w:tr2bl w:val="nil"/>
            </w:tcBorders>
          </w:tcPr>
          <w:p>
            <w:pPr>
              <w:pStyle w:val="41"/>
              <w:kinsoku w:val="0"/>
              <w:overflowPunct w:val="0"/>
              <w:spacing w:line="367" w:lineRule="auto"/>
              <w:ind w:left="118" w:right="86"/>
              <w:rPr>
                <w:sz w:val="21"/>
                <w:szCs w:val="21"/>
              </w:rPr>
            </w:pPr>
          </w:p>
        </w:tc>
        <w:tc>
          <w:tcPr>
            <w:tcW w:w="315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snapToGrid w:val="0"/>
                <w:sz w:val="21"/>
                <w:szCs w:val="21"/>
              </w:rPr>
              <w:t>最近三年在经营活动中没有重大违法、违纪行为的书面声明</w:t>
            </w:r>
          </w:p>
        </w:tc>
        <w:tc>
          <w:tcPr>
            <w:tcW w:w="5391"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符合“投标人须知前附表”</w:t>
            </w:r>
          </w:p>
        </w:tc>
      </w:tr>
    </w:tbl>
    <w:p/>
    <w:p>
      <w:pPr>
        <w:pStyle w:val="4"/>
        <w:kinsoku w:val="0"/>
        <w:overflowPunct w:val="0"/>
        <w:spacing w:line="360" w:lineRule="auto"/>
        <w:ind w:left="3"/>
        <w:jc w:val="center"/>
        <w:rPr>
          <w:rFonts w:hint="default"/>
          <w:bCs/>
          <w:sz w:val="24"/>
          <w:szCs w:val="24"/>
        </w:rPr>
      </w:pPr>
      <w:bookmarkStart w:id="45" w:name="bookmark17"/>
      <w:bookmarkEnd w:id="45"/>
      <w:r>
        <w:rPr>
          <w:bCs/>
          <w:spacing w:val="1"/>
          <w:sz w:val="24"/>
          <w:szCs w:val="24"/>
        </w:rPr>
        <w:t>二、符合性审查</w:t>
      </w:r>
    </w:p>
    <w:p>
      <w:pPr>
        <w:pStyle w:val="13"/>
        <w:kinsoku w:val="0"/>
        <w:overflowPunct w:val="0"/>
        <w:spacing w:line="360" w:lineRule="auto"/>
        <w:ind w:left="118" w:right="-94" w:firstLine="420"/>
        <w:jc w:val="both"/>
        <w:rPr>
          <w:rFonts w:hint="default"/>
          <w:spacing w:val="-2"/>
          <w:sz w:val="24"/>
          <w:szCs w:val="24"/>
        </w:rPr>
      </w:pPr>
      <w:r>
        <w:rPr>
          <w:rFonts w:cs="宋体"/>
          <w:b/>
          <w:sz w:val="24"/>
        </w:rPr>
        <w:t>2.</w:t>
      </w:r>
      <w:r>
        <w:rPr>
          <w:rFonts w:cs="宋体"/>
          <w:b/>
          <w:spacing w:val="11"/>
          <w:sz w:val="24"/>
        </w:rPr>
        <w:t xml:space="preserve"> </w:t>
      </w:r>
      <w:r>
        <w:rPr>
          <w:rFonts w:cs="宋体"/>
          <w:spacing w:val="4"/>
          <w:sz w:val="24"/>
        </w:rPr>
        <w:t>评标委员会根据评标原则和评标标准对所有符合资格的投标人的投标文件进行符合</w:t>
      </w:r>
      <w:r>
        <w:rPr>
          <w:rFonts w:cs="宋体"/>
          <w:spacing w:val="1"/>
          <w:sz w:val="24"/>
        </w:rPr>
        <w:t>性审查，以确定是否满足招标文件的实质性要求。</w:t>
      </w:r>
      <w:r>
        <w:rPr>
          <w:spacing w:val="-2"/>
          <w:sz w:val="24"/>
          <w:szCs w:val="24"/>
        </w:rPr>
        <w:t>符合性审查有一项不符合审查标准的，评标委员会应当否决其投标。</w:t>
      </w:r>
    </w:p>
    <w:p>
      <w:pPr>
        <w:pStyle w:val="13"/>
        <w:kinsoku w:val="0"/>
        <w:overflowPunct w:val="0"/>
        <w:spacing w:before="49" w:line="355" w:lineRule="auto"/>
        <w:ind w:left="141" w:right="-94" w:firstLine="480"/>
        <w:jc w:val="both"/>
        <w:rPr>
          <w:rFonts w:hint="default" w:cs="宋体"/>
          <w:sz w:val="24"/>
        </w:rPr>
      </w:pPr>
      <w:r>
        <w:rPr>
          <w:rFonts w:cs="宋体"/>
          <w:spacing w:val="1"/>
          <w:sz w:val="24"/>
        </w:rPr>
        <w:t>符合招标文件实质性要求的投标文件，评</w:t>
      </w:r>
      <w:r>
        <w:rPr>
          <w:rFonts w:cs="宋体"/>
          <w:spacing w:val="-1"/>
          <w:sz w:val="24"/>
        </w:rPr>
        <w:t>委将按评分标准进行价格评议和综合评分。</w:t>
      </w:r>
      <w:r>
        <w:rPr>
          <w:rFonts w:cs="宋体"/>
          <w:b/>
          <w:w w:val="99"/>
          <w:sz w:val="24"/>
        </w:rPr>
        <w:t xml:space="preserve"> </w:t>
      </w:r>
    </w:p>
    <w:tbl>
      <w:tblPr>
        <w:tblStyle w:val="26"/>
        <w:tblpPr w:leftFromText="180" w:rightFromText="180" w:vertAnchor="text" w:horzAnchor="page" w:tblpX="1493" w:tblpY="29"/>
        <w:tblOverlap w:val="never"/>
        <w:tblW w:w="9451" w:type="dxa"/>
        <w:tblInd w:w="0" w:type="dxa"/>
        <w:tblLayout w:type="fixed"/>
        <w:tblCellMar>
          <w:top w:w="0" w:type="dxa"/>
          <w:left w:w="0" w:type="dxa"/>
          <w:bottom w:w="0" w:type="dxa"/>
          <w:right w:w="0" w:type="dxa"/>
        </w:tblCellMar>
      </w:tblPr>
      <w:tblGrid>
        <w:gridCol w:w="1837"/>
        <w:gridCol w:w="2356"/>
        <w:gridCol w:w="5258"/>
      </w:tblGrid>
      <w:tr>
        <w:tblPrEx>
          <w:tblCellMar>
            <w:top w:w="0" w:type="dxa"/>
            <w:left w:w="0" w:type="dxa"/>
            <w:bottom w:w="0" w:type="dxa"/>
            <w:right w:w="0" w:type="dxa"/>
          </w:tblCellMar>
        </w:tblPrEx>
        <w:trPr>
          <w:trHeight w:val="707" w:hRule="exact"/>
        </w:trPr>
        <w:tc>
          <w:tcPr>
            <w:tcW w:w="419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41"/>
              <w:kinsoku w:val="0"/>
              <w:overflowPunct w:val="0"/>
              <w:spacing w:before="79"/>
              <w:ind w:left="539"/>
              <w:jc w:val="center"/>
              <w:rPr>
                <w:sz w:val="21"/>
                <w:szCs w:val="21"/>
              </w:rPr>
            </w:pPr>
            <w:r>
              <w:rPr>
                <w:rFonts w:ascii="宋体"/>
                <w:b/>
                <w:sz w:val="21"/>
                <w:szCs w:val="21"/>
              </w:rPr>
              <w:t>评审因素</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41"/>
              <w:kinsoku w:val="0"/>
              <w:overflowPunct w:val="0"/>
              <w:spacing w:before="79"/>
              <w:ind w:left="540"/>
              <w:jc w:val="center"/>
              <w:rPr>
                <w:sz w:val="21"/>
                <w:szCs w:val="21"/>
              </w:rPr>
            </w:pPr>
            <w:r>
              <w:rPr>
                <w:rFonts w:ascii="宋体"/>
                <w:b/>
                <w:spacing w:val="-1"/>
                <w:sz w:val="21"/>
                <w:szCs w:val="21"/>
              </w:rPr>
              <w:t>评审标准</w:t>
            </w:r>
          </w:p>
        </w:tc>
      </w:tr>
      <w:tr>
        <w:tblPrEx>
          <w:tblCellMar>
            <w:top w:w="0" w:type="dxa"/>
            <w:left w:w="0" w:type="dxa"/>
            <w:bottom w:w="0" w:type="dxa"/>
            <w:right w:w="0" w:type="dxa"/>
          </w:tblCellMar>
        </w:tblPrEx>
        <w:trPr>
          <w:trHeight w:val="553" w:hRule="exact"/>
        </w:trPr>
        <w:tc>
          <w:tcPr>
            <w:tcW w:w="1837" w:type="dxa"/>
            <w:vMerge w:val="restart"/>
            <w:tcBorders>
              <w:top w:val="single" w:color="000000" w:sz="6" w:space="0"/>
              <w:left w:val="single" w:color="000000" w:sz="6" w:space="0"/>
              <w:bottom w:val="nil"/>
              <w:right w:val="single" w:color="000000" w:sz="6" w:space="0"/>
              <w:tl2br w:val="nil"/>
              <w:tr2bl w:val="nil"/>
            </w:tcBorders>
          </w:tcPr>
          <w:p>
            <w:pPr>
              <w:pStyle w:val="41"/>
              <w:kinsoku w:val="0"/>
              <w:overflowPunct w:val="0"/>
              <w:rPr>
                <w:rFonts w:ascii="宋体"/>
                <w:b/>
                <w:sz w:val="21"/>
                <w:szCs w:val="21"/>
              </w:rPr>
            </w:pPr>
          </w:p>
          <w:p>
            <w:pPr>
              <w:pStyle w:val="41"/>
              <w:kinsoku w:val="0"/>
              <w:overflowPunct w:val="0"/>
              <w:spacing w:before="5"/>
              <w:rPr>
                <w:rFonts w:ascii="宋体"/>
                <w:b/>
                <w:sz w:val="21"/>
                <w:szCs w:val="21"/>
              </w:rPr>
            </w:pPr>
          </w:p>
          <w:p>
            <w:pPr>
              <w:pStyle w:val="41"/>
              <w:kinsoku w:val="0"/>
              <w:overflowPunct w:val="0"/>
              <w:spacing w:before="5"/>
              <w:rPr>
                <w:rFonts w:ascii="宋体"/>
                <w:b/>
                <w:sz w:val="21"/>
                <w:szCs w:val="21"/>
              </w:rPr>
            </w:pPr>
          </w:p>
          <w:p>
            <w:pPr>
              <w:pStyle w:val="41"/>
              <w:kinsoku w:val="0"/>
              <w:overflowPunct w:val="0"/>
              <w:spacing w:before="5"/>
              <w:rPr>
                <w:rFonts w:ascii="宋体"/>
                <w:b/>
                <w:sz w:val="21"/>
                <w:szCs w:val="21"/>
              </w:rPr>
            </w:pPr>
          </w:p>
          <w:p>
            <w:pPr>
              <w:pStyle w:val="41"/>
              <w:kinsoku w:val="0"/>
              <w:overflowPunct w:val="0"/>
              <w:spacing w:before="5"/>
              <w:rPr>
                <w:rFonts w:ascii="宋体"/>
                <w:b/>
                <w:sz w:val="21"/>
                <w:szCs w:val="21"/>
              </w:rPr>
            </w:pPr>
          </w:p>
          <w:p>
            <w:pPr>
              <w:pStyle w:val="41"/>
              <w:kinsoku w:val="0"/>
              <w:overflowPunct w:val="0"/>
              <w:ind w:left="59"/>
              <w:jc w:val="center"/>
              <w:rPr>
                <w:sz w:val="21"/>
                <w:szCs w:val="21"/>
              </w:rPr>
            </w:pPr>
            <w:r>
              <w:rPr>
                <w:rFonts w:ascii="宋体"/>
                <w:spacing w:val="-1"/>
                <w:sz w:val="21"/>
                <w:szCs w:val="21"/>
              </w:rPr>
              <w:t>符合性审查</w:t>
            </w: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投标文件签字盖章</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有法定代表人或其委托代理人签字、加盖单位章</w:t>
            </w:r>
          </w:p>
        </w:tc>
      </w:tr>
      <w:tr>
        <w:tblPrEx>
          <w:tblCellMar>
            <w:top w:w="0" w:type="dxa"/>
            <w:left w:w="0" w:type="dxa"/>
            <w:bottom w:w="0" w:type="dxa"/>
            <w:right w:w="0" w:type="dxa"/>
          </w:tblCellMar>
        </w:tblPrEx>
        <w:trPr>
          <w:trHeight w:val="627" w:hRule="exact"/>
        </w:trPr>
        <w:tc>
          <w:tcPr>
            <w:tcW w:w="1837" w:type="dxa"/>
            <w:vMerge w:val="continue"/>
            <w:tcBorders>
              <w:top w:val="nil"/>
              <w:left w:val="single" w:color="000000" w:sz="6" w:space="0"/>
              <w:bottom w:val="nil"/>
              <w:right w:val="single" w:color="000000" w:sz="6" w:space="0"/>
              <w:tl2br w:val="nil"/>
              <w:tr2bl w:val="nil"/>
            </w:tcBorders>
          </w:tcPr>
          <w:p>
            <w:pPr>
              <w:pStyle w:val="41"/>
              <w:kinsoku w:val="0"/>
              <w:overflowPunct w:val="0"/>
              <w:spacing w:before="10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sz w:val="21"/>
                <w:szCs w:val="21"/>
              </w:rPr>
            </w:pPr>
            <w:r>
              <w:rPr>
                <w:rFonts w:hint="eastAsia" w:ascii="宋体" w:hAnsi="宋体" w:cs="宋体"/>
                <w:spacing w:val="1"/>
                <w:sz w:val="21"/>
                <w:szCs w:val="21"/>
              </w:rPr>
              <w:t>投标人名称</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sz w:val="21"/>
                <w:szCs w:val="21"/>
              </w:rPr>
            </w:pPr>
            <w:r>
              <w:rPr>
                <w:rFonts w:hint="eastAsia" w:ascii="宋体" w:hAnsi="宋体" w:cs="宋体"/>
                <w:spacing w:val="1"/>
                <w:sz w:val="21"/>
                <w:szCs w:val="21"/>
              </w:rPr>
              <w:t>与营业执照一致</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000000" w:sz="6" w:space="0"/>
              <w:bottom w:val="nil"/>
              <w:right w:val="single" w:color="000000" w:sz="6" w:space="0"/>
              <w:tl2br w:val="nil"/>
              <w:tr2bl w:val="nil"/>
            </w:tcBorders>
          </w:tcPr>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投标文件格式</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符合第六章“投标文件格式”的要求</w:t>
            </w:r>
          </w:p>
        </w:tc>
      </w:tr>
      <w:tr>
        <w:tblPrEx>
          <w:tblCellMar>
            <w:top w:w="0" w:type="dxa"/>
            <w:left w:w="0" w:type="dxa"/>
            <w:bottom w:w="0" w:type="dxa"/>
            <w:right w:w="0" w:type="dxa"/>
          </w:tblCellMar>
        </w:tblPrEx>
        <w:trPr>
          <w:trHeight w:val="572" w:hRule="exact"/>
        </w:trPr>
        <w:tc>
          <w:tcPr>
            <w:tcW w:w="1837" w:type="dxa"/>
            <w:vMerge w:val="continue"/>
            <w:tcBorders>
              <w:top w:val="nil"/>
              <w:left w:val="single" w:color="000000" w:sz="6" w:space="0"/>
              <w:bottom w:val="single" w:color="auto" w:sz="4" w:space="0"/>
              <w:right w:val="single" w:color="000000" w:sz="6" w:space="0"/>
              <w:tl2br w:val="nil"/>
              <w:tr2bl w:val="nil"/>
            </w:tcBorders>
          </w:tcPr>
          <w:p>
            <w:pPr>
              <w:pStyle w:val="41"/>
              <w:kinsoku w:val="0"/>
              <w:overflowPunct w:val="0"/>
              <w:spacing w:before="169"/>
              <w:ind w:left="540"/>
              <w:rPr>
                <w:sz w:val="21"/>
                <w:szCs w:val="21"/>
              </w:rPr>
            </w:pPr>
          </w:p>
        </w:tc>
        <w:tc>
          <w:tcPr>
            <w:tcW w:w="2356" w:type="dxa"/>
            <w:vMerge w:val="restart"/>
            <w:tcBorders>
              <w:top w:val="single" w:color="000000" w:sz="6" w:space="0"/>
              <w:left w:val="single" w:color="000000" w:sz="6" w:space="0"/>
              <w:right w:val="single" w:color="000000" w:sz="6" w:space="0"/>
              <w:tl2br w:val="nil"/>
              <w:tr2bl w:val="nil"/>
            </w:tcBorders>
            <w:vAlign w:val="center"/>
          </w:tcPr>
          <w:p>
            <w:pPr>
              <w:spacing w:line="360" w:lineRule="auto"/>
              <w:jc w:val="center"/>
              <w:rPr>
                <w:rFonts w:ascii="宋体"/>
                <w:spacing w:val="-1"/>
                <w:sz w:val="21"/>
                <w:szCs w:val="21"/>
              </w:rPr>
            </w:pPr>
            <w:r>
              <w:rPr>
                <w:rFonts w:hint="eastAsia" w:ascii="宋体" w:hAnsi="宋体"/>
                <w:sz w:val="21"/>
                <w:szCs w:val="21"/>
              </w:rPr>
              <w:t>报价唯一</w:t>
            </w:r>
          </w:p>
        </w:tc>
        <w:tc>
          <w:tcPr>
            <w:tcW w:w="5258" w:type="dxa"/>
            <w:vMerge w:val="restart"/>
            <w:tcBorders>
              <w:top w:val="single" w:color="000000" w:sz="6" w:space="0"/>
              <w:left w:val="single" w:color="000000" w:sz="6" w:space="0"/>
              <w:right w:val="single" w:color="000000" w:sz="6" w:space="0"/>
              <w:tl2br w:val="nil"/>
              <w:tr2bl w:val="nil"/>
            </w:tcBorders>
            <w:vAlign w:val="center"/>
          </w:tcPr>
          <w:p>
            <w:pPr>
              <w:spacing w:line="360" w:lineRule="auto"/>
              <w:jc w:val="center"/>
              <w:rPr>
                <w:rFonts w:ascii="宋体"/>
                <w:spacing w:val="-1"/>
                <w:sz w:val="21"/>
                <w:szCs w:val="21"/>
              </w:rPr>
            </w:pPr>
            <w:r>
              <w:rPr>
                <w:rFonts w:hint="eastAsia" w:ascii="宋体" w:hAnsi="宋体"/>
                <w:sz w:val="21"/>
                <w:szCs w:val="21"/>
              </w:rPr>
              <w:t>只能有一个有效报价</w:t>
            </w:r>
          </w:p>
        </w:tc>
      </w:tr>
      <w:tr>
        <w:tblPrEx>
          <w:tblCellMar>
            <w:top w:w="0" w:type="dxa"/>
            <w:left w:w="0" w:type="dxa"/>
            <w:bottom w:w="0" w:type="dxa"/>
            <w:right w:w="0" w:type="dxa"/>
          </w:tblCellMar>
        </w:tblPrEx>
        <w:trPr>
          <w:trHeight w:val="51" w:hRule="exact"/>
        </w:trPr>
        <w:tc>
          <w:tcPr>
            <w:tcW w:w="1837" w:type="dxa"/>
            <w:tcBorders>
              <w:top w:val="single" w:color="auto" w:sz="4" w:space="0"/>
              <w:left w:val="single" w:color="000000" w:sz="6" w:space="0"/>
              <w:bottom w:val="nil"/>
              <w:right w:val="single" w:color="000000" w:sz="6" w:space="0"/>
              <w:tl2br w:val="nil"/>
              <w:tr2bl w:val="nil"/>
            </w:tcBorders>
          </w:tcPr>
          <w:p>
            <w:pPr>
              <w:pStyle w:val="41"/>
              <w:kinsoku w:val="0"/>
              <w:overflowPunct w:val="0"/>
              <w:spacing w:before="169"/>
              <w:ind w:left="540"/>
              <w:rPr>
                <w:sz w:val="21"/>
                <w:szCs w:val="21"/>
              </w:rPr>
            </w:pPr>
          </w:p>
        </w:tc>
        <w:tc>
          <w:tcPr>
            <w:tcW w:w="2356" w:type="dxa"/>
            <w:vMerge w:val="continue"/>
            <w:tcBorders>
              <w:left w:val="single" w:color="000000" w:sz="6" w:space="0"/>
              <w:bottom w:val="single" w:color="000000" w:sz="6" w:space="0"/>
              <w:right w:val="single" w:color="000000" w:sz="6" w:space="0"/>
              <w:tl2br w:val="nil"/>
              <w:tr2bl w:val="nil"/>
            </w:tcBorders>
            <w:vAlign w:val="center"/>
          </w:tcPr>
          <w:p>
            <w:pPr>
              <w:spacing w:line="360" w:lineRule="auto"/>
              <w:jc w:val="center"/>
              <w:rPr>
                <w:rFonts w:ascii="宋体" w:hAnsi="宋体"/>
                <w:sz w:val="21"/>
                <w:szCs w:val="21"/>
              </w:rPr>
            </w:pPr>
          </w:p>
        </w:tc>
        <w:tc>
          <w:tcPr>
            <w:tcW w:w="5258" w:type="dxa"/>
            <w:vMerge w:val="continue"/>
            <w:tcBorders>
              <w:left w:val="single" w:color="000000" w:sz="6" w:space="0"/>
              <w:bottom w:val="single" w:color="000000" w:sz="6" w:space="0"/>
              <w:right w:val="single" w:color="000000" w:sz="6" w:space="0"/>
              <w:tl2br w:val="nil"/>
              <w:tr2bl w:val="nil"/>
            </w:tcBorders>
            <w:vAlign w:val="center"/>
          </w:tcPr>
          <w:p>
            <w:pPr>
              <w:spacing w:line="360" w:lineRule="auto"/>
              <w:jc w:val="center"/>
              <w:rPr>
                <w:rFonts w:ascii="宋体" w:hAnsi="宋体"/>
                <w:sz w:val="21"/>
                <w:szCs w:val="21"/>
              </w:rPr>
            </w:pPr>
          </w:p>
        </w:tc>
      </w:tr>
    </w:tbl>
    <w:p>
      <w:pPr>
        <w:pStyle w:val="13"/>
        <w:kinsoku w:val="0"/>
        <w:overflowPunct w:val="0"/>
        <w:ind w:left="0"/>
        <w:rPr>
          <w:rFonts w:hint="default"/>
          <w:sz w:val="3"/>
        </w:rPr>
      </w:pPr>
    </w:p>
    <w:p>
      <w:pPr>
        <w:pStyle w:val="13"/>
        <w:kinsoku w:val="0"/>
        <w:overflowPunct w:val="0"/>
        <w:ind w:left="0"/>
        <w:rPr>
          <w:rFonts w:hint="default" w:ascii="Calibri" w:hAnsi="Calibri" w:eastAsia="Calibri"/>
          <w:sz w:val="20"/>
        </w:rPr>
      </w:pPr>
    </w:p>
    <w:p>
      <w:pPr>
        <w:pStyle w:val="4"/>
        <w:kinsoku w:val="0"/>
        <w:overflowPunct w:val="0"/>
        <w:spacing w:line="360" w:lineRule="auto"/>
        <w:ind w:left="0"/>
        <w:jc w:val="center"/>
        <w:rPr>
          <w:bCs/>
          <w:spacing w:val="1"/>
          <w:sz w:val="24"/>
          <w:szCs w:val="24"/>
        </w:rPr>
      </w:pPr>
    </w:p>
    <w:tbl>
      <w:tblPr>
        <w:tblStyle w:val="26"/>
        <w:tblpPr w:leftFromText="180" w:rightFromText="180" w:vertAnchor="text" w:horzAnchor="page" w:tblpX="1493" w:tblpY="1"/>
        <w:tblOverlap w:val="never"/>
        <w:tblW w:w="9451" w:type="dxa"/>
        <w:tblInd w:w="0" w:type="dxa"/>
        <w:tblLayout w:type="fixed"/>
        <w:tblCellMar>
          <w:top w:w="0" w:type="dxa"/>
          <w:left w:w="0" w:type="dxa"/>
          <w:bottom w:w="0" w:type="dxa"/>
          <w:right w:w="0" w:type="dxa"/>
        </w:tblCellMar>
      </w:tblPr>
      <w:tblGrid>
        <w:gridCol w:w="1837"/>
        <w:gridCol w:w="2356"/>
        <w:gridCol w:w="5258"/>
      </w:tblGrid>
      <w:tr>
        <w:tblPrEx>
          <w:tblCellMar>
            <w:top w:w="0" w:type="dxa"/>
            <w:left w:w="0" w:type="dxa"/>
            <w:bottom w:w="0" w:type="dxa"/>
            <w:right w:w="0" w:type="dxa"/>
          </w:tblCellMar>
        </w:tblPrEx>
        <w:trPr>
          <w:trHeight w:val="573" w:hRule="exact"/>
        </w:trPr>
        <w:tc>
          <w:tcPr>
            <w:tcW w:w="1837" w:type="dxa"/>
            <w:vMerge w:val="restart"/>
            <w:tcBorders>
              <w:top w:val="single" w:color="auto" w:sz="4" w:space="0"/>
              <w:left w:val="single" w:color="000000" w:sz="6" w:space="0"/>
              <w:right w:val="single" w:color="000000" w:sz="6" w:space="0"/>
              <w:tl2br w:val="nil"/>
              <w:tr2bl w:val="nil"/>
            </w:tcBorders>
          </w:tcPr>
          <w:p>
            <w:pPr>
              <w:pStyle w:val="41"/>
              <w:kinsoku w:val="0"/>
              <w:overflowPunct w:val="0"/>
              <w:spacing w:before="169"/>
              <w:ind w:left="540"/>
              <w:rPr>
                <w:rFonts w:ascii="宋体"/>
                <w:spacing w:val="-1"/>
                <w:sz w:val="21"/>
                <w:szCs w:val="21"/>
              </w:rPr>
            </w:pPr>
          </w:p>
          <w:p>
            <w:pPr>
              <w:pStyle w:val="41"/>
              <w:kinsoku w:val="0"/>
              <w:overflowPunct w:val="0"/>
              <w:spacing w:before="169"/>
              <w:ind w:left="540"/>
              <w:rPr>
                <w:rFonts w:ascii="宋体"/>
                <w:spacing w:val="-1"/>
                <w:sz w:val="21"/>
                <w:szCs w:val="21"/>
              </w:rPr>
            </w:pPr>
          </w:p>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投标内容</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000000" w:sz="6" w:space="0"/>
              <w:bottom w:val="nil"/>
              <w:right w:val="single" w:color="000000" w:sz="6" w:space="0"/>
              <w:tl2br w:val="nil"/>
              <w:tr2bl w:val="nil"/>
            </w:tcBorders>
          </w:tcPr>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交货期</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000000" w:sz="6" w:space="0"/>
              <w:bottom w:val="nil"/>
              <w:right w:val="single" w:color="000000" w:sz="6" w:space="0"/>
              <w:tl2br w:val="nil"/>
              <w:tr2bl w:val="nil"/>
            </w:tcBorders>
          </w:tcPr>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hAnsi="宋体" w:cs="宋体"/>
                <w:spacing w:val="1"/>
                <w:sz w:val="21"/>
                <w:szCs w:val="21"/>
              </w:rPr>
            </w:pPr>
            <w:r>
              <w:rPr>
                <w:rFonts w:hint="eastAsia" w:ascii="宋体" w:hAnsi="宋体" w:cs="宋体"/>
                <w:spacing w:val="1"/>
                <w:sz w:val="21"/>
                <w:szCs w:val="21"/>
              </w:rPr>
              <w:t>质保期</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000000" w:sz="6" w:space="0"/>
              <w:bottom w:val="nil"/>
              <w:right w:val="single" w:color="000000" w:sz="6" w:space="0"/>
              <w:tl2br w:val="nil"/>
              <w:tr2bl w:val="nil"/>
            </w:tcBorders>
          </w:tcPr>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hAnsi="宋体" w:cs="宋体"/>
                <w:spacing w:val="1"/>
                <w:sz w:val="21"/>
                <w:szCs w:val="21"/>
              </w:rPr>
            </w:pPr>
            <w:r>
              <w:rPr>
                <w:rFonts w:hint="eastAsia" w:ascii="宋体" w:hAnsi="宋体" w:cs="宋体"/>
                <w:spacing w:val="1"/>
                <w:sz w:val="21"/>
                <w:szCs w:val="21"/>
              </w:rPr>
              <w:t>质量要求</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607" w:hRule="exact"/>
        </w:trPr>
        <w:tc>
          <w:tcPr>
            <w:tcW w:w="1837" w:type="dxa"/>
            <w:vMerge w:val="continue"/>
            <w:tcBorders>
              <w:top w:val="nil"/>
              <w:left w:val="single" w:color="000000" w:sz="6" w:space="0"/>
              <w:bottom w:val="single" w:color="000000" w:sz="6" w:space="0"/>
              <w:right w:val="single" w:color="000000" w:sz="6" w:space="0"/>
              <w:tl2br w:val="nil"/>
              <w:tr2bl w:val="nil"/>
            </w:tcBorders>
          </w:tcPr>
          <w:p>
            <w:pPr>
              <w:pStyle w:val="41"/>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投标有效期</w:t>
            </w:r>
          </w:p>
        </w:tc>
        <w:tc>
          <w:tcPr>
            <w:tcW w:w="5258"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bl>
    <w:p>
      <w:pPr>
        <w:pStyle w:val="4"/>
        <w:kinsoku w:val="0"/>
        <w:overflowPunct w:val="0"/>
        <w:spacing w:line="360" w:lineRule="auto"/>
        <w:ind w:left="0"/>
        <w:jc w:val="center"/>
        <w:rPr>
          <w:bCs/>
          <w:spacing w:val="1"/>
          <w:sz w:val="24"/>
          <w:szCs w:val="24"/>
        </w:rPr>
      </w:pPr>
    </w:p>
    <w:p>
      <w:pPr>
        <w:pStyle w:val="4"/>
        <w:kinsoku w:val="0"/>
        <w:overflowPunct w:val="0"/>
        <w:spacing w:line="360" w:lineRule="auto"/>
        <w:ind w:left="0"/>
        <w:jc w:val="center"/>
        <w:rPr>
          <w:rFonts w:hint="default"/>
          <w:bCs/>
          <w:spacing w:val="1"/>
          <w:sz w:val="24"/>
          <w:szCs w:val="24"/>
        </w:rPr>
      </w:pPr>
      <w:r>
        <w:rPr>
          <w:bCs/>
          <w:spacing w:val="1"/>
          <w:sz w:val="24"/>
          <w:szCs w:val="24"/>
        </w:rPr>
        <w:t>三、评标办法</w:t>
      </w:r>
    </w:p>
    <w:p>
      <w:pPr>
        <w:pStyle w:val="13"/>
        <w:tabs>
          <w:tab w:val="left" w:pos="685"/>
        </w:tabs>
        <w:kinsoku w:val="0"/>
        <w:overflowPunct w:val="0"/>
        <w:spacing w:line="360" w:lineRule="auto"/>
        <w:rPr>
          <w:rFonts w:hint="default" w:asciiTheme="minorEastAsia" w:hAnsiTheme="minorEastAsia" w:eastAsiaTheme="minorEastAsia" w:cstheme="minorEastAsia"/>
          <w:b/>
          <w:sz w:val="24"/>
          <w:szCs w:val="24"/>
        </w:rPr>
      </w:pPr>
      <w:bookmarkStart w:id="46" w:name="bookmark18"/>
      <w:bookmarkEnd w:id="46"/>
      <w:r>
        <w:rPr>
          <w:rFonts w:asciiTheme="minorEastAsia" w:hAnsiTheme="minorEastAsia" w:eastAsiaTheme="minorEastAsia" w:cstheme="minorEastAsia"/>
          <w:b/>
          <w:w w:val="95"/>
          <w:sz w:val="24"/>
          <w:szCs w:val="24"/>
        </w:rPr>
        <w:t>1.</w:t>
      </w:r>
      <w:r>
        <w:rPr>
          <w:rFonts w:asciiTheme="minorEastAsia" w:hAnsiTheme="minorEastAsia" w:eastAsiaTheme="minorEastAsia" w:cstheme="minorEastAsia"/>
          <w:b/>
          <w:w w:val="95"/>
          <w:sz w:val="24"/>
          <w:szCs w:val="24"/>
        </w:rPr>
        <w:tab/>
      </w:r>
      <w:r>
        <w:rPr>
          <w:rFonts w:asciiTheme="minorEastAsia" w:hAnsiTheme="minorEastAsia" w:eastAsiaTheme="minorEastAsia" w:cstheme="minorEastAsia"/>
          <w:b/>
          <w:spacing w:val="2"/>
          <w:sz w:val="24"/>
          <w:szCs w:val="24"/>
        </w:rPr>
        <w:t>评标方法</w:t>
      </w:r>
    </w:p>
    <w:p>
      <w:pPr>
        <w:pStyle w:val="13"/>
        <w:kinsoku w:val="0"/>
        <w:overflowPunct w:val="0"/>
        <w:spacing w:line="360" w:lineRule="auto"/>
        <w:ind w:right="108"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评标委员会应当按照招标文件中规定的评标方法和标准，对初步评审合格的投标文件进行商务和技</w:t>
      </w:r>
      <w:r>
        <w:rPr>
          <w:rFonts w:asciiTheme="minorEastAsia" w:hAnsiTheme="minorEastAsia" w:eastAsiaTheme="minorEastAsia" w:cstheme="minorEastAsia"/>
          <w:spacing w:val="-2"/>
          <w:sz w:val="24"/>
          <w:szCs w:val="24"/>
        </w:rPr>
        <w:t>术评估，综合比较与评价。</w:t>
      </w:r>
    </w:p>
    <w:p>
      <w:pPr>
        <w:pStyle w:val="13"/>
        <w:kinsoku w:val="0"/>
        <w:overflowPunct w:val="0"/>
        <w:spacing w:line="360" w:lineRule="auto"/>
        <w:ind w:right="1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本次评标采用综合评分法。综合评分法，是指投标文件满足招标文件全部实质性要求，且按照评审</w:t>
      </w:r>
      <w:r>
        <w:rPr>
          <w:rFonts w:asciiTheme="minorEastAsia" w:hAnsiTheme="minorEastAsia" w:eastAsiaTheme="minorEastAsia" w:cstheme="minorEastAsia"/>
          <w:spacing w:val="-2"/>
          <w:sz w:val="24"/>
          <w:szCs w:val="24"/>
        </w:rPr>
        <w:t>因素的量化指标评审得分最高的投标人为中标候选人的评标方法。</w:t>
      </w:r>
    </w:p>
    <w:p>
      <w:pPr>
        <w:pStyle w:val="13"/>
        <w:kinsoku w:val="0"/>
        <w:overflowPunct w:val="0"/>
        <w:spacing w:line="360" w:lineRule="auto"/>
        <w:ind w:right="108"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评标委员会按照本章规定的评标方法和标准进行打分。评标结果按评审后得分由高到低顺序排列。得分相同的，按投标报价由低到高顺序排列。得分且投标报价相同的并列。投标文件满足招标文件全部</w:t>
      </w:r>
      <w:r>
        <w:rPr>
          <w:rFonts w:asciiTheme="minorEastAsia" w:hAnsiTheme="minorEastAsia" w:eastAsiaTheme="minorEastAsia" w:cstheme="minorEastAsia"/>
          <w:spacing w:val="-2"/>
          <w:sz w:val="24"/>
          <w:szCs w:val="24"/>
        </w:rPr>
        <w:t>实质性要求，且按照评审因素的量化指标评审得分最高的投标人为排名第一的中标候选人。</w:t>
      </w:r>
    </w:p>
    <w:p>
      <w:pPr>
        <w:pStyle w:val="13"/>
        <w:tabs>
          <w:tab w:val="left" w:pos="685"/>
        </w:tabs>
        <w:kinsoku w:val="0"/>
        <w:overflowPunct w:val="0"/>
        <w:spacing w:line="360" w:lineRule="auto"/>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w w:val="95"/>
          <w:sz w:val="24"/>
          <w:szCs w:val="24"/>
        </w:rPr>
        <w:t>2.</w:t>
      </w:r>
      <w:r>
        <w:rPr>
          <w:rFonts w:asciiTheme="minorEastAsia" w:hAnsiTheme="minorEastAsia" w:eastAsiaTheme="minorEastAsia" w:cstheme="minorEastAsia"/>
          <w:b/>
          <w:w w:val="95"/>
          <w:sz w:val="24"/>
          <w:szCs w:val="24"/>
        </w:rPr>
        <w:tab/>
      </w:r>
      <w:r>
        <w:rPr>
          <w:rFonts w:asciiTheme="minorEastAsia" w:hAnsiTheme="minorEastAsia" w:eastAsiaTheme="minorEastAsia" w:cstheme="minorEastAsia"/>
          <w:b/>
          <w:spacing w:val="2"/>
          <w:sz w:val="24"/>
          <w:szCs w:val="24"/>
        </w:rPr>
        <w:t>评标标准</w:t>
      </w:r>
    </w:p>
    <w:p>
      <w:pPr>
        <w:pStyle w:val="8"/>
        <w:kinsoku w:val="0"/>
        <w:overflowPunct w:val="0"/>
        <w:spacing w:line="360" w:lineRule="auto"/>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2.1</w:t>
      </w:r>
      <w:r>
        <w:rPr>
          <w:rFonts w:asciiTheme="minorEastAsia" w:hAnsiTheme="minorEastAsia" w:eastAsiaTheme="minorEastAsia" w:cstheme="minorEastAsia"/>
          <w:sz w:val="24"/>
          <w:szCs w:val="24"/>
        </w:rPr>
        <w:t xml:space="preserve"> </w:t>
      </w:r>
      <w:r>
        <w:rPr>
          <w:rFonts w:asciiTheme="minorEastAsia" w:hAnsiTheme="minorEastAsia" w:eastAsiaTheme="minorEastAsia" w:cstheme="minorEastAsia"/>
          <w:spacing w:val="-2"/>
          <w:sz w:val="24"/>
          <w:szCs w:val="24"/>
        </w:rPr>
        <w:t>分值构成与评分标准</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详见评标分值构成与评分标准表</w:t>
      </w:r>
    </w:p>
    <w:p>
      <w:pPr>
        <w:pStyle w:val="8"/>
        <w:kinsoku w:val="0"/>
        <w:overflowPunct w:val="0"/>
        <w:spacing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 关于小微企业、监狱企业、残疾人福利性单位产品价格扣除</w:t>
      </w:r>
    </w:p>
    <w:p>
      <w:pPr>
        <w:pStyle w:val="13"/>
        <w:kinsoku w:val="0"/>
        <w:overflowPunct w:val="0"/>
        <w:spacing w:line="360" w:lineRule="auto"/>
        <w:ind w:left="179" w:right="100"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根据财政部、工信部关于印发《政府采购促进中小企业发展暂行办法》的通知（财库〔2011〕181</w:t>
      </w:r>
      <w:r>
        <w:rPr>
          <w:rFonts w:asciiTheme="minorEastAsia" w:hAnsiTheme="minorEastAsia" w:eastAsiaTheme="minorEastAsia" w:cstheme="minorEastAsia"/>
          <w:sz w:val="24"/>
          <w:szCs w:val="24"/>
        </w:rPr>
        <w:t xml:space="preserve">号 </w:t>
      </w:r>
      <w:r>
        <w:rPr>
          <w:rFonts w:asciiTheme="minorEastAsia" w:hAnsiTheme="minorEastAsia" w:eastAsiaTheme="minorEastAsia" w:cstheme="minorEastAsia"/>
          <w:spacing w:val="-2"/>
          <w:sz w:val="24"/>
          <w:szCs w:val="24"/>
        </w:rPr>
        <w:t>）文件规定：</w:t>
      </w:r>
    </w:p>
    <w:p>
      <w:pPr>
        <w:pStyle w:val="13"/>
        <w:kinsoku w:val="0"/>
        <w:overflowPunct w:val="0"/>
        <w:spacing w:line="360" w:lineRule="auto"/>
        <w:ind w:left="17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2.2.1 对小型和微型企业产品的价格给予6%-10%的扣除，用扣除后的价格参与评审，本项目的扣除</w:t>
      </w:r>
      <w:r>
        <w:rPr>
          <w:rFonts w:asciiTheme="minorEastAsia" w:hAnsiTheme="minorEastAsia" w:eastAsiaTheme="minorEastAsia" w:cstheme="minorEastAsia"/>
          <w:spacing w:val="-1"/>
          <w:sz w:val="24"/>
          <w:szCs w:val="24"/>
        </w:rPr>
        <w:t>比例为6%；</w:t>
      </w:r>
    </w:p>
    <w:p>
      <w:pPr>
        <w:pStyle w:val="13"/>
        <w:kinsoku w:val="0"/>
        <w:overflowPunct w:val="0"/>
        <w:spacing w:line="360" w:lineRule="auto"/>
        <w:ind w:left="179" w:right="146"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2.2.2 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本项目的扣除比例为2%。</w:t>
      </w:r>
    </w:p>
    <w:p>
      <w:pPr>
        <w:pStyle w:val="13"/>
        <w:kinsoku w:val="0"/>
        <w:overflowPunct w:val="0"/>
        <w:spacing w:line="360" w:lineRule="auto"/>
        <w:ind w:left="179" w:firstLine="422"/>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2.2.3联合体各方均为小型、微型企业的，联合体视同为小型、微型企业享受规定的扶持政策。组</w:t>
      </w:r>
      <w:r>
        <w:rPr>
          <w:rFonts w:asciiTheme="minorEastAsia" w:hAnsiTheme="minorEastAsia" w:eastAsiaTheme="minorEastAsia" w:cstheme="minorEastAsia"/>
          <w:spacing w:val="61"/>
          <w:sz w:val="24"/>
          <w:szCs w:val="24"/>
        </w:rPr>
        <w:t xml:space="preserve"> </w:t>
      </w:r>
      <w:r>
        <w:rPr>
          <w:rFonts w:asciiTheme="minorEastAsia" w:hAnsiTheme="minorEastAsia" w:eastAsiaTheme="minorEastAsia" w:cstheme="minorEastAsia"/>
          <w:spacing w:val="2"/>
          <w:sz w:val="24"/>
          <w:szCs w:val="24"/>
        </w:rPr>
        <w:t>成联合体的大中型企业和其他自然人、法人或者其他组织，与小型、微型企业之间不得存在投资关系。</w:t>
      </w:r>
    </w:p>
    <w:p>
      <w:pPr>
        <w:pStyle w:val="13"/>
        <w:kinsoku w:val="0"/>
        <w:overflowPunct w:val="0"/>
        <w:spacing w:line="360" w:lineRule="auto"/>
        <w:ind w:left="602" w:right="-94" w:rightChars="-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2.2.4本办法所称中小企业（含中型、小型、微型企业，下同）应当同时符合以下条件：</w:t>
      </w:r>
    </w:p>
    <w:p>
      <w:pPr>
        <w:pStyle w:val="13"/>
        <w:kinsoku w:val="0"/>
        <w:overflowPunct w:val="0"/>
        <w:spacing w:line="360" w:lineRule="auto"/>
        <w:ind w:left="602"/>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（1）符合中小企业划分标准；</w:t>
      </w:r>
    </w:p>
    <w:p>
      <w:pPr>
        <w:pStyle w:val="13"/>
        <w:kinsoku w:val="0"/>
        <w:overflowPunct w:val="0"/>
        <w:spacing w:line="360" w:lineRule="auto"/>
        <w:ind w:left="179" w:firstLine="422"/>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（2）提供本企业制造的货物、承担的工程或者服务，或者提供其他中小企业制造的货物。本项所称货物不包括使用大型企业注册商标的货物。</w:t>
      </w:r>
    </w:p>
    <w:p>
      <w:pPr>
        <w:pStyle w:val="13"/>
        <w:kinsoku w:val="0"/>
        <w:overflowPunct w:val="0"/>
        <w:spacing w:line="360" w:lineRule="auto"/>
        <w:ind w:left="179" w:firstLine="422"/>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本办法所称中小企业划分标准，是指国务院有关部门根据企业从业人员、营业收入、资产总额等</w:t>
      </w:r>
      <w:r>
        <w:rPr>
          <w:rFonts w:asciiTheme="minorEastAsia" w:hAnsiTheme="minorEastAsia" w:eastAsiaTheme="minorEastAsia" w:cstheme="minorEastAsia"/>
          <w:spacing w:val="55"/>
          <w:sz w:val="24"/>
          <w:szCs w:val="24"/>
        </w:rPr>
        <w:t xml:space="preserve"> </w:t>
      </w:r>
      <w:r>
        <w:rPr>
          <w:rFonts w:asciiTheme="minorEastAsia" w:hAnsiTheme="minorEastAsia" w:eastAsiaTheme="minorEastAsia" w:cstheme="minorEastAsia"/>
          <w:spacing w:val="-2"/>
          <w:sz w:val="24"/>
          <w:szCs w:val="24"/>
        </w:rPr>
        <w:t>指标制定的中小企业划型标准。</w:t>
      </w:r>
    </w:p>
    <w:p>
      <w:pPr>
        <w:pStyle w:val="13"/>
        <w:kinsoku w:val="0"/>
        <w:overflowPunct w:val="0"/>
        <w:spacing w:line="360" w:lineRule="auto"/>
        <w:ind w:left="602"/>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2.2.5小型、微型企业提供中型企业制造的货物的，视同为中型企业。</w:t>
      </w:r>
    </w:p>
    <w:p>
      <w:pPr>
        <w:pStyle w:val="13"/>
        <w:kinsoku w:val="0"/>
        <w:overflowPunct w:val="0"/>
        <w:spacing w:line="360" w:lineRule="auto"/>
        <w:ind w:left="17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2.2.6投标人应在分项报价表中写明符合上述条件的属于小型和微型企业产品的单价、合价和小计，</w:t>
      </w:r>
      <w:r>
        <w:rPr>
          <w:rFonts w:asciiTheme="minorEastAsia" w:hAnsiTheme="minorEastAsia" w:eastAsiaTheme="minorEastAsia" w:cstheme="minorEastAsia"/>
          <w:spacing w:val="86"/>
          <w:sz w:val="24"/>
          <w:szCs w:val="24"/>
        </w:rPr>
        <w:t xml:space="preserve"> </w:t>
      </w:r>
      <w:r>
        <w:rPr>
          <w:rFonts w:asciiTheme="minorEastAsia" w:hAnsiTheme="minorEastAsia" w:eastAsiaTheme="minorEastAsia" w:cstheme="minorEastAsia"/>
          <w:spacing w:val="-2"/>
          <w:sz w:val="24"/>
          <w:szCs w:val="24"/>
        </w:rPr>
        <w:t>并如实填写“小微企业声明函”，否则在价格评审时不予考虑价格扣除；</w:t>
      </w:r>
    </w:p>
    <w:p>
      <w:pPr>
        <w:pStyle w:val="13"/>
        <w:kinsoku w:val="0"/>
        <w:overflowPunct w:val="0"/>
        <w:spacing w:line="360" w:lineRule="auto"/>
        <w:ind w:left="17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2.2.7关于监狱企业：视同小微企业。须提供由省级以上监狱管理局、戒毒管理局（含新疆生产建</w:t>
      </w:r>
      <w:r>
        <w:rPr>
          <w:rFonts w:asciiTheme="minorEastAsia" w:hAnsiTheme="minorEastAsia" w:eastAsiaTheme="minorEastAsia" w:cstheme="minorEastAsia"/>
          <w:spacing w:val="67"/>
          <w:sz w:val="24"/>
          <w:szCs w:val="24"/>
        </w:rPr>
        <w:t xml:space="preserve"> </w:t>
      </w:r>
      <w:r>
        <w:rPr>
          <w:rFonts w:asciiTheme="minorEastAsia" w:hAnsiTheme="minorEastAsia" w:eastAsiaTheme="minorEastAsia" w:cstheme="minorEastAsia"/>
          <w:spacing w:val="-2"/>
          <w:sz w:val="24"/>
          <w:szCs w:val="24"/>
        </w:rPr>
        <w:t>设兵团）出具的属于监狱企业的证明文件，否则不考虑价格扣除。</w:t>
      </w:r>
    </w:p>
    <w:p>
      <w:pPr>
        <w:pStyle w:val="13"/>
        <w:kinsoku w:val="0"/>
        <w:overflowPunct w:val="0"/>
        <w:spacing w:line="360" w:lineRule="auto"/>
        <w:ind w:left="17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2.2.8关于残疾人福利性单位：视同小微企业。须提供完整的“残疾人福利性单位声明函”，否则</w:t>
      </w:r>
      <w:r>
        <w:rPr>
          <w:rFonts w:asciiTheme="minorEastAsia" w:hAnsiTheme="minorEastAsia" w:eastAsiaTheme="minorEastAsia" w:cstheme="minorEastAsia"/>
          <w:spacing w:val="67"/>
          <w:sz w:val="24"/>
          <w:szCs w:val="24"/>
        </w:rPr>
        <w:t xml:space="preserve"> </w:t>
      </w:r>
      <w:r>
        <w:rPr>
          <w:rFonts w:asciiTheme="minorEastAsia" w:hAnsiTheme="minorEastAsia" w:eastAsiaTheme="minorEastAsia" w:cstheme="minorEastAsia"/>
          <w:spacing w:val="-2"/>
          <w:sz w:val="24"/>
          <w:szCs w:val="24"/>
        </w:rPr>
        <w:t>在价格评审时不予考虑价格扣除。残疾人福利性单位属于小型、微型企业的，不重复享受政策。</w:t>
      </w:r>
    </w:p>
    <w:p>
      <w:pPr>
        <w:pStyle w:val="13"/>
        <w:kinsoku w:val="0"/>
        <w:overflowPunct w:val="0"/>
        <w:spacing w:line="360" w:lineRule="auto"/>
        <w:ind w:left="479"/>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spacing w:val="1"/>
          <w:sz w:val="24"/>
          <w:szCs w:val="24"/>
        </w:rPr>
        <w:t>3.</w:t>
      </w:r>
      <w:r>
        <w:rPr>
          <w:rFonts w:asciiTheme="minorEastAsia" w:hAnsiTheme="minorEastAsia" w:eastAsiaTheme="minorEastAsia" w:cstheme="minorEastAsia"/>
          <w:b/>
          <w:spacing w:val="59"/>
          <w:sz w:val="24"/>
          <w:szCs w:val="24"/>
        </w:rPr>
        <w:t xml:space="preserve"> </w:t>
      </w:r>
      <w:r>
        <w:rPr>
          <w:rFonts w:asciiTheme="minorEastAsia" w:hAnsiTheme="minorEastAsia" w:eastAsiaTheme="minorEastAsia" w:cstheme="minorEastAsia"/>
          <w:b/>
          <w:spacing w:val="-3"/>
          <w:sz w:val="24"/>
          <w:szCs w:val="24"/>
        </w:rPr>
        <w:t>评标程序</w:t>
      </w:r>
    </w:p>
    <w:p>
      <w:pPr>
        <w:pStyle w:val="8"/>
        <w:kinsoku w:val="0"/>
        <w:overflowPunct w:val="0"/>
        <w:spacing w:line="360" w:lineRule="auto"/>
        <w:ind w:left="621"/>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3.1</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1"/>
          <w:sz w:val="24"/>
          <w:szCs w:val="24"/>
        </w:rPr>
        <w:t>初步评审</w:t>
      </w:r>
    </w:p>
    <w:p>
      <w:pPr>
        <w:pStyle w:val="13"/>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3.1.1 投标人有以下情形之一的，评标委员会应当否决其投标：</w:t>
      </w:r>
    </w:p>
    <w:p>
      <w:pPr>
        <w:pStyle w:val="13"/>
        <w:kinsoku w:val="0"/>
        <w:overflowPunct w:val="0"/>
        <w:spacing w:line="360" w:lineRule="auto"/>
        <w:ind w:left="179"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1</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5"/>
          <w:sz w:val="24"/>
          <w:szCs w:val="24"/>
        </w:rPr>
        <w:t>没</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3"/>
          <w:sz w:val="24"/>
          <w:szCs w:val="24"/>
        </w:rPr>
        <w:t>对招</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文件</w:t>
      </w:r>
      <w:r>
        <w:rPr>
          <w:rFonts w:asciiTheme="minorEastAsia" w:hAnsiTheme="minorEastAsia" w:eastAsiaTheme="minorEastAsia" w:cstheme="minorEastAsia"/>
          <w:spacing w:val="-5"/>
          <w:sz w:val="24"/>
          <w:szCs w:val="24"/>
        </w:rPr>
        <w:t>的</w:t>
      </w:r>
      <w:r>
        <w:rPr>
          <w:rFonts w:asciiTheme="minorEastAsia" w:hAnsiTheme="minorEastAsia" w:eastAsiaTheme="minorEastAsia" w:cstheme="minorEastAsia"/>
          <w:sz w:val="24"/>
          <w:szCs w:val="24"/>
        </w:rPr>
        <w:t>实</w:t>
      </w:r>
      <w:r>
        <w:rPr>
          <w:rFonts w:asciiTheme="minorEastAsia" w:hAnsiTheme="minorEastAsia" w:eastAsiaTheme="minorEastAsia" w:cstheme="minorEastAsia"/>
          <w:spacing w:val="-5"/>
          <w:sz w:val="24"/>
          <w:szCs w:val="24"/>
        </w:rPr>
        <w:t>质</w:t>
      </w:r>
      <w:r>
        <w:rPr>
          <w:rFonts w:asciiTheme="minorEastAsia" w:hAnsiTheme="minorEastAsia" w:eastAsiaTheme="minorEastAsia" w:cstheme="minorEastAsia"/>
          <w:sz w:val="24"/>
          <w:szCs w:val="24"/>
        </w:rPr>
        <w:t>性</w:t>
      </w:r>
      <w:r>
        <w:rPr>
          <w:rFonts w:asciiTheme="minorEastAsia" w:hAnsiTheme="minorEastAsia" w:eastAsiaTheme="minorEastAsia" w:cstheme="minorEastAsia"/>
          <w:spacing w:val="-3"/>
          <w:sz w:val="24"/>
          <w:szCs w:val="24"/>
        </w:rPr>
        <w:t>要</w:t>
      </w:r>
      <w:r>
        <w:rPr>
          <w:rFonts w:asciiTheme="minorEastAsia" w:hAnsiTheme="minorEastAsia" w:eastAsiaTheme="minorEastAsia" w:cstheme="minorEastAsia"/>
          <w:spacing w:val="-2"/>
          <w:sz w:val="24"/>
          <w:szCs w:val="24"/>
        </w:rPr>
        <w:t>求</w:t>
      </w:r>
      <w:r>
        <w:rPr>
          <w:rFonts w:asciiTheme="minorEastAsia" w:hAnsiTheme="minorEastAsia" w:eastAsiaTheme="minorEastAsia" w:cstheme="minorEastAsia"/>
          <w:spacing w:val="-3"/>
          <w:sz w:val="24"/>
          <w:szCs w:val="24"/>
        </w:rPr>
        <w:t>和条</w:t>
      </w:r>
      <w:r>
        <w:rPr>
          <w:rFonts w:asciiTheme="minorEastAsia" w:hAnsiTheme="minorEastAsia" w:eastAsiaTheme="minorEastAsia" w:cstheme="minorEastAsia"/>
          <w:spacing w:val="-5"/>
          <w:sz w:val="24"/>
          <w:szCs w:val="24"/>
        </w:rPr>
        <w:t>件</w:t>
      </w:r>
      <w:r>
        <w:rPr>
          <w:rFonts w:asciiTheme="minorEastAsia" w:hAnsiTheme="minorEastAsia" w:eastAsiaTheme="minorEastAsia" w:cstheme="minorEastAsia"/>
          <w:sz w:val="24"/>
          <w:szCs w:val="24"/>
        </w:rPr>
        <w:t>作出</w:t>
      </w:r>
      <w:r>
        <w:rPr>
          <w:rFonts w:asciiTheme="minorEastAsia" w:hAnsiTheme="minorEastAsia" w:eastAsiaTheme="minorEastAsia" w:cstheme="minorEastAsia"/>
          <w:spacing w:val="-5"/>
          <w:sz w:val="24"/>
          <w:szCs w:val="24"/>
        </w:rPr>
        <w:t>响</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5"/>
          <w:sz w:val="24"/>
          <w:szCs w:val="24"/>
        </w:rPr>
        <w:t>者</w:t>
      </w:r>
      <w:r>
        <w:rPr>
          <w:rFonts w:asciiTheme="minorEastAsia" w:hAnsiTheme="minorEastAsia" w:eastAsiaTheme="minorEastAsia" w:cstheme="minorEastAsia"/>
          <w:sz w:val="24"/>
          <w:szCs w:val="24"/>
        </w:rPr>
        <w:t>对</w:t>
      </w:r>
      <w:r>
        <w:rPr>
          <w:rFonts w:asciiTheme="minorEastAsia" w:hAnsiTheme="minorEastAsia" w:eastAsiaTheme="minorEastAsia" w:cstheme="minorEastAsia"/>
          <w:spacing w:val="-5"/>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文</w:t>
      </w:r>
      <w:r>
        <w:rPr>
          <w:rFonts w:asciiTheme="minorEastAsia" w:hAnsiTheme="minorEastAsia" w:eastAsiaTheme="minorEastAsia" w:cstheme="minorEastAsia"/>
          <w:sz w:val="24"/>
          <w:szCs w:val="24"/>
        </w:rPr>
        <w:t>件的</w:t>
      </w:r>
      <w:r>
        <w:rPr>
          <w:rFonts w:asciiTheme="minorEastAsia" w:hAnsiTheme="minorEastAsia" w:eastAsiaTheme="minorEastAsia" w:cstheme="minorEastAsia"/>
          <w:spacing w:val="-5"/>
          <w:sz w:val="24"/>
          <w:szCs w:val="24"/>
        </w:rPr>
        <w:t>偏</w:t>
      </w:r>
      <w:r>
        <w:rPr>
          <w:rFonts w:asciiTheme="minorEastAsia" w:hAnsiTheme="minorEastAsia" w:eastAsiaTheme="minorEastAsia" w:cstheme="minorEastAsia"/>
          <w:sz w:val="24"/>
          <w:szCs w:val="24"/>
        </w:rPr>
        <w:t>差</w:t>
      </w:r>
      <w:r>
        <w:rPr>
          <w:rFonts w:asciiTheme="minorEastAsia" w:hAnsiTheme="minorEastAsia" w:eastAsiaTheme="minorEastAsia" w:cstheme="minorEastAsia"/>
          <w:spacing w:val="-5"/>
          <w:sz w:val="24"/>
          <w:szCs w:val="24"/>
        </w:rPr>
        <w:t>超</w:t>
      </w:r>
      <w:r>
        <w:rPr>
          <w:rFonts w:asciiTheme="minorEastAsia" w:hAnsiTheme="minorEastAsia" w:eastAsiaTheme="minorEastAsia" w:cstheme="minorEastAsia"/>
          <w:sz w:val="24"/>
          <w:szCs w:val="24"/>
        </w:rPr>
        <w:t>出</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规定的偏差范围或最高项数；</w:t>
      </w:r>
    </w:p>
    <w:p>
      <w:pPr>
        <w:pStyle w:val="13"/>
        <w:kinsoku w:val="0"/>
        <w:overflowPunct w:val="0"/>
        <w:spacing w:line="360" w:lineRule="auto"/>
        <w:ind w:left="59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（2）有串通投标、弄虚作假、行贿等违法行为；</w:t>
      </w:r>
    </w:p>
    <w:p>
      <w:pPr>
        <w:pStyle w:val="13"/>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3.1.2 投标文件报价出现前后不一致的，除招标文件另有规定外，按照下列规定修正：</w:t>
      </w:r>
    </w:p>
    <w:p>
      <w:pPr>
        <w:pStyle w:val="13"/>
        <w:kinsoku w:val="0"/>
        <w:overflowPunct w:val="0"/>
        <w:spacing w:line="360" w:lineRule="auto"/>
        <w:ind w:left="17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（1）投标文件中开标一览表（报价表）内容与投标文件中相应内容不一致的，以开标一览表（报</w:t>
      </w:r>
      <w:r>
        <w:rPr>
          <w:rFonts w:asciiTheme="minorEastAsia" w:hAnsiTheme="minorEastAsia" w:eastAsiaTheme="minorEastAsia" w:cstheme="minorEastAsia"/>
          <w:spacing w:val="-1"/>
          <w:sz w:val="24"/>
          <w:szCs w:val="24"/>
        </w:rPr>
        <w:t>价表）为准；</w:t>
      </w:r>
    </w:p>
    <w:p>
      <w:pPr>
        <w:pStyle w:val="13"/>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（2）大写金额和小写金额不一致的，以大写金额为准；</w:t>
      </w:r>
    </w:p>
    <w:p>
      <w:pPr>
        <w:pStyle w:val="13"/>
        <w:kinsoku w:val="0"/>
        <w:overflowPunct w:val="0"/>
        <w:spacing w:line="360" w:lineRule="auto"/>
        <w:ind w:left="599" w:right="-94" w:rightChars="-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（3）单价金额小数点或者百分比有明显错位的，以开标一览表的总价为准，并修改单价</w:t>
      </w:r>
    </w:p>
    <w:p>
      <w:pPr>
        <w:pStyle w:val="13"/>
        <w:kinsoku w:val="0"/>
        <w:overflowPunct w:val="0"/>
        <w:spacing w:line="360" w:lineRule="auto"/>
        <w:ind w:left="0" w:firstLine="708" w:firstLineChars="3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总价金额与按单价汇总金额不一致的，以单价金额计算结果为准。同时出现两种以上不一致的，按照前款规定的顺序修正。修正后的报价按照本节第3.3款的规定经投标人确认后产生约束力，投标人不确认的，其投标无效。</w:t>
      </w:r>
    </w:p>
    <w:p>
      <w:pPr>
        <w:pStyle w:val="13"/>
        <w:kinsoku w:val="0"/>
        <w:overflowPunct w:val="0"/>
        <w:spacing w:line="360" w:lineRule="auto"/>
        <w:ind w:left="480" w:leftChars="200" w:right="-94" w:firstLine="91" w:firstLineChars="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3"/>
          <w:sz w:val="24"/>
          <w:szCs w:val="24"/>
        </w:rPr>
        <w:t>（5）如果分项报价中存在缺漏项，则视为缺漏项价格已包含在其他分项报价之中。</w:t>
      </w:r>
      <w:r>
        <w:rPr>
          <w:rFonts w:asciiTheme="minorEastAsia" w:hAnsiTheme="minorEastAsia" w:eastAsiaTheme="minorEastAsia" w:cstheme="minorEastAsia"/>
          <w:spacing w:val="61"/>
          <w:sz w:val="24"/>
          <w:szCs w:val="24"/>
        </w:rPr>
        <w:t xml:space="preserve"> </w:t>
      </w:r>
      <w:r>
        <w:rPr>
          <w:rFonts w:asciiTheme="minorEastAsia" w:hAnsiTheme="minorEastAsia" w:eastAsiaTheme="minorEastAsia" w:cstheme="minorEastAsia"/>
          <w:spacing w:val="-2"/>
          <w:sz w:val="24"/>
          <w:szCs w:val="24"/>
        </w:rPr>
        <w:t>3.1.3 评标委员会按本节第</w:t>
      </w:r>
      <w:r>
        <w:rPr>
          <w:rFonts w:asciiTheme="minorEastAsia" w:hAnsiTheme="minorEastAsia" w:eastAsiaTheme="minorEastAsia" w:cstheme="minorEastAsia"/>
          <w:sz w:val="24"/>
          <w:szCs w:val="24"/>
        </w:rPr>
        <w:t xml:space="preserve"> 2.2</w:t>
      </w:r>
      <w:r>
        <w:rPr>
          <w:rFonts w:asciiTheme="minorEastAsia" w:hAnsiTheme="minorEastAsia" w:eastAsiaTheme="minorEastAsia" w:cstheme="minorEastAsia"/>
          <w:spacing w:val="-2"/>
          <w:sz w:val="24"/>
          <w:szCs w:val="24"/>
        </w:rPr>
        <w:t xml:space="preserve"> 款规定的小微企业、监狱企业、残疾人福利性单位产品价格扣除办法进行必要的价格扣除，用扣除后的价格参与投标报价的评审。</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3.1.4有下列情形之一的，视为投标人串通投标，其投标无效：</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（1）不同投标人的投标文件由同一单位或者个人编制；</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（2）不同投标人委托同一单位或者个人办理投标事宜；</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（3）不同投标人的投标文件载明的项目管理成员或者联系人员为同一人；</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（4）不同投标人的投标文件异常一致或者投标报价呈规律性差异；</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（5）不同投标人的投标文件相互混装；</w:t>
      </w:r>
    </w:p>
    <w:p>
      <w:pPr>
        <w:pStyle w:val="13"/>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（6）不同投标人的投标保证金从同一单位或者个人的账户转出。</w:t>
      </w:r>
    </w:p>
    <w:p>
      <w:pPr>
        <w:pStyle w:val="8"/>
        <w:kinsoku w:val="0"/>
        <w:overflowPunct w:val="0"/>
        <w:spacing w:line="360" w:lineRule="auto"/>
        <w:ind w:left="561"/>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3.2</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1"/>
          <w:sz w:val="24"/>
          <w:szCs w:val="24"/>
        </w:rPr>
        <w:t>详细评审</w:t>
      </w:r>
    </w:p>
    <w:p>
      <w:pPr>
        <w:pStyle w:val="13"/>
        <w:kinsoku w:val="0"/>
        <w:overflowPunct w:val="0"/>
        <w:spacing w:line="360" w:lineRule="auto"/>
        <w:ind w:right="99" w:firstLine="525"/>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3.2.1</w:t>
      </w:r>
      <w:r>
        <w:rPr>
          <w:rFonts w:asciiTheme="minorEastAsia" w:hAnsiTheme="minorEastAsia" w:eastAsiaTheme="minorEastAsia" w:cstheme="minorEastAsia"/>
          <w:spacing w:val="-2"/>
          <w:sz w:val="24"/>
          <w:szCs w:val="24"/>
        </w:rPr>
        <w:t xml:space="preserve"> 评标委员会各成员应当独立对每个投标人的投标文件进行评价，按本节第</w:t>
      </w:r>
      <w:r>
        <w:rPr>
          <w:rFonts w:asciiTheme="minorEastAsia" w:hAnsiTheme="minorEastAsia" w:eastAsiaTheme="minorEastAsia" w:cstheme="minorEastAsia"/>
          <w:spacing w:val="1"/>
          <w:sz w:val="24"/>
          <w:szCs w:val="24"/>
        </w:rPr>
        <w:t xml:space="preserve"> </w:t>
      </w:r>
      <w:r>
        <w:rPr>
          <w:rFonts w:asciiTheme="minorEastAsia" w:hAnsiTheme="minorEastAsia" w:eastAsiaTheme="minorEastAsia" w:cstheme="minorEastAsia"/>
          <w:spacing w:val="-1"/>
          <w:sz w:val="24"/>
          <w:szCs w:val="24"/>
        </w:rPr>
        <w:t>2.1</w:t>
      </w:r>
      <w:r>
        <w:rPr>
          <w:rFonts w:asciiTheme="minorEastAsia" w:hAnsiTheme="minorEastAsia" w:eastAsiaTheme="minorEastAsia" w:cstheme="minorEastAsia"/>
          <w:spacing w:val="-2"/>
          <w:sz w:val="24"/>
          <w:szCs w:val="24"/>
        </w:rPr>
        <w:t xml:space="preserve"> 款规定的评标分值构成与评分标准进行打分，并汇总每个投标人的得分。</w:t>
      </w:r>
    </w:p>
    <w:p>
      <w:pPr>
        <w:pStyle w:val="13"/>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3.2.2</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3"/>
          <w:sz w:val="24"/>
          <w:szCs w:val="24"/>
        </w:rPr>
        <w:t>评分分值计算保留小数点后两位，小数点后第三位“四舍五入”。</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3.2.3</w:t>
      </w:r>
      <w:r>
        <w:rPr>
          <w:rFonts w:asciiTheme="minorEastAsia" w:hAnsiTheme="minorEastAsia" w:eastAsiaTheme="minorEastAsia" w:cstheme="minorEastAsia"/>
          <w:spacing w:val="48"/>
          <w:sz w:val="24"/>
          <w:szCs w:val="24"/>
        </w:rPr>
        <w:t xml:space="preserve"> </w:t>
      </w:r>
      <w:r>
        <w:rPr>
          <w:rFonts w:asciiTheme="minorEastAsia" w:hAnsiTheme="minorEastAsia" w:eastAsiaTheme="minorEastAsia" w:cstheme="minorEastAsia"/>
          <w:spacing w:val="-2"/>
          <w:sz w:val="24"/>
          <w:szCs w:val="24"/>
        </w:rPr>
        <w:t>投标人最终得分为所有评委打分的算术平均值。</w:t>
      </w:r>
    </w:p>
    <w:p>
      <w:pPr>
        <w:pStyle w:val="13"/>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3.2.4 </w:t>
      </w:r>
      <w:r>
        <w:rPr>
          <w:rFonts w:asciiTheme="minorEastAsia" w:hAnsiTheme="minorEastAsia" w:eastAsiaTheme="minorEastAsia" w:cstheme="minorEastAsia"/>
          <w:spacing w:val="1"/>
          <w:sz w:val="24"/>
          <w:szCs w:val="24"/>
        </w:rPr>
        <w:t>评标委员会认为投标人的报价明显低于其他通过初步评审投标人的报价，有可能影响产品质</w:t>
      </w:r>
      <w:r>
        <w:rPr>
          <w:rFonts w:asciiTheme="minorEastAsia" w:hAnsiTheme="minorEastAsia" w:eastAsiaTheme="minorEastAsia" w:cstheme="minorEastAsia"/>
          <w:spacing w:val="26"/>
          <w:sz w:val="24"/>
          <w:szCs w:val="24"/>
        </w:rPr>
        <w:t xml:space="preserve"> </w:t>
      </w:r>
      <w:r>
        <w:rPr>
          <w:rFonts w:asciiTheme="minorEastAsia" w:hAnsiTheme="minorEastAsia" w:eastAsiaTheme="minorEastAsia" w:cstheme="minorEastAsia"/>
          <w:sz w:val="24"/>
          <w:szCs w:val="24"/>
        </w:rPr>
        <w:t>量或者不能诚信履约的，应当要求其在评标现场合理的时间内提供书面说明，必要时提交相关证明材料；</w:t>
      </w:r>
      <w:r>
        <w:rPr>
          <w:rFonts w:asciiTheme="minorEastAsia" w:hAnsiTheme="minorEastAsia" w:eastAsiaTheme="minorEastAsia" w:cstheme="minorEastAsia"/>
          <w:spacing w:val="-2"/>
          <w:sz w:val="24"/>
          <w:szCs w:val="24"/>
        </w:rPr>
        <w:t>投标人不能证明其报价合理性的，评标委员会应当将其作为无效投标处理。</w:t>
      </w:r>
    </w:p>
    <w:p>
      <w:pPr>
        <w:pStyle w:val="8"/>
        <w:kinsoku w:val="0"/>
        <w:overflowPunct w:val="0"/>
        <w:spacing w:line="360" w:lineRule="auto"/>
        <w:ind w:left="539"/>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3.3</w:t>
      </w:r>
      <w:r>
        <w:rPr>
          <w:rFonts w:asciiTheme="minorEastAsia" w:hAnsiTheme="minorEastAsia" w:eastAsiaTheme="minorEastAsia" w:cstheme="minorEastAsia"/>
          <w:b/>
          <w:bCs/>
          <w:spacing w:val="70"/>
          <w:sz w:val="24"/>
          <w:szCs w:val="24"/>
        </w:rPr>
        <w:t xml:space="preserve"> </w:t>
      </w:r>
      <w:r>
        <w:rPr>
          <w:rFonts w:asciiTheme="minorEastAsia" w:hAnsiTheme="minorEastAsia" w:eastAsiaTheme="minorEastAsia" w:cstheme="minorEastAsia"/>
          <w:b/>
          <w:bCs/>
          <w:spacing w:val="-2"/>
          <w:sz w:val="24"/>
          <w:szCs w:val="24"/>
        </w:rPr>
        <w:t>投标文件的澄清</w:t>
      </w:r>
    </w:p>
    <w:p>
      <w:pPr>
        <w:pStyle w:val="13"/>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3.3.1对于投标文件中含义不明确、同类问题表述不一致或者有明显文字和计算错误的内容，评标委员会应当以书面形式要求投标人作出必要的澄清、说明或者补正。</w:t>
      </w:r>
    </w:p>
    <w:p>
      <w:pPr>
        <w:pStyle w:val="13"/>
        <w:kinsoku w:val="0"/>
        <w:overflowPunct w:val="0"/>
        <w:spacing w:line="360" w:lineRule="auto"/>
        <w:ind w:right="9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3.3.2</w:t>
      </w:r>
      <w:r>
        <w:rPr>
          <w:rFonts w:asciiTheme="minorEastAsia" w:hAnsiTheme="minorEastAsia" w:eastAsiaTheme="minorEastAsia" w:cstheme="minorEastAsia"/>
          <w:spacing w:val="-2"/>
          <w:sz w:val="24"/>
          <w:szCs w:val="24"/>
        </w:rPr>
        <w:t xml:space="preserve"> 投标人的澄清、说明或者补正应当采用书面形式，并加盖公章，或者由法定代表人或其授权</w:t>
      </w:r>
      <w:r>
        <w:rPr>
          <w:rFonts w:asciiTheme="minorEastAsia" w:hAnsiTheme="minorEastAsia" w:eastAsiaTheme="minorEastAsia" w:cstheme="minorEastAsia"/>
          <w:spacing w:val="-1"/>
          <w:sz w:val="24"/>
          <w:szCs w:val="24"/>
        </w:rPr>
        <w:t>的代表签字。</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3.3.3投标人的澄清、说明或者补正不得超出投标文件的范围或者改变投标文件的实质性内容。</w:t>
      </w:r>
    </w:p>
    <w:p>
      <w:pPr>
        <w:pStyle w:val="13"/>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3.3.4评标委员会不接受投标人主动提出的澄清、说明或补正。</w:t>
      </w:r>
    </w:p>
    <w:p>
      <w:pPr>
        <w:pStyle w:val="8"/>
        <w:tabs>
          <w:tab w:val="left" w:pos="1247"/>
        </w:tabs>
        <w:kinsoku w:val="0"/>
        <w:overflowPunct w:val="0"/>
        <w:spacing w:line="360" w:lineRule="auto"/>
        <w:ind w:left="539"/>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3.4</w:t>
      </w:r>
      <w:r>
        <w:rPr>
          <w:rFonts w:asciiTheme="minorEastAsia" w:hAnsiTheme="minorEastAsia" w:eastAsiaTheme="minorEastAsia" w:cstheme="minorEastAsia"/>
          <w:b/>
          <w:bCs/>
          <w:sz w:val="24"/>
          <w:szCs w:val="24"/>
        </w:rPr>
        <w:tab/>
      </w:r>
      <w:r>
        <w:rPr>
          <w:rFonts w:asciiTheme="minorEastAsia" w:hAnsiTheme="minorEastAsia" w:eastAsiaTheme="minorEastAsia" w:cstheme="minorEastAsia"/>
          <w:b/>
          <w:bCs/>
          <w:spacing w:val="-1"/>
          <w:sz w:val="24"/>
          <w:szCs w:val="24"/>
        </w:rPr>
        <w:t>相同品牌产品投标的规定</w:t>
      </w:r>
    </w:p>
    <w:p>
      <w:pPr>
        <w:pStyle w:val="13"/>
        <w:kinsoku w:val="0"/>
        <w:overflowPunct w:val="0"/>
        <w:spacing w:line="360" w:lineRule="auto"/>
        <w:ind w:right="9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3.4.1采用最低评标价法的采购项目，提供相同品牌产品的不同投标人参加同一合同项下投标的，以其中通过资格审查、形式评审、响应评审且报价最低的参加评标；报价相同的，由采购人或者采购人委托评标委员会按照招标文件规定的方式确定一个参加评标的投标人，招标文件未规定的采取随机抽取方式确定，其他投标无效。</w:t>
      </w:r>
    </w:p>
    <w:p>
      <w:pPr>
        <w:pStyle w:val="13"/>
        <w:kinsoku w:val="0"/>
        <w:overflowPunct w:val="0"/>
        <w:spacing w:line="360" w:lineRule="auto"/>
        <w:ind w:right="9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3.4.2使用综合评分法的采购项目，提供相同品牌产品且通过资格审查、形式评审、响应评审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w:t>
      </w:r>
      <w:r>
        <w:rPr>
          <w:rFonts w:asciiTheme="minorEastAsia" w:hAnsiTheme="minorEastAsia" w:eastAsiaTheme="minorEastAsia" w:cstheme="minorEastAsia"/>
          <w:sz w:val="24"/>
          <w:szCs w:val="24"/>
        </w:rPr>
        <w:t>人。</w:t>
      </w:r>
    </w:p>
    <w:p>
      <w:pPr>
        <w:pStyle w:val="13"/>
        <w:kinsoku w:val="0"/>
        <w:overflowPunct w:val="0"/>
        <w:spacing w:line="360" w:lineRule="auto"/>
        <w:ind w:right="9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3.4.3非单一产品采购项目，采购人应当根据采购项目技术构成、产品价格比重等合理确定核心产品，并在招标文件中载明。多家投标人提供的核心产品品牌相同的，按前两款规定处理。</w:t>
      </w:r>
    </w:p>
    <w:p>
      <w:pPr>
        <w:pStyle w:val="8"/>
        <w:kinsoku w:val="0"/>
        <w:overflowPunct w:val="0"/>
        <w:spacing w:line="360" w:lineRule="auto"/>
        <w:jc w:val="both"/>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3.5</w:t>
      </w:r>
      <w:r>
        <w:rPr>
          <w:rFonts w:asciiTheme="minorEastAsia" w:hAnsiTheme="minorEastAsia" w:eastAsiaTheme="minorEastAsia" w:cstheme="minorEastAsia"/>
          <w:b/>
          <w:bCs/>
          <w:spacing w:val="69"/>
          <w:sz w:val="24"/>
          <w:szCs w:val="24"/>
        </w:rPr>
        <w:t xml:space="preserve"> </w:t>
      </w:r>
      <w:r>
        <w:rPr>
          <w:rFonts w:asciiTheme="minorEastAsia" w:hAnsiTheme="minorEastAsia" w:eastAsiaTheme="minorEastAsia" w:cstheme="minorEastAsia"/>
          <w:b/>
          <w:bCs/>
          <w:spacing w:val="-1"/>
          <w:sz w:val="24"/>
          <w:szCs w:val="24"/>
        </w:rPr>
        <w:t>评标结果</w:t>
      </w:r>
    </w:p>
    <w:p>
      <w:pPr>
        <w:pStyle w:val="13"/>
        <w:kinsoku w:val="0"/>
        <w:overflowPunct w:val="0"/>
        <w:spacing w:line="360" w:lineRule="auto"/>
        <w:ind w:left="179" w:right="30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w:t>
      </w: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5.1 除第二章“投标人须知</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3"/>
          <w:sz w:val="24"/>
          <w:szCs w:val="24"/>
        </w:rPr>
        <w:t>前</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pacing w:val="2"/>
          <w:sz w:val="24"/>
          <w:szCs w:val="24"/>
        </w:rPr>
        <w:t>授</w:t>
      </w:r>
      <w:r>
        <w:rPr>
          <w:rFonts w:asciiTheme="minorEastAsia" w:hAnsiTheme="minorEastAsia" w:eastAsiaTheme="minorEastAsia" w:cstheme="minorEastAsia"/>
          <w:spacing w:val="-2"/>
          <w:sz w:val="24"/>
          <w:szCs w:val="24"/>
        </w:rPr>
        <w:t>权</w:t>
      </w:r>
      <w:r>
        <w:rPr>
          <w:rFonts w:asciiTheme="minorEastAsia" w:hAnsiTheme="minorEastAsia" w:eastAsiaTheme="minorEastAsia" w:cstheme="minorEastAsia"/>
          <w:spacing w:val="2"/>
          <w:sz w:val="24"/>
          <w:szCs w:val="24"/>
        </w:rPr>
        <w:t>直</w:t>
      </w:r>
      <w:r>
        <w:rPr>
          <w:rFonts w:asciiTheme="minorEastAsia" w:hAnsiTheme="minorEastAsia" w:eastAsiaTheme="minorEastAsia" w:cstheme="minorEastAsia"/>
          <w:spacing w:val="-3"/>
          <w:sz w:val="24"/>
          <w:szCs w:val="24"/>
        </w:rPr>
        <w:t>接</w:t>
      </w:r>
      <w:r>
        <w:rPr>
          <w:rFonts w:asciiTheme="minorEastAsia" w:hAnsiTheme="minorEastAsia" w:eastAsiaTheme="minorEastAsia" w:cstheme="minorEastAsia"/>
          <w:sz w:val="24"/>
          <w:szCs w:val="24"/>
        </w:rPr>
        <w:t>确定</w:t>
      </w:r>
      <w:r>
        <w:rPr>
          <w:rFonts w:asciiTheme="minorEastAsia" w:hAnsiTheme="minorEastAsia" w:eastAsiaTheme="minorEastAsia" w:cstheme="minorEastAsia"/>
          <w:spacing w:val="-3"/>
          <w:sz w:val="24"/>
          <w:szCs w:val="24"/>
        </w:rPr>
        <w:t>中</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人外</w:t>
      </w:r>
      <w:r>
        <w:rPr>
          <w:rFonts w:asciiTheme="minorEastAsia" w:hAnsiTheme="minorEastAsia" w:eastAsiaTheme="minorEastAsia" w:cstheme="minorEastAsia"/>
          <w:spacing w:val="-53"/>
          <w:sz w:val="24"/>
          <w:szCs w:val="24"/>
        </w:rPr>
        <w:t>，</w:t>
      </w:r>
      <w:r>
        <w:rPr>
          <w:rFonts w:asciiTheme="minorEastAsia" w:hAnsiTheme="minorEastAsia" w:eastAsiaTheme="minorEastAsia" w:cstheme="minorEastAsia"/>
          <w:spacing w:val="2"/>
          <w:sz w:val="24"/>
          <w:szCs w:val="24"/>
        </w:rPr>
        <w:t>评</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2"/>
          <w:sz w:val="24"/>
          <w:szCs w:val="24"/>
        </w:rPr>
        <w:t>委</w:t>
      </w:r>
      <w:r>
        <w:rPr>
          <w:rFonts w:asciiTheme="minorEastAsia" w:hAnsiTheme="minorEastAsia" w:eastAsiaTheme="minorEastAsia" w:cstheme="minorEastAsia"/>
          <w:spacing w:val="-3"/>
          <w:sz w:val="24"/>
          <w:szCs w:val="24"/>
        </w:rPr>
        <w:t>员</w:t>
      </w:r>
      <w:r>
        <w:rPr>
          <w:rFonts w:asciiTheme="minorEastAsia" w:hAnsiTheme="minorEastAsia" w:eastAsiaTheme="minorEastAsia" w:cstheme="minorEastAsia"/>
          <w:sz w:val="24"/>
          <w:szCs w:val="24"/>
        </w:rPr>
        <w:t>会按</w:t>
      </w:r>
      <w:r>
        <w:rPr>
          <w:rFonts w:asciiTheme="minorEastAsia" w:hAnsiTheme="minorEastAsia" w:eastAsiaTheme="minorEastAsia" w:cstheme="minorEastAsia"/>
          <w:spacing w:val="-3"/>
          <w:sz w:val="24"/>
          <w:szCs w:val="24"/>
        </w:rPr>
        <w:t>照</w:t>
      </w:r>
      <w:r>
        <w:rPr>
          <w:rFonts w:asciiTheme="minorEastAsia" w:hAnsiTheme="minorEastAsia" w:eastAsiaTheme="minorEastAsia" w:cstheme="minorEastAsia"/>
          <w:spacing w:val="2"/>
          <w:sz w:val="24"/>
          <w:szCs w:val="24"/>
        </w:rPr>
        <w:t>得</w:t>
      </w:r>
      <w:r>
        <w:rPr>
          <w:rFonts w:asciiTheme="minorEastAsia" w:hAnsiTheme="minorEastAsia" w:eastAsiaTheme="minorEastAsia" w:cstheme="minorEastAsia"/>
          <w:sz w:val="24"/>
          <w:szCs w:val="24"/>
        </w:rPr>
        <w:t xml:space="preserve">分由高到低的顺 </w:t>
      </w:r>
      <w:r>
        <w:rPr>
          <w:rFonts w:asciiTheme="minorEastAsia" w:hAnsiTheme="minorEastAsia" w:eastAsiaTheme="minorEastAsia" w:cstheme="minorEastAsia"/>
          <w:spacing w:val="-3"/>
          <w:sz w:val="24"/>
          <w:szCs w:val="24"/>
        </w:rPr>
        <w:t>序推荐中标候选人，并标明排序。</w:t>
      </w:r>
    </w:p>
    <w:p>
      <w:pPr>
        <w:pStyle w:val="13"/>
        <w:tabs>
          <w:tab w:val="left" w:pos="1336"/>
        </w:tabs>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3.5.2</w:t>
      </w:r>
      <w:r>
        <w:rPr>
          <w:rFonts w:asciiTheme="minorEastAsia" w:hAnsiTheme="minorEastAsia" w:eastAsiaTheme="minorEastAsia" w:cstheme="minorEastAsia"/>
          <w:spacing w:val="-1"/>
          <w:sz w:val="24"/>
          <w:szCs w:val="24"/>
        </w:rPr>
        <w:tab/>
      </w:r>
      <w:r>
        <w:rPr>
          <w:rFonts w:asciiTheme="minorEastAsia" w:hAnsiTheme="minorEastAsia" w:eastAsiaTheme="minorEastAsia" w:cstheme="minorEastAsia"/>
          <w:spacing w:val="-2"/>
          <w:sz w:val="24"/>
          <w:szCs w:val="24"/>
        </w:rPr>
        <w:t>评标结果汇总完成后，除下列情形外，任何人不得修改评标结果：</w:t>
      </w:r>
    </w:p>
    <w:p>
      <w:pPr>
        <w:pStyle w:val="13"/>
        <w:kinsoku w:val="0"/>
        <w:overflowPunct w:val="0"/>
        <w:spacing w:line="360" w:lineRule="auto"/>
        <w:ind w:left="4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（1）分值汇总计算错误的；</w:t>
      </w:r>
    </w:p>
    <w:p>
      <w:pPr>
        <w:pStyle w:val="13"/>
        <w:kinsoku w:val="0"/>
        <w:overflowPunct w:val="0"/>
        <w:spacing w:line="360" w:lineRule="auto"/>
        <w:ind w:left="498"/>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（2）分项评分超出评分标准范围的；</w:t>
      </w:r>
    </w:p>
    <w:p>
      <w:pPr>
        <w:pStyle w:val="13"/>
        <w:kinsoku w:val="0"/>
        <w:overflowPunct w:val="0"/>
        <w:spacing w:line="360" w:lineRule="auto"/>
        <w:ind w:left="498"/>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（3）评标委员会成员对客观评审因素评分不一致的；</w:t>
      </w:r>
    </w:p>
    <w:p>
      <w:pPr>
        <w:pStyle w:val="13"/>
        <w:kinsoku w:val="0"/>
        <w:overflowPunct w:val="0"/>
        <w:spacing w:line="360" w:lineRule="auto"/>
        <w:ind w:left="0" w:firstLine="48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（4）经评标委员会认定评分畸高、畸低的。</w:t>
      </w:r>
      <w:r>
        <w:rPr>
          <w:rFonts w:asciiTheme="minorEastAsia" w:hAnsiTheme="minorEastAsia" w:eastAsiaTheme="minorEastAsia" w:cstheme="minorEastAsia"/>
          <w:spacing w:val="3"/>
          <w:sz w:val="24"/>
          <w:szCs w:val="24"/>
        </w:rPr>
        <w:t>评标报告签署前，经复核发现存在以上情形之一的，评标委员会应当当场修改评标结果，并在评</w:t>
      </w:r>
      <w:r>
        <w:rPr>
          <w:rFonts w:asciiTheme="minorEastAsia" w:hAnsiTheme="minorEastAsia" w:eastAsiaTheme="minorEastAsia" w:cstheme="minorEastAsia"/>
          <w:spacing w:val="2"/>
          <w:sz w:val="24"/>
          <w:szCs w:val="24"/>
        </w:rPr>
        <w:t>标报告中记载；评标报告签署后，采购人或者采购代理机构发现存在以上情形之一的，应当组织原评</w:t>
      </w:r>
      <w:r>
        <w:rPr>
          <w:rFonts w:asciiTheme="minorEastAsia" w:hAnsiTheme="minorEastAsia" w:eastAsiaTheme="minorEastAsia" w:cstheme="minorEastAsia"/>
          <w:spacing w:val="-2"/>
          <w:sz w:val="24"/>
          <w:szCs w:val="24"/>
        </w:rPr>
        <w:t>标委员会进行重新评审，重新评审改变评标结果的，书面报告本级财政部门。</w:t>
      </w:r>
    </w:p>
    <w:p>
      <w:pPr>
        <w:pStyle w:val="13"/>
        <w:kinsoku w:val="0"/>
        <w:overflowPunct w:val="0"/>
        <w:spacing w:line="360" w:lineRule="auto"/>
        <w:ind w:left="59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3.5.3评标委员会完成评标后，根据全体评标成员签字的原始评标记录和评标结果编写评标报告。</w:t>
      </w:r>
    </w:p>
    <w:p>
      <w:pPr>
        <w:pStyle w:val="13"/>
        <w:kinsoku w:val="0"/>
        <w:overflowPunct w:val="0"/>
        <w:spacing w:line="360" w:lineRule="auto"/>
        <w:ind w:left="17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3.5.4评标委员会成员对需要共同认定的事项存在争议的，应当按照少数服从多数的原则作出结论。</w:t>
      </w:r>
      <w:r>
        <w:rPr>
          <w:rFonts w:asciiTheme="minorEastAsia" w:hAnsiTheme="minorEastAsia" w:eastAsiaTheme="minorEastAsia" w:cstheme="minorEastAsia"/>
          <w:spacing w:val="-2"/>
          <w:sz w:val="24"/>
          <w:szCs w:val="24"/>
        </w:rPr>
        <w:t>持不同意见的评标委员会成员应当在评标报告上签署不同意见及理由，否则视为同意评标报告。</w:t>
      </w:r>
    </w:p>
    <w:p>
      <w:pPr>
        <w:pStyle w:val="13"/>
        <w:kinsoku w:val="0"/>
        <w:overflowPunct w:val="0"/>
        <w:spacing w:line="353" w:lineRule="exact"/>
        <w:ind w:left="3207"/>
        <w:rPr>
          <w:rFonts w:hint="default"/>
          <w:b/>
          <w:sz w:val="28"/>
        </w:rPr>
      </w:pPr>
    </w:p>
    <w:p>
      <w:pPr>
        <w:pStyle w:val="13"/>
        <w:kinsoku w:val="0"/>
        <w:overflowPunct w:val="0"/>
        <w:spacing w:line="360" w:lineRule="auto"/>
        <w:ind w:left="3207"/>
        <w:rPr>
          <w:rFonts w:hint="default"/>
          <w:b/>
          <w:sz w:val="28"/>
        </w:rPr>
      </w:pPr>
      <w:r>
        <w:rPr>
          <w:b/>
          <w:sz w:val="28"/>
        </w:rPr>
        <w:t>评标分值构成与评分标准表</w:t>
      </w:r>
    </w:p>
    <w:p>
      <w:pPr>
        <w:pStyle w:val="13"/>
        <w:kinsoku w:val="0"/>
        <w:overflowPunct w:val="0"/>
        <w:ind w:left="0"/>
        <w:rPr>
          <w:rFonts w:hint="default" w:ascii="Calibri" w:hAnsi="Calibri" w:eastAsia="Calibri"/>
          <w:sz w:val="5"/>
        </w:rPr>
      </w:pPr>
    </w:p>
    <w:tbl>
      <w:tblPr>
        <w:tblStyle w:val="26"/>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030"/>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81" w:type="dxa"/>
            <w:gridSpan w:val="3"/>
            <w:vAlign w:val="bottom"/>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shd w:val="clear" w:color="000000" w:fill="FFFFFF"/>
              </w:rPr>
              <w:t>一、价格部分（满分30分）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54" w:type="dxa"/>
            <w:vAlign w:val="bottom"/>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7030" w:type="dxa"/>
            <w:vAlign w:val="center"/>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评分标准</w:t>
            </w:r>
          </w:p>
        </w:tc>
        <w:tc>
          <w:tcPr>
            <w:tcW w:w="897" w:type="dxa"/>
            <w:vAlign w:val="center"/>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154" w:type="dxa"/>
            <w:vAlign w:val="center"/>
          </w:tcPr>
          <w:p>
            <w:pPr>
              <w:snapToGrid w:val="0"/>
              <w:spacing w:line="30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投标报价</w:t>
            </w:r>
          </w:p>
          <w:p>
            <w:pPr>
              <w:snapToGrid w:val="0"/>
              <w:spacing w:line="30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（30分）</w:t>
            </w:r>
          </w:p>
        </w:tc>
        <w:tc>
          <w:tcPr>
            <w:tcW w:w="7030" w:type="dxa"/>
            <w:vAlign w:val="center"/>
          </w:tcPr>
          <w:p>
            <w:pPr>
              <w:snapToGrid w:val="0"/>
              <w:spacing w:line="312"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满足招标文件要求且投标价格最低的投标报价为评标基准价，其价格分为满分。</w:t>
            </w:r>
          </w:p>
          <w:p>
            <w:pPr>
              <w:snapToGrid w:val="0"/>
              <w:spacing w:line="312"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本项目评标基准价满分为30分</w:t>
            </w:r>
          </w:p>
          <w:p>
            <w:pPr>
              <w:widowControl/>
              <w:snapToGrid w:val="0"/>
              <w:spacing w:line="36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其他有效供应商的报价得分=（评标基准价/投标报价）×30</w:t>
            </w:r>
          </w:p>
          <w:p>
            <w:pPr>
              <w:widowControl/>
              <w:snapToGrid w:val="0"/>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注：1、价格分计算保留小数点后二位。</w:t>
            </w:r>
          </w:p>
          <w:p>
            <w:pPr>
              <w:widowControl/>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2、未通过初步评审的投标不参与投标报价得分的计算。</w:t>
            </w:r>
          </w:p>
          <w:p>
            <w:pPr>
              <w:widowControl/>
              <w:snapToGrid w:val="0"/>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3、符合小型或微型企业的划分标准并且提供本企业制造的货物，或者提供其他小型或微型企业制造的货物的投标人的报价给予6%的价格扣除，用扣除后的价格参与评审。</w:t>
            </w:r>
          </w:p>
          <w:p>
            <w:pPr>
              <w:widowControl/>
              <w:snapToGrid w:val="0"/>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该类投标人应提供相关证明材料。</w:t>
            </w:r>
          </w:p>
          <w:p>
            <w:pPr>
              <w:snapToGrid w:val="0"/>
              <w:spacing w:line="312"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97" w:type="dxa"/>
            <w:vAlign w:val="center"/>
          </w:tcPr>
          <w:p>
            <w:pPr>
              <w:snapToGrid w:val="0"/>
              <w:spacing w:line="312"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81" w:type="dxa"/>
            <w:gridSpan w:val="3"/>
            <w:vAlign w:val="center"/>
          </w:tcPr>
          <w:p>
            <w:pPr>
              <w:snapToGrid w:val="0"/>
              <w:spacing w:line="312"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shd w:val="clear" w:color="000000" w:fill="FFFFFF"/>
              </w:rPr>
              <w:t>二、商务部分（满分25分）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4" w:type="dxa"/>
            <w:vAlign w:val="center"/>
          </w:tcPr>
          <w:p>
            <w:pPr>
              <w:snapToGrid w:val="0"/>
              <w:spacing w:line="300" w:lineRule="auto"/>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评审因素</w:t>
            </w:r>
          </w:p>
        </w:tc>
        <w:tc>
          <w:tcPr>
            <w:tcW w:w="7030" w:type="dxa"/>
            <w:vAlign w:val="center"/>
          </w:tcPr>
          <w:p>
            <w:pPr>
              <w:snapToGrid w:val="0"/>
              <w:spacing w:line="360" w:lineRule="auto"/>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评审标准</w:t>
            </w:r>
          </w:p>
        </w:tc>
        <w:tc>
          <w:tcPr>
            <w:tcW w:w="897" w:type="dxa"/>
            <w:vAlign w:val="center"/>
          </w:tcPr>
          <w:p>
            <w:pPr>
              <w:snapToGrid w:val="0"/>
              <w:spacing w:line="360" w:lineRule="auto"/>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54" w:type="dxa"/>
            <w:vAlign w:val="center"/>
          </w:tcPr>
          <w:p>
            <w:pPr>
              <w:snapToGrid w:val="0"/>
              <w:spacing w:line="30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业绩</w:t>
            </w:r>
          </w:p>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（6分）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企业提供自2016年1月1日以来类似产品销售业绩的，每个得3分，最多得6分</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color w:val="000000"/>
                <w:sz w:val="21"/>
                <w:szCs w:val="21"/>
                <w:highlight w:val="none"/>
              </w:rPr>
              <w:t>合同和中标通知书原件，时间以合同签订为准</w:t>
            </w:r>
            <w:r>
              <w:rPr>
                <w:rFonts w:hint="eastAsia" w:asciiTheme="minorEastAsia" w:hAnsiTheme="minorEastAsia" w:eastAsiaTheme="minorEastAsia" w:cstheme="minorEastAsia"/>
                <w:sz w:val="21"/>
                <w:szCs w:val="21"/>
                <w:highlight w:val="none"/>
              </w:rPr>
              <w:t>）</w:t>
            </w:r>
          </w:p>
        </w:tc>
        <w:tc>
          <w:tcPr>
            <w:tcW w:w="897" w:type="dxa"/>
            <w:vAlign w:val="center"/>
          </w:tcPr>
          <w:p>
            <w:pPr>
              <w:snapToGrid w:val="0"/>
              <w:spacing w:line="36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54" w:type="dxa"/>
            <w:vAlign w:val="center"/>
          </w:tcPr>
          <w:p>
            <w:pPr>
              <w:snapToGrid w:val="0"/>
              <w:spacing w:line="312" w:lineRule="auto"/>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企业实力</w:t>
            </w:r>
          </w:p>
          <w:p>
            <w:pPr>
              <w:snapToGrid w:val="0"/>
              <w:spacing w:line="312" w:lineRule="auto"/>
              <w:ind w:left="210" w:hanging="210" w:hangingChars="1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（12分）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1、提供质量、环境、职业健康体系证书齐全的得3分，缺项不得分；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2、企业获得“AAA级诚信经营示范单位”的得2分，缺项不得分；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3、企业获得 “信用等级AAA 级”的得3分，缺项不得分；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4、企业获得 “五星级售后证书”的得2分，缺项不得分；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6、企业获得由省级部委颁发的“智能化工厂”称号的得2分，由市级相关部门颁布的得1分，缺项不得分；</w:t>
            </w:r>
          </w:p>
          <w:p>
            <w:pPr>
              <w:snapToGrid w:val="0"/>
              <w:spacing w:line="312"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（以上内容投标人提供加盖单位公章的复印件装订在投标文件内，缺项不得分）</w:t>
            </w:r>
          </w:p>
        </w:tc>
        <w:tc>
          <w:tcPr>
            <w:tcW w:w="897" w:type="dxa"/>
            <w:vAlign w:val="center"/>
          </w:tcPr>
          <w:p>
            <w:pPr>
              <w:snapToGrid w:val="0"/>
              <w:spacing w:line="36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154"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综合评价</w:t>
            </w:r>
          </w:p>
          <w:p>
            <w:pPr>
              <w:snapToGrid w:val="0"/>
              <w:spacing w:line="312" w:lineRule="auto"/>
              <w:ind w:firstLine="105" w:firstLine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评标委员会根据投标人所投设备的质量、整体使用性能、投标文件的完整性以及其投标人的技术力量水平、投标文件的制作等进行综合评价1-2分。</w:t>
            </w:r>
          </w:p>
        </w:tc>
        <w:tc>
          <w:tcPr>
            <w:tcW w:w="897"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54" w:type="dxa"/>
            <w:vAlign w:val="center"/>
          </w:tcPr>
          <w:p>
            <w:pPr>
              <w:snapToGrid w:val="0"/>
              <w:spacing w:line="30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交货期</w:t>
            </w:r>
          </w:p>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（5分）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供货及安装调试方案的完整性、可行性、合理性、完善性，评委根据投标文件中的技术方案设计描述内容打分（0-5分）</w:t>
            </w:r>
          </w:p>
        </w:tc>
        <w:tc>
          <w:tcPr>
            <w:tcW w:w="897"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81" w:type="dxa"/>
            <w:gridSpan w:val="3"/>
            <w:vAlign w:val="center"/>
          </w:tcPr>
          <w:p>
            <w:pPr>
              <w:snapToGrid w:val="0"/>
              <w:spacing w:line="312"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shd w:val="clear" w:color="000000" w:fill="FFFFFF"/>
              </w:rPr>
              <w:t>三、技术部分（满分45分）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54" w:type="dxa"/>
            <w:vAlign w:val="center"/>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评审因素</w:t>
            </w:r>
          </w:p>
        </w:tc>
        <w:tc>
          <w:tcPr>
            <w:tcW w:w="7030" w:type="dxa"/>
            <w:vAlign w:val="center"/>
          </w:tcPr>
          <w:p>
            <w:pPr>
              <w:snapToGrid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评审标准</w:t>
            </w:r>
          </w:p>
        </w:tc>
        <w:tc>
          <w:tcPr>
            <w:tcW w:w="897" w:type="dxa"/>
            <w:vAlign w:val="center"/>
          </w:tcPr>
          <w:p>
            <w:pPr>
              <w:snapToGrid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154" w:type="dxa"/>
            <w:vAlign w:val="center"/>
          </w:tcPr>
          <w:p>
            <w:pPr>
              <w:snapToGrid w:val="0"/>
              <w:spacing w:line="30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技术部分（28分）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将根据招标文件要求投标人提供的主要设备技术证明，判断所投设备是否满足招标文件要求，若提供的货物技术证明文件与招标文件不一致时，又未提供制造生产厂家对所投配置给予确认说明的，则该条技术指标不满足。</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A．完全满足招标文件要求的得28分。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B．投标货物的技术指标或功能每有一条★号技术指标或功能不满足扣5分，扣完为止。</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C．投标货物的技术指标或功能每有一条非★号技术指标或功能不满足扣3分，扣完为止。</w:t>
            </w:r>
          </w:p>
        </w:tc>
        <w:tc>
          <w:tcPr>
            <w:tcW w:w="897"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154" w:type="dxa"/>
            <w:vAlign w:val="center"/>
          </w:tcPr>
          <w:p>
            <w:pPr>
              <w:snapToGrid w:val="0"/>
              <w:spacing w:line="312" w:lineRule="auto"/>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售后服务方案</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（17分）</w:t>
            </w:r>
          </w:p>
        </w:tc>
        <w:tc>
          <w:tcPr>
            <w:tcW w:w="7030"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1、投标人提供完善的售后服务计划。根据投标人提供的售后服务计划可行性、响应时间、到达现场时间、质保期等，按优7-10分、良3-6分、一般1-2分，缺项不得分；</w:t>
            </w:r>
          </w:p>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2、投标人提供完善的培训方案，提供现场培训服务，多种培训方式，按优7-5分、良4-3分、一般2-1分，缺项不得分； </w:t>
            </w:r>
          </w:p>
        </w:tc>
        <w:tc>
          <w:tcPr>
            <w:tcW w:w="897" w:type="dxa"/>
            <w:vAlign w:val="center"/>
          </w:tcPr>
          <w:p>
            <w:pPr>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17分</w:t>
            </w:r>
          </w:p>
        </w:tc>
      </w:tr>
    </w:tbl>
    <w:p>
      <w:pPr>
        <w:pStyle w:val="13"/>
        <w:kinsoku w:val="0"/>
        <w:overflowPunct w:val="0"/>
        <w:ind w:left="0"/>
        <w:rPr>
          <w:rFonts w:hint="default" w:ascii="Calibri" w:hAnsi="Calibri" w:eastAsia="Calibri"/>
          <w:sz w:val="20"/>
        </w:rPr>
      </w:pPr>
    </w:p>
    <w:p>
      <w:pPr>
        <w:pStyle w:val="13"/>
        <w:kinsoku w:val="0"/>
        <w:overflowPunct w:val="0"/>
        <w:ind w:left="0"/>
        <w:rPr>
          <w:rFonts w:hint="default" w:ascii="Calibri" w:hAnsi="Calibri" w:eastAsia="Calibri"/>
          <w:sz w:val="20"/>
        </w:rPr>
      </w:pPr>
    </w:p>
    <w:p>
      <w:pPr>
        <w:pStyle w:val="4"/>
        <w:kinsoku w:val="0"/>
        <w:overflowPunct w:val="0"/>
        <w:ind w:left="0"/>
        <w:jc w:val="center"/>
        <w:rPr>
          <w:rFonts w:hint="default"/>
          <w:bCs/>
          <w:spacing w:val="1"/>
          <w:sz w:val="28"/>
          <w:szCs w:val="28"/>
        </w:rPr>
      </w:pPr>
      <w:bookmarkStart w:id="47" w:name="bookmark20"/>
      <w:bookmarkEnd w:id="47"/>
    </w:p>
    <w:p>
      <w:pPr>
        <w:pStyle w:val="4"/>
        <w:kinsoku w:val="0"/>
        <w:overflowPunct w:val="0"/>
        <w:ind w:left="0"/>
        <w:jc w:val="center"/>
        <w:rPr>
          <w:rFonts w:hint="default"/>
          <w:bCs/>
          <w:spacing w:val="1"/>
          <w:sz w:val="28"/>
          <w:szCs w:val="28"/>
        </w:rPr>
      </w:pPr>
    </w:p>
    <w:p>
      <w:pPr>
        <w:pStyle w:val="4"/>
        <w:kinsoku w:val="0"/>
        <w:overflowPunct w:val="0"/>
        <w:ind w:left="0"/>
        <w:jc w:val="center"/>
        <w:rPr>
          <w:rFonts w:hint="default"/>
          <w:bCs/>
          <w:spacing w:val="1"/>
          <w:sz w:val="28"/>
          <w:szCs w:val="28"/>
        </w:rPr>
      </w:pPr>
    </w:p>
    <w:p>
      <w:pPr>
        <w:pStyle w:val="4"/>
        <w:kinsoku w:val="0"/>
        <w:overflowPunct w:val="0"/>
        <w:ind w:left="0"/>
        <w:jc w:val="center"/>
        <w:rPr>
          <w:rFonts w:hint="default"/>
          <w:bCs/>
          <w:spacing w:val="1"/>
          <w:sz w:val="28"/>
          <w:szCs w:val="28"/>
        </w:rPr>
      </w:pPr>
    </w:p>
    <w:p>
      <w:pPr>
        <w:pStyle w:val="4"/>
        <w:kinsoku w:val="0"/>
        <w:overflowPunct w:val="0"/>
        <w:ind w:left="0"/>
        <w:jc w:val="center"/>
        <w:rPr>
          <w:rFonts w:hint="default"/>
          <w:bCs/>
          <w:spacing w:val="1"/>
          <w:sz w:val="28"/>
          <w:szCs w:val="28"/>
        </w:rPr>
      </w:pPr>
    </w:p>
    <w:p>
      <w:pPr>
        <w:pStyle w:val="4"/>
        <w:kinsoku w:val="0"/>
        <w:overflowPunct w:val="0"/>
        <w:ind w:left="0"/>
        <w:jc w:val="center"/>
        <w:rPr>
          <w:rFonts w:hint="default"/>
          <w:bCs/>
          <w:spacing w:val="1"/>
          <w:sz w:val="28"/>
          <w:szCs w:val="28"/>
        </w:rPr>
      </w:pPr>
    </w:p>
    <w:p>
      <w:pPr>
        <w:pStyle w:val="4"/>
        <w:kinsoku w:val="0"/>
        <w:overflowPunct w:val="0"/>
        <w:ind w:left="0"/>
        <w:jc w:val="both"/>
        <w:rPr>
          <w:rFonts w:hint="default"/>
          <w:bCs/>
          <w:spacing w:val="1"/>
          <w:sz w:val="28"/>
          <w:szCs w:val="28"/>
        </w:rPr>
      </w:pPr>
    </w:p>
    <w:p>
      <w:pPr>
        <w:pStyle w:val="4"/>
        <w:kinsoku w:val="0"/>
        <w:overflowPunct w:val="0"/>
        <w:ind w:left="0"/>
        <w:jc w:val="center"/>
        <w:rPr>
          <w:rFonts w:hint="default"/>
          <w:bCs/>
          <w:sz w:val="28"/>
          <w:szCs w:val="28"/>
        </w:rPr>
      </w:pPr>
      <w:r>
        <w:rPr>
          <w:bCs/>
          <w:spacing w:val="1"/>
          <w:sz w:val="28"/>
          <w:szCs w:val="28"/>
        </w:rPr>
        <w:t>第四章</w:t>
      </w:r>
      <w:r>
        <w:rPr>
          <w:bCs/>
          <w:spacing w:val="-53"/>
          <w:sz w:val="28"/>
          <w:szCs w:val="28"/>
        </w:rPr>
        <w:t xml:space="preserve"> </w:t>
      </w:r>
      <w:r>
        <w:rPr>
          <w:bCs/>
          <w:spacing w:val="2"/>
          <w:sz w:val="28"/>
          <w:szCs w:val="28"/>
        </w:rPr>
        <w:t>合同条款及格式</w:t>
      </w:r>
    </w:p>
    <w:p>
      <w:pPr>
        <w:pStyle w:val="13"/>
        <w:kinsoku w:val="0"/>
        <w:overflowPunct w:val="0"/>
        <w:ind w:left="0"/>
        <w:rPr>
          <w:rFonts w:hint="default"/>
          <w:b/>
          <w:sz w:val="20"/>
        </w:rPr>
      </w:pPr>
    </w:p>
    <w:p>
      <w:pPr>
        <w:pStyle w:val="5"/>
        <w:kinsoku w:val="0"/>
        <w:overflowPunct w:val="0"/>
        <w:spacing w:line="360" w:lineRule="auto"/>
        <w:ind w:left="0"/>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第一节 合同通用条款</w:t>
      </w:r>
    </w:p>
    <w:p>
      <w:pPr>
        <w:pStyle w:val="4"/>
        <w:numPr>
          <w:ilvl w:val="0"/>
          <w:numId w:val="2"/>
        </w:numPr>
        <w:spacing w:line="360" w:lineRule="auto"/>
        <w:jc w:val="both"/>
        <w:rPr>
          <w:rFonts w:hint="default" w:cs="宋体"/>
          <w:color w:val="000000"/>
          <w:sz w:val="24"/>
          <w:szCs w:val="24"/>
        </w:rPr>
      </w:pPr>
      <w:bookmarkStart w:id="48" w:name="_Toc8834_WPSOffice_Level2"/>
      <w:r>
        <w:rPr>
          <w:rFonts w:cs="宋体"/>
          <w:color w:val="000000"/>
          <w:sz w:val="24"/>
          <w:szCs w:val="24"/>
        </w:rPr>
        <w:t>适用性</w:t>
      </w:r>
      <w:bookmarkEnd w:id="48"/>
    </w:p>
    <w:p>
      <w:pPr>
        <w:spacing w:line="360" w:lineRule="auto"/>
        <w:rPr>
          <w:rFonts w:ascii="宋体" w:hAnsi="宋体" w:cs="宋体"/>
          <w:color w:val="000000"/>
          <w:szCs w:val="24"/>
        </w:rPr>
      </w:pPr>
      <w:r>
        <w:rPr>
          <w:rFonts w:hint="eastAsia" w:ascii="宋体" w:hAnsi="宋体" w:cs="宋体"/>
          <w:color w:val="000000"/>
          <w:szCs w:val="24"/>
        </w:rPr>
        <w:t>1.1  本合同条款适用于没有被本合同其他部分的条款所取代的范围。</w:t>
      </w:r>
    </w:p>
    <w:p>
      <w:pPr>
        <w:pStyle w:val="4"/>
        <w:numPr>
          <w:ilvl w:val="0"/>
          <w:numId w:val="2"/>
        </w:numPr>
        <w:spacing w:line="360" w:lineRule="auto"/>
        <w:jc w:val="both"/>
        <w:rPr>
          <w:rFonts w:hint="default" w:cs="宋体"/>
          <w:color w:val="000000"/>
          <w:sz w:val="24"/>
          <w:szCs w:val="24"/>
        </w:rPr>
      </w:pPr>
      <w:bookmarkStart w:id="49" w:name="_Toc2746_WPSOffice_Level2"/>
      <w:r>
        <w:rPr>
          <w:rFonts w:cs="宋体"/>
          <w:color w:val="000000"/>
          <w:sz w:val="24"/>
          <w:szCs w:val="24"/>
        </w:rPr>
        <w:t>定义</w:t>
      </w:r>
      <w:bookmarkEnd w:id="49"/>
    </w:p>
    <w:p>
      <w:pPr>
        <w:spacing w:line="360" w:lineRule="auto"/>
        <w:rPr>
          <w:rFonts w:ascii="宋体" w:hAnsi="宋体" w:cs="宋体"/>
          <w:color w:val="000000"/>
          <w:szCs w:val="24"/>
        </w:rPr>
      </w:pPr>
      <w:r>
        <w:rPr>
          <w:rFonts w:hint="eastAsia" w:ascii="宋体" w:hAnsi="宋体" w:cs="宋体"/>
          <w:color w:val="000000"/>
          <w:szCs w:val="24"/>
        </w:rPr>
        <w:t>2.1  本文件和附件中所用下列名词的含义在此予以确定。</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“需方”是指“合同专用条款资料表”中指明的采购需要货物和服务的单位，包括该法人的法定代表人、法人的继任方和法人的受让方。</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“供方”是指提供本合同项下货物和服务的公司或其他实体，包括该法人的法定代表人、法人的继任方和法人的受让方。</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“付款人”是指在本合同项下向供方支付合同货物资金款的票据台头单位或部门。</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“合同”是指供需双方签署的、合同格式中载明的供需双方所达成的协议，包括所有的附件、附录和上述文件中提到的构成合同的所有文件。</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“合同价格”是指根据本合同规定供方在正确地完全履行合同义务后需方应支付给供方的价款。合同价格在合同有效期内为固定价格。</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“货物”系指供方按合同要求，须向需方提供的所有设备、材料、机械、仪表、备品备件、工具、手册及其他技术资料和/或其他材料。</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“初步验收”是指当性能验收试验的结果表明已达到了合同附件1规定的保证值后，需方对每台合同货物的验收。</w:t>
      </w:r>
    </w:p>
    <w:p>
      <w:pPr>
        <w:numPr>
          <w:ilvl w:val="0"/>
          <w:numId w:val="3"/>
        </w:numPr>
        <w:tabs>
          <w:tab w:val="left" w:pos="640"/>
          <w:tab w:val="left" w:pos="1080"/>
          <w:tab w:val="left" w:pos="1260"/>
          <w:tab w:val="left" w:pos="1440"/>
          <w:tab w:val="left" w:pos="162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“最终验收”是指由法定的检验部门或需方对的合同货物保证期满后的验收。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“备品备件”是指根据本合同提供的合同货物备用部件，包括随机备品备件和足够按“合同专用条款资料表”中要求保证所提供设备正常运行使用的备品备件。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“试运行”是指单机、整机或各系统和/或设备在调试和项目试运行阶段进行的运行。</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“书面文件”是指任何手稿、打字或印刷的有签字和/或印章及日期的文件。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“分包商”或“分供货商”是指由供方将合同供货范围内任何部分的供货分包给其他的法人及该法人的继任方和该法人允许的受让方。</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 xml:space="preserve"> “设备缺陷”是指供方因设计、制造错误或疏忽所引起的本合同设备（包括部件、原材料、铸锻件、原器件等）达不到本合同规定的性能、质量标准要求的情形。</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“运杂费”是指合同货物从供方始发站（车上）/码头（船上）到需方指定地点所发生的公路、水路、铁路、航空运费，保险费及运输过程中发生的各种费用。</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“合同条款”是指本合同条款。</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“项目现场”是指本合同项下货物的安装、运行的现场，其名称在合同条款资料表中指明。</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“日、月、年”是指公历的日、月、年；“天”是指24小时；“周”是指7天。</w:t>
      </w:r>
    </w:p>
    <w:p>
      <w:pPr>
        <w:pStyle w:val="4"/>
        <w:numPr>
          <w:ilvl w:val="0"/>
          <w:numId w:val="2"/>
        </w:numPr>
        <w:spacing w:line="360" w:lineRule="auto"/>
        <w:jc w:val="both"/>
        <w:rPr>
          <w:rFonts w:hint="default" w:cs="宋体"/>
          <w:color w:val="000000"/>
          <w:sz w:val="24"/>
          <w:szCs w:val="24"/>
        </w:rPr>
      </w:pPr>
      <w:bookmarkStart w:id="50" w:name="_Toc8841_WPSOffice_Level2"/>
      <w:r>
        <w:rPr>
          <w:rFonts w:cs="宋体"/>
          <w:color w:val="000000"/>
          <w:sz w:val="24"/>
          <w:szCs w:val="24"/>
        </w:rPr>
        <w:t>原产地</w:t>
      </w:r>
      <w:bookmarkEnd w:id="50"/>
    </w:p>
    <w:p>
      <w:pPr>
        <w:pStyle w:val="17"/>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本合同项下所提供的货物及服务均应来自于中华人民共和国或是与中华人民共和国有正常贸易往来的国家和地区(以下简称“合格来源国”)。</w:t>
      </w:r>
    </w:p>
    <w:p>
      <w:pPr>
        <w:pStyle w:val="17"/>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pStyle w:val="17"/>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货物和服务的原产地有别于供方的法定注册地或国籍。</w:t>
      </w:r>
    </w:p>
    <w:p>
      <w:pPr>
        <w:pStyle w:val="4"/>
        <w:numPr>
          <w:ilvl w:val="0"/>
          <w:numId w:val="2"/>
        </w:numPr>
        <w:spacing w:line="360" w:lineRule="auto"/>
        <w:jc w:val="both"/>
        <w:rPr>
          <w:rFonts w:hint="default" w:cs="宋体"/>
          <w:color w:val="000000"/>
          <w:sz w:val="24"/>
          <w:szCs w:val="24"/>
        </w:rPr>
      </w:pPr>
      <w:bookmarkStart w:id="51" w:name="_Toc10796_WPSOffice_Level2"/>
      <w:r>
        <w:rPr>
          <w:rFonts w:cs="宋体"/>
          <w:color w:val="000000"/>
          <w:sz w:val="24"/>
          <w:szCs w:val="24"/>
        </w:rPr>
        <w:t>标准</w:t>
      </w:r>
      <w:bookmarkEnd w:id="51"/>
    </w:p>
    <w:p>
      <w:pPr>
        <w:pStyle w:val="17"/>
        <w:numPr>
          <w:ilvl w:val="1"/>
          <w:numId w:val="5"/>
        </w:numPr>
        <w:spacing w:line="360" w:lineRule="auto"/>
        <w:rPr>
          <w:rFonts w:hAnsi="宋体" w:cs="宋体"/>
          <w:color w:val="000000"/>
          <w:sz w:val="24"/>
          <w:szCs w:val="24"/>
        </w:rPr>
      </w:pPr>
      <w:r>
        <w:rPr>
          <w:rFonts w:hint="eastAsia" w:hAnsi="宋体" w:cs="宋体"/>
          <w:color w:val="000000"/>
          <w:sz w:val="24"/>
          <w:szCs w:val="24"/>
        </w:rPr>
        <w:t>本合同项下交付的货物应符合技术规格所述的标准。如果没有提及适用标准，则应符合货物来源国适用的官方标准。这些标准必须是有关机构发布的最新版本的标准。</w:t>
      </w:r>
    </w:p>
    <w:p>
      <w:pPr>
        <w:pStyle w:val="17"/>
        <w:numPr>
          <w:ilvl w:val="1"/>
          <w:numId w:val="5"/>
        </w:numPr>
        <w:spacing w:line="360" w:lineRule="auto"/>
        <w:rPr>
          <w:rFonts w:hAnsi="宋体" w:cs="宋体"/>
          <w:color w:val="000000"/>
          <w:sz w:val="24"/>
          <w:szCs w:val="24"/>
        </w:rPr>
      </w:pPr>
      <w:r>
        <w:rPr>
          <w:rFonts w:hint="eastAsia" w:hAnsi="宋体" w:cs="宋体"/>
          <w:color w:val="000000"/>
          <w:sz w:val="24"/>
          <w:szCs w:val="24"/>
        </w:rPr>
        <w:t>除非技术规格中另有规定，计量单位均采用中华人民共和国法定计量单位。</w:t>
      </w:r>
    </w:p>
    <w:p>
      <w:pPr>
        <w:pStyle w:val="4"/>
        <w:numPr>
          <w:ilvl w:val="0"/>
          <w:numId w:val="2"/>
        </w:numPr>
        <w:spacing w:line="360" w:lineRule="auto"/>
        <w:jc w:val="both"/>
        <w:rPr>
          <w:rFonts w:hint="default" w:cs="宋体"/>
          <w:color w:val="000000"/>
          <w:sz w:val="24"/>
          <w:szCs w:val="24"/>
        </w:rPr>
      </w:pPr>
      <w:bookmarkStart w:id="52" w:name="_Toc9410_WPSOffice_Level2"/>
      <w:r>
        <w:rPr>
          <w:rFonts w:cs="宋体"/>
          <w:color w:val="000000"/>
          <w:sz w:val="24"/>
          <w:szCs w:val="24"/>
        </w:rPr>
        <w:t>使用合同文件和资料</w:t>
      </w:r>
      <w:bookmarkEnd w:id="52"/>
    </w:p>
    <w:p>
      <w:pPr>
        <w:pStyle w:val="17"/>
        <w:numPr>
          <w:ilvl w:val="1"/>
          <w:numId w:val="6"/>
        </w:numPr>
        <w:spacing w:line="360" w:lineRule="auto"/>
        <w:rPr>
          <w:rFonts w:hAnsi="宋体" w:cs="宋体"/>
          <w:color w:val="000000"/>
          <w:sz w:val="24"/>
          <w:szCs w:val="24"/>
        </w:rPr>
      </w:pPr>
      <w:r>
        <w:rPr>
          <w:rFonts w:hint="eastAsia" w:hAnsi="宋体" w:cs="宋体"/>
          <w:color w:val="000000"/>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pPr>
        <w:pStyle w:val="17"/>
        <w:numPr>
          <w:ilvl w:val="1"/>
          <w:numId w:val="6"/>
        </w:numPr>
        <w:spacing w:line="360" w:lineRule="auto"/>
        <w:rPr>
          <w:rFonts w:hAnsi="宋体" w:cs="宋体"/>
          <w:color w:val="000000"/>
          <w:sz w:val="24"/>
          <w:szCs w:val="24"/>
        </w:rPr>
      </w:pPr>
      <w:r>
        <w:rPr>
          <w:rFonts w:hint="eastAsia" w:hAnsi="宋体" w:cs="宋体"/>
          <w:color w:val="000000"/>
          <w:sz w:val="24"/>
          <w:szCs w:val="24"/>
        </w:rPr>
        <w:t>没有需方事先书面同意，除了履行本合同之外，供方不应使用合同条款第5.1条所列举的任何文件和资料。</w:t>
      </w:r>
    </w:p>
    <w:p>
      <w:pPr>
        <w:pStyle w:val="17"/>
        <w:numPr>
          <w:ilvl w:val="1"/>
          <w:numId w:val="6"/>
        </w:numPr>
        <w:spacing w:line="360" w:lineRule="auto"/>
        <w:rPr>
          <w:rFonts w:hAnsi="宋体" w:cs="宋体"/>
          <w:color w:val="000000"/>
          <w:sz w:val="24"/>
          <w:szCs w:val="24"/>
        </w:rPr>
      </w:pPr>
      <w:r>
        <w:rPr>
          <w:rFonts w:hint="eastAsia" w:hAnsi="宋体" w:cs="宋体"/>
          <w:color w:val="000000"/>
          <w:sz w:val="24"/>
          <w:szCs w:val="24"/>
        </w:rPr>
        <w:t>除了合同本身以外，合同条款第5.1条所列举的任何文件是需方的财产。如果需方有要求，供方在完成合同后应将这些文件及全部复制件还给需方。</w:t>
      </w:r>
    </w:p>
    <w:p>
      <w:pPr>
        <w:pStyle w:val="4"/>
        <w:numPr>
          <w:ilvl w:val="0"/>
          <w:numId w:val="2"/>
        </w:numPr>
        <w:spacing w:line="360" w:lineRule="auto"/>
        <w:jc w:val="both"/>
        <w:rPr>
          <w:rFonts w:hint="default" w:cs="宋体"/>
          <w:color w:val="000000"/>
          <w:sz w:val="24"/>
          <w:szCs w:val="24"/>
        </w:rPr>
      </w:pPr>
      <w:bookmarkStart w:id="53" w:name="_Toc17520_WPSOffice_Level2"/>
      <w:r>
        <w:rPr>
          <w:rFonts w:cs="宋体"/>
          <w:color w:val="000000"/>
          <w:sz w:val="24"/>
          <w:szCs w:val="24"/>
        </w:rPr>
        <w:t>专利权</w:t>
      </w:r>
      <w:bookmarkEnd w:id="53"/>
    </w:p>
    <w:p>
      <w:pPr>
        <w:pStyle w:val="17"/>
        <w:spacing w:line="360" w:lineRule="auto"/>
        <w:ind w:left="617" w:hanging="616" w:hangingChars="257"/>
        <w:rPr>
          <w:rFonts w:hAnsi="宋体" w:cs="宋体"/>
          <w:color w:val="000000"/>
          <w:sz w:val="24"/>
          <w:szCs w:val="24"/>
        </w:rPr>
      </w:pPr>
      <w:r>
        <w:rPr>
          <w:rFonts w:hint="eastAsia" w:hAnsi="宋体" w:cs="宋体"/>
          <w:color w:val="000000"/>
          <w:sz w:val="24"/>
          <w:szCs w:val="24"/>
        </w:rPr>
        <w:t>6. 1 供方应保证，需方在使用该货物或货物的任何一部分时，免受第三方提出的侵犯其专利权、商标权、著作权或其它知识产权的起诉。</w:t>
      </w:r>
    </w:p>
    <w:p>
      <w:pPr>
        <w:pStyle w:val="4"/>
        <w:numPr>
          <w:ilvl w:val="0"/>
          <w:numId w:val="2"/>
        </w:numPr>
        <w:spacing w:line="360" w:lineRule="auto"/>
        <w:jc w:val="both"/>
        <w:rPr>
          <w:rFonts w:hint="default" w:cs="宋体"/>
          <w:color w:val="000000"/>
          <w:sz w:val="24"/>
          <w:szCs w:val="24"/>
        </w:rPr>
      </w:pPr>
      <w:r>
        <w:rPr>
          <w:rFonts w:cs="宋体"/>
          <w:color w:val="000000"/>
          <w:sz w:val="24"/>
          <w:szCs w:val="24"/>
        </w:rPr>
        <w:t>履约保证金</w:t>
      </w:r>
    </w:p>
    <w:p>
      <w:pPr>
        <w:pStyle w:val="17"/>
        <w:numPr>
          <w:ilvl w:val="1"/>
          <w:numId w:val="7"/>
        </w:numPr>
        <w:spacing w:line="360" w:lineRule="auto"/>
        <w:rPr>
          <w:rFonts w:hAnsi="宋体" w:cs="宋体"/>
          <w:color w:val="000000"/>
          <w:sz w:val="24"/>
          <w:szCs w:val="24"/>
        </w:rPr>
      </w:pPr>
      <w:r>
        <w:rPr>
          <w:rFonts w:hint="eastAsia" w:hAnsi="宋体" w:cs="宋体"/>
          <w:color w:val="000000"/>
          <w:sz w:val="24"/>
          <w:szCs w:val="24"/>
        </w:rPr>
        <w:t>供方应在收到中标通知书后二十(20)天内，向付款人提交“合同专用条款资料表”中所规定金额的履约保证金。</w:t>
      </w:r>
    </w:p>
    <w:p>
      <w:pPr>
        <w:pStyle w:val="17"/>
        <w:numPr>
          <w:ilvl w:val="1"/>
          <w:numId w:val="7"/>
        </w:numPr>
        <w:spacing w:line="360" w:lineRule="auto"/>
        <w:rPr>
          <w:rFonts w:hAnsi="宋体" w:cs="宋体"/>
          <w:color w:val="000000"/>
          <w:sz w:val="24"/>
          <w:szCs w:val="24"/>
        </w:rPr>
      </w:pPr>
      <w:r>
        <w:rPr>
          <w:rFonts w:hint="eastAsia" w:hAnsi="宋体" w:cs="宋体"/>
          <w:color w:val="000000"/>
          <w:sz w:val="24"/>
          <w:szCs w:val="24"/>
        </w:rPr>
        <w:t>履约保证金用于补偿需方因供方不能完成其合同义务而蒙受的损失。</w:t>
      </w:r>
    </w:p>
    <w:p>
      <w:pPr>
        <w:pStyle w:val="17"/>
        <w:numPr>
          <w:ilvl w:val="1"/>
          <w:numId w:val="7"/>
        </w:numPr>
        <w:spacing w:line="360" w:lineRule="auto"/>
        <w:rPr>
          <w:rFonts w:hAnsi="宋体" w:cs="宋体"/>
          <w:color w:val="000000"/>
          <w:sz w:val="24"/>
          <w:szCs w:val="24"/>
        </w:rPr>
      </w:pPr>
      <w:r>
        <w:rPr>
          <w:rFonts w:hint="eastAsia" w:hAnsi="宋体" w:cs="宋体"/>
          <w:color w:val="000000"/>
          <w:sz w:val="24"/>
          <w:szCs w:val="24"/>
        </w:rPr>
        <w:t>履约保证金应采用本合同货币，或付款人可以接受的其它货币并采用下述方式之一提交：</w:t>
      </w:r>
    </w:p>
    <w:p>
      <w:pPr>
        <w:pStyle w:val="17"/>
        <w:numPr>
          <w:ilvl w:val="1"/>
          <w:numId w:val="2"/>
        </w:numPr>
        <w:spacing w:line="360" w:lineRule="auto"/>
        <w:ind w:hanging="120"/>
        <w:rPr>
          <w:rFonts w:hAnsi="宋体" w:cs="宋体"/>
          <w:color w:val="000000"/>
          <w:sz w:val="24"/>
          <w:szCs w:val="24"/>
        </w:rPr>
      </w:pPr>
      <w:r>
        <w:rPr>
          <w:rFonts w:hint="eastAsia" w:hAnsi="宋体" w:cs="宋体"/>
          <w:color w:val="000000"/>
          <w:sz w:val="24"/>
          <w:szCs w:val="24"/>
        </w:rPr>
        <w:t>银行保函或不可撤销的信用证</w:t>
      </w:r>
    </w:p>
    <w:p>
      <w:pPr>
        <w:pStyle w:val="17"/>
        <w:spacing w:line="360" w:lineRule="auto"/>
        <w:ind w:left="960" w:leftChars="400"/>
        <w:rPr>
          <w:rFonts w:hAnsi="宋体" w:cs="宋体"/>
          <w:color w:val="000000"/>
          <w:sz w:val="24"/>
          <w:szCs w:val="24"/>
        </w:rPr>
      </w:pPr>
      <w:r>
        <w:rPr>
          <w:rFonts w:hint="eastAsia" w:hAnsi="宋体" w:cs="宋体"/>
          <w:color w:val="000000"/>
          <w:sz w:val="24"/>
          <w:szCs w:val="24"/>
        </w:rPr>
        <w:t>由需方可接受的在中华人民共和国注册和营业的银行，或外国银行通过在中华人民共和国注册和营业的银行提交。其格式采用招标文件提供的格式或其他需方可接受的格式；</w:t>
      </w:r>
    </w:p>
    <w:p>
      <w:pPr>
        <w:pStyle w:val="17"/>
        <w:numPr>
          <w:ilvl w:val="1"/>
          <w:numId w:val="2"/>
        </w:numPr>
        <w:spacing w:line="360" w:lineRule="auto"/>
        <w:ind w:hanging="120"/>
        <w:rPr>
          <w:rFonts w:hAnsi="宋体" w:cs="宋体"/>
          <w:color w:val="000000"/>
          <w:sz w:val="24"/>
          <w:szCs w:val="24"/>
        </w:rPr>
      </w:pPr>
      <w:r>
        <w:rPr>
          <w:rFonts w:hint="eastAsia" w:hAnsi="宋体" w:cs="宋体"/>
          <w:color w:val="000000"/>
          <w:sz w:val="24"/>
          <w:szCs w:val="24"/>
        </w:rPr>
        <w:t>银行本票、保兑支票或现金；</w:t>
      </w:r>
    </w:p>
    <w:p>
      <w:pPr>
        <w:pStyle w:val="17"/>
        <w:numPr>
          <w:ilvl w:val="1"/>
          <w:numId w:val="2"/>
        </w:numPr>
        <w:spacing w:line="360" w:lineRule="auto"/>
        <w:ind w:hanging="120"/>
        <w:rPr>
          <w:rFonts w:hAnsi="宋体" w:cs="宋体"/>
          <w:color w:val="000000"/>
          <w:sz w:val="24"/>
          <w:szCs w:val="24"/>
        </w:rPr>
      </w:pPr>
      <w:r>
        <w:rPr>
          <w:rFonts w:hint="eastAsia" w:hAnsi="宋体" w:cs="宋体"/>
          <w:color w:val="000000"/>
          <w:sz w:val="24"/>
          <w:szCs w:val="24"/>
        </w:rPr>
        <w:t>由投标保证金转换为履约保证金；</w:t>
      </w:r>
    </w:p>
    <w:p>
      <w:pPr>
        <w:pStyle w:val="17"/>
        <w:numPr>
          <w:ilvl w:val="1"/>
          <w:numId w:val="2"/>
        </w:numPr>
        <w:spacing w:line="360" w:lineRule="auto"/>
        <w:ind w:hanging="120"/>
        <w:rPr>
          <w:rFonts w:hAnsi="宋体" w:cs="宋体"/>
          <w:color w:val="000000"/>
          <w:sz w:val="24"/>
          <w:szCs w:val="24"/>
        </w:rPr>
      </w:pPr>
      <w:r>
        <w:rPr>
          <w:rFonts w:hint="eastAsia" w:hAnsi="宋体" w:cs="宋体"/>
          <w:color w:val="000000"/>
          <w:sz w:val="24"/>
          <w:szCs w:val="24"/>
        </w:rPr>
        <w:t>政府采购履约担保函。</w:t>
      </w:r>
    </w:p>
    <w:p>
      <w:pPr>
        <w:pStyle w:val="17"/>
        <w:numPr>
          <w:ilvl w:val="1"/>
          <w:numId w:val="7"/>
        </w:numPr>
        <w:spacing w:line="360" w:lineRule="auto"/>
        <w:rPr>
          <w:rFonts w:hAnsi="宋体" w:cs="宋体"/>
          <w:color w:val="000000"/>
          <w:sz w:val="24"/>
          <w:szCs w:val="24"/>
        </w:rPr>
      </w:pPr>
      <w:r>
        <w:rPr>
          <w:rFonts w:hint="eastAsia" w:hAnsi="宋体" w:cs="宋体"/>
          <w:color w:val="000000"/>
          <w:sz w:val="24"/>
          <w:szCs w:val="24"/>
        </w:rPr>
        <w:t>在供方完成其合同义务包括任何保证义务后三十(30)天内，付款人将把履约保证金退还供方。</w:t>
      </w:r>
    </w:p>
    <w:p>
      <w:pPr>
        <w:pStyle w:val="4"/>
        <w:numPr>
          <w:ilvl w:val="0"/>
          <w:numId w:val="2"/>
        </w:numPr>
        <w:spacing w:line="360" w:lineRule="auto"/>
        <w:jc w:val="both"/>
        <w:rPr>
          <w:rFonts w:hint="default" w:cs="宋体"/>
          <w:color w:val="000000"/>
          <w:sz w:val="24"/>
          <w:szCs w:val="24"/>
        </w:rPr>
      </w:pPr>
      <w:r>
        <w:rPr>
          <w:rFonts w:cs="宋体"/>
          <w:color w:val="000000"/>
          <w:sz w:val="24"/>
          <w:szCs w:val="24"/>
        </w:rPr>
        <w:t>检验和测试</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检验和测试可以在供方或其分包人的驻地、交货地点和／或货物的最终目的地进行。如果在供方或其分包人的驻地进行，检测人员应能得到全部合理的设施和协助。</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如果任何被检验或测试的货物不能满足规格的要求，需方可以拒绝接受该货物，供方应更换被拒绝的货物，或者在需方认同下免费进行必要的修改以满足规格的要求。</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需方在货物到达目的港和／或现场后对货物进行检验、测试及必要时拒绝接受货物的权力将不会因为货物在从来源地（国）启运前通过了需方或其代表的检验、测试和认可而受到限制或放弃。</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pStyle w:val="17"/>
        <w:numPr>
          <w:ilvl w:val="1"/>
          <w:numId w:val="8"/>
        </w:numPr>
        <w:spacing w:line="360" w:lineRule="auto"/>
        <w:ind w:left="737" w:hanging="737"/>
        <w:rPr>
          <w:rFonts w:hAnsi="宋体" w:cs="宋体"/>
          <w:color w:val="000000"/>
          <w:sz w:val="24"/>
          <w:szCs w:val="24"/>
        </w:rPr>
      </w:pPr>
      <w:r>
        <w:rPr>
          <w:rFonts w:hint="eastAsia" w:hAnsi="宋体" w:cs="宋体"/>
          <w:color w:val="000000"/>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如果在合同条款第l 8条规定的保证期内，发现货物的质量或规格与合同要求不符，或货物被证实有缺陷，包括潜在的缺陷或使用不合适的材料，需方有权随时向供方提出索赔。</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pPr>
        <w:pStyle w:val="17"/>
        <w:numPr>
          <w:ilvl w:val="1"/>
          <w:numId w:val="8"/>
        </w:numPr>
        <w:spacing w:line="360" w:lineRule="auto"/>
        <w:rPr>
          <w:rFonts w:hAnsi="宋体" w:cs="宋体"/>
          <w:color w:val="000000"/>
          <w:sz w:val="24"/>
          <w:szCs w:val="24"/>
        </w:rPr>
      </w:pPr>
      <w:r>
        <w:rPr>
          <w:rFonts w:hint="eastAsia" w:hAnsi="宋体" w:cs="宋体"/>
          <w:color w:val="000000"/>
          <w:sz w:val="24"/>
          <w:szCs w:val="24"/>
        </w:rPr>
        <w:t>合同条款第8条的规定不能免除供方在本合同项下的保证义务或其他义务。</w:t>
      </w:r>
    </w:p>
    <w:p>
      <w:pPr>
        <w:pStyle w:val="4"/>
        <w:numPr>
          <w:ilvl w:val="0"/>
          <w:numId w:val="2"/>
        </w:numPr>
        <w:spacing w:line="360" w:lineRule="auto"/>
        <w:jc w:val="both"/>
        <w:rPr>
          <w:rFonts w:hint="default" w:cs="宋体"/>
          <w:bCs/>
          <w:color w:val="000000"/>
          <w:sz w:val="24"/>
          <w:szCs w:val="24"/>
        </w:rPr>
      </w:pPr>
      <w:r>
        <w:rPr>
          <w:rFonts w:cs="宋体"/>
          <w:color w:val="000000"/>
          <w:sz w:val="24"/>
          <w:szCs w:val="24"/>
        </w:rPr>
        <w:t>包装</w:t>
      </w:r>
      <w:r>
        <w:rPr>
          <w:rFonts w:cs="宋体"/>
          <w:bCs/>
          <w:color w:val="000000"/>
          <w:sz w:val="24"/>
          <w:szCs w:val="24"/>
        </w:rPr>
        <w:t xml:space="preserve"> </w:t>
      </w:r>
    </w:p>
    <w:p>
      <w:pPr>
        <w:pStyle w:val="22"/>
        <w:ind w:left="614" w:leftChars="-1" w:hanging="616" w:hangingChars="257"/>
        <w:rPr>
          <w:rFonts w:ascii="宋体" w:hAnsi="宋体" w:cs="宋体"/>
          <w:color w:val="000000"/>
          <w:szCs w:val="24"/>
        </w:rPr>
      </w:pPr>
      <w:r>
        <w:rPr>
          <w:rFonts w:hint="eastAsia" w:ascii="宋体" w:hAnsi="宋体" w:cs="宋体"/>
          <w:color w:val="000000"/>
          <w:szCs w:val="24"/>
        </w:rPr>
        <w:t>9. 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装运标记</w:t>
      </w:r>
    </w:p>
    <w:p>
      <w:pPr>
        <w:pStyle w:val="17"/>
        <w:numPr>
          <w:ilvl w:val="1"/>
          <w:numId w:val="9"/>
        </w:numPr>
        <w:spacing w:line="360" w:lineRule="auto"/>
        <w:rPr>
          <w:rFonts w:hAnsi="宋体" w:cs="宋体"/>
          <w:color w:val="000000"/>
          <w:sz w:val="24"/>
          <w:szCs w:val="24"/>
        </w:rPr>
      </w:pPr>
      <w:r>
        <w:rPr>
          <w:rFonts w:hint="eastAsia" w:hAnsi="宋体" w:cs="宋体"/>
          <w:color w:val="000000"/>
          <w:sz w:val="24"/>
          <w:szCs w:val="24"/>
        </w:rPr>
        <w:t>供方应在每一包装箱相邻的四面用不可擦除的油漆和明显的约定的字样做出以下标记：</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收货人</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合同号</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发货标记(唛头)</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收货人编号</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目的地（港）</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货物名称、品目号和箱号</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毛重／净重(用kg表示)</w:t>
      </w:r>
    </w:p>
    <w:p>
      <w:pPr>
        <w:pStyle w:val="17"/>
        <w:numPr>
          <w:ilvl w:val="0"/>
          <w:numId w:val="10"/>
        </w:numPr>
        <w:spacing w:line="360" w:lineRule="auto"/>
        <w:rPr>
          <w:rFonts w:hAnsi="宋体" w:cs="宋体"/>
          <w:color w:val="000000"/>
          <w:sz w:val="24"/>
          <w:szCs w:val="24"/>
        </w:rPr>
      </w:pPr>
      <w:r>
        <w:rPr>
          <w:rFonts w:hint="eastAsia" w:hAnsi="宋体" w:cs="宋体"/>
          <w:color w:val="000000"/>
          <w:sz w:val="24"/>
          <w:szCs w:val="24"/>
        </w:rPr>
        <w:t>尺寸(长×宽×高用cm表示)</w:t>
      </w:r>
    </w:p>
    <w:p>
      <w:pPr>
        <w:pStyle w:val="17"/>
        <w:numPr>
          <w:ilvl w:val="1"/>
          <w:numId w:val="9"/>
        </w:numPr>
        <w:spacing w:line="360" w:lineRule="auto"/>
        <w:rPr>
          <w:rFonts w:hAnsi="宋体" w:cs="宋体"/>
          <w:color w:val="000000"/>
          <w:sz w:val="24"/>
          <w:szCs w:val="24"/>
        </w:rPr>
      </w:pPr>
      <w:r>
        <w:rPr>
          <w:rFonts w:hint="eastAsia" w:hAnsi="宋体" w:cs="宋体"/>
          <w:color w:val="000000"/>
          <w:sz w:val="24"/>
          <w:szCs w:val="24"/>
        </w:rPr>
        <w:t>如果单件包装箱的重量在2吨或2吨以上，供方应在包装箱两侧用文字标注“重心”和“起吊点”以便装卸和搬运。根据货物的特点和运输的不同要求，供方应在包装箱上清楚地标注“小心轻放”、“此端朝上，请勿倒置”、“保持干燥”等字样。</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装运条件</w:t>
      </w:r>
    </w:p>
    <w:p>
      <w:pPr>
        <w:pStyle w:val="17"/>
        <w:numPr>
          <w:ilvl w:val="1"/>
          <w:numId w:val="11"/>
        </w:numPr>
        <w:spacing w:line="360" w:lineRule="auto"/>
        <w:rPr>
          <w:rFonts w:hAnsi="宋体" w:cs="宋体"/>
          <w:iCs/>
          <w:color w:val="000000"/>
          <w:sz w:val="24"/>
          <w:szCs w:val="24"/>
        </w:rPr>
      </w:pPr>
      <w:r>
        <w:rPr>
          <w:rFonts w:hint="eastAsia" w:hAnsi="宋体" w:cs="宋体"/>
          <w:iCs/>
          <w:color w:val="000000"/>
          <w:sz w:val="24"/>
          <w:szCs w:val="24"/>
        </w:rPr>
        <w:t>合同货物的：</w:t>
      </w:r>
    </w:p>
    <w:p>
      <w:pPr>
        <w:pStyle w:val="17"/>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运输条件和保险、运费支付；</w:t>
      </w:r>
    </w:p>
    <w:p>
      <w:pPr>
        <w:pStyle w:val="17"/>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交货日期认定；</w:t>
      </w:r>
    </w:p>
    <w:p>
      <w:pPr>
        <w:pStyle w:val="17"/>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目的港／项目现场；</w:t>
      </w:r>
    </w:p>
    <w:p>
      <w:pPr>
        <w:pStyle w:val="17"/>
        <w:tabs>
          <w:tab w:val="left" w:pos="1260"/>
        </w:tabs>
        <w:spacing w:line="360" w:lineRule="auto"/>
        <w:ind w:left="900"/>
        <w:rPr>
          <w:rFonts w:hAnsi="宋体" w:cs="宋体"/>
          <w:iCs/>
          <w:color w:val="000000"/>
          <w:sz w:val="24"/>
          <w:szCs w:val="24"/>
        </w:rPr>
      </w:pPr>
      <w:r>
        <w:rPr>
          <w:rFonts w:hint="eastAsia" w:hAnsi="宋体" w:cs="宋体"/>
          <w:iCs/>
          <w:color w:val="000000"/>
          <w:sz w:val="24"/>
          <w:szCs w:val="24"/>
        </w:rPr>
        <w:t>按“合同专用条款资料表”中规定。</w:t>
      </w:r>
    </w:p>
    <w:p>
      <w:pPr>
        <w:pStyle w:val="17"/>
        <w:numPr>
          <w:ilvl w:val="1"/>
          <w:numId w:val="11"/>
        </w:numPr>
        <w:spacing w:line="360" w:lineRule="auto"/>
        <w:rPr>
          <w:rFonts w:hAnsi="宋体" w:cs="宋体"/>
          <w:color w:val="000000"/>
          <w:sz w:val="24"/>
          <w:szCs w:val="24"/>
        </w:rPr>
      </w:pPr>
      <w:r>
        <w:rPr>
          <w:rFonts w:hint="eastAsia" w:hAnsi="宋体" w:cs="宋体"/>
          <w:color w:val="000000"/>
          <w:sz w:val="24"/>
          <w:szCs w:val="24"/>
        </w:rPr>
        <w:t>供方装运的货物不应超过合同规定的数量或重量。否则，需方对由此产生的一切费用和后果不承担责任。</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装运通知</w:t>
      </w:r>
    </w:p>
    <w:p>
      <w:pPr>
        <w:pStyle w:val="17"/>
        <w:numPr>
          <w:ilvl w:val="1"/>
          <w:numId w:val="13"/>
        </w:numPr>
        <w:spacing w:line="360" w:lineRule="auto"/>
        <w:rPr>
          <w:rFonts w:hAnsi="宋体" w:cs="宋体"/>
          <w:iCs/>
          <w:color w:val="000000"/>
          <w:sz w:val="24"/>
          <w:szCs w:val="24"/>
        </w:rPr>
      </w:pPr>
      <w:r>
        <w:rPr>
          <w:rFonts w:hint="eastAsia" w:hAnsi="宋体" w:cs="宋体"/>
          <w:iCs/>
          <w:color w:val="000000"/>
          <w:sz w:val="24"/>
          <w:szCs w:val="24"/>
        </w:rPr>
        <w:t>供方应在预计的装运日期之前，即海运前三十(30)天或铁路／公路／水运前二十一(21)天或空运前七(7)天以电报或电传或传真形式将货物合同号、名称、数量、箱数、总毛重、总体积(用m</w:t>
      </w:r>
      <w:r>
        <w:rPr>
          <w:rFonts w:hint="eastAsia" w:hAnsi="宋体" w:cs="宋体"/>
          <w:iCs/>
          <w:color w:val="000000"/>
          <w:sz w:val="24"/>
          <w:szCs w:val="24"/>
          <w:vertAlign w:val="superscript"/>
        </w:rPr>
        <w:t>3</w:t>
      </w:r>
      <w:r>
        <w:rPr>
          <w:rFonts w:hint="eastAsia" w:hAnsi="宋体" w:cs="宋体"/>
          <w:iCs/>
          <w:color w:val="000000"/>
          <w:sz w:val="24"/>
          <w:szCs w:val="24"/>
        </w:rPr>
        <w:t>表示)和在装运地备妥待运日期通知需方，同时，供方把详细的货物清单一式三(3)份，包括货物合同号、名称、规格、数量、总体积(用m</w:t>
      </w:r>
      <w:r>
        <w:rPr>
          <w:rFonts w:hint="eastAsia" w:hAnsi="宋体" w:cs="宋体"/>
          <w:iCs/>
          <w:color w:val="000000"/>
          <w:sz w:val="24"/>
          <w:szCs w:val="24"/>
          <w:vertAlign w:val="superscript"/>
        </w:rPr>
        <w:t>3</w:t>
      </w:r>
      <w:r>
        <w:rPr>
          <w:rFonts w:hint="eastAsia" w:hAnsi="宋体" w:cs="宋体"/>
          <w:iCs/>
          <w:color w:val="000000"/>
          <w:sz w:val="24"/>
          <w:szCs w:val="24"/>
        </w:rPr>
        <w:t>表示)、每箱尺寸(长×宽×高)、单价、总金额、启运地（或口岸）、备妥待运日期和货物在储存中的特殊要求和注意事项等寄给需方。</w:t>
      </w:r>
    </w:p>
    <w:p>
      <w:pPr>
        <w:pStyle w:val="17"/>
        <w:numPr>
          <w:ilvl w:val="1"/>
          <w:numId w:val="13"/>
        </w:numPr>
        <w:spacing w:line="360" w:lineRule="auto"/>
        <w:rPr>
          <w:rFonts w:hAnsi="宋体" w:cs="宋体"/>
          <w:iCs/>
          <w:color w:val="000000"/>
          <w:sz w:val="24"/>
          <w:szCs w:val="24"/>
        </w:rPr>
      </w:pPr>
      <w:r>
        <w:rPr>
          <w:rFonts w:hint="eastAsia" w:hAnsi="宋体" w:cs="宋体"/>
          <w:iCs/>
          <w:color w:val="000000"/>
          <w:sz w:val="24"/>
          <w:szCs w:val="24"/>
        </w:rPr>
        <w:t>供方应在货物装运完成后二十四(24)小时之内以电报或电传或传真形式将货物合同号、名称、数量、毛重、体积(用m</w:t>
      </w:r>
      <w:r>
        <w:rPr>
          <w:rFonts w:hint="eastAsia" w:hAnsi="宋体" w:cs="宋体"/>
          <w:iCs/>
          <w:color w:val="000000"/>
          <w:sz w:val="24"/>
          <w:szCs w:val="24"/>
          <w:vertAlign w:val="superscript"/>
        </w:rPr>
        <w:t>3</w:t>
      </w:r>
      <w:r>
        <w:rPr>
          <w:rFonts w:hint="eastAsia" w:hAnsi="宋体" w:cs="宋体"/>
          <w:iCs/>
          <w:color w:val="000000"/>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pStyle w:val="17"/>
        <w:numPr>
          <w:ilvl w:val="1"/>
          <w:numId w:val="13"/>
        </w:numPr>
        <w:spacing w:line="360" w:lineRule="auto"/>
        <w:rPr>
          <w:rFonts w:hAnsi="宋体" w:cs="宋体"/>
          <w:iCs/>
          <w:color w:val="000000"/>
          <w:sz w:val="24"/>
          <w:szCs w:val="24"/>
        </w:rPr>
      </w:pPr>
      <w:r>
        <w:rPr>
          <w:rFonts w:hint="eastAsia" w:hAnsi="宋体" w:cs="宋体"/>
          <w:iCs/>
          <w:color w:val="000000"/>
          <w:sz w:val="24"/>
          <w:szCs w:val="24"/>
        </w:rPr>
        <w:t>如果是因为供方延误不能将上述内容通知需方，使需方不能及时做好有关准备或办理相关手续，由此而造成的全部损失应由供方负责。</w:t>
      </w:r>
    </w:p>
    <w:p>
      <w:pPr>
        <w:pStyle w:val="17"/>
        <w:spacing w:line="360" w:lineRule="auto"/>
        <w:ind w:left="420"/>
        <w:rPr>
          <w:rFonts w:hAnsi="宋体" w:cs="宋体"/>
          <w:iCs/>
          <w:color w:val="000000"/>
          <w:sz w:val="24"/>
          <w:szCs w:val="24"/>
        </w:rPr>
      </w:pPr>
      <w:r>
        <w:rPr>
          <w:rFonts w:hint="eastAsia" w:hAnsi="宋体" w:cs="宋体"/>
          <w:iCs/>
          <w:color w:val="000000"/>
          <w:sz w:val="24"/>
          <w:szCs w:val="24"/>
        </w:rPr>
        <w:t xml:space="preserve">   此条款的适用对象见“合同专用条款资料表”。</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交货和单据</w:t>
      </w:r>
    </w:p>
    <w:p>
      <w:pPr>
        <w:pStyle w:val="17"/>
        <w:numPr>
          <w:ilvl w:val="1"/>
          <w:numId w:val="14"/>
        </w:numPr>
        <w:spacing w:line="360" w:lineRule="auto"/>
        <w:rPr>
          <w:rFonts w:hAnsi="宋体" w:cs="宋体"/>
          <w:iCs/>
          <w:color w:val="000000"/>
          <w:sz w:val="24"/>
          <w:szCs w:val="24"/>
        </w:rPr>
      </w:pPr>
      <w:r>
        <w:rPr>
          <w:rFonts w:hint="eastAsia" w:hAnsi="宋体" w:cs="宋体"/>
          <w:iCs/>
          <w:color w:val="000000"/>
          <w:sz w:val="24"/>
          <w:szCs w:val="24"/>
        </w:rPr>
        <w:t>供方应按照“</w:t>
      </w:r>
      <w:r>
        <w:rPr>
          <w:rFonts w:hint="eastAsia" w:hAnsi="宋体" w:cs="宋体"/>
          <w:color w:val="000000"/>
          <w:sz w:val="24"/>
          <w:szCs w:val="24"/>
        </w:rPr>
        <w:t>招标项目需求及技术规格要求</w:t>
      </w:r>
      <w:r>
        <w:rPr>
          <w:rFonts w:hint="eastAsia" w:hAnsi="宋体" w:cs="宋体"/>
          <w:iCs/>
          <w:color w:val="000000"/>
          <w:sz w:val="24"/>
          <w:szCs w:val="24"/>
        </w:rPr>
        <w:t>”规定的条件交货。供方应提供的装运细节和／或要求见合同条款第9、10、11、12条规定。</w:t>
      </w:r>
    </w:p>
    <w:p>
      <w:pPr>
        <w:pStyle w:val="17"/>
        <w:numPr>
          <w:ilvl w:val="1"/>
          <w:numId w:val="14"/>
        </w:numPr>
        <w:spacing w:line="360" w:lineRule="auto"/>
        <w:rPr>
          <w:rFonts w:hAnsi="宋体" w:cs="宋体"/>
          <w:iCs/>
          <w:color w:val="000000"/>
          <w:sz w:val="24"/>
          <w:szCs w:val="24"/>
        </w:rPr>
      </w:pPr>
      <w:r>
        <w:rPr>
          <w:rFonts w:hint="eastAsia" w:hAnsi="宋体" w:cs="宋体"/>
          <w:iCs/>
          <w:color w:val="000000"/>
          <w:sz w:val="24"/>
          <w:szCs w:val="24"/>
        </w:rPr>
        <w:t>为合同支付的需要，供方还应根据本合同条款第20条的规定，向需方寄交或通过供方银行转交该条款规定的相关“支付单据”。</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保险</w:t>
      </w:r>
    </w:p>
    <w:p>
      <w:pPr>
        <w:pStyle w:val="17"/>
        <w:numPr>
          <w:ilvl w:val="1"/>
          <w:numId w:val="15"/>
        </w:numPr>
        <w:spacing w:line="360" w:lineRule="auto"/>
        <w:rPr>
          <w:rFonts w:hAnsi="宋体" w:cs="宋体"/>
          <w:iCs/>
          <w:color w:val="000000"/>
          <w:sz w:val="24"/>
          <w:szCs w:val="24"/>
        </w:rPr>
      </w:pPr>
      <w:r>
        <w:rPr>
          <w:rFonts w:hint="eastAsia" w:hAnsi="宋体" w:cs="宋体"/>
          <w:iCs/>
          <w:color w:val="000000"/>
          <w:sz w:val="24"/>
          <w:szCs w:val="24"/>
        </w:rPr>
        <w:t>供方在本合同下提供的货物应对其在制造、购置、运输、存放及交货过程中的丢失或损坏按本条款规定的方式，进行全面保险。</w:t>
      </w:r>
    </w:p>
    <w:p>
      <w:pPr>
        <w:pStyle w:val="17"/>
        <w:numPr>
          <w:ilvl w:val="1"/>
          <w:numId w:val="15"/>
        </w:numPr>
        <w:spacing w:line="360" w:lineRule="auto"/>
        <w:rPr>
          <w:rFonts w:hAnsi="宋体" w:cs="宋体"/>
          <w:iCs/>
          <w:color w:val="000000"/>
          <w:sz w:val="24"/>
          <w:szCs w:val="24"/>
        </w:rPr>
      </w:pPr>
      <w:r>
        <w:rPr>
          <w:rFonts w:hint="eastAsia" w:hAnsi="宋体" w:cs="宋体"/>
          <w:iCs/>
          <w:color w:val="000000"/>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运输</w:t>
      </w:r>
    </w:p>
    <w:p>
      <w:pPr>
        <w:pStyle w:val="17"/>
        <w:numPr>
          <w:ilvl w:val="1"/>
          <w:numId w:val="16"/>
        </w:numPr>
        <w:spacing w:line="360" w:lineRule="auto"/>
        <w:rPr>
          <w:rFonts w:hAnsi="宋体" w:cs="宋体"/>
          <w:color w:val="000000"/>
          <w:sz w:val="24"/>
          <w:szCs w:val="24"/>
        </w:rPr>
      </w:pPr>
      <w:r>
        <w:rPr>
          <w:rFonts w:hint="eastAsia" w:hAnsi="宋体" w:cs="宋体"/>
          <w:iCs/>
          <w:color w:val="000000"/>
          <w:sz w:val="24"/>
          <w:szCs w:val="24"/>
        </w:rPr>
        <w:t>根据需方在“招标项目资料表”中要求的报价条件交货，供方应负责办理相应的运输、仓储、保管等事项，相关费用包括在合同价中。</w:t>
      </w:r>
    </w:p>
    <w:p>
      <w:pPr>
        <w:pStyle w:val="4"/>
        <w:numPr>
          <w:ilvl w:val="0"/>
          <w:numId w:val="2"/>
        </w:numPr>
        <w:spacing w:line="360" w:lineRule="auto"/>
        <w:jc w:val="both"/>
        <w:rPr>
          <w:rFonts w:hint="default" w:cs="宋体"/>
          <w:color w:val="000000"/>
          <w:sz w:val="24"/>
          <w:szCs w:val="24"/>
        </w:rPr>
      </w:pPr>
      <w:r>
        <w:rPr>
          <w:rFonts w:cs="宋体"/>
          <w:color w:val="000000"/>
          <w:sz w:val="24"/>
          <w:szCs w:val="24"/>
        </w:rPr>
        <w:t>伴随服务</w:t>
      </w:r>
    </w:p>
    <w:p>
      <w:pPr>
        <w:pStyle w:val="17"/>
        <w:numPr>
          <w:ilvl w:val="1"/>
          <w:numId w:val="17"/>
        </w:numPr>
        <w:spacing w:line="360" w:lineRule="auto"/>
        <w:rPr>
          <w:rFonts w:hAnsi="宋体" w:cs="宋体"/>
          <w:color w:val="000000"/>
          <w:sz w:val="24"/>
          <w:szCs w:val="24"/>
        </w:rPr>
      </w:pPr>
      <w:r>
        <w:rPr>
          <w:rFonts w:hint="eastAsia" w:hAnsi="宋体" w:cs="宋体"/>
          <w:color w:val="000000"/>
          <w:sz w:val="24"/>
          <w:szCs w:val="24"/>
        </w:rPr>
        <w:t>供方可能被要求提供下列服务中的任一项或所有服务，包括“合同专用条款资料表”与技术规格规定的附加服务(如果有的话)：</w:t>
      </w:r>
    </w:p>
    <w:p>
      <w:pPr>
        <w:pStyle w:val="17"/>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实施或监督所供货物的现场组装和／或试运行；</w:t>
      </w:r>
    </w:p>
    <w:p>
      <w:pPr>
        <w:pStyle w:val="17"/>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提供货物组装和／或维修所需的工具；</w:t>
      </w:r>
    </w:p>
    <w:p>
      <w:pPr>
        <w:pStyle w:val="17"/>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为所供货物的每一适当的单台设备提供详细的操作和维护手册；</w:t>
      </w:r>
    </w:p>
    <w:p>
      <w:pPr>
        <w:pStyle w:val="17"/>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在双方商定的一定期限内对所供货物实施运行或监督或维护或修理，但前提条件是该服务并不能免除供方在合同保证期内所承担的义务；</w:t>
      </w:r>
    </w:p>
    <w:p>
      <w:pPr>
        <w:pStyle w:val="17"/>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在供方厂家和／或在项目现场就所供货物的组装、试运行、运行、维护和／或修理对需方人员进行培训。</w:t>
      </w:r>
    </w:p>
    <w:p>
      <w:pPr>
        <w:pStyle w:val="17"/>
        <w:numPr>
          <w:ilvl w:val="1"/>
          <w:numId w:val="17"/>
        </w:numPr>
        <w:spacing w:line="360" w:lineRule="auto"/>
        <w:rPr>
          <w:rFonts w:hAnsi="宋体" w:cs="宋体"/>
          <w:color w:val="000000"/>
          <w:sz w:val="24"/>
          <w:szCs w:val="24"/>
        </w:rPr>
      </w:pPr>
      <w:r>
        <w:rPr>
          <w:rFonts w:hint="eastAsia" w:hAnsi="宋体" w:cs="宋体"/>
          <w:color w:val="000000"/>
          <w:sz w:val="24"/>
          <w:szCs w:val="24"/>
        </w:rPr>
        <w:t>供方应提供“合同专用条款资料表”／技术规格中规定的所有服务。为履行要求的伴随服务的报价或双方商定的费用均应包括在合同价中。</w:t>
      </w:r>
    </w:p>
    <w:p>
      <w:pPr>
        <w:pStyle w:val="4"/>
        <w:numPr>
          <w:ilvl w:val="0"/>
          <w:numId w:val="2"/>
        </w:numPr>
        <w:spacing w:line="360" w:lineRule="auto"/>
        <w:jc w:val="both"/>
        <w:rPr>
          <w:rFonts w:hint="default" w:cs="宋体"/>
          <w:color w:val="000000"/>
          <w:sz w:val="24"/>
          <w:szCs w:val="24"/>
        </w:rPr>
      </w:pPr>
      <w:r>
        <w:rPr>
          <w:rFonts w:cs="宋体"/>
          <w:color w:val="000000"/>
          <w:sz w:val="24"/>
          <w:szCs w:val="24"/>
        </w:rPr>
        <w:t>备件</w:t>
      </w:r>
    </w:p>
    <w:p>
      <w:pPr>
        <w:pStyle w:val="17"/>
        <w:numPr>
          <w:ilvl w:val="1"/>
          <w:numId w:val="19"/>
        </w:numPr>
        <w:spacing w:line="360" w:lineRule="auto"/>
        <w:rPr>
          <w:rFonts w:hAnsi="宋体" w:cs="宋体"/>
          <w:color w:val="000000"/>
          <w:sz w:val="24"/>
          <w:szCs w:val="24"/>
        </w:rPr>
      </w:pPr>
      <w:r>
        <w:rPr>
          <w:rFonts w:hint="eastAsia" w:hAnsi="宋体" w:cs="宋体"/>
          <w:color w:val="000000"/>
          <w:sz w:val="24"/>
          <w:szCs w:val="24"/>
        </w:rPr>
        <w:t>供方可能被要求提供下列与备件有关的材料、通知和资料：</w:t>
      </w:r>
    </w:p>
    <w:p>
      <w:pPr>
        <w:pStyle w:val="17"/>
        <w:numPr>
          <w:ilvl w:val="0"/>
          <w:numId w:val="20"/>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需方从供方选购备件，但前提条件是该选择并不能免除供方在合同保证期内所承担的义务；</w:t>
      </w:r>
    </w:p>
    <w:p>
      <w:pPr>
        <w:pStyle w:val="17"/>
        <w:numPr>
          <w:ilvl w:val="0"/>
          <w:numId w:val="20"/>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在备件停止生产的情况下，供方应事先将要停止生产的计划通知需方，以便需方有足够的时间采购所需的备件；</w:t>
      </w:r>
    </w:p>
    <w:p>
      <w:pPr>
        <w:pStyle w:val="17"/>
        <w:numPr>
          <w:ilvl w:val="0"/>
          <w:numId w:val="20"/>
        </w:numPr>
        <w:tabs>
          <w:tab w:val="left" w:pos="1260"/>
          <w:tab w:val="clear" w:pos="660"/>
        </w:tabs>
        <w:spacing w:line="360" w:lineRule="auto"/>
        <w:ind w:left="1260" w:hanging="360"/>
        <w:rPr>
          <w:rFonts w:hAnsi="宋体" w:cs="宋体"/>
          <w:color w:val="000000"/>
          <w:sz w:val="24"/>
          <w:szCs w:val="24"/>
        </w:rPr>
      </w:pPr>
      <w:r>
        <w:rPr>
          <w:rFonts w:hint="eastAsia" w:hAnsi="宋体" w:cs="宋体"/>
          <w:color w:val="000000"/>
          <w:sz w:val="24"/>
          <w:szCs w:val="24"/>
        </w:rPr>
        <w:t>在备件停止生产后，如果需方要求，供方应免费向需方提供备件的蓝图、图纸和规格。</w:t>
      </w:r>
    </w:p>
    <w:p>
      <w:pPr>
        <w:pStyle w:val="17"/>
        <w:numPr>
          <w:ilvl w:val="1"/>
          <w:numId w:val="19"/>
        </w:numPr>
        <w:tabs>
          <w:tab w:val="left" w:pos="900"/>
        </w:tabs>
        <w:spacing w:line="360" w:lineRule="auto"/>
        <w:ind w:left="900" w:hanging="900"/>
        <w:rPr>
          <w:rFonts w:hAnsi="宋体" w:cs="宋体"/>
          <w:color w:val="000000"/>
          <w:sz w:val="24"/>
          <w:szCs w:val="24"/>
        </w:rPr>
      </w:pPr>
      <w:r>
        <w:rPr>
          <w:rFonts w:hint="eastAsia" w:hAnsi="宋体" w:cs="宋体"/>
          <w:color w:val="000000"/>
          <w:sz w:val="24"/>
          <w:szCs w:val="24"/>
        </w:rPr>
        <w:t>供方应按照“合同专用条款资料表”／技术规格中的规定提供所需的备件。</w:t>
      </w:r>
    </w:p>
    <w:p>
      <w:pPr>
        <w:pStyle w:val="4"/>
        <w:numPr>
          <w:ilvl w:val="0"/>
          <w:numId w:val="2"/>
        </w:numPr>
        <w:spacing w:line="360" w:lineRule="auto"/>
        <w:jc w:val="both"/>
        <w:rPr>
          <w:rFonts w:hint="default" w:cs="宋体"/>
          <w:bCs/>
          <w:color w:val="000000"/>
          <w:sz w:val="24"/>
          <w:szCs w:val="24"/>
        </w:rPr>
      </w:pPr>
      <w:r>
        <w:rPr>
          <w:rFonts w:cs="宋体"/>
          <w:color w:val="000000"/>
          <w:sz w:val="24"/>
          <w:szCs w:val="24"/>
        </w:rPr>
        <w:t>保证</w:t>
      </w:r>
    </w:p>
    <w:p>
      <w:pPr>
        <w:pStyle w:val="17"/>
        <w:spacing w:line="360" w:lineRule="auto"/>
        <w:ind w:left="617" w:hanging="616" w:hangingChars="257"/>
        <w:rPr>
          <w:rFonts w:hAnsi="宋体" w:cs="宋体"/>
          <w:color w:val="000000"/>
          <w:sz w:val="24"/>
          <w:szCs w:val="24"/>
        </w:rPr>
      </w:pPr>
      <w:r>
        <w:rPr>
          <w:rFonts w:hint="eastAsia" w:hAnsi="宋体" w:cs="宋体"/>
          <w:color w:val="000000"/>
          <w:sz w:val="24"/>
          <w:szCs w:val="24"/>
        </w:rPr>
        <w:t>18.1</w:t>
      </w:r>
      <w:r>
        <w:rPr>
          <w:rFonts w:hint="eastAsia" w:hAnsi="宋体" w:cs="宋体"/>
          <w:color w:val="000000"/>
          <w:sz w:val="24"/>
          <w:szCs w:val="24"/>
        </w:rPr>
        <w:tab/>
      </w:r>
      <w:r>
        <w:rPr>
          <w:rFonts w:hint="eastAsia" w:hAnsi="宋体" w:cs="宋体"/>
          <w:color w:val="000000"/>
          <w:sz w:val="24"/>
          <w:szCs w:val="24"/>
        </w:rPr>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pStyle w:val="17"/>
        <w:spacing w:line="360" w:lineRule="auto"/>
        <w:ind w:left="617" w:hanging="616" w:hangingChars="257"/>
        <w:rPr>
          <w:rFonts w:hAnsi="宋体" w:cs="宋体"/>
          <w:color w:val="000000"/>
          <w:sz w:val="24"/>
          <w:szCs w:val="24"/>
        </w:rPr>
      </w:pPr>
      <w:r>
        <w:rPr>
          <w:rFonts w:hint="eastAsia" w:hAnsi="宋体" w:cs="宋体"/>
          <w:color w:val="000000"/>
          <w:sz w:val="24"/>
          <w:szCs w:val="24"/>
        </w:rPr>
        <w:t>18.2</w:t>
      </w:r>
      <w:r>
        <w:rPr>
          <w:rFonts w:hint="eastAsia" w:hAnsi="宋体" w:cs="宋体"/>
          <w:color w:val="000000"/>
          <w:sz w:val="24"/>
          <w:szCs w:val="24"/>
        </w:rPr>
        <w:tab/>
      </w:r>
      <w:r>
        <w:rPr>
          <w:rFonts w:hint="eastAsia" w:hAnsi="宋体" w:cs="宋体"/>
          <w:color w:val="000000"/>
          <w:sz w:val="24"/>
          <w:szCs w:val="24"/>
        </w:rPr>
        <w:t>本保证应在合同货物最终验收后的一定期限内保持有效，或在最后一批合同货物到达目的地后的一定期限内保持有效(上述期限见“合同专用条款资料表”)，以先发生的为准。</w:t>
      </w:r>
    </w:p>
    <w:p>
      <w:pPr>
        <w:pStyle w:val="17"/>
        <w:tabs>
          <w:tab w:val="left" w:pos="720"/>
        </w:tabs>
        <w:spacing w:line="360" w:lineRule="auto"/>
        <w:rPr>
          <w:rFonts w:hAnsi="宋体" w:cs="宋体"/>
          <w:color w:val="000000"/>
          <w:sz w:val="24"/>
          <w:szCs w:val="24"/>
        </w:rPr>
      </w:pPr>
      <w:r>
        <w:rPr>
          <w:rFonts w:hint="eastAsia" w:hAnsi="宋体" w:cs="宋体"/>
          <w:color w:val="000000"/>
          <w:sz w:val="24"/>
          <w:szCs w:val="24"/>
        </w:rPr>
        <w:t>18.3</w:t>
      </w:r>
      <w:r>
        <w:rPr>
          <w:rFonts w:hint="eastAsia" w:hAnsi="宋体" w:cs="宋体"/>
          <w:color w:val="000000"/>
          <w:sz w:val="24"/>
          <w:szCs w:val="24"/>
        </w:rPr>
        <w:tab/>
      </w:r>
      <w:r>
        <w:rPr>
          <w:rFonts w:hint="eastAsia" w:hAnsi="宋体" w:cs="宋体"/>
          <w:color w:val="000000"/>
          <w:sz w:val="24"/>
          <w:szCs w:val="24"/>
        </w:rPr>
        <w:t>需方应尽快以书面形式通知供方保证期内所发现的货物的缺陷。</w:t>
      </w:r>
    </w:p>
    <w:p>
      <w:pPr>
        <w:pStyle w:val="17"/>
        <w:spacing w:line="360" w:lineRule="auto"/>
        <w:ind w:left="617" w:hanging="616" w:hangingChars="257"/>
        <w:rPr>
          <w:rFonts w:hAnsi="宋体" w:cs="宋体"/>
          <w:color w:val="000000"/>
          <w:sz w:val="24"/>
          <w:szCs w:val="24"/>
        </w:rPr>
      </w:pPr>
      <w:r>
        <w:rPr>
          <w:rFonts w:hint="eastAsia" w:hAnsi="宋体" w:cs="宋体"/>
          <w:color w:val="000000"/>
          <w:sz w:val="24"/>
          <w:szCs w:val="24"/>
        </w:rPr>
        <w:t>18.4</w:t>
      </w:r>
      <w:r>
        <w:rPr>
          <w:rFonts w:hint="eastAsia" w:hAnsi="宋体" w:cs="宋体"/>
          <w:color w:val="000000"/>
          <w:sz w:val="24"/>
          <w:szCs w:val="24"/>
        </w:rPr>
        <w:tab/>
      </w:r>
      <w:r>
        <w:rPr>
          <w:rFonts w:hint="eastAsia" w:hAnsi="宋体" w:cs="宋体"/>
          <w:color w:val="000000"/>
          <w:sz w:val="24"/>
          <w:szCs w:val="24"/>
        </w:rPr>
        <w:t>供方收到通知后应在“合同专用条款资料表”规定的时间内以合理的速度免费维修或更换有缺陷的货物或部件。</w:t>
      </w:r>
    </w:p>
    <w:p>
      <w:pPr>
        <w:pStyle w:val="17"/>
        <w:spacing w:line="360" w:lineRule="auto"/>
        <w:ind w:left="617" w:hanging="616" w:hangingChars="257"/>
        <w:rPr>
          <w:rFonts w:hAnsi="宋体" w:cs="宋体"/>
          <w:color w:val="000000"/>
          <w:sz w:val="24"/>
          <w:szCs w:val="24"/>
        </w:rPr>
      </w:pPr>
      <w:r>
        <w:rPr>
          <w:rFonts w:hint="eastAsia" w:hAnsi="宋体" w:cs="宋体"/>
          <w:color w:val="000000"/>
          <w:sz w:val="24"/>
          <w:szCs w:val="24"/>
        </w:rPr>
        <w:t>l8.5</w:t>
      </w:r>
      <w:r>
        <w:rPr>
          <w:rFonts w:hint="eastAsia" w:hAnsi="宋体" w:cs="宋体"/>
          <w:color w:val="000000"/>
          <w:sz w:val="24"/>
          <w:szCs w:val="24"/>
        </w:rPr>
        <w:tab/>
      </w:r>
      <w:r>
        <w:rPr>
          <w:rFonts w:hint="eastAsia" w:hAnsi="宋体" w:cs="宋体"/>
          <w:color w:val="000000"/>
          <w:sz w:val="24"/>
          <w:szCs w:val="24"/>
        </w:rPr>
        <w:t>如果供方收到通知后在合同规定的时间内没有以合理的速度弥补缺陷，需方可采取必要的补救措施，但其风险和费用将由供方承担，需方根据合同规定对供方行使的其他权力不受影响。</w:t>
      </w:r>
    </w:p>
    <w:p>
      <w:pPr>
        <w:pStyle w:val="4"/>
        <w:numPr>
          <w:ilvl w:val="0"/>
          <w:numId w:val="2"/>
        </w:numPr>
        <w:spacing w:line="360" w:lineRule="auto"/>
        <w:jc w:val="both"/>
        <w:rPr>
          <w:rFonts w:hint="default" w:cs="宋体"/>
          <w:color w:val="000000"/>
          <w:sz w:val="24"/>
          <w:szCs w:val="24"/>
        </w:rPr>
      </w:pPr>
      <w:r>
        <w:rPr>
          <w:rFonts w:cs="宋体"/>
          <w:color w:val="000000"/>
          <w:sz w:val="24"/>
          <w:szCs w:val="24"/>
        </w:rPr>
        <w:t>索赔</w:t>
      </w:r>
    </w:p>
    <w:p>
      <w:pPr>
        <w:pStyle w:val="17"/>
        <w:numPr>
          <w:ilvl w:val="1"/>
          <w:numId w:val="21"/>
        </w:numPr>
        <w:tabs>
          <w:tab w:val="left" w:pos="640"/>
          <w:tab w:val="clear" w:pos="840"/>
        </w:tabs>
        <w:spacing w:line="360" w:lineRule="auto"/>
        <w:ind w:left="641" w:hanging="640" w:hangingChars="267"/>
        <w:rPr>
          <w:rFonts w:hAnsi="宋体" w:cs="宋体"/>
          <w:color w:val="000000"/>
          <w:sz w:val="24"/>
          <w:szCs w:val="24"/>
        </w:rPr>
      </w:pPr>
      <w:r>
        <w:rPr>
          <w:rFonts w:hint="eastAsia" w:hAnsi="宋体" w:cs="宋体"/>
          <w:color w:val="000000"/>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pPr>
        <w:pStyle w:val="17"/>
        <w:numPr>
          <w:ilvl w:val="0"/>
          <w:numId w:val="22"/>
        </w:numPr>
        <w:tabs>
          <w:tab w:val="left" w:pos="640"/>
        </w:tabs>
        <w:spacing w:line="360" w:lineRule="auto"/>
        <w:ind w:left="641" w:hanging="640" w:hangingChars="267"/>
        <w:rPr>
          <w:rFonts w:hAnsi="宋体" w:cs="宋体"/>
          <w:color w:val="000000"/>
          <w:sz w:val="24"/>
          <w:szCs w:val="24"/>
        </w:rPr>
      </w:pPr>
      <w:r>
        <w:rPr>
          <w:rFonts w:hint="eastAsia" w:hAnsi="宋体" w:cs="宋体"/>
          <w:color w:val="000000"/>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pPr>
        <w:pStyle w:val="17"/>
        <w:numPr>
          <w:ilvl w:val="0"/>
          <w:numId w:val="22"/>
        </w:numPr>
        <w:tabs>
          <w:tab w:val="left" w:pos="640"/>
        </w:tabs>
        <w:spacing w:line="360" w:lineRule="auto"/>
        <w:ind w:left="641" w:hanging="640" w:hangingChars="267"/>
        <w:rPr>
          <w:rFonts w:hAnsi="宋体" w:cs="宋体"/>
          <w:color w:val="000000"/>
          <w:sz w:val="24"/>
          <w:szCs w:val="24"/>
        </w:rPr>
      </w:pPr>
      <w:r>
        <w:rPr>
          <w:rFonts w:hint="eastAsia" w:hAnsi="宋体" w:cs="宋体"/>
          <w:color w:val="000000"/>
          <w:sz w:val="24"/>
          <w:szCs w:val="24"/>
        </w:rPr>
        <w:t>根据货物的偏差情况、损坏程度以及需方所遭受损失的金额，经需供双方商定降低货物的价格。</w:t>
      </w:r>
    </w:p>
    <w:p>
      <w:pPr>
        <w:pStyle w:val="17"/>
        <w:numPr>
          <w:ilvl w:val="0"/>
          <w:numId w:val="22"/>
        </w:numPr>
        <w:tabs>
          <w:tab w:val="left" w:pos="640"/>
          <w:tab w:val="clear" w:pos="930"/>
        </w:tabs>
        <w:spacing w:line="360" w:lineRule="auto"/>
        <w:ind w:left="641" w:hanging="640" w:hangingChars="267"/>
        <w:rPr>
          <w:rFonts w:hAnsi="宋体" w:cs="宋体"/>
          <w:color w:val="000000"/>
          <w:sz w:val="24"/>
          <w:szCs w:val="24"/>
        </w:rPr>
      </w:pPr>
      <w:r>
        <w:rPr>
          <w:rFonts w:hint="eastAsia" w:hAnsi="宋体" w:cs="宋体"/>
          <w:color w:val="000000"/>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pPr>
        <w:pStyle w:val="17"/>
        <w:numPr>
          <w:ilvl w:val="1"/>
          <w:numId w:val="21"/>
        </w:numPr>
        <w:tabs>
          <w:tab w:val="left" w:pos="640"/>
          <w:tab w:val="clear" w:pos="840"/>
        </w:tabs>
        <w:spacing w:line="360" w:lineRule="auto"/>
        <w:ind w:left="641" w:hanging="640" w:hangingChars="267"/>
        <w:rPr>
          <w:rFonts w:hAnsi="宋体" w:cs="宋体"/>
          <w:color w:val="000000"/>
          <w:sz w:val="24"/>
          <w:szCs w:val="24"/>
        </w:rPr>
      </w:pPr>
      <w:r>
        <w:rPr>
          <w:rFonts w:hint="eastAsia" w:hAnsi="宋体" w:cs="宋体"/>
          <w:color w:val="000000"/>
          <w:sz w:val="24"/>
          <w:szCs w:val="24"/>
        </w:rPr>
        <w:t>如果在需方发出索赔通知后三十(30)天内，供方未作答复，上述索赔应视为已被供方接受。如供方未能在需方发出索赔通知后三十(30)天内或需方同意的延长期限内，按照需方同意的上述规定的任一种方法解决索赔事宜，需方将从合同货款或供方开具的履约保证金中扣回索赔金额。</w:t>
      </w:r>
    </w:p>
    <w:p>
      <w:pPr>
        <w:pStyle w:val="4"/>
        <w:numPr>
          <w:ilvl w:val="0"/>
          <w:numId w:val="2"/>
        </w:numPr>
        <w:spacing w:line="360" w:lineRule="auto"/>
        <w:jc w:val="both"/>
        <w:rPr>
          <w:rFonts w:hint="default" w:cs="宋体"/>
          <w:color w:val="000000"/>
          <w:sz w:val="24"/>
          <w:szCs w:val="24"/>
        </w:rPr>
      </w:pPr>
      <w:r>
        <w:rPr>
          <w:rFonts w:cs="宋体"/>
          <w:color w:val="000000"/>
          <w:sz w:val="24"/>
          <w:szCs w:val="24"/>
        </w:rPr>
        <w:t>付款</w:t>
      </w:r>
    </w:p>
    <w:p>
      <w:pPr>
        <w:pStyle w:val="17"/>
        <w:numPr>
          <w:ilvl w:val="1"/>
          <w:numId w:val="23"/>
        </w:numPr>
        <w:spacing w:line="360" w:lineRule="auto"/>
        <w:rPr>
          <w:rFonts w:hAnsi="宋体" w:cs="宋体"/>
          <w:color w:val="000000"/>
          <w:sz w:val="24"/>
          <w:szCs w:val="24"/>
        </w:rPr>
      </w:pPr>
      <w:r>
        <w:rPr>
          <w:rFonts w:hint="eastAsia" w:hAnsi="宋体" w:cs="宋体"/>
          <w:color w:val="000000"/>
          <w:sz w:val="24"/>
          <w:szCs w:val="24"/>
        </w:rPr>
        <w:t>本合同项下的付款方法和条件在“合同专用条款资料表”中规定。</w:t>
      </w:r>
    </w:p>
    <w:p>
      <w:pPr>
        <w:pStyle w:val="4"/>
        <w:numPr>
          <w:ilvl w:val="0"/>
          <w:numId w:val="2"/>
        </w:numPr>
        <w:spacing w:line="360" w:lineRule="auto"/>
        <w:jc w:val="both"/>
        <w:rPr>
          <w:rFonts w:hint="default" w:cs="宋体"/>
          <w:color w:val="000000"/>
          <w:sz w:val="24"/>
          <w:szCs w:val="24"/>
        </w:rPr>
      </w:pPr>
      <w:r>
        <w:rPr>
          <w:rFonts w:cs="宋体"/>
          <w:color w:val="000000"/>
          <w:sz w:val="24"/>
          <w:szCs w:val="24"/>
        </w:rPr>
        <w:t>价格</w:t>
      </w:r>
    </w:p>
    <w:p>
      <w:pPr>
        <w:pStyle w:val="17"/>
        <w:numPr>
          <w:ilvl w:val="1"/>
          <w:numId w:val="24"/>
        </w:numPr>
        <w:spacing w:line="360" w:lineRule="auto"/>
        <w:rPr>
          <w:rFonts w:hAnsi="宋体" w:cs="宋体"/>
          <w:color w:val="000000"/>
          <w:sz w:val="24"/>
          <w:szCs w:val="24"/>
        </w:rPr>
      </w:pPr>
      <w:r>
        <w:rPr>
          <w:rFonts w:hint="eastAsia" w:hAnsi="宋体" w:cs="宋体"/>
          <w:color w:val="000000"/>
          <w:sz w:val="24"/>
          <w:szCs w:val="24"/>
        </w:rPr>
        <w:t>供方在本合同项下提交货物和履行服务的价格在合同中给出。</w:t>
      </w:r>
    </w:p>
    <w:p>
      <w:pPr>
        <w:pStyle w:val="4"/>
        <w:numPr>
          <w:ilvl w:val="0"/>
          <w:numId w:val="2"/>
        </w:numPr>
        <w:spacing w:line="360" w:lineRule="auto"/>
        <w:jc w:val="both"/>
        <w:rPr>
          <w:rFonts w:hint="default" w:cs="宋体"/>
          <w:color w:val="000000"/>
          <w:sz w:val="24"/>
          <w:szCs w:val="24"/>
        </w:rPr>
      </w:pPr>
      <w:r>
        <w:rPr>
          <w:rFonts w:cs="宋体"/>
          <w:color w:val="000000"/>
          <w:sz w:val="24"/>
          <w:szCs w:val="24"/>
        </w:rPr>
        <w:t>变更指令</w:t>
      </w:r>
    </w:p>
    <w:p>
      <w:pPr>
        <w:pStyle w:val="17"/>
        <w:numPr>
          <w:ilvl w:val="1"/>
          <w:numId w:val="25"/>
        </w:numPr>
        <w:spacing w:line="360" w:lineRule="auto"/>
        <w:rPr>
          <w:rFonts w:hAnsi="宋体" w:cs="宋体"/>
          <w:color w:val="000000"/>
          <w:sz w:val="24"/>
          <w:szCs w:val="24"/>
        </w:rPr>
      </w:pPr>
      <w:r>
        <w:rPr>
          <w:rFonts w:hint="eastAsia" w:hAnsi="宋体" w:cs="宋体"/>
          <w:color w:val="000000"/>
          <w:sz w:val="24"/>
          <w:szCs w:val="24"/>
        </w:rPr>
        <w:t>根据合同条款第35条的规定，需方可以在任何时候书面向供方发出指令，在本合同的一般范围内变更下述一项或几项：</w:t>
      </w:r>
    </w:p>
    <w:p>
      <w:pPr>
        <w:pStyle w:val="17"/>
        <w:numPr>
          <w:ilvl w:val="0"/>
          <w:numId w:val="26"/>
        </w:numPr>
        <w:spacing w:line="360" w:lineRule="auto"/>
        <w:rPr>
          <w:rFonts w:hAnsi="宋体" w:cs="宋体"/>
          <w:color w:val="000000"/>
          <w:sz w:val="24"/>
          <w:szCs w:val="24"/>
        </w:rPr>
      </w:pPr>
      <w:r>
        <w:rPr>
          <w:rFonts w:hint="eastAsia" w:hAnsi="宋体" w:cs="宋体"/>
          <w:color w:val="000000"/>
          <w:sz w:val="24"/>
          <w:szCs w:val="24"/>
        </w:rPr>
        <w:t>本合同项下提供的货物是专为需方制造时，变更图纸、设计或规格；</w:t>
      </w:r>
    </w:p>
    <w:p>
      <w:pPr>
        <w:pStyle w:val="17"/>
        <w:numPr>
          <w:ilvl w:val="0"/>
          <w:numId w:val="26"/>
        </w:numPr>
        <w:spacing w:line="360" w:lineRule="auto"/>
        <w:rPr>
          <w:rFonts w:hAnsi="宋体" w:cs="宋体"/>
          <w:color w:val="000000"/>
          <w:sz w:val="24"/>
          <w:szCs w:val="24"/>
        </w:rPr>
      </w:pPr>
      <w:r>
        <w:rPr>
          <w:rFonts w:hint="eastAsia" w:hAnsi="宋体" w:cs="宋体"/>
          <w:color w:val="000000"/>
          <w:sz w:val="24"/>
          <w:szCs w:val="24"/>
        </w:rPr>
        <w:t>运输或包装的方法；</w:t>
      </w:r>
    </w:p>
    <w:p>
      <w:pPr>
        <w:pStyle w:val="17"/>
        <w:numPr>
          <w:ilvl w:val="0"/>
          <w:numId w:val="26"/>
        </w:numPr>
        <w:spacing w:line="360" w:lineRule="auto"/>
        <w:rPr>
          <w:rFonts w:hAnsi="宋体" w:cs="宋体"/>
          <w:color w:val="000000"/>
          <w:sz w:val="24"/>
          <w:szCs w:val="24"/>
        </w:rPr>
      </w:pPr>
      <w:r>
        <w:rPr>
          <w:rFonts w:hint="eastAsia" w:hAnsi="宋体" w:cs="宋体"/>
          <w:color w:val="000000"/>
          <w:sz w:val="24"/>
          <w:szCs w:val="24"/>
        </w:rPr>
        <w:t>交货地点；</w:t>
      </w:r>
    </w:p>
    <w:p>
      <w:pPr>
        <w:pStyle w:val="17"/>
        <w:numPr>
          <w:ilvl w:val="0"/>
          <w:numId w:val="26"/>
        </w:numPr>
        <w:spacing w:line="360" w:lineRule="auto"/>
        <w:rPr>
          <w:rFonts w:hAnsi="宋体" w:cs="宋体"/>
          <w:color w:val="000000"/>
          <w:sz w:val="24"/>
          <w:szCs w:val="24"/>
        </w:rPr>
      </w:pPr>
      <w:r>
        <w:rPr>
          <w:rFonts w:hint="eastAsia" w:hAnsi="宋体" w:cs="宋体"/>
          <w:color w:val="000000"/>
          <w:sz w:val="24"/>
          <w:szCs w:val="24"/>
        </w:rPr>
        <w:t>供方提供的服务。</w:t>
      </w:r>
    </w:p>
    <w:p>
      <w:pPr>
        <w:pStyle w:val="17"/>
        <w:numPr>
          <w:ilvl w:val="1"/>
          <w:numId w:val="25"/>
        </w:numPr>
        <w:spacing w:line="360" w:lineRule="auto"/>
        <w:rPr>
          <w:rFonts w:hAnsi="宋体" w:cs="宋体"/>
          <w:color w:val="000000"/>
          <w:sz w:val="24"/>
          <w:szCs w:val="24"/>
        </w:rPr>
      </w:pPr>
      <w:r>
        <w:rPr>
          <w:rFonts w:hint="eastAsia" w:hAnsi="宋体" w:cs="宋体"/>
          <w:color w:val="000000"/>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合同修改</w:t>
      </w:r>
    </w:p>
    <w:p>
      <w:pPr>
        <w:pStyle w:val="17"/>
        <w:numPr>
          <w:ilvl w:val="1"/>
          <w:numId w:val="27"/>
        </w:numPr>
        <w:spacing w:line="360" w:lineRule="auto"/>
        <w:rPr>
          <w:rFonts w:hAnsi="宋体" w:cs="宋体"/>
          <w:color w:val="000000"/>
          <w:sz w:val="24"/>
          <w:szCs w:val="24"/>
        </w:rPr>
      </w:pPr>
      <w:r>
        <w:rPr>
          <w:rFonts w:hint="eastAsia" w:hAnsi="宋体" w:cs="宋体"/>
          <w:color w:val="000000"/>
          <w:sz w:val="24"/>
          <w:szCs w:val="24"/>
        </w:rPr>
        <w:t>除了合同条款第22条的情况，任何一方不应对合同条款进行任何变更或修改，除非双方协商同意并签订书面的合同修改书。</w:t>
      </w:r>
    </w:p>
    <w:p>
      <w:pPr>
        <w:pStyle w:val="4"/>
        <w:numPr>
          <w:ilvl w:val="0"/>
          <w:numId w:val="2"/>
        </w:numPr>
        <w:spacing w:line="360" w:lineRule="auto"/>
        <w:jc w:val="both"/>
        <w:rPr>
          <w:rFonts w:hint="default" w:cs="宋体"/>
          <w:color w:val="000000"/>
          <w:sz w:val="24"/>
          <w:szCs w:val="24"/>
        </w:rPr>
      </w:pPr>
      <w:r>
        <w:rPr>
          <w:rFonts w:cs="宋体"/>
          <w:color w:val="000000"/>
          <w:sz w:val="24"/>
          <w:szCs w:val="24"/>
        </w:rPr>
        <w:t>转让</w:t>
      </w:r>
    </w:p>
    <w:p>
      <w:pPr>
        <w:pStyle w:val="17"/>
        <w:numPr>
          <w:ilvl w:val="1"/>
          <w:numId w:val="28"/>
        </w:numPr>
        <w:spacing w:line="360" w:lineRule="auto"/>
        <w:rPr>
          <w:rFonts w:hAnsi="宋体" w:cs="宋体"/>
          <w:color w:val="000000"/>
          <w:sz w:val="24"/>
          <w:szCs w:val="24"/>
        </w:rPr>
      </w:pPr>
      <w:r>
        <w:rPr>
          <w:rFonts w:hint="eastAsia" w:hAnsi="宋体" w:cs="宋体"/>
          <w:color w:val="000000"/>
          <w:sz w:val="24"/>
          <w:szCs w:val="24"/>
        </w:rPr>
        <w:t>除特殊情况下并经需方事先书面同意外，供方所应履行的合同义务的任何一部分均不得向其他方转让。</w:t>
      </w:r>
    </w:p>
    <w:p>
      <w:pPr>
        <w:pStyle w:val="4"/>
        <w:numPr>
          <w:ilvl w:val="0"/>
          <w:numId w:val="2"/>
        </w:numPr>
        <w:spacing w:line="360" w:lineRule="auto"/>
        <w:jc w:val="both"/>
        <w:rPr>
          <w:rFonts w:hint="default" w:cs="宋体"/>
          <w:color w:val="000000"/>
          <w:sz w:val="24"/>
          <w:szCs w:val="24"/>
        </w:rPr>
      </w:pPr>
      <w:r>
        <w:rPr>
          <w:rFonts w:cs="宋体"/>
          <w:color w:val="000000"/>
          <w:sz w:val="24"/>
          <w:szCs w:val="24"/>
        </w:rPr>
        <w:t>分包</w:t>
      </w:r>
    </w:p>
    <w:p>
      <w:pPr>
        <w:pStyle w:val="17"/>
        <w:numPr>
          <w:ilvl w:val="1"/>
          <w:numId w:val="29"/>
        </w:numPr>
        <w:spacing w:line="360" w:lineRule="auto"/>
        <w:rPr>
          <w:rFonts w:hAnsi="宋体" w:cs="宋体"/>
          <w:color w:val="000000"/>
          <w:sz w:val="24"/>
          <w:szCs w:val="24"/>
        </w:rPr>
      </w:pPr>
      <w:r>
        <w:rPr>
          <w:rFonts w:hint="eastAsia" w:hAnsi="宋体" w:cs="宋体"/>
          <w:color w:val="000000"/>
          <w:sz w:val="24"/>
          <w:szCs w:val="24"/>
        </w:rPr>
        <w:t>不适用。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供方履约延误</w:t>
      </w:r>
    </w:p>
    <w:p>
      <w:pPr>
        <w:pStyle w:val="17"/>
        <w:numPr>
          <w:ilvl w:val="1"/>
          <w:numId w:val="30"/>
        </w:numPr>
        <w:spacing w:line="360" w:lineRule="auto"/>
        <w:rPr>
          <w:rFonts w:hAnsi="宋体" w:cs="宋体"/>
          <w:color w:val="000000"/>
          <w:sz w:val="24"/>
          <w:szCs w:val="24"/>
        </w:rPr>
      </w:pPr>
      <w:r>
        <w:rPr>
          <w:rFonts w:hint="eastAsia" w:hAnsi="宋体" w:cs="宋体"/>
          <w:color w:val="000000"/>
          <w:sz w:val="24"/>
          <w:szCs w:val="24"/>
        </w:rPr>
        <w:t>供方应按照“招标项目需求及技术规格要求”中需方规定的时间表交货和提供服务。</w:t>
      </w:r>
    </w:p>
    <w:p>
      <w:pPr>
        <w:tabs>
          <w:tab w:val="left" w:pos="840"/>
        </w:tabs>
        <w:spacing w:line="360" w:lineRule="auto"/>
        <w:ind w:left="977" w:leftChars="407"/>
        <w:rPr>
          <w:rFonts w:ascii="宋体" w:hAnsi="宋体" w:cs="宋体"/>
          <w:color w:val="000000"/>
          <w:szCs w:val="24"/>
        </w:rPr>
      </w:pPr>
      <w:r>
        <w:rPr>
          <w:rFonts w:hint="eastAsia" w:ascii="宋体" w:hAnsi="宋体" w:cs="宋体"/>
          <w:color w:val="000000"/>
          <w:szCs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pStyle w:val="17"/>
        <w:numPr>
          <w:ilvl w:val="1"/>
          <w:numId w:val="30"/>
        </w:numPr>
        <w:spacing w:line="360" w:lineRule="auto"/>
        <w:rPr>
          <w:rFonts w:hAnsi="宋体" w:cs="宋体"/>
          <w:color w:val="000000"/>
          <w:sz w:val="24"/>
          <w:szCs w:val="24"/>
        </w:rPr>
      </w:pPr>
      <w:r>
        <w:rPr>
          <w:rFonts w:hint="eastAsia" w:hAnsi="宋体" w:cs="宋体"/>
          <w:color w:val="000000"/>
          <w:sz w:val="24"/>
          <w:szCs w:val="24"/>
        </w:rPr>
        <w:t>除了合同条款第29条的情况外，除非拖延是根据合同条款第26.2条的规定取得同意而不收取误期赔偿费之外，供方延误交货，将按合同条款第27条的规定被收取误期赔偿费。</w:t>
      </w:r>
    </w:p>
    <w:p>
      <w:pPr>
        <w:pStyle w:val="4"/>
        <w:numPr>
          <w:ilvl w:val="0"/>
          <w:numId w:val="2"/>
        </w:numPr>
        <w:spacing w:line="360" w:lineRule="auto"/>
        <w:jc w:val="both"/>
        <w:rPr>
          <w:rFonts w:hint="default" w:cs="宋体"/>
          <w:color w:val="000000"/>
          <w:sz w:val="24"/>
          <w:szCs w:val="24"/>
        </w:rPr>
      </w:pPr>
      <w:r>
        <w:rPr>
          <w:rFonts w:cs="宋体"/>
          <w:color w:val="000000"/>
          <w:sz w:val="24"/>
          <w:szCs w:val="24"/>
        </w:rPr>
        <w:t>误期赔偿费</w:t>
      </w:r>
    </w:p>
    <w:p>
      <w:pPr>
        <w:pStyle w:val="17"/>
        <w:numPr>
          <w:ilvl w:val="1"/>
          <w:numId w:val="31"/>
        </w:numPr>
        <w:spacing w:line="360" w:lineRule="auto"/>
        <w:rPr>
          <w:rFonts w:hAnsi="宋体" w:cs="宋体"/>
          <w:color w:val="000000"/>
          <w:sz w:val="24"/>
          <w:szCs w:val="24"/>
        </w:rPr>
      </w:pPr>
      <w:r>
        <w:rPr>
          <w:rFonts w:hint="eastAsia" w:hAnsi="宋体" w:cs="宋体"/>
          <w:color w:val="000000"/>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贰点五(2.5％)计收，直至交货或提供服务为止。误期延误最多为两周。一旦达到误期最高期限，需方可考虑根据合同条款第28条的规定终止合同。</w:t>
      </w:r>
    </w:p>
    <w:p>
      <w:pPr>
        <w:pStyle w:val="4"/>
        <w:numPr>
          <w:ilvl w:val="0"/>
          <w:numId w:val="2"/>
        </w:numPr>
        <w:spacing w:line="360" w:lineRule="auto"/>
        <w:jc w:val="both"/>
        <w:rPr>
          <w:rFonts w:hint="default" w:cs="宋体"/>
          <w:color w:val="000000"/>
          <w:sz w:val="24"/>
          <w:szCs w:val="24"/>
        </w:rPr>
      </w:pPr>
      <w:r>
        <w:rPr>
          <w:rFonts w:cs="宋体"/>
          <w:color w:val="000000"/>
          <w:sz w:val="24"/>
          <w:szCs w:val="24"/>
        </w:rPr>
        <w:t>违约终止合同</w:t>
      </w:r>
    </w:p>
    <w:p>
      <w:pPr>
        <w:pStyle w:val="17"/>
        <w:numPr>
          <w:ilvl w:val="1"/>
          <w:numId w:val="32"/>
        </w:numPr>
        <w:spacing w:line="360" w:lineRule="auto"/>
        <w:rPr>
          <w:rFonts w:hAnsi="宋体" w:cs="宋体"/>
          <w:color w:val="000000"/>
          <w:sz w:val="24"/>
          <w:szCs w:val="24"/>
        </w:rPr>
      </w:pPr>
      <w:r>
        <w:rPr>
          <w:rFonts w:hint="eastAsia" w:hAnsi="宋体" w:cs="宋体"/>
          <w:color w:val="000000"/>
          <w:sz w:val="24"/>
          <w:szCs w:val="24"/>
        </w:rPr>
        <w:t>在需方对供方违约而采取的任何补救措施不受影响的情况下，需方可向供方发出书面违约通知书，提出终止部分或全部合同：</w:t>
      </w:r>
    </w:p>
    <w:p>
      <w:pPr>
        <w:pStyle w:val="17"/>
        <w:numPr>
          <w:ilvl w:val="0"/>
          <w:numId w:val="33"/>
        </w:numPr>
        <w:spacing w:line="360" w:lineRule="auto"/>
        <w:rPr>
          <w:rFonts w:hAnsi="宋体" w:cs="宋体"/>
          <w:color w:val="000000"/>
          <w:sz w:val="24"/>
          <w:szCs w:val="24"/>
        </w:rPr>
      </w:pPr>
      <w:r>
        <w:rPr>
          <w:rFonts w:hint="eastAsia" w:hAnsi="宋体" w:cs="宋体"/>
          <w:color w:val="000000"/>
          <w:sz w:val="24"/>
          <w:szCs w:val="24"/>
        </w:rPr>
        <w:t>如果供方未能在合同规定的期限内或需方根据合同条款第26条的规定同意延长的期限内提供部分或全部货物；</w:t>
      </w:r>
    </w:p>
    <w:p>
      <w:pPr>
        <w:pStyle w:val="17"/>
        <w:numPr>
          <w:ilvl w:val="0"/>
          <w:numId w:val="33"/>
        </w:numPr>
        <w:spacing w:line="360" w:lineRule="auto"/>
        <w:rPr>
          <w:rFonts w:hAnsi="宋体" w:cs="宋体"/>
          <w:color w:val="000000"/>
          <w:sz w:val="24"/>
          <w:szCs w:val="24"/>
        </w:rPr>
      </w:pPr>
      <w:r>
        <w:rPr>
          <w:rFonts w:hint="eastAsia" w:hAnsi="宋体" w:cs="宋体"/>
          <w:color w:val="000000"/>
          <w:sz w:val="24"/>
          <w:szCs w:val="24"/>
        </w:rPr>
        <w:t>如果供方未能履行合同规定的其它任何项义务。</w:t>
      </w:r>
    </w:p>
    <w:p>
      <w:pPr>
        <w:pStyle w:val="17"/>
        <w:numPr>
          <w:ilvl w:val="0"/>
          <w:numId w:val="33"/>
        </w:numPr>
        <w:spacing w:line="360" w:lineRule="auto"/>
        <w:rPr>
          <w:rFonts w:hAnsi="宋体" w:cs="宋体"/>
          <w:color w:val="000000"/>
          <w:sz w:val="24"/>
          <w:szCs w:val="24"/>
        </w:rPr>
      </w:pPr>
      <w:r>
        <w:rPr>
          <w:rFonts w:hint="eastAsia" w:hAnsi="宋体" w:cs="宋体"/>
          <w:color w:val="000000"/>
          <w:sz w:val="24"/>
          <w:szCs w:val="24"/>
        </w:rPr>
        <w:t>如果需方认为供方在本合同的竞争和实施过程中有腐败和欺诈行为。其定义如下：</w:t>
      </w:r>
    </w:p>
    <w:p>
      <w:pPr>
        <w:pStyle w:val="17"/>
        <w:numPr>
          <w:ilvl w:val="2"/>
          <w:numId w:val="2"/>
        </w:numPr>
        <w:tabs>
          <w:tab w:val="left" w:pos="1080"/>
          <w:tab w:val="clear" w:pos="1260"/>
        </w:tabs>
        <w:spacing w:line="360" w:lineRule="auto"/>
        <w:ind w:left="1080" w:firstLine="0"/>
        <w:rPr>
          <w:rFonts w:hAnsi="宋体" w:cs="宋体"/>
          <w:color w:val="000000"/>
          <w:sz w:val="24"/>
          <w:szCs w:val="24"/>
        </w:rPr>
      </w:pPr>
      <w:r>
        <w:rPr>
          <w:rFonts w:hint="eastAsia" w:hAnsi="宋体" w:cs="宋体"/>
          <w:color w:val="000000"/>
          <w:sz w:val="24"/>
          <w:szCs w:val="24"/>
        </w:rPr>
        <w:t>腐败行为：是指提供、给予、接受或索取任何有价值的物品来影响需方在采购过程或合同实施过程中的行为。</w:t>
      </w:r>
    </w:p>
    <w:p>
      <w:pPr>
        <w:pStyle w:val="17"/>
        <w:numPr>
          <w:ilvl w:val="2"/>
          <w:numId w:val="2"/>
        </w:numPr>
        <w:tabs>
          <w:tab w:val="left" w:pos="1080"/>
          <w:tab w:val="clear" w:pos="1260"/>
        </w:tabs>
        <w:spacing w:line="360" w:lineRule="auto"/>
        <w:ind w:left="1080" w:firstLine="0"/>
        <w:rPr>
          <w:rFonts w:hAnsi="宋体" w:cs="宋体"/>
          <w:color w:val="000000"/>
          <w:sz w:val="24"/>
          <w:szCs w:val="24"/>
        </w:rPr>
      </w:pPr>
      <w:r>
        <w:rPr>
          <w:rFonts w:hint="eastAsia" w:hAnsi="宋体" w:cs="宋体"/>
          <w:color w:val="000000"/>
          <w:sz w:val="24"/>
          <w:szCs w:val="24"/>
        </w:rPr>
        <w:t>欺诈行为：是指为了影响采购过程或合同实施过程而谎报或隐瞒事实，提供不满足合同要求的货物，损害需方利益的行为。</w:t>
      </w:r>
    </w:p>
    <w:p>
      <w:pPr>
        <w:pStyle w:val="17"/>
        <w:numPr>
          <w:ilvl w:val="1"/>
          <w:numId w:val="32"/>
        </w:numPr>
        <w:spacing w:line="360" w:lineRule="auto"/>
        <w:rPr>
          <w:rFonts w:hAnsi="宋体" w:cs="宋体"/>
          <w:color w:val="000000"/>
          <w:sz w:val="24"/>
          <w:szCs w:val="24"/>
        </w:rPr>
      </w:pPr>
      <w:r>
        <w:rPr>
          <w:rFonts w:hint="eastAsia" w:hAnsi="宋体" w:cs="宋体"/>
          <w:color w:val="000000"/>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pStyle w:val="4"/>
        <w:numPr>
          <w:ilvl w:val="0"/>
          <w:numId w:val="2"/>
        </w:numPr>
        <w:spacing w:line="360" w:lineRule="auto"/>
        <w:jc w:val="both"/>
        <w:rPr>
          <w:rFonts w:hint="default" w:cs="宋体"/>
          <w:color w:val="000000"/>
          <w:sz w:val="24"/>
          <w:szCs w:val="24"/>
        </w:rPr>
      </w:pPr>
      <w:r>
        <w:rPr>
          <w:rFonts w:cs="宋体"/>
          <w:color w:val="000000"/>
          <w:sz w:val="24"/>
          <w:szCs w:val="24"/>
        </w:rPr>
        <w:t>不可抗力</w:t>
      </w:r>
    </w:p>
    <w:p>
      <w:pPr>
        <w:pStyle w:val="17"/>
        <w:numPr>
          <w:ilvl w:val="1"/>
          <w:numId w:val="34"/>
        </w:numPr>
        <w:spacing w:line="360" w:lineRule="auto"/>
        <w:rPr>
          <w:rFonts w:hAnsi="宋体" w:cs="宋体"/>
          <w:color w:val="000000"/>
          <w:sz w:val="24"/>
          <w:szCs w:val="24"/>
        </w:rPr>
      </w:pPr>
      <w:r>
        <w:rPr>
          <w:rFonts w:hint="eastAsia" w:hAnsi="宋体" w:cs="宋体"/>
          <w:color w:val="000000"/>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pStyle w:val="17"/>
        <w:numPr>
          <w:ilvl w:val="1"/>
          <w:numId w:val="34"/>
        </w:numPr>
        <w:spacing w:line="360" w:lineRule="auto"/>
        <w:rPr>
          <w:rFonts w:hAnsi="宋体" w:cs="宋体"/>
          <w:color w:val="000000"/>
          <w:sz w:val="24"/>
          <w:szCs w:val="24"/>
        </w:rPr>
      </w:pPr>
      <w:r>
        <w:rPr>
          <w:rFonts w:hint="eastAsia" w:hAnsi="宋体" w:cs="宋体"/>
          <w:color w:val="000000"/>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pStyle w:val="4"/>
        <w:numPr>
          <w:ilvl w:val="0"/>
          <w:numId w:val="2"/>
        </w:numPr>
        <w:spacing w:line="360" w:lineRule="auto"/>
        <w:jc w:val="both"/>
        <w:rPr>
          <w:rFonts w:hint="default" w:cs="宋体"/>
          <w:color w:val="000000"/>
          <w:sz w:val="24"/>
          <w:szCs w:val="24"/>
        </w:rPr>
      </w:pPr>
      <w:r>
        <w:rPr>
          <w:rFonts w:cs="宋体"/>
          <w:color w:val="000000"/>
          <w:sz w:val="24"/>
          <w:szCs w:val="24"/>
        </w:rPr>
        <w:t>因破产而终止合同</w:t>
      </w:r>
    </w:p>
    <w:p>
      <w:pPr>
        <w:pStyle w:val="17"/>
        <w:numPr>
          <w:ilvl w:val="1"/>
          <w:numId w:val="35"/>
        </w:numPr>
        <w:spacing w:line="360" w:lineRule="auto"/>
        <w:rPr>
          <w:rFonts w:hAnsi="宋体" w:cs="宋体"/>
          <w:color w:val="000000"/>
          <w:sz w:val="24"/>
          <w:szCs w:val="24"/>
        </w:rPr>
      </w:pPr>
      <w:r>
        <w:rPr>
          <w:rFonts w:hint="eastAsia" w:hAnsi="宋体" w:cs="宋体"/>
          <w:color w:val="000000"/>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pPr>
        <w:pStyle w:val="4"/>
        <w:numPr>
          <w:ilvl w:val="0"/>
          <w:numId w:val="2"/>
        </w:numPr>
        <w:spacing w:line="360" w:lineRule="auto"/>
        <w:jc w:val="both"/>
        <w:rPr>
          <w:rFonts w:hint="default" w:cs="宋体"/>
          <w:color w:val="000000"/>
          <w:sz w:val="24"/>
          <w:szCs w:val="24"/>
        </w:rPr>
      </w:pPr>
      <w:r>
        <w:rPr>
          <w:rFonts w:cs="宋体"/>
          <w:color w:val="000000"/>
          <w:sz w:val="24"/>
          <w:szCs w:val="24"/>
        </w:rPr>
        <w:t>因需方的便利而终止合同</w:t>
      </w:r>
    </w:p>
    <w:p>
      <w:pPr>
        <w:pStyle w:val="17"/>
        <w:numPr>
          <w:ilvl w:val="1"/>
          <w:numId w:val="36"/>
        </w:numPr>
        <w:spacing w:line="360" w:lineRule="auto"/>
        <w:rPr>
          <w:rFonts w:hAnsi="宋体" w:cs="宋体"/>
          <w:color w:val="000000"/>
          <w:sz w:val="24"/>
          <w:szCs w:val="24"/>
        </w:rPr>
      </w:pPr>
      <w:r>
        <w:rPr>
          <w:rFonts w:hint="eastAsia" w:hAnsi="宋体" w:cs="宋体"/>
          <w:color w:val="000000"/>
          <w:sz w:val="24"/>
          <w:szCs w:val="24"/>
        </w:rPr>
        <w:t>需方可在任何时候出于自身的便利向供方发出书面通知全部或部分终止合同，终止通知应明确该终止合同是出于需方的便利，并明确合同终止的程度，以及终止的生效日期。</w:t>
      </w:r>
    </w:p>
    <w:p>
      <w:pPr>
        <w:pStyle w:val="17"/>
        <w:numPr>
          <w:ilvl w:val="1"/>
          <w:numId w:val="36"/>
        </w:numPr>
        <w:spacing w:line="360" w:lineRule="auto"/>
        <w:rPr>
          <w:rFonts w:hAnsi="宋体" w:cs="宋体"/>
          <w:color w:val="000000"/>
          <w:sz w:val="24"/>
          <w:szCs w:val="24"/>
        </w:rPr>
      </w:pPr>
      <w:r>
        <w:rPr>
          <w:rFonts w:hint="eastAsia" w:hAnsi="宋体" w:cs="宋体"/>
          <w:color w:val="000000"/>
          <w:sz w:val="24"/>
          <w:szCs w:val="24"/>
        </w:rPr>
        <w:t>对供方在收到终止通知后二十(20)天内已完成并准备装运的货物，需方应按原合同价格和条款予以接收，对于剩下的货物，需方可：</w:t>
      </w:r>
    </w:p>
    <w:p>
      <w:pPr>
        <w:pStyle w:val="17"/>
        <w:numPr>
          <w:ilvl w:val="0"/>
          <w:numId w:val="37"/>
        </w:numPr>
        <w:spacing w:line="360" w:lineRule="auto"/>
        <w:rPr>
          <w:rFonts w:hAnsi="宋体" w:cs="宋体"/>
          <w:color w:val="000000"/>
          <w:sz w:val="24"/>
          <w:szCs w:val="24"/>
        </w:rPr>
      </w:pPr>
      <w:r>
        <w:rPr>
          <w:rFonts w:hint="eastAsia" w:hAnsi="宋体" w:cs="宋体"/>
          <w:color w:val="000000"/>
          <w:sz w:val="24"/>
          <w:szCs w:val="24"/>
        </w:rPr>
        <w:t>仅对部分货物按照原来的合同价格和条款予以接受；或</w:t>
      </w:r>
    </w:p>
    <w:p>
      <w:pPr>
        <w:pStyle w:val="17"/>
        <w:numPr>
          <w:ilvl w:val="0"/>
          <w:numId w:val="37"/>
        </w:numPr>
        <w:spacing w:line="360" w:lineRule="auto"/>
        <w:rPr>
          <w:rFonts w:hAnsi="宋体" w:cs="宋体"/>
          <w:color w:val="000000"/>
          <w:sz w:val="24"/>
          <w:szCs w:val="24"/>
        </w:rPr>
      </w:pPr>
      <w:r>
        <w:rPr>
          <w:rFonts w:hint="eastAsia" w:hAnsi="宋体" w:cs="宋体"/>
          <w:color w:val="000000"/>
          <w:sz w:val="24"/>
          <w:szCs w:val="24"/>
        </w:rPr>
        <w:t>取消对所剩货物的采购，并按双方商定的金额向供方支付部分完成的货物和服务以及供方以前已采购的材料和部件的费用。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争端的解决</w:t>
      </w:r>
    </w:p>
    <w:p>
      <w:pPr>
        <w:pStyle w:val="17"/>
        <w:numPr>
          <w:ilvl w:val="1"/>
          <w:numId w:val="38"/>
        </w:numPr>
        <w:spacing w:line="360" w:lineRule="auto"/>
        <w:rPr>
          <w:rFonts w:hAnsi="宋体" w:cs="宋体"/>
          <w:color w:val="000000"/>
          <w:sz w:val="24"/>
          <w:szCs w:val="24"/>
        </w:rPr>
      </w:pPr>
      <w:r>
        <w:rPr>
          <w:rFonts w:hint="eastAsia" w:hAnsi="宋体" w:cs="宋体"/>
          <w:color w:val="000000"/>
          <w:sz w:val="24"/>
          <w:szCs w:val="24"/>
        </w:rPr>
        <w:t>合同实施或与合同有关的一切争端应通过双方协商解决。如果协商开始后三十(30) 天还不能解决，争端应提请有管辖权的政府采购管理机构按有关规则进行裁解或提交甲方所在地人民法院按有关规则和程序裁决。</w:t>
      </w:r>
    </w:p>
    <w:p>
      <w:pPr>
        <w:pStyle w:val="17"/>
        <w:numPr>
          <w:ilvl w:val="1"/>
          <w:numId w:val="38"/>
        </w:numPr>
        <w:spacing w:line="360" w:lineRule="auto"/>
        <w:rPr>
          <w:rFonts w:hAnsi="宋体" w:cs="宋体"/>
          <w:color w:val="000000"/>
          <w:sz w:val="24"/>
          <w:szCs w:val="24"/>
        </w:rPr>
      </w:pPr>
      <w:r>
        <w:rPr>
          <w:rFonts w:hint="eastAsia" w:hAnsi="宋体" w:cs="宋体"/>
          <w:color w:val="000000"/>
          <w:sz w:val="24"/>
          <w:szCs w:val="24"/>
        </w:rPr>
        <w:t>人民法院裁决应为最终裁决，对双方均具有约束力。</w:t>
      </w:r>
    </w:p>
    <w:p>
      <w:pPr>
        <w:pStyle w:val="17"/>
        <w:numPr>
          <w:ilvl w:val="1"/>
          <w:numId w:val="38"/>
        </w:numPr>
        <w:spacing w:line="360" w:lineRule="auto"/>
        <w:rPr>
          <w:rFonts w:hAnsi="宋体" w:cs="宋体"/>
          <w:color w:val="000000"/>
          <w:sz w:val="24"/>
          <w:szCs w:val="24"/>
        </w:rPr>
      </w:pPr>
      <w:r>
        <w:rPr>
          <w:rFonts w:hint="eastAsia" w:hAnsi="宋体" w:cs="宋体"/>
          <w:color w:val="000000"/>
          <w:sz w:val="24"/>
          <w:szCs w:val="24"/>
        </w:rPr>
        <w:t>诉讼费用除人民法院另有裁决外均应由败诉方负担。</w:t>
      </w:r>
    </w:p>
    <w:p>
      <w:pPr>
        <w:pStyle w:val="17"/>
        <w:numPr>
          <w:ilvl w:val="1"/>
          <w:numId w:val="38"/>
        </w:numPr>
        <w:spacing w:line="360" w:lineRule="auto"/>
        <w:rPr>
          <w:rFonts w:hAnsi="宋体" w:cs="宋体"/>
          <w:color w:val="000000"/>
          <w:sz w:val="24"/>
          <w:szCs w:val="24"/>
        </w:rPr>
      </w:pPr>
      <w:r>
        <w:rPr>
          <w:rFonts w:hint="eastAsia" w:hAnsi="宋体" w:cs="宋体"/>
          <w:color w:val="000000"/>
          <w:sz w:val="24"/>
          <w:szCs w:val="24"/>
        </w:rPr>
        <w:t>在诉讼期间，除正在进行诉讼的部分外，本合同其它部分应继续执行。</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合同语言</w:t>
      </w:r>
    </w:p>
    <w:p>
      <w:pPr>
        <w:pStyle w:val="17"/>
        <w:numPr>
          <w:ilvl w:val="1"/>
          <w:numId w:val="39"/>
        </w:numPr>
        <w:spacing w:line="360" w:lineRule="auto"/>
        <w:rPr>
          <w:rFonts w:hAnsi="宋体" w:cs="宋体"/>
          <w:color w:val="000000"/>
          <w:sz w:val="24"/>
          <w:szCs w:val="24"/>
        </w:rPr>
      </w:pPr>
      <w:r>
        <w:rPr>
          <w:rFonts w:hint="eastAsia" w:hAnsi="宋体" w:cs="宋体"/>
          <w:color w:val="000000"/>
          <w:sz w:val="24"/>
          <w:szCs w:val="24"/>
        </w:rPr>
        <w:t>除非双方另行同意，本合同语言为汉语。双方交换的与合同有关的信函应用合同语言书写。</w:t>
      </w:r>
    </w:p>
    <w:p>
      <w:pPr>
        <w:pStyle w:val="4"/>
        <w:numPr>
          <w:ilvl w:val="0"/>
          <w:numId w:val="2"/>
        </w:numPr>
        <w:spacing w:line="360" w:lineRule="auto"/>
        <w:jc w:val="both"/>
        <w:rPr>
          <w:rFonts w:hint="default" w:cs="宋体"/>
          <w:color w:val="000000"/>
          <w:sz w:val="24"/>
          <w:szCs w:val="24"/>
        </w:rPr>
      </w:pPr>
      <w:r>
        <w:rPr>
          <w:rFonts w:cs="宋体"/>
          <w:color w:val="000000"/>
          <w:sz w:val="24"/>
          <w:szCs w:val="24"/>
        </w:rPr>
        <w:t>适用法律</w:t>
      </w:r>
    </w:p>
    <w:p>
      <w:pPr>
        <w:pStyle w:val="17"/>
        <w:numPr>
          <w:ilvl w:val="1"/>
          <w:numId w:val="40"/>
        </w:numPr>
        <w:spacing w:line="360" w:lineRule="auto"/>
        <w:rPr>
          <w:rFonts w:hAnsi="宋体" w:cs="宋体"/>
          <w:color w:val="000000"/>
          <w:sz w:val="24"/>
          <w:szCs w:val="24"/>
        </w:rPr>
      </w:pPr>
      <w:r>
        <w:rPr>
          <w:rFonts w:hint="eastAsia" w:hAnsi="宋体" w:cs="宋体"/>
          <w:color w:val="000000"/>
          <w:sz w:val="24"/>
          <w:szCs w:val="24"/>
        </w:rPr>
        <w:t>本合同应按照中华人民共和国的法律进行解释。</w:t>
      </w:r>
    </w:p>
    <w:p>
      <w:pPr>
        <w:pStyle w:val="4"/>
        <w:numPr>
          <w:ilvl w:val="0"/>
          <w:numId w:val="2"/>
        </w:numPr>
        <w:spacing w:line="360" w:lineRule="auto"/>
        <w:jc w:val="both"/>
        <w:rPr>
          <w:rFonts w:hint="default" w:cs="宋体"/>
          <w:color w:val="000000"/>
          <w:sz w:val="24"/>
          <w:szCs w:val="24"/>
        </w:rPr>
      </w:pPr>
      <w:r>
        <w:rPr>
          <w:rFonts w:cs="宋体"/>
          <w:color w:val="000000"/>
          <w:sz w:val="24"/>
          <w:szCs w:val="24"/>
        </w:rPr>
        <w:t>通知</w:t>
      </w:r>
    </w:p>
    <w:p>
      <w:pPr>
        <w:pStyle w:val="17"/>
        <w:numPr>
          <w:ilvl w:val="1"/>
          <w:numId w:val="41"/>
        </w:numPr>
        <w:spacing w:line="360" w:lineRule="auto"/>
        <w:rPr>
          <w:rFonts w:hAnsi="宋体" w:cs="宋体"/>
          <w:color w:val="000000"/>
          <w:sz w:val="24"/>
          <w:szCs w:val="24"/>
        </w:rPr>
      </w:pPr>
      <w:r>
        <w:rPr>
          <w:rFonts w:hint="eastAsia" w:hAnsi="宋体" w:cs="宋体"/>
          <w:color w:val="000000"/>
          <w:sz w:val="24"/>
          <w:szCs w:val="24"/>
        </w:rPr>
        <w:t>本合同一方给对方的通知应用书面形式送到“合同专用条款资料表”中规定的对方的地址。</w:t>
      </w:r>
    </w:p>
    <w:p>
      <w:pPr>
        <w:pStyle w:val="17"/>
        <w:numPr>
          <w:ilvl w:val="1"/>
          <w:numId w:val="41"/>
        </w:numPr>
        <w:spacing w:line="360" w:lineRule="auto"/>
        <w:rPr>
          <w:rFonts w:hAnsi="宋体" w:cs="宋体"/>
          <w:color w:val="000000"/>
          <w:sz w:val="24"/>
          <w:szCs w:val="24"/>
        </w:rPr>
      </w:pPr>
      <w:r>
        <w:rPr>
          <w:rFonts w:hint="eastAsia" w:hAnsi="宋体" w:cs="宋体"/>
          <w:color w:val="000000"/>
          <w:sz w:val="24"/>
          <w:szCs w:val="24"/>
        </w:rPr>
        <w:t>通知以送到日期或通知书的生效日期为生效日期，两者中以晚的一个日期为准。</w:t>
      </w:r>
    </w:p>
    <w:p>
      <w:pPr>
        <w:pStyle w:val="4"/>
        <w:numPr>
          <w:ilvl w:val="0"/>
          <w:numId w:val="2"/>
        </w:numPr>
        <w:spacing w:line="360" w:lineRule="auto"/>
        <w:jc w:val="both"/>
        <w:rPr>
          <w:rFonts w:hint="default" w:cs="宋体"/>
          <w:color w:val="000000"/>
          <w:sz w:val="24"/>
          <w:szCs w:val="24"/>
        </w:rPr>
      </w:pPr>
      <w:r>
        <w:rPr>
          <w:rFonts w:cs="宋体"/>
          <w:color w:val="000000"/>
          <w:sz w:val="24"/>
          <w:szCs w:val="24"/>
        </w:rPr>
        <w:t>税</w:t>
      </w:r>
    </w:p>
    <w:p>
      <w:pPr>
        <w:pStyle w:val="17"/>
        <w:numPr>
          <w:ilvl w:val="1"/>
          <w:numId w:val="42"/>
        </w:numPr>
        <w:spacing w:line="360" w:lineRule="auto"/>
        <w:rPr>
          <w:rFonts w:hAnsi="宋体" w:cs="宋体"/>
          <w:iCs/>
          <w:color w:val="000000"/>
          <w:sz w:val="24"/>
          <w:szCs w:val="24"/>
        </w:rPr>
      </w:pPr>
      <w:r>
        <w:rPr>
          <w:rFonts w:hint="eastAsia" w:hAnsi="宋体" w:cs="宋体"/>
          <w:iCs/>
          <w:color w:val="000000"/>
          <w:sz w:val="24"/>
          <w:szCs w:val="24"/>
        </w:rPr>
        <w:t>在本合同项下提供的货物及实施与本合同有关的伴随服务，则根据中华人民共和国现行税法对供方征收的与本合同有关的一切税费均应由供方负担。</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合同生效及其他</w:t>
      </w:r>
    </w:p>
    <w:p>
      <w:pPr>
        <w:pStyle w:val="17"/>
        <w:numPr>
          <w:ilvl w:val="1"/>
          <w:numId w:val="43"/>
        </w:numPr>
        <w:spacing w:line="360" w:lineRule="auto"/>
        <w:rPr>
          <w:rFonts w:hAnsi="宋体" w:cs="宋体"/>
          <w:color w:val="000000"/>
          <w:sz w:val="24"/>
          <w:szCs w:val="24"/>
        </w:rPr>
      </w:pPr>
      <w:r>
        <w:rPr>
          <w:rFonts w:hint="eastAsia" w:hAnsi="宋体" w:cs="宋体"/>
          <w:color w:val="000000"/>
          <w:sz w:val="24"/>
          <w:szCs w:val="24"/>
        </w:rPr>
        <w:t>本合同应在双方签字和需方收到供方提交的履约保证金后生效。</w:t>
      </w:r>
    </w:p>
    <w:p>
      <w:pPr>
        <w:pStyle w:val="17"/>
        <w:numPr>
          <w:ilvl w:val="1"/>
          <w:numId w:val="43"/>
        </w:numPr>
        <w:spacing w:line="360" w:lineRule="auto"/>
        <w:rPr>
          <w:rFonts w:hAnsi="宋体" w:cs="宋体"/>
          <w:color w:val="000000"/>
          <w:sz w:val="24"/>
          <w:szCs w:val="24"/>
        </w:rPr>
      </w:pPr>
      <w:r>
        <w:rPr>
          <w:rFonts w:hint="eastAsia" w:hAnsi="宋体" w:cs="宋体"/>
          <w:color w:val="000000"/>
          <w:sz w:val="24"/>
          <w:szCs w:val="24"/>
        </w:rPr>
        <w:t>如果本合同中的非中华人民共和国境内生产的货物需要进出口许可证，应由供方负责办理，费用自理。</w:t>
      </w:r>
    </w:p>
    <w:p>
      <w:pPr>
        <w:pStyle w:val="17"/>
        <w:numPr>
          <w:ilvl w:val="1"/>
          <w:numId w:val="43"/>
        </w:numPr>
        <w:spacing w:line="360" w:lineRule="auto"/>
        <w:rPr>
          <w:rFonts w:hAnsi="宋体" w:cs="宋体"/>
          <w:color w:val="000000"/>
          <w:sz w:val="24"/>
          <w:szCs w:val="24"/>
        </w:rPr>
      </w:pPr>
      <w:r>
        <w:rPr>
          <w:rFonts w:hint="eastAsia" w:hAnsi="宋体" w:cs="宋体"/>
          <w:color w:val="000000"/>
          <w:sz w:val="24"/>
          <w:szCs w:val="24"/>
        </w:rPr>
        <w:t>下述合同附件为本合同不可分割的部分并与本合同具有同等效力：</w:t>
      </w:r>
    </w:p>
    <w:p>
      <w:pPr>
        <w:pStyle w:val="17"/>
        <w:numPr>
          <w:ilvl w:val="0"/>
          <w:numId w:val="44"/>
        </w:numPr>
        <w:spacing w:line="360" w:lineRule="auto"/>
        <w:rPr>
          <w:rFonts w:hAnsi="宋体" w:cs="宋体"/>
          <w:color w:val="000000"/>
          <w:sz w:val="24"/>
          <w:szCs w:val="24"/>
        </w:rPr>
      </w:pPr>
      <w:r>
        <w:rPr>
          <w:rFonts w:hint="eastAsia" w:hAnsi="宋体" w:cs="宋体"/>
          <w:color w:val="000000"/>
          <w:sz w:val="24"/>
          <w:szCs w:val="24"/>
        </w:rPr>
        <w:t>供货范围及分项价格表</w:t>
      </w:r>
    </w:p>
    <w:p>
      <w:pPr>
        <w:pStyle w:val="17"/>
        <w:numPr>
          <w:ilvl w:val="0"/>
          <w:numId w:val="44"/>
        </w:numPr>
        <w:spacing w:line="360" w:lineRule="auto"/>
        <w:rPr>
          <w:rFonts w:hAnsi="宋体" w:cs="宋体"/>
          <w:color w:val="000000"/>
          <w:sz w:val="24"/>
          <w:szCs w:val="24"/>
        </w:rPr>
      </w:pPr>
      <w:r>
        <w:rPr>
          <w:rFonts w:hint="eastAsia" w:hAnsi="宋体" w:cs="宋体"/>
          <w:color w:val="000000"/>
          <w:sz w:val="24"/>
          <w:szCs w:val="24"/>
        </w:rPr>
        <w:t>技术规格</w:t>
      </w:r>
    </w:p>
    <w:p>
      <w:pPr>
        <w:pStyle w:val="17"/>
        <w:numPr>
          <w:ilvl w:val="0"/>
          <w:numId w:val="44"/>
        </w:numPr>
        <w:spacing w:line="360" w:lineRule="auto"/>
        <w:rPr>
          <w:rFonts w:hAnsi="宋体" w:cs="宋体"/>
          <w:color w:val="000000"/>
          <w:sz w:val="24"/>
          <w:szCs w:val="24"/>
        </w:rPr>
      </w:pPr>
      <w:r>
        <w:rPr>
          <w:rFonts w:hint="eastAsia" w:hAnsi="宋体" w:cs="宋体"/>
          <w:color w:val="000000"/>
          <w:sz w:val="24"/>
          <w:szCs w:val="24"/>
        </w:rPr>
        <w:t>交货计划</w:t>
      </w:r>
    </w:p>
    <w:p>
      <w:pPr>
        <w:pStyle w:val="17"/>
        <w:numPr>
          <w:ilvl w:val="0"/>
          <w:numId w:val="44"/>
        </w:numPr>
        <w:spacing w:line="360" w:lineRule="auto"/>
        <w:rPr>
          <w:rFonts w:hAnsi="宋体" w:cs="宋体"/>
          <w:color w:val="000000"/>
          <w:sz w:val="24"/>
          <w:szCs w:val="24"/>
        </w:rPr>
      </w:pPr>
      <w:r>
        <w:rPr>
          <w:rFonts w:hint="eastAsia" w:hAnsi="宋体" w:cs="宋体"/>
          <w:color w:val="000000"/>
          <w:sz w:val="24"/>
          <w:szCs w:val="24"/>
        </w:rPr>
        <w:t>合同资料表中规定的其他附件</w:t>
      </w:r>
    </w:p>
    <w:p>
      <w:pPr>
        <w:pStyle w:val="5"/>
        <w:kinsoku w:val="0"/>
        <w:overflowPunct w:val="0"/>
        <w:spacing w:line="402" w:lineRule="exact"/>
        <w:ind w:left="2975"/>
        <w:rPr>
          <w:rFonts w:hint="default"/>
          <w:b/>
          <w:bCs/>
        </w:rPr>
      </w:pPr>
      <w:r>
        <w:rPr>
          <w:rFonts w:cs="宋体"/>
          <w:color w:val="000000"/>
        </w:rPr>
        <w:br w:type="page"/>
      </w:r>
      <w:r>
        <w:rPr>
          <w:b/>
          <w:bCs/>
          <w:spacing w:val="1"/>
        </w:rPr>
        <w:t>第三节 合同附件格式</w:t>
      </w:r>
    </w:p>
    <w:p>
      <w:pPr>
        <w:pStyle w:val="13"/>
        <w:kinsoku w:val="0"/>
        <w:overflowPunct w:val="0"/>
        <w:ind w:left="0"/>
        <w:rPr>
          <w:rFonts w:hint="default"/>
          <w:sz w:val="20"/>
        </w:rPr>
      </w:pPr>
    </w:p>
    <w:p>
      <w:pPr>
        <w:spacing w:line="360" w:lineRule="auto"/>
        <w:ind w:firstLine="360" w:firstLineChars="150"/>
        <w:rPr>
          <w:rFonts w:ascii="宋体" w:hAnsi="宋体" w:cs="宋体"/>
          <w:snapToGrid w:val="0"/>
          <w:color w:val="000000"/>
          <w:szCs w:val="24"/>
        </w:rPr>
      </w:pPr>
      <w:r>
        <w:rPr>
          <w:rFonts w:hint="eastAsia" w:ascii="宋体" w:hAnsi="宋体" w:cs="宋体"/>
          <w:snapToGrid w:val="0"/>
          <w:color w:val="000000"/>
          <w:szCs w:val="24"/>
        </w:rPr>
        <w:t>采购人（甲方）：</w:t>
      </w:r>
    </w:p>
    <w:p>
      <w:pPr>
        <w:spacing w:line="360" w:lineRule="auto"/>
        <w:ind w:firstLine="360" w:firstLineChars="150"/>
        <w:rPr>
          <w:rFonts w:ascii="宋体" w:hAnsi="宋体" w:cs="宋体"/>
          <w:snapToGrid w:val="0"/>
          <w:color w:val="000000"/>
          <w:szCs w:val="24"/>
        </w:rPr>
      </w:pPr>
      <w:r>
        <w:rPr>
          <w:rFonts w:hint="eastAsia" w:ascii="宋体" w:hAnsi="宋体" w:cs="宋体"/>
          <w:snapToGrid w:val="0"/>
          <w:color w:val="000000"/>
          <w:szCs w:val="24"/>
        </w:rPr>
        <w:t>供应商（乙方）：</w:t>
      </w:r>
    </w:p>
    <w:p>
      <w:pPr>
        <w:spacing w:line="360" w:lineRule="auto"/>
        <w:ind w:firstLine="390" w:firstLineChars="150"/>
        <w:rPr>
          <w:rFonts w:ascii="宋体" w:hAnsi="宋体" w:cs="宋体"/>
          <w:snapToGrid w:val="0"/>
          <w:color w:val="000000"/>
          <w:spacing w:val="-14"/>
          <w:szCs w:val="24"/>
        </w:rPr>
      </w:pPr>
      <w:r>
        <w:rPr>
          <w:rFonts w:hint="eastAsia" w:ascii="宋体" w:hAnsi="宋体" w:cs="宋体"/>
          <w:snapToGrid w:val="0"/>
          <w:color w:val="000000"/>
          <w:spacing w:val="10"/>
          <w:szCs w:val="24"/>
        </w:rPr>
        <w:t>根据《中华人民共和国政府采购法》、《中华人民共和国合同法》及</w:t>
      </w:r>
      <w:r>
        <w:rPr>
          <w:rFonts w:hint="eastAsia" w:ascii="宋体" w:hAnsi="宋体" w:cs="宋体"/>
          <w:snapToGrid w:val="0"/>
          <w:color w:val="000000"/>
          <w:spacing w:val="-14"/>
          <w:szCs w:val="24"/>
        </w:rPr>
        <w:t>采购项目（招标编号：）的《招标文件》、乙方的《投标文件》及《中标通知书》，甲、乙双方同意遵守如下条款：</w:t>
      </w:r>
    </w:p>
    <w:p>
      <w:pPr>
        <w:numPr>
          <w:ilvl w:val="0"/>
          <w:numId w:val="45"/>
        </w:numPr>
        <w:spacing w:line="360" w:lineRule="auto"/>
        <w:rPr>
          <w:rFonts w:ascii="宋体" w:hAnsi="宋体" w:cs="宋体"/>
          <w:snapToGrid w:val="0"/>
          <w:color w:val="000000"/>
          <w:szCs w:val="24"/>
        </w:rPr>
      </w:pPr>
      <w:bookmarkStart w:id="54" w:name="_Toc2188_WPSOffice_Level2"/>
      <w:r>
        <w:rPr>
          <w:rFonts w:hint="eastAsia" w:ascii="宋体" w:hAnsi="宋体" w:cs="宋体"/>
          <w:snapToGrid w:val="0"/>
          <w:color w:val="000000"/>
          <w:szCs w:val="24"/>
        </w:rPr>
        <w:t>合同标的和合同价格</w:t>
      </w:r>
      <w:bookmarkEnd w:id="54"/>
    </w:p>
    <w:tbl>
      <w:tblPr>
        <w:tblStyle w:val="26"/>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82"/>
        <w:gridCol w:w="1455"/>
        <w:gridCol w:w="853"/>
        <w:gridCol w:w="1025"/>
        <w:gridCol w:w="105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55"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产品名称</w:t>
            </w:r>
          </w:p>
        </w:tc>
        <w:tc>
          <w:tcPr>
            <w:tcW w:w="1282"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规格型号</w:t>
            </w:r>
          </w:p>
        </w:tc>
        <w:tc>
          <w:tcPr>
            <w:tcW w:w="1455"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生产厂家</w:t>
            </w:r>
          </w:p>
        </w:tc>
        <w:tc>
          <w:tcPr>
            <w:tcW w:w="853"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单位</w:t>
            </w:r>
          </w:p>
        </w:tc>
        <w:tc>
          <w:tcPr>
            <w:tcW w:w="1025"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数 量</w:t>
            </w:r>
          </w:p>
        </w:tc>
        <w:tc>
          <w:tcPr>
            <w:tcW w:w="1059"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单 价</w:t>
            </w:r>
          </w:p>
        </w:tc>
        <w:tc>
          <w:tcPr>
            <w:tcW w:w="1066" w:type="dxa"/>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55" w:type="dxa"/>
          </w:tcPr>
          <w:p>
            <w:pPr>
              <w:spacing w:line="360" w:lineRule="auto"/>
              <w:ind w:firstLine="567"/>
              <w:textAlignment w:val="baseline"/>
              <w:rPr>
                <w:rFonts w:ascii="宋体" w:hAnsi="宋体" w:cs="宋体"/>
                <w:snapToGrid w:val="0"/>
                <w:color w:val="000000"/>
                <w:szCs w:val="24"/>
              </w:rPr>
            </w:pPr>
          </w:p>
        </w:tc>
        <w:tc>
          <w:tcPr>
            <w:tcW w:w="1282" w:type="dxa"/>
          </w:tcPr>
          <w:p>
            <w:pPr>
              <w:spacing w:line="360" w:lineRule="auto"/>
              <w:ind w:firstLine="567"/>
              <w:textAlignment w:val="baseline"/>
              <w:rPr>
                <w:rFonts w:ascii="宋体" w:hAnsi="宋体" w:cs="宋体"/>
                <w:snapToGrid w:val="0"/>
                <w:color w:val="000000"/>
                <w:szCs w:val="24"/>
              </w:rPr>
            </w:pPr>
          </w:p>
        </w:tc>
        <w:tc>
          <w:tcPr>
            <w:tcW w:w="1455" w:type="dxa"/>
          </w:tcPr>
          <w:p>
            <w:pPr>
              <w:spacing w:line="360" w:lineRule="auto"/>
              <w:ind w:firstLine="567"/>
              <w:textAlignment w:val="baseline"/>
              <w:rPr>
                <w:rFonts w:ascii="宋体" w:hAnsi="宋体" w:cs="宋体"/>
                <w:snapToGrid w:val="0"/>
                <w:color w:val="000000"/>
                <w:szCs w:val="24"/>
              </w:rPr>
            </w:pPr>
          </w:p>
        </w:tc>
        <w:tc>
          <w:tcPr>
            <w:tcW w:w="853" w:type="dxa"/>
          </w:tcPr>
          <w:p>
            <w:pPr>
              <w:spacing w:line="360" w:lineRule="auto"/>
              <w:ind w:firstLine="567"/>
              <w:textAlignment w:val="baseline"/>
              <w:rPr>
                <w:rFonts w:ascii="宋体" w:hAnsi="宋体" w:cs="宋体"/>
                <w:snapToGrid w:val="0"/>
                <w:color w:val="000000"/>
                <w:szCs w:val="24"/>
              </w:rPr>
            </w:pPr>
          </w:p>
        </w:tc>
        <w:tc>
          <w:tcPr>
            <w:tcW w:w="1025" w:type="dxa"/>
          </w:tcPr>
          <w:p>
            <w:pPr>
              <w:spacing w:line="360" w:lineRule="auto"/>
              <w:ind w:firstLine="567"/>
              <w:textAlignment w:val="baseline"/>
              <w:rPr>
                <w:rFonts w:ascii="宋体" w:hAnsi="宋体" w:cs="宋体"/>
                <w:snapToGrid w:val="0"/>
                <w:color w:val="000000"/>
                <w:szCs w:val="24"/>
              </w:rPr>
            </w:pPr>
          </w:p>
        </w:tc>
        <w:tc>
          <w:tcPr>
            <w:tcW w:w="1059" w:type="dxa"/>
          </w:tcPr>
          <w:p>
            <w:pPr>
              <w:spacing w:line="360" w:lineRule="auto"/>
              <w:ind w:firstLine="567"/>
              <w:textAlignment w:val="baseline"/>
              <w:rPr>
                <w:rFonts w:ascii="宋体" w:hAnsi="宋体" w:cs="宋体"/>
                <w:snapToGrid w:val="0"/>
                <w:color w:val="000000"/>
                <w:szCs w:val="24"/>
              </w:rPr>
            </w:pPr>
          </w:p>
        </w:tc>
        <w:tc>
          <w:tcPr>
            <w:tcW w:w="1066" w:type="dxa"/>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55" w:type="dxa"/>
          </w:tcPr>
          <w:p>
            <w:pPr>
              <w:spacing w:line="360" w:lineRule="auto"/>
              <w:ind w:firstLine="567"/>
              <w:textAlignment w:val="baseline"/>
              <w:rPr>
                <w:rFonts w:ascii="宋体" w:hAnsi="宋体" w:cs="宋体"/>
                <w:snapToGrid w:val="0"/>
                <w:color w:val="000000"/>
                <w:szCs w:val="24"/>
              </w:rPr>
            </w:pPr>
          </w:p>
        </w:tc>
        <w:tc>
          <w:tcPr>
            <w:tcW w:w="1282" w:type="dxa"/>
          </w:tcPr>
          <w:p>
            <w:pPr>
              <w:spacing w:line="360" w:lineRule="auto"/>
              <w:ind w:firstLine="567"/>
              <w:textAlignment w:val="baseline"/>
              <w:rPr>
                <w:rFonts w:ascii="宋体" w:hAnsi="宋体" w:cs="宋体"/>
                <w:snapToGrid w:val="0"/>
                <w:color w:val="000000"/>
                <w:szCs w:val="24"/>
              </w:rPr>
            </w:pPr>
          </w:p>
        </w:tc>
        <w:tc>
          <w:tcPr>
            <w:tcW w:w="1455" w:type="dxa"/>
          </w:tcPr>
          <w:p>
            <w:pPr>
              <w:spacing w:line="360" w:lineRule="auto"/>
              <w:ind w:firstLine="567"/>
              <w:textAlignment w:val="baseline"/>
              <w:rPr>
                <w:rFonts w:ascii="宋体" w:hAnsi="宋体" w:cs="宋体"/>
                <w:snapToGrid w:val="0"/>
                <w:color w:val="000000"/>
                <w:szCs w:val="24"/>
              </w:rPr>
            </w:pPr>
          </w:p>
        </w:tc>
        <w:tc>
          <w:tcPr>
            <w:tcW w:w="853" w:type="dxa"/>
          </w:tcPr>
          <w:p>
            <w:pPr>
              <w:spacing w:line="360" w:lineRule="auto"/>
              <w:ind w:firstLine="567"/>
              <w:textAlignment w:val="baseline"/>
              <w:rPr>
                <w:rFonts w:ascii="宋体" w:hAnsi="宋体" w:cs="宋体"/>
                <w:snapToGrid w:val="0"/>
                <w:color w:val="000000"/>
                <w:szCs w:val="24"/>
              </w:rPr>
            </w:pPr>
          </w:p>
        </w:tc>
        <w:tc>
          <w:tcPr>
            <w:tcW w:w="1025" w:type="dxa"/>
          </w:tcPr>
          <w:p>
            <w:pPr>
              <w:spacing w:line="360" w:lineRule="auto"/>
              <w:ind w:firstLine="567"/>
              <w:textAlignment w:val="baseline"/>
              <w:rPr>
                <w:rFonts w:ascii="宋体" w:hAnsi="宋体" w:cs="宋体"/>
                <w:snapToGrid w:val="0"/>
                <w:color w:val="000000"/>
                <w:szCs w:val="24"/>
              </w:rPr>
            </w:pPr>
          </w:p>
        </w:tc>
        <w:tc>
          <w:tcPr>
            <w:tcW w:w="1059" w:type="dxa"/>
          </w:tcPr>
          <w:p>
            <w:pPr>
              <w:spacing w:line="360" w:lineRule="auto"/>
              <w:ind w:firstLine="567"/>
              <w:textAlignment w:val="baseline"/>
              <w:rPr>
                <w:rFonts w:ascii="宋体" w:hAnsi="宋体" w:cs="宋体"/>
                <w:snapToGrid w:val="0"/>
                <w:color w:val="000000"/>
                <w:szCs w:val="24"/>
              </w:rPr>
            </w:pPr>
          </w:p>
        </w:tc>
        <w:tc>
          <w:tcPr>
            <w:tcW w:w="1066" w:type="dxa"/>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55" w:type="dxa"/>
          </w:tcPr>
          <w:p>
            <w:pPr>
              <w:spacing w:line="360" w:lineRule="auto"/>
              <w:ind w:firstLine="567"/>
              <w:textAlignment w:val="baseline"/>
              <w:rPr>
                <w:rFonts w:ascii="宋体" w:hAnsi="宋体" w:cs="宋体"/>
                <w:snapToGrid w:val="0"/>
                <w:color w:val="000000"/>
                <w:szCs w:val="24"/>
              </w:rPr>
            </w:pPr>
          </w:p>
        </w:tc>
        <w:tc>
          <w:tcPr>
            <w:tcW w:w="1282" w:type="dxa"/>
          </w:tcPr>
          <w:p>
            <w:pPr>
              <w:spacing w:line="360" w:lineRule="auto"/>
              <w:ind w:firstLine="567"/>
              <w:textAlignment w:val="baseline"/>
              <w:rPr>
                <w:rFonts w:ascii="宋体" w:hAnsi="宋体" w:cs="宋体"/>
                <w:snapToGrid w:val="0"/>
                <w:color w:val="000000"/>
                <w:szCs w:val="24"/>
              </w:rPr>
            </w:pPr>
          </w:p>
        </w:tc>
        <w:tc>
          <w:tcPr>
            <w:tcW w:w="1455" w:type="dxa"/>
          </w:tcPr>
          <w:p>
            <w:pPr>
              <w:spacing w:line="360" w:lineRule="auto"/>
              <w:ind w:firstLine="567"/>
              <w:textAlignment w:val="baseline"/>
              <w:rPr>
                <w:rFonts w:ascii="宋体" w:hAnsi="宋体" w:cs="宋体"/>
                <w:snapToGrid w:val="0"/>
                <w:color w:val="000000"/>
                <w:szCs w:val="24"/>
              </w:rPr>
            </w:pPr>
          </w:p>
        </w:tc>
        <w:tc>
          <w:tcPr>
            <w:tcW w:w="853" w:type="dxa"/>
          </w:tcPr>
          <w:p>
            <w:pPr>
              <w:spacing w:line="360" w:lineRule="auto"/>
              <w:ind w:firstLine="567"/>
              <w:textAlignment w:val="baseline"/>
              <w:rPr>
                <w:rFonts w:ascii="宋体" w:hAnsi="宋体" w:cs="宋体"/>
                <w:snapToGrid w:val="0"/>
                <w:color w:val="000000"/>
                <w:szCs w:val="24"/>
              </w:rPr>
            </w:pPr>
          </w:p>
        </w:tc>
        <w:tc>
          <w:tcPr>
            <w:tcW w:w="1025" w:type="dxa"/>
          </w:tcPr>
          <w:p>
            <w:pPr>
              <w:spacing w:line="360" w:lineRule="auto"/>
              <w:ind w:firstLine="567"/>
              <w:textAlignment w:val="baseline"/>
              <w:rPr>
                <w:rFonts w:ascii="宋体" w:hAnsi="宋体" w:cs="宋体"/>
                <w:snapToGrid w:val="0"/>
                <w:color w:val="000000"/>
                <w:szCs w:val="24"/>
              </w:rPr>
            </w:pPr>
          </w:p>
        </w:tc>
        <w:tc>
          <w:tcPr>
            <w:tcW w:w="1059" w:type="dxa"/>
          </w:tcPr>
          <w:p>
            <w:pPr>
              <w:spacing w:line="360" w:lineRule="auto"/>
              <w:ind w:firstLine="567"/>
              <w:textAlignment w:val="baseline"/>
              <w:rPr>
                <w:rFonts w:ascii="宋体" w:hAnsi="宋体" w:cs="宋体"/>
                <w:snapToGrid w:val="0"/>
                <w:color w:val="000000"/>
                <w:szCs w:val="24"/>
              </w:rPr>
            </w:pPr>
          </w:p>
        </w:tc>
        <w:tc>
          <w:tcPr>
            <w:tcW w:w="1066" w:type="dxa"/>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55" w:type="dxa"/>
          </w:tcPr>
          <w:p>
            <w:pPr>
              <w:spacing w:line="360" w:lineRule="auto"/>
              <w:ind w:firstLine="567"/>
              <w:textAlignment w:val="baseline"/>
              <w:rPr>
                <w:rFonts w:ascii="宋体" w:hAnsi="宋体" w:cs="宋体"/>
                <w:snapToGrid w:val="0"/>
                <w:color w:val="000000"/>
                <w:szCs w:val="24"/>
              </w:rPr>
            </w:pPr>
          </w:p>
        </w:tc>
        <w:tc>
          <w:tcPr>
            <w:tcW w:w="1282" w:type="dxa"/>
          </w:tcPr>
          <w:p>
            <w:pPr>
              <w:spacing w:line="360" w:lineRule="auto"/>
              <w:ind w:firstLine="567"/>
              <w:textAlignment w:val="baseline"/>
              <w:rPr>
                <w:rFonts w:ascii="宋体" w:hAnsi="宋体" w:cs="宋体"/>
                <w:snapToGrid w:val="0"/>
                <w:color w:val="000000"/>
                <w:szCs w:val="24"/>
              </w:rPr>
            </w:pPr>
          </w:p>
        </w:tc>
        <w:tc>
          <w:tcPr>
            <w:tcW w:w="1455" w:type="dxa"/>
          </w:tcPr>
          <w:p>
            <w:pPr>
              <w:spacing w:line="360" w:lineRule="auto"/>
              <w:ind w:firstLine="567"/>
              <w:textAlignment w:val="baseline"/>
              <w:rPr>
                <w:rFonts w:ascii="宋体" w:hAnsi="宋体" w:cs="宋体"/>
                <w:snapToGrid w:val="0"/>
                <w:color w:val="000000"/>
                <w:szCs w:val="24"/>
              </w:rPr>
            </w:pPr>
          </w:p>
        </w:tc>
        <w:tc>
          <w:tcPr>
            <w:tcW w:w="853" w:type="dxa"/>
          </w:tcPr>
          <w:p>
            <w:pPr>
              <w:spacing w:line="360" w:lineRule="auto"/>
              <w:ind w:firstLine="567"/>
              <w:textAlignment w:val="baseline"/>
              <w:rPr>
                <w:rFonts w:ascii="宋体" w:hAnsi="宋体" w:cs="宋体"/>
                <w:snapToGrid w:val="0"/>
                <w:color w:val="000000"/>
                <w:szCs w:val="24"/>
              </w:rPr>
            </w:pPr>
          </w:p>
        </w:tc>
        <w:tc>
          <w:tcPr>
            <w:tcW w:w="1025" w:type="dxa"/>
          </w:tcPr>
          <w:p>
            <w:pPr>
              <w:spacing w:line="360" w:lineRule="auto"/>
              <w:ind w:firstLine="567"/>
              <w:textAlignment w:val="baseline"/>
              <w:rPr>
                <w:rFonts w:ascii="宋体" w:hAnsi="宋体" w:cs="宋体"/>
                <w:snapToGrid w:val="0"/>
                <w:color w:val="000000"/>
                <w:szCs w:val="24"/>
              </w:rPr>
            </w:pPr>
          </w:p>
        </w:tc>
        <w:tc>
          <w:tcPr>
            <w:tcW w:w="1059" w:type="dxa"/>
          </w:tcPr>
          <w:p>
            <w:pPr>
              <w:spacing w:line="360" w:lineRule="auto"/>
              <w:ind w:firstLine="567"/>
              <w:textAlignment w:val="baseline"/>
              <w:rPr>
                <w:rFonts w:ascii="宋体" w:hAnsi="宋体" w:cs="宋体"/>
                <w:snapToGrid w:val="0"/>
                <w:color w:val="000000"/>
                <w:szCs w:val="24"/>
              </w:rPr>
            </w:pPr>
          </w:p>
        </w:tc>
        <w:tc>
          <w:tcPr>
            <w:tcW w:w="1066" w:type="dxa"/>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95" w:type="dxa"/>
            <w:gridSpan w:val="7"/>
            <w:vAlign w:val="center"/>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pacing w:val="-16"/>
                <w:szCs w:val="24"/>
              </w:rPr>
              <w:t>合同总金额（大写）（包含备件、专用工具、安装、调试、检验、技术培训及技术资料和运输保险等费用）：人民币（¥：）</w:t>
            </w:r>
          </w:p>
        </w:tc>
      </w:tr>
    </w:tbl>
    <w:p>
      <w:pPr>
        <w:numPr>
          <w:ilvl w:val="0"/>
          <w:numId w:val="45"/>
        </w:numPr>
        <w:spacing w:line="360" w:lineRule="auto"/>
        <w:rPr>
          <w:rFonts w:ascii="宋体" w:hAnsi="宋体" w:cs="宋体"/>
          <w:snapToGrid w:val="0"/>
          <w:color w:val="000000"/>
          <w:szCs w:val="24"/>
        </w:rPr>
      </w:pPr>
      <w:bookmarkStart w:id="55" w:name="_Toc20751_WPSOffice_Level2"/>
      <w:r>
        <w:rPr>
          <w:rFonts w:hint="eastAsia" w:ascii="宋体" w:hAnsi="宋体" w:cs="宋体"/>
          <w:snapToGrid w:val="0"/>
          <w:color w:val="000000"/>
          <w:szCs w:val="24"/>
        </w:rPr>
        <w:t>交货时间和交货地点</w:t>
      </w:r>
      <w:bookmarkEnd w:id="55"/>
    </w:p>
    <w:p>
      <w:pPr>
        <w:spacing w:line="360" w:lineRule="auto"/>
        <w:ind w:left="410" w:leftChars="171" w:firstLine="120" w:firstLineChars="50"/>
        <w:rPr>
          <w:rFonts w:ascii="宋体" w:hAnsi="宋体" w:cs="宋体"/>
          <w:snapToGrid w:val="0"/>
          <w:color w:val="000000"/>
          <w:szCs w:val="24"/>
        </w:rPr>
      </w:pPr>
      <w:r>
        <w:rPr>
          <w:rFonts w:hint="eastAsia" w:ascii="宋体" w:hAnsi="宋体" w:cs="宋体"/>
          <w:snapToGrid w:val="0"/>
          <w:color w:val="000000"/>
          <w:szCs w:val="24"/>
        </w:rPr>
        <w:t>2.1交货时间：</w:t>
      </w:r>
      <w:r>
        <w:rPr>
          <w:rFonts w:hint="eastAsia" w:ascii="宋体" w:hAnsi="宋体" w:cs="宋体"/>
          <w:snapToGrid w:val="0"/>
          <w:color w:val="000000"/>
          <w:szCs w:val="24"/>
          <w:u w:val="single"/>
        </w:rPr>
        <w:t xml:space="preserve">               </w:t>
      </w:r>
    </w:p>
    <w:p>
      <w:pPr>
        <w:spacing w:line="360" w:lineRule="auto"/>
        <w:ind w:left="410" w:leftChars="171" w:firstLine="120" w:firstLineChars="50"/>
        <w:rPr>
          <w:rFonts w:ascii="宋体" w:hAnsi="宋体" w:cs="宋体"/>
          <w:snapToGrid w:val="0"/>
          <w:color w:val="000000"/>
          <w:szCs w:val="24"/>
          <w:u w:val="single"/>
        </w:rPr>
      </w:pPr>
      <w:r>
        <w:rPr>
          <w:rFonts w:hint="eastAsia" w:ascii="宋体" w:hAnsi="宋体" w:cs="宋体"/>
          <w:snapToGrid w:val="0"/>
          <w:color w:val="000000"/>
          <w:szCs w:val="24"/>
        </w:rPr>
        <w:t>2.2交货地点：</w:t>
      </w:r>
      <w:r>
        <w:rPr>
          <w:rFonts w:hint="eastAsia" w:ascii="宋体" w:hAnsi="宋体" w:cs="宋体"/>
          <w:snapToGrid w:val="0"/>
          <w:color w:val="000000"/>
          <w:szCs w:val="24"/>
          <w:u w:val="single"/>
        </w:rPr>
        <w:t xml:space="preserve">               </w:t>
      </w:r>
    </w:p>
    <w:p>
      <w:pPr>
        <w:spacing w:line="360" w:lineRule="auto"/>
        <w:rPr>
          <w:rFonts w:ascii="宋体" w:hAnsi="宋体" w:cs="宋体"/>
          <w:snapToGrid w:val="0"/>
          <w:color w:val="000000"/>
          <w:szCs w:val="24"/>
        </w:rPr>
      </w:pPr>
      <w:bookmarkStart w:id="56" w:name="_Toc21887_WPSOffice_Level2"/>
      <w:r>
        <w:rPr>
          <w:rFonts w:hint="eastAsia" w:ascii="宋体" w:hAnsi="宋体" w:cs="宋体"/>
          <w:snapToGrid w:val="0"/>
          <w:color w:val="000000"/>
          <w:szCs w:val="24"/>
        </w:rPr>
        <w:t>3、付款方式与比例</w:t>
      </w:r>
      <w:bookmarkEnd w:id="56"/>
    </w:p>
    <w:p>
      <w:pPr>
        <w:spacing w:line="360" w:lineRule="auto"/>
        <w:rPr>
          <w:rFonts w:ascii="宋体" w:hAnsi="宋体" w:cs="宋体"/>
          <w:snapToGrid w:val="0"/>
          <w:color w:val="000000"/>
          <w:szCs w:val="24"/>
        </w:rPr>
      </w:pPr>
      <w:bookmarkStart w:id="57" w:name="_Toc29048_WPSOffice_Level2"/>
      <w:r>
        <w:rPr>
          <w:rFonts w:hint="eastAsia" w:ascii="宋体" w:hAnsi="宋体" w:cs="宋体"/>
          <w:snapToGrid w:val="0"/>
          <w:color w:val="000000"/>
          <w:szCs w:val="24"/>
        </w:rPr>
        <w:t>4、质量要求和技术标准</w:t>
      </w:r>
      <w:bookmarkEnd w:id="57"/>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质量要求和技术标准按招标文件和乙方投标文件执行。</w:t>
      </w:r>
    </w:p>
    <w:p>
      <w:pPr>
        <w:spacing w:line="360" w:lineRule="auto"/>
        <w:rPr>
          <w:rFonts w:ascii="宋体" w:hAnsi="宋体" w:cs="宋体"/>
          <w:snapToGrid w:val="0"/>
          <w:color w:val="000000"/>
          <w:szCs w:val="24"/>
        </w:rPr>
      </w:pPr>
      <w:bookmarkStart w:id="58" w:name="_Toc6173_WPSOffice_Level2"/>
      <w:r>
        <w:rPr>
          <w:rFonts w:hint="eastAsia" w:ascii="宋体" w:hAnsi="宋体" w:cs="宋体"/>
          <w:snapToGrid w:val="0"/>
          <w:color w:val="000000"/>
          <w:szCs w:val="24"/>
        </w:rPr>
        <w:t>5、安装调试、技术服务、人员培训及技术资料。</w:t>
      </w:r>
      <w:bookmarkEnd w:id="58"/>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安装调试、技术服务、人员培训及技术资料按招标文件和乙方投标文件执行。</w:t>
      </w:r>
    </w:p>
    <w:p>
      <w:pPr>
        <w:spacing w:line="360" w:lineRule="auto"/>
        <w:rPr>
          <w:rFonts w:ascii="宋体" w:hAnsi="宋体" w:cs="宋体"/>
          <w:snapToGrid w:val="0"/>
          <w:color w:val="000000"/>
          <w:szCs w:val="24"/>
        </w:rPr>
      </w:pPr>
      <w:bookmarkStart w:id="59" w:name="_Toc4399_WPSOffice_Level2"/>
      <w:r>
        <w:rPr>
          <w:rFonts w:hint="eastAsia" w:ascii="宋体" w:hAnsi="宋体" w:cs="宋体"/>
          <w:snapToGrid w:val="0"/>
          <w:color w:val="000000"/>
          <w:szCs w:val="24"/>
        </w:rPr>
        <w:t>6、验收</w:t>
      </w:r>
      <w:bookmarkEnd w:id="59"/>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6.1乙方在所有设备安装调试完毕后，向甲方发出验收申请。甲方组织验收（检验与测试的条件和方式：1）投标设备送到交货后，由设备制造厂商授权的技术人员现场安装调试；2）安装调试完成，由采购人组织验收），乙方应给予配合。</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6.2如在验收过程中产生异议，甲乙双方均可向同级政府采购管理部门申请，组织专家综合评定。</w:t>
      </w:r>
    </w:p>
    <w:p>
      <w:pPr>
        <w:spacing w:line="360" w:lineRule="auto"/>
        <w:rPr>
          <w:rFonts w:ascii="宋体" w:hAnsi="宋体" w:cs="宋体"/>
          <w:snapToGrid w:val="0"/>
          <w:color w:val="000000"/>
          <w:szCs w:val="24"/>
        </w:rPr>
      </w:pPr>
      <w:bookmarkStart w:id="60" w:name="_Toc2278_WPSOffice_Level2"/>
      <w:r>
        <w:rPr>
          <w:rFonts w:hint="eastAsia" w:ascii="宋体" w:hAnsi="宋体" w:cs="宋体"/>
          <w:snapToGrid w:val="0"/>
          <w:color w:val="000000"/>
          <w:szCs w:val="24"/>
        </w:rPr>
        <w:t>7、售后服务</w:t>
      </w:r>
      <w:bookmarkEnd w:id="60"/>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7.1质保期、乙方响应时间、费用承担按招标文件和乙方投标文件执行。</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7.2如货物不能达到本合同约定的质量标准，视作乙方未能按时交货，甲方有权退货并追究乙方的违约责任。</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7.3乙方须指派专人负责与甲方联系售后服务事宜。</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7.4质保期外的售后服务按招标文件和乙方投标文件执行。（如招标文件没有规定，可在此约定）</w:t>
      </w:r>
    </w:p>
    <w:p>
      <w:pPr>
        <w:spacing w:line="360" w:lineRule="auto"/>
        <w:rPr>
          <w:rFonts w:ascii="宋体" w:hAnsi="宋体" w:cs="宋体"/>
          <w:snapToGrid w:val="0"/>
          <w:color w:val="000000"/>
          <w:szCs w:val="24"/>
        </w:rPr>
      </w:pPr>
      <w:bookmarkStart w:id="61" w:name="_Toc15152_WPSOffice_Level2"/>
      <w:r>
        <w:rPr>
          <w:rFonts w:hint="eastAsia" w:ascii="宋体" w:hAnsi="宋体" w:cs="宋体"/>
          <w:snapToGrid w:val="0"/>
          <w:color w:val="000000"/>
          <w:szCs w:val="24"/>
        </w:rPr>
        <w:t>8、违约责任</w:t>
      </w:r>
      <w:bookmarkEnd w:id="61"/>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8.1乙方未能按期供货的，应向甲方支付合同总价款的5%的违约金；同时，甲方有权要求追偿其他损失，并有权解除合同。</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8.2乙方所交的设备品种、型号、规格、质量不符合合同规定标准的，甲方有权拒收设备，解除合同，乙方须向甲方支付合同总价款的5%的违约金。</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8.3甲方无正当理由拒收设备，应向乙方支付拒收设备款总额5%的违约金。</w:t>
      </w:r>
    </w:p>
    <w:p>
      <w:pPr>
        <w:spacing w:line="360" w:lineRule="auto"/>
        <w:rPr>
          <w:rFonts w:ascii="宋体" w:hAnsi="宋体" w:cs="宋体"/>
          <w:snapToGrid w:val="0"/>
          <w:color w:val="000000"/>
          <w:szCs w:val="24"/>
        </w:rPr>
      </w:pPr>
      <w:bookmarkStart w:id="62" w:name="_Toc20850_WPSOffice_Level2"/>
      <w:r>
        <w:rPr>
          <w:rFonts w:hint="eastAsia" w:ascii="宋体" w:hAnsi="宋体" w:cs="宋体"/>
          <w:snapToGrid w:val="0"/>
          <w:color w:val="000000"/>
          <w:szCs w:val="24"/>
        </w:rPr>
        <w:t>9、合同纠纷处理</w:t>
      </w:r>
      <w:bookmarkEnd w:id="62"/>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9.1因货物的质量问题发生争议，由质量技术监督部门或其指定的质量鉴定机构进行质量鉴定。货物符合标准的，鉴定费由甲方承担；货物不符合质量标准的，鉴定费由乙方承担。</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9.2合同履行期间，若双方发生争议，可协商解决。协商不成的，可申请同级政府采购管理部门调解。调解不成或不经调解，双方均可向合甲方所在地人民法院提起诉讼。</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9.3本合同所涉及的货物在交付验收使用后所发生的合同纠纷，由甲方直接与乙方协商进行处理。协商不成的，双方均可向甲方所在地人民法院提起诉讼。</w:t>
      </w:r>
    </w:p>
    <w:p>
      <w:pPr>
        <w:spacing w:line="360" w:lineRule="auto"/>
        <w:rPr>
          <w:rFonts w:ascii="宋体" w:hAnsi="宋体" w:cs="宋体"/>
          <w:snapToGrid w:val="0"/>
          <w:color w:val="000000"/>
          <w:szCs w:val="24"/>
        </w:rPr>
      </w:pPr>
      <w:bookmarkStart w:id="63" w:name="_Toc23290_WPSOffice_Level2"/>
      <w:r>
        <w:rPr>
          <w:rFonts w:hint="eastAsia" w:ascii="宋体" w:hAnsi="宋体" w:cs="宋体"/>
          <w:snapToGrid w:val="0"/>
          <w:color w:val="000000"/>
          <w:szCs w:val="24"/>
        </w:rPr>
        <w:t>10、未尽事宜</w:t>
      </w:r>
      <w:bookmarkEnd w:id="63"/>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本合同未尽事宜，供需双方可签订补充协议，与本合具有同等法律效力，但不得违背本合同的实质性条款。</w:t>
      </w:r>
    </w:p>
    <w:p>
      <w:pPr>
        <w:spacing w:line="360" w:lineRule="auto"/>
        <w:rPr>
          <w:rFonts w:ascii="宋体" w:hAnsi="宋体" w:cs="宋体"/>
          <w:snapToGrid w:val="0"/>
          <w:color w:val="000000"/>
          <w:szCs w:val="24"/>
        </w:rPr>
      </w:pPr>
      <w:bookmarkStart w:id="64" w:name="_Toc7787_WPSOffice_Level2"/>
      <w:r>
        <w:rPr>
          <w:rFonts w:hint="eastAsia" w:ascii="宋体" w:hAnsi="宋体" w:cs="宋体"/>
          <w:snapToGrid w:val="0"/>
          <w:color w:val="000000"/>
          <w:szCs w:val="24"/>
        </w:rPr>
        <w:t>11、其他</w:t>
      </w:r>
      <w:bookmarkEnd w:id="64"/>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11.1详细技术说明及其他有关合同项目的特定信息由合同附件予以说明，合同附件及本项目的招标文件、投标文件、《中标通知书》、相关的澄清确认（如果有的话）均为本合同不可分割的组成部分，与本合同具有同等法律效力。</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11.2本合同经甲乙双方授权代表签字，并加盖公章后生效。本合同一式六份，甲乙双方各两份，送采购代理机构、同级政府采购管理部门备案各一份。</w:t>
      </w:r>
    </w:p>
    <w:p>
      <w:pPr>
        <w:pStyle w:val="25"/>
        <w:spacing w:line="360" w:lineRule="auto"/>
        <w:ind w:firstLine="210"/>
        <w:rPr>
          <w:rFonts w:hint="default" w:eastAsia="宋体" w:cs="宋体"/>
          <w:snapToGrid w:val="0"/>
          <w:color w:val="000000"/>
          <w:sz w:val="24"/>
          <w:szCs w:val="24"/>
        </w:rPr>
      </w:pPr>
    </w:p>
    <w:p>
      <w:pPr>
        <w:pStyle w:val="25"/>
        <w:spacing w:line="360" w:lineRule="auto"/>
        <w:ind w:firstLine="210"/>
        <w:rPr>
          <w:rFonts w:hint="default" w:eastAsia="宋体" w:cs="宋体"/>
          <w:snapToGrid w:val="0"/>
          <w:color w:val="000000"/>
          <w:sz w:val="24"/>
          <w:szCs w:val="24"/>
        </w:rPr>
      </w:pP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甲方：    （盖章）</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法定代表人（授权代表）：</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地    址：</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开户银行：</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账    号：</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电    话：</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传    真：</w:t>
      </w:r>
    </w:p>
    <w:p>
      <w:pPr>
        <w:spacing w:line="360" w:lineRule="auto"/>
        <w:rPr>
          <w:rFonts w:ascii="宋体" w:hAnsi="宋体" w:cs="宋体"/>
          <w:snapToGrid w:val="0"/>
          <w:color w:val="000000"/>
          <w:szCs w:val="24"/>
        </w:rPr>
      </w:pP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乙方：    （盖章）</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法定代表人（授权代表）：</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地    址：</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开户银行：</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账    号：</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电    话：</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传    真：</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签约日期：     年    月    日</w:t>
      </w:r>
    </w:p>
    <w:p>
      <w:pPr>
        <w:pStyle w:val="13"/>
        <w:kinsoku w:val="0"/>
        <w:overflowPunct w:val="0"/>
        <w:ind w:left="0"/>
        <w:rPr>
          <w:rFonts w:hint="default"/>
          <w:sz w:val="20"/>
        </w:rPr>
      </w:pPr>
      <w:r>
        <w:rPr>
          <w:rFonts w:cs="宋体"/>
          <w:color w:val="000000"/>
          <w:sz w:val="24"/>
        </w:rPr>
        <w:br w:type="page"/>
      </w:r>
    </w:p>
    <w:p>
      <w:pPr>
        <w:pStyle w:val="4"/>
        <w:kinsoku w:val="0"/>
        <w:overflowPunct w:val="0"/>
        <w:ind w:left="10"/>
        <w:jc w:val="center"/>
        <w:rPr>
          <w:rFonts w:hint="default"/>
          <w:szCs w:val="32"/>
        </w:rPr>
      </w:pPr>
      <w:bookmarkStart w:id="65" w:name="bookmark23"/>
      <w:bookmarkEnd w:id="65"/>
      <w:r>
        <w:rPr>
          <w:szCs w:val="32"/>
        </w:rPr>
        <w:t>第五章 采购需求及技术要求</w:t>
      </w:r>
      <w:bookmarkStart w:id="66" w:name="_Toc142902564"/>
      <w:bookmarkEnd w:id="66"/>
    </w:p>
    <w:p>
      <w:pPr>
        <w:spacing w:line="360" w:lineRule="auto"/>
        <w:rPr>
          <w:rFonts w:ascii="宋体" w:hAnsi="宋体"/>
          <w:color w:val="000000"/>
          <w:szCs w:val="24"/>
          <w:shd w:val="clear" w:color="auto" w:fill="FFFFFF"/>
        </w:rPr>
      </w:pPr>
      <w:bookmarkStart w:id="67" w:name="_Toc8302"/>
      <w:bookmarkEnd w:id="67"/>
      <w:bookmarkStart w:id="68" w:name="_Toc12001"/>
      <w:bookmarkEnd w:id="68"/>
      <w:bookmarkStart w:id="69" w:name="_Toc20663"/>
      <w:bookmarkEnd w:id="69"/>
      <w:bookmarkStart w:id="70" w:name="_Toc18271"/>
      <w:bookmarkEnd w:id="70"/>
      <w:bookmarkStart w:id="71" w:name="_Toc32600"/>
      <w:bookmarkEnd w:id="71"/>
      <w:bookmarkStart w:id="72" w:name="_Toc1894"/>
      <w:bookmarkEnd w:id="72"/>
      <w:bookmarkStart w:id="73" w:name="_Toc22943"/>
      <w:bookmarkEnd w:id="73"/>
    </w:p>
    <w:p>
      <w:pPr>
        <w:jc w:val="center"/>
        <w:rPr>
          <w:rFonts w:ascii="宋体" w:hAnsi="宋体"/>
          <w:bCs/>
          <w:szCs w:val="24"/>
        </w:rPr>
      </w:pPr>
      <w:r>
        <w:rPr>
          <w:rFonts w:hint="eastAsia" w:ascii="宋体" w:hAnsi="宋体" w:cs="宋体"/>
          <w:b/>
          <w:bCs/>
          <w:szCs w:val="24"/>
          <w:lang w:eastAsia="zh-CN"/>
        </w:rPr>
        <w:t>喷洒</w:t>
      </w:r>
      <w:bookmarkStart w:id="135" w:name="_GoBack"/>
      <w:bookmarkEnd w:id="135"/>
      <w:r>
        <w:rPr>
          <w:rFonts w:hint="eastAsia" w:ascii="宋体" w:hAnsi="宋体" w:cs="宋体"/>
          <w:b/>
          <w:bCs/>
          <w:szCs w:val="24"/>
        </w:rPr>
        <w:t>车（1辆）</w:t>
      </w:r>
    </w:p>
    <w:p>
      <w:pPr>
        <w:spacing w:line="500" w:lineRule="exact"/>
        <w:rPr>
          <w:rFonts w:ascii="宋体" w:hAnsi="宋体"/>
          <w:bCs/>
          <w:szCs w:val="24"/>
        </w:rPr>
      </w:pPr>
      <w:r>
        <w:rPr>
          <w:rFonts w:hint="eastAsia" w:ascii="宋体" w:hAnsi="宋体"/>
          <w:bCs/>
          <w:szCs w:val="24"/>
        </w:rPr>
        <w:t>1、底盘：采用国内知名二类汽车底盘</w:t>
      </w:r>
    </w:p>
    <w:p>
      <w:pPr>
        <w:spacing w:line="500" w:lineRule="exact"/>
        <w:rPr>
          <w:rFonts w:ascii="宋体" w:hAnsi="宋体"/>
          <w:bCs/>
          <w:szCs w:val="24"/>
        </w:rPr>
      </w:pPr>
      <w:r>
        <w:rPr>
          <w:rFonts w:hint="eastAsia" w:ascii="宋体" w:hAnsi="宋体"/>
          <w:bCs/>
          <w:szCs w:val="24"/>
        </w:rPr>
        <w:t>2、底盘发动机功率（kw）：≥80</w:t>
      </w:r>
    </w:p>
    <w:p>
      <w:pPr>
        <w:spacing w:line="500" w:lineRule="exact"/>
        <w:rPr>
          <w:rFonts w:ascii="宋体" w:hAnsi="宋体"/>
          <w:bCs/>
          <w:szCs w:val="24"/>
        </w:rPr>
      </w:pPr>
      <w:r>
        <w:rPr>
          <w:rFonts w:hint="eastAsia" w:ascii="宋体" w:hAnsi="宋体"/>
          <w:bCs/>
          <w:szCs w:val="24"/>
        </w:rPr>
        <w:t>3、</w:t>
      </w:r>
      <w:r>
        <w:rPr>
          <w:rFonts w:hint="eastAsia" w:ascii="宋体" w:hAnsi="宋体"/>
          <w:szCs w:val="24"/>
        </w:rPr>
        <w:t>★</w:t>
      </w:r>
      <w:r>
        <w:rPr>
          <w:rFonts w:hint="eastAsia" w:ascii="宋体" w:hAnsi="宋体"/>
          <w:bCs/>
          <w:szCs w:val="24"/>
        </w:rPr>
        <w:t>总质量（㎏）：≤7360</w:t>
      </w:r>
    </w:p>
    <w:p>
      <w:pPr>
        <w:spacing w:line="500" w:lineRule="exact"/>
        <w:rPr>
          <w:rFonts w:ascii="宋体" w:hAnsi="宋体" w:cs="宋体"/>
          <w:szCs w:val="24"/>
        </w:rPr>
      </w:pPr>
      <w:r>
        <w:rPr>
          <w:rFonts w:hint="eastAsia" w:ascii="宋体" w:hAnsi="宋体"/>
          <w:szCs w:val="24"/>
        </w:rPr>
        <w:t>4、</w:t>
      </w:r>
      <w:r>
        <w:rPr>
          <w:rFonts w:hint="eastAsia" w:ascii="宋体" w:hAnsi="宋体" w:cs="宋体"/>
          <w:szCs w:val="24"/>
        </w:rPr>
        <w:t>最高车速（km/h）：</w:t>
      </w:r>
      <w:r>
        <w:rPr>
          <w:rFonts w:hint="eastAsia" w:ascii="宋体" w:hAnsi="宋体"/>
          <w:bCs/>
          <w:szCs w:val="24"/>
        </w:rPr>
        <w:t>≥</w:t>
      </w:r>
      <w:r>
        <w:rPr>
          <w:rFonts w:hint="eastAsia" w:ascii="宋体" w:hAnsi="宋体" w:cs="宋体"/>
          <w:szCs w:val="24"/>
        </w:rPr>
        <w:t>80</w:t>
      </w:r>
    </w:p>
    <w:p>
      <w:pPr>
        <w:spacing w:line="500" w:lineRule="exact"/>
        <w:rPr>
          <w:rFonts w:ascii="宋体" w:hAnsi="宋体"/>
          <w:bCs/>
          <w:szCs w:val="24"/>
        </w:rPr>
      </w:pPr>
      <w:r>
        <w:rPr>
          <w:rFonts w:hint="eastAsia" w:ascii="宋体" w:hAnsi="宋体"/>
          <w:bCs/>
          <w:szCs w:val="24"/>
        </w:rPr>
        <w:t>5、排放标准：</w:t>
      </w:r>
      <w:r>
        <w:rPr>
          <w:rFonts w:hint="eastAsia" w:ascii="宋体" w:hAnsi="宋体" w:cs="宋体"/>
          <w:szCs w:val="24"/>
        </w:rPr>
        <w:t>国VI</w:t>
      </w:r>
    </w:p>
    <w:p>
      <w:pPr>
        <w:spacing w:line="500" w:lineRule="exact"/>
        <w:rPr>
          <w:rFonts w:ascii="宋体" w:hAnsi="宋体"/>
          <w:bCs/>
          <w:szCs w:val="24"/>
        </w:rPr>
      </w:pPr>
      <w:r>
        <w:rPr>
          <w:rFonts w:hint="eastAsia" w:ascii="宋体" w:hAnsi="宋体"/>
          <w:bCs/>
          <w:szCs w:val="24"/>
        </w:rPr>
        <w:t>6、</w:t>
      </w:r>
      <w:r>
        <w:rPr>
          <w:rFonts w:hint="eastAsia" w:ascii="宋体" w:hAnsi="宋体"/>
          <w:szCs w:val="24"/>
        </w:rPr>
        <w:t>★</w:t>
      </w:r>
      <w:r>
        <w:rPr>
          <w:rFonts w:hint="eastAsia" w:ascii="宋体" w:hAnsi="宋体"/>
          <w:bCs/>
          <w:szCs w:val="24"/>
        </w:rPr>
        <w:t>外形尺寸（mm）：≥6400x2000x2550</w:t>
      </w:r>
    </w:p>
    <w:p>
      <w:pPr>
        <w:spacing w:line="500" w:lineRule="exact"/>
        <w:rPr>
          <w:rFonts w:ascii="宋体" w:hAnsi="宋体"/>
          <w:bCs/>
          <w:szCs w:val="24"/>
        </w:rPr>
      </w:pPr>
      <w:r>
        <w:rPr>
          <w:rFonts w:hint="eastAsia" w:ascii="宋体" w:hAnsi="宋体"/>
          <w:bCs/>
          <w:szCs w:val="24"/>
        </w:rPr>
        <w:t>7、</w:t>
      </w:r>
      <w:r>
        <w:rPr>
          <w:rFonts w:hint="eastAsia" w:ascii="宋体" w:hAnsi="宋体"/>
          <w:szCs w:val="24"/>
        </w:rPr>
        <w:t>★</w:t>
      </w:r>
      <w:r>
        <w:rPr>
          <w:rFonts w:hint="eastAsia" w:ascii="宋体" w:hAnsi="宋体"/>
          <w:bCs/>
          <w:szCs w:val="24"/>
        </w:rPr>
        <w:t>整备质量（㎏）：≥3700</w:t>
      </w:r>
    </w:p>
    <w:p>
      <w:pPr>
        <w:spacing w:line="500" w:lineRule="exact"/>
        <w:rPr>
          <w:rFonts w:ascii="宋体" w:hAnsi="宋体"/>
          <w:bCs/>
          <w:szCs w:val="24"/>
        </w:rPr>
      </w:pPr>
      <w:r>
        <w:rPr>
          <w:rFonts w:hint="eastAsia" w:ascii="宋体" w:hAnsi="宋体"/>
          <w:bCs/>
          <w:szCs w:val="24"/>
        </w:rPr>
        <w:t>8、</w:t>
      </w:r>
      <w:r>
        <w:rPr>
          <w:rFonts w:hint="eastAsia" w:ascii="宋体" w:hAnsi="宋体"/>
          <w:szCs w:val="24"/>
        </w:rPr>
        <w:t>★</w:t>
      </w:r>
      <w:r>
        <w:rPr>
          <w:rFonts w:hint="eastAsia" w:ascii="宋体" w:hAnsi="宋体"/>
          <w:bCs/>
          <w:szCs w:val="24"/>
        </w:rPr>
        <w:t>额定载质量（㎏）：≤3550</w:t>
      </w:r>
    </w:p>
    <w:p>
      <w:pPr>
        <w:spacing w:line="500" w:lineRule="exact"/>
        <w:rPr>
          <w:rFonts w:ascii="宋体" w:hAnsi="宋体" w:cs="宋体"/>
          <w:szCs w:val="24"/>
        </w:rPr>
      </w:pPr>
      <w:r>
        <w:rPr>
          <w:rFonts w:hint="eastAsia" w:ascii="宋体" w:hAnsi="宋体" w:cs="宋体"/>
          <w:szCs w:val="24"/>
        </w:rPr>
        <w:t>9、</w:t>
      </w:r>
      <w:r>
        <w:rPr>
          <w:rFonts w:hint="eastAsia" w:ascii="宋体" w:hAnsi="宋体"/>
          <w:szCs w:val="24"/>
        </w:rPr>
        <w:t>★</w:t>
      </w:r>
      <w:r>
        <w:rPr>
          <w:rFonts w:hint="eastAsia" w:ascii="宋体" w:hAnsi="宋体" w:cs="宋体"/>
          <w:szCs w:val="24"/>
        </w:rPr>
        <w:t>接近角（°）：≥27.7</w:t>
      </w:r>
    </w:p>
    <w:p>
      <w:pPr>
        <w:pStyle w:val="13"/>
        <w:rPr>
          <w:rFonts w:hint="default" w:cs="宋体"/>
          <w:sz w:val="24"/>
          <w:szCs w:val="24"/>
        </w:rPr>
      </w:pPr>
      <w:r>
        <w:rPr>
          <w:rFonts w:cs="宋体"/>
          <w:sz w:val="24"/>
          <w:szCs w:val="24"/>
        </w:rPr>
        <w:t>10、</w:t>
      </w:r>
      <w:r>
        <w:rPr>
          <w:sz w:val="24"/>
          <w:szCs w:val="24"/>
        </w:rPr>
        <w:t>★</w:t>
      </w:r>
      <w:r>
        <w:rPr>
          <w:rFonts w:cs="宋体"/>
          <w:sz w:val="24"/>
          <w:szCs w:val="24"/>
        </w:rPr>
        <w:t>前悬/后悬(mm)：≥1055/2000</w:t>
      </w:r>
    </w:p>
    <w:p>
      <w:pPr>
        <w:spacing w:line="500" w:lineRule="exact"/>
        <w:rPr>
          <w:rFonts w:ascii="宋体" w:hAnsi="宋体"/>
          <w:bCs/>
          <w:szCs w:val="24"/>
        </w:rPr>
      </w:pPr>
      <w:r>
        <w:rPr>
          <w:rFonts w:hint="eastAsia" w:ascii="宋体" w:hAnsi="宋体"/>
          <w:bCs/>
          <w:szCs w:val="24"/>
        </w:rPr>
        <w:t>11、</w:t>
      </w:r>
      <w:r>
        <w:rPr>
          <w:rFonts w:hint="eastAsia" w:ascii="宋体" w:hAnsi="宋体"/>
          <w:szCs w:val="24"/>
        </w:rPr>
        <w:t>★</w:t>
      </w:r>
      <w:r>
        <w:rPr>
          <w:rFonts w:hint="eastAsia" w:ascii="宋体" w:hAnsi="宋体"/>
          <w:bCs/>
          <w:szCs w:val="24"/>
        </w:rPr>
        <w:t>容积（m³）：≥3</w:t>
      </w:r>
      <w:r>
        <w:rPr>
          <w:rFonts w:hint="eastAsia" w:ascii="宋体" w:hAnsi="宋体" w:cs="宋体"/>
          <w:szCs w:val="24"/>
        </w:rPr>
        <w:t>.5</w:t>
      </w:r>
    </w:p>
    <w:p>
      <w:pPr>
        <w:spacing w:line="500" w:lineRule="exact"/>
        <w:rPr>
          <w:rFonts w:ascii="宋体" w:hAnsi="宋体"/>
          <w:bCs/>
          <w:szCs w:val="24"/>
        </w:rPr>
      </w:pPr>
      <w:r>
        <w:rPr>
          <w:rFonts w:hint="eastAsia" w:ascii="宋体" w:hAnsi="宋体"/>
          <w:bCs/>
          <w:szCs w:val="24"/>
        </w:rPr>
        <w:t>12、液压系统最大压力（Mpa）：≥16</w:t>
      </w:r>
    </w:p>
    <w:p>
      <w:pPr>
        <w:spacing w:line="500" w:lineRule="exact"/>
        <w:rPr>
          <w:rFonts w:ascii="宋体" w:hAnsi="宋体"/>
          <w:bCs/>
          <w:szCs w:val="24"/>
        </w:rPr>
      </w:pPr>
      <w:r>
        <w:rPr>
          <w:rFonts w:hint="eastAsia" w:ascii="宋体" w:hAnsi="宋体"/>
          <w:bCs/>
          <w:szCs w:val="24"/>
        </w:rPr>
        <w:t>13、罐体采用优质钢板制作，罐体内部做防腐处理，保证罐体的使用寿命。</w:t>
      </w:r>
    </w:p>
    <w:p>
      <w:pPr>
        <w:spacing w:line="500" w:lineRule="exact"/>
        <w:rPr>
          <w:rFonts w:ascii="宋体" w:hAnsi="宋体"/>
          <w:bCs/>
          <w:szCs w:val="24"/>
        </w:rPr>
      </w:pPr>
      <w:r>
        <w:rPr>
          <w:rFonts w:hint="eastAsia" w:ascii="宋体" w:hAnsi="宋体"/>
          <w:bCs/>
          <w:szCs w:val="24"/>
        </w:rPr>
        <w:t>14、</w:t>
      </w:r>
      <w:r>
        <w:rPr>
          <w:rFonts w:hint="eastAsia" w:ascii="宋体" w:hAnsi="宋体"/>
          <w:szCs w:val="24"/>
        </w:rPr>
        <w:t xml:space="preserve"> 车辆配备前冲后洒，罐体后部带工作平台，平台上配备发电机组和远程雾炮，喷雾射程可达30米左右。</w:t>
      </w:r>
    </w:p>
    <w:p>
      <w:pPr>
        <w:rPr>
          <w:rFonts w:ascii="宋体" w:hAnsi="宋体"/>
          <w:bCs/>
          <w:szCs w:val="24"/>
        </w:rPr>
      </w:pPr>
      <w:r>
        <w:rPr>
          <w:rFonts w:hint="eastAsia" w:ascii="宋体" w:hAnsi="宋体"/>
          <w:bCs/>
          <w:szCs w:val="24"/>
        </w:rPr>
        <w:t>15、</w:t>
      </w:r>
      <w:r>
        <w:rPr>
          <w:rFonts w:hint="eastAsia" w:ascii="宋体" w:hAnsi="宋体"/>
          <w:szCs w:val="24"/>
        </w:rPr>
        <w:t>★</w:t>
      </w:r>
      <w:r>
        <w:rPr>
          <w:rFonts w:hint="eastAsia" w:ascii="宋体" w:hAnsi="宋体"/>
          <w:bCs/>
          <w:szCs w:val="24"/>
        </w:rPr>
        <w:t>雾炮采用无线遥控操作，可180°任意旋转，高低调节，简约可靠，快捷方便。</w:t>
      </w:r>
    </w:p>
    <w:p>
      <w:pPr>
        <w:ind w:firstLine="723"/>
        <w:jc w:val="center"/>
        <w:rPr>
          <w:rFonts w:ascii="宋体" w:hAnsi="宋体" w:cs="宋体"/>
          <w:b/>
          <w:bCs/>
          <w:szCs w:val="24"/>
        </w:rPr>
      </w:pPr>
    </w:p>
    <w:p>
      <w:pPr>
        <w:pStyle w:val="13"/>
        <w:rPr>
          <w:rFonts w:hint="default"/>
          <w:sz w:val="24"/>
          <w:szCs w:val="24"/>
        </w:rPr>
      </w:pPr>
    </w:p>
    <w:p>
      <w:pPr>
        <w:jc w:val="center"/>
        <w:rPr>
          <w:rFonts w:ascii="宋体" w:hAnsi="宋体"/>
          <w:bCs/>
          <w:szCs w:val="24"/>
        </w:rPr>
      </w:pPr>
      <w:r>
        <w:rPr>
          <w:rFonts w:hint="eastAsia" w:ascii="宋体" w:hAnsi="宋体" w:cs="宋体"/>
          <w:b/>
          <w:bCs/>
          <w:szCs w:val="24"/>
        </w:rPr>
        <w:t>吸粪车（1辆）</w:t>
      </w:r>
    </w:p>
    <w:p>
      <w:pPr>
        <w:spacing w:line="500" w:lineRule="exact"/>
        <w:rPr>
          <w:rFonts w:ascii="宋体" w:hAnsi="宋体"/>
          <w:bCs/>
          <w:szCs w:val="24"/>
        </w:rPr>
      </w:pPr>
      <w:r>
        <w:rPr>
          <w:rFonts w:hint="eastAsia" w:ascii="宋体" w:hAnsi="宋体"/>
          <w:bCs/>
          <w:szCs w:val="24"/>
        </w:rPr>
        <w:t>1、底盘型号：选用国内东风、陕汽、重汽等知名品牌。</w:t>
      </w:r>
    </w:p>
    <w:p>
      <w:pPr>
        <w:spacing w:line="500" w:lineRule="exact"/>
        <w:rPr>
          <w:rFonts w:ascii="宋体" w:hAnsi="宋体"/>
          <w:bCs/>
          <w:szCs w:val="24"/>
        </w:rPr>
      </w:pPr>
      <w:r>
        <w:rPr>
          <w:rFonts w:hint="eastAsia" w:ascii="宋体" w:hAnsi="宋体"/>
          <w:bCs/>
          <w:szCs w:val="24"/>
        </w:rPr>
        <w:t>2、</w:t>
      </w:r>
      <w:r>
        <w:rPr>
          <w:rFonts w:hint="eastAsia" w:ascii="宋体" w:hAnsi="宋体"/>
          <w:szCs w:val="24"/>
        </w:rPr>
        <w:t>★</w:t>
      </w:r>
      <w:r>
        <w:rPr>
          <w:rFonts w:hint="eastAsia" w:ascii="宋体" w:hAnsi="宋体"/>
          <w:bCs/>
          <w:szCs w:val="24"/>
        </w:rPr>
        <w:t>底盘发动机功率（kw）：≥95</w:t>
      </w:r>
    </w:p>
    <w:p>
      <w:pPr>
        <w:spacing w:line="500" w:lineRule="exact"/>
        <w:rPr>
          <w:rFonts w:ascii="宋体" w:hAnsi="宋体"/>
          <w:bCs/>
          <w:szCs w:val="24"/>
        </w:rPr>
      </w:pPr>
      <w:r>
        <w:rPr>
          <w:rFonts w:hint="eastAsia" w:ascii="宋体" w:hAnsi="宋体"/>
          <w:bCs/>
          <w:szCs w:val="24"/>
        </w:rPr>
        <w:t>3、</w:t>
      </w:r>
      <w:r>
        <w:rPr>
          <w:rFonts w:hint="eastAsia" w:ascii="宋体" w:hAnsi="宋体"/>
          <w:szCs w:val="24"/>
        </w:rPr>
        <w:t>★</w:t>
      </w:r>
      <w:r>
        <w:rPr>
          <w:rFonts w:hint="eastAsia" w:ascii="宋体" w:hAnsi="宋体"/>
          <w:bCs/>
          <w:szCs w:val="24"/>
        </w:rPr>
        <w:t>总质量（㎏）：≤7360</w:t>
      </w:r>
    </w:p>
    <w:p>
      <w:pPr>
        <w:spacing w:line="500" w:lineRule="exact"/>
        <w:rPr>
          <w:rFonts w:ascii="宋体" w:hAnsi="宋体" w:cs="宋体"/>
          <w:szCs w:val="24"/>
        </w:rPr>
      </w:pPr>
      <w:r>
        <w:rPr>
          <w:rFonts w:hint="eastAsia" w:ascii="宋体" w:hAnsi="宋体"/>
          <w:szCs w:val="24"/>
        </w:rPr>
        <w:t>4、</w:t>
      </w:r>
      <w:r>
        <w:rPr>
          <w:rFonts w:hint="eastAsia" w:ascii="宋体" w:hAnsi="宋体" w:cs="宋体"/>
          <w:szCs w:val="24"/>
        </w:rPr>
        <w:t>最高车速（km/h）：</w:t>
      </w:r>
      <w:r>
        <w:rPr>
          <w:rFonts w:hint="eastAsia" w:ascii="宋体" w:hAnsi="宋体"/>
          <w:bCs/>
          <w:szCs w:val="24"/>
        </w:rPr>
        <w:t>≥</w:t>
      </w:r>
      <w:r>
        <w:rPr>
          <w:rFonts w:hint="eastAsia" w:ascii="宋体" w:hAnsi="宋体" w:cs="宋体"/>
          <w:szCs w:val="24"/>
        </w:rPr>
        <w:t>100</w:t>
      </w:r>
    </w:p>
    <w:p>
      <w:pPr>
        <w:spacing w:line="500" w:lineRule="exact"/>
        <w:rPr>
          <w:rFonts w:ascii="宋体" w:hAnsi="宋体"/>
          <w:bCs/>
          <w:szCs w:val="24"/>
        </w:rPr>
      </w:pPr>
      <w:r>
        <w:rPr>
          <w:rFonts w:hint="eastAsia" w:ascii="宋体" w:hAnsi="宋体"/>
          <w:bCs/>
          <w:szCs w:val="24"/>
        </w:rPr>
        <w:t>5、</w:t>
      </w:r>
      <w:r>
        <w:rPr>
          <w:rFonts w:hint="eastAsia" w:ascii="宋体" w:hAnsi="宋体"/>
          <w:szCs w:val="24"/>
        </w:rPr>
        <w:t>★</w:t>
      </w:r>
      <w:r>
        <w:rPr>
          <w:rFonts w:hint="eastAsia" w:ascii="宋体" w:hAnsi="宋体"/>
          <w:bCs/>
          <w:szCs w:val="24"/>
        </w:rPr>
        <w:t>排放标准：国六</w:t>
      </w:r>
    </w:p>
    <w:p>
      <w:pPr>
        <w:spacing w:line="500" w:lineRule="exact"/>
        <w:rPr>
          <w:rFonts w:ascii="宋体" w:hAnsi="宋体"/>
          <w:bCs/>
          <w:szCs w:val="24"/>
        </w:rPr>
      </w:pPr>
      <w:r>
        <w:rPr>
          <w:rFonts w:hint="eastAsia" w:ascii="宋体" w:hAnsi="宋体"/>
          <w:bCs/>
          <w:szCs w:val="24"/>
        </w:rPr>
        <w:t>6、</w:t>
      </w:r>
      <w:r>
        <w:rPr>
          <w:rFonts w:hint="eastAsia" w:ascii="宋体" w:hAnsi="宋体"/>
          <w:szCs w:val="24"/>
        </w:rPr>
        <w:t>★</w:t>
      </w:r>
      <w:r>
        <w:rPr>
          <w:rFonts w:hint="eastAsia" w:ascii="宋体" w:hAnsi="宋体"/>
          <w:bCs/>
          <w:szCs w:val="24"/>
        </w:rPr>
        <w:t>外形尺寸（mm）：≥5750x2000x2550</w:t>
      </w:r>
    </w:p>
    <w:p>
      <w:pPr>
        <w:numPr>
          <w:ilvl w:val="0"/>
          <w:numId w:val="46"/>
        </w:numPr>
        <w:spacing w:line="500" w:lineRule="exact"/>
        <w:rPr>
          <w:rFonts w:ascii="宋体" w:hAnsi="宋体"/>
          <w:bCs/>
          <w:szCs w:val="24"/>
        </w:rPr>
      </w:pPr>
      <w:r>
        <w:rPr>
          <w:rFonts w:hint="eastAsia" w:ascii="宋体" w:hAnsi="宋体"/>
          <w:szCs w:val="24"/>
        </w:rPr>
        <w:t>★</w:t>
      </w:r>
      <w:r>
        <w:rPr>
          <w:rFonts w:hint="eastAsia" w:ascii="宋体" w:hAnsi="宋体"/>
          <w:bCs/>
          <w:szCs w:val="24"/>
        </w:rPr>
        <w:t>整备质量（㎏）：≥4200</w:t>
      </w:r>
    </w:p>
    <w:p>
      <w:pPr>
        <w:numPr>
          <w:ilvl w:val="0"/>
          <w:numId w:val="46"/>
        </w:numPr>
        <w:spacing w:line="500" w:lineRule="exact"/>
        <w:rPr>
          <w:rFonts w:ascii="宋体" w:hAnsi="宋体"/>
          <w:bCs/>
          <w:szCs w:val="24"/>
        </w:rPr>
      </w:pPr>
      <w:r>
        <w:rPr>
          <w:rFonts w:hint="eastAsia" w:ascii="宋体" w:hAnsi="宋体"/>
          <w:bCs/>
          <w:szCs w:val="24"/>
        </w:rPr>
        <w:t>★额定载质量（㎏）：≥2900</w:t>
      </w:r>
    </w:p>
    <w:p>
      <w:pPr>
        <w:spacing w:line="500" w:lineRule="exact"/>
        <w:rPr>
          <w:rFonts w:ascii="宋体" w:hAnsi="宋体"/>
          <w:bCs/>
          <w:szCs w:val="24"/>
        </w:rPr>
      </w:pPr>
      <w:r>
        <w:rPr>
          <w:rFonts w:hint="eastAsia" w:ascii="宋体" w:hAnsi="宋体"/>
          <w:bCs/>
          <w:szCs w:val="24"/>
        </w:rPr>
        <w:t>9、★接近角（°）：≥27.7</w:t>
      </w:r>
    </w:p>
    <w:p>
      <w:pPr>
        <w:spacing w:line="500" w:lineRule="exact"/>
        <w:rPr>
          <w:rFonts w:ascii="宋体" w:hAnsi="宋体"/>
          <w:bCs/>
          <w:szCs w:val="24"/>
        </w:rPr>
      </w:pPr>
      <w:r>
        <w:rPr>
          <w:rFonts w:hint="eastAsia" w:ascii="宋体" w:hAnsi="宋体"/>
          <w:bCs/>
          <w:szCs w:val="24"/>
        </w:rPr>
        <w:t>10、★</w:t>
      </w:r>
      <w:r>
        <w:rPr>
          <w:rFonts w:ascii="宋体" w:hAnsi="宋体"/>
          <w:bCs/>
          <w:szCs w:val="24"/>
        </w:rPr>
        <w:t>前悬/后悬(mm)：</w:t>
      </w:r>
      <w:r>
        <w:rPr>
          <w:rFonts w:hint="eastAsia" w:ascii="宋体" w:hAnsi="宋体"/>
          <w:bCs/>
          <w:szCs w:val="24"/>
        </w:rPr>
        <w:t>≥1055/1400</w:t>
      </w:r>
    </w:p>
    <w:p>
      <w:pPr>
        <w:spacing w:line="500" w:lineRule="exact"/>
        <w:rPr>
          <w:rFonts w:ascii="宋体" w:hAnsi="宋体"/>
          <w:bCs/>
          <w:szCs w:val="24"/>
        </w:rPr>
      </w:pPr>
      <w:r>
        <w:rPr>
          <w:rFonts w:hint="eastAsia" w:ascii="宋体" w:hAnsi="宋体"/>
          <w:bCs/>
          <w:szCs w:val="24"/>
        </w:rPr>
        <w:t>11、★容积（m³）：≥3.7</w:t>
      </w:r>
    </w:p>
    <w:p>
      <w:pPr>
        <w:spacing w:line="500" w:lineRule="exact"/>
        <w:rPr>
          <w:rFonts w:ascii="宋体" w:hAnsi="宋体"/>
          <w:bCs/>
          <w:szCs w:val="24"/>
        </w:rPr>
      </w:pPr>
      <w:r>
        <w:rPr>
          <w:rFonts w:hint="eastAsia" w:ascii="宋体" w:hAnsi="宋体"/>
          <w:bCs/>
          <w:szCs w:val="24"/>
        </w:rPr>
        <w:t>12、液压系统最大压力（Mpa）：≥16</w:t>
      </w:r>
    </w:p>
    <w:p>
      <w:pPr>
        <w:spacing w:line="500" w:lineRule="exact"/>
        <w:rPr>
          <w:rFonts w:ascii="宋体" w:hAnsi="宋体"/>
          <w:bCs/>
          <w:szCs w:val="24"/>
        </w:rPr>
      </w:pPr>
      <w:r>
        <w:rPr>
          <w:rFonts w:hint="eastAsia" w:ascii="宋体" w:hAnsi="宋体"/>
          <w:bCs/>
          <w:szCs w:val="24"/>
        </w:rPr>
        <w:t>13、</w:t>
      </w:r>
      <w:r>
        <w:rPr>
          <w:rFonts w:hint="eastAsia" w:ascii="宋体" w:hAnsi="宋体"/>
          <w:szCs w:val="24"/>
        </w:rPr>
        <w:t>★</w:t>
      </w:r>
      <w:r>
        <w:rPr>
          <w:rFonts w:hint="eastAsia" w:ascii="宋体" w:hAnsi="宋体"/>
          <w:bCs/>
          <w:szCs w:val="24"/>
        </w:rPr>
        <w:t>上装部分罐体采用优质钢板，板材厚度≥4.5 mm；圆弧型设计、美观大方；</w:t>
      </w:r>
    </w:p>
    <w:p>
      <w:pPr>
        <w:spacing w:line="500" w:lineRule="exact"/>
        <w:rPr>
          <w:rFonts w:ascii="宋体" w:hAnsi="宋体"/>
          <w:bCs/>
          <w:szCs w:val="24"/>
        </w:rPr>
      </w:pPr>
      <w:r>
        <w:rPr>
          <w:rFonts w:hint="eastAsia" w:ascii="宋体" w:hAnsi="宋体"/>
          <w:bCs/>
          <w:szCs w:val="24"/>
        </w:rPr>
        <w:t>14、罐体内部做防腐、防锈处理，经久耐用。</w:t>
      </w:r>
    </w:p>
    <w:p>
      <w:pPr>
        <w:spacing w:line="500" w:lineRule="exact"/>
        <w:rPr>
          <w:rFonts w:ascii="宋体" w:hAnsi="宋体"/>
          <w:bCs/>
          <w:szCs w:val="24"/>
        </w:rPr>
      </w:pPr>
      <w:r>
        <w:rPr>
          <w:rFonts w:hint="eastAsia" w:ascii="宋体" w:hAnsi="宋体"/>
          <w:bCs/>
          <w:szCs w:val="24"/>
        </w:rPr>
        <w:t>15、车辆关键部件均采用国内知名品牌，安全可靠。</w:t>
      </w:r>
    </w:p>
    <w:p>
      <w:pPr>
        <w:pStyle w:val="14"/>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6"/>
        <w:rPr>
          <w:spacing w:val="2"/>
          <w:sz w:val="24"/>
          <w:szCs w:val="24"/>
        </w:rPr>
      </w:pPr>
    </w:p>
    <w:p>
      <w:pPr>
        <w:pStyle w:val="4"/>
        <w:tabs>
          <w:tab w:val="left" w:pos="8640"/>
        </w:tabs>
        <w:kinsoku w:val="0"/>
        <w:overflowPunct w:val="0"/>
        <w:ind w:left="12" w:right="160" w:hanging="12"/>
        <w:jc w:val="center"/>
        <w:rPr>
          <w:rFonts w:hint="default"/>
          <w:b w:val="0"/>
        </w:rPr>
      </w:pPr>
      <w:bookmarkStart w:id="74" w:name="bookmark24"/>
      <w:bookmarkEnd w:id="74"/>
      <w:bookmarkStart w:id="75" w:name="bookmark25"/>
      <w:bookmarkEnd w:id="75"/>
      <w:r>
        <w:rPr>
          <w:spacing w:val="1"/>
        </w:rPr>
        <w:t>第六章  投标文件格式</w:t>
      </w:r>
    </w:p>
    <w:p>
      <w:pPr>
        <w:pStyle w:val="13"/>
        <w:kinsoku w:val="0"/>
        <w:overflowPunct w:val="0"/>
        <w:ind w:left="0"/>
        <w:rPr>
          <w:rFonts w:hint="default"/>
          <w:b/>
          <w:sz w:val="20"/>
        </w:rPr>
      </w:pPr>
    </w:p>
    <w:p>
      <w:pPr>
        <w:pStyle w:val="13"/>
        <w:kinsoku w:val="0"/>
        <w:overflowPunct w:val="0"/>
        <w:ind w:left="0"/>
        <w:rPr>
          <w:rFonts w:hint="default" w:ascii="Calibri" w:hAnsi="Calibri" w:eastAsia="Calibri"/>
          <w:sz w:val="20"/>
        </w:rPr>
      </w:pPr>
    </w:p>
    <w:p>
      <w:pPr>
        <w:pStyle w:val="13"/>
        <w:kinsoku w:val="0"/>
        <w:overflowPunct w:val="0"/>
        <w:ind w:left="0"/>
        <w:rPr>
          <w:rFonts w:hint="default" w:ascii="Calibri" w:hAnsi="Calibri" w:eastAsia="Calibri"/>
          <w:sz w:val="20"/>
        </w:rPr>
      </w:pPr>
    </w:p>
    <w:p>
      <w:pPr>
        <w:rPr>
          <w:rFonts w:ascii="宋体" w:hAnsi="宋体" w:cs="宋体"/>
          <w:b/>
          <w:color w:val="000000"/>
          <w:sz w:val="36"/>
        </w:rPr>
      </w:pPr>
      <w:bookmarkStart w:id="76" w:name="_Toc2607_WPSOffice_Level2"/>
      <w:r>
        <w:rPr>
          <w:rFonts w:hint="eastAsia" w:ascii="宋体" w:hAnsi="宋体" w:cs="宋体"/>
          <w:b/>
          <w:color w:val="000000"/>
          <w:sz w:val="36"/>
        </w:rPr>
        <w:t>封面：</w:t>
      </w:r>
      <w:bookmarkEnd w:id="76"/>
    </w:p>
    <w:p>
      <w:pPr>
        <w:tabs>
          <w:tab w:val="left" w:pos="360"/>
        </w:tabs>
        <w:jc w:val="center"/>
        <w:rPr>
          <w:rFonts w:ascii="宋体" w:hAnsi="宋体" w:cs="宋体"/>
          <w:b/>
          <w:color w:val="000000"/>
          <w:sz w:val="44"/>
          <w:szCs w:val="44"/>
          <w:u w:val="single"/>
        </w:rPr>
      </w:pPr>
    </w:p>
    <w:p>
      <w:pPr>
        <w:tabs>
          <w:tab w:val="left" w:pos="360"/>
        </w:tabs>
        <w:jc w:val="center"/>
        <w:rPr>
          <w:rFonts w:ascii="宋体" w:hAnsi="宋体" w:cs="宋体"/>
          <w:b/>
          <w:color w:val="000000"/>
          <w:sz w:val="44"/>
          <w:szCs w:val="44"/>
        </w:rPr>
      </w:pPr>
      <w:r>
        <w:rPr>
          <w:rFonts w:hint="eastAsia" w:ascii="宋体" w:hAnsi="宋体" w:cs="宋体"/>
          <w:b/>
          <w:color w:val="000000"/>
          <w:sz w:val="44"/>
          <w:szCs w:val="44"/>
          <w:u w:val="single"/>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(项目名称）</w:t>
      </w:r>
    </w:p>
    <w:p>
      <w:pPr>
        <w:tabs>
          <w:tab w:val="left" w:pos="360"/>
        </w:tabs>
        <w:jc w:val="center"/>
        <w:rPr>
          <w:rFonts w:ascii="宋体" w:hAnsi="宋体" w:cs="宋体"/>
          <w:b/>
          <w:color w:val="000000"/>
          <w:sz w:val="44"/>
          <w:szCs w:val="44"/>
        </w:rPr>
      </w:pPr>
    </w:p>
    <w:p>
      <w:pPr>
        <w:tabs>
          <w:tab w:val="left" w:pos="55"/>
        </w:tabs>
        <w:rPr>
          <w:rFonts w:ascii="宋体" w:hAnsi="宋体" w:cs="宋体"/>
          <w:b/>
          <w:color w:val="000000"/>
          <w:w w:val="150"/>
          <w:sz w:val="48"/>
          <w:szCs w:val="48"/>
        </w:rPr>
      </w:pPr>
      <w:r>
        <w:rPr>
          <w:rFonts w:hint="eastAsia" w:ascii="宋体" w:hAnsi="宋体" w:cs="宋体"/>
          <w:b/>
          <w:color w:val="000000"/>
          <w:w w:val="150"/>
          <w:sz w:val="84"/>
        </w:rPr>
        <w:tab/>
      </w:r>
    </w:p>
    <w:p>
      <w:pPr>
        <w:tabs>
          <w:tab w:val="left" w:pos="1950"/>
        </w:tabs>
        <w:rPr>
          <w:rFonts w:ascii="宋体" w:hAnsi="宋体" w:cs="宋体"/>
          <w:b/>
          <w:color w:val="000000"/>
          <w:w w:val="150"/>
          <w:sz w:val="48"/>
          <w:szCs w:val="48"/>
        </w:rPr>
      </w:pPr>
    </w:p>
    <w:p>
      <w:pPr>
        <w:tabs>
          <w:tab w:val="left" w:pos="1950"/>
        </w:tabs>
        <w:rPr>
          <w:rFonts w:ascii="宋体" w:hAnsi="宋体" w:cs="宋体"/>
          <w:b/>
          <w:color w:val="000000"/>
          <w:w w:val="150"/>
          <w:sz w:val="48"/>
          <w:szCs w:val="48"/>
        </w:rPr>
      </w:pPr>
    </w:p>
    <w:p>
      <w:pPr>
        <w:tabs>
          <w:tab w:val="left" w:pos="1950"/>
        </w:tabs>
        <w:rPr>
          <w:rFonts w:ascii="宋体" w:hAnsi="宋体" w:cs="宋体"/>
          <w:b/>
          <w:color w:val="000000"/>
          <w:w w:val="150"/>
          <w:sz w:val="48"/>
          <w:szCs w:val="48"/>
        </w:rPr>
      </w:pPr>
    </w:p>
    <w:p>
      <w:pPr>
        <w:jc w:val="center"/>
        <w:rPr>
          <w:rFonts w:ascii="宋体" w:hAnsi="宋体" w:cs="宋体"/>
          <w:b/>
          <w:color w:val="000000"/>
          <w:sz w:val="72"/>
          <w:szCs w:val="72"/>
        </w:rPr>
      </w:pPr>
      <w:bookmarkStart w:id="77" w:name="_Toc28037_WPSOffice_Level2"/>
      <w:r>
        <w:rPr>
          <w:rFonts w:hint="eastAsia" w:ascii="宋体" w:hAnsi="宋体" w:cs="宋体"/>
          <w:b/>
          <w:color w:val="000000"/>
          <w:sz w:val="72"/>
          <w:szCs w:val="72"/>
        </w:rPr>
        <w:t>投 标 文 件</w:t>
      </w:r>
      <w:bookmarkEnd w:id="77"/>
    </w:p>
    <w:p>
      <w:pPr>
        <w:spacing w:line="360" w:lineRule="auto"/>
        <w:jc w:val="center"/>
        <w:rPr>
          <w:rFonts w:ascii="宋体" w:hAnsi="宋体" w:cs="宋体"/>
          <w:b/>
          <w:bCs/>
          <w:color w:val="000000"/>
          <w:sz w:val="30"/>
          <w:szCs w:val="30"/>
        </w:rPr>
      </w:pPr>
      <w:bookmarkStart w:id="78" w:name="_Toc18962_WPSOffice_Level2"/>
      <w:r>
        <w:rPr>
          <w:rFonts w:hint="eastAsia" w:ascii="宋体" w:hAnsi="宋体" w:cs="宋体"/>
          <w:b/>
          <w:bCs/>
          <w:color w:val="000000"/>
          <w:sz w:val="30"/>
          <w:szCs w:val="30"/>
        </w:rPr>
        <w:t>招标编号：</w:t>
      </w:r>
      <w:bookmarkEnd w:id="78"/>
      <w:r>
        <w:rPr>
          <w:rFonts w:hint="eastAsia" w:ascii="宋体" w:hAnsi="宋体" w:cs="宋体"/>
          <w:b/>
          <w:bCs/>
          <w:color w:val="000000"/>
          <w:sz w:val="30"/>
          <w:szCs w:val="30"/>
        </w:rPr>
        <w:t xml:space="preserve">     </w:t>
      </w:r>
    </w:p>
    <w:p>
      <w:pPr>
        <w:spacing w:line="360" w:lineRule="auto"/>
        <w:jc w:val="center"/>
        <w:rPr>
          <w:rFonts w:ascii="宋体" w:hAnsi="宋体" w:cs="宋体"/>
          <w:b/>
          <w:bCs/>
          <w:color w:val="000000"/>
          <w:szCs w:val="21"/>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pStyle w:val="14"/>
      </w:pPr>
    </w:p>
    <w:p>
      <w:pPr>
        <w:rPr>
          <w:rFonts w:ascii="宋体" w:hAnsi="宋体" w:cs="宋体"/>
          <w:b/>
          <w:color w:val="000000"/>
          <w:sz w:val="32"/>
        </w:rPr>
      </w:pPr>
    </w:p>
    <w:p>
      <w:pPr>
        <w:spacing w:after="134" w:line="460" w:lineRule="exact"/>
        <w:ind w:right="3634" w:firstLine="2319" w:firstLineChars="773"/>
        <w:rPr>
          <w:rFonts w:ascii="宋体" w:hAnsi="宋体" w:cs="宋体"/>
          <w:color w:val="000000"/>
          <w:sz w:val="30"/>
        </w:rPr>
      </w:pPr>
    </w:p>
    <w:p>
      <w:pPr>
        <w:spacing w:after="134" w:line="460" w:lineRule="exact"/>
        <w:ind w:right="-88" w:firstLine="2319" w:firstLineChars="773"/>
        <w:rPr>
          <w:rFonts w:ascii="宋体" w:hAnsi="宋体" w:cs="宋体"/>
          <w:color w:val="000000"/>
          <w:sz w:val="30"/>
        </w:rPr>
      </w:pPr>
      <w:r>
        <w:rPr>
          <w:rFonts w:hint="eastAsia" w:ascii="宋体" w:hAnsi="宋体" w:cs="宋体"/>
          <w:color w:val="000000"/>
          <w:sz w:val="30"/>
        </w:rPr>
        <w:t xml:space="preserve">投标人（企业电子签章）： </w:t>
      </w:r>
    </w:p>
    <w:p>
      <w:pPr>
        <w:ind w:firstLine="2319" w:firstLineChars="773"/>
        <w:rPr>
          <w:rFonts w:ascii="宋体" w:hAnsi="宋体" w:cs="宋体"/>
          <w:color w:val="000000"/>
          <w:sz w:val="30"/>
        </w:rPr>
      </w:pPr>
      <w:r>
        <w:rPr>
          <w:rFonts w:hint="eastAsia" w:ascii="宋体" w:hAnsi="宋体" w:cs="宋体"/>
          <w:color w:val="000000"/>
          <w:sz w:val="30"/>
        </w:rPr>
        <w:t>法定代表人（个人电子签章）：</w:t>
      </w:r>
    </w:p>
    <w:p>
      <w:pPr>
        <w:jc w:val="center"/>
        <w:rPr>
          <w:rFonts w:ascii="宋体" w:hAnsi="宋体" w:cs="宋体"/>
          <w:color w:val="000000"/>
          <w:sz w:val="36"/>
        </w:rPr>
      </w:pPr>
      <w:bookmarkStart w:id="79" w:name="_Toc20243_WPSOffice_Level2"/>
      <w:r>
        <w:rPr>
          <w:rFonts w:hint="eastAsia" w:ascii="宋体" w:hAnsi="宋体" w:cs="宋体"/>
          <w:b/>
          <w:color w:val="000000"/>
          <w:sz w:val="30"/>
          <w:szCs w:val="30"/>
        </w:rPr>
        <w:t>2019年  月  日</w:t>
      </w:r>
      <w:bookmarkEnd w:id="79"/>
    </w:p>
    <w:p>
      <w:pPr>
        <w:jc w:val="center"/>
        <w:rPr>
          <w:rFonts w:ascii="宋体" w:hAnsi="宋体" w:cs="宋体"/>
          <w:b/>
          <w:sz w:val="32"/>
          <w:szCs w:val="32"/>
        </w:rPr>
      </w:pPr>
      <w:bookmarkStart w:id="80" w:name="_Toc13889_WPSOffice_Level2"/>
      <w:bookmarkStart w:id="81" w:name="_Toc16839_WPSOffice_Level2"/>
      <w:r>
        <w:rPr>
          <w:rFonts w:hint="eastAsia" w:ascii="宋体" w:hAnsi="宋体" w:cs="宋体"/>
          <w:b/>
          <w:sz w:val="32"/>
          <w:szCs w:val="32"/>
        </w:rPr>
        <w:t>目   录</w:t>
      </w:r>
      <w:bookmarkEnd w:id="80"/>
      <w:bookmarkEnd w:id="81"/>
    </w:p>
    <w:p>
      <w:pPr>
        <w:spacing w:line="540" w:lineRule="exact"/>
        <w:jc w:val="center"/>
        <w:rPr>
          <w:rFonts w:ascii="宋体" w:hAnsi="宋体" w:cs="宋体"/>
          <w:szCs w:val="24"/>
        </w:rPr>
      </w:pPr>
      <w:bookmarkStart w:id="82" w:name="_Toc26023_WPSOffice_Level2"/>
      <w:bookmarkStart w:id="83" w:name="_Toc12152_WPSOffice_Level2"/>
      <w:r>
        <w:rPr>
          <w:rFonts w:hint="eastAsia" w:ascii="宋体" w:hAnsi="宋体" w:cs="宋体"/>
          <w:szCs w:val="24"/>
        </w:rPr>
        <w:t>（投标人根据招标文件的格式自行编制目录）</w:t>
      </w:r>
      <w:bookmarkEnd w:id="82"/>
      <w:bookmarkEnd w:id="83"/>
    </w:p>
    <w:p>
      <w:pPr>
        <w:spacing w:line="540" w:lineRule="exact"/>
        <w:jc w:val="center"/>
        <w:rPr>
          <w:rFonts w:ascii="宋体" w:hAnsi="宋体" w:cs="宋体"/>
          <w:b/>
          <w:bCs/>
          <w:sz w:val="32"/>
          <w:szCs w:val="32"/>
        </w:rPr>
      </w:pPr>
      <w:r>
        <w:rPr>
          <w:rFonts w:hint="eastAsia" w:ascii="宋体" w:hAnsi="宋体" w:cs="宋体"/>
          <w:szCs w:val="24"/>
        </w:rPr>
        <w:br w:type="page"/>
      </w:r>
      <w:bookmarkStart w:id="84" w:name="_Toc29737_WPSOffice_Level2"/>
      <w:bookmarkStart w:id="85" w:name="_Toc23157_WPSOffice_Level2"/>
      <w:bookmarkStart w:id="86" w:name="_Toc6977"/>
      <w:bookmarkStart w:id="87" w:name="_Toc5784"/>
      <w:r>
        <w:rPr>
          <w:rFonts w:hint="eastAsia" w:ascii="宋体" w:hAnsi="宋体" w:cs="宋体"/>
          <w:b/>
          <w:bCs/>
          <w:sz w:val="32"/>
          <w:szCs w:val="32"/>
        </w:rPr>
        <w:t>1.法定代表人授权书</w:t>
      </w:r>
      <w:bookmarkEnd w:id="84"/>
      <w:bookmarkEnd w:id="85"/>
      <w:bookmarkEnd w:id="86"/>
      <w:bookmarkEnd w:id="87"/>
    </w:p>
    <w:p>
      <w:pPr>
        <w:spacing w:beforeLines="50" w:line="500" w:lineRule="exact"/>
        <w:rPr>
          <w:rFonts w:ascii="宋体" w:hAnsi="宋体" w:cs="宋体"/>
          <w:szCs w:val="24"/>
        </w:rPr>
      </w:pPr>
      <w:r>
        <w:rPr>
          <w:rFonts w:hint="eastAsia" w:ascii="宋体" w:hAnsi="宋体" w:cs="宋体"/>
          <w:szCs w:val="24"/>
        </w:rPr>
        <w:t xml:space="preserve">    本授权书声明：注册于（</w:t>
      </w:r>
      <w:r>
        <w:rPr>
          <w:rFonts w:hint="eastAsia" w:ascii="宋体" w:hAnsi="宋体" w:cs="宋体"/>
          <w:szCs w:val="24"/>
          <w:u w:val="single"/>
        </w:rPr>
        <w:t>注册地址名称</w:t>
      </w:r>
      <w:r>
        <w:rPr>
          <w:rFonts w:hint="eastAsia" w:ascii="宋体" w:hAnsi="宋体" w:cs="宋体"/>
          <w:szCs w:val="24"/>
        </w:rPr>
        <w:t>）的(</w:t>
      </w:r>
      <w:r>
        <w:rPr>
          <w:rFonts w:hint="eastAsia" w:ascii="宋体" w:hAnsi="宋体" w:cs="宋体"/>
          <w:szCs w:val="24"/>
          <w:u w:val="single"/>
        </w:rPr>
        <w:t>投标人全名</w:t>
      </w:r>
      <w:r>
        <w:rPr>
          <w:rFonts w:hint="eastAsia" w:ascii="宋体" w:hAnsi="宋体" w:cs="宋体"/>
          <w:szCs w:val="24"/>
        </w:rPr>
        <w:t>)的在下面签字的</w:t>
      </w:r>
      <w:r>
        <w:rPr>
          <w:rFonts w:hint="eastAsia" w:ascii="宋体" w:hAnsi="宋体" w:cs="宋体"/>
          <w:szCs w:val="24"/>
          <w:u w:val="single"/>
        </w:rPr>
        <w:t xml:space="preserve">             </w:t>
      </w:r>
      <w:r>
        <w:rPr>
          <w:rFonts w:hint="eastAsia" w:ascii="宋体" w:hAnsi="宋体" w:cs="宋体"/>
          <w:szCs w:val="24"/>
        </w:rPr>
        <w:t>(</w:t>
      </w:r>
      <w:r>
        <w:rPr>
          <w:rFonts w:hint="eastAsia" w:ascii="宋体" w:hAnsi="宋体" w:cs="宋体"/>
          <w:szCs w:val="24"/>
          <w:u w:val="single"/>
        </w:rPr>
        <w:t>法定代表人姓名、职务</w:t>
      </w:r>
      <w:r>
        <w:rPr>
          <w:rFonts w:hint="eastAsia" w:ascii="宋体" w:hAnsi="宋体" w:cs="宋体"/>
          <w:szCs w:val="24"/>
        </w:rPr>
        <w:t>)代表本公司授权（</w:t>
      </w:r>
      <w:r>
        <w:rPr>
          <w:rFonts w:hint="eastAsia" w:ascii="宋体" w:hAnsi="宋体" w:cs="宋体"/>
          <w:szCs w:val="24"/>
          <w:u w:val="single"/>
        </w:rPr>
        <w:t>单位名称</w:t>
      </w:r>
      <w:r>
        <w:rPr>
          <w:rFonts w:hint="eastAsia" w:ascii="宋体" w:hAnsi="宋体" w:cs="宋体"/>
          <w:szCs w:val="24"/>
        </w:rPr>
        <w:t>）的在下面签字的</w:t>
      </w:r>
      <w:r>
        <w:rPr>
          <w:rFonts w:hint="eastAsia" w:ascii="宋体" w:hAnsi="宋体" w:cs="宋体"/>
          <w:szCs w:val="24"/>
          <w:u w:val="single"/>
        </w:rPr>
        <w:t xml:space="preserve">            </w:t>
      </w:r>
      <w:r>
        <w:rPr>
          <w:rFonts w:hint="eastAsia" w:ascii="宋体" w:hAnsi="宋体" w:cs="宋体"/>
          <w:szCs w:val="24"/>
        </w:rPr>
        <w:t>（</w:t>
      </w:r>
      <w:r>
        <w:rPr>
          <w:rFonts w:hint="eastAsia" w:ascii="宋体" w:hAnsi="宋体" w:cs="宋体"/>
          <w:szCs w:val="24"/>
          <w:u w:val="single"/>
        </w:rPr>
        <w:t>被授权人的姓名、职务</w:t>
      </w:r>
      <w:r>
        <w:rPr>
          <w:rFonts w:hint="eastAsia" w:ascii="宋体" w:hAnsi="宋体" w:cs="宋体"/>
          <w:szCs w:val="24"/>
        </w:rPr>
        <w:t>）为本公司的合法代理人，就招标编号为</w:t>
      </w:r>
      <w:r>
        <w:rPr>
          <w:rFonts w:hint="eastAsia" w:ascii="宋体" w:hAnsi="宋体" w:cs="宋体"/>
          <w:szCs w:val="24"/>
          <w:u w:val="single"/>
        </w:rPr>
        <w:t xml:space="preserve">      （项目名称</w:t>
      </w:r>
      <w:r>
        <w:rPr>
          <w:rFonts w:hint="eastAsia" w:ascii="宋体" w:hAnsi="宋体" w:cs="宋体"/>
          <w:szCs w:val="24"/>
        </w:rPr>
        <w:t>）的投标及合同执行，以本公司名义处理一切与之有关的事务。</w:t>
      </w:r>
    </w:p>
    <w:p>
      <w:pPr>
        <w:spacing w:line="500" w:lineRule="exact"/>
        <w:rPr>
          <w:rFonts w:ascii="宋体" w:hAnsi="宋体" w:cs="宋体"/>
          <w:szCs w:val="24"/>
        </w:rPr>
      </w:pPr>
      <w:r>
        <w:rPr>
          <w:rFonts w:hint="eastAsia" w:ascii="宋体" w:hAnsi="宋体" w:cs="宋体"/>
          <w:szCs w:val="24"/>
        </w:rPr>
        <w:t xml:space="preserve">    本授权书于</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日签字生效，特此声明。</w:t>
      </w:r>
    </w:p>
    <w:p>
      <w:pPr>
        <w:spacing w:line="500" w:lineRule="exact"/>
        <w:rPr>
          <w:rFonts w:ascii="宋体" w:hAnsi="宋体" w:cs="宋体"/>
          <w:szCs w:val="24"/>
        </w:rPr>
      </w:pPr>
    </w:p>
    <w:p>
      <w:pPr>
        <w:spacing w:line="440" w:lineRule="exact"/>
        <w:rPr>
          <w:rFonts w:ascii="宋体" w:hAnsi="宋体" w:cs="宋体"/>
          <w:szCs w:val="24"/>
        </w:rPr>
      </w:pPr>
      <w:r>
        <w:rPr>
          <w:rFonts w:hint="eastAsia" w:ascii="宋体" w:hAnsi="宋体" w:cs="宋体"/>
          <w:szCs w:val="24"/>
        </w:rPr>
        <w:t>投标人（企业电子签章）：</w:t>
      </w:r>
    </w:p>
    <w:p>
      <w:pPr>
        <w:spacing w:line="440" w:lineRule="exact"/>
        <w:rPr>
          <w:rFonts w:ascii="宋体" w:hAnsi="宋体" w:cs="宋体"/>
          <w:szCs w:val="24"/>
        </w:rPr>
      </w:pPr>
      <w:r>
        <w:rPr>
          <w:rFonts w:hint="eastAsia" w:ascii="宋体" w:hAnsi="宋体" w:cs="宋体"/>
          <w:szCs w:val="24"/>
        </w:rPr>
        <w:t>法定代表人（个人电子签章）：</w:t>
      </w:r>
    </w:p>
    <w:p>
      <w:pPr>
        <w:rPr>
          <w:rFonts w:ascii="宋体" w:hAnsi="宋体" w:cs="宋体"/>
          <w:szCs w:val="24"/>
        </w:rPr>
      </w:pPr>
      <w:r>
        <w:rPr>
          <w:rFonts w:hint="eastAsia" w:ascii="宋体" w:hAnsi="宋体" w:cs="宋体"/>
          <w:szCs w:val="24"/>
        </w:rPr>
        <w:t>地址：</w:t>
      </w:r>
    </w:p>
    <w:p>
      <w:pPr>
        <w:rPr>
          <w:rFonts w:ascii="宋体" w:hAnsi="宋体" w:cs="宋体"/>
          <w:szCs w:val="24"/>
        </w:rPr>
      </w:pPr>
    </w:p>
    <w:tbl>
      <w:tblPr>
        <w:tblStyle w:val="26"/>
        <w:tblW w:w="8969"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Cs w:val="24"/>
              </w:rPr>
              <w:t>法定代表人身份证复印件（正面）</w:t>
            </w:r>
          </w:p>
        </w:tc>
        <w:tc>
          <w:tcPr>
            <w:tcW w:w="4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Cs w:val="24"/>
              </w:rPr>
              <w:t>法定代表人身份证复印件（反面）</w:t>
            </w:r>
          </w:p>
        </w:tc>
      </w:tr>
    </w:tbl>
    <w:p>
      <w:pPr>
        <w:jc w:val="center"/>
        <w:rPr>
          <w:rFonts w:ascii="宋体" w:hAnsi="宋体" w:cs="宋体"/>
        </w:rPr>
      </w:pPr>
    </w:p>
    <w:tbl>
      <w:tblPr>
        <w:tblStyle w:val="26"/>
        <w:tblW w:w="8983" w:type="dxa"/>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bookmarkStart w:id="88" w:name="_资格证明文件"/>
            <w:bookmarkEnd w:id="88"/>
            <w:bookmarkStart w:id="89" w:name="_Toc364329026"/>
            <w:r>
              <w:rPr>
                <w:rFonts w:hint="eastAsia" w:ascii="宋体" w:hAnsi="宋体" w:cs="宋体"/>
                <w:szCs w:val="24"/>
              </w:rPr>
              <w:t>法定代表人授权代表身份证（正面）</w:t>
            </w:r>
            <w:bookmarkEnd w:id="89"/>
          </w:p>
        </w:tc>
        <w:tc>
          <w:tcPr>
            <w:tcW w:w="4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bookmarkStart w:id="90" w:name="_Toc364329027"/>
            <w:r>
              <w:rPr>
                <w:rFonts w:hint="eastAsia" w:ascii="宋体" w:hAnsi="宋体" w:cs="宋体"/>
                <w:szCs w:val="24"/>
              </w:rPr>
              <w:t>法定代表人授权代表身份证（反面）</w:t>
            </w:r>
            <w:bookmarkEnd w:id="90"/>
          </w:p>
        </w:tc>
      </w:tr>
    </w:tbl>
    <w:p>
      <w:pPr>
        <w:pStyle w:val="4"/>
        <w:widowControl/>
        <w:numPr>
          <w:ilvl w:val="0"/>
          <w:numId w:val="0"/>
        </w:numPr>
        <w:tabs>
          <w:tab w:val="left" w:pos="420"/>
        </w:tabs>
        <w:ind w:left="420"/>
        <w:jc w:val="center"/>
        <w:rPr>
          <w:rFonts w:hint="eastAsia" w:ascii="宋体" w:hAnsi="宋体" w:eastAsia="宋体" w:cs="宋体"/>
        </w:rPr>
      </w:pPr>
      <w:r>
        <w:rPr>
          <w:kern w:val="2"/>
        </w:rPr>
        <w:br w:type="page"/>
      </w:r>
      <w:bookmarkStart w:id="91" w:name="_Toc7989_WPSOffice_Level2"/>
      <w:bookmarkStart w:id="92" w:name="_Toc18105_WPSOffice_Level2"/>
      <w:bookmarkStart w:id="93" w:name="_Toc31167"/>
      <w:bookmarkStart w:id="94" w:name="_Toc20745"/>
      <w:bookmarkStart w:id="95" w:name="_Toc4717"/>
      <w:bookmarkStart w:id="96" w:name="_Toc26327_WPSOffice_Level2"/>
      <w:bookmarkStart w:id="97" w:name="_Toc11014"/>
      <w:bookmarkStart w:id="98" w:name="_Toc2919_WPSOffice_Level2"/>
      <w:r>
        <w:rPr>
          <w:rFonts w:hint="eastAsia" w:ascii="宋体" w:hAnsi="宋体" w:eastAsia="宋体" w:cs="宋体"/>
        </w:rPr>
        <w:t>2.投 标 函</w:t>
      </w:r>
      <w:bookmarkEnd w:id="91"/>
      <w:bookmarkEnd w:id="92"/>
      <w:bookmarkEnd w:id="93"/>
      <w:bookmarkEnd w:id="94"/>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致：</w:t>
      </w:r>
      <w:r>
        <w:rPr>
          <w:rFonts w:hint="eastAsia"/>
          <w:sz w:val="28"/>
          <w:szCs w:val="28"/>
          <w:u w:val="single"/>
          <w:lang w:val="en-US" w:eastAsia="zh-CN"/>
        </w:rPr>
        <w:t xml:space="preserve">              </w:t>
      </w:r>
      <w:r>
        <w:rPr>
          <w:sz w:val="28"/>
          <w:szCs w:val="28"/>
        </w:rPr>
        <w:t>（招标人名称）</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1、我方已仔细研究了</w:t>
      </w:r>
      <w:r>
        <w:rPr>
          <w:rFonts w:hint="eastAsia"/>
          <w:sz w:val="28"/>
          <w:szCs w:val="28"/>
          <w:u w:val="single"/>
          <w:lang w:val="en-US" w:eastAsia="zh-CN"/>
        </w:rPr>
        <w:t xml:space="preserve">         </w:t>
      </w:r>
      <w:r>
        <w:rPr>
          <w:sz w:val="28"/>
          <w:szCs w:val="28"/>
        </w:rPr>
        <w:t>（项目编码及名称）</w:t>
      </w:r>
      <w:r>
        <w:rPr>
          <w:rFonts w:hint="eastAsia"/>
          <w:sz w:val="28"/>
          <w:szCs w:val="28"/>
          <w:u w:val="single"/>
          <w:lang w:val="en-US" w:eastAsia="zh-CN"/>
        </w:rPr>
        <w:t xml:space="preserve">          </w:t>
      </w:r>
      <w:r>
        <w:rPr>
          <w:sz w:val="28"/>
          <w:szCs w:val="28"/>
        </w:rPr>
        <w:t>标段招标文件的全部内容， 愿意以人民币（大写）</w:t>
      </w:r>
      <w:r>
        <w:rPr>
          <w:rFonts w:hint="eastAsia"/>
          <w:sz w:val="28"/>
          <w:szCs w:val="28"/>
          <w:u w:val="single"/>
          <w:lang w:val="en-US" w:eastAsia="zh-CN"/>
        </w:rPr>
        <w:t xml:space="preserve">            </w:t>
      </w:r>
      <w:r>
        <w:rPr>
          <w:sz w:val="28"/>
          <w:szCs w:val="28"/>
        </w:rPr>
        <w:t xml:space="preserve"> （￥</w:t>
      </w:r>
      <w:r>
        <w:rPr>
          <w:rFonts w:hint="eastAsia"/>
          <w:sz w:val="28"/>
          <w:szCs w:val="28"/>
          <w:u w:val="single"/>
          <w:lang w:val="en-US" w:eastAsia="zh-CN"/>
        </w:rPr>
        <w:t xml:space="preserve">         </w:t>
      </w:r>
      <w:r>
        <w:rPr>
          <w:sz w:val="28"/>
          <w:szCs w:val="28"/>
        </w:rPr>
        <w:t>）的投标总报价 （其中，增值税税率为</w:t>
      </w:r>
      <w:r>
        <w:rPr>
          <w:rFonts w:hint="eastAsia"/>
          <w:sz w:val="28"/>
          <w:szCs w:val="28"/>
          <w:u w:val="single"/>
          <w:lang w:val="en-US" w:eastAsia="zh-CN"/>
        </w:rPr>
        <w:t xml:space="preserve">          </w:t>
      </w:r>
      <w:r>
        <w:rPr>
          <w:sz w:val="28"/>
          <w:szCs w:val="28"/>
        </w:rPr>
        <w:t>）， 交货期</w:t>
      </w:r>
      <w:r>
        <w:rPr>
          <w:rFonts w:hint="eastAsia"/>
          <w:sz w:val="28"/>
          <w:szCs w:val="28"/>
          <w:u w:val="single"/>
          <w:lang w:val="en-US" w:eastAsia="zh-CN"/>
        </w:rPr>
        <w:t xml:space="preserve">          </w:t>
      </w:r>
      <w:r>
        <w:rPr>
          <w:sz w:val="28"/>
          <w:szCs w:val="28"/>
        </w:rPr>
        <w:t>日历天, 交货地点</w:t>
      </w:r>
      <w:r>
        <w:rPr>
          <w:rFonts w:hint="eastAsia"/>
          <w:sz w:val="28"/>
          <w:szCs w:val="28"/>
          <w:u w:val="single"/>
          <w:lang w:val="en-US" w:eastAsia="zh-CN"/>
        </w:rPr>
        <w:t xml:space="preserve">          </w:t>
      </w:r>
      <w:r>
        <w:rPr>
          <w:sz w:val="28"/>
          <w:szCs w:val="28"/>
        </w:rPr>
        <w:t>, 质量要求</w:t>
      </w:r>
      <w:r>
        <w:rPr>
          <w:rFonts w:hint="eastAsia"/>
          <w:sz w:val="28"/>
          <w:szCs w:val="28"/>
          <w:u w:val="single"/>
          <w:lang w:val="en-US" w:eastAsia="zh-CN"/>
        </w:rPr>
        <w:t xml:space="preserve">          </w:t>
      </w:r>
      <w:r>
        <w:rPr>
          <w:sz w:val="28"/>
          <w:szCs w:val="28"/>
        </w:rPr>
        <w:t>, 项目负责人</w:t>
      </w:r>
      <w:r>
        <w:rPr>
          <w:rFonts w:hint="eastAsia"/>
          <w:sz w:val="28"/>
          <w:szCs w:val="28"/>
          <w:u w:val="single"/>
          <w:lang w:val="en-US" w:eastAsia="zh-CN"/>
        </w:rPr>
        <w:t xml:space="preserve">         </w:t>
      </w:r>
      <w:r>
        <w:rPr>
          <w:sz w:val="28"/>
          <w:szCs w:val="28"/>
        </w:rPr>
        <w:t xml:space="preserve">, 按合同约定完成本项目。 </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2、投标文件的组成部分内容不一致时，以投标函为准。</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3、 我方承诺在招标文件规定的投标有效期内不撤销投标文件。</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rFonts w:hint="eastAsia"/>
          <w:sz w:val="28"/>
          <w:szCs w:val="28"/>
          <w:lang w:val="en-US" w:eastAsia="zh-CN"/>
        </w:rPr>
        <w:t>4</w:t>
      </w:r>
      <w:r>
        <w:rPr>
          <w:sz w:val="28"/>
          <w:szCs w:val="28"/>
        </w:rPr>
        <w:t>、如我方中标，我方承诺：</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（1）我方承诺在收到中标通知书后，在中标通知书规定时间内与你放签订合同；</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（2）在签订合同时不向你方提出附加条件；</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（3）按照招标文件要求提交履约保证金；</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sz w:val="28"/>
          <w:szCs w:val="28"/>
        </w:rPr>
        <w:t>（4）在合同约定的期限内完成合同规定的全部义务。</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rFonts w:hint="eastAsia"/>
          <w:sz w:val="28"/>
          <w:szCs w:val="28"/>
          <w:lang w:val="en-US" w:eastAsia="zh-CN"/>
        </w:rPr>
        <w:t>5</w:t>
      </w:r>
      <w:r>
        <w:rPr>
          <w:sz w:val="28"/>
          <w:szCs w:val="28"/>
        </w:rPr>
        <w:t>、我方在此声明，所递交的投标文件及相关资料内容完整、真实和准确。</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20" w:lineRule="exact"/>
        <w:ind w:left="0" w:right="0"/>
        <w:textAlignment w:val="auto"/>
        <w:rPr>
          <w:sz w:val="28"/>
          <w:szCs w:val="28"/>
        </w:rPr>
      </w:pPr>
      <w:r>
        <w:rPr>
          <w:rFonts w:hint="eastAsia"/>
          <w:sz w:val="28"/>
          <w:szCs w:val="28"/>
          <w:lang w:val="en-US" w:eastAsia="zh-CN"/>
        </w:rPr>
        <w:t>6</w:t>
      </w:r>
      <w:r>
        <w:rPr>
          <w:sz w:val="28"/>
          <w:szCs w:val="28"/>
        </w:rPr>
        <w:t>、</w:t>
      </w:r>
      <w:r>
        <w:rPr>
          <w:rFonts w:hint="eastAsia"/>
          <w:sz w:val="28"/>
          <w:szCs w:val="28"/>
          <w:u w:val="single"/>
          <w:lang w:val="en-US" w:eastAsia="zh-CN"/>
        </w:rPr>
        <w:t xml:space="preserve">                  </w:t>
      </w:r>
      <w:r>
        <w:rPr>
          <w:sz w:val="28"/>
          <w:szCs w:val="28"/>
        </w:rPr>
        <w:t>（其他补充说明）。</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00" w:lineRule="exact"/>
        <w:ind w:left="0" w:right="0"/>
        <w:textAlignment w:val="auto"/>
        <w:rPr>
          <w:sz w:val="28"/>
          <w:szCs w:val="28"/>
        </w:rPr>
      </w:pP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00" w:lineRule="exact"/>
        <w:ind w:left="0" w:right="0"/>
        <w:textAlignment w:val="auto"/>
        <w:rPr>
          <w:sz w:val="28"/>
          <w:szCs w:val="28"/>
        </w:rPr>
      </w:pP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00" w:lineRule="exact"/>
        <w:ind w:left="0" w:right="0"/>
        <w:textAlignment w:val="auto"/>
        <w:rPr>
          <w:sz w:val="28"/>
          <w:szCs w:val="28"/>
        </w:rPr>
      </w:pPr>
      <w:r>
        <w:rPr>
          <w:sz w:val="28"/>
          <w:szCs w:val="28"/>
        </w:rPr>
        <w:t>投标人：</w:t>
      </w:r>
      <w:r>
        <w:rPr>
          <w:rFonts w:hint="eastAsia"/>
          <w:sz w:val="28"/>
          <w:szCs w:val="28"/>
          <w:u w:val="single"/>
          <w:lang w:val="en-US" w:eastAsia="zh-CN"/>
        </w:rPr>
        <w:t xml:space="preserve">                </w:t>
      </w:r>
      <w:r>
        <w:rPr>
          <w:sz w:val="28"/>
          <w:szCs w:val="28"/>
        </w:rPr>
        <w:t>（签章）</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00" w:lineRule="exact"/>
        <w:ind w:left="0" w:right="0"/>
        <w:textAlignment w:val="auto"/>
        <w:rPr>
          <w:sz w:val="28"/>
          <w:szCs w:val="28"/>
        </w:rPr>
      </w:pPr>
      <w:r>
        <w:rPr>
          <w:sz w:val="28"/>
          <w:szCs w:val="28"/>
        </w:rPr>
        <w:t>法定代表人或其委托代理人：</w:t>
      </w:r>
      <w:r>
        <w:rPr>
          <w:rFonts w:hint="eastAsia"/>
          <w:sz w:val="28"/>
          <w:szCs w:val="28"/>
          <w:u w:val="single"/>
          <w:lang w:val="en-US" w:eastAsia="zh-CN"/>
        </w:rPr>
        <w:t xml:space="preserve">              </w:t>
      </w:r>
      <w:r>
        <w:rPr>
          <w:sz w:val="28"/>
          <w:szCs w:val="28"/>
        </w:rPr>
        <w:t>（签章）</w:t>
      </w:r>
    </w:p>
    <w:p>
      <w:pPr>
        <w:pStyle w:val="23"/>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00" w:lineRule="exact"/>
        <w:ind w:left="0" w:right="0"/>
        <w:textAlignment w:val="auto"/>
        <w:rPr>
          <w:rFonts w:hint="default" w:eastAsia="宋体"/>
          <w:sz w:val="28"/>
          <w:szCs w:val="28"/>
          <w:u w:val="single"/>
          <w:lang w:val="en-US" w:eastAsia="zh-CN"/>
        </w:rPr>
      </w:pPr>
      <w:r>
        <w:rPr>
          <w:sz w:val="28"/>
          <w:szCs w:val="28"/>
        </w:rPr>
        <w:t>日期：</w:t>
      </w:r>
      <w:r>
        <w:rPr>
          <w:rFonts w:hint="eastAsia"/>
          <w:sz w:val="28"/>
          <w:szCs w:val="28"/>
          <w:u w:val="single"/>
          <w:lang w:val="en-US" w:eastAsia="zh-CN"/>
        </w:rPr>
        <w:t xml:space="preserve">                   </w:t>
      </w:r>
    </w:p>
    <w:p>
      <w:pPr>
        <w:pStyle w:val="4"/>
        <w:spacing w:line="412" w:lineRule="auto"/>
        <w:ind w:left="0"/>
        <w:jc w:val="center"/>
        <w:rPr>
          <w:rFonts w:hint="default" w:cs="宋体"/>
        </w:rPr>
      </w:pPr>
      <w:r>
        <w:rPr>
          <w:rFonts w:hint="eastAsia" w:ascii="宋体" w:hAnsi="宋体" w:eastAsia="宋体"/>
          <w:kern w:val="2"/>
          <w:sz w:val="28"/>
          <w:szCs w:val="28"/>
          <w:lang w:bidi="ar"/>
        </w:rPr>
        <w:br w:type="page"/>
      </w:r>
      <w:r>
        <w:rPr>
          <w:rFonts w:cs="宋体"/>
        </w:rPr>
        <w:t>3.资格证明文件</w:t>
      </w:r>
      <w:bookmarkEnd w:id="95"/>
      <w:bookmarkEnd w:id="96"/>
      <w:bookmarkEnd w:id="97"/>
      <w:bookmarkEnd w:id="98"/>
    </w:p>
    <w:p>
      <w:pPr>
        <w:pStyle w:val="5"/>
        <w:jc w:val="center"/>
        <w:rPr>
          <w:rFonts w:hint="default"/>
          <w:b/>
          <w:bCs/>
          <w:sz w:val="28"/>
          <w:szCs w:val="18"/>
        </w:rPr>
      </w:pPr>
      <w:bookmarkStart w:id="99" w:name="_Toc18670_WPSOffice_Level3"/>
      <w:bookmarkStart w:id="100" w:name="_Toc10284"/>
      <w:bookmarkStart w:id="101" w:name="_Toc21692"/>
      <w:bookmarkStart w:id="102" w:name="_Toc27118"/>
      <w:r>
        <w:rPr>
          <w:b/>
          <w:bCs/>
          <w:sz w:val="28"/>
          <w:szCs w:val="18"/>
        </w:rPr>
        <w:t>3.1申明资格信</w:t>
      </w:r>
      <w:bookmarkEnd w:id="99"/>
      <w:bookmarkEnd w:id="100"/>
      <w:bookmarkEnd w:id="101"/>
      <w:bookmarkEnd w:id="102"/>
    </w:p>
    <w:p>
      <w:pPr>
        <w:pStyle w:val="6"/>
        <w:widowControl/>
        <w:spacing w:line="360" w:lineRule="auto"/>
        <w:ind w:firstLine="0"/>
        <w:rPr>
          <w:rFonts w:ascii="宋体" w:hAnsi="宋体" w:cs="宋体"/>
          <w:sz w:val="24"/>
        </w:rPr>
      </w:pPr>
      <w:r>
        <w:rPr>
          <w:rFonts w:hint="eastAsia" w:ascii="宋体" w:hAnsi="宋体" w:cs="宋体"/>
          <w:sz w:val="24"/>
        </w:rPr>
        <w:t>致：（采购人名称）</w:t>
      </w:r>
    </w:p>
    <w:p>
      <w:pPr>
        <w:pStyle w:val="6"/>
        <w:widowControl/>
        <w:spacing w:line="360" w:lineRule="auto"/>
        <w:ind w:firstLine="540"/>
        <w:rPr>
          <w:rFonts w:ascii="宋体" w:hAnsi="宋体" w:cs="宋体"/>
          <w:sz w:val="24"/>
        </w:rPr>
      </w:pPr>
      <w:r>
        <w:rPr>
          <w:rFonts w:hint="eastAsia" w:ascii="宋体" w:hAnsi="宋体" w:cs="宋体"/>
          <w:sz w:val="24"/>
        </w:rPr>
        <w:t>响应</w:t>
      </w:r>
      <w:r>
        <w:rPr>
          <w:rFonts w:hint="eastAsia" w:ascii="宋体" w:hAnsi="宋体" w:cs="宋体"/>
          <w:sz w:val="24"/>
          <w:u w:val="single"/>
        </w:rPr>
        <w:t xml:space="preserve">（代理机构名称）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日发出的</w:t>
      </w:r>
      <w:r>
        <w:rPr>
          <w:rFonts w:hint="eastAsia" w:ascii="宋体" w:hAnsi="宋体" w:cs="宋体"/>
          <w:sz w:val="24"/>
          <w:u w:val="single"/>
        </w:rPr>
        <w:t xml:space="preserve"> （项目名称、招标编号） </w:t>
      </w:r>
      <w:r>
        <w:rPr>
          <w:rFonts w:hint="eastAsia" w:ascii="宋体" w:hAnsi="宋体" w:cs="宋体"/>
          <w:b/>
          <w:sz w:val="24"/>
          <w:u w:val="single"/>
        </w:rPr>
        <w:t xml:space="preserve"> </w:t>
      </w:r>
      <w:r>
        <w:rPr>
          <w:rFonts w:hint="eastAsia" w:ascii="宋体" w:hAnsi="宋体" w:cs="宋体"/>
          <w:sz w:val="24"/>
        </w:rPr>
        <w:t>招标文件，下述签字人愿意参加投标，提供招标文件中工程/货物需求一览表规定的</w:t>
      </w:r>
      <w:r>
        <w:rPr>
          <w:rFonts w:hint="eastAsia" w:ascii="宋体" w:hAnsi="宋体" w:cs="宋体"/>
          <w:sz w:val="24"/>
          <w:u w:val="single"/>
        </w:rPr>
        <w:t xml:space="preserve">（项目/货物名称） </w:t>
      </w:r>
      <w:r>
        <w:rPr>
          <w:rFonts w:hint="eastAsia" w:ascii="宋体" w:hAnsi="宋体" w:cs="宋体"/>
          <w:sz w:val="24"/>
        </w:rPr>
        <w:t>，在此申明：保证提供的所有文件、陈述是正确的和真实的，并愿意承担相关法律责任。</w:t>
      </w:r>
    </w:p>
    <w:p>
      <w:pPr>
        <w:spacing w:line="400" w:lineRule="exact"/>
        <w:rPr>
          <w:rFonts w:ascii="宋体" w:hAnsi="宋体" w:cs="宋体"/>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spacing w:line="440" w:lineRule="exact"/>
        <w:rPr>
          <w:rFonts w:ascii="宋体" w:hAnsi="宋体" w:cs="宋体"/>
          <w:szCs w:val="24"/>
        </w:rPr>
      </w:pPr>
      <w:r>
        <w:rPr>
          <w:rFonts w:hint="eastAsia" w:ascii="宋体" w:hAnsi="宋体" w:cs="宋体"/>
          <w:szCs w:val="24"/>
        </w:rPr>
        <w:t>投标人（企业电子签章）：</w:t>
      </w:r>
    </w:p>
    <w:p>
      <w:pPr>
        <w:spacing w:line="440" w:lineRule="exact"/>
        <w:rPr>
          <w:rFonts w:ascii="宋体" w:hAnsi="宋体" w:cs="宋体"/>
          <w:szCs w:val="24"/>
        </w:rPr>
      </w:pPr>
    </w:p>
    <w:p>
      <w:pPr>
        <w:spacing w:line="440" w:lineRule="exact"/>
        <w:rPr>
          <w:rFonts w:ascii="宋体" w:hAnsi="宋体" w:cs="宋体"/>
          <w:szCs w:val="24"/>
        </w:rPr>
      </w:pPr>
      <w:r>
        <w:rPr>
          <w:rFonts w:hint="eastAsia" w:ascii="宋体" w:hAnsi="宋体" w:cs="宋体"/>
          <w:szCs w:val="24"/>
        </w:rPr>
        <w:t>法定代表人（个人电子签章）：</w:t>
      </w: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szCs w:val="24"/>
        </w:rPr>
      </w:pPr>
      <w:r>
        <w:rPr>
          <w:rFonts w:hint="eastAsia" w:ascii="宋体" w:hAnsi="宋体" w:cs="宋体"/>
          <w:sz w:val="24"/>
          <w:szCs w:val="24"/>
        </w:rPr>
        <w:t xml:space="preserve">地址                             </w:t>
      </w:r>
    </w:p>
    <w:p>
      <w:pPr>
        <w:pStyle w:val="6"/>
        <w:widowControl/>
        <w:spacing w:line="360" w:lineRule="auto"/>
        <w:ind w:firstLine="0"/>
        <w:rPr>
          <w:rFonts w:ascii="宋体" w:hAnsi="宋体" w:cs="宋体"/>
          <w:sz w:val="24"/>
          <w:szCs w:val="24"/>
        </w:rPr>
      </w:pPr>
      <w:r>
        <w:rPr>
          <w:rFonts w:hint="eastAsia" w:ascii="宋体" w:hAnsi="宋体" w:cs="宋体"/>
          <w:sz w:val="24"/>
          <w:szCs w:val="24"/>
        </w:rPr>
        <w:t xml:space="preserve">电话 </w:t>
      </w:r>
    </w:p>
    <w:p>
      <w:pPr>
        <w:pStyle w:val="6"/>
        <w:widowControl/>
        <w:spacing w:line="360" w:lineRule="auto"/>
        <w:ind w:firstLine="0"/>
        <w:rPr>
          <w:rFonts w:ascii="宋体" w:hAnsi="宋体" w:cs="宋体"/>
          <w:sz w:val="24"/>
          <w:szCs w:val="24"/>
        </w:rPr>
      </w:pPr>
      <w:r>
        <w:rPr>
          <w:rFonts w:hint="eastAsia" w:ascii="宋体" w:hAnsi="宋体" w:cs="宋体"/>
          <w:sz w:val="24"/>
          <w:szCs w:val="24"/>
        </w:rPr>
        <w:t>邮编</w:t>
      </w: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r>
        <w:rPr>
          <w:rFonts w:hint="eastAsia" w:ascii="宋体" w:hAnsi="宋体" w:cs="宋体"/>
          <w:kern w:val="2"/>
          <w:sz w:val="24"/>
          <w:szCs w:val="24"/>
        </w:rPr>
        <w:t xml:space="preserve">   年  月  日</w:t>
      </w: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pStyle w:val="6"/>
        <w:widowControl/>
        <w:spacing w:line="360" w:lineRule="auto"/>
        <w:ind w:firstLine="0"/>
        <w:rPr>
          <w:rFonts w:ascii="宋体" w:hAnsi="宋体" w:cs="宋体"/>
          <w:sz w:val="24"/>
        </w:rPr>
      </w:pPr>
    </w:p>
    <w:p>
      <w:pPr>
        <w:spacing w:line="360" w:lineRule="auto"/>
        <w:rPr>
          <w:rFonts w:ascii="宋体" w:hAnsi="宋体" w:cs="宋体"/>
        </w:rPr>
      </w:pPr>
    </w:p>
    <w:p>
      <w:pPr>
        <w:pStyle w:val="5"/>
        <w:jc w:val="center"/>
        <w:rPr>
          <w:rFonts w:hint="default"/>
          <w:b/>
          <w:bCs/>
          <w:sz w:val="28"/>
          <w:szCs w:val="18"/>
        </w:rPr>
      </w:pPr>
      <w:bookmarkStart w:id="103" w:name="_Toc22579_WPSOffice_Level3"/>
      <w:bookmarkStart w:id="104" w:name="_Toc22273"/>
      <w:r>
        <w:rPr>
          <w:b/>
          <w:bCs/>
          <w:sz w:val="28"/>
          <w:szCs w:val="18"/>
        </w:rPr>
        <w:t>3.2供应商基本情况表</w:t>
      </w:r>
      <w:bookmarkEnd w:id="103"/>
      <w:bookmarkEnd w:id="104"/>
    </w:p>
    <w:p>
      <w:pPr>
        <w:pStyle w:val="6"/>
      </w:pP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900"/>
        <w:gridCol w:w="360"/>
        <w:gridCol w:w="90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供应商名称</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注册地址</w:t>
            </w:r>
          </w:p>
        </w:tc>
        <w:tc>
          <w:tcPr>
            <w:tcW w:w="444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邮政编码</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联系方式</w:t>
            </w:r>
          </w:p>
        </w:tc>
        <w:tc>
          <w:tcPr>
            <w:tcW w:w="108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联系人</w:t>
            </w:r>
          </w:p>
        </w:tc>
        <w:tc>
          <w:tcPr>
            <w:tcW w:w="336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联系电话</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组织结构</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法定代表人</w:t>
            </w:r>
          </w:p>
        </w:tc>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技术职称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联系电话</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技术负责人</w:t>
            </w:r>
          </w:p>
        </w:tc>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技术职称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联系电话</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成立时间</w:t>
            </w:r>
          </w:p>
        </w:tc>
        <w:tc>
          <w:tcPr>
            <w:tcW w:w="228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c>
          <w:tcPr>
            <w:tcW w:w="504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营业执照号</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注册资金</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开户银行</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账号</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经营范围</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备注</w:t>
            </w:r>
          </w:p>
        </w:tc>
        <w:tc>
          <w:tcPr>
            <w:tcW w:w="7325"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bl>
    <w:p>
      <w:pPr>
        <w:rPr>
          <w:rFonts w:ascii="宋体" w:hAnsi="宋体" w:cs="宋体"/>
          <w:szCs w:val="24"/>
        </w:rPr>
      </w:pPr>
    </w:p>
    <w:p>
      <w:pPr>
        <w:spacing w:line="360" w:lineRule="auto"/>
        <w:rPr>
          <w:rFonts w:ascii="宋体" w:hAnsi="宋体" w:cs="宋体"/>
          <w:b/>
          <w:szCs w:val="24"/>
        </w:rPr>
      </w:pPr>
      <w:r>
        <w:rPr>
          <w:rFonts w:hint="eastAsia" w:ascii="宋体" w:hAnsi="宋体" w:cs="宋体"/>
          <w:b/>
          <w:szCs w:val="24"/>
        </w:rPr>
        <w:t>备注：须附有效期内的营业执照等原件扫描件</w:t>
      </w:r>
    </w:p>
    <w:p>
      <w:pPr>
        <w:rPr>
          <w:rFonts w:ascii="宋体" w:hAnsi="宋体" w:cs="宋体"/>
          <w:szCs w:val="24"/>
        </w:rPr>
      </w:pPr>
    </w:p>
    <w:p>
      <w:pPr>
        <w:ind w:firstLine="5280" w:firstLineChars="2200"/>
        <w:rPr>
          <w:rFonts w:ascii="宋体" w:hAnsi="宋体" w:cs="宋体"/>
          <w:szCs w:val="24"/>
        </w:rPr>
      </w:pPr>
      <w:r>
        <w:rPr>
          <w:rFonts w:hint="eastAsia" w:ascii="宋体" w:hAnsi="宋体" w:cs="宋体"/>
          <w:szCs w:val="24"/>
        </w:rPr>
        <w:t>投标人（企业电子签章）：</w:t>
      </w:r>
    </w:p>
    <w:p>
      <w:pPr>
        <w:ind w:firstLine="5280" w:firstLineChars="2200"/>
        <w:rPr>
          <w:rFonts w:ascii="宋体" w:hAnsi="宋体" w:cs="宋体"/>
          <w:szCs w:val="24"/>
        </w:rPr>
      </w:pPr>
    </w:p>
    <w:p>
      <w:pPr>
        <w:ind w:firstLine="5280" w:firstLineChars="2200"/>
        <w:rPr>
          <w:rFonts w:ascii="宋体" w:hAnsi="宋体" w:cs="宋体"/>
          <w:szCs w:val="24"/>
        </w:rPr>
      </w:pPr>
      <w:r>
        <w:rPr>
          <w:rFonts w:hint="eastAsia" w:ascii="宋体" w:hAnsi="宋体" w:cs="宋体"/>
          <w:szCs w:val="24"/>
        </w:rPr>
        <w:t>法定代表人（个人电子签章）：</w:t>
      </w:r>
    </w:p>
    <w:p>
      <w:pPr>
        <w:ind w:firstLine="5280" w:firstLineChars="2200"/>
        <w:rPr>
          <w:rFonts w:ascii="宋体" w:hAnsi="宋体" w:cs="宋体"/>
        </w:rPr>
      </w:pPr>
    </w:p>
    <w:p>
      <w:pPr>
        <w:spacing w:line="360" w:lineRule="auto"/>
        <w:ind w:firstLine="5280" w:firstLineChars="2200"/>
        <w:rPr>
          <w:rFonts w:ascii="宋体" w:hAnsi="宋体" w:cs="宋体"/>
        </w:rPr>
      </w:pPr>
      <w:r>
        <w:rPr>
          <w:rFonts w:hint="eastAsia" w:ascii="宋体" w:hAnsi="宋体" w:cs="宋体"/>
        </w:rPr>
        <w:t xml:space="preserve"> 年    月    日</w:t>
      </w:r>
    </w:p>
    <w:p>
      <w:pPr>
        <w:pStyle w:val="25"/>
        <w:rPr>
          <w:rFonts w:hint="default" w:eastAsia="宋体" w:cs="宋体"/>
          <w:kern w:val="2"/>
          <w:sz w:val="24"/>
        </w:rPr>
      </w:pPr>
    </w:p>
    <w:p>
      <w:pPr>
        <w:pStyle w:val="25"/>
        <w:rPr>
          <w:rFonts w:hint="default" w:eastAsia="宋体" w:cs="宋体"/>
          <w:kern w:val="2"/>
          <w:sz w:val="24"/>
        </w:rPr>
      </w:pPr>
    </w:p>
    <w:p>
      <w:pPr>
        <w:spacing w:line="360" w:lineRule="auto"/>
        <w:rPr>
          <w:rFonts w:ascii="宋体" w:hAnsi="宋体" w:cs="宋体"/>
          <w:szCs w:val="24"/>
        </w:rPr>
      </w:pPr>
    </w:p>
    <w:p>
      <w:pPr>
        <w:bidi w:val="0"/>
        <w:rPr>
          <w:rFonts w:hint="default"/>
        </w:rPr>
      </w:pPr>
      <w:bookmarkStart w:id="105" w:name="_Toc11161"/>
      <w:bookmarkStart w:id="106" w:name="_Toc20995_WPSOffice_Level3"/>
    </w:p>
    <w:p>
      <w:pPr>
        <w:pStyle w:val="5"/>
        <w:jc w:val="center"/>
        <w:rPr>
          <w:rFonts w:hint="default"/>
          <w:b/>
          <w:bCs/>
          <w:sz w:val="28"/>
          <w:szCs w:val="18"/>
        </w:rPr>
      </w:pPr>
      <w:bookmarkStart w:id="107" w:name="_Toc273437376"/>
      <w:r>
        <w:rPr>
          <w:b/>
          <w:bCs/>
          <w:sz w:val="28"/>
          <w:szCs w:val="18"/>
        </w:rPr>
        <w:t>3.3近年完成的类似项目</w:t>
      </w:r>
      <w:bookmarkEnd w:id="107"/>
      <w:r>
        <w:rPr>
          <w:b/>
          <w:bCs/>
          <w:sz w:val="28"/>
          <w:szCs w:val="18"/>
        </w:rPr>
        <w:t>业绩表</w:t>
      </w:r>
    </w:p>
    <w:p>
      <w:pPr>
        <w:spacing w:line="360" w:lineRule="auto"/>
        <w:ind w:left="720" w:leftChars="100" w:hanging="480" w:hangingChars="200"/>
        <w:jc w:val="center"/>
        <w:rPr>
          <w:rFonts w:hint="eastAsia" w:ascii="宋体" w:hAnsi="宋体" w:cs="宋体"/>
          <w:szCs w:val="24"/>
        </w:rPr>
      </w:pPr>
    </w:p>
    <w:p>
      <w:pPr>
        <w:spacing w:line="360" w:lineRule="auto"/>
        <w:ind w:left="720" w:leftChars="100" w:hanging="480" w:hangingChars="200"/>
        <w:jc w:val="center"/>
        <w:rPr>
          <w:rFonts w:ascii="宋体" w:hAnsi="宋体" w:cs="宋体"/>
          <w:szCs w:val="24"/>
        </w:rPr>
      </w:pPr>
      <w:r>
        <w:rPr>
          <w:rFonts w:hint="eastAsia" w:ascii="宋体" w:hAnsi="宋体" w:cs="宋体"/>
          <w:szCs w:val="24"/>
        </w:rPr>
        <w:t>（业绩表格式自拟）</w:t>
      </w:r>
    </w:p>
    <w:p>
      <w:pPr>
        <w:spacing w:line="360" w:lineRule="auto"/>
        <w:ind w:left="720" w:leftChars="100" w:hanging="480" w:hangingChars="200"/>
        <w:rPr>
          <w:rFonts w:ascii="宋体" w:hAnsi="宋体" w:cs="宋体"/>
          <w:szCs w:val="24"/>
        </w:rPr>
      </w:pPr>
    </w:p>
    <w:p>
      <w:pPr>
        <w:spacing w:line="360" w:lineRule="auto"/>
        <w:ind w:left="720" w:leftChars="100" w:hanging="480" w:hangingChars="200"/>
        <w:rPr>
          <w:rFonts w:ascii="宋体" w:hAnsi="宋体" w:cs="宋体"/>
          <w:szCs w:val="24"/>
          <w:highlight w:val="yellow"/>
        </w:rPr>
      </w:pPr>
      <w:r>
        <w:rPr>
          <w:rFonts w:hint="eastAsia" w:ascii="宋体" w:hAnsi="宋体" w:cs="宋体"/>
          <w:szCs w:val="24"/>
        </w:rPr>
        <w:t>附：1、类似项目指2016年以来类似项目。</w:t>
      </w:r>
    </w:p>
    <w:p>
      <w:pPr>
        <w:spacing w:line="360" w:lineRule="auto"/>
        <w:ind w:left="720" w:leftChars="300"/>
        <w:rPr>
          <w:rFonts w:ascii="宋体" w:hAnsi="宋体" w:cs="宋体"/>
          <w:szCs w:val="24"/>
        </w:rPr>
      </w:pPr>
      <w:r>
        <w:rPr>
          <w:rFonts w:hint="eastAsia" w:ascii="宋体" w:hAnsi="宋体" w:cs="宋体"/>
          <w:szCs w:val="24"/>
        </w:rPr>
        <w:t>2、本表后附中标通知书和合同协议书的复印件。</w:t>
      </w:r>
    </w:p>
    <w:p>
      <w:pPr>
        <w:spacing w:line="360" w:lineRule="auto"/>
        <w:rPr>
          <w:rFonts w:ascii="宋体" w:hAnsi="宋体"/>
          <w:szCs w:val="24"/>
        </w:rPr>
      </w:pPr>
      <w:r>
        <w:rPr>
          <w:rFonts w:ascii="宋体"/>
          <w:szCs w:val="21"/>
        </w:rPr>
        <w:br w:type="page"/>
      </w:r>
    </w:p>
    <w:p>
      <w:pPr>
        <w:pStyle w:val="5"/>
        <w:jc w:val="center"/>
        <w:rPr>
          <w:rFonts w:hint="default"/>
          <w:b/>
          <w:bCs/>
          <w:sz w:val="28"/>
          <w:szCs w:val="18"/>
        </w:rPr>
      </w:pPr>
      <w:r>
        <w:rPr>
          <w:b/>
          <w:bCs/>
          <w:sz w:val="28"/>
          <w:szCs w:val="18"/>
        </w:rPr>
        <w:t>3.4投标人2018年财务审计报告或银行资信证明</w:t>
      </w:r>
      <w:bookmarkEnd w:id="105"/>
      <w:bookmarkEnd w:id="106"/>
    </w:p>
    <w:p>
      <w:pPr>
        <w:pStyle w:val="6"/>
        <w:widowControl/>
        <w:spacing w:line="360" w:lineRule="auto"/>
        <w:ind w:firstLine="0"/>
        <w:rPr>
          <w:rFonts w:ascii="宋体" w:hAnsi="宋体" w:cs="宋体"/>
          <w:sz w:val="24"/>
          <w:szCs w:val="24"/>
          <w:highlight w:val="yellow"/>
          <w:shd w:val="clear" w:color="auto" w:fill="FFFFFF"/>
        </w:rPr>
      </w:pPr>
    </w:p>
    <w:p>
      <w:pPr>
        <w:pStyle w:val="6"/>
        <w:widowControl/>
        <w:spacing w:line="360" w:lineRule="auto"/>
        <w:rPr>
          <w:rFonts w:ascii="宋体" w:hAnsi="宋体" w:cs="宋体"/>
          <w:sz w:val="24"/>
          <w:szCs w:val="24"/>
          <w:shd w:val="clear" w:color="auto" w:fill="FFFFFF"/>
        </w:rPr>
      </w:pPr>
      <w:r>
        <w:rPr>
          <w:rFonts w:hint="eastAsia" w:ascii="宋体" w:hAnsi="宋体" w:cs="宋体"/>
          <w:sz w:val="24"/>
          <w:szCs w:val="24"/>
          <w:shd w:val="clear" w:color="auto" w:fill="FFFFFF"/>
        </w:rPr>
        <w:t>注：参考《财政部关于注册会计师在审计报告上签名盖章有关问题的通知》（财会【2001】1035号）规定，审计报告应当由两名具备相关业务资格的注册会计师签名盖章并经会计师事务所盖章方为有效。</w:t>
      </w:r>
    </w:p>
    <w:p>
      <w:pPr>
        <w:spacing w:afterLines="100"/>
        <w:jc w:val="center"/>
        <w:rPr>
          <w:sz w:val="28"/>
          <w:szCs w:val="18"/>
        </w:rPr>
      </w:pPr>
      <w:bookmarkStart w:id="108" w:name="_Toc29364"/>
      <w:bookmarkStart w:id="109" w:name="_Toc1214_WPSOffice_Level3"/>
    </w:p>
    <w:p>
      <w:pPr>
        <w:spacing w:afterLines="100"/>
        <w:jc w:val="center"/>
        <w:rPr>
          <w:sz w:val="28"/>
          <w:szCs w:val="18"/>
        </w:rPr>
      </w:pPr>
    </w:p>
    <w:p>
      <w:pPr>
        <w:spacing w:afterLines="100"/>
        <w:jc w:val="center"/>
        <w:rPr>
          <w:sz w:val="28"/>
          <w:szCs w:val="18"/>
        </w:rPr>
      </w:pPr>
    </w:p>
    <w:p>
      <w:pPr>
        <w:spacing w:afterLines="100"/>
        <w:jc w:val="center"/>
        <w:rPr>
          <w:sz w:val="28"/>
          <w:szCs w:val="18"/>
        </w:rPr>
      </w:pPr>
    </w:p>
    <w:p>
      <w:pPr>
        <w:pStyle w:val="25"/>
        <w:rPr>
          <w:rFonts w:hint="default"/>
          <w:sz w:val="28"/>
          <w:szCs w:val="18"/>
        </w:rPr>
      </w:pPr>
    </w:p>
    <w:p>
      <w:pPr>
        <w:pStyle w:val="5"/>
        <w:jc w:val="center"/>
        <w:rPr>
          <w:rFonts w:hint="default"/>
          <w:b/>
          <w:bCs/>
          <w:sz w:val="28"/>
          <w:szCs w:val="18"/>
        </w:rPr>
      </w:pPr>
    </w:p>
    <w:p>
      <w:pPr>
        <w:pStyle w:val="5"/>
        <w:jc w:val="center"/>
        <w:rPr>
          <w:rFonts w:hint="default"/>
          <w:b/>
          <w:bCs/>
          <w:sz w:val="28"/>
          <w:szCs w:val="18"/>
        </w:rPr>
      </w:pPr>
    </w:p>
    <w:p>
      <w:pPr>
        <w:pStyle w:val="5"/>
        <w:jc w:val="center"/>
        <w:rPr>
          <w:rFonts w:hint="default"/>
          <w:b/>
          <w:bCs/>
          <w:sz w:val="28"/>
          <w:szCs w:val="18"/>
        </w:rPr>
      </w:pPr>
    </w:p>
    <w:p>
      <w:pPr>
        <w:pStyle w:val="5"/>
        <w:jc w:val="center"/>
        <w:rPr>
          <w:rFonts w:hint="default"/>
          <w:b/>
          <w:bCs/>
          <w:sz w:val="28"/>
          <w:szCs w:val="18"/>
        </w:rPr>
      </w:pPr>
    </w:p>
    <w:p>
      <w:pPr>
        <w:pStyle w:val="5"/>
        <w:jc w:val="center"/>
        <w:rPr>
          <w:rFonts w:hint="default"/>
          <w:b/>
          <w:bCs/>
          <w:sz w:val="28"/>
          <w:szCs w:val="18"/>
        </w:rPr>
      </w:pPr>
    </w:p>
    <w:p>
      <w:pPr>
        <w:pStyle w:val="5"/>
        <w:jc w:val="center"/>
        <w:rPr>
          <w:rFonts w:hint="default"/>
          <w:b/>
          <w:bCs/>
          <w:sz w:val="28"/>
          <w:szCs w:val="18"/>
        </w:rPr>
      </w:pPr>
      <w:r>
        <w:rPr>
          <w:b/>
          <w:bCs/>
          <w:sz w:val="28"/>
          <w:szCs w:val="18"/>
        </w:rPr>
        <w:t>3.5投标人依法缴纳税收凭证及社会保险资金证明</w:t>
      </w:r>
    </w:p>
    <w:p>
      <w:pPr>
        <w:pStyle w:val="5"/>
        <w:jc w:val="center"/>
        <w:rPr>
          <w:rFonts w:hint="default" w:cs="宋体"/>
          <w:sz w:val="24"/>
          <w:szCs w:val="24"/>
          <w:shd w:val="clear" w:color="auto" w:fill="FFFFFF"/>
        </w:rPr>
      </w:pPr>
    </w:p>
    <w:p>
      <w:pPr>
        <w:pStyle w:val="5"/>
        <w:jc w:val="center"/>
        <w:rPr>
          <w:rFonts w:hint="default" w:cs="宋体"/>
          <w:sz w:val="24"/>
          <w:szCs w:val="24"/>
        </w:rPr>
      </w:pPr>
    </w:p>
    <w:p>
      <w:pPr>
        <w:spacing w:afterLines="100"/>
        <w:jc w:val="center"/>
        <w:rPr>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spacing w:afterLines="100"/>
        <w:jc w:val="center"/>
        <w:rPr>
          <w:sz w:val="28"/>
          <w:szCs w:val="18"/>
        </w:rPr>
      </w:pPr>
    </w:p>
    <w:p>
      <w:pPr>
        <w:pStyle w:val="5"/>
        <w:jc w:val="center"/>
        <w:rPr>
          <w:rFonts w:hint="default"/>
          <w:b/>
          <w:bCs/>
          <w:sz w:val="28"/>
          <w:szCs w:val="18"/>
        </w:rPr>
      </w:pPr>
      <w:bookmarkStart w:id="110" w:name="_Toc18376_WPSOffice_Level3"/>
      <w:bookmarkStart w:id="111" w:name="_Toc11852"/>
      <w:bookmarkStart w:id="112" w:name="_Toc9440"/>
      <w:bookmarkStart w:id="113" w:name="_Toc19505"/>
      <w:r>
        <w:rPr>
          <w:b/>
          <w:bCs/>
          <w:sz w:val="28"/>
          <w:szCs w:val="18"/>
        </w:rPr>
        <w:t>3.6</w:t>
      </w:r>
      <w:r>
        <w:rPr>
          <w:rFonts w:hint="eastAsia"/>
          <w:b/>
          <w:bCs/>
          <w:sz w:val="28"/>
          <w:szCs w:val="18"/>
          <w:lang w:val="en-US" w:eastAsia="zh-CN"/>
        </w:rPr>
        <w:t xml:space="preserve"> </w:t>
      </w:r>
      <w:r>
        <w:rPr>
          <w:b/>
          <w:bCs/>
          <w:sz w:val="28"/>
          <w:szCs w:val="18"/>
        </w:rPr>
        <w:t>近三年没有重大违法声明函</w:t>
      </w:r>
      <w:bookmarkEnd w:id="110"/>
      <w:bookmarkEnd w:id="111"/>
      <w:bookmarkEnd w:id="112"/>
      <w:bookmarkEnd w:id="113"/>
    </w:p>
    <w:p>
      <w:pPr>
        <w:spacing w:line="360" w:lineRule="auto"/>
        <w:outlineLvl w:val="0"/>
        <w:rPr>
          <w:rFonts w:ascii="宋体" w:hAnsi="宋体" w:cs="宋体"/>
          <w:szCs w:val="21"/>
        </w:rPr>
      </w:pPr>
    </w:p>
    <w:p>
      <w:pPr>
        <w:spacing w:line="360" w:lineRule="auto"/>
        <w:rPr>
          <w:rFonts w:ascii="宋体" w:hAnsi="宋体" w:cs="宋体"/>
        </w:rPr>
      </w:pPr>
      <w:bookmarkStart w:id="114" w:name="_Toc25690"/>
      <w:r>
        <w:rPr>
          <w:rFonts w:hint="eastAsia" w:ascii="宋体" w:hAnsi="宋体" w:cs="宋体"/>
        </w:rPr>
        <w:t>我单位承诺：</w:t>
      </w:r>
      <w:bookmarkEnd w:id="114"/>
    </w:p>
    <w:p>
      <w:pPr>
        <w:spacing w:line="360" w:lineRule="auto"/>
        <w:ind w:firstLine="480" w:firstLineChars="200"/>
        <w:rPr>
          <w:rFonts w:ascii="宋体" w:hAnsi="宋体" w:cs="宋体"/>
        </w:rPr>
      </w:pPr>
      <w:bookmarkStart w:id="115" w:name="_Toc19813"/>
      <w:r>
        <w:rPr>
          <w:rFonts w:hint="eastAsia" w:ascii="宋体" w:hAnsi="宋体" w:cs="宋体"/>
        </w:rPr>
        <w:t>我公司近三年内在中华人民共和国境内没有重大违法记录，具有良好的商业信誉和完善的售后服务体系，并能承担招标项目供货能力和安装服务的企业。</w:t>
      </w:r>
      <w:bookmarkEnd w:id="115"/>
    </w:p>
    <w:p>
      <w:pPr>
        <w:spacing w:line="360" w:lineRule="auto"/>
        <w:ind w:firstLine="480" w:firstLineChars="200"/>
        <w:rPr>
          <w:rFonts w:ascii="宋体" w:hAnsi="宋体" w:cs="宋体"/>
        </w:rPr>
      </w:pPr>
      <w:r>
        <w:rPr>
          <w:rFonts w:hint="eastAsia" w:ascii="宋体" w:hAnsi="宋体" w:cs="宋体"/>
        </w:rPr>
        <w:t>若我公司承诺不属实，同意取消本项目投标资格，并将承担相关法律责任，接受处理。</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ind w:firstLine="6240" w:firstLineChars="2600"/>
        <w:rPr>
          <w:rFonts w:ascii="宋体" w:hAnsi="宋体" w:cs="宋体"/>
        </w:rPr>
      </w:pPr>
      <w:r>
        <w:rPr>
          <w:rFonts w:hint="eastAsia" w:ascii="宋体" w:hAnsi="宋体" w:cs="宋体"/>
        </w:rPr>
        <w:t>投标人（企业电子签章）：</w:t>
      </w:r>
    </w:p>
    <w:p>
      <w:pPr>
        <w:spacing w:line="360" w:lineRule="auto"/>
        <w:ind w:firstLine="6240" w:firstLineChars="2600"/>
        <w:rPr>
          <w:rFonts w:ascii="宋体" w:hAnsi="宋体" w:cs="宋体"/>
        </w:rPr>
      </w:pPr>
    </w:p>
    <w:p>
      <w:pPr>
        <w:spacing w:line="360" w:lineRule="auto"/>
        <w:ind w:firstLine="6240" w:firstLineChars="2600"/>
        <w:rPr>
          <w:rFonts w:ascii="宋体" w:hAnsi="宋体" w:cs="宋体"/>
        </w:rPr>
      </w:pPr>
      <w:r>
        <w:rPr>
          <w:rFonts w:hint="eastAsia" w:ascii="宋体" w:hAnsi="宋体" w:cs="宋体"/>
        </w:rPr>
        <w:t>法定代表人（个人电子签章）：</w:t>
      </w:r>
    </w:p>
    <w:p>
      <w:pPr>
        <w:spacing w:line="360" w:lineRule="auto"/>
        <w:ind w:firstLine="6240" w:firstLineChars="2600"/>
        <w:rPr>
          <w:rFonts w:ascii="宋体" w:hAnsi="宋体" w:cs="宋体"/>
        </w:rPr>
      </w:pPr>
    </w:p>
    <w:p>
      <w:pPr>
        <w:spacing w:line="360" w:lineRule="auto"/>
        <w:ind w:firstLine="6240" w:firstLineChars="2600"/>
        <w:rPr>
          <w:rFonts w:ascii="宋体" w:hAnsi="宋体" w:cs="宋体"/>
        </w:rPr>
      </w:pPr>
      <w:r>
        <w:rPr>
          <w:rFonts w:hint="eastAsia" w:ascii="宋体" w:hAnsi="宋体" w:cs="宋体"/>
        </w:rPr>
        <w:t xml:space="preserve"> </w:t>
      </w:r>
      <w:bookmarkStart w:id="116" w:name="_Toc13906"/>
      <w:r>
        <w:rPr>
          <w:rFonts w:hint="eastAsia" w:ascii="宋体" w:hAnsi="宋体" w:cs="宋体"/>
        </w:rPr>
        <w:t>年    月    日</w:t>
      </w:r>
      <w:bookmarkEnd w:id="116"/>
    </w:p>
    <w:p>
      <w:pPr>
        <w:spacing w:line="360" w:lineRule="auto"/>
        <w:rPr>
          <w:rFonts w:ascii="宋体" w:hAnsi="宋体" w:cs="宋体"/>
        </w:rPr>
      </w:pPr>
    </w:p>
    <w:p>
      <w:pPr>
        <w:spacing w:line="360" w:lineRule="auto"/>
        <w:rPr>
          <w:sz w:val="28"/>
          <w:szCs w:val="18"/>
        </w:rPr>
      </w:pPr>
      <w:r>
        <w:rPr>
          <w:rFonts w:hint="eastAsia"/>
          <w:sz w:val="28"/>
          <w:szCs w:val="18"/>
        </w:rPr>
        <w:t xml:space="preserve"> </w:t>
      </w: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pStyle w:val="25"/>
        <w:rPr>
          <w:rFonts w:hint="default"/>
          <w:sz w:val="28"/>
          <w:szCs w:val="18"/>
        </w:rPr>
      </w:pPr>
    </w:p>
    <w:p>
      <w:pPr>
        <w:spacing w:afterLines="100"/>
        <w:jc w:val="center"/>
        <w:rPr>
          <w:rFonts w:ascii="宋体" w:hAnsi="宋体" w:cs="宋体"/>
          <w:b/>
          <w:color w:val="000000"/>
          <w:spacing w:val="10"/>
          <w:sz w:val="32"/>
          <w:szCs w:val="32"/>
        </w:rPr>
      </w:pPr>
      <w:r>
        <w:rPr>
          <w:rFonts w:hint="eastAsia"/>
          <w:sz w:val="28"/>
          <w:szCs w:val="18"/>
        </w:rPr>
        <w:t>3.</w:t>
      </w:r>
      <w:bookmarkEnd w:id="108"/>
      <w:bookmarkEnd w:id="109"/>
      <w:r>
        <w:rPr>
          <w:rFonts w:hint="eastAsia"/>
          <w:sz w:val="28"/>
          <w:szCs w:val="18"/>
        </w:rPr>
        <w:t>7</w:t>
      </w:r>
      <w:r>
        <w:rPr>
          <w:rFonts w:hint="eastAsia" w:ascii="宋体" w:hAnsi="宋体" w:cs="宋体"/>
          <w:b/>
          <w:color w:val="000000"/>
          <w:spacing w:val="10"/>
          <w:sz w:val="32"/>
          <w:szCs w:val="32"/>
        </w:rPr>
        <w:t>信用记录查询结果告知函</w:t>
      </w:r>
    </w:p>
    <w:p>
      <w:pPr>
        <w:spacing w:line="360" w:lineRule="auto"/>
        <w:rPr>
          <w:rFonts w:ascii="宋体" w:hAnsi="宋体" w:cs="宋体"/>
          <w:bCs/>
          <w:spacing w:val="10"/>
        </w:rPr>
      </w:pPr>
      <w:r>
        <w:rPr>
          <w:rFonts w:hint="eastAsia" w:ascii="宋体" w:hAnsi="宋体" w:cs="宋体"/>
          <w:bCs/>
          <w:spacing w:val="10"/>
        </w:rPr>
        <w:t>致：（招标人）</w:t>
      </w:r>
    </w:p>
    <w:p>
      <w:pPr>
        <w:spacing w:line="360" w:lineRule="auto"/>
        <w:rPr>
          <w:rFonts w:ascii="宋体" w:hAnsi="宋体" w:cs="宋体"/>
          <w:bCs/>
          <w:spacing w:val="10"/>
        </w:rPr>
      </w:pPr>
      <w:r>
        <w:rPr>
          <w:rFonts w:hint="eastAsia" w:ascii="宋体" w:hAnsi="宋体" w:cs="宋体"/>
          <w:bCs/>
          <w:spacing w:val="10"/>
        </w:rPr>
        <w:t xml:space="preserve">    （招标代理机构）</w:t>
      </w:r>
    </w:p>
    <w:p>
      <w:pPr>
        <w:spacing w:line="360" w:lineRule="auto"/>
        <w:ind w:firstLine="520" w:firstLineChars="200"/>
        <w:rPr>
          <w:rFonts w:ascii="宋体" w:hAnsi="宋体" w:cs="宋体"/>
          <w:bCs/>
          <w:spacing w:val="10"/>
        </w:rPr>
      </w:pPr>
    </w:p>
    <w:p>
      <w:pPr>
        <w:spacing w:line="360" w:lineRule="auto"/>
        <w:ind w:firstLine="650" w:firstLineChars="250"/>
        <w:rPr>
          <w:rFonts w:ascii="宋体" w:hAnsi="宋体" w:cs="宋体"/>
          <w:bCs/>
          <w:spacing w:val="10"/>
        </w:rPr>
      </w:pPr>
      <w:r>
        <w:rPr>
          <w:rFonts w:hint="eastAsia" w:ascii="宋体" w:hAnsi="宋体" w:cs="宋体"/>
          <w:bCs/>
          <w:spacing w:val="10"/>
        </w:rPr>
        <w:t>根据本项目</w:t>
      </w:r>
      <w:r>
        <w:rPr>
          <w:rFonts w:hint="eastAsia" w:ascii="宋体" w:hAnsi="宋体" w:cs="宋体"/>
          <w:bCs/>
          <w:spacing w:val="10"/>
          <w:u w:val="single"/>
        </w:rPr>
        <w:t xml:space="preserve"> （项目名称及招标编号）</w:t>
      </w:r>
      <w:r>
        <w:rPr>
          <w:rFonts w:hint="eastAsia" w:ascii="宋体" w:hAnsi="宋体" w:cs="宋体"/>
          <w:bCs/>
          <w:spacing w:val="10"/>
        </w:rPr>
        <w:t>招标文件中要求，截至开标时间前</w:t>
      </w:r>
      <w:r>
        <w:rPr>
          <w:rFonts w:hint="eastAsia" w:ascii="宋体" w:hAnsi="宋体" w:cs="宋体"/>
          <w:bCs/>
          <w:spacing w:val="10"/>
          <w:u w:val="single"/>
        </w:rPr>
        <w:t xml:space="preserve">   </w:t>
      </w:r>
      <w:r>
        <w:rPr>
          <w:rFonts w:hint="eastAsia" w:ascii="宋体" w:hAnsi="宋体" w:cs="宋体"/>
          <w:bCs/>
          <w:spacing w:val="10"/>
        </w:rPr>
        <w:t>日内2019年</w:t>
      </w:r>
      <w:r>
        <w:rPr>
          <w:rFonts w:hint="eastAsia" w:ascii="宋体" w:hAnsi="宋体" w:cs="宋体"/>
          <w:bCs/>
          <w:spacing w:val="10"/>
          <w:u w:val="single"/>
        </w:rPr>
        <w:t xml:space="preserve">  </w:t>
      </w:r>
      <w:r>
        <w:rPr>
          <w:rFonts w:hint="eastAsia" w:ascii="宋体" w:hAnsi="宋体" w:cs="宋体"/>
          <w:bCs/>
          <w:spacing w:val="10"/>
        </w:rPr>
        <w:t>月</w:t>
      </w:r>
      <w:r>
        <w:rPr>
          <w:rFonts w:hint="eastAsia" w:ascii="宋体" w:hAnsi="宋体" w:cs="宋体"/>
          <w:bCs/>
          <w:spacing w:val="10"/>
          <w:u w:val="single"/>
        </w:rPr>
        <w:t xml:space="preserve">  </w:t>
      </w:r>
      <w:r>
        <w:rPr>
          <w:rFonts w:hint="eastAsia" w:ascii="宋体" w:hAnsi="宋体" w:cs="宋体"/>
          <w:bCs/>
          <w:spacing w:val="10"/>
        </w:rPr>
        <w:t>日，通过《信用中国》和《中国政府采购网》网站中查询，我公司未列入</w:t>
      </w:r>
      <w:r>
        <w:rPr>
          <w:rFonts w:hint="eastAsia" w:ascii="宋体" w:hAnsi="宋体" w:cs="宋体"/>
          <w:bCs/>
          <w:spacing w:val="10"/>
          <w:u w:val="single"/>
        </w:rPr>
        <w:t xml:space="preserve">           </w:t>
      </w:r>
      <w:r>
        <w:rPr>
          <w:rFonts w:hint="eastAsia" w:ascii="宋体" w:hAnsi="宋体" w:cs="宋体"/>
          <w:bCs/>
          <w:spacing w:val="10"/>
        </w:rPr>
        <w:t>、</w:t>
      </w:r>
      <w:r>
        <w:rPr>
          <w:rFonts w:hint="eastAsia" w:ascii="宋体" w:hAnsi="宋体" w:cs="宋体"/>
          <w:bCs/>
          <w:spacing w:val="10"/>
          <w:u w:val="single"/>
        </w:rPr>
        <w:t xml:space="preserve">           </w:t>
      </w:r>
      <w:r>
        <w:rPr>
          <w:rFonts w:hint="eastAsia" w:ascii="宋体" w:hAnsi="宋体" w:cs="宋体"/>
          <w:bCs/>
          <w:spacing w:val="10"/>
        </w:rPr>
        <w:t>和</w:t>
      </w:r>
      <w:r>
        <w:rPr>
          <w:rFonts w:hint="eastAsia" w:ascii="宋体" w:hAnsi="宋体" w:cs="宋体"/>
          <w:bCs/>
          <w:spacing w:val="10"/>
          <w:u w:val="single"/>
        </w:rPr>
        <w:t xml:space="preserve">           </w:t>
      </w:r>
      <w:r>
        <w:rPr>
          <w:rFonts w:hint="eastAsia" w:ascii="宋体" w:hAnsi="宋体" w:cs="宋体"/>
          <w:bCs/>
          <w:spacing w:val="10"/>
        </w:rPr>
        <w:t>。特此告知。</w:t>
      </w:r>
    </w:p>
    <w:p>
      <w:pPr>
        <w:spacing w:line="360" w:lineRule="auto"/>
        <w:ind w:firstLine="520" w:firstLineChars="200"/>
        <w:rPr>
          <w:rFonts w:ascii="宋体" w:hAnsi="宋体" w:cs="宋体"/>
          <w:bCs/>
          <w:spacing w:val="10"/>
        </w:rPr>
      </w:pPr>
    </w:p>
    <w:p>
      <w:pPr>
        <w:spacing w:line="360" w:lineRule="auto"/>
        <w:ind w:firstLine="520" w:firstLineChars="200"/>
        <w:rPr>
          <w:rFonts w:ascii="宋体" w:hAnsi="宋体" w:cs="宋体"/>
          <w:bCs/>
          <w:spacing w:val="10"/>
        </w:rPr>
      </w:pPr>
      <w:r>
        <w:rPr>
          <w:rFonts w:hint="eastAsia" w:ascii="宋体" w:hAnsi="宋体" w:cs="宋体"/>
          <w:bCs/>
          <w:spacing w:val="10"/>
        </w:rPr>
        <w:t>我公司承诺以上内容属实，如若不实则承担因我方就此弄虚作假所引起的一切法律后果。</w:t>
      </w:r>
    </w:p>
    <w:p>
      <w:pPr>
        <w:spacing w:line="360" w:lineRule="auto"/>
        <w:ind w:firstLine="520" w:firstLineChars="200"/>
        <w:rPr>
          <w:rFonts w:ascii="宋体" w:hAnsi="宋体" w:cs="宋体"/>
          <w:bCs/>
          <w:spacing w:val="10"/>
        </w:rPr>
      </w:pPr>
    </w:p>
    <w:p>
      <w:pPr>
        <w:spacing w:line="360" w:lineRule="auto"/>
        <w:ind w:firstLine="520" w:firstLineChars="200"/>
        <w:rPr>
          <w:rFonts w:ascii="宋体" w:hAnsi="宋体" w:cs="宋体"/>
          <w:bCs/>
          <w:spacing w:val="10"/>
        </w:rPr>
      </w:pPr>
    </w:p>
    <w:p>
      <w:pPr>
        <w:snapToGrid w:val="0"/>
        <w:spacing w:line="360" w:lineRule="auto"/>
        <w:ind w:left="34" w:leftChars="14" w:firstLine="240" w:firstLineChars="100"/>
        <w:jc w:val="right"/>
        <w:rPr>
          <w:rFonts w:ascii="宋体" w:hAnsi="宋体" w:cs="宋体"/>
        </w:rPr>
      </w:pPr>
      <w:r>
        <w:rPr>
          <w:rFonts w:hint="eastAsia" w:ascii="宋体" w:hAnsi="宋体" w:cs="宋体"/>
        </w:rPr>
        <w:t>投  标  人：（</w:t>
      </w:r>
      <w:r>
        <w:rPr>
          <w:rFonts w:hint="eastAsia" w:ascii="宋体" w:hAnsi="宋体" w:cs="宋体"/>
          <w:color w:val="000000"/>
        </w:rPr>
        <w:t>企业电子签章或公章</w:t>
      </w:r>
      <w:r>
        <w:rPr>
          <w:rFonts w:hint="eastAsia" w:ascii="宋体" w:hAnsi="宋体" w:cs="宋体"/>
        </w:rPr>
        <w:t>）</w:t>
      </w:r>
      <w:r>
        <w:rPr>
          <w:rFonts w:hint="eastAsia" w:ascii="宋体" w:hAnsi="宋体" w:cs="宋体"/>
          <w:u w:val="single"/>
        </w:rPr>
        <w:t xml:space="preserve"> </w:t>
      </w:r>
    </w:p>
    <w:p>
      <w:pPr>
        <w:spacing w:line="360" w:lineRule="auto"/>
        <w:jc w:val="right"/>
        <w:rPr>
          <w:rFonts w:ascii="宋体" w:hAnsi="宋体" w:cs="宋体"/>
          <w:color w:val="000000"/>
          <w:sz w:val="28"/>
          <w:szCs w:val="28"/>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 xml:space="preserve"> 月</w:t>
      </w:r>
      <w:r>
        <w:rPr>
          <w:rFonts w:hint="eastAsia" w:ascii="宋体" w:hAnsi="宋体" w:cs="宋体"/>
          <w:u w:val="single"/>
        </w:rPr>
        <w:t xml:space="preserve">     </w:t>
      </w:r>
      <w:r>
        <w:rPr>
          <w:rFonts w:hint="eastAsia" w:ascii="宋体" w:hAnsi="宋体" w:cs="宋体"/>
        </w:rPr>
        <w:t>日</w:t>
      </w:r>
    </w:p>
    <w:p>
      <w:pPr>
        <w:pStyle w:val="5"/>
        <w:jc w:val="center"/>
        <w:rPr>
          <w:rFonts w:hint="default"/>
          <w:sz w:val="28"/>
          <w:szCs w:val="18"/>
        </w:rPr>
      </w:pPr>
      <w:bookmarkStart w:id="117" w:name="_Toc17126"/>
      <w:bookmarkStart w:id="118" w:name="_Toc22157_WPSOffice_Level3"/>
      <w:bookmarkStart w:id="119" w:name="_Toc5865"/>
      <w:bookmarkStart w:id="120" w:name="_Toc32334"/>
    </w:p>
    <w:p>
      <w:pPr>
        <w:pStyle w:val="5"/>
        <w:jc w:val="center"/>
        <w:rPr>
          <w:rFonts w:hint="default"/>
          <w:sz w:val="28"/>
          <w:szCs w:val="18"/>
        </w:rPr>
      </w:pPr>
    </w:p>
    <w:p>
      <w:pPr>
        <w:pStyle w:val="5"/>
        <w:jc w:val="center"/>
        <w:rPr>
          <w:rFonts w:hint="default"/>
          <w:sz w:val="28"/>
          <w:szCs w:val="18"/>
        </w:rPr>
      </w:pPr>
    </w:p>
    <w:p>
      <w:pPr>
        <w:pStyle w:val="5"/>
        <w:jc w:val="center"/>
        <w:rPr>
          <w:rFonts w:hint="default"/>
          <w:sz w:val="28"/>
          <w:szCs w:val="18"/>
        </w:rPr>
      </w:pPr>
    </w:p>
    <w:p>
      <w:pPr>
        <w:pStyle w:val="5"/>
        <w:jc w:val="center"/>
        <w:rPr>
          <w:rFonts w:hint="default"/>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5"/>
        <w:jc w:val="center"/>
        <w:rPr>
          <w:rFonts w:hint="default"/>
          <w:b/>
          <w:bCs/>
          <w:sz w:val="24"/>
          <w:szCs w:val="16"/>
        </w:rPr>
      </w:pPr>
      <w:r>
        <w:rPr>
          <w:b/>
          <w:bCs/>
          <w:sz w:val="28"/>
          <w:szCs w:val="18"/>
        </w:rPr>
        <w:t>3.8 投标人反商业贿赂承诺书（固定格式）</w:t>
      </w:r>
      <w:bookmarkEnd w:id="117"/>
      <w:bookmarkEnd w:id="118"/>
      <w:bookmarkEnd w:id="119"/>
      <w:bookmarkEnd w:id="120"/>
    </w:p>
    <w:p>
      <w:pPr>
        <w:spacing w:line="360" w:lineRule="auto"/>
        <w:rPr>
          <w:szCs w:val="32"/>
        </w:rPr>
      </w:pPr>
      <w:bookmarkStart w:id="121" w:name="_Toc4416"/>
      <w:r>
        <w:rPr>
          <w:rFonts w:hint="eastAsia"/>
          <w:szCs w:val="32"/>
        </w:rPr>
        <w:t>我公司承诺：</w:t>
      </w:r>
      <w:bookmarkEnd w:id="121"/>
    </w:p>
    <w:p>
      <w:pPr>
        <w:spacing w:line="360" w:lineRule="auto"/>
        <w:ind w:firstLine="480" w:firstLineChars="200"/>
        <w:rPr>
          <w:szCs w:val="32"/>
        </w:rPr>
      </w:pPr>
      <w:bookmarkStart w:id="122" w:name="_Toc32295"/>
      <w:r>
        <w:rPr>
          <w:rFonts w:hint="eastAsia"/>
          <w:szCs w:val="32"/>
        </w:rPr>
        <w:t>在 （投标项目名称）招标活动中，我公司保证做到：</w:t>
      </w:r>
      <w:bookmarkEnd w:id="122"/>
    </w:p>
    <w:p>
      <w:pPr>
        <w:spacing w:line="360" w:lineRule="auto"/>
        <w:rPr>
          <w:szCs w:val="32"/>
        </w:rPr>
      </w:pPr>
      <w:bookmarkStart w:id="123" w:name="_Toc21232"/>
      <w:r>
        <w:rPr>
          <w:rFonts w:hint="eastAsia"/>
          <w:szCs w:val="32"/>
        </w:rPr>
        <w:t>一、公平竞争参加本次招标活动。</w:t>
      </w:r>
      <w:bookmarkEnd w:id="123"/>
    </w:p>
    <w:p>
      <w:pPr>
        <w:spacing w:line="360" w:lineRule="auto"/>
        <w:rPr>
          <w:szCs w:val="32"/>
        </w:rPr>
      </w:pPr>
      <w:bookmarkStart w:id="124" w:name="_Toc7180"/>
      <w:r>
        <w:rPr>
          <w:rFonts w:hint="eastAsia"/>
          <w:szCs w:val="32"/>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124"/>
    </w:p>
    <w:p>
      <w:pPr>
        <w:spacing w:line="360" w:lineRule="auto"/>
        <w:rPr>
          <w:szCs w:val="32"/>
        </w:rPr>
      </w:pPr>
      <w:bookmarkStart w:id="125" w:name="_Toc23684"/>
      <w:r>
        <w:rPr>
          <w:rFonts w:hint="eastAsia"/>
          <w:szCs w:val="32"/>
        </w:rPr>
        <w:t>三、若出现上述行为，我公司及参与投标的工作人员愿意接受按照国家法律法规等有关规定给予的处罚。</w:t>
      </w:r>
      <w:bookmarkEnd w:id="125"/>
    </w:p>
    <w:p>
      <w:pPr>
        <w:spacing w:line="360" w:lineRule="auto"/>
        <w:rPr>
          <w:szCs w:val="32"/>
        </w:rPr>
      </w:pPr>
    </w:p>
    <w:p>
      <w:pPr>
        <w:spacing w:line="360" w:lineRule="auto"/>
        <w:rPr>
          <w:szCs w:val="32"/>
        </w:rPr>
      </w:pPr>
    </w:p>
    <w:p>
      <w:pPr>
        <w:spacing w:line="360" w:lineRule="auto"/>
        <w:rPr>
          <w:szCs w:val="32"/>
        </w:rPr>
      </w:pPr>
    </w:p>
    <w:p>
      <w:pPr>
        <w:spacing w:line="360" w:lineRule="auto"/>
        <w:rPr>
          <w:szCs w:val="32"/>
        </w:rPr>
      </w:pPr>
      <w:r>
        <w:rPr>
          <w:rFonts w:hint="eastAsia"/>
          <w:szCs w:val="32"/>
        </w:rPr>
        <w:t>投标人（企业电子签章）：</w:t>
      </w:r>
    </w:p>
    <w:p>
      <w:pPr>
        <w:spacing w:line="360" w:lineRule="auto"/>
        <w:rPr>
          <w:szCs w:val="32"/>
        </w:rPr>
      </w:pPr>
    </w:p>
    <w:p>
      <w:pPr>
        <w:spacing w:line="360" w:lineRule="auto"/>
        <w:rPr>
          <w:szCs w:val="32"/>
        </w:rPr>
      </w:pPr>
      <w:r>
        <w:rPr>
          <w:rFonts w:hint="eastAsia"/>
          <w:szCs w:val="32"/>
        </w:rPr>
        <w:t>法定代表人（个人电子签章）：</w:t>
      </w:r>
    </w:p>
    <w:p>
      <w:pPr>
        <w:spacing w:line="360" w:lineRule="auto"/>
        <w:rPr>
          <w:szCs w:val="32"/>
        </w:rPr>
      </w:pPr>
    </w:p>
    <w:p>
      <w:pPr>
        <w:spacing w:line="360" w:lineRule="auto"/>
        <w:rPr>
          <w:szCs w:val="32"/>
        </w:rPr>
      </w:pPr>
    </w:p>
    <w:p>
      <w:pPr>
        <w:spacing w:line="360" w:lineRule="auto"/>
        <w:rPr>
          <w:szCs w:val="32"/>
        </w:rPr>
      </w:pPr>
      <w:r>
        <w:rPr>
          <w:rFonts w:hint="eastAsia"/>
          <w:szCs w:val="32"/>
        </w:rPr>
        <w:t xml:space="preserve">       </w:t>
      </w:r>
      <w:bookmarkStart w:id="126" w:name="_Toc12585"/>
      <w:r>
        <w:rPr>
          <w:rFonts w:hint="eastAsia"/>
          <w:szCs w:val="32"/>
        </w:rPr>
        <w:t>年    月    日</w:t>
      </w:r>
      <w:bookmarkEnd w:id="126"/>
    </w:p>
    <w:p>
      <w:pPr>
        <w:tabs>
          <w:tab w:val="left" w:pos="6300"/>
        </w:tabs>
        <w:snapToGrid w:val="0"/>
        <w:spacing w:line="360" w:lineRule="auto"/>
        <w:jc w:val="center"/>
        <w:rPr>
          <w:b/>
          <w:bCs/>
          <w:sz w:val="28"/>
          <w:szCs w:val="18"/>
        </w:rPr>
      </w:pPr>
      <w:r>
        <w:rPr>
          <w:rFonts w:hint="eastAsia" w:ascii="宋体" w:hAnsi="宋体" w:cs="宋体"/>
          <w:color w:val="000000"/>
          <w:sz w:val="28"/>
          <w:szCs w:val="28"/>
        </w:rPr>
        <w:br w:type="page"/>
      </w:r>
      <w:bookmarkStart w:id="127" w:name="_Toc18105"/>
      <w:bookmarkStart w:id="128" w:name="_Toc23627"/>
      <w:r>
        <w:rPr>
          <w:rFonts w:hint="eastAsia"/>
          <w:b/>
          <w:bCs/>
          <w:sz w:val="28"/>
          <w:szCs w:val="18"/>
        </w:rPr>
        <w:t>3.9 承诺函</w:t>
      </w:r>
      <w:bookmarkEnd w:id="127"/>
      <w:bookmarkEnd w:id="128"/>
    </w:p>
    <w:p>
      <w:pPr>
        <w:pStyle w:val="23"/>
        <w:shd w:val="clear" w:color="auto" w:fill="FFFFFF"/>
        <w:spacing w:beforeAutospacing="0" w:afterAutospacing="0"/>
        <w:jc w:val="center"/>
        <w:rPr>
          <w:rFonts w:ascii="微软雅黑" w:hAnsi="微软雅黑" w:eastAsia="微软雅黑" w:cs="微软雅黑"/>
          <w:color w:val="333333"/>
          <w:spacing w:val="8"/>
          <w:sz w:val="25"/>
          <w:szCs w:val="25"/>
        </w:rPr>
      </w:pPr>
      <w:r>
        <w:rPr>
          <w:rStyle w:val="28"/>
          <w:rFonts w:hint="eastAsia" w:cs="宋体"/>
          <w:color w:val="333333"/>
          <w:spacing w:val="8"/>
          <w:szCs w:val="24"/>
          <w:shd w:val="clear" w:color="auto" w:fill="FFFFFF"/>
        </w:rPr>
        <w:t>3.9-1投标承诺函</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 w:val="25"/>
          <w:szCs w:val="25"/>
          <w:u w:val="single"/>
        </w:rPr>
      </w:pPr>
      <w:r>
        <w:rPr>
          <w:rFonts w:hint="eastAsia" w:cs="宋体"/>
          <w:color w:val="000000"/>
          <w:szCs w:val="24"/>
          <w:u w:val="single"/>
          <w:shd w:val="clear" w:color="auto" w:fill="FFFFFF"/>
        </w:rPr>
        <w:t>致（采购人及采购代理机构）</w:t>
      </w:r>
      <w:r>
        <w:rPr>
          <w:rFonts w:hint="eastAsia" w:cs="宋体"/>
          <w:color w:val="333333"/>
          <w:spacing w:val="8"/>
          <w:szCs w:val="24"/>
          <w:u w:val="single"/>
          <w:shd w:val="clear" w:color="auto" w:fill="FFFFFF"/>
        </w:rPr>
        <w:t>：</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我公司作为本次采购项目的投标人，根据招标文件要求，现郑重承诺如下：</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一、具备《中华人民共和国政府采购法》第二十二条第一款和本项目规定的条件：</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（一）具有独立承担民事责任的能力； 　　</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（二）具有良好的商业信誉和健全的财务会计制度； 　</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（三）具有履行合同所必需的设备和专业技术能力； 　　</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（四）有依法缴纳税收和社会保障资金的良好记录； 　　</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（五）参加政府采购活动前三年内，在经营活动中没有重大违法记录；</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（六）法律、行政法规规定的其他条件；</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（七）根据采购项目提出的特殊条件。</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三、参加本次招标采购活动，不存在与单位负责人为同一人或者存在直接控股、管理关系的其他供应商参与同一合同项下的政府采购活动的行为。    </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四、参加本次招标采购活动，不存在为采购项目提供整体设计、规范编制或者项目管理、监理、检测等服务的行为。</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五、参加本次招标采购活动，不存在和其他供应商在同一合同项下的采购项目中，同时委托同一个自然人、同一家庭的人员、同一单位的人员作为代理人的行为。</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六、投标人参加本次政府采购活动要求在近三年内投标人和其法定代表人没有行贿犯罪行为。</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七、参加本次招标采购活动，不存在联合体投标。</w:t>
      </w:r>
    </w:p>
    <w:p>
      <w:pPr>
        <w:pStyle w:val="23"/>
        <w:shd w:val="clear" w:color="auto" w:fill="FFFFFF"/>
        <w:spacing w:beforeAutospacing="0" w:afterAutospacing="0" w:line="360" w:lineRule="atLeast"/>
        <w:ind w:firstLine="480"/>
        <w:rPr>
          <w:rFonts w:ascii="微软雅黑" w:hAnsi="微软雅黑" w:eastAsia="微软雅黑" w:cs="微软雅黑"/>
          <w:color w:val="333333"/>
          <w:spacing w:val="8"/>
          <w:szCs w:val="24"/>
        </w:rPr>
      </w:pPr>
      <w:r>
        <w:rPr>
          <w:rFonts w:hint="eastAsia" w:cs="宋体"/>
          <w:color w:val="333333"/>
          <w:spacing w:val="8"/>
          <w:szCs w:val="24"/>
          <w:shd w:val="clear" w:color="auto" w:fill="FFFFFF"/>
        </w:rPr>
        <w:t>八、投标文件中提供的能够给予我公司带来优惠、好处的任何材料资料和技术、服务、商务等响应承诺情况都是真实的、有效的、合法的。</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十、存在以下行为之一的愿意接受相关部门的处理：</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（一）投标有效期内撤销投标文件的；</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（二）在采购人确定中标人以前放弃中标候选资格的；</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（三）由于中标人的原因未能按照招标文件的规定与采购人签订合同；</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（四）由于中标人的原因未能按照招标文件的规定交纳履约保证金；</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（五）在投标文件中提供虚假材料谋取中标；</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（六）与采购人、其他供应商或者采购代理机构恶意串通的；</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（七）投标有效期内，投标人在政府采购活动中有违法、违规、违纪行为。</w:t>
      </w:r>
    </w:p>
    <w:p>
      <w:pPr>
        <w:pStyle w:val="23"/>
        <w:shd w:val="clear" w:color="auto" w:fill="FFFFFF"/>
        <w:spacing w:beforeAutospacing="0" w:afterAutospacing="0" w:line="405" w:lineRule="atLeast"/>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 由此产生的一切法律后果和责任由我公司承担。我公司声明放弃对此提出任何异议和追索的权利。</w:t>
      </w:r>
    </w:p>
    <w:p>
      <w:pPr>
        <w:pStyle w:val="23"/>
        <w:shd w:val="clear" w:color="auto" w:fill="FFFFFF"/>
        <w:spacing w:beforeAutospacing="0" w:afterAutospacing="0" w:line="405" w:lineRule="atLeast"/>
        <w:ind w:firstLine="690"/>
        <w:jc w:val="both"/>
        <w:rPr>
          <w:rFonts w:ascii="微软雅黑" w:hAnsi="微软雅黑" w:eastAsia="微软雅黑" w:cs="微软雅黑"/>
          <w:color w:val="333333"/>
          <w:spacing w:val="8"/>
          <w:szCs w:val="24"/>
        </w:rPr>
      </w:pPr>
      <w:r>
        <w:rPr>
          <w:rFonts w:hint="eastAsia" w:cs="宋体"/>
          <w:color w:val="333333"/>
          <w:spacing w:val="8"/>
          <w:szCs w:val="24"/>
          <w:shd w:val="clear" w:color="auto" w:fill="FFFFFF"/>
        </w:rPr>
        <w:t>本公司对上述承诺的内容事项真实性负责。如经查实上述承诺的内容事项存在虚假，我公司愿意接受以提供虚假材料谋取中标追究法律责任。</w:t>
      </w:r>
    </w:p>
    <w:p>
      <w:pPr>
        <w:pStyle w:val="23"/>
        <w:shd w:val="clear" w:color="auto" w:fill="FFFFFF"/>
        <w:spacing w:beforeAutospacing="0" w:afterAutospacing="0" w:line="360" w:lineRule="atLeast"/>
        <w:rPr>
          <w:rFonts w:ascii="微软雅黑" w:hAnsi="微软雅黑" w:eastAsia="微软雅黑" w:cs="微软雅黑"/>
          <w:color w:val="333333"/>
          <w:spacing w:val="8"/>
          <w:szCs w:val="24"/>
        </w:rPr>
      </w:pPr>
      <w:r>
        <w:rPr>
          <w:rFonts w:hint="eastAsia" w:cs="宋体"/>
          <w:color w:val="333333"/>
          <w:spacing w:val="8"/>
          <w:szCs w:val="24"/>
          <w:shd w:val="clear" w:color="auto" w:fill="FFFFFF"/>
        </w:rPr>
        <w:t>       </w:t>
      </w:r>
    </w:p>
    <w:p>
      <w:pPr>
        <w:rPr>
          <w:rFonts w:ascii="宋体" w:hAnsi="宋体" w:cs="宋体"/>
        </w:rPr>
      </w:pPr>
    </w:p>
    <w:p>
      <w:pPr>
        <w:ind w:firstLine="5280" w:firstLineChars="2200"/>
        <w:rPr>
          <w:rFonts w:ascii="宋体" w:hAnsi="宋体" w:cs="宋体"/>
        </w:rPr>
      </w:pPr>
      <w:r>
        <w:rPr>
          <w:rFonts w:hint="eastAsia" w:ascii="宋体" w:hAnsi="宋体" w:cs="宋体"/>
        </w:rPr>
        <w:t>投标人（企业电子签章）：</w:t>
      </w:r>
    </w:p>
    <w:p>
      <w:pPr>
        <w:ind w:firstLine="5280" w:firstLineChars="2200"/>
        <w:rPr>
          <w:rFonts w:ascii="宋体" w:hAnsi="宋体" w:cs="宋体"/>
        </w:rPr>
      </w:pPr>
    </w:p>
    <w:p>
      <w:pPr>
        <w:ind w:firstLine="5280" w:firstLineChars="2200"/>
        <w:rPr>
          <w:rFonts w:ascii="宋体" w:hAnsi="宋体" w:cs="宋体"/>
        </w:rPr>
      </w:pPr>
      <w:r>
        <w:rPr>
          <w:rFonts w:hint="eastAsia" w:ascii="宋体" w:hAnsi="宋体" w:cs="宋体"/>
        </w:rPr>
        <w:t>法定代表人（个人电子签章）：</w:t>
      </w:r>
    </w:p>
    <w:p>
      <w:pPr>
        <w:ind w:firstLine="5280" w:firstLineChars="2200"/>
        <w:rPr>
          <w:rFonts w:ascii="宋体" w:hAnsi="宋体" w:cs="宋体"/>
        </w:rPr>
      </w:pPr>
    </w:p>
    <w:p>
      <w:pPr>
        <w:spacing w:line="360" w:lineRule="auto"/>
        <w:ind w:firstLine="5280" w:firstLineChars="2200"/>
        <w:rPr>
          <w:rFonts w:ascii="宋体" w:hAnsi="宋体" w:cs="宋体"/>
        </w:rPr>
      </w:pPr>
      <w:r>
        <w:rPr>
          <w:rFonts w:hint="eastAsia" w:ascii="宋体" w:hAnsi="宋体" w:cs="宋体"/>
        </w:rPr>
        <w:t xml:space="preserve"> 年    月    日</w:t>
      </w: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pStyle w:val="23"/>
        <w:shd w:val="clear" w:color="auto" w:fill="FFFFFF"/>
        <w:spacing w:beforeAutospacing="0" w:afterAutospacing="0" w:line="408" w:lineRule="atLeast"/>
        <w:jc w:val="center"/>
        <w:rPr>
          <w:rFonts w:ascii="微软雅黑" w:hAnsi="微软雅黑" w:eastAsia="微软雅黑" w:cs="微软雅黑"/>
          <w:color w:val="333333"/>
          <w:spacing w:val="8"/>
          <w:sz w:val="25"/>
          <w:szCs w:val="25"/>
        </w:rPr>
      </w:pPr>
      <w:r>
        <w:rPr>
          <w:rStyle w:val="28"/>
          <w:rFonts w:hint="eastAsia" w:cs="宋体"/>
          <w:color w:val="333333"/>
          <w:spacing w:val="8"/>
          <w:szCs w:val="24"/>
          <w:shd w:val="clear" w:color="auto" w:fill="FFFFFF"/>
        </w:rPr>
        <w:t>3.9-2招标代理服务费承诺函</w:t>
      </w:r>
    </w:p>
    <w:p>
      <w:pPr>
        <w:pStyle w:val="23"/>
        <w:shd w:val="clear" w:color="auto" w:fill="FFFFFF"/>
        <w:spacing w:beforeAutospacing="0" w:afterAutospacing="0" w:line="408" w:lineRule="atLeast"/>
        <w:jc w:val="both"/>
        <w:rPr>
          <w:rFonts w:ascii="微软雅黑" w:hAnsi="微软雅黑" w:eastAsia="微软雅黑" w:cs="微软雅黑"/>
          <w:color w:val="333333"/>
          <w:spacing w:val="8"/>
          <w:sz w:val="25"/>
          <w:szCs w:val="25"/>
        </w:rPr>
      </w:pPr>
      <w:r>
        <w:rPr>
          <w:rFonts w:hint="eastAsia" w:cs="宋体"/>
          <w:color w:val="333333"/>
          <w:spacing w:val="8"/>
          <w:szCs w:val="24"/>
          <w:shd w:val="clear" w:color="auto" w:fill="FFFFFF"/>
        </w:rPr>
        <w:t> </w:t>
      </w:r>
    </w:p>
    <w:p>
      <w:pPr>
        <w:pStyle w:val="6"/>
        <w:widowControl/>
        <w:spacing w:line="360" w:lineRule="auto"/>
        <w:rPr>
          <w:rFonts w:ascii="宋体" w:hAnsi="宋体" w:cs="宋体"/>
          <w:sz w:val="24"/>
          <w:szCs w:val="24"/>
          <w:shd w:val="clear" w:color="auto" w:fill="FFFFFF"/>
        </w:rPr>
      </w:pPr>
      <w:r>
        <w:rPr>
          <w:rFonts w:hint="eastAsia" w:ascii="宋体" w:hAnsi="宋体" w:cs="宋体"/>
          <w:sz w:val="24"/>
          <w:szCs w:val="24"/>
          <w:u w:val="single"/>
          <w:shd w:val="clear" w:color="auto" w:fill="FFFFFF"/>
        </w:rPr>
        <w:t>致（采购人及采购代理机构）</w:t>
      </w:r>
      <w:r>
        <w:rPr>
          <w:rFonts w:hint="eastAsia" w:ascii="宋体" w:hAnsi="宋体" w:cs="宋体"/>
          <w:sz w:val="24"/>
          <w:szCs w:val="24"/>
          <w:shd w:val="clear" w:color="auto" w:fill="FFFFFF"/>
        </w:rPr>
        <w:t>：</w:t>
      </w:r>
    </w:p>
    <w:p>
      <w:pPr>
        <w:pStyle w:val="6"/>
        <w:widowControl/>
        <w:spacing w:line="360" w:lineRule="auto"/>
        <w:rPr>
          <w:rFonts w:ascii="宋体" w:hAnsi="宋体" w:cs="宋体"/>
          <w:sz w:val="24"/>
          <w:szCs w:val="24"/>
          <w:shd w:val="clear" w:color="auto" w:fill="FFFFFF"/>
        </w:rPr>
      </w:pPr>
      <w:r>
        <w:rPr>
          <w:rFonts w:hint="eastAsia" w:ascii="宋体" w:hAnsi="宋体" w:cs="宋体"/>
          <w:sz w:val="24"/>
          <w:szCs w:val="24"/>
          <w:shd w:val="clear" w:color="auto" w:fill="FFFFFF"/>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pStyle w:val="6"/>
        <w:widowControl/>
        <w:spacing w:line="360" w:lineRule="auto"/>
        <w:rPr>
          <w:rFonts w:ascii="宋体" w:hAnsi="宋体" w:cs="宋体"/>
          <w:sz w:val="24"/>
          <w:szCs w:val="24"/>
          <w:shd w:val="clear" w:color="auto" w:fill="FFFFFF"/>
        </w:rPr>
      </w:pPr>
      <w:r>
        <w:rPr>
          <w:rFonts w:hint="eastAsia" w:ascii="宋体" w:hAnsi="宋体" w:cs="宋体"/>
          <w:sz w:val="24"/>
          <w:szCs w:val="24"/>
          <w:shd w:val="clear" w:color="auto" w:fill="FFFFFF"/>
        </w:rPr>
        <w:t>特此承诺。</w:t>
      </w:r>
    </w:p>
    <w:p>
      <w:pPr>
        <w:pStyle w:val="6"/>
        <w:widowControl/>
        <w:spacing w:line="360" w:lineRule="auto"/>
        <w:rPr>
          <w:rFonts w:ascii="宋体" w:hAnsi="宋体" w:cs="宋体"/>
          <w:sz w:val="24"/>
          <w:szCs w:val="24"/>
          <w:shd w:val="clear" w:color="auto" w:fill="FFFFFF"/>
        </w:rPr>
      </w:pPr>
    </w:p>
    <w:p>
      <w:pPr>
        <w:ind w:firstLine="5280" w:firstLineChars="2200"/>
        <w:rPr>
          <w:rFonts w:ascii="宋体" w:hAnsi="宋体" w:cs="宋体"/>
        </w:rPr>
      </w:pPr>
      <w:r>
        <w:rPr>
          <w:rFonts w:hint="eastAsia" w:ascii="宋体" w:hAnsi="宋体" w:cs="宋体"/>
        </w:rPr>
        <w:t>投标人（企业电子签章）：</w:t>
      </w:r>
    </w:p>
    <w:p>
      <w:pPr>
        <w:ind w:firstLine="5280" w:firstLineChars="2200"/>
        <w:rPr>
          <w:rFonts w:ascii="宋体" w:hAnsi="宋体" w:cs="宋体"/>
        </w:rPr>
      </w:pPr>
    </w:p>
    <w:p>
      <w:pPr>
        <w:ind w:firstLine="5280" w:firstLineChars="2200"/>
        <w:rPr>
          <w:rFonts w:ascii="宋体" w:hAnsi="宋体" w:cs="宋体"/>
        </w:rPr>
      </w:pPr>
      <w:r>
        <w:rPr>
          <w:rFonts w:hint="eastAsia" w:ascii="宋体" w:hAnsi="宋体" w:cs="宋体"/>
        </w:rPr>
        <w:t>法定代表人（个人电子签章）：</w:t>
      </w:r>
    </w:p>
    <w:p>
      <w:pPr>
        <w:ind w:firstLine="5280" w:firstLineChars="2200"/>
        <w:rPr>
          <w:rFonts w:ascii="宋体" w:hAnsi="宋体" w:cs="宋体"/>
        </w:rPr>
      </w:pPr>
    </w:p>
    <w:p>
      <w:pPr>
        <w:spacing w:line="360" w:lineRule="auto"/>
        <w:ind w:firstLine="5280" w:firstLineChars="2200"/>
        <w:rPr>
          <w:rFonts w:ascii="宋体" w:hAnsi="宋体" w:cs="宋体"/>
        </w:rPr>
      </w:pPr>
      <w:r>
        <w:rPr>
          <w:rFonts w:hint="eastAsia" w:ascii="宋体" w:hAnsi="宋体" w:cs="宋体"/>
        </w:rPr>
        <w:t xml:space="preserve"> 年    月    日</w:t>
      </w:r>
    </w:p>
    <w:p>
      <w:pPr>
        <w:pStyle w:val="23"/>
        <w:shd w:val="clear" w:color="auto" w:fill="FFFFFF"/>
        <w:spacing w:beforeAutospacing="0" w:afterAutospacing="0" w:line="408" w:lineRule="atLeast"/>
        <w:ind w:firstLine="480"/>
        <w:jc w:val="both"/>
        <w:rPr>
          <w:rFonts w:ascii="微软雅黑" w:hAnsi="微软雅黑" w:eastAsia="微软雅黑" w:cs="微软雅黑"/>
          <w:color w:val="333333"/>
          <w:spacing w:val="8"/>
          <w:sz w:val="25"/>
          <w:szCs w:val="25"/>
        </w:rPr>
      </w:pPr>
    </w:p>
    <w:p>
      <w:pPr>
        <w:spacing w:line="360" w:lineRule="auto"/>
        <w:rPr>
          <w:rFonts w:ascii="宋体" w:hAnsi="宋体" w:cs="宋体"/>
          <w:b/>
        </w:rPr>
      </w:pPr>
    </w:p>
    <w:p>
      <w:pPr>
        <w:spacing w:line="360" w:lineRule="auto"/>
        <w:rPr>
          <w:rFonts w:ascii="宋体" w:hAnsi="宋体" w:cs="宋体"/>
          <w:b/>
          <w:szCs w:val="24"/>
        </w:rPr>
      </w:pPr>
    </w:p>
    <w:p>
      <w:pPr>
        <w:pStyle w:val="5"/>
        <w:jc w:val="center"/>
        <w:rPr>
          <w:rFonts w:hint="default"/>
          <w:sz w:val="28"/>
          <w:szCs w:val="18"/>
        </w:rPr>
      </w:pPr>
      <w:bookmarkStart w:id="129" w:name="_Toc745_WPSOffice_Level3"/>
    </w:p>
    <w:p>
      <w:pPr>
        <w:pStyle w:val="5"/>
        <w:jc w:val="center"/>
        <w:rPr>
          <w:rFonts w:hint="default"/>
          <w:sz w:val="28"/>
          <w:szCs w:val="18"/>
        </w:rPr>
      </w:pPr>
    </w:p>
    <w:p>
      <w:pPr>
        <w:pStyle w:val="5"/>
        <w:jc w:val="center"/>
        <w:rPr>
          <w:rFonts w:hint="default"/>
          <w:sz w:val="28"/>
          <w:szCs w:val="18"/>
        </w:rPr>
      </w:pPr>
    </w:p>
    <w:p>
      <w:pPr>
        <w:pStyle w:val="5"/>
        <w:jc w:val="center"/>
        <w:rPr>
          <w:rFonts w:hint="default"/>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6"/>
        <w:rPr>
          <w:sz w:val="28"/>
          <w:szCs w:val="18"/>
        </w:rPr>
      </w:pPr>
    </w:p>
    <w:p>
      <w:pPr>
        <w:pStyle w:val="5"/>
        <w:jc w:val="center"/>
        <w:rPr>
          <w:rFonts w:hint="default"/>
          <w:sz w:val="28"/>
          <w:szCs w:val="18"/>
        </w:rPr>
      </w:pPr>
    </w:p>
    <w:p>
      <w:pPr>
        <w:pStyle w:val="5"/>
        <w:jc w:val="center"/>
        <w:rPr>
          <w:rFonts w:hint="default"/>
          <w:sz w:val="28"/>
          <w:szCs w:val="18"/>
        </w:rPr>
      </w:pPr>
    </w:p>
    <w:p>
      <w:pPr>
        <w:rPr>
          <w:sz w:val="28"/>
          <w:szCs w:val="18"/>
        </w:rPr>
      </w:pPr>
    </w:p>
    <w:p>
      <w:pPr>
        <w:pStyle w:val="25"/>
        <w:rPr>
          <w:rFonts w:hint="default"/>
          <w:sz w:val="28"/>
          <w:szCs w:val="18"/>
        </w:rPr>
      </w:pPr>
      <w:bookmarkStart w:id="130" w:name="_Toc30619"/>
    </w:p>
    <w:p>
      <w:pPr>
        <w:pStyle w:val="25"/>
        <w:rPr>
          <w:rFonts w:hint="default"/>
          <w:sz w:val="28"/>
          <w:szCs w:val="18"/>
        </w:rPr>
      </w:pPr>
    </w:p>
    <w:p>
      <w:pPr>
        <w:rPr>
          <w:sz w:val="28"/>
          <w:szCs w:val="18"/>
        </w:rPr>
      </w:pPr>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r>
        <w:rPr>
          <w:rStyle w:val="28"/>
          <w:rFonts w:hint="eastAsia" w:cs="宋体"/>
          <w:color w:val="333333"/>
          <w:spacing w:val="8"/>
          <w:szCs w:val="24"/>
          <w:shd w:val="clear" w:color="auto" w:fill="FFFFFF"/>
        </w:rPr>
        <w:t>3.10其他</w:t>
      </w:r>
      <w:bookmarkEnd w:id="129"/>
      <w:bookmarkEnd w:id="130"/>
    </w:p>
    <w:p>
      <w:pPr>
        <w:pStyle w:val="23"/>
        <w:shd w:val="clear" w:color="auto" w:fill="FFFFFF"/>
        <w:spacing w:beforeAutospacing="0" w:afterAutospacing="0" w:line="408" w:lineRule="atLeast"/>
        <w:jc w:val="center"/>
        <w:rPr>
          <w:rStyle w:val="28"/>
          <w:rFonts w:cs="宋体"/>
          <w:color w:val="333333"/>
          <w:spacing w:val="8"/>
          <w:szCs w:val="24"/>
          <w:shd w:val="clear" w:color="auto" w:fill="FFFFFF"/>
        </w:rPr>
      </w:pPr>
    </w:p>
    <w:p>
      <w:pPr>
        <w:spacing w:line="360" w:lineRule="auto"/>
        <w:ind w:firstLine="235" w:firstLineChars="98"/>
        <w:rPr>
          <w:rFonts w:ascii="宋体" w:hAnsi="宋体" w:cs="宋体"/>
          <w:szCs w:val="24"/>
        </w:rPr>
      </w:pPr>
      <w:r>
        <w:rPr>
          <w:rFonts w:hint="eastAsia" w:ascii="宋体" w:hAnsi="宋体" w:cs="宋体"/>
          <w:szCs w:val="24"/>
        </w:rPr>
        <w:t>招标文件要求提供的其他资格证明文件或投标人认为有必要提供的其他证明文件。</w:t>
      </w:r>
    </w:p>
    <w:p>
      <w:pPr>
        <w:spacing w:line="360" w:lineRule="auto"/>
        <w:ind w:firstLine="235" w:firstLineChars="98"/>
        <w:rPr>
          <w:rFonts w:ascii="宋体" w:hAnsi="宋体" w:cs="宋体"/>
          <w:szCs w:val="24"/>
        </w:rPr>
      </w:pPr>
    </w:p>
    <w:p>
      <w:pPr>
        <w:pStyle w:val="25"/>
        <w:rPr>
          <w:rFonts w:hint="default" w:cs="宋体"/>
          <w:b/>
          <w:bCs/>
          <w:color w:val="000000"/>
          <w:szCs w:val="32"/>
        </w:rPr>
      </w:pPr>
      <w:r>
        <w:rPr>
          <w:sz w:val="28"/>
          <w:szCs w:val="18"/>
        </w:rPr>
        <w:br w:type="page"/>
      </w:r>
      <w:bookmarkStart w:id="131" w:name="_Toc13506_WPSOffice_Level2"/>
      <w:r>
        <w:rPr>
          <w:rFonts w:cs="宋体"/>
          <w:b/>
          <w:bCs/>
          <w:color w:val="000000"/>
          <w:szCs w:val="32"/>
        </w:rPr>
        <w:t>4.投标报价表格</w:t>
      </w:r>
      <w:bookmarkEnd w:id="131"/>
    </w:p>
    <w:p>
      <w:pPr>
        <w:pStyle w:val="6"/>
        <w:ind w:firstLine="0"/>
        <w:jc w:val="center"/>
        <w:rPr>
          <w:rFonts w:ascii="宋体" w:hAnsi="宋体" w:cs="宋体"/>
          <w:b/>
          <w:bCs/>
          <w:color w:val="000000"/>
          <w:sz w:val="32"/>
          <w:szCs w:val="32"/>
        </w:rPr>
      </w:pPr>
      <w:r>
        <w:rPr>
          <w:rFonts w:hint="eastAsia" w:ascii="宋体" w:hAnsi="宋体" w:cs="宋体"/>
          <w:b/>
          <w:bCs/>
          <w:color w:val="000000"/>
          <w:sz w:val="32"/>
          <w:szCs w:val="32"/>
        </w:rPr>
        <w:t>4.1 开标一览表</w:t>
      </w:r>
    </w:p>
    <w:p>
      <w:pPr>
        <w:spacing w:line="520" w:lineRule="exact"/>
        <w:jc w:val="right"/>
        <w:rPr>
          <w:rFonts w:ascii="宋体" w:hAnsi="宋体" w:cs="宋体"/>
          <w:b/>
          <w:color w:val="000000"/>
        </w:rPr>
      </w:pPr>
      <w:r>
        <w:rPr>
          <w:rFonts w:hint="eastAsia" w:ascii="宋体" w:hAnsi="宋体" w:cs="宋体"/>
          <w:b/>
          <w:color w:val="000000"/>
        </w:rPr>
        <w:t>金额单位：元人民币</w:t>
      </w:r>
    </w:p>
    <w:tbl>
      <w:tblPr>
        <w:tblStyle w:val="26"/>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 xml:space="preserve">投标人名称 </w:t>
            </w:r>
          </w:p>
        </w:tc>
        <w:tc>
          <w:tcPr>
            <w:tcW w:w="7353" w:type="dxa"/>
            <w:vAlign w:val="center"/>
          </w:tcPr>
          <w:p>
            <w:pPr>
              <w:spacing w:line="480" w:lineRule="auto"/>
              <w:ind w:firstLine="240" w:firstLine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投标报价</w:t>
            </w:r>
          </w:p>
        </w:tc>
        <w:tc>
          <w:tcPr>
            <w:tcW w:w="7353" w:type="dxa"/>
            <w:vAlign w:val="center"/>
          </w:tcPr>
          <w:p>
            <w:pPr>
              <w:spacing w:line="480" w:lineRule="auto"/>
              <w:ind w:firstLine="240" w:firstLineChars="100"/>
              <w:rPr>
                <w:rFonts w:ascii="宋体" w:hAnsi="宋体" w:cs="宋体"/>
                <w:color w:val="000000"/>
              </w:rPr>
            </w:pPr>
            <w:r>
              <w:rPr>
                <w:rFonts w:hint="eastAsia" w:ascii="宋体" w:hAnsi="宋体" w:cs="宋体"/>
                <w:color w:val="000000"/>
              </w:rPr>
              <w:t>大写：</w:t>
            </w:r>
            <w:r>
              <w:rPr>
                <w:rFonts w:hint="eastAsia" w:ascii="宋体" w:hAnsi="宋体" w:cs="宋体"/>
                <w:color w:val="000000"/>
                <w:u w:val="single"/>
              </w:rPr>
              <w:t xml:space="preserve">                     </w:t>
            </w:r>
            <w:r>
              <w:rPr>
                <w:rFonts w:hint="eastAsia" w:ascii="宋体" w:hAnsi="宋体" w:cs="宋体"/>
                <w:color w:val="00000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投标报价</w:t>
            </w:r>
          </w:p>
        </w:tc>
        <w:tc>
          <w:tcPr>
            <w:tcW w:w="7353" w:type="dxa"/>
            <w:vAlign w:val="center"/>
          </w:tcPr>
          <w:p>
            <w:pPr>
              <w:spacing w:line="480" w:lineRule="auto"/>
              <w:ind w:firstLine="240" w:firstLineChars="100"/>
              <w:rPr>
                <w:rFonts w:ascii="宋体" w:hAnsi="宋体" w:cs="宋体"/>
                <w:color w:val="000000"/>
              </w:rPr>
            </w:pPr>
            <w:r>
              <w:rPr>
                <w:rFonts w:hint="eastAsia" w:ascii="宋体" w:hAnsi="宋体" w:cs="宋体"/>
                <w:color w:val="000000"/>
              </w:rPr>
              <w:t>小写：</w:t>
            </w:r>
            <w:r>
              <w:rPr>
                <w:rFonts w:hint="eastAsia" w:ascii="宋体" w:hAnsi="宋体" w:cs="宋体"/>
                <w:color w:val="000000"/>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交货期</w:t>
            </w:r>
          </w:p>
        </w:tc>
        <w:tc>
          <w:tcPr>
            <w:tcW w:w="7353" w:type="dxa"/>
            <w:vAlign w:val="center"/>
          </w:tcPr>
          <w:p>
            <w:pPr>
              <w:ind w:firstLine="120" w:firstLineChars="5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质保期</w:t>
            </w:r>
          </w:p>
        </w:tc>
        <w:tc>
          <w:tcPr>
            <w:tcW w:w="7353" w:type="dxa"/>
            <w:vAlign w:val="center"/>
          </w:tcPr>
          <w:p>
            <w:pPr>
              <w:ind w:firstLine="240" w:firstLine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质量标准</w:t>
            </w:r>
          </w:p>
        </w:tc>
        <w:tc>
          <w:tcPr>
            <w:tcW w:w="7353" w:type="dxa"/>
            <w:vAlign w:val="center"/>
          </w:tcPr>
          <w:p>
            <w:pPr>
              <w:ind w:firstLine="240" w:firstLine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投标有效期</w:t>
            </w:r>
          </w:p>
        </w:tc>
        <w:tc>
          <w:tcPr>
            <w:tcW w:w="7353" w:type="dxa"/>
            <w:vAlign w:val="center"/>
          </w:tcPr>
          <w:p>
            <w:pPr>
              <w:rPr>
                <w:rFonts w:ascii="宋体" w:hAnsi="宋体" w:cs="宋体"/>
                <w:color w:val="000000"/>
              </w:rPr>
            </w:pPr>
            <w:r>
              <w:rPr>
                <w:rFonts w:hint="eastAsia" w:ascii="宋体" w:hAnsi="宋体" w:cs="宋体"/>
                <w:color w:val="00000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jc w:val="center"/>
              <w:rPr>
                <w:rFonts w:ascii="宋体" w:hAnsi="宋体" w:cs="宋体"/>
                <w:b/>
                <w:color w:val="000000"/>
              </w:rPr>
            </w:pPr>
            <w:r>
              <w:rPr>
                <w:rFonts w:hint="eastAsia" w:ascii="宋体" w:hAnsi="宋体" w:cs="宋体"/>
                <w:b/>
                <w:color w:val="000000"/>
              </w:rPr>
              <w:t>其他声明</w:t>
            </w:r>
          </w:p>
        </w:tc>
        <w:tc>
          <w:tcPr>
            <w:tcW w:w="7353" w:type="dxa"/>
            <w:vAlign w:val="center"/>
          </w:tcPr>
          <w:p>
            <w:pPr>
              <w:rPr>
                <w:rFonts w:ascii="宋体" w:hAnsi="宋体" w:cs="宋体"/>
                <w:color w:val="000000"/>
              </w:rPr>
            </w:pPr>
            <w:r>
              <w:rPr>
                <w:rFonts w:hint="eastAsia" w:ascii="宋体" w:hAnsi="宋体" w:cs="宋体"/>
                <w:color w:val="000000"/>
              </w:rPr>
              <w:t xml:space="preserve">  </w:t>
            </w:r>
          </w:p>
        </w:tc>
      </w:tr>
    </w:tbl>
    <w:p>
      <w:pPr>
        <w:pStyle w:val="6"/>
        <w:ind w:firstLine="0"/>
        <w:jc w:val="center"/>
        <w:rPr>
          <w:rFonts w:ascii="宋体" w:hAnsi="宋体" w:cs="宋体"/>
          <w:b/>
          <w:bCs/>
          <w:color w:val="000000"/>
          <w:sz w:val="32"/>
          <w:szCs w:val="32"/>
        </w:rPr>
      </w:pPr>
    </w:p>
    <w:p>
      <w:pPr>
        <w:spacing w:line="440" w:lineRule="exact"/>
        <w:ind w:firstLine="5040" w:firstLineChars="2100"/>
        <w:rPr>
          <w:rFonts w:ascii="宋体" w:hAnsi="宋体" w:cs="宋体"/>
          <w:color w:val="000000"/>
        </w:rPr>
      </w:pPr>
      <w:r>
        <w:rPr>
          <w:rFonts w:hint="eastAsia" w:ascii="宋体" w:hAnsi="宋体" w:cs="宋体"/>
          <w:color w:val="000000"/>
        </w:rPr>
        <w:t>投标人（企业电子签章或公章）：</w:t>
      </w:r>
    </w:p>
    <w:p>
      <w:pPr>
        <w:pStyle w:val="6"/>
        <w:ind w:firstLine="5040" w:firstLineChars="2100"/>
        <w:rPr>
          <w:rFonts w:ascii="宋体" w:hAnsi="宋体" w:cs="宋体"/>
          <w:color w:val="000000"/>
          <w:sz w:val="24"/>
          <w:szCs w:val="24"/>
        </w:rPr>
      </w:pPr>
    </w:p>
    <w:p>
      <w:pPr>
        <w:spacing w:line="440" w:lineRule="exact"/>
        <w:ind w:firstLine="5040" w:firstLineChars="2100"/>
        <w:rPr>
          <w:rFonts w:ascii="宋体" w:hAnsi="宋体" w:cs="宋体"/>
          <w:color w:val="000000"/>
        </w:rPr>
      </w:pPr>
      <w:r>
        <w:rPr>
          <w:rFonts w:hint="eastAsia" w:ascii="宋体" w:hAnsi="宋体" w:cs="宋体"/>
          <w:color w:val="000000"/>
        </w:rPr>
        <w:t>日期：</w:t>
      </w:r>
    </w:p>
    <w:p>
      <w:pPr>
        <w:pStyle w:val="6"/>
        <w:rPr>
          <w:rFonts w:ascii="宋体" w:hAnsi="宋体" w:cs="宋体"/>
          <w:color w:val="000000"/>
          <w:sz w:val="28"/>
          <w:szCs w:val="28"/>
        </w:rPr>
      </w:pPr>
    </w:p>
    <w:p>
      <w:pPr>
        <w:ind w:firstLine="435"/>
        <w:jc w:val="center"/>
        <w:rPr>
          <w:rFonts w:ascii="宋体" w:hAnsi="宋体" w:cs="宋体"/>
          <w:b/>
          <w:bCs/>
          <w:color w:val="000000"/>
          <w:sz w:val="32"/>
          <w:szCs w:val="32"/>
        </w:rPr>
      </w:pPr>
      <w:r>
        <w:rPr>
          <w:rFonts w:hint="eastAsia" w:ascii="宋体" w:hAnsi="宋体" w:cs="宋体"/>
          <w:b/>
          <w:bCs/>
          <w:color w:val="000000"/>
          <w:sz w:val="28"/>
          <w:szCs w:val="28"/>
        </w:rPr>
        <w:br w:type="page"/>
      </w:r>
      <w:r>
        <w:rPr>
          <w:rFonts w:hint="eastAsia" w:ascii="宋体" w:hAnsi="宋体" w:cs="宋体"/>
          <w:b/>
          <w:bCs/>
          <w:color w:val="000000"/>
          <w:sz w:val="32"/>
          <w:szCs w:val="32"/>
        </w:rPr>
        <w:t>4.2分项报价一览表</w:t>
      </w:r>
    </w:p>
    <w:p>
      <w:pPr>
        <w:rPr>
          <w:rFonts w:ascii="宋体" w:hAnsi="宋体" w:cs="宋体"/>
          <w:color w:val="000000"/>
          <w:sz w:val="28"/>
          <w:szCs w:val="28"/>
        </w:rPr>
      </w:pPr>
    </w:p>
    <w:p>
      <w:pPr>
        <w:rPr>
          <w:rFonts w:ascii="宋体" w:hAnsi="宋体" w:cs="宋体"/>
          <w:color w:val="000000"/>
          <w:szCs w:val="24"/>
        </w:rPr>
      </w:pPr>
    </w:p>
    <w:p>
      <w:pPr>
        <w:rPr>
          <w:rFonts w:ascii="宋体" w:hAnsi="宋体" w:cs="宋体"/>
          <w:color w:val="000000"/>
          <w:szCs w:val="24"/>
        </w:rPr>
      </w:pPr>
      <w:r>
        <w:rPr>
          <w:rFonts w:hint="eastAsia" w:ascii="宋体" w:hAnsi="宋体" w:cs="宋体"/>
          <w:color w:val="000000"/>
          <w:szCs w:val="24"/>
        </w:rPr>
        <w:t>项目名称：                                            单位：人民币元</w:t>
      </w:r>
    </w:p>
    <w:tbl>
      <w:tblPr>
        <w:tblStyle w:val="2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62"/>
        <w:gridCol w:w="715"/>
        <w:gridCol w:w="546"/>
        <w:gridCol w:w="539"/>
        <w:gridCol w:w="539"/>
        <w:gridCol w:w="646"/>
        <w:gridCol w:w="1072"/>
        <w:gridCol w:w="1072"/>
        <w:gridCol w:w="702"/>
        <w:gridCol w:w="698"/>
        <w:gridCol w:w="71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vAlign w:val="center"/>
          </w:tcPr>
          <w:p>
            <w:pPr>
              <w:jc w:val="center"/>
              <w:rPr>
                <w:rFonts w:ascii="宋体" w:hAnsi="宋体" w:cs="宋体"/>
                <w:b/>
                <w:bCs/>
                <w:color w:val="000000"/>
                <w:szCs w:val="24"/>
              </w:rPr>
            </w:pPr>
            <w:r>
              <w:rPr>
                <w:rFonts w:hint="eastAsia" w:ascii="宋体" w:hAnsi="宋体" w:cs="宋体"/>
                <w:b/>
                <w:bCs/>
                <w:color w:val="000000"/>
                <w:szCs w:val="24"/>
              </w:rPr>
              <w:t>序号</w:t>
            </w:r>
          </w:p>
        </w:tc>
        <w:tc>
          <w:tcPr>
            <w:tcW w:w="1062" w:type="dxa"/>
            <w:vAlign w:val="center"/>
          </w:tcPr>
          <w:p>
            <w:pPr>
              <w:jc w:val="center"/>
              <w:rPr>
                <w:rFonts w:ascii="宋体" w:hAnsi="宋体" w:cs="宋体"/>
                <w:b/>
                <w:bCs/>
                <w:color w:val="000000"/>
                <w:szCs w:val="24"/>
              </w:rPr>
            </w:pPr>
            <w:r>
              <w:rPr>
                <w:rFonts w:hint="eastAsia" w:ascii="宋体" w:hAnsi="宋体" w:cs="宋体"/>
                <w:b/>
                <w:bCs/>
                <w:color w:val="000000"/>
                <w:szCs w:val="24"/>
              </w:rPr>
              <w:t>设备名称</w:t>
            </w:r>
          </w:p>
        </w:tc>
        <w:tc>
          <w:tcPr>
            <w:tcW w:w="715" w:type="dxa"/>
            <w:vAlign w:val="center"/>
          </w:tcPr>
          <w:p>
            <w:pPr>
              <w:jc w:val="center"/>
              <w:rPr>
                <w:rFonts w:ascii="宋体" w:hAnsi="宋体" w:cs="宋体"/>
                <w:b/>
                <w:bCs/>
                <w:color w:val="000000"/>
                <w:szCs w:val="24"/>
              </w:rPr>
            </w:pPr>
            <w:r>
              <w:rPr>
                <w:rFonts w:hint="eastAsia" w:ascii="宋体" w:hAnsi="宋体" w:cs="宋体"/>
                <w:b/>
                <w:bCs/>
                <w:color w:val="000000"/>
                <w:szCs w:val="24"/>
              </w:rPr>
              <w:t>品牌型号</w:t>
            </w:r>
          </w:p>
        </w:tc>
        <w:tc>
          <w:tcPr>
            <w:tcW w:w="546" w:type="dxa"/>
            <w:vAlign w:val="center"/>
          </w:tcPr>
          <w:p>
            <w:pPr>
              <w:jc w:val="center"/>
              <w:rPr>
                <w:rFonts w:ascii="宋体" w:hAnsi="宋体" w:cs="宋体"/>
                <w:b/>
                <w:bCs/>
                <w:color w:val="000000"/>
                <w:szCs w:val="24"/>
              </w:rPr>
            </w:pPr>
            <w:r>
              <w:rPr>
                <w:rFonts w:hint="eastAsia" w:ascii="宋体" w:hAnsi="宋体" w:cs="宋体"/>
                <w:b/>
                <w:bCs/>
                <w:color w:val="000000"/>
                <w:szCs w:val="24"/>
              </w:rPr>
              <w:t>单位</w:t>
            </w:r>
          </w:p>
        </w:tc>
        <w:tc>
          <w:tcPr>
            <w:tcW w:w="539" w:type="dxa"/>
            <w:vAlign w:val="center"/>
          </w:tcPr>
          <w:p>
            <w:pPr>
              <w:jc w:val="center"/>
              <w:rPr>
                <w:rFonts w:ascii="宋体" w:hAnsi="宋体" w:cs="宋体"/>
                <w:b/>
                <w:bCs/>
                <w:color w:val="000000"/>
                <w:szCs w:val="24"/>
              </w:rPr>
            </w:pPr>
            <w:r>
              <w:rPr>
                <w:rFonts w:hint="eastAsia" w:ascii="宋体" w:hAnsi="宋体" w:cs="宋体"/>
                <w:b/>
                <w:bCs/>
                <w:color w:val="000000"/>
                <w:szCs w:val="24"/>
              </w:rPr>
              <w:t>数量</w:t>
            </w:r>
          </w:p>
        </w:tc>
        <w:tc>
          <w:tcPr>
            <w:tcW w:w="539" w:type="dxa"/>
            <w:vAlign w:val="center"/>
          </w:tcPr>
          <w:p>
            <w:pPr>
              <w:jc w:val="center"/>
              <w:rPr>
                <w:rFonts w:ascii="宋体" w:hAnsi="宋体" w:cs="宋体"/>
                <w:b/>
                <w:bCs/>
                <w:color w:val="000000"/>
                <w:szCs w:val="24"/>
              </w:rPr>
            </w:pPr>
            <w:r>
              <w:rPr>
                <w:rFonts w:hint="eastAsia" w:ascii="宋体" w:hAnsi="宋体" w:cs="宋体"/>
                <w:b/>
                <w:bCs/>
                <w:color w:val="000000"/>
                <w:szCs w:val="24"/>
              </w:rPr>
              <w:t>单价</w:t>
            </w:r>
          </w:p>
        </w:tc>
        <w:tc>
          <w:tcPr>
            <w:tcW w:w="646" w:type="dxa"/>
            <w:vAlign w:val="center"/>
          </w:tcPr>
          <w:p>
            <w:pPr>
              <w:jc w:val="center"/>
              <w:rPr>
                <w:rFonts w:ascii="宋体" w:hAnsi="宋体" w:cs="宋体"/>
                <w:b/>
                <w:bCs/>
                <w:color w:val="000000"/>
                <w:szCs w:val="24"/>
              </w:rPr>
            </w:pPr>
            <w:r>
              <w:rPr>
                <w:rFonts w:hint="eastAsia" w:ascii="宋体" w:hAnsi="宋体" w:cs="宋体"/>
                <w:b/>
                <w:bCs/>
                <w:color w:val="000000"/>
                <w:szCs w:val="24"/>
              </w:rPr>
              <w:t>小计</w:t>
            </w:r>
          </w:p>
        </w:tc>
        <w:tc>
          <w:tcPr>
            <w:tcW w:w="1072" w:type="dxa"/>
            <w:vAlign w:val="center"/>
          </w:tcPr>
          <w:p>
            <w:pPr>
              <w:jc w:val="center"/>
              <w:rPr>
                <w:rFonts w:ascii="宋体" w:hAnsi="宋体" w:cs="宋体"/>
                <w:b/>
                <w:bCs/>
                <w:color w:val="000000"/>
                <w:szCs w:val="24"/>
              </w:rPr>
            </w:pPr>
            <w:r>
              <w:rPr>
                <w:rFonts w:hint="eastAsia" w:ascii="宋体" w:hAnsi="宋体" w:cs="宋体"/>
                <w:b/>
                <w:bCs/>
                <w:color w:val="000000"/>
                <w:szCs w:val="24"/>
              </w:rPr>
              <w:t>运输及保险费</w:t>
            </w:r>
          </w:p>
        </w:tc>
        <w:tc>
          <w:tcPr>
            <w:tcW w:w="1072" w:type="dxa"/>
            <w:vAlign w:val="center"/>
          </w:tcPr>
          <w:p>
            <w:pPr>
              <w:jc w:val="center"/>
              <w:rPr>
                <w:rFonts w:ascii="宋体" w:hAnsi="宋体" w:cs="宋体"/>
                <w:b/>
                <w:bCs/>
                <w:color w:val="000000"/>
                <w:szCs w:val="24"/>
              </w:rPr>
            </w:pPr>
            <w:r>
              <w:rPr>
                <w:rFonts w:hint="eastAsia" w:ascii="宋体" w:hAnsi="宋体" w:cs="宋体"/>
                <w:b/>
                <w:bCs/>
                <w:color w:val="000000"/>
                <w:szCs w:val="24"/>
              </w:rPr>
              <w:t>技术服务费</w:t>
            </w:r>
          </w:p>
        </w:tc>
        <w:tc>
          <w:tcPr>
            <w:tcW w:w="702" w:type="dxa"/>
            <w:vAlign w:val="center"/>
          </w:tcPr>
          <w:p>
            <w:pPr>
              <w:jc w:val="center"/>
              <w:rPr>
                <w:rFonts w:ascii="宋体" w:hAnsi="宋体" w:cs="宋体"/>
                <w:b/>
                <w:bCs/>
                <w:color w:val="000000"/>
                <w:szCs w:val="24"/>
              </w:rPr>
            </w:pPr>
            <w:r>
              <w:rPr>
                <w:rFonts w:hint="eastAsia" w:ascii="宋体" w:hAnsi="宋体" w:cs="宋体"/>
                <w:b/>
                <w:bCs/>
                <w:color w:val="000000"/>
                <w:szCs w:val="24"/>
              </w:rPr>
              <w:t>税费</w:t>
            </w:r>
          </w:p>
        </w:tc>
        <w:tc>
          <w:tcPr>
            <w:tcW w:w="698" w:type="dxa"/>
            <w:vAlign w:val="center"/>
          </w:tcPr>
          <w:p>
            <w:pPr>
              <w:jc w:val="center"/>
              <w:rPr>
                <w:rFonts w:ascii="宋体" w:hAnsi="宋体" w:cs="宋体"/>
                <w:b/>
                <w:bCs/>
                <w:color w:val="000000"/>
                <w:szCs w:val="24"/>
              </w:rPr>
            </w:pPr>
            <w:r>
              <w:rPr>
                <w:rFonts w:hint="eastAsia" w:ascii="宋体" w:hAnsi="宋体" w:cs="宋体"/>
                <w:b/>
                <w:bCs/>
                <w:color w:val="000000"/>
                <w:szCs w:val="24"/>
              </w:rPr>
              <w:t>合计</w:t>
            </w:r>
          </w:p>
        </w:tc>
        <w:tc>
          <w:tcPr>
            <w:tcW w:w="717" w:type="dxa"/>
            <w:gridSpan w:val="2"/>
            <w:vAlign w:val="center"/>
          </w:tcPr>
          <w:p>
            <w:pPr>
              <w:jc w:val="center"/>
              <w:rPr>
                <w:rFonts w:ascii="宋体" w:hAnsi="宋体" w:cs="宋体"/>
                <w:b/>
                <w:bCs/>
                <w:color w:val="000000"/>
                <w:szCs w:val="24"/>
              </w:rPr>
            </w:pPr>
            <w:r>
              <w:rPr>
                <w:rFonts w:hint="eastAsia" w:ascii="宋体" w:hAnsi="宋体" w:cs="宋体"/>
                <w:b/>
                <w:bCs/>
                <w:color w:val="000000"/>
                <w:szCs w:val="24"/>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rPr>
                <w:rFonts w:ascii="宋体" w:hAnsi="宋体" w:cs="宋体"/>
                <w:color w:val="000000"/>
                <w:szCs w:val="24"/>
              </w:rPr>
            </w:pPr>
          </w:p>
        </w:tc>
        <w:tc>
          <w:tcPr>
            <w:tcW w:w="1062" w:type="dxa"/>
          </w:tcPr>
          <w:p>
            <w:pPr>
              <w:rPr>
                <w:rFonts w:ascii="宋体" w:hAnsi="宋体" w:cs="宋体"/>
                <w:color w:val="000000"/>
                <w:szCs w:val="24"/>
              </w:rPr>
            </w:pPr>
          </w:p>
        </w:tc>
        <w:tc>
          <w:tcPr>
            <w:tcW w:w="715" w:type="dxa"/>
          </w:tcPr>
          <w:p>
            <w:pPr>
              <w:rPr>
                <w:rFonts w:ascii="宋体" w:hAnsi="宋体" w:cs="宋体"/>
                <w:color w:val="000000"/>
                <w:szCs w:val="24"/>
              </w:rPr>
            </w:pPr>
          </w:p>
        </w:tc>
        <w:tc>
          <w:tcPr>
            <w:tcW w:w="546" w:type="dxa"/>
          </w:tcPr>
          <w:p>
            <w:pPr>
              <w:rPr>
                <w:rFonts w:ascii="宋体" w:hAnsi="宋体" w:cs="宋体"/>
                <w:color w:val="000000"/>
                <w:szCs w:val="24"/>
              </w:rPr>
            </w:pPr>
          </w:p>
        </w:tc>
        <w:tc>
          <w:tcPr>
            <w:tcW w:w="539" w:type="dxa"/>
          </w:tcPr>
          <w:p>
            <w:pPr>
              <w:rPr>
                <w:rFonts w:ascii="宋体" w:hAnsi="宋体" w:cs="宋体"/>
                <w:color w:val="000000"/>
                <w:szCs w:val="24"/>
              </w:rPr>
            </w:pPr>
          </w:p>
        </w:tc>
        <w:tc>
          <w:tcPr>
            <w:tcW w:w="539" w:type="dxa"/>
          </w:tcPr>
          <w:p>
            <w:pPr>
              <w:rPr>
                <w:rFonts w:ascii="宋体" w:hAnsi="宋体" w:cs="宋体"/>
                <w:color w:val="000000"/>
                <w:szCs w:val="24"/>
              </w:rPr>
            </w:pPr>
          </w:p>
        </w:tc>
        <w:tc>
          <w:tcPr>
            <w:tcW w:w="646"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1072" w:type="dxa"/>
          </w:tcPr>
          <w:p>
            <w:pPr>
              <w:rPr>
                <w:rFonts w:ascii="宋体" w:hAnsi="宋体" w:cs="宋体"/>
                <w:color w:val="000000"/>
                <w:szCs w:val="24"/>
              </w:rPr>
            </w:pPr>
          </w:p>
        </w:tc>
        <w:tc>
          <w:tcPr>
            <w:tcW w:w="702" w:type="dxa"/>
          </w:tcPr>
          <w:p>
            <w:pPr>
              <w:rPr>
                <w:rFonts w:ascii="宋体" w:hAnsi="宋体" w:cs="宋体"/>
                <w:color w:val="000000"/>
                <w:szCs w:val="24"/>
              </w:rPr>
            </w:pPr>
          </w:p>
        </w:tc>
        <w:tc>
          <w:tcPr>
            <w:tcW w:w="698" w:type="dxa"/>
          </w:tcPr>
          <w:p>
            <w:pPr>
              <w:rPr>
                <w:rFonts w:ascii="宋体" w:hAnsi="宋体" w:cs="宋体"/>
                <w:color w:val="000000"/>
                <w:szCs w:val="24"/>
              </w:rPr>
            </w:pPr>
          </w:p>
        </w:tc>
        <w:tc>
          <w:tcPr>
            <w:tcW w:w="717" w:type="dxa"/>
            <w:gridSpan w:val="2"/>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1869" w:type="dxa"/>
            <w:gridSpan w:val="2"/>
          </w:tcPr>
          <w:p>
            <w:pPr>
              <w:pStyle w:val="16"/>
              <w:rPr>
                <w:rFonts w:cs="宋体"/>
                <w:color w:val="000000"/>
                <w:szCs w:val="24"/>
              </w:rPr>
            </w:pPr>
            <w:r>
              <w:rPr>
                <w:rFonts w:hint="eastAsia" w:cs="宋体"/>
                <w:color w:val="000000"/>
                <w:szCs w:val="24"/>
              </w:rPr>
              <w:t>合计</w:t>
            </w:r>
          </w:p>
        </w:tc>
        <w:tc>
          <w:tcPr>
            <w:tcW w:w="7239" w:type="dxa"/>
            <w:gridSpan w:val="10"/>
          </w:tcPr>
          <w:p>
            <w:pPr>
              <w:rPr>
                <w:rFonts w:ascii="宋体" w:hAnsi="宋体" w:cs="宋体"/>
                <w:color w:val="000000"/>
                <w:szCs w:val="24"/>
              </w:rPr>
            </w:pPr>
          </w:p>
        </w:tc>
      </w:tr>
    </w:tbl>
    <w:p>
      <w:pPr>
        <w:spacing w:line="440" w:lineRule="exact"/>
        <w:rPr>
          <w:rFonts w:ascii="宋体" w:hAnsi="宋体" w:cs="宋体"/>
          <w:color w:val="000000"/>
        </w:rPr>
      </w:pPr>
      <w:r>
        <w:rPr>
          <w:rFonts w:hint="eastAsia" w:ascii="宋体" w:hAnsi="宋体" w:cs="宋体"/>
          <w:color w:val="000000"/>
        </w:rPr>
        <w:t>投标人（企业电子签章或公章）：</w:t>
      </w:r>
    </w:p>
    <w:p>
      <w:pPr>
        <w:spacing w:line="440" w:lineRule="exact"/>
        <w:rPr>
          <w:rFonts w:ascii="宋体" w:hAnsi="宋体" w:cs="宋体"/>
          <w:color w:val="000000"/>
        </w:rPr>
      </w:pPr>
      <w:r>
        <w:rPr>
          <w:rFonts w:hint="eastAsia" w:ascii="宋体" w:hAnsi="宋体" w:cs="宋体"/>
          <w:color w:val="000000"/>
        </w:rPr>
        <w:t>日期：</w:t>
      </w:r>
    </w:p>
    <w:p>
      <w:pPr>
        <w:pStyle w:val="6"/>
        <w:ind w:firstLine="0"/>
        <w:rPr>
          <w:rFonts w:ascii="宋体" w:hAnsi="宋体" w:cs="宋体"/>
          <w:color w:val="000000"/>
          <w:sz w:val="24"/>
          <w:szCs w:val="24"/>
        </w:rPr>
      </w:pPr>
    </w:p>
    <w:p>
      <w:pPr>
        <w:rPr>
          <w:rFonts w:ascii="宋体" w:hAnsi="宋体" w:cs="宋体"/>
          <w:color w:val="000000"/>
          <w:szCs w:val="24"/>
        </w:rPr>
      </w:pPr>
      <w:r>
        <w:rPr>
          <w:rFonts w:hint="eastAsia" w:ascii="宋体" w:hAnsi="宋体" w:cs="宋体"/>
          <w:color w:val="000000"/>
          <w:szCs w:val="24"/>
        </w:rPr>
        <w:t>说明：1、技术服务费是指安装、调试、运行等费用。</w:t>
      </w:r>
    </w:p>
    <w:p>
      <w:pPr>
        <w:ind w:firstLine="720" w:firstLineChars="300"/>
        <w:rPr>
          <w:rFonts w:ascii="宋体" w:hAnsi="宋体" w:cs="宋体"/>
          <w:color w:val="000000"/>
          <w:szCs w:val="24"/>
        </w:rPr>
      </w:pPr>
      <w:r>
        <w:rPr>
          <w:rFonts w:hint="eastAsia" w:ascii="宋体" w:hAnsi="宋体" w:cs="宋体"/>
          <w:color w:val="000000"/>
          <w:szCs w:val="24"/>
        </w:rPr>
        <w:t>2、税费主要指非国产货物的关税及其他费用等。</w:t>
      </w:r>
    </w:p>
    <w:p>
      <w:pPr>
        <w:ind w:firstLine="435"/>
        <w:jc w:val="center"/>
        <w:rPr>
          <w:rFonts w:ascii="宋体" w:hAnsi="宋体" w:cs="宋体"/>
          <w:b/>
          <w:bCs/>
          <w:color w:val="000000"/>
          <w:sz w:val="32"/>
          <w:szCs w:val="32"/>
        </w:rPr>
      </w:pPr>
      <w:r>
        <w:rPr>
          <w:rFonts w:hint="eastAsia" w:ascii="宋体" w:hAnsi="宋体" w:cs="宋体"/>
          <w:color w:val="000000"/>
          <w:sz w:val="28"/>
          <w:szCs w:val="28"/>
        </w:rPr>
        <w:br w:type="page"/>
      </w:r>
      <w:r>
        <w:rPr>
          <w:rFonts w:hint="eastAsia" w:ascii="宋体" w:hAnsi="宋体" w:cs="宋体"/>
          <w:b/>
          <w:bCs/>
          <w:color w:val="000000"/>
          <w:sz w:val="32"/>
          <w:szCs w:val="32"/>
        </w:rPr>
        <w:t>4.3设备（产品）规格一览表</w:t>
      </w:r>
    </w:p>
    <w:p>
      <w:pPr>
        <w:rPr>
          <w:rFonts w:ascii="宋体" w:hAnsi="宋体" w:cs="宋体"/>
          <w:color w:val="000000"/>
          <w:szCs w:val="24"/>
        </w:rPr>
      </w:pPr>
      <w:r>
        <w:rPr>
          <w:rFonts w:hint="eastAsia" w:ascii="宋体" w:hAnsi="宋体" w:cs="宋体"/>
          <w:color w:val="000000"/>
          <w:szCs w:val="24"/>
        </w:rPr>
        <w:t xml:space="preserve">项目名称：                              </w:t>
      </w:r>
    </w:p>
    <w:tbl>
      <w:tblPr>
        <w:tblStyle w:val="2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jc w:val="center"/>
              <w:rPr>
                <w:rFonts w:ascii="宋体" w:hAnsi="宋体" w:cs="宋体"/>
                <w:color w:val="000000"/>
                <w:szCs w:val="24"/>
              </w:rPr>
            </w:pPr>
            <w:r>
              <w:rPr>
                <w:rFonts w:hint="eastAsia" w:ascii="宋体" w:hAnsi="宋体" w:cs="宋体"/>
                <w:color w:val="000000"/>
                <w:szCs w:val="24"/>
              </w:rPr>
              <w:t>序号</w:t>
            </w:r>
          </w:p>
        </w:tc>
        <w:tc>
          <w:tcPr>
            <w:tcW w:w="1215" w:type="dxa"/>
            <w:vAlign w:val="center"/>
          </w:tcPr>
          <w:p>
            <w:pPr>
              <w:jc w:val="center"/>
              <w:rPr>
                <w:rFonts w:ascii="宋体" w:hAnsi="宋体" w:cs="宋体"/>
                <w:color w:val="000000"/>
                <w:szCs w:val="24"/>
              </w:rPr>
            </w:pPr>
            <w:r>
              <w:rPr>
                <w:rFonts w:hint="eastAsia" w:ascii="宋体" w:hAnsi="宋体" w:cs="宋体"/>
                <w:color w:val="000000"/>
                <w:szCs w:val="24"/>
              </w:rPr>
              <w:t>设备名称</w:t>
            </w:r>
          </w:p>
        </w:tc>
        <w:tc>
          <w:tcPr>
            <w:tcW w:w="1272" w:type="dxa"/>
            <w:vAlign w:val="center"/>
          </w:tcPr>
          <w:p>
            <w:pPr>
              <w:jc w:val="center"/>
              <w:rPr>
                <w:rFonts w:ascii="宋体" w:hAnsi="宋体" w:cs="宋体"/>
                <w:color w:val="000000"/>
                <w:szCs w:val="24"/>
              </w:rPr>
            </w:pPr>
            <w:r>
              <w:rPr>
                <w:rFonts w:hint="eastAsia" w:ascii="宋体" w:hAnsi="宋体" w:cs="宋体"/>
                <w:color w:val="000000"/>
                <w:szCs w:val="24"/>
              </w:rPr>
              <w:t>品牌型号</w:t>
            </w:r>
          </w:p>
        </w:tc>
        <w:tc>
          <w:tcPr>
            <w:tcW w:w="2670" w:type="dxa"/>
            <w:vAlign w:val="center"/>
          </w:tcPr>
          <w:p>
            <w:pPr>
              <w:jc w:val="center"/>
              <w:rPr>
                <w:rFonts w:ascii="宋体" w:hAnsi="宋体" w:cs="宋体"/>
                <w:color w:val="000000"/>
                <w:szCs w:val="24"/>
              </w:rPr>
            </w:pPr>
            <w:r>
              <w:rPr>
                <w:rFonts w:hint="eastAsia" w:ascii="宋体" w:hAnsi="宋体" w:cs="宋体"/>
                <w:color w:val="000000"/>
                <w:szCs w:val="24"/>
              </w:rPr>
              <w:t>规格及技术参数</w:t>
            </w:r>
          </w:p>
        </w:tc>
        <w:tc>
          <w:tcPr>
            <w:tcW w:w="1620" w:type="dxa"/>
            <w:vAlign w:val="center"/>
          </w:tcPr>
          <w:p>
            <w:pPr>
              <w:jc w:val="center"/>
              <w:rPr>
                <w:rFonts w:ascii="宋体" w:hAnsi="宋体" w:cs="宋体"/>
                <w:color w:val="000000"/>
                <w:szCs w:val="24"/>
              </w:rPr>
            </w:pPr>
            <w:r>
              <w:rPr>
                <w:rFonts w:hint="eastAsia" w:ascii="宋体" w:hAnsi="宋体" w:cs="宋体"/>
                <w:color w:val="000000"/>
                <w:szCs w:val="24"/>
              </w:rPr>
              <w:t>制造商</w:t>
            </w:r>
          </w:p>
        </w:tc>
        <w:tc>
          <w:tcPr>
            <w:tcW w:w="1440" w:type="dxa"/>
            <w:vAlign w:val="center"/>
          </w:tcPr>
          <w:p>
            <w:pPr>
              <w:jc w:val="center"/>
              <w:rPr>
                <w:rFonts w:ascii="宋体" w:hAnsi="宋体" w:cs="宋体"/>
                <w:color w:val="000000"/>
                <w:szCs w:val="24"/>
              </w:rPr>
            </w:pPr>
            <w:r>
              <w:rPr>
                <w:rFonts w:hint="eastAsia" w:ascii="宋体" w:hAnsi="宋体" w:cs="宋体"/>
                <w:color w:val="000000"/>
                <w:szCs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jc w:val="center"/>
              <w:rPr>
                <w:rFonts w:ascii="宋体" w:hAnsi="宋体" w:cs="宋体"/>
                <w:b/>
                <w:color w:val="000000"/>
                <w:szCs w:val="24"/>
              </w:rPr>
            </w:pPr>
          </w:p>
        </w:tc>
        <w:tc>
          <w:tcPr>
            <w:tcW w:w="1215" w:type="dxa"/>
            <w:vAlign w:val="center"/>
          </w:tcPr>
          <w:p>
            <w:pPr>
              <w:jc w:val="center"/>
              <w:rPr>
                <w:rFonts w:ascii="宋体" w:hAnsi="宋体" w:cs="宋体"/>
                <w:color w:val="000000"/>
                <w:szCs w:val="24"/>
              </w:rPr>
            </w:pPr>
            <w:r>
              <w:rPr>
                <w:rFonts w:hint="eastAsia" w:ascii="宋体" w:hAnsi="宋体" w:cs="宋体"/>
                <w:color w:val="000000"/>
                <w:szCs w:val="24"/>
              </w:rPr>
              <w:t>…</w:t>
            </w:r>
          </w:p>
        </w:tc>
        <w:tc>
          <w:tcPr>
            <w:tcW w:w="1272" w:type="dxa"/>
            <w:vAlign w:val="center"/>
          </w:tcPr>
          <w:p>
            <w:pPr>
              <w:jc w:val="center"/>
              <w:rPr>
                <w:rFonts w:ascii="宋体" w:hAnsi="宋体" w:cs="宋体"/>
                <w:color w:val="000000"/>
                <w:szCs w:val="24"/>
              </w:rPr>
            </w:pPr>
          </w:p>
        </w:tc>
        <w:tc>
          <w:tcPr>
            <w:tcW w:w="2670" w:type="dxa"/>
            <w:vAlign w:val="center"/>
          </w:tcPr>
          <w:p>
            <w:pPr>
              <w:jc w:val="center"/>
              <w:rPr>
                <w:rFonts w:ascii="宋体" w:hAnsi="宋体" w:cs="宋体"/>
                <w:color w:val="000000"/>
                <w:szCs w:val="24"/>
              </w:rPr>
            </w:pPr>
          </w:p>
        </w:tc>
        <w:tc>
          <w:tcPr>
            <w:tcW w:w="1620" w:type="dxa"/>
            <w:vAlign w:val="center"/>
          </w:tcPr>
          <w:p>
            <w:pPr>
              <w:jc w:val="center"/>
              <w:rPr>
                <w:rFonts w:ascii="宋体" w:hAnsi="宋体" w:cs="宋体"/>
                <w:color w:val="000000"/>
                <w:szCs w:val="24"/>
              </w:rPr>
            </w:pPr>
          </w:p>
        </w:tc>
        <w:tc>
          <w:tcPr>
            <w:tcW w:w="1440" w:type="dxa"/>
            <w:vAlign w:val="center"/>
          </w:tcPr>
          <w:p>
            <w:pPr>
              <w:jc w:val="center"/>
              <w:rPr>
                <w:rFonts w:ascii="宋体" w:hAnsi="宋体" w:cs="宋体"/>
                <w:color w:val="000000"/>
                <w:szCs w:val="24"/>
              </w:rPr>
            </w:pPr>
          </w:p>
        </w:tc>
      </w:tr>
    </w:tbl>
    <w:p>
      <w:pPr>
        <w:rPr>
          <w:rFonts w:ascii="宋体" w:hAnsi="宋体" w:cs="宋体"/>
          <w:color w:val="000000"/>
          <w:szCs w:val="24"/>
        </w:rPr>
      </w:pPr>
    </w:p>
    <w:p>
      <w:pPr>
        <w:spacing w:line="360" w:lineRule="auto"/>
        <w:rPr>
          <w:rFonts w:ascii="宋体" w:hAnsi="宋体" w:cs="宋体"/>
          <w:color w:val="000000"/>
        </w:rPr>
      </w:pPr>
      <w:r>
        <w:rPr>
          <w:rFonts w:hint="eastAsia" w:ascii="宋体" w:hAnsi="宋体" w:cs="宋体"/>
          <w:color w:val="000000"/>
        </w:rPr>
        <w:t>投标人（企业电子签章或公章）：</w:t>
      </w:r>
    </w:p>
    <w:p>
      <w:pPr>
        <w:spacing w:line="360" w:lineRule="auto"/>
        <w:rPr>
          <w:rFonts w:ascii="宋体" w:hAnsi="宋体" w:cs="宋体"/>
          <w:color w:val="000000"/>
        </w:rPr>
      </w:pPr>
      <w:r>
        <w:rPr>
          <w:rFonts w:hint="eastAsia" w:ascii="宋体" w:hAnsi="宋体" w:cs="宋体"/>
          <w:color w:val="000000"/>
        </w:rPr>
        <w:t>日期：</w:t>
      </w:r>
    </w:p>
    <w:p>
      <w:pPr>
        <w:rPr>
          <w:rFonts w:ascii="宋体" w:hAnsi="宋体" w:cs="宋体"/>
          <w:color w:val="000000"/>
          <w:szCs w:val="24"/>
        </w:rPr>
      </w:pPr>
    </w:p>
    <w:p>
      <w:pPr>
        <w:rPr>
          <w:rFonts w:ascii="宋体" w:hAnsi="宋体" w:cs="宋体"/>
          <w:color w:val="000000"/>
          <w:szCs w:val="24"/>
        </w:rPr>
      </w:pPr>
      <w:r>
        <w:rPr>
          <w:rFonts w:hint="eastAsia" w:ascii="宋体" w:hAnsi="宋体" w:cs="宋体"/>
          <w:color w:val="000000"/>
          <w:szCs w:val="24"/>
        </w:rPr>
        <w:t>说明：1、设备规格参数如有详细描述可另作说明。</w:t>
      </w:r>
    </w:p>
    <w:p>
      <w:pPr>
        <w:spacing w:line="360" w:lineRule="auto"/>
        <w:ind w:firstLine="720" w:firstLineChars="300"/>
        <w:rPr>
          <w:rFonts w:ascii="宋体" w:hAnsi="宋体" w:cs="宋体"/>
          <w:color w:val="000000"/>
          <w:szCs w:val="24"/>
        </w:rPr>
      </w:pPr>
      <w:r>
        <w:rPr>
          <w:rFonts w:hint="eastAsia" w:ascii="宋体" w:hAnsi="宋体" w:cs="宋体"/>
          <w:color w:val="000000"/>
          <w:szCs w:val="24"/>
        </w:rPr>
        <w:t>2、投标人可对该产品的特性和优点作详细的文字说明。</w:t>
      </w:r>
    </w:p>
    <w:p>
      <w:pPr>
        <w:spacing w:line="460" w:lineRule="exact"/>
        <w:jc w:val="center"/>
        <w:rPr>
          <w:rFonts w:ascii="宋体" w:hAnsi="宋体" w:cs="宋体"/>
          <w:b/>
          <w:bCs/>
          <w:color w:val="000000"/>
          <w:sz w:val="32"/>
          <w:szCs w:val="32"/>
        </w:rPr>
      </w:pPr>
      <w:r>
        <w:rPr>
          <w:rFonts w:hint="eastAsia" w:ascii="宋体" w:hAnsi="宋体" w:cs="宋体"/>
          <w:color w:val="000000"/>
          <w:sz w:val="28"/>
          <w:szCs w:val="28"/>
        </w:rPr>
        <w:br w:type="page"/>
      </w:r>
      <w:bookmarkStart w:id="132" w:name="_Toc3340_WPSOffice_Level2"/>
      <w:r>
        <w:rPr>
          <w:rFonts w:hint="eastAsia" w:ascii="宋体" w:hAnsi="宋体" w:cs="宋体"/>
          <w:b/>
          <w:bCs/>
          <w:color w:val="000000"/>
          <w:sz w:val="32"/>
          <w:szCs w:val="32"/>
        </w:rPr>
        <w:t>5.技术规格和商务条款偏差表</w:t>
      </w:r>
      <w:bookmarkEnd w:id="132"/>
    </w:p>
    <w:p>
      <w:pPr>
        <w:pStyle w:val="6"/>
        <w:rPr>
          <w:rFonts w:ascii="宋体" w:hAnsi="宋体" w:cs="宋体"/>
          <w:color w:val="000000"/>
          <w:sz w:val="24"/>
          <w:szCs w:val="24"/>
        </w:rPr>
      </w:pPr>
      <w:r>
        <w:rPr>
          <w:rFonts w:hint="eastAsia" w:ascii="宋体" w:hAnsi="宋体" w:cs="宋体"/>
          <w:color w:val="000000"/>
          <w:sz w:val="24"/>
          <w:szCs w:val="24"/>
        </w:rPr>
        <w:t>项目名称：</w:t>
      </w:r>
    </w:p>
    <w:p>
      <w:pPr>
        <w:pStyle w:val="6"/>
        <w:rPr>
          <w:rFonts w:ascii="宋体" w:hAnsi="宋体" w:cs="宋体"/>
          <w:color w:val="000000"/>
          <w:sz w:val="24"/>
          <w:szCs w:val="24"/>
        </w:rPr>
      </w:pPr>
      <w:r>
        <w:rPr>
          <w:rFonts w:hint="eastAsia" w:ascii="宋体" w:hAnsi="宋体" w:cs="宋体"/>
          <w:color w:val="000000"/>
          <w:sz w:val="24"/>
          <w:szCs w:val="24"/>
        </w:rPr>
        <w:t>招标编号：</w:t>
      </w:r>
    </w:p>
    <w:tbl>
      <w:tblPr>
        <w:tblStyle w:val="2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jc w:val="center"/>
              <w:rPr>
                <w:rFonts w:ascii="宋体" w:hAnsi="宋体" w:cs="宋体"/>
                <w:b/>
                <w:bCs/>
                <w:color w:val="000000"/>
                <w:szCs w:val="24"/>
              </w:rPr>
            </w:pPr>
            <w:r>
              <w:rPr>
                <w:rFonts w:hint="eastAsia" w:ascii="宋体" w:hAnsi="宋体" w:cs="宋体"/>
                <w:b/>
                <w:bCs/>
                <w:color w:val="000000"/>
                <w:szCs w:val="24"/>
              </w:rPr>
              <w:t>序号</w:t>
            </w:r>
          </w:p>
        </w:tc>
        <w:tc>
          <w:tcPr>
            <w:tcW w:w="1826" w:type="dxa"/>
            <w:vMerge w:val="restart"/>
            <w:vAlign w:val="center"/>
          </w:tcPr>
          <w:p>
            <w:pPr>
              <w:jc w:val="center"/>
              <w:rPr>
                <w:rFonts w:ascii="宋体" w:hAnsi="宋体" w:cs="宋体"/>
                <w:b/>
                <w:bCs/>
                <w:color w:val="000000"/>
                <w:szCs w:val="24"/>
              </w:rPr>
            </w:pPr>
            <w:r>
              <w:rPr>
                <w:rFonts w:hint="eastAsia" w:ascii="宋体" w:hAnsi="宋体" w:cs="宋体"/>
                <w:b/>
                <w:bCs/>
                <w:color w:val="000000"/>
                <w:szCs w:val="24"/>
              </w:rPr>
              <w:t>设备名称或条款号</w:t>
            </w:r>
          </w:p>
        </w:tc>
        <w:tc>
          <w:tcPr>
            <w:tcW w:w="2434" w:type="dxa"/>
            <w:gridSpan w:val="2"/>
            <w:vAlign w:val="center"/>
          </w:tcPr>
          <w:p>
            <w:pPr>
              <w:jc w:val="center"/>
              <w:rPr>
                <w:rFonts w:ascii="宋体" w:hAnsi="宋体" w:cs="宋体"/>
                <w:b/>
                <w:bCs/>
                <w:color w:val="000000"/>
                <w:szCs w:val="24"/>
              </w:rPr>
            </w:pPr>
            <w:r>
              <w:rPr>
                <w:rFonts w:hint="eastAsia" w:ascii="宋体" w:hAnsi="宋体" w:cs="宋体"/>
                <w:b/>
                <w:bCs/>
                <w:color w:val="000000"/>
                <w:szCs w:val="24"/>
              </w:rPr>
              <w:t>技术参数及要求</w:t>
            </w:r>
          </w:p>
        </w:tc>
        <w:tc>
          <w:tcPr>
            <w:tcW w:w="1218" w:type="dxa"/>
            <w:vMerge w:val="restart"/>
            <w:vAlign w:val="center"/>
          </w:tcPr>
          <w:p>
            <w:pPr>
              <w:jc w:val="center"/>
              <w:rPr>
                <w:rFonts w:ascii="宋体" w:hAnsi="宋体" w:cs="宋体"/>
                <w:b/>
                <w:bCs/>
                <w:color w:val="000000"/>
                <w:szCs w:val="24"/>
              </w:rPr>
            </w:pPr>
            <w:r>
              <w:rPr>
                <w:rFonts w:hint="eastAsia" w:ascii="宋体" w:hAnsi="宋体" w:cs="宋体"/>
                <w:b/>
                <w:bCs/>
                <w:color w:val="000000"/>
                <w:szCs w:val="24"/>
              </w:rPr>
              <w:t>对招标文件  偏差</w:t>
            </w:r>
          </w:p>
        </w:tc>
        <w:tc>
          <w:tcPr>
            <w:tcW w:w="1218" w:type="dxa"/>
            <w:vMerge w:val="restart"/>
            <w:vAlign w:val="center"/>
          </w:tcPr>
          <w:p>
            <w:pPr>
              <w:jc w:val="center"/>
              <w:rPr>
                <w:rFonts w:ascii="宋体" w:hAnsi="宋体" w:cs="宋体"/>
                <w:b/>
                <w:bCs/>
                <w:color w:val="000000"/>
                <w:szCs w:val="24"/>
              </w:rPr>
            </w:pPr>
            <w:r>
              <w:rPr>
                <w:rFonts w:hint="eastAsia" w:ascii="宋体" w:hAnsi="宋体" w:cs="宋体"/>
                <w:b/>
                <w:bCs/>
                <w:color w:val="000000"/>
                <w:szCs w:val="24"/>
              </w:rPr>
              <w:t>描述</w:t>
            </w:r>
          </w:p>
        </w:tc>
        <w:tc>
          <w:tcPr>
            <w:tcW w:w="1218" w:type="dxa"/>
            <w:vMerge w:val="restart"/>
            <w:vAlign w:val="center"/>
          </w:tcPr>
          <w:p>
            <w:pPr>
              <w:jc w:val="center"/>
              <w:rPr>
                <w:rFonts w:ascii="宋体" w:hAnsi="宋体" w:cs="宋体"/>
                <w:b/>
                <w:bCs/>
                <w:color w:val="000000"/>
                <w:szCs w:val="24"/>
              </w:rPr>
            </w:pPr>
            <w:r>
              <w:rPr>
                <w:rFonts w:hint="eastAsia" w:ascii="宋体" w:hAnsi="宋体" w:cs="宋体"/>
                <w:b/>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color w:val="000000"/>
                <w:szCs w:val="24"/>
              </w:rPr>
            </w:pPr>
          </w:p>
        </w:tc>
        <w:tc>
          <w:tcPr>
            <w:tcW w:w="1826" w:type="dxa"/>
            <w:vMerge w:val="continue"/>
          </w:tcPr>
          <w:p>
            <w:pPr>
              <w:rPr>
                <w:rFonts w:ascii="宋体" w:hAnsi="宋体" w:cs="宋体"/>
                <w:color w:val="000000"/>
                <w:szCs w:val="24"/>
              </w:rPr>
            </w:pPr>
          </w:p>
        </w:tc>
        <w:tc>
          <w:tcPr>
            <w:tcW w:w="1217" w:type="dxa"/>
            <w:vAlign w:val="center"/>
          </w:tcPr>
          <w:p>
            <w:pPr>
              <w:jc w:val="center"/>
              <w:rPr>
                <w:rFonts w:ascii="宋体" w:hAnsi="宋体" w:cs="宋体"/>
                <w:b/>
                <w:bCs/>
                <w:color w:val="000000"/>
                <w:szCs w:val="24"/>
              </w:rPr>
            </w:pPr>
            <w:r>
              <w:rPr>
                <w:rFonts w:hint="eastAsia" w:ascii="宋体" w:hAnsi="宋体" w:cs="宋体"/>
                <w:b/>
                <w:bCs/>
                <w:color w:val="000000"/>
                <w:szCs w:val="24"/>
              </w:rPr>
              <w:t>招 标  文 件</w:t>
            </w:r>
          </w:p>
        </w:tc>
        <w:tc>
          <w:tcPr>
            <w:tcW w:w="1217" w:type="dxa"/>
            <w:vAlign w:val="center"/>
          </w:tcPr>
          <w:p>
            <w:pPr>
              <w:jc w:val="center"/>
              <w:rPr>
                <w:rFonts w:ascii="宋体" w:hAnsi="宋体" w:cs="宋体"/>
                <w:b/>
                <w:bCs/>
                <w:color w:val="000000"/>
                <w:szCs w:val="24"/>
              </w:rPr>
            </w:pPr>
            <w:r>
              <w:rPr>
                <w:rFonts w:hint="eastAsia" w:ascii="宋体" w:hAnsi="宋体" w:cs="宋体"/>
                <w:b/>
                <w:bCs/>
                <w:color w:val="000000"/>
                <w:szCs w:val="24"/>
              </w:rPr>
              <w:t>投 标  文 件</w:t>
            </w:r>
          </w:p>
        </w:tc>
        <w:tc>
          <w:tcPr>
            <w:tcW w:w="1218" w:type="dxa"/>
            <w:vMerge w:val="continue"/>
          </w:tcPr>
          <w:p>
            <w:pPr>
              <w:rPr>
                <w:rFonts w:ascii="宋体" w:hAnsi="宋体" w:cs="宋体"/>
                <w:color w:val="000000"/>
                <w:szCs w:val="24"/>
              </w:rPr>
            </w:pPr>
          </w:p>
        </w:tc>
        <w:tc>
          <w:tcPr>
            <w:tcW w:w="1218" w:type="dxa"/>
            <w:vMerge w:val="continue"/>
          </w:tcPr>
          <w:p>
            <w:pPr>
              <w:rPr>
                <w:rFonts w:ascii="宋体" w:hAnsi="宋体" w:cs="宋体"/>
                <w:color w:val="000000"/>
                <w:szCs w:val="24"/>
              </w:rPr>
            </w:pPr>
          </w:p>
        </w:tc>
        <w:tc>
          <w:tcPr>
            <w:tcW w:w="1218" w:type="dxa"/>
            <w:vMerge w:val="continue"/>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rPr>
                <w:rFonts w:ascii="宋体" w:hAnsi="宋体" w:cs="宋体"/>
                <w:color w:val="000000"/>
                <w:szCs w:val="24"/>
              </w:rPr>
            </w:pPr>
            <w:r>
              <w:rPr>
                <w:rFonts w:hint="eastAsia" w:ascii="宋体" w:hAnsi="宋体" w:cs="宋体"/>
                <w:color w:val="000000"/>
                <w:szCs w:val="24"/>
              </w:rPr>
              <w:t>1</w:t>
            </w:r>
          </w:p>
        </w:tc>
        <w:tc>
          <w:tcPr>
            <w:tcW w:w="1826" w:type="dxa"/>
          </w:tcPr>
          <w:p>
            <w:pPr>
              <w:rPr>
                <w:rFonts w:ascii="宋体" w:hAnsi="宋体" w:cs="宋体"/>
                <w:color w:val="000000"/>
                <w:szCs w:val="24"/>
              </w:rPr>
            </w:pPr>
            <w:r>
              <w:rPr>
                <w:rFonts w:hint="eastAsia" w:ascii="宋体" w:hAnsi="宋体" w:cs="宋体"/>
                <w:color w:val="000000"/>
                <w:szCs w:val="24"/>
              </w:rPr>
              <w:t>设备或配置名称1</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参数名称1</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参数名称2</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rPr>
                <w:rFonts w:ascii="宋体" w:hAnsi="宋体" w:cs="宋体"/>
                <w:color w:val="000000"/>
                <w:szCs w:val="24"/>
              </w:rPr>
            </w:pPr>
            <w:r>
              <w:rPr>
                <w:rFonts w:hint="eastAsia" w:ascii="宋体" w:hAnsi="宋体" w:cs="宋体"/>
                <w:color w:val="000000"/>
                <w:szCs w:val="24"/>
              </w:rPr>
              <w:t>2</w:t>
            </w:r>
          </w:p>
        </w:tc>
        <w:tc>
          <w:tcPr>
            <w:tcW w:w="1826" w:type="dxa"/>
          </w:tcPr>
          <w:p>
            <w:pPr>
              <w:rPr>
                <w:rFonts w:ascii="宋体" w:hAnsi="宋体" w:cs="宋体"/>
                <w:color w:val="000000"/>
                <w:szCs w:val="24"/>
              </w:rPr>
            </w:pPr>
            <w:r>
              <w:rPr>
                <w:rFonts w:hint="eastAsia" w:ascii="宋体" w:hAnsi="宋体" w:cs="宋体"/>
                <w:color w:val="000000"/>
                <w:szCs w:val="24"/>
              </w:rPr>
              <w:t>设备或配置名称1</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参数名称1</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参数名称2</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color w:val="000000"/>
                <w:szCs w:val="24"/>
              </w:rPr>
            </w:pPr>
            <w:r>
              <w:rPr>
                <w:rFonts w:hint="eastAsia" w:ascii="宋体" w:hAnsi="宋体" w:cs="宋体"/>
                <w:color w:val="000000"/>
                <w:szCs w:val="24"/>
              </w:rPr>
              <w:t>3</w:t>
            </w:r>
          </w:p>
        </w:tc>
        <w:tc>
          <w:tcPr>
            <w:tcW w:w="1826" w:type="dxa"/>
          </w:tcPr>
          <w:p>
            <w:pPr>
              <w:rPr>
                <w:rFonts w:ascii="宋体" w:hAnsi="宋体" w:cs="宋体"/>
                <w:color w:val="000000"/>
                <w:szCs w:val="24"/>
              </w:rPr>
            </w:pPr>
            <w:r>
              <w:rPr>
                <w:rFonts w:hint="eastAsia" w:ascii="宋体" w:hAnsi="宋体" w:cs="宋体"/>
                <w:color w:val="000000"/>
                <w:szCs w:val="24"/>
              </w:rPr>
              <w:t>商务条款号1</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color w:val="000000"/>
                <w:szCs w:val="24"/>
              </w:rPr>
            </w:pPr>
            <w:r>
              <w:rPr>
                <w:rFonts w:hint="eastAsia" w:ascii="宋体" w:hAnsi="宋体" w:cs="宋体"/>
                <w:color w:val="000000"/>
                <w:szCs w:val="24"/>
              </w:rPr>
              <w:t>4</w:t>
            </w:r>
          </w:p>
        </w:tc>
        <w:tc>
          <w:tcPr>
            <w:tcW w:w="1826" w:type="dxa"/>
          </w:tcPr>
          <w:p>
            <w:pPr>
              <w:rPr>
                <w:rFonts w:ascii="宋体" w:hAnsi="宋体" w:cs="宋体"/>
                <w:color w:val="000000"/>
                <w:szCs w:val="24"/>
              </w:rPr>
            </w:pPr>
            <w:r>
              <w:rPr>
                <w:rFonts w:hint="eastAsia" w:ascii="宋体" w:hAnsi="宋体" w:cs="宋体"/>
                <w:color w:val="000000"/>
                <w:szCs w:val="24"/>
              </w:rPr>
              <w:t>商务条款号2</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cs="宋体"/>
                <w:color w:val="000000"/>
                <w:szCs w:val="24"/>
              </w:rPr>
            </w:pPr>
          </w:p>
        </w:tc>
        <w:tc>
          <w:tcPr>
            <w:tcW w:w="1826" w:type="dxa"/>
          </w:tcPr>
          <w:p>
            <w:pPr>
              <w:rPr>
                <w:rFonts w:ascii="宋体" w:hAnsi="宋体" w:cs="宋体"/>
                <w:color w:val="000000"/>
                <w:szCs w:val="24"/>
              </w:rPr>
            </w:pPr>
            <w:r>
              <w:rPr>
                <w:rFonts w:hint="eastAsia" w:ascii="宋体" w:hAnsi="宋体" w:cs="宋体"/>
                <w:color w:val="000000"/>
                <w:szCs w:val="24"/>
              </w:rPr>
              <w:t>……</w:t>
            </w:r>
          </w:p>
        </w:tc>
        <w:tc>
          <w:tcPr>
            <w:tcW w:w="1217" w:type="dxa"/>
          </w:tcPr>
          <w:p>
            <w:pPr>
              <w:rPr>
                <w:rFonts w:ascii="宋体" w:hAnsi="宋体" w:cs="宋体"/>
                <w:color w:val="000000"/>
                <w:szCs w:val="24"/>
              </w:rPr>
            </w:pPr>
          </w:p>
        </w:tc>
        <w:tc>
          <w:tcPr>
            <w:tcW w:w="1217"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c>
          <w:tcPr>
            <w:tcW w:w="1218" w:type="dxa"/>
          </w:tcPr>
          <w:p>
            <w:pPr>
              <w:rPr>
                <w:rFonts w:ascii="宋体" w:hAnsi="宋体" w:cs="宋体"/>
                <w:color w:val="000000"/>
                <w:szCs w:val="24"/>
              </w:rPr>
            </w:pPr>
          </w:p>
        </w:tc>
      </w:tr>
    </w:tbl>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投标人（企业电子签章或公章）：</w:t>
      </w:r>
    </w:p>
    <w:p>
      <w:pPr>
        <w:spacing w:line="360" w:lineRule="auto"/>
        <w:rPr>
          <w:rFonts w:ascii="宋体" w:hAnsi="宋体" w:cs="宋体"/>
          <w:color w:val="000000"/>
        </w:rPr>
      </w:pPr>
      <w:r>
        <w:rPr>
          <w:rFonts w:hint="eastAsia" w:ascii="宋体" w:hAnsi="宋体" w:cs="宋体"/>
          <w:color w:val="000000"/>
        </w:rPr>
        <w:t>日期：</w:t>
      </w:r>
    </w:p>
    <w:p>
      <w:pPr>
        <w:pStyle w:val="13"/>
        <w:kinsoku w:val="0"/>
        <w:overflowPunct w:val="0"/>
        <w:ind w:left="327"/>
        <w:jc w:val="center"/>
        <w:rPr>
          <w:rFonts w:hint="default" w:ascii="Calibri" w:hAnsi="Calibri" w:eastAsia="Calibri"/>
          <w:sz w:val="18"/>
        </w:rPr>
        <w:sectPr>
          <w:footerReference r:id="rId3" w:type="default"/>
          <w:pgSz w:w="12240" w:h="15840"/>
          <w:pgMar w:top="1446" w:right="1247" w:bottom="1417" w:left="1247" w:header="720" w:footer="720" w:gutter="0"/>
          <w:cols w:equalWidth="0" w:num="1">
            <w:col w:w="9120"/>
          </w:cols>
        </w:sectPr>
      </w:pPr>
      <w:r>
        <w:rPr>
          <w:rFonts w:cs="宋体"/>
          <w:color w:val="000000"/>
          <w:sz w:val="28"/>
          <w:szCs w:val="28"/>
        </w:rPr>
        <w:br w:type="page"/>
      </w:r>
    </w:p>
    <w:p>
      <w:pPr>
        <w:pStyle w:val="5"/>
        <w:kinsoku w:val="0"/>
        <w:overflowPunct w:val="0"/>
        <w:spacing w:line="402" w:lineRule="exact"/>
        <w:ind w:left="1366"/>
        <w:rPr>
          <w:rFonts w:hint="default" w:cs="宋体"/>
          <w:b/>
          <w:bCs/>
          <w:color w:val="000000"/>
          <w:szCs w:val="32"/>
        </w:rPr>
      </w:pPr>
      <w:r>
        <w:rPr>
          <w:rFonts w:cs="宋体"/>
          <w:b/>
          <w:bCs/>
          <w:color w:val="000000"/>
          <w:szCs w:val="32"/>
        </w:rPr>
        <w:t>6.投标设备技术性能指标的详细描述</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17"/>
        </w:rPr>
      </w:pPr>
    </w:p>
    <w:p>
      <w:pPr>
        <w:pStyle w:val="13"/>
        <w:kinsoku w:val="0"/>
        <w:overflowPunct w:val="0"/>
        <w:ind w:left="7"/>
        <w:jc w:val="center"/>
        <w:rPr>
          <w:rFonts w:hint="default" w:ascii="Calibri" w:hAnsi="Calibri" w:eastAsia="Calibri"/>
          <w:sz w:val="18"/>
        </w:rPr>
      </w:pPr>
    </w:p>
    <w:p>
      <w:pPr>
        <w:pStyle w:val="13"/>
        <w:kinsoku w:val="0"/>
        <w:overflowPunct w:val="0"/>
        <w:ind w:left="7"/>
        <w:jc w:val="center"/>
        <w:rPr>
          <w:rFonts w:hint="default" w:ascii="Calibri" w:hAnsi="Calibri" w:eastAsia="Calibri"/>
          <w:sz w:val="18"/>
        </w:rPr>
        <w:sectPr>
          <w:pgSz w:w="12240" w:h="15840"/>
          <w:pgMar w:top="1160" w:right="1720" w:bottom="280" w:left="1720" w:header="720" w:footer="720" w:gutter="0"/>
          <w:cols w:equalWidth="0" w:num="1">
            <w:col w:w="8800"/>
          </w:cols>
        </w:sectPr>
      </w:pPr>
    </w:p>
    <w:p>
      <w:pPr>
        <w:pStyle w:val="5"/>
        <w:kinsoku w:val="0"/>
        <w:overflowPunct w:val="0"/>
        <w:spacing w:line="402" w:lineRule="exact"/>
        <w:ind w:left="6" w:hanging="6"/>
        <w:jc w:val="center"/>
        <w:rPr>
          <w:rFonts w:hint="default" w:cs="宋体"/>
          <w:b/>
          <w:bCs/>
          <w:color w:val="000000"/>
          <w:szCs w:val="32"/>
        </w:rPr>
      </w:pPr>
    </w:p>
    <w:p>
      <w:pPr>
        <w:pStyle w:val="5"/>
        <w:kinsoku w:val="0"/>
        <w:overflowPunct w:val="0"/>
        <w:spacing w:line="402" w:lineRule="exact"/>
        <w:ind w:left="6" w:hanging="6"/>
        <w:jc w:val="center"/>
        <w:rPr>
          <w:rFonts w:hint="default" w:cs="宋体"/>
          <w:b/>
          <w:bCs/>
          <w:color w:val="000000"/>
          <w:szCs w:val="32"/>
        </w:rPr>
      </w:pPr>
      <w:r>
        <w:rPr>
          <w:rFonts w:cs="宋体"/>
          <w:b/>
          <w:bCs/>
          <w:color w:val="000000"/>
          <w:szCs w:val="32"/>
        </w:rPr>
        <w:t>7.售后服务方案</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5"/>
        <w:kinsoku w:val="0"/>
        <w:overflowPunct w:val="0"/>
        <w:spacing w:line="402" w:lineRule="exact"/>
        <w:ind w:left="6" w:hanging="6"/>
        <w:jc w:val="center"/>
        <w:rPr>
          <w:rFonts w:hint="default" w:cs="宋体"/>
          <w:b/>
          <w:bCs/>
          <w:color w:val="000000"/>
          <w:szCs w:val="32"/>
        </w:rPr>
      </w:pPr>
    </w:p>
    <w:p>
      <w:pPr>
        <w:pStyle w:val="5"/>
        <w:kinsoku w:val="0"/>
        <w:overflowPunct w:val="0"/>
        <w:spacing w:line="402" w:lineRule="exact"/>
        <w:ind w:left="6" w:hanging="6"/>
        <w:jc w:val="center"/>
        <w:rPr>
          <w:rFonts w:hint="default" w:cs="宋体"/>
          <w:b/>
          <w:bCs/>
          <w:color w:val="000000"/>
          <w:szCs w:val="32"/>
        </w:rPr>
      </w:pPr>
    </w:p>
    <w:p>
      <w:pPr>
        <w:pStyle w:val="5"/>
        <w:kinsoku w:val="0"/>
        <w:overflowPunct w:val="0"/>
        <w:spacing w:line="402" w:lineRule="exact"/>
        <w:ind w:left="6" w:hanging="6"/>
        <w:jc w:val="center"/>
        <w:rPr>
          <w:rFonts w:hint="default" w:cs="宋体"/>
          <w:b/>
          <w:bCs/>
          <w:color w:val="000000"/>
          <w:szCs w:val="32"/>
        </w:rPr>
      </w:pPr>
    </w:p>
    <w:p>
      <w:pPr>
        <w:pStyle w:val="5"/>
        <w:kinsoku w:val="0"/>
        <w:overflowPunct w:val="0"/>
        <w:spacing w:line="402" w:lineRule="exact"/>
        <w:ind w:left="6" w:hanging="6"/>
        <w:jc w:val="center"/>
        <w:rPr>
          <w:rFonts w:hint="default" w:cs="宋体"/>
          <w:b/>
          <w:bCs/>
          <w:color w:val="000000"/>
          <w:szCs w:val="32"/>
        </w:rPr>
      </w:pPr>
      <w:r>
        <w:rPr>
          <w:rFonts w:cs="宋体"/>
          <w:b/>
          <w:bCs/>
          <w:color w:val="000000"/>
          <w:szCs w:val="32"/>
        </w:rPr>
        <w:t>8.其他资料</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17"/>
        </w:rPr>
      </w:pPr>
    </w:p>
    <w:p>
      <w:pPr>
        <w:pStyle w:val="13"/>
        <w:kinsoku w:val="0"/>
        <w:overflowPunct w:val="0"/>
        <w:ind w:left="7"/>
        <w:jc w:val="center"/>
        <w:rPr>
          <w:rFonts w:hint="default" w:ascii="Calibri" w:hAnsi="Calibri" w:eastAsia="Calibri"/>
          <w:sz w:val="18"/>
        </w:rPr>
        <w:sectPr>
          <w:pgSz w:w="12240" w:h="15840"/>
          <w:pgMar w:top="1160" w:right="1720" w:bottom="280" w:left="1720" w:header="720" w:footer="720" w:gutter="0"/>
          <w:cols w:space="720" w:num="1"/>
        </w:sectPr>
      </w:pPr>
    </w:p>
    <w:p>
      <w:pPr>
        <w:pStyle w:val="4"/>
        <w:kinsoku w:val="0"/>
        <w:overflowPunct w:val="0"/>
        <w:ind w:left="285"/>
        <w:jc w:val="center"/>
        <w:rPr>
          <w:rFonts w:hint="default"/>
          <w:b w:val="0"/>
        </w:rPr>
      </w:pPr>
      <w:bookmarkStart w:id="133" w:name="bookmark26"/>
      <w:bookmarkEnd w:id="133"/>
      <w:r>
        <w:rPr>
          <w:spacing w:val="1"/>
        </w:rPr>
        <w:t>第七章</w:t>
      </w:r>
      <w:r>
        <w:rPr>
          <w:spacing w:val="-49"/>
        </w:rPr>
        <w:t xml:space="preserve"> </w:t>
      </w:r>
      <w:r>
        <w:rPr>
          <w:spacing w:val="2"/>
        </w:rPr>
        <w:t>政府采购政策</w:t>
      </w:r>
    </w:p>
    <w:p>
      <w:pPr>
        <w:pStyle w:val="10"/>
        <w:kinsoku w:val="0"/>
        <w:overflowPunct w:val="0"/>
        <w:ind w:left="303"/>
        <w:jc w:val="center"/>
        <w:rPr>
          <w:rFonts w:hint="default"/>
          <w:spacing w:val="1"/>
        </w:rPr>
      </w:pPr>
      <w:r>
        <w:rPr>
          <w:spacing w:val="1"/>
        </w:rPr>
        <w:t>政府采购政策、采购标的需满足的要求，以及投标人须提供的证明材料</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118" w:firstLine="3398"/>
        <w:rPr>
          <w:rFonts w:hint="default"/>
          <w:sz w:val="24"/>
        </w:rPr>
      </w:pPr>
      <w:r>
        <w:rPr>
          <w:b/>
          <w:sz w:val="24"/>
        </w:rPr>
        <w:t>一、关于小、微企业及产品</w:t>
      </w:r>
    </w:p>
    <w:p>
      <w:pPr>
        <w:pStyle w:val="13"/>
        <w:kinsoku w:val="0"/>
        <w:overflowPunct w:val="0"/>
        <w:ind w:left="0"/>
        <w:rPr>
          <w:rFonts w:hint="default"/>
          <w:b/>
          <w:sz w:val="19"/>
        </w:rPr>
      </w:pPr>
    </w:p>
    <w:p>
      <w:pPr>
        <w:pStyle w:val="12"/>
        <w:kinsoku w:val="0"/>
        <w:overflowPunct w:val="0"/>
        <w:spacing w:line="400" w:lineRule="exact"/>
        <w:rPr>
          <w:rFonts w:hint="default" w:asciiTheme="minorEastAsia" w:hAnsiTheme="minorEastAsia" w:eastAsiaTheme="minorEastAsia" w:cstheme="minorEastAsia"/>
          <w:b w:val="0"/>
          <w:sz w:val="24"/>
          <w:szCs w:val="24"/>
        </w:rPr>
      </w:pPr>
      <w:r>
        <w:rPr>
          <w:rFonts w:asciiTheme="minorEastAsia" w:hAnsiTheme="minorEastAsia" w:eastAsiaTheme="minorEastAsia" w:cstheme="minorEastAsia"/>
          <w:spacing w:val="-1"/>
          <w:sz w:val="24"/>
          <w:szCs w:val="24"/>
        </w:rPr>
        <w:t>1、政府采购政策：</w:t>
      </w:r>
    </w:p>
    <w:p>
      <w:pPr>
        <w:pStyle w:val="13"/>
        <w:kinsoku w:val="0"/>
        <w:overflowPunct w:val="0"/>
        <w:spacing w:line="400" w:lineRule="exact"/>
        <w:ind w:left="118"/>
        <w:rPr>
          <w:rFonts w:hint="default" w:asciiTheme="minorEastAsia" w:hAnsiTheme="minorEastAsia" w:eastAsiaTheme="minorEastAsia" w:cstheme="minorEastAsia"/>
          <w:color w:val="000000"/>
          <w:spacing w:val="6"/>
          <w:sz w:val="24"/>
          <w:szCs w:val="24"/>
        </w:rPr>
      </w:pPr>
      <w:r>
        <w:rPr>
          <w:rFonts w:asciiTheme="minorEastAsia" w:hAnsiTheme="minorEastAsia" w:eastAsiaTheme="minorEastAsia" w:cstheme="minorEastAsia"/>
          <w:color w:val="000000"/>
          <w:spacing w:val="6"/>
          <w:sz w:val="24"/>
          <w:szCs w:val="24"/>
        </w:rPr>
        <w:t>1.1《政府采购促进中小企业发展暂行办法》（财库[2011]181 号）</w:t>
      </w:r>
    </w:p>
    <w:p>
      <w:pPr>
        <w:pStyle w:val="13"/>
        <w:kinsoku w:val="0"/>
        <w:overflowPunct w:val="0"/>
        <w:spacing w:line="400" w:lineRule="exact"/>
        <w:ind w:left="118" w:right="98"/>
        <w:rPr>
          <w:rFonts w:hint="default" w:asciiTheme="minorEastAsia" w:hAnsiTheme="minorEastAsia" w:eastAsiaTheme="minorEastAsia" w:cstheme="minorEastAsia"/>
          <w:color w:val="000000"/>
          <w:spacing w:val="6"/>
          <w:sz w:val="24"/>
          <w:szCs w:val="24"/>
        </w:rPr>
      </w:pPr>
      <w:r>
        <w:rPr>
          <w:rFonts w:asciiTheme="minorEastAsia" w:hAnsiTheme="minorEastAsia" w:eastAsiaTheme="minorEastAsia" w:cstheme="minorEastAsia"/>
          <w:color w:val="000000"/>
          <w:spacing w:val="6"/>
          <w:sz w:val="24"/>
          <w:szCs w:val="24"/>
        </w:rPr>
        <w:t>1.2《工业和信息化部、国家统计局、国家发展和改革委员会、财政部关于印发中小企业划型标准规定的 通知》（工信部联企业[2011]300 号）</w:t>
      </w:r>
    </w:p>
    <w:p>
      <w:pPr>
        <w:pStyle w:val="13"/>
        <w:numPr>
          <w:ilvl w:val="0"/>
          <w:numId w:val="47"/>
        </w:numPr>
        <w:kinsoku w:val="0"/>
        <w:overflowPunct w:val="0"/>
        <w:spacing w:line="400" w:lineRule="exact"/>
        <w:ind w:left="118"/>
        <w:rPr>
          <w:rFonts w:hint="default" w:asciiTheme="minorEastAsia" w:hAnsiTheme="minorEastAsia" w:eastAsiaTheme="minorEastAsia" w:cstheme="minorEastAsia"/>
          <w:b/>
          <w:spacing w:val="-2"/>
          <w:sz w:val="24"/>
          <w:szCs w:val="24"/>
        </w:rPr>
      </w:pPr>
      <w:r>
        <w:rPr>
          <w:rFonts w:asciiTheme="minorEastAsia" w:hAnsiTheme="minorEastAsia" w:eastAsiaTheme="minorEastAsia" w:cstheme="minorEastAsia"/>
          <w:b/>
          <w:spacing w:val="-2"/>
          <w:sz w:val="24"/>
          <w:szCs w:val="24"/>
        </w:rPr>
        <w:t>附声明函（</w:t>
      </w:r>
      <w:r>
        <w:rPr>
          <w:rFonts w:asciiTheme="minorEastAsia" w:hAnsiTheme="minorEastAsia" w:eastAsiaTheme="minorEastAsia" w:cstheme="minorEastAsia"/>
          <w:spacing w:val="-2"/>
          <w:sz w:val="24"/>
          <w:szCs w:val="24"/>
        </w:rPr>
        <w:t>无声明函投标报价评审时不予价格扣除优惠</w:t>
      </w:r>
      <w:r>
        <w:rPr>
          <w:rFonts w:asciiTheme="minorEastAsia" w:hAnsiTheme="minorEastAsia" w:eastAsiaTheme="minorEastAsia" w:cstheme="minorEastAsia"/>
          <w:b/>
          <w:spacing w:val="-2"/>
          <w:sz w:val="24"/>
          <w:szCs w:val="24"/>
        </w:rPr>
        <w:t>）</w:t>
      </w:r>
    </w:p>
    <w:p>
      <w:pPr>
        <w:pStyle w:val="13"/>
        <w:kinsoku w:val="0"/>
        <w:overflowPunct w:val="0"/>
        <w:spacing w:line="400" w:lineRule="exact"/>
        <w:ind w:left="0"/>
        <w:jc w:val="center"/>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color w:val="000000"/>
          <w:spacing w:val="10"/>
          <w:sz w:val="24"/>
          <w:szCs w:val="24"/>
        </w:rPr>
        <w:t>中小企业声明函</w:t>
      </w:r>
    </w:p>
    <w:p>
      <w:pPr>
        <w:spacing w:line="400" w:lineRule="exact"/>
        <w:ind w:firstLine="504" w:firstLineChars="200"/>
        <w:rPr>
          <w:rFonts w:asciiTheme="minorEastAsia" w:hAnsiTheme="minorEastAsia" w:eastAsiaTheme="minorEastAsia" w:cstheme="minorEastAsia"/>
          <w:color w:val="000000"/>
          <w:spacing w:val="6"/>
          <w:szCs w:val="24"/>
        </w:rPr>
      </w:pPr>
      <w:r>
        <w:rPr>
          <w:rFonts w:hint="eastAsia" w:asciiTheme="minorEastAsia" w:hAnsiTheme="minorEastAsia" w:eastAsiaTheme="minorEastAsia" w:cstheme="minorEastAsia"/>
          <w:color w:val="000000"/>
          <w:spacing w:val="6"/>
          <w:szCs w:val="24"/>
        </w:rPr>
        <w:t>本公司郑重声明，根据《政府采购促进中小企业发展暂行办法》（财库[2011]181号）的规定，本公司为</w:t>
      </w:r>
      <w:bookmarkStart w:id="134" w:name="OLE_LINK5"/>
      <w:r>
        <w:rPr>
          <w:rFonts w:hint="eastAsia" w:asciiTheme="minorEastAsia" w:hAnsiTheme="minorEastAsia" w:eastAsiaTheme="minorEastAsia" w:cstheme="minorEastAsia"/>
          <w:color w:val="000000"/>
          <w:spacing w:val="6"/>
          <w:szCs w:val="24"/>
        </w:rPr>
        <w:t>______（请填写：中型、小型、微型）企业</w:t>
      </w:r>
      <w:bookmarkEnd w:id="134"/>
      <w:r>
        <w:rPr>
          <w:rFonts w:hint="eastAsia" w:asciiTheme="minorEastAsia" w:hAnsiTheme="minorEastAsia" w:eastAsiaTheme="minorEastAsia" w:cstheme="minorEastAsia"/>
          <w:color w:val="000000"/>
          <w:spacing w:val="6"/>
          <w:szCs w:val="24"/>
        </w:rPr>
        <w:t>。即，本公司同时满足以下条件：</w:t>
      </w:r>
    </w:p>
    <w:p>
      <w:pPr>
        <w:spacing w:line="400" w:lineRule="exact"/>
        <w:ind w:firstLine="504" w:firstLineChars="200"/>
        <w:rPr>
          <w:rFonts w:asciiTheme="minorEastAsia" w:hAnsiTheme="minorEastAsia" w:eastAsiaTheme="minorEastAsia" w:cstheme="minorEastAsia"/>
          <w:color w:val="000000"/>
          <w:spacing w:val="6"/>
          <w:szCs w:val="24"/>
        </w:rPr>
      </w:pPr>
      <w:r>
        <w:rPr>
          <w:rFonts w:hint="eastAsia" w:asciiTheme="minorEastAsia" w:hAnsiTheme="minorEastAsia" w:eastAsiaTheme="minorEastAsia" w:cstheme="minorEastAsia"/>
          <w:color w:val="000000"/>
          <w:spacing w:val="6"/>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504" w:firstLineChars="200"/>
        <w:rPr>
          <w:rFonts w:asciiTheme="minorEastAsia" w:hAnsiTheme="minorEastAsia" w:eastAsiaTheme="minorEastAsia" w:cstheme="minorEastAsia"/>
          <w:color w:val="000000"/>
          <w:spacing w:val="6"/>
          <w:szCs w:val="24"/>
        </w:rPr>
      </w:pPr>
      <w:r>
        <w:rPr>
          <w:rFonts w:hint="eastAsia" w:asciiTheme="minorEastAsia" w:hAnsiTheme="minorEastAsia" w:eastAsiaTheme="minorEastAsia" w:cstheme="minorEastAsia"/>
          <w:color w:val="000000"/>
          <w:spacing w:val="6"/>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400" w:lineRule="exact"/>
        <w:ind w:firstLine="504" w:firstLineChars="200"/>
        <w:rPr>
          <w:rFonts w:asciiTheme="minorEastAsia" w:hAnsiTheme="minorEastAsia" w:eastAsiaTheme="minorEastAsia" w:cstheme="minorEastAsia"/>
          <w:color w:val="000000"/>
          <w:spacing w:val="6"/>
          <w:szCs w:val="24"/>
        </w:rPr>
      </w:pPr>
      <w:r>
        <w:rPr>
          <w:rFonts w:hint="eastAsia" w:asciiTheme="minorEastAsia" w:hAnsiTheme="minorEastAsia" w:eastAsiaTheme="minorEastAsia" w:cstheme="minorEastAsia"/>
          <w:color w:val="000000"/>
          <w:spacing w:val="6"/>
          <w:szCs w:val="24"/>
        </w:rPr>
        <w:t>本公司对上述声明的真实性负责。如有虚假，将依法承担相应责任。</w:t>
      </w:r>
    </w:p>
    <w:p>
      <w:pPr>
        <w:spacing w:line="400" w:lineRule="exact"/>
        <w:ind w:firstLine="504" w:firstLineChars="200"/>
        <w:rPr>
          <w:rFonts w:asciiTheme="minorEastAsia" w:hAnsiTheme="minorEastAsia" w:eastAsiaTheme="minorEastAsia" w:cstheme="minorEastAsia"/>
          <w:color w:val="000000"/>
          <w:spacing w:val="6"/>
          <w:szCs w:val="24"/>
        </w:rPr>
      </w:pPr>
    </w:p>
    <w:p>
      <w:pPr>
        <w:spacing w:line="4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投标人（企业电子签章或公章）：</w:t>
      </w:r>
    </w:p>
    <w:p>
      <w:pPr>
        <w:spacing w:line="400" w:lineRule="exact"/>
        <w:rPr>
          <w:rFonts w:asciiTheme="minorEastAsia" w:hAnsiTheme="minorEastAsia" w:eastAsiaTheme="minorEastAsia" w:cstheme="minorEastAsia"/>
          <w:color w:val="000000"/>
          <w:spacing w:val="6"/>
          <w:szCs w:val="24"/>
        </w:rPr>
      </w:pPr>
      <w:r>
        <w:rPr>
          <w:rFonts w:hint="eastAsia" w:asciiTheme="minorEastAsia" w:hAnsiTheme="minorEastAsia" w:eastAsiaTheme="minorEastAsia" w:cstheme="minorEastAsia"/>
          <w:color w:val="000000"/>
          <w:spacing w:val="6"/>
          <w:szCs w:val="24"/>
        </w:rPr>
        <w:t>日    期：</w:t>
      </w:r>
    </w:p>
    <w:p>
      <w:pPr>
        <w:spacing w:line="4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说明：</w:t>
      </w:r>
    </w:p>
    <w:p>
      <w:pPr>
        <w:spacing w:line="4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1、该声明函是针对小、微型企业的，非小型、微型企业投标时不用提供该声明。</w:t>
      </w:r>
    </w:p>
    <w:p>
      <w:pPr>
        <w:spacing w:line="4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2、根据《政府采购促进中小企业发展暂行办法》(财库[2011]181 号)的规定，对于非专门面向中小企业的项目，对小型和微型企业产品的价格给予6%的扣除，用扣除后的价格参与评审。</w:t>
      </w:r>
    </w:p>
    <w:p>
      <w:pPr>
        <w:spacing w:line="400" w:lineRule="exac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3、供应商可向所在地县级以上(工业和信息化部门\统计局\发展和改革委员会\财政部门)办理大\中\小\微企业证明，并将证明材料附到本次投标文件中，作为评审依据，同时提供《中小企业声明函》，否则不予认可。代理中小企业产品的还应提供生产企业中小企业声明和证明材料。</w:t>
      </w:r>
    </w:p>
    <w:p>
      <w:pPr>
        <w:pStyle w:val="9"/>
        <w:kinsoku w:val="0"/>
        <w:overflowPunct w:val="0"/>
        <w:spacing w:line="400" w:lineRule="exact"/>
        <w:ind w:left="3155"/>
        <w:rPr>
          <w:rFonts w:hint="default"/>
          <w:b w:val="0"/>
        </w:rPr>
      </w:pPr>
      <w:r>
        <w:rPr>
          <w:rFonts w:asciiTheme="minorEastAsia" w:hAnsiTheme="minorEastAsia" w:eastAsiaTheme="minorEastAsia" w:cstheme="minorEastAsia"/>
          <w:color w:val="000000"/>
          <w:szCs w:val="24"/>
        </w:rPr>
        <w:br w:type="page"/>
      </w:r>
      <w:r>
        <w:t>二、关于节能产品、环境标志产品</w:t>
      </w:r>
    </w:p>
    <w:p>
      <w:pPr>
        <w:pStyle w:val="13"/>
        <w:kinsoku w:val="0"/>
        <w:overflowPunct w:val="0"/>
        <w:ind w:left="0"/>
        <w:rPr>
          <w:rFonts w:hint="default"/>
          <w:b/>
          <w:sz w:val="9"/>
        </w:rPr>
      </w:pPr>
    </w:p>
    <w:p>
      <w:pPr>
        <w:pStyle w:val="12"/>
        <w:kinsoku w:val="0"/>
        <w:overflowPunct w:val="0"/>
        <w:rPr>
          <w:rFonts w:hint="default" w:ascii="宋体" w:hAnsi="宋体" w:eastAsia="宋体"/>
          <w:b w:val="0"/>
        </w:rPr>
      </w:pPr>
      <w:r>
        <w:rPr>
          <w:rFonts w:ascii="宋体" w:hAnsi="宋体" w:eastAsia="宋体"/>
          <w:b w:val="0"/>
          <w:spacing w:val="-1"/>
        </w:rPr>
        <w:t>1、</w:t>
      </w:r>
      <w:r>
        <w:rPr>
          <w:rFonts w:ascii="宋体" w:hAnsi="宋体" w:eastAsia="宋体"/>
          <w:spacing w:val="-1"/>
        </w:rPr>
        <w:t>节能产品政府采购清单</w:t>
      </w:r>
    </w:p>
    <w:p>
      <w:pPr>
        <w:pStyle w:val="13"/>
        <w:kinsoku w:val="0"/>
        <w:overflowPunct w:val="0"/>
        <w:ind w:left="0"/>
        <w:rPr>
          <w:rFonts w:hint="default"/>
          <w:b/>
          <w:sz w:val="20"/>
        </w:rPr>
      </w:pPr>
    </w:p>
    <w:p>
      <w:pPr>
        <w:pStyle w:val="13"/>
        <w:kinsoku w:val="0"/>
        <w:overflowPunct w:val="0"/>
        <w:ind w:left="0"/>
        <w:rPr>
          <w:rFonts w:hint="default"/>
          <w:b/>
          <w:sz w:val="24"/>
        </w:rPr>
      </w:pPr>
    </w:p>
    <w:p>
      <w:pPr>
        <w:pStyle w:val="13"/>
        <w:kinsoku w:val="0"/>
        <w:overflowPunct w:val="0"/>
        <w:spacing w:line="200" w:lineRule="atLeast"/>
        <w:ind w:left="2097"/>
        <w:rPr>
          <w:rFonts w:hint="default"/>
          <w:sz w:val="20"/>
        </w:rPr>
      </w:pPr>
      <w:r>
        <w:rPr>
          <w:sz w:val="20"/>
        </w:rPr>
        <w:drawing>
          <wp:inline distT="0" distB="0" distL="114300" distR="114300">
            <wp:extent cx="3657600" cy="827405"/>
            <wp:effectExtent l="0" t="0" r="0" b="10795"/>
            <wp:docPr id="292"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100"/>
                    <pic:cNvPicPr>
                      <a:picLocks noChangeAspect="1"/>
                    </pic:cNvPicPr>
                  </pic:nvPicPr>
                  <pic:blipFill>
                    <a:blip r:embed="rId6" cstate="print"/>
                    <a:stretch>
                      <a:fillRect/>
                    </a:stretch>
                  </pic:blipFill>
                  <pic:spPr>
                    <a:xfrm>
                      <a:off x="0" y="0"/>
                      <a:ext cx="3657600" cy="827405"/>
                    </a:xfrm>
                    <a:prstGeom prst="rect">
                      <a:avLst/>
                    </a:prstGeom>
                    <a:noFill/>
                    <a:ln>
                      <a:noFill/>
                    </a:ln>
                  </pic:spPr>
                </pic:pic>
              </a:graphicData>
            </a:graphic>
          </wp:inline>
        </w:drawing>
      </w:r>
    </w:p>
    <w:p>
      <w:pPr>
        <w:pStyle w:val="13"/>
        <w:kinsoku w:val="0"/>
        <w:overflowPunct w:val="0"/>
        <w:ind w:left="0"/>
        <w:rPr>
          <w:rFonts w:hint="default"/>
          <w:b/>
          <w:sz w:val="8"/>
        </w:rPr>
      </w:pPr>
    </w:p>
    <w:p>
      <w:pPr>
        <w:pStyle w:val="13"/>
        <w:kinsoku w:val="0"/>
        <w:overflowPunct w:val="0"/>
        <w:spacing w:line="324" w:lineRule="exact"/>
        <w:ind w:left="5"/>
        <w:jc w:val="center"/>
        <w:rPr>
          <w:rFonts w:hint="default" w:ascii="微软雅黑" w:hAnsi="微软雅黑" w:eastAsia="微软雅黑"/>
          <w:color w:val="000000"/>
        </w:rPr>
      </w:pPr>
      <w:r>
        <w:rPr>
          <w:rFonts w:ascii="微软雅黑" w:hAnsi="微软雅黑" w:eastAsia="微软雅黑"/>
          <w:b/>
          <w:color w:val="383838"/>
          <w:spacing w:val="-1"/>
        </w:rPr>
        <w:t>财库〔2018〕73</w:t>
      </w:r>
      <w:r>
        <w:rPr>
          <w:rFonts w:ascii="微软雅黑" w:hAnsi="微软雅黑" w:eastAsia="微软雅黑"/>
          <w:b/>
          <w:color w:val="383838"/>
          <w:spacing w:val="-13"/>
        </w:rPr>
        <w:t xml:space="preserve"> </w:t>
      </w:r>
      <w:r>
        <w:rPr>
          <w:rFonts w:ascii="微软雅黑" w:hAnsi="微软雅黑" w:eastAsia="微软雅黑"/>
          <w:b/>
          <w:color w:val="383838"/>
        </w:rPr>
        <w:t>号</w:t>
      </w:r>
    </w:p>
    <w:p>
      <w:pPr>
        <w:pStyle w:val="13"/>
        <w:kinsoku w:val="0"/>
        <w:overflowPunct w:val="0"/>
        <w:spacing w:line="419" w:lineRule="auto"/>
        <w:ind w:left="118" w:firstLine="2314"/>
        <w:rPr>
          <w:rFonts w:hint="default"/>
          <w:b/>
          <w:spacing w:val="25"/>
        </w:rPr>
      </w:pPr>
      <w:r>
        <w:rPr>
          <w:b/>
          <w:spacing w:val="-1"/>
        </w:rPr>
        <w:t>关于调整公布第二十四期节能产品政府采购清单的通知</w:t>
      </w:r>
      <w:r>
        <w:rPr>
          <w:b/>
          <w:spacing w:val="25"/>
        </w:rPr>
        <w:t xml:space="preserve"> </w:t>
      </w:r>
    </w:p>
    <w:p>
      <w:pPr>
        <w:pStyle w:val="13"/>
        <w:kinsoku w:val="0"/>
        <w:overflowPunct w:val="0"/>
        <w:spacing w:line="419" w:lineRule="auto"/>
        <w:ind w:left="18" w:hanging="18"/>
        <w:rPr>
          <w:rFonts w:hint="default"/>
          <w:spacing w:val="-2"/>
        </w:rPr>
      </w:pPr>
      <w:r>
        <w:rPr>
          <w:spacing w:val="-1"/>
        </w:rPr>
        <w:t>党中央有关部门，国务院各部委、各直属机构，全国人大常委会办公厅，全国政协办公厅，国家监委，高</w:t>
      </w:r>
      <w:r>
        <w:rPr>
          <w:spacing w:val="25"/>
        </w:rPr>
        <w:t xml:space="preserve"> </w:t>
      </w:r>
      <w:r>
        <w:rPr>
          <w:spacing w:val="-1"/>
        </w:rPr>
        <w:t>法院，高检院，各民主党派中央，有关人民团体，各省、自治区、直辖市、计划单列市财政厅（局）、发</w:t>
      </w:r>
      <w:r>
        <w:rPr>
          <w:spacing w:val="25"/>
        </w:rPr>
        <w:t xml:space="preserve"> </w:t>
      </w:r>
      <w:r>
        <w:rPr>
          <w:spacing w:val="-2"/>
        </w:rPr>
        <w:t>展改革委（经信委、工信委、工信厅、经信局），新疆生产建设兵团财政局、发展改革委、工信委：</w:t>
      </w:r>
    </w:p>
    <w:p>
      <w:pPr>
        <w:pStyle w:val="13"/>
        <w:kinsoku w:val="0"/>
        <w:overflowPunct w:val="0"/>
        <w:spacing w:line="419" w:lineRule="auto"/>
        <w:ind w:left="118" w:right="109" w:firstLine="422"/>
        <w:jc w:val="both"/>
        <w:rPr>
          <w:rFonts w:hint="default"/>
          <w:spacing w:val="-2"/>
        </w:rPr>
      </w:pPr>
      <w:r>
        <w:rPr>
          <w:spacing w:val="-1"/>
        </w:rPr>
        <w:t>为推进和规范节能产品政府采购，现将第二十四期“节能产品政府采购清单”（以下简称节能清单）</w:t>
      </w:r>
      <w:r>
        <w:rPr>
          <w:spacing w:val="21"/>
        </w:rPr>
        <w:t xml:space="preserve"> </w:t>
      </w:r>
      <w:r>
        <w:rPr>
          <w:spacing w:val="-2"/>
        </w:rPr>
        <w:t>印发给你们，有关事项通知如下：</w:t>
      </w:r>
    </w:p>
    <w:p>
      <w:pPr>
        <w:pStyle w:val="13"/>
        <w:kinsoku w:val="0"/>
        <w:overflowPunct w:val="0"/>
        <w:spacing w:line="419" w:lineRule="auto"/>
        <w:ind w:left="118" w:right="109" w:firstLine="422"/>
        <w:jc w:val="both"/>
        <w:rPr>
          <w:rFonts w:hint="default"/>
          <w:spacing w:val="-2"/>
        </w:rPr>
      </w:pPr>
      <w:r>
        <w:rPr>
          <w:spacing w:val="-1"/>
        </w:rPr>
        <w:t>一、节能清单（附件</w:t>
      </w:r>
      <w:r>
        <w:rPr>
          <w:spacing w:val="-2"/>
        </w:rPr>
        <w:t xml:space="preserve"> </w:t>
      </w:r>
      <w:r>
        <w:rPr>
          <w:spacing w:val="-1"/>
        </w:rPr>
        <w:t>1）所列产品包括政府强制采购和优先采购的节能产品。其中，台式计算机，便携式计算机，平板式微型计算机，激光打印机，针式打印机，显示设备，制冷压缩机，空调机组，专用制冷、空调设备，镇流器，空调机，电热水器，普通照明用双端荧光灯，电视设备，视频设备，便器，水嘴</w:t>
      </w:r>
      <w:r>
        <w:rPr>
          <w:spacing w:val="25"/>
        </w:rPr>
        <w:t xml:space="preserve"> </w:t>
      </w:r>
      <w:r>
        <w:rPr>
          <w:spacing w:val="-2"/>
        </w:rPr>
        <w:t>等品目为政府强制采购的节能产品（具体品目以“★”标注）。其他品目为政府优先采购的节能产品。</w:t>
      </w:r>
    </w:p>
    <w:p>
      <w:pPr>
        <w:pStyle w:val="13"/>
        <w:kinsoku w:val="0"/>
        <w:overflowPunct w:val="0"/>
        <w:spacing w:line="419" w:lineRule="auto"/>
        <w:ind w:left="118" w:right="103" w:firstLine="422"/>
        <w:jc w:val="both"/>
        <w:rPr>
          <w:rFonts w:hint="default"/>
          <w:spacing w:val="-1"/>
        </w:rPr>
      </w:pPr>
      <w:r>
        <w:rPr>
          <w:spacing w:val="-1"/>
        </w:rPr>
        <w:t>二、未列入本期节能清单的产品，不属于政府强制采购、优先采购的节能产品范围。节能清单中的产</w:t>
      </w:r>
      <w:r>
        <w:rPr>
          <w:spacing w:val="21"/>
        </w:rPr>
        <w:t xml:space="preserve"> </w:t>
      </w:r>
      <w:r>
        <w:rPr>
          <w:spacing w:val="-1"/>
        </w:rPr>
        <w:t>品，其制造商名称或地址在清单执行期内依法变更的，经相关认证机构核准并办理认证证书变更手续后，</w:t>
      </w:r>
      <w:r>
        <w:rPr>
          <w:spacing w:val="25"/>
        </w:rPr>
        <w:t xml:space="preserve"> </w:t>
      </w:r>
      <w:r>
        <w:rPr>
          <w:spacing w:val="-2"/>
        </w:rPr>
        <w:t>仍属于本期节能清单的范围。与本通知附件</w:t>
      </w:r>
      <w:r>
        <w:rPr>
          <w:spacing w:val="-41"/>
        </w:rPr>
        <w:t xml:space="preserve"> </w:t>
      </w:r>
      <w:r>
        <w:t>2</w:t>
      </w:r>
      <w:r>
        <w:rPr>
          <w:spacing w:val="-38"/>
        </w:rPr>
        <w:t xml:space="preserve"> </w:t>
      </w:r>
      <w:r>
        <w:rPr>
          <w:spacing w:val="-2"/>
        </w:rPr>
        <w:t>所列性能参数不一致的台式计算机产品，不属于本期节能清</w:t>
      </w:r>
      <w:r>
        <w:rPr>
          <w:spacing w:val="61"/>
        </w:rPr>
        <w:t xml:space="preserve"> </w:t>
      </w:r>
      <w:r>
        <w:rPr>
          <w:spacing w:val="-1"/>
        </w:rPr>
        <w:t>单的范围。</w:t>
      </w:r>
    </w:p>
    <w:p>
      <w:pPr>
        <w:pStyle w:val="13"/>
        <w:kinsoku w:val="0"/>
        <w:overflowPunct w:val="0"/>
        <w:spacing w:line="419" w:lineRule="auto"/>
        <w:ind w:left="118" w:right="109" w:firstLine="422"/>
        <w:jc w:val="both"/>
        <w:rPr>
          <w:rFonts w:hint="default"/>
          <w:spacing w:val="-2"/>
        </w:rPr>
      </w:pPr>
      <w:r>
        <w:rPr>
          <w:spacing w:val="-1"/>
        </w:rPr>
        <w:t>三、采购人拟采购的产品属于政府强制采购节能产品范围，但本期节能清单中无对应细化分类或节能</w:t>
      </w:r>
      <w:r>
        <w:rPr>
          <w:spacing w:val="21"/>
        </w:rPr>
        <w:t xml:space="preserve"> </w:t>
      </w:r>
      <w:r>
        <w:rPr>
          <w:spacing w:val="-2"/>
        </w:rPr>
        <w:t>清单中的产品无法满足工作需要的，可在节能清单之外采购。</w:t>
      </w:r>
    </w:p>
    <w:p>
      <w:pPr>
        <w:pStyle w:val="13"/>
        <w:kinsoku w:val="0"/>
        <w:overflowPunct w:val="0"/>
        <w:spacing w:line="419" w:lineRule="auto"/>
        <w:ind w:left="118" w:right="109" w:firstLine="422"/>
        <w:jc w:val="both"/>
        <w:rPr>
          <w:rFonts w:hint="default"/>
          <w:spacing w:val="-2"/>
        </w:rPr>
      </w:pPr>
      <w:r>
        <w:rPr>
          <w:spacing w:val="-1"/>
        </w:rPr>
        <w:t>四、在本通知发布之后开展的政府采购活动，应当执行本期节能清单。在本通知发布之前已经开展但尚未进入评审环节的政府采购活动，应当按照采购文件的约定执行上期或本期节能清单，采购文件未约定</w:t>
      </w:r>
      <w:r>
        <w:rPr>
          <w:spacing w:val="-2"/>
        </w:rPr>
        <w:t>的，可同时执行上期和本期节能清单。</w:t>
      </w:r>
    </w:p>
    <w:p>
      <w:pPr>
        <w:pStyle w:val="13"/>
        <w:kinsoku w:val="0"/>
        <w:overflowPunct w:val="0"/>
        <w:spacing w:line="419" w:lineRule="auto"/>
        <w:ind w:left="118" w:right="109" w:firstLine="422"/>
        <w:jc w:val="both"/>
        <w:rPr>
          <w:rFonts w:hint="default"/>
          <w:spacing w:val="25"/>
        </w:rPr>
      </w:pPr>
      <w:r>
        <w:rPr>
          <w:spacing w:val="-1"/>
        </w:rPr>
        <w:t>五、已经确定实施的政府集中采购协议供货涉及政府强制采购节能产品的，集中采购机构应当按照本</w:t>
      </w:r>
      <w:r>
        <w:rPr>
          <w:spacing w:val="21"/>
        </w:rPr>
        <w:t xml:space="preserve"> </w:t>
      </w:r>
      <w:r>
        <w:rPr>
          <w:spacing w:val="-1"/>
        </w:rPr>
        <w:t>期节能清单重新组织协议供货活动或对相关产品进行调整。政府采购工程以及与工程建设有关的货物采购应当执行节能产品政府强制采购和优先采购政策。采购人及其委托的采购代理机构应当在采购文件和采购</w:t>
      </w:r>
      <w:r>
        <w:rPr>
          <w:spacing w:val="-2"/>
        </w:rPr>
        <w:t>合同中列明使用节能产品的要求。</w:t>
      </w:r>
      <w:r>
        <w:rPr>
          <w:spacing w:val="25"/>
        </w:rPr>
        <w:t xml:space="preserve"> </w:t>
      </w:r>
    </w:p>
    <w:p>
      <w:pPr>
        <w:pStyle w:val="13"/>
        <w:kinsoku w:val="0"/>
        <w:overflowPunct w:val="0"/>
        <w:spacing w:line="419" w:lineRule="auto"/>
        <w:ind w:left="118" w:right="109" w:firstLine="422"/>
        <w:jc w:val="both"/>
        <w:rPr>
          <w:rFonts w:hint="default"/>
          <w:spacing w:val="-2"/>
        </w:rPr>
      </w:pPr>
      <w:r>
        <w:rPr>
          <w:spacing w:val="-1"/>
        </w:rPr>
        <w:t>六、相关企业应当保证其列入节能清单的产品在本期节能清单执行期内稳定供货，凡发生制造商及其代理商不接受参加政府采购活动邀请、列入节能清单的产品无法正常供货以及其他违反《承诺书》内容情</w:t>
      </w:r>
      <w:r>
        <w:rPr>
          <w:spacing w:val="25"/>
        </w:rPr>
        <w:t xml:space="preserve"> </w:t>
      </w:r>
      <w:r>
        <w:rPr>
          <w:spacing w:val="-1"/>
        </w:rPr>
        <w:t>形的，采购人、采购代理机构应当及时将有关情况向财政部反映。财政部将根据具体违规情形，对有关供</w:t>
      </w:r>
      <w:r>
        <w:rPr>
          <w:spacing w:val="25"/>
        </w:rPr>
        <w:t xml:space="preserve"> </w:t>
      </w:r>
      <w:r>
        <w:rPr>
          <w:spacing w:val="-2"/>
        </w:rPr>
        <w:t>应商作出暂停列入节能清单三个月至两年的处理。</w:t>
      </w:r>
    </w:p>
    <w:p>
      <w:pPr>
        <w:pStyle w:val="13"/>
        <w:kinsoku w:val="0"/>
        <w:overflowPunct w:val="0"/>
        <w:ind w:left="541"/>
        <w:rPr>
          <w:rFonts w:hint="default"/>
          <w:spacing w:val="-2"/>
        </w:rPr>
      </w:pPr>
      <w:r>
        <w:rPr>
          <w:spacing w:val="-2"/>
        </w:rPr>
        <w:t>七、节能清单再次调整的相关事宜另行通知。</w:t>
      </w:r>
    </w:p>
    <w:p>
      <w:pPr>
        <w:pStyle w:val="13"/>
        <w:kinsoku w:val="0"/>
        <w:overflowPunct w:val="0"/>
        <w:ind w:left="0" w:right="316"/>
        <w:jc w:val="right"/>
        <w:rPr>
          <w:rFonts w:hint="default"/>
        </w:rPr>
      </w:pPr>
      <w:r>
        <w:t xml:space="preserve">  </w:t>
      </w:r>
    </w:p>
    <w:p>
      <w:pPr>
        <w:pStyle w:val="13"/>
        <w:kinsoku w:val="0"/>
        <w:overflowPunct w:val="0"/>
        <w:ind w:left="0" w:right="316"/>
        <w:jc w:val="right"/>
        <w:rPr>
          <w:rFonts w:hint="default"/>
        </w:rPr>
      </w:pPr>
      <w:r>
        <w:t xml:space="preserve">    八</w:t>
      </w:r>
      <w:r>
        <w:rPr>
          <w:spacing w:val="-29"/>
        </w:rPr>
        <w:t xml:space="preserve"> </w:t>
      </w:r>
      <w:r>
        <w:t>、</w:t>
      </w:r>
      <w:r>
        <w:rPr>
          <w:spacing w:val="-31"/>
        </w:rPr>
        <w:t xml:space="preserve"> </w:t>
      </w:r>
      <w:r>
        <w:t>节</w:t>
      </w:r>
      <w:r>
        <w:rPr>
          <w:spacing w:val="-29"/>
        </w:rPr>
        <w:t xml:space="preserve"> </w:t>
      </w:r>
      <w:r>
        <w:t>能</w:t>
      </w:r>
      <w:r>
        <w:rPr>
          <w:spacing w:val="-29"/>
        </w:rPr>
        <w:t xml:space="preserve"> </w:t>
      </w:r>
      <w:r>
        <w:t>清</w:t>
      </w:r>
      <w:r>
        <w:rPr>
          <w:spacing w:val="-31"/>
        </w:rPr>
        <w:t xml:space="preserve"> </w:t>
      </w:r>
      <w:r>
        <w:t>单</w:t>
      </w:r>
      <w:r>
        <w:rPr>
          <w:spacing w:val="-31"/>
        </w:rPr>
        <w:t xml:space="preserve"> </w:t>
      </w:r>
      <w:r>
        <w:t>公</w:t>
      </w:r>
      <w:r>
        <w:rPr>
          <w:spacing w:val="-29"/>
        </w:rPr>
        <w:t xml:space="preserve"> </w:t>
      </w:r>
      <w:r>
        <w:t>示</w:t>
      </w:r>
      <w:r>
        <w:rPr>
          <w:spacing w:val="-29"/>
        </w:rPr>
        <w:t xml:space="preserve"> </w:t>
      </w:r>
      <w:r>
        <w:t>、</w:t>
      </w:r>
      <w:r>
        <w:rPr>
          <w:spacing w:val="-29"/>
        </w:rPr>
        <w:t xml:space="preserve"> </w:t>
      </w:r>
      <w:r>
        <w:t>调</w:t>
      </w:r>
      <w:r>
        <w:rPr>
          <w:spacing w:val="-31"/>
        </w:rPr>
        <w:t xml:space="preserve"> </w:t>
      </w:r>
      <w:r>
        <w:t>整</w:t>
      </w:r>
      <w:r>
        <w:rPr>
          <w:spacing w:val="-29"/>
        </w:rPr>
        <w:t xml:space="preserve"> </w:t>
      </w:r>
      <w:r>
        <w:t>等</w:t>
      </w:r>
      <w:r>
        <w:rPr>
          <w:spacing w:val="-29"/>
        </w:rPr>
        <w:t xml:space="preserve"> </w:t>
      </w:r>
      <w:r>
        <w:t>有</w:t>
      </w:r>
      <w:r>
        <w:rPr>
          <w:spacing w:val="-31"/>
        </w:rPr>
        <w:t xml:space="preserve"> </w:t>
      </w:r>
      <w:r>
        <w:t>关</w:t>
      </w:r>
      <w:r>
        <w:rPr>
          <w:spacing w:val="-31"/>
        </w:rPr>
        <w:t xml:space="preserve"> </w:t>
      </w:r>
      <w:r>
        <w:t>文</w:t>
      </w:r>
      <w:r>
        <w:rPr>
          <w:spacing w:val="-29"/>
        </w:rPr>
        <w:t xml:space="preserve"> </w:t>
      </w:r>
      <w:r>
        <w:t>件</w:t>
      </w:r>
      <w:r>
        <w:rPr>
          <w:spacing w:val="-29"/>
        </w:rPr>
        <w:t xml:space="preserve"> </w:t>
      </w:r>
      <w:r>
        <w:t>及</w:t>
      </w:r>
      <w:r>
        <w:rPr>
          <w:spacing w:val="-29"/>
        </w:rPr>
        <w:t xml:space="preserve"> </w:t>
      </w:r>
      <w:r>
        <w:t>附</w:t>
      </w:r>
      <w:r>
        <w:rPr>
          <w:spacing w:val="-31"/>
        </w:rPr>
        <w:t xml:space="preserve"> </w:t>
      </w:r>
      <w:r>
        <w:t>件</w:t>
      </w:r>
      <w:r>
        <w:rPr>
          <w:spacing w:val="-29"/>
        </w:rPr>
        <w:t xml:space="preserve"> </w:t>
      </w:r>
      <w:r>
        <w:t>在</w:t>
      </w:r>
      <w:r>
        <w:rPr>
          <w:spacing w:val="-29"/>
        </w:rPr>
        <w:t xml:space="preserve"> </w:t>
      </w:r>
      <w:r>
        <w:t>中</w:t>
      </w:r>
      <w:r>
        <w:rPr>
          <w:spacing w:val="-31"/>
        </w:rPr>
        <w:t xml:space="preserve"> </w:t>
      </w:r>
      <w:r>
        <w:t>华</w:t>
      </w:r>
      <w:r>
        <w:rPr>
          <w:spacing w:val="-31"/>
        </w:rPr>
        <w:t xml:space="preserve"> </w:t>
      </w:r>
      <w:r>
        <w:t>人</w:t>
      </w:r>
      <w:r>
        <w:rPr>
          <w:spacing w:val="-29"/>
        </w:rPr>
        <w:t xml:space="preserve"> </w:t>
      </w:r>
      <w:r>
        <w:t>民</w:t>
      </w:r>
      <w:r>
        <w:rPr>
          <w:spacing w:val="-29"/>
        </w:rPr>
        <w:t xml:space="preserve"> </w:t>
      </w:r>
      <w:r>
        <w:t>共</w:t>
      </w:r>
      <w:r>
        <w:rPr>
          <w:spacing w:val="-29"/>
        </w:rPr>
        <w:t xml:space="preserve"> </w:t>
      </w:r>
      <w:r>
        <w:t>和</w:t>
      </w:r>
      <w:r>
        <w:rPr>
          <w:spacing w:val="-31"/>
        </w:rPr>
        <w:t xml:space="preserve"> </w:t>
      </w:r>
      <w:r>
        <w:t>国</w:t>
      </w:r>
      <w:r>
        <w:rPr>
          <w:spacing w:val="-29"/>
        </w:rPr>
        <w:t xml:space="preserve"> </w:t>
      </w:r>
      <w:r>
        <w:t>财</w:t>
      </w:r>
      <w:r>
        <w:rPr>
          <w:spacing w:val="-29"/>
        </w:rPr>
        <w:t xml:space="preserve"> </w:t>
      </w:r>
      <w:r>
        <w:t>政</w:t>
      </w:r>
      <w:r>
        <w:rPr>
          <w:spacing w:val="-31"/>
        </w:rPr>
        <w:t xml:space="preserve"> </w:t>
      </w:r>
      <w:r>
        <w:t>部</w:t>
      </w:r>
      <w:r>
        <w:rPr>
          <w:spacing w:val="-31"/>
        </w:rPr>
        <w:t xml:space="preserve"> </w:t>
      </w:r>
      <w:r>
        <w:t>网站</w:t>
      </w:r>
    </w:p>
    <w:p>
      <w:pPr>
        <w:pStyle w:val="13"/>
        <w:kinsoku w:val="0"/>
        <w:overflowPunct w:val="0"/>
        <w:ind w:left="0"/>
        <w:rPr>
          <w:rFonts w:hint="default"/>
          <w:sz w:val="15"/>
        </w:rPr>
      </w:pPr>
    </w:p>
    <w:p>
      <w:pPr>
        <w:pStyle w:val="13"/>
        <w:kinsoku w:val="0"/>
        <w:overflowPunct w:val="0"/>
        <w:ind w:left="118"/>
        <w:jc w:val="both"/>
        <w:rPr>
          <w:rFonts w:hint="default"/>
          <w:spacing w:val="19"/>
        </w:rPr>
      </w:pPr>
      <w:r>
        <w:t>（</w:t>
      </w:r>
      <w:r>
        <w:rPr>
          <w:spacing w:val="-81"/>
        </w:rPr>
        <w:t xml:space="preserve"> </w:t>
      </w:r>
      <w:r>
        <w:fldChar w:fldCharType="begin"/>
      </w:r>
      <w:r>
        <w:instrText xml:space="preserve"> HYPERLINK "http://www.mof.gov.cn/" </w:instrText>
      </w:r>
      <w:r>
        <w:fldChar w:fldCharType="separate"/>
      </w:r>
      <w:r>
        <w:rPr>
          <w:spacing w:val="-1"/>
        </w:rPr>
        <w:t>http://www.mof.gov.cn</w:t>
      </w:r>
      <w:r>
        <w:rPr>
          <w:spacing w:val="-1"/>
        </w:rPr>
        <w:fldChar w:fldCharType="end"/>
      </w:r>
      <w:r>
        <w:rPr>
          <w:spacing w:val="-81"/>
        </w:rPr>
        <w:t xml:space="preserve"> </w:t>
      </w:r>
      <w:r>
        <w:rPr>
          <w:spacing w:val="11"/>
        </w:rPr>
        <w:t>）、</w:t>
      </w:r>
      <w:r>
        <w:rPr>
          <w:spacing w:val="-84"/>
        </w:rPr>
        <w:t xml:space="preserve"> </w:t>
      </w:r>
      <w:r>
        <w:rPr>
          <w:spacing w:val="19"/>
        </w:rPr>
        <w:t>中国政府采购网（</w:t>
      </w:r>
      <w:r>
        <w:rPr>
          <w:spacing w:val="-79"/>
        </w:rPr>
        <w:t xml:space="preserve"> </w:t>
      </w:r>
      <w:r>
        <w:fldChar w:fldCharType="begin"/>
      </w:r>
      <w:r>
        <w:instrText xml:space="preserve"> HYPERLINK "http://www.ccgp.gov.cn/" </w:instrText>
      </w:r>
      <w:r>
        <w:fldChar w:fldCharType="separate"/>
      </w:r>
      <w:r>
        <w:rPr>
          <w:spacing w:val="-1"/>
        </w:rPr>
        <w:t>http://www.ccgp.gov.cn</w:t>
      </w:r>
      <w:r>
        <w:rPr>
          <w:spacing w:val="-1"/>
        </w:rPr>
        <w:fldChar w:fldCharType="end"/>
      </w:r>
      <w:r>
        <w:rPr>
          <w:spacing w:val="-81"/>
        </w:rPr>
        <w:t xml:space="preserve"> </w:t>
      </w:r>
      <w:r>
        <w:rPr>
          <w:spacing w:val="11"/>
        </w:rPr>
        <w:t>）、</w:t>
      </w:r>
      <w:r>
        <w:rPr>
          <w:spacing w:val="-84"/>
        </w:rPr>
        <w:t xml:space="preserve"> </w:t>
      </w:r>
      <w:r>
        <w:rPr>
          <w:spacing w:val="19"/>
        </w:rPr>
        <w:t>国家发展改革委网站</w:t>
      </w:r>
    </w:p>
    <w:p>
      <w:pPr>
        <w:pStyle w:val="13"/>
        <w:kinsoku w:val="0"/>
        <w:overflowPunct w:val="0"/>
        <w:ind w:left="0"/>
        <w:rPr>
          <w:rFonts w:hint="default"/>
          <w:sz w:val="15"/>
        </w:rPr>
      </w:pPr>
    </w:p>
    <w:p>
      <w:pPr>
        <w:pStyle w:val="13"/>
        <w:kinsoku w:val="0"/>
        <w:overflowPunct w:val="0"/>
        <w:spacing w:line="419" w:lineRule="auto"/>
        <w:ind w:left="118"/>
        <w:rPr>
          <w:rFonts w:hint="default"/>
        </w:rPr>
      </w:pPr>
      <w:r>
        <w:t>（</w:t>
      </w:r>
      <w:r>
        <w:fldChar w:fldCharType="begin"/>
      </w:r>
      <w:r>
        <w:instrText xml:space="preserve"> HYPERLINK "http://www.ndrc.gov.cn/" </w:instrText>
      </w:r>
      <w:r>
        <w:fldChar w:fldCharType="separate"/>
      </w:r>
      <w:r>
        <w:t>http://www.ndrc.gov.cn</w:t>
      </w:r>
      <w:r>
        <w:fldChar w:fldCharType="end"/>
      </w:r>
      <w:r>
        <w:t>）和中国质量认证中心网站（</w:t>
      </w:r>
      <w:r>
        <w:fldChar w:fldCharType="begin"/>
      </w:r>
      <w:r>
        <w:instrText xml:space="preserve"> HYPERLINK "http://www.cqc.com.cn/" </w:instrText>
      </w:r>
      <w:r>
        <w:fldChar w:fldCharType="separate"/>
      </w:r>
      <w:r>
        <w:t>http://www.cqc.com.cn</w:t>
      </w:r>
      <w:r>
        <w:fldChar w:fldCharType="end"/>
      </w:r>
      <w:r>
        <w:t>）上发布，请自行查阅、</w:t>
      </w:r>
      <w:r>
        <w:rPr>
          <w:spacing w:val="118"/>
        </w:rPr>
        <w:t xml:space="preserve"> </w:t>
      </w:r>
      <w:r>
        <w:t>下载。</w:t>
      </w:r>
    </w:p>
    <w:p>
      <w:pPr>
        <w:pStyle w:val="13"/>
        <w:kinsoku w:val="0"/>
        <w:overflowPunct w:val="0"/>
        <w:ind w:left="541"/>
        <w:rPr>
          <w:rFonts w:hint="default"/>
          <w:spacing w:val="-2"/>
        </w:rPr>
      </w:pPr>
      <w:r>
        <w:rPr>
          <w:spacing w:val="-2"/>
        </w:rPr>
        <w:t>请遵照执行。</w:t>
      </w:r>
    </w:p>
    <w:p>
      <w:pPr>
        <w:pStyle w:val="13"/>
        <w:kinsoku w:val="0"/>
        <w:overflowPunct w:val="0"/>
        <w:ind w:left="0"/>
        <w:rPr>
          <w:rFonts w:hint="default"/>
          <w:sz w:val="15"/>
        </w:rPr>
      </w:pPr>
    </w:p>
    <w:p>
      <w:pPr>
        <w:pStyle w:val="13"/>
        <w:kinsoku w:val="0"/>
        <w:overflowPunct w:val="0"/>
        <w:spacing w:line="419" w:lineRule="auto"/>
        <w:ind w:right="307" w:firstLine="5150" w:firstLineChars="2500"/>
        <w:jc w:val="both"/>
        <w:rPr>
          <w:spacing w:val="-2"/>
        </w:rPr>
      </w:pPr>
    </w:p>
    <w:p>
      <w:pPr>
        <w:pStyle w:val="13"/>
        <w:kinsoku w:val="0"/>
        <w:overflowPunct w:val="0"/>
        <w:spacing w:line="419" w:lineRule="auto"/>
        <w:ind w:right="307" w:firstLine="5150" w:firstLineChars="2500"/>
        <w:jc w:val="both"/>
        <w:rPr>
          <w:spacing w:val="26"/>
        </w:rPr>
      </w:pPr>
      <w:r>
        <w:rPr>
          <w:spacing w:val="-2"/>
        </w:rPr>
        <w:t>财政部</w:t>
      </w:r>
      <w:r>
        <w:t xml:space="preserve"> </w:t>
      </w:r>
      <w:r>
        <w:rPr>
          <w:spacing w:val="-2"/>
        </w:rPr>
        <w:t>国家发展改革委</w:t>
      </w:r>
      <w:r>
        <w:rPr>
          <w:spacing w:val="26"/>
        </w:rPr>
        <w:t xml:space="preserve"> </w:t>
      </w:r>
    </w:p>
    <w:p>
      <w:pPr>
        <w:pStyle w:val="13"/>
        <w:kinsoku w:val="0"/>
        <w:overflowPunct w:val="0"/>
        <w:spacing w:line="419" w:lineRule="auto"/>
        <w:ind w:right="307" w:firstLine="5200" w:firstLineChars="2500"/>
        <w:jc w:val="both"/>
        <w:rPr>
          <w:rFonts w:hint="default"/>
        </w:rPr>
      </w:pPr>
      <w:r>
        <w:rPr>
          <w:spacing w:val="-1"/>
        </w:rPr>
        <w:t>2018</w:t>
      </w:r>
      <w:r>
        <w:rPr>
          <w:spacing w:val="-53"/>
        </w:rPr>
        <w:t xml:space="preserve"> </w:t>
      </w:r>
      <w:r>
        <w:t>年</w:t>
      </w:r>
      <w:r>
        <w:rPr>
          <w:spacing w:val="-55"/>
        </w:rPr>
        <w:t xml:space="preserve"> </w:t>
      </w:r>
      <w:r>
        <w:t>8</w:t>
      </w:r>
      <w:r>
        <w:rPr>
          <w:spacing w:val="-53"/>
        </w:rPr>
        <w:t xml:space="preserve"> </w:t>
      </w:r>
      <w:r>
        <w:t>月</w:t>
      </w:r>
      <w:r>
        <w:rPr>
          <w:spacing w:val="-52"/>
        </w:rPr>
        <w:t xml:space="preserve"> </w:t>
      </w:r>
      <w:r>
        <w:rPr>
          <w:spacing w:val="-2"/>
        </w:rPr>
        <w:t>10</w:t>
      </w:r>
      <w:r>
        <w:rPr>
          <w:spacing w:val="-53"/>
        </w:rPr>
        <w:t xml:space="preserve"> </w:t>
      </w:r>
      <w:r>
        <w:t>日</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sz w:val="20"/>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3"/>
        <w:kinsoku w:val="0"/>
        <w:overflowPunct w:val="0"/>
        <w:ind w:left="0"/>
        <w:rPr>
          <w:rFonts w:hint="default"/>
          <w:sz w:val="20"/>
        </w:rPr>
      </w:pPr>
    </w:p>
    <w:p>
      <w:pPr>
        <w:pStyle w:val="12"/>
        <w:kinsoku w:val="0"/>
        <w:overflowPunct w:val="0"/>
        <w:jc w:val="both"/>
        <w:rPr>
          <w:rFonts w:hint="default" w:ascii="宋体" w:hAnsi="宋体" w:eastAsia="宋体"/>
          <w:b w:val="0"/>
        </w:rPr>
      </w:pPr>
      <w:r>
        <w:rPr>
          <w:rFonts w:ascii="宋体" w:hAnsi="宋体" w:eastAsia="宋体"/>
          <w:b w:val="0"/>
          <w:spacing w:val="-1"/>
        </w:rPr>
        <w:t>2、</w:t>
      </w:r>
      <w:r>
        <w:rPr>
          <w:rFonts w:ascii="宋体" w:hAnsi="宋体" w:eastAsia="宋体"/>
          <w:spacing w:val="-1"/>
        </w:rPr>
        <w:t>环境标志产品政府采购清单</w:t>
      </w:r>
    </w:p>
    <w:p>
      <w:pPr>
        <w:pStyle w:val="13"/>
        <w:kinsoku w:val="0"/>
        <w:overflowPunct w:val="0"/>
        <w:ind w:left="0"/>
        <w:rPr>
          <w:rFonts w:hint="default"/>
          <w:b/>
          <w:sz w:val="24"/>
        </w:rPr>
      </w:pPr>
    </w:p>
    <w:p>
      <w:pPr>
        <w:pStyle w:val="13"/>
        <w:kinsoku w:val="0"/>
        <w:overflowPunct w:val="0"/>
        <w:spacing w:line="200" w:lineRule="atLeast"/>
        <w:ind w:left="2097"/>
        <w:rPr>
          <w:rFonts w:hint="default"/>
          <w:sz w:val="20"/>
        </w:rPr>
      </w:pPr>
      <w:r>
        <w:rPr>
          <w:sz w:val="20"/>
        </w:rPr>
        <w:drawing>
          <wp:inline distT="0" distB="0" distL="114300" distR="114300">
            <wp:extent cx="3657600" cy="827405"/>
            <wp:effectExtent l="0" t="0" r="0" b="10795"/>
            <wp:docPr id="29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01"/>
                    <pic:cNvPicPr>
                      <a:picLocks noChangeAspect="1"/>
                    </pic:cNvPicPr>
                  </pic:nvPicPr>
                  <pic:blipFill>
                    <a:blip r:embed="rId7" cstate="print"/>
                    <a:stretch>
                      <a:fillRect/>
                    </a:stretch>
                  </pic:blipFill>
                  <pic:spPr>
                    <a:xfrm>
                      <a:off x="0" y="0"/>
                      <a:ext cx="3657600" cy="827405"/>
                    </a:xfrm>
                    <a:prstGeom prst="rect">
                      <a:avLst/>
                    </a:prstGeom>
                    <a:noFill/>
                    <a:ln>
                      <a:noFill/>
                    </a:ln>
                  </pic:spPr>
                </pic:pic>
              </a:graphicData>
            </a:graphic>
          </wp:inline>
        </w:drawing>
      </w:r>
    </w:p>
    <w:p>
      <w:pPr>
        <w:pStyle w:val="13"/>
        <w:kinsoku w:val="0"/>
        <w:overflowPunct w:val="0"/>
        <w:ind w:left="10"/>
        <w:jc w:val="center"/>
        <w:rPr>
          <w:rFonts w:hint="default"/>
        </w:rPr>
      </w:pPr>
      <w:r>
        <w:rPr>
          <w:b/>
          <w:spacing w:val="-1"/>
        </w:rPr>
        <w:t>关于调整公布第二十二期环境标志产品政府采购清单的通知</w:t>
      </w:r>
    </w:p>
    <w:p>
      <w:pPr>
        <w:pStyle w:val="13"/>
        <w:kinsoku w:val="0"/>
        <w:overflowPunct w:val="0"/>
        <w:ind w:left="0"/>
        <w:rPr>
          <w:rFonts w:hint="default"/>
          <w:b/>
          <w:sz w:val="20"/>
        </w:rPr>
      </w:pPr>
    </w:p>
    <w:p>
      <w:pPr>
        <w:pStyle w:val="13"/>
        <w:kinsoku w:val="0"/>
        <w:overflowPunct w:val="0"/>
        <w:ind w:left="10"/>
        <w:jc w:val="center"/>
        <w:rPr>
          <w:rFonts w:hint="default" w:ascii="微软雅黑" w:hAnsi="微软雅黑" w:eastAsia="微软雅黑"/>
          <w:color w:val="000000"/>
        </w:rPr>
      </w:pPr>
      <w:r>
        <w:rPr>
          <w:rFonts w:ascii="微软雅黑" w:hAnsi="微软雅黑" w:eastAsia="微软雅黑"/>
          <w:b/>
          <w:color w:val="383838"/>
          <w:spacing w:val="-1"/>
        </w:rPr>
        <w:t>财库〔2018〕70</w:t>
      </w:r>
      <w:r>
        <w:rPr>
          <w:rFonts w:ascii="微软雅黑" w:hAnsi="微软雅黑" w:eastAsia="微软雅黑"/>
          <w:b/>
          <w:color w:val="383838"/>
          <w:spacing w:val="-13"/>
        </w:rPr>
        <w:t xml:space="preserve"> </w:t>
      </w:r>
      <w:r>
        <w:rPr>
          <w:rFonts w:ascii="微软雅黑" w:hAnsi="微软雅黑" w:eastAsia="微软雅黑"/>
          <w:b/>
          <w:color w:val="383838"/>
        </w:rPr>
        <w:t>号</w:t>
      </w:r>
    </w:p>
    <w:p>
      <w:pPr>
        <w:pStyle w:val="13"/>
        <w:kinsoku w:val="0"/>
        <w:overflowPunct w:val="0"/>
        <w:spacing w:line="340" w:lineRule="exact"/>
        <w:ind w:left="118" w:right="109"/>
        <w:jc w:val="both"/>
        <w:rPr>
          <w:rFonts w:hint="default"/>
          <w:spacing w:val="-2"/>
        </w:rPr>
      </w:pPr>
      <w:r>
        <w:rPr>
          <w:spacing w:val="-1"/>
        </w:rPr>
        <w:t>党中央有关部门，国务院各部委、各直属机构，全国人大常委会办公厅，全国政协办公厅，国家监委，高</w:t>
      </w:r>
      <w:r>
        <w:rPr>
          <w:spacing w:val="25"/>
        </w:rPr>
        <w:t xml:space="preserve"> </w:t>
      </w:r>
      <w:r>
        <w:rPr>
          <w:spacing w:val="-1"/>
        </w:rPr>
        <w:t>法院，高检院，各民主党派中央，有关人民团体，各省、自治区、直辖市、计划单列市财政厅（局）、环</w:t>
      </w:r>
      <w:r>
        <w:rPr>
          <w:spacing w:val="25"/>
        </w:rPr>
        <w:t xml:space="preserve"> </w:t>
      </w:r>
      <w:r>
        <w:rPr>
          <w:spacing w:val="-2"/>
        </w:rPr>
        <w:t>境保护厅（局），新疆生产建设兵团财政局、环保局：</w:t>
      </w:r>
    </w:p>
    <w:p>
      <w:pPr>
        <w:pStyle w:val="13"/>
        <w:kinsoku w:val="0"/>
        <w:overflowPunct w:val="0"/>
        <w:spacing w:line="340" w:lineRule="exact"/>
        <w:ind w:left="118" w:right="109" w:firstLine="422"/>
        <w:jc w:val="both"/>
        <w:rPr>
          <w:rFonts w:hint="default"/>
          <w:spacing w:val="-2"/>
        </w:rPr>
      </w:pPr>
      <w:r>
        <w:rPr>
          <w:spacing w:val="-1"/>
        </w:rPr>
        <w:t>为推进和规范环境标志产品政府采购，现将第二十二期“环境标志产品政府采购清单”（以下简称环</w:t>
      </w:r>
      <w:r>
        <w:rPr>
          <w:spacing w:val="21"/>
        </w:rPr>
        <w:t xml:space="preserve"> </w:t>
      </w:r>
      <w:r>
        <w:rPr>
          <w:spacing w:val="-2"/>
        </w:rPr>
        <w:t>保清单）印发你们，有关事项通知如下：</w:t>
      </w:r>
    </w:p>
    <w:p>
      <w:pPr>
        <w:pStyle w:val="13"/>
        <w:kinsoku w:val="0"/>
        <w:overflowPunct w:val="0"/>
        <w:spacing w:line="340" w:lineRule="exact"/>
        <w:ind w:left="118" w:right="111" w:firstLine="422"/>
        <w:jc w:val="both"/>
        <w:rPr>
          <w:rFonts w:hint="default"/>
          <w:spacing w:val="-2"/>
        </w:rPr>
      </w:pPr>
      <w:r>
        <w:rPr>
          <w:spacing w:val="-1"/>
        </w:rPr>
        <w:t>一、环保清单（附件</w:t>
      </w:r>
      <w:r>
        <w:rPr>
          <w:spacing w:val="-2"/>
        </w:rPr>
        <w:t xml:space="preserve"> </w:t>
      </w:r>
      <w:r>
        <w:rPr>
          <w:spacing w:val="-1"/>
        </w:rPr>
        <w:t>1）所列产品为政府优先采购产品。对于同时列入环保清单和节能产品政府采购</w:t>
      </w:r>
      <w:r>
        <w:rPr>
          <w:spacing w:val="23"/>
        </w:rPr>
        <w:t xml:space="preserve"> </w:t>
      </w:r>
      <w:r>
        <w:rPr>
          <w:spacing w:val="-2"/>
        </w:rPr>
        <w:t>清单的产品，应当优先于只列入其中一个清单的产品。</w:t>
      </w:r>
    </w:p>
    <w:p>
      <w:pPr>
        <w:pStyle w:val="13"/>
        <w:kinsoku w:val="0"/>
        <w:overflowPunct w:val="0"/>
        <w:spacing w:line="340" w:lineRule="exact"/>
        <w:ind w:left="118" w:right="105" w:firstLine="422"/>
        <w:jc w:val="both"/>
        <w:rPr>
          <w:rFonts w:hint="default"/>
        </w:rPr>
      </w:pPr>
      <w:r>
        <w:rPr>
          <w:spacing w:val="-1"/>
        </w:rPr>
        <w:t>二、未列入本期环保清单的产品，不属于政府优先采购的环境标志产品范围。环保清单中的产品，其</w:t>
      </w:r>
      <w:r>
        <w:rPr>
          <w:spacing w:val="21"/>
        </w:rPr>
        <w:t xml:space="preserve"> </w:t>
      </w:r>
      <w:r>
        <w:rPr>
          <w:spacing w:val="-1"/>
        </w:rPr>
        <w:t>制造商名称或地址在清单执行期内依法变更的，经相关认证机构核准并办理认证证书变更手续后，仍属于</w:t>
      </w:r>
      <w:r>
        <w:rPr>
          <w:spacing w:val="25"/>
        </w:rPr>
        <w:t xml:space="preserve"> </w:t>
      </w:r>
      <w:r>
        <w:rPr>
          <w:spacing w:val="-2"/>
        </w:rPr>
        <w:t>本期环保清单的范围。与本通知附件</w:t>
      </w:r>
      <w:r>
        <w:rPr>
          <w:spacing w:val="-38"/>
        </w:rPr>
        <w:t xml:space="preserve"> </w:t>
      </w:r>
      <w:r>
        <w:t>2</w:t>
      </w:r>
      <w:r>
        <w:rPr>
          <w:spacing w:val="-41"/>
        </w:rPr>
        <w:t xml:space="preserve"> </w:t>
      </w:r>
      <w:r>
        <w:rPr>
          <w:spacing w:val="-2"/>
        </w:rPr>
        <w:t>所列性能参数不一致的台式计算机产品，不属于本期环保清单的范</w:t>
      </w:r>
      <w:r>
        <w:rPr>
          <w:spacing w:val="61"/>
        </w:rPr>
        <w:t xml:space="preserve"> </w:t>
      </w:r>
      <w:r>
        <w:t>围。</w:t>
      </w:r>
    </w:p>
    <w:p>
      <w:pPr>
        <w:pStyle w:val="13"/>
        <w:kinsoku w:val="0"/>
        <w:overflowPunct w:val="0"/>
        <w:spacing w:line="340" w:lineRule="exact"/>
        <w:ind w:left="118" w:right="109" w:firstLine="422"/>
        <w:jc w:val="both"/>
        <w:rPr>
          <w:rFonts w:hint="default"/>
          <w:spacing w:val="-2"/>
        </w:rPr>
      </w:pPr>
      <w:r>
        <w:rPr>
          <w:spacing w:val="-1"/>
        </w:rPr>
        <w:t>三、政府采购工程以及与工程建设有关的货物采购应当执行环境标志产品政府优先采购政策。采购人</w:t>
      </w:r>
      <w:r>
        <w:rPr>
          <w:spacing w:val="21"/>
        </w:rPr>
        <w:t xml:space="preserve"> </w:t>
      </w:r>
      <w:r>
        <w:rPr>
          <w:spacing w:val="-2"/>
        </w:rPr>
        <w:t>及其委托的采购代理机构应当在采购文件和采购合同中列明使用环境标志产品的要求。</w:t>
      </w:r>
    </w:p>
    <w:p>
      <w:pPr>
        <w:pStyle w:val="13"/>
        <w:kinsoku w:val="0"/>
        <w:overflowPunct w:val="0"/>
        <w:spacing w:line="340" w:lineRule="exact"/>
        <w:ind w:left="118" w:right="109" w:firstLine="422"/>
        <w:jc w:val="both"/>
        <w:rPr>
          <w:rFonts w:hint="default"/>
          <w:spacing w:val="-2"/>
        </w:rPr>
      </w:pPr>
      <w:r>
        <w:rPr>
          <w:spacing w:val="-1"/>
        </w:rPr>
        <w:t>四、在本通知发布之后开展的政府采购活动，应当执行本期环保清单。在本通知发布之前已经开展但</w:t>
      </w:r>
      <w:r>
        <w:rPr>
          <w:spacing w:val="21"/>
        </w:rPr>
        <w:t xml:space="preserve"> </w:t>
      </w:r>
      <w:r>
        <w:rPr>
          <w:spacing w:val="-1"/>
        </w:rPr>
        <w:t>尚未进入评审环节的政府采购活动，应当按照采购文件的约定执行上期或本期环保清单，采购文件未约定</w:t>
      </w:r>
      <w:r>
        <w:rPr>
          <w:spacing w:val="25"/>
        </w:rPr>
        <w:t xml:space="preserve"> </w:t>
      </w:r>
      <w:r>
        <w:rPr>
          <w:spacing w:val="-2"/>
        </w:rPr>
        <w:t>的，可同时执行上期和本期环保清单。</w:t>
      </w:r>
    </w:p>
    <w:p>
      <w:pPr>
        <w:pStyle w:val="13"/>
        <w:kinsoku w:val="0"/>
        <w:overflowPunct w:val="0"/>
        <w:spacing w:line="340" w:lineRule="exact"/>
        <w:ind w:left="118" w:right="109" w:firstLine="422"/>
        <w:jc w:val="both"/>
        <w:rPr>
          <w:rFonts w:hint="default"/>
          <w:spacing w:val="-2"/>
        </w:rPr>
      </w:pPr>
      <w:r>
        <w:rPr>
          <w:spacing w:val="-1"/>
        </w:rPr>
        <w:t>五、相关企业应当保证其列入环保清单的产品在本期环保清单执行期内稳定供货，凡发生制造商及其</w:t>
      </w:r>
      <w:r>
        <w:rPr>
          <w:spacing w:val="21"/>
        </w:rPr>
        <w:t xml:space="preserve"> </w:t>
      </w:r>
      <w:r>
        <w:rPr>
          <w:spacing w:val="-1"/>
        </w:rPr>
        <w:t>代理商不接受参加政府采购活动邀请、列入环保清单的产品无法正常供货以及其他违反《承诺书》内容情</w:t>
      </w:r>
      <w:r>
        <w:rPr>
          <w:spacing w:val="25"/>
        </w:rPr>
        <w:t xml:space="preserve"> </w:t>
      </w:r>
      <w:r>
        <w:rPr>
          <w:spacing w:val="-1"/>
        </w:rPr>
        <w:t>形的，采购人、采购代理机构应当及时将有关情况向财政部反映。财政部将根据具体违规情形，对有关供</w:t>
      </w:r>
      <w:r>
        <w:rPr>
          <w:spacing w:val="25"/>
        </w:rPr>
        <w:t xml:space="preserve"> </w:t>
      </w:r>
      <w:r>
        <w:rPr>
          <w:spacing w:val="-2"/>
        </w:rPr>
        <w:t>应商作出暂停列入环保清单三个月至两年的处理。</w:t>
      </w:r>
    </w:p>
    <w:p>
      <w:pPr>
        <w:pStyle w:val="13"/>
        <w:kinsoku w:val="0"/>
        <w:overflowPunct w:val="0"/>
        <w:spacing w:line="340" w:lineRule="exact"/>
        <w:ind w:left="560" w:right="122" w:hanging="20"/>
        <w:rPr>
          <w:rFonts w:hint="default"/>
          <w:spacing w:val="27"/>
        </w:rPr>
      </w:pPr>
      <w:r>
        <w:rPr>
          <w:spacing w:val="-2"/>
        </w:rPr>
        <w:t>六、环保清单再次调整的相关事宜另行通知。</w:t>
      </w:r>
      <w:r>
        <w:rPr>
          <w:spacing w:val="27"/>
        </w:rPr>
        <w:t xml:space="preserve"> </w:t>
      </w:r>
    </w:p>
    <w:p>
      <w:pPr>
        <w:pStyle w:val="13"/>
        <w:kinsoku w:val="0"/>
        <w:overflowPunct w:val="0"/>
        <w:spacing w:line="340" w:lineRule="exact"/>
        <w:ind w:left="0" w:right="122" w:firstLine="540"/>
        <w:rPr>
          <w:rFonts w:hint="default"/>
        </w:rPr>
      </w:pPr>
      <w:r>
        <w:rPr>
          <w:spacing w:val="8"/>
        </w:rPr>
        <w:t>七、公示、调整环保清单以及暂停列入环保清单等有关文件及附件在中华人民共和国财政部网站</w:t>
      </w:r>
      <w:r>
        <w:t>（</w:t>
      </w:r>
      <w:r>
        <w:fldChar w:fldCharType="begin"/>
      </w:r>
      <w:r>
        <w:instrText xml:space="preserve"> HYPERLINK "http://www.mof.gov.cn/" </w:instrText>
      </w:r>
      <w:r>
        <w:fldChar w:fldCharType="separate"/>
      </w:r>
      <w:r>
        <w:t>http://www.mof.gov.cn</w:t>
      </w:r>
      <w:r>
        <w:fldChar w:fldCharType="end"/>
      </w:r>
      <w:r>
        <w:t>）、中国政府采购网（</w:t>
      </w:r>
      <w:r>
        <w:fldChar w:fldCharType="begin"/>
      </w:r>
      <w:r>
        <w:instrText xml:space="preserve"> HYPERLINK "http://www.ccgp.gov.cn/" </w:instrText>
      </w:r>
      <w:r>
        <w:fldChar w:fldCharType="separate"/>
      </w:r>
      <w:r>
        <w:t>http://www.ccgp.gov.cn</w:t>
      </w:r>
      <w:r>
        <w:fldChar w:fldCharType="end"/>
      </w:r>
      <w:r>
        <w:t>）、中华人民共和国生态环境</w:t>
      </w:r>
      <w:r>
        <w:rPr>
          <w:spacing w:val="124"/>
        </w:rPr>
        <w:t xml:space="preserve"> </w:t>
      </w:r>
      <w:r>
        <w:rPr>
          <w:spacing w:val="-1"/>
        </w:rPr>
        <w:t>部网站（</w:t>
      </w:r>
      <w:r>
        <w:fldChar w:fldCharType="begin"/>
      </w:r>
      <w:r>
        <w:instrText xml:space="preserve"> HYPERLINK "http://www.zhb.gov.cn/" </w:instrText>
      </w:r>
      <w:r>
        <w:fldChar w:fldCharType="separate"/>
      </w:r>
      <w:r>
        <w:rPr>
          <w:spacing w:val="-1"/>
        </w:rPr>
        <w:t>http://www.zhb.gov.cn</w:t>
      </w:r>
      <w:r>
        <w:rPr>
          <w:spacing w:val="-1"/>
        </w:rPr>
        <w:fldChar w:fldCharType="end"/>
      </w:r>
      <w:r>
        <w:rPr>
          <w:spacing w:val="-1"/>
        </w:rPr>
        <w:t>）、中国绿色采购网（</w:t>
      </w:r>
      <w:r>
        <w:fldChar w:fldCharType="begin"/>
      </w:r>
      <w:r>
        <w:instrText xml:space="preserve"> HYPERLINK "http://www.cgpn.org/" </w:instrText>
      </w:r>
      <w:r>
        <w:fldChar w:fldCharType="separate"/>
      </w:r>
      <w:r>
        <w:rPr>
          <w:spacing w:val="-1"/>
        </w:rPr>
        <w:t>http://www.cgpn.org</w:t>
      </w:r>
      <w:r>
        <w:rPr>
          <w:spacing w:val="-1"/>
        </w:rPr>
        <w:fldChar w:fldCharType="end"/>
      </w:r>
      <w:r>
        <w:rPr>
          <w:spacing w:val="-1"/>
        </w:rPr>
        <w:t>）上发布，请自行查阅、下</w:t>
      </w:r>
      <w:r>
        <w:rPr>
          <w:spacing w:val="65"/>
        </w:rPr>
        <w:t xml:space="preserve"> </w:t>
      </w:r>
      <w:r>
        <w:t>载。</w:t>
      </w:r>
    </w:p>
    <w:p>
      <w:pPr>
        <w:pStyle w:val="13"/>
        <w:kinsoku w:val="0"/>
        <w:overflowPunct w:val="0"/>
        <w:spacing w:line="340" w:lineRule="exact"/>
        <w:ind w:left="0" w:right="270"/>
        <w:jc w:val="center"/>
        <w:rPr>
          <w:rFonts w:hint="default" w:ascii="Calibri" w:hAnsi="Calibri" w:eastAsia="Calibri"/>
          <w:sz w:val="18"/>
        </w:rPr>
        <w:sectPr>
          <w:pgSz w:w="12240" w:h="15840"/>
          <w:pgMar w:top="1417" w:right="1247" w:bottom="1417" w:left="1247" w:header="720" w:footer="720" w:gutter="0"/>
          <w:cols w:equalWidth="0" w:num="1">
            <w:col w:w="9920"/>
          </w:cols>
        </w:sectPr>
      </w:pPr>
    </w:p>
    <w:p>
      <w:pPr>
        <w:pStyle w:val="13"/>
        <w:kinsoku w:val="0"/>
        <w:overflowPunct w:val="0"/>
        <w:spacing w:line="340" w:lineRule="exact"/>
        <w:ind w:left="541"/>
        <w:rPr>
          <w:rFonts w:hint="default"/>
          <w:spacing w:val="-2"/>
        </w:rPr>
      </w:pPr>
      <w:r>
        <w:rPr>
          <w:spacing w:val="-2"/>
        </w:rPr>
        <w:t>请遵照执行。</w:t>
      </w:r>
    </w:p>
    <w:p>
      <w:pPr>
        <w:pStyle w:val="13"/>
        <w:kinsoku w:val="0"/>
        <w:overflowPunct w:val="0"/>
        <w:spacing w:line="340" w:lineRule="exact"/>
        <w:ind w:left="0"/>
        <w:rPr>
          <w:rFonts w:hint="default"/>
          <w:sz w:val="20"/>
        </w:rPr>
      </w:pPr>
      <w:r>
        <w:rPr>
          <w:rFonts w:hint="default"/>
          <w:sz w:val="24"/>
        </w:rPr>
        <w:br w:type="column"/>
      </w:r>
    </w:p>
    <w:p>
      <w:pPr>
        <w:pStyle w:val="13"/>
        <w:kinsoku w:val="0"/>
        <w:overflowPunct w:val="0"/>
        <w:spacing w:line="340" w:lineRule="exact"/>
        <w:ind w:left="646" w:right="903" w:hanging="106"/>
        <w:rPr>
          <w:rFonts w:hint="default"/>
        </w:rPr>
      </w:pPr>
      <w:r>
        <w:rPr>
          <w:spacing w:val="-1"/>
        </w:rPr>
        <w:t>财政部</w:t>
      </w:r>
      <w:r>
        <w:rPr>
          <w:spacing w:val="-2"/>
        </w:rPr>
        <w:t xml:space="preserve"> </w:t>
      </w:r>
      <w:r>
        <w:rPr>
          <w:spacing w:val="-1"/>
        </w:rPr>
        <w:t>生态环境部</w:t>
      </w:r>
      <w:r>
        <w:rPr>
          <w:spacing w:val="23"/>
        </w:rPr>
        <w:t xml:space="preserve"> </w:t>
      </w:r>
      <w:r>
        <w:rPr>
          <w:spacing w:val="-1"/>
        </w:rPr>
        <w:t>2018</w:t>
      </w:r>
      <w:r>
        <w:rPr>
          <w:spacing w:val="-55"/>
        </w:rPr>
        <w:t xml:space="preserve"> </w:t>
      </w:r>
      <w:r>
        <w:t>年</w:t>
      </w:r>
      <w:r>
        <w:rPr>
          <w:spacing w:val="-55"/>
        </w:rPr>
        <w:t xml:space="preserve"> </w:t>
      </w:r>
      <w:r>
        <w:t>8</w:t>
      </w:r>
      <w:r>
        <w:rPr>
          <w:spacing w:val="-53"/>
        </w:rPr>
        <w:t xml:space="preserve"> </w:t>
      </w:r>
      <w:r>
        <w:t>月</w:t>
      </w:r>
      <w:r>
        <w:rPr>
          <w:spacing w:val="-53"/>
        </w:rPr>
        <w:t xml:space="preserve"> </w:t>
      </w:r>
      <w:r>
        <w:t>2</w:t>
      </w:r>
      <w:r>
        <w:rPr>
          <w:spacing w:val="-55"/>
        </w:rPr>
        <w:t xml:space="preserve"> </w:t>
      </w:r>
      <w:r>
        <w:t>日</w:t>
      </w:r>
    </w:p>
    <w:p>
      <w:pPr>
        <w:pStyle w:val="13"/>
        <w:kinsoku w:val="0"/>
        <w:overflowPunct w:val="0"/>
        <w:spacing w:line="340" w:lineRule="exact"/>
        <w:ind w:left="646" w:right="903" w:hanging="106"/>
        <w:rPr>
          <w:rFonts w:hint="default"/>
        </w:rPr>
        <w:sectPr>
          <w:type w:val="continuous"/>
          <w:pgSz w:w="12240" w:h="15840"/>
          <w:pgMar w:top="1080" w:right="1720" w:bottom="280" w:left="1300" w:header="720" w:footer="720" w:gutter="0"/>
          <w:cols w:equalWidth="0" w:num="2">
            <w:col w:w="1802" w:space="4182"/>
            <w:col w:w="3236"/>
          </w:cols>
        </w:sectPr>
      </w:pPr>
    </w:p>
    <w:p>
      <w:pPr>
        <w:pStyle w:val="13"/>
        <w:kinsoku w:val="0"/>
        <w:overflowPunct w:val="0"/>
        <w:ind w:left="0"/>
        <w:rPr>
          <w:rFonts w:hint="default"/>
          <w:sz w:val="20"/>
        </w:rPr>
      </w:pPr>
    </w:p>
    <w:p>
      <w:pPr>
        <w:pStyle w:val="12"/>
        <w:kinsoku w:val="0"/>
        <w:overflowPunct w:val="0"/>
        <w:rPr>
          <w:rFonts w:hint="default" w:ascii="宋体" w:hAnsi="宋体" w:eastAsia="宋体"/>
          <w:b w:val="0"/>
        </w:rPr>
      </w:pPr>
      <w:r>
        <w:rPr>
          <w:rFonts w:ascii="宋体" w:hAnsi="宋体" w:eastAsia="宋体"/>
        </w:rPr>
        <w:t>3、附证明材料</w:t>
      </w:r>
    </w:p>
    <w:p>
      <w:pPr>
        <w:pStyle w:val="13"/>
        <w:kinsoku w:val="0"/>
        <w:overflowPunct w:val="0"/>
        <w:ind w:left="118"/>
        <w:rPr>
          <w:rFonts w:hint="default"/>
          <w:spacing w:val="-2"/>
        </w:rPr>
      </w:pPr>
      <w:r>
        <w:t>3.1</w:t>
      </w:r>
      <w:r>
        <w:rPr>
          <w:spacing w:val="-53"/>
        </w:rPr>
        <w:t xml:space="preserve"> </w:t>
      </w:r>
      <w:r>
        <w:rPr>
          <w:spacing w:val="-2"/>
        </w:rPr>
        <w:t>附财政部和国家发展改革委发布的“节能产品政府采购清单”投标货物所在页或证书复印件</w:t>
      </w:r>
    </w:p>
    <w:p>
      <w:pPr>
        <w:pStyle w:val="13"/>
        <w:kinsoku w:val="0"/>
        <w:overflowPunct w:val="0"/>
        <w:ind w:left="118"/>
        <w:rPr>
          <w:rFonts w:hint="default"/>
          <w:spacing w:val="-2"/>
        </w:rPr>
      </w:pPr>
      <w:r>
        <w:t>3.2</w:t>
      </w:r>
      <w:r>
        <w:rPr>
          <w:spacing w:val="-53"/>
        </w:rPr>
        <w:t xml:space="preserve"> </w:t>
      </w:r>
      <w:r>
        <w:rPr>
          <w:spacing w:val="-2"/>
        </w:rPr>
        <w:t>附财政部和环境保护部发布的“环境标志产品政府采购清单”投标货物所在页或证书复印件</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rPr>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25"/>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9"/>
        <w:kinsoku w:val="0"/>
        <w:overflowPunct w:val="0"/>
        <w:ind w:firstLine="3881"/>
        <w:rPr>
          <w:rFonts w:hint="default"/>
          <w:b w:val="0"/>
        </w:rPr>
      </w:pPr>
      <w:r>
        <w:t>三、关于监狱企业</w:t>
      </w:r>
    </w:p>
    <w:p>
      <w:pPr>
        <w:pStyle w:val="12"/>
        <w:kinsoku w:val="0"/>
        <w:overflowPunct w:val="0"/>
        <w:spacing w:line="360" w:lineRule="auto"/>
        <w:rPr>
          <w:rFonts w:hint="default" w:ascii="宋体" w:hAnsi="宋体" w:eastAsia="宋体"/>
          <w:b w:val="0"/>
          <w:sz w:val="24"/>
          <w:szCs w:val="24"/>
        </w:rPr>
      </w:pPr>
      <w:r>
        <w:rPr>
          <w:rFonts w:ascii="宋体" w:hAnsi="宋体" w:eastAsia="宋体"/>
          <w:sz w:val="24"/>
          <w:szCs w:val="24"/>
        </w:rPr>
        <w:t>1、政府采购政策</w:t>
      </w:r>
    </w:p>
    <w:p>
      <w:pPr>
        <w:pStyle w:val="13"/>
        <w:kinsoku w:val="0"/>
        <w:overflowPunct w:val="0"/>
        <w:spacing w:line="360" w:lineRule="auto"/>
        <w:ind w:left="118"/>
        <w:rPr>
          <w:rFonts w:hint="default"/>
          <w:sz w:val="24"/>
          <w:szCs w:val="24"/>
        </w:rPr>
      </w:pPr>
      <w:r>
        <w:rPr>
          <w:sz w:val="24"/>
          <w:szCs w:val="24"/>
        </w:rPr>
        <w:t>财政部、司法部关于政府采购支持监狱企业发展有关问题的通知（财库【2014】68</w:t>
      </w:r>
      <w:r>
        <w:rPr>
          <w:spacing w:val="-60"/>
          <w:sz w:val="24"/>
          <w:szCs w:val="24"/>
        </w:rPr>
        <w:t xml:space="preserve"> </w:t>
      </w:r>
      <w:r>
        <w:rPr>
          <w:sz w:val="24"/>
          <w:szCs w:val="24"/>
        </w:rPr>
        <w:t>号）</w:t>
      </w:r>
    </w:p>
    <w:p>
      <w:pPr>
        <w:pStyle w:val="13"/>
        <w:kinsoku w:val="0"/>
        <w:overflowPunct w:val="0"/>
        <w:spacing w:line="360" w:lineRule="auto"/>
        <w:ind w:left="0"/>
        <w:rPr>
          <w:rFonts w:hint="default"/>
          <w:sz w:val="24"/>
          <w:szCs w:val="24"/>
        </w:rPr>
      </w:pPr>
    </w:p>
    <w:p>
      <w:pPr>
        <w:pStyle w:val="13"/>
        <w:kinsoku w:val="0"/>
        <w:overflowPunct w:val="0"/>
        <w:spacing w:line="360" w:lineRule="auto"/>
        <w:ind w:left="118" w:right="110"/>
        <w:rPr>
          <w:rFonts w:hint="default"/>
          <w:b/>
          <w:sz w:val="24"/>
          <w:szCs w:val="24"/>
        </w:rPr>
      </w:pPr>
      <w:r>
        <w:rPr>
          <w:b/>
          <w:sz w:val="24"/>
          <w:szCs w:val="24"/>
        </w:rPr>
        <w:t xml:space="preserve">2、附证明材料 </w:t>
      </w:r>
    </w:p>
    <w:p>
      <w:pPr>
        <w:pStyle w:val="13"/>
        <w:kinsoku w:val="0"/>
        <w:overflowPunct w:val="0"/>
        <w:spacing w:line="360" w:lineRule="auto"/>
        <w:ind w:left="118" w:right="110"/>
        <w:rPr>
          <w:rFonts w:hint="default"/>
          <w:spacing w:val="-2"/>
          <w:sz w:val="24"/>
          <w:szCs w:val="24"/>
        </w:rPr>
      </w:pPr>
      <w:r>
        <w:rPr>
          <w:spacing w:val="-2"/>
          <w:sz w:val="24"/>
          <w:szCs w:val="24"/>
        </w:rPr>
        <w:t>提供由省级以上监狱管理局、戒毒管理局（含新疆生产建设兵团）出具的属于监狱企业的证明文件，否则</w:t>
      </w:r>
      <w:r>
        <w:rPr>
          <w:spacing w:val="65"/>
          <w:sz w:val="24"/>
          <w:szCs w:val="24"/>
        </w:rPr>
        <w:t>，</w:t>
      </w:r>
      <w:r>
        <w:rPr>
          <w:spacing w:val="-2"/>
          <w:sz w:val="24"/>
          <w:szCs w:val="24"/>
        </w:rPr>
        <w:t>投标报价评审时不予价格扣除优惠。</w:t>
      </w:r>
    </w:p>
    <w:p>
      <w:pPr>
        <w:pStyle w:val="13"/>
        <w:kinsoku w:val="0"/>
        <w:overflowPunct w:val="0"/>
        <w:spacing w:line="360" w:lineRule="auto"/>
        <w:ind w:left="0"/>
        <w:rPr>
          <w:rFonts w:hint="default"/>
          <w:sz w:val="24"/>
          <w:szCs w:val="24"/>
        </w:rPr>
      </w:pPr>
    </w:p>
    <w:p>
      <w:pPr>
        <w:pStyle w:val="13"/>
        <w:kinsoku w:val="0"/>
        <w:overflowPunct w:val="0"/>
        <w:spacing w:line="360" w:lineRule="auto"/>
        <w:ind w:left="0"/>
        <w:rPr>
          <w:rFonts w:hint="default"/>
          <w:sz w:val="24"/>
          <w:szCs w:val="24"/>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9"/>
        <w:kinsoku w:val="0"/>
        <w:overflowPunct w:val="0"/>
        <w:ind w:firstLine="2676"/>
      </w:pPr>
    </w:p>
    <w:p>
      <w:pPr>
        <w:pStyle w:val="9"/>
        <w:kinsoku w:val="0"/>
        <w:overflowPunct w:val="0"/>
        <w:ind w:firstLine="2676"/>
        <w:rPr>
          <w:rFonts w:hint="default"/>
          <w:b w:val="0"/>
        </w:rPr>
      </w:pPr>
      <w:r>
        <w:t>四、关于促进残疾人就业的政府采购政策</w:t>
      </w:r>
    </w:p>
    <w:p>
      <w:pPr>
        <w:pStyle w:val="13"/>
        <w:kinsoku w:val="0"/>
        <w:overflowPunct w:val="0"/>
        <w:ind w:left="0"/>
        <w:rPr>
          <w:rFonts w:hint="default"/>
          <w:b/>
          <w:sz w:val="24"/>
        </w:rPr>
      </w:pPr>
    </w:p>
    <w:p>
      <w:pPr>
        <w:pStyle w:val="13"/>
        <w:kinsoku w:val="0"/>
        <w:overflowPunct w:val="0"/>
        <w:ind w:left="0"/>
        <w:rPr>
          <w:rFonts w:hint="default"/>
          <w:b/>
          <w:sz w:val="19"/>
        </w:rPr>
      </w:pPr>
    </w:p>
    <w:p>
      <w:pPr>
        <w:pStyle w:val="13"/>
        <w:numPr>
          <w:ilvl w:val="0"/>
          <w:numId w:val="48"/>
        </w:numPr>
        <w:kinsoku w:val="0"/>
        <w:overflowPunct w:val="0"/>
        <w:spacing w:line="360" w:lineRule="auto"/>
        <w:ind w:left="478" w:right="2532" w:hanging="360"/>
        <w:rPr>
          <w:rFonts w:hint="default"/>
          <w:b/>
          <w:sz w:val="24"/>
          <w:szCs w:val="24"/>
        </w:rPr>
      </w:pPr>
      <w:r>
        <w:rPr>
          <w:b/>
          <w:sz w:val="24"/>
          <w:szCs w:val="24"/>
        </w:rPr>
        <w:t xml:space="preserve">政府采购政策 </w:t>
      </w:r>
    </w:p>
    <w:p>
      <w:pPr>
        <w:pStyle w:val="13"/>
        <w:kinsoku w:val="0"/>
        <w:overflowPunct w:val="0"/>
        <w:spacing w:line="360" w:lineRule="auto"/>
        <w:ind w:left="118" w:right="2532"/>
        <w:rPr>
          <w:rFonts w:hint="default"/>
          <w:spacing w:val="2"/>
          <w:sz w:val="24"/>
          <w:szCs w:val="24"/>
        </w:rPr>
      </w:pPr>
      <w:r>
        <w:rPr>
          <w:spacing w:val="4"/>
          <w:sz w:val="24"/>
          <w:szCs w:val="24"/>
        </w:rPr>
        <w:t>关于促进残疾人就业政府采购政策的通知（财库〔2017〕141</w:t>
      </w:r>
      <w:r>
        <w:rPr>
          <w:spacing w:val="-45"/>
          <w:sz w:val="24"/>
          <w:szCs w:val="24"/>
        </w:rPr>
        <w:t xml:space="preserve"> </w:t>
      </w:r>
      <w:r>
        <w:rPr>
          <w:spacing w:val="2"/>
          <w:sz w:val="24"/>
          <w:szCs w:val="24"/>
        </w:rPr>
        <w:t>号）</w:t>
      </w:r>
    </w:p>
    <w:p>
      <w:pPr>
        <w:pStyle w:val="13"/>
        <w:kinsoku w:val="0"/>
        <w:overflowPunct w:val="0"/>
        <w:spacing w:line="360" w:lineRule="auto"/>
        <w:ind w:left="0"/>
        <w:rPr>
          <w:rFonts w:hint="default"/>
          <w:sz w:val="24"/>
          <w:szCs w:val="24"/>
        </w:rPr>
      </w:pPr>
    </w:p>
    <w:p>
      <w:pPr>
        <w:pStyle w:val="13"/>
        <w:kinsoku w:val="0"/>
        <w:overflowPunct w:val="0"/>
        <w:spacing w:line="360" w:lineRule="auto"/>
        <w:ind w:left="118"/>
        <w:jc w:val="both"/>
        <w:rPr>
          <w:rFonts w:hint="default"/>
        </w:rPr>
      </w:pPr>
      <w:r>
        <w:rPr>
          <w:b/>
          <w:spacing w:val="-2"/>
          <w:sz w:val="24"/>
          <w:szCs w:val="24"/>
        </w:rPr>
        <w:t>2、附声明函（</w:t>
      </w:r>
      <w:r>
        <w:rPr>
          <w:spacing w:val="-2"/>
          <w:sz w:val="24"/>
          <w:szCs w:val="24"/>
        </w:rPr>
        <w:t>无声明函投标报价评审时不予价格扣除优惠</w:t>
      </w:r>
      <w:r>
        <w:rPr>
          <w:b/>
          <w:spacing w:val="-2"/>
          <w:sz w:val="24"/>
          <w:szCs w:val="24"/>
        </w:rPr>
        <w:t>）</w:t>
      </w: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2"/>
        </w:rPr>
      </w:pPr>
    </w:p>
    <w:p>
      <w:pPr>
        <w:pStyle w:val="9"/>
        <w:kinsoku w:val="0"/>
        <w:overflowPunct w:val="0"/>
        <w:ind w:left="0" w:right="-94"/>
        <w:jc w:val="center"/>
        <w:rPr>
          <w:rFonts w:hint="default"/>
          <w:b w:val="0"/>
        </w:rPr>
      </w:pPr>
      <w:r>
        <w:rPr>
          <w:spacing w:val="6"/>
        </w:rPr>
        <w:t>残疾人福利性单位声明函</w:t>
      </w:r>
    </w:p>
    <w:p>
      <w:pPr>
        <w:pStyle w:val="13"/>
        <w:kinsoku w:val="0"/>
        <w:overflowPunct w:val="0"/>
        <w:ind w:left="0"/>
        <w:rPr>
          <w:rFonts w:hint="default"/>
          <w:b/>
          <w:sz w:val="24"/>
        </w:rPr>
      </w:pPr>
    </w:p>
    <w:p>
      <w:pPr>
        <w:pStyle w:val="13"/>
        <w:kinsoku w:val="0"/>
        <w:overflowPunct w:val="0"/>
        <w:ind w:left="0"/>
        <w:rPr>
          <w:rFonts w:hint="default"/>
          <w:b/>
          <w:sz w:val="19"/>
        </w:rPr>
      </w:pPr>
    </w:p>
    <w:p>
      <w:pPr>
        <w:pStyle w:val="13"/>
        <w:kinsoku w:val="0"/>
        <w:overflowPunct w:val="0"/>
        <w:spacing w:line="356" w:lineRule="auto"/>
        <w:ind w:left="118" w:right="110" w:firstLine="432"/>
        <w:rPr>
          <w:rFonts w:hint="default"/>
        </w:rPr>
      </w:pPr>
      <w:r>
        <w:rPr>
          <w:spacing w:val="7"/>
        </w:rPr>
        <w:t>本单位郑重声明，根据《财政部</w:t>
      </w:r>
      <w:r>
        <w:rPr>
          <w:spacing w:val="24"/>
        </w:rPr>
        <w:t xml:space="preserve"> </w:t>
      </w:r>
      <w:r>
        <w:rPr>
          <w:spacing w:val="6"/>
        </w:rPr>
        <w:t>民政部</w:t>
      </w:r>
      <w:r>
        <w:rPr>
          <w:spacing w:val="17"/>
        </w:rPr>
        <w:t xml:space="preserve"> </w:t>
      </w:r>
      <w:r>
        <w:rPr>
          <w:spacing w:val="8"/>
        </w:rPr>
        <w:t>中国残疾人联合会关于促进残疾人就业政府采购政策的</w:t>
      </w:r>
      <w:r>
        <w:rPr>
          <w:spacing w:val="31"/>
        </w:rPr>
        <w:t xml:space="preserve"> </w:t>
      </w:r>
      <w:r>
        <w:rPr>
          <w:spacing w:val="11"/>
        </w:rPr>
        <w:t>通知》（财库〔2017〕141</w:t>
      </w:r>
      <w:r>
        <w:rPr>
          <w:spacing w:val="14"/>
        </w:rPr>
        <w:t xml:space="preserve"> </w:t>
      </w:r>
      <w:r>
        <w:rPr>
          <w:spacing w:val="21"/>
        </w:rPr>
        <w:t>号）的规定，本单位为符合条件的残疾人福利性单位，且本单位参</w:t>
      </w:r>
      <w:r>
        <w:t>加</w:t>
      </w:r>
      <w:r>
        <w:rPr>
          <w:spacing w:val="5"/>
        </w:rPr>
        <w:t>__________________单位的______________________项目采购活动提供本单位制造的货物（由本单位</w:t>
      </w:r>
      <w:r>
        <w:rPr>
          <w:spacing w:val="96"/>
        </w:rPr>
        <w:t xml:space="preserve"> </w:t>
      </w:r>
      <w:r>
        <w:rPr>
          <w:spacing w:val="5"/>
        </w:rPr>
        <w:t>承担工程/提供服务），或者提供其他残疾人福利性单位制造的货物（不包括使用非残疾人福利性单位</w:t>
      </w:r>
      <w:r>
        <w:rPr>
          <w:spacing w:val="38"/>
        </w:rPr>
        <w:t xml:space="preserve"> </w:t>
      </w:r>
      <w:r>
        <w:rPr>
          <w:spacing w:val="4"/>
        </w:rPr>
        <w:t>注册商标的货物）。</w:t>
      </w:r>
    </w:p>
    <w:p>
      <w:pPr>
        <w:pStyle w:val="13"/>
        <w:kinsoku w:val="0"/>
        <w:overflowPunct w:val="0"/>
        <w:ind w:left="550"/>
        <w:rPr>
          <w:rFonts w:hint="default"/>
        </w:rPr>
      </w:pPr>
      <w:r>
        <w:rPr>
          <w:spacing w:val="4"/>
        </w:rPr>
        <w:t>本单位对上述声明的真实性负责。如有虚假，将依法承担相应责任。</w:t>
      </w:r>
    </w:p>
    <w:p>
      <w:pPr>
        <w:pStyle w:val="13"/>
        <w:kinsoku w:val="0"/>
        <w:overflowPunct w:val="0"/>
        <w:ind w:left="0"/>
        <w:rPr>
          <w:rFonts w:hint="default"/>
          <w:sz w:val="20"/>
        </w:rPr>
      </w:pPr>
    </w:p>
    <w:p>
      <w:pPr>
        <w:pStyle w:val="13"/>
        <w:kinsoku w:val="0"/>
        <w:overflowPunct w:val="0"/>
        <w:ind w:left="0"/>
        <w:rPr>
          <w:rFonts w:hint="default"/>
        </w:rPr>
      </w:pPr>
    </w:p>
    <w:p>
      <w:pPr>
        <w:pStyle w:val="13"/>
        <w:tabs>
          <w:tab w:val="left" w:pos="7382"/>
        </w:tabs>
        <w:kinsoku w:val="0"/>
        <w:overflowPunct w:val="0"/>
        <w:spacing w:line="356" w:lineRule="auto"/>
        <w:ind w:left="6943" w:right="134" w:hanging="1076"/>
        <w:jc w:val="right"/>
        <w:rPr>
          <w:rFonts w:hint="default" w:cs="宋体"/>
          <w:color w:val="000000"/>
          <w:sz w:val="24"/>
        </w:rPr>
      </w:pPr>
      <w:r>
        <w:rPr>
          <w:rFonts w:cs="宋体"/>
          <w:color w:val="000000"/>
          <w:sz w:val="24"/>
        </w:rPr>
        <w:t>投标人：（企业电子签章或公章）</w:t>
      </w:r>
    </w:p>
    <w:p>
      <w:pPr>
        <w:pStyle w:val="13"/>
        <w:tabs>
          <w:tab w:val="left" w:pos="7382"/>
        </w:tabs>
        <w:kinsoku w:val="0"/>
        <w:overflowPunct w:val="0"/>
        <w:spacing w:line="356" w:lineRule="auto"/>
        <w:ind w:left="6943" w:right="134" w:hanging="1076"/>
        <w:jc w:val="center"/>
        <w:rPr>
          <w:rFonts w:hint="default"/>
          <w:sz w:val="20"/>
        </w:rPr>
      </w:pPr>
      <w:r>
        <w:t>日</w:t>
      </w:r>
      <w:r>
        <w:tab/>
      </w:r>
      <w:r>
        <w:rPr>
          <w:spacing w:val="4"/>
        </w:rPr>
        <w:t>期：_______________</w:t>
      </w: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sz w:val="20"/>
        </w:rPr>
      </w:pPr>
    </w:p>
    <w:p>
      <w:pPr>
        <w:pStyle w:val="14"/>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9"/>
        <w:kinsoku w:val="0"/>
        <w:overflowPunct w:val="0"/>
        <w:ind w:left="639" w:firstLine="707"/>
        <w:rPr>
          <w:rFonts w:hint="default"/>
        </w:rPr>
      </w:pPr>
    </w:p>
    <w:p>
      <w:pPr>
        <w:rPr>
          <w:rFonts w:hint="default"/>
        </w:rPr>
      </w:pPr>
    </w:p>
    <w:p>
      <w:pPr>
        <w:pStyle w:val="13"/>
        <w:rPr>
          <w:rFonts w:hint="default"/>
        </w:rPr>
      </w:pPr>
    </w:p>
    <w:p>
      <w:pPr>
        <w:pStyle w:val="14"/>
        <w:rPr>
          <w:rFonts w:hint="default"/>
        </w:rPr>
      </w:pPr>
    </w:p>
    <w:p>
      <w:pPr>
        <w:pStyle w:val="14"/>
        <w:rPr>
          <w:rFonts w:hint="default"/>
        </w:rPr>
      </w:pPr>
    </w:p>
    <w:p>
      <w:pPr>
        <w:pStyle w:val="14"/>
        <w:rPr>
          <w:rFonts w:hint="default"/>
        </w:rPr>
      </w:pPr>
    </w:p>
    <w:p>
      <w:pPr>
        <w:pStyle w:val="14"/>
        <w:rPr>
          <w:rFonts w:hint="default"/>
        </w:rPr>
      </w:pPr>
    </w:p>
    <w:p>
      <w:pPr>
        <w:pStyle w:val="14"/>
        <w:rPr>
          <w:rFonts w:hint="default"/>
        </w:rPr>
      </w:pPr>
    </w:p>
    <w:p>
      <w:pPr>
        <w:pStyle w:val="9"/>
        <w:kinsoku w:val="0"/>
        <w:overflowPunct w:val="0"/>
        <w:ind w:left="639" w:firstLine="707"/>
        <w:rPr>
          <w:rFonts w:hint="default"/>
          <w:b w:val="0"/>
        </w:rPr>
      </w:pPr>
      <w:r>
        <w:t>五、关于在政府采购活动中使用供应商信用评估报告的政府采购政策</w:t>
      </w:r>
    </w:p>
    <w:p>
      <w:pPr>
        <w:pStyle w:val="13"/>
        <w:kinsoku w:val="0"/>
        <w:overflowPunct w:val="0"/>
        <w:ind w:left="0"/>
        <w:rPr>
          <w:rFonts w:hint="default"/>
          <w:b/>
          <w:sz w:val="24"/>
        </w:rPr>
      </w:pPr>
    </w:p>
    <w:p>
      <w:pPr>
        <w:pStyle w:val="13"/>
        <w:kinsoku w:val="0"/>
        <w:overflowPunct w:val="0"/>
        <w:ind w:left="0"/>
        <w:rPr>
          <w:rFonts w:hint="default"/>
          <w:b/>
          <w:sz w:val="17"/>
        </w:rPr>
      </w:pPr>
    </w:p>
    <w:p>
      <w:pPr>
        <w:pStyle w:val="12"/>
        <w:kinsoku w:val="0"/>
        <w:overflowPunct w:val="0"/>
        <w:spacing w:line="360" w:lineRule="auto"/>
        <w:rPr>
          <w:rFonts w:hint="default" w:ascii="宋体" w:hAnsi="宋体" w:eastAsia="宋体"/>
          <w:b w:val="0"/>
          <w:sz w:val="24"/>
          <w:szCs w:val="24"/>
        </w:rPr>
      </w:pPr>
      <w:r>
        <w:rPr>
          <w:rFonts w:ascii="宋体" w:hAnsi="宋体" w:eastAsia="宋体"/>
          <w:spacing w:val="-1"/>
          <w:sz w:val="24"/>
          <w:szCs w:val="24"/>
        </w:rPr>
        <w:t>1、政府采购政策</w:t>
      </w:r>
    </w:p>
    <w:p>
      <w:pPr>
        <w:pStyle w:val="13"/>
        <w:kinsoku w:val="0"/>
        <w:overflowPunct w:val="0"/>
        <w:spacing w:line="360" w:lineRule="auto"/>
        <w:ind w:left="118" w:firstLine="441" w:firstLineChars="187"/>
        <w:rPr>
          <w:rFonts w:hint="default"/>
          <w:spacing w:val="-2"/>
          <w:sz w:val="24"/>
          <w:szCs w:val="24"/>
        </w:rPr>
      </w:pPr>
      <w:r>
        <w:rPr>
          <w:spacing w:val="-2"/>
          <w:sz w:val="24"/>
          <w:szCs w:val="24"/>
        </w:rPr>
        <w:t>《河南省财政厅关于在政府采购活动中使用供应商信用评估报告促进我省社会信用体系建设的实施意</w:t>
      </w:r>
      <w:r>
        <w:rPr>
          <w:spacing w:val="63"/>
          <w:sz w:val="24"/>
          <w:szCs w:val="24"/>
        </w:rPr>
        <w:t xml:space="preserve"> </w:t>
      </w:r>
      <w:r>
        <w:rPr>
          <w:spacing w:val="-2"/>
          <w:sz w:val="24"/>
          <w:szCs w:val="24"/>
        </w:rPr>
        <w:t>见》（豫财购〔2010〕26号）的规定：</w:t>
      </w:r>
    </w:p>
    <w:p>
      <w:pPr>
        <w:pStyle w:val="13"/>
        <w:kinsoku w:val="0"/>
        <w:overflowPunct w:val="0"/>
        <w:spacing w:line="360" w:lineRule="auto"/>
        <w:ind w:left="0"/>
        <w:rPr>
          <w:rFonts w:hint="default"/>
          <w:sz w:val="24"/>
          <w:szCs w:val="24"/>
        </w:rPr>
      </w:pPr>
    </w:p>
    <w:p>
      <w:pPr>
        <w:pStyle w:val="13"/>
        <w:numPr>
          <w:ilvl w:val="0"/>
          <w:numId w:val="48"/>
        </w:numPr>
        <w:kinsoku w:val="0"/>
        <w:overflowPunct w:val="0"/>
        <w:spacing w:line="360" w:lineRule="auto"/>
        <w:ind w:left="478" w:hanging="360"/>
        <w:rPr>
          <w:rFonts w:hint="default"/>
          <w:b/>
          <w:spacing w:val="26"/>
          <w:sz w:val="24"/>
          <w:szCs w:val="24"/>
        </w:rPr>
      </w:pPr>
      <w:r>
        <w:rPr>
          <w:b/>
          <w:spacing w:val="-1"/>
          <w:sz w:val="24"/>
          <w:szCs w:val="24"/>
        </w:rPr>
        <w:t>附证明材料</w:t>
      </w:r>
      <w:r>
        <w:rPr>
          <w:b/>
          <w:spacing w:val="26"/>
          <w:sz w:val="24"/>
          <w:szCs w:val="24"/>
        </w:rPr>
        <w:t xml:space="preserve"> </w:t>
      </w:r>
    </w:p>
    <w:p>
      <w:pPr>
        <w:pStyle w:val="13"/>
        <w:kinsoku w:val="0"/>
        <w:overflowPunct w:val="0"/>
        <w:spacing w:line="360" w:lineRule="auto"/>
        <w:ind w:left="0" w:firstLine="474" w:firstLineChars="201"/>
        <w:rPr>
          <w:rFonts w:hint="default"/>
          <w:spacing w:val="-2"/>
          <w:sz w:val="24"/>
          <w:szCs w:val="24"/>
        </w:rPr>
      </w:pPr>
      <w:r>
        <w:rPr>
          <w:spacing w:val="-2"/>
          <w:sz w:val="24"/>
          <w:szCs w:val="24"/>
        </w:rPr>
        <w:t>河南省供应商所提供的信用评估报告，应是在工商部门注册并在河南省信用建设促进会备案认可的信用评级机构出具的信用评估报告。外省供应商应提供经省级以上社会信用管理部门备案认可的信</w:t>
      </w:r>
      <w:r>
        <w:rPr>
          <w:sz w:val="24"/>
          <w:szCs w:val="24"/>
        </w:rPr>
        <w:t>用</w:t>
      </w:r>
      <w:r>
        <w:rPr>
          <w:spacing w:val="-2"/>
          <w:sz w:val="24"/>
          <w:szCs w:val="24"/>
        </w:rPr>
        <w:t>评级机构出具的信用评估报告，同时出具信用评级机构相应的资质材料。</w:t>
      </w:r>
    </w:p>
    <w:p>
      <w:pPr>
        <w:pStyle w:val="13"/>
        <w:kinsoku w:val="0"/>
        <w:overflowPunct w:val="0"/>
        <w:spacing w:line="360" w:lineRule="auto"/>
        <w:ind w:left="0"/>
        <w:rPr>
          <w:rFonts w:hint="default"/>
          <w:sz w:val="24"/>
          <w:szCs w:val="24"/>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13"/>
        <w:kinsoku w:val="0"/>
        <w:overflowPunct w:val="0"/>
        <w:ind w:left="0"/>
        <w:rPr>
          <w:rFonts w:hint="default"/>
          <w:sz w:val="20"/>
        </w:rPr>
      </w:pPr>
    </w:p>
    <w:p>
      <w:pPr>
        <w:pStyle w:val="9"/>
        <w:kinsoku w:val="0"/>
        <w:overflowPunct w:val="0"/>
        <w:ind w:left="2735"/>
        <w:rPr>
          <w:rFonts w:hint="default"/>
          <w:b w:val="0"/>
        </w:rPr>
      </w:pPr>
      <w:r>
        <w:t>六、其他政府采购政策及证明材料</w:t>
      </w: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p>
      <w:pPr>
        <w:pStyle w:val="13"/>
        <w:kinsoku w:val="0"/>
        <w:overflowPunct w:val="0"/>
        <w:ind w:left="0"/>
        <w:rPr>
          <w:rFonts w:hint="default"/>
          <w:b/>
          <w:sz w:val="20"/>
        </w:rPr>
      </w:pPr>
    </w:p>
    <w:sectPr>
      <w:pgSz w:w="12240" w:h="15840"/>
      <w:pgMar w:top="1417" w:right="1247" w:bottom="1417" w:left="1247" w:header="737" w:footer="1077" w:gutter="0"/>
      <w:cols w:equalWidth="0" w:num="1">
        <w:col w:w="8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font-weight : 400">
    <w:altName w:val="Microsoft Sans Serif"/>
    <w:panose1 w:val="00000000000000000000"/>
    <w:charset w:val="00"/>
    <w:family w:val="auto"/>
    <w:pitch w:val="default"/>
    <w:sig w:usb0="00000000" w:usb1="00000000" w:usb2="00000000" w:usb3="00000000" w:csb0="00000000" w:csb1="00000000"/>
  </w:font>
  <w:font w:name="方正大标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75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45434"/>
    <w:multiLevelType w:val="singleLevel"/>
    <w:tmpl w:val="84645434"/>
    <w:lvl w:ilvl="0" w:tentative="0">
      <w:start w:val="7"/>
      <w:numFmt w:val="decimal"/>
      <w:suff w:val="nothing"/>
      <w:lvlText w:val="%1、"/>
      <w:lvlJc w:val="left"/>
    </w:lvl>
  </w:abstractNum>
  <w:abstractNum w:abstractNumId="1">
    <w:nsid w:val="959DFC6F"/>
    <w:multiLevelType w:val="singleLevel"/>
    <w:tmpl w:val="959DFC6F"/>
    <w:lvl w:ilvl="0" w:tentative="0">
      <w:start w:val="5"/>
      <w:numFmt w:val="chineseCounting"/>
      <w:suff w:val="nothing"/>
      <w:lvlText w:val="%1、"/>
      <w:lvlJc w:val="left"/>
      <w:rPr>
        <w:rFonts w:hint="eastAsia"/>
      </w:rPr>
    </w:lvl>
  </w:abstractNum>
  <w:abstractNum w:abstractNumId="2">
    <w:nsid w:val="01973298"/>
    <w:multiLevelType w:val="singleLevel"/>
    <w:tmpl w:val="01973298"/>
    <w:lvl w:ilvl="0" w:tentative="0">
      <w:start w:val="1"/>
      <w:numFmt w:val="decimal"/>
      <w:lvlText w:val="%1)"/>
      <w:lvlJc w:val="left"/>
      <w:pPr>
        <w:tabs>
          <w:tab w:val="left" w:pos="930"/>
        </w:tabs>
        <w:ind w:left="930" w:hanging="240"/>
      </w:pPr>
      <w:rPr>
        <w:rFonts w:hint="eastAsia"/>
      </w:rPr>
    </w:lvl>
  </w:abstractNum>
  <w:abstractNum w:abstractNumId="3">
    <w:nsid w:val="02A22642"/>
    <w:multiLevelType w:val="multilevel"/>
    <w:tmpl w:val="02A22642"/>
    <w:lvl w:ilvl="0" w:tentative="0">
      <w:start w:val="3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
    <w:nsid w:val="034C1D6C"/>
    <w:multiLevelType w:val="singleLevel"/>
    <w:tmpl w:val="034C1D6C"/>
    <w:lvl w:ilvl="0" w:tentative="0">
      <w:start w:val="1"/>
      <w:numFmt w:val="decimal"/>
      <w:lvlText w:val="%1)"/>
      <w:lvlJc w:val="left"/>
      <w:pPr>
        <w:tabs>
          <w:tab w:val="left" w:pos="1050"/>
        </w:tabs>
        <w:ind w:left="1050" w:hanging="240"/>
      </w:pPr>
      <w:rPr>
        <w:rFonts w:hint="eastAsia"/>
      </w:rPr>
    </w:lvl>
  </w:abstractNum>
  <w:abstractNum w:abstractNumId="5">
    <w:nsid w:val="05D1574C"/>
    <w:multiLevelType w:val="multilevel"/>
    <w:tmpl w:val="05D1574C"/>
    <w:lvl w:ilvl="0" w:tentative="0">
      <w:start w:val="10"/>
      <w:numFmt w:val="decimal"/>
      <w:lvlText w:val="%1"/>
      <w:lvlJc w:val="left"/>
      <w:pPr>
        <w:tabs>
          <w:tab w:val="left" w:pos="840"/>
        </w:tabs>
        <w:ind w:left="840" w:hanging="840"/>
      </w:pPr>
    </w:lvl>
    <w:lvl w:ilvl="1" w:tentative="0">
      <w:start w:val="1"/>
      <w:numFmt w:val="decimal"/>
      <w:lvlText w:val="%1．%2"/>
      <w:lvlJc w:val="left"/>
      <w:pPr>
        <w:tabs>
          <w:tab w:val="left" w:pos="840"/>
        </w:tabs>
        <w:ind w:left="840" w:hanging="840"/>
      </w:pPr>
    </w:lvl>
    <w:lvl w:ilvl="2" w:tentative="0">
      <w:start w:val="1"/>
      <w:numFmt w:val="decimal"/>
      <w:lvlText w:val="%1．%2.%3"/>
      <w:lvlJc w:val="left"/>
      <w:pPr>
        <w:tabs>
          <w:tab w:val="left" w:pos="840"/>
        </w:tabs>
        <w:ind w:left="840" w:hanging="840"/>
      </w:pPr>
    </w:lvl>
    <w:lvl w:ilvl="3" w:tentative="0">
      <w:start w:val="1"/>
      <w:numFmt w:val="decimal"/>
      <w:lvlText w:val="%1．%2.%3.%4"/>
      <w:lvlJc w:val="left"/>
      <w:pPr>
        <w:tabs>
          <w:tab w:val="left" w:pos="840"/>
        </w:tabs>
        <w:ind w:left="840" w:hanging="840"/>
      </w:pPr>
    </w:lvl>
    <w:lvl w:ilvl="4" w:tentative="0">
      <w:start w:val="1"/>
      <w:numFmt w:val="decimal"/>
      <w:lvlText w:val="%1．%2.%3.%4.%5"/>
      <w:lvlJc w:val="left"/>
      <w:pPr>
        <w:tabs>
          <w:tab w:val="left" w:pos="840"/>
        </w:tabs>
        <w:ind w:left="840" w:hanging="840"/>
      </w:pPr>
    </w:lvl>
    <w:lvl w:ilvl="5" w:tentative="0">
      <w:start w:val="1"/>
      <w:numFmt w:val="decimal"/>
      <w:lvlText w:val="%1．%2.%3.%4.%5.%6"/>
      <w:lvlJc w:val="left"/>
      <w:pPr>
        <w:tabs>
          <w:tab w:val="left" w:pos="840"/>
        </w:tabs>
        <w:ind w:left="840" w:hanging="840"/>
      </w:pPr>
    </w:lvl>
    <w:lvl w:ilvl="6" w:tentative="0">
      <w:start w:val="1"/>
      <w:numFmt w:val="decimal"/>
      <w:lvlText w:val="%1．%2.%3.%4.%5.%6.%7"/>
      <w:lvlJc w:val="left"/>
      <w:pPr>
        <w:tabs>
          <w:tab w:val="left" w:pos="840"/>
        </w:tabs>
        <w:ind w:left="840" w:hanging="840"/>
      </w:pPr>
    </w:lvl>
    <w:lvl w:ilvl="7" w:tentative="0">
      <w:start w:val="1"/>
      <w:numFmt w:val="decimal"/>
      <w:lvlText w:val="%1．%2.%3.%4.%5.%6.%7.%8"/>
      <w:lvlJc w:val="left"/>
      <w:pPr>
        <w:tabs>
          <w:tab w:val="left" w:pos="840"/>
        </w:tabs>
        <w:ind w:left="840" w:hanging="840"/>
      </w:pPr>
    </w:lvl>
    <w:lvl w:ilvl="8" w:tentative="0">
      <w:start w:val="1"/>
      <w:numFmt w:val="decimal"/>
      <w:lvlText w:val="%1．%2.%3.%4.%5.%6.%7.%8.%9"/>
      <w:lvlJc w:val="left"/>
      <w:pPr>
        <w:tabs>
          <w:tab w:val="left" w:pos="840"/>
        </w:tabs>
        <w:ind w:left="840" w:hanging="840"/>
      </w:pPr>
    </w:lvl>
  </w:abstractNum>
  <w:abstractNum w:abstractNumId="6">
    <w:nsid w:val="062A259D"/>
    <w:multiLevelType w:val="multilevel"/>
    <w:tmpl w:val="062A259D"/>
    <w:lvl w:ilvl="0" w:tentative="0">
      <w:start w:val="7"/>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7">
    <w:nsid w:val="067C75B6"/>
    <w:multiLevelType w:val="multilevel"/>
    <w:tmpl w:val="067C75B6"/>
    <w:lvl w:ilvl="0" w:tentative="0">
      <w:start w:val="1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8">
    <w:nsid w:val="07305F17"/>
    <w:multiLevelType w:val="multilevel"/>
    <w:tmpl w:val="07305F17"/>
    <w:lvl w:ilvl="0" w:tentative="0">
      <w:start w:val="2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9">
    <w:nsid w:val="0A633AA3"/>
    <w:multiLevelType w:val="multilevel"/>
    <w:tmpl w:val="0A633AA3"/>
    <w:lvl w:ilvl="0" w:tentative="0">
      <w:start w:val="3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0">
    <w:nsid w:val="0B2C5011"/>
    <w:multiLevelType w:val="multilevel"/>
    <w:tmpl w:val="0B2C5011"/>
    <w:lvl w:ilvl="0" w:tentative="0">
      <w:start w:val="3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1">
    <w:nsid w:val="0B6D1811"/>
    <w:multiLevelType w:val="multilevel"/>
    <w:tmpl w:val="0B6D1811"/>
    <w:lvl w:ilvl="0" w:tentative="0">
      <w:start w:val="3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2">
    <w:nsid w:val="0D55205A"/>
    <w:multiLevelType w:val="multilevel"/>
    <w:tmpl w:val="0D55205A"/>
    <w:lvl w:ilvl="0" w:tentative="0">
      <w:start w:val="1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3">
    <w:nsid w:val="12B9062D"/>
    <w:multiLevelType w:val="multilevel"/>
    <w:tmpl w:val="12B9062D"/>
    <w:lvl w:ilvl="0" w:tentative="0">
      <w:start w:val="1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4">
    <w:nsid w:val="16F32296"/>
    <w:multiLevelType w:val="multilevel"/>
    <w:tmpl w:val="16F32296"/>
    <w:lvl w:ilvl="0" w:tentative="0">
      <w:start w:val="28"/>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5">
    <w:nsid w:val="171A6FB2"/>
    <w:multiLevelType w:val="singleLevel"/>
    <w:tmpl w:val="171A6FB2"/>
    <w:lvl w:ilvl="0" w:tentative="0">
      <w:start w:val="1"/>
      <w:numFmt w:val="decimal"/>
      <w:lvlText w:val="%1）"/>
      <w:lvlJc w:val="left"/>
      <w:pPr>
        <w:tabs>
          <w:tab w:val="left" w:pos="890"/>
        </w:tabs>
        <w:ind w:left="890" w:hanging="465"/>
      </w:pPr>
    </w:lvl>
  </w:abstractNum>
  <w:abstractNum w:abstractNumId="16">
    <w:nsid w:val="1A95737C"/>
    <w:multiLevelType w:val="multilevel"/>
    <w:tmpl w:val="1A95737C"/>
    <w:lvl w:ilvl="0" w:tentative="0">
      <w:start w:val="1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7">
    <w:nsid w:val="1B681982"/>
    <w:multiLevelType w:val="singleLevel"/>
    <w:tmpl w:val="1B681982"/>
    <w:lvl w:ilvl="0" w:tentative="0">
      <w:start w:val="1"/>
      <w:numFmt w:val="decimal"/>
      <w:lvlText w:val="%1)"/>
      <w:lvlJc w:val="left"/>
      <w:pPr>
        <w:tabs>
          <w:tab w:val="left" w:pos="1140"/>
        </w:tabs>
        <w:ind w:left="1140" w:hanging="240"/>
      </w:pPr>
    </w:lvl>
  </w:abstractNum>
  <w:abstractNum w:abstractNumId="18">
    <w:nsid w:val="1EEB5251"/>
    <w:multiLevelType w:val="multilevel"/>
    <w:tmpl w:val="1EEB5251"/>
    <w:lvl w:ilvl="0" w:tentative="0">
      <w:start w:val="2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9">
    <w:nsid w:val="297C2FEC"/>
    <w:multiLevelType w:val="multilevel"/>
    <w:tmpl w:val="297C2FEC"/>
    <w:lvl w:ilvl="0" w:tentative="0">
      <w:start w:val="2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0">
    <w:nsid w:val="299F661F"/>
    <w:multiLevelType w:val="singleLevel"/>
    <w:tmpl w:val="299F661F"/>
    <w:lvl w:ilvl="0" w:tentative="0">
      <w:start w:val="1"/>
      <w:numFmt w:val="decimal"/>
      <w:lvlText w:val="%1)"/>
      <w:lvlJc w:val="left"/>
      <w:pPr>
        <w:tabs>
          <w:tab w:val="left" w:pos="1080"/>
        </w:tabs>
        <w:ind w:left="1080" w:hanging="240"/>
      </w:pPr>
      <w:rPr>
        <w:rFonts w:hint="eastAsia"/>
      </w:rPr>
    </w:lvl>
  </w:abstractNum>
  <w:abstractNum w:abstractNumId="21">
    <w:nsid w:val="2B0E6635"/>
    <w:multiLevelType w:val="singleLevel"/>
    <w:tmpl w:val="2B0E6635"/>
    <w:lvl w:ilvl="0" w:tentative="0">
      <w:start w:val="1"/>
      <w:numFmt w:val="decimal"/>
      <w:lvlText w:val="%1)"/>
      <w:lvlJc w:val="left"/>
      <w:pPr>
        <w:tabs>
          <w:tab w:val="left" w:pos="1200"/>
        </w:tabs>
        <w:ind w:left="1200" w:hanging="240"/>
      </w:pPr>
      <w:rPr>
        <w:rFonts w:hint="eastAsia"/>
      </w:rPr>
    </w:lvl>
  </w:abstractNum>
  <w:abstractNum w:abstractNumId="22">
    <w:nsid w:val="2E3F6AB9"/>
    <w:multiLevelType w:val="multilevel"/>
    <w:tmpl w:val="2E3F6AB9"/>
    <w:lvl w:ilvl="0" w:tentative="0">
      <w:start w:val="5"/>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23">
    <w:nsid w:val="2F6E4008"/>
    <w:multiLevelType w:val="singleLevel"/>
    <w:tmpl w:val="2F6E4008"/>
    <w:lvl w:ilvl="0" w:tentative="0">
      <w:start w:val="1"/>
      <w:numFmt w:val="decimal"/>
      <w:lvlText w:val="%1)"/>
      <w:lvlJc w:val="left"/>
      <w:pPr>
        <w:tabs>
          <w:tab w:val="left" w:pos="719"/>
        </w:tabs>
        <w:ind w:left="719" w:hanging="240"/>
      </w:pPr>
      <w:rPr>
        <w:rFonts w:hint="eastAsia"/>
      </w:rPr>
    </w:lvl>
  </w:abstractNum>
  <w:abstractNum w:abstractNumId="24">
    <w:nsid w:val="2FEA6790"/>
    <w:multiLevelType w:val="multilevel"/>
    <w:tmpl w:val="2FEA6790"/>
    <w:lvl w:ilvl="0" w:tentative="0">
      <w:start w:val="1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5">
    <w:nsid w:val="32216081"/>
    <w:multiLevelType w:val="multilevel"/>
    <w:tmpl w:val="32216081"/>
    <w:lvl w:ilvl="0" w:tentative="0">
      <w:start w:val="3"/>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26">
    <w:nsid w:val="34CB7BAC"/>
    <w:multiLevelType w:val="singleLevel"/>
    <w:tmpl w:val="34CB7BAC"/>
    <w:lvl w:ilvl="0" w:tentative="0">
      <w:start w:val="1"/>
      <w:numFmt w:val="decimal"/>
      <w:lvlText w:val="%1)"/>
      <w:lvlJc w:val="left"/>
      <w:pPr>
        <w:tabs>
          <w:tab w:val="left" w:pos="660"/>
        </w:tabs>
        <w:ind w:left="660" w:hanging="240"/>
      </w:pPr>
      <w:rPr>
        <w:rFonts w:hint="eastAsia"/>
      </w:rPr>
    </w:lvl>
  </w:abstractNum>
  <w:abstractNum w:abstractNumId="27">
    <w:nsid w:val="3A0B7DA4"/>
    <w:multiLevelType w:val="multilevel"/>
    <w:tmpl w:val="3A0B7DA4"/>
    <w:lvl w:ilvl="0" w:tentative="0">
      <w:start w:val="3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8">
    <w:nsid w:val="3C0957A7"/>
    <w:multiLevelType w:val="multilevel"/>
    <w:tmpl w:val="3C0957A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C111650"/>
    <w:multiLevelType w:val="multilevel"/>
    <w:tmpl w:val="3C111650"/>
    <w:lvl w:ilvl="0" w:tentative="0">
      <w:start w:val="1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0">
    <w:nsid w:val="439155A5"/>
    <w:multiLevelType w:val="multilevel"/>
    <w:tmpl w:val="439155A5"/>
    <w:lvl w:ilvl="0" w:tentative="0">
      <w:start w:val="1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1">
    <w:nsid w:val="49C55FEF"/>
    <w:multiLevelType w:val="multilevel"/>
    <w:tmpl w:val="49C55FEF"/>
    <w:lvl w:ilvl="0" w:tentative="0">
      <w:start w:val="3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2">
    <w:nsid w:val="4D6A1EDC"/>
    <w:multiLevelType w:val="multilevel"/>
    <w:tmpl w:val="4D6A1EDC"/>
    <w:lvl w:ilvl="0" w:tentative="0">
      <w:start w:val="2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3">
    <w:nsid w:val="4FD61139"/>
    <w:multiLevelType w:val="multilevel"/>
    <w:tmpl w:val="4FD61139"/>
    <w:lvl w:ilvl="0" w:tentative="0">
      <w:start w:val="1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4">
    <w:nsid w:val="53EA6E03"/>
    <w:multiLevelType w:val="multilevel"/>
    <w:tmpl w:val="53EA6E03"/>
    <w:lvl w:ilvl="0" w:tentative="0">
      <w:start w:val="8"/>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5">
    <w:nsid w:val="55724361"/>
    <w:multiLevelType w:val="multilevel"/>
    <w:tmpl w:val="55724361"/>
    <w:lvl w:ilvl="0" w:tentative="0">
      <w:start w:val="2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6">
    <w:nsid w:val="5F6D2720"/>
    <w:multiLevelType w:val="multilevel"/>
    <w:tmpl w:val="5F6D2720"/>
    <w:lvl w:ilvl="0" w:tentative="0">
      <w:start w:val="3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7">
    <w:nsid w:val="618F6D61"/>
    <w:multiLevelType w:val="multilevel"/>
    <w:tmpl w:val="618F6D61"/>
    <w:lvl w:ilvl="0" w:tentative="0">
      <w:start w:val="2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8">
    <w:nsid w:val="62542120"/>
    <w:multiLevelType w:val="singleLevel"/>
    <w:tmpl w:val="62542120"/>
    <w:lvl w:ilvl="0" w:tentative="0">
      <w:start w:val="2"/>
      <w:numFmt w:val="decimal"/>
      <w:suff w:val="nothing"/>
      <w:lvlText w:val="%1、"/>
      <w:lvlJc w:val="left"/>
    </w:lvl>
  </w:abstractNum>
  <w:abstractNum w:abstractNumId="39">
    <w:nsid w:val="64C060A2"/>
    <w:multiLevelType w:val="multilevel"/>
    <w:tmpl w:val="64C060A2"/>
    <w:lvl w:ilvl="0" w:tentative="0">
      <w:start w:val="4"/>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0">
    <w:nsid w:val="65DA355F"/>
    <w:multiLevelType w:val="multilevel"/>
    <w:tmpl w:val="65DA355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9412735"/>
    <w:multiLevelType w:val="multilevel"/>
    <w:tmpl w:val="69412735"/>
    <w:lvl w:ilvl="0" w:tentative="0">
      <w:start w:val="2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2">
    <w:nsid w:val="6B377381"/>
    <w:multiLevelType w:val="multilevel"/>
    <w:tmpl w:val="6B377381"/>
    <w:lvl w:ilvl="0" w:tentative="0">
      <w:start w:val="3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3">
    <w:nsid w:val="6D1631D3"/>
    <w:multiLevelType w:val="singleLevel"/>
    <w:tmpl w:val="6D1631D3"/>
    <w:lvl w:ilvl="0" w:tentative="0">
      <w:start w:val="1"/>
      <w:numFmt w:val="decimal"/>
      <w:lvlText w:val="%1)"/>
      <w:lvlJc w:val="left"/>
      <w:pPr>
        <w:tabs>
          <w:tab w:val="left" w:pos="1080"/>
        </w:tabs>
        <w:ind w:left="1080" w:hanging="240"/>
      </w:pPr>
      <w:rPr>
        <w:rFonts w:hint="eastAsia"/>
      </w:rPr>
    </w:lvl>
  </w:abstractNum>
  <w:abstractNum w:abstractNumId="44">
    <w:nsid w:val="73D02675"/>
    <w:multiLevelType w:val="singleLevel"/>
    <w:tmpl w:val="73D02675"/>
    <w:lvl w:ilvl="0" w:tentative="0">
      <w:start w:val="1"/>
      <w:numFmt w:val="decimal"/>
      <w:suff w:val="space"/>
      <w:lvlText w:val="%1、"/>
      <w:lvlJc w:val="left"/>
    </w:lvl>
  </w:abstractNum>
  <w:abstractNum w:abstractNumId="45">
    <w:nsid w:val="789B1B11"/>
    <w:multiLevelType w:val="singleLevel"/>
    <w:tmpl w:val="789B1B11"/>
    <w:lvl w:ilvl="0" w:tentative="0">
      <w:start w:val="1"/>
      <w:numFmt w:val="decimal"/>
      <w:lvlText w:val="%1)"/>
      <w:lvlJc w:val="left"/>
      <w:pPr>
        <w:tabs>
          <w:tab w:val="left" w:pos="720"/>
        </w:tabs>
        <w:ind w:left="720" w:hanging="240"/>
      </w:pPr>
      <w:rPr>
        <w:rFonts w:hint="eastAsia"/>
      </w:rPr>
    </w:lvl>
  </w:abstractNum>
  <w:abstractNum w:abstractNumId="46">
    <w:nsid w:val="7B7A3CBF"/>
    <w:multiLevelType w:val="multilevel"/>
    <w:tmpl w:val="7B7A3CBF"/>
    <w:lvl w:ilvl="0" w:tentative="0">
      <w:start w:val="2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7">
    <w:nsid w:val="7F4555C4"/>
    <w:multiLevelType w:val="multilevel"/>
    <w:tmpl w:val="7F4555C4"/>
    <w:lvl w:ilvl="0" w:tentative="0">
      <w:start w:val="2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num w:numId="1">
    <w:abstractNumId w:val="1"/>
  </w:num>
  <w:num w:numId="2">
    <w:abstractNumId w:val="28"/>
  </w:num>
  <w:num w:numId="3">
    <w:abstractNumId w:val="15"/>
  </w:num>
  <w:num w:numId="4">
    <w:abstractNumId w:val="25"/>
  </w:num>
  <w:num w:numId="5">
    <w:abstractNumId w:val="39"/>
  </w:num>
  <w:num w:numId="6">
    <w:abstractNumId w:val="22"/>
  </w:num>
  <w:num w:numId="7">
    <w:abstractNumId w:val="6"/>
  </w:num>
  <w:num w:numId="8">
    <w:abstractNumId w:val="34"/>
  </w:num>
  <w:num w:numId="9">
    <w:abstractNumId w:val="5"/>
  </w:num>
  <w:num w:numId="10">
    <w:abstractNumId w:val="17"/>
  </w:num>
  <w:num w:numId="11">
    <w:abstractNumId w:val="7"/>
  </w:num>
  <w:num w:numId="12">
    <w:abstractNumId w:val="23"/>
  </w:num>
  <w:num w:numId="13">
    <w:abstractNumId w:val="30"/>
  </w:num>
  <w:num w:numId="14">
    <w:abstractNumId w:val="29"/>
  </w:num>
  <w:num w:numId="15">
    <w:abstractNumId w:val="16"/>
  </w:num>
  <w:num w:numId="16">
    <w:abstractNumId w:val="33"/>
  </w:num>
  <w:num w:numId="17">
    <w:abstractNumId w:val="24"/>
  </w:num>
  <w:num w:numId="18">
    <w:abstractNumId w:val="45"/>
  </w:num>
  <w:num w:numId="19">
    <w:abstractNumId w:val="13"/>
  </w:num>
  <w:num w:numId="20">
    <w:abstractNumId w:val="26"/>
  </w:num>
  <w:num w:numId="21">
    <w:abstractNumId w:val="12"/>
  </w:num>
  <w:num w:numId="22">
    <w:abstractNumId w:val="2"/>
  </w:num>
  <w:num w:numId="23">
    <w:abstractNumId w:val="18"/>
  </w:num>
  <w:num w:numId="24">
    <w:abstractNumId w:val="41"/>
  </w:num>
  <w:num w:numId="25">
    <w:abstractNumId w:val="19"/>
  </w:num>
  <w:num w:numId="26">
    <w:abstractNumId w:val="20"/>
  </w:num>
  <w:num w:numId="27">
    <w:abstractNumId w:val="37"/>
  </w:num>
  <w:num w:numId="28">
    <w:abstractNumId w:val="46"/>
  </w:num>
  <w:num w:numId="29">
    <w:abstractNumId w:val="8"/>
  </w:num>
  <w:num w:numId="30">
    <w:abstractNumId w:val="35"/>
  </w:num>
  <w:num w:numId="31">
    <w:abstractNumId w:val="32"/>
  </w:num>
  <w:num w:numId="32">
    <w:abstractNumId w:val="14"/>
  </w:num>
  <w:num w:numId="33">
    <w:abstractNumId w:val="4"/>
  </w:num>
  <w:num w:numId="34">
    <w:abstractNumId w:val="47"/>
  </w:num>
  <w:num w:numId="35">
    <w:abstractNumId w:val="11"/>
  </w:num>
  <w:num w:numId="36">
    <w:abstractNumId w:val="10"/>
  </w:num>
  <w:num w:numId="37">
    <w:abstractNumId w:val="43"/>
  </w:num>
  <w:num w:numId="38">
    <w:abstractNumId w:val="9"/>
  </w:num>
  <w:num w:numId="39">
    <w:abstractNumId w:val="27"/>
  </w:num>
  <w:num w:numId="40">
    <w:abstractNumId w:val="3"/>
  </w:num>
  <w:num w:numId="41">
    <w:abstractNumId w:val="31"/>
  </w:num>
  <w:num w:numId="42">
    <w:abstractNumId w:val="42"/>
  </w:num>
  <w:num w:numId="43">
    <w:abstractNumId w:val="36"/>
  </w:num>
  <w:num w:numId="44">
    <w:abstractNumId w:val="21"/>
  </w:num>
  <w:num w:numId="45">
    <w:abstractNumId w:val="40"/>
  </w:num>
  <w:num w:numId="46">
    <w:abstractNumId w:val="0"/>
  </w:num>
  <w:num w:numId="47">
    <w:abstractNumId w:val="3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1"/>
    </o:shapelayout>
  </w:hdrShapeDefaults>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812B5"/>
    <w:rsid w:val="001273C4"/>
    <w:rsid w:val="00172A27"/>
    <w:rsid w:val="003A0AC4"/>
    <w:rsid w:val="00561C86"/>
    <w:rsid w:val="0063399E"/>
    <w:rsid w:val="006370B3"/>
    <w:rsid w:val="00AA7B13"/>
    <w:rsid w:val="00D92385"/>
    <w:rsid w:val="00E12706"/>
    <w:rsid w:val="00E17A43"/>
    <w:rsid w:val="00E33412"/>
    <w:rsid w:val="00E8122B"/>
    <w:rsid w:val="00ED7058"/>
    <w:rsid w:val="01D73256"/>
    <w:rsid w:val="02D87C61"/>
    <w:rsid w:val="03330808"/>
    <w:rsid w:val="043E7AE6"/>
    <w:rsid w:val="05124668"/>
    <w:rsid w:val="066C2866"/>
    <w:rsid w:val="0698760D"/>
    <w:rsid w:val="070066E8"/>
    <w:rsid w:val="08105E73"/>
    <w:rsid w:val="08481FD0"/>
    <w:rsid w:val="0A0449A4"/>
    <w:rsid w:val="0AC21E8B"/>
    <w:rsid w:val="0B63032B"/>
    <w:rsid w:val="0C09651B"/>
    <w:rsid w:val="0C384602"/>
    <w:rsid w:val="0F8820D7"/>
    <w:rsid w:val="10AE1348"/>
    <w:rsid w:val="11E00D39"/>
    <w:rsid w:val="11EE7967"/>
    <w:rsid w:val="13016064"/>
    <w:rsid w:val="160C61B8"/>
    <w:rsid w:val="16AF6D30"/>
    <w:rsid w:val="17475D8F"/>
    <w:rsid w:val="17B338EC"/>
    <w:rsid w:val="1A594477"/>
    <w:rsid w:val="1ACF21E1"/>
    <w:rsid w:val="1B6841CD"/>
    <w:rsid w:val="1BAC71C0"/>
    <w:rsid w:val="1C2C0038"/>
    <w:rsid w:val="1CB13AB1"/>
    <w:rsid w:val="1F200D01"/>
    <w:rsid w:val="1F2932DE"/>
    <w:rsid w:val="1F2B2240"/>
    <w:rsid w:val="1F694EA8"/>
    <w:rsid w:val="1F9409BB"/>
    <w:rsid w:val="1FA12181"/>
    <w:rsid w:val="20717B70"/>
    <w:rsid w:val="20D35477"/>
    <w:rsid w:val="21672C19"/>
    <w:rsid w:val="21D549D2"/>
    <w:rsid w:val="21FC094C"/>
    <w:rsid w:val="2476002E"/>
    <w:rsid w:val="24BB1019"/>
    <w:rsid w:val="254E3A14"/>
    <w:rsid w:val="283E5CFF"/>
    <w:rsid w:val="289130B6"/>
    <w:rsid w:val="290C5E93"/>
    <w:rsid w:val="2A74060B"/>
    <w:rsid w:val="2AF471FD"/>
    <w:rsid w:val="2B335774"/>
    <w:rsid w:val="2BB520CB"/>
    <w:rsid w:val="2BED0CD6"/>
    <w:rsid w:val="2C3734AA"/>
    <w:rsid w:val="2D0A33C8"/>
    <w:rsid w:val="2DB277AE"/>
    <w:rsid w:val="2FF3745E"/>
    <w:rsid w:val="301F5557"/>
    <w:rsid w:val="315718A5"/>
    <w:rsid w:val="31910717"/>
    <w:rsid w:val="32090DD3"/>
    <w:rsid w:val="345368F7"/>
    <w:rsid w:val="3456652B"/>
    <w:rsid w:val="34F27D96"/>
    <w:rsid w:val="353706DA"/>
    <w:rsid w:val="3705260C"/>
    <w:rsid w:val="372E643C"/>
    <w:rsid w:val="37AB2FFD"/>
    <w:rsid w:val="38254E5B"/>
    <w:rsid w:val="391405B2"/>
    <w:rsid w:val="3C1A34F8"/>
    <w:rsid w:val="3C471D24"/>
    <w:rsid w:val="3DE045C3"/>
    <w:rsid w:val="3FC93F40"/>
    <w:rsid w:val="42076D16"/>
    <w:rsid w:val="43A23BB5"/>
    <w:rsid w:val="4414221F"/>
    <w:rsid w:val="47875BB7"/>
    <w:rsid w:val="4942401E"/>
    <w:rsid w:val="49EA4C00"/>
    <w:rsid w:val="4A541EC7"/>
    <w:rsid w:val="4AE138CD"/>
    <w:rsid w:val="4C230C52"/>
    <w:rsid w:val="4C560D02"/>
    <w:rsid w:val="4CAB035B"/>
    <w:rsid w:val="4D694E37"/>
    <w:rsid w:val="4E8C2E09"/>
    <w:rsid w:val="4EF00C6E"/>
    <w:rsid w:val="501A5688"/>
    <w:rsid w:val="503D0052"/>
    <w:rsid w:val="50C45FB8"/>
    <w:rsid w:val="54A31DBE"/>
    <w:rsid w:val="54BD3576"/>
    <w:rsid w:val="554C5B30"/>
    <w:rsid w:val="55810DCE"/>
    <w:rsid w:val="55CF6808"/>
    <w:rsid w:val="55D03225"/>
    <w:rsid w:val="570D7648"/>
    <w:rsid w:val="58791855"/>
    <w:rsid w:val="593F7DF4"/>
    <w:rsid w:val="5A3736BE"/>
    <w:rsid w:val="5A6E4686"/>
    <w:rsid w:val="5B2838F6"/>
    <w:rsid w:val="5C491535"/>
    <w:rsid w:val="5C5070B2"/>
    <w:rsid w:val="5EC60644"/>
    <w:rsid w:val="60305C68"/>
    <w:rsid w:val="6057174E"/>
    <w:rsid w:val="6091431A"/>
    <w:rsid w:val="61263DB1"/>
    <w:rsid w:val="6155714F"/>
    <w:rsid w:val="620327CB"/>
    <w:rsid w:val="6345502E"/>
    <w:rsid w:val="644023A8"/>
    <w:rsid w:val="644C6112"/>
    <w:rsid w:val="64976A5B"/>
    <w:rsid w:val="65A90250"/>
    <w:rsid w:val="661B4825"/>
    <w:rsid w:val="678A2C4E"/>
    <w:rsid w:val="69BE6177"/>
    <w:rsid w:val="69C25CFA"/>
    <w:rsid w:val="6A352AA0"/>
    <w:rsid w:val="6C2A567B"/>
    <w:rsid w:val="6D1002BA"/>
    <w:rsid w:val="6D5A0C16"/>
    <w:rsid w:val="716D4B90"/>
    <w:rsid w:val="72792A53"/>
    <w:rsid w:val="74747A3D"/>
    <w:rsid w:val="753526BD"/>
    <w:rsid w:val="7609028A"/>
    <w:rsid w:val="77663494"/>
    <w:rsid w:val="781A78D8"/>
    <w:rsid w:val="782E6709"/>
    <w:rsid w:val="785A3C0C"/>
    <w:rsid w:val="785F1B19"/>
    <w:rsid w:val="797056FC"/>
    <w:rsid w:val="7AD865E9"/>
    <w:rsid w:val="7AF229A8"/>
    <w:rsid w:val="7B1B46C3"/>
    <w:rsid w:val="7B1F634E"/>
    <w:rsid w:val="7B2C2EAA"/>
    <w:rsid w:val="7BEC5D28"/>
    <w:rsid w:val="7BFD6FAC"/>
    <w:rsid w:val="7C8E4DE1"/>
    <w:rsid w:val="7CB126B4"/>
    <w:rsid w:val="7E2D5635"/>
    <w:rsid w:val="7F1A3CC2"/>
    <w:rsid w:val="7FDC6050"/>
    <w:rsid w:val="7FF9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1" w:semiHidden="0" w:name="heading 8"/>
    <w:lsdException w:qFormat="1"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qFormat="1"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qFormat="1"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iPriority="99" w:name="Emphasis"/>
    <w:lsdException w:uiPriority="99"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unhideWhenUsed/>
    <w:qFormat/>
    <w:uiPriority w:val="1"/>
    <w:pPr>
      <w:ind w:left="142"/>
      <w:outlineLvl w:val="0"/>
    </w:pPr>
    <w:rPr>
      <w:rFonts w:hint="eastAsia" w:ascii="宋体" w:hAnsi="宋体"/>
      <w:sz w:val="44"/>
    </w:rPr>
  </w:style>
  <w:style w:type="paragraph" w:styleId="4">
    <w:name w:val="heading 2"/>
    <w:basedOn w:val="1"/>
    <w:next w:val="1"/>
    <w:unhideWhenUsed/>
    <w:qFormat/>
    <w:uiPriority w:val="1"/>
    <w:pPr>
      <w:ind w:left="219"/>
      <w:outlineLvl w:val="1"/>
    </w:pPr>
    <w:rPr>
      <w:rFonts w:hint="eastAsia" w:ascii="宋体" w:hAnsi="宋体"/>
      <w:b/>
      <w:sz w:val="32"/>
    </w:rPr>
  </w:style>
  <w:style w:type="paragraph" w:styleId="5">
    <w:name w:val="heading 3"/>
    <w:basedOn w:val="1"/>
    <w:next w:val="6"/>
    <w:unhideWhenUsed/>
    <w:qFormat/>
    <w:uiPriority w:val="1"/>
    <w:pPr>
      <w:ind w:left="119"/>
      <w:outlineLvl w:val="2"/>
    </w:pPr>
    <w:rPr>
      <w:rFonts w:hint="eastAsia" w:ascii="宋体" w:hAnsi="宋体"/>
      <w:sz w:val="32"/>
    </w:rPr>
  </w:style>
  <w:style w:type="paragraph" w:styleId="7">
    <w:name w:val="heading 4"/>
    <w:basedOn w:val="1"/>
    <w:next w:val="1"/>
    <w:unhideWhenUsed/>
    <w:qFormat/>
    <w:uiPriority w:val="1"/>
    <w:pPr>
      <w:ind w:left="3207"/>
      <w:outlineLvl w:val="3"/>
    </w:pPr>
    <w:rPr>
      <w:rFonts w:hint="eastAsia" w:ascii="宋体" w:hAnsi="宋体"/>
      <w:b/>
      <w:sz w:val="28"/>
    </w:rPr>
  </w:style>
  <w:style w:type="paragraph" w:styleId="8">
    <w:name w:val="heading 5"/>
    <w:basedOn w:val="1"/>
    <w:next w:val="1"/>
    <w:unhideWhenUsed/>
    <w:qFormat/>
    <w:uiPriority w:val="1"/>
    <w:pPr>
      <w:ind w:left="256"/>
      <w:outlineLvl w:val="4"/>
    </w:pPr>
    <w:rPr>
      <w:rFonts w:hint="eastAsia" w:ascii="宋体" w:hAnsi="宋体"/>
      <w:sz w:val="28"/>
    </w:rPr>
  </w:style>
  <w:style w:type="paragraph" w:styleId="9">
    <w:name w:val="heading 6"/>
    <w:basedOn w:val="1"/>
    <w:next w:val="1"/>
    <w:unhideWhenUsed/>
    <w:qFormat/>
    <w:uiPriority w:val="1"/>
    <w:pPr>
      <w:ind w:left="118"/>
      <w:outlineLvl w:val="5"/>
    </w:pPr>
    <w:rPr>
      <w:rFonts w:hint="eastAsia" w:ascii="宋体" w:hAnsi="宋体"/>
      <w:b/>
    </w:rPr>
  </w:style>
  <w:style w:type="paragraph" w:styleId="10">
    <w:name w:val="heading 7"/>
    <w:basedOn w:val="1"/>
    <w:next w:val="1"/>
    <w:unhideWhenUsed/>
    <w:qFormat/>
    <w:uiPriority w:val="1"/>
    <w:pPr>
      <w:ind w:left="118"/>
      <w:outlineLvl w:val="6"/>
    </w:pPr>
    <w:rPr>
      <w:rFonts w:hint="eastAsia" w:ascii="宋体" w:hAnsi="宋体"/>
    </w:rPr>
  </w:style>
  <w:style w:type="paragraph" w:styleId="11">
    <w:name w:val="heading 8"/>
    <w:basedOn w:val="1"/>
    <w:next w:val="1"/>
    <w:unhideWhenUsed/>
    <w:qFormat/>
    <w:uiPriority w:val="1"/>
    <w:pPr>
      <w:ind w:left="119"/>
      <w:outlineLvl w:val="7"/>
    </w:pPr>
    <w:rPr>
      <w:rFonts w:hint="eastAsia" w:ascii="宋体" w:hAnsi="宋体"/>
      <w:sz w:val="22"/>
    </w:rPr>
  </w:style>
  <w:style w:type="paragraph" w:styleId="12">
    <w:name w:val="heading 9"/>
    <w:basedOn w:val="1"/>
    <w:next w:val="1"/>
    <w:unhideWhenUsed/>
    <w:qFormat/>
    <w:uiPriority w:val="1"/>
    <w:pPr>
      <w:ind w:left="118"/>
      <w:outlineLvl w:val="8"/>
    </w:pPr>
    <w:rPr>
      <w:rFonts w:hint="eastAsia" w:ascii="微软雅黑" w:hAnsi="微软雅黑" w:eastAsia="微软雅黑"/>
      <w:b/>
      <w:sz w:val="21"/>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6">
    <w:name w:val="Normal Indent"/>
    <w:basedOn w:val="1"/>
    <w:unhideWhenUsed/>
    <w:qFormat/>
    <w:uiPriority w:val="0"/>
    <w:pPr>
      <w:ind w:firstLine="420"/>
    </w:pPr>
    <w:rPr>
      <w:rFonts w:ascii="Times New Roman" w:hAnsi="Times New Roman"/>
      <w:sz w:val="20"/>
    </w:rPr>
  </w:style>
  <w:style w:type="paragraph" w:styleId="13">
    <w:name w:val="Body Text"/>
    <w:basedOn w:val="1"/>
    <w:next w:val="14"/>
    <w:unhideWhenUsed/>
    <w:qFormat/>
    <w:uiPriority w:val="1"/>
    <w:pPr>
      <w:ind w:left="119"/>
    </w:pPr>
    <w:rPr>
      <w:rFonts w:hint="eastAsia" w:ascii="宋体" w:hAnsi="宋体"/>
      <w:sz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next w:val="14"/>
    <w:qFormat/>
    <w:uiPriority w:val="0"/>
    <w:pPr>
      <w:ind w:firstLine="200" w:firstLineChars="200"/>
    </w:pPr>
  </w:style>
  <w:style w:type="paragraph" w:styleId="16">
    <w:name w:val="toc 3"/>
    <w:basedOn w:val="1"/>
    <w:next w:val="1"/>
    <w:unhideWhenUsed/>
    <w:qFormat/>
    <w:uiPriority w:val="0"/>
    <w:pPr>
      <w:jc w:val="center"/>
    </w:pPr>
    <w:rPr>
      <w:rFonts w:ascii="宋体" w:hAnsi="宋体"/>
    </w:rPr>
  </w:style>
  <w:style w:type="paragraph" w:styleId="17">
    <w:name w:val="Plain Text"/>
    <w:basedOn w:val="1"/>
    <w:unhideWhenUsed/>
    <w:qFormat/>
    <w:uiPriority w:val="0"/>
    <w:rPr>
      <w:rFonts w:ascii="宋体" w:hAnsi="Courier New"/>
      <w:sz w:val="20"/>
    </w:rPr>
  </w:style>
  <w:style w:type="paragraph" w:styleId="18">
    <w:name w:val="Balloon Text"/>
    <w:basedOn w:val="1"/>
    <w:link w:val="52"/>
    <w:semiHidden/>
    <w:unhideWhenUsed/>
    <w:qFormat/>
    <w:uiPriority w:val="99"/>
    <w:rPr>
      <w:sz w:val="18"/>
      <w:szCs w:val="18"/>
    </w:rPr>
  </w:style>
  <w:style w:type="paragraph" w:styleId="19">
    <w:name w:val="footer"/>
    <w:basedOn w:val="1"/>
    <w:semiHidden/>
    <w:unhideWhenUsed/>
    <w:qFormat/>
    <w:uiPriority w:val="99"/>
    <w:pPr>
      <w:tabs>
        <w:tab w:val="center" w:pos="4153"/>
        <w:tab w:val="right" w:pos="8306"/>
      </w:tabs>
      <w:snapToGrid w:val="0"/>
    </w:pPr>
    <w:rPr>
      <w:sz w:val="18"/>
    </w:rPr>
  </w:style>
  <w:style w:type="paragraph" w:styleId="2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Body Text Indent 3"/>
    <w:basedOn w:val="1"/>
    <w:unhideWhenUsed/>
    <w:qFormat/>
    <w:uiPriority w:val="0"/>
    <w:pPr>
      <w:ind w:firstLine="540" w:firstLineChars="225"/>
    </w:pPr>
    <w:rPr>
      <w:rFonts w:ascii="Times New Roman" w:hAnsi="Times New Roman"/>
    </w:rPr>
  </w:style>
  <w:style w:type="paragraph" w:styleId="22">
    <w:name w:val="Body Text 2"/>
    <w:basedOn w:val="1"/>
    <w:unhideWhenUsed/>
    <w:qFormat/>
    <w:uiPriority w:val="0"/>
    <w:pPr>
      <w:spacing w:line="360" w:lineRule="auto"/>
    </w:pPr>
    <w:rPr>
      <w:rFonts w:ascii="Times New Roman" w:hAnsi="Times New Roman"/>
    </w:rPr>
  </w:style>
  <w:style w:type="paragraph" w:styleId="23">
    <w:name w:val="Normal (Web)"/>
    <w:basedOn w:val="1"/>
    <w:unhideWhenUsed/>
    <w:qFormat/>
    <w:uiPriority w:val="99"/>
    <w:pPr>
      <w:widowControl/>
      <w:spacing w:beforeAutospacing="1" w:afterAutospacing="1"/>
    </w:pPr>
    <w:rPr>
      <w:rFonts w:ascii="宋体" w:hAnsi="宋体"/>
    </w:rPr>
  </w:style>
  <w:style w:type="paragraph" w:styleId="24">
    <w:name w:val="Title"/>
    <w:basedOn w:val="1"/>
    <w:qFormat/>
    <w:uiPriority w:val="0"/>
    <w:pPr>
      <w:spacing w:line="420" w:lineRule="atLeast"/>
      <w:jc w:val="center"/>
      <w:textAlignment w:val="baseline"/>
      <w:outlineLvl w:val="0"/>
    </w:pPr>
    <w:rPr>
      <w:rFonts w:ascii="Arial" w:hAnsi="Arial"/>
      <w:b/>
      <w:sz w:val="32"/>
    </w:rPr>
  </w:style>
  <w:style w:type="paragraph" w:styleId="25">
    <w:name w:val="Body Text First Indent"/>
    <w:basedOn w:val="13"/>
    <w:unhideWhenUsed/>
    <w:qFormat/>
    <w:uiPriority w:val="0"/>
    <w:pPr>
      <w:ind w:firstLine="420"/>
    </w:pPr>
    <w:rPr>
      <w:rFonts w:eastAsia="楷体_GB2312"/>
      <w:sz w:val="32"/>
    </w:r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u w:val="none"/>
    </w:rPr>
  </w:style>
  <w:style w:type="character" w:styleId="30">
    <w:name w:val="Emphasis"/>
    <w:basedOn w:val="27"/>
    <w:semiHidden/>
    <w:unhideWhenUsed/>
    <w:qFormat/>
    <w:uiPriority w:val="99"/>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semiHidden/>
    <w:unhideWhenUsed/>
    <w:qFormat/>
    <w:uiPriority w:val="99"/>
    <w:rPr>
      <w:color w:val="0000FF"/>
      <w:u w:val="none"/>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styleId="40">
    <w:name w:val="List Paragraph"/>
    <w:basedOn w:val="1"/>
    <w:unhideWhenUsed/>
    <w:qFormat/>
    <w:uiPriority w:val="1"/>
  </w:style>
  <w:style w:type="paragraph" w:customStyle="1" w:styleId="41">
    <w:name w:val="Table Paragraph"/>
    <w:basedOn w:val="1"/>
    <w:unhideWhenUsed/>
    <w:qFormat/>
    <w:uiPriority w:val="1"/>
  </w:style>
  <w:style w:type="character" w:customStyle="1" w:styleId="42">
    <w:name w:val="NormalCharacter"/>
    <w:semiHidden/>
    <w:qFormat/>
    <w:uiPriority w:val="0"/>
  </w:style>
  <w:style w:type="paragraph" w:customStyle="1" w:styleId="43">
    <w:name w:val="正文_13_0"/>
    <w:basedOn w:val="1"/>
    <w:qFormat/>
    <w:uiPriority w:val="0"/>
    <w:pPr>
      <w:jc w:val="both"/>
    </w:pPr>
    <w:rPr>
      <w:rFonts w:ascii="Times New Roman" w:hAnsi="Times New Roman"/>
      <w:kern w:val="2"/>
      <w:sz w:val="21"/>
      <w:szCs w:val="24"/>
    </w:rPr>
  </w:style>
  <w:style w:type="character" w:customStyle="1" w:styleId="44">
    <w:name w:val="font81"/>
    <w:qFormat/>
    <w:uiPriority w:val="0"/>
    <w:rPr>
      <w:rFonts w:hint="default" w:ascii="Calibri" w:hAnsi="Calibri" w:eastAsia="宋体" w:cs="Times New Roman"/>
      <w:sz w:val="24"/>
    </w:rPr>
  </w:style>
  <w:style w:type="character" w:customStyle="1" w:styleId="45">
    <w:name w:val="font41"/>
    <w:qFormat/>
    <w:uiPriority w:val="0"/>
    <w:rPr>
      <w:rFonts w:hint="eastAsia" w:ascii="宋体" w:hAnsi="宋体" w:cs="宋体"/>
      <w:kern w:val="0"/>
      <w:sz w:val="22"/>
      <w:szCs w:val="22"/>
      <w:lang w:val="en-US" w:eastAsia="zh-CN" w:bidi="ar-SA"/>
    </w:rPr>
  </w:style>
  <w:style w:type="character" w:customStyle="1" w:styleId="46">
    <w:name w:val="font71"/>
    <w:qFormat/>
    <w:uiPriority w:val="0"/>
    <w:rPr>
      <w:rFonts w:hint="eastAsia" w:ascii="宋体" w:hAnsi="宋体" w:cs="宋体"/>
      <w:kern w:val="0"/>
      <w:sz w:val="22"/>
      <w:szCs w:val="22"/>
      <w:vertAlign w:val="superscript"/>
      <w:lang w:val="en-US" w:eastAsia="zh-CN" w:bidi="ar-SA"/>
    </w:rPr>
  </w:style>
  <w:style w:type="character" w:customStyle="1" w:styleId="47">
    <w:name w:val="font111"/>
    <w:qFormat/>
    <w:uiPriority w:val="0"/>
    <w:rPr>
      <w:rFonts w:ascii="font-weight : 400" w:hAnsi="font-weight : 400" w:eastAsia="font-weight : 400" w:cs="font-weight : 400"/>
      <w:kern w:val="0"/>
      <w:sz w:val="22"/>
      <w:szCs w:val="22"/>
      <w:lang w:val="en-US" w:eastAsia="zh-CN" w:bidi="ar-SA"/>
    </w:rPr>
  </w:style>
  <w:style w:type="character" w:customStyle="1" w:styleId="48">
    <w:name w:val="font112"/>
    <w:qFormat/>
    <w:uiPriority w:val="0"/>
    <w:rPr>
      <w:rFonts w:ascii="Arial" w:hAnsi="Arial" w:cs="Arial"/>
      <w:kern w:val="0"/>
      <w:sz w:val="24"/>
      <w:lang w:val="en-US" w:eastAsia="zh-CN" w:bidi="ar-SA"/>
    </w:rPr>
  </w:style>
  <w:style w:type="character" w:customStyle="1" w:styleId="49">
    <w:name w:val="font61"/>
    <w:qFormat/>
    <w:uiPriority w:val="0"/>
    <w:rPr>
      <w:rFonts w:ascii="方正大标宋简体" w:hAnsi="方正大标宋简体" w:eastAsia="方正大标宋简体" w:cs="方正大标宋简体"/>
      <w:kern w:val="0"/>
      <w:sz w:val="24"/>
      <w:lang w:val="en-US" w:eastAsia="zh-CN" w:bidi="ar-SA"/>
    </w:rPr>
  </w:style>
  <w:style w:type="character" w:customStyle="1" w:styleId="50">
    <w:name w:val="font21"/>
    <w:basedOn w:val="27"/>
    <w:qFormat/>
    <w:uiPriority w:val="0"/>
    <w:rPr>
      <w:rFonts w:hint="default" w:ascii="华文中宋" w:hAnsi="华文中宋" w:eastAsia="华文中宋" w:cs="华文中宋"/>
      <w:color w:val="000000"/>
      <w:sz w:val="22"/>
      <w:szCs w:val="22"/>
      <w:u w:val="none"/>
      <w:vertAlign w:val="superscript"/>
    </w:rPr>
  </w:style>
  <w:style w:type="character" w:customStyle="1" w:styleId="51">
    <w:name w:val="font11"/>
    <w:basedOn w:val="27"/>
    <w:qFormat/>
    <w:uiPriority w:val="0"/>
    <w:rPr>
      <w:rFonts w:hint="default" w:ascii="华文中宋" w:hAnsi="华文中宋" w:eastAsia="华文中宋" w:cs="华文中宋"/>
      <w:color w:val="000000"/>
      <w:sz w:val="22"/>
      <w:szCs w:val="22"/>
      <w:u w:val="none"/>
      <w:vertAlign w:val="subscript"/>
    </w:rPr>
  </w:style>
  <w:style w:type="character" w:customStyle="1" w:styleId="52">
    <w:name w:val="批注框文本 Char"/>
    <w:basedOn w:val="27"/>
    <w:link w:val="1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35801</Words>
  <Characters>37828</Characters>
  <Lines>313</Lines>
  <Paragraphs>88</Paragraphs>
  <TotalTime>42</TotalTime>
  <ScaleCrop>false</ScaleCrop>
  <LinksUpToDate>false</LinksUpToDate>
  <CharactersWithSpaces>40013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2019-10-25T01:48:00Z</dcterms:created>
  <dc:creator>Administrator</dc:creator>
  <cp:lastModifiedBy>⊱放飛夢想￡</cp:lastModifiedBy>
  <dcterms:modified xsi:type="dcterms:W3CDTF">2019-11-01T03:32:39Z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