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56" w:rsidRDefault="00AA4856" w:rsidP="00AA4856">
      <w:pPr>
        <w:ind w:firstLineChars="200" w:firstLine="562"/>
        <w:rPr>
          <w:rFonts w:hint="eastAsia"/>
          <w:b/>
          <w:sz w:val="28"/>
          <w:szCs w:val="28"/>
        </w:rPr>
      </w:pPr>
      <w:r w:rsidRPr="00AA4856">
        <w:rPr>
          <w:rFonts w:hint="eastAsia"/>
          <w:b/>
          <w:sz w:val="28"/>
          <w:szCs w:val="28"/>
        </w:rPr>
        <w:t>本次是信息化服务类项目，无</w:t>
      </w:r>
      <w:r>
        <w:rPr>
          <w:rFonts w:ascii="宋体" w:hAnsi="宋体" w:cs="宋体" w:hint="eastAsia"/>
          <w:b/>
          <w:kern w:val="0"/>
          <w:sz w:val="28"/>
          <w:szCs w:val="28"/>
        </w:rPr>
        <w:t>主要成交标的的名称、规格型号、数量、单价</w:t>
      </w:r>
      <w:r w:rsidRPr="00AA4856">
        <w:rPr>
          <w:rFonts w:ascii="宋体" w:hAnsi="宋体" w:cs="宋体" w:hint="eastAsia"/>
          <w:b/>
          <w:kern w:val="0"/>
          <w:sz w:val="28"/>
          <w:szCs w:val="28"/>
        </w:rPr>
        <w:t>等</w:t>
      </w:r>
      <w:r>
        <w:rPr>
          <w:rFonts w:ascii="宋体" w:hAnsi="宋体" w:cs="宋体" w:hint="eastAsia"/>
          <w:b/>
          <w:kern w:val="0"/>
          <w:sz w:val="28"/>
          <w:szCs w:val="28"/>
        </w:rPr>
        <w:t>，只有</w:t>
      </w:r>
      <w:r w:rsidRPr="00AA4856">
        <w:rPr>
          <w:rFonts w:ascii="宋体" w:hAnsi="宋体" w:cs="宋体" w:hint="eastAsia"/>
          <w:b/>
          <w:kern w:val="0"/>
          <w:sz w:val="28"/>
          <w:szCs w:val="28"/>
        </w:rPr>
        <w:t>服务要求</w:t>
      </w:r>
      <w:r>
        <w:rPr>
          <w:rFonts w:ascii="宋体" w:hAnsi="宋体" w:cs="宋体" w:hint="eastAsia"/>
          <w:b/>
          <w:kern w:val="0"/>
          <w:sz w:val="28"/>
          <w:szCs w:val="28"/>
        </w:rPr>
        <w:t>：工期1个</w:t>
      </w:r>
      <w:r w:rsidRPr="00AA4856">
        <w:rPr>
          <w:rFonts w:hint="eastAsia"/>
          <w:b/>
          <w:sz w:val="28"/>
          <w:szCs w:val="28"/>
        </w:rPr>
        <w:t>月，系统质量保证期</w:t>
      </w:r>
      <w:r w:rsidRPr="00AA4856">
        <w:rPr>
          <w:rFonts w:hint="eastAsia"/>
          <w:b/>
          <w:sz w:val="28"/>
          <w:szCs w:val="28"/>
        </w:rPr>
        <w:t>3</w:t>
      </w:r>
      <w:r w:rsidRPr="00AA4856">
        <w:rPr>
          <w:rFonts w:hint="eastAsia"/>
          <w:b/>
          <w:sz w:val="28"/>
          <w:szCs w:val="28"/>
        </w:rPr>
        <w:t>年，质保期内免费提供技术支持、软件维护。</w:t>
      </w:r>
    </w:p>
    <w:p w:rsidR="00441387" w:rsidRPr="00AA4856" w:rsidRDefault="0059520B" w:rsidP="00AA4856">
      <w:pPr>
        <w:ind w:firstLineChars="200" w:firstLine="562"/>
        <w:rPr>
          <w:rFonts w:ascii="宋体" w:hAnsi="宋体" w:cs="宋体" w:hint="eastAsia"/>
          <w:b/>
          <w:kern w:val="0"/>
          <w:sz w:val="28"/>
          <w:szCs w:val="28"/>
        </w:rPr>
      </w:pPr>
      <w:r>
        <w:rPr>
          <w:rFonts w:hint="eastAsia"/>
          <w:b/>
          <w:sz w:val="28"/>
          <w:szCs w:val="28"/>
        </w:rPr>
        <w:t>对接</w:t>
      </w:r>
      <w:r w:rsidR="00441387">
        <w:rPr>
          <w:rFonts w:hint="eastAsia"/>
          <w:b/>
          <w:sz w:val="28"/>
          <w:szCs w:val="28"/>
        </w:rPr>
        <w:t>服务内容：</w:t>
      </w:r>
    </w:p>
    <w:p w:rsidR="00AA4856" w:rsidRDefault="00AA4856"/>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2344"/>
        <w:gridCol w:w="4468"/>
        <w:gridCol w:w="851"/>
      </w:tblGrid>
      <w:tr w:rsidR="00AA4856" w:rsidRPr="006A349D" w:rsidTr="00F21805">
        <w:trPr>
          <w:trHeight w:val="56"/>
          <w:jc w:val="center"/>
        </w:trPr>
        <w:tc>
          <w:tcPr>
            <w:tcW w:w="775" w:type="dxa"/>
            <w:vAlign w:val="center"/>
          </w:tcPr>
          <w:p w:rsidR="00AA4856" w:rsidRPr="006A349D" w:rsidRDefault="00AA4856" w:rsidP="00F21805">
            <w:pPr>
              <w:spacing w:line="240" w:lineRule="atLeast"/>
              <w:jc w:val="center"/>
              <w:rPr>
                <w:rFonts w:ascii="仿宋" w:hAnsi="仿宋" w:cs="Calibri"/>
                <w:b/>
                <w:color w:val="000000"/>
                <w:sz w:val="24"/>
              </w:rPr>
            </w:pPr>
            <w:r w:rsidRPr="006A349D">
              <w:rPr>
                <w:rFonts w:ascii="仿宋" w:hAnsi="仿宋" w:cs="Calibri"/>
                <w:b/>
                <w:color w:val="000000"/>
                <w:sz w:val="24"/>
              </w:rPr>
              <w:t>序号</w:t>
            </w:r>
          </w:p>
        </w:tc>
        <w:tc>
          <w:tcPr>
            <w:tcW w:w="2344" w:type="dxa"/>
            <w:vAlign w:val="center"/>
          </w:tcPr>
          <w:p w:rsidR="00AA4856" w:rsidRPr="006A349D" w:rsidRDefault="00AA4856" w:rsidP="00F21805">
            <w:pPr>
              <w:spacing w:line="240" w:lineRule="atLeast"/>
              <w:jc w:val="center"/>
              <w:rPr>
                <w:rFonts w:ascii="仿宋" w:hAnsi="仿宋"/>
                <w:b/>
                <w:color w:val="000000"/>
                <w:sz w:val="24"/>
              </w:rPr>
            </w:pPr>
            <w:r w:rsidRPr="006A349D">
              <w:rPr>
                <w:rFonts w:ascii="仿宋" w:hAnsi="仿宋" w:hint="eastAsia"/>
                <w:b/>
                <w:color w:val="000000"/>
                <w:sz w:val="24"/>
              </w:rPr>
              <w:t>模块名称</w:t>
            </w:r>
          </w:p>
        </w:tc>
        <w:tc>
          <w:tcPr>
            <w:tcW w:w="4468" w:type="dxa"/>
            <w:vAlign w:val="center"/>
          </w:tcPr>
          <w:p w:rsidR="00AA4856" w:rsidRPr="006A349D" w:rsidRDefault="00AA4856" w:rsidP="00F21805">
            <w:pPr>
              <w:spacing w:line="240" w:lineRule="atLeast"/>
              <w:jc w:val="center"/>
              <w:rPr>
                <w:rFonts w:ascii="仿宋" w:hAnsi="仿宋"/>
                <w:b/>
                <w:color w:val="000000"/>
                <w:sz w:val="24"/>
              </w:rPr>
            </w:pPr>
            <w:r w:rsidRPr="006A349D">
              <w:rPr>
                <w:rFonts w:ascii="仿宋" w:hAnsi="仿宋" w:hint="eastAsia"/>
                <w:b/>
                <w:color w:val="000000"/>
                <w:sz w:val="24"/>
              </w:rPr>
              <w:t>模块功能</w:t>
            </w:r>
          </w:p>
        </w:tc>
        <w:tc>
          <w:tcPr>
            <w:tcW w:w="851" w:type="dxa"/>
            <w:vAlign w:val="center"/>
          </w:tcPr>
          <w:p w:rsidR="00AA4856" w:rsidRPr="006A349D" w:rsidRDefault="00AA4856" w:rsidP="00F21805">
            <w:pPr>
              <w:spacing w:line="240" w:lineRule="atLeast"/>
              <w:jc w:val="center"/>
              <w:rPr>
                <w:rFonts w:ascii="仿宋" w:hAnsi="仿宋"/>
                <w:b/>
                <w:color w:val="000000"/>
                <w:sz w:val="24"/>
              </w:rPr>
            </w:pPr>
            <w:r w:rsidRPr="006A349D">
              <w:rPr>
                <w:rFonts w:ascii="仿宋" w:hAnsi="仿宋" w:hint="eastAsia"/>
                <w:b/>
                <w:color w:val="000000"/>
                <w:sz w:val="24"/>
              </w:rPr>
              <w:t>数量</w:t>
            </w:r>
          </w:p>
        </w:tc>
      </w:tr>
      <w:tr w:rsidR="00AA4856" w:rsidRPr="006A349D" w:rsidTr="00F21805">
        <w:trPr>
          <w:trHeight w:val="56"/>
          <w:jc w:val="center"/>
        </w:trPr>
        <w:tc>
          <w:tcPr>
            <w:tcW w:w="8438" w:type="dxa"/>
            <w:gridSpan w:val="4"/>
            <w:vAlign w:val="center"/>
          </w:tcPr>
          <w:p w:rsidR="00AA4856" w:rsidRPr="006A349D" w:rsidRDefault="00AA4856" w:rsidP="00F21805">
            <w:pPr>
              <w:spacing w:line="240" w:lineRule="atLeast"/>
              <w:rPr>
                <w:rFonts w:ascii="仿宋" w:hAnsi="仿宋" w:cs="Calibri"/>
                <w:b/>
                <w:color w:val="000000"/>
                <w:sz w:val="24"/>
              </w:rPr>
            </w:pPr>
            <w:r w:rsidRPr="006A349D">
              <w:rPr>
                <w:rFonts w:ascii="仿宋" w:hAnsi="仿宋" w:cs="Calibri" w:hint="eastAsia"/>
                <w:b/>
                <w:color w:val="000000"/>
                <w:sz w:val="24"/>
              </w:rPr>
              <w:t>（一）“统一受理”平台数据对接要求</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hint="eastAsia"/>
                <w:color w:val="000000"/>
                <w:sz w:val="24"/>
              </w:rPr>
              <w:t>1</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办理数据接收</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河南省应急管理相关的行政许可业务、重大危险源备案业务、应急预案备案业务统一在河南政务服务网“统一受理”平台中受理，受理完成后由“统一受理”平台将受理信息通过信息接收接口分发到河南省应急管理综合业务系统。</w:t>
            </w:r>
          </w:p>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中标方需要开发信息接收接口，并注册发布到河南省数据共享交换平台，将行政许可、重大危险源备案、应急预案备案的申报基本信息和申报材料信息通过接口进行接收并写入到河南省应急管理综合业务系统。</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2</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业务数据回传</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河南省应急管理综合业务系统接收到行政许可、重大危险源备案、应急预案备案的申报基本信息和申报材料信息后，相关业务人员在河南省应急管理综合业务系统中对后续审核、审批、发证等流程进行处理，每个节点处理后调用“统一受理”平台办件环节数据接口，按《河南政务服务网“统一受理”平台技术规范》将处理结果进行回传。</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3</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业务功能改造</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许可、重大危险源备案、应急预案备案业务流程相关的系统功能进行改造，满足办理数据接收和业务数据回传的要求。</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8438" w:type="dxa"/>
            <w:gridSpan w:val="4"/>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cs="Calibri" w:hint="eastAsia"/>
                <w:b/>
                <w:color w:val="000000"/>
                <w:sz w:val="24"/>
              </w:rPr>
              <w:t>（二）“互联网</w:t>
            </w:r>
            <w:r w:rsidRPr="006A349D">
              <w:rPr>
                <w:rFonts w:ascii="仿宋" w:hAnsi="仿宋" w:cs="Calibri"/>
                <w:b/>
                <w:color w:val="000000"/>
                <w:sz w:val="24"/>
              </w:rPr>
              <w:t>+</w:t>
            </w:r>
            <w:r w:rsidRPr="006A349D">
              <w:rPr>
                <w:rFonts w:ascii="仿宋" w:hAnsi="仿宋" w:cs="Calibri"/>
                <w:b/>
                <w:color w:val="000000"/>
                <w:sz w:val="24"/>
              </w:rPr>
              <w:t>监管</w:t>
            </w:r>
            <w:r w:rsidRPr="006A349D">
              <w:rPr>
                <w:rFonts w:ascii="仿宋" w:hAnsi="仿宋" w:cs="Calibri"/>
                <w:b/>
                <w:color w:val="000000"/>
                <w:sz w:val="24"/>
              </w:rPr>
              <w:t>”</w:t>
            </w:r>
            <w:r w:rsidRPr="006A349D">
              <w:rPr>
                <w:rFonts w:ascii="仿宋" w:hAnsi="仿宋" w:cs="Calibri"/>
                <w:b/>
                <w:color w:val="000000"/>
                <w:sz w:val="24"/>
              </w:rPr>
              <w:t>系统数据对接要求</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1</w:t>
            </w:r>
          </w:p>
        </w:tc>
        <w:tc>
          <w:tcPr>
            <w:tcW w:w="2344" w:type="dxa"/>
            <w:vAlign w:val="center"/>
          </w:tcPr>
          <w:p w:rsidR="00AA4856" w:rsidRPr="006A349D" w:rsidRDefault="00AA4856" w:rsidP="00F21805">
            <w:pPr>
              <w:spacing w:line="240" w:lineRule="atLeast"/>
              <w:ind w:firstLineChars="150" w:firstLine="360"/>
              <w:rPr>
                <w:rFonts w:ascii="仿宋" w:hAnsi="仿宋"/>
                <w:color w:val="000000"/>
                <w:sz w:val="24"/>
              </w:rPr>
            </w:pPr>
            <w:r w:rsidRPr="006A349D">
              <w:rPr>
                <w:rFonts w:ascii="仿宋" w:hAnsi="仿宋" w:hint="eastAsia"/>
                <w:color w:val="000000"/>
                <w:sz w:val="24"/>
              </w:rPr>
              <w:t>存量数据推送</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编写存量数据同步程序，将河南省应急管理综合业务系统与“互联网</w:t>
            </w:r>
            <w:r w:rsidRPr="006A349D">
              <w:rPr>
                <w:rFonts w:ascii="仿宋" w:hAnsi="仿宋"/>
                <w:color w:val="000000"/>
                <w:sz w:val="24"/>
              </w:rPr>
              <w:t>+</w:t>
            </w:r>
            <w:r w:rsidRPr="006A349D">
              <w:rPr>
                <w:rFonts w:ascii="仿宋" w:hAnsi="仿宋"/>
                <w:color w:val="000000"/>
                <w:sz w:val="24"/>
              </w:rPr>
              <w:t>监管</w:t>
            </w:r>
            <w:r w:rsidRPr="006A349D">
              <w:rPr>
                <w:rFonts w:ascii="仿宋" w:hAnsi="仿宋"/>
                <w:color w:val="000000"/>
                <w:sz w:val="24"/>
              </w:rPr>
              <w:t>”</w:t>
            </w:r>
            <w:r w:rsidRPr="006A349D">
              <w:rPr>
                <w:rFonts w:ascii="仿宋" w:hAnsi="仿宋"/>
                <w:color w:val="000000"/>
                <w:sz w:val="24"/>
              </w:rPr>
              <w:t>事项相关的历史存量数据一次性推送到河南省</w:t>
            </w:r>
            <w:r w:rsidRPr="006A349D">
              <w:rPr>
                <w:rFonts w:ascii="仿宋" w:hAnsi="仿宋"/>
                <w:color w:val="000000"/>
                <w:sz w:val="24"/>
              </w:rPr>
              <w:t>“</w:t>
            </w:r>
            <w:r w:rsidRPr="006A349D">
              <w:rPr>
                <w:rFonts w:ascii="仿宋" w:hAnsi="仿宋"/>
                <w:color w:val="000000"/>
                <w:sz w:val="24"/>
              </w:rPr>
              <w:t>互联网</w:t>
            </w:r>
            <w:r w:rsidRPr="006A349D">
              <w:rPr>
                <w:rFonts w:ascii="仿宋" w:hAnsi="仿宋"/>
                <w:color w:val="000000"/>
                <w:sz w:val="24"/>
              </w:rPr>
              <w:t>+</w:t>
            </w:r>
            <w:r w:rsidRPr="006A349D">
              <w:rPr>
                <w:rFonts w:ascii="仿宋" w:hAnsi="仿宋"/>
                <w:color w:val="000000"/>
                <w:sz w:val="24"/>
              </w:rPr>
              <w:t>监管</w:t>
            </w:r>
            <w:r w:rsidRPr="006A349D">
              <w:rPr>
                <w:rFonts w:ascii="仿宋" w:hAnsi="仿宋"/>
                <w:color w:val="000000"/>
                <w:sz w:val="24"/>
              </w:rPr>
              <w:t>”</w:t>
            </w:r>
            <w:r w:rsidRPr="006A349D">
              <w:rPr>
                <w:rFonts w:ascii="仿宋" w:hAnsi="仿宋"/>
                <w:color w:val="000000"/>
                <w:sz w:val="24"/>
              </w:rPr>
              <w:t>系统数据接入前置数据库。</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hint="eastAsia"/>
                <w:color w:val="000000"/>
                <w:sz w:val="24"/>
              </w:rPr>
              <w:t>2</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增量数据推送</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编写增量数据同步程序，并设置自动推送周期（每天），将河南省应急管理综合业务系统与“互联网</w:t>
            </w:r>
            <w:r w:rsidRPr="006A349D">
              <w:rPr>
                <w:rFonts w:ascii="仿宋" w:hAnsi="仿宋"/>
                <w:color w:val="000000"/>
                <w:sz w:val="24"/>
              </w:rPr>
              <w:t>+</w:t>
            </w:r>
            <w:r w:rsidRPr="006A349D">
              <w:rPr>
                <w:rFonts w:ascii="仿宋" w:hAnsi="仿宋"/>
                <w:color w:val="000000"/>
                <w:sz w:val="24"/>
              </w:rPr>
              <w:t>监管</w:t>
            </w:r>
            <w:r w:rsidRPr="006A349D">
              <w:rPr>
                <w:rFonts w:ascii="仿宋" w:hAnsi="仿宋"/>
                <w:color w:val="000000"/>
                <w:sz w:val="24"/>
              </w:rPr>
              <w:t>”</w:t>
            </w:r>
            <w:r w:rsidRPr="006A349D">
              <w:rPr>
                <w:rFonts w:ascii="仿宋" w:hAnsi="仿宋"/>
                <w:color w:val="000000"/>
                <w:sz w:val="24"/>
              </w:rPr>
              <w:t>相关事项的增</w:t>
            </w:r>
            <w:r w:rsidRPr="006A349D">
              <w:rPr>
                <w:rFonts w:ascii="仿宋" w:hAnsi="仿宋"/>
                <w:color w:val="000000"/>
                <w:sz w:val="24"/>
              </w:rPr>
              <w:lastRenderedPageBreak/>
              <w:t>量数据通过定时调度的方式推送到河南省</w:t>
            </w:r>
            <w:r w:rsidRPr="006A349D">
              <w:rPr>
                <w:rFonts w:ascii="仿宋" w:hAnsi="仿宋"/>
                <w:color w:val="000000"/>
                <w:sz w:val="24"/>
              </w:rPr>
              <w:t>“</w:t>
            </w:r>
            <w:r w:rsidRPr="006A349D">
              <w:rPr>
                <w:rFonts w:ascii="仿宋" w:hAnsi="仿宋"/>
                <w:color w:val="000000"/>
                <w:sz w:val="24"/>
              </w:rPr>
              <w:t>互联网</w:t>
            </w:r>
            <w:r w:rsidRPr="006A349D">
              <w:rPr>
                <w:rFonts w:ascii="仿宋" w:hAnsi="仿宋"/>
                <w:color w:val="000000"/>
                <w:sz w:val="24"/>
              </w:rPr>
              <w:t>+</w:t>
            </w:r>
            <w:r w:rsidRPr="006A349D">
              <w:rPr>
                <w:rFonts w:ascii="仿宋" w:hAnsi="仿宋"/>
                <w:color w:val="000000"/>
                <w:sz w:val="24"/>
              </w:rPr>
              <w:t>监管</w:t>
            </w:r>
            <w:r w:rsidRPr="006A349D">
              <w:rPr>
                <w:rFonts w:ascii="仿宋" w:hAnsi="仿宋"/>
                <w:color w:val="000000"/>
                <w:sz w:val="24"/>
              </w:rPr>
              <w:t>”</w:t>
            </w:r>
            <w:r w:rsidRPr="006A349D">
              <w:rPr>
                <w:rFonts w:ascii="仿宋" w:hAnsi="仿宋"/>
                <w:color w:val="000000"/>
                <w:sz w:val="24"/>
              </w:rPr>
              <w:t>系统数据接入前置数据库。</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lastRenderedPageBreak/>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hint="eastAsia"/>
                <w:color w:val="000000"/>
                <w:sz w:val="24"/>
              </w:rPr>
              <w:lastRenderedPageBreak/>
              <w:t>3</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业务功能改造</w:t>
            </w:r>
          </w:p>
        </w:tc>
        <w:tc>
          <w:tcPr>
            <w:tcW w:w="4468" w:type="dxa"/>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hint="eastAsia"/>
                <w:color w:val="000000"/>
                <w:sz w:val="24"/>
              </w:rPr>
              <w:t>中标方需按照《河南省“互联网</w:t>
            </w:r>
            <w:r w:rsidRPr="006A349D">
              <w:rPr>
                <w:rFonts w:ascii="仿宋" w:hAnsi="仿宋"/>
                <w:color w:val="000000"/>
                <w:sz w:val="24"/>
              </w:rPr>
              <w:t>+</w:t>
            </w:r>
            <w:r w:rsidRPr="006A349D">
              <w:rPr>
                <w:rFonts w:ascii="仿宋" w:hAnsi="仿宋"/>
                <w:color w:val="000000"/>
                <w:sz w:val="24"/>
              </w:rPr>
              <w:t>监管</w:t>
            </w:r>
            <w:r w:rsidRPr="006A349D">
              <w:rPr>
                <w:rFonts w:ascii="仿宋" w:hAnsi="仿宋"/>
                <w:color w:val="000000"/>
                <w:sz w:val="24"/>
              </w:rPr>
              <w:t>”</w:t>
            </w:r>
            <w:r w:rsidRPr="006A349D">
              <w:rPr>
                <w:rFonts w:ascii="仿宋" w:hAnsi="仿宋"/>
                <w:color w:val="000000"/>
                <w:sz w:val="24"/>
              </w:rPr>
              <w:t>数据汇总结构规范</w:t>
            </w:r>
            <w:r w:rsidRPr="006A349D">
              <w:rPr>
                <w:rFonts w:ascii="仿宋" w:hAnsi="仿宋"/>
                <w:color w:val="000000"/>
                <w:sz w:val="24"/>
              </w:rPr>
              <w:t>v1.0</w:t>
            </w:r>
            <w:r w:rsidRPr="006A349D">
              <w:rPr>
                <w:rFonts w:ascii="仿宋" w:hAnsi="仿宋"/>
                <w:color w:val="000000"/>
                <w:sz w:val="24"/>
              </w:rPr>
              <w:t>》中的数据标准要求，对要接入数据的完整性、关联性进行查漏补缺，对河南省应急管理综合业务系统相关功能进行改造，以保证数据接入的完整性和关联性。</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trHeight w:val="56"/>
          <w:jc w:val="center"/>
        </w:trPr>
        <w:tc>
          <w:tcPr>
            <w:tcW w:w="8438" w:type="dxa"/>
            <w:gridSpan w:val="4"/>
            <w:vAlign w:val="center"/>
          </w:tcPr>
          <w:p w:rsidR="00AA4856" w:rsidRPr="006A349D" w:rsidRDefault="00AA4856" w:rsidP="00F21805">
            <w:pPr>
              <w:spacing w:line="240" w:lineRule="atLeast"/>
              <w:rPr>
                <w:rFonts w:ascii="仿宋" w:hAnsi="仿宋" w:cs="Calibri"/>
                <w:b/>
                <w:color w:val="000000"/>
                <w:sz w:val="24"/>
              </w:rPr>
            </w:pPr>
            <w:r w:rsidRPr="006A349D">
              <w:rPr>
                <w:rFonts w:ascii="仿宋" w:hAnsi="仿宋" w:cs="Calibri" w:hint="eastAsia"/>
                <w:b/>
                <w:color w:val="000000"/>
                <w:sz w:val="24"/>
              </w:rPr>
              <w:t>（三）电子印章系统对接要求</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hint="eastAsia"/>
                <w:color w:val="000000"/>
                <w:sz w:val="24"/>
              </w:rPr>
              <w:t>1</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电子印章使用</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在河南省应急管理业务综合系统行政许可、应急预案备案、重大危险源备案业务办理流程中，调用省大数据管理局电子印章系统，获取河南省应急管理厅电子印章信息并加盖到相关的业务通知书上。</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8438" w:type="dxa"/>
            <w:gridSpan w:val="4"/>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cs="Calibri" w:hint="eastAsia"/>
                <w:b/>
                <w:color w:val="000000"/>
                <w:sz w:val="24"/>
              </w:rPr>
              <w:t>（四）联合奖惩系统对接要求</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hint="eastAsia"/>
                <w:color w:val="000000"/>
                <w:sz w:val="24"/>
              </w:rPr>
              <w:t>1</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奖惩对象查询</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工作人员在河南省应急管理综合业务系统中办理行业许可、应急预案备案、重大危险源备案业务时，自动调用河南省联合奖惩系统的服务接口，根据当事人关键信息（名称、统一社会信用代码、组织机构代码等任意一种），查询当事人是否属于奖惩对象，对属于奖惩对象的当事人，系统会自动列出红黑名单种类、次数以及相对应的奖惩措施清单。</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2</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奖惩措施实施</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工作人员对属于奖惩对象的当事人，在河南省应急管理综合业务系统中办理行业许可、应急预案备案、重大危险源备案业务时，依据奖惩措施清单进行激励或惩戒，将奖惩结果录入到河南省应急管理综合业务系统中。</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3</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奖惩信息反馈</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奖惩工作完成后，工作人员要将奖惩结果（奖惩对象的主体信息、发起部门、响应部门、奖惩措施、奖惩结果、完成时间等）通过河南省联合奖惩系统的服务接口反馈到河南省联合奖惩系统。</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8438" w:type="dxa"/>
            <w:gridSpan w:val="4"/>
            <w:vAlign w:val="center"/>
          </w:tcPr>
          <w:p w:rsidR="00AA4856" w:rsidRPr="006A349D" w:rsidRDefault="00AA4856" w:rsidP="00F21805">
            <w:pPr>
              <w:spacing w:line="240" w:lineRule="atLeast"/>
              <w:jc w:val="left"/>
              <w:rPr>
                <w:rFonts w:ascii="仿宋" w:hAnsi="仿宋"/>
                <w:color w:val="000000"/>
                <w:sz w:val="24"/>
              </w:rPr>
            </w:pPr>
            <w:r w:rsidRPr="006A349D">
              <w:rPr>
                <w:rFonts w:ascii="仿宋" w:hAnsi="仿宋" w:cs="Calibri" w:hint="eastAsia"/>
                <w:b/>
                <w:color w:val="000000"/>
                <w:sz w:val="24"/>
              </w:rPr>
              <w:t>（五）标准化达标系统改造要求</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1</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标准化申请受理</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窗口受理人员在河南省应急管理综合业务系统中对企业的申请进行确认，对企业报送的申请表、自评报告、标准体系文件等材料进行初步审查。对符合条件的确认受理；对不符合条件的，书面说明不予受理理由并通知企业。</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2</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标准化审核发证</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标准化主管部门的业务人员在河南省应</w:t>
            </w:r>
            <w:r w:rsidRPr="006A349D">
              <w:rPr>
                <w:rFonts w:ascii="仿宋" w:hAnsi="仿宋" w:hint="eastAsia"/>
                <w:sz w:val="24"/>
              </w:rPr>
              <w:lastRenderedPageBreak/>
              <w:t>急管理综合业务系统中对企业的申请进行审核，对企业报送的申请表、自评报告、标准体系文件等材料进行评审，必要情况下组织专家进行现场检查。对符合条件的直接在系统中颁发证书；对不符合条件的，书面说明不予发证理由并通知企业。</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lastRenderedPageBreak/>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lastRenderedPageBreak/>
              <w:t>3</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标准化证书管理</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对企业的标准化达标证书进行新增、修改、删除等日常管理操作。</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4</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已发通知书查询</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对在系统中下发的不予受理通知书、不予发证通知书进行查询，查询条件应该包含企业所属地区、企业名称、日期等条件。</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r w:rsidR="00AA4856" w:rsidRPr="006A349D" w:rsidTr="00F21805">
        <w:trPr>
          <w:jc w:val="center"/>
        </w:trPr>
        <w:tc>
          <w:tcPr>
            <w:tcW w:w="775" w:type="dxa"/>
            <w:vAlign w:val="center"/>
          </w:tcPr>
          <w:p w:rsidR="00AA4856" w:rsidRPr="006A349D" w:rsidRDefault="00AA4856" w:rsidP="00F21805">
            <w:pPr>
              <w:spacing w:line="240" w:lineRule="atLeast"/>
              <w:jc w:val="center"/>
              <w:rPr>
                <w:rFonts w:ascii="仿宋" w:hAnsi="仿宋" w:cs="Calibri"/>
                <w:color w:val="000000"/>
                <w:sz w:val="24"/>
              </w:rPr>
            </w:pPr>
            <w:r w:rsidRPr="006A349D">
              <w:rPr>
                <w:rFonts w:ascii="仿宋" w:hAnsi="仿宋" w:cs="Calibri"/>
                <w:color w:val="000000"/>
                <w:sz w:val="24"/>
              </w:rPr>
              <w:t>5</w:t>
            </w:r>
          </w:p>
        </w:tc>
        <w:tc>
          <w:tcPr>
            <w:tcW w:w="2344"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企业标准化统计</w:t>
            </w:r>
          </w:p>
        </w:tc>
        <w:tc>
          <w:tcPr>
            <w:tcW w:w="4468" w:type="dxa"/>
            <w:vAlign w:val="center"/>
          </w:tcPr>
          <w:p w:rsidR="00AA4856" w:rsidRPr="006A349D" w:rsidRDefault="00AA4856" w:rsidP="00F21805">
            <w:pPr>
              <w:rPr>
                <w:rFonts w:ascii="仿宋" w:hAnsi="仿宋"/>
                <w:sz w:val="24"/>
              </w:rPr>
            </w:pPr>
            <w:r w:rsidRPr="006A349D">
              <w:rPr>
                <w:rFonts w:ascii="仿宋" w:hAnsi="仿宋" w:hint="eastAsia"/>
                <w:sz w:val="24"/>
              </w:rPr>
              <w:t>分地区、分行业对企业标准化达标情况进行统计分析，分析结果应该包含企业总数、一级达标企业数、二级达标企业数、三级达标企业数、未达标企业数。</w:t>
            </w:r>
          </w:p>
        </w:tc>
        <w:tc>
          <w:tcPr>
            <w:tcW w:w="851" w:type="dxa"/>
            <w:vAlign w:val="center"/>
          </w:tcPr>
          <w:p w:rsidR="00AA4856" w:rsidRPr="006A349D" w:rsidRDefault="00AA4856" w:rsidP="00F21805">
            <w:pPr>
              <w:spacing w:line="240" w:lineRule="atLeast"/>
              <w:jc w:val="center"/>
              <w:rPr>
                <w:rFonts w:ascii="仿宋" w:hAnsi="仿宋"/>
                <w:color w:val="000000"/>
                <w:sz w:val="24"/>
              </w:rPr>
            </w:pPr>
            <w:r w:rsidRPr="006A349D">
              <w:rPr>
                <w:rFonts w:ascii="仿宋" w:hAnsi="仿宋" w:hint="eastAsia"/>
                <w:color w:val="000000"/>
                <w:sz w:val="24"/>
              </w:rPr>
              <w:t>1</w:t>
            </w:r>
            <w:r w:rsidRPr="006A349D">
              <w:rPr>
                <w:rFonts w:ascii="仿宋" w:hAnsi="仿宋" w:hint="eastAsia"/>
                <w:color w:val="000000"/>
                <w:sz w:val="24"/>
              </w:rPr>
              <w:t>套</w:t>
            </w:r>
          </w:p>
        </w:tc>
      </w:tr>
    </w:tbl>
    <w:p w:rsidR="00321F98" w:rsidRDefault="00321F98"/>
    <w:sectPr w:rsidR="00321F98" w:rsidSect="00321F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B3B" w:rsidRDefault="00633B3B" w:rsidP="00AA4856">
      <w:r>
        <w:separator/>
      </w:r>
    </w:p>
  </w:endnote>
  <w:endnote w:type="continuationSeparator" w:id="0">
    <w:p w:rsidR="00633B3B" w:rsidRDefault="00633B3B" w:rsidP="00AA485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B3B" w:rsidRDefault="00633B3B" w:rsidP="00AA4856">
      <w:r>
        <w:separator/>
      </w:r>
    </w:p>
  </w:footnote>
  <w:footnote w:type="continuationSeparator" w:id="0">
    <w:p w:rsidR="00633B3B" w:rsidRDefault="00633B3B" w:rsidP="00AA48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856"/>
    <w:rsid w:val="00321F98"/>
    <w:rsid w:val="003E47BE"/>
    <w:rsid w:val="00441387"/>
    <w:rsid w:val="00476FDE"/>
    <w:rsid w:val="0059520B"/>
    <w:rsid w:val="00633B3B"/>
    <w:rsid w:val="00AA48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BE"/>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4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4856"/>
    <w:rPr>
      <w:rFonts w:ascii="Times New Roman" w:eastAsia="宋体" w:hAnsi="Times New Roman"/>
      <w:kern w:val="2"/>
      <w:sz w:val="18"/>
      <w:szCs w:val="18"/>
    </w:rPr>
  </w:style>
  <w:style w:type="paragraph" w:styleId="a4">
    <w:name w:val="footer"/>
    <w:basedOn w:val="a"/>
    <w:link w:val="Char0"/>
    <w:uiPriority w:val="99"/>
    <w:semiHidden/>
    <w:unhideWhenUsed/>
    <w:rsid w:val="00AA48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4856"/>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2019-12-19T07:11:00Z</dcterms:created>
  <dcterms:modified xsi:type="dcterms:W3CDTF">2019-12-19T07:16:00Z</dcterms:modified>
</cp:coreProperties>
</file>