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rPr>
          <w:rFonts w:hint="eastAsia"/>
        </w:rPr>
      </w:pPr>
    </w:p>
    <w:p>
      <w:pPr>
        <w:jc w:val="center"/>
        <w:rPr>
          <w:rFonts w:hint="eastAsia" w:ascii="黑体" w:hAnsi="黑体" w:eastAsia="黑体"/>
          <w:b/>
          <w:color w:val="444444"/>
          <w:spacing w:val="15"/>
          <w:sz w:val="44"/>
          <w:szCs w:val="22"/>
        </w:rPr>
      </w:pPr>
      <w:r>
        <w:rPr>
          <w:rFonts w:hint="eastAsia" w:ascii="黑体" w:hAnsi="黑体" w:eastAsia="黑体"/>
          <w:b/>
          <w:color w:val="444444"/>
          <w:spacing w:val="15"/>
          <w:sz w:val="44"/>
          <w:szCs w:val="22"/>
          <w:lang w:eastAsia="zh-CN"/>
        </w:rPr>
        <w:t>邓州市</w:t>
      </w:r>
      <w:r>
        <w:rPr>
          <w:rFonts w:hint="eastAsia" w:ascii="黑体" w:hAnsi="黑体" w:eastAsia="黑体"/>
          <w:b/>
          <w:color w:val="444444"/>
          <w:spacing w:val="15"/>
          <w:sz w:val="44"/>
          <w:szCs w:val="22"/>
        </w:rPr>
        <w:t>应急管理局救灾物资采购项目</w:t>
      </w:r>
    </w:p>
    <w:p>
      <w:pPr>
        <w:pStyle w:val="26"/>
        <w:rPr>
          <w:rFonts w:hint="default"/>
        </w:rPr>
      </w:pPr>
    </w:p>
    <w:p>
      <w:pPr>
        <w:jc w:val="center"/>
        <w:rPr>
          <w:rFonts w:ascii="宋体" w:hAnsi="宋体" w:cs="宋体"/>
          <w:b/>
          <w:bCs/>
          <w:color w:val="000000"/>
          <w:sz w:val="84"/>
          <w:szCs w:val="84"/>
        </w:rPr>
      </w:pPr>
    </w:p>
    <w:p/>
    <w:p>
      <w:pPr>
        <w:pStyle w:val="26"/>
        <w:rPr>
          <w:rFonts w:hint="default"/>
        </w:rPr>
      </w:pPr>
    </w:p>
    <w:p>
      <w:pPr>
        <w:jc w:val="center"/>
        <w:rPr>
          <w:rFonts w:ascii="宋体" w:hAnsi="宋体" w:cs="宋体"/>
          <w:b/>
          <w:bCs/>
          <w:color w:val="000000"/>
          <w:sz w:val="84"/>
          <w:szCs w:val="84"/>
        </w:rPr>
      </w:pPr>
    </w:p>
    <w:p>
      <w:pPr>
        <w:jc w:val="center"/>
        <w:rPr>
          <w:rFonts w:ascii="宋体" w:hAnsi="宋体" w:cs="宋体"/>
          <w:b/>
          <w:bCs/>
          <w:color w:val="000000"/>
          <w:sz w:val="96"/>
          <w:szCs w:val="96"/>
        </w:rPr>
      </w:pPr>
      <w:r>
        <w:rPr>
          <w:rFonts w:hint="eastAsia" w:ascii="宋体" w:hAnsi="宋体" w:cs="宋体"/>
          <w:b/>
          <w:bCs/>
          <w:color w:val="000000"/>
          <w:sz w:val="96"/>
          <w:szCs w:val="96"/>
        </w:rPr>
        <w:t>招</w:t>
      </w:r>
      <w:r>
        <w:rPr>
          <w:rFonts w:hint="eastAsia" w:ascii="宋体" w:hAnsi="宋体" w:cs="宋体"/>
          <w:b/>
          <w:bCs/>
          <w:color w:val="000000"/>
          <w:sz w:val="96"/>
          <w:szCs w:val="96"/>
          <w:lang w:val="en-US" w:eastAsia="zh-CN"/>
        </w:rPr>
        <w:t xml:space="preserve"> </w:t>
      </w:r>
      <w:r>
        <w:rPr>
          <w:rFonts w:hint="eastAsia" w:ascii="宋体" w:hAnsi="宋体" w:cs="宋体"/>
          <w:b/>
          <w:bCs/>
          <w:color w:val="000000"/>
          <w:sz w:val="96"/>
          <w:szCs w:val="96"/>
        </w:rPr>
        <w:t>标</w:t>
      </w:r>
      <w:r>
        <w:rPr>
          <w:rFonts w:hint="eastAsia" w:ascii="宋体" w:hAnsi="宋体" w:cs="宋体"/>
          <w:b/>
          <w:bCs/>
          <w:color w:val="000000"/>
          <w:sz w:val="96"/>
          <w:szCs w:val="96"/>
          <w:lang w:val="en-US" w:eastAsia="zh-CN"/>
        </w:rPr>
        <w:t xml:space="preserve"> </w:t>
      </w:r>
      <w:r>
        <w:rPr>
          <w:rFonts w:hint="eastAsia" w:ascii="宋体" w:hAnsi="宋体" w:cs="宋体"/>
          <w:b/>
          <w:bCs/>
          <w:color w:val="000000"/>
          <w:sz w:val="96"/>
          <w:szCs w:val="96"/>
        </w:rPr>
        <w:t>文</w:t>
      </w:r>
      <w:r>
        <w:rPr>
          <w:rFonts w:hint="eastAsia" w:ascii="宋体" w:hAnsi="宋体" w:cs="宋体"/>
          <w:b/>
          <w:bCs/>
          <w:color w:val="000000"/>
          <w:sz w:val="96"/>
          <w:szCs w:val="96"/>
          <w:lang w:val="en-US" w:eastAsia="zh-CN"/>
        </w:rPr>
        <w:t xml:space="preserve"> </w:t>
      </w:r>
      <w:r>
        <w:rPr>
          <w:rFonts w:hint="eastAsia" w:ascii="宋体" w:hAnsi="宋体" w:cs="宋体"/>
          <w:b/>
          <w:bCs/>
          <w:color w:val="000000"/>
          <w:sz w:val="96"/>
          <w:szCs w:val="96"/>
        </w:rPr>
        <w:t>件</w:t>
      </w:r>
    </w:p>
    <w:p>
      <w:pPr>
        <w:pStyle w:val="26"/>
        <w:rPr>
          <w:rFonts w:hint="default" w:cs="微软雅黑"/>
          <w:b/>
          <w:bCs/>
          <w:sz w:val="28"/>
          <w:szCs w:val="28"/>
        </w:rPr>
      </w:pPr>
    </w:p>
    <w:p>
      <w:pPr>
        <w:jc w:val="center"/>
      </w:pPr>
      <w:r>
        <w:rPr>
          <w:rFonts w:ascii="黑体" w:eastAsia="黑体"/>
          <w:color w:val="000000"/>
          <w:sz w:val="44"/>
        </w:rPr>
        <w:drawing>
          <wp:inline distT="0" distB="0" distL="114300" distR="114300">
            <wp:extent cx="2120265" cy="1344930"/>
            <wp:effectExtent l="0" t="0" r="13335" b="7620"/>
            <wp:docPr id="294" name="图片 102"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102" descr="公司徽标"/>
                    <pic:cNvPicPr>
                      <a:picLocks noChangeAspect="1"/>
                    </pic:cNvPicPr>
                  </pic:nvPicPr>
                  <pic:blipFill>
                    <a:blip r:embed="rId5"/>
                    <a:srcRect l="13774" t="22760" r="11125"/>
                    <a:stretch>
                      <a:fillRect/>
                    </a:stretch>
                  </pic:blipFill>
                  <pic:spPr>
                    <a:xfrm>
                      <a:off x="0" y="0"/>
                      <a:ext cx="2120265" cy="1344930"/>
                    </a:xfrm>
                    <a:prstGeom prst="rect">
                      <a:avLst/>
                    </a:prstGeom>
                    <a:noFill/>
                    <a:ln>
                      <a:noFill/>
                    </a:ln>
                  </pic:spPr>
                </pic:pic>
              </a:graphicData>
            </a:graphic>
          </wp:inline>
        </w:drawing>
      </w:r>
    </w:p>
    <w:p/>
    <w:p>
      <w:pPr>
        <w:pStyle w:val="26"/>
        <w:rPr>
          <w:rFonts w:hint="default"/>
        </w:rPr>
      </w:pPr>
    </w:p>
    <w:p>
      <w:pPr>
        <w:pStyle w:val="26"/>
        <w:rPr>
          <w:rFonts w:hint="default"/>
        </w:rPr>
      </w:pPr>
    </w:p>
    <w:p/>
    <w:p>
      <w:pPr>
        <w:pStyle w:val="26"/>
      </w:pPr>
    </w:p>
    <w:p>
      <w:pPr>
        <w:ind w:right="-382" w:rightChars="-159"/>
        <w:jc w:val="center"/>
        <w:rPr>
          <w:rFonts w:ascii="宋体"/>
          <w:b/>
          <w:bCs/>
          <w:sz w:val="28"/>
          <w:szCs w:val="28"/>
        </w:rPr>
      </w:pPr>
    </w:p>
    <w:p>
      <w:pPr>
        <w:pStyle w:val="26"/>
        <w:rPr>
          <w:rFonts w:hint="default" w:eastAsia="宋体"/>
          <w:b/>
          <w:bCs/>
          <w:sz w:val="28"/>
          <w:szCs w:val="28"/>
        </w:rPr>
      </w:pPr>
    </w:p>
    <w:p>
      <w:pPr>
        <w:pStyle w:val="26"/>
        <w:rPr>
          <w:rFonts w:hint="default" w:eastAsia="宋体"/>
          <w:b/>
          <w:bCs/>
          <w:sz w:val="28"/>
          <w:szCs w:val="28"/>
        </w:rPr>
      </w:pPr>
    </w:p>
    <w:p>
      <w:pPr>
        <w:pStyle w:val="26"/>
        <w:ind w:left="0" w:firstLine="0"/>
        <w:rPr>
          <w:rFonts w:hint="default" w:eastAsia="宋体"/>
          <w:b/>
          <w:bCs/>
          <w:sz w:val="16"/>
          <w:szCs w:val="16"/>
        </w:rPr>
      </w:pPr>
    </w:p>
    <w:p>
      <w:pPr>
        <w:pStyle w:val="26"/>
        <w:ind w:left="0" w:firstLine="0"/>
        <w:rPr>
          <w:rFonts w:hint="default" w:eastAsia="宋体"/>
          <w:b/>
          <w:bCs/>
          <w:sz w:val="16"/>
          <w:szCs w:val="16"/>
        </w:rPr>
      </w:pPr>
    </w:p>
    <w:p>
      <w:pPr>
        <w:autoSpaceDE/>
        <w:autoSpaceDN/>
        <w:adjustRightInd/>
        <w:spacing w:line="500" w:lineRule="exact"/>
        <w:ind w:firstLine="1506" w:firstLineChars="500"/>
        <w:rPr>
          <w:rFonts w:hint="eastAsia" w:ascii="宋体" w:hAnsi="宋体" w:eastAsia="宋体" w:cs="微软雅黑"/>
          <w:b/>
          <w:bCs/>
          <w:sz w:val="30"/>
          <w:szCs w:val="30"/>
          <w:highlight w:val="none"/>
          <w:lang w:eastAsia="zh-CN"/>
        </w:rPr>
      </w:pPr>
      <w:r>
        <w:rPr>
          <w:rFonts w:hint="eastAsia" w:ascii="宋体" w:hAnsi="宋体" w:cs="微软雅黑"/>
          <w:b/>
          <w:bCs/>
          <w:sz w:val="30"/>
          <w:szCs w:val="30"/>
        </w:rPr>
        <w:t>采</w:t>
      </w:r>
      <w:r>
        <w:rPr>
          <w:rFonts w:hint="eastAsia" w:ascii="宋体" w:hAnsi="宋体" w:cs="微软雅黑"/>
          <w:b/>
          <w:bCs/>
          <w:sz w:val="30"/>
          <w:szCs w:val="30"/>
          <w:lang w:val="en-US" w:eastAsia="zh-CN"/>
        </w:rPr>
        <w:t xml:space="preserve"> </w:t>
      </w:r>
      <w:r>
        <w:rPr>
          <w:rFonts w:hint="eastAsia" w:ascii="宋体" w:hAnsi="宋体" w:cs="微软雅黑"/>
          <w:b/>
          <w:bCs/>
          <w:sz w:val="30"/>
          <w:szCs w:val="30"/>
        </w:rPr>
        <w:t>购</w:t>
      </w:r>
      <w:r>
        <w:rPr>
          <w:rFonts w:hint="eastAsia" w:ascii="宋体" w:hAnsi="宋体" w:cs="微软雅黑"/>
          <w:b/>
          <w:bCs/>
          <w:sz w:val="30"/>
          <w:szCs w:val="30"/>
          <w:lang w:val="en-US" w:eastAsia="zh-CN"/>
        </w:rPr>
        <w:t xml:space="preserve"> </w:t>
      </w:r>
      <w:r>
        <w:rPr>
          <w:rFonts w:hint="eastAsia" w:ascii="宋体" w:hAnsi="宋体" w:cs="微软雅黑"/>
          <w:b/>
          <w:bCs/>
          <w:sz w:val="30"/>
          <w:szCs w:val="30"/>
        </w:rPr>
        <w:t>人：</w:t>
      </w:r>
      <w:r>
        <w:rPr>
          <w:rFonts w:hint="eastAsia" w:ascii="宋体" w:hAnsi="宋体" w:cs="微软雅黑"/>
          <w:b/>
          <w:bCs/>
          <w:sz w:val="30"/>
          <w:szCs w:val="30"/>
          <w:highlight w:val="none"/>
          <w:lang w:eastAsia="zh-CN"/>
        </w:rPr>
        <w:t>邓州市应急管理局</w:t>
      </w:r>
    </w:p>
    <w:p>
      <w:pPr>
        <w:autoSpaceDE/>
        <w:autoSpaceDN/>
        <w:adjustRightInd/>
        <w:spacing w:line="500" w:lineRule="exact"/>
        <w:ind w:right="-512" w:firstLine="1506" w:firstLineChars="500"/>
        <w:rPr>
          <w:rFonts w:ascii="宋体" w:eastAsia="微软雅黑"/>
          <w:b/>
          <w:bCs/>
          <w:sz w:val="30"/>
          <w:szCs w:val="30"/>
        </w:rPr>
      </w:pPr>
      <w:r>
        <w:rPr>
          <w:rFonts w:hint="eastAsia" w:ascii="宋体" w:hAnsi="宋体" w:cs="微软雅黑"/>
          <w:b/>
          <w:bCs/>
          <w:sz w:val="30"/>
          <w:szCs w:val="30"/>
        </w:rPr>
        <w:t>采购代理机构：河南招标采购服务有限公司</w:t>
      </w:r>
    </w:p>
    <w:p>
      <w:pPr>
        <w:autoSpaceDE/>
        <w:autoSpaceDN/>
        <w:adjustRightInd/>
        <w:spacing w:line="500" w:lineRule="exact"/>
        <w:ind w:right="-512" w:firstLine="1500" w:firstLineChars="498"/>
        <w:rPr>
          <w:rFonts w:ascii="宋体" w:hAnsi="宋体" w:cs="宋体"/>
          <w:color w:val="000000"/>
          <w:szCs w:val="24"/>
        </w:rPr>
      </w:pPr>
      <w:r>
        <w:rPr>
          <w:rFonts w:hint="eastAsia" w:ascii="宋体" w:hAnsi="宋体" w:cs="微软雅黑"/>
          <w:b/>
          <w:bCs/>
          <w:color w:val="000000"/>
          <w:sz w:val="30"/>
          <w:szCs w:val="30"/>
        </w:rPr>
        <w:t>日</w:t>
      </w:r>
      <w:r>
        <w:rPr>
          <w:rFonts w:hint="eastAsia" w:ascii="宋体" w:hAnsi="宋体" w:cs="微软雅黑"/>
          <w:b/>
          <w:bCs/>
          <w:color w:val="000000"/>
          <w:sz w:val="30"/>
          <w:szCs w:val="30"/>
          <w:lang w:val="en-US" w:eastAsia="zh-CN"/>
        </w:rPr>
        <w:t xml:space="preserve">    </w:t>
      </w:r>
      <w:r>
        <w:rPr>
          <w:rFonts w:hint="eastAsia" w:ascii="宋体" w:hAnsi="宋体" w:cs="微软雅黑"/>
          <w:b/>
          <w:bCs/>
          <w:color w:val="000000"/>
          <w:sz w:val="30"/>
          <w:szCs w:val="30"/>
        </w:rPr>
        <w:t>期：</w:t>
      </w:r>
      <w:r>
        <w:rPr>
          <w:rFonts w:ascii="宋体" w:hAnsi="宋体" w:cs="宋体"/>
          <w:b/>
          <w:bCs/>
          <w:color w:val="000000"/>
          <w:sz w:val="30"/>
          <w:szCs w:val="30"/>
        </w:rPr>
        <w:t>20</w:t>
      </w:r>
      <w:r>
        <w:rPr>
          <w:rFonts w:hint="eastAsia" w:ascii="宋体" w:hAnsi="宋体" w:cs="宋体"/>
          <w:b/>
          <w:bCs/>
          <w:color w:val="000000"/>
          <w:sz w:val="30"/>
          <w:szCs w:val="30"/>
          <w:lang w:val="en-US" w:eastAsia="zh-CN"/>
        </w:rPr>
        <w:t>20</w:t>
      </w:r>
      <w:r>
        <w:rPr>
          <w:rFonts w:hint="eastAsia" w:ascii="宋体" w:hAnsi="宋体" w:cs="微软雅黑"/>
          <w:b/>
          <w:bCs/>
          <w:sz w:val="30"/>
          <w:szCs w:val="30"/>
        </w:rPr>
        <w:t>年</w:t>
      </w:r>
      <w:r>
        <w:rPr>
          <w:rFonts w:hint="eastAsia" w:ascii="宋体" w:hAnsi="宋体" w:cs="宋体"/>
          <w:b/>
          <w:bCs/>
          <w:sz w:val="30"/>
          <w:szCs w:val="30"/>
          <w:highlight w:val="none"/>
          <w:lang w:val="en-US" w:eastAsia="zh-CN"/>
        </w:rPr>
        <w:t>3</w:t>
      </w:r>
      <w:r>
        <w:rPr>
          <w:rFonts w:hint="eastAsia" w:ascii="宋体" w:hAnsi="宋体" w:cs="微软雅黑"/>
          <w:b/>
          <w:bCs/>
          <w:sz w:val="30"/>
          <w:szCs w:val="30"/>
          <w:highlight w:val="none"/>
        </w:rPr>
        <w:t>月</w:t>
      </w:r>
    </w:p>
    <w:sdt>
      <w:sdtPr>
        <w:rPr>
          <w:rFonts w:ascii="宋体" w:hAnsi="宋体" w:eastAsia="宋体" w:cs="Times New Roman"/>
          <w:sz w:val="21"/>
          <w:lang w:val="en-US" w:eastAsia="zh-CN" w:bidi="ar-SA"/>
        </w:rPr>
        <w:id w:val="147465107"/>
        <w15:color w:val="DBDBDB"/>
        <w:docPartObj>
          <w:docPartGallery w:val="Table of Contents"/>
          <w:docPartUnique/>
        </w:docPartObj>
      </w:sdtPr>
      <w:sdtEndPr>
        <w:rPr>
          <w:rFonts w:ascii="宋体" w:hAnsi="宋体" w:eastAsia="宋体" w:cs="Times New Roman"/>
          <w:sz w:val="20"/>
          <w:szCs w:val="20"/>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6"/>
              <w:szCs w:val="36"/>
            </w:rPr>
          </w:pPr>
          <w:bookmarkStart w:id="0" w:name="_Toc4666_WPSOffice_Type2"/>
          <w:r>
            <w:rPr>
              <w:rFonts w:ascii="宋体" w:hAnsi="宋体" w:eastAsia="宋体"/>
              <w:b/>
              <w:bCs/>
              <w:sz w:val="36"/>
              <w:szCs w:val="36"/>
            </w:rPr>
            <w:t>目</w:t>
          </w:r>
          <w:r>
            <w:rPr>
              <w:rFonts w:hint="eastAsia" w:ascii="宋体" w:hAnsi="宋体"/>
              <w:b/>
              <w:bCs/>
              <w:sz w:val="36"/>
              <w:szCs w:val="36"/>
              <w:lang w:val="en-US" w:eastAsia="zh-CN"/>
            </w:rPr>
            <w:t xml:space="preserve">  </w:t>
          </w:r>
          <w:r>
            <w:rPr>
              <w:rFonts w:ascii="宋体" w:hAnsi="宋体" w:eastAsia="宋体"/>
              <w:b/>
              <w:bCs/>
              <w:sz w:val="36"/>
              <w:szCs w:val="36"/>
            </w:rPr>
            <w:t>录</w:t>
          </w:r>
        </w:p>
        <w:p>
          <w:pPr>
            <w:bidi w:val="0"/>
          </w:pPr>
        </w:p>
        <w:p>
          <w:pPr>
            <w:pStyle w:val="51"/>
            <w:keepNext w:val="0"/>
            <w:keepLines w:val="0"/>
            <w:pageBreakBefore w:val="0"/>
            <w:widowControl/>
            <w:tabs>
              <w:tab w:val="right" w:leader="dot" w:pos="9940"/>
            </w:tabs>
            <w:kinsoku/>
            <w:wordWrap/>
            <w:overflowPunct/>
            <w:topLinePunct w:val="0"/>
            <w:autoSpaceDE/>
            <w:autoSpaceDN/>
            <w:bidi w:val="0"/>
            <w:adjustRightInd/>
            <w:snapToGrid/>
            <w:spacing w:line="480" w:lineRule="auto"/>
            <w:textAlignment w:val="auto"/>
            <w:rPr>
              <w:sz w:val="24"/>
              <w:szCs w:val="24"/>
            </w:rPr>
          </w:pPr>
          <w:r>
            <w:rPr>
              <w:b/>
              <w:bCs/>
              <w:sz w:val="24"/>
              <w:szCs w:val="24"/>
            </w:rPr>
            <w:fldChar w:fldCharType="begin"/>
          </w:r>
          <w:r>
            <w:rPr>
              <w:sz w:val="24"/>
              <w:szCs w:val="24"/>
            </w:rPr>
            <w:instrText xml:space="preserve"> HYPERLINK \l _Toc9582_WPSOffice_Level1 </w:instrText>
          </w:r>
          <w:r>
            <w:rPr>
              <w:b/>
              <w:bCs/>
              <w:sz w:val="24"/>
              <w:szCs w:val="24"/>
            </w:rPr>
            <w:fldChar w:fldCharType="separate"/>
          </w:r>
          <w:sdt>
            <w:sdtPr>
              <w:rPr>
                <w:rFonts w:hint="eastAsia" w:ascii="宋体" w:hAnsi="宋体" w:eastAsia="宋体" w:cs="Times New Roman"/>
                <w:b/>
                <w:bCs/>
                <w:sz w:val="24"/>
                <w:szCs w:val="24"/>
                <w:lang w:val="en-US" w:eastAsia="zh-CN" w:bidi="ar-SA"/>
              </w:rPr>
              <w:id w:val="147465107"/>
              <w:placeholder>
                <w:docPart w:val="{4a76c103-22b9-49ca-a769-340ce6bd3513}"/>
              </w:placeholder>
              <w15:color w:val="509DF3"/>
            </w:sdtPr>
            <w:sdtEndPr>
              <w:rPr>
                <w:rFonts w:hint="eastAsia" w:ascii="宋体" w:hAnsi="宋体" w:eastAsia="宋体" w:cs="Times New Roman"/>
                <w:b/>
                <w:bCs/>
                <w:sz w:val="24"/>
                <w:szCs w:val="24"/>
                <w:lang w:val="en-US" w:eastAsia="zh-CN" w:bidi="ar-SA"/>
              </w:rPr>
            </w:sdtEndPr>
            <w:sdtContent>
              <w:r>
                <w:rPr>
                  <w:rFonts w:hint="eastAsia" w:ascii="宋体" w:hAnsi="宋体" w:eastAsia="宋体" w:cs="Times New Roman"/>
                  <w:b/>
                  <w:bCs/>
                  <w:sz w:val="24"/>
                  <w:szCs w:val="24"/>
                </w:rPr>
                <w:t>第一章</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招标公告</w:t>
              </w:r>
            </w:sdtContent>
          </w:sdt>
          <w:r>
            <w:rPr>
              <w:b/>
              <w:bCs/>
              <w:sz w:val="24"/>
              <w:szCs w:val="24"/>
            </w:rPr>
            <w:tab/>
          </w:r>
          <w:r>
            <w:rPr>
              <w:rFonts w:hint="eastAsia"/>
              <w:b/>
              <w:bCs/>
              <w:sz w:val="24"/>
              <w:szCs w:val="24"/>
              <w:lang w:val="en-US" w:eastAsia="zh-CN"/>
            </w:rPr>
            <w:t>3</w:t>
          </w:r>
          <w:r>
            <w:rPr>
              <w:b/>
              <w:bCs/>
              <w:sz w:val="24"/>
              <w:szCs w:val="24"/>
            </w:rPr>
            <w:fldChar w:fldCharType="end"/>
          </w:r>
        </w:p>
        <w:p>
          <w:pPr>
            <w:pStyle w:val="51"/>
            <w:keepNext w:val="0"/>
            <w:keepLines w:val="0"/>
            <w:pageBreakBefore w:val="0"/>
            <w:widowControl/>
            <w:tabs>
              <w:tab w:val="right" w:leader="dot" w:pos="9940"/>
            </w:tabs>
            <w:kinsoku/>
            <w:wordWrap/>
            <w:overflowPunct/>
            <w:topLinePunct w:val="0"/>
            <w:autoSpaceDE/>
            <w:autoSpaceDN/>
            <w:bidi w:val="0"/>
            <w:adjustRightInd/>
            <w:snapToGrid/>
            <w:spacing w:line="480" w:lineRule="auto"/>
            <w:textAlignment w:val="auto"/>
            <w:rPr>
              <w:sz w:val="24"/>
              <w:szCs w:val="24"/>
            </w:rPr>
          </w:pPr>
          <w:r>
            <w:rPr>
              <w:b/>
              <w:bCs/>
              <w:sz w:val="24"/>
              <w:szCs w:val="24"/>
            </w:rPr>
            <w:fldChar w:fldCharType="begin"/>
          </w:r>
          <w:r>
            <w:rPr>
              <w:sz w:val="24"/>
              <w:szCs w:val="24"/>
            </w:rPr>
            <w:instrText xml:space="preserve"> HYPERLINK \l _Toc4666_WPSOffice_Level1 </w:instrText>
          </w:r>
          <w:r>
            <w:rPr>
              <w:b/>
              <w:bCs/>
              <w:sz w:val="24"/>
              <w:szCs w:val="24"/>
            </w:rPr>
            <w:fldChar w:fldCharType="separate"/>
          </w:r>
          <w:sdt>
            <w:sdtPr>
              <w:rPr>
                <w:rFonts w:hint="eastAsia" w:ascii="宋体" w:hAnsi="宋体" w:eastAsia="宋体" w:cs="Times New Roman"/>
                <w:b/>
                <w:bCs/>
                <w:sz w:val="24"/>
                <w:szCs w:val="24"/>
                <w:lang w:val="en-US" w:eastAsia="zh-CN" w:bidi="ar-SA"/>
              </w:rPr>
              <w:id w:val="147465107"/>
              <w:placeholder>
                <w:docPart w:val="{34d438b4-8faf-4c56-95c5-43439873affb}"/>
              </w:placeholder>
              <w15:color w:val="509DF3"/>
            </w:sdtPr>
            <w:sdtEndPr>
              <w:rPr>
                <w:rFonts w:hint="eastAsia" w:ascii="宋体" w:hAnsi="宋体" w:eastAsia="宋体" w:cs="Times New Roman"/>
                <w:b/>
                <w:bCs/>
                <w:sz w:val="24"/>
                <w:szCs w:val="24"/>
                <w:lang w:val="en-US" w:eastAsia="zh-CN" w:bidi="ar-SA"/>
              </w:rPr>
            </w:sdtEndPr>
            <w:sdtContent>
              <w:r>
                <w:rPr>
                  <w:rFonts w:hint="eastAsia" w:ascii="宋体" w:hAnsi="宋体" w:eastAsia="宋体" w:cs="Times New Roman"/>
                  <w:b/>
                  <w:bCs/>
                  <w:sz w:val="24"/>
                  <w:szCs w:val="24"/>
                </w:rPr>
                <w:t>第二章</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投标人须知</w:t>
              </w:r>
            </w:sdtContent>
          </w:sdt>
          <w:r>
            <w:rPr>
              <w:b/>
              <w:bCs/>
              <w:sz w:val="24"/>
              <w:szCs w:val="24"/>
            </w:rPr>
            <w:tab/>
          </w:r>
          <w:r>
            <w:rPr>
              <w:rFonts w:hint="eastAsia"/>
              <w:b/>
              <w:bCs/>
              <w:sz w:val="24"/>
              <w:szCs w:val="24"/>
              <w:lang w:val="en-US" w:eastAsia="zh-CN"/>
            </w:rPr>
            <w:t>7</w:t>
          </w:r>
          <w:r>
            <w:rPr>
              <w:b/>
              <w:bCs/>
              <w:sz w:val="24"/>
              <w:szCs w:val="24"/>
            </w:rPr>
            <w:fldChar w:fldCharType="end"/>
          </w:r>
        </w:p>
        <w:p>
          <w:pPr>
            <w:pStyle w:val="51"/>
            <w:keepNext w:val="0"/>
            <w:keepLines w:val="0"/>
            <w:pageBreakBefore w:val="0"/>
            <w:widowControl/>
            <w:tabs>
              <w:tab w:val="right" w:leader="dot" w:pos="9940"/>
            </w:tabs>
            <w:kinsoku/>
            <w:wordWrap/>
            <w:overflowPunct/>
            <w:topLinePunct w:val="0"/>
            <w:autoSpaceDE/>
            <w:autoSpaceDN/>
            <w:bidi w:val="0"/>
            <w:adjustRightInd/>
            <w:snapToGrid/>
            <w:spacing w:line="480" w:lineRule="auto"/>
            <w:textAlignment w:val="auto"/>
            <w:rPr>
              <w:rFonts w:hint="eastAsia" w:eastAsia="宋体"/>
              <w:sz w:val="24"/>
              <w:szCs w:val="24"/>
              <w:lang w:val="en-US" w:eastAsia="zh-CN"/>
            </w:rPr>
          </w:pPr>
          <w:r>
            <w:rPr>
              <w:b/>
              <w:bCs/>
              <w:sz w:val="24"/>
              <w:szCs w:val="24"/>
            </w:rPr>
            <w:fldChar w:fldCharType="begin"/>
          </w:r>
          <w:r>
            <w:rPr>
              <w:sz w:val="24"/>
              <w:szCs w:val="24"/>
            </w:rPr>
            <w:instrText xml:space="preserve"> HYPERLINK \l _Toc166_WPSOffice_Level1 </w:instrText>
          </w:r>
          <w:r>
            <w:rPr>
              <w:b/>
              <w:bCs/>
              <w:sz w:val="24"/>
              <w:szCs w:val="24"/>
            </w:rPr>
            <w:fldChar w:fldCharType="separate"/>
          </w:r>
          <w:sdt>
            <w:sdtPr>
              <w:rPr>
                <w:rFonts w:hint="eastAsia" w:ascii="宋体" w:hAnsi="宋体" w:eastAsia="宋体" w:cs="Times New Roman"/>
                <w:b/>
                <w:bCs/>
                <w:sz w:val="24"/>
                <w:szCs w:val="24"/>
                <w:lang w:val="en-US" w:eastAsia="zh-CN" w:bidi="ar-SA"/>
              </w:rPr>
              <w:id w:val="147465107"/>
              <w:placeholder>
                <w:docPart w:val="{653f70dd-b3ff-45fc-bd2b-9500903caf75}"/>
              </w:placeholder>
              <w15:color w:val="509DF3"/>
            </w:sdtPr>
            <w:sdtEndPr>
              <w:rPr>
                <w:rFonts w:hint="eastAsia" w:ascii="宋体" w:hAnsi="宋体" w:eastAsia="宋体" w:cs="Times New Roman"/>
                <w:b/>
                <w:bCs/>
                <w:sz w:val="24"/>
                <w:szCs w:val="24"/>
                <w:lang w:val="en-US" w:eastAsia="zh-CN" w:bidi="ar-SA"/>
              </w:rPr>
            </w:sdtEndPr>
            <w:sdtContent>
              <w:r>
                <w:rPr>
                  <w:rFonts w:hint="eastAsia" w:ascii="宋体" w:hAnsi="宋体" w:eastAsia="宋体" w:cs="Times New Roman"/>
                  <w:b/>
                  <w:bCs/>
                  <w:sz w:val="24"/>
                  <w:szCs w:val="24"/>
                </w:rPr>
                <w:t>第三章</w:t>
              </w:r>
              <w:r>
                <w:rPr>
                  <w:rFonts w:hint="eastAsia" w:ascii="宋体" w:hAnsi="宋体" w:cs="Times New Roman"/>
                  <w:b/>
                  <w:bCs/>
                  <w:sz w:val="24"/>
                  <w:szCs w:val="24"/>
                  <w:lang w:val="en-US" w:eastAsia="zh-CN"/>
                </w:rPr>
                <w:t xml:space="preserve"> </w:t>
              </w:r>
              <w:r>
                <w:rPr>
                  <w:rFonts w:hint="eastAsia" w:ascii="宋体" w:hAnsi="宋体" w:eastAsia="宋体" w:cs="Times New Roman"/>
                  <w:b/>
                  <w:bCs/>
                  <w:sz w:val="24"/>
                  <w:szCs w:val="24"/>
                </w:rPr>
                <w:t>评标方法（综合评分法）</w:t>
              </w:r>
            </w:sdtContent>
          </w:sdt>
          <w:r>
            <w:rPr>
              <w:b/>
              <w:bCs/>
              <w:sz w:val="24"/>
              <w:szCs w:val="24"/>
            </w:rPr>
            <w:tab/>
          </w:r>
          <w:r>
            <w:rPr>
              <w:rFonts w:hint="eastAsia"/>
              <w:b/>
              <w:bCs/>
              <w:sz w:val="24"/>
              <w:szCs w:val="24"/>
              <w:lang w:val="en-US" w:eastAsia="zh-CN"/>
            </w:rPr>
            <w:t>3</w:t>
          </w:r>
          <w:r>
            <w:rPr>
              <w:b/>
              <w:bCs/>
              <w:sz w:val="24"/>
              <w:szCs w:val="24"/>
            </w:rPr>
            <w:fldChar w:fldCharType="end"/>
          </w:r>
          <w:r>
            <w:rPr>
              <w:rFonts w:hint="eastAsia"/>
              <w:b/>
              <w:bCs/>
              <w:sz w:val="24"/>
              <w:szCs w:val="24"/>
              <w:lang w:val="en-US" w:eastAsia="zh-CN"/>
            </w:rPr>
            <w:t>2</w:t>
          </w:r>
        </w:p>
        <w:p>
          <w:pPr>
            <w:pStyle w:val="51"/>
            <w:keepNext w:val="0"/>
            <w:keepLines w:val="0"/>
            <w:pageBreakBefore w:val="0"/>
            <w:widowControl/>
            <w:tabs>
              <w:tab w:val="right" w:leader="dot" w:pos="9940"/>
            </w:tabs>
            <w:kinsoku/>
            <w:wordWrap/>
            <w:overflowPunct/>
            <w:topLinePunct w:val="0"/>
            <w:autoSpaceDE/>
            <w:autoSpaceDN/>
            <w:bidi w:val="0"/>
            <w:adjustRightInd/>
            <w:snapToGrid/>
            <w:spacing w:line="480" w:lineRule="auto"/>
            <w:textAlignment w:val="auto"/>
            <w:rPr>
              <w:sz w:val="24"/>
              <w:szCs w:val="24"/>
            </w:rPr>
          </w:pPr>
          <w:r>
            <w:rPr>
              <w:b/>
              <w:bCs/>
              <w:sz w:val="24"/>
              <w:szCs w:val="24"/>
            </w:rPr>
            <w:fldChar w:fldCharType="begin"/>
          </w:r>
          <w:r>
            <w:rPr>
              <w:sz w:val="24"/>
              <w:szCs w:val="24"/>
            </w:rPr>
            <w:instrText xml:space="preserve"> HYPERLINK \l _Toc20752_WPSOffice_Level1 </w:instrText>
          </w:r>
          <w:r>
            <w:rPr>
              <w:b/>
              <w:bCs/>
              <w:sz w:val="24"/>
              <w:szCs w:val="24"/>
            </w:rPr>
            <w:fldChar w:fldCharType="separate"/>
          </w:r>
          <w:sdt>
            <w:sdtPr>
              <w:rPr>
                <w:rFonts w:hint="eastAsia" w:ascii="宋体" w:hAnsi="宋体" w:eastAsia="宋体" w:cs="Times New Roman"/>
                <w:b/>
                <w:bCs/>
                <w:sz w:val="24"/>
                <w:szCs w:val="24"/>
                <w:lang w:val="en-US" w:eastAsia="zh-CN" w:bidi="ar-SA"/>
              </w:rPr>
              <w:id w:val="147465107"/>
              <w:placeholder>
                <w:docPart w:val="{253cf1ec-bc2e-4a0c-a590-a7750650add5}"/>
              </w:placeholder>
              <w15:color w:val="509DF3"/>
            </w:sdtPr>
            <w:sdtEndPr>
              <w:rPr>
                <w:rFonts w:hint="eastAsia" w:ascii="宋体" w:hAnsi="宋体" w:eastAsia="宋体" w:cs="Times New Roman"/>
                <w:b/>
                <w:bCs/>
                <w:sz w:val="24"/>
                <w:szCs w:val="24"/>
                <w:lang w:val="en-US" w:eastAsia="zh-CN" w:bidi="ar-SA"/>
              </w:rPr>
            </w:sdtEndPr>
            <w:sdtContent>
              <w:r>
                <w:rPr>
                  <w:rFonts w:hint="eastAsia" w:ascii="宋体" w:hAnsi="宋体" w:eastAsia="宋体" w:cs="Times New Roman"/>
                  <w:b/>
                  <w:bCs/>
                  <w:sz w:val="24"/>
                  <w:szCs w:val="24"/>
                </w:rPr>
                <w:t>第四章 合同条款及格式</w:t>
              </w:r>
            </w:sdtContent>
          </w:sdt>
          <w:r>
            <w:rPr>
              <w:b/>
              <w:bCs/>
              <w:sz w:val="24"/>
              <w:szCs w:val="24"/>
            </w:rPr>
            <w:tab/>
          </w:r>
          <w:bookmarkStart w:id="1" w:name="_Toc20752_WPSOffice_Level1Page"/>
          <w:r>
            <w:rPr>
              <w:b/>
              <w:bCs/>
              <w:sz w:val="24"/>
              <w:szCs w:val="24"/>
            </w:rPr>
            <w:t>3</w:t>
          </w:r>
          <w:bookmarkEnd w:id="1"/>
          <w:r>
            <w:rPr>
              <w:rFonts w:hint="eastAsia"/>
              <w:b/>
              <w:bCs/>
              <w:sz w:val="24"/>
              <w:szCs w:val="24"/>
              <w:lang w:val="en-US" w:eastAsia="zh-CN"/>
            </w:rPr>
            <w:t>9</w:t>
          </w:r>
          <w:r>
            <w:rPr>
              <w:b/>
              <w:bCs/>
              <w:sz w:val="24"/>
              <w:szCs w:val="24"/>
            </w:rPr>
            <w:fldChar w:fldCharType="end"/>
          </w:r>
        </w:p>
        <w:p>
          <w:pPr>
            <w:pStyle w:val="51"/>
            <w:keepNext w:val="0"/>
            <w:keepLines w:val="0"/>
            <w:pageBreakBefore w:val="0"/>
            <w:widowControl/>
            <w:tabs>
              <w:tab w:val="right" w:leader="dot" w:pos="9940"/>
            </w:tabs>
            <w:kinsoku/>
            <w:wordWrap/>
            <w:overflowPunct/>
            <w:topLinePunct w:val="0"/>
            <w:autoSpaceDE/>
            <w:autoSpaceDN/>
            <w:bidi w:val="0"/>
            <w:adjustRightInd/>
            <w:snapToGrid/>
            <w:spacing w:line="480" w:lineRule="auto"/>
            <w:textAlignment w:val="auto"/>
            <w:rPr>
              <w:rFonts w:hint="eastAsia" w:eastAsia="宋体"/>
              <w:sz w:val="24"/>
              <w:szCs w:val="24"/>
              <w:lang w:val="en-US" w:eastAsia="zh-CN"/>
            </w:rPr>
          </w:pPr>
          <w:r>
            <w:rPr>
              <w:b/>
              <w:bCs/>
              <w:sz w:val="24"/>
              <w:szCs w:val="24"/>
            </w:rPr>
            <w:fldChar w:fldCharType="begin"/>
          </w:r>
          <w:r>
            <w:rPr>
              <w:sz w:val="24"/>
              <w:szCs w:val="24"/>
            </w:rPr>
            <w:instrText xml:space="preserve"> HYPERLINK \l _Toc20280_WPSOffice_Level1 </w:instrText>
          </w:r>
          <w:r>
            <w:rPr>
              <w:b/>
              <w:bCs/>
              <w:sz w:val="24"/>
              <w:szCs w:val="24"/>
            </w:rPr>
            <w:fldChar w:fldCharType="separate"/>
          </w:r>
          <w:sdt>
            <w:sdtPr>
              <w:rPr>
                <w:rFonts w:hint="eastAsia" w:ascii="宋体" w:hAnsi="宋体" w:eastAsia="宋体" w:cs="Times New Roman"/>
                <w:b/>
                <w:bCs/>
                <w:sz w:val="24"/>
                <w:szCs w:val="24"/>
                <w:lang w:val="en-US" w:eastAsia="zh-CN" w:bidi="ar-SA"/>
              </w:rPr>
              <w:id w:val="147465107"/>
              <w:placeholder>
                <w:docPart w:val="{160ae211-57a8-41b2-b760-c44a95620708}"/>
              </w:placeholder>
              <w15:color w:val="509DF3"/>
            </w:sdtPr>
            <w:sdtEndPr>
              <w:rPr>
                <w:rFonts w:hint="eastAsia" w:ascii="宋体" w:hAnsi="宋体" w:eastAsia="宋体" w:cs="Times New Roman"/>
                <w:b/>
                <w:bCs/>
                <w:sz w:val="24"/>
                <w:szCs w:val="24"/>
                <w:lang w:val="en-US" w:eastAsia="zh-CN" w:bidi="ar-SA"/>
              </w:rPr>
            </w:sdtEndPr>
            <w:sdtContent>
              <w:r>
                <w:rPr>
                  <w:rFonts w:hint="eastAsia" w:ascii="宋体" w:hAnsi="宋体" w:eastAsia="宋体" w:cs="Times New Roman"/>
                  <w:b/>
                  <w:bCs/>
                  <w:sz w:val="24"/>
                  <w:szCs w:val="24"/>
                </w:rPr>
                <w:t>第五章</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采购需求</w:t>
              </w:r>
            </w:sdtContent>
          </w:sdt>
          <w:r>
            <w:rPr>
              <w:b/>
              <w:bCs/>
              <w:sz w:val="24"/>
              <w:szCs w:val="24"/>
            </w:rPr>
            <w:tab/>
          </w:r>
          <w:r>
            <w:rPr>
              <w:rFonts w:hint="eastAsia"/>
              <w:b/>
              <w:bCs/>
              <w:sz w:val="24"/>
              <w:szCs w:val="24"/>
              <w:lang w:val="en-US" w:eastAsia="zh-CN"/>
            </w:rPr>
            <w:t>5</w:t>
          </w:r>
          <w:r>
            <w:rPr>
              <w:b/>
              <w:bCs/>
              <w:sz w:val="24"/>
              <w:szCs w:val="24"/>
            </w:rPr>
            <w:fldChar w:fldCharType="end"/>
          </w:r>
          <w:r>
            <w:rPr>
              <w:rFonts w:hint="eastAsia"/>
              <w:b/>
              <w:bCs/>
              <w:sz w:val="24"/>
              <w:szCs w:val="24"/>
              <w:lang w:val="en-US" w:eastAsia="zh-CN"/>
            </w:rPr>
            <w:t>4</w:t>
          </w:r>
        </w:p>
        <w:p>
          <w:pPr>
            <w:pStyle w:val="51"/>
            <w:keepNext w:val="0"/>
            <w:keepLines w:val="0"/>
            <w:pageBreakBefore w:val="0"/>
            <w:widowControl/>
            <w:tabs>
              <w:tab w:val="right" w:leader="dot" w:pos="9940"/>
            </w:tabs>
            <w:kinsoku/>
            <w:wordWrap/>
            <w:overflowPunct/>
            <w:topLinePunct w:val="0"/>
            <w:autoSpaceDE/>
            <w:autoSpaceDN/>
            <w:bidi w:val="0"/>
            <w:adjustRightInd/>
            <w:snapToGrid/>
            <w:spacing w:line="480" w:lineRule="auto"/>
            <w:textAlignment w:val="auto"/>
            <w:rPr>
              <w:sz w:val="24"/>
              <w:szCs w:val="24"/>
            </w:rPr>
          </w:pPr>
          <w:r>
            <w:rPr>
              <w:b/>
              <w:bCs/>
              <w:sz w:val="24"/>
              <w:szCs w:val="24"/>
            </w:rPr>
            <w:fldChar w:fldCharType="begin"/>
          </w:r>
          <w:r>
            <w:rPr>
              <w:sz w:val="24"/>
              <w:szCs w:val="24"/>
            </w:rPr>
            <w:instrText xml:space="preserve"> HYPERLINK \l _Toc32571_WPSOffice_Level1 </w:instrText>
          </w:r>
          <w:r>
            <w:rPr>
              <w:b/>
              <w:bCs/>
              <w:sz w:val="24"/>
              <w:szCs w:val="24"/>
            </w:rPr>
            <w:fldChar w:fldCharType="separate"/>
          </w:r>
          <w:sdt>
            <w:sdtPr>
              <w:rPr>
                <w:rFonts w:hint="eastAsia" w:ascii="宋体" w:hAnsi="宋体" w:eastAsia="宋体" w:cs="Times New Roman"/>
                <w:b/>
                <w:bCs/>
                <w:sz w:val="24"/>
                <w:szCs w:val="24"/>
                <w:lang w:val="en-US" w:eastAsia="zh-CN" w:bidi="ar-SA"/>
              </w:rPr>
              <w:id w:val="147465107"/>
              <w:placeholder>
                <w:docPart w:val="{6c2f6c7e-57da-4db1-8de5-fd01fd34ae98}"/>
              </w:placeholder>
              <w15:color w:val="509DF3"/>
            </w:sdtPr>
            <w:sdtEndPr>
              <w:rPr>
                <w:rFonts w:hint="eastAsia" w:ascii="宋体" w:hAnsi="宋体" w:eastAsia="宋体" w:cs="Times New Roman"/>
                <w:b/>
                <w:bCs/>
                <w:sz w:val="24"/>
                <w:szCs w:val="24"/>
                <w:lang w:val="en-US" w:eastAsia="zh-CN" w:bidi="ar-SA"/>
              </w:rPr>
            </w:sdtEndPr>
            <w:sdtContent>
              <w:r>
                <w:rPr>
                  <w:rFonts w:hint="eastAsia" w:ascii="宋体" w:hAnsi="宋体" w:eastAsia="宋体" w:cs="Times New Roman"/>
                  <w:b/>
                  <w:bCs/>
                  <w:sz w:val="24"/>
                  <w:szCs w:val="24"/>
                </w:rPr>
                <w:t>第六章</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投标文件格式</w:t>
              </w:r>
            </w:sdtContent>
          </w:sdt>
          <w:r>
            <w:rPr>
              <w:b/>
              <w:bCs/>
              <w:sz w:val="24"/>
              <w:szCs w:val="24"/>
            </w:rPr>
            <w:tab/>
          </w:r>
          <w:bookmarkStart w:id="2" w:name="_Toc32571_WPSOffice_Level1Page"/>
          <w:r>
            <w:rPr>
              <w:b/>
              <w:bCs/>
              <w:sz w:val="24"/>
              <w:szCs w:val="24"/>
            </w:rPr>
            <w:t>5</w:t>
          </w:r>
          <w:bookmarkEnd w:id="2"/>
          <w:r>
            <w:rPr>
              <w:rFonts w:hint="eastAsia"/>
              <w:b/>
              <w:bCs/>
              <w:sz w:val="24"/>
              <w:szCs w:val="24"/>
              <w:lang w:val="en-US" w:eastAsia="zh-CN"/>
            </w:rPr>
            <w:t>5</w:t>
          </w:r>
          <w:r>
            <w:rPr>
              <w:b/>
              <w:bCs/>
              <w:sz w:val="24"/>
              <w:szCs w:val="24"/>
            </w:rPr>
            <w:fldChar w:fldCharType="end"/>
          </w:r>
        </w:p>
        <w:bookmarkEnd w:id="0"/>
        <w:p>
          <w:pPr>
            <w:pStyle w:val="14"/>
            <w:kinsoku w:val="0"/>
            <w:overflowPunct w:val="0"/>
            <w:ind w:left="0"/>
            <w:rPr>
              <w:rFonts w:hint="default" w:ascii="Times New Roman" w:hAnsi="Times New Roman" w:eastAsia="Times New Roman"/>
              <w:sz w:val="17"/>
            </w:rPr>
          </w:pPr>
        </w:p>
      </w:sdtContent>
    </w:sdt>
    <w:p>
      <w:pPr>
        <w:rPr>
          <w:rFonts w:hint="default" w:ascii="Times New Roman" w:hAnsi="Times New Roman" w:eastAsia="Times New Roman"/>
          <w:sz w:val="17"/>
        </w:rPr>
      </w:pPr>
    </w:p>
    <w:p>
      <w:pPr>
        <w:pStyle w:val="26"/>
        <w:rPr>
          <w:rFonts w:hint="default" w:ascii="Times New Roman" w:hAnsi="Times New Roman" w:eastAsia="Times New Roman"/>
          <w:sz w:val="17"/>
        </w:rPr>
      </w:pPr>
    </w:p>
    <w:p>
      <w:pPr>
        <w:pStyle w:val="26"/>
        <w:rPr>
          <w:rFonts w:hint="default" w:ascii="Times New Roman" w:hAnsi="Times New Roman" w:eastAsia="Times New Roman"/>
          <w:sz w:val="17"/>
        </w:rPr>
      </w:pPr>
    </w:p>
    <w:p>
      <w:pPr>
        <w:pStyle w:val="26"/>
        <w:rPr>
          <w:rFonts w:hint="default" w:ascii="Times New Roman" w:hAnsi="Times New Roman" w:eastAsia="Times New Roman"/>
          <w:sz w:val="17"/>
        </w:rPr>
      </w:pPr>
    </w:p>
    <w:p>
      <w:pPr>
        <w:pStyle w:val="26"/>
        <w:rPr>
          <w:rFonts w:hint="default" w:ascii="Times New Roman" w:hAnsi="Times New Roman" w:eastAsia="Times New Roman"/>
          <w:sz w:val="17"/>
        </w:rPr>
      </w:pPr>
    </w:p>
    <w:p>
      <w:pPr>
        <w:pStyle w:val="26"/>
        <w:rPr>
          <w:rFonts w:hint="default" w:ascii="Times New Roman" w:hAnsi="Times New Roman" w:eastAsia="Times New Roman"/>
          <w:sz w:val="17"/>
        </w:rPr>
      </w:pPr>
    </w:p>
    <w:p>
      <w:pPr>
        <w:pStyle w:val="26"/>
        <w:rPr>
          <w:rFonts w:hint="default" w:ascii="Times New Roman" w:hAnsi="Times New Roman" w:eastAsia="Times New Roman"/>
          <w:sz w:val="17"/>
        </w:rPr>
      </w:pPr>
    </w:p>
    <w:p>
      <w:pPr>
        <w:pStyle w:val="26"/>
        <w:rPr>
          <w:rFonts w:hint="default" w:ascii="Times New Roman" w:hAnsi="Times New Roman" w:eastAsia="Times New Roman"/>
          <w:sz w:val="17"/>
        </w:rPr>
      </w:pPr>
    </w:p>
    <w:p>
      <w:pPr>
        <w:pStyle w:val="27"/>
        <w:rPr>
          <w:rFonts w:hint="default" w:ascii="Times New Roman" w:hAnsi="Times New Roman" w:eastAsia="Times New Roman"/>
          <w:sz w:val="17"/>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bidi w:val="0"/>
        <w:rPr>
          <w:rFonts w:hint="default"/>
        </w:rPr>
      </w:pPr>
    </w:p>
    <w:p>
      <w:pPr>
        <w:pStyle w:val="14"/>
        <w:kinsoku w:val="0"/>
        <w:overflowPunct w:val="0"/>
        <w:ind w:left="0" w:right="100"/>
        <w:jc w:val="center"/>
        <w:rPr>
          <w:rFonts w:hint="default"/>
          <w:b/>
          <w:bCs/>
          <w:spacing w:val="-1"/>
          <w:sz w:val="32"/>
          <w:szCs w:val="32"/>
        </w:rPr>
      </w:pPr>
      <w:bookmarkStart w:id="3" w:name="bookmark1"/>
      <w:bookmarkEnd w:id="3"/>
      <w:bookmarkStart w:id="4" w:name="_Toc9582_WPSOffice_Level1"/>
      <w:r>
        <w:rPr>
          <w:b/>
          <w:bCs/>
          <w:spacing w:val="-1"/>
          <w:sz w:val="32"/>
          <w:szCs w:val="32"/>
        </w:rPr>
        <w:t>第一章</w:t>
      </w:r>
      <w:r>
        <w:rPr>
          <w:rFonts w:hint="eastAsia"/>
          <w:b/>
          <w:bCs/>
          <w:spacing w:val="-1"/>
          <w:sz w:val="32"/>
          <w:szCs w:val="32"/>
          <w:lang w:val="en-US" w:eastAsia="zh-CN"/>
        </w:rPr>
        <w:t xml:space="preserve">  </w:t>
      </w:r>
      <w:r>
        <w:rPr>
          <w:b/>
          <w:bCs/>
          <w:spacing w:val="-1"/>
          <w:sz w:val="32"/>
          <w:szCs w:val="32"/>
        </w:rPr>
        <w:t>招标公告</w:t>
      </w:r>
      <w:bookmarkEnd w:id="4"/>
    </w:p>
    <w:p>
      <w:pPr>
        <w:rPr>
          <w:rFonts w:hint="default"/>
        </w:rPr>
      </w:pPr>
    </w:p>
    <w:p>
      <w:pPr>
        <w:bidi w:val="0"/>
      </w:pPr>
    </w:p>
    <w:p>
      <w:pPr>
        <w:widowControl/>
        <w:snapToGrid w:val="0"/>
        <w:spacing w:line="440" w:lineRule="exact"/>
        <w:rPr>
          <w:rFonts w:hint="eastAsia" w:ascii="宋体" w:hAnsi="宋体" w:cs="宋体"/>
          <w:bCs/>
          <w:szCs w:val="24"/>
          <w:highlight w:val="none"/>
          <w:lang w:eastAsia="zh-CN"/>
        </w:rPr>
      </w:pPr>
      <w:bookmarkStart w:id="5" w:name="_Toc19243_WPSOffice_Level2"/>
      <w:bookmarkStart w:id="6" w:name="_Toc20752_WPSOffice_Level2"/>
      <w:r>
        <w:rPr>
          <w:rFonts w:hint="eastAsia" w:ascii="宋体" w:hAnsi="宋体" w:cs="宋体"/>
          <w:bCs/>
          <w:szCs w:val="24"/>
        </w:rPr>
        <w:t>一、采购项目名称</w:t>
      </w:r>
      <w:r>
        <w:rPr>
          <w:rFonts w:hint="eastAsia" w:ascii="宋体" w:hAnsi="宋体" w:cs="宋体"/>
          <w:bCs/>
          <w:szCs w:val="24"/>
          <w:highlight w:val="none"/>
          <w:lang w:eastAsia="zh-CN"/>
        </w:rPr>
        <w:t>：</w:t>
      </w:r>
      <w:bookmarkEnd w:id="5"/>
      <w:bookmarkEnd w:id="6"/>
      <w:r>
        <w:rPr>
          <w:rFonts w:hint="eastAsia" w:ascii="宋体" w:hAnsi="宋体" w:cs="宋体"/>
          <w:bCs/>
          <w:szCs w:val="24"/>
          <w:highlight w:val="none"/>
          <w:lang w:eastAsia="zh-CN"/>
        </w:rPr>
        <w:t>邓州市应急管理局救灾物资采购项目</w:t>
      </w:r>
    </w:p>
    <w:p>
      <w:pPr>
        <w:widowControl/>
        <w:snapToGrid w:val="0"/>
        <w:spacing w:line="440" w:lineRule="exact"/>
        <w:rPr>
          <w:rFonts w:hint="default" w:ascii="宋体" w:hAnsi="宋体" w:cs="宋体"/>
          <w:bCs/>
          <w:szCs w:val="24"/>
          <w:highlight w:val="none"/>
          <w:lang w:val="en-US" w:eastAsia="zh-CN"/>
        </w:rPr>
      </w:pPr>
      <w:bookmarkStart w:id="7" w:name="_Toc29100_WPSOffice_Level2"/>
      <w:bookmarkStart w:id="8" w:name="_Toc20280_WPSOffice_Level2"/>
      <w:r>
        <w:rPr>
          <w:rFonts w:hint="eastAsia" w:ascii="宋体" w:hAnsi="宋体" w:cs="宋体"/>
          <w:bCs/>
          <w:szCs w:val="24"/>
          <w:highlight w:val="none"/>
          <w:lang w:eastAsia="zh-CN"/>
        </w:rPr>
        <w:t>二、采购项目编号：</w:t>
      </w:r>
      <w:bookmarkEnd w:id="7"/>
      <w:bookmarkEnd w:id="8"/>
      <w:r>
        <w:rPr>
          <w:rFonts w:hint="eastAsia" w:ascii="宋体" w:hAnsi="宋体" w:cs="宋体"/>
          <w:bCs/>
          <w:szCs w:val="24"/>
          <w:highlight w:val="none"/>
          <w:lang w:eastAsia="zh-CN"/>
        </w:rPr>
        <w:t>邓采（</w:t>
      </w:r>
      <w:r>
        <w:rPr>
          <w:rFonts w:hint="eastAsia" w:ascii="宋体" w:hAnsi="宋体" w:cs="宋体"/>
          <w:bCs/>
          <w:szCs w:val="24"/>
          <w:highlight w:val="none"/>
          <w:lang w:val="en-US" w:eastAsia="zh-CN"/>
        </w:rPr>
        <w:t>2020）-045号</w:t>
      </w:r>
    </w:p>
    <w:p>
      <w:pPr>
        <w:widowControl/>
        <w:snapToGrid w:val="0"/>
        <w:spacing w:line="440" w:lineRule="exact"/>
        <w:rPr>
          <w:rFonts w:ascii="宋体" w:hAnsi="宋体" w:cs="宋体"/>
          <w:b w:val="0"/>
          <w:bCs w:val="0"/>
          <w:color w:val="auto"/>
          <w:szCs w:val="24"/>
          <w:highlight w:val="none"/>
        </w:rPr>
      </w:pPr>
      <w:bookmarkStart w:id="9" w:name="_Toc32571_WPSOffice_Level2"/>
      <w:bookmarkStart w:id="10" w:name="_Toc12764_WPSOffice_Level2"/>
      <w:r>
        <w:rPr>
          <w:rFonts w:hint="eastAsia" w:ascii="宋体" w:hAnsi="宋体" w:cs="宋体"/>
          <w:b/>
          <w:szCs w:val="24"/>
        </w:rPr>
        <w:t>三、</w:t>
      </w:r>
      <w:r>
        <w:rPr>
          <w:rFonts w:hint="eastAsia" w:ascii="宋体" w:hAnsi="宋体" w:cs="宋体"/>
          <w:bCs/>
          <w:szCs w:val="24"/>
        </w:rPr>
        <w:t>项目预算金额</w:t>
      </w:r>
      <w:r>
        <w:rPr>
          <w:rFonts w:hint="eastAsia" w:ascii="宋体" w:hAnsi="宋体" w:cs="宋体"/>
          <w:bCs/>
        </w:rPr>
        <w:t>(</w:t>
      </w:r>
      <w:r>
        <w:rPr>
          <w:rFonts w:hint="eastAsia" w:ascii="宋体" w:hAnsi="宋体" w:cs="宋体"/>
          <w:szCs w:val="24"/>
        </w:rPr>
        <w:t>最高投标限价）：</w:t>
      </w:r>
      <w:bookmarkEnd w:id="9"/>
      <w:bookmarkEnd w:id="10"/>
      <w:r>
        <w:rPr>
          <w:rFonts w:hint="eastAsia" w:ascii="宋体" w:hAnsi="宋体" w:cs="宋体"/>
          <w:b w:val="0"/>
          <w:bCs w:val="0"/>
          <w:color w:val="auto"/>
          <w:szCs w:val="24"/>
          <w:highlight w:val="none"/>
          <w:u w:val="single"/>
          <w:lang w:eastAsia="zh-CN"/>
        </w:rPr>
        <w:t>贰佰万元整</w:t>
      </w:r>
      <w:r>
        <w:rPr>
          <w:rFonts w:hint="eastAsia" w:ascii="宋体" w:hAnsi="宋体" w:cs="宋体"/>
          <w:b w:val="0"/>
          <w:bCs w:val="0"/>
          <w:color w:val="auto"/>
          <w:szCs w:val="24"/>
          <w:highlight w:val="none"/>
          <w:u w:val="single"/>
        </w:rPr>
        <w:t>（¥:2</w:t>
      </w:r>
      <w:r>
        <w:rPr>
          <w:rFonts w:hint="eastAsia" w:ascii="宋体" w:hAnsi="宋体" w:cs="宋体"/>
          <w:b w:val="0"/>
          <w:bCs w:val="0"/>
          <w:color w:val="auto"/>
          <w:szCs w:val="24"/>
          <w:highlight w:val="none"/>
          <w:u w:val="single"/>
          <w:lang w:val="en-US" w:eastAsia="zh-CN"/>
        </w:rPr>
        <w:t>000000.00</w:t>
      </w:r>
      <w:r>
        <w:rPr>
          <w:rFonts w:hint="eastAsia" w:ascii="宋体" w:hAnsi="宋体" w:cs="宋体"/>
          <w:b w:val="0"/>
          <w:bCs w:val="0"/>
          <w:color w:val="auto"/>
          <w:szCs w:val="24"/>
          <w:highlight w:val="none"/>
          <w:u w:val="single"/>
        </w:rPr>
        <w:t>元）</w:t>
      </w:r>
    </w:p>
    <w:p>
      <w:pPr>
        <w:widowControl/>
        <w:snapToGrid w:val="0"/>
        <w:spacing w:line="440" w:lineRule="exact"/>
        <w:rPr>
          <w:rFonts w:ascii="宋体" w:hAnsi="宋体" w:cs="宋体"/>
          <w:b w:val="0"/>
          <w:bCs/>
          <w:szCs w:val="24"/>
          <w:lang w:val="zh-CN"/>
        </w:rPr>
      </w:pPr>
      <w:bookmarkStart w:id="11" w:name="_Toc15080_WPSOffice_Level2"/>
      <w:bookmarkStart w:id="12" w:name="_Toc17836_WPSOffice_Level2"/>
      <w:r>
        <w:rPr>
          <w:rFonts w:hint="eastAsia" w:ascii="宋体" w:hAnsi="宋体" w:cs="宋体"/>
          <w:b/>
          <w:szCs w:val="24"/>
          <w:lang w:val="zh-CN"/>
        </w:rPr>
        <w:t>四、</w:t>
      </w:r>
      <w:r>
        <w:rPr>
          <w:rFonts w:hint="eastAsia" w:ascii="宋体" w:hAnsi="宋体" w:cs="宋体"/>
          <w:b w:val="0"/>
          <w:bCs/>
          <w:szCs w:val="24"/>
          <w:lang w:val="zh-CN"/>
        </w:rPr>
        <w:t>采购需求：</w:t>
      </w:r>
      <w:bookmarkEnd w:id="11"/>
      <w:r>
        <w:rPr>
          <w:rFonts w:hint="eastAsia" w:ascii="宋体" w:hAnsi="宋体" w:cs="宋体"/>
          <w:b w:val="0"/>
          <w:bCs/>
          <w:szCs w:val="24"/>
          <w:lang w:val="zh-CN"/>
        </w:rPr>
        <w:t>共一个标段</w:t>
      </w:r>
      <w:bookmarkEnd w:id="12"/>
    </w:p>
    <w:tbl>
      <w:tblPr>
        <w:tblStyle w:val="28"/>
        <w:tblW w:w="955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46"/>
        <w:gridCol w:w="1085"/>
        <w:gridCol w:w="705"/>
        <w:gridCol w:w="1110"/>
        <w:gridCol w:w="1578"/>
        <w:gridCol w:w="1647"/>
        <w:gridCol w:w="1575"/>
        <w:gridCol w:w="130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29" w:hRule="atLeast"/>
          <w:jc w:val="center"/>
        </w:trPr>
        <w:tc>
          <w:tcPr>
            <w:tcW w:w="546" w:type="dxa"/>
            <w:tcBorders>
              <w:top w:val="single" w:color="000000" w:sz="12" w:space="0"/>
              <w:left w:val="single" w:color="000000" w:sz="12" w:space="0"/>
              <w:bottom w:val="single" w:color="000000" w:sz="6" w:space="0"/>
              <w:right w:val="single" w:color="000000" w:sz="6" w:space="0"/>
            </w:tcBorders>
            <w:noWrap/>
            <w:vAlign w:val="center"/>
          </w:tcPr>
          <w:p>
            <w:pPr>
              <w:spacing w:line="440" w:lineRule="exact"/>
              <w:jc w:val="center"/>
              <w:rPr>
                <w:rStyle w:val="46"/>
                <w:b/>
                <w:bCs/>
                <w:color w:val="auto"/>
                <w:szCs w:val="24"/>
                <w:highlight w:val="none"/>
              </w:rPr>
            </w:pPr>
            <w:r>
              <w:rPr>
                <w:rStyle w:val="46"/>
                <w:b/>
                <w:bCs/>
                <w:color w:val="auto"/>
                <w:szCs w:val="24"/>
                <w:highlight w:val="none"/>
              </w:rPr>
              <w:t>序号</w:t>
            </w:r>
          </w:p>
        </w:tc>
        <w:tc>
          <w:tcPr>
            <w:tcW w:w="1085" w:type="dxa"/>
            <w:tcBorders>
              <w:top w:val="single" w:color="000000" w:sz="12" w:space="0"/>
              <w:left w:val="single" w:color="000000" w:sz="6" w:space="0"/>
              <w:bottom w:val="single" w:color="000000" w:sz="6" w:space="0"/>
              <w:right w:val="single" w:color="000000" w:sz="6" w:space="0"/>
            </w:tcBorders>
            <w:noWrap/>
            <w:vAlign w:val="center"/>
          </w:tcPr>
          <w:p>
            <w:pPr>
              <w:spacing w:line="440" w:lineRule="exact"/>
              <w:jc w:val="center"/>
              <w:rPr>
                <w:rStyle w:val="46"/>
                <w:b/>
                <w:bCs/>
                <w:color w:val="auto"/>
                <w:szCs w:val="24"/>
                <w:highlight w:val="none"/>
              </w:rPr>
            </w:pPr>
            <w:r>
              <w:rPr>
                <w:rStyle w:val="46"/>
                <w:b/>
                <w:bCs/>
                <w:color w:val="auto"/>
                <w:szCs w:val="24"/>
                <w:highlight w:val="none"/>
              </w:rPr>
              <w:t>名称</w:t>
            </w:r>
          </w:p>
        </w:tc>
        <w:tc>
          <w:tcPr>
            <w:tcW w:w="705" w:type="dxa"/>
            <w:tcBorders>
              <w:top w:val="single" w:color="000000" w:sz="12" w:space="0"/>
              <w:left w:val="single" w:color="000000" w:sz="6" w:space="0"/>
              <w:bottom w:val="single" w:color="000000" w:sz="6" w:space="0"/>
              <w:right w:val="single" w:color="000000" w:sz="6" w:space="0"/>
            </w:tcBorders>
            <w:noWrap/>
            <w:vAlign w:val="center"/>
          </w:tcPr>
          <w:p>
            <w:pPr>
              <w:spacing w:line="440" w:lineRule="exact"/>
              <w:jc w:val="center"/>
              <w:rPr>
                <w:rStyle w:val="46"/>
                <w:b/>
                <w:bCs/>
                <w:color w:val="auto"/>
                <w:szCs w:val="24"/>
                <w:highlight w:val="none"/>
              </w:rPr>
            </w:pPr>
            <w:r>
              <w:rPr>
                <w:rStyle w:val="46"/>
                <w:b/>
                <w:bCs/>
                <w:color w:val="auto"/>
                <w:szCs w:val="24"/>
                <w:highlight w:val="none"/>
              </w:rPr>
              <w:t>单位</w:t>
            </w:r>
          </w:p>
        </w:tc>
        <w:tc>
          <w:tcPr>
            <w:tcW w:w="1110" w:type="dxa"/>
            <w:tcBorders>
              <w:top w:val="single" w:color="000000" w:sz="12" w:space="0"/>
              <w:left w:val="single" w:color="000000" w:sz="6" w:space="0"/>
              <w:bottom w:val="single" w:color="000000" w:sz="6" w:space="0"/>
              <w:right w:val="single" w:color="000000" w:sz="6" w:space="0"/>
            </w:tcBorders>
            <w:noWrap/>
            <w:vAlign w:val="center"/>
          </w:tcPr>
          <w:p>
            <w:pPr>
              <w:spacing w:line="440" w:lineRule="exact"/>
              <w:jc w:val="center"/>
              <w:rPr>
                <w:rStyle w:val="46"/>
                <w:b/>
                <w:bCs/>
                <w:color w:val="auto"/>
                <w:szCs w:val="24"/>
                <w:highlight w:val="none"/>
              </w:rPr>
            </w:pPr>
            <w:r>
              <w:rPr>
                <w:rStyle w:val="46"/>
                <w:b/>
                <w:bCs/>
                <w:color w:val="auto"/>
                <w:szCs w:val="24"/>
                <w:highlight w:val="none"/>
              </w:rPr>
              <w:t>数量</w:t>
            </w:r>
          </w:p>
        </w:tc>
        <w:tc>
          <w:tcPr>
            <w:tcW w:w="1578" w:type="dxa"/>
            <w:tcBorders>
              <w:top w:val="single" w:color="000000" w:sz="12" w:space="0"/>
              <w:left w:val="single" w:color="000000" w:sz="6" w:space="0"/>
              <w:bottom w:val="single" w:color="000000" w:sz="6" w:space="0"/>
              <w:right w:val="single" w:color="000000" w:sz="6" w:space="0"/>
            </w:tcBorders>
            <w:noWrap/>
            <w:vAlign w:val="center"/>
          </w:tcPr>
          <w:p>
            <w:pPr>
              <w:spacing w:line="440" w:lineRule="exact"/>
              <w:jc w:val="center"/>
              <w:rPr>
                <w:rStyle w:val="46"/>
                <w:rFonts w:hint="eastAsia" w:eastAsia="宋体"/>
                <w:b/>
                <w:bCs/>
                <w:color w:val="auto"/>
                <w:szCs w:val="24"/>
                <w:highlight w:val="none"/>
                <w:lang w:eastAsia="zh-CN"/>
              </w:rPr>
            </w:pPr>
            <w:r>
              <w:rPr>
                <w:rStyle w:val="46"/>
                <w:rFonts w:hint="eastAsia"/>
                <w:b/>
                <w:bCs/>
                <w:color w:val="auto"/>
                <w:szCs w:val="24"/>
                <w:highlight w:val="none"/>
                <w:lang w:eastAsia="zh-CN"/>
              </w:rPr>
              <w:t>预算（元）</w:t>
            </w:r>
          </w:p>
        </w:tc>
        <w:tc>
          <w:tcPr>
            <w:tcW w:w="1647" w:type="dxa"/>
            <w:tcBorders>
              <w:top w:val="single" w:color="000000" w:sz="12" w:space="0"/>
              <w:left w:val="single" w:color="000000" w:sz="6" w:space="0"/>
              <w:bottom w:val="single" w:color="000000" w:sz="6" w:space="0"/>
              <w:right w:val="single" w:color="000000" w:sz="6" w:space="0"/>
            </w:tcBorders>
            <w:noWrap/>
            <w:vAlign w:val="center"/>
          </w:tcPr>
          <w:p>
            <w:pPr>
              <w:spacing w:line="440" w:lineRule="exact"/>
              <w:jc w:val="center"/>
              <w:rPr>
                <w:rStyle w:val="46"/>
                <w:rFonts w:hint="eastAsia" w:eastAsia="宋体"/>
                <w:b/>
                <w:bCs/>
                <w:color w:val="auto"/>
                <w:szCs w:val="24"/>
                <w:highlight w:val="none"/>
                <w:lang w:eastAsia="zh-CN"/>
              </w:rPr>
            </w:pPr>
            <w:r>
              <w:rPr>
                <w:rStyle w:val="46"/>
                <w:rFonts w:hint="eastAsia"/>
                <w:b/>
                <w:bCs/>
                <w:color w:val="auto"/>
                <w:sz w:val="21"/>
                <w:szCs w:val="24"/>
                <w:highlight w:val="none"/>
                <w:lang w:eastAsia="zh-CN"/>
              </w:rPr>
              <w:t>最高投标限价（元）</w:t>
            </w:r>
          </w:p>
        </w:tc>
        <w:tc>
          <w:tcPr>
            <w:tcW w:w="1575" w:type="dxa"/>
            <w:tcBorders>
              <w:top w:val="single" w:color="000000" w:sz="12" w:space="0"/>
              <w:left w:val="single" w:color="000000" w:sz="6" w:space="0"/>
              <w:bottom w:val="single" w:color="000000" w:sz="6" w:space="0"/>
              <w:right w:val="single" w:color="000000" w:sz="6" w:space="0"/>
            </w:tcBorders>
            <w:noWrap/>
            <w:vAlign w:val="center"/>
          </w:tcPr>
          <w:p>
            <w:pPr>
              <w:spacing w:line="440" w:lineRule="exact"/>
              <w:jc w:val="center"/>
              <w:rPr>
                <w:rStyle w:val="46"/>
                <w:rFonts w:hint="eastAsia"/>
                <w:b/>
                <w:bCs/>
                <w:color w:val="auto"/>
                <w:szCs w:val="24"/>
                <w:highlight w:val="none"/>
              </w:rPr>
            </w:pPr>
            <w:r>
              <w:rPr>
                <w:rStyle w:val="46"/>
                <w:rFonts w:hint="eastAsia"/>
                <w:b/>
                <w:bCs/>
                <w:color w:val="auto"/>
                <w:szCs w:val="24"/>
                <w:highlight w:val="none"/>
              </w:rPr>
              <w:t>质量标准</w:t>
            </w:r>
          </w:p>
        </w:tc>
        <w:tc>
          <w:tcPr>
            <w:tcW w:w="1305" w:type="dxa"/>
            <w:tcBorders>
              <w:top w:val="single" w:color="000000" w:sz="12" w:space="0"/>
              <w:left w:val="single" w:color="000000" w:sz="6" w:space="0"/>
              <w:bottom w:val="single" w:color="000000" w:sz="6" w:space="0"/>
              <w:right w:val="single" w:color="000000" w:sz="6" w:space="0"/>
            </w:tcBorders>
            <w:noWrap/>
            <w:vAlign w:val="center"/>
          </w:tcPr>
          <w:p>
            <w:pPr>
              <w:spacing w:line="440" w:lineRule="exact"/>
              <w:jc w:val="center"/>
              <w:rPr>
                <w:rStyle w:val="46"/>
                <w:rFonts w:hint="eastAsia"/>
                <w:b/>
                <w:bCs/>
                <w:color w:val="auto"/>
                <w:szCs w:val="24"/>
                <w:highlight w:val="none"/>
              </w:rPr>
            </w:pPr>
            <w:r>
              <w:rPr>
                <w:rStyle w:val="46"/>
                <w:rFonts w:hint="eastAsia"/>
                <w:b/>
                <w:bCs/>
                <w:color w:val="auto"/>
                <w:szCs w:val="24"/>
                <w:highlight w:val="none"/>
              </w:rPr>
              <w:t>交货期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17" w:hRule="exact"/>
          <w:jc w:val="center"/>
        </w:trPr>
        <w:tc>
          <w:tcPr>
            <w:tcW w:w="546" w:type="dxa"/>
            <w:tcBorders>
              <w:top w:val="single" w:color="000000" w:sz="6" w:space="0"/>
              <w:left w:val="single" w:color="000000" w:sz="12" w:space="0"/>
              <w:bottom w:val="single" w:color="000000" w:sz="6" w:space="0"/>
              <w:right w:val="single" w:color="000000" w:sz="6" w:space="0"/>
            </w:tcBorders>
            <w:noWrap/>
            <w:vAlign w:val="center"/>
          </w:tcPr>
          <w:p>
            <w:pPr>
              <w:spacing w:line="440" w:lineRule="exact"/>
              <w:jc w:val="center"/>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1</w:t>
            </w:r>
          </w:p>
        </w:tc>
        <w:tc>
          <w:tcPr>
            <w:tcW w:w="1085" w:type="dxa"/>
            <w:tcBorders>
              <w:top w:val="single" w:color="000000" w:sz="6" w:space="0"/>
              <w:left w:val="single" w:color="000000" w:sz="6" w:space="0"/>
              <w:bottom w:val="single" w:color="000000" w:sz="6" w:space="0"/>
              <w:right w:val="single" w:color="000000" w:sz="6" w:space="0"/>
            </w:tcBorders>
            <w:noWrap/>
            <w:vAlign w:val="center"/>
          </w:tcPr>
          <w:p>
            <w:pPr>
              <w:spacing w:line="440" w:lineRule="exact"/>
              <w:jc w:val="center"/>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棉被</w:t>
            </w:r>
          </w:p>
        </w:tc>
        <w:tc>
          <w:tcPr>
            <w:tcW w:w="705" w:type="dxa"/>
            <w:tcBorders>
              <w:top w:val="single" w:color="000000" w:sz="6" w:space="0"/>
              <w:left w:val="single" w:color="000000" w:sz="6" w:space="0"/>
              <w:bottom w:val="single" w:color="000000" w:sz="6" w:space="0"/>
              <w:right w:val="single" w:color="000000" w:sz="6" w:space="0"/>
            </w:tcBorders>
            <w:noWrap/>
            <w:vAlign w:val="center"/>
          </w:tcPr>
          <w:p>
            <w:pPr>
              <w:spacing w:line="440" w:lineRule="exact"/>
              <w:jc w:val="center"/>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条</w:t>
            </w:r>
          </w:p>
        </w:tc>
        <w:tc>
          <w:tcPr>
            <w:tcW w:w="1110" w:type="dxa"/>
            <w:tcBorders>
              <w:top w:val="single" w:color="000000" w:sz="6" w:space="0"/>
              <w:left w:val="single" w:color="000000" w:sz="6" w:space="0"/>
              <w:bottom w:val="single" w:color="000000" w:sz="6" w:space="0"/>
              <w:right w:val="single" w:color="000000" w:sz="6" w:space="0"/>
            </w:tcBorders>
            <w:noWrap/>
            <w:vAlign w:val="center"/>
          </w:tcPr>
          <w:p>
            <w:pPr>
              <w:spacing w:line="440" w:lineRule="exact"/>
              <w:jc w:val="center"/>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10335</w:t>
            </w:r>
          </w:p>
        </w:tc>
        <w:tc>
          <w:tcPr>
            <w:tcW w:w="1578" w:type="dxa"/>
            <w:tcBorders>
              <w:top w:val="single" w:color="000000" w:sz="6" w:space="0"/>
              <w:left w:val="single" w:color="000000" w:sz="6" w:space="0"/>
              <w:right w:val="single" w:color="000000" w:sz="6" w:space="0"/>
            </w:tcBorders>
            <w:noWrap/>
            <w:vAlign w:val="center"/>
          </w:tcPr>
          <w:p>
            <w:pPr>
              <w:spacing w:line="440" w:lineRule="exact"/>
              <w:jc w:val="center"/>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1550000</w:t>
            </w:r>
          </w:p>
        </w:tc>
        <w:tc>
          <w:tcPr>
            <w:tcW w:w="1647" w:type="dxa"/>
            <w:vMerge w:val="restart"/>
            <w:tcBorders>
              <w:top w:val="single" w:color="000000" w:sz="6" w:space="0"/>
              <w:left w:val="single" w:color="000000" w:sz="6" w:space="0"/>
              <w:right w:val="single" w:color="000000" w:sz="6" w:space="0"/>
            </w:tcBorders>
            <w:noWrap/>
            <w:vAlign w:val="center"/>
          </w:tcPr>
          <w:p>
            <w:pPr>
              <w:spacing w:line="440" w:lineRule="exact"/>
              <w:jc w:val="center"/>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2000000.00</w:t>
            </w:r>
          </w:p>
        </w:tc>
        <w:tc>
          <w:tcPr>
            <w:tcW w:w="1575" w:type="dxa"/>
            <w:vMerge w:val="restart"/>
            <w:tcBorders>
              <w:top w:val="single" w:color="000000" w:sz="6" w:space="0"/>
              <w:left w:val="single" w:color="000000" w:sz="6" w:space="0"/>
              <w:right w:val="single" w:color="000000" w:sz="6" w:space="0"/>
            </w:tcBorders>
            <w:noWrap/>
            <w:vAlign w:val="center"/>
          </w:tcPr>
          <w:p>
            <w:pPr>
              <w:spacing w:line="440" w:lineRule="exact"/>
              <w:jc w:val="center"/>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满足国家及行业合格标准</w:t>
            </w:r>
          </w:p>
        </w:tc>
        <w:tc>
          <w:tcPr>
            <w:tcW w:w="1305" w:type="dxa"/>
            <w:vMerge w:val="restart"/>
            <w:tcBorders>
              <w:top w:val="single" w:color="000000" w:sz="6" w:space="0"/>
              <w:left w:val="single" w:color="000000" w:sz="6" w:space="0"/>
              <w:right w:val="single" w:color="000000" w:sz="6" w:space="0"/>
            </w:tcBorders>
            <w:noWrap/>
            <w:vAlign w:val="center"/>
          </w:tcPr>
          <w:p>
            <w:pPr>
              <w:spacing w:line="440" w:lineRule="exact"/>
              <w:jc w:val="center"/>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合同签订后7日历天内供货完毕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97" w:hRule="exact"/>
          <w:jc w:val="center"/>
        </w:trPr>
        <w:tc>
          <w:tcPr>
            <w:tcW w:w="546" w:type="dxa"/>
            <w:tcBorders>
              <w:top w:val="single" w:color="000000" w:sz="6" w:space="0"/>
              <w:left w:val="single" w:color="000000" w:sz="12" w:space="0"/>
              <w:bottom w:val="single" w:color="000000" w:sz="6" w:space="0"/>
              <w:right w:val="single" w:color="000000" w:sz="6" w:space="0"/>
            </w:tcBorders>
            <w:noWrap/>
            <w:vAlign w:val="center"/>
          </w:tcPr>
          <w:p>
            <w:pPr>
              <w:spacing w:line="440" w:lineRule="exact"/>
              <w:jc w:val="center"/>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2</w:t>
            </w:r>
          </w:p>
        </w:tc>
        <w:tc>
          <w:tcPr>
            <w:tcW w:w="1085" w:type="dxa"/>
            <w:tcBorders>
              <w:top w:val="single" w:color="000000" w:sz="6" w:space="0"/>
              <w:left w:val="single" w:color="000000" w:sz="6" w:space="0"/>
              <w:bottom w:val="single" w:color="000000" w:sz="6" w:space="0"/>
              <w:right w:val="single" w:color="000000" w:sz="6" w:space="0"/>
            </w:tcBorders>
            <w:noWrap/>
            <w:vAlign w:val="center"/>
          </w:tcPr>
          <w:p>
            <w:pPr>
              <w:spacing w:line="440" w:lineRule="exact"/>
              <w:jc w:val="center"/>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多功能防寒服</w:t>
            </w:r>
          </w:p>
        </w:tc>
        <w:tc>
          <w:tcPr>
            <w:tcW w:w="705" w:type="dxa"/>
            <w:tcBorders>
              <w:top w:val="single" w:color="000000" w:sz="6" w:space="0"/>
              <w:left w:val="single" w:color="000000" w:sz="6" w:space="0"/>
              <w:bottom w:val="single" w:color="000000" w:sz="6" w:space="0"/>
              <w:right w:val="single" w:color="000000" w:sz="6" w:space="0"/>
            </w:tcBorders>
            <w:noWrap/>
            <w:vAlign w:val="center"/>
          </w:tcPr>
          <w:p>
            <w:pPr>
              <w:spacing w:line="440" w:lineRule="exact"/>
              <w:jc w:val="center"/>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件</w:t>
            </w:r>
          </w:p>
        </w:tc>
        <w:tc>
          <w:tcPr>
            <w:tcW w:w="1110" w:type="dxa"/>
            <w:tcBorders>
              <w:top w:val="single" w:color="000000" w:sz="6" w:space="0"/>
              <w:left w:val="single" w:color="000000" w:sz="6" w:space="0"/>
              <w:bottom w:val="single" w:color="000000" w:sz="6" w:space="0"/>
              <w:right w:val="single" w:color="000000" w:sz="6" w:space="0"/>
            </w:tcBorders>
            <w:noWrap/>
            <w:vAlign w:val="center"/>
          </w:tcPr>
          <w:p>
            <w:pPr>
              <w:spacing w:line="440" w:lineRule="exact"/>
              <w:jc w:val="center"/>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3000</w:t>
            </w:r>
          </w:p>
        </w:tc>
        <w:tc>
          <w:tcPr>
            <w:tcW w:w="1578" w:type="dxa"/>
            <w:tcBorders>
              <w:left w:val="single" w:color="000000" w:sz="6" w:space="0"/>
              <w:right w:val="single" w:color="000000" w:sz="6" w:space="0"/>
            </w:tcBorders>
            <w:noWrap/>
            <w:vAlign w:val="center"/>
          </w:tcPr>
          <w:p>
            <w:pPr>
              <w:spacing w:line="440" w:lineRule="exact"/>
              <w:jc w:val="center"/>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450000</w:t>
            </w:r>
          </w:p>
        </w:tc>
        <w:tc>
          <w:tcPr>
            <w:tcW w:w="1647" w:type="dxa"/>
            <w:vMerge w:val="continue"/>
            <w:tcBorders>
              <w:left w:val="single" w:color="000000" w:sz="6" w:space="0"/>
              <w:right w:val="single" w:color="000000" w:sz="6" w:space="0"/>
            </w:tcBorders>
            <w:noWrap/>
            <w:vAlign w:val="center"/>
          </w:tcPr>
          <w:p>
            <w:pPr>
              <w:spacing w:line="440" w:lineRule="exact"/>
              <w:jc w:val="center"/>
              <w:rPr>
                <w:rFonts w:ascii="宋体" w:hAnsi="宋体" w:cs="宋体"/>
                <w:color w:val="auto"/>
                <w:szCs w:val="24"/>
                <w:highlight w:val="yellow"/>
              </w:rPr>
            </w:pPr>
          </w:p>
        </w:tc>
        <w:tc>
          <w:tcPr>
            <w:tcW w:w="1575" w:type="dxa"/>
            <w:vMerge w:val="continue"/>
            <w:tcBorders>
              <w:left w:val="single" w:color="000000" w:sz="6" w:space="0"/>
              <w:right w:val="single" w:color="000000" w:sz="6" w:space="0"/>
            </w:tcBorders>
            <w:noWrap/>
            <w:vAlign w:val="center"/>
          </w:tcPr>
          <w:p>
            <w:pPr>
              <w:spacing w:line="440" w:lineRule="exact"/>
              <w:jc w:val="center"/>
              <w:rPr>
                <w:rFonts w:ascii="宋体" w:hAnsi="宋体" w:cs="宋体"/>
                <w:color w:val="auto"/>
                <w:szCs w:val="24"/>
                <w:highlight w:val="yellow"/>
              </w:rPr>
            </w:pPr>
          </w:p>
        </w:tc>
        <w:tc>
          <w:tcPr>
            <w:tcW w:w="1305" w:type="dxa"/>
            <w:vMerge w:val="continue"/>
            <w:tcBorders>
              <w:left w:val="single" w:color="000000" w:sz="6" w:space="0"/>
              <w:right w:val="single" w:color="000000" w:sz="6" w:space="0"/>
            </w:tcBorders>
            <w:noWrap/>
            <w:vAlign w:val="center"/>
          </w:tcPr>
          <w:p>
            <w:pPr>
              <w:spacing w:line="440" w:lineRule="exact"/>
              <w:jc w:val="center"/>
              <w:rPr>
                <w:rFonts w:ascii="宋体" w:hAnsi="宋体" w:cs="宋体"/>
                <w:color w:val="auto"/>
                <w:szCs w:val="24"/>
                <w:highlight w:val="yellow"/>
              </w:rPr>
            </w:pPr>
          </w:p>
        </w:tc>
      </w:tr>
    </w:tbl>
    <w:p>
      <w:pPr>
        <w:keepNext w:val="0"/>
        <w:keepLines w:val="0"/>
        <w:pageBreakBefore w:val="0"/>
        <w:numPr>
          <w:ilvl w:val="0"/>
          <w:numId w:val="1"/>
        </w:numPr>
        <w:kinsoku/>
        <w:wordWrap/>
        <w:overflowPunct/>
        <w:topLinePunct w:val="0"/>
        <w:autoSpaceDE/>
        <w:autoSpaceDN/>
        <w:bidi w:val="0"/>
        <w:adjustRightInd w:val="0"/>
        <w:spacing w:line="480" w:lineRule="exact"/>
        <w:textAlignment w:val="auto"/>
        <w:rPr>
          <w:rFonts w:asciiTheme="minorEastAsia" w:hAnsiTheme="minorEastAsia" w:eastAsiaTheme="minorEastAsia" w:cstheme="minorEastAsia"/>
          <w:b/>
          <w:szCs w:val="24"/>
          <w:lang w:val="zh-CN"/>
        </w:rPr>
      </w:pPr>
      <w:bookmarkStart w:id="13" w:name="_Toc21728_WPSOffice_Level2"/>
      <w:bookmarkStart w:id="14" w:name="_Toc11547_WPSOffice_Level2"/>
      <w:r>
        <w:rPr>
          <w:rFonts w:hint="eastAsia" w:asciiTheme="minorEastAsia" w:hAnsiTheme="minorEastAsia" w:eastAsiaTheme="minorEastAsia" w:cstheme="minorEastAsia"/>
          <w:b/>
          <w:szCs w:val="24"/>
          <w:lang w:val="zh-CN"/>
        </w:rPr>
        <w:t>采购项目需要落实的政府采购政策：</w:t>
      </w:r>
      <w:bookmarkEnd w:id="13"/>
      <w:bookmarkEnd w:id="14"/>
    </w:p>
    <w:p>
      <w:pPr>
        <w:pStyle w:val="24"/>
        <w:keepNext w:val="0"/>
        <w:keepLines w:val="0"/>
        <w:pageBreakBefore w:val="0"/>
        <w:kinsoku/>
        <w:wordWrap/>
        <w:overflowPunct/>
        <w:topLinePunct w:val="0"/>
        <w:autoSpaceDE/>
        <w:autoSpaceDN/>
        <w:bidi w:val="0"/>
        <w:adjustRightInd w:val="0"/>
        <w:spacing w:beforeAutospacing="0" w:afterAutospacing="0" w:line="480" w:lineRule="exact"/>
        <w:ind w:firstLine="420" w:firstLineChars="175"/>
        <w:jc w:val="both"/>
        <w:textAlignment w:val="auto"/>
        <w:rPr>
          <w:rFonts w:asciiTheme="minorEastAsia" w:hAnsiTheme="minorEastAsia" w:eastAsiaTheme="minorEastAsia" w:cstheme="minorEastAsia"/>
          <w:bCs/>
          <w:szCs w:val="24"/>
          <w:lang w:val="zh-CN"/>
        </w:rPr>
      </w:pPr>
      <w:r>
        <w:rPr>
          <w:rFonts w:hint="eastAsia" w:asciiTheme="minorEastAsia" w:hAnsiTheme="minorEastAsia" w:eastAsiaTheme="minorEastAsia" w:cstheme="minorEastAsia"/>
          <w:bCs/>
          <w:szCs w:val="24"/>
        </w:rPr>
        <w:t>1、</w:t>
      </w:r>
      <w:r>
        <w:rPr>
          <w:rFonts w:hint="eastAsia" w:asciiTheme="minorEastAsia" w:hAnsiTheme="minorEastAsia" w:eastAsiaTheme="minorEastAsia" w:cstheme="minorEastAsia"/>
          <w:bCs/>
          <w:szCs w:val="24"/>
          <w:lang w:val="zh-CN"/>
        </w:rPr>
        <w:t>执行《财政部、国家发展改革委关于印发〈节能产品政府采购实施意见〉的通知》（财库[2004]185号）；</w:t>
      </w:r>
    </w:p>
    <w:p>
      <w:pPr>
        <w:pStyle w:val="24"/>
        <w:keepNext w:val="0"/>
        <w:keepLines w:val="0"/>
        <w:pageBreakBefore w:val="0"/>
        <w:kinsoku/>
        <w:wordWrap/>
        <w:overflowPunct/>
        <w:topLinePunct w:val="0"/>
        <w:autoSpaceDE/>
        <w:autoSpaceDN/>
        <w:bidi w:val="0"/>
        <w:adjustRightInd w:val="0"/>
        <w:spacing w:beforeAutospacing="0" w:afterAutospacing="0" w:line="480" w:lineRule="exact"/>
        <w:ind w:firstLine="420" w:firstLineChars="175"/>
        <w:jc w:val="both"/>
        <w:textAlignment w:val="auto"/>
        <w:rPr>
          <w:rFonts w:asciiTheme="minorEastAsia" w:hAnsiTheme="minorEastAsia" w:eastAsiaTheme="minorEastAsia" w:cstheme="minorEastAsia"/>
          <w:bCs/>
          <w:szCs w:val="24"/>
          <w:lang w:val="zh-CN"/>
        </w:rPr>
      </w:pPr>
      <w:r>
        <w:rPr>
          <w:rFonts w:hint="eastAsia" w:asciiTheme="minorEastAsia" w:hAnsiTheme="minorEastAsia" w:eastAsiaTheme="minorEastAsia" w:cstheme="minorEastAsia"/>
          <w:bCs/>
          <w:szCs w:val="24"/>
        </w:rPr>
        <w:t>2、</w:t>
      </w:r>
      <w:r>
        <w:rPr>
          <w:rFonts w:hint="eastAsia" w:asciiTheme="minorEastAsia" w:hAnsiTheme="minorEastAsia" w:eastAsiaTheme="minorEastAsia" w:cstheme="minorEastAsia"/>
          <w:bCs/>
          <w:szCs w:val="24"/>
          <w:lang w:val="zh-CN"/>
        </w:rPr>
        <w:t>执行《财政部、环保总局关于环境标志产品政府采购实施的意见》（财库[2006]90号）；</w:t>
      </w:r>
    </w:p>
    <w:p>
      <w:pPr>
        <w:pStyle w:val="24"/>
        <w:keepNext w:val="0"/>
        <w:keepLines w:val="0"/>
        <w:pageBreakBefore w:val="0"/>
        <w:kinsoku/>
        <w:wordWrap/>
        <w:overflowPunct/>
        <w:topLinePunct w:val="0"/>
        <w:autoSpaceDE/>
        <w:autoSpaceDN/>
        <w:bidi w:val="0"/>
        <w:adjustRightInd w:val="0"/>
        <w:spacing w:beforeAutospacing="0" w:afterAutospacing="0" w:line="480" w:lineRule="exact"/>
        <w:ind w:firstLine="420" w:firstLineChars="175"/>
        <w:jc w:val="both"/>
        <w:textAlignment w:val="auto"/>
        <w:rPr>
          <w:rFonts w:asciiTheme="minorEastAsia" w:hAnsiTheme="minorEastAsia" w:eastAsiaTheme="minorEastAsia" w:cstheme="minorEastAsia"/>
          <w:bCs/>
          <w:szCs w:val="24"/>
          <w:lang w:val="zh-CN"/>
        </w:rPr>
      </w:pPr>
      <w:r>
        <w:rPr>
          <w:rFonts w:hint="eastAsia" w:asciiTheme="minorEastAsia" w:hAnsiTheme="minorEastAsia" w:eastAsiaTheme="minorEastAsia" w:cstheme="minorEastAsia"/>
          <w:bCs/>
          <w:szCs w:val="24"/>
        </w:rPr>
        <w:t>3、</w:t>
      </w:r>
      <w:r>
        <w:rPr>
          <w:rFonts w:hint="eastAsia" w:asciiTheme="minorEastAsia" w:hAnsiTheme="minorEastAsia" w:eastAsiaTheme="minorEastAsia" w:cstheme="minorEastAsia"/>
          <w:bCs/>
          <w:szCs w:val="24"/>
          <w:lang w:val="zh-CN"/>
        </w:rPr>
        <w:t>执行《政府采购促进中小企业发展暂行办法》（财库[2011]181号）；</w:t>
      </w:r>
    </w:p>
    <w:p>
      <w:pPr>
        <w:pStyle w:val="24"/>
        <w:keepNext w:val="0"/>
        <w:keepLines w:val="0"/>
        <w:pageBreakBefore w:val="0"/>
        <w:kinsoku/>
        <w:wordWrap/>
        <w:overflowPunct/>
        <w:topLinePunct w:val="0"/>
        <w:autoSpaceDE/>
        <w:autoSpaceDN/>
        <w:bidi w:val="0"/>
        <w:adjustRightInd w:val="0"/>
        <w:spacing w:beforeAutospacing="0" w:afterAutospacing="0" w:line="480" w:lineRule="exact"/>
        <w:ind w:firstLine="420" w:firstLineChars="175"/>
        <w:jc w:val="both"/>
        <w:textAlignment w:val="auto"/>
        <w:rPr>
          <w:rFonts w:asciiTheme="minorEastAsia" w:hAnsiTheme="minorEastAsia" w:eastAsiaTheme="minorEastAsia" w:cstheme="minorEastAsia"/>
          <w:bCs/>
          <w:szCs w:val="24"/>
          <w:lang w:val="zh-CN"/>
        </w:rPr>
      </w:pPr>
      <w:r>
        <w:rPr>
          <w:rFonts w:hint="eastAsia" w:asciiTheme="minorEastAsia" w:hAnsiTheme="minorEastAsia" w:eastAsiaTheme="minorEastAsia" w:cstheme="minorEastAsia"/>
          <w:bCs/>
          <w:szCs w:val="24"/>
        </w:rPr>
        <w:t>4、</w:t>
      </w:r>
      <w:r>
        <w:rPr>
          <w:rFonts w:hint="eastAsia" w:asciiTheme="minorEastAsia" w:hAnsiTheme="minorEastAsia" w:eastAsiaTheme="minorEastAsia" w:cstheme="minorEastAsia"/>
          <w:bCs/>
          <w:szCs w:val="24"/>
          <w:lang w:val="zh-CN"/>
        </w:rPr>
        <w:t>执行《财政部、司法部关于政府采购支持监狱企业发展有关问题的通知》（财库[2014]68号）；</w:t>
      </w:r>
    </w:p>
    <w:p>
      <w:pPr>
        <w:pStyle w:val="24"/>
        <w:keepNext w:val="0"/>
        <w:keepLines w:val="0"/>
        <w:pageBreakBefore w:val="0"/>
        <w:kinsoku/>
        <w:wordWrap/>
        <w:overflowPunct/>
        <w:topLinePunct w:val="0"/>
        <w:autoSpaceDE/>
        <w:autoSpaceDN/>
        <w:bidi w:val="0"/>
        <w:adjustRightInd w:val="0"/>
        <w:spacing w:beforeAutospacing="0" w:afterAutospacing="0" w:line="480" w:lineRule="exact"/>
        <w:ind w:firstLine="420" w:firstLineChars="175"/>
        <w:jc w:val="both"/>
        <w:textAlignment w:val="auto"/>
        <w:rPr>
          <w:rFonts w:asciiTheme="minorEastAsia" w:hAnsiTheme="minorEastAsia" w:eastAsiaTheme="minorEastAsia" w:cstheme="minorEastAsia"/>
          <w:bCs/>
          <w:szCs w:val="24"/>
          <w:lang w:val="zh-CN"/>
        </w:rPr>
      </w:pPr>
      <w:r>
        <w:rPr>
          <w:rFonts w:hint="eastAsia" w:asciiTheme="minorEastAsia" w:hAnsiTheme="minorEastAsia" w:eastAsiaTheme="minorEastAsia" w:cstheme="minorEastAsia"/>
          <w:bCs/>
          <w:szCs w:val="24"/>
        </w:rPr>
        <w:t>5、</w:t>
      </w:r>
      <w:r>
        <w:rPr>
          <w:rFonts w:hint="eastAsia" w:asciiTheme="minorEastAsia" w:hAnsiTheme="minorEastAsia" w:eastAsiaTheme="minorEastAsia" w:cstheme="minorEastAsia"/>
          <w:bCs/>
          <w:szCs w:val="24"/>
          <w:lang w:val="zh-CN"/>
        </w:rPr>
        <w:t>执行《三部门联合发布关于促进残疾人就业政府采购政策的通知》（财库[2017]141号）。</w:t>
      </w:r>
    </w:p>
    <w:p>
      <w:pPr>
        <w:keepNext w:val="0"/>
        <w:keepLines w:val="0"/>
        <w:pageBreakBefore w:val="0"/>
        <w:widowControl/>
        <w:kinsoku/>
        <w:wordWrap/>
        <w:overflowPunct/>
        <w:topLinePunct w:val="0"/>
        <w:autoSpaceDE/>
        <w:autoSpaceDN/>
        <w:bidi w:val="0"/>
        <w:adjustRightInd w:val="0"/>
        <w:spacing w:line="480" w:lineRule="exact"/>
        <w:textAlignment w:val="auto"/>
        <w:rPr>
          <w:rFonts w:asciiTheme="minorEastAsia" w:hAnsiTheme="minorEastAsia" w:eastAsiaTheme="minorEastAsia" w:cstheme="minorEastAsia"/>
          <w:b/>
          <w:szCs w:val="24"/>
          <w:lang w:val="zh-CN"/>
        </w:rPr>
      </w:pPr>
      <w:bookmarkStart w:id="15" w:name="_Toc19446_WPSOffice_Level2"/>
      <w:bookmarkStart w:id="16" w:name="_Toc29137_WPSOffice_Level2"/>
      <w:r>
        <w:rPr>
          <w:rFonts w:hint="eastAsia" w:asciiTheme="minorEastAsia" w:hAnsiTheme="minorEastAsia" w:eastAsiaTheme="minorEastAsia" w:cstheme="minorEastAsia"/>
          <w:b/>
          <w:szCs w:val="24"/>
          <w:lang w:val="zh-CN"/>
        </w:rPr>
        <w:t>六、供应商资格要求：</w:t>
      </w:r>
      <w:bookmarkEnd w:id="15"/>
      <w:bookmarkEnd w:id="16"/>
    </w:p>
    <w:p>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rPr>
        <w:t>1、符合《中华人民共和国政府采购法》第二十二条、《中华人民共和国政府采购法实施条例》第十七条规定</w:t>
      </w:r>
      <w:r>
        <w:rPr>
          <w:rFonts w:hint="eastAsia" w:asciiTheme="minorEastAsia" w:hAnsiTheme="minorEastAsia" w:eastAsiaTheme="minorEastAsia" w:cstheme="minorEastAsia"/>
          <w:szCs w:val="24"/>
          <w:lang w:eastAsia="zh-CN"/>
        </w:rPr>
        <w:t>。</w:t>
      </w:r>
    </w:p>
    <w:p>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lang w:val="en-US" w:eastAsia="zh-CN"/>
        </w:rPr>
        <w:t>2、</w:t>
      </w:r>
      <w:r>
        <w:rPr>
          <w:rFonts w:hint="eastAsia" w:asciiTheme="minorEastAsia" w:hAnsiTheme="minorEastAsia" w:eastAsiaTheme="minorEastAsia" w:cstheme="minorEastAsia"/>
          <w:szCs w:val="24"/>
          <w:highlight w:val="none"/>
        </w:rPr>
        <w:t>投标人须具有独立法人资格，且持有有效的营业执照、组织机构代码证、税务登记证或提供有效的三证合一的营业执照</w:t>
      </w:r>
      <w:r>
        <w:rPr>
          <w:rFonts w:hint="eastAsia" w:asciiTheme="minorEastAsia" w:hAnsiTheme="minorEastAsia" w:eastAsiaTheme="minorEastAsia" w:cstheme="minorEastAsia"/>
          <w:szCs w:val="24"/>
          <w:highlight w:val="none"/>
          <w:lang w:eastAsia="zh-CN"/>
        </w:rPr>
        <w:t>；</w:t>
      </w:r>
      <w:r>
        <w:rPr>
          <w:rFonts w:hint="eastAsia" w:asciiTheme="minorEastAsia" w:hAnsiTheme="minorEastAsia" w:eastAsiaTheme="minorEastAsia" w:cstheme="minorEastAsia"/>
          <w:szCs w:val="24"/>
          <w:highlight w:val="none"/>
        </w:rPr>
        <w:t xml:space="preserve"> </w:t>
      </w:r>
    </w:p>
    <w:p>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3、投标人具有良好的商业信誉和健全的财务会计制度（提供 2017 年度和 2018 年度经会计师事务所审计出具的财务报告或基本账户开户银行出具的资信证明，新注册企业按实际成立年限提供；若成立不足一年的不提供）；</w:t>
      </w:r>
      <w:r>
        <w:rPr>
          <w:rFonts w:hint="eastAsia" w:asciiTheme="minorEastAsia" w:hAnsiTheme="minorEastAsia" w:eastAsiaTheme="minorEastAsia" w:cstheme="minorEastAsia"/>
          <w:szCs w:val="24"/>
        </w:rPr>
        <w:t>提供 2019 年 1 月以来任意连续 3 个月份依法缴纳税收和社会保障资金的证明资料；</w:t>
      </w:r>
    </w:p>
    <w:p>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4、</w:t>
      </w:r>
      <w:r>
        <w:rPr>
          <w:rFonts w:hint="eastAsia" w:asciiTheme="minorEastAsia" w:hAnsiTheme="minorEastAsia" w:eastAsiaTheme="minorEastAsia" w:cstheme="minorEastAsia"/>
          <w:szCs w:val="24"/>
        </w:rPr>
        <w:t>参加政府采购活动前三年内，在经营活动中没有重大违法记录。（投标人需提供近三年无重大违法记录的书面声明。）</w:t>
      </w:r>
    </w:p>
    <w:p>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5、根据《关于在政府采购活动中查询及使用信用记录有关问题的通知》(财库[2016]125号)的规定，对列入“信用中国”网站（www.creditchina.gov.cn）的“失信被执行人”、“重大税收违法案件当事人名单”及“中国政府采购”网站(www.ccgp.gov.cn)的“政府采购严重违法失信行为记录名单”的供应商，将拒绝其参加政府采购活动；</w:t>
      </w:r>
    </w:p>
    <w:p>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6</w:t>
      </w:r>
      <w:r>
        <w:rPr>
          <w:rFonts w:hint="eastAsia" w:asciiTheme="minorEastAsia" w:hAnsiTheme="minorEastAsia" w:eastAsiaTheme="minorEastAsia" w:cstheme="minorEastAsia"/>
          <w:szCs w:val="24"/>
        </w:rPr>
        <w:t>、本次招标不接受联合体投标，中标后不得分包与转包。</w:t>
      </w:r>
    </w:p>
    <w:p>
      <w:pPr>
        <w:keepNext w:val="0"/>
        <w:keepLines w:val="0"/>
        <w:pageBreakBefore w:val="0"/>
        <w:widowControl/>
        <w:kinsoku/>
        <w:wordWrap/>
        <w:overflowPunct/>
        <w:topLinePunct w:val="0"/>
        <w:autoSpaceDE/>
        <w:autoSpaceDN/>
        <w:bidi w:val="0"/>
        <w:adjustRightInd w:val="0"/>
        <w:spacing w:line="480" w:lineRule="exact"/>
        <w:ind w:firstLine="480" w:firstLineChars="200"/>
        <w:textAlignment w:val="auto"/>
        <w:rPr>
          <w:rFonts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lang w:val="en-US" w:eastAsia="zh-CN"/>
        </w:rPr>
        <w:t>7</w:t>
      </w:r>
      <w:r>
        <w:rPr>
          <w:rFonts w:hint="eastAsia" w:asciiTheme="minorEastAsia" w:hAnsiTheme="minorEastAsia" w:eastAsiaTheme="minorEastAsia" w:cstheme="minorEastAsia"/>
          <w:color w:val="000000"/>
        </w:rPr>
        <w:t>、相关法律、法规规定的其他条件。</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asciiTheme="minorEastAsia" w:hAnsiTheme="minorEastAsia" w:eastAsiaTheme="minorEastAsia" w:cstheme="minorEastAsia"/>
          <w:b/>
          <w:szCs w:val="24"/>
        </w:rPr>
      </w:pPr>
      <w:bookmarkStart w:id="17" w:name="_Toc8092_WPSOffice_Level2"/>
      <w:bookmarkStart w:id="18" w:name="_Toc31714_WPSOffice_Level2"/>
      <w:r>
        <w:rPr>
          <w:rFonts w:hint="eastAsia" w:asciiTheme="minorEastAsia" w:hAnsiTheme="minorEastAsia" w:eastAsiaTheme="minorEastAsia" w:cstheme="minorEastAsia"/>
          <w:b/>
          <w:szCs w:val="24"/>
        </w:rPr>
        <w:t>七、是否接受进口产品：否</w:t>
      </w:r>
      <w:bookmarkEnd w:id="17"/>
      <w:bookmarkEnd w:id="18"/>
    </w:p>
    <w:p>
      <w:pPr>
        <w:keepNext w:val="0"/>
        <w:keepLines w:val="0"/>
        <w:pageBreakBefore w:val="0"/>
        <w:widowControl/>
        <w:kinsoku/>
        <w:wordWrap/>
        <w:overflowPunct/>
        <w:topLinePunct w:val="0"/>
        <w:autoSpaceDE/>
        <w:autoSpaceDN/>
        <w:bidi w:val="0"/>
        <w:adjustRightInd w:val="0"/>
        <w:snapToGrid w:val="0"/>
        <w:spacing w:line="460" w:lineRule="exact"/>
        <w:textAlignment w:val="auto"/>
        <w:rPr>
          <w:rFonts w:hint="eastAsia" w:ascii="宋体" w:hAnsi="宋体" w:eastAsia="宋体" w:cs="宋体"/>
          <w:b/>
          <w:szCs w:val="24"/>
        </w:rPr>
      </w:pPr>
      <w:bookmarkStart w:id="19" w:name="_Toc5813_WPSOffice_Level2"/>
      <w:bookmarkStart w:id="20" w:name="_Toc17653_WPSOffice_Level2"/>
      <w:bookmarkStart w:id="21" w:name="_Toc8510_WPSOffice_Level2"/>
      <w:bookmarkStart w:id="22" w:name="_Toc18088_WPSOffice_Level2"/>
      <w:r>
        <w:rPr>
          <w:rFonts w:hint="eastAsia" w:ascii="宋体" w:hAnsi="宋体" w:eastAsia="宋体" w:cs="宋体"/>
          <w:b/>
          <w:szCs w:val="24"/>
        </w:rPr>
        <w:t>八、</w:t>
      </w:r>
      <w:bookmarkEnd w:id="19"/>
      <w:r>
        <w:rPr>
          <w:rFonts w:hint="eastAsia" w:ascii="宋体" w:hAnsi="宋体" w:eastAsia="宋体" w:cs="宋体"/>
          <w:b/>
          <w:szCs w:val="24"/>
        </w:rPr>
        <w:t>投标报名及招标文件的获取：</w:t>
      </w:r>
      <w:bookmarkEnd w:id="20"/>
    </w:p>
    <w:p>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1、企业诚信库注册及CA办理，本项目只接受邓州市公共资源电子交易平台中已加入企业诚信库的企业业务，由于邓州市交易中心启用新版电子交易系统，已在旧版系统中注册的各交易主体应重新在新版交易系统中注册完善相关信息后绑定原CA证书，新注册的各交易主体直接在新版交易系统中注册完善相关信息并绑定CA证书（详见邓州市公共资源交易中心网站《关于启用新版电子交易系统的通知》，请各潜在供应商按邓州市公共资源交易中心网站规定及时办理，未按邓州市交易中心规定办理相关手续导致无法参与投标的，供应商责任自负）。CA数字证书办理咨询电话：13283794990，新版电子交易系统技术支持/信安CA客服：0371-60203062/96596。</w:t>
      </w:r>
    </w:p>
    <w:p>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2、招标文件的获取方法：潜在供应商需通过邓州市公共资源交易网新版系统首页（“3.0系统入口”（ http://139.9.119.230:18082/HMROOT/）登录交易系统进行招标文件下载。（详见邓州市公共资源交易网下载专区《投标人操作手册》）</w:t>
      </w:r>
    </w:p>
    <w:p>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szCs w:val="24"/>
          <w:highlight w:val="none"/>
          <w:lang w:val="en-US" w:eastAsia="zh-CN"/>
        </w:rPr>
      </w:pPr>
      <w:r>
        <w:rPr>
          <w:rFonts w:hint="eastAsia" w:ascii="宋体" w:hAnsi="宋体" w:eastAsia="宋体" w:cs="宋体"/>
          <w:szCs w:val="24"/>
          <w:lang w:val="en-US" w:eastAsia="zh-CN"/>
        </w:rPr>
        <w:t>3、招标文件获取时间</w:t>
      </w:r>
      <w:r>
        <w:rPr>
          <w:rFonts w:hint="eastAsia" w:ascii="宋体" w:hAnsi="宋体" w:eastAsia="宋体" w:cs="宋体"/>
          <w:szCs w:val="24"/>
          <w:highlight w:val="none"/>
          <w:lang w:val="en-US" w:eastAsia="zh-CN"/>
        </w:rPr>
        <w:t>：2020年</w:t>
      </w:r>
      <w:r>
        <w:rPr>
          <w:rFonts w:hint="eastAsia" w:ascii="宋体" w:hAnsi="宋体" w:cs="宋体"/>
          <w:szCs w:val="24"/>
          <w:highlight w:val="none"/>
          <w:lang w:val="en-US" w:eastAsia="zh-CN"/>
        </w:rPr>
        <w:t>4</w:t>
      </w:r>
      <w:r>
        <w:rPr>
          <w:rFonts w:hint="eastAsia" w:ascii="宋体" w:hAnsi="宋体" w:eastAsia="宋体" w:cs="宋体"/>
          <w:szCs w:val="24"/>
          <w:highlight w:val="none"/>
          <w:lang w:val="en-US" w:eastAsia="zh-CN"/>
        </w:rPr>
        <w:t>月</w:t>
      </w:r>
      <w:r>
        <w:rPr>
          <w:rFonts w:hint="eastAsia" w:ascii="宋体" w:hAnsi="宋体" w:cs="宋体"/>
          <w:szCs w:val="24"/>
          <w:highlight w:val="none"/>
          <w:lang w:val="en-US" w:eastAsia="zh-CN"/>
        </w:rPr>
        <w:t>1</w:t>
      </w:r>
      <w:r>
        <w:rPr>
          <w:rFonts w:hint="eastAsia" w:ascii="宋体" w:hAnsi="宋体" w:eastAsia="宋体" w:cs="宋体"/>
          <w:szCs w:val="24"/>
          <w:highlight w:val="none"/>
          <w:lang w:val="en-US" w:eastAsia="zh-CN"/>
        </w:rPr>
        <w:t>日08：00至2020年</w:t>
      </w:r>
      <w:r>
        <w:rPr>
          <w:rFonts w:hint="eastAsia" w:ascii="宋体" w:hAnsi="宋体" w:cs="宋体"/>
          <w:szCs w:val="24"/>
          <w:highlight w:val="none"/>
          <w:lang w:val="en-US" w:eastAsia="zh-CN"/>
        </w:rPr>
        <w:t>4</w:t>
      </w:r>
      <w:r>
        <w:rPr>
          <w:rFonts w:hint="eastAsia" w:ascii="宋体" w:hAnsi="宋体" w:eastAsia="宋体" w:cs="宋体"/>
          <w:szCs w:val="24"/>
          <w:highlight w:val="none"/>
          <w:lang w:val="en-US" w:eastAsia="zh-CN"/>
        </w:rPr>
        <w:t>月</w:t>
      </w:r>
      <w:r>
        <w:rPr>
          <w:rFonts w:hint="eastAsia" w:ascii="宋体" w:hAnsi="宋体" w:cs="宋体"/>
          <w:szCs w:val="24"/>
          <w:highlight w:val="none"/>
          <w:lang w:val="en-US" w:eastAsia="zh-CN"/>
        </w:rPr>
        <w:t>9</w:t>
      </w:r>
      <w:r>
        <w:rPr>
          <w:rFonts w:hint="eastAsia" w:ascii="宋体" w:hAnsi="宋体" w:eastAsia="宋体" w:cs="宋体"/>
          <w:szCs w:val="24"/>
          <w:highlight w:val="none"/>
          <w:lang w:val="en-US" w:eastAsia="zh-CN"/>
        </w:rPr>
        <w:t>日18：00（北京时间）</w:t>
      </w:r>
    </w:p>
    <w:p>
      <w:pPr>
        <w:keepNext w:val="0"/>
        <w:keepLines w:val="0"/>
        <w:pageBreakBefore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szCs w:val="24"/>
          <w:lang w:val="en-US" w:eastAsia="zh-CN"/>
        </w:rPr>
      </w:pPr>
      <w:r>
        <w:rPr>
          <w:rFonts w:hint="eastAsia" w:ascii="宋体" w:hAnsi="宋体" w:eastAsia="宋体" w:cs="宋体"/>
          <w:szCs w:val="24"/>
          <w:lang w:val="en-US" w:eastAsia="zh-CN"/>
        </w:rPr>
        <w:t>4、请各潜在供应商在获取招标文件后及时关注网站更新信息，若因为其他原因未能及时看到网上更新信息而造成的损失，采购人及代理机构将不负任何责任。</w:t>
      </w:r>
    </w:p>
    <w:p>
      <w:pPr>
        <w:keepNext w:val="0"/>
        <w:keepLines w:val="0"/>
        <w:pageBreakBefore w:val="0"/>
        <w:kinsoku/>
        <w:wordWrap/>
        <w:overflowPunct/>
        <w:topLinePunct w:val="0"/>
        <w:autoSpaceDE/>
        <w:autoSpaceDN/>
        <w:bidi w:val="0"/>
        <w:adjustRightInd w:val="0"/>
        <w:spacing w:line="460" w:lineRule="exact"/>
        <w:ind w:firstLine="482" w:firstLineChars="200"/>
        <w:textAlignment w:val="auto"/>
        <w:rPr>
          <w:rFonts w:hint="eastAsia" w:ascii="宋体" w:hAnsi="宋体" w:eastAsia="宋体" w:cs="宋体"/>
          <w:b/>
          <w:bCs/>
          <w:szCs w:val="24"/>
        </w:rPr>
      </w:pPr>
      <w:r>
        <w:rPr>
          <w:rFonts w:hint="eastAsia" w:ascii="宋体" w:hAnsi="宋体" w:eastAsia="宋体" w:cs="宋体"/>
          <w:b/>
          <w:bCs/>
          <w:szCs w:val="24"/>
          <w:lang w:val="en-US" w:eastAsia="zh-CN"/>
        </w:rPr>
        <w:t>重要提示：</w:t>
      </w:r>
    </w:p>
    <w:p>
      <w:pPr>
        <w:keepNext w:val="0"/>
        <w:keepLines w:val="0"/>
        <w:pageBreakBefore w:val="0"/>
        <w:widowControl/>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szCs w:val="24"/>
          <w:lang w:val="en-US" w:eastAsia="zh-CN"/>
        </w:rPr>
      </w:pPr>
      <w:r>
        <w:rPr>
          <w:rFonts w:hint="eastAsia" w:ascii="宋体" w:hAnsi="宋体" w:eastAsia="宋体" w:cs="宋体"/>
          <w:b/>
          <w:bCs/>
          <w:szCs w:val="24"/>
          <w:lang w:val="en-US" w:eastAsia="zh-CN"/>
        </w:rPr>
        <w:t>（1）投标报名、招标文件获取等均有时间要求，错过时间后将无法完成操作，一切后果由潜在投标人自负；</w:t>
      </w:r>
    </w:p>
    <w:p>
      <w:pPr>
        <w:keepNext w:val="0"/>
        <w:keepLines w:val="0"/>
        <w:pageBreakBefore w:val="0"/>
        <w:widowControl/>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szCs w:val="24"/>
          <w:lang w:val="en-US" w:eastAsia="zh-CN"/>
        </w:rPr>
      </w:pPr>
      <w:r>
        <w:rPr>
          <w:rFonts w:hint="eastAsia" w:ascii="宋体" w:hAnsi="宋体" w:eastAsia="宋体" w:cs="宋体"/>
          <w:b/>
          <w:bCs/>
          <w:szCs w:val="24"/>
          <w:lang w:val="en-US" w:eastAsia="zh-CN"/>
        </w:rPr>
        <w:t>（2）潜在投标人务必在获取招标文件时间内完成招标文件下载并确保文件下载完整（电子版招标文件及相关附件一并下载），获取时间截止后将无法下载任何招标文件内容，若由此原因影响投标文件制作、投标文件递交、投标文件解密等情况，造成的损失由投标企业自行承担；</w:t>
      </w:r>
    </w:p>
    <w:p>
      <w:pPr>
        <w:keepNext w:val="0"/>
        <w:keepLines w:val="0"/>
        <w:pageBreakBefore w:val="0"/>
        <w:widowControl/>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szCs w:val="24"/>
          <w:lang w:val="en-US" w:eastAsia="zh-CN"/>
        </w:rPr>
      </w:pPr>
      <w:r>
        <w:rPr>
          <w:rFonts w:hint="eastAsia" w:ascii="宋体" w:hAnsi="宋体" w:eastAsia="宋体" w:cs="宋体"/>
          <w:b/>
          <w:bCs/>
          <w:szCs w:val="24"/>
          <w:lang w:val="en-US" w:eastAsia="zh-CN"/>
        </w:rPr>
        <w:t>（3）投标人应委派法定代表人（携带个人身份证原件及法定代表人身份证明）或其授权委托人（携带个人身份证原件及授权委托书）携带CA密匙参加开标会议，否则将不予接受投标文件；</w:t>
      </w:r>
    </w:p>
    <w:p>
      <w:pPr>
        <w:keepNext w:val="0"/>
        <w:keepLines w:val="0"/>
        <w:pageBreakBefore w:val="0"/>
        <w:widowControl/>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szCs w:val="24"/>
          <w:lang w:val="en-US" w:eastAsia="zh-CN"/>
        </w:rPr>
      </w:pPr>
      <w:r>
        <w:rPr>
          <w:rFonts w:hint="eastAsia" w:ascii="宋体" w:hAnsi="宋体" w:eastAsia="宋体" w:cs="宋体"/>
          <w:b/>
          <w:bCs/>
          <w:szCs w:val="24"/>
          <w:lang w:val="en-US" w:eastAsia="zh-CN"/>
        </w:rPr>
        <w:t>（4）在邓州市公共资源交易中心电子招标运行初期，原则上进行电子评标，如电子评标系统由于各种非投标人原因导致无法电子评标的，评标委员会有转为纸质评标的权利，不再对投标人解释，请各投标人悉知；</w:t>
      </w:r>
    </w:p>
    <w:p>
      <w:pPr>
        <w:keepNext w:val="0"/>
        <w:keepLines w:val="0"/>
        <w:pageBreakBefore w:val="0"/>
        <w:widowControl/>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eastAsia="宋体" w:cs="宋体"/>
          <w:b/>
          <w:bCs/>
          <w:szCs w:val="24"/>
          <w:lang w:val="en-US" w:eastAsia="zh-CN"/>
        </w:rPr>
      </w:pPr>
      <w:r>
        <w:rPr>
          <w:rFonts w:hint="eastAsia" w:ascii="宋体" w:hAnsi="宋体" w:eastAsia="宋体" w:cs="宋体"/>
          <w:b/>
          <w:bCs/>
          <w:szCs w:val="24"/>
          <w:lang w:val="en-US" w:eastAsia="zh-CN"/>
        </w:rPr>
        <w:t>（5）各潜在投标人请及时关注网站更新信息，若因为其他原因未能及时看到网上更新信息而造成的损失，招标人及招标代理机构将不负任何责任。</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九、投标截止时间（投标文件递交/上传截止时间）及地点</w:t>
      </w:r>
      <w:bookmarkEnd w:id="21"/>
    </w:p>
    <w:p>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lang w:val="en-US" w:eastAsia="zh-CN"/>
        </w:rPr>
        <w:t>9</w:t>
      </w:r>
      <w:r>
        <w:rPr>
          <w:rFonts w:hint="eastAsia" w:asciiTheme="minorEastAsia" w:hAnsiTheme="minorEastAsia" w:eastAsiaTheme="minorEastAsia" w:cstheme="minorEastAsia"/>
          <w:szCs w:val="24"/>
        </w:rPr>
        <w:t>.1 投标文件递交截止时间及开标时间：2020年04月</w:t>
      </w:r>
      <w:r>
        <w:rPr>
          <w:rFonts w:hint="eastAsia" w:asciiTheme="minorEastAsia" w:hAnsiTheme="minorEastAsia" w:eastAsiaTheme="minorEastAsia" w:cstheme="minorEastAsia"/>
          <w:szCs w:val="24"/>
          <w:lang w:val="en-US" w:eastAsia="zh-CN"/>
        </w:rPr>
        <w:t>27</w:t>
      </w:r>
      <w:r>
        <w:rPr>
          <w:rFonts w:hint="eastAsia" w:asciiTheme="minorEastAsia" w:hAnsiTheme="minorEastAsia" w:eastAsiaTheme="minorEastAsia" w:cstheme="minorEastAsia"/>
          <w:szCs w:val="24"/>
        </w:rPr>
        <w:t>日上午</w:t>
      </w:r>
      <w:r>
        <w:rPr>
          <w:rFonts w:hint="eastAsia" w:asciiTheme="minorEastAsia" w:hAnsiTheme="minorEastAsia" w:eastAsiaTheme="minorEastAsia" w:cstheme="minorEastAsia"/>
          <w:szCs w:val="24"/>
          <w:lang w:val="en-US" w:eastAsia="zh-CN"/>
        </w:rPr>
        <w:t>9</w:t>
      </w:r>
      <w:r>
        <w:rPr>
          <w:rFonts w:hint="eastAsia" w:asciiTheme="minorEastAsia" w:hAnsiTheme="minorEastAsia" w:eastAsiaTheme="minorEastAsia" w:cstheme="minorEastAsia"/>
          <w:szCs w:val="24"/>
        </w:rPr>
        <w:t>时</w:t>
      </w:r>
      <w:r>
        <w:rPr>
          <w:rFonts w:hint="eastAsia" w:asciiTheme="minorEastAsia" w:hAnsiTheme="minorEastAsia" w:eastAsiaTheme="minorEastAsia" w:cstheme="minorEastAsia"/>
          <w:szCs w:val="24"/>
          <w:lang w:val="en-US" w:eastAsia="zh-CN"/>
        </w:rPr>
        <w:t>0</w:t>
      </w:r>
      <w:r>
        <w:rPr>
          <w:rFonts w:hint="eastAsia" w:asciiTheme="minorEastAsia" w:hAnsiTheme="minorEastAsia" w:eastAsiaTheme="minorEastAsia" w:cstheme="minorEastAsia"/>
          <w:szCs w:val="24"/>
        </w:rPr>
        <w:t>0分；</w:t>
      </w:r>
    </w:p>
    <w:p>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lang w:val="en-US" w:eastAsia="zh-CN"/>
        </w:rPr>
        <w:t>9</w:t>
      </w:r>
      <w:r>
        <w:rPr>
          <w:rFonts w:hint="eastAsia" w:asciiTheme="minorEastAsia" w:hAnsiTheme="minorEastAsia" w:eastAsiaTheme="minorEastAsia" w:cstheme="minorEastAsia"/>
          <w:szCs w:val="24"/>
        </w:rPr>
        <w:t>.2 投标文件递交地点及开标地点：邓州市公共资源</w:t>
      </w:r>
      <w:r>
        <w:rPr>
          <w:rFonts w:hint="eastAsia" w:asciiTheme="minorEastAsia" w:hAnsiTheme="minorEastAsia" w:eastAsiaTheme="minorEastAsia" w:cstheme="minorEastAsia"/>
          <w:szCs w:val="24"/>
          <w:highlight w:val="none"/>
        </w:rPr>
        <w:t>交易中心</w:t>
      </w:r>
      <w:r>
        <w:rPr>
          <w:rFonts w:hint="eastAsia" w:asciiTheme="minorEastAsia" w:hAnsiTheme="minorEastAsia" w:eastAsiaTheme="minorEastAsia" w:cstheme="minorEastAsia"/>
          <w:szCs w:val="24"/>
          <w:highlight w:val="none"/>
          <w:lang w:eastAsia="zh-CN"/>
        </w:rPr>
        <w:t>第一开标室</w:t>
      </w:r>
      <w:r>
        <w:rPr>
          <w:rFonts w:hint="eastAsia" w:asciiTheme="minorEastAsia" w:hAnsiTheme="minorEastAsia" w:eastAsiaTheme="minorEastAsia" w:cstheme="minorEastAsia"/>
          <w:szCs w:val="24"/>
          <w:highlight w:val="none"/>
        </w:rPr>
        <w:t>（古城路与新华路交叉口工商银行</w:t>
      </w:r>
      <w:r>
        <w:rPr>
          <w:rFonts w:hint="eastAsia" w:asciiTheme="minorEastAsia" w:hAnsiTheme="minorEastAsia" w:eastAsiaTheme="minorEastAsia" w:cstheme="minorEastAsia"/>
          <w:szCs w:val="24"/>
          <w:highlight w:val="none"/>
          <w:lang w:val="en-US" w:eastAsia="zh-CN"/>
        </w:rPr>
        <w:t>10</w:t>
      </w:r>
      <w:r>
        <w:rPr>
          <w:rFonts w:hint="eastAsia" w:asciiTheme="minorEastAsia" w:hAnsiTheme="minorEastAsia" w:eastAsiaTheme="minorEastAsia" w:cstheme="minorEastAsia"/>
          <w:szCs w:val="24"/>
          <w:highlight w:val="none"/>
        </w:rPr>
        <w:t>楼）。</w:t>
      </w:r>
    </w:p>
    <w:p>
      <w:pPr>
        <w:keepNext w:val="0"/>
        <w:keepLines w:val="0"/>
        <w:pageBreakBefore w:val="0"/>
        <w:kinsoku/>
        <w:wordWrap/>
        <w:overflowPunct/>
        <w:topLinePunct w:val="0"/>
        <w:autoSpaceDE/>
        <w:autoSpaceDN/>
        <w:bidi w:val="0"/>
        <w:adjustRightInd w:val="0"/>
        <w:spacing w:line="480" w:lineRule="exact"/>
        <w:ind w:firstLine="482" w:firstLineChars="200"/>
        <w:textAlignment w:val="auto"/>
        <w:rPr>
          <w:rFonts w:hint="eastAsia"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备注：</w:t>
      </w:r>
    </w:p>
    <w:p>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1.投标人应在截止时间前通过邓州市公共资源交易平台递交电子投标文件(.mbf格式)。并将纸质版投标文件(正本壹份，副本肆份，A4纸打印并胶装)密封提交，及电子版投标文件U盘三份（加密的.mbf格式，未加密的.mbf格式，PDF或word版各1份）单独密封提交；</w:t>
      </w:r>
    </w:p>
    <w:p>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2.逾期上传、送达的，未送达指定地点的或者不按照招标文件要求密封的投标文件，招标人将予以拒收。逾期上传、送达的投标文件，将予以拒收。</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asciiTheme="minorEastAsia" w:hAnsiTheme="minorEastAsia" w:eastAsiaTheme="minorEastAsia" w:cstheme="minorEastAsia"/>
          <w:b/>
          <w:szCs w:val="24"/>
          <w:lang w:val="zh-CN"/>
        </w:rPr>
      </w:pPr>
      <w:bookmarkStart w:id="23" w:name="_Toc24537_WPSOffice_Level2"/>
      <w:r>
        <w:rPr>
          <w:rFonts w:hint="eastAsia" w:asciiTheme="minorEastAsia" w:hAnsiTheme="minorEastAsia" w:eastAsiaTheme="minorEastAsia" w:cstheme="minorEastAsia"/>
          <w:b/>
          <w:szCs w:val="24"/>
          <w:lang w:val="zh-CN"/>
        </w:rPr>
        <w:t>十、发布公告的媒介及招标公告期限</w:t>
      </w:r>
      <w:bookmarkEnd w:id="22"/>
      <w:bookmarkEnd w:id="23"/>
    </w:p>
    <w:p>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asciiTheme="minorEastAsia" w:hAnsiTheme="minorEastAsia" w:eastAsiaTheme="minorEastAsia" w:cstheme="minorEastAsia"/>
          <w:szCs w:val="24"/>
        </w:rPr>
      </w:pPr>
      <w:bookmarkStart w:id="24" w:name="_Toc144974495"/>
      <w:bookmarkStart w:id="25" w:name="_Toc152042303"/>
      <w:bookmarkStart w:id="26" w:name="_Toc152045527"/>
      <w:bookmarkStart w:id="27" w:name="_Toc530034207"/>
      <w:r>
        <w:rPr>
          <w:rFonts w:hint="eastAsia" w:asciiTheme="minorEastAsia" w:hAnsiTheme="minorEastAsia" w:eastAsiaTheme="minorEastAsia" w:cstheme="minorEastAsia"/>
          <w:szCs w:val="24"/>
        </w:rPr>
        <w:t>本次招标公告同时在</w:t>
      </w:r>
      <w:bookmarkEnd w:id="24"/>
      <w:bookmarkEnd w:id="25"/>
      <w:bookmarkEnd w:id="26"/>
      <w:bookmarkEnd w:id="27"/>
      <w:r>
        <w:rPr>
          <w:rFonts w:hint="eastAsia" w:asciiTheme="minorEastAsia" w:hAnsiTheme="minorEastAsia" w:eastAsiaTheme="minorEastAsia" w:cstheme="minorEastAsia"/>
          <w:szCs w:val="24"/>
          <w:highlight w:val="none"/>
          <w:lang w:eastAsia="zh-CN"/>
        </w:rPr>
        <w:t>《中国招标投标公共服务平台》、《河南省政府采购网》、《全国公共资源交易平台（河南省﹒邓州市）》</w:t>
      </w:r>
      <w:r>
        <w:rPr>
          <w:rFonts w:hint="eastAsia" w:ascii="宋体" w:hAnsi="宋体" w:cs="宋体"/>
          <w:kern w:val="0"/>
          <w:sz w:val="24"/>
        </w:rPr>
        <w:t>网站上发布。招标公告限期为五个工作日</w:t>
      </w:r>
      <w:r>
        <w:rPr>
          <w:rFonts w:hint="eastAsia" w:asciiTheme="minorEastAsia" w:hAnsiTheme="minorEastAsia" w:eastAsiaTheme="minorEastAsia" w:cstheme="minorEastAsia"/>
          <w:szCs w:val="24"/>
          <w:highlight w:val="none"/>
        </w:rPr>
        <w:t>。</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asciiTheme="minorEastAsia" w:hAnsiTheme="minorEastAsia" w:eastAsiaTheme="minorEastAsia" w:cstheme="minorEastAsia"/>
          <w:b/>
          <w:szCs w:val="24"/>
          <w:lang w:val="zh-CN"/>
        </w:rPr>
      </w:pPr>
      <w:bookmarkStart w:id="28" w:name="_Toc29136_WPSOffice_Level2"/>
      <w:bookmarkStart w:id="29" w:name="_Toc16468_WPSOffice_Level2"/>
      <w:r>
        <w:rPr>
          <w:rFonts w:hint="eastAsia" w:asciiTheme="minorEastAsia" w:hAnsiTheme="minorEastAsia" w:eastAsiaTheme="minorEastAsia" w:cstheme="minorEastAsia"/>
          <w:b/>
          <w:szCs w:val="24"/>
          <w:lang w:val="zh-CN"/>
        </w:rPr>
        <w:t>十一、联系方式</w:t>
      </w:r>
      <w:bookmarkEnd w:id="28"/>
      <w:bookmarkEnd w:id="29"/>
    </w:p>
    <w:p>
      <w:pPr>
        <w:keepNext w:val="0"/>
        <w:keepLines w:val="0"/>
        <w:pageBreakBefore w:val="0"/>
        <w:tabs>
          <w:tab w:val="left" w:pos="900"/>
        </w:tabs>
        <w:kinsoku/>
        <w:wordWrap/>
        <w:overflowPunct/>
        <w:topLinePunct w:val="0"/>
        <w:autoSpaceDE/>
        <w:autoSpaceDN/>
        <w:bidi w:val="0"/>
        <w:adjustRightInd w:val="0"/>
        <w:snapToGrid w:val="0"/>
        <w:spacing w:line="480" w:lineRule="exact"/>
        <w:ind w:firstLine="470" w:firstLineChars="196"/>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采购人：</w:t>
      </w:r>
      <w:r>
        <w:rPr>
          <w:rFonts w:hint="eastAsia" w:asciiTheme="minorEastAsia" w:hAnsiTheme="minorEastAsia" w:eastAsiaTheme="minorEastAsia" w:cstheme="minorEastAsia"/>
          <w:lang w:eastAsia="zh-CN"/>
        </w:rPr>
        <w:t>邓州市应急管理局</w:t>
      </w:r>
    </w:p>
    <w:p>
      <w:pPr>
        <w:keepNext w:val="0"/>
        <w:keepLines w:val="0"/>
        <w:pageBreakBefore w:val="0"/>
        <w:tabs>
          <w:tab w:val="left" w:pos="900"/>
        </w:tabs>
        <w:kinsoku/>
        <w:wordWrap/>
        <w:overflowPunct/>
        <w:topLinePunct w:val="0"/>
        <w:autoSpaceDE/>
        <w:autoSpaceDN/>
        <w:bidi w:val="0"/>
        <w:adjustRightInd w:val="0"/>
        <w:snapToGrid w:val="0"/>
        <w:spacing w:line="480" w:lineRule="exact"/>
        <w:ind w:firstLine="470" w:firstLineChars="196"/>
        <w:textAlignment w:val="auto"/>
        <w:rPr>
          <w:rFonts w:asciiTheme="minorEastAsia" w:hAnsiTheme="minorEastAsia" w:eastAsiaTheme="minorEastAsia" w:cstheme="minorEastAsia"/>
          <w:highlight w:val="yellow"/>
        </w:rPr>
      </w:pPr>
      <w:r>
        <w:rPr>
          <w:rFonts w:hint="eastAsia" w:asciiTheme="minorEastAsia" w:hAnsiTheme="minorEastAsia" w:eastAsiaTheme="minorEastAsia" w:cstheme="minorEastAsia"/>
        </w:rPr>
        <w:t>联系人：</w:t>
      </w:r>
      <w:r>
        <w:rPr>
          <w:rFonts w:hint="eastAsia" w:asciiTheme="minorEastAsia" w:hAnsiTheme="minorEastAsia" w:eastAsiaTheme="minorEastAsia" w:cstheme="minorEastAsia"/>
          <w:lang w:eastAsia="zh-CN"/>
        </w:rPr>
        <w:t>孙先生</w:t>
      </w:r>
      <w:r>
        <w:rPr>
          <w:rFonts w:hint="eastAsia" w:asciiTheme="minorEastAsia" w:hAnsiTheme="minorEastAsia" w:eastAsiaTheme="minorEastAsia" w:cstheme="minorEastAsia"/>
        </w:rPr>
        <w:t xml:space="preserve">  </w:t>
      </w:r>
    </w:p>
    <w:p>
      <w:pPr>
        <w:keepNext w:val="0"/>
        <w:keepLines w:val="0"/>
        <w:pageBreakBefore w:val="0"/>
        <w:tabs>
          <w:tab w:val="left" w:pos="90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szCs w:val="22"/>
        </w:rPr>
      </w:pPr>
      <w:r>
        <w:rPr>
          <w:rFonts w:hint="eastAsia" w:ascii="宋体" w:hAnsi="宋体" w:eastAsia="宋体" w:cs="宋体"/>
          <w:szCs w:val="22"/>
        </w:rPr>
        <w:t>联系电话：</w:t>
      </w:r>
      <w:r>
        <w:rPr>
          <w:rFonts w:hint="eastAsia" w:ascii="宋体" w:hAnsi="宋体" w:cs="宋体"/>
          <w:szCs w:val="22"/>
          <w:lang w:val="en-US" w:eastAsia="zh-CN"/>
        </w:rPr>
        <w:t>0377-62282789</w:t>
      </w:r>
      <w:r>
        <w:rPr>
          <w:rFonts w:hint="eastAsia" w:ascii="宋体" w:hAnsi="宋体" w:eastAsia="宋体" w:cs="宋体"/>
          <w:szCs w:val="22"/>
        </w:rPr>
        <w:t xml:space="preserve"> </w:t>
      </w:r>
    </w:p>
    <w:p>
      <w:pPr>
        <w:keepNext w:val="0"/>
        <w:keepLines w:val="0"/>
        <w:pageBreakBefore w:val="0"/>
        <w:tabs>
          <w:tab w:val="left" w:pos="90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szCs w:val="22"/>
        </w:rPr>
      </w:pPr>
      <w:r>
        <w:rPr>
          <w:rFonts w:hint="eastAsia" w:ascii="宋体" w:hAnsi="宋体" w:eastAsia="宋体" w:cs="宋体"/>
          <w:szCs w:val="22"/>
        </w:rPr>
        <w:t>采购人地址：</w:t>
      </w:r>
      <w:r>
        <w:rPr>
          <w:rFonts w:hint="eastAsia" w:ascii="宋体" w:hAnsi="宋体" w:eastAsia="宋体" w:cs="宋体"/>
          <w:szCs w:val="22"/>
          <w:lang w:eastAsia="zh-CN"/>
        </w:rPr>
        <w:t>邓州市南一环与文化路交叉口向北</w:t>
      </w:r>
      <w:r>
        <w:rPr>
          <w:rFonts w:hint="eastAsia" w:ascii="宋体" w:hAnsi="宋体" w:eastAsia="宋体" w:cs="宋体"/>
          <w:szCs w:val="22"/>
          <w:lang w:val="en-US" w:eastAsia="zh-CN"/>
        </w:rPr>
        <w:t>100米</w:t>
      </w:r>
      <w:r>
        <w:rPr>
          <w:rFonts w:hint="eastAsia" w:ascii="宋体" w:hAnsi="宋体" w:eastAsia="宋体" w:cs="宋体"/>
          <w:szCs w:val="22"/>
        </w:rPr>
        <w:fldChar w:fldCharType="begin"/>
      </w:r>
      <w:r>
        <w:rPr>
          <w:rFonts w:hint="eastAsia" w:ascii="宋体" w:hAnsi="宋体" w:eastAsia="宋体" w:cs="宋体"/>
          <w:szCs w:val="22"/>
        </w:rPr>
        <w:instrText xml:space="preserve"> HYPERLINK "https://ditu.so.com/?type=drive&amp;src=onebox&amp;start=&amp;end=112.087493,32.68758$$邓州市应急管理局" \t "https://www.so.com/_blank" </w:instrText>
      </w:r>
      <w:r>
        <w:rPr>
          <w:rFonts w:hint="eastAsia" w:ascii="宋体" w:hAnsi="宋体" w:eastAsia="宋体" w:cs="宋体"/>
          <w:szCs w:val="22"/>
        </w:rPr>
        <w:fldChar w:fldCharType="separate"/>
      </w:r>
      <w:r>
        <w:rPr>
          <w:rFonts w:hint="eastAsia" w:ascii="宋体" w:hAnsi="宋体" w:eastAsia="宋体" w:cs="宋体"/>
          <w:szCs w:val="22"/>
        </w:rPr>
        <w:fldChar w:fldCharType="end"/>
      </w:r>
    </w:p>
    <w:p>
      <w:pPr>
        <w:bidi w:val="0"/>
        <w:rPr>
          <w:rFonts w:hint="eastAsia"/>
          <w:lang w:eastAsia="zh-CN"/>
        </w:rPr>
      </w:pPr>
      <w:r>
        <w:rPr>
          <w:rFonts w:hint="eastAsia"/>
          <w:lang w:val="en-US" w:eastAsia="zh-CN"/>
        </w:rPr>
        <w:t xml:space="preserve"> </w:t>
      </w:r>
    </w:p>
    <w:p>
      <w:pPr>
        <w:keepNext w:val="0"/>
        <w:keepLines w:val="0"/>
        <w:pageBreakBefore w:val="0"/>
        <w:tabs>
          <w:tab w:val="left" w:pos="900"/>
        </w:tabs>
        <w:kinsoku/>
        <w:wordWrap/>
        <w:overflowPunct/>
        <w:topLinePunct w:val="0"/>
        <w:autoSpaceDE/>
        <w:autoSpaceDN/>
        <w:bidi w:val="0"/>
        <w:adjustRightInd w:val="0"/>
        <w:snapToGrid w:val="0"/>
        <w:spacing w:line="480" w:lineRule="exact"/>
        <w:ind w:firstLine="470" w:firstLineChars="196"/>
        <w:textAlignment w:val="auto"/>
        <w:rPr>
          <w:rFonts w:ascii="宋体" w:hAnsi="宋体" w:eastAsia="宋体" w:cs="宋体"/>
        </w:rPr>
      </w:pPr>
      <w:r>
        <w:rPr>
          <w:rFonts w:hint="eastAsia" w:ascii="宋体" w:hAnsi="宋体" w:eastAsia="宋体" w:cs="宋体"/>
        </w:rPr>
        <w:t>代理机构：河南招标采购服务有限公司</w:t>
      </w:r>
    </w:p>
    <w:p>
      <w:pPr>
        <w:keepNext w:val="0"/>
        <w:keepLines w:val="0"/>
        <w:pageBreakBefore w:val="0"/>
        <w:tabs>
          <w:tab w:val="left" w:pos="90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cs="宋体"/>
          <w:lang w:eastAsia="zh-CN"/>
        </w:rPr>
      </w:pPr>
      <w:r>
        <w:rPr>
          <w:rFonts w:hint="eastAsia" w:ascii="宋体" w:hAnsi="宋体" w:eastAsia="宋体" w:cs="宋体"/>
        </w:rPr>
        <w:t>联系人：王</w:t>
      </w:r>
      <w:r>
        <w:rPr>
          <w:rFonts w:hint="eastAsia" w:ascii="宋体" w:hAnsi="宋体" w:cs="宋体"/>
          <w:lang w:eastAsia="zh-CN"/>
        </w:rPr>
        <w:t>春悦</w:t>
      </w:r>
    </w:p>
    <w:p>
      <w:pPr>
        <w:keepNext w:val="0"/>
        <w:keepLines w:val="0"/>
        <w:pageBreakBefore w:val="0"/>
        <w:tabs>
          <w:tab w:val="left" w:pos="900"/>
        </w:tabs>
        <w:kinsoku/>
        <w:wordWrap/>
        <w:overflowPunct/>
        <w:topLinePunct w:val="0"/>
        <w:autoSpaceDE/>
        <w:autoSpaceDN/>
        <w:bidi w:val="0"/>
        <w:adjustRightInd w:val="0"/>
        <w:snapToGrid w:val="0"/>
        <w:spacing w:line="480" w:lineRule="exact"/>
        <w:ind w:firstLine="470" w:firstLineChars="196"/>
        <w:textAlignment w:val="auto"/>
        <w:rPr>
          <w:rFonts w:ascii="宋体" w:hAnsi="宋体" w:eastAsia="宋体" w:cs="宋体"/>
        </w:rPr>
      </w:pPr>
      <w:r>
        <w:rPr>
          <w:rFonts w:hint="eastAsia" w:ascii="宋体" w:hAnsi="宋体" w:eastAsia="宋体" w:cs="宋体"/>
        </w:rPr>
        <w:t>联系电话：15839918770 、0377-63533599</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ascii="宋体" w:hAnsi="宋体" w:cs="宋体"/>
          <w:bCs/>
          <w:szCs w:val="24"/>
          <w:lang w:val="zh-CN"/>
        </w:rPr>
      </w:pPr>
      <w:r>
        <w:rPr>
          <w:rFonts w:hint="eastAsia" w:ascii="宋体" w:hAnsi="宋体" w:eastAsia="宋体" w:cs="宋体"/>
        </w:rPr>
        <w:t>联系地址：郑州市纬四路13号（花园路与纬四路交叉口东50米路北）</w:t>
      </w:r>
      <w:r>
        <w:rPr>
          <w:rFonts w:hint="eastAsia" w:ascii="宋体" w:hAnsi="宋体" w:cs="宋体"/>
          <w:color w:val="000000"/>
          <w:szCs w:val="24"/>
        </w:rPr>
        <w:t xml:space="preserve">  </w:t>
      </w:r>
    </w:p>
    <w:p>
      <w:pPr>
        <w:bidi w:val="0"/>
        <w:rPr>
          <w:rFonts w:hint="eastAsia"/>
          <w:lang w:val="zh-CN"/>
        </w:rPr>
      </w:pPr>
      <w:bookmarkStart w:id="30" w:name="_Toc9454_WPSOffice_Level2"/>
    </w:p>
    <w:p>
      <w:pPr>
        <w:keepNext w:val="0"/>
        <w:keepLines w:val="0"/>
        <w:pageBreakBefore w:val="0"/>
        <w:tabs>
          <w:tab w:val="left" w:pos="90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szCs w:val="22"/>
        </w:rPr>
      </w:pPr>
      <w:r>
        <w:rPr>
          <w:rFonts w:hint="eastAsia" w:ascii="宋体" w:hAnsi="宋体" w:eastAsia="宋体" w:cs="宋体"/>
          <w:szCs w:val="22"/>
        </w:rPr>
        <w:t>监督机构：邓州市财政局政府采购监督管理办公室</w:t>
      </w:r>
    </w:p>
    <w:p>
      <w:pPr>
        <w:keepNext w:val="0"/>
        <w:keepLines w:val="0"/>
        <w:pageBreakBefore w:val="0"/>
        <w:tabs>
          <w:tab w:val="left" w:pos="90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szCs w:val="22"/>
        </w:rPr>
      </w:pPr>
      <w:r>
        <w:rPr>
          <w:rFonts w:hint="eastAsia" w:ascii="宋体" w:hAnsi="宋体" w:eastAsia="宋体" w:cs="宋体"/>
          <w:szCs w:val="22"/>
        </w:rPr>
        <w:t>联系人：彭先生</w:t>
      </w:r>
    </w:p>
    <w:p>
      <w:pPr>
        <w:keepNext w:val="0"/>
        <w:keepLines w:val="0"/>
        <w:pageBreakBefore w:val="0"/>
        <w:tabs>
          <w:tab w:val="left" w:pos="90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szCs w:val="22"/>
          <w:lang w:eastAsia="zh-CN"/>
        </w:rPr>
      </w:pPr>
      <w:r>
        <w:rPr>
          <w:rFonts w:hint="eastAsia" w:ascii="宋体" w:hAnsi="宋体" w:eastAsia="宋体" w:cs="宋体"/>
          <w:szCs w:val="22"/>
        </w:rPr>
        <w:t>联系电话：0377-62968668</w:t>
      </w:r>
    </w:p>
    <w:p>
      <w:pPr>
        <w:bidi w:val="0"/>
        <w:rPr>
          <w:rFonts w:hint="eastAsia"/>
          <w:lang w:val="zh-CN"/>
        </w:rPr>
      </w:pP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Theme="minorEastAsia" w:hAnsiTheme="minorEastAsia" w:eastAsiaTheme="minorEastAsia" w:cstheme="minorEastAsia"/>
          <w:sz w:val="24"/>
          <w:szCs w:val="22"/>
        </w:rPr>
      </w:pPr>
      <w:r>
        <w:rPr>
          <w:rFonts w:hint="eastAsia" w:ascii="宋体" w:hAnsi="宋体" w:cs="宋体"/>
          <w:bCs/>
          <w:szCs w:val="24"/>
          <w:lang w:val="en-US" w:eastAsia="zh-CN"/>
        </w:rPr>
        <w:t xml:space="preserve">                                    </w:t>
      </w:r>
      <w:bookmarkEnd w:id="30"/>
      <w:r>
        <w:rPr>
          <w:rFonts w:hint="eastAsia" w:asciiTheme="minorEastAsia" w:hAnsiTheme="minorEastAsia" w:eastAsiaTheme="minorEastAsia" w:cstheme="minorEastAsia"/>
          <w:sz w:val="24"/>
          <w:szCs w:val="22"/>
          <w:lang w:val="zh-CN"/>
        </w:rPr>
        <w:t>发 布 人：</w:t>
      </w:r>
      <w:r>
        <w:rPr>
          <w:rFonts w:hint="eastAsia" w:asciiTheme="minorEastAsia" w:hAnsiTheme="minorEastAsia" w:eastAsiaTheme="minorEastAsia" w:cstheme="minorEastAsia"/>
          <w:sz w:val="24"/>
          <w:szCs w:val="22"/>
        </w:rPr>
        <w:t>河南招标采购服务有限公司</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szCs w:val="22"/>
        </w:rPr>
        <w:t xml:space="preserve">                       </w:t>
      </w:r>
      <w:r>
        <w:rPr>
          <w:rFonts w:hint="eastAsia" w:asciiTheme="minorEastAsia" w:hAnsiTheme="minorEastAsia" w:eastAsiaTheme="minorEastAsia" w:cstheme="minorEastAsia"/>
          <w:sz w:val="24"/>
          <w:szCs w:val="22"/>
          <w:lang w:val="en-US" w:eastAsia="zh-CN"/>
        </w:rPr>
        <w:t xml:space="preserve">           </w:t>
      </w:r>
      <w:r>
        <w:rPr>
          <w:rFonts w:hint="eastAsia" w:asciiTheme="minorEastAsia" w:hAnsiTheme="minorEastAsia" w:eastAsiaTheme="minorEastAsia" w:cstheme="minorEastAsia"/>
          <w:sz w:val="24"/>
          <w:szCs w:val="22"/>
        </w:rPr>
        <w:t xml:space="preserve">  </w:t>
      </w:r>
      <w:bookmarkStart w:id="31" w:name="_Toc25921_WPSOffice_Level2"/>
      <w:r>
        <w:rPr>
          <w:rFonts w:hint="eastAsia" w:asciiTheme="minorEastAsia" w:hAnsiTheme="minorEastAsia" w:eastAsiaTheme="minorEastAsia" w:cstheme="minorEastAsia"/>
          <w:sz w:val="24"/>
          <w:szCs w:val="22"/>
          <w:lang w:val="zh-CN"/>
        </w:rPr>
        <w:t>发布时间：</w:t>
      </w:r>
      <w:r>
        <w:rPr>
          <w:rFonts w:hint="eastAsia" w:asciiTheme="minorEastAsia" w:hAnsiTheme="minorEastAsia" w:eastAsiaTheme="minorEastAsia" w:cstheme="minorEastAsia"/>
          <w:sz w:val="24"/>
          <w:szCs w:val="22"/>
        </w:rPr>
        <w:t>20</w:t>
      </w:r>
      <w:r>
        <w:rPr>
          <w:rFonts w:hint="eastAsia" w:asciiTheme="minorEastAsia" w:hAnsiTheme="minorEastAsia" w:eastAsiaTheme="minorEastAsia" w:cstheme="minorEastAsia"/>
          <w:sz w:val="24"/>
          <w:szCs w:val="22"/>
          <w:lang w:val="en-US" w:eastAsia="zh-CN"/>
        </w:rPr>
        <w:t>20</w:t>
      </w:r>
      <w:r>
        <w:rPr>
          <w:rFonts w:hint="eastAsia" w:asciiTheme="minorEastAsia" w:hAnsiTheme="minorEastAsia" w:eastAsiaTheme="minorEastAsia" w:cstheme="minorEastAsia"/>
          <w:sz w:val="24"/>
          <w:szCs w:val="22"/>
        </w:rPr>
        <w:t>年</w:t>
      </w:r>
      <w:r>
        <w:rPr>
          <w:rFonts w:hint="eastAsia" w:asciiTheme="minorEastAsia" w:hAnsiTheme="minorEastAsia" w:eastAsiaTheme="minorEastAsia" w:cstheme="minorEastAsia"/>
          <w:sz w:val="24"/>
          <w:szCs w:val="22"/>
          <w:highlight w:val="none"/>
          <w:lang w:val="en-US" w:eastAsia="zh-CN"/>
        </w:rPr>
        <w:t>3</w:t>
      </w:r>
      <w:r>
        <w:rPr>
          <w:rFonts w:hint="eastAsia" w:asciiTheme="minorEastAsia" w:hAnsiTheme="minorEastAsia" w:eastAsiaTheme="minorEastAsia" w:cstheme="minorEastAsia"/>
          <w:sz w:val="24"/>
          <w:szCs w:val="22"/>
          <w:highlight w:val="none"/>
        </w:rPr>
        <w:t>月</w:t>
      </w:r>
      <w:r>
        <w:rPr>
          <w:rFonts w:hint="eastAsia" w:asciiTheme="minorEastAsia" w:hAnsiTheme="minorEastAsia" w:eastAsiaTheme="minorEastAsia" w:cstheme="minorEastAsia"/>
          <w:sz w:val="24"/>
          <w:szCs w:val="22"/>
          <w:highlight w:val="none"/>
          <w:lang w:val="en-US" w:eastAsia="zh-CN"/>
        </w:rPr>
        <w:t>31</w:t>
      </w:r>
      <w:r>
        <w:rPr>
          <w:rFonts w:hint="eastAsia" w:asciiTheme="minorEastAsia" w:hAnsiTheme="minorEastAsia" w:eastAsiaTheme="minorEastAsia" w:cstheme="minorEastAsia"/>
          <w:sz w:val="24"/>
          <w:szCs w:val="22"/>
          <w:highlight w:val="none"/>
        </w:rPr>
        <w:t>日</w:t>
      </w:r>
      <w:bookmarkEnd w:id="31"/>
    </w:p>
    <w:p>
      <w:pPr>
        <w:pStyle w:val="14"/>
        <w:keepNext w:val="0"/>
        <w:keepLines w:val="0"/>
        <w:pageBreakBefore w:val="0"/>
        <w:widowControl w:val="0"/>
        <w:kinsoku w:val="0"/>
        <w:wordWrap/>
        <w:overflowPunct w:val="0"/>
        <w:topLinePunct w:val="0"/>
        <w:autoSpaceDE w:val="0"/>
        <w:autoSpaceDN w:val="0"/>
        <w:bidi w:val="0"/>
        <w:adjustRightInd w:val="0"/>
        <w:snapToGrid/>
        <w:spacing w:line="360" w:lineRule="auto"/>
        <w:ind w:left="0" w:right="126"/>
        <w:jc w:val="center"/>
        <w:textAlignment w:val="auto"/>
        <w:rPr>
          <w:b/>
          <w:spacing w:val="1"/>
          <w:sz w:val="32"/>
        </w:rPr>
      </w:pPr>
      <w:bookmarkStart w:id="32" w:name="bookmark2"/>
      <w:bookmarkEnd w:id="32"/>
      <w:bookmarkStart w:id="33" w:name="_Toc4666_WPSOffice_Level1"/>
    </w:p>
    <w:p>
      <w:pPr>
        <w:pStyle w:val="14"/>
        <w:keepNext w:val="0"/>
        <w:keepLines w:val="0"/>
        <w:pageBreakBefore w:val="0"/>
        <w:widowControl w:val="0"/>
        <w:kinsoku w:val="0"/>
        <w:wordWrap/>
        <w:overflowPunct w:val="0"/>
        <w:topLinePunct w:val="0"/>
        <w:autoSpaceDE w:val="0"/>
        <w:autoSpaceDN w:val="0"/>
        <w:bidi w:val="0"/>
        <w:adjustRightInd w:val="0"/>
        <w:snapToGrid/>
        <w:spacing w:line="360" w:lineRule="auto"/>
        <w:ind w:left="0" w:right="126"/>
        <w:jc w:val="center"/>
        <w:textAlignment w:val="auto"/>
        <w:rPr>
          <w:b/>
          <w:spacing w:val="1"/>
          <w:sz w:val="32"/>
        </w:rPr>
      </w:pPr>
    </w:p>
    <w:p>
      <w:pPr>
        <w:pStyle w:val="15"/>
        <w:rPr>
          <w:b/>
          <w:spacing w:val="1"/>
          <w:sz w:val="32"/>
        </w:rPr>
      </w:pPr>
    </w:p>
    <w:p>
      <w:pPr>
        <w:pStyle w:val="15"/>
        <w:rPr>
          <w:b/>
          <w:spacing w:val="1"/>
          <w:sz w:val="32"/>
        </w:rPr>
      </w:pPr>
    </w:p>
    <w:p>
      <w:pPr>
        <w:pStyle w:val="15"/>
        <w:rPr>
          <w:b/>
          <w:spacing w:val="1"/>
          <w:sz w:val="32"/>
        </w:rPr>
      </w:pPr>
    </w:p>
    <w:p>
      <w:pPr>
        <w:pStyle w:val="15"/>
        <w:rPr>
          <w:b/>
          <w:spacing w:val="1"/>
          <w:sz w:val="32"/>
        </w:rPr>
      </w:pPr>
    </w:p>
    <w:p>
      <w:pPr>
        <w:pStyle w:val="15"/>
        <w:rPr>
          <w:b/>
          <w:spacing w:val="1"/>
          <w:sz w:val="32"/>
        </w:rPr>
      </w:pPr>
    </w:p>
    <w:p>
      <w:pPr>
        <w:pStyle w:val="15"/>
        <w:rPr>
          <w:b/>
          <w:spacing w:val="1"/>
          <w:sz w:val="32"/>
        </w:rPr>
      </w:pPr>
    </w:p>
    <w:p>
      <w:pPr>
        <w:pStyle w:val="15"/>
        <w:rPr>
          <w:b/>
          <w:spacing w:val="1"/>
          <w:sz w:val="32"/>
        </w:rPr>
      </w:pPr>
    </w:p>
    <w:p>
      <w:pPr>
        <w:pStyle w:val="14"/>
        <w:keepNext w:val="0"/>
        <w:keepLines w:val="0"/>
        <w:pageBreakBefore w:val="0"/>
        <w:widowControl w:val="0"/>
        <w:kinsoku w:val="0"/>
        <w:wordWrap/>
        <w:overflowPunct w:val="0"/>
        <w:topLinePunct w:val="0"/>
        <w:autoSpaceDE w:val="0"/>
        <w:autoSpaceDN w:val="0"/>
        <w:bidi w:val="0"/>
        <w:adjustRightInd w:val="0"/>
        <w:snapToGrid/>
        <w:spacing w:line="360" w:lineRule="auto"/>
        <w:ind w:left="0" w:right="126"/>
        <w:jc w:val="center"/>
        <w:textAlignment w:val="auto"/>
        <w:rPr>
          <w:rFonts w:hint="default"/>
          <w:sz w:val="32"/>
        </w:rPr>
      </w:pPr>
      <w:r>
        <w:rPr>
          <w:b/>
          <w:spacing w:val="1"/>
          <w:sz w:val="32"/>
        </w:rPr>
        <w:t>第二章</w:t>
      </w:r>
      <w:r>
        <w:rPr>
          <w:rFonts w:hint="eastAsia"/>
          <w:b/>
          <w:spacing w:val="1"/>
          <w:sz w:val="32"/>
          <w:lang w:val="en-US" w:eastAsia="zh-CN"/>
        </w:rPr>
        <w:t xml:space="preserve">  </w:t>
      </w:r>
      <w:r>
        <w:rPr>
          <w:b/>
          <w:spacing w:val="1"/>
          <w:sz w:val="32"/>
        </w:rPr>
        <w:t>投标人须知</w:t>
      </w:r>
      <w:bookmarkEnd w:id="33"/>
    </w:p>
    <w:p>
      <w:pPr>
        <w:pStyle w:val="7"/>
        <w:keepNext w:val="0"/>
        <w:keepLines w:val="0"/>
        <w:pageBreakBefore w:val="0"/>
        <w:widowControl w:val="0"/>
        <w:kinsoku w:val="0"/>
        <w:wordWrap/>
        <w:overflowPunct w:val="0"/>
        <w:topLinePunct w:val="0"/>
        <w:autoSpaceDE w:val="0"/>
        <w:autoSpaceDN w:val="0"/>
        <w:bidi w:val="0"/>
        <w:adjustRightInd w:val="0"/>
        <w:snapToGrid/>
        <w:spacing w:line="360" w:lineRule="auto"/>
        <w:ind w:left="3532" w:right="3385"/>
        <w:jc w:val="center"/>
        <w:textAlignment w:val="auto"/>
        <w:rPr>
          <w:rFonts w:hint="default"/>
          <w:b w:val="0"/>
        </w:rPr>
      </w:pPr>
      <w:bookmarkStart w:id="34" w:name="bookmark3"/>
      <w:bookmarkEnd w:id="34"/>
      <w:bookmarkStart w:id="35" w:name="_Toc17898_WPSOffice_Level2"/>
      <w:r>
        <w:rPr>
          <w:sz w:val="24"/>
          <w:szCs w:val="24"/>
        </w:rPr>
        <w:t>投标人须知前附表</w:t>
      </w:r>
      <w:bookmarkEnd w:id="35"/>
    </w:p>
    <w:p>
      <w:pPr>
        <w:pStyle w:val="14"/>
        <w:kinsoku w:val="0"/>
        <w:overflowPunct w:val="0"/>
        <w:spacing w:line="360" w:lineRule="auto"/>
        <w:ind w:left="0"/>
        <w:rPr>
          <w:rFonts w:hint="default"/>
          <w:b/>
          <w:sz w:val="8"/>
        </w:rPr>
      </w:pPr>
    </w:p>
    <w:tbl>
      <w:tblPr>
        <w:tblStyle w:val="28"/>
        <w:tblW w:w="9322" w:type="dxa"/>
        <w:tblInd w:w="204" w:type="dxa"/>
        <w:tblLayout w:type="fixed"/>
        <w:tblCellMar>
          <w:top w:w="0" w:type="dxa"/>
          <w:left w:w="108" w:type="dxa"/>
          <w:bottom w:w="0" w:type="dxa"/>
          <w:right w:w="108" w:type="dxa"/>
        </w:tblCellMar>
      </w:tblPr>
      <w:tblGrid>
        <w:gridCol w:w="847"/>
        <w:gridCol w:w="1995"/>
        <w:gridCol w:w="6480"/>
      </w:tblGrid>
      <w:tr>
        <w:tblPrEx>
          <w:tblCellMar>
            <w:top w:w="0" w:type="dxa"/>
            <w:left w:w="108" w:type="dxa"/>
            <w:bottom w:w="0" w:type="dxa"/>
            <w:right w:w="108" w:type="dxa"/>
          </w:tblCellMar>
        </w:tblPrEx>
        <w:trPr>
          <w:trHeight w:val="463" w:hRule="exact"/>
        </w:trPr>
        <w:tc>
          <w:tcPr>
            <w:tcW w:w="84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条款号</w:t>
            </w:r>
          </w:p>
        </w:tc>
        <w:tc>
          <w:tcPr>
            <w:tcW w:w="199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条款名称</w:t>
            </w:r>
          </w:p>
        </w:tc>
        <w:tc>
          <w:tcPr>
            <w:tcW w:w="64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编列内容</w:t>
            </w:r>
          </w:p>
        </w:tc>
      </w:tr>
      <w:tr>
        <w:tblPrEx>
          <w:tblCellMar>
            <w:top w:w="0" w:type="dxa"/>
            <w:left w:w="108" w:type="dxa"/>
            <w:bottom w:w="0" w:type="dxa"/>
            <w:right w:w="108" w:type="dxa"/>
          </w:tblCellMar>
        </w:tblPrEx>
        <w:trPr>
          <w:trHeight w:val="1555" w:hRule="exact"/>
        </w:trPr>
        <w:tc>
          <w:tcPr>
            <w:tcW w:w="84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jc w:val="center"/>
              <w:rPr>
                <w:rFonts w:asciiTheme="minorEastAsia" w:hAnsiTheme="minorEastAsia" w:eastAsiaTheme="minorEastAsia" w:cstheme="minorEastAsia"/>
                <w:sz w:val="21"/>
                <w:szCs w:val="21"/>
              </w:rPr>
            </w:pPr>
          </w:p>
          <w:p>
            <w:pPr>
              <w:pStyle w:val="45"/>
              <w:kinsoku w:val="0"/>
              <w:overflowPunct w:val="0"/>
              <w:spacing w:line="360" w:lineRule="auto"/>
              <w:jc w:val="center"/>
              <w:rPr>
                <w:rFonts w:asciiTheme="minorEastAsia" w:hAnsiTheme="minorEastAsia" w:eastAsiaTheme="minorEastAsia" w:cstheme="minorEastAsia"/>
                <w:sz w:val="21"/>
                <w:szCs w:val="21"/>
              </w:rPr>
            </w:pPr>
          </w:p>
          <w:p>
            <w:pPr>
              <w:pStyle w:val="45"/>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w:t>
            </w:r>
          </w:p>
        </w:tc>
        <w:tc>
          <w:tcPr>
            <w:tcW w:w="199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asciiTheme="minorEastAsia" w:hAnsiTheme="minorEastAsia" w:eastAsiaTheme="minorEastAsia" w:cstheme="minorEastAsia"/>
                <w:spacing w:val="-1"/>
                <w:sz w:val="21"/>
                <w:szCs w:val="21"/>
              </w:rPr>
            </w:pPr>
          </w:p>
          <w:p>
            <w:pPr>
              <w:pStyle w:val="45"/>
              <w:kinsoku w:val="0"/>
              <w:overflowPunct w:val="0"/>
              <w:spacing w:line="360" w:lineRule="auto"/>
              <w:rPr>
                <w:rFonts w:asciiTheme="minorEastAsia" w:hAnsiTheme="minorEastAsia" w:eastAsiaTheme="minorEastAsia" w:cstheme="minorEastAsia"/>
                <w:spacing w:val="-1"/>
                <w:sz w:val="21"/>
                <w:szCs w:val="21"/>
              </w:rPr>
            </w:pPr>
          </w:p>
          <w:p>
            <w:pPr>
              <w:pStyle w:val="45"/>
              <w:kinsoku w:val="0"/>
              <w:overflowPunct w:val="0"/>
              <w:spacing w:line="360" w:lineRule="auto"/>
              <w:rPr>
                <w:rFonts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招标人</w:t>
            </w:r>
          </w:p>
        </w:tc>
        <w:tc>
          <w:tcPr>
            <w:tcW w:w="6480" w:type="dxa"/>
            <w:tcBorders>
              <w:top w:val="single" w:color="000000" w:sz="4" w:space="0"/>
              <w:left w:val="single" w:color="000000" w:sz="4" w:space="0"/>
              <w:bottom w:val="single" w:color="000000" w:sz="4" w:space="0"/>
              <w:right w:val="single" w:color="000000" w:sz="4" w:space="0"/>
              <w:tl2br w:val="nil"/>
              <w:tr2bl w:val="nil"/>
            </w:tcBorders>
            <w:noWrap/>
          </w:tcPr>
          <w:p>
            <w:pPr>
              <w:keepNext w:val="0"/>
              <w:keepLines w:val="0"/>
              <w:pageBreakBefore w:val="0"/>
              <w:tabs>
                <w:tab w:val="left" w:pos="900"/>
              </w:tabs>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采购人：</w:t>
            </w:r>
            <w:r>
              <w:rPr>
                <w:rFonts w:hint="eastAsia" w:asciiTheme="minorEastAsia" w:hAnsiTheme="minorEastAsia" w:eastAsiaTheme="minorEastAsia" w:cstheme="minorEastAsia"/>
                <w:sz w:val="21"/>
                <w:szCs w:val="21"/>
                <w:lang w:eastAsia="zh-CN"/>
              </w:rPr>
              <w:t>邓州市应急管理局</w:t>
            </w:r>
          </w:p>
          <w:p>
            <w:pPr>
              <w:keepNext w:val="0"/>
              <w:keepLines w:val="0"/>
              <w:pageBreakBefore w:val="0"/>
              <w:tabs>
                <w:tab w:val="left" w:pos="900"/>
              </w:tabs>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w:t>
            </w:r>
            <w:r>
              <w:rPr>
                <w:rFonts w:hint="eastAsia" w:asciiTheme="minorEastAsia" w:hAnsiTheme="minorEastAsia" w:eastAsiaTheme="minorEastAsia" w:cstheme="minorEastAsia"/>
                <w:sz w:val="21"/>
                <w:szCs w:val="21"/>
                <w:lang w:eastAsia="zh-CN"/>
              </w:rPr>
              <w:t>孙先生</w:t>
            </w:r>
            <w:r>
              <w:rPr>
                <w:rFonts w:hint="eastAsia" w:asciiTheme="minorEastAsia" w:hAnsiTheme="minorEastAsia" w:eastAsiaTheme="minorEastAsia" w:cstheme="minorEastAsia"/>
                <w:sz w:val="21"/>
                <w:szCs w:val="21"/>
              </w:rPr>
              <w:t xml:space="preserve">  </w:t>
            </w:r>
          </w:p>
          <w:p>
            <w:pPr>
              <w:keepNext w:val="0"/>
              <w:keepLines w:val="0"/>
              <w:pageBreakBefore w:val="0"/>
              <w:tabs>
                <w:tab w:val="left" w:pos="900"/>
              </w:tabs>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联系电话：18237710006</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p>
          <w:p>
            <w:pPr>
              <w:keepNext w:val="0"/>
              <w:keepLines w:val="0"/>
              <w:pageBreakBefore w:val="0"/>
              <w:tabs>
                <w:tab w:val="left" w:pos="900"/>
              </w:tabs>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采购人地址：</w:t>
            </w:r>
            <w:r>
              <w:rPr>
                <w:rFonts w:hint="eastAsia" w:asciiTheme="minorEastAsia" w:hAnsiTheme="minorEastAsia" w:eastAsiaTheme="minorEastAsia" w:cstheme="minorEastAsia"/>
                <w:sz w:val="21"/>
                <w:szCs w:val="21"/>
                <w:lang w:eastAsia="zh-CN"/>
              </w:rPr>
              <w:t>邓州市南一环与文化路交叉口向北</w:t>
            </w:r>
            <w:r>
              <w:rPr>
                <w:rFonts w:hint="eastAsia" w:asciiTheme="minorEastAsia" w:hAnsiTheme="minorEastAsia" w:eastAsiaTheme="minorEastAsia" w:cstheme="minorEastAsia"/>
                <w:sz w:val="21"/>
                <w:szCs w:val="21"/>
                <w:lang w:val="en-US" w:eastAsia="zh-CN"/>
              </w:rPr>
              <w:t>100米</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"https://ditu.so.com/?type=drive&amp;src=onebox&amp;start=&amp;end=112.087493,32.68758$$邓州市应急管理局" \t "https://www.so.com/_blank"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fldChar w:fldCharType="end"/>
            </w:r>
          </w:p>
          <w:p>
            <w:pPr>
              <w:keepNext w:val="0"/>
              <w:keepLines w:val="0"/>
              <w:pageBreakBefore w:val="0"/>
              <w:tabs>
                <w:tab w:val="left" w:pos="900"/>
              </w:tabs>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trHeight w:val="1561" w:hRule="exact"/>
        </w:trPr>
        <w:tc>
          <w:tcPr>
            <w:tcW w:w="84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jc w:val="center"/>
              <w:rPr>
                <w:rFonts w:asciiTheme="minorEastAsia" w:hAnsiTheme="minorEastAsia" w:eastAsiaTheme="minorEastAsia" w:cstheme="minorEastAsia"/>
                <w:sz w:val="21"/>
                <w:szCs w:val="21"/>
              </w:rPr>
            </w:pPr>
          </w:p>
          <w:p>
            <w:pPr>
              <w:pStyle w:val="45"/>
              <w:kinsoku w:val="0"/>
              <w:overflowPunct w:val="0"/>
              <w:spacing w:line="360" w:lineRule="auto"/>
              <w:jc w:val="center"/>
              <w:rPr>
                <w:rFonts w:asciiTheme="minorEastAsia" w:hAnsiTheme="minorEastAsia" w:eastAsiaTheme="minorEastAsia" w:cstheme="minorEastAsia"/>
                <w:sz w:val="21"/>
                <w:szCs w:val="21"/>
              </w:rPr>
            </w:pPr>
          </w:p>
          <w:p>
            <w:pPr>
              <w:pStyle w:val="45"/>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1.1.3</w:t>
            </w:r>
          </w:p>
        </w:tc>
        <w:tc>
          <w:tcPr>
            <w:tcW w:w="199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asciiTheme="minorEastAsia" w:hAnsiTheme="minorEastAsia" w:eastAsiaTheme="minorEastAsia" w:cstheme="minorEastAsia"/>
                <w:spacing w:val="-1"/>
                <w:sz w:val="21"/>
                <w:szCs w:val="21"/>
              </w:rPr>
            </w:pPr>
          </w:p>
          <w:p>
            <w:pPr>
              <w:pStyle w:val="45"/>
              <w:kinsoku w:val="0"/>
              <w:overflowPunct w:val="0"/>
              <w:spacing w:line="360" w:lineRule="auto"/>
              <w:rPr>
                <w:rFonts w:asciiTheme="minorEastAsia" w:hAnsiTheme="minorEastAsia" w:eastAsiaTheme="minorEastAsia" w:cstheme="minorEastAsia"/>
                <w:spacing w:val="-1"/>
                <w:sz w:val="21"/>
                <w:szCs w:val="21"/>
              </w:rPr>
            </w:pPr>
          </w:p>
          <w:p>
            <w:pPr>
              <w:pStyle w:val="45"/>
              <w:kinsoku w:val="0"/>
              <w:overflowPunct w:val="0"/>
              <w:spacing w:line="360" w:lineRule="auto"/>
              <w:rPr>
                <w:rFonts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招标代理机构</w:t>
            </w:r>
          </w:p>
        </w:tc>
        <w:tc>
          <w:tcPr>
            <w:tcW w:w="6480" w:type="dxa"/>
            <w:tcBorders>
              <w:top w:val="single" w:color="000000" w:sz="4" w:space="0"/>
              <w:left w:val="single" w:color="000000" w:sz="4" w:space="0"/>
              <w:bottom w:val="single" w:color="000000" w:sz="4" w:space="0"/>
              <w:right w:val="single" w:color="000000" w:sz="4" w:space="0"/>
              <w:tl2br w:val="nil"/>
              <w:tr2bl w:val="nil"/>
            </w:tcBorders>
            <w:noWrap/>
          </w:tcPr>
          <w:p>
            <w:pPr>
              <w:keepNext w:val="0"/>
              <w:keepLines w:val="0"/>
              <w:pageBreakBefore w:val="0"/>
              <w:tabs>
                <w:tab w:val="left" w:pos="900"/>
              </w:tabs>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代理机构：河南招标采购服务有限公司</w:t>
            </w:r>
          </w:p>
          <w:p>
            <w:pPr>
              <w:keepNext w:val="0"/>
              <w:keepLines w:val="0"/>
              <w:pageBreakBefore w:val="0"/>
              <w:tabs>
                <w:tab w:val="left" w:pos="900"/>
              </w:tabs>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联系人：</w:t>
            </w:r>
            <w:r>
              <w:rPr>
                <w:rFonts w:hint="eastAsia" w:asciiTheme="minorEastAsia" w:hAnsiTheme="minorEastAsia" w:eastAsiaTheme="minorEastAsia" w:cstheme="minorEastAsia"/>
                <w:sz w:val="21"/>
                <w:szCs w:val="21"/>
                <w:lang w:eastAsia="zh-CN"/>
              </w:rPr>
              <w:t>王春悦</w:t>
            </w:r>
          </w:p>
          <w:p>
            <w:pPr>
              <w:keepNext w:val="0"/>
              <w:keepLines w:val="0"/>
              <w:pageBreakBefore w:val="0"/>
              <w:tabs>
                <w:tab w:val="left" w:pos="900"/>
              </w:tabs>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15839918770 、0377-63533599</w:t>
            </w:r>
          </w:p>
          <w:p>
            <w:pPr>
              <w:pStyle w:val="45"/>
              <w:kinsoku w:val="0"/>
              <w:overflowPunct w:val="0"/>
              <w:spacing w:line="360" w:lineRule="auto"/>
              <w:ind w:left="-2" w:right="37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联系地址：郑州市纬四路13号</w:t>
            </w:r>
          </w:p>
        </w:tc>
      </w:tr>
      <w:tr>
        <w:tblPrEx>
          <w:tblCellMar>
            <w:top w:w="0" w:type="dxa"/>
            <w:left w:w="108" w:type="dxa"/>
            <w:bottom w:w="0" w:type="dxa"/>
            <w:right w:w="108" w:type="dxa"/>
          </w:tblCellMar>
        </w:tblPrEx>
        <w:trPr>
          <w:trHeight w:val="463" w:hRule="exact"/>
        </w:trPr>
        <w:tc>
          <w:tcPr>
            <w:tcW w:w="84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1.1.4</w:t>
            </w:r>
          </w:p>
        </w:tc>
        <w:tc>
          <w:tcPr>
            <w:tcW w:w="199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asciiTheme="minorEastAsia" w:hAnsiTheme="minorEastAsia" w:eastAsiaTheme="minorEastAsia" w:cstheme="minorEastAsia"/>
                <w:spacing w:val="-1"/>
                <w:sz w:val="21"/>
                <w:szCs w:val="21"/>
                <w:highlight w:val="none"/>
              </w:rPr>
            </w:pPr>
            <w:r>
              <w:rPr>
                <w:rFonts w:hint="eastAsia" w:asciiTheme="minorEastAsia" w:hAnsiTheme="minorEastAsia" w:eastAsiaTheme="minorEastAsia" w:cstheme="minorEastAsia"/>
                <w:spacing w:val="-1"/>
                <w:sz w:val="21"/>
                <w:szCs w:val="21"/>
                <w:highlight w:val="none"/>
              </w:rPr>
              <w:t>招标项目名称</w:t>
            </w:r>
          </w:p>
        </w:tc>
        <w:tc>
          <w:tcPr>
            <w:tcW w:w="64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both"/>
              <w:rPr>
                <w:rFonts w:hint="eastAsia" w:asciiTheme="minorEastAsia" w:hAnsiTheme="minorEastAsia" w:eastAsiaTheme="minorEastAsia" w:cstheme="minorEastAsia"/>
                <w:spacing w:val="-2"/>
                <w:sz w:val="21"/>
                <w:szCs w:val="21"/>
                <w:lang w:val="en-US" w:eastAsia="zh-CN" w:bidi="ar-SA"/>
              </w:rPr>
            </w:pPr>
            <w:r>
              <w:rPr>
                <w:rFonts w:hint="eastAsia" w:asciiTheme="minorEastAsia" w:hAnsiTheme="minorEastAsia" w:eastAsiaTheme="minorEastAsia" w:cstheme="minorEastAsia"/>
                <w:spacing w:val="-2"/>
                <w:sz w:val="21"/>
                <w:szCs w:val="21"/>
                <w:lang w:val="en-US" w:eastAsia="zh-CN" w:bidi="ar-SA"/>
              </w:rPr>
              <w:t>邓州市应急管理局救灾物资采购项目</w:t>
            </w:r>
          </w:p>
          <w:p>
            <w:pPr>
              <w:pStyle w:val="45"/>
              <w:kinsoku w:val="0"/>
              <w:overflowPunct w:val="0"/>
              <w:spacing w:line="360" w:lineRule="auto"/>
              <w:ind w:left="-2"/>
              <w:jc w:val="both"/>
              <w:rPr>
                <w:rFonts w:hint="eastAsia" w:asciiTheme="minorEastAsia" w:hAnsiTheme="minorEastAsia" w:eastAsiaTheme="minorEastAsia" w:cstheme="minorEastAsia"/>
                <w:spacing w:val="-2"/>
                <w:sz w:val="21"/>
                <w:szCs w:val="21"/>
                <w:lang w:val="en-US" w:eastAsia="zh-CN" w:bidi="ar-SA"/>
              </w:rPr>
            </w:pPr>
          </w:p>
        </w:tc>
      </w:tr>
      <w:tr>
        <w:tblPrEx>
          <w:tblCellMar>
            <w:top w:w="0" w:type="dxa"/>
            <w:left w:w="108" w:type="dxa"/>
            <w:bottom w:w="0" w:type="dxa"/>
            <w:right w:w="108" w:type="dxa"/>
          </w:tblCellMar>
        </w:tblPrEx>
        <w:trPr>
          <w:trHeight w:val="463" w:hRule="exact"/>
        </w:trPr>
        <w:tc>
          <w:tcPr>
            <w:tcW w:w="84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1.1.6</w:t>
            </w:r>
          </w:p>
        </w:tc>
        <w:tc>
          <w:tcPr>
            <w:tcW w:w="199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标包划分</w:t>
            </w:r>
          </w:p>
        </w:tc>
        <w:tc>
          <w:tcPr>
            <w:tcW w:w="64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本项目共分为一个标包</w:t>
            </w:r>
          </w:p>
        </w:tc>
      </w:tr>
      <w:tr>
        <w:tblPrEx>
          <w:tblCellMar>
            <w:top w:w="0" w:type="dxa"/>
            <w:left w:w="108" w:type="dxa"/>
            <w:bottom w:w="0" w:type="dxa"/>
            <w:right w:w="108" w:type="dxa"/>
          </w:tblCellMar>
        </w:tblPrEx>
        <w:trPr>
          <w:trHeight w:val="466" w:hRule="exact"/>
        </w:trPr>
        <w:tc>
          <w:tcPr>
            <w:tcW w:w="84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w:t>
            </w:r>
          </w:p>
        </w:tc>
        <w:tc>
          <w:tcPr>
            <w:tcW w:w="199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asciiTheme="minorEastAsia" w:hAnsiTheme="minorEastAsia" w:eastAsiaTheme="minorEastAsia" w:cstheme="minorEastAsia"/>
                <w:spacing w:val="-1"/>
                <w:sz w:val="21"/>
                <w:szCs w:val="21"/>
                <w:highlight w:val="none"/>
              </w:rPr>
            </w:pPr>
            <w:r>
              <w:rPr>
                <w:rFonts w:hint="eastAsia" w:asciiTheme="minorEastAsia" w:hAnsiTheme="minorEastAsia" w:eastAsiaTheme="minorEastAsia" w:cstheme="minorEastAsia"/>
                <w:spacing w:val="-1"/>
                <w:sz w:val="21"/>
                <w:szCs w:val="21"/>
                <w:highlight w:val="none"/>
              </w:rPr>
              <w:t>资金来源及比例</w:t>
            </w:r>
          </w:p>
        </w:tc>
        <w:tc>
          <w:tcPr>
            <w:tcW w:w="64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lang w:eastAsia="zh-CN"/>
              </w:rPr>
              <w:t>财政</w:t>
            </w:r>
            <w:r>
              <w:rPr>
                <w:rFonts w:hint="eastAsia" w:asciiTheme="minorEastAsia" w:hAnsiTheme="minorEastAsia" w:eastAsiaTheme="minorEastAsia" w:cstheme="minorEastAsia"/>
                <w:spacing w:val="-2"/>
                <w:sz w:val="21"/>
                <w:szCs w:val="21"/>
                <w:highlight w:val="none"/>
              </w:rPr>
              <w:t>资金，100%</w:t>
            </w:r>
          </w:p>
        </w:tc>
      </w:tr>
      <w:tr>
        <w:tblPrEx>
          <w:tblCellMar>
            <w:top w:w="0" w:type="dxa"/>
            <w:left w:w="108" w:type="dxa"/>
            <w:bottom w:w="0" w:type="dxa"/>
            <w:right w:w="108" w:type="dxa"/>
          </w:tblCellMar>
        </w:tblPrEx>
        <w:trPr>
          <w:trHeight w:val="463" w:hRule="exact"/>
        </w:trPr>
        <w:tc>
          <w:tcPr>
            <w:tcW w:w="84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1.2.2</w:t>
            </w:r>
          </w:p>
        </w:tc>
        <w:tc>
          <w:tcPr>
            <w:tcW w:w="199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资金落实情况</w:t>
            </w:r>
          </w:p>
        </w:tc>
        <w:tc>
          <w:tcPr>
            <w:tcW w:w="64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已落实</w:t>
            </w:r>
          </w:p>
        </w:tc>
      </w:tr>
      <w:tr>
        <w:tblPrEx>
          <w:tblCellMar>
            <w:top w:w="0" w:type="dxa"/>
            <w:left w:w="108" w:type="dxa"/>
            <w:bottom w:w="0" w:type="dxa"/>
            <w:right w:w="108" w:type="dxa"/>
          </w:tblCellMar>
        </w:tblPrEx>
        <w:trPr>
          <w:trHeight w:val="392" w:hRule="exact"/>
        </w:trPr>
        <w:tc>
          <w:tcPr>
            <w:tcW w:w="84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1.3.2</w:t>
            </w:r>
          </w:p>
        </w:tc>
        <w:tc>
          <w:tcPr>
            <w:tcW w:w="199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交货期</w:t>
            </w:r>
          </w:p>
        </w:tc>
        <w:tc>
          <w:tcPr>
            <w:tcW w:w="64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合同签订后</w:t>
            </w:r>
            <w:r>
              <w:rPr>
                <w:rFonts w:hint="eastAsia" w:asciiTheme="minorEastAsia" w:hAnsiTheme="minorEastAsia" w:eastAsiaTheme="minorEastAsia" w:cstheme="minorEastAsia"/>
                <w:color w:val="auto"/>
                <w:spacing w:val="-1"/>
                <w:sz w:val="21"/>
                <w:szCs w:val="21"/>
                <w:highlight w:val="none"/>
                <w:lang w:val="en-US" w:eastAsia="zh-CN"/>
              </w:rPr>
              <w:t>7</w:t>
            </w:r>
            <w:r>
              <w:rPr>
                <w:rFonts w:hint="eastAsia" w:asciiTheme="minorEastAsia" w:hAnsiTheme="minorEastAsia" w:eastAsiaTheme="minorEastAsia" w:cstheme="minorEastAsia"/>
                <w:color w:val="auto"/>
                <w:spacing w:val="-1"/>
                <w:sz w:val="21"/>
                <w:szCs w:val="21"/>
                <w:highlight w:val="none"/>
              </w:rPr>
              <w:t>日历天内完成供货</w:t>
            </w:r>
          </w:p>
        </w:tc>
      </w:tr>
      <w:tr>
        <w:tblPrEx>
          <w:tblCellMar>
            <w:top w:w="0" w:type="dxa"/>
            <w:left w:w="108" w:type="dxa"/>
            <w:bottom w:w="0" w:type="dxa"/>
            <w:right w:w="108" w:type="dxa"/>
          </w:tblCellMar>
        </w:tblPrEx>
        <w:trPr>
          <w:trHeight w:val="463" w:hRule="exact"/>
        </w:trPr>
        <w:tc>
          <w:tcPr>
            <w:tcW w:w="84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w:t>
            </w:r>
          </w:p>
        </w:tc>
        <w:tc>
          <w:tcPr>
            <w:tcW w:w="199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asciiTheme="minorEastAsia" w:hAnsiTheme="minorEastAsia" w:eastAsiaTheme="minorEastAsia" w:cstheme="minorEastAsia"/>
                <w:color w:val="auto"/>
                <w:spacing w:val="-1"/>
                <w:sz w:val="21"/>
                <w:szCs w:val="21"/>
              </w:rPr>
            </w:pPr>
            <w:r>
              <w:rPr>
                <w:rFonts w:hint="eastAsia" w:asciiTheme="minorEastAsia" w:hAnsiTheme="minorEastAsia" w:eastAsiaTheme="minorEastAsia" w:cstheme="minorEastAsia"/>
                <w:color w:val="auto"/>
                <w:spacing w:val="-1"/>
                <w:sz w:val="21"/>
                <w:szCs w:val="21"/>
              </w:rPr>
              <w:t>交货地点</w:t>
            </w:r>
          </w:p>
        </w:tc>
        <w:tc>
          <w:tcPr>
            <w:tcW w:w="64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招标人指定地点</w:t>
            </w:r>
          </w:p>
        </w:tc>
      </w:tr>
      <w:tr>
        <w:tblPrEx>
          <w:tblCellMar>
            <w:top w:w="0" w:type="dxa"/>
            <w:left w:w="108" w:type="dxa"/>
            <w:bottom w:w="0" w:type="dxa"/>
            <w:right w:w="108" w:type="dxa"/>
          </w:tblCellMar>
        </w:tblPrEx>
        <w:trPr>
          <w:trHeight w:val="418" w:hRule="exact"/>
        </w:trPr>
        <w:tc>
          <w:tcPr>
            <w:tcW w:w="84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1.3.4</w:t>
            </w:r>
          </w:p>
        </w:tc>
        <w:tc>
          <w:tcPr>
            <w:tcW w:w="199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技术性能指标</w:t>
            </w:r>
          </w:p>
        </w:tc>
        <w:tc>
          <w:tcPr>
            <w:tcW w:w="64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详见第五章“采购需求”</w:t>
            </w:r>
          </w:p>
        </w:tc>
      </w:tr>
      <w:tr>
        <w:tblPrEx>
          <w:tblCellMar>
            <w:top w:w="0" w:type="dxa"/>
            <w:left w:w="108" w:type="dxa"/>
            <w:bottom w:w="0" w:type="dxa"/>
            <w:right w:w="108" w:type="dxa"/>
          </w:tblCellMar>
        </w:tblPrEx>
        <w:trPr>
          <w:trHeight w:val="463" w:hRule="exact"/>
        </w:trPr>
        <w:tc>
          <w:tcPr>
            <w:tcW w:w="84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1.3.5</w:t>
            </w:r>
          </w:p>
        </w:tc>
        <w:tc>
          <w:tcPr>
            <w:tcW w:w="199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质保期</w:t>
            </w:r>
          </w:p>
        </w:tc>
        <w:tc>
          <w:tcPr>
            <w:tcW w:w="64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
              <w:rPr>
                <w:rFonts w:hint="eastAsia" w:eastAsia="宋体" w:asciiTheme="minorEastAsia" w:hAnsi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rPr>
              <w:t>产品验收合格双方签字之日</w:t>
            </w:r>
            <w:r>
              <w:rPr>
                <w:rFonts w:hint="eastAsia" w:asciiTheme="minorEastAsia" w:hAnsiTheme="minorEastAsia" w:eastAsiaTheme="minorEastAsia" w:cstheme="minorEastAsia"/>
                <w:color w:val="auto"/>
                <w:spacing w:val="-2"/>
                <w:sz w:val="21"/>
                <w:szCs w:val="21"/>
                <w:highlight w:val="none"/>
                <w:lang w:eastAsia="zh-CN"/>
              </w:rPr>
              <w:t>起</w:t>
            </w:r>
            <w:r>
              <w:rPr>
                <w:rFonts w:hint="eastAsia" w:asciiTheme="minorEastAsia" w:hAnsiTheme="minorEastAsia" w:eastAsiaTheme="minorEastAsia" w:cstheme="minorEastAsia"/>
                <w:color w:val="auto"/>
                <w:spacing w:val="-2"/>
                <w:sz w:val="21"/>
                <w:szCs w:val="21"/>
                <w:highlight w:val="none"/>
              </w:rPr>
              <w:t>一</w:t>
            </w:r>
            <w:r>
              <w:rPr>
                <w:rFonts w:hint="eastAsia" w:asciiTheme="minorEastAsia" w:hAnsiTheme="minorEastAsia" w:eastAsiaTheme="minorEastAsia" w:cstheme="minorEastAsia"/>
                <w:color w:val="auto"/>
                <w:spacing w:val="-2"/>
                <w:sz w:val="21"/>
                <w:szCs w:val="21"/>
                <w:highlight w:val="none"/>
                <w:lang w:eastAsia="zh-CN"/>
              </w:rPr>
              <w:t>年</w:t>
            </w:r>
          </w:p>
        </w:tc>
      </w:tr>
      <w:tr>
        <w:tblPrEx>
          <w:tblCellMar>
            <w:top w:w="0" w:type="dxa"/>
            <w:left w:w="108" w:type="dxa"/>
            <w:bottom w:w="0" w:type="dxa"/>
            <w:right w:w="108" w:type="dxa"/>
          </w:tblCellMar>
        </w:tblPrEx>
        <w:trPr>
          <w:trHeight w:val="384" w:hRule="exact"/>
        </w:trPr>
        <w:tc>
          <w:tcPr>
            <w:tcW w:w="847" w:type="dxa"/>
            <w:tcBorders>
              <w:top w:val="single" w:color="000000" w:sz="4" w:space="0"/>
              <w:left w:val="single" w:color="000000" w:sz="4" w:space="0"/>
              <w:bottom w:val="single" w:color="auto" w:sz="4" w:space="0"/>
              <w:right w:val="single" w:color="000000" w:sz="4" w:space="0"/>
              <w:tl2br w:val="nil"/>
              <w:tr2bl w:val="nil"/>
            </w:tcBorders>
            <w:noWrap/>
          </w:tcPr>
          <w:p>
            <w:pPr>
              <w:pStyle w:val="45"/>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1.3.6</w:t>
            </w:r>
          </w:p>
        </w:tc>
        <w:tc>
          <w:tcPr>
            <w:tcW w:w="1995" w:type="dxa"/>
            <w:tcBorders>
              <w:top w:val="single" w:color="000000" w:sz="4" w:space="0"/>
              <w:left w:val="single" w:color="000000" w:sz="4" w:space="0"/>
              <w:bottom w:val="single" w:color="auto" w:sz="4" w:space="0"/>
              <w:right w:val="single" w:color="000000" w:sz="4" w:space="0"/>
              <w:tl2br w:val="nil"/>
              <w:tr2bl w:val="nil"/>
            </w:tcBorders>
            <w:noWrap/>
          </w:tcPr>
          <w:p>
            <w:pPr>
              <w:pStyle w:val="45"/>
              <w:kinsoku w:val="0"/>
              <w:overflowPunct w:val="0"/>
              <w:spacing w:line="360" w:lineRule="auto"/>
              <w:rPr>
                <w:rFonts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质量要求</w:t>
            </w:r>
          </w:p>
        </w:tc>
        <w:tc>
          <w:tcPr>
            <w:tcW w:w="64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highlight w:val="none"/>
              </w:rPr>
              <w:t>满足国家及行业合格标准</w:t>
            </w:r>
          </w:p>
        </w:tc>
      </w:tr>
      <w:tr>
        <w:tblPrEx>
          <w:tblCellMar>
            <w:top w:w="0" w:type="dxa"/>
            <w:left w:w="108" w:type="dxa"/>
            <w:bottom w:w="0" w:type="dxa"/>
            <w:right w:w="108" w:type="dxa"/>
          </w:tblCellMar>
        </w:tblPrEx>
        <w:trPr>
          <w:trHeight w:val="9360" w:hRule="exact"/>
        </w:trPr>
        <w:tc>
          <w:tcPr>
            <w:tcW w:w="847" w:type="dxa"/>
            <w:tcBorders>
              <w:top w:val="single" w:color="auto" w:sz="4" w:space="0"/>
              <w:left w:val="single" w:color="auto" w:sz="4" w:space="0"/>
              <w:right w:val="single" w:color="000000" w:sz="4" w:space="0"/>
              <w:tl2br w:val="nil"/>
              <w:tr2bl w:val="nil"/>
            </w:tcBorders>
            <w:noWrap/>
          </w:tcPr>
          <w:p>
            <w:pPr>
              <w:pStyle w:val="45"/>
              <w:kinsoku w:val="0"/>
              <w:overflowPunct w:val="0"/>
              <w:spacing w:line="360" w:lineRule="auto"/>
              <w:jc w:val="center"/>
              <w:rPr>
                <w:rFonts w:asciiTheme="minorEastAsia" w:hAnsiTheme="minorEastAsia" w:eastAsiaTheme="minorEastAsia" w:cstheme="minorEastAsia"/>
                <w:sz w:val="21"/>
                <w:szCs w:val="21"/>
              </w:rPr>
            </w:pPr>
          </w:p>
          <w:p>
            <w:pPr>
              <w:pStyle w:val="45"/>
              <w:kinsoku w:val="0"/>
              <w:overflowPunct w:val="0"/>
              <w:spacing w:line="360" w:lineRule="auto"/>
              <w:jc w:val="center"/>
              <w:rPr>
                <w:rFonts w:asciiTheme="minorEastAsia" w:hAnsiTheme="minorEastAsia" w:eastAsiaTheme="minorEastAsia" w:cstheme="minorEastAsia"/>
                <w:sz w:val="21"/>
                <w:szCs w:val="21"/>
              </w:rPr>
            </w:pPr>
          </w:p>
          <w:p>
            <w:pPr>
              <w:pStyle w:val="45"/>
              <w:kinsoku w:val="0"/>
              <w:overflowPunct w:val="0"/>
              <w:spacing w:line="360" w:lineRule="auto"/>
              <w:jc w:val="center"/>
              <w:rPr>
                <w:rFonts w:asciiTheme="minorEastAsia" w:hAnsiTheme="minorEastAsia" w:eastAsiaTheme="minorEastAsia" w:cstheme="minorEastAsia"/>
                <w:sz w:val="21"/>
                <w:szCs w:val="21"/>
              </w:rPr>
            </w:pPr>
          </w:p>
          <w:p>
            <w:pPr>
              <w:pStyle w:val="45"/>
              <w:kinsoku w:val="0"/>
              <w:overflowPunct w:val="0"/>
              <w:spacing w:line="360" w:lineRule="auto"/>
              <w:jc w:val="center"/>
              <w:rPr>
                <w:rFonts w:asciiTheme="minorEastAsia" w:hAnsiTheme="minorEastAsia" w:eastAsiaTheme="minorEastAsia" w:cstheme="minorEastAsia"/>
                <w:sz w:val="21"/>
                <w:szCs w:val="21"/>
              </w:rPr>
            </w:pPr>
          </w:p>
          <w:p>
            <w:pPr>
              <w:pStyle w:val="45"/>
              <w:kinsoku w:val="0"/>
              <w:overflowPunct w:val="0"/>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w:t>
            </w:r>
          </w:p>
        </w:tc>
        <w:tc>
          <w:tcPr>
            <w:tcW w:w="1995" w:type="dxa"/>
            <w:tcBorders>
              <w:top w:val="single" w:color="auto" w:sz="4" w:space="0"/>
              <w:left w:val="single" w:color="000000" w:sz="4" w:space="0"/>
              <w:right w:val="single" w:color="auto" w:sz="4" w:space="0"/>
              <w:tl2br w:val="nil"/>
              <w:tr2bl w:val="nil"/>
            </w:tcBorders>
            <w:noWrap/>
          </w:tcPr>
          <w:p>
            <w:pPr>
              <w:pStyle w:val="45"/>
              <w:kinsoku w:val="0"/>
              <w:overflowPunct w:val="0"/>
              <w:spacing w:line="360" w:lineRule="auto"/>
              <w:rPr>
                <w:rFonts w:asciiTheme="minorEastAsia" w:hAnsiTheme="minorEastAsia" w:eastAsiaTheme="minorEastAsia" w:cstheme="minorEastAsia"/>
                <w:spacing w:val="-1"/>
                <w:sz w:val="21"/>
                <w:szCs w:val="21"/>
                <w:highlight w:val="none"/>
              </w:rPr>
            </w:pPr>
          </w:p>
          <w:p>
            <w:pPr>
              <w:pStyle w:val="45"/>
              <w:kinsoku w:val="0"/>
              <w:overflowPunct w:val="0"/>
              <w:spacing w:line="360" w:lineRule="auto"/>
              <w:rPr>
                <w:rFonts w:asciiTheme="minorEastAsia" w:hAnsiTheme="minorEastAsia" w:eastAsiaTheme="minorEastAsia" w:cstheme="minorEastAsia"/>
                <w:spacing w:val="-1"/>
                <w:sz w:val="21"/>
                <w:szCs w:val="21"/>
                <w:highlight w:val="none"/>
              </w:rPr>
            </w:pPr>
          </w:p>
          <w:p>
            <w:pPr>
              <w:pStyle w:val="45"/>
              <w:kinsoku w:val="0"/>
              <w:overflowPunct w:val="0"/>
              <w:spacing w:line="360" w:lineRule="auto"/>
              <w:rPr>
                <w:rFonts w:asciiTheme="minorEastAsia" w:hAnsiTheme="minorEastAsia" w:eastAsiaTheme="minorEastAsia" w:cstheme="minorEastAsia"/>
                <w:spacing w:val="-1"/>
                <w:sz w:val="21"/>
                <w:szCs w:val="21"/>
                <w:highlight w:val="none"/>
              </w:rPr>
            </w:pPr>
          </w:p>
          <w:p>
            <w:pPr>
              <w:pStyle w:val="45"/>
              <w:kinsoku w:val="0"/>
              <w:overflowPunct w:val="0"/>
              <w:spacing w:line="360" w:lineRule="auto"/>
              <w:rPr>
                <w:rFonts w:asciiTheme="minorEastAsia" w:hAnsiTheme="minorEastAsia" w:eastAsiaTheme="minorEastAsia" w:cstheme="minorEastAsia"/>
                <w:spacing w:val="-1"/>
                <w:sz w:val="21"/>
                <w:szCs w:val="21"/>
                <w:highlight w:val="none"/>
              </w:rPr>
            </w:pPr>
          </w:p>
          <w:p>
            <w:pPr>
              <w:pStyle w:val="45"/>
              <w:kinsoku w:val="0"/>
              <w:overflowPunct w:val="0"/>
              <w:spacing w:line="360" w:lineRule="auto"/>
              <w:rPr>
                <w:rFonts w:asciiTheme="minorEastAsia" w:hAnsiTheme="minorEastAsia" w:eastAsiaTheme="minorEastAsia" w:cstheme="minorEastAsia"/>
                <w:spacing w:val="-1"/>
                <w:sz w:val="21"/>
                <w:szCs w:val="21"/>
                <w:highlight w:val="none"/>
              </w:rPr>
            </w:pPr>
          </w:p>
          <w:p>
            <w:pPr>
              <w:pStyle w:val="45"/>
              <w:kinsoku w:val="0"/>
              <w:overflowPunct w:val="0"/>
              <w:spacing w:line="360" w:lineRule="auto"/>
              <w:rPr>
                <w:rFonts w:asciiTheme="minorEastAsia" w:hAnsiTheme="minorEastAsia" w:eastAsiaTheme="minorEastAsia" w:cstheme="minorEastAsia"/>
                <w:spacing w:val="-1"/>
                <w:sz w:val="21"/>
                <w:szCs w:val="21"/>
                <w:highlight w:val="none"/>
              </w:rPr>
            </w:pPr>
            <w:r>
              <w:rPr>
                <w:rFonts w:hint="eastAsia" w:asciiTheme="minorEastAsia" w:hAnsiTheme="minorEastAsia" w:eastAsiaTheme="minorEastAsia" w:cstheme="minorEastAsia"/>
                <w:spacing w:val="-1"/>
                <w:sz w:val="21"/>
                <w:szCs w:val="21"/>
                <w:highlight w:val="none"/>
              </w:rPr>
              <w:t>投标人资格要求</w:t>
            </w:r>
          </w:p>
        </w:tc>
        <w:tc>
          <w:tcPr>
            <w:tcW w:w="6480" w:type="dxa"/>
            <w:tcBorders>
              <w:top w:val="single" w:color="000000" w:sz="4" w:space="0"/>
              <w:left w:val="single" w:color="auto" w:sz="4" w:space="0"/>
              <w:bottom w:val="single" w:color="000000" w:sz="4" w:space="0"/>
              <w:right w:val="single" w:color="000000" w:sz="4" w:space="0"/>
              <w:tl2br w:val="nil"/>
              <w:tr2bl w:val="nil"/>
            </w:tcBorders>
            <w:noWrap/>
          </w:tcPr>
          <w:p>
            <w:pPr>
              <w:keepNext w:val="0"/>
              <w:keepLines w:val="0"/>
              <w:pageBreakBefore w:val="0"/>
              <w:kinsoku/>
              <w:wordWrap/>
              <w:overflowPunct/>
              <w:topLinePunct w:val="0"/>
              <w:autoSpaceDE/>
              <w:autoSpaceDN/>
              <w:bidi w:val="0"/>
              <w:adjustRightInd w:val="0"/>
              <w:spacing w:line="480" w:lineRule="exact"/>
              <w:ind w:firstLine="412" w:firstLineChars="200"/>
              <w:textAlignment w:val="auto"/>
              <w:rPr>
                <w:rFonts w:hint="eastAsia" w:ascii="宋体" w:hAnsi="宋体" w:eastAsia="宋体" w:cs="Times New Roman"/>
                <w:spacing w:val="-2"/>
                <w:sz w:val="21"/>
                <w:szCs w:val="22"/>
                <w:highlight w:val="none"/>
                <w:lang w:val="en-US" w:eastAsia="zh-CN" w:bidi="ar-SA"/>
              </w:rPr>
            </w:pPr>
            <w:r>
              <w:rPr>
                <w:rFonts w:hint="eastAsia" w:ascii="宋体" w:hAnsi="宋体" w:eastAsia="宋体" w:cs="Times New Roman"/>
                <w:spacing w:val="-2"/>
                <w:sz w:val="21"/>
                <w:szCs w:val="22"/>
                <w:highlight w:val="none"/>
                <w:lang w:val="en-US" w:eastAsia="zh-CN" w:bidi="ar-SA"/>
              </w:rPr>
              <w:t>1、符合《中华人民共和国政府采购法》第二十二条、《中华人民共和国政府采购法实施条例》第十七条规定。</w:t>
            </w:r>
          </w:p>
          <w:p>
            <w:pPr>
              <w:keepNext w:val="0"/>
              <w:keepLines w:val="0"/>
              <w:pageBreakBefore w:val="0"/>
              <w:kinsoku/>
              <w:wordWrap/>
              <w:overflowPunct/>
              <w:topLinePunct w:val="0"/>
              <w:autoSpaceDE/>
              <w:autoSpaceDN/>
              <w:bidi w:val="0"/>
              <w:adjustRightInd w:val="0"/>
              <w:spacing w:line="480" w:lineRule="exact"/>
              <w:ind w:firstLine="412" w:firstLineChars="200"/>
              <w:textAlignment w:val="auto"/>
              <w:rPr>
                <w:rFonts w:hint="eastAsia" w:ascii="宋体" w:hAnsi="宋体" w:eastAsia="宋体" w:cs="Times New Roman"/>
                <w:spacing w:val="-2"/>
                <w:sz w:val="21"/>
                <w:szCs w:val="22"/>
                <w:highlight w:val="none"/>
                <w:lang w:val="en-US" w:eastAsia="zh-CN" w:bidi="ar-SA"/>
              </w:rPr>
            </w:pPr>
            <w:r>
              <w:rPr>
                <w:rFonts w:hint="eastAsia" w:ascii="宋体" w:hAnsi="宋体" w:eastAsia="宋体" w:cs="Times New Roman"/>
                <w:spacing w:val="-2"/>
                <w:sz w:val="21"/>
                <w:szCs w:val="22"/>
                <w:highlight w:val="none"/>
                <w:lang w:val="en-US" w:eastAsia="zh-CN" w:bidi="ar-SA"/>
              </w:rPr>
              <w:t xml:space="preserve">2、投标人须具有独立法人资格，且持有有效的营业执照、组织机构代码证、税务登记证或提供有效的三证合一的营业执照； </w:t>
            </w:r>
          </w:p>
          <w:p>
            <w:pPr>
              <w:keepNext w:val="0"/>
              <w:keepLines w:val="0"/>
              <w:pageBreakBefore w:val="0"/>
              <w:kinsoku/>
              <w:wordWrap/>
              <w:overflowPunct/>
              <w:topLinePunct w:val="0"/>
              <w:autoSpaceDE/>
              <w:autoSpaceDN/>
              <w:bidi w:val="0"/>
              <w:adjustRightInd w:val="0"/>
              <w:spacing w:line="480" w:lineRule="exact"/>
              <w:ind w:firstLine="412" w:firstLineChars="200"/>
              <w:textAlignment w:val="auto"/>
              <w:rPr>
                <w:rFonts w:hint="eastAsia" w:ascii="宋体" w:hAnsi="宋体" w:eastAsia="宋体" w:cs="Times New Roman"/>
                <w:spacing w:val="-2"/>
                <w:sz w:val="21"/>
                <w:szCs w:val="22"/>
                <w:highlight w:val="none"/>
                <w:lang w:val="en-US" w:eastAsia="zh-CN" w:bidi="ar-SA"/>
              </w:rPr>
            </w:pPr>
            <w:r>
              <w:rPr>
                <w:rFonts w:hint="eastAsia" w:ascii="宋体" w:hAnsi="宋体" w:eastAsia="宋体" w:cs="Times New Roman"/>
                <w:spacing w:val="-2"/>
                <w:sz w:val="21"/>
                <w:szCs w:val="22"/>
                <w:highlight w:val="none"/>
                <w:lang w:val="en-US" w:eastAsia="zh-CN" w:bidi="ar-SA"/>
              </w:rPr>
              <w:t>3、投标人具有良好的商业信誉和健全的财务会计制度（提供 2017 年度和 2018 年度经会计师事务所审计出具的财务报告或基本账户开户银行出具的资信证明，新注册企业按实际成立年限提供；若成立不足一年的不提供）；提供 2019 年 1 月以来任意连续 3 个月份依法缴纳税收和社会保障资金的证明资料；</w:t>
            </w:r>
          </w:p>
          <w:p>
            <w:pPr>
              <w:keepNext w:val="0"/>
              <w:keepLines w:val="0"/>
              <w:pageBreakBefore w:val="0"/>
              <w:kinsoku/>
              <w:wordWrap/>
              <w:overflowPunct/>
              <w:topLinePunct w:val="0"/>
              <w:autoSpaceDE/>
              <w:autoSpaceDN/>
              <w:bidi w:val="0"/>
              <w:adjustRightInd w:val="0"/>
              <w:spacing w:line="480" w:lineRule="exact"/>
              <w:ind w:firstLine="412" w:firstLineChars="200"/>
              <w:textAlignment w:val="auto"/>
              <w:rPr>
                <w:rFonts w:hint="eastAsia" w:ascii="宋体" w:hAnsi="宋体" w:eastAsia="宋体" w:cs="Times New Roman"/>
                <w:spacing w:val="-2"/>
                <w:sz w:val="21"/>
                <w:szCs w:val="22"/>
                <w:highlight w:val="none"/>
                <w:lang w:val="en-US" w:eastAsia="zh-CN" w:bidi="ar-SA"/>
              </w:rPr>
            </w:pPr>
            <w:r>
              <w:rPr>
                <w:rFonts w:hint="eastAsia" w:ascii="宋体" w:hAnsi="宋体" w:eastAsia="宋体" w:cs="Times New Roman"/>
                <w:spacing w:val="-2"/>
                <w:sz w:val="21"/>
                <w:szCs w:val="22"/>
                <w:highlight w:val="none"/>
                <w:lang w:val="en-US" w:eastAsia="zh-CN" w:bidi="ar-SA"/>
              </w:rPr>
              <w:t>4、参加政府采购活动前三年内，在经营活动中没有重大违法记录。（投标人需提供近三年无重大违法记录的书面声明。）</w:t>
            </w:r>
          </w:p>
          <w:p>
            <w:pPr>
              <w:keepNext w:val="0"/>
              <w:keepLines w:val="0"/>
              <w:pageBreakBefore w:val="0"/>
              <w:kinsoku/>
              <w:wordWrap/>
              <w:overflowPunct/>
              <w:topLinePunct w:val="0"/>
              <w:autoSpaceDE/>
              <w:autoSpaceDN/>
              <w:bidi w:val="0"/>
              <w:adjustRightInd w:val="0"/>
              <w:spacing w:line="480" w:lineRule="exact"/>
              <w:ind w:firstLine="412" w:firstLineChars="200"/>
              <w:textAlignment w:val="auto"/>
              <w:rPr>
                <w:rFonts w:hint="eastAsia" w:ascii="宋体" w:hAnsi="宋体" w:eastAsia="宋体" w:cs="Times New Roman"/>
                <w:spacing w:val="-2"/>
                <w:sz w:val="21"/>
                <w:szCs w:val="22"/>
                <w:highlight w:val="none"/>
                <w:lang w:val="en-US" w:eastAsia="zh-CN" w:bidi="ar-SA"/>
              </w:rPr>
            </w:pPr>
            <w:r>
              <w:rPr>
                <w:rFonts w:hint="eastAsia" w:ascii="宋体" w:hAnsi="宋体" w:eastAsia="宋体" w:cs="Times New Roman"/>
                <w:spacing w:val="-2"/>
                <w:sz w:val="21"/>
                <w:szCs w:val="22"/>
                <w:highlight w:val="none"/>
                <w:lang w:val="en-US" w:eastAsia="zh-CN" w:bidi="ar-SA"/>
              </w:rPr>
              <w:t>5、根据《关于在政府采购活动中查询及使用信用记录有关问题的通知》(财库[2016]125号)的规定，对列入“信用中国”网站（www.creditchina.gov.cn）的“失信被执行人”、“重大税收违法案件当事人名单”及“中国政府采购”网站(www.ccgp.gov.cn)的“政府采购严重违法失信行为记录名单”的供应商，将拒绝其参加政府采购活动；</w:t>
            </w:r>
          </w:p>
          <w:p>
            <w:pPr>
              <w:keepNext w:val="0"/>
              <w:keepLines w:val="0"/>
              <w:pageBreakBefore w:val="0"/>
              <w:kinsoku/>
              <w:wordWrap/>
              <w:overflowPunct/>
              <w:topLinePunct w:val="0"/>
              <w:autoSpaceDE/>
              <w:autoSpaceDN/>
              <w:bidi w:val="0"/>
              <w:adjustRightInd w:val="0"/>
              <w:spacing w:line="480" w:lineRule="exact"/>
              <w:ind w:firstLine="412" w:firstLineChars="200"/>
              <w:textAlignment w:val="auto"/>
              <w:rPr>
                <w:rFonts w:hint="eastAsia" w:ascii="宋体" w:hAnsi="宋体" w:eastAsia="宋体" w:cs="Times New Roman"/>
                <w:spacing w:val="-2"/>
                <w:sz w:val="21"/>
                <w:szCs w:val="22"/>
                <w:highlight w:val="none"/>
                <w:lang w:val="en-US" w:eastAsia="zh-CN" w:bidi="ar-SA"/>
              </w:rPr>
            </w:pPr>
            <w:r>
              <w:rPr>
                <w:rFonts w:hint="eastAsia" w:ascii="宋体" w:hAnsi="宋体" w:eastAsia="宋体" w:cs="Times New Roman"/>
                <w:spacing w:val="-2"/>
                <w:sz w:val="21"/>
                <w:szCs w:val="22"/>
                <w:highlight w:val="none"/>
                <w:lang w:val="en-US" w:eastAsia="zh-CN" w:bidi="ar-SA"/>
              </w:rPr>
              <w:t>6、本次招标不接受联合体投标，中标后不得分包与转包。</w:t>
            </w:r>
          </w:p>
          <w:p>
            <w:pPr>
              <w:keepNext w:val="0"/>
              <w:keepLines w:val="0"/>
              <w:pageBreakBefore w:val="0"/>
              <w:widowControl/>
              <w:kinsoku/>
              <w:wordWrap/>
              <w:overflowPunct/>
              <w:topLinePunct w:val="0"/>
              <w:autoSpaceDE/>
              <w:autoSpaceDN/>
              <w:bidi w:val="0"/>
              <w:adjustRightInd w:val="0"/>
              <w:spacing w:line="480" w:lineRule="exact"/>
              <w:ind w:firstLine="412" w:firstLineChars="200"/>
              <w:textAlignment w:val="auto"/>
              <w:rPr>
                <w:rFonts w:hint="eastAsia" w:ascii="宋体" w:hAnsi="宋体" w:eastAsia="宋体" w:cs="Times New Roman"/>
                <w:spacing w:val="-2"/>
                <w:sz w:val="21"/>
                <w:szCs w:val="22"/>
                <w:highlight w:val="none"/>
                <w:lang w:val="en-US" w:eastAsia="zh-CN" w:bidi="ar-SA"/>
              </w:rPr>
            </w:pPr>
            <w:r>
              <w:rPr>
                <w:rFonts w:hint="eastAsia" w:ascii="宋体" w:hAnsi="宋体" w:eastAsia="宋体" w:cs="Times New Roman"/>
                <w:spacing w:val="-2"/>
                <w:sz w:val="21"/>
                <w:szCs w:val="22"/>
                <w:highlight w:val="none"/>
                <w:lang w:val="en-US" w:eastAsia="zh-CN" w:bidi="ar-SA"/>
              </w:rPr>
              <w:t>7、相关法律、法规规定的其他条件。</w:t>
            </w:r>
          </w:p>
          <w:p>
            <w:pPr>
              <w:pStyle w:val="45"/>
              <w:kinsoku w:val="0"/>
              <w:overflowPunct w:val="0"/>
              <w:spacing w:line="360" w:lineRule="auto"/>
              <w:ind w:left="-2"/>
              <w:rPr>
                <w:rFonts w:hint="eastAsia" w:ascii="宋体" w:hAnsi="宋体" w:eastAsia="宋体" w:cs="Times New Roman"/>
                <w:spacing w:val="-2"/>
                <w:sz w:val="21"/>
                <w:szCs w:val="22"/>
                <w:highlight w:val="none"/>
                <w:lang w:val="en-US" w:eastAsia="zh-CN" w:bidi="ar-SA"/>
              </w:rPr>
            </w:pPr>
          </w:p>
        </w:tc>
      </w:tr>
      <w:tr>
        <w:tblPrEx>
          <w:tblCellMar>
            <w:top w:w="0" w:type="dxa"/>
            <w:left w:w="108" w:type="dxa"/>
            <w:bottom w:w="0" w:type="dxa"/>
            <w:right w:w="108" w:type="dxa"/>
          </w:tblCellMar>
        </w:tblPrEx>
        <w:trPr>
          <w:trHeight w:val="701" w:hRule="exact"/>
        </w:trPr>
        <w:tc>
          <w:tcPr>
            <w:tcW w:w="84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eastAsia="Calibri"/>
                <w:spacing w:val="-1"/>
                <w:sz w:val="21"/>
              </w:rPr>
              <w:t>1.4.2</w:t>
            </w:r>
          </w:p>
        </w:tc>
        <w:tc>
          <w:tcPr>
            <w:tcW w:w="199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hint="eastAsia" w:ascii="宋体" w:hAnsi="宋体"/>
                <w:spacing w:val="-3"/>
                <w:sz w:val="21"/>
              </w:rPr>
              <w:t>是否接受联合体投标</w:t>
            </w:r>
          </w:p>
        </w:tc>
        <w:tc>
          <w:tcPr>
            <w:tcW w:w="64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102"/>
              <w:jc w:val="both"/>
            </w:pPr>
            <w:r>
              <w:rPr>
                <w:rFonts w:hint="eastAsia" w:ascii="宋体" w:hAnsi="宋体"/>
                <w:sz w:val="21"/>
              </w:rPr>
              <w:t>不接受</w:t>
            </w:r>
          </w:p>
        </w:tc>
      </w:tr>
      <w:tr>
        <w:tblPrEx>
          <w:tblCellMar>
            <w:top w:w="0" w:type="dxa"/>
            <w:left w:w="108" w:type="dxa"/>
            <w:bottom w:w="0" w:type="dxa"/>
            <w:right w:w="108" w:type="dxa"/>
          </w:tblCellMar>
        </w:tblPrEx>
        <w:trPr>
          <w:trHeight w:val="713" w:hRule="exact"/>
        </w:trPr>
        <w:tc>
          <w:tcPr>
            <w:tcW w:w="84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eastAsia="Calibri"/>
                <w:spacing w:val="-1"/>
                <w:sz w:val="21"/>
              </w:rPr>
              <w:t>1.4.3</w:t>
            </w:r>
          </w:p>
        </w:tc>
        <w:tc>
          <w:tcPr>
            <w:tcW w:w="199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hint="eastAsia" w:ascii="宋体" w:hAnsi="宋体"/>
                <w:spacing w:val="-3"/>
                <w:sz w:val="21"/>
              </w:rPr>
              <w:t>投标人不得存在的其他情形</w:t>
            </w:r>
          </w:p>
        </w:tc>
        <w:tc>
          <w:tcPr>
            <w:tcW w:w="64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102"/>
            </w:pPr>
            <w:r>
              <w:rPr>
                <w:rFonts w:eastAsia="Calibri"/>
                <w:sz w:val="21"/>
              </w:rPr>
              <w:t>/</w:t>
            </w:r>
          </w:p>
        </w:tc>
      </w:tr>
      <w:tr>
        <w:tblPrEx>
          <w:tblCellMar>
            <w:top w:w="0" w:type="dxa"/>
            <w:left w:w="108" w:type="dxa"/>
            <w:bottom w:w="0" w:type="dxa"/>
            <w:right w:w="108" w:type="dxa"/>
          </w:tblCellMar>
        </w:tblPrEx>
        <w:trPr>
          <w:trHeight w:val="463" w:hRule="exact"/>
        </w:trPr>
        <w:tc>
          <w:tcPr>
            <w:tcW w:w="84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eastAsia="Calibri"/>
                <w:spacing w:val="-1"/>
                <w:sz w:val="21"/>
              </w:rPr>
              <w:t>1.9.1</w:t>
            </w:r>
          </w:p>
        </w:tc>
        <w:tc>
          <w:tcPr>
            <w:tcW w:w="199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right="461"/>
              <w:jc w:val="center"/>
            </w:pPr>
            <w:r>
              <w:rPr>
                <w:rFonts w:hint="eastAsia" w:ascii="宋体" w:hAnsi="宋体"/>
                <w:sz w:val="21"/>
              </w:rPr>
              <w:t>分包</w:t>
            </w:r>
          </w:p>
        </w:tc>
        <w:tc>
          <w:tcPr>
            <w:tcW w:w="64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
            </w:pPr>
            <w:r>
              <w:rPr>
                <w:rFonts w:hint="eastAsia" w:ascii="宋体" w:hAnsi="宋体"/>
                <w:sz w:val="21"/>
              </w:rPr>
              <w:t>不允许</w:t>
            </w:r>
          </w:p>
        </w:tc>
      </w:tr>
      <w:tr>
        <w:tblPrEx>
          <w:tblCellMar>
            <w:top w:w="0" w:type="dxa"/>
            <w:left w:w="108" w:type="dxa"/>
            <w:bottom w:w="0" w:type="dxa"/>
            <w:right w:w="108" w:type="dxa"/>
          </w:tblCellMar>
        </w:tblPrEx>
        <w:trPr>
          <w:trHeight w:val="1117" w:hRule="exact"/>
        </w:trPr>
        <w:tc>
          <w:tcPr>
            <w:tcW w:w="84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eastAsia="Calibri"/>
                <w:sz w:val="20"/>
              </w:rPr>
            </w:pPr>
          </w:p>
          <w:p>
            <w:pPr>
              <w:pStyle w:val="45"/>
              <w:kinsoku w:val="0"/>
              <w:overflowPunct w:val="0"/>
              <w:spacing w:line="360" w:lineRule="auto"/>
            </w:pPr>
            <w:r>
              <w:rPr>
                <w:rFonts w:eastAsia="Calibri"/>
                <w:spacing w:val="-2"/>
                <w:sz w:val="21"/>
              </w:rPr>
              <w:t>1.10.1</w:t>
            </w:r>
          </w:p>
        </w:tc>
        <w:tc>
          <w:tcPr>
            <w:tcW w:w="199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eastAsia="Calibri"/>
                <w:sz w:val="20"/>
              </w:rPr>
            </w:pPr>
          </w:p>
          <w:p>
            <w:pPr>
              <w:pStyle w:val="45"/>
              <w:kinsoku w:val="0"/>
              <w:overflowPunct w:val="0"/>
              <w:spacing w:line="360" w:lineRule="auto"/>
            </w:pPr>
            <w:r>
              <w:rPr>
                <w:rFonts w:hint="eastAsia" w:ascii="宋体" w:hAnsi="宋体"/>
                <w:spacing w:val="-2"/>
                <w:sz w:val="21"/>
              </w:rPr>
              <w:t>实质性要求和条件</w:t>
            </w:r>
          </w:p>
        </w:tc>
        <w:tc>
          <w:tcPr>
            <w:tcW w:w="64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2" w:right="-2"/>
              <w:jc w:val="both"/>
            </w:pPr>
            <w:r>
              <w:rPr>
                <w:rFonts w:hint="eastAsia" w:ascii="宋体" w:hAnsi="宋体"/>
                <w:b/>
                <w:spacing w:val="14"/>
                <w:sz w:val="21"/>
              </w:rPr>
              <w:t>带</w:t>
            </w:r>
            <w:r>
              <w:rPr>
                <w:rFonts w:eastAsia="Calibri"/>
                <w:b/>
                <w:spacing w:val="14"/>
                <w:sz w:val="21"/>
              </w:rPr>
              <w:t>“*”</w:t>
            </w:r>
            <w:r>
              <w:rPr>
                <w:rFonts w:hint="eastAsia" w:ascii="宋体" w:hAnsi="宋体"/>
                <w:b/>
                <w:spacing w:val="14"/>
                <w:sz w:val="21"/>
              </w:rPr>
              <w:t>号条款；投标无效条款；招标文件中用</w:t>
            </w:r>
            <w:r>
              <w:rPr>
                <w:rFonts w:eastAsia="Calibri"/>
                <w:b/>
                <w:spacing w:val="14"/>
                <w:sz w:val="21"/>
              </w:rPr>
              <w:t>“</w:t>
            </w:r>
            <w:r>
              <w:rPr>
                <w:rFonts w:hint="eastAsia" w:ascii="宋体" w:hAnsi="宋体"/>
                <w:b/>
                <w:spacing w:val="14"/>
                <w:sz w:val="21"/>
              </w:rPr>
              <w:t>拒</w:t>
            </w:r>
            <w:r>
              <w:rPr>
                <w:rFonts w:hint="eastAsia" w:ascii="宋体" w:hAnsi="宋体"/>
                <w:b/>
                <w:spacing w:val="-1"/>
                <w:sz w:val="21"/>
              </w:rPr>
              <w:t>绝</w:t>
            </w:r>
            <w:r>
              <w:rPr>
                <w:rFonts w:eastAsia="Calibri"/>
                <w:b/>
                <w:spacing w:val="-1"/>
                <w:sz w:val="21"/>
              </w:rPr>
              <w:t>”</w:t>
            </w:r>
            <w:r>
              <w:rPr>
                <w:rFonts w:hint="eastAsia" w:ascii="宋体" w:hAnsi="宋体"/>
                <w:b/>
                <w:spacing w:val="-1"/>
                <w:sz w:val="21"/>
              </w:rPr>
              <w:t>、</w:t>
            </w:r>
            <w:r>
              <w:rPr>
                <w:rFonts w:eastAsia="Calibri"/>
                <w:b/>
                <w:spacing w:val="-1"/>
                <w:sz w:val="21"/>
              </w:rPr>
              <w:t>“</w:t>
            </w:r>
            <w:r>
              <w:rPr>
                <w:rFonts w:hint="eastAsia" w:ascii="宋体" w:hAnsi="宋体"/>
                <w:b/>
                <w:spacing w:val="-1"/>
                <w:sz w:val="21"/>
              </w:rPr>
              <w:t>不（予）接受</w:t>
            </w:r>
            <w:r>
              <w:rPr>
                <w:rFonts w:eastAsia="Calibri"/>
                <w:b/>
                <w:spacing w:val="-1"/>
                <w:sz w:val="21"/>
              </w:rPr>
              <w:t>”</w:t>
            </w:r>
            <w:r>
              <w:rPr>
                <w:rFonts w:hint="eastAsia" w:ascii="宋体" w:hAnsi="宋体"/>
                <w:b/>
                <w:spacing w:val="-1"/>
                <w:sz w:val="21"/>
              </w:rPr>
              <w:t>、</w:t>
            </w:r>
            <w:r>
              <w:rPr>
                <w:rFonts w:eastAsia="Calibri"/>
                <w:b/>
                <w:spacing w:val="-1"/>
                <w:sz w:val="21"/>
              </w:rPr>
              <w:t>“</w:t>
            </w:r>
            <w:r>
              <w:rPr>
                <w:rFonts w:hint="eastAsia" w:ascii="宋体" w:hAnsi="宋体"/>
                <w:b/>
                <w:spacing w:val="-1"/>
                <w:sz w:val="21"/>
              </w:rPr>
              <w:t>不得</w:t>
            </w:r>
            <w:r>
              <w:rPr>
                <w:rFonts w:eastAsia="Calibri"/>
                <w:b/>
                <w:spacing w:val="-1"/>
                <w:sz w:val="21"/>
              </w:rPr>
              <w:t>”</w:t>
            </w:r>
            <w:r>
              <w:rPr>
                <w:rFonts w:hint="eastAsia" w:ascii="宋体" w:hAnsi="宋体"/>
                <w:b/>
                <w:spacing w:val="-1"/>
                <w:sz w:val="21"/>
              </w:rPr>
              <w:t>、</w:t>
            </w:r>
            <w:r>
              <w:rPr>
                <w:rFonts w:eastAsia="Calibri"/>
                <w:b/>
                <w:spacing w:val="-1"/>
                <w:sz w:val="21"/>
              </w:rPr>
              <w:t>“</w:t>
            </w:r>
            <w:r>
              <w:rPr>
                <w:rFonts w:hint="eastAsia" w:ascii="宋体" w:hAnsi="宋体"/>
                <w:b/>
                <w:spacing w:val="-1"/>
                <w:sz w:val="21"/>
              </w:rPr>
              <w:t>不允许偏离</w:t>
            </w:r>
            <w:r>
              <w:rPr>
                <w:rFonts w:eastAsia="Calibri"/>
                <w:b/>
                <w:spacing w:val="-1"/>
                <w:sz w:val="21"/>
              </w:rPr>
              <w:t>”</w:t>
            </w:r>
            <w:r>
              <w:rPr>
                <w:rFonts w:hint="eastAsia" w:ascii="宋体" w:hAnsi="宋体"/>
                <w:b/>
                <w:spacing w:val="-1"/>
                <w:sz w:val="21"/>
              </w:rPr>
              <w:t>、</w:t>
            </w:r>
            <w:r>
              <w:rPr>
                <w:rFonts w:eastAsia="Calibri"/>
                <w:b/>
                <w:spacing w:val="-1"/>
                <w:sz w:val="21"/>
              </w:rPr>
              <w:t>“</w:t>
            </w:r>
            <w:r>
              <w:rPr>
                <w:rFonts w:hint="eastAsia" w:ascii="宋体" w:hAnsi="宋体"/>
                <w:b/>
                <w:spacing w:val="-1"/>
                <w:sz w:val="21"/>
              </w:rPr>
              <w:t>否决</w:t>
            </w:r>
            <w:r>
              <w:rPr>
                <w:rFonts w:eastAsia="Calibri"/>
                <w:b/>
                <w:spacing w:val="-1"/>
                <w:sz w:val="21"/>
              </w:rPr>
              <w:t>”</w:t>
            </w:r>
            <w:r>
              <w:rPr>
                <w:rFonts w:hint="eastAsia" w:ascii="宋体" w:hAnsi="宋体"/>
                <w:b/>
                <w:spacing w:val="-1"/>
                <w:sz w:val="21"/>
              </w:rPr>
              <w:t>等文字规定的条款</w:t>
            </w:r>
            <w:r>
              <w:rPr>
                <w:rFonts w:hint="eastAsia" w:ascii="宋体" w:hAnsi="宋体"/>
                <w:spacing w:val="-1"/>
                <w:sz w:val="21"/>
              </w:rPr>
              <w:t>；</w:t>
            </w:r>
            <w:r>
              <w:rPr>
                <w:rFonts w:hint="eastAsia" w:ascii="宋体" w:hAnsi="宋体"/>
                <w:b/>
                <w:spacing w:val="-1"/>
                <w:sz w:val="21"/>
              </w:rPr>
              <w:t>法律、法规、规章的相关规</w:t>
            </w:r>
            <w:r>
              <w:rPr>
                <w:rFonts w:hint="eastAsia" w:ascii="宋体" w:hAnsi="宋体"/>
                <w:b/>
                <w:sz w:val="21"/>
              </w:rPr>
              <w:t>定。</w:t>
            </w:r>
          </w:p>
        </w:tc>
      </w:tr>
      <w:tr>
        <w:tblPrEx>
          <w:tblCellMar>
            <w:top w:w="0" w:type="dxa"/>
            <w:left w:w="108" w:type="dxa"/>
            <w:bottom w:w="0" w:type="dxa"/>
            <w:right w:w="108" w:type="dxa"/>
          </w:tblCellMar>
        </w:tblPrEx>
        <w:trPr>
          <w:trHeight w:val="454" w:hRule="exact"/>
        </w:trPr>
        <w:tc>
          <w:tcPr>
            <w:tcW w:w="84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eastAsia="Calibri"/>
                <w:spacing w:val="-4"/>
                <w:sz w:val="21"/>
              </w:rPr>
              <w:t>1.10.4</w:t>
            </w:r>
          </w:p>
        </w:tc>
        <w:tc>
          <w:tcPr>
            <w:tcW w:w="1995"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right="461"/>
              <w:jc w:val="center"/>
            </w:pPr>
            <w:r>
              <w:rPr>
                <w:rFonts w:hint="eastAsia" w:ascii="宋体" w:hAnsi="宋体"/>
                <w:sz w:val="21"/>
              </w:rPr>
              <w:t>偏差</w:t>
            </w:r>
          </w:p>
        </w:tc>
        <w:tc>
          <w:tcPr>
            <w:tcW w:w="64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2" w:right="-1"/>
              <w:jc w:val="both"/>
            </w:pPr>
            <w:r>
              <w:rPr>
                <w:rFonts w:hint="eastAsia" w:ascii="宋体" w:hAnsi="宋体"/>
                <w:spacing w:val="14"/>
                <w:sz w:val="21"/>
              </w:rPr>
              <w:t>实质性要求和条件不允许偏差，其他条款允许偏</w:t>
            </w:r>
            <w:r>
              <w:rPr>
                <w:rFonts w:hint="eastAsia" w:ascii="宋体" w:hAnsi="宋体"/>
                <w:spacing w:val="-3"/>
                <w:sz w:val="21"/>
              </w:rPr>
              <w:t>差。</w:t>
            </w:r>
          </w:p>
        </w:tc>
      </w:tr>
      <w:tr>
        <w:tblPrEx>
          <w:tblCellMar>
            <w:top w:w="0" w:type="dxa"/>
            <w:left w:w="108" w:type="dxa"/>
            <w:bottom w:w="0" w:type="dxa"/>
            <w:right w:w="108" w:type="dxa"/>
          </w:tblCellMar>
        </w:tblPrEx>
        <w:trPr>
          <w:trHeight w:val="463" w:hRule="exact"/>
        </w:trPr>
        <w:tc>
          <w:tcPr>
            <w:tcW w:w="84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eastAsia="Calibri"/>
                <w:spacing w:val="-1"/>
                <w:sz w:val="21"/>
              </w:rPr>
              <w:t>1.11.1</w:t>
            </w:r>
          </w:p>
        </w:tc>
        <w:tc>
          <w:tcPr>
            <w:tcW w:w="1995"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jc w:val="center"/>
            </w:pPr>
            <w:r>
              <w:rPr>
                <w:rFonts w:hint="eastAsia" w:ascii="宋体" w:hAnsi="宋体"/>
                <w:spacing w:val="-1"/>
                <w:sz w:val="21"/>
              </w:rPr>
              <w:t>采购进口产品</w:t>
            </w:r>
          </w:p>
        </w:tc>
        <w:tc>
          <w:tcPr>
            <w:tcW w:w="64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2"/>
              <w:jc w:val="both"/>
            </w:pPr>
            <w:r>
              <w:rPr>
                <w:rFonts w:hint="eastAsia" w:ascii="宋体" w:hAnsi="宋体"/>
                <w:spacing w:val="-4"/>
                <w:sz w:val="21"/>
              </w:rPr>
              <w:t>本采购项目拒绝进口产品参加投标</w:t>
            </w:r>
          </w:p>
        </w:tc>
      </w:tr>
      <w:tr>
        <w:tblPrEx>
          <w:tblCellMar>
            <w:top w:w="0" w:type="dxa"/>
            <w:left w:w="108" w:type="dxa"/>
            <w:bottom w:w="0" w:type="dxa"/>
            <w:right w:w="108" w:type="dxa"/>
          </w:tblCellMar>
        </w:tblPrEx>
        <w:trPr>
          <w:trHeight w:val="716" w:hRule="exact"/>
        </w:trPr>
        <w:tc>
          <w:tcPr>
            <w:tcW w:w="84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15"/>
              <w:jc w:val="both"/>
            </w:pPr>
            <w:r>
              <w:rPr>
                <w:rFonts w:eastAsia="Calibri"/>
                <w:spacing w:val="-1"/>
                <w:sz w:val="21"/>
              </w:rPr>
              <w:t>2.1</w:t>
            </w:r>
          </w:p>
        </w:tc>
        <w:tc>
          <w:tcPr>
            <w:tcW w:w="199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hint="eastAsia" w:ascii="宋体" w:hAnsi="宋体"/>
                <w:spacing w:val="-3"/>
                <w:sz w:val="21"/>
              </w:rPr>
              <w:t>构成招标文件的其他资料</w:t>
            </w:r>
          </w:p>
        </w:tc>
        <w:tc>
          <w:tcPr>
            <w:tcW w:w="64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104"/>
            </w:pPr>
            <w:r>
              <w:rPr>
                <w:rFonts w:hint="eastAsia" w:ascii="宋体" w:hAnsi="宋体"/>
                <w:sz w:val="21"/>
              </w:rPr>
              <w:t>/</w:t>
            </w:r>
          </w:p>
        </w:tc>
      </w:tr>
      <w:tr>
        <w:tblPrEx>
          <w:tblCellMar>
            <w:top w:w="0" w:type="dxa"/>
            <w:left w:w="108" w:type="dxa"/>
            <w:bottom w:w="0" w:type="dxa"/>
            <w:right w:w="108" w:type="dxa"/>
          </w:tblCellMar>
        </w:tblPrEx>
        <w:trPr>
          <w:trHeight w:val="792" w:hRule="exact"/>
        </w:trPr>
        <w:tc>
          <w:tcPr>
            <w:tcW w:w="847" w:type="dxa"/>
            <w:vMerge w:val="restart"/>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eastAsia="Calibri"/>
                <w:spacing w:val="-1"/>
                <w:sz w:val="21"/>
              </w:rPr>
              <w:t>2.2.1</w:t>
            </w:r>
          </w:p>
        </w:tc>
        <w:tc>
          <w:tcPr>
            <w:tcW w:w="1995"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jc w:val="both"/>
            </w:pPr>
            <w:r>
              <w:rPr>
                <w:rFonts w:hint="eastAsia" w:ascii="宋体" w:hAnsi="宋体"/>
                <w:spacing w:val="-3"/>
                <w:sz w:val="21"/>
              </w:rPr>
              <w:t>投标人要求澄清招标文件</w:t>
            </w:r>
          </w:p>
        </w:tc>
        <w:tc>
          <w:tcPr>
            <w:tcW w:w="64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2" w:right="110"/>
              <w:jc w:val="both"/>
            </w:pPr>
            <w:r>
              <w:rPr>
                <w:rFonts w:hint="eastAsia" w:ascii="宋体" w:hAnsi="宋体"/>
                <w:spacing w:val="-2"/>
                <w:sz w:val="21"/>
              </w:rPr>
              <w:t>时间：应当在获取采购文件或者采购文件公告期限届满之日起</w:t>
            </w:r>
            <w:r>
              <w:rPr>
                <w:rFonts w:eastAsia="Calibri"/>
                <w:spacing w:val="-2"/>
                <w:sz w:val="21"/>
              </w:rPr>
              <w:t>7</w:t>
            </w:r>
            <w:r>
              <w:rPr>
                <w:rFonts w:hint="eastAsia" w:ascii="宋体" w:hAnsi="宋体"/>
                <w:spacing w:val="-2"/>
                <w:sz w:val="21"/>
              </w:rPr>
              <w:t>个工作日内提出。</w:t>
            </w:r>
          </w:p>
        </w:tc>
      </w:tr>
      <w:tr>
        <w:tblPrEx>
          <w:tblCellMar>
            <w:top w:w="0" w:type="dxa"/>
            <w:left w:w="108" w:type="dxa"/>
            <w:bottom w:w="0" w:type="dxa"/>
            <w:right w:w="108" w:type="dxa"/>
          </w:tblCellMar>
        </w:tblPrEx>
        <w:trPr>
          <w:trHeight w:val="744" w:hRule="exact"/>
        </w:trPr>
        <w:tc>
          <w:tcPr>
            <w:tcW w:w="847" w:type="dxa"/>
            <w:vMerge w:val="continue"/>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 w:right="110"/>
            </w:pPr>
          </w:p>
        </w:tc>
        <w:tc>
          <w:tcPr>
            <w:tcW w:w="1995" w:type="dxa"/>
            <w:vMerge w:val="continue"/>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 w:right="110"/>
            </w:pPr>
          </w:p>
        </w:tc>
        <w:tc>
          <w:tcPr>
            <w:tcW w:w="64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2"/>
              <w:jc w:val="both"/>
              <w:rPr>
                <w:rFonts w:ascii="宋体" w:hAnsi="宋体"/>
                <w:spacing w:val="-2"/>
                <w:sz w:val="21"/>
              </w:rPr>
            </w:pPr>
            <w:r>
              <w:rPr>
                <w:rFonts w:hint="eastAsia" w:ascii="宋体" w:hAnsi="宋体"/>
                <w:spacing w:val="-2"/>
                <w:sz w:val="21"/>
              </w:rPr>
              <w:t>形式：在邓州市公共资源交易中心交易平台提出。</w:t>
            </w:r>
          </w:p>
          <w:p>
            <w:pPr>
              <w:pStyle w:val="45"/>
              <w:kinsoku w:val="0"/>
              <w:overflowPunct w:val="0"/>
              <w:spacing w:line="360" w:lineRule="auto"/>
              <w:ind w:left="-2"/>
              <w:jc w:val="both"/>
            </w:pPr>
            <w:r>
              <w:rPr>
                <w:rFonts w:hint="eastAsia" w:ascii="宋体" w:hAnsi="宋体"/>
                <w:spacing w:val="-2"/>
                <w:sz w:val="21"/>
                <w:szCs w:val="22"/>
              </w:rPr>
              <w:t>采用非电子招标投标时，采用书面形式。</w:t>
            </w:r>
          </w:p>
        </w:tc>
      </w:tr>
      <w:tr>
        <w:tblPrEx>
          <w:tblCellMar>
            <w:top w:w="0" w:type="dxa"/>
            <w:left w:w="108" w:type="dxa"/>
            <w:bottom w:w="0" w:type="dxa"/>
            <w:right w:w="108" w:type="dxa"/>
          </w:tblCellMar>
        </w:tblPrEx>
        <w:trPr>
          <w:trHeight w:val="1966" w:hRule="exact"/>
        </w:trPr>
        <w:tc>
          <w:tcPr>
            <w:tcW w:w="84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eastAsia="Calibri"/>
                <w:sz w:val="20"/>
              </w:rPr>
            </w:pPr>
          </w:p>
          <w:p>
            <w:pPr>
              <w:pStyle w:val="45"/>
              <w:kinsoku w:val="0"/>
              <w:overflowPunct w:val="0"/>
              <w:spacing w:line="360" w:lineRule="auto"/>
              <w:rPr>
                <w:rFonts w:eastAsia="Calibri"/>
                <w:sz w:val="20"/>
              </w:rPr>
            </w:pPr>
          </w:p>
          <w:p>
            <w:pPr>
              <w:pStyle w:val="45"/>
              <w:kinsoku w:val="0"/>
              <w:overflowPunct w:val="0"/>
              <w:spacing w:line="360" w:lineRule="auto"/>
              <w:rPr>
                <w:rFonts w:eastAsia="Calibri"/>
                <w:sz w:val="20"/>
              </w:rPr>
            </w:pPr>
          </w:p>
          <w:p>
            <w:pPr>
              <w:pStyle w:val="45"/>
              <w:kinsoku w:val="0"/>
              <w:overflowPunct w:val="0"/>
              <w:spacing w:line="360" w:lineRule="auto"/>
            </w:pPr>
            <w:r>
              <w:rPr>
                <w:rFonts w:eastAsia="Calibri"/>
                <w:spacing w:val="-1"/>
                <w:sz w:val="21"/>
              </w:rPr>
              <w:t>2.2.2</w:t>
            </w:r>
          </w:p>
        </w:tc>
        <w:tc>
          <w:tcPr>
            <w:tcW w:w="199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eastAsia="Calibri"/>
                <w:sz w:val="26"/>
              </w:rPr>
            </w:pPr>
          </w:p>
          <w:p>
            <w:pPr>
              <w:pStyle w:val="45"/>
              <w:kinsoku w:val="0"/>
              <w:overflowPunct w:val="0"/>
              <w:spacing w:line="360" w:lineRule="auto"/>
            </w:pPr>
            <w:r>
              <w:rPr>
                <w:rFonts w:hint="eastAsia" w:ascii="宋体" w:hAnsi="宋体"/>
                <w:spacing w:val="-3"/>
                <w:sz w:val="21"/>
              </w:rPr>
              <w:t>招标文件澄清发出的形式</w:t>
            </w:r>
          </w:p>
        </w:tc>
        <w:tc>
          <w:tcPr>
            <w:tcW w:w="64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
              <w:rPr>
                <w:rFonts w:eastAsiaTheme="minorEastAsia"/>
              </w:rPr>
            </w:pPr>
            <w:r>
              <w:rPr>
                <w:rFonts w:hint="eastAsia" w:asciiTheme="minorEastAsia" w:hAnsiTheme="minorEastAsia" w:eastAsiaTheme="minorEastAsia" w:cstheme="minorEastAsia"/>
                <w:spacing w:val="-2"/>
                <w:sz w:val="21"/>
                <w:szCs w:val="21"/>
              </w:rPr>
              <w:t>采用电子招标投标时，在原公告发布媒体上发布澄清或修改公告，供应商在提交响应文件截止时间前 须自行查看在原公告发布媒体上发布的澄清或修改公告，因供应商未及时查看而造成的后果自负；采用非电子招标投标时，在原公告发布媒体上发布澄清或修改公告，并以书面形式通知所有获取采购文件的潜在供应商。</w:t>
            </w:r>
          </w:p>
        </w:tc>
      </w:tr>
      <w:tr>
        <w:tblPrEx>
          <w:tblCellMar>
            <w:top w:w="0" w:type="dxa"/>
            <w:left w:w="108" w:type="dxa"/>
            <w:bottom w:w="0" w:type="dxa"/>
            <w:right w:w="108" w:type="dxa"/>
          </w:tblCellMar>
        </w:tblPrEx>
        <w:trPr>
          <w:trHeight w:val="776" w:hRule="exact"/>
        </w:trPr>
        <w:tc>
          <w:tcPr>
            <w:tcW w:w="84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eastAsia="Calibri"/>
                <w:spacing w:val="-1"/>
                <w:sz w:val="21"/>
              </w:rPr>
              <w:t>2.2.3</w:t>
            </w:r>
          </w:p>
        </w:tc>
        <w:tc>
          <w:tcPr>
            <w:tcW w:w="1995"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jc w:val="center"/>
            </w:pPr>
            <w:r>
              <w:rPr>
                <w:rFonts w:hint="eastAsia" w:ascii="宋体" w:hAnsi="宋体"/>
                <w:spacing w:val="-3"/>
                <w:sz w:val="21"/>
              </w:rPr>
              <w:t>投标人确认收到招标文件澄清</w:t>
            </w:r>
          </w:p>
        </w:tc>
        <w:tc>
          <w:tcPr>
            <w:tcW w:w="6480" w:type="dxa"/>
            <w:tcBorders>
              <w:top w:val="single" w:color="000000" w:sz="4" w:space="0"/>
              <w:left w:val="single" w:color="000000" w:sz="4" w:space="0"/>
              <w:bottom w:val="nil"/>
              <w:right w:val="single" w:color="000000" w:sz="4" w:space="0"/>
              <w:tl2br w:val="nil"/>
              <w:tr2bl w:val="nil"/>
            </w:tcBorders>
            <w:noWrap/>
            <w:vAlign w:val="center"/>
          </w:tcPr>
          <w:p>
            <w:pPr>
              <w:pStyle w:val="45"/>
              <w:kinsoku w:val="0"/>
              <w:overflowPunct w:val="0"/>
              <w:spacing w:line="360" w:lineRule="auto"/>
              <w:ind w:left="-2"/>
              <w:jc w:val="center"/>
            </w:pPr>
            <w:r>
              <w:rPr>
                <w:rFonts w:hint="eastAsia" w:ascii="宋体" w:hAnsi="宋体"/>
                <w:spacing w:val="-2"/>
                <w:sz w:val="21"/>
              </w:rPr>
              <w:t>形式：采用电子招投标时，依据电子招标投标交易平台具体相关要求</w:t>
            </w:r>
          </w:p>
        </w:tc>
      </w:tr>
    </w:tbl>
    <w:tbl>
      <w:tblPr>
        <w:tblStyle w:val="28"/>
        <w:tblpPr w:leftFromText="180" w:rightFromText="180" w:vertAnchor="text" w:horzAnchor="page" w:tblpX="1422" w:tblpY="16"/>
        <w:tblOverlap w:val="never"/>
        <w:tblW w:w="9330" w:type="dxa"/>
        <w:tblInd w:w="0" w:type="dxa"/>
        <w:tblLayout w:type="fixed"/>
        <w:tblCellMar>
          <w:top w:w="0" w:type="dxa"/>
          <w:left w:w="108" w:type="dxa"/>
          <w:bottom w:w="0" w:type="dxa"/>
          <w:right w:w="108" w:type="dxa"/>
        </w:tblCellMar>
      </w:tblPr>
      <w:tblGrid>
        <w:gridCol w:w="870"/>
        <w:gridCol w:w="1980"/>
        <w:gridCol w:w="6480"/>
      </w:tblGrid>
      <w:tr>
        <w:tblPrEx>
          <w:tblCellMar>
            <w:top w:w="0" w:type="dxa"/>
            <w:left w:w="108" w:type="dxa"/>
            <w:bottom w:w="0" w:type="dxa"/>
            <w:right w:w="108" w:type="dxa"/>
          </w:tblCellMar>
        </w:tblPrEx>
        <w:trPr>
          <w:trHeight w:val="1958" w:hRule="exact"/>
        </w:trPr>
        <w:tc>
          <w:tcPr>
            <w:tcW w:w="87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eastAsia="Calibri"/>
                <w:sz w:val="20"/>
              </w:rPr>
            </w:pPr>
          </w:p>
          <w:p>
            <w:pPr>
              <w:pStyle w:val="45"/>
              <w:kinsoku w:val="0"/>
              <w:overflowPunct w:val="0"/>
              <w:spacing w:line="360" w:lineRule="auto"/>
              <w:rPr>
                <w:rFonts w:eastAsia="Calibri"/>
                <w:sz w:val="20"/>
              </w:rPr>
            </w:pPr>
          </w:p>
          <w:p>
            <w:pPr>
              <w:pStyle w:val="45"/>
              <w:kinsoku w:val="0"/>
              <w:overflowPunct w:val="0"/>
              <w:spacing w:line="360" w:lineRule="auto"/>
              <w:rPr>
                <w:rFonts w:eastAsia="Calibri"/>
                <w:sz w:val="20"/>
              </w:rPr>
            </w:pPr>
          </w:p>
          <w:p>
            <w:pPr>
              <w:pStyle w:val="45"/>
              <w:kinsoku w:val="0"/>
              <w:overflowPunct w:val="0"/>
              <w:spacing w:line="360" w:lineRule="auto"/>
            </w:pPr>
            <w:r>
              <w:rPr>
                <w:rFonts w:eastAsia="Calibri"/>
                <w:spacing w:val="-1"/>
                <w:sz w:val="21"/>
              </w:rPr>
              <w:t>2.3.1</w:t>
            </w:r>
          </w:p>
        </w:tc>
        <w:tc>
          <w:tcPr>
            <w:tcW w:w="19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eastAsia="Calibri"/>
                <w:sz w:val="26"/>
              </w:rPr>
            </w:pPr>
          </w:p>
          <w:p>
            <w:pPr>
              <w:pStyle w:val="45"/>
              <w:kinsoku w:val="0"/>
              <w:overflowPunct w:val="0"/>
              <w:spacing w:line="360" w:lineRule="auto"/>
            </w:pPr>
            <w:r>
              <w:rPr>
                <w:rFonts w:hint="eastAsia" w:ascii="宋体" w:hAnsi="宋体"/>
                <w:spacing w:val="-3"/>
                <w:sz w:val="21"/>
              </w:rPr>
              <w:t>招标文件修改发出的形式</w:t>
            </w:r>
          </w:p>
        </w:tc>
        <w:tc>
          <w:tcPr>
            <w:tcW w:w="64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
            </w:pPr>
            <w:r>
              <w:rPr>
                <w:rFonts w:hint="eastAsia" w:ascii="宋体" w:hAnsi="宋体"/>
                <w:spacing w:val="-2"/>
                <w:sz w:val="21"/>
              </w:rPr>
              <w:t>采用电子招标投标时，在原公告发布媒体上发布澄清或修改公告，供应商在提交响应文件截止时间前须自行查看在原公告发布媒体上发布的澄清或修改公告，因供应商未及时查看而造成的后果自负；采用非电子招标投标时，在原公告发布媒体上发布澄清或修改公告，并以书面形式通知所有获取采购文件的潜在供应商。</w:t>
            </w:r>
          </w:p>
        </w:tc>
      </w:tr>
      <w:tr>
        <w:tblPrEx>
          <w:tblCellMar>
            <w:top w:w="0" w:type="dxa"/>
            <w:left w:w="108" w:type="dxa"/>
            <w:bottom w:w="0" w:type="dxa"/>
            <w:right w:w="108" w:type="dxa"/>
          </w:tblCellMar>
        </w:tblPrEx>
        <w:trPr>
          <w:trHeight w:val="1497" w:hRule="exact"/>
        </w:trPr>
        <w:tc>
          <w:tcPr>
            <w:tcW w:w="87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eastAsia="Calibri"/>
                <w:sz w:val="20"/>
              </w:rPr>
            </w:pPr>
          </w:p>
          <w:p>
            <w:pPr>
              <w:pStyle w:val="45"/>
              <w:kinsoku w:val="0"/>
              <w:overflowPunct w:val="0"/>
              <w:spacing w:line="360" w:lineRule="auto"/>
              <w:rPr>
                <w:rFonts w:eastAsia="Calibri"/>
                <w:sz w:val="20"/>
              </w:rPr>
            </w:pPr>
          </w:p>
          <w:p>
            <w:pPr>
              <w:pStyle w:val="45"/>
              <w:kinsoku w:val="0"/>
              <w:overflowPunct w:val="0"/>
              <w:spacing w:line="360" w:lineRule="auto"/>
              <w:rPr>
                <w:rFonts w:eastAsia="Calibri"/>
                <w:sz w:val="20"/>
              </w:rPr>
            </w:pPr>
          </w:p>
          <w:p>
            <w:pPr>
              <w:pStyle w:val="45"/>
              <w:kinsoku w:val="0"/>
              <w:overflowPunct w:val="0"/>
              <w:spacing w:line="360" w:lineRule="auto"/>
            </w:pPr>
            <w:r>
              <w:rPr>
                <w:rFonts w:eastAsia="Calibri"/>
                <w:spacing w:val="-1"/>
                <w:sz w:val="21"/>
              </w:rPr>
              <w:t>2.3.2</w:t>
            </w:r>
          </w:p>
        </w:tc>
        <w:tc>
          <w:tcPr>
            <w:tcW w:w="19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eastAsia="Calibri"/>
                <w:sz w:val="23"/>
              </w:rPr>
            </w:pPr>
          </w:p>
          <w:p>
            <w:pPr>
              <w:pStyle w:val="45"/>
              <w:kinsoku w:val="0"/>
              <w:overflowPunct w:val="0"/>
              <w:spacing w:line="360" w:lineRule="auto"/>
            </w:pPr>
            <w:r>
              <w:rPr>
                <w:rFonts w:hint="eastAsia" w:ascii="宋体" w:hAnsi="宋体"/>
                <w:spacing w:val="-3"/>
                <w:sz w:val="21"/>
              </w:rPr>
              <w:t>投标人确认收到招标文件修改</w:t>
            </w:r>
          </w:p>
        </w:tc>
        <w:tc>
          <w:tcPr>
            <w:tcW w:w="64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
              <w:jc w:val="both"/>
              <w:rPr>
                <w:rFonts w:ascii="宋体" w:hAnsi="宋体"/>
                <w:spacing w:val="-2"/>
                <w:sz w:val="21"/>
              </w:rPr>
            </w:pPr>
            <w:r>
              <w:rPr>
                <w:rFonts w:hint="eastAsia" w:ascii="宋体" w:hAnsi="宋体"/>
                <w:spacing w:val="-2"/>
                <w:sz w:val="21"/>
              </w:rPr>
              <w:t>采用电子招标投标时，在原公告发布媒体上发布澄清或修改公告，供应商在提交响应文件截止时间前须自行查看在原公告发布媒体上发布的澄清或修改公告，因供应商未及时查看而造成的后果自负；</w:t>
            </w:r>
          </w:p>
          <w:p>
            <w:pPr>
              <w:pStyle w:val="45"/>
              <w:kinsoku w:val="0"/>
              <w:overflowPunct w:val="0"/>
              <w:spacing w:line="360" w:lineRule="auto"/>
              <w:ind w:left="-2" w:right="107"/>
              <w:jc w:val="both"/>
            </w:pPr>
            <w:r>
              <w:rPr>
                <w:rFonts w:hint="eastAsia" w:ascii="宋体" w:hAnsi="宋体"/>
                <w:spacing w:val="-2"/>
                <w:sz w:val="21"/>
              </w:rPr>
              <w:t>采用非电子招标投标时，在收到相应澄清文件后</w:t>
            </w:r>
            <w:r>
              <w:rPr>
                <w:rFonts w:eastAsia="Calibri"/>
                <w:spacing w:val="-2"/>
                <w:sz w:val="21"/>
              </w:rPr>
              <w:t>24</w:t>
            </w:r>
            <w:r>
              <w:rPr>
                <w:rFonts w:hint="eastAsia" w:ascii="宋体" w:hAnsi="宋体"/>
                <w:sz w:val="21"/>
              </w:rPr>
              <w:t>小时内。</w:t>
            </w:r>
          </w:p>
        </w:tc>
      </w:tr>
      <w:tr>
        <w:tblPrEx>
          <w:tblCellMar>
            <w:top w:w="0" w:type="dxa"/>
            <w:left w:w="108" w:type="dxa"/>
            <w:bottom w:w="0" w:type="dxa"/>
            <w:right w:w="108" w:type="dxa"/>
          </w:tblCellMar>
        </w:tblPrEx>
        <w:trPr>
          <w:trHeight w:val="769" w:hRule="exact"/>
        </w:trPr>
        <w:tc>
          <w:tcPr>
            <w:tcW w:w="87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eastAsia="Calibri"/>
                <w:spacing w:val="-1"/>
                <w:sz w:val="21"/>
              </w:rPr>
              <w:t>3.1.1</w:t>
            </w:r>
          </w:p>
        </w:tc>
        <w:tc>
          <w:tcPr>
            <w:tcW w:w="19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jc w:val="center"/>
            </w:pPr>
            <w:r>
              <w:rPr>
                <w:rFonts w:hint="eastAsia" w:ascii="宋体" w:hAnsi="宋体"/>
                <w:spacing w:val="-3"/>
                <w:sz w:val="21"/>
              </w:rPr>
              <w:t>构成投标文件的其他资料</w:t>
            </w:r>
          </w:p>
        </w:tc>
        <w:tc>
          <w:tcPr>
            <w:tcW w:w="64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2"/>
              <w:jc w:val="both"/>
            </w:pPr>
            <w:r>
              <w:rPr>
                <w:rFonts w:hint="eastAsia" w:ascii="宋体" w:hAnsi="宋体"/>
                <w:spacing w:val="-2"/>
                <w:sz w:val="21"/>
              </w:rPr>
              <w:t>其他需要补充说明的资料。</w:t>
            </w:r>
          </w:p>
        </w:tc>
      </w:tr>
      <w:tr>
        <w:tblPrEx>
          <w:tblCellMar>
            <w:top w:w="0" w:type="dxa"/>
            <w:left w:w="108" w:type="dxa"/>
            <w:bottom w:w="0" w:type="dxa"/>
            <w:right w:w="108" w:type="dxa"/>
          </w:tblCellMar>
        </w:tblPrEx>
        <w:trPr>
          <w:trHeight w:val="766" w:hRule="exact"/>
        </w:trPr>
        <w:tc>
          <w:tcPr>
            <w:tcW w:w="87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eastAsia="Calibri"/>
                <w:spacing w:val="-1"/>
                <w:sz w:val="21"/>
              </w:rPr>
              <w:t>3.2.4</w:t>
            </w:r>
          </w:p>
        </w:tc>
        <w:tc>
          <w:tcPr>
            <w:tcW w:w="19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jc w:val="center"/>
              <w:rPr>
                <w:rFonts w:ascii="宋体" w:hAnsi="宋体"/>
                <w:spacing w:val="-2"/>
                <w:sz w:val="21"/>
                <w:highlight w:val="none"/>
              </w:rPr>
            </w:pPr>
            <w:r>
              <w:rPr>
                <w:rFonts w:hint="eastAsia" w:ascii="宋体" w:hAnsi="宋体"/>
                <w:spacing w:val="-2"/>
                <w:sz w:val="21"/>
                <w:highlight w:val="none"/>
              </w:rPr>
              <w:t>预算金额</w:t>
            </w:r>
          </w:p>
          <w:p>
            <w:pPr>
              <w:pStyle w:val="45"/>
              <w:kinsoku w:val="0"/>
              <w:overflowPunct w:val="0"/>
              <w:spacing w:line="360" w:lineRule="auto"/>
              <w:jc w:val="center"/>
              <w:rPr>
                <w:highlight w:val="none"/>
              </w:rPr>
            </w:pPr>
            <w:r>
              <w:rPr>
                <w:rFonts w:hint="eastAsia" w:ascii="宋体" w:hAnsi="宋体"/>
                <w:spacing w:val="-2"/>
                <w:sz w:val="21"/>
                <w:highlight w:val="none"/>
              </w:rPr>
              <w:t>（最高限价）</w:t>
            </w:r>
          </w:p>
        </w:tc>
        <w:tc>
          <w:tcPr>
            <w:tcW w:w="64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jc w:val="both"/>
              <w:rPr>
                <w:highlight w:val="none"/>
              </w:rPr>
            </w:pPr>
            <w:r>
              <w:rPr>
                <w:rFonts w:hint="eastAsia" w:ascii="宋体" w:hAnsi="宋体" w:cs="Times New Roman"/>
                <w:color w:val="auto"/>
                <w:spacing w:val="-2"/>
                <w:sz w:val="21"/>
                <w:szCs w:val="22"/>
                <w:highlight w:val="none"/>
                <w:lang w:val="en-US" w:eastAsia="zh-CN"/>
              </w:rPr>
              <w:t>200000</w:t>
            </w:r>
            <w:r>
              <w:rPr>
                <w:rFonts w:hint="eastAsia" w:ascii="宋体" w:hAnsi="宋体" w:cs="Times New Roman"/>
                <w:color w:val="auto"/>
                <w:spacing w:val="-2"/>
                <w:sz w:val="21"/>
                <w:szCs w:val="22"/>
                <w:highlight w:val="none"/>
              </w:rPr>
              <w:t>0</w:t>
            </w:r>
            <w:r>
              <w:rPr>
                <w:rFonts w:hint="eastAsia" w:ascii="宋体" w:hAnsi="宋体" w:cs="Times New Roman"/>
                <w:color w:val="auto"/>
                <w:spacing w:val="-2"/>
                <w:sz w:val="21"/>
                <w:szCs w:val="22"/>
                <w:highlight w:val="none"/>
                <w:lang w:val="en-US" w:eastAsia="zh-CN"/>
              </w:rPr>
              <w:t>.00</w:t>
            </w:r>
            <w:r>
              <w:rPr>
                <w:rFonts w:hint="eastAsia" w:ascii="宋体" w:hAnsi="宋体" w:cs="Times New Roman"/>
                <w:color w:val="auto"/>
                <w:spacing w:val="-2"/>
                <w:sz w:val="21"/>
                <w:szCs w:val="22"/>
                <w:highlight w:val="none"/>
              </w:rPr>
              <w:t>元</w:t>
            </w:r>
            <w:r>
              <w:rPr>
                <w:rFonts w:hint="eastAsia" w:ascii="宋体" w:hAnsi="宋体" w:cs="Times New Roman"/>
                <w:color w:val="auto"/>
                <w:spacing w:val="-2"/>
                <w:sz w:val="21"/>
                <w:szCs w:val="22"/>
                <w:highlight w:val="none"/>
                <w:lang w:val="en-US" w:eastAsia="zh-CN"/>
              </w:rPr>
              <w:t>（超过</w:t>
            </w:r>
            <w:r>
              <w:rPr>
                <w:rFonts w:hint="eastAsia" w:ascii="宋体" w:hAnsi="宋体" w:cs="Times New Roman"/>
                <w:spacing w:val="-2"/>
                <w:sz w:val="21"/>
                <w:szCs w:val="22"/>
                <w:highlight w:val="none"/>
                <w:lang w:val="en-US" w:eastAsia="zh-CN"/>
              </w:rPr>
              <w:t>最高限价的按废标</w:t>
            </w:r>
            <w:r>
              <w:rPr>
                <w:rFonts w:hint="eastAsia" w:ascii="宋体" w:hAnsi="宋体" w:eastAsia="宋体"/>
                <w:spacing w:val="-1"/>
                <w:sz w:val="21"/>
                <w:szCs w:val="22"/>
                <w:highlight w:val="none"/>
                <w:lang w:val="en-US" w:eastAsia="zh-CN"/>
              </w:rPr>
              <w:t>处理）</w:t>
            </w:r>
          </w:p>
        </w:tc>
      </w:tr>
      <w:tr>
        <w:tblPrEx>
          <w:tblCellMar>
            <w:top w:w="0" w:type="dxa"/>
            <w:left w:w="108" w:type="dxa"/>
            <w:bottom w:w="0" w:type="dxa"/>
            <w:right w:w="108" w:type="dxa"/>
          </w:tblCellMar>
        </w:tblPrEx>
        <w:trPr>
          <w:trHeight w:val="733" w:hRule="exact"/>
        </w:trPr>
        <w:tc>
          <w:tcPr>
            <w:tcW w:w="87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eastAsia="Calibri"/>
                <w:spacing w:val="-1"/>
                <w:sz w:val="21"/>
              </w:rPr>
              <w:t>3.2.5</w:t>
            </w:r>
          </w:p>
        </w:tc>
        <w:tc>
          <w:tcPr>
            <w:tcW w:w="19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jc w:val="center"/>
              <w:rPr>
                <w:rFonts w:ascii="宋体" w:hAnsi="宋体"/>
                <w:spacing w:val="-3"/>
                <w:sz w:val="21"/>
              </w:rPr>
            </w:pPr>
            <w:r>
              <w:rPr>
                <w:rFonts w:hint="eastAsia" w:ascii="宋体" w:hAnsi="宋体"/>
                <w:spacing w:val="-3"/>
                <w:sz w:val="21"/>
              </w:rPr>
              <w:t>投标报价的</w:t>
            </w:r>
          </w:p>
          <w:p>
            <w:pPr>
              <w:pStyle w:val="45"/>
              <w:kinsoku w:val="0"/>
              <w:overflowPunct w:val="0"/>
              <w:spacing w:line="360" w:lineRule="auto"/>
              <w:jc w:val="center"/>
            </w:pPr>
            <w:r>
              <w:rPr>
                <w:rFonts w:hint="eastAsia" w:ascii="宋体" w:hAnsi="宋体"/>
                <w:spacing w:val="-3"/>
                <w:sz w:val="21"/>
              </w:rPr>
              <w:t>其他要求</w:t>
            </w:r>
          </w:p>
        </w:tc>
        <w:tc>
          <w:tcPr>
            <w:tcW w:w="64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2"/>
              <w:jc w:val="both"/>
            </w:pPr>
            <w:r>
              <w:rPr>
                <w:rFonts w:hint="eastAsia" w:ascii="宋体" w:hAnsi="宋体"/>
                <w:sz w:val="21"/>
              </w:rPr>
              <w:t>无</w:t>
            </w:r>
          </w:p>
        </w:tc>
      </w:tr>
      <w:tr>
        <w:tblPrEx>
          <w:tblCellMar>
            <w:top w:w="0" w:type="dxa"/>
            <w:left w:w="108" w:type="dxa"/>
            <w:bottom w:w="0" w:type="dxa"/>
            <w:right w:w="108" w:type="dxa"/>
          </w:tblCellMar>
        </w:tblPrEx>
        <w:trPr>
          <w:trHeight w:val="463" w:hRule="exact"/>
        </w:trPr>
        <w:tc>
          <w:tcPr>
            <w:tcW w:w="87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eastAsia="Calibri"/>
                <w:spacing w:val="-1"/>
                <w:sz w:val="21"/>
              </w:rPr>
              <w:t>3.3.1</w:t>
            </w:r>
          </w:p>
        </w:tc>
        <w:tc>
          <w:tcPr>
            <w:tcW w:w="19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jc w:val="center"/>
            </w:pPr>
            <w:r>
              <w:rPr>
                <w:rFonts w:hint="eastAsia" w:ascii="宋体" w:hAnsi="宋体"/>
                <w:spacing w:val="-1"/>
                <w:sz w:val="21"/>
              </w:rPr>
              <w:t>投标有效期</w:t>
            </w:r>
          </w:p>
        </w:tc>
        <w:tc>
          <w:tcPr>
            <w:tcW w:w="64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2"/>
              <w:jc w:val="both"/>
            </w:pPr>
            <w:r>
              <w:rPr>
                <w:rFonts w:hint="eastAsia"/>
                <w:spacing w:val="-1"/>
                <w:sz w:val="21"/>
              </w:rPr>
              <w:t>6</w:t>
            </w:r>
            <w:r>
              <w:rPr>
                <w:rFonts w:eastAsia="Calibri"/>
                <w:spacing w:val="-1"/>
                <w:sz w:val="21"/>
              </w:rPr>
              <w:t>0</w:t>
            </w:r>
            <w:r>
              <w:rPr>
                <w:rFonts w:hint="eastAsia" w:ascii="宋体" w:hAnsi="宋体"/>
                <w:spacing w:val="-1"/>
                <w:sz w:val="21"/>
              </w:rPr>
              <w:t>日历天</w:t>
            </w:r>
          </w:p>
        </w:tc>
      </w:tr>
      <w:tr>
        <w:tblPrEx>
          <w:tblCellMar>
            <w:top w:w="0" w:type="dxa"/>
            <w:left w:w="108" w:type="dxa"/>
            <w:bottom w:w="0" w:type="dxa"/>
            <w:right w:w="108" w:type="dxa"/>
          </w:tblCellMar>
        </w:tblPrEx>
        <w:trPr>
          <w:trHeight w:val="942" w:hRule="exact"/>
        </w:trPr>
        <w:tc>
          <w:tcPr>
            <w:tcW w:w="87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eastAsia="Calibri"/>
                <w:sz w:val="20"/>
              </w:rPr>
            </w:pPr>
            <w:r>
              <w:rPr>
                <w:rFonts w:hint="eastAsia" w:eastAsia="Calibri"/>
                <w:spacing w:val="-1"/>
                <w:sz w:val="21"/>
                <w:szCs w:val="22"/>
                <w:lang w:val="en-US" w:eastAsia="zh-CN"/>
              </w:rPr>
              <w:t>3.3.1</w:t>
            </w:r>
          </w:p>
          <w:p>
            <w:pPr>
              <w:pStyle w:val="45"/>
              <w:kinsoku w:val="0"/>
              <w:overflowPunct w:val="0"/>
              <w:spacing w:line="360" w:lineRule="auto"/>
              <w:rPr>
                <w:rFonts w:eastAsia="Calibri"/>
                <w:sz w:val="20"/>
              </w:rPr>
            </w:pPr>
          </w:p>
          <w:p>
            <w:pPr>
              <w:pStyle w:val="45"/>
              <w:kinsoku w:val="0"/>
              <w:overflowPunct w:val="0"/>
              <w:spacing w:line="360" w:lineRule="auto"/>
              <w:rPr>
                <w:rFonts w:eastAsia="Calibri"/>
                <w:sz w:val="20"/>
              </w:rPr>
            </w:pPr>
          </w:p>
          <w:p>
            <w:pPr>
              <w:pStyle w:val="45"/>
              <w:kinsoku w:val="0"/>
              <w:overflowPunct w:val="0"/>
              <w:spacing w:line="360" w:lineRule="auto"/>
              <w:rPr>
                <w:rFonts w:eastAsia="Calibri"/>
                <w:sz w:val="20"/>
              </w:rPr>
            </w:pPr>
          </w:p>
          <w:p>
            <w:pPr>
              <w:pStyle w:val="45"/>
              <w:kinsoku w:val="0"/>
              <w:overflowPunct w:val="0"/>
              <w:spacing w:line="360" w:lineRule="auto"/>
              <w:rPr>
                <w:rFonts w:eastAsia="Calibri"/>
                <w:sz w:val="20"/>
              </w:rPr>
            </w:pPr>
          </w:p>
          <w:p>
            <w:pPr>
              <w:pStyle w:val="45"/>
              <w:kinsoku w:val="0"/>
              <w:overflowPunct w:val="0"/>
              <w:spacing w:line="360" w:lineRule="auto"/>
              <w:rPr>
                <w:rFonts w:eastAsia="Calibri"/>
                <w:sz w:val="22"/>
              </w:rPr>
            </w:pPr>
          </w:p>
          <w:p>
            <w:pPr>
              <w:pStyle w:val="45"/>
              <w:kinsoku w:val="0"/>
              <w:overflowPunct w:val="0"/>
              <w:spacing w:line="360" w:lineRule="auto"/>
              <w:ind w:left="363"/>
            </w:pPr>
            <w:r>
              <w:rPr>
                <w:rFonts w:eastAsia="Calibri"/>
                <w:spacing w:val="-1"/>
                <w:sz w:val="21"/>
              </w:rPr>
              <w:t>3.4.1</w:t>
            </w:r>
          </w:p>
        </w:tc>
        <w:tc>
          <w:tcPr>
            <w:tcW w:w="19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eastAsia="Calibri"/>
                <w:sz w:val="20"/>
              </w:rPr>
            </w:pPr>
          </w:p>
          <w:p>
            <w:pPr>
              <w:pStyle w:val="45"/>
              <w:kinsoku w:val="0"/>
              <w:overflowPunct w:val="0"/>
              <w:spacing w:line="360" w:lineRule="auto"/>
              <w:jc w:val="center"/>
            </w:pPr>
            <w:r>
              <w:rPr>
                <w:rFonts w:hint="eastAsia" w:ascii="宋体" w:hAnsi="宋体"/>
                <w:spacing w:val="-1"/>
                <w:sz w:val="21"/>
              </w:rPr>
              <w:t>投标保证金</w:t>
            </w:r>
          </w:p>
        </w:tc>
        <w:tc>
          <w:tcPr>
            <w:tcW w:w="6480" w:type="dxa"/>
            <w:tcBorders>
              <w:top w:val="single" w:color="000000" w:sz="4" w:space="0"/>
              <w:left w:val="single" w:color="000000" w:sz="4" w:space="0"/>
              <w:bottom w:val="single" w:color="000000" w:sz="4" w:space="0"/>
              <w:right w:val="single" w:color="000000" w:sz="4" w:space="0"/>
              <w:tl2br w:val="nil"/>
              <w:tr2bl w:val="nil"/>
            </w:tcBorders>
            <w:noWrap/>
          </w:tcPr>
          <w:p>
            <w:pPr>
              <w:spacing w:line="400" w:lineRule="exact"/>
              <w:rPr>
                <w:rFonts w:ascii="宋体" w:hAnsi="宋体" w:cs="宋体"/>
                <w:b/>
                <w:bCs/>
                <w:color w:val="000000"/>
                <w:sz w:val="21"/>
                <w:szCs w:val="21"/>
              </w:rPr>
            </w:pPr>
            <w:r>
              <w:rPr>
                <w:rFonts w:hint="eastAsia" w:ascii="宋体" w:hAnsi="宋体" w:cs="宋体"/>
                <w:b/>
                <w:bCs/>
                <w:color w:val="000000"/>
                <w:sz w:val="21"/>
                <w:szCs w:val="21"/>
              </w:rPr>
              <w:t>投标保证金：</w:t>
            </w:r>
            <w:r>
              <w:rPr>
                <w:rFonts w:hint="eastAsia" w:ascii="宋体" w:hAnsi="宋体" w:cs="宋体"/>
                <w:b/>
                <w:bCs/>
                <w:sz w:val="21"/>
                <w:szCs w:val="21"/>
              </w:rPr>
              <w:t>本项目不需缴纳投标保证金(根据河南省财政厅文件豫财购{2019}4号规定）。</w:t>
            </w:r>
          </w:p>
          <w:p>
            <w:pPr>
              <w:pStyle w:val="45"/>
              <w:kinsoku w:val="0"/>
              <w:overflowPunct w:val="0"/>
              <w:spacing w:line="360" w:lineRule="auto"/>
              <w:ind w:left="-2" w:right="-8"/>
            </w:pPr>
          </w:p>
        </w:tc>
      </w:tr>
      <w:tr>
        <w:tblPrEx>
          <w:tblCellMar>
            <w:top w:w="0" w:type="dxa"/>
            <w:left w:w="108" w:type="dxa"/>
            <w:bottom w:w="0" w:type="dxa"/>
            <w:right w:w="108" w:type="dxa"/>
          </w:tblCellMar>
        </w:tblPrEx>
        <w:trPr>
          <w:trHeight w:val="691" w:hRule="exact"/>
        </w:trPr>
        <w:tc>
          <w:tcPr>
            <w:tcW w:w="87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eastAsia="Calibri"/>
                <w:spacing w:val="-1"/>
                <w:sz w:val="21"/>
              </w:rPr>
              <w:t>3.4.4</w:t>
            </w:r>
          </w:p>
        </w:tc>
        <w:tc>
          <w:tcPr>
            <w:tcW w:w="19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4"/>
            </w:pPr>
            <w:r>
              <w:rPr>
                <w:rFonts w:hint="eastAsia" w:ascii="宋体" w:hAnsi="宋体"/>
                <w:spacing w:val="-2"/>
                <w:sz w:val="21"/>
              </w:rPr>
              <w:t>其他可以不予退还投标保证金的情形</w:t>
            </w:r>
          </w:p>
        </w:tc>
        <w:tc>
          <w:tcPr>
            <w:tcW w:w="64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104"/>
              <w:jc w:val="left"/>
            </w:pPr>
            <w:r>
              <w:rPr>
                <w:rFonts w:hint="eastAsia" w:ascii="宋体" w:hAnsi="宋体"/>
                <w:sz w:val="21"/>
              </w:rPr>
              <w:t>/</w:t>
            </w:r>
          </w:p>
        </w:tc>
      </w:tr>
      <w:tr>
        <w:tblPrEx>
          <w:tblCellMar>
            <w:top w:w="0" w:type="dxa"/>
            <w:left w:w="108" w:type="dxa"/>
            <w:bottom w:w="0" w:type="dxa"/>
            <w:right w:w="108" w:type="dxa"/>
          </w:tblCellMar>
        </w:tblPrEx>
        <w:trPr>
          <w:trHeight w:val="733" w:hRule="exact"/>
        </w:trPr>
        <w:tc>
          <w:tcPr>
            <w:tcW w:w="87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eastAsia="Calibri"/>
                <w:spacing w:val="-1"/>
                <w:sz w:val="21"/>
              </w:rPr>
              <w:t>3.5</w:t>
            </w:r>
          </w:p>
        </w:tc>
        <w:tc>
          <w:tcPr>
            <w:tcW w:w="19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hint="eastAsia" w:ascii="宋体" w:hAnsi="宋体"/>
                <w:spacing w:val="-3"/>
                <w:sz w:val="21"/>
              </w:rPr>
              <w:t>资格审查资料的特殊要求</w:t>
            </w:r>
          </w:p>
        </w:tc>
        <w:tc>
          <w:tcPr>
            <w:tcW w:w="64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102"/>
              <w:jc w:val="both"/>
            </w:pPr>
            <w:r>
              <w:rPr>
                <w:rFonts w:hint="eastAsia" w:ascii="宋体" w:hAnsi="宋体"/>
                <w:sz w:val="21"/>
              </w:rPr>
              <w:t>无</w:t>
            </w:r>
          </w:p>
        </w:tc>
      </w:tr>
      <w:tr>
        <w:tblPrEx>
          <w:tblCellMar>
            <w:top w:w="0" w:type="dxa"/>
            <w:left w:w="108" w:type="dxa"/>
            <w:bottom w:w="0" w:type="dxa"/>
            <w:right w:w="108" w:type="dxa"/>
          </w:tblCellMar>
        </w:tblPrEx>
        <w:trPr>
          <w:trHeight w:val="716" w:hRule="exact"/>
        </w:trPr>
        <w:tc>
          <w:tcPr>
            <w:tcW w:w="87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eastAsia="Calibri"/>
                <w:spacing w:val="-1"/>
                <w:sz w:val="21"/>
              </w:rPr>
              <w:t>3.5.5</w:t>
            </w:r>
          </w:p>
        </w:tc>
        <w:tc>
          <w:tcPr>
            <w:tcW w:w="19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4"/>
              <w:rPr>
                <w:color w:val="auto"/>
                <w:highlight w:val="none"/>
              </w:rPr>
            </w:pPr>
            <w:r>
              <w:rPr>
                <w:rFonts w:hint="eastAsia" w:ascii="宋体" w:hAnsi="宋体"/>
                <w:color w:val="auto"/>
                <w:spacing w:val="-2"/>
                <w:sz w:val="21"/>
                <w:highlight w:val="none"/>
              </w:rPr>
              <w:t>近年完成的类似项目情况的时间要求</w:t>
            </w:r>
          </w:p>
        </w:tc>
        <w:tc>
          <w:tcPr>
            <w:tcW w:w="64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2"/>
              <w:jc w:val="both"/>
              <w:rPr>
                <w:color w:val="auto"/>
                <w:highlight w:val="none"/>
              </w:rPr>
            </w:pPr>
            <w:r>
              <w:rPr>
                <w:rFonts w:eastAsia="Calibri"/>
                <w:color w:val="auto"/>
                <w:spacing w:val="-1"/>
                <w:sz w:val="21"/>
                <w:highlight w:val="none"/>
              </w:rPr>
              <w:t>2016</w:t>
            </w:r>
            <w:r>
              <w:rPr>
                <w:rFonts w:hint="eastAsia" w:ascii="宋体" w:hAnsi="宋体"/>
                <w:color w:val="auto"/>
                <w:spacing w:val="-1"/>
                <w:sz w:val="21"/>
                <w:highlight w:val="none"/>
              </w:rPr>
              <w:t>年</w:t>
            </w:r>
            <w:r>
              <w:rPr>
                <w:rFonts w:eastAsia="Calibri"/>
                <w:color w:val="auto"/>
                <w:sz w:val="21"/>
                <w:highlight w:val="none"/>
              </w:rPr>
              <w:t>1</w:t>
            </w:r>
            <w:r>
              <w:rPr>
                <w:rFonts w:hint="eastAsia" w:ascii="宋体" w:hAnsi="宋体"/>
                <w:color w:val="auto"/>
                <w:sz w:val="21"/>
                <w:highlight w:val="none"/>
              </w:rPr>
              <w:t>月</w:t>
            </w:r>
            <w:r>
              <w:rPr>
                <w:rFonts w:eastAsia="Calibri"/>
                <w:color w:val="auto"/>
                <w:spacing w:val="-2"/>
                <w:sz w:val="21"/>
                <w:highlight w:val="none"/>
              </w:rPr>
              <w:t>1</w:t>
            </w:r>
            <w:r>
              <w:rPr>
                <w:rFonts w:hint="eastAsia" w:ascii="宋体" w:hAnsi="宋体"/>
                <w:color w:val="auto"/>
                <w:spacing w:val="-2"/>
                <w:sz w:val="21"/>
                <w:highlight w:val="none"/>
              </w:rPr>
              <w:t>日以来</w:t>
            </w:r>
          </w:p>
        </w:tc>
      </w:tr>
      <w:tr>
        <w:tblPrEx>
          <w:tblCellMar>
            <w:top w:w="0" w:type="dxa"/>
            <w:left w:w="108" w:type="dxa"/>
            <w:bottom w:w="0" w:type="dxa"/>
            <w:right w:w="108" w:type="dxa"/>
          </w:tblCellMar>
        </w:tblPrEx>
        <w:trPr>
          <w:trHeight w:val="708" w:hRule="exact"/>
        </w:trPr>
        <w:tc>
          <w:tcPr>
            <w:tcW w:w="87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eastAsia="Calibri"/>
                <w:spacing w:val="-1"/>
                <w:sz w:val="21"/>
              </w:rPr>
              <w:t>3.6.1</w:t>
            </w:r>
          </w:p>
        </w:tc>
        <w:tc>
          <w:tcPr>
            <w:tcW w:w="19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hint="eastAsia" w:ascii="宋体" w:hAnsi="宋体"/>
                <w:spacing w:val="-3"/>
                <w:sz w:val="21"/>
              </w:rPr>
              <w:t>是否允许递交备选投标方案</w:t>
            </w:r>
          </w:p>
        </w:tc>
        <w:tc>
          <w:tcPr>
            <w:tcW w:w="64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102"/>
              <w:jc w:val="both"/>
            </w:pPr>
            <w:r>
              <w:rPr>
                <w:rFonts w:hint="eastAsia" w:ascii="宋体" w:hAnsi="宋体"/>
                <w:sz w:val="21"/>
              </w:rPr>
              <w:t>不允许</w:t>
            </w:r>
          </w:p>
        </w:tc>
      </w:tr>
      <w:tr>
        <w:tblPrEx>
          <w:tblCellMar>
            <w:top w:w="0" w:type="dxa"/>
            <w:left w:w="108" w:type="dxa"/>
            <w:bottom w:w="0" w:type="dxa"/>
            <w:right w:w="108" w:type="dxa"/>
          </w:tblCellMar>
        </w:tblPrEx>
        <w:trPr>
          <w:trHeight w:val="3861" w:hRule="exact"/>
        </w:trPr>
        <w:tc>
          <w:tcPr>
            <w:tcW w:w="87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eastAsia="Calibri"/>
                <w:sz w:val="22"/>
              </w:rPr>
            </w:pPr>
          </w:p>
          <w:p>
            <w:pPr>
              <w:pStyle w:val="45"/>
              <w:kinsoku w:val="0"/>
              <w:overflowPunct w:val="0"/>
              <w:spacing w:line="360" w:lineRule="auto"/>
              <w:ind w:right="-26"/>
            </w:pPr>
            <w:r>
              <w:rPr>
                <w:rFonts w:eastAsia="Calibri"/>
                <w:sz w:val="21"/>
              </w:rPr>
              <w:t>3</w:t>
            </w:r>
            <w:r>
              <w:rPr>
                <w:rFonts w:eastAsia="Calibri"/>
                <w:spacing w:val="-1"/>
                <w:sz w:val="21"/>
              </w:rPr>
              <w:t>.7</w:t>
            </w:r>
            <w:r>
              <w:rPr>
                <w:rFonts w:eastAsia="Calibri"/>
                <w:spacing w:val="-2"/>
                <w:sz w:val="21"/>
              </w:rPr>
              <w:t>.</w:t>
            </w:r>
            <w:r>
              <w:rPr>
                <w:rFonts w:hint="eastAsia"/>
                <w:spacing w:val="-2"/>
                <w:sz w:val="21"/>
              </w:rPr>
              <w:t>1</w:t>
            </w:r>
          </w:p>
        </w:tc>
        <w:tc>
          <w:tcPr>
            <w:tcW w:w="198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eastAsia="Calibri"/>
                <w:sz w:val="20"/>
              </w:rPr>
            </w:pPr>
          </w:p>
          <w:p>
            <w:pPr>
              <w:pStyle w:val="45"/>
              <w:kinsoku w:val="0"/>
              <w:overflowPunct w:val="0"/>
              <w:spacing w:line="360" w:lineRule="auto"/>
              <w:rPr>
                <w:rFonts w:eastAsia="Calibri"/>
                <w:sz w:val="20"/>
              </w:rPr>
            </w:pPr>
          </w:p>
          <w:p>
            <w:pPr>
              <w:pStyle w:val="45"/>
              <w:kinsoku w:val="0"/>
              <w:overflowPunct w:val="0"/>
              <w:spacing w:line="360" w:lineRule="auto"/>
              <w:ind w:left="310"/>
            </w:pPr>
            <w:r>
              <w:rPr>
                <w:rFonts w:hint="eastAsia" w:ascii="宋体" w:hAnsi="宋体"/>
                <w:spacing w:val="-2"/>
                <w:sz w:val="21"/>
              </w:rPr>
              <w:t>投标文件递交</w:t>
            </w:r>
          </w:p>
        </w:tc>
        <w:tc>
          <w:tcPr>
            <w:tcW w:w="6480" w:type="dxa"/>
            <w:tcBorders>
              <w:top w:val="single" w:color="000000" w:sz="4" w:space="0"/>
              <w:left w:val="single" w:color="000000" w:sz="4" w:space="0"/>
              <w:bottom w:val="single" w:color="000000" w:sz="4" w:space="0"/>
              <w:right w:val="single" w:color="000000" w:sz="4" w:space="0"/>
              <w:tl2br w:val="nil"/>
              <w:tr2bl w:val="nil"/>
            </w:tcBorders>
            <w:noWrap/>
          </w:tcPr>
          <w:p>
            <w:pPr>
              <w:rPr>
                <w:rFonts w:hint="eastAsia" w:ascii="宋体" w:hAnsi="宋体" w:eastAsia="宋体" w:cs="Times New Roman"/>
                <w:sz w:val="21"/>
                <w:szCs w:val="22"/>
                <w:lang w:val="en-US" w:eastAsia="zh-CN" w:bidi="ar-SA"/>
              </w:rPr>
            </w:pPr>
            <w:r>
              <w:rPr>
                <w:rFonts w:hint="eastAsia" w:ascii="宋体" w:hAnsi="宋体" w:eastAsia="宋体" w:cs="Times New Roman"/>
                <w:sz w:val="21"/>
                <w:szCs w:val="22"/>
                <w:lang w:val="en-US" w:eastAsia="zh-CN" w:bidi="ar-SA"/>
              </w:rPr>
              <w:t>一、电子投标文件递交</w:t>
            </w:r>
          </w:p>
          <w:p>
            <w:pPr>
              <w:rPr>
                <w:rFonts w:hint="eastAsia" w:ascii="宋体" w:hAnsi="宋体" w:eastAsia="宋体" w:cs="Times New Roman"/>
                <w:sz w:val="21"/>
                <w:szCs w:val="22"/>
                <w:lang w:val="en-US" w:eastAsia="zh-CN" w:bidi="ar-SA"/>
              </w:rPr>
            </w:pPr>
            <w:r>
              <w:rPr>
                <w:rFonts w:hint="eastAsia" w:ascii="宋体" w:hAnsi="宋体" w:eastAsia="宋体" w:cs="Times New Roman"/>
                <w:sz w:val="21"/>
                <w:szCs w:val="22"/>
                <w:lang w:val="en-US" w:eastAsia="zh-CN" w:bidi="ar-SA"/>
              </w:rPr>
              <w:t>投标人应在规定的投标截止时间前完成投标文件的递交。电子投标文件（格式为:.tbdat），投标人上传时必须得到系统“上传成功”的确认回复，并认真检查电子投标文件是否完整、正确。未在投标截止时间前完成上传或送达的，视为逾期送达。逾期上传的投标文件，招标人不予受理。递交网址：http://139.9.119.230:18082/HMROOT/</w:t>
            </w:r>
          </w:p>
          <w:p>
            <w:pPr>
              <w:rPr>
                <w:rFonts w:hint="eastAsia" w:ascii="宋体" w:hAnsi="宋体" w:eastAsia="宋体" w:cs="Times New Roman"/>
                <w:sz w:val="21"/>
                <w:szCs w:val="22"/>
                <w:lang w:val="en-US" w:eastAsia="zh-CN" w:bidi="ar-SA"/>
              </w:rPr>
            </w:pPr>
            <w:r>
              <w:rPr>
                <w:rFonts w:hint="eastAsia" w:ascii="宋体" w:hAnsi="宋体" w:eastAsia="宋体" w:cs="Times New Roman"/>
                <w:sz w:val="21"/>
                <w:szCs w:val="22"/>
                <w:lang w:val="en-US" w:eastAsia="zh-CN" w:bidi="ar-SA"/>
              </w:rPr>
              <w:t>二、备份电子投标文件的提交</w:t>
            </w:r>
          </w:p>
          <w:p>
            <w:pPr>
              <w:rPr>
                <w:rFonts w:hint="eastAsia" w:ascii="宋体" w:hAnsi="宋体" w:eastAsia="宋体" w:cs="Times New Roman"/>
                <w:sz w:val="21"/>
                <w:szCs w:val="22"/>
                <w:lang w:val="en-US" w:eastAsia="zh-CN" w:bidi="ar-SA"/>
              </w:rPr>
            </w:pPr>
            <w:r>
              <w:rPr>
                <w:rFonts w:hint="eastAsia" w:ascii="宋体" w:hAnsi="宋体" w:eastAsia="宋体" w:cs="Times New Roman"/>
                <w:sz w:val="21"/>
                <w:szCs w:val="22"/>
                <w:lang w:val="en-US" w:eastAsia="zh-CN" w:bidi="ar-SA"/>
              </w:rPr>
              <w:t>（1）电子版备份文件应将《公共资源交易平台投标文件制作系统》生成的电子版文件压缩后放入U盘（贰份）。</w:t>
            </w:r>
          </w:p>
          <w:p>
            <w:pPr>
              <w:rPr>
                <w:rFonts w:hint="eastAsia" w:ascii="宋体" w:hAnsi="宋体" w:eastAsia="宋体" w:cs="Times New Roman"/>
                <w:sz w:val="21"/>
                <w:szCs w:val="22"/>
                <w:lang w:val="en-US" w:eastAsia="zh-CN" w:bidi="ar-SA"/>
              </w:rPr>
            </w:pPr>
            <w:r>
              <w:rPr>
                <w:rFonts w:hint="eastAsia" w:ascii="宋体" w:hAnsi="宋体" w:eastAsia="宋体" w:cs="Times New Roman"/>
                <w:sz w:val="21"/>
                <w:szCs w:val="22"/>
                <w:lang w:val="en-US" w:eastAsia="zh-CN" w:bidi="ar-SA"/>
              </w:rPr>
              <w:t>（2）上述U盘应单独密封，外包封上须显示“投标人名称、项目名称，在</w:t>
            </w:r>
            <w:r>
              <w:rPr>
                <w:rFonts w:hint="eastAsia" w:ascii="宋体" w:hAnsi="宋体" w:cs="Times New Roman"/>
                <w:sz w:val="21"/>
                <w:szCs w:val="22"/>
                <w:lang w:val="en-US" w:eastAsia="zh-CN" w:bidi="ar-SA"/>
              </w:rPr>
              <w:t xml:space="preserve"> </w:t>
            </w:r>
            <w:r>
              <w:rPr>
                <w:rFonts w:hint="eastAsia" w:ascii="宋体" w:hAnsi="宋体" w:eastAsia="宋体" w:cs="Times New Roman"/>
                <w:sz w:val="21"/>
                <w:szCs w:val="22"/>
                <w:lang w:val="en-US" w:eastAsia="zh-CN" w:bidi="ar-SA"/>
              </w:rPr>
              <w:t>年</w:t>
            </w:r>
            <w:r>
              <w:rPr>
                <w:rFonts w:hint="eastAsia" w:ascii="宋体" w:hAnsi="宋体" w:cs="Times New Roman"/>
                <w:sz w:val="21"/>
                <w:szCs w:val="22"/>
                <w:lang w:val="en-US" w:eastAsia="zh-CN" w:bidi="ar-SA"/>
              </w:rPr>
              <w:t xml:space="preserve"> </w:t>
            </w:r>
            <w:r>
              <w:rPr>
                <w:rFonts w:hint="eastAsia" w:ascii="宋体" w:hAnsi="宋体" w:eastAsia="宋体" w:cs="Times New Roman"/>
                <w:sz w:val="21"/>
                <w:szCs w:val="22"/>
                <w:lang w:val="en-US" w:eastAsia="zh-CN" w:bidi="ar-SA"/>
              </w:rPr>
              <w:t>月  日  时</w:t>
            </w:r>
            <w:r>
              <w:rPr>
                <w:rFonts w:hint="eastAsia" w:ascii="宋体" w:hAnsi="宋体" w:cs="Times New Roman"/>
                <w:sz w:val="21"/>
                <w:szCs w:val="22"/>
                <w:lang w:val="en-US" w:eastAsia="zh-CN" w:bidi="ar-SA"/>
              </w:rPr>
              <w:t xml:space="preserve"> 分</w:t>
            </w:r>
            <w:r>
              <w:rPr>
                <w:rFonts w:hint="eastAsia" w:ascii="宋体" w:hAnsi="宋体" w:eastAsia="宋体" w:cs="Times New Roman"/>
                <w:sz w:val="21"/>
                <w:szCs w:val="22"/>
                <w:lang w:val="en-US" w:eastAsia="zh-CN" w:bidi="ar-SA"/>
              </w:rPr>
              <w:t>前不得开启”。</w:t>
            </w:r>
          </w:p>
          <w:p>
            <w:r>
              <w:rPr>
                <w:rFonts w:hint="eastAsia" w:ascii="宋体" w:hAnsi="宋体" w:eastAsia="宋体" w:cs="Times New Roman"/>
                <w:sz w:val="21"/>
                <w:szCs w:val="22"/>
                <w:lang w:val="en-US" w:eastAsia="zh-CN" w:bidi="ar-SA"/>
              </w:rPr>
              <w:t>（3）上述U盘外包封应加盖单位公章及法定代表人或委托代理人签名，在开标时递交。</w:t>
            </w:r>
          </w:p>
        </w:tc>
      </w:tr>
      <w:tr>
        <w:tblPrEx>
          <w:tblCellMar>
            <w:top w:w="0" w:type="dxa"/>
            <w:left w:w="108" w:type="dxa"/>
            <w:bottom w:w="0" w:type="dxa"/>
            <w:right w:w="108" w:type="dxa"/>
          </w:tblCellMar>
        </w:tblPrEx>
        <w:trPr>
          <w:trHeight w:val="3266" w:hRule="exact"/>
        </w:trPr>
        <w:tc>
          <w:tcPr>
            <w:tcW w:w="87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right="-26"/>
              <w:rPr>
                <w:rFonts w:hint="default" w:eastAsia="宋体"/>
                <w:sz w:val="21"/>
                <w:lang w:val="en-US" w:eastAsia="zh-CN"/>
              </w:rPr>
            </w:pPr>
            <w:r>
              <w:rPr>
                <w:rFonts w:hint="eastAsia" w:eastAsia="宋体"/>
                <w:sz w:val="21"/>
                <w:lang w:val="en-US" w:eastAsia="zh-CN"/>
              </w:rPr>
              <w:t>3.7.2</w:t>
            </w:r>
          </w:p>
        </w:tc>
        <w:tc>
          <w:tcPr>
            <w:tcW w:w="19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Times New Roman"/>
                <w:spacing w:val="-2"/>
                <w:sz w:val="21"/>
                <w:szCs w:val="22"/>
                <w:lang w:val="en-US" w:eastAsia="zh-CN" w:bidi="ar-SA"/>
              </w:rPr>
            </w:pPr>
            <w:r>
              <w:rPr>
                <w:rFonts w:hint="eastAsia" w:ascii="宋体" w:hAnsi="宋体" w:eastAsia="宋体" w:cs="Times New Roman"/>
                <w:spacing w:val="-2"/>
                <w:sz w:val="21"/>
                <w:szCs w:val="22"/>
                <w:lang w:val="en-US" w:eastAsia="zh-CN" w:bidi="ar-SA"/>
              </w:rPr>
              <w:t>签字或盖章要求</w:t>
            </w:r>
          </w:p>
        </w:tc>
        <w:tc>
          <w:tcPr>
            <w:tcW w:w="64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Times New Roman"/>
                <w:spacing w:val="-2"/>
                <w:sz w:val="21"/>
                <w:szCs w:val="22"/>
                <w:lang w:val="en-US" w:eastAsia="zh-CN" w:bidi="ar-SA"/>
              </w:rPr>
            </w:pPr>
            <w:r>
              <w:rPr>
                <w:rFonts w:hint="eastAsia" w:ascii="宋体" w:hAnsi="宋体" w:eastAsia="宋体" w:cs="Times New Roman"/>
                <w:spacing w:val="-2"/>
                <w:sz w:val="21"/>
                <w:szCs w:val="22"/>
                <w:lang w:val="en-US" w:eastAsia="zh-CN" w:bidi="ar-SA"/>
              </w:rPr>
              <w:t>（1）电子档投标文件，按系统要求进行递交，根据招标文件的要求地方加盖电子签章。</w:t>
            </w:r>
          </w:p>
          <w:p>
            <w:pPr>
              <w:rPr>
                <w:rFonts w:hint="eastAsia" w:ascii="宋体" w:hAnsi="宋体" w:eastAsia="宋体" w:cs="Times New Roman"/>
                <w:spacing w:val="-2"/>
                <w:sz w:val="21"/>
                <w:szCs w:val="22"/>
                <w:lang w:val="en-US" w:eastAsia="zh-CN" w:bidi="ar-SA"/>
              </w:rPr>
            </w:pPr>
            <w:r>
              <w:rPr>
                <w:rFonts w:hint="eastAsia" w:ascii="宋体" w:hAnsi="宋体" w:eastAsia="宋体" w:cs="Times New Roman"/>
                <w:spacing w:val="-2"/>
                <w:sz w:val="21"/>
                <w:szCs w:val="22"/>
                <w:lang w:val="en-US" w:eastAsia="zh-CN" w:bidi="ar-SA"/>
              </w:rPr>
              <w:t>（2） 所有要求投标人加盖公章的地方都应用投标人单位的 CA 密匙盖电子签章；所有要求法定代表人或其委托代理人签字或盖章的地方都应用法定代表人或其委托代理人的CA密匙盖电子签章，如投标人的法定代表人或委托代理人未办理CA密匙的，投标人须将要求法定代表人或其委托代理人签字或盖章的地方用法定代表人或委托代理人签字后的扫描图片替换到相应格式中。</w:t>
            </w:r>
          </w:p>
          <w:p>
            <w:pPr>
              <w:rPr>
                <w:rFonts w:hint="eastAsia" w:ascii="宋体" w:hAnsi="宋体" w:eastAsia="宋体" w:cs="Times New Roman"/>
                <w:spacing w:val="-2"/>
                <w:sz w:val="21"/>
                <w:szCs w:val="22"/>
                <w:lang w:val="en-US" w:eastAsia="zh-CN" w:bidi="ar-SA"/>
              </w:rPr>
            </w:pPr>
            <w:r>
              <w:rPr>
                <w:rFonts w:hint="eastAsia" w:ascii="宋体" w:hAnsi="宋体" w:eastAsia="宋体" w:cs="Times New Roman"/>
                <w:spacing w:val="-2"/>
                <w:sz w:val="21"/>
                <w:szCs w:val="22"/>
                <w:lang w:val="en-US" w:eastAsia="zh-CN" w:bidi="ar-SA"/>
              </w:rPr>
              <w:t>（3）投标文件应按招标文件要求签字盖章。纸质副本可为正本的完全复印件。在投标文件及电子版包封袋（箱）的每个开口处密封，并在密封条上盖投标人公章。</w:t>
            </w:r>
          </w:p>
        </w:tc>
      </w:tr>
      <w:tr>
        <w:tblPrEx>
          <w:tblCellMar>
            <w:top w:w="0" w:type="dxa"/>
            <w:left w:w="108" w:type="dxa"/>
            <w:bottom w:w="0" w:type="dxa"/>
            <w:right w:w="108" w:type="dxa"/>
          </w:tblCellMar>
        </w:tblPrEx>
        <w:trPr>
          <w:trHeight w:val="591" w:hRule="exact"/>
        </w:trPr>
        <w:tc>
          <w:tcPr>
            <w:tcW w:w="87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right="-26"/>
              <w:rPr>
                <w:rFonts w:hint="default" w:eastAsia="宋体"/>
                <w:sz w:val="21"/>
                <w:lang w:val="en-US" w:eastAsia="zh-CN"/>
              </w:rPr>
            </w:pPr>
            <w:r>
              <w:rPr>
                <w:rFonts w:hint="eastAsia" w:eastAsia="宋体"/>
                <w:sz w:val="21"/>
                <w:lang w:val="en-US" w:eastAsia="zh-CN"/>
              </w:rPr>
              <w:t>3.7.3</w:t>
            </w:r>
          </w:p>
        </w:tc>
        <w:tc>
          <w:tcPr>
            <w:tcW w:w="19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ascii="宋体" w:hAnsi="宋体" w:eastAsia="宋体" w:cs="Times New Roman"/>
                <w:spacing w:val="-2"/>
                <w:sz w:val="21"/>
                <w:szCs w:val="22"/>
                <w:lang w:val="en-US" w:eastAsia="zh-CN" w:bidi="ar-SA"/>
              </w:rPr>
            </w:pPr>
            <w:r>
              <w:rPr>
                <w:rFonts w:hint="eastAsia" w:ascii="宋体" w:hAnsi="宋体" w:eastAsia="宋体" w:cs="Times New Roman"/>
                <w:spacing w:val="-2"/>
                <w:sz w:val="21"/>
                <w:szCs w:val="22"/>
                <w:lang w:val="en-US" w:eastAsia="zh-CN" w:bidi="ar-SA"/>
              </w:rPr>
              <w:t>投标文件签字或盖章要求</w:t>
            </w:r>
          </w:p>
        </w:tc>
        <w:tc>
          <w:tcPr>
            <w:tcW w:w="6480" w:type="dxa"/>
            <w:tcBorders>
              <w:top w:val="single" w:color="000000" w:sz="4" w:space="0"/>
              <w:left w:val="single" w:color="000000" w:sz="4" w:space="0"/>
              <w:bottom w:val="single" w:color="000000" w:sz="4" w:space="0"/>
              <w:right w:val="single" w:color="000000" w:sz="4" w:space="0"/>
              <w:tl2br w:val="nil"/>
              <w:tr2bl w:val="nil"/>
            </w:tcBorders>
            <w:noWrap/>
            <w:vAlign w:val="top"/>
          </w:tcPr>
          <w:p>
            <w:pPr>
              <w:rPr>
                <w:rFonts w:hint="eastAsia" w:ascii="宋体" w:hAnsi="宋体" w:eastAsia="宋体" w:cs="Times New Roman"/>
                <w:spacing w:val="-2"/>
                <w:sz w:val="21"/>
                <w:szCs w:val="22"/>
                <w:lang w:val="en-US" w:eastAsia="zh-CN" w:bidi="ar-SA"/>
              </w:rPr>
            </w:pPr>
            <w:r>
              <w:rPr>
                <w:rFonts w:hint="eastAsia" w:ascii="宋体" w:hAnsi="宋体" w:eastAsia="宋体" w:cs="Times New Roman"/>
                <w:spacing w:val="-2"/>
                <w:sz w:val="21"/>
                <w:szCs w:val="22"/>
                <w:lang w:val="en-US" w:eastAsia="zh-CN" w:bidi="ar-SA"/>
              </w:rPr>
              <w:t>电子投标文件必须在规定签章处加盖电子签章（投标人电子公章或法定代表人电子签名）</w:t>
            </w:r>
          </w:p>
        </w:tc>
      </w:tr>
      <w:tr>
        <w:tblPrEx>
          <w:tblCellMar>
            <w:top w:w="0" w:type="dxa"/>
            <w:left w:w="108" w:type="dxa"/>
            <w:bottom w:w="0" w:type="dxa"/>
            <w:right w:w="108" w:type="dxa"/>
          </w:tblCellMar>
        </w:tblPrEx>
        <w:trPr>
          <w:trHeight w:val="1431" w:hRule="exact"/>
        </w:trPr>
        <w:tc>
          <w:tcPr>
            <w:tcW w:w="87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right="-26"/>
              <w:rPr>
                <w:rFonts w:hint="default" w:eastAsia="宋体"/>
                <w:sz w:val="21"/>
                <w:lang w:val="en-US" w:eastAsia="zh-CN"/>
              </w:rPr>
            </w:pPr>
            <w:r>
              <w:rPr>
                <w:rFonts w:hint="eastAsia" w:eastAsia="宋体"/>
                <w:sz w:val="21"/>
                <w:lang w:val="en-US" w:eastAsia="zh-CN"/>
              </w:rPr>
              <w:t>3.7.4</w:t>
            </w:r>
          </w:p>
        </w:tc>
        <w:tc>
          <w:tcPr>
            <w:tcW w:w="19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ascii="宋体" w:hAnsi="宋体" w:eastAsia="宋体" w:cs="Times New Roman"/>
                <w:spacing w:val="-2"/>
                <w:sz w:val="21"/>
                <w:szCs w:val="22"/>
                <w:lang w:val="en-US" w:eastAsia="zh-CN" w:bidi="ar-SA"/>
              </w:rPr>
            </w:pPr>
            <w:r>
              <w:rPr>
                <w:rFonts w:hint="eastAsia" w:ascii="宋体" w:hAnsi="宋体" w:eastAsia="宋体" w:cs="Times New Roman"/>
                <w:spacing w:val="-2"/>
                <w:sz w:val="21"/>
                <w:szCs w:val="22"/>
                <w:lang w:val="en-US" w:eastAsia="zh-CN" w:bidi="ar-SA"/>
              </w:rPr>
              <w:t>投标文件份数及密封要求</w:t>
            </w:r>
          </w:p>
        </w:tc>
        <w:tc>
          <w:tcPr>
            <w:tcW w:w="6480" w:type="dxa"/>
            <w:tcBorders>
              <w:top w:val="single" w:color="000000" w:sz="4" w:space="0"/>
              <w:left w:val="single" w:color="000000" w:sz="4" w:space="0"/>
              <w:bottom w:val="single" w:color="000000" w:sz="4" w:space="0"/>
              <w:right w:val="single" w:color="000000" w:sz="4" w:space="0"/>
              <w:tl2br w:val="nil"/>
              <w:tr2bl w:val="nil"/>
            </w:tcBorders>
            <w:noWrap/>
            <w:vAlign w:val="top"/>
          </w:tcPr>
          <w:p>
            <w:pPr>
              <w:rPr>
                <w:rFonts w:hint="eastAsia" w:ascii="宋体" w:hAnsi="宋体" w:eastAsia="宋体" w:cs="Times New Roman"/>
                <w:spacing w:val="-2"/>
                <w:sz w:val="21"/>
                <w:szCs w:val="22"/>
                <w:lang w:val="en-US" w:eastAsia="zh-CN" w:bidi="ar-SA"/>
              </w:rPr>
            </w:pPr>
            <w:r>
              <w:rPr>
                <w:rFonts w:hint="eastAsia" w:ascii="宋体" w:hAnsi="宋体" w:eastAsia="宋体" w:cs="Times New Roman"/>
                <w:spacing w:val="-2"/>
                <w:sz w:val="21"/>
                <w:szCs w:val="22"/>
                <w:lang w:val="en-US" w:eastAsia="zh-CN" w:bidi="ar-SA"/>
              </w:rPr>
              <w:t>纸质版投标文件(壹正肆副，A4纸打印并胶装)密封提交；</w:t>
            </w:r>
          </w:p>
          <w:p>
            <w:pPr>
              <w:rPr>
                <w:rFonts w:hint="eastAsia" w:ascii="宋体" w:hAnsi="宋体" w:eastAsia="宋体" w:cs="Times New Roman"/>
                <w:spacing w:val="-2"/>
                <w:sz w:val="21"/>
                <w:szCs w:val="22"/>
                <w:lang w:val="en-US" w:eastAsia="zh-CN" w:bidi="ar-SA"/>
              </w:rPr>
            </w:pPr>
            <w:r>
              <w:rPr>
                <w:rFonts w:hint="eastAsia" w:ascii="宋体" w:hAnsi="宋体" w:eastAsia="宋体" w:cs="Times New Roman"/>
                <w:spacing w:val="-2"/>
                <w:sz w:val="21"/>
                <w:szCs w:val="22"/>
                <w:lang w:val="en-US" w:eastAsia="zh-CN" w:bidi="ar-SA"/>
              </w:rPr>
              <w:t>电子投标文件（U盘）：</w:t>
            </w:r>
            <w:r>
              <w:rPr>
                <w:rFonts w:hint="eastAsia" w:ascii="宋体" w:hAnsi="宋体" w:cs="Times New Roman"/>
                <w:spacing w:val="-2"/>
                <w:sz w:val="21"/>
                <w:szCs w:val="22"/>
                <w:lang w:val="en-US" w:eastAsia="zh-CN" w:bidi="ar-SA"/>
              </w:rPr>
              <w:t>3</w:t>
            </w:r>
            <w:r>
              <w:rPr>
                <w:rFonts w:hint="eastAsia" w:ascii="宋体" w:hAnsi="宋体" w:eastAsia="宋体" w:cs="Times New Roman"/>
                <w:spacing w:val="-2"/>
                <w:sz w:val="21"/>
                <w:szCs w:val="22"/>
                <w:lang w:val="en-US" w:eastAsia="zh-CN" w:bidi="ar-SA"/>
              </w:rPr>
              <w:t>份；（加密的.mbf格式，未加密的.mbf格式，PDF或word版各1份）单独密封提交；</w:t>
            </w:r>
          </w:p>
          <w:p>
            <w:pPr>
              <w:rPr>
                <w:rFonts w:hint="eastAsia" w:ascii="宋体" w:hAnsi="宋体" w:eastAsia="宋体" w:cs="Times New Roman"/>
                <w:spacing w:val="-2"/>
                <w:sz w:val="21"/>
                <w:szCs w:val="22"/>
                <w:lang w:val="en-US" w:eastAsia="zh-CN" w:bidi="ar-SA"/>
              </w:rPr>
            </w:pPr>
            <w:r>
              <w:rPr>
                <w:rFonts w:hint="eastAsia" w:ascii="宋体" w:hAnsi="宋体" w:eastAsia="宋体" w:cs="Times New Roman"/>
                <w:spacing w:val="-2"/>
                <w:sz w:val="21"/>
                <w:szCs w:val="22"/>
                <w:lang w:val="en-US" w:eastAsia="zh-CN" w:bidi="ar-SA"/>
              </w:rPr>
              <w:t>(注：电子版备份文件应将《公共资源交易平台投标文件制作系统》生成的电子版所有文件压缩后放入U盘)。</w:t>
            </w:r>
          </w:p>
        </w:tc>
      </w:tr>
      <w:tr>
        <w:tblPrEx>
          <w:tblCellMar>
            <w:top w:w="0" w:type="dxa"/>
            <w:left w:w="108" w:type="dxa"/>
            <w:bottom w:w="0" w:type="dxa"/>
            <w:right w:w="108" w:type="dxa"/>
          </w:tblCellMar>
        </w:tblPrEx>
        <w:trPr>
          <w:trHeight w:val="646" w:hRule="exact"/>
        </w:trPr>
        <w:tc>
          <w:tcPr>
            <w:tcW w:w="870"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right="-26"/>
              <w:rPr>
                <w:rFonts w:hint="default" w:eastAsia="宋体"/>
                <w:sz w:val="21"/>
                <w:lang w:val="en-US" w:eastAsia="zh-CN"/>
              </w:rPr>
            </w:pPr>
            <w:r>
              <w:rPr>
                <w:rFonts w:hint="eastAsia" w:eastAsia="宋体"/>
                <w:sz w:val="21"/>
                <w:lang w:val="en-US" w:eastAsia="zh-CN"/>
              </w:rPr>
              <w:t>3.7.5</w:t>
            </w:r>
          </w:p>
        </w:tc>
        <w:tc>
          <w:tcPr>
            <w:tcW w:w="19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center"/>
              <w:rPr>
                <w:rFonts w:hint="eastAsia" w:ascii="宋体" w:hAnsi="宋体" w:eastAsia="宋体" w:cs="Times New Roman"/>
                <w:spacing w:val="-2"/>
                <w:sz w:val="21"/>
                <w:szCs w:val="22"/>
                <w:lang w:val="en-US" w:eastAsia="zh-CN" w:bidi="ar-SA"/>
              </w:rPr>
            </w:pPr>
            <w:r>
              <w:rPr>
                <w:rFonts w:hint="eastAsia" w:ascii="宋体" w:hAnsi="宋体" w:eastAsia="宋体" w:cs="Times New Roman"/>
                <w:spacing w:val="-2"/>
                <w:sz w:val="21"/>
                <w:szCs w:val="22"/>
                <w:lang w:val="en-US" w:eastAsia="zh-CN" w:bidi="ar-SA"/>
              </w:rPr>
              <w:t>备份文件说明</w:t>
            </w:r>
          </w:p>
        </w:tc>
        <w:tc>
          <w:tcPr>
            <w:tcW w:w="6480" w:type="dxa"/>
            <w:tcBorders>
              <w:top w:val="single" w:color="000000" w:sz="4" w:space="0"/>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Times New Roman"/>
                <w:spacing w:val="-2"/>
                <w:sz w:val="21"/>
                <w:szCs w:val="22"/>
                <w:lang w:val="en-US" w:eastAsia="zh-CN" w:bidi="ar-SA"/>
              </w:rPr>
            </w:pPr>
            <w:r>
              <w:rPr>
                <w:rFonts w:hint="eastAsia" w:ascii="宋体" w:hAnsi="宋体" w:eastAsia="宋体" w:cs="Times New Roman"/>
                <w:spacing w:val="-2"/>
                <w:sz w:val="21"/>
                <w:szCs w:val="22"/>
                <w:lang w:val="en-US" w:eastAsia="zh-CN" w:bidi="ar-SA"/>
              </w:rPr>
              <w:t>纸质文件权作为备份使用</w:t>
            </w:r>
            <w:r>
              <w:rPr>
                <w:rFonts w:hint="eastAsia" w:ascii="宋体" w:hAnsi="宋体" w:cs="Times New Roman"/>
                <w:spacing w:val="-2"/>
                <w:sz w:val="21"/>
                <w:szCs w:val="22"/>
                <w:lang w:val="en-US" w:eastAsia="zh-CN" w:bidi="ar-SA"/>
              </w:rPr>
              <w:t>。</w:t>
            </w:r>
          </w:p>
        </w:tc>
      </w:tr>
    </w:tbl>
    <w:tbl>
      <w:tblPr>
        <w:tblStyle w:val="28"/>
        <w:tblpPr w:leftFromText="180" w:rightFromText="180" w:vertAnchor="text" w:horzAnchor="page" w:tblpXSpec="center" w:tblpY="72"/>
        <w:tblOverlap w:val="never"/>
        <w:tblW w:w="9559" w:type="dxa"/>
        <w:jc w:val="center"/>
        <w:tblLayout w:type="fixed"/>
        <w:tblCellMar>
          <w:top w:w="0" w:type="dxa"/>
          <w:left w:w="108" w:type="dxa"/>
          <w:bottom w:w="0" w:type="dxa"/>
          <w:right w:w="108" w:type="dxa"/>
        </w:tblCellMar>
      </w:tblPr>
      <w:tblGrid>
        <w:gridCol w:w="863"/>
        <w:gridCol w:w="1979"/>
        <w:gridCol w:w="6717"/>
      </w:tblGrid>
      <w:tr>
        <w:tblPrEx>
          <w:tblCellMar>
            <w:top w:w="0" w:type="dxa"/>
            <w:left w:w="108" w:type="dxa"/>
            <w:bottom w:w="0" w:type="dxa"/>
            <w:right w:w="108" w:type="dxa"/>
          </w:tblCellMar>
        </w:tblPrEx>
        <w:trPr>
          <w:trHeight w:val="721" w:hRule="exact"/>
          <w:jc w:val="center"/>
        </w:trPr>
        <w:tc>
          <w:tcPr>
            <w:tcW w:w="863"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jc w:val="both"/>
              <w:rPr>
                <w:rFonts w:hint="eastAsia" w:eastAsia="宋体"/>
                <w:lang w:eastAsia="zh-CN"/>
              </w:rPr>
            </w:pPr>
            <w:r>
              <w:rPr>
                <w:rFonts w:eastAsia="Calibri"/>
                <w:sz w:val="21"/>
              </w:rPr>
              <w:t>3</w:t>
            </w:r>
            <w:r>
              <w:rPr>
                <w:rFonts w:eastAsia="Calibri"/>
                <w:spacing w:val="-1"/>
                <w:sz w:val="21"/>
              </w:rPr>
              <w:t>.7</w:t>
            </w:r>
            <w:r>
              <w:rPr>
                <w:rFonts w:eastAsia="Calibri"/>
                <w:spacing w:val="-2"/>
                <w:sz w:val="21"/>
              </w:rPr>
              <w:t>.</w:t>
            </w:r>
            <w:r>
              <w:rPr>
                <w:rFonts w:hint="eastAsia" w:eastAsia="宋体"/>
                <w:spacing w:val="-2"/>
                <w:sz w:val="21"/>
                <w:lang w:val="en-US" w:eastAsia="zh-CN"/>
              </w:rPr>
              <w:t>6</w:t>
            </w:r>
          </w:p>
        </w:tc>
        <w:tc>
          <w:tcPr>
            <w:tcW w:w="19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jc w:val="both"/>
            </w:pPr>
            <w:r>
              <w:rPr>
                <w:rFonts w:hint="eastAsia" w:ascii="宋体" w:hAnsi="宋体"/>
                <w:spacing w:val="-3"/>
                <w:sz w:val="21"/>
              </w:rPr>
              <w:t>投标文件是否需分册装订</w:t>
            </w:r>
          </w:p>
        </w:tc>
        <w:tc>
          <w:tcPr>
            <w:tcW w:w="67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102"/>
              <w:jc w:val="both"/>
            </w:pPr>
            <w:r>
              <w:rPr>
                <w:rFonts w:hint="eastAsia" w:ascii="宋体" w:hAnsi="宋体"/>
                <w:sz w:val="21"/>
              </w:rPr>
              <w:t>不需要</w:t>
            </w:r>
          </w:p>
        </w:tc>
      </w:tr>
      <w:tr>
        <w:tblPrEx>
          <w:tblCellMar>
            <w:top w:w="0" w:type="dxa"/>
            <w:left w:w="108" w:type="dxa"/>
            <w:bottom w:w="0" w:type="dxa"/>
            <w:right w:w="108" w:type="dxa"/>
          </w:tblCellMar>
        </w:tblPrEx>
        <w:trPr>
          <w:trHeight w:val="2393" w:hRule="exact"/>
          <w:jc w:val="center"/>
        </w:trPr>
        <w:tc>
          <w:tcPr>
            <w:tcW w:w="863"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eastAsia="Calibri"/>
                <w:sz w:val="20"/>
              </w:rPr>
            </w:pPr>
          </w:p>
          <w:p>
            <w:pPr>
              <w:pStyle w:val="45"/>
              <w:kinsoku w:val="0"/>
              <w:overflowPunct w:val="0"/>
              <w:spacing w:line="360" w:lineRule="auto"/>
              <w:rPr>
                <w:rFonts w:eastAsia="Calibri"/>
                <w:sz w:val="20"/>
              </w:rPr>
            </w:pPr>
          </w:p>
          <w:p>
            <w:pPr>
              <w:pStyle w:val="45"/>
              <w:kinsoku w:val="0"/>
              <w:overflowPunct w:val="0"/>
              <w:spacing w:line="360" w:lineRule="auto"/>
            </w:pPr>
            <w:r>
              <w:rPr>
                <w:rFonts w:eastAsia="Calibri"/>
                <w:spacing w:val="-1"/>
                <w:sz w:val="21"/>
              </w:rPr>
              <w:t>4.1.2</w:t>
            </w:r>
          </w:p>
        </w:tc>
        <w:tc>
          <w:tcPr>
            <w:tcW w:w="1979"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eastAsia="Calibri"/>
                <w:sz w:val="20"/>
              </w:rPr>
            </w:pPr>
          </w:p>
          <w:p>
            <w:pPr>
              <w:pStyle w:val="45"/>
              <w:kinsoku w:val="0"/>
              <w:overflowPunct w:val="0"/>
              <w:spacing w:line="360" w:lineRule="auto"/>
              <w:rPr>
                <w:rFonts w:eastAsia="Calibri"/>
              </w:rPr>
            </w:pPr>
          </w:p>
          <w:p>
            <w:pPr>
              <w:pStyle w:val="45"/>
              <w:kinsoku w:val="0"/>
              <w:overflowPunct w:val="0"/>
              <w:spacing w:line="360" w:lineRule="auto"/>
            </w:pPr>
            <w:r>
              <w:rPr>
                <w:rFonts w:hint="eastAsia" w:ascii="宋体" w:hAnsi="宋体"/>
                <w:spacing w:val="-3"/>
                <w:sz w:val="21"/>
              </w:rPr>
              <w:t>封套上应载明的信息</w:t>
            </w:r>
          </w:p>
        </w:tc>
        <w:tc>
          <w:tcPr>
            <w:tcW w:w="6717" w:type="dxa"/>
            <w:tcBorders>
              <w:top w:val="single" w:color="000000" w:sz="4" w:space="0"/>
              <w:left w:val="single" w:color="000000" w:sz="4" w:space="0"/>
              <w:bottom w:val="single" w:color="000000" w:sz="4" w:space="0"/>
              <w:right w:val="single" w:color="000000" w:sz="4" w:space="0"/>
              <w:tl2br w:val="nil"/>
              <w:tr2bl w:val="nil"/>
            </w:tcBorders>
            <w:noWrap/>
          </w:tcPr>
          <w:p>
            <w:pPr>
              <w:pStyle w:val="45"/>
              <w:keepNext w:val="0"/>
              <w:keepLines w:val="0"/>
              <w:pageBreakBefore w:val="0"/>
              <w:kinsoku w:val="0"/>
              <w:wordWrap/>
              <w:overflowPunct w:val="0"/>
              <w:topLinePunct w:val="0"/>
              <w:bidi w:val="0"/>
              <w:adjustRightInd w:val="0"/>
              <w:spacing w:beforeLines="0" w:afterLines="0" w:line="360" w:lineRule="auto"/>
              <w:ind w:left="-2"/>
              <w:textAlignment w:val="auto"/>
              <w:rPr>
                <w:rFonts w:hint="eastAsia" w:ascii="宋体" w:hAnsi="宋体" w:eastAsia="宋体"/>
                <w:spacing w:val="-2"/>
                <w:sz w:val="21"/>
              </w:rPr>
            </w:pPr>
            <w:r>
              <w:rPr>
                <w:rFonts w:hint="eastAsia" w:ascii="宋体" w:hAnsi="宋体" w:eastAsia="宋体"/>
                <w:spacing w:val="-2"/>
                <w:sz w:val="21"/>
              </w:rPr>
              <w:t>招标人名称：</w:t>
            </w:r>
          </w:p>
          <w:p>
            <w:pPr>
              <w:pStyle w:val="45"/>
              <w:keepNext w:val="0"/>
              <w:keepLines w:val="0"/>
              <w:pageBreakBefore w:val="0"/>
              <w:kinsoku w:val="0"/>
              <w:wordWrap/>
              <w:overflowPunct w:val="0"/>
              <w:topLinePunct w:val="0"/>
              <w:bidi w:val="0"/>
              <w:adjustRightInd w:val="0"/>
              <w:spacing w:beforeLines="0" w:afterLines="0" w:line="360" w:lineRule="auto"/>
              <w:ind w:right="-4"/>
              <w:textAlignment w:val="auto"/>
              <w:rPr>
                <w:rFonts w:hint="eastAsia" w:ascii="宋体" w:hAnsi="宋体" w:eastAsia="宋体"/>
                <w:spacing w:val="21"/>
                <w:sz w:val="21"/>
              </w:rPr>
            </w:pPr>
            <w:r>
              <w:rPr>
                <w:rFonts w:hint="eastAsia" w:ascii="宋体" w:hAnsi="宋体" w:eastAsia="宋体"/>
                <w:sz w:val="21"/>
              </w:rPr>
              <w:t>（项目名称）项目投标</w:t>
            </w:r>
            <w:r>
              <w:rPr>
                <w:rFonts w:hint="eastAsia" w:ascii="宋体" w:hAnsi="宋体" w:eastAsia="宋体"/>
                <w:spacing w:val="-2"/>
                <w:sz w:val="21"/>
              </w:rPr>
              <w:t>文件</w:t>
            </w:r>
            <w:r>
              <w:rPr>
                <w:rFonts w:hint="eastAsia" w:ascii="宋体" w:hAnsi="宋体" w:eastAsia="宋体"/>
                <w:spacing w:val="21"/>
                <w:sz w:val="21"/>
              </w:rPr>
              <w:t xml:space="preserve"> </w:t>
            </w:r>
          </w:p>
          <w:p>
            <w:pPr>
              <w:pStyle w:val="45"/>
              <w:keepNext w:val="0"/>
              <w:keepLines w:val="0"/>
              <w:pageBreakBefore w:val="0"/>
              <w:kinsoku w:val="0"/>
              <w:wordWrap/>
              <w:overflowPunct w:val="0"/>
              <w:topLinePunct w:val="0"/>
              <w:bidi w:val="0"/>
              <w:adjustRightInd w:val="0"/>
              <w:spacing w:beforeLines="0" w:afterLines="0" w:line="360" w:lineRule="auto"/>
              <w:ind w:left="-2" w:right="-28" w:rightChars="0"/>
              <w:textAlignment w:val="auto"/>
              <w:rPr>
                <w:rFonts w:hint="eastAsia" w:ascii="宋体" w:hAnsi="宋体" w:eastAsia="宋体"/>
                <w:spacing w:val="-1"/>
                <w:sz w:val="21"/>
                <w:lang w:eastAsia="zh-CN"/>
              </w:rPr>
            </w:pPr>
            <w:r>
              <w:rPr>
                <w:rFonts w:hint="eastAsia" w:ascii="宋体" w:hAnsi="宋体" w:eastAsia="宋体"/>
                <w:spacing w:val="-1"/>
                <w:sz w:val="21"/>
              </w:rPr>
              <w:t>采购编号</w:t>
            </w:r>
            <w:r>
              <w:rPr>
                <w:rFonts w:hint="eastAsia" w:ascii="宋体" w:hAnsi="宋体" w:eastAsia="宋体"/>
                <w:spacing w:val="-1"/>
                <w:sz w:val="21"/>
                <w:lang w:eastAsia="zh-CN"/>
              </w:rPr>
              <w:t>：</w:t>
            </w:r>
          </w:p>
          <w:p>
            <w:pPr>
              <w:pStyle w:val="45"/>
              <w:keepNext w:val="0"/>
              <w:keepLines w:val="0"/>
              <w:pageBreakBefore w:val="0"/>
              <w:tabs>
                <w:tab w:val="left" w:pos="718"/>
                <w:tab w:val="left" w:pos="1438"/>
                <w:tab w:val="left" w:pos="2159"/>
                <w:tab w:val="left" w:pos="2879"/>
              </w:tabs>
              <w:kinsoku w:val="0"/>
              <w:wordWrap/>
              <w:overflowPunct w:val="0"/>
              <w:topLinePunct w:val="0"/>
              <w:bidi w:val="0"/>
              <w:adjustRightInd w:val="0"/>
              <w:spacing w:beforeLines="0" w:afterLines="0" w:line="360" w:lineRule="auto"/>
              <w:ind w:left="-2" w:right="599"/>
              <w:textAlignment w:val="auto"/>
              <w:rPr>
                <w:rFonts w:hint="eastAsia" w:ascii="宋体" w:hAnsi="宋体" w:eastAsia="宋体"/>
                <w:spacing w:val="21"/>
                <w:sz w:val="21"/>
              </w:rPr>
            </w:pPr>
            <w:r>
              <w:rPr>
                <w:rFonts w:hint="eastAsia" w:ascii="宋体" w:hAnsi="宋体" w:eastAsia="宋体"/>
                <w:sz w:val="21"/>
              </w:rPr>
              <w:t xml:space="preserve">在 </w:t>
            </w:r>
            <w:r>
              <w:rPr>
                <w:rFonts w:hint="eastAsia" w:ascii="宋体" w:hAnsi="宋体" w:eastAsia="宋体"/>
                <w:sz w:val="21"/>
                <w:szCs w:val="22"/>
              </w:rPr>
              <w:tab/>
            </w:r>
            <w:r>
              <w:rPr>
                <w:rFonts w:hint="eastAsia" w:ascii="宋体" w:hAnsi="宋体" w:eastAsia="宋体"/>
                <w:sz w:val="21"/>
                <w:szCs w:val="22"/>
              </w:rPr>
              <w:t xml:space="preserve">年 </w:t>
            </w:r>
            <w:r>
              <w:rPr>
                <w:rFonts w:hint="eastAsia" w:ascii="宋体" w:hAnsi="宋体" w:eastAsia="宋体"/>
                <w:sz w:val="21"/>
                <w:szCs w:val="22"/>
              </w:rPr>
              <w:tab/>
            </w:r>
            <w:r>
              <w:rPr>
                <w:rFonts w:hint="eastAsia" w:ascii="宋体" w:hAnsi="宋体" w:eastAsia="宋体"/>
                <w:sz w:val="21"/>
                <w:szCs w:val="22"/>
              </w:rPr>
              <w:t xml:space="preserve">月 </w:t>
            </w:r>
            <w:r>
              <w:rPr>
                <w:rFonts w:hint="eastAsia" w:ascii="宋体" w:hAnsi="宋体" w:eastAsia="宋体"/>
                <w:sz w:val="21"/>
                <w:szCs w:val="22"/>
              </w:rPr>
              <w:tab/>
            </w:r>
            <w:r>
              <w:rPr>
                <w:rFonts w:hint="eastAsia" w:ascii="宋体" w:hAnsi="宋体" w:eastAsia="宋体"/>
                <w:sz w:val="21"/>
                <w:szCs w:val="22"/>
              </w:rPr>
              <w:t xml:space="preserve">日 </w:t>
            </w:r>
            <w:r>
              <w:rPr>
                <w:rFonts w:hint="eastAsia" w:ascii="宋体" w:hAnsi="宋体" w:eastAsia="宋体"/>
                <w:sz w:val="21"/>
                <w:szCs w:val="22"/>
              </w:rPr>
              <w:tab/>
            </w:r>
            <w:r>
              <w:rPr>
                <w:rFonts w:hint="eastAsia" w:ascii="宋体" w:hAnsi="宋体" w:eastAsia="宋体"/>
                <w:spacing w:val="-3"/>
                <w:sz w:val="21"/>
              </w:rPr>
              <w:t>时</w:t>
            </w:r>
            <w:r>
              <w:rPr>
                <w:rFonts w:hint="eastAsia" w:ascii="宋体" w:hAnsi="宋体"/>
                <w:spacing w:val="-3"/>
                <w:sz w:val="21"/>
                <w:lang w:val="en-US" w:eastAsia="zh-CN"/>
              </w:rPr>
              <w:t xml:space="preserve">   分</w:t>
            </w:r>
            <w:r>
              <w:rPr>
                <w:rFonts w:hint="eastAsia" w:ascii="宋体" w:hAnsi="宋体" w:eastAsia="宋体"/>
                <w:spacing w:val="-3"/>
                <w:sz w:val="21"/>
              </w:rPr>
              <w:t>前不得开启</w:t>
            </w:r>
            <w:r>
              <w:rPr>
                <w:rFonts w:hint="eastAsia" w:ascii="宋体" w:hAnsi="宋体" w:eastAsia="宋体"/>
                <w:spacing w:val="21"/>
                <w:sz w:val="21"/>
              </w:rPr>
              <w:t xml:space="preserve"> </w:t>
            </w:r>
          </w:p>
          <w:p>
            <w:pPr>
              <w:pStyle w:val="45"/>
              <w:keepNext w:val="0"/>
              <w:keepLines w:val="0"/>
              <w:pageBreakBefore w:val="0"/>
              <w:kinsoku w:val="0"/>
              <w:wordWrap/>
              <w:overflowPunct w:val="0"/>
              <w:topLinePunct w:val="0"/>
              <w:bidi w:val="0"/>
              <w:adjustRightInd w:val="0"/>
              <w:spacing w:beforeLines="0" w:afterLines="0" w:line="360" w:lineRule="auto"/>
              <w:ind w:left="-2"/>
              <w:textAlignment w:val="auto"/>
              <w:rPr>
                <w:rFonts w:hint="eastAsia" w:ascii="宋体" w:hAnsi="宋体" w:eastAsia="宋体"/>
                <w:spacing w:val="-2"/>
                <w:sz w:val="21"/>
              </w:rPr>
            </w:pPr>
            <w:r>
              <w:rPr>
                <w:rFonts w:hint="eastAsia" w:ascii="宋体" w:hAnsi="宋体" w:eastAsia="宋体"/>
                <w:spacing w:val="-2"/>
                <w:sz w:val="21"/>
              </w:rPr>
              <w:t>投标人名称：（盖公章）</w:t>
            </w:r>
          </w:p>
          <w:p>
            <w:pPr>
              <w:pStyle w:val="45"/>
              <w:keepNext w:val="0"/>
              <w:keepLines w:val="0"/>
              <w:pageBreakBefore w:val="0"/>
              <w:kinsoku w:val="0"/>
              <w:wordWrap/>
              <w:overflowPunct w:val="0"/>
              <w:topLinePunct w:val="0"/>
              <w:bidi w:val="0"/>
              <w:adjustRightInd w:val="0"/>
              <w:spacing w:beforeLines="0" w:afterLines="0" w:line="360" w:lineRule="auto"/>
              <w:ind w:left="-2"/>
              <w:textAlignment w:val="auto"/>
              <w:rPr>
                <w:rFonts w:hint="eastAsia" w:ascii="宋体" w:hAnsi="宋体" w:eastAsia="宋体"/>
                <w:spacing w:val="-2"/>
                <w:sz w:val="21"/>
              </w:rPr>
            </w:pPr>
            <w:r>
              <w:rPr>
                <w:rFonts w:hint="eastAsia" w:ascii="宋体" w:hAnsi="宋体"/>
                <w:spacing w:val="-2"/>
                <w:sz w:val="21"/>
                <w:lang w:eastAsia="zh-CN"/>
              </w:rPr>
              <w:t>投标</w:t>
            </w:r>
            <w:r>
              <w:rPr>
                <w:rFonts w:hint="eastAsia" w:ascii="宋体" w:hAnsi="宋体" w:eastAsia="宋体"/>
                <w:spacing w:val="-2"/>
                <w:sz w:val="21"/>
              </w:rPr>
              <w:t>人地址：</w:t>
            </w:r>
          </w:p>
          <w:p>
            <w:pPr>
              <w:pStyle w:val="45"/>
              <w:tabs>
                <w:tab w:val="left" w:pos="718"/>
                <w:tab w:val="left" w:pos="1438"/>
                <w:tab w:val="left" w:pos="2159"/>
                <w:tab w:val="left" w:pos="2879"/>
              </w:tabs>
              <w:kinsoku w:val="0"/>
              <w:overflowPunct w:val="0"/>
              <w:spacing w:line="360" w:lineRule="auto"/>
              <w:ind w:left="-2" w:right="599"/>
            </w:pPr>
          </w:p>
        </w:tc>
      </w:tr>
      <w:tr>
        <w:tblPrEx>
          <w:tblCellMar>
            <w:top w:w="0" w:type="dxa"/>
            <w:left w:w="108" w:type="dxa"/>
            <w:bottom w:w="0" w:type="dxa"/>
            <w:right w:w="108" w:type="dxa"/>
          </w:tblCellMar>
        </w:tblPrEx>
        <w:trPr>
          <w:trHeight w:val="463" w:hRule="exact"/>
          <w:jc w:val="center"/>
        </w:trPr>
        <w:tc>
          <w:tcPr>
            <w:tcW w:w="863"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eastAsia="Calibri"/>
                <w:spacing w:val="-1"/>
                <w:sz w:val="21"/>
              </w:rPr>
              <w:t>4.2.1</w:t>
            </w:r>
          </w:p>
        </w:tc>
        <w:tc>
          <w:tcPr>
            <w:tcW w:w="19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jc w:val="both"/>
            </w:pPr>
            <w:r>
              <w:rPr>
                <w:rFonts w:hint="eastAsia" w:ascii="宋体" w:hAnsi="宋体"/>
                <w:spacing w:val="-2"/>
                <w:sz w:val="21"/>
              </w:rPr>
              <w:t>投标截止时间</w:t>
            </w:r>
          </w:p>
        </w:tc>
        <w:tc>
          <w:tcPr>
            <w:tcW w:w="67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2"/>
              <w:jc w:val="both"/>
              <w:rPr>
                <w:color w:val="auto"/>
                <w:highlight w:val="none"/>
              </w:rPr>
            </w:pPr>
            <w:r>
              <w:rPr>
                <w:rFonts w:hint="eastAsia" w:ascii="宋体" w:hAnsi="宋体"/>
                <w:color w:val="auto"/>
                <w:sz w:val="21"/>
                <w:highlight w:val="none"/>
              </w:rPr>
              <w:t>20</w:t>
            </w:r>
            <w:r>
              <w:rPr>
                <w:rFonts w:hint="eastAsia" w:ascii="宋体" w:hAnsi="宋体"/>
                <w:color w:val="auto"/>
                <w:sz w:val="21"/>
                <w:highlight w:val="none"/>
                <w:lang w:val="en-US" w:eastAsia="zh-CN"/>
              </w:rPr>
              <w:t>20</w:t>
            </w:r>
            <w:r>
              <w:rPr>
                <w:rFonts w:hint="eastAsia" w:ascii="宋体" w:hAnsi="宋体"/>
                <w:color w:val="auto"/>
                <w:sz w:val="21"/>
                <w:highlight w:val="none"/>
              </w:rPr>
              <w:t>年</w:t>
            </w:r>
            <w:r>
              <w:rPr>
                <w:rFonts w:hint="eastAsia" w:ascii="宋体" w:hAnsi="宋体"/>
                <w:color w:val="auto"/>
                <w:sz w:val="21"/>
                <w:highlight w:val="none"/>
                <w:lang w:val="en-US" w:eastAsia="zh-CN"/>
              </w:rPr>
              <w:t>4</w:t>
            </w:r>
            <w:r>
              <w:rPr>
                <w:rFonts w:hint="eastAsia" w:ascii="宋体" w:hAnsi="宋体"/>
                <w:color w:val="auto"/>
                <w:sz w:val="21"/>
                <w:highlight w:val="none"/>
              </w:rPr>
              <w:t>月</w:t>
            </w:r>
            <w:r>
              <w:rPr>
                <w:rFonts w:hint="eastAsia" w:ascii="宋体" w:hAnsi="宋体"/>
                <w:color w:val="auto"/>
                <w:sz w:val="21"/>
                <w:highlight w:val="none"/>
                <w:lang w:val="en-US" w:eastAsia="zh-CN"/>
              </w:rPr>
              <w:t>27</w:t>
            </w:r>
            <w:r>
              <w:rPr>
                <w:rFonts w:hint="eastAsia" w:ascii="宋体" w:hAnsi="宋体"/>
                <w:color w:val="auto"/>
                <w:sz w:val="21"/>
                <w:highlight w:val="none"/>
              </w:rPr>
              <w:t>日</w:t>
            </w:r>
            <w:r>
              <w:rPr>
                <w:rFonts w:hint="eastAsia" w:ascii="宋体" w:hAnsi="宋体"/>
                <w:color w:val="auto"/>
                <w:sz w:val="21"/>
                <w:highlight w:val="none"/>
                <w:lang w:val="en-US" w:eastAsia="zh-CN"/>
              </w:rPr>
              <w:t xml:space="preserve">9 </w:t>
            </w:r>
            <w:r>
              <w:rPr>
                <w:rFonts w:hint="eastAsia" w:ascii="宋体" w:hAnsi="宋体"/>
                <w:color w:val="auto"/>
                <w:sz w:val="21"/>
                <w:highlight w:val="none"/>
              </w:rPr>
              <w:t>时</w:t>
            </w:r>
            <w:r>
              <w:rPr>
                <w:rFonts w:hint="eastAsia" w:ascii="宋体" w:hAnsi="宋体"/>
                <w:color w:val="auto"/>
                <w:spacing w:val="-2"/>
                <w:sz w:val="21"/>
                <w:highlight w:val="none"/>
                <w:lang w:val="en-US" w:eastAsia="zh-CN"/>
              </w:rPr>
              <w:t>00</w:t>
            </w:r>
            <w:r>
              <w:rPr>
                <w:rFonts w:hint="eastAsia" w:ascii="宋体" w:hAnsi="宋体"/>
                <w:color w:val="auto"/>
                <w:sz w:val="21"/>
                <w:highlight w:val="none"/>
              </w:rPr>
              <w:t>分整</w:t>
            </w:r>
          </w:p>
        </w:tc>
      </w:tr>
      <w:tr>
        <w:tblPrEx>
          <w:tblCellMar>
            <w:top w:w="0" w:type="dxa"/>
            <w:left w:w="108" w:type="dxa"/>
            <w:bottom w:w="0" w:type="dxa"/>
            <w:right w:w="108" w:type="dxa"/>
          </w:tblCellMar>
        </w:tblPrEx>
        <w:trPr>
          <w:trHeight w:val="466" w:hRule="exact"/>
          <w:jc w:val="center"/>
        </w:trPr>
        <w:tc>
          <w:tcPr>
            <w:tcW w:w="863"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eastAsia="Calibri"/>
                <w:spacing w:val="-1"/>
                <w:sz w:val="21"/>
              </w:rPr>
              <w:t>4.2.2</w:t>
            </w:r>
          </w:p>
        </w:tc>
        <w:tc>
          <w:tcPr>
            <w:tcW w:w="19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jc w:val="both"/>
            </w:pPr>
            <w:r>
              <w:rPr>
                <w:rFonts w:hint="eastAsia" w:ascii="宋体" w:hAnsi="宋体"/>
                <w:spacing w:val="-2"/>
                <w:sz w:val="21"/>
              </w:rPr>
              <w:t>递交投标文件地点</w:t>
            </w:r>
          </w:p>
        </w:tc>
        <w:tc>
          <w:tcPr>
            <w:tcW w:w="67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2"/>
              <w:jc w:val="both"/>
              <w:rPr>
                <w:color w:val="auto"/>
                <w:highlight w:val="none"/>
              </w:rPr>
            </w:pPr>
            <w:r>
              <w:rPr>
                <w:rFonts w:hint="eastAsia" w:ascii="宋体" w:hAnsi="宋体"/>
                <w:color w:val="auto"/>
                <w:spacing w:val="-2"/>
                <w:sz w:val="21"/>
                <w:highlight w:val="none"/>
              </w:rPr>
              <w:t>邓州市公共资源交易中心</w:t>
            </w:r>
            <w:r>
              <w:rPr>
                <w:rFonts w:hint="eastAsia" w:ascii="宋体" w:hAnsi="宋体"/>
                <w:color w:val="auto"/>
                <w:spacing w:val="-2"/>
                <w:sz w:val="21"/>
                <w:highlight w:val="none"/>
                <w:lang w:eastAsia="zh-CN"/>
              </w:rPr>
              <w:t>十</w:t>
            </w:r>
            <w:r>
              <w:rPr>
                <w:rFonts w:hint="eastAsia" w:ascii="宋体" w:hAnsi="宋体"/>
                <w:color w:val="auto"/>
                <w:spacing w:val="-2"/>
                <w:sz w:val="21"/>
                <w:highlight w:val="none"/>
              </w:rPr>
              <w:t>楼第</w:t>
            </w:r>
            <w:r>
              <w:rPr>
                <w:rFonts w:hint="eastAsia" w:ascii="宋体" w:hAnsi="宋体"/>
                <w:color w:val="auto"/>
                <w:spacing w:val="-2"/>
                <w:sz w:val="21"/>
                <w:highlight w:val="none"/>
                <w:lang w:eastAsia="zh-CN"/>
              </w:rPr>
              <w:t>一</w:t>
            </w:r>
            <w:r>
              <w:rPr>
                <w:rFonts w:hint="eastAsia" w:ascii="宋体" w:hAnsi="宋体"/>
                <w:color w:val="auto"/>
                <w:spacing w:val="-2"/>
                <w:sz w:val="21"/>
                <w:highlight w:val="none"/>
              </w:rPr>
              <w:t>开标室</w:t>
            </w:r>
          </w:p>
        </w:tc>
      </w:tr>
      <w:tr>
        <w:tblPrEx>
          <w:tblCellMar>
            <w:top w:w="0" w:type="dxa"/>
            <w:left w:w="108" w:type="dxa"/>
            <w:bottom w:w="0" w:type="dxa"/>
            <w:right w:w="108" w:type="dxa"/>
          </w:tblCellMar>
        </w:tblPrEx>
        <w:trPr>
          <w:trHeight w:val="463" w:hRule="exact"/>
          <w:jc w:val="center"/>
        </w:trPr>
        <w:tc>
          <w:tcPr>
            <w:tcW w:w="863"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pPr>
            <w:r>
              <w:rPr>
                <w:rFonts w:eastAsia="Calibri"/>
                <w:spacing w:val="-1"/>
                <w:sz w:val="21"/>
              </w:rPr>
              <w:t>4.2.3</w:t>
            </w:r>
          </w:p>
        </w:tc>
        <w:tc>
          <w:tcPr>
            <w:tcW w:w="19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jc w:val="both"/>
            </w:pPr>
            <w:r>
              <w:rPr>
                <w:rFonts w:hint="eastAsia" w:ascii="宋体" w:hAnsi="宋体"/>
                <w:spacing w:val="-2"/>
                <w:sz w:val="21"/>
              </w:rPr>
              <w:t>投标文件是否退还</w:t>
            </w:r>
          </w:p>
        </w:tc>
        <w:tc>
          <w:tcPr>
            <w:tcW w:w="67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102"/>
              <w:jc w:val="both"/>
            </w:pPr>
            <w:r>
              <w:rPr>
                <w:rFonts w:hint="eastAsia" w:ascii="宋体" w:hAnsi="宋体"/>
                <w:sz w:val="21"/>
              </w:rPr>
              <w:t>否</w:t>
            </w:r>
          </w:p>
        </w:tc>
      </w:tr>
      <w:tr>
        <w:tblPrEx>
          <w:tblCellMar>
            <w:top w:w="0" w:type="dxa"/>
            <w:left w:w="108" w:type="dxa"/>
            <w:bottom w:w="0" w:type="dxa"/>
            <w:right w:w="108" w:type="dxa"/>
          </w:tblCellMar>
        </w:tblPrEx>
        <w:trPr>
          <w:trHeight w:val="1604" w:hRule="exact"/>
          <w:jc w:val="center"/>
        </w:trPr>
        <w:tc>
          <w:tcPr>
            <w:tcW w:w="863"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eastAsia="Calibri"/>
                <w:sz w:val="22"/>
              </w:rPr>
            </w:pPr>
          </w:p>
          <w:p>
            <w:pPr>
              <w:pStyle w:val="45"/>
              <w:kinsoku w:val="0"/>
              <w:overflowPunct w:val="0"/>
              <w:spacing w:line="360" w:lineRule="auto"/>
              <w:rPr>
                <w:rFonts w:eastAsia="Calibri"/>
                <w:sz w:val="25"/>
              </w:rPr>
            </w:pPr>
          </w:p>
          <w:p>
            <w:pPr>
              <w:pStyle w:val="45"/>
              <w:kinsoku w:val="0"/>
              <w:overflowPunct w:val="0"/>
              <w:spacing w:line="360" w:lineRule="auto"/>
            </w:pPr>
            <w:r>
              <w:rPr>
                <w:rFonts w:eastAsia="Calibri"/>
                <w:spacing w:val="-1"/>
                <w:sz w:val="21"/>
              </w:rPr>
              <w:t>5.1</w:t>
            </w:r>
          </w:p>
        </w:tc>
        <w:tc>
          <w:tcPr>
            <w:tcW w:w="1979"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jc w:val="both"/>
              <w:rPr>
                <w:rFonts w:eastAsia="Calibri"/>
                <w:sz w:val="20"/>
              </w:rPr>
            </w:pPr>
          </w:p>
          <w:p>
            <w:pPr>
              <w:pStyle w:val="45"/>
              <w:kinsoku w:val="0"/>
              <w:overflowPunct w:val="0"/>
              <w:spacing w:line="360" w:lineRule="auto"/>
              <w:ind w:right="204"/>
              <w:jc w:val="both"/>
            </w:pPr>
            <w:r>
              <w:rPr>
                <w:rFonts w:hint="eastAsia" w:ascii="宋体" w:hAnsi="宋体"/>
                <w:sz w:val="21"/>
              </w:rPr>
              <w:t>开标时间及地点</w:t>
            </w:r>
          </w:p>
        </w:tc>
        <w:tc>
          <w:tcPr>
            <w:tcW w:w="671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 w:right="-8"/>
              <w:rPr>
                <w:rFonts w:ascii="宋体" w:hAnsi="宋体"/>
                <w:spacing w:val="-3"/>
                <w:sz w:val="21"/>
              </w:rPr>
            </w:pPr>
            <w:r>
              <w:rPr>
                <w:rFonts w:hint="eastAsia" w:ascii="宋体" w:hAnsi="宋体"/>
                <w:spacing w:val="-3"/>
                <w:sz w:val="21"/>
              </w:rPr>
              <w:t>开标时间：同投标截止时间</w:t>
            </w:r>
          </w:p>
          <w:p>
            <w:pPr>
              <w:pStyle w:val="45"/>
              <w:kinsoku w:val="0"/>
              <w:overflowPunct w:val="0"/>
              <w:spacing w:line="360" w:lineRule="auto"/>
              <w:ind w:left="-2" w:right="-8"/>
              <w:rPr>
                <w:rFonts w:ascii="宋体" w:hAnsi="宋体"/>
                <w:spacing w:val="-2"/>
                <w:sz w:val="21"/>
              </w:rPr>
            </w:pPr>
            <w:r>
              <w:rPr>
                <w:rFonts w:hint="eastAsia" w:ascii="宋体" w:hAnsi="宋体"/>
                <w:spacing w:val="-2"/>
                <w:sz w:val="21"/>
              </w:rPr>
              <w:t>开标地点：同递交投标文件地点。</w:t>
            </w:r>
          </w:p>
          <w:p>
            <w:pPr>
              <w:pStyle w:val="45"/>
              <w:kinsoku w:val="0"/>
              <w:overflowPunct w:val="0"/>
              <w:spacing w:line="360" w:lineRule="auto"/>
              <w:ind w:left="-2" w:right="-8"/>
            </w:pPr>
            <w:r>
              <w:rPr>
                <w:rFonts w:hint="eastAsia" w:ascii="宋体" w:hAnsi="宋体"/>
                <w:spacing w:val="2"/>
                <w:sz w:val="21"/>
              </w:rPr>
              <w:t>电子投标文件必须凭制作投标文件所用的</w:t>
            </w:r>
            <w:r>
              <w:rPr>
                <w:rFonts w:eastAsia="Calibri"/>
                <w:sz w:val="21"/>
              </w:rPr>
              <w:t xml:space="preserve">CA </w:t>
            </w:r>
            <w:r>
              <w:rPr>
                <w:rFonts w:hint="eastAsia" w:ascii="宋体" w:hAnsi="宋体"/>
                <w:spacing w:val="4"/>
                <w:sz w:val="21"/>
              </w:rPr>
              <w:t>密匙</w:t>
            </w:r>
            <w:r>
              <w:rPr>
                <w:rFonts w:hint="eastAsia" w:ascii="宋体" w:hAnsi="宋体"/>
                <w:spacing w:val="-2"/>
                <w:sz w:val="21"/>
              </w:rPr>
              <w:t>在开标开始</w:t>
            </w:r>
            <w:r>
              <w:rPr>
                <w:rFonts w:eastAsia="Calibri"/>
                <w:spacing w:val="-1"/>
                <w:sz w:val="21"/>
              </w:rPr>
              <w:t>30</w:t>
            </w:r>
            <w:r>
              <w:rPr>
                <w:rFonts w:hint="eastAsia" w:ascii="宋体" w:hAnsi="宋体"/>
                <w:spacing w:val="-2"/>
                <w:sz w:val="21"/>
              </w:rPr>
              <w:t>分钟内完成解密。</w:t>
            </w:r>
          </w:p>
        </w:tc>
      </w:tr>
      <w:tr>
        <w:tblPrEx>
          <w:tblCellMar>
            <w:top w:w="0" w:type="dxa"/>
            <w:left w:w="108" w:type="dxa"/>
            <w:bottom w:w="0" w:type="dxa"/>
            <w:right w:w="108" w:type="dxa"/>
          </w:tblCellMar>
        </w:tblPrEx>
        <w:trPr>
          <w:trHeight w:val="8899" w:hRule="exact"/>
          <w:jc w:val="center"/>
        </w:trPr>
        <w:tc>
          <w:tcPr>
            <w:tcW w:w="863" w:type="dxa"/>
            <w:tcBorders>
              <w:top w:val="single" w:color="000000" w:sz="4" w:space="0"/>
              <w:left w:val="single" w:color="000000" w:sz="4" w:space="0"/>
              <w:right w:val="single" w:color="000000" w:sz="4" w:space="0"/>
              <w:tl2br w:val="nil"/>
              <w:tr2bl w:val="nil"/>
            </w:tcBorders>
            <w:noWrap/>
            <w:vAlign w:val="center"/>
          </w:tcPr>
          <w:p>
            <w:pPr>
              <w:pStyle w:val="45"/>
              <w:kinsoku w:val="0"/>
              <w:overflowPunct w:val="0"/>
              <w:spacing w:line="360" w:lineRule="auto"/>
              <w:jc w:val="center"/>
              <w:rPr>
                <w:spacing w:val="-1"/>
                <w:sz w:val="21"/>
              </w:rPr>
            </w:pPr>
            <w:r>
              <w:rPr>
                <w:rFonts w:hint="eastAsia"/>
                <w:spacing w:val="-1"/>
                <w:sz w:val="21"/>
              </w:rPr>
              <w:t>5.2</w:t>
            </w:r>
          </w:p>
          <w:p>
            <w:pPr>
              <w:pStyle w:val="45"/>
              <w:kinsoku w:val="0"/>
              <w:overflowPunct w:val="0"/>
              <w:spacing w:line="360" w:lineRule="auto"/>
              <w:rPr>
                <w:rFonts w:eastAsia="Calibri"/>
                <w:sz w:val="22"/>
              </w:rPr>
            </w:pPr>
          </w:p>
          <w:p>
            <w:pPr>
              <w:pStyle w:val="45"/>
              <w:kinsoku w:val="0"/>
              <w:overflowPunct w:val="0"/>
              <w:spacing w:line="360" w:lineRule="auto"/>
              <w:rPr>
                <w:rFonts w:eastAsia="Calibri"/>
                <w:sz w:val="22"/>
              </w:rPr>
            </w:pPr>
          </w:p>
          <w:p>
            <w:pPr>
              <w:pStyle w:val="45"/>
              <w:kinsoku w:val="0"/>
              <w:overflowPunct w:val="0"/>
              <w:spacing w:line="360" w:lineRule="auto"/>
              <w:rPr>
                <w:rFonts w:eastAsia="Calibri"/>
                <w:sz w:val="22"/>
              </w:rPr>
            </w:pPr>
          </w:p>
          <w:p>
            <w:pPr>
              <w:pStyle w:val="45"/>
              <w:kinsoku w:val="0"/>
              <w:overflowPunct w:val="0"/>
              <w:spacing w:line="360" w:lineRule="auto"/>
              <w:rPr>
                <w:rFonts w:eastAsia="Calibri"/>
                <w:sz w:val="22"/>
              </w:rPr>
            </w:pPr>
          </w:p>
          <w:p>
            <w:pPr>
              <w:pStyle w:val="45"/>
              <w:kinsoku w:val="0"/>
              <w:overflowPunct w:val="0"/>
              <w:spacing w:line="360" w:lineRule="auto"/>
              <w:rPr>
                <w:rFonts w:eastAsia="Calibri"/>
                <w:sz w:val="22"/>
              </w:rPr>
            </w:pPr>
          </w:p>
          <w:p>
            <w:pPr>
              <w:pStyle w:val="45"/>
              <w:kinsoku w:val="0"/>
              <w:overflowPunct w:val="0"/>
              <w:spacing w:line="360" w:lineRule="auto"/>
              <w:rPr>
                <w:rFonts w:eastAsia="Calibri"/>
                <w:sz w:val="22"/>
              </w:rPr>
            </w:pPr>
          </w:p>
          <w:p>
            <w:pPr>
              <w:pStyle w:val="45"/>
              <w:kinsoku w:val="0"/>
              <w:overflowPunct w:val="0"/>
              <w:spacing w:line="360" w:lineRule="auto"/>
              <w:rPr>
                <w:rFonts w:eastAsia="Calibri"/>
                <w:sz w:val="22"/>
              </w:rPr>
            </w:pPr>
          </w:p>
          <w:p>
            <w:pPr>
              <w:pStyle w:val="45"/>
              <w:kinsoku w:val="0"/>
              <w:overflowPunct w:val="0"/>
              <w:spacing w:line="360" w:lineRule="auto"/>
              <w:rPr>
                <w:rFonts w:eastAsia="Calibri"/>
                <w:sz w:val="22"/>
              </w:rPr>
            </w:pPr>
          </w:p>
          <w:p>
            <w:pPr>
              <w:pStyle w:val="45"/>
              <w:kinsoku w:val="0"/>
              <w:overflowPunct w:val="0"/>
              <w:spacing w:line="360" w:lineRule="auto"/>
              <w:rPr>
                <w:rFonts w:eastAsia="Calibri"/>
                <w:sz w:val="22"/>
              </w:rPr>
            </w:pPr>
          </w:p>
          <w:p>
            <w:pPr>
              <w:pStyle w:val="45"/>
              <w:kinsoku w:val="0"/>
              <w:overflowPunct w:val="0"/>
              <w:spacing w:line="360" w:lineRule="auto"/>
              <w:rPr>
                <w:rFonts w:eastAsia="Calibri"/>
                <w:sz w:val="22"/>
              </w:rPr>
            </w:pPr>
          </w:p>
          <w:p>
            <w:pPr>
              <w:pStyle w:val="45"/>
              <w:kinsoku w:val="0"/>
              <w:overflowPunct w:val="0"/>
              <w:spacing w:line="360" w:lineRule="auto"/>
              <w:rPr>
                <w:rFonts w:eastAsia="Calibri"/>
                <w:sz w:val="22"/>
              </w:rPr>
            </w:pPr>
          </w:p>
          <w:p>
            <w:pPr>
              <w:pStyle w:val="45"/>
              <w:kinsoku w:val="0"/>
              <w:overflowPunct w:val="0"/>
              <w:spacing w:line="360" w:lineRule="auto"/>
              <w:rPr>
                <w:rFonts w:eastAsia="Calibri"/>
              </w:rPr>
            </w:pPr>
          </w:p>
          <w:p>
            <w:pPr>
              <w:pStyle w:val="45"/>
              <w:kinsoku w:val="0"/>
              <w:overflowPunct w:val="0"/>
              <w:spacing w:line="360" w:lineRule="auto"/>
              <w:ind w:left="152"/>
            </w:pPr>
          </w:p>
        </w:tc>
        <w:tc>
          <w:tcPr>
            <w:tcW w:w="1979" w:type="dxa"/>
            <w:tcBorders>
              <w:top w:val="single" w:color="000000" w:sz="4" w:space="0"/>
              <w:left w:val="single" w:color="000000" w:sz="4" w:space="0"/>
              <w:right w:val="single" w:color="000000" w:sz="4" w:space="0"/>
              <w:tl2br w:val="nil"/>
              <w:tr2bl w:val="nil"/>
            </w:tcBorders>
            <w:noWrap/>
            <w:vAlign w:val="center"/>
          </w:tcPr>
          <w:p>
            <w:pPr>
              <w:pStyle w:val="45"/>
              <w:kinsoku w:val="0"/>
              <w:overflowPunct w:val="0"/>
              <w:spacing w:line="360" w:lineRule="auto"/>
              <w:ind w:right="204"/>
              <w:jc w:val="both"/>
              <w:rPr>
                <w:rFonts w:ascii="宋体" w:hAnsi="宋体"/>
                <w:sz w:val="21"/>
              </w:rPr>
            </w:pPr>
            <w:r>
              <w:rPr>
                <w:rFonts w:hint="eastAsia" w:ascii="宋体" w:hAnsi="宋体"/>
                <w:sz w:val="21"/>
              </w:rPr>
              <w:t>开标程序</w:t>
            </w:r>
          </w:p>
          <w:p>
            <w:pPr>
              <w:pStyle w:val="45"/>
              <w:kinsoku w:val="0"/>
              <w:overflowPunct w:val="0"/>
              <w:spacing w:line="360" w:lineRule="auto"/>
              <w:jc w:val="both"/>
              <w:rPr>
                <w:rFonts w:eastAsia="Calibri"/>
                <w:sz w:val="20"/>
              </w:rPr>
            </w:pPr>
          </w:p>
          <w:p>
            <w:pPr>
              <w:pStyle w:val="45"/>
              <w:kinsoku w:val="0"/>
              <w:overflowPunct w:val="0"/>
              <w:spacing w:line="360" w:lineRule="auto"/>
              <w:jc w:val="both"/>
              <w:rPr>
                <w:rFonts w:eastAsia="Calibri"/>
                <w:sz w:val="20"/>
              </w:rPr>
            </w:pPr>
          </w:p>
          <w:p>
            <w:pPr>
              <w:pStyle w:val="45"/>
              <w:kinsoku w:val="0"/>
              <w:overflowPunct w:val="0"/>
              <w:spacing w:line="360" w:lineRule="auto"/>
              <w:jc w:val="both"/>
              <w:rPr>
                <w:rFonts w:eastAsia="Calibri"/>
                <w:sz w:val="20"/>
              </w:rPr>
            </w:pPr>
          </w:p>
          <w:p>
            <w:pPr>
              <w:pStyle w:val="45"/>
              <w:kinsoku w:val="0"/>
              <w:overflowPunct w:val="0"/>
              <w:spacing w:line="360" w:lineRule="auto"/>
              <w:jc w:val="both"/>
              <w:rPr>
                <w:rFonts w:eastAsia="Calibri"/>
                <w:sz w:val="20"/>
              </w:rPr>
            </w:pPr>
          </w:p>
          <w:p>
            <w:pPr>
              <w:pStyle w:val="45"/>
              <w:kinsoku w:val="0"/>
              <w:overflowPunct w:val="0"/>
              <w:spacing w:line="360" w:lineRule="auto"/>
              <w:jc w:val="both"/>
              <w:rPr>
                <w:rFonts w:eastAsia="Calibri"/>
                <w:sz w:val="20"/>
              </w:rPr>
            </w:pPr>
          </w:p>
          <w:p>
            <w:pPr>
              <w:pStyle w:val="45"/>
              <w:kinsoku w:val="0"/>
              <w:overflowPunct w:val="0"/>
              <w:spacing w:line="360" w:lineRule="auto"/>
              <w:jc w:val="both"/>
              <w:rPr>
                <w:rFonts w:eastAsia="Calibri"/>
                <w:sz w:val="20"/>
              </w:rPr>
            </w:pPr>
          </w:p>
          <w:p>
            <w:pPr>
              <w:pStyle w:val="45"/>
              <w:kinsoku w:val="0"/>
              <w:overflowPunct w:val="0"/>
              <w:spacing w:line="360" w:lineRule="auto"/>
              <w:jc w:val="both"/>
              <w:rPr>
                <w:rFonts w:eastAsia="Calibri"/>
                <w:sz w:val="20"/>
              </w:rPr>
            </w:pPr>
          </w:p>
          <w:p>
            <w:pPr>
              <w:pStyle w:val="45"/>
              <w:kinsoku w:val="0"/>
              <w:overflowPunct w:val="0"/>
              <w:spacing w:line="360" w:lineRule="auto"/>
              <w:jc w:val="both"/>
              <w:rPr>
                <w:rFonts w:eastAsia="Calibri"/>
                <w:sz w:val="20"/>
              </w:rPr>
            </w:pPr>
          </w:p>
          <w:p>
            <w:pPr>
              <w:pStyle w:val="45"/>
              <w:kinsoku w:val="0"/>
              <w:overflowPunct w:val="0"/>
              <w:spacing w:line="360" w:lineRule="auto"/>
              <w:jc w:val="both"/>
              <w:rPr>
                <w:rFonts w:eastAsia="Calibri"/>
                <w:sz w:val="20"/>
              </w:rPr>
            </w:pPr>
          </w:p>
          <w:p>
            <w:pPr>
              <w:pStyle w:val="45"/>
              <w:kinsoku w:val="0"/>
              <w:overflowPunct w:val="0"/>
              <w:spacing w:line="360" w:lineRule="auto"/>
              <w:jc w:val="both"/>
              <w:rPr>
                <w:rFonts w:eastAsia="Calibri"/>
                <w:sz w:val="20"/>
              </w:rPr>
            </w:pPr>
          </w:p>
          <w:p>
            <w:pPr>
              <w:pStyle w:val="45"/>
              <w:kinsoku w:val="0"/>
              <w:overflowPunct w:val="0"/>
              <w:spacing w:line="360" w:lineRule="auto"/>
              <w:jc w:val="both"/>
              <w:rPr>
                <w:rFonts w:eastAsia="Calibri"/>
                <w:sz w:val="20"/>
              </w:rPr>
            </w:pPr>
          </w:p>
          <w:p>
            <w:pPr>
              <w:pStyle w:val="45"/>
              <w:kinsoku w:val="0"/>
              <w:overflowPunct w:val="0"/>
              <w:spacing w:line="360" w:lineRule="auto"/>
              <w:jc w:val="both"/>
              <w:rPr>
                <w:rFonts w:eastAsia="Calibri"/>
                <w:sz w:val="20"/>
              </w:rPr>
            </w:pPr>
          </w:p>
          <w:p>
            <w:pPr>
              <w:pStyle w:val="45"/>
              <w:kinsoku w:val="0"/>
              <w:overflowPunct w:val="0"/>
              <w:spacing w:line="360" w:lineRule="auto"/>
              <w:jc w:val="both"/>
              <w:rPr>
                <w:rFonts w:eastAsia="Calibri"/>
                <w:sz w:val="26"/>
              </w:rPr>
            </w:pPr>
          </w:p>
          <w:p>
            <w:pPr>
              <w:pStyle w:val="45"/>
              <w:kinsoku w:val="0"/>
              <w:overflowPunct w:val="0"/>
              <w:spacing w:line="360" w:lineRule="auto"/>
              <w:jc w:val="both"/>
            </w:pPr>
          </w:p>
        </w:tc>
        <w:tc>
          <w:tcPr>
            <w:tcW w:w="671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102" w:right="-4"/>
              <w:rPr>
                <w:rFonts w:ascii="宋体" w:hAnsi="宋体"/>
                <w:sz w:val="21"/>
              </w:rPr>
            </w:pPr>
            <w:r>
              <w:rPr>
                <w:rFonts w:eastAsia="Calibri"/>
                <w:spacing w:val="-2"/>
                <w:sz w:val="21"/>
              </w:rPr>
              <w:t>1</w:t>
            </w:r>
            <w:r>
              <w:rPr>
                <w:rFonts w:hint="eastAsia" w:ascii="宋体" w:hAnsi="宋体"/>
                <w:spacing w:val="-2"/>
                <w:sz w:val="21"/>
              </w:rPr>
              <w:t>、投标人授权委托人代表持</w:t>
            </w:r>
            <w:r>
              <w:rPr>
                <w:rFonts w:eastAsia="Calibri"/>
                <w:spacing w:val="-1"/>
                <w:sz w:val="21"/>
              </w:rPr>
              <w:t>CA</w:t>
            </w:r>
            <w:r>
              <w:rPr>
                <w:rFonts w:hint="eastAsia" w:ascii="宋体" w:hAnsi="宋体"/>
                <w:spacing w:val="-2"/>
                <w:sz w:val="21"/>
              </w:rPr>
              <w:t>数字证书进入开标</w:t>
            </w:r>
            <w:r>
              <w:rPr>
                <w:rFonts w:hint="eastAsia" w:ascii="宋体" w:hAnsi="宋体"/>
                <w:sz w:val="21"/>
              </w:rPr>
              <w:t>现场。</w:t>
            </w:r>
          </w:p>
          <w:p>
            <w:pPr>
              <w:pStyle w:val="45"/>
              <w:kinsoku w:val="0"/>
              <w:overflowPunct w:val="0"/>
              <w:spacing w:line="360" w:lineRule="auto"/>
              <w:ind w:left="102"/>
              <w:rPr>
                <w:rFonts w:ascii="宋体" w:hAnsi="宋体"/>
                <w:spacing w:val="-2"/>
                <w:sz w:val="21"/>
              </w:rPr>
            </w:pPr>
            <w:r>
              <w:rPr>
                <w:rFonts w:eastAsia="Calibri"/>
                <w:spacing w:val="-2"/>
                <w:sz w:val="21"/>
              </w:rPr>
              <w:t>2</w:t>
            </w:r>
            <w:r>
              <w:rPr>
                <w:rFonts w:hint="eastAsia" w:ascii="宋体" w:hAnsi="宋体"/>
                <w:spacing w:val="-2"/>
                <w:sz w:val="21"/>
              </w:rPr>
              <w:t>、宣布开标纪律。</w:t>
            </w:r>
          </w:p>
          <w:p>
            <w:pPr>
              <w:pStyle w:val="45"/>
              <w:kinsoku w:val="0"/>
              <w:overflowPunct w:val="0"/>
              <w:spacing w:line="360" w:lineRule="auto"/>
              <w:ind w:left="102"/>
              <w:rPr>
                <w:rFonts w:ascii="宋体" w:hAnsi="宋体"/>
                <w:spacing w:val="-2"/>
                <w:sz w:val="21"/>
              </w:rPr>
            </w:pPr>
            <w:r>
              <w:rPr>
                <w:rFonts w:eastAsia="Calibri"/>
                <w:spacing w:val="-2"/>
                <w:sz w:val="21"/>
              </w:rPr>
              <w:t>3</w:t>
            </w:r>
            <w:r>
              <w:rPr>
                <w:rFonts w:hint="eastAsia" w:ascii="宋体" w:hAnsi="宋体"/>
                <w:spacing w:val="-2"/>
                <w:sz w:val="21"/>
              </w:rPr>
              <w:t>、介绍与会各方代表。</w:t>
            </w:r>
          </w:p>
          <w:p>
            <w:pPr>
              <w:pStyle w:val="45"/>
              <w:kinsoku w:val="0"/>
              <w:overflowPunct w:val="0"/>
              <w:spacing w:line="360" w:lineRule="auto"/>
              <w:ind w:left="102" w:right="112"/>
              <w:rPr>
                <w:rFonts w:ascii="宋体" w:hAnsi="宋体"/>
                <w:spacing w:val="-2"/>
                <w:sz w:val="21"/>
              </w:rPr>
            </w:pPr>
            <w:r>
              <w:rPr>
                <w:rFonts w:eastAsia="Calibri"/>
                <w:spacing w:val="-2"/>
                <w:sz w:val="21"/>
              </w:rPr>
              <w:t>4</w:t>
            </w:r>
            <w:r>
              <w:rPr>
                <w:rFonts w:hint="eastAsia" w:ascii="宋体" w:hAnsi="宋体"/>
                <w:spacing w:val="-2"/>
                <w:sz w:val="21"/>
              </w:rPr>
              <w:t>、开标顺序：按电子投标文件到达交易系统的先后顺序，分标段进行开标。</w:t>
            </w:r>
          </w:p>
          <w:p>
            <w:pPr>
              <w:pStyle w:val="45"/>
              <w:kinsoku w:val="0"/>
              <w:overflowPunct w:val="0"/>
              <w:spacing w:line="360" w:lineRule="auto"/>
              <w:ind w:left="102" w:right="148"/>
              <w:rPr>
                <w:rFonts w:hint="eastAsia" w:eastAsia="Calibri"/>
                <w:spacing w:val="-1"/>
                <w:sz w:val="21"/>
              </w:rPr>
            </w:pPr>
            <w:r>
              <w:rPr>
                <w:rFonts w:hint="eastAsia" w:eastAsia="Calibri"/>
                <w:spacing w:val="-1"/>
                <w:sz w:val="21"/>
              </w:rPr>
              <w:t>（1）投标人解密：投标人制作电子响应文件时，必须使用本单位企业数字证书进行加密，投标人在开标前须自行检查数字证书有效性。开标解密时未在规定时间30分钟内进行解密成功的视为撤销其响应文件（因电子开标系统原因除外）。</w:t>
            </w:r>
          </w:p>
          <w:p>
            <w:pPr>
              <w:pStyle w:val="45"/>
              <w:kinsoku w:val="0"/>
              <w:overflowPunct w:val="0"/>
              <w:spacing w:line="360" w:lineRule="auto"/>
              <w:ind w:left="102" w:right="148"/>
              <w:rPr>
                <w:rFonts w:ascii="宋体" w:hAnsi="宋体"/>
                <w:spacing w:val="-2"/>
                <w:sz w:val="21"/>
              </w:rPr>
            </w:pPr>
            <w:r>
              <w:rPr>
                <w:rFonts w:eastAsia="Calibri"/>
                <w:spacing w:val="-1"/>
                <w:sz w:val="21"/>
              </w:rPr>
              <w:t>(2)</w:t>
            </w:r>
            <w:r>
              <w:rPr>
                <w:rFonts w:hint="eastAsia" w:ascii="宋体" w:hAnsi="宋体"/>
                <w:spacing w:val="-2"/>
                <w:sz w:val="21"/>
              </w:rPr>
              <w:t>招标人解密。招标人或其委托的代理机构持有</w:t>
            </w:r>
            <w:r>
              <w:rPr>
                <w:rFonts w:hint="eastAsia" w:ascii="宋体" w:hAnsi="宋体"/>
                <w:sz w:val="21"/>
              </w:rPr>
              <w:t>本单位</w:t>
            </w:r>
            <w:r>
              <w:rPr>
                <w:rFonts w:eastAsia="Calibri"/>
                <w:spacing w:val="-1"/>
                <w:sz w:val="21"/>
              </w:rPr>
              <w:t>CA</w:t>
            </w:r>
            <w:r>
              <w:rPr>
                <w:rFonts w:hint="eastAsia" w:ascii="宋体" w:hAnsi="宋体"/>
                <w:spacing w:val="-2"/>
                <w:sz w:val="21"/>
              </w:rPr>
              <w:t>数字证书进行二次解密。</w:t>
            </w:r>
          </w:p>
          <w:p>
            <w:pPr>
              <w:pStyle w:val="45"/>
              <w:kinsoku w:val="0"/>
              <w:overflowPunct w:val="0"/>
              <w:spacing w:line="360" w:lineRule="auto"/>
              <w:ind w:left="102" w:right="6"/>
              <w:rPr>
                <w:rFonts w:ascii="宋体" w:hAnsi="宋体"/>
                <w:spacing w:val="-2"/>
                <w:sz w:val="21"/>
              </w:rPr>
            </w:pPr>
            <w:r>
              <w:rPr>
                <w:rFonts w:eastAsia="Calibri"/>
                <w:spacing w:val="-1"/>
                <w:sz w:val="21"/>
              </w:rPr>
              <w:t>(3)</w:t>
            </w:r>
            <w:r>
              <w:rPr>
                <w:rFonts w:hint="eastAsia" w:ascii="宋体" w:hAnsi="宋体"/>
                <w:spacing w:val="-2"/>
                <w:sz w:val="21"/>
              </w:rPr>
              <w:t>开标现场无法解密的，由代理机构工作人员启封投标企业未加密的投标文件备用光盘，导入投标文件。若未加密光盘无法导入系统或未加密光盘内容与投标企业原上传系统的加密投标文件内容不一致的，视为投标无效。</w:t>
            </w:r>
          </w:p>
          <w:p>
            <w:pPr>
              <w:pStyle w:val="45"/>
              <w:kinsoku w:val="0"/>
              <w:overflowPunct w:val="0"/>
              <w:spacing w:line="360" w:lineRule="auto"/>
              <w:ind w:left="102"/>
              <w:rPr>
                <w:rFonts w:ascii="宋体" w:hAnsi="宋体"/>
                <w:spacing w:val="-1"/>
                <w:sz w:val="21"/>
              </w:rPr>
            </w:pPr>
            <w:r>
              <w:rPr>
                <w:rFonts w:eastAsia="Calibri"/>
                <w:spacing w:val="-1"/>
                <w:sz w:val="21"/>
              </w:rPr>
              <w:t>(4)</w:t>
            </w:r>
            <w:r>
              <w:rPr>
                <w:rFonts w:hint="eastAsia" w:ascii="宋体" w:hAnsi="宋体"/>
                <w:spacing w:val="-1"/>
                <w:sz w:val="21"/>
              </w:rPr>
              <w:t>唱标。</w:t>
            </w:r>
          </w:p>
          <w:p>
            <w:pPr>
              <w:pStyle w:val="45"/>
              <w:kinsoku w:val="0"/>
              <w:overflowPunct w:val="0"/>
              <w:spacing w:line="360" w:lineRule="auto"/>
              <w:ind w:left="102" w:right="6"/>
              <w:rPr>
                <w:rFonts w:ascii="宋体" w:hAnsi="宋体"/>
                <w:spacing w:val="-1"/>
                <w:sz w:val="21"/>
              </w:rPr>
            </w:pPr>
            <w:r>
              <w:rPr>
                <w:rFonts w:eastAsia="Calibri"/>
                <w:spacing w:val="-1"/>
                <w:sz w:val="21"/>
              </w:rPr>
              <w:t>(5)</w:t>
            </w:r>
            <w:r>
              <w:rPr>
                <w:rFonts w:hint="eastAsia" w:ascii="宋体" w:hAnsi="宋体"/>
                <w:spacing w:val="-2"/>
                <w:sz w:val="21"/>
              </w:rPr>
              <w:t>投标人（或其授权委托代理人）、招标人、监督代表、等相关人员在开标记录表上签字确认，投标人（或其授权委托代理人）未签字确认的视为默</w:t>
            </w:r>
            <w:r>
              <w:rPr>
                <w:rFonts w:hint="eastAsia" w:ascii="宋体" w:hAnsi="宋体"/>
                <w:spacing w:val="-1"/>
                <w:sz w:val="21"/>
              </w:rPr>
              <w:t>认开标结果。</w:t>
            </w:r>
          </w:p>
          <w:p>
            <w:pPr>
              <w:pStyle w:val="45"/>
              <w:kinsoku w:val="0"/>
              <w:overflowPunct w:val="0"/>
              <w:spacing w:line="360" w:lineRule="auto"/>
              <w:ind w:left="102" w:right="112"/>
              <w:rPr>
                <w:rFonts w:hint="eastAsia" w:ascii="宋体" w:hAnsi="宋体" w:eastAsia="宋体"/>
                <w:spacing w:val="27"/>
                <w:sz w:val="21"/>
                <w:lang w:val="en-US" w:eastAsia="zh-CN"/>
              </w:rPr>
            </w:pPr>
            <w:r>
              <w:rPr>
                <w:rFonts w:eastAsia="Calibri"/>
                <w:spacing w:val="-1"/>
                <w:sz w:val="21"/>
              </w:rPr>
              <w:t>(6)</w:t>
            </w:r>
            <w:r>
              <w:rPr>
                <w:rFonts w:hint="eastAsia" w:ascii="宋体" w:hAnsi="宋体"/>
                <w:spacing w:val="-2"/>
                <w:sz w:val="21"/>
              </w:rPr>
              <w:t>宣布开标结束。</w:t>
            </w:r>
          </w:p>
          <w:p>
            <w:pPr>
              <w:pStyle w:val="45"/>
              <w:kinsoku w:val="0"/>
              <w:overflowPunct w:val="0"/>
              <w:spacing w:line="360" w:lineRule="auto"/>
              <w:ind w:left="102" w:right="112"/>
            </w:pPr>
            <w:r>
              <w:rPr>
                <w:rFonts w:eastAsia="Calibri"/>
                <w:spacing w:val="-2"/>
                <w:sz w:val="21"/>
              </w:rPr>
              <w:t>5</w:t>
            </w:r>
            <w:r>
              <w:rPr>
                <w:rFonts w:hint="eastAsia" w:ascii="宋体" w:hAnsi="宋体"/>
                <w:spacing w:val="-2"/>
                <w:sz w:val="21"/>
              </w:rPr>
              <w:t>、代理机构在开标结束后将招标文件和有效电子投标文件导入评标系统。</w:t>
            </w:r>
          </w:p>
        </w:tc>
      </w:tr>
      <w:tr>
        <w:tblPrEx>
          <w:tblCellMar>
            <w:top w:w="0" w:type="dxa"/>
            <w:left w:w="108" w:type="dxa"/>
            <w:bottom w:w="0" w:type="dxa"/>
            <w:right w:w="108" w:type="dxa"/>
          </w:tblCellMar>
        </w:tblPrEx>
        <w:trPr>
          <w:trHeight w:val="891" w:hRule="exact"/>
          <w:jc w:val="center"/>
        </w:trPr>
        <w:tc>
          <w:tcPr>
            <w:tcW w:w="863"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eastAsia="Calibri"/>
                <w:sz w:val="22"/>
              </w:rPr>
            </w:pPr>
          </w:p>
          <w:p>
            <w:pPr>
              <w:pStyle w:val="45"/>
              <w:kinsoku w:val="0"/>
              <w:overflowPunct w:val="0"/>
              <w:spacing w:line="360" w:lineRule="auto"/>
            </w:pPr>
            <w:r>
              <w:rPr>
                <w:rFonts w:eastAsia="Calibri"/>
                <w:spacing w:val="-1"/>
                <w:sz w:val="21"/>
              </w:rPr>
              <w:t>7.1.1</w:t>
            </w:r>
          </w:p>
        </w:tc>
        <w:tc>
          <w:tcPr>
            <w:tcW w:w="1979"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eastAsia="Calibri"/>
                <w:sz w:val="19"/>
              </w:rPr>
            </w:pPr>
          </w:p>
          <w:p>
            <w:pPr>
              <w:pStyle w:val="45"/>
              <w:kinsoku w:val="0"/>
              <w:overflowPunct w:val="0"/>
              <w:spacing w:line="360" w:lineRule="auto"/>
            </w:pPr>
            <w:r>
              <w:rPr>
                <w:rFonts w:hint="eastAsia" w:ascii="宋体" w:hAnsi="宋体"/>
                <w:spacing w:val="-2"/>
                <w:sz w:val="21"/>
              </w:rPr>
              <w:t>评标委员会的组建</w:t>
            </w:r>
          </w:p>
        </w:tc>
        <w:tc>
          <w:tcPr>
            <w:tcW w:w="671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 w:right="-4"/>
              <w:rPr>
                <w:rFonts w:hint="eastAsia" w:ascii="宋体" w:hAnsi="宋体"/>
                <w:spacing w:val="-3"/>
                <w:sz w:val="21"/>
                <w:lang w:val="en-US" w:eastAsia="zh-CN"/>
              </w:rPr>
            </w:pPr>
            <w:r>
              <w:rPr>
                <w:rFonts w:hint="eastAsia" w:ascii="宋体" w:hAnsi="宋体"/>
                <w:sz w:val="21"/>
              </w:rPr>
              <w:t>评标</w:t>
            </w:r>
            <w:r>
              <w:rPr>
                <w:rFonts w:hint="eastAsia" w:ascii="宋体" w:hAnsi="宋体"/>
                <w:spacing w:val="-5"/>
                <w:sz w:val="21"/>
              </w:rPr>
              <w:t>委</w:t>
            </w:r>
            <w:r>
              <w:rPr>
                <w:rFonts w:hint="eastAsia" w:ascii="宋体" w:hAnsi="宋体"/>
                <w:sz w:val="21"/>
              </w:rPr>
              <w:t>员</w:t>
            </w:r>
            <w:r>
              <w:rPr>
                <w:rFonts w:hint="eastAsia" w:ascii="宋体" w:hAnsi="宋体"/>
                <w:spacing w:val="-5"/>
                <w:sz w:val="21"/>
              </w:rPr>
              <w:t>会</w:t>
            </w:r>
            <w:r>
              <w:rPr>
                <w:rFonts w:hint="eastAsia" w:ascii="宋体" w:hAnsi="宋体"/>
                <w:sz w:val="21"/>
              </w:rPr>
              <w:t>构</w:t>
            </w:r>
            <w:r>
              <w:rPr>
                <w:rFonts w:hint="eastAsia" w:ascii="宋体" w:hAnsi="宋体"/>
                <w:spacing w:val="-3"/>
                <w:sz w:val="21"/>
              </w:rPr>
              <w:t>成</w:t>
            </w:r>
            <w:r>
              <w:rPr>
                <w:rFonts w:hint="eastAsia" w:ascii="宋体" w:hAnsi="宋体"/>
                <w:sz w:val="21"/>
              </w:rPr>
              <w:t>：</w:t>
            </w:r>
            <w:r>
              <w:rPr>
                <w:rFonts w:ascii="Times New Roman" w:hAnsi="Times New Roman" w:eastAsia="Times New Roman"/>
                <w:sz w:val="21"/>
                <w:u w:val="single"/>
              </w:rPr>
              <w:t xml:space="preserve">5 </w:t>
            </w:r>
            <w:r>
              <w:rPr>
                <w:rFonts w:hint="eastAsia" w:ascii="宋体" w:hAnsi="宋体"/>
                <w:sz w:val="21"/>
              </w:rPr>
              <w:t>人</w:t>
            </w:r>
            <w:r>
              <w:rPr>
                <w:rFonts w:hint="eastAsia" w:ascii="宋体" w:hAnsi="宋体"/>
                <w:sz w:val="21"/>
                <w:lang w:eastAsia="zh-CN"/>
              </w:rPr>
              <w:t>；</w:t>
            </w:r>
            <w:bookmarkStart w:id="216" w:name="_GoBack"/>
            <w:bookmarkEnd w:id="216"/>
            <w:r>
              <w:rPr>
                <w:rFonts w:hint="eastAsia" w:ascii="宋体" w:hAnsi="宋体"/>
                <w:spacing w:val="-3"/>
                <w:sz w:val="21"/>
              </w:rPr>
              <w:t>其</w:t>
            </w:r>
            <w:r>
              <w:rPr>
                <w:rFonts w:hint="eastAsia" w:ascii="宋体" w:hAnsi="宋体"/>
                <w:sz w:val="21"/>
              </w:rPr>
              <w:t>中</w:t>
            </w:r>
            <w:r>
              <w:rPr>
                <w:rFonts w:hint="eastAsia" w:ascii="宋体" w:hAnsi="宋体"/>
                <w:spacing w:val="-3"/>
                <w:sz w:val="21"/>
              </w:rPr>
              <w:t>招标人</w:t>
            </w:r>
            <w:r>
              <w:rPr>
                <w:rFonts w:hint="eastAsia" w:ascii="宋体" w:hAnsi="宋体"/>
                <w:sz w:val="21"/>
              </w:rPr>
              <w:t>代表</w:t>
            </w:r>
            <w:r>
              <w:rPr>
                <w:rFonts w:ascii="Times New Roman" w:hAnsi="Times New Roman" w:eastAsia="Times New Roman"/>
                <w:sz w:val="21"/>
                <w:u w:val="single"/>
              </w:rPr>
              <w:t xml:space="preserve">1 </w:t>
            </w:r>
            <w:r>
              <w:rPr>
                <w:rFonts w:hint="eastAsia" w:ascii="宋体" w:hAnsi="宋体"/>
                <w:spacing w:val="-3"/>
                <w:sz w:val="21"/>
              </w:rPr>
              <w:t>人</w:t>
            </w:r>
            <w:r>
              <w:rPr>
                <w:rFonts w:hint="eastAsia" w:ascii="宋体" w:hAnsi="宋体"/>
                <w:spacing w:val="-63"/>
                <w:sz w:val="21"/>
              </w:rPr>
              <w:t>，</w:t>
            </w:r>
            <w:r>
              <w:rPr>
                <w:rFonts w:hint="eastAsia" w:ascii="宋体" w:hAnsi="宋体"/>
                <w:sz w:val="21"/>
              </w:rPr>
              <w:t>专家</w:t>
            </w:r>
            <w:r>
              <w:rPr>
                <w:rFonts w:ascii="Times New Roman" w:hAnsi="Times New Roman" w:eastAsia="Times New Roman"/>
                <w:sz w:val="21"/>
                <w:u w:val="single"/>
              </w:rPr>
              <w:t>4</w:t>
            </w:r>
            <w:r>
              <w:rPr>
                <w:rFonts w:hint="eastAsia" w:ascii="宋体" w:hAnsi="宋体"/>
                <w:spacing w:val="-3"/>
                <w:sz w:val="21"/>
              </w:rPr>
              <w:t>人；</w:t>
            </w:r>
            <w:r>
              <w:rPr>
                <w:rFonts w:hint="eastAsia" w:ascii="宋体" w:hAnsi="宋体"/>
                <w:spacing w:val="-3"/>
                <w:sz w:val="21"/>
                <w:lang w:val="en-US" w:eastAsia="zh-CN"/>
              </w:rPr>
              <w:t xml:space="preserve">            </w:t>
            </w:r>
          </w:p>
          <w:p>
            <w:pPr>
              <w:pStyle w:val="45"/>
              <w:kinsoku w:val="0"/>
              <w:overflowPunct w:val="0"/>
              <w:spacing w:line="360" w:lineRule="auto"/>
              <w:ind w:left="-2" w:right="-4"/>
            </w:pPr>
            <w:r>
              <w:rPr>
                <w:rFonts w:hint="eastAsia" w:ascii="宋体" w:hAnsi="宋体"/>
                <w:spacing w:val="3"/>
                <w:sz w:val="21"/>
              </w:rPr>
              <w:t>评标专家确定方式：从相关专家库中随</w:t>
            </w:r>
            <w:r>
              <w:rPr>
                <w:rFonts w:hint="eastAsia" w:ascii="宋体" w:hAnsi="宋体"/>
                <w:sz w:val="21"/>
              </w:rPr>
              <w:t>机抽取。</w:t>
            </w:r>
          </w:p>
        </w:tc>
      </w:tr>
    </w:tbl>
    <w:tbl>
      <w:tblPr>
        <w:tblStyle w:val="28"/>
        <w:tblpPr w:leftFromText="180" w:rightFromText="180" w:vertAnchor="text" w:horzAnchor="page" w:tblpX="1497" w:tblpY="35"/>
        <w:tblOverlap w:val="never"/>
        <w:tblW w:w="9400" w:type="dxa"/>
        <w:tblInd w:w="0" w:type="dxa"/>
        <w:tblLayout w:type="fixed"/>
        <w:tblCellMar>
          <w:top w:w="0" w:type="dxa"/>
          <w:left w:w="108" w:type="dxa"/>
          <w:bottom w:w="0" w:type="dxa"/>
          <w:right w:w="108" w:type="dxa"/>
        </w:tblCellMar>
      </w:tblPr>
      <w:tblGrid>
        <w:gridCol w:w="787"/>
        <w:gridCol w:w="1965"/>
        <w:gridCol w:w="6648"/>
      </w:tblGrid>
      <w:tr>
        <w:tblPrEx>
          <w:tblCellMar>
            <w:top w:w="0" w:type="dxa"/>
            <w:left w:w="108" w:type="dxa"/>
            <w:bottom w:w="0" w:type="dxa"/>
            <w:right w:w="108" w:type="dxa"/>
          </w:tblCellMar>
        </w:tblPrEx>
        <w:trPr>
          <w:trHeight w:val="744" w:hRule="exact"/>
        </w:trPr>
        <w:tc>
          <w:tcPr>
            <w:tcW w:w="78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40" w:leftChars="-100"/>
              <w:jc w:val="center"/>
            </w:pPr>
            <w:r>
              <w:rPr>
                <w:rFonts w:eastAsia="Calibri"/>
                <w:spacing w:val="-1"/>
                <w:sz w:val="21"/>
              </w:rPr>
              <w:t>7.3.2</w:t>
            </w:r>
          </w:p>
        </w:tc>
        <w:tc>
          <w:tcPr>
            <w:tcW w:w="196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4"/>
              <w:jc w:val="center"/>
              <w:rPr>
                <w:rFonts w:ascii="宋体" w:hAnsi="宋体"/>
                <w:spacing w:val="-3"/>
                <w:sz w:val="21"/>
              </w:rPr>
            </w:pPr>
            <w:r>
              <w:rPr>
                <w:rFonts w:hint="eastAsia" w:ascii="宋体" w:hAnsi="宋体"/>
                <w:spacing w:val="-3"/>
                <w:sz w:val="21"/>
              </w:rPr>
              <w:t>评标委员会推荐</w:t>
            </w:r>
          </w:p>
          <w:p>
            <w:pPr>
              <w:pStyle w:val="45"/>
              <w:kinsoku w:val="0"/>
              <w:overflowPunct w:val="0"/>
              <w:spacing w:line="360" w:lineRule="auto"/>
              <w:ind w:left="-4"/>
              <w:jc w:val="center"/>
            </w:pPr>
            <w:r>
              <w:rPr>
                <w:rFonts w:hint="eastAsia" w:ascii="宋体" w:hAnsi="宋体"/>
                <w:spacing w:val="-3"/>
                <w:sz w:val="21"/>
              </w:rPr>
              <w:t>中标候选人的人数</w:t>
            </w:r>
          </w:p>
        </w:tc>
        <w:tc>
          <w:tcPr>
            <w:tcW w:w="6648"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2"/>
              <w:jc w:val="both"/>
            </w:pPr>
            <w:r>
              <w:rPr>
                <w:rFonts w:eastAsia="Calibri"/>
                <w:spacing w:val="-1"/>
                <w:sz w:val="21"/>
              </w:rPr>
              <w:t>1-3</w:t>
            </w:r>
            <w:r>
              <w:rPr>
                <w:rFonts w:hint="eastAsia" w:ascii="宋体" w:hAnsi="宋体"/>
                <w:spacing w:val="-1"/>
                <w:sz w:val="21"/>
              </w:rPr>
              <w:t>人</w:t>
            </w:r>
          </w:p>
        </w:tc>
      </w:tr>
      <w:tr>
        <w:tblPrEx>
          <w:tblCellMar>
            <w:top w:w="0" w:type="dxa"/>
            <w:left w:w="108" w:type="dxa"/>
            <w:bottom w:w="0" w:type="dxa"/>
            <w:right w:w="108" w:type="dxa"/>
          </w:tblCellMar>
        </w:tblPrEx>
        <w:trPr>
          <w:trHeight w:val="668" w:hRule="exact"/>
        </w:trPr>
        <w:tc>
          <w:tcPr>
            <w:tcW w:w="78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40" w:leftChars="-100" w:right="49"/>
              <w:jc w:val="center"/>
            </w:pPr>
            <w:r>
              <w:rPr>
                <w:rFonts w:eastAsia="Calibri"/>
                <w:spacing w:val="-1"/>
                <w:sz w:val="21"/>
              </w:rPr>
              <w:t>8.1</w:t>
            </w:r>
          </w:p>
        </w:tc>
        <w:tc>
          <w:tcPr>
            <w:tcW w:w="196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jc w:val="center"/>
            </w:pPr>
            <w:r>
              <w:rPr>
                <w:rFonts w:hint="eastAsia" w:ascii="宋体" w:hAnsi="宋体"/>
                <w:spacing w:val="-2"/>
                <w:sz w:val="21"/>
              </w:rPr>
              <w:t>是否授权评标委员会确定中标人</w:t>
            </w:r>
          </w:p>
        </w:tc>
        <w:tc>
          <w:tcPr>
            <w:tcW w:w="6648"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102"/>
              <w:jc w:val="both"/>
            </w:pPr>
            <w:r>
              <w:rPr>
                <w:rFonts w:hint="eastAsia" w:ascii="宋体" w:hAnsi="宋体"/>
                <w:sz w:val="21"/>
              </w:rPr>
              <w:t>否</w:t>
            </w:r>
          </w:p>
        </w:tc>
      </w:tr>
      <w:tr>
        <w:tblPrEx>
          <w:tblCellMar>
            <w:top w:w="0" w:type="dxa"/>
            <w:left w:w="108" w:type="dxa"/>
            <w:bottom w:w="0" w:type="dxa"/>
            <w:right w:w="108" w:type="dxa"/>
          </w:tblCellMar>
        </w:tblPrEx>
        <w:trPr>
          <w:trHeight w:val="968" w:hRule="exact"/>
        </w:trPr>
        <w:tc>
          <w:tcPr>
            <w:tcW w:w="787"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240" w:leftChars="-100"/>
              <w:jc w:val="center"/>
              <w:rPr>
                <w:rFonts w:eastAsia="Calibri"/>
                <w:sz w:val="20"/>
              </w:rPr>
            </w:pPr>
          </w:p>
          <w:p>
            <w:pPr>
              <w:pStyle w:val="45"/>
              <w:kinsoku w:val="0"/>
              <w:overflowPunct w:val="0"/>
              <w:spacing w:line="360" w:lineRule="auto"/>
              <w:ind w:left="-240" w:leftChars="-100"/>
              <w:jc w:val="center"/>
            </w:pPr>
            <w:r>
              <w:rPr>
                <w:rFonts w:eastAsia="Calibri"/>
                <w:spacing w:val="-1"/>
                <w:sz w:val="21"/>
              </w:rPr>
              <w:t>8.2</w:t>
            </w:r>
          </w:p>
        </w:tc>
        <w:tc>
          <w:tcPr>
            <w:tcW w:w="196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jc w:val="center"/>
              <w:rPr>
                <w:rFonts w:eastAsia="Calibri"/>
                <w:sz w:val="15"/>
              </w:rPr>
            </w:pPr>
          </w:p>
          <w:p>
            <w:pPr>
              <w:pStyle w:val="45"/>
              <w:kinsoku w:val="0"/>
              <w:overflowPunct w:val="0"/>
              <w:spacing w:line="360" w:lineRule="auto"/>
              <w:jc w:val="center"/>
              <w:rPr>
                <w:rFonts w:ascii="宋体" w:hAnsi="宋体"/>
                <w:spacing w:val="-3"/>
                <w:sz w:val="21"/>
              </w:rPr>
            </w:pPr>
            <w:r>
              <w:rPr>
                <w:rFonts w:hint="eastAsia" w:ascii="宋体" w:hAnsi="宋体"/>
                <w:spacing w:val="-3"/>
                <w:sz w:val="21"/>
              </w:rPr>
              <w:t>中标、成交结果公告媒介</w:t>
            </w:r>
          </w:p>
          <w:p>
            <w:pPr>
              <w:pStyle w:val="45"/>
              <w:kinsoku w:val="0"/>
              <w:overflowPunct w:val="0"/>
              <w:spacing w:line="360" w:lineRule="auto"/>
              <w:jc w:val="center"/>
            </w:pPr>
            <w:r>
              <w:rPr>
                <w:rFonts w:hint="eastAsia" w:ascii="宋体" w:hAnsi="宋体"/>
                <w:spacing w:val="-3"/>
                <w:sz w:val="21"/>
              </w:rPr>
              <w:t>及期限</w:t>
            </w:r>
          </w:p>
        </w:tc>
        <w:tc>
          <w:tcPr>
            <w:tcW w:w="6648"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102" w:right="-28"/>
              <w:jc w:val="both"/>
              <w:rPr>
                <w:rFonts w:ascii="宋体" w:hAnsi="宋体"/>
                <w:spacing w:val="27"/>
                <w:sz w:val="21"/>
              </w:rPr>
            </w:pPr>
            <w:r>
              <w:rPr>
                <w:rFonts w:hint="eastAsia" w:ascii="宋体" w:hAnsi="宋体"/>
                <w:spacing w:val="-2"/>
                <w:sz w:val="21"/>
              </w:rPr>
              <w:t>公告媒介：原招标公告发布媒体</w:t>
            </w:r>
          </w:p>
          <w:p>
            <w:pPr>
              <w:pStyle w:val="45"/>
              <w:kinsoku w:val="0"/>
              <w:overflowPunct w:val="0"/>
              <w:spacing w:line="360" w:lineRule="auto"/>
              <w:ind w:left="102" w:right="-28"/>
              <w:jc w:val="both"/>
            </w:pPr>
            <w:r>
              <w:rPr>
                <w:rFonts w:hint="eastAsia" w:ascii="宋体" w:hAnsi="宋体"/>
                <w:spacing w:val="-2"/>
                <w:sz w:val="21"/>
              </w:rPr>
              <w:t>公告期限：</w:t>
            </w:r>
            <w:r>
              <w:rPr>
                <w:rFonts w:hint="eastAsia" w:ascii="宋体" w:hAnsi="宋体"/>
                <w:sz w:val="21"/>
                <w:u w:val="single"/>
              </w:rPr>
              <w:t>一个工作日</w:t>
            </w:r>
          </w:p>
        </w:tc>
      </w:tr>
      <w:tr>
        <w:tblPrEx>
          <w:tblCellMar>
            <w:top w:w="0" w:type="dxa"/>
            <w:left w:w="108" w:type="dxa"/>
            <w:bottom w:w="0" w:type="dxa"/>
            <w:right w:w="108" w:type="dxa"/>
          </w:tblCellMar>
        </w:tblPrEx>
        <w:trPr>
          <w:trHeight w:val="623" w:hRule="exact"/>
        </w:trPr>
        <w:tc>
          <w:tcPr>
            <w:tcW w:w="787"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240" w:leftChars="-100"/>
              <w:jc w:val="center"/>
            </w:pPr>
            <w:r>
              <w:rPr>
                <w:rFonts w:eastAsia="Calibri"/>
                <w:spacing w:val="-1"/>
                <w:sz w:val="21"/>
              </w:rPr>
              <w:t>8.4.1</w:t>
            </w:r>
          </w:p>
        </w:tc>
        <w:tc>
          <w:tcPr>
            <w:tcW w:w="1965"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jc w:val="center"/>
            </w:pPr>
            <w:r>
              <w:rPr>
                <w:rFonts w:hint="eastAsia" w:ascii="宋体" w:hAnsi="宋体"/>
                <w:spacing w:val="-1"/>
                <w:sz w:val="21"/>
              </w:rPr>
              <w:t>履约保证金</w:t>
            </w:r>
          </w:p>
        </w:tc>
        <w:tc>
          <w:tcPr>
            <w:tcW w:w="6648"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102"/>
              <w:jc w:val="both"/>
            </w:pPr>
            <w:r>
              <w:rPr>
                <w:rFonts w:hint="eastAsia" w:ascii="宋体" w:hAnsi="宋体"/>
                <w:spacing w:val="-1"/>
                <w:sz w:val="21"/>
                <w:szCs w:val="22"/>
              </w:rPr>
              <w:t>合同约定</w:t>
            </w:r>
          </w:p>
        </w:tc>
      </w:tr>
      <w:tr>
        <w:tblPrEx>
          <w:tblCellMar>
            <w:top w:w="0" w:type="dxa"/>
            <w:left w:w="108" w:type="dxa"/>
            <w:bottom w:w="0" w:type="dxa"/>
            <w:right w:w="108" w:type="dxa"/>
          </w:tblCellMar>
        </w:tblPrEx>
        <w:trPr>
          <w:trHeight w:val="768" w:hRule="exact"/>
        </w:trPr>
        <w:tc>
          <w:tcPr>
            <w:tcW w:w="787"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240" w:leftChars="-100"/>
              <w:jc w:val="center"/>
              <w:rPr>
                <w:spacing w:val="-1"/>
                <w:sz w:val="21"/>
              </w:rPr>
            </w:pPr>
            <w:r>
              <w:rPr>
                <w:rFonts w:hint="eastAsia"/>
                <w:spacing w:val="-1"/>
                <w:sz w:val="21"/>
              </w:rPr>
              <w:t>9</w:t>
            </w:r>
          </w:p>
        </w:tc>
        <w:tc>
          <w:tcPr>
            <w:tcW w:w="1965"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jc w:val="center"/>
              <w:rPr>
                <w:rFonts w:hint="eastAsia" w:ascii="宋体" w:hAnsi="宋体"/>
                <w:spacing w:val="-1"/>
                <w:sz w:val="21"/>
                <w:szCs w:val="22"/>
              </w:rPr>
            </w:pPr>
            <w:r>
              <w:rPr>
                <w:rFonts w:hint="eastAsia" w:ascii="宋体" w:hAnsi="宋体"/>
                <w:spacing w:val="-1"/>
                <w:sz w:val="21"/>
                <w:szCs w:val="22"/>
              </w:rPr>
              <w:t>付款方式</w:t>
            </w:r>
          </w:p>
        </w:tc>
        <w:tc>
          <w:tcPr>
            <w:tcW w:w="6648"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jc w:val="left"/>
              <w:rPr>
                <w:rFonts w:hint="eastAsia" w:ascii="宋体" w:hAnsi="宋体" w:eastAsia="宋体"/>
                <w:spacing w:val="-1"/>
                <w:sz w:val="21"/>
                <w:szCs w:val="22"/>
                <w:lang w:eastAsia="zh-CN"/>
              </w:rPr>
            </w:pPr>
            <w:r>
              <w:rPr>
                <w:rFonts w:hint="eastAsia" w:ascii="宋体" w:hAnsi="宋体"/>
                <w:spacing w:val="-1"/>
                <w:sz w:val="21"/>
                <w:szCs w:val="22"/>
                <w:lang w:eastAsia="zh-CN"/>
              </w:rPr>
              <w:t>合同约定</w:t>
            </w:r>
          </w:p>
        </w:tc>
      </w:tr>
      <w:tr>
        <w:tblPrEx>
          <w:tblCellMar>
            <w:top w:w="0" w:type="dxa"/>
            <w:left w:w="108" w:type="dxa"/>
            <w:bottom w:w="0" w:type="dxa"/>
            <w:right w:w="108" w:type="dxa"/>
          </w:tblCellMar>
        </w:tblPrEx>
        <w:trPr>
          <w:trHeight w:val="1145" w:hRule="exact"/>
        </w:trPr>
        <w:tc>
          <w:tcPr>
            <w:tcW w:w="78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40" w:leftChars="-100"/>
              <w:jc w:val="center"/>
              <w:rPr>
                <w:rFonts w:eastAsia="Calibri"/>
                <w:sz w:val="20"/>
              </w:rPr>
            </w:pPr>
          </w:p>
          <w:p>
            <w:pPr>
              <w:pStyle w:val="45"/>
              <w:kinsoku w:val="0"/>
              <w:overflowPunct w:val="0"/>
              <w:spacing w:line="360" w:lineRule="auto"/>
              <w:ind w:left="-240" w:leftChars="-100"/>
              <w:jc w:val="center"/>
              <w:rPr>
                <w:rFonts w:eastAsia="Calibri"/>
                <w:sz w:val="16"/>
              </w:rPr>
            </w:pPr>
          </w:p>
          <w:p>
            <w:pPr>
              <w:pStyle w:val="45"/>
              <w:kinsoku w:val="0"/>
              <w:overflowPunct w:val="0"/>
              <w:spacing w:line="360" w:lineRule="auto"/>
              <w:ind w:left="-240" w:leftChars="-100" w:right="5"/>
              <w:jc w:val="center"/>
            </w:pPr>
            <w:r>
              <w:rPr>
                <w:rFonts w:ascii="Times New Roman" w:hAnsi="Times New Roman" w:eastAsia="Times New Roman"/>
                <w:sz w:val="21"/>
              </w:rPr>
              <w:t>10</w:t>
            </w:r>
          </w:p>
        </w:tc>
        <w:tc>
          <w:tcPr>
            <w:tcW w:w="196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jc w:val="center"/>
              <w:rPr>
                <w:rFonts w:eastAsia="Calibri"/>
                <w:sz w:val="20"/>
              </w:rPr>
            </w:pPr>
          </w:p>
          <w:p>
            <w:pPr>
              <w:pStyle w:val="45"/>
              <w:kinsoku w:val="0"/>
              <w:overflowPunct w:val="0"/>
              <w:spacing w:line="360" w:lineRule="auto"/>
              <w:jc w:val="center"/>
            </w:pPr>
            <w:r>
              <w:rPr>
                <w:rFonts w:hint="eastAsia" w:ascii="宋体" w:hAnsi="宋体"/>
                <w:spacing w:val="-2"/>
                <w:sz w:val="21"/>
              </w:rPr>
              <w:t>是否采用电子招标投标</w:t>
            </w:r>
          </w:p>
        </w:tc>
        <w:tc>
          <w:tcPr>
            <w:tcW w:w="6648"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102" w:right="6"/>
              <w:jc w:val="both"/>
            </w:pPr>
            <w:r>
              <w:rPr>
                <w:rFonts w:hint="eastAsia" w:ascii="宋体" w:hAnsi="宋体"/>
                <w:spacing w:val="-2"/>
                <w:sz w:val="21"/>
              </w:rPr>
              <w:t>是；具体要求：本次投标原则上采用电子招标投标，若交易中心电子评标系统运行不畅，则以纸质投标文件和线下评标为准。</w:t>
            </w:r>
          </w:p>
        </w:tc>
      </w:tr>
      <w:tr>
        <w:tblPrEx>
          <w:tblCellMar>
            <w:top w:w="0" w:type="dxa"/>
            <w:left w:w="108" w:type="dxa"/>
            <w:bottom w:w="0" w:type="dxa"/>
            <w:right w:w="108" w:type="dxa"/>
          </w:tblCellMar>
        </w:tblPrEx>
        <w:trPr>
          <w:trHeight w:val="891" w:hRule="exact"/>
        </w:trPr>
        <w:tc>
          <w:tcPr>
            <w:tcW w:w="78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40" w:leftChars="-100"/>
              <w:jc w:val="center"/>
            </w:pPr>
            <w:r>
              <w:rPr>
                <w:rFonts w:eastAsia="Calibri"/>
                <w:sz w:val="21"/>
              </w:rPr>
              <w:t>11</w:t>
            </w:r>
          </w:p>
        </w:tc>
        <w:tc>
          <w:tcPr>
            <w:tcW w:w="196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jc w:val="center"/>
            </w:pPr>
            <w:r>
              <w:rPr>
                <w:rFonts w:hint="eastAsia" w:ascii="宋体" w:hAnsi="宋体"/>
                <w:spacing w:val="-3"/>
                <w:sz w:val="21"/>
              </w:rPr>
              <w:t>需要补充的其他内容</w:t>
            </w:r>
          </w:p>
        </w:tc>
        <w:tc>
          <w:tcPr>
            <w:tcW w:w="6648"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ind w:left="46"/>
              <w:jc w:val="both"/>
            </w:pPr>
            <w:r>
              <w:rPr>
                <w:rFonts w:hint="eastAsia" w:ascii="宋体" w:hAnsi="宋体"/>
                <w:sz w:val="21"/>
              </w:rPr>
              <w:t>/</w:t>
            </w:r>
          </w:p>
        </w:tc>
      </w:tr>
      <w:tr>
        <w:tblPrEx>
          <w:tblCellMar>
            <w:top w:w="0" w:type="dxa"/>
            <w:left w:w="108" w:type="dxa"/>
            <w:bottom w:w="0" w:type="dxa"/>
            <w:right w:w="108" w:type="dxa"/>
          </w:tblCellMar>
        </w:tblPrEx>
        <w:trPr>
          <w:trHeight w:val="1686" w:hRule="exact"/>
        </w:trPr>
        <w:tc>
          <w:tcPr>
            <w:tcW w:w="78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40" w:leftChars="-100"/>
              <w:jc w:val="center"/>
              <w:rPr>
                <w:rFonts w:eastAsia="Calibri"/>
                <w:sz w:val="20"/>
              </w:rPr>
            </w:pPr>
          </w:p>
          <w:p>
            <w:pPr>
              <w:pStyle w:val="45"/>
              <w:kinsoku w:val="0"/>
              <w:overflowPunct w:val="0"/>
              <w:spacing w:line="360" w:lineRule="auto"/>
              <w:ind w:left="-240" w:leftChars="-100"/>
              <w:jc w:val="center"/>
              <w:rPr>
                <w:rFonts w:eastAsia="Calibri"/>
                <w:sz w:val="20"/>
              </w:rPr>
            </w:pPr>
          </w:p>
          <w:p>
            <w:pPr>
              <w:pStyle w:val="45"/>
              <w:kinsoku w:val="0"/>
              <w:overflowPunct w:val="0"/>
              <w:spacing w:line="360" w:lineRule="auto"/>
              <w:ind w:left="-240" w:leftChars="-100"/>
              <w:jc w:val="center"/>
            </w:pPr>
            <w:r>
              <w:rPr>
                <w:rFonts w:ascii="Times New Roman" w:hAnsi="Times New Roman" w:eastAsia="Times New Roman"/>
                <w:sz w:val="21"/>
              </w:rPr>
              <w:t>11.1</w:t>
            </w:r>
          </w:p>
        </w:tc>
        <w:tc>
          <w:tcPr>
            <w:tcW w:w="196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jc w:val="center"/>
              <w:rPr>
                <w:rFonts w:eastAsia="Calibri"/>
                <w:sz w:val="20"/>
              </w:rPr>
            </w:pPr>
          </w:p>
          <w:p>
            <w:pPr>
              <w:pStyle w:val="45"/>
              <w:kinsoku w:val="0"/>
              <w:overflowPunct w:val="0"/>
              <w:spacing w:line="360" w:lineRule="auto"/>
              <w:jc w:val="center"/>
              <w:rPr>
                <w:rFonts w:eastAsia="Calibri"/>
                <w:sz w:val="20"/>
              </w:rPr>
            </w:pPr>
          </w:p>
          <w:p>
            <w:pPr>
              <w:pStyle w:val="45"/>
              <w:kinsoku w:val="0"/>
              <w:overflowPunct w:val="0"/>
              <w:spacing w:line="360" w:lineRule="auto"/>
              <w:jc w:val="center"/>
            </w:pPr>
            <w:r>
              <w:rPr>
                <w:rFonts w:hint="eastAsia" w:ascii="宋体" w:hAnsi="宋体"/>
                <w:spacing w:val="-1"/>
                <w:sz w:val="21"/>
              </w:rPr>
              <w:t>招标代理服务费</w:t>
            </w:r>
          </w:p>
        </w:tc>
        <w:tc>
          <w:tcPr>
            <w:tcW w:w="6648"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 w:right="4"/>
              <w:jc w:val="both"/>
              <w:rPr>
                <w:rFonts w:hint="eastAsia" w:ascii="宋体" w:hAnsi="宋体"/>
                <w:spacing w:val="-2"/>
                <w:sz w:val="21"/>
              </w:rPr>
            </w:pPr>
            <w:r>
              <w:rPr>
                <w:rFonts w:eastAsia="Calibri"/>
                <w:spacing w:val="-2"/>
                <w:sz w:val="21"/>
              </w:rPr>
              <w:t>1</w:t>
            </w:r>
            <w:r>
              <w:rPr>
                <w:rFonts w:hint="eastAsia" w:ascii="宋体" w:hAnsi="宋体"/>
                <w:spacing w:val="-2"/>
                <w:sz w:val="21"/>
              </w:rPr>
              <w:t>、本项目招标代理服务费由中标人缴纳，缴纳标准按照“计价格[2002]1980号”文件和发改办价格[2015]299号文件规定收取招标代理费；</w:t>
            </w:r>
          </w:p>
          <w:p>
            <w:pPr>
              <w:pStyle w:val="45"/>
              <w:kinsoku w:val="0"/>
              <w:overflowPunct w:val="0"/>
              <w:spacing w:line="360" w:lineRule="auto"/>
              <w:ind w:left="-2"/>
              <w:jc w:val="both"/>
            </w:pPr>
            <w:r>
              <w:rPr>
                <w:rFonts w:eastAsia="Calibri"/>
                <w:spacing w:val="-2"/>
                <w:sz w:val="21"/>
              </w:rPr>
              <w:t>2</w:t>
            </w:r>
            <w:r>
              <w:rPr>
                <w:rFonts w:hint="eastAsia" w:ascii="宋体" w:hAnsi="宋体"/>
                <w:spacing w:val="-2"/>
                <w:sz w:val="21"/>
              </w:rPr>
              <w:t>、交纳时间：领取《中标通知书》时交纳。</w:t>
            </w:r>
          </w:p>
        </w:tc>
      </w:tr>
      <w:tr>
        <w:tblPrEx>
          <w:tblCellMar>
            <w:top w:w="0" w:type="dxa"/>
            <w:left w:w="108" w:type="dxa"/>
            <w:bottom w:w="0" w:type="dxa"/>
            <w:right w:w="108" w:type="dxa"/>
          </w:tblCellMar>
        </w:tblPrEx>
        <w:trPr>
          <w:trHeight w:val="1686" w:hRule="exact"/>
        </w:trPr>
        <w:tc>
          <w:tcPr>
            <w:tcW w:w="78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40" w:leftChars="-100"/>
              <w:jc w:val="center"/>
              <w:rPr>
                <w:rFonts w:hint="default" w:ascii="Times New Roman" w:hAnsi="Times New Roman" w:eastAsia="宋体"/>
                <w:sz w:val="21"/>
                <w:lang w:val="en-US" w:eastAsia="zh-CN"/>
              </w:rPr>
            </w:pPr>
            <w:r>
              <w:rPr>
                <w:rFonts w:hint="eastAsia" w:ascii="Times New Roman" w:hAnsi="Times New Roman" w:eastAsia="宋体"/>
                <w:sz w:val="21"/>
                <w:lang w:val="en-US" w:eastAsia="zh-CN"/>
              </w:rPr>
              <w:t>11.2</w:t>
            </w:r>
          </w:p>
        </w:tc>
        <w:tc>
          <w:tcPr>
            <w:tcW w:w="1965"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jc w:val="center"/>
              <w:rPr>
                <w:rFonts w:hint="eastAsia" w:ascii="宋体" w:hAnsi="宋体"/>
                <w:spacing w:val="-1"/>
                <w:sz w:val="21"/>
                <w:szCs w:val="22"/>
              </w:rPr>
            </w:pPr>
            <w:r>
              <w:rPr>
                <w:rFonts w:hint="eastAsia" w:ascii="宋体" w:hAnsi="宋体"/>
                <w:spacing w:val="-1"/>
                <w:sz w:val="21"/>
                <w:szCs w:val="22"/>
              </w:rPr>
              <w:t>注意事项1：投标人代表出席开标会</w:t>
            </w:r>
          </w:p>
        </w:tc>
        <w:tc>
          <w:tcPr>
            <w:tcW w:w="6648" w:type="dxa"/>
            <w:tcBorders>
              <w:top w:val="single" w:color="000000" w:sz="4" w:space="0"/>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Times New Roman"/>
                <w:spacing w:val="-2"/>
                <w:sz w:val="21"/>
                <w:szCs w:val="22"/>
                <w:lang w:val="en-US" w:eastAsia="zh-CN" w:bidi="ar-SA"/>
              </w:rPr>
            </w:pPr>
            <w:r>
              <w:rPr>
                <w:rFonts w:hint="eastAsia" w:ascii="宋体" w:hAnsi="宋体" w:eastAsia="宋体" w:cs="Times New Roman"/>
                <w:spacing w:val="-2"/>
                <w:sz w:val="21"/>
                <w:szCs w:val="22"/>
                <w:lang w:val="en-US" w:eastAsia="zh-CN" w:bidi="ar-SA"/>
              </w:rPr>
              <w:t>投标人的法定代表人或其委托代理人须参加开标会并须携带企业的CA 密钥，进行解密。投标人的法定代表人或其委托代理人应当按时参加开标会，并在招标人按开标程序进行点名时，向招标人提交法定代表人身份证明文件或法定代表人授权委托书、出示本人身份证，以证明其出席。</w:t>
            </w:r>
          </w:p>
        </w:tc>
      </w:tr>
      <w:tr>
        <w:tblPrEx>
          <w:tblCellMar>
            <w:top w:w="0" w:type="dxa"/>
            <w:left w:w="108" w:type="dxa"/>
            <w:bottom w:w="0" w:type="dxa"/>
            <w:right w:w="108" w:type="dxa"/>
          </w:tblCellMar>
        </w:tblPrEx>
        <w:trPr>
          <w:trHeight w:val="1001" w:hRule="exact"/>
        </w:trPr>
        <w:tc>
          <w:tcPr>
            <w:tcW w:w="78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40" w:leftChars="-100"/>
              <w:jc w:val="center"/>
              <w:rPr>
                <w:rFonts w:hint="default" w:ascii="Times New Roman" w:hAnsi="Times New Roman" w:eastAsia="宋体"/>
                <w:sz w:val="21"/>
                <w:lang w:val="en-US" w:eastAsia="zh-CN"/>
              </w:rPr>
            </w:pPr>
            <w:r>
              <w:rPr>
                <w:rFonts w:hint="eastAsia" w:ascii="Times New Roman" w:hAnsi="Times New Roman" w:eastAsia="宋体"/>
                <w:sz w:val="21"/>
                <w:lang w:val="en-US" w:eastAsia="zh-CN"/>
              </w:rPr>
              <w:t>11.3</w:t>
            </w:r>
          </w:p>
        </w:tc>
        <w:tc>
          <w:tcPr>
            <w:tcW w:w="1965"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jc w:val="center"/>
              <w:rPr>
                <w:rFonts w:hint="eastAsia" w:ascii="宋体" w:hAnsi="宋体"/>
                <w:spacing w:val="-1"/>
                <w:sz w:val="21"/>
                <w:szCs w:val="22"/>
              </w:rPr>
            </w:pPr>
            <w:r>
              <w:rPr>
                <w:rFonts w:hint="eastAsia" w:ascii="宋体" w:hAnsi="宋体"/>
                <w:spacing w:val="-1"/>
                <w:sz w:val="21"/>
                <w:szCs w:val="22"/>
              </w:rPr>
              <w:t>注意事项2</w:t>
            </w:r>
          </w:p>
        </w:tc>
        <w:tc>
          <w:tcPr>
            <w:tcW w:w="6648" w:type="dxa"/>
            <w:tcBorders>
              <w:top w:val="single" w:color="000000" w:sz="4" w:space="0"/>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Times New Roman"/>
                <w:spacing w:val="-2"/>
                <w:sz w:val="21"/>
                <w:szCs w:val="22"/>
                <w:lang w:val="en-US" w:eastAsia="zh-CN" w:bidi="ar-SA"/>
              </w:rPr>
            </w:pPr>
            <w:r>
              <w:rPr>
                <w:rFonts w:hint="eastAsia" w:ascii="宋体" w:hAnsi="宋体" w:eastAsia="宋体" w:cs="Times New Roman"/>
                <w:spacing w:val="-2"/>
                <w:sz w:val="21"/>
                <w:szCs w:val="22"/>
                <w:lang w:val="en-US" w:eastAsia="zh-CN" w:bidi="ar-SA"/>
              </w:rPr>
              <w:t>投标人编辑电子投标文件时，根据招标文件要求用法定代表人CA 密钥和企业CA 密钥进行签章制作；最后一步生成电子投标文件时，只能用本单位的企业CA 密钥。</w:t>
            </w:r>
          </w:p>
        </w:tc>
      </w:tr>
      <w:tr>
        <w:tblPrEx>
          <w:tblCellMar>
            <w:top w:w="0" w:type="dxa"/>
            <w:left w:w="108" w:type="dxa"/>
            <w:bottom w:w="0" w:type="dxa"/>
            <w:right w:w="108" w:type="dxa"/>
          </w:tblCellMar>
        </w:tblPrEx>
        <w:trPr>
          <w:trHeight w:val="1076" w:hRule="exact"/>
        </w:trPr>
        <w:tc>
          <w:tcPr>
            <w:tcW w:w="78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40" w:leftChars="-100"/>
              <w:jc w:val="center"/>
              <w:rPr>
                <w:rFonts w:hint="default" w:ascii="Times New Roman" w:hAnsi="Times New Roman" w:eastAsia="宋体"/>
                <w:sz w:val="21"/>
                <w:lang w:val="en-US" w:eastAsia="zh-CN"/>
              </w:rPr>
            </w:pPr>
            <w:r>
              <w:rPr>
                <w:rFonts w:hint="eastAsia" w:ascii="Times New Roman" w:hAnsi="Times New Roman" w:eastAsia="宋体"/>
                <w:sz w:val="21"/>
                <w:lang w:val="en-US" w:eastAsia="zh-CN"/>
              </w:rPr>
              <w:t>11.4</w:t>
            </w:r>
          </w:p>
        </w:tc>
        <w:tc>
          <w:tcPr>
            <w:tcW w:w="1965" w:type="dxa"/>
            <w:tcBorders>
              <w:top w:val="single" w:color="000000" w:sz="4" w:space="0"/>
              <w:left w:val="single" w:color="000000" w:sz="4" w:space="0"/>
              <w:bottom w:val="single" w:color="000000" w:sz="4" w:space="0"/>
              <w:right w:val="single" w:color="000000" w:sz="4" w:space="0"/>
              <w:tl2br w:val="nil"/>
              <w:tr2bl w:val="nil"/>
            </w:tcBorders>
            <w:noWrap/>
            <w:vAlign w:val="center"/>
          </w:tcPr>
          <w:p>
            <w:pPr>
              <w:pStyle w:val="45"/>
              <w:kinsoku w:val="0"/>
              <w:overflowPunct w:val="0"/>
              <w:spacing w:line="360" w:lineRule="auto"/>
              <w:jc w:val="center"/>
              <w:rPr>
                <w:rFonts w:hint="eastAsia" w:ascii="宋体" w:hAnsi="宋体"/>
                <w:spacing w:val="-1"/>
                <w:sz w:val="21"/>
                <w:szCs w:val="22"/>
              </w:rPr>
            </w:pPr>
            <w:r>
              <w:rPr>
                <w:rFonts w:hint="eastAsia" w:ascii="宋体" w:hAnsi="宋体"/>
                <w:spacing w:val="-1"/>
                <w:sz w:val="21"/>
                <w:szCs w:val="22"/>
              </w:rPr>
              <w:t>注意事项3</w:t>
            </w:r>
          </w:p>
        </w:tc>
        <w:tc>
          <w:tcPr>
            <w:tcW w:w="6648" w:type="dxa"/>
            <w:tcBorders>
              <w:top w:val="single" w:color="000000" w:sz="4" w:space="0"/>
              <w:left w:val="single" w:color="000000" w:sz="4" w:space="0"/>
              <w:bottom w:val="single" w:color="000000" w:sz="4" w:space="0"/>
              <w:right w:val="single" w:color="000000" w:sz="4" w:space="0"/>
              <w:tl2br w:val="nil"/>
              <w:tr2bl w:val="nil"/>
            </w:tcBorders>
            <w:noWrap/>
            <w:vAlign w:val="center"/>
          </w:tcPr>
          <w:p>
            <w:pPr>
              <w:rPr>
                <w:rFonts w:hint="eastAsia" w:ascii="宋体" w:hAnsi="宋体" w:eastAsia="宋体" w:cs="Times New Roman"/>
                <w:spacing w:val="-2"/>
                <w:sz w:val="21"/>
                <w:szCs w:val="22"/>
                <w:lang w:val="en-US" w:eastAsia="zh-CN" w:bidi="ar-SA"/>
              </w:rPr>
            </w:pPr>
            <w:r>
              <w:rPr>
                <w:rFonts w:hint="eastAsia" w:ascii="宋体" w:hAnsi="宋体" w:eastAsia="宋体" w:cs="Times New Roman"/>
                <w:spacing w:val="-2"/>
                <w:sz w:val="21"/>
                <w:szCs w:val="22"/>
                <w:lang w:val="en-US" w:eastAsia="zh-CN" w:bidi="ar-SA"/>
              </w:rPr>
              <w:t>因公共资源交易中心平台在开标前具有保密性，投标人在投标文件递交截止时间前须自行查看项目进展、变更通知、澄清及回复，因投标人未及时查看而造成的后果自负。</w:t>
            </w:r>
          </w:p>
        </w:tc>
      </w:tr>
      <w:tr>
        <w:tblPrEx>
          <w:tblCellMar>
            <w:top w:w="0" w:type="dxa"/>
            <w:left w:w="108" w:type="dxa"/>
            <w:bottom w:w="0" w:type="dxa"/>
            <w:right w:w="108" w:type="dxa"/>
          </w:tblCellMar>
        </w:tblPrEx>
        <w:trPr>
          <w:trHeight w:val="1178" w:hRule="exact"/>
        </w:trPr>
        <w:tc>
          <w:tcPr>
            <w:tcW w:w="787"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40" w:leftChars="-100"/>
              <w:jc w:val="center"/>
              <w:rPr>
                <w:rFonts w:eastAsia="Calibri"/>
                <w:sz w:val="22"/>
              </w:rPr>
            </w:pPr>
          </w:p>
          <w:p>
            <w:pPr>
              <w:pStyle w:val="45"/>
              <w:kinsoku w:val="0"/>
              <w:overflowPunct w:val="0"/>
              <w:spacing w:line="360" w:lineRule="auto"/>
              <w:ind w:left="-240" w:leftChars="-100" w:right="1"/>
              <w:jc w:val="center"/>
              <w:rPr>
                <w:rFonts w:hint="eastAsia" w:eastAsia="宋体"/>
                <w:lang w:eastAsia="zh-CN"/>
              </w:rPr>
            </w:pPr>
            <w:r>
              <w:rPr>
                <w:rFonts w:eastAsia="Calibri"/>
                <w:spacing w:val="-1"/>
                <w:sz w:val="21"/>
              </w:rPr>
              <w:t>11.</w:t>
            </w:r>
            <w:r>
              <w:rPr>
                <w:rFonts w:hint="eastAsia" w:eastAsia="宋体"/>
                <w:spacing w:val="-1"/>
                <w:sz w:val="21"/>
                <w:lang w:val="en-US" w:eastAsia="zh-CN"/>
              </w:rPr>
              <w:t>5</w:t>
            </w:r>
          </w:p>
        </w:tc>
        <w:tc>
          <w:tcPr>
            <w:tcW w:w="1965"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rPr>
                <w:rFonts w:eastAsia="Calibri"/>
                <w:sz w:val="19"/>
              </w:rPr>
            </w:pPr>
          </w:p>
          <w:p>
            <w:pPr>
              <w:pStyle w:val="45"/>
              <w:kinsoku w:val="0"/>
              <w:overflowPunct w:val="0"/>
              <w:spacing w:line="360" w:lineRule="auto"/>
              <w:jc w:val="center"/>
              <w:rPr>
                <w:rFonts w:hint="eastAsia" w:ascii="宋体" w:hAnsi="宋体"/>
                <w:b/>
                <w:bCs/>
                <w:spacing w:val="-1"/>
                <w:sz w:val="21"/>
              </w:rPr>
            </w:pPr>
            <w:r>
              <w:rPr>
                <w:rFonts w:hint="eastAsia" w:ascii="宋体" w:hAnsi="宋体"/>
                <w:b/>
                <w:bCs/>
                <w:spacing w:val="-1"/>
                <w:sz w:val="21"/>
              </w:rPr>
              <w:t>特别提示</w:t>
            </w:r>
          </w:p>
          <w:p>
            <w:pPr>
              <w:pStyle w:val="45"/>
              <w:kinsoku w:val="0"/>
              <w:overflowPunct w:val="0"/>
              <w:spacing w:line="360" w:lineRule="auto"/>
              <w:jc w:val="center"/>
              <w:rPr>
                <w:rFonts w:hint="eastAsia" w:ascii="宋体" w:hAnsi="宋体"/>
                <w:spacing w:val="-1"/>
                <w:sz w:val="21"/>
              </w:rPr>
            </w:pPr>
          </w:p>
        </w:tc>
        <w:tc>
          <w:tcPr>
            <w:tcW w:w="6648" w:type="dxa"/>
            <w:tcBorders>
              <w:top w:val="single" w:color="000000" w:sz="4" w:space="0"/>
              <w:left w:val="single" w:color="000000" w:sz="4" w:space="0"/>
              <w:bottom w:val="single" w:color="000000" w:sz="4" w:space="0"/>
              <w:right w:val="single" w:color="000000" w:sz="4" w:space="0"/>
              <w:tl2br w:val="nil"/>
              <w:tr2bl w:val="nil"/>
            </w:tcBorders>
            <w:noWrap/>
          </w:tcPr>
          <w:p>
            <w:pPr>
              <w:pStyle w:val="45"/>
              <w:kinsoku w:val="0"/>
              <w:overflowPunct w:val="0"/>
              <w:spacing w:line="360" w:lineRule="auto"/>
              <w:ind w:left="-2"/>
              <w:rPr>
                <w:rFonts w:hint="eastAsia" w:ascii="宋体" w:hAnsi="宋体"/>
                <w:b/>
                <w:spacing w:val="-1"/>
                <w:sz w:val="21"/>
                <w:highlight w:val="none"/>
              </w:rPr>
            </w:pPr>
            <w:r>
              <w:rPr>
                <w:rFonts w:hint="eastAsia" w:ascii="宋体" w:hAnsi="宋体"/>
                <w:b/>
                <w:spacing w:val="3"/>
                <w:sz w:val="21"/>
              </w:rPr>
              <w:t>招标文件内容前后不一致的以投标人须知前附表为</w:t>
            </w:r>
            <w:r>
              <w:rPr>
                <w:rFonts w:hint="eastAsia" w:ascii="宋体" w:hAnsi="宋体"/>
                <w:b/>
                <w:spacing w:val="-1"/>
                <w:sz w:val="21"/>
              </w:rPr>
              <w:t>准，投标人须知前附表没有的</w:t>
            </w:r>
            <w:r>
              <w:rPr>
                <w:rFonts w:hint="eastAsia" w:ascii="宋体" w:hAnsi="宋体"/>
                <w:b/>
                <w:spacing w:val="-1"/>
                <w:sz w:val="21"/>
                <w:highlight w:val="none"/>
              </w:rPr>
              <w:t>以最后内容为准。</w:t>
            </w:r>
          </w:p>
          <w:p>
            <w:pPr>
              <w:pStyle w:val="45"/>
              <w:kinsoku w:val="0"/>
              <w:overflowPunct w:val="0"/>
              <w:spacing w:line="360" w:lineRule="auto"/>
              <w:rPr>
                <w:rFonts w:hint="eastAsia" w:ascii="宋体" w:hAnsi="宋体"/>
                <w:b/>
                <w:spacing w:val="-1"/>
                <w:sz w:val="21"/>
              </w:rPr>
            </w:pPr>
            <w:r>
              <w:rPr>
                <w:rFonts w:hint="eastAsia" w:ascii="宋体" w:hAnsi="宋体"/>
                <w:b/>
                <w:spacing w:val="-1"/>
                <w:sz w:val="21"/>
                <w:highlight w:val="none"/>
              </w:rPr>
              <w:t>招标文件售价：</w:t>
            </w:r>
            <w:r>
              <w:rPr>
                <w:rFonts w:hint="eastAsia" w:ascii="宋体" w:hAnsi="宋体"/>
                <w:b/>
                <w:spacing w:val="-1"/>
                <w:sz w:val="21"/>
                <w:highlight w:val="none"/>
                <w:lang w:val="en-US" w:eastAsia="zh-CN"/>
              </w:rPr>
              <w:t>10</w:t>
            </w:r>
            <w:r>
              <w:rPr>
                <w:rFonts w:hint="eastAsia" w:ascii="宋体" w:hAnsi="宋体"/>
                <w:b/>
                <w:spacing w:val="-1"/>
                <w:sz w:val="21"/>
                <w:highlight w:val="none"/>
              </w:rPr>
              <w:t>00元/份</w:t>
            </w:r>
            <w:r>
              <w:rPr>
                <w:rFonts w:hint="eastAsia" w:ascii="宋体" w:hAnsi="宋体"/>
                <w:b/>
                <w:spacing w:val="-1"/>
                <w:sz w:val="21"/>
              </w:rPr>
              <w:t>（开标现场收取，现金支付，售后不退）</w:t>
            </w:r>
          </w:p>
        </w:tc>
      </w:tr>
    </w:tbl>
    <w:p>
      <w:pPr>
        <w:pStyle w:val="14"/>
        <w:kinsoku w:val="0"/>
        <w:overflowPunct w:val="0"/>
        <w:spacing w:line="360" w:lineRule="auto"/>
        <w:ind w:left="0"/>
        <w:rPr>
          <w:rFonts w:hint="default" w:ascii="Calibri" w:hAnsi="Calibri" w:eastAsia="Calibri"/>
          <w:sz w:val="6"/>
        </w:rPr>
      </w:pPr>
    </w:p>
    <w:p>
      <w:pPr>
        <w:pStyle w:val="15"/>
        <w:rPr>
          <w:rFonts w:hint="default"/>
        </w:rPr>
      </w:pPr>
    </w:p>
    <w:p>
      <w:pPr>
        <w:pStyle w:val="14"/>
        <w:kinsoku w:val="0"/>
        <w:overflowPunct w:val="0"/>
        <w:spacing w:line="360" w:lineRule="auto"/>
        <w:ind w:left="0"/>
        <w:rPr>
          <w:rFonts w:hint="default" w:ascii="Calibri" w:hAnsi="Calibri" w:eastAsia="Calibri"/>
          <w:sz w:val="6"/>
        </w:rPr>
      </w:pPr>
    </w:p>
    <w:p>
      <w:pPr>
        <w:pStyle w:val="14"/>
        <w:kinsoku w:val="0"/>
        <w:overflowPunct w:val="0"/>
        <w:spacing w:line="360" w:lineRule="auto"/>
        <w:ind w:left="4502" w:right="4723"/>
        <w:jc w:val="center"/>
        <w:rPr>
          <w:rFonts w:hint="default" w:ascii="Calibri" w:hAnsi="Calibri" w:eastAsia="Calibri"/>
          <w:sz w:val="6"/>
        </w:rPr>
      </w:pPr>
      <w:r>
        <w:rPr>
          <w:rFonts w:hint="default"/>
          <w:sz w:val="24"/>
        </w:rPr>
        <mc:AlternateContent>
          <mc:Choice Requires="wps">
            <w:drawing>
              <wp:anchor distT="0" distB="0" distL="114300" distR="114300" simplePos="0" relativeHeight="251660288" behindDoc="1" locked="0" layoutInCell="1" allowOverlap="1">
                <wp:simplePos x="0" y="0"/>
                <wp:positionH relativeFrom="page">
                  <wp:posOffset>3874770</wp:posOffset>
                </wp:positionH>
                <wp:positionV relativeFrom="paragraph">
                  <wp:posOffset>-203835</wp:posOffset>
                </wp:positionV>
                <wp:extent cx="94615" cy="12700"/>
                <wp:effectExtent l="0" t="0" r="0" b="0"/>
                <wp:wrapNone/>
                <wp:docPr id="2" name="任意多边形 5"/>
                <wp:cNvGraphicFramePr/>
                <a:graphic xmlns:a="http://schemas.openxmlformats.org/drawingml/2006/main">
                  <a:graphicData uri="http://schemas.microsoft.com/office/word/2010/wordprocessingShape">
                    <wps:wsp>
                      <wps:cNvSpPr/>
                      <wps:spPr>
                        <a:xfrm>
                          <a:off x="0" y="0"/>
                          <a:ext cx="94615" cy="12700"/>
                        </a:xfrm>
                        <a:custGeom>
                          <a:avLst/>
                          <a:gdLst>
                            <a:gd name="A1" fmla="val 0"/>
                          </a:gdLst>
                          <a:ahLst/>
                          <a:cxnLst/>
                          <a:pathLst>
                            <a:path w="149" h="20">
                              <a:moveTo>
                                <a:pt x="0" y="0"/>
                              </a:moveTo>
                              <a:lnTo>
                                <a:pt x="148" y="0"/>
                              </a:lnTo>
                            </a:path>
                          </a:pathLst>
                        </a:custGeom>
                        <a:noFill/>
                        <a:ln w="7365" cap="flat" cmpd="sng">
                          <a:solidFill>
                            <a:srgbClr val="000000"/>
                          </a:solidFill>
                          <a:prstDash val="solid"/>
                          <a:round/>
                          <a:headEnd type="none" w="med" len="med"/>
                          <a:tailEnd type="none" w="med" len="med"/>
                        </a:ln>
                      </wps:spPr>
                      <wps:bodyPr upright="1"/>
                    </wps:wsp>
                  </a:graphicData>
                </a:graphic>
              </wp:anchor>
            </w:drawing>
          </mc:Choice>
          <mc:Fallback>
            <w:pict>
              <v:shape id="任意多边形 5" o:spid="_x0000_s1026" o:spt="100" style="position:absolute;left:0pt;margin-left:305.1pt;margin-top:-16.05pt;height:1pt;width:7.45pt;mso-position-horizontal-relative:page;z-index:-251656192;mso-width-relative:page;mso-height-relative:page;" filled="f" stroked="t" coordsize="149,20" o:gfxdata="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lmZ/doAAAALAQAADwAAAAAAAAABACAAAAAiAAAAZHJzL2Rvd25yZXYu&#10;eG1sUEsBAhQAFAAAAAgAh07iQA1suiYyAgAAbAQAAA4AAAAAAAAAAQAgAAAAKQEAAGRycy9lMm9E&#10;b2MueG1sUEsFBgAAAAAGAAYAWQEAAM0FAAAAAA==&#10;" path="m0,0l148,0e">
                <v:fill on="f" focussize="0,0"/>
                <v:stroke weight="0.57992125984252pt" color="#000000" joinstyle="round"/>
                <v:imagedata o:title=""/>
                <o:lock v:ext="edit" aspectratio="f"/>
              </v:shape>
            </w:pict>
          </mc:Fallback>
        </mc:AlternateContent>
      </w:r>
    </w:p>
    <w:p>
      <w:pPr>
        <w:pStyle w:val="14"/>
        <w:kinsoku w:val="0"/>
        <w:overflowPunct w:val="0"/>
        <w:spacing w:line="360" w:lineRule="auto"/>
        <w:ind w:left="0"/>
        <w:rPr>
          <w:rFonts w:hint="default" w:ascii="Calibri" w:hAnsi="Calibri" w:eastAsia="Calibri"/>
          <w:sz w:val="20"/>
        </w:rPr>
      </w:pPr>
    </w:p>
    <w:p>
      <w:pPr>
        <w:pStyle w:val="14"/>
        <w:kinsoku w:val="0"/>
        <w:overflowPunct w:val="0"/>
        <w:spacing w:line="360" w:lineRule="auto"/>
        <w:ind w:left="0"/>
        <w:rPr>
          <w:rFonts w:hint="default" w:ascii="Calibri" w:hAnsi="Calibri" w:eastAsia="Calibri"/>
          <w:sz w:val="20"/>
        </w:rPr>
      </w:pPr>
    </w:p>
    <w:p>
      <w:pPr>
        <w:pStyle w:val="14"/>
        <w:kinsoku w:val="0"/>
        <w:overflowPunct w:val="0"/>
        <w:spacing w:line="360" w:lineRule="auto"/>
        <w:ind w:left="0"/>
        <w:rPr>
          <w:rFonts w:hint="default" w:ascii="Calibri" w:hAnsi="Calibri" w:eastAsia="Calibri"/>
          <w:sz w:val="20"/>
        </w:rPr>
      </w:pPr>
    </w:p>
    <w:p>
      <w:pPr>
        <w:pStyle w:val="14"/>
        <w:kinsoku w:val="0"/>
        <w:overflowPunct w:val="0"/>
        <w:spacing w:line="360" w:lineRule="auto"/>
        <w:ind w:left="0"/>
        <w:rPr>
          <w:rFonts w:hint="default" w:ascii="Calibri" w:hAnsi="Calibri" w:eastAsia="Calibri"/>
          <w:sz w:val="20"/>
        </w:rPr>
      </w:pPr>
    </w:p>
    <w:p>
      <w:pPr>
        <w:pStyle w:val="14"/>
        <w:kinsoku w:val="0"/>
        <w:overflowPunct w:val="0"/>
        <w:spacing w:line="360" w:lineRule="auto"/>
        <w:ind w:left="0"/>
        <w:rPr>
          <w:rFonts w:hint="default" w:ascii="Calibri" w:hAnsi="Calibri" w:eastAsia="Calibri"/>
          <w:sz w:val="20"/>
        </w:rPr>
      </w:pPr>
    </w:p>
    <w:p>
      <w:pPr>
        <w:pStyle w:val="14"/>
        <w:kinsoku w:val="0"/>
        <w:overflowPunct w:val="0"/>
        <w:spacing w:line="360" w:lineRule="auto"/>
        <w:ind w:left="0"/>
        <w:rPr>
          <w:rFonts w:hint="default" w:ascii="Calibri" w:hAnsi="Calibri" w:eastAsia="Calibri"/>
          <w:sz w:val="20"/>
        </w:rPr>
      </w:pPr>
    </w:p>
    <w:p>
      <w:pPr>
        <w:pStyle w:val="14"/>
        <w:kinsoku w:val="0"/>
        <w:overflowPunct w:val="0"/>
        <w:spacing w:line="360" w:lineRule="auto"/>
        <w:ind w:left="0"/>
        <w:rPr>
          <w:rFonts w:hint="default" w:ascii="Calibri" w:hAnsi="Calibri" w:eastAsia="Calibri"/>
          <w:sz w:val="20"/>
        </w:rPr>
      </w:pPr>
    </w:p>
    <w:p>
      <w:pPr>
        <w:pStyle w:val="4"/>
        <w:kinsoku w:val="0"/>
        <w:overflowPunct w:val="0"/>
        <w:spacing w:line="423" w:lineRule="exact"/>
        <w:ind w:left="0" w:right="126"/>
        <w:jc w:val="center"/>
        <w:rPr>
          <w:rFonts w:hint="default"/>
          <w:b w:val="0"/>
        </w:rPr>
      </w:pPr>
      <w:r>
        <w:rPr>
          <w:rFonts w:hint="default" w:ascii="Cambria" w:hAnsi="Cambria" w:eastAsia="Cambria"/>
        </w:rPr>
        <w:t>1.</w:t>
      </w:r>
      <w:r>
        <w:rPr>
          <w:spacing w:val="4"/>
        </w:rPr>
        <w:t>总则</w:t>
      </w:r>
    </w:p>
    <w:p>
      <w:pPr>
        <w:pStyle w:val="14"/>
        <w:kinsoku w:val="0"/>
        <w:overflowPunct w:val="0"/>
        <w:spacing w:line="360" w:lineRule="auto"/>
        <w:ind w:left="0"/>
        <w:rPr>
          <w:rFonts w:hint="default" w:asciiTheme="minorEastAsia" w:hAnsiTheme="minorEastAsia" w:eastAsiaTheme="minorEastAsia" w:cstheme="minorEastAsia"/>
          <w:b/>
          <w:sz w:val="24"/>
          <w:szCs w:val="24"/>
        </w:rPr>
      </w:pPr>
    </w:p>
    <w:p>
      <w:pPr>
        <w:pStyle w:val="8"/>
        <w:kinsoku w:val="0"/>
        <w:overflowPunct w:val="0"/>
        <w:spacing w:line="360" w:lineRule="auto"/>
        <w:rPr>
          <w:rFonts w:hint="default" w:asciiTheme="minorEastAsia" w:hAnsiTheme="minorEastAsia" w:eastAsiaTheme="minorEastAsia" w:cstheme="minorEastAsia"/>
          <w:b/>
          <w:bCs/>
          <w:spacing w:val="-2"/>
          <w:sz w:val="24"/>
          <w:szCs w:val="24"/>
        </w:rPr>
      </w:pPr>
      <w:bookmarkStart w:id="36" w:name="_Toc3145_WPSOffice_Level2"/>
      <w:r>
        <w:rPr>
          <w:rFonts w:asciiTheme="minorEastAsia" w:hAnsiTheme="minorEastAsia" w:eastAsiaTheme="minorEastAsia" w:cstheme="minorEastAsia"/>
          <w:b/>
          <w:bCs/>
          <w:spacing w:val="-1"/>
          <w:sz w:val="24"/>
          <w:szCs w:val="24"/>
        </w:rPr>
        <w:t>1.1</w:t>
      </w:r>
      <w:r>
        <w:rPr>
          <w:rFonts w:asciiTheme="minorEastAsia" w:hAnsiTheme="minorEastAsia" w:eastAsiaTheme="minorEastAsia" w:cstheme="minorEastAsia"/>
          <w:b/>
          <w:bCs/>
          <w:spacing w:val="-2"/>
          <w:sz w:val="24"/>
          <w:szCs w:val="24"/>
        </w:rPr>
        <w:t>招标项目概况</w:t>
      </w:r>
      <w:bookmarkEnd w:id="36"/>
    </w:p>
    <w:p>
      <w:pPr>
        <w:pStyle w:val="14"/>
        <w:kinsoku w:val="0"/>
        <w:overflowPunct w:val="0"/>
        <w:spacing w:line="360" w:lineRule="auto"/>
        <w:ind w:right="144" w:rightChars="60" w:firstLine="312"/>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1.1.1</w:t>
      </w:r>
      <w:r>
        <w:rPr>
          <w:rFonts w:hint="eastAsia" w:asciiTheme="minorEastAsia" w:hAnsiTheme="minorEastAsia" w:eastAsiaTheme="minorEastAsia" w:cstheme="minorEastAsia"/>
          <w:spacing w:val="-2"/>
          <w:sz w:val="24"/>
          <w:szCs w:val="24"/>
          <w:lang w:val="en-US" w:eastAsia="zh-CN"/>
        </w:rPr>
        <w:t xml:space="preserve"> </w:t>
      </w:r>
      <w:r>
        <w:rPr>
          <w:rFonts w:asciiTheme="minorEastAsia" w:hAnsiTheme="minorEastAsia" w:eastAsiaTheme="minorEastAsia" w:cstheme="minorEastAsia"/>
          <w:spacing w:val="-2"/>
          <w:sz w:val="24"/>
          <w:szCs w:val="24"/>
        </w:rPr>
        <w:t>根据《中华人民共和国政府采购法》、《中华人民共和国政府采购法实施条例》等有关法律、 法规和规章的规定，本招标项目已具备招标条件，现对设备采购进行招标。</w:t>
      </w:r>
    </w:p>
    <w:p>
      <w:pPr>
        <w:pStyle w:val="14"/>
        <w:kinsoku w:val="0"/>
        <w:overflowPunct w:val="0"/>
        <w:spacing w:line="360" w:lineRule="auto"/>
        <w:ind w:left="53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asciiTheme="minorEastAsia" w:hAnsiTheme="minorEastAsia" w:eastAsiaTheme="minorEastAsia" w:cstheme="minorEastAsia"/>
          <w:spacing w:val="-3"/>
          <w:sz w:val="24"/>
          <w:szCs w:val="24"/>
        </w:rPr>
        <w:t>招标人：见投标人须知前附表。</w:t>
      </w:r>
    </w:p>
    <w:p>
      <w:pPr>
        <w:pStyle w:val="14"/>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asciiTheme="minorEastAsia" w:hAnsiTheme="minorEastAsia" w:eastAsiaTheme="minorEastAsia" w:cstheme="minorEastAsia"/>
          <w:spacing w:val="-3"/>
          <w:sz w:val="24"/>
          <w:szCs w:val="24"/>
        </w:rPr>
        <w:t>招标代理机构：见投标人须知前附表。</w:t>
      </w:r>
    </w:p>
    <w:p>
      <w:pPr>
        <w:pStyle w:val="14"/>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asciiTheme="minorEastAsia" w:hAnsiTheme="minorEastAsia" w:eastAsiaTheme="minorEastAsia" w:cstheme="minorEastAsia"/>
          <w:spacing w:val="-3"/>
          <w:sz w:val="24"/>
          <w:szCs w:val="24"/>
        </w:rPr>
        <w:t>招标项目名称：见投标人须知前附表。</w:t>
      </w:r>
    </w:p>
    <w:p>
      <w:pPr>
        <w:pStyle w:val="14"/>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1.1.5</w:t>
      </w:r>
      <w:r>
        <w:rPr>
          <w:rFonts w:hint="eastAsia" w:asciiTheme="minorEastAsia" w:hAnsiTheme="minorEastAsia" w:eastAsiaTheme="minorEastAsia" w:cstheme="minorEastAsia"/>
          <w:sz w:val="24"/>
          <w:szCs w:val="24"/>
          <w:lang w:val="en-US" w:eastAsia="zh-CN"/>
        </w:rPr>
        <w:t xml:space="preserve"> </w:t>
      </w:r>
      <w:r>
        <w:rPr>
          <w:rFonts w:asciiTheme="minorEastAsia" w:hAnsiTheme="minorEastAsia" w:eastAsiaTheme="minorEastAsia" w:cstheme="minorEastAsia"/>
          <w:spacing w:val="-2"/>
          <w:sz w:val="24"/>
          <w:szCs w:val="24"/>
        </w:rPr>
        <w:t xml:space="preserve">采购设备名称: </w:t>
      </w:r>
      <w:r>
        <w:rPr>
          <w:rFonts w:asciiTheme="minorEastAsia" w:hAnsiTheme="minorEastAsia" w:eastAsiaTheme="minorEastAsia" w:cstheme="minorEastAsia"/>
          <w:spacing w:val="-3"/>
          <w:sz w:val="24"/>
          <w:szCs w:val="24"/>
        </w:rPr>
        <w:t>见投标人须知前附表。</w:t>
      </w:r>
    </w:p>
    <w:p>
      <w:pPr>
        <w:pStyle w:val="14"/>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1.1.6</w:t>
      </w:r>
      <w:r>
        <w:rPr>
          <w:rFonts w:hint="eastAsia" w:asciiTheme="minorEastAsia" w:hAnsiTheme="minorEastAsia" w:eastAsiaTheme="minorEastAsia" w:cstheme="minorEastAsia"/>
          <w:sz w:val="24"/>
          <w:szCs w:val="24"/>
          <w:lang w:val="en-US" w:eastAsia="zh-CN"/>
        </w:rPr>
        <w:t xml:space="preserve"> </w:t>
      </w:r>
      <w:r>
        <w:rPr>
          <w:rFonts w:asciiTheme="minorEastAsia" w:hAnsiTheme="minorEastAsia" w:eastAsiaTheme="minorEastAsia" w:cstheme="minorEastAsia"/>
          <w:spacing w:val="-3"/>
          <w:sz w:val="24"/>
          <w:szCs w:val="24"/>
        </w:rPr>
        <w:t>标包划分：见投标人须知前附表。</w:t>
      </w:r>
    </w:p>
    <w:p>
      <w:pPr>
        <w:pStyle w:val="14"/>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1.1.7</w:t>
      </w:r>
      <w:r>
        <w:rPr>
          <w:rFonts w:hint="eastAsia" w:asciiTheme="minorEastAsia" w:hAnsiTheme="minorEastAsia" w:eastAsiaTheme="minorEastAsia" w:cstheme="minorEastAsia"/>
          <w:sz w:val="24"/>
          <w:szCs w:val="24"/>
          <w:lang w:val="en-US" w:eastAsia="zh-CN"/>
        </w:rPr>
        <w:t xml:space="preserve"> </w:t>
      </w:r>
      <w:r>
        <w:rPr>
          <w:rFonts w:asciiTheme="minorEastAsia" w:hAnsiTheme="minorEastAsia" w:eastAsiaTheme="minorEastAsia" w:cstheme="minorEastAsia"/>
          <w:spacing w:val="-3"/>
          <w:sz w:val="24"/>
          <w:szCs w:val="24"/>
        </w:rPr>
        <w:t>核心产品：见投标人须知前附表。</w:t>
      </w:r>
    </w:p>
    <w:p>
      <w:pPr>
        <w:pStyle w:val="8"/>
        <w:kinsoku w:val="0"/>
        <w:overflowPunct w:val="0"/>
        <w:spacing w:line="360" w:lineRule="auto"/>
        <w:rPr>
          <w:rFonts w:hint="default" w:asciiTheme="minorEastAsia" w:hAnsiTheme="minorEastAsia" w:eastAsiaTheme="minorEastAsia" w:cstheme="minorEastAsia"/>
          <w:b/>
          <w:bCs/>
          <w:spacing w:val="-2"/>
          <w:sz w:val="24"/>
          <w:szCs w:val="24"/>
        </w:rPr>
      </w:pPr>
      <w:bookmarkStart w:id="37" w:name="_Toc3899_WPSOffice_Level2"/>
      <w:r>
        <w:rPr>
          <w:rFonts w:asciiTheme="minorEastAsia" w:hAnsiTheme="minorEastAsia" w:eastAsiaTheme="minorEastAsia" w:cstheme="minorEastAsia"/>
          <w:b/>
          <w:bCs/>
          <w:spacing w:val="-1"/>
          <w:sz w:val="24"/>
          <w:szCs w:val="24"/>
        </w:rPr>
        <w:t>1.2</w:t>
      </w:r>
      <w:r>
        <w:rPr>
          <w:rFonts w:asciiTheme="minorEastAsia" w:hAnsiTheme="minorEastAsia" w:eastAsiaTheme="minorEastAsia" w:cstheme="minorEastAsia"/>
          <w:b/>
          <w:bCs/>
          <w:spacing w:val="-2"/>
          <w:sz w:val="24"/>
          <w:szCs w:val="24"/>
        </w:rPr>
        <w:t>招标项目的资金来源和落实情况</w:t>
      </w:r>
      <w:bookmarkEnd w:id="37"/>
    </w:p>
    <w:p>
      <w:pPr>
        <w:pStyle w:val="14"/>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1.2.1</w:t>
      </w:r>
      <w:r>
        <w:rPr>
          <w:rFonts w:hint="eastAsia" w:asciiTheme="minorEastAsia" w:hAnsiTheme="minorEastAsia" w:eastAsiaTheme="minorEastAsia" w:cstheme="minorEastAsia"/>
          <w:sz w:val="24"/>
          <w:szCs w:val="24"/>
          <w:lang w:val="en-US" w:eastAsia="zh-CN"/>
        </w:rPr>
        <w:t xml:space="preserve"> </w:t>
      </w:r>
      <w:r>
        <w:rPr>
          <w:rFonts w:asciiTheme="minorEastAsia" w:hAnsiTheme="minorEastAsia" w:eastAsiaTheme="minorEastAsia" w:cstheme="minorEastAsia"/>
          <w:spacing w:val="-3"/>
          <w:sz w:val="24"/>
          <w:szCs w:val="24"/>
        </w:rPr>
        <w:t>资金来源及比例：见投标人须知前附表。</w:t>
      </w:r>
    </w:p>
    <w:p>
      <w:pPr>
        <w:pStyle w:val="14"/>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1.2.2</w:t>
      </w:r>
      <w:r>
        <w:rPr>
          <w:rFonts w:hint="eastAsia" w:asciiTheme="minorEastAsia" w:hAnsiTheme="minorEastAsia" w:eastAsiaTheme="minorEastAsia" w:cstheme="minorEastAsia"/>
          <w:sz w:val="24"/>
          <w:szCs w:val="24"/>
          <w:lang w:val="en-US" w:eastAsia="zh-CN"/>
        </w:rPr>
        <w:t xml:space="preserve"> </w:t>
      </w:r>
      <w:r>
        <w:rPr>
          <w:rFonts w:asciiTheme="minorEastAsia" w:hAnsiTheme="minorEastAsia" w:eastAsiaTheme="minorEastAsia" w:cstheme="minorEastAsia"/>
          <w:spacing w:val="-3"/>
          <w:sz w:val="24"/>
          <w:szCs w:val="24"/>
        </w:rPr>
        <w:t>资金落实情况：见投标人须知前附表。</w:t>
      </w:r>
    </w:p>
    <w:p>
      <w:pPr>
        <w:pStyle w:val="8"/>
        <w:kinsoku w:val="0"/>
        <w:overflowPunct w:val="0"/>
        <w:spacing w:line="360" w:lineRule="auto"/>
        <w:rPr>
          <w:rFonts w:hint="default" w:asciiTheme="minorEastAsia" w:hAnsiTheme="minorEastAsia" w:eastAsiaTheme="minorEastAsia" w:cstheme="minorEastAsia"/>
          <w:b/>
          <w:bCs/>
          <w:spacing w:val="-2"/>
          <w:sz w:val="24"/>
          <w:szCs w:val="24"/>
        </w:rPr>
      </w:pPr>
      <w:bookmarkStart w:id="38" w:name="_Toc12773_WPSOffice_Level2"/>
      <w:r>
        <w:rPr>
          <w:rFonts w:asciiTheme="minorEastAsia" w:hAnsiTheme="minorEastAsia" w:eastAsiaTheme="minorEastAsia" w:cstheme="minorEastAsia"/>
          <w:b/>
          <w:bCs/>
          <w:spacing w:val="-1"/>
          <w:sz w:val="24"/>
          <w:szCs w:val="24"/>
        </w:rPr>
        <w:t>1.3</w:t>
      </w:r>
      <w:r>
        <w:rPr>
          <w:rFonts w:asciiTheme="minorEastAsia" w:hAnsiTheme="minorEastAsia" w:eastAsiaTheme="minorEastAsia" w:cstheme="minorEastAsia"/>
          <w:b/>
          <w:bCs/>
          <w:spacing w:val="-2"/>
          <w:sz w:val="24"/>
          <w:szCs w:val="24"/>
        </w:rPr>
        <w:t>招标范围、交货期、交货地点和技术性能指标、质保期</w:t>
      </w:r>
      <w:bookmarkEnd w:id="38"/>
    </w:p>
    <w:p>
      <w:pPr>
        <w:pStyle w:val="14"/>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1.3.1</w:t>
      </w:r>
      <w:r>
        <w:rPr>
          <w:rFonts w:hint="eastAsia" w:asciiTheme="minorEastAsia" w:hAnsiTheme="minorEastAsia" w:eastAsiaTheme="minorEastAsia" w:cstheme="minorEastAsia"/>
          <w:sz w:val="24"/>
          <w:szCs w:val="24"/>
          <w:lang w:val="en-US" w:eastAsia="zh-CN"/>
        </w:rPr>
        <w:t xml:space="preserve"> </w:t>
      </w:r>
      <w:r>
        <w:rPr>
          <w:rFonts w:asciiTheme="minorEastAsia" w:hAnsiTheme="minorEastAsia" w:eastAsiaTheme="minorEastAsia" w:cstheme="minorEastAsia"/>
          <w:spacing w:val="-3"/>
          <w:sz w:val="24"/>
          <w:szCs w:val="24"/>
        </w:rPr>
        <w:t>交货期：见投标人须知前附表。</w:t>
      </w:r>
    </w:p>
    <w:p>
      <w:pPr>
        <w:pStyle w:val="14"/>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1.3.2</w:t>
      </w:r>
      <w:r>
        <w:rPr>
          <w:rFonts w:hint="eastAsia" w:asciiTheme="minorEastAsia" w:hAnsiTheme="minorEastAsia" w:eastAsiaTheme="minorEastAsia" w:cstheme="minorEastAsia"/>
          <w:sz w:val="24"/>
          <w:szCs w:val="24"/>
          <w:lang w:val="en-US" w:eastAsia="zh-CN"/>
        </w:rPr>
        <w:t xml:space="preserve"> </w:t>
      </w:r>
      <w:r>
        <w:rPr>
          <w:rFonts w:asciiTheme="minorEastAsia" w:hAnsiTheme="minorEastAsia" w:eastAsiaTheme="minorEastAsia" w:cstheme="minorEastAsia"/>
          <w:spacing w:val="-3"/>
          <w:sz w:val="24"/>
          <w:szCs w:val="24"/>
        </w:rPr>
        <w:t>交货地点：见投标人须知前附表。</w:t>
      </w:r>
    </w:p>
    <w:p>
      <w:pPr>
        <w:pStyle w:val="14"/>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1.3.3</w:t>
      </w:r>
      <w:r>
        <w:rPr>
          <w:rFonts w:hint="eastAsia" w:asciiTheme="minorEastAsia" w:hAnsiTheme="minorEastAsia" w:eastAsiaTheme="minorEastAsia" w:cstheme="minorEastAsia"/>
          <w:sz w:val="24"/>
          <w:szCs w:val="24"/>
          <w:lang w:val="en-US" w:eastAsia="zh-CN"/>
        </w:rPr>
        <w:t xml:space="preserve"> </w:t>
      </w:r>
      <w:r>
        <w:rPr>
          <w:rFonts w:asciiTheme="minorEastAsia" w:hAnsiTheme="minorEastAsia" w:eastAsiaTheme="minorEastAsia" w:cstheme="minorEastAsia"/>
          <w:spacing w:val="-3"/>
          <w:sz w:val="24"/>
          <w:szCs w:val="24"/>
        </w:rPr>
        <w:t>技术性能指标：见投标人须知前附表。</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1.3.4</w:t>
      </w:r>
      <w:r>
        <w:rPr>
          <w:rFonts w:asciiTheme="minorEastAsia" w:hAnsiTheme="minorEastAsia" w:eastAsiaTheme="minorEastAsia" w:cstheme="minorEastAsia"/>
          <w:spacing w:val="-2"/>
          <w:sz w:val="24"/>
          <w:szCs w:val="24"/>
        </w:rPr>
        <w:t xml:space="preserve"> 质保期：见投标人须知前附表。</w:t>
      </w:r>
    </w:p>
    <w:p>
      <w:pPr>
        <w:pStyle w:val="14"/>
        <w:kinsoku w:val="0"/>
        <w:overflowPunct w:val="0"/>
        <w:spacing w:line="360" w:lineRule="auto"/>
        <w:ind w:left="544"/>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1"/>
          <w:sz w:val="24"/>
          <w:szCs w:val="24"/>
        </w:rPr>
        <w:t>1.3.5</w:t>
      </w:r>
      <w:r>
        <w:rPr>
          <w:rFonts w:hint="eastAsia" w:asciiTheme="minorEastAsia" w:hAnsiTheme="minorEastAsia" w:eastAsiaTheme="minorEastAsia" w:cstheme="minorEastAsia"/>
          <w:spacing w:val="-1"/>
          <w:sz w:val="24"/>
          <w:szCs w:val="24"/>
          <w:lang w:val="en-US" w:eastAsia="zh-CN"/>
        </w:rPr>
        <w:t xml:space="preserve"> </w:t>
      </w:r>
      <w:r>
        <w:rPr>
          <w:rFonts w:asciiTheme="minorEastAsia" w:hAnsiTheme="minorEastAsia" w:eastAsiaTheme="minorEastAsia" w:cstheme="minorEastAsia"/>
          <w:spacing w:val="-3"/>
          <w:sz w:val="24"/>
          <w:szCs w:val="24"/>
        </w:rPr>
        <w:t>质量要求：见投标人须知前附表。</w:t>
      </w:r>
    </w:p>
    <w:p>
      <w:pPr>
        <w:pStyle w:val="8"/>
        <w:kinsoku w:val="0"/>
        <w:overflowPunct w:val="0"/>
        <w:spacing w:line="360" w:lineRule="auto"/>
        <w:rPr>
          <w:rFonts w:hint="default" w:asciiTheme="minorEastAsia" w:hAnsiTheme="minorEastAsia" w:eastAsiaTheme="minorEastAsia" w:cstheme="minorEastAsia"/>
          <w:b/>
          <w:bCs/>
          <w:spacing w:val="-2"/>
          <w:sz w:val="24"/>
          <w:szCs w:val="24"/>
        </w:rPr>
      </w:pPr>
      <w:bookmarkStart w:id="39" w:name="_Toc32342_WPSOffice_Level2"/>
      <w:r>
        <w:rPr>
          <w:rFonts w:asciiTheme="minorEastAsia" w:hAnsiTheme="minorEastAsia" w:eastAsiaTheme="minorEastAsia" w:cstheme="minorEastAsia"/>
          <w:b/>
          <w:bCs/>
          <w:spacing w:val="-1"/>
          <w:sz w:val="24"/>
          <w:szCs w:val="24"/>
        </w:rPr>
        <w:t>1.4</w:t>
      </w:r>
      <w:r>
        <w:rPr>
          <w:rFonts w:asciiTheme="minorEastAsia" w:hAnsiTheme="minorEastAsia" w:eastAsiaTheme="minorEastAsia" w:cstheme="minorEastAsia"/>
          <w:b/>
          <w:bCs/>
          <w:spacing w:val="-2"/>
          <w:sz w:val="24"/>
          <w:szCs w:val="24"/>
        </w:rPr>
        <w:t>投标人资格要求</w:t>
      </w:r>
      <w:bookmarkEnd w:id="39"/>
    </w:p>
    <w:p>
      <w:pPr>
        <w:pStyle w:val="14"/>
        <w:kinsoku w:val="0"/>
        <w:overflowPunct w:val="0"/>
        <w:spacing w:line="360" w:lineRule="auto"/>
        <w:ind w:left="539"/>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1.4.1</w:t>
      </w:r>
      <w:r>
        <w:rPr>
          <w:rFonts w:asciiTheme="minorEastAsia" w:hAnsiTheme="minorEastAsia" w:eastAsiaTheme="minorEastAsia" w:cstheme="minorEastAsia"/>
          <w:spacing w:val="-3"/>
          <w:sz w:val="24"/>
          <w:szCs w:val="24"/>
        </w:rPr>
        <w:t>投标人的资格要求见投标人须知前附表；</w:t>
      </w:r>
    </w:p>
    <w:p>
      <w:pPr>
        <w:pStyle w:val="14"/>
        <w:kinsoku w:val="0"/>
        <w:overflowPunct w:val="0"/>
        <w:spacing w:line="360" w:lineRule="auto"/>
        <w:ind w:right="144" w:rightChars="60" w:firstLine="312"/>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1.4.2 投标人须知前附表规定接受联合体投标的，联合体除应符合本章第1.4.1项和投标人须知前附表的要求外，还应遵守以下规定：</w:t>
      </w:r>
    </w:p>
    <w:p>
      <w:pPr>
        <w:pStyle w:val="14"/>
        <w:kinsoku w:val="0"/>
        <w:overflowPunct w:val="0"/>
        <w:spacing w:line="360" w:lineRule="auto"/>
        <w:ind w:right="144" w:rightChars="60" w:firstLine="312"/>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2"/>
          <w:sz w:val="24"/>
          <w:szCs w:val="24"/>
        </w:rPr>
        <w:t>（1）联合体各方应按招标文件提供的格式签订联合体协议书，明确联合体牵头人和各方权利义务，</w:t>
      </w:r>
      <w:r>
        <w:rPr>
          <w:rFonts w:asciiTheme="minorEastAsia" w:hAnsiTheme="minorEastAsia" w:eastAsiaTheme="minorEastAsia" w:cstheme="minorEastAsia"/>
          <w:spacing w:val="-3"/>
          <w:sz w:val="24"/>
          <w:szCs w:val="24"/>
        </w:rPr>
        <w:t>并承诺就中标项目向招标人承担连带责任；</w:t>
      </w:r>
    </w:p>
    <w:p>
      <w:pPr>
        <w:pStyle w:val="14"/>
        <w:kinsoku w:val="0"/>
        <w:overflowPunct w:val="0"/>
        <w:spacing w:line="360" w:lineRule="auto"/>
        <w:ind w:right="144" w:rightChars="60" w:firstLine="312"/>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14"/>
        <w:kinsoku w:val="0"/>
        <w:overflowPunct w:val="0"/>
        <w:spacing w:line="360" w:lineRule="auto"/>
        <w:ind w:left="539" w:right="144" w:rightChars="6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1.4.3</w:t>
      </w:r>
      <w:r>
        <w:rPr>
          <w:rFonts w:asciiTheme="minorEastAsia" w:hAnsiTheme="minorEastAsia" w:eastAsiaTheme="minorEastAsia" w:cstheme="minorEastAsia"/>
          <w:spacing w:val="-2"/>
          <w:sz w:val="24"/>
          <w:szCs w:val="24"/>
        </w:rPr>
        <w:t xml:space="preserve"> 投标人不得存在下列情形之一：</w:t>
      </w:r>
    </w:p>
    <w:p>
      <w:pPr>
        <w:pStyle w:val="14"/>
        <w:kinsoku w:val="0"/>
        <w:overflowPunct w:val="0"/>
        <w:spacing w:line="360" w:lineRule="auto"/>
        <w:ind w:right="144" w:rightChars="60" w:firstLine="420"/>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2"/>
          <w:sz w:val="24"/>
          <w:szCs w:val="24"/>
        </w:rPr>
        <w:t>（1）单位负责人为同一人或者存在直接控股、管理关系的不同供应商，不得参加同一合同项下的</w:t>
      </w:r>
      <w:r>
        <w:rPr>
          <w:rFonts w:asciiTheme="minorEastAsia" w:hAnsiTheme="minorEastAsia" w:eastAsiaTheme="minorEastAsia" w:cstheme="minorEastAsia"/>
          <w:spacing w:val="-1"/>
          <w:sz w:val="24"/>
          <w:szCs w:val="24"/>
        </w:rPr>
        <w:t>政府采购活动。</w:t>
      </w:r>
    </w:p>
    <w:p>
      <w:pPr>
        <w:pStyle w:val="14"/>
        <w:kinsoku w:val="0"/>
        <w:overflowPunct w:val="0"/>
        <w:spacing w:line="360" w:lineRule="auto"/>
        <w:ind w:right="144" w:rightChars="60" w:firstLine="312"/>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（2）为采购项目提供整体设计、规范编制或者项目管理、监理、检测等服务的供应商，不得再参加该项目的其他采购活动。</w:t>
      </w:r>
    </w:p>
    <w:p>
      <w:pPr>
        <w:pStyle w:val="14"/>
        <w:kinsoku w:val="0"/>
        <w:overflowPunct w:val="0"/>
        <w:spacing w:line="360" w:lineRule="auto"/>
        <w:ind w:left="431"/>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（3）法律法规或投标人须知前附表规定的其他情形。</w:t>
      </w:r>
    </w:p>
    <w:p>
      <w:pPr>
        <w:pStyle w:val="8"/>
        <w:kinsoku w:val="0"/>
        <w:overflowPunct w:val="0"/>
        <w:spacing w:line="360" w:lineRule="auto"/>
        <w:rPr>
          <w:rFonts w:hint="default" w:asciiTheme="minorEastAsia" w:hAnsiTheme="minorEastAsia" w:eastAsiaTheme="minorEastAsia" w:cstheme="minorEastAsia"/>
          <w:b/>
          <w:bCs/>
          <w:sz w:val="24"/>
          <w:szCs w:val="24"/>
        </w:rPr>
      </w:pPr>
      <w:bookmarkStart w:id="40" w:name="_Toc5867_WPSOffice_Level2"/>
      <w:r>
        <w:rPr>
          <w:rFonts w:asciiTheme="minorEastAsia" w:hAnsiTheme="minorEastAsia" w:eastAsiaTheme="minorEastAsia" w:cstheme="minorEastAsia"/>
          <w:b/>
          <w:bCs/>
          <w:sz w:val="24"/>
          <w:szCs w:val="24"/>
        </w:rPr>
        <w:t>1.5费用承担</w:t>
      </w:r>
      <w:bookmarkEnd w:id="40"/>
    </w:p>
    <w:p>
      <w:pPr>
        <w:pStyle w:val="14"/>
        <w:kinsoku w:val="0"/>
        <w:overflowPunct w:val="0"/>
        <w:spacing w:line="360" w:lineRule="auto"/>
        <w:ind w:left="53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3"/>
          <w:sz w:val="24"/>
          <w:szCs w:val="24"/>
        </w:rPr>
        <w:t>投标人准备和参加投标活动发生的费用自理。</w:t>
      </w:r>
    </w:p>
    <w:p>
      <w:pPr>
        <w:pStyle w:val="8"/>
        <w:kinsoku w:val="0"/>
        <w:overflowPunct w:val="0"/>
        <w:spacing w:line="360" w:lineRule="auto"/>
        <w:rPr>
          <w:rFonts w:hint="default" w:asciiTheme="minorEastAsia" w:hAnsiTheme="minorEastAsia" w:eastAsiaTheme="minorEastAsia" w:cstheme="minorEastAsia"/>
          <w:b/>
          <w:bCs/>
          <w:sz w:val="24"/>
          <w:szCs w:val="24"/>
        </w:rPr>
      </w:pPr>
      <w:bookmarkStart w:id="41" w:name="_Toc16865_WPSOffice_Level2"/>
      <w:r>
        <w:rPr>
          <w:rFonts w:asciiTheme="minorEastAsia" w:hAnsiTheme="minorEastAsia" w:eastAsiaTheme="minorEastAsia" w:cstheme="minorEastAsia"/>
          <w:b/>
          <w:bCs/>
          <w:spacing w:val="-1"/>
          <w:sz w:val="24"/>
          <w:szCs w:val="24"/>
        </w:rPr>
        <w:t>1.6</w:t>
      </w:r>
      <w:r>
        <w:rPr>
          <w:rFonts w:asciiTheme="minorEastAsia" w:hAnsiTheme="minorEastAsia" w:eastAsiaTheme="minorEastAsia" w:cstheme="minorEastAsia"/>
          <w:b/>
          <w:bCs/>
          <w:spacing w:val="-3"/>
          <w:sz w:val="24"/>
          <w:szCs w:val="24"/>
        </w:rPr>
        <w:t>保密</w:t>
      </w:r>
      <w:bookmarkEnd w:id="41"/>
    </w:p>
    <w:p>
      <w:pPr>
        <w:pStyle w:val="14"/>
        <w:kinsoku w:val="0"/>
        <w:overflowPunct w:val="0"/>
        <w:spacing w:line="360" w:lineRule="auto"/>
        <w:ind w:right="144" w:rightChars="60" w:firstLine="420"/>
        <w:jc w:val="both"/>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1"/>
          <w:sz w:val="24"/>
          <w:szCs w:val="24"/>
        </w:rPr>
        <w:t>参与招标投标活动的各方应对招标文件和投标文件中的商业和技术等秘密保密，否则应承担相应</w:t>
      </w:r>
      <w:r>
        <w:rPr>
          <w:rFonts w:asciiTheme="minorEastAsia" w:hAnsiTheme="minorEastAsia" w:eastAsiaTheme="minorEastAsia" w:cstheme="minorEastAsia"/>
          <w:spacing w:val="-3"/>
          <w:sz w:val="24"/>
          <w:szCs w:val="24"/>
        </w:rPr>
        <w:t>的法律责任。</w:t>
      </w:r>
    </w:p>
    <w:p>
      <w:pPr>
        <w:pStyle w:val="8"/>
        <w:kinsoku w:val="0"/>
        <w:overflowPunct w:val="0"/>
        <w:spacing w:line="360" w:lineRule="auto"/>
        <w:ind w:right="144" w:rightChars="60"/>
        <w:rPr>
          <w:rFonts w:hint="default" w:asciiTheme="minorEastAsia" w:hAnsiTheme="minorEastAsia" w:eastAsiaTheme="minorEastAsia" w:cstheme="minorEastAsia"/>
          <w:b/>
          <w:bCs/>
          <w:spacing w:val="-1"/>
          <w:sz w:val="24"/>
          <w:szCs w:val="24"/>
        </w:rPr>
      </w:pPr>
      <w:bookmarkStart w:id="42" w:name="_Toc22414_WPSOffice_Level2"/>
      <w:r>
        <w:rPr>
          <w:rFonts w:asciiTheme="minorEastAsia" w:hAnsiTheme="minorEastAsia" w:eastAsiaTheme="minorEastAsia" w:cstheme="minorEastAsia"/>
          <w:b/>
          <w:bCs/>
          <w:spacing w:val="-1"/>
          <w:sz w:val="24"/>
          <w:szCs w:val="24"/>
        </w:rPr>
        <w:t>1.7语言文字</w:t>
      </w:r>
      <w:bookmarkEnd w:id="42"/>
    </w:p>
    <w:p>
      <w:pPr>
        <w:pStyle w:val="14"/>
        <w:kinsoku w:val="0"/>
        <w:overflowPunct w:val="0"/>
        <w:spacing w:line="360" w:lineRule="auto"/>
        <w:ind w:left="539" w:right="144" w:rightChars="60"/>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3"/>
          <w:sz w:val="24"/>
          <w:szCs w:val="24"/>
        </w:rPr>
        <w:t>招标投标文件使用的语言文字为中文。专用术语使用外文的，应附有中文注释。</w:t>
      </w:r>
    </w:p>
    <w:p>
      <w:pPr>
        <w:pStyle w:val="8"/>
        <w:kinsoku w:val="0"/>
        <w:overflowPunct w:val="0"/>
        <w:spacing w:line="360" w:lineRule="auto"/>
        <w:ind w:right="144" w:rightChars="60"/>
        <w:rPr>
          <w:rFonts w:hint="default" w:asciiTheme="minorEastAsia" w:hAnsiTheme="minorEastAsia" w:eastAsiaTheme="minorEastAsia" w:cstheme="minorEastAsia"/>
          <w:b/>
          <w:bCs/>
          <w:spacing w:val="-1"/>
          <w:sz w:val="24"/>
          <w:szCs w:val="24"/>
        </w:rPr>
      </w:pPr>
      <w:bookmarkStart w:id="43" w:name="_Toc13514_WPSOffice_Level2"/>
      <w:r>
        <w:rPr>
          <w:rFonts w:asciiTheme="minorEastAsia" w:hAnsiTheme="minorEastAsia" w:eastAsiaTheme="minorEastAsia" w:cstheme="minorEastAsia"/>
          <w:b/>
          <w:bCs/>
          <w:spacing w:val="-1"/>
          <w:sz w:val="24"/>
          <w:szCs w:val="24"/>
        </w:rPr>
        <w:t>1.8计量单位</w:t>
      </w:r>
      <w:bookmarkEnd w:id="43"/>
    </w:p>
    <w:p>
      <w:pPr>
        <w:pStyle w:val="14"/>
        <w:kinsoku w:val="0"/>
        <w:overflowPunct w:val="0"/>
        <w:spacing w:line="360" w:lineRule="auto"/>
        <w:ind w:left="539" w:right="144" w:rightChars="60"/>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3"/>
          <w:sz w:val="24"/>
          <w:szCs w:val="24"/>
        </w:rPr>
        <w:t>所有计量均采用中华人民共和国法定计量单位。</w:t>
      </w:r>
    </w:p>
    <w:p>
      <w:pPr>
        <w:pStyle w:val="8"/>
        <w:kinsoku w:val="0"/>
        <w:overflowPunct w:val="0"/>
        <w:spacing w:line="360" w:lineRule="auto"/>
        <w:ind w:right="144" w:rightChars="60"/>
        <w:rPr>
          <w:rFonts w:hint="default" w:asciiTheme="minorEastAsia" w:hAnsiTheme="minorEastAsia" w:eastAsiaTheme="minorEastAsia" w:cstheme="minorEastAsia"/>
          <w:b/>
          <w:bCs/>
          <w:sz w:val="24"/>
          <w:szCs w:val="24"/>
        </w:rPr>
      </w:pPr>
      <w:bookmarkStart w:id="44" w:name="_Toc23682_WPSOffice_Level2"/>
      <w:r>
        <w:rPr>
          <w:rFonts w:asciiTheme="minorEastAsia" w:hAnsiTheme="minorEastAsia" w:eastAsiaTheme="minorEastAsia" w:cstheme="minorEastAsia"/>
          <w:b/>
          <w:bCs/>
          <w:sz w:val="24"/>
          <w:szCs w:val="24"/>
        </w:rPr>
        <w:t>1.9分包</w:t>
      </w:r>
      <w:bookmarkEnd w:id="44"/>
    </w:p>
    <w:p>
      <w:pPr>
        <w:pStyle w:val="14"/>
        <w:kinsoku w:val="0"/>
        <w:overflowPunct w:val="0"/>
        <w:spacing w:line="360" w:lineRule="auto"/>
        <w:ind w:right="144" w:rightChars="60" w:firstLine="420"/>
        <w:jc w:val="both"/>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1"/>
          <w:sz w:val="24"/>
          <w:szCs w:val="24"/>
        </w:rPr>
        <w:t>1.9.1</w:t>
      </w:r>
      <w:r>
        <w:rPr>
          <w:rFonts w:asciiTheme="minorEastAsia" w:hAnsiTheme="minorEastAsia" w:eastAsiaTheme="minorEastAsia" w:cstheme="minorEastAsia"/>
          <w:spacing w:val="-2"/>
          <w:sz w:val="24"/>
          <w:szCs w:val="24"/>
        </w:rPr>
        <w:t xml:space="preserve"> 投标人拟在中标后将中标项目的非主体设备进行分包的，应符合投标人须知前附表规定的分包内容、分包金额和资质要求等限制性条件，除投标人须知前附表规定的非主体设备外，其他工作不得</w:t>
      </w:r>
      <w:r>
        <w:rPr>
          <w:rFonts w:asciiTheme="minorEastAsia" w:hAnsiTheme="minorEastAsia" w:eastAsiaTheme="minorEastAsia" w:cstheme="minorEastAsia"/>
          <w:spacing w:val="-1"/>
          <w:sz w:val="24"/>
          <w:szCs w:val="24"/>
        </w:rPr>
        <w:t>分包。</w:t>
      </w:r>
    </w:p>
    <w:p>
      <w:pPr>
        <w:pStyle w:val="14"/>
        <w:kinsoku w:val="0"/>
        <w:overflowPunct w:val="0"/>
        <w:spacing w:line="360" w:lineRule="auto"/>
        <w:ind w:right="146"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1"/>
          <w:sz w:val="24"/>
          <w:szCs w:val="24"/>
        </w:rPr>
        <w:t>1.9.2</w:t>
      </w:r>
      <w:r>
        <w:rPr>
          <w:rFonts w:hint="eastAsia" w:asciiTheme="minorEastAsia" w:hAnsiTheme="minorEastAsia" w:eastAsiaTheme="minorEastAsia" w:cstheme="minorEastAsia"/>
          <w:spacing w:val="-1"/>
          <w:sz w:val="24"/>
          <w:szCs w:val="24"/>
          <w:lang w:val="en-US" w:eastAsia="zh-CN"/>
        </w:rPr>
        <w:t xml:space="preserve"> </w:t>
      </w:r>
      <w:r>
        <w:rPr>
          <w:rFonts w:asciiTheme="minorEastAsia" w:hAnsiTheme="minorEastAsia" w:eastAsiaTheme="minorEastAsia" w:cstheme="minorEastAsia"/>
          <w:spacing w:val="1"/>
          <w:sz w:val="24"/>
          <w:szCs w:val="24"/>
        </w:rPr>
        <w:t>中标人不得向他人转让中标项目，接受分包的人不得再次分包。中标人应当就分包</w:t>
      </w:r>
      <w:r>
        <w:rPr>
          <w:rFonts w:asciiTheme="minorEastAsia" w:hAnsiTheme="minorEastAsia" w:eastAsiaTheme="minorEastAsia" w:cstheme="minorEastAsia"/>
          <w:sz w:val="24"/>
          <w:szCs w:val="24"/>
        </w:rPr>
        <w:t>项目向</w:t>
      </w:r>
      <w:r>
        <w:rPr>
          <w:rFonts w:asciiTheme="minorEastAsia" w:hAnsiTheme="minorEastAsia" w:eastAsiaTheme="minorEastAsia" w:cstheme="minorEastAsia"/>
          <w:spacing w:val="-3"/>
          <w:sz w:val="24"/>
          <w:szCs w:val="24"/>
        </w:rPr>
        <w:t>招标人负责，接受分包的人就分包项目承担连带责任。</w:t>
      </w:r>
    </w:p>
    <w:p>
      <w:pPr>
        <w:pStyle w:val="8"/>
        <w:kinsoku w:val="0"/>
        <w:overflowPunct w:val="0"/>
        <w:spacing w:line="360" w:lineRule="auto"/>
        <w:rPr>
          <w:rFonts w:hint="default" w:asciiTheme="minorEastAsia" w:hAnsiTheme="minorEastAsia" w:eastAsiaTheme="minorEastAsia" w:cstheme="minorEastAsia"/>
          <w:b/>
          <w:bCs/>
          <w:spacing w:val="-2"/>
          <w:sz w:val="24"/>
          <w:szCs w:val="24"/>
        </w:rPr>
      </w:pPr>
      <w:bookmarkStart w:id="45" w:name="_Toc6272_WPSOffice_Level2"/>
      <w:r>
        <w:rPr>
          <w:rFonts w:asciiTheme="minorEastAsia" w:hAnsiTheme="minorEastAsia" w:eastAsiaTheme="minorEastAsia" w:cstheme="minorEastAsia"/>
          <w:b/>
          <w:bCs/>
          <w:spacing w:val="-3"/>
          <w:sz w:val="24"/>
          <w:szCs w:val="24"/>
        </w:rPr>
        <w:t>1.10</w:t>
      </w:r>
      <w:r>
        <w:rPr>
          <w:rFonts w:asciiTheme="minorEastAsia" w:hAnsiTheme="minorEastAsia" w:eastAsiaTheme="minorEastAsia" w:cstheme="minorEastAsia"/>
          <w:b/>
          <w:bCs/>
          <w:spacing w:val="-2"/>
          <w:sz w:val="24"/>
          <w:szCs w:val="24"/>
        </w:rPr>
        <w:t xml:space="preserve"> 响应和偏差</w:t>
      </w:r>
      <w:bookmarkEnd w:id="45"/>
    </w:p>
    <w:p>
      <w:pPr>
        <w:pStyle w:val="14"/>
        <w:kinsoku w:val="0"/>
        <w:overflowPunct w:val="0"/>
        <w:spacing w:line="360" w:lineRule="auto"/>
        <w:ind w:right="70"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1"/>
          <w:sz w:val="24"/>
          <w:szCs w:val="24"/>
        </w:rPr>
        <w:t>1.10.1</w:t>
      </w:r>
      <w:r>
        <w:rPr>
          <w:rFonts w:hint="eastAsia" w:asciiTheme="minorEastAsia" w:hAnsiTheme="minorEastAsia" w:eastAsiaTheme="minorEastAsia" w:cstheme="minorEastAsia"/>
          <w:spacing w:val="-1"/>
          <w:sz w:val="24"/>
          <w:szCs w:val="24"/>
          <w:lang w:val="en-US" w:eastAsia="zh-CN"/>
        </w:rPr>
        <w:t xml:space="preserve"> </w:t>
      </w:r>
      <w:r>
        <w:rPr>
          <w:rFonts w:asciiTheme="minorEastAsia" w:hAnsiTheme="minorEastAsia" w:eastAsiaTheme="minorEastAsia" w:cstheme="minorEastAsia"/>
          <w:spacing w:val="1"/>
          <w:sz w:val="24"/>
          <w:szCs w:val="24"/>
        </w:rPr>
        <w:t>投标文件应当对招标文件的实质性要求和条件作出满足性或更有利于招标人的响应，否则，</w:t>
      </w:r>
      <w:r>
        <w:rPr>
          <w:rFonts w:asciiTheme="minorEastAsia" w:hAnsiTheme="minorEastAsia" w:eastAsiaTheme="minorEastAsia" w:cstheme="minorEastAsia"/>
          <w:spacing w:val="-2"/>
          <w:sz w:val="24"/>
          <w:szCs w:val="24"/>
        </w:rPr>
        <w:t>投标人的投标将被否决。实质性要求和条件见投标人须知前附表。</w:t>
      </w:r>
    </w:p>
    <w:p>
      <w:pPr>
        <w:pStyle w:val="14"/>
        <w:kinsoku w:val="0"/>
        <w:overflowPunct w:val="0"/>
        <w:spacing w:line="360" w:lineRule="auto"/>
        <w:ind w:right="211"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2"/>
          <w:sz w:val="24"/>
          <w:szCs w:val="24"/>
        </w:rPr>
        <w:t>1.10.2 投标人应根据招标文件的要求提供投标设备技术性能指标的详细描述、技术支持资料及技术</w:t>
      </w:r>
      <w:r>
        <w:rPr>
          <w:rFonts w:asciiTheme="minorEastAsia" w:hAnsiTheme="minorEastAsia" w:eastAsiaTheme="minorEastAsia" w:cstheme="minorEastAsia"/>
          <w:spacing w:val="-3"/>
          <w:sz w:val="24"/>
          <w:szCs w:val="24"/>
        </w:rPr>
        <w:t>服务和质保期服务计划等内容以对招标文件作出响应。</w:t>
      </w:r>
    </w:p>
    <w:p>
      <w:pPr>
        <w:pStyle w:val="14"/>
        <w:kinsoku w:val="0"/>
        <w:overflowPunct w:val="0"/>
        <w:spacing w:line="360" w:lineRule="auto"/>
        <w:ind w:right="209"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2"/>
          <w:sz w:val="24"/>
          <w:szCs w:val="24"/>
        </w:rPr>
        <w:t>1.10.3 投标文件中应针对实质性要求和条件中列明的技术要求提供技术支持资料。技术支持资料以</w:t>
      </w:r>
      <w:r>
        <w:rPr>
          <w:rFonts w:asciiTheme="minorEastAsia" w:hAnsiTheme="minorEastAsia" w:eastAsiaTheme="minorEastAsia" w:cstheme="minorEastAsia"/>
          <w:sz w:val="24"/>
          <w:szCs w:val="24"/>
        </w:rPr>
        <w:t>制造商公开发布的印刷资料，或检测机构出具的检测报告或投标人须知前附表允许的其他形式为准，不</w:t>
      </w:r>
      <w:r>
        <w:rPr>
          <w:rFonts w:asciiTheme="minorEastAsia" w:hAnsiTheme="minorEastAsia" w:eastAsiaTheme="minorEastAsia" w:cstheme="minorEastAsia"/>
          <w:spacing w:val="-3"/>
          <w:sz w:val="24"/>
          <w:szCs w:val="24"/>
        </w:rPr>
        <w:t>符合前述要求的，视为无技术支持资料，其投标将被否决</w:t>
      </w:r>
    </w:p>
    <w:p>
      <w:pPr>
        <w:pStyle w:val="14"/>
        <w:kinsoku w:val="0"/>
        <w:overflowPunct w:val="0"/>
        <w:spacing w:line="360" w:lineRule="auto"/>
        <w:ind w:right="211"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2"/>
          <w:sz w:val="24"/>
          <w:szCs w:val="24"/>
        </w:rPr>
        <w:t>1.10.4 投标人须知前附表规定了可以偏差的范围和最高偏差项数的，偏差应当符合投标人须知前附</w:t>
      </w:r>
      <w:r>
        <w:rPr>
          <w:rFonts w:asciiTheme="minorEastAsia" w:hAnsiTheme="minorEastAsia" w:eastAsiaTheme="minorEastAsia" w:cstheme="minorEastAsia"/>
          <w:spacing w:val="-3"/>
          <w:sz w:val="24"/>
          <w:szCs w:val="24"/>
        </w:rPr>
        <w:t>表规定的偏差范围和最高项数，超出偏差范围和最高偏差项数的投标将被否决。</w:t>
      </w:r>
    </w:p>
    <w:p>
      <w:pPr>
        <w:pStyle w:val="14"/>
        <w:kinsoku w:val="0"/>
        <w:overflowPunct w:val="0"/>
        <w:spacing w:line="360" w:lineRule="auto"/>
        <w:ind w:right="209" w:firstLine="420"/>
        <w:jc w:val="both"/>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2"/>
          <w:sz w:val="24"/>
          <w:szCs w:val="24"/>
        </w:rPr>
        <w:t>1.10.5 投标文件对招标文件的全部偏差，均应在投标文件的商务和技术偏差表中列明，除列明的内</w:t>
      </w:r>
      <w:r>
        <w:rPr>
          <w:rFonts w:asciiTheme="minorEastAsia" w:hAnsiTheme="minorEastAsia" w:eastAsiaTheme="minorEastAsia" w:cstheme="minorEastAsia"/>
          <w:spacing w:val="-3"/>
          <w:sz w:val="24"/>
          <w:szCs w:val="24"/>
        </w:rPr>
        <w:t>容外，视为投标人响应招标文件的全部要求。</w:t>
      </w:r>
    </w:p>
    <w:p>
      <w:pPr>
        <w:pStyle w:val="8"/>
        <w:kinsoku w:val="0"/>
        <w:overflowPunct w:val="0"/>
        <w:spacing w:line="360" w:lineRule="auto"/>
        <w:rPr>
          <w:rFonts w:hint="default" w:asciiTheme="minorEastAsia" w:hAnsiTheme="minorEastAsia" w:eastAsiaTheme="minorEastAsia" w:cstheme="minorEastAsia"/>
          <w:b/>
          <w:bCs/>
          <w:sz w:val="24"/>
          <w:szCs w:val="24"/>
        </w:rPr>
      </w:pPr>
      <w:bookmarkStart w:id="46" w:name="_Toc14017_WPSOffice_Level2"/>
      <w:r>
        <w:rPr>
          <w:rFonts w:asciiTheme="minorEastAsia" w:hAnsiTheme="minorEastAsia" w:eastAsiaTheme="minorEastAsia" w:cstheme="minorEastAsia"/>
          <w:b/>
          <w:bCs/>
          <w:sz w:val="24"/>
          <w:szCs w:val="24"/>
        </w:rPr>
        <w:t>1.11采购进口产品</w:t>
      </w:r>
      <w:bookmarkEnd w:id="46"/>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1.11.1除招标文件前附表另有规定外，本采购项目拒绝进口产品参加投标。</w:t>
      </w:r>
    </w:p>
    <w:p>
      <w:pPr>
        <w:pStyle w:val="14"/>
        <w:kinsoku w:val="0"/>
        <w:overflowPunct w:val="0"/>
        <w:spacing w:line="360" w:lineRule="auto"/>
        <w:ind w:right="209" w:firstLine="420"/>
        <w:jc w:val="both"/>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1.11.2本章第1.11.1款规定同意购买进口产品的，不限制满足招标文件要求的国内产品参与投标竞争。</w:t>
      </w:r>
      <w:bookmarkStart w:id="47" w:name="bookmark5"/>
      <w:bookmarkEnd w:id="47"/>
    </w:p>
    <w:p>
      <w:pPr>
        <w:pStyle w:val="4"/>
        <w:kinsoku w:val="0"/>
        <w:overflowPunct w:val="0"/>
        <w:spacing w:line="423" w:lineRule="exact"/>
        <w:ind w:left="0" w:right="-94"/>
        <w:jc w:val="center"/>
        <w:rPr>
          <w:rFonts w:hint="default" w:ascii="Cambria" w:hAnsi="Cambria" w:eastAsia="Cambria"/>
          <w:szCs w:val="22"/>
        </w:rPr>
      </w:pPr>
      <w:r>
        <w:rPr>
          <w:rFonts w:ascii="Cambria" w:hAnsi="Cambria" w:eastAsia="Cambria"/>
          <w:szCs w:val="22"/>
        </w:rPr>
        <w:t>2. 招标文件</w:t>
      </w:r>
    </w:p>
    <w:p>
      <w:pPr>
        <w:pStyle w:val="14"/>
        <w:kinsoku w:val="0"/>
        <w:overflowPunct w:val="0"/>
        <w:spacing w:line="360" w:lineRule="auto"/>
        <w:ind w:left="0"/>
        <w:rPr>
          <w:rFonts w:hint="default" w:asciiTheme="minorEastAsia" w:hAnsiTheme="minorEastAsia" w:eastAsiaTheme="minorEastAsia" w:cstheme="minorEastAsia"/>
          <w:b/>
          <w:sz w:val="24"/>
          <w:szCs w:val="24"/>
        </w:rPr>
      </w:pPr>
    </w:p>
    <w:p>
      <w:pPr>
        <w:pStyle w:val="8"/>
        <w:kinsoku w:val="0"/>
        <w:overflowPunct w:val="0"/>
        <w:spacing w:line="360" w:lineRule="auto"/>
        <w:rPr>
          <w:rFonts w:hint="default" w:asciiTheme="minorEastAsia" w:hAnsiTheme="minorEastAsia" w:eastAsiaTheme="minorEastAsia" w:cstheme="minorEastAsia"/>
          <w:b/>
          <w:bCs/>
          <w:sz w:val="24"/>
          <w:szCs w:val="24"/>
        </w:rPr>
      </w:pPr>
      <w:bookmarkStart w:id="48" w:name="_Toc25152_WPSOffice_Level2"/>
      <w:r>
        <w:rPr>
          <w:rFonts w:asciiTheme="minorEastAsia" w:hAnsiTheme="minorEastAsia" w:eastAsiaTheme="minorEastAsia" w:cstheme="minorEastAsia"/>
          <w:b/>
          <w:bCs/>
          <w:spacing w:val="-1"/>
          <w:sz w:val="24"/>
          <w:szCs w:val="24"/>
        </w:rPr>
        <w:t>2.1</w:t>
      </w:r>
      <w:r>
        <w:rPr>
          <w:rFonts w:asciiTheme="minorEastAsia" w:hAnsiTheme="minorEastAsia" w:eastAsiaTheme="minorEastAsia" w:cstheme="minorEastAsia"/>
          <w:b/>
          <w:bCs/>
          <w:spacing w:val="-2"/>
          <w:sz w:val="24"/>
          <w:szCs w:val="24"/>
        </w:rPr>
        <w:t>招标文件的组成</w:t>
      </w:r>
      <w:bookmarkEnd w:id="48"/>
    </w:p>
    <w:p>
      <w:pPr>
        <w:pStyle w:val="14"/>
        <w:kinsoku w:val="0"/>
        <w:overflowPunct w:val="0"/>
        <w:spacing w:line="360" w:lineRule="auto"/>
        <w:ind w:left="479" w:firstLine="236" w:firstLineChars="10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本招标文件包括：</w:t>
      </w:r>
    </w:p>
    <w:p>
      <w:pPr>
        <w:pStyle w:val="14"/>
        <w:kinsoku w:val="0"/>
        <w:overflowPunct w:val="0"/>
        <w:spacing w:line="360" w:lineRule="auto"/>
        <w:ind w:left="47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1"/>
          <w:sz w:val="24"/>
          <w:szCs w:val="24"/>
        </w:rPr>
        <w:t>（</w:t>
      </w:r>
      <w:r>
        <w:rPr>
          <w:rFonts w:asciiTheme="minorEastAsia" w:hAnsiTheme="minorEastAsia" w:eastAsiaTheme="minorEastAsia" w:cstheme="minorEastAsia"/>
          <w:sz w:val="24"/>
          <w:szCs w:val="24"/>
        </w:rPr>
        <w:t>1</w:t>
      </w:r>
      <w:r>
        <w:rPr>
          <w:rFonts w:asciiTheme="minorEastAsia" w:hAnsiTheme="minorEastAsia" w:eastAsiaTheme="minorEastAsia" w:cstheme="minorEastAsia"/>
          <w:spacing w:val="-5"/>
          <w:sz w:val="24"/>
          <w:szCs w:val="24"/>
        </w:rPr>
        <w:t>）</w:t>
      </w:r>
      <w:r>
        <w:rPr>
          <w:rFonts w:asciiTheme="minorEastAsia" w:hAnsiTheme="minorEastAsia" w:eastAsiaTheme="minorEastAsia" w:cstheme="minorEastAsia"/>
          <w:sz w:val="24"/>
          <w:szCs w:val="24"/>
        </w:rPr>
        <w:t>招</w:t>
      </w:r>
      <w:r>
        <w:rPr>
          <w:rFonts w:asciiTheme="minorEastAsia" w:hAnsiTheme="minorEastAsia" w:eastAsiaTheme="minorEastAsia" w:cstheme="minorEastAsia"/>
          <w:spacing w:val="-3"/>
          <w:sz w:val="24"/>
          <w:szCs w:val="24"/>
        </w:rPr>
        <w:t>标公告（</w:t>
      </w:r>
      <w:r>
        <w:rPr>
          <w:rFonts w:asciiTheme="minorEastAsia" w:hAnsiTheme="minorEastAsia" w:eastAsiaTheme="minorEastAsia" w:cstheme="minorEastAsia"/>
          <w:spacing w:val="-2"/>
          <w:sz w:val="24"/>
          <w:szCs w:val="24"/>
        </w:rPr>
        <w:t>或</w:t>
      </w:r>
      <w:r>
        <w:rPr>
          <w:rFonts w:asciiTheme="minorEastAsia" w:hAnsiTheme="minorEastAsia" w:eastAsiaTheme="minorEastAsia" w:cstheme="minorEastAsia"/>
          <w:sz w:val="24"/>
          <w:szCs w:val="24"/>
        </w:rPr>
        <w:t>投</w:t>
      </w:r>
      <w:r>
        <w:rPr>
          <w:rFonts w:asciiTheme="minorEastAsia" w:hAnsiTheme="minorEastAsia" w:eastAsiaTheme="minorEastAsia" w:cstheme="minorEastAsia"/>
          <w:spacing w:val="-5"/>
          <w:sz w:val="24"/>
          <w:szCs w:val="24"/>
        </w:rPr>
        <w:t>标邀</w:t>
      </w:r>
      <w:r>
        <w:rPr>
          <w:rFonts w:asciiTheme="minorEastAsia" w:hAnsiTheme="minorEastAsia" w:eastAsiaTheme="minorEastAsia" w:cstheme="minorEastAsia"/>
          <w:sz w:val="24"/>
          <w:szCs w:val="24"/>
        </w:rPr>
        <w:t>请书</w:t>
      </w:r>
      <w:r>
        <w:rPr>
          <w:rFonts w:asciiTheme="minorEastAsia" w:hAnsiTheme="minorEastAsia" w:eastAsiaTheme="minorEastAsia" w:cstheme="minorEastAsia"/>
          <w:spacing w:val="-111"/>
          <w:sz w:val="24"/>
          <w:szCs w:val="24"/>
        </w:rPr>
        <w:t>）</w:t>
      </w:r>
      <w:r>
        <w:rPr>
          <w:rFonts w:asciiTheme="minorEastAsia" w:hAnsiTheme="minorEastAsia" w:eastAsiaTheme="minorEastAsia" w:cstheme="minorEastAsia"/>
          <w:sz w:val="24"/>
          <w:szCs w:val="24"/>
        </w:rPr>
        <w:t>；</w:t>
      </w:r>
    </w:p>
    <w:p>
      <w:pPr>
        <w:pStyle w:val="14"/>
        <w:kinsoku w:val="0"/>
        <w:overflowPunct w:val="0"/>
        <w:spacing w:line="360" w:lineRule="auto"/>
        <w:ind w:left="47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3"/>
          <w:sz w:val="24"/>
          <w:szCs w:val="24"/>
        </w:rPr>
        <w:t>（2）投标人须知；</w:t>
      </w:r>
    </w:p>
    <w:p>
      <w:pPr>
        <w:pStyle w:val="14"/>
        <w:kinsoku w:val="0"/>
        <w:overflowPunct w:val="0"/>
        <w:spacing w:line="360" w:lineRule="auto"/>
        <w:ind w:left="47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（3）评标办法；</w:t>
      </w:r>
    </w:p>
    <w:p>
      <w:pPr>
        <w:pStyle w:val="14"/>
        <w:kinsoku w:val="0"/>
        <w:overflowPunct w:val="0"/>
        <w:spacing w:line="360" w:lineRule="auto"/>
        <w:ind w:left="47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3"/>
          <w:sz w:val="24"/>
          <w:szCs w:val="24"/>
        </w:rPr>
        <w:t>（4）合同条款及格式；</w:t>
      </w:r>
    </w:p>
    <w:p>
      <w:pPr>
        <w:pStyle w:val="14"/>
        <w:kinsoku w:val="0"/>
        <w:overflowPunct w:val="0"/>
        <w:spacing w:line="360" w:lineRule="auto"/>
        <w:ind w:left="47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（5）采购需求；</w:t>
      </w:r>
    </w:p>
    <w:p>
      <w:pPr>
        <w:pStyle w:val="14"/>
        <w:kinsoku w:val="0"/>
        <w:overflowPunct w:val="0"/>
        <w:spacing w:line="360" w:lineRule="auto"/>
        <w:ind w:left="47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（6）投标文件格式；</w:t>
      </w:r>
    </w:p>
    <w:p>
      <w:pPr>
        <w:pStyle w:val="14"/>
        <w:kinsoku w:val="0"/>
        <w:overflowPunct w:val="0"/>
        <w:spacing w:line="360" w:lineRule="auto"/>
        <w:ind w:left="47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（7）政府采购政策</w:t>
      </w:r>
    </w:p>
    <w:p>
      <w:pPr>
        <w:pStyle w:val="14"/>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2"/>
          <w:sz w:val="24"/>
          <w:szCs w:val="24"/>
        </w:rPr>
        <w:t>根据本章第2.2 款和第</w:t>
      </w:r>
      <w:r>
        <w:rPr>
          <w:rFonts w:asciiTheme="minorEastAsia" w:hAnsiTheme="minorEastAsia" w:eastAsiaTheme="minorEastAsia" w:cstheme="minorEastAsia"/>
          <w:spacing w:val="-1"/>
          <w:sz w:val="24"/>
          <w:szCs w:val="24"/>
        </w:rPr>
        <w:t>2.3</w:t>
      </w:r>
      <w:r>
        <w:rPr>
          <w:rFonts w:asciiTheme="minorEastAsia" w:hAnsiTheme="minorEastAsia" w:eastAsiaTheme="minorEastAsia" w:cstheme="minorEastAsia"/>
          <w:spacing w:val="-3"/>
          <w:sz w:val="24"/>
          <w:szCs w:val="24"/>
        </w:rPr>
        <w:t>款对招标文件所作的澄清、修改，构成招标文件的组成部分</w:t>
      </w:r>
    </w:p>
    <w:p>
      <w:pPr>
        <w:pStyle w:val="8"/>
        <w:kinsoku w:val="0"/>
        <w:overflowPunct w:val="0"/>
        <w:spacing w:line="360" w:lineRule="auto"/>
        <w:rPr>
          <w:rFonts w:hint="default" w:asciiTheme="minorEastAsia" w:hAnsiTheme="minorEastAsia" w:eastAsiaTheme="minorEastAsia" w:cstheme="minorEastAsia"/>
          <w:b/>
          <w:bCs/>
          <w:sz w:val="24"/>
          <w:szCs w:val="24"/>
        </w:rPr>
      </w:pPr>
      <w:bookmarkStart w:id="49" w:name="_Toc5682_WPSOffice_Level2"/>
      <w:r>
        <w:rPr>
          <w:rFonts w:asciiTheme="minorEastAsia" w:hAnsiTheme="minorEastAsia" w:eastAsiaTheme="minorEastAsia" w:cstheme="minorEastAsia"/>
          <w:b/>
          <w:bCs/>
          <w:spacing w:val="-1"/>
          <w:sz w:val="24"/>
          <w:szCs w:val="24"/>
        </w:rPr>
        <w:t>2.2</w:t>
      </w:r>
      <w:r>
        <w:rPr>
          <w:rFonts w:asciiTheme="minorEastAsia" w:hAnsiTheme="minorEastAsia" w:eastAsiaTheme="minorEastAsia" w:cstheme="minorEastAsia"/>
          <w:b/>
          <w:bCs/>
          <w:spacing w:val="-2"/>
          <w:sz w:val="24"/>
          <w:szCs w:val="24"/>
        </w:rPr>
        <w:t>招标文件的澄清</w:t>
      </w:r>
      <w:bookmarkEnd w:id="49"/>
    </w:p>
    <w:p>
      <w:pPr>
        <w:pStyle w:val="14"/>
        <w:kinsoku w:val="0"/>
        <w:overflowPunct w:val="0"/>
        <w:spacing w:line="360" w:lineRule="auto"/>
        <w:ind w:right="146"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 xml:space="preserve">2.2.1 </w:t>
      </w:r>
      <w:r>
        <w:rPr>
          <w:rFonts w:asciiTheme="minorEastAsia" w:hAnsiTheme="minorEastAsia" w:eastAsiaTheme="minorEastAsia" w:cstheme="minorEastAsia"/>
          <w:spacing w:val="2"/>
          <w:sz w:val="24"/>
          <w:szCs w:val="24"/>
        </w:rPr>
        <w:t>投</w:t>
      </w:r>
      <w:r>
        <w:rPr>
          <w:rFonts w:asciiTheme="minorEastAsia" w:hAnsiTheme="minorEastAsia" w:eastAsiaTheme="minorEastAsia" w:cstheme="minorEastAsia"/>
          <w:spacing w:val="-3"/>
          <w:sz w:val="24"/>
          <w:szCs w:val="24"/>
        </w:rPr>
        <w:t>标</w:t>
      </w:r>
      <w:r>
        <w:rPr>
          <w:rFonts w:asciiTheme="minorEastAsia" w:hAnsiTheme="minorEastAsia" w:eastAsiaTheme="minorEastAsia" w:cstheme="minorEastAsia"/>
          <w:spacing w:val="2"/>
          <w:sz w:val="24"/>
          <w:szCs w:val="24"/>
        </w:rPr>
        <w:t>人</w:t>
      </w:r>
      <w:r>
        <w:rPr>
          <w:rFonts w:asciiTheme="minorEastAsia" w:hAnsiTheme="minorEastAsia" w:eastAsiaTheme="minorEastAsia" w:cstheme="minorEastAsia"/>
          <w:sz w:val="24"/>
          <w:szCs w:val="24"/>
        </w:rPr>
        <w:t>应仔细</w:t>
      </w:r>
      <w:r>
        <w:rPr>
          <w:rFonts w:asciiTheme="minorEastAsia" w:hAnsiTheme="minorEastAsia" w:eastAsiaTheme="minorEastAsia" w:cstheme="minorEastAsia"/>
          <w:spacing w:val="2"/>
          <w:sz w:val="24"/>
          <w:szCs w:val="24"/>
        </w:rPr>
        <w:t>阅</w:t>
      </w:r>
      <w:r>
        <w:rPr>
          <w:rFonts w:asciiTheme="minorEastAsia" w:hAnsiTheme="minorEastAsia" w:eastAsiaTheme="minorEastAsia" w:cstheme="minorEastAsia"/>
          <w:spacing w:val="-3"/>
          <w:sz w:val="24"/>
          <w:szCs w:val="24"/>
        </w:rPr>
        <w:t>读</w:t>
      </w:r>
      <w:r>
        <w:rPr>
          <w:rFonts w:asciiTheme="minorEastAsia" w:hAnsiTheme="minorEastAsia" w:eastAsiaTheme="minorEastAsia" w:cstheme="minorEastAsia"/>
          <w:sz w:val="24"/>
          <w:szCs w:val="24"/>
        </w:rPr>
        <w:t>和</w:t>
      </w:r>
      <w:r>
        <w:rPr>
          <w:rFonts w:asciiTheme="minorEastAsia" w:hAnsiTheme="minorEastAsia" w:eastAsiaTheme="minorEastAsia" w:cstheme="minorEastAsia"/>
          <w:spacing w:val="2"/>
          <w:sz w:val="24"/>
          <w:szCs w:val="24"/>
        </w:rPr>
        <w:t>检查</w:t>
      </w:r>
      <w:r>
        <w:rPr>
          <w:rFonts w:asciiTheme="minorEastAsia" w:hAnsiTheme="minorEastAsia" w:eastAsiaTheme="minorEastAsia" w:cstheme="minorEastAsia"/>
          <w:spacing w:val="-3"/>
          <w:sz w:val="24"/>
          <w:szCs w:val="24"/>
        </w:rPr>
        <w:t>招</w:t>
      </w:r>
      <w:r>
        <w:rPr>
          <w:rFonts w:asciiTheme="minorEastAsia" w:hAnsiTheme="minorEastAsia" w:eastAsiaTheme="minorEastAsia" w:cstheme="minorEastAsia"/>
          <w:spacing w:val="2"/>
          <w:sz w:val="24"/>
          <w:szCs w:val="24"/>
        </w:rPr>
        <w:t>标</w:t>
      </w:r>
      <w:r>
        <w:rPr>
          <w:rFonts w:asciiTheme="minorEastAsia" w:hAnsiTheme="minorEastAsia" w:eastAsiaTheme="minorEastAsia" w:cstheme="minorEastAsia"/>
          <w:spacing w:val="-3"/>
          <w:sz w:val="24"/>
          <w:szCs w:val="24"/>
        </w:rPr>
        <w:t>文</w:t>
      </w:r>
      <w:r>
        <w:rPr>
          <w:rFonts w:asciiTheme="minorEastAsia" w:hAnsiTheme="minorEastAsia" w:eastAsiaTheme="minorEastAsia" w:cstheme="minorEastAsia"/>
          <w:spacing w:val="2"/>
          <w:sz w:val="24"/>
          <w:szCs w:val="24"/>
        </w:rPr>
        <w:t>件</w:t>
      </w:r>
      <w:r>
        <w:rPr>
          <w:rFonts w:asciiTheme="minorEastAsia" w:hAnsiTheme="minorEastAsia" w:eastAsiaTheme="minorEastAsia" w:cstheme="minorEastAsia"/>
          <w:sz w:val="24"/>
          <w:szCs w:val="24"/>
        </w:rPr>
        <w:t>的全部内容</w:t>
      </w:r>
      <w:r>
        <w:rPr>
          <w:rFonts w:asciiTheme="minorEastAsia" w:hAnsiTheme="minorEastAsia" w:eastAsiaTheme="minorEastAsia" w:cstheme="minorEastAsia"/>
          <w:spacing w:val="-36"/>
          <w:sz w:val="24"/>
          <w:szCs w:val="24"/>
        </w:rPr>
        <w:t>。</w:t>
      </w:r>
      <w:r>
        <w:rPr>
          <w:rFonts w:asciiTheme="minorEastAsia" w:hAnsiTheme="minorEastAsia" w:eastAsiaTheme="minorEastAsia" w:cstheme="minorEastAsia"/>
          <w:spacing w:val="2"/>
          <w:sz w:val="24"/>
          <w:szCs w:val="24"/>
        </w:rPr>
        <w:t>如</w:t>
      </w:r>
      <w:r>
        <w:rPr>
          <w:rFonts w:asciiTheme="minorEastAsia" w:hAnsiTheme="minorEastAsia" w:eastAsiaTheme="minorEastAsia" w:cstheme="minorEastAsia"/>
          <w:spacing w:val="-3"/>
          <w:sz w:val="24"/>
          <w:szCs w:val="24"/>
        </w:rPr>
        <w:t>发</w:t>
      </w:r>
      <w:r>
        <w:rPr>
          <w:rFonts w:asciiTheme="minorEastAsia" w:hAnsiTheme="minorEastAsia" w:eastAsiaTheme="minorEastAsia" w:cstheme="minorEastAsia"/>
          <w:spacing w:val="2"/>
          <w:sz w:val="24"/>
          <w:szCs w:val="24"/>
        </w:rPr>
        <w:t>现</w:t>
      </w:r>
      <w:r>
        <w:rPr>
          <w:rFonts w:asciiTheme="minorEastAsia" w:hAnsiTheme="minorEastAsia" w:eastAsiaTheme="minorEastAsia" w:cstheme="minorEastAsia"/>
          <w:spacing w:val="-3"/>
          <w:sz w:val="24"/>
          <w:szCs w:val="24"/>
        </w:rPr>
        <w:t>缺</w:t>
      </w:r>
      <w:r>
        <w:rPr>
          <w:rFonts w:asciiTheme="minorEastAsia" w:hAnsiTheme="minorEastAsia" w:eastAsiaTheme="minorEastAsia" w:cstheme="minorEastAsia"/>
          <w:spacing w:val="2"/>
          <w:sz w:val="24"/>
          <w:szCs w:val="24"/>
        </w:rPr>
        <w:t>页</w:t>
      </w:r>
      <w:r>
        <w:rPr>
          <w:rFonts w:asciiTheme="minorEastAsia" w:hAnsiTheme="minorEastAsia" w:eastAsiaTheme="minorEastAsia" w:cstheme="minorEastAsia"/>
          <w:sz w:val="24"/>
          <w:szCs w:val="24"/>
        </w:rPr>
        <w:t>或附件不</w:t>
      </w:r>
      <w:r>
        <w:rPr>
          <w:rFonts w:asciiTheme="minorEastAsia" w:hAnsiTheme="minorEastAsia" w:eastAsiaTheme="minorEastAsia" w:cstheme="minorEastAsia"/>
          <w:spacing w:val="2"/>
          <w:sz w:val="24"/>
          <w:szCs w:val="24"/>
        </w:rPr>
        <w:t>全</w:t>
      </w:r>
      <w:r>
        <w:rPr>
          <w:rFonts w:asciiTheme="minorEastAsia" w:hAnsiTheme="minorEastAsia" w:eastAsiaTheme="minorEastAsia" w:cstheme="minorEastAsia"/>
          <w:spacing w:val="-39"/>
          <w:sz w:val="24"/>
          <w:szCs w:val="24"/>
        </w:rPr>
        <w:t>，</w:t>
      </w:r>
      <w:r>
        <w:rPr>
          <w:rFonts w:asciiTheme="minorEastAsia" w:hAnsiTheme="minorEastAsia" w:eastAsiaTheme="minorEastAsia" w:cstheme="minorEastAsia"/>
          <w:sz w:val="24"/>
          <w:szCs w:val="24"/>
        </w:rPr>
        <w:t>应</w:t>
      </w:r>
      <w:r>
        <w:rPr>
          <w:rFonts w:asciiTheme="minorEastAsia" w:hAnsiTheme="minorEastAsia" w:eastAsiaTheme="minorEastAsia" w:cstheme="minorEastAsia"/>
          <w:spacing w:val="2"/>
          <w:sz w:val="24"/>
          <w:szCs w:val="24"/>
        </w:rPr>
        <w:t>及</w:t>
      </w:r>
      <w:r>
        <w:rPr>
          <w:rFonts w:asciiTheme="minorEastAsia" w:hAnsiTheme="minorEastAsia" w:eastAsiaTheme="minorEastAsia" w:cstheme="minorEastAsia"/>
          <w:spacing w:val="-3"/>
          <w:sz w:val="24"/>
          <w:szCs w:val="24"/>
        </w:rPr>
        <w:t>时</w:t>
      </w:r>
      <w:r>
        <w:rPr>
          <w:rFonts w:asciiTheme="minorEastAsia" w:hAnsiTheme="minorEastAsia" w:eastAsiaTheme="minorEastAsia" w:cstheme="minorEastAsia"/>
          <w:spacing w:val="2"/>
          <w:sz w:val="24"/>
          <w:szCs w:val="24"/>
        </w:rPr>
        <w:t>向</w:t>
      </w:r>
      <w:r>
        <w:rPr>
          <w:rFonts w:asciiTheme="minorEastAsia" w:hAnsiTheme="minorEastAsia" w:eastAsiaTheme="minorEastAsia" w:cstheme="minorEastAsia"/>
          <w:sz w:val="24"/>
          <w:szCs w:val="24"/>
        </w:rPr>
        <w:t>招</w:t>
      </w:r>
      <w:r>
        <w:rPr>
          <w:rFonts w:asciiTheme="minorEastAsia" w:hAnsiTheme="minorEastAsia" w:eastAsiaTheme="minorEastAsia" w:cstheme="minorEastAsia"/>
          <w:spacing w:val="2"/>
          <w:sz w:val="24"/>
          <w:szCs w:val="24"/>
        </w:rPr>
        <w:t>标</w:t>
      </w:r>
      <w:r>
        <w:rPr>
          <w:rFonts w:asciiTheme="minorEastAsia" w:hAnsiTheme="minorEastAsia" w:eastAsiaTheme="minorEastAsia" w:cstheme="minorEastAsia"/>
          <w:sz w:val="24"/>
          <w:szCs w:val="24"/>
        </w:rPr>
        <w:t>人提出，以便补齐。如有质疑，应按投标人须知前附表规定的时间和形式将提出的问题送达招标人，要求招</w:t>
      </w:r>
      <w:r>
        <w:rPr>
          <w:rFonts w:asciiTheme="minorEastAsia" w:hAnsiTheme="minorEastAsia" w:eastAsiaTheme="minorEastAsia" w:cstheme="minorEastAsia"/>
          <w:spacing w:val="-3"/>
          <w:sz w:val="24"/>
          <w:szCs w:val="24"/>
        </w:rPr>
        <w:t>标人对招标文件予以澄清。</w:t>
      </w:r>
    </w:p>
    <w:p>
      <w:pPr>
        <w:pStyle w:val="14"/>
        <w:kinsoku w:val="0"/>
        <w:overflowPunct w:val="0"/>
        <w:spacing w:line="360" w:lineRule="auto"/>
        <w:ind w:left="0" w:firstLine="480" w:firstLineChars="200"/>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 xml:space="preserve">2.2.2 </w:t>
      </w:r>
      <w:r>
        <w:rPr>
          <w:rFonts w:asciiTheme="minorEastAsia" w:hAnsiTheme="minorEastAsia" w:eastAsiaTheme="minorEastAsia" w:cstheme="minorEastAsia"/>
          <w:spacing w:val="2"/>
          <w:sz w:val="24"/>
          <w:szCs w:val="24"/>
        </w:rPr>
        <w:t>招</w:t>
      </w:r>
      <w:r>
        <w:rPr>
          <w:rFonts w:asciiTheme="minorEastAsia" w:hAnsiTheme="minorEastAsia" w:eastAsiaTheme="minorEastAsia" w:cstheme="minorEastAsia"/>
          <w:sz w:val="24"/>
          <w:szCs w:val="24"/>
        </w:rPr>
        <w:t>标</w:t>
      </w:r>
      <w:r>
        <w:rPr>
          <w:rFonts w:asciiTheme="minorEastAsia" w:hAnsiTheme="minorEastAsia" w:eastAsiaTheme="minorEastAsia" w:cstheme="minorEastAsia"/>
          <w:spacing w:val="4"/>
          <w:sz w:val="24"/>
          <w:szCs w:val="24"/>
        </w:rPr>
        <w:t>文</w:t>
      </w:r>
      <w:r>
        <w:rPr>
          <w:rFonts w:asciiTheme="minorEastAsia" w:hAnsiTheme="minorEastAsia" w:eastAsiaTheme="minorEastAsia" w:cstheme="minorEastAsia"/>
          <w:sz w:val="24"/>
          <w:szCs w:val="24"/>
        </w:rPr>
        <w:t>件</w:t>
      </w:r>
      <w:r>
        <w:rPr>
          <w:rFonts w:asciiTheme="minorEastAsia" w:hAnsiTheme="minorEastAsia" w:eastAsiaTheme="minorEastAsia" w:cstheme="minorEastAsia"/>
          <w:spacing w:val="3"/>
          <w:sz w:val="24"/>
          <w:szCs w:val="24"/>
        </w:rPr>
        <w:t>的</w:t>
      </w:r>
      <w:r>
        <w:rPr>
          <w:rFonts w:asciiTheme="minorEastAsia" w:hAnsiTheme="minorEastAsia" w:eastAsiaTheme="minorEastAsia" w:cstheme="minorEastAsia"/>
          <w:sz w:val="24"/>
          <w:szCs w:val="24"/>
        </w:rPr>
        <w:t>澄</w:t>
      </w:r>
      <w:r>
        <w:rPr>
          <w:rFonts w:asciiTheme="minorEastAsia" w:hAnsiTheme="minorEastAsia" w:eastAsiaTheme="minorEastAsia" w:cstheme="minorEastAsia"/>
          <w:spacing w:val="4"/>
          <w:sz w:val="24"/>
          <w:szCs w:val="24"/>
        </w:rPr>
        <w:t>清</w:t>
      </w:r>
      <w:r>
        <w:rPr>
          <w:rFonts w:asciiTheme="minorEastAsia" w:hAnsiTheme="minorEastAsia" w:eastAsiaTheme="minorEastAsia" w:cstheme="minorEastAsia"/>
          <w:sz w:val="24"/>
          <w:szCs w:val="24"/>
        </w:rPr>
        <w:t>以投</w:t>
      </w:r>
      <w:r>
        <w:rPr>
          <w:rFonts w:asciiTheme="minorEastAsia" w:hAnsiTheme="minorEastAsia" w:eastAsiaTheme="minorEastAsia" w:cstheme="minorEastAsia"/>
          <w:spacing w:val="4"/>
          <w:sz w:val="24"/>
          <w:szCs w:val="24"/>
        </w:rPr>
        <w:t>标</w:t>
      </w:r>
      <w:r>
        <w:rPr>
          <w:rFonts w:asciiTheme="minorEastAsia" w:hAnsiTheme="minorEastAsia" w:eastAsiaTheme="minorEastAsia" w:cstheme="minorEastAsia"/>
          <w:spacing w:val="2"/>
          <w:sz w:val="24"/>
          <w:szCs w:val="24"/>
        </w:rPr>
        <w:t>人</w:t>
      </w:r>
      <w:r>
        <w:rPr>
          <w:rFonts w:asciiTheme="minorEastAsia" w:hAnsiTheme="minorEastAsia" w:eastAsiaTheme="minorEastAsia" w:cstheme="minorEastAsia"/>
          <w:sz w:val="24"/>
          <w:szCs w:val="24"/>
        </w:rPr>
        <w:t>须</w:t>
      </w:r>
      <w:r>
        <w:rPr>
          <w:rFonts w:asciiTheme="minorEastAsia" w:hAnsiTheme="minorEastAsia" w:eastAsiaTheme="minorEastAsia" w:cstheme="minorEastAsia"/>
          <w:spacing w:val="2"/>
          <w:sz w:val="24"/>
          <w:szCs w:val="24"/>
        </w:rPr>
        <w:t>知</w:t>
      </w:r>
      <w:r>
        <w:rPr>
          <w:rFonts w:asciiTheme="minorEastAsia" w:hAnsiTheme="minorEastAsia" w:eastAsiaTheme="minorEastAsia" w:cstheme="minorEastAsia"/>
          <w:sz w:val="24"/>
          <w:szCs w:val="24"/>
        </w:rPr>
        <w:t>前</w:t>
      </w:r>
      <w:r>
        <w:rPr>
          <w:rFonts w:asciiTheme="minorEastAsia" w:hAnsiTheme="minorEastAsia" w:eastAsiaTheme="minorEastAsia" w:cstheme="minorEastAsia"/>
          <w:spacing w:val="4"/>
          <w:sz w:val="24"/>
          <w:szCs w:val="24"/>
        </w:rPr>
        <w:t>附</w:t>
      </w:r>
      <w:r>
        <w:rPr>
          <w:rFonts w:asciiTheme="minorEastAsia" w:hAnsiTheme="minorEastAsia" w:eastAsiaTheme="minorEastAsia" w:cstheme="minorEastAsia"/>
          <w:sz w:val="24"/>
          <w:szCs w:val="24"/>
        </w:rPr>
        <w:t>表</w:t>
      </w:r>
      <w:r>
        <w:rPr>
          <w:rFonts w:asciiTheme="minorEastAsia" w:hAnsiTheme="minorEastAsia" w:eastAsiaTheme="minorEastAsia" w:cstheme="minorEastAsia"/>
          <w:spacing w:val="2"/>
          <w:sz w:val="24"/>
          <w:szCs w:val="24"/>
        </w:rPr>
        <w:t>规</w:t>
      </w:r>
      <w:r>
        <w:rPr>
          <w:rFonts w:asciiTheme="minorEastAsia" w:hAnsiTheme="minorEastAsia" w:eastAsiaTheme="minorEastAsia" w:cstheme="minorEastAsia"/>
          <w:sz w:val="24"/>
          <w:szCs w:val="24"/>
        </w:rPr>
        <w:t>定</w:t>
      </w:r>
      <w:r>
        <w:rPr>
          <w:rFonts w:asciiTheme="minorEastAsia" w:hAnsiTheme="minorEastAsia" w:eastAsiaTheme="minorEastAsia" w:cstheme="minorEastAsia"/>
          <w:spacing w:val="2"/>
          <w:sz w:val="24"/>
          <w:szCs w:val="24"/>
        </w:rPr>
        <w:t>的</w:t>
      </w:r>
      <w:r>
        <w:rPr>
          <w:rFonts w:asciiTheme="minorEastAsia" w:hAnsiTheme="minorEastAsia" w:eastAsiaTheme="minorEastAsia" w:cstheme="minorEastAsia"/>
          <w:sz w:val="24"/>
          <w:szCs w:val="24"/>
        </w:rPr>
        <w:t>形</w:t>
      </w:r>
      <w:r>
        <w:rPr>
          <w:rFonts w:asciiTheme="minorEastAsia" w:hAnsiTheme="minorEastAsia" w:eastAsiaTheme="minorEastAsia" w:cstheme="minorEastAsia"/>
          <w:spacing w:val="4"/>
          <w:sz w:val="24"/>
          <w:szCs w:val="24"/>
        </w:rPr>
        <w:t>式</w:t>
      </w:r>
      <w:r>
        <w:rPr>
          <w:rFonts w:asciiTheme="minorEastAsia" w:hAnsiTheme="minorEastAsia" w:eastAsiaTheme="minorEastAsia" w:cstheme="minorEastAsia"/>
          <w:spacing w:val="2"/>
          <w:sz w:val="24"/>
          <w:szCs w:val="24"/>
        </w:rPr>
        <w:t>发</w:t>
      </w:r>
      <w:r>
        <w:rPr>
          <w:rFonts w:asciiTheme="minorEastAsia" w:hAnsiTheme="minorEastAsia" w:eastAsiaTheme="minorEastAsia" w:cstheme="minorEastAsia"/>
          <w:sz w:val="24"/>
          <w:szCs w:val="24"/>
        </w:rPr>
        <w:t>给</w:t>
      </w:r>
      <w:r>
        <w:rPr>
          <w:rFonts w:asciiTheme="minorEastAsia" w:hAnsiTheme="minorEastAsia" w:eastAsiaTheme="minorEastAsia" w:cstheme="minorEastAsia"/>
          <w:spacing w:val="2"/>
          <w:sz w:val="24"/>
          <w:szCs w:val="24"/>
        </w:rPr>
        <w:t>所</w:t>
      </w:r>
      <w:r>
        <w:rPr>
          <w:rFonts w:asciiTheme="minorEastAsia" w:hAnsiTheme="minorEastAsia" w:eastAsiaTheme="minorEastAsia" w:cstheme="minorEastAsia"/>
          <w:sz w:val="24"/>
          <w:szCs w:val="24"/>
        </w:rPr>
        <w:t>有</w:t>
      </w:r>
      <w:r>
        <w:rPr>
          <w:rFonts w:asciiTheme="minorEastAsia" w:hAnsiTheme="minorEastAsia" w:eastAsiaTheme="minorEastAsia" w:cstheme="minorEastAsia"/>
          <w:spacing w:val="4"/>
          <w:sz w:val="24"/>
          <w:szCs w:val="24"/>
        </w:rPr>
        <w:t>购</w:t>
      </w:r>
      <w:r>
        <w:rPr>
          <w:rFonts w:asciiTheme="minorEastAsia" w:hAnsiTheme="minorEastAsia" w:eastAsiaTheme="minorEastAsia" w:cstheme="minorEastAsia"/>
          <w:sz w:val="24"/>
          <w:szCs w:val="24"/>
        </w:rPr>
        <w:t>买</w:t>
      </w:r>
      <w:r>
        <w:rPr>
          <w:rFonts w:asciiTheme="minorEastAsia" w:hAnsiTheme="minorEastAsia" w:eastAsiaTheme="minorEastAsia" w:cstheme="minorEastAsia"/>
          <w:spacing w:val="2"/>
          <w:sz w:val="24"/>
          <w:szCs w:val="24"/>
        </w:rPr>
        <w:t>招</w:t>
      </w:r>
      <w:r>
        <w:rPr>
          <w:rFonts w:asciiTheme="minorEastAsia" w:hAnsiTheme="minorEastAsia" w:eastAsiaTheme="minorEastAsia" w:cstheme="minorEastAsia"/>
          <w:sz w:val="24"/>
          <w:szCs w:val="24"/>
        </w:rPr>
        <w:t>标</w:t>
      </w:r>
      <w:r>
        <w:rPr>
          <w:rFonts w:asciiTheme="minorEastAsia" w:hAnsiTheme="minorEastAsia" w:eastAsiaTheme="minorEastAsia" w:cstheme="minorEastAsia"/>
          <w:spacing w:val="2"/>
          <w:sz w:val="24"/>
          <w:szCs w:val="24"/>
        </w:rPr>
        <w:t>文</w:t>
      </w:r>
      <w:r>
        <w:rPr>
          <w:rFonts w:asciiTheme="minorEastAsia" w:hAnsiTheme="minorEastAsia" w:eastAsiaTheme="minorEastAsia" w:cstheme="minorEastAsia"/>
          <w:sz w:val="24"/>
          <w:szCs w:val="24"/>
        </w:rPr>
        <w:t>件</w:t>
      </w:r>
      <w:r>
        <w:rPr>
          <w:rFonts w:asciiTheme="minorEastAsia" w:hAnsiTheme="minorEastAsia" w:eastAsiaTheme="minorEastAsia" w:cstheme="minorEastAsia"/>
          <w:spacing w:val="4"/>
          <w:sz w:val="24"/>
          <w:szCs w:val="24"/>
        </w:rPr>
        <w:t>的</w:t>
      </w:r>
      <w:r>
        <w:rPr>
          <w:rFonts w:asciiTheme="minorEastAsia" w:hAnsiTheme="minorEastAsia" w:eastAsiaTheme="minorEastAsia" w:cstheme="minorEastAsia"/>
          <w:spacing w:val="2"/>
          <w:sz w:val="24"/>
          <w:szCs w:val="24"/>
        </w:rPr>
        <w:t>投</w:t>
      </w:r>
      <w:r>
        <w:rPr>
          <w:rFonts w:asciiTheme="minorEastAsia" w:hAnsiTheme="minorEastAsia" w:eastAsiaTheme="minorEastAsia" w:cstheme="minorEastAsia"/>
          <w:sz w:val="24"/>
          <w:szCs w:val="24"/>
        </w:rPr>
        <w:t>标人</w:t>
      </w:r>
      <w:r>
        <w:rPr>
          <w:rFonts w:asciiTheme="minorEastAsia" w:hAnsiTheme="minorEastAsia" w:eastAsiaTheme="minorEastAsia" w:cstheme="minorEastAsia"/>
          <w:spacing w:val="-20"/>
          <w:sz w:val="24"/>
          <w:szCs w:val="24"/>
        </w:rPr>
        <w:t>，</w:t>
      </w:r>
      <w:r>
        <w:rPr>
          <w:rFonts w:asciiTheme="minorEastAsia" w:hAnsiTheme="minorEastAsia" w:eastAsiaTheme="minorEastAsia" w:cstheme="minorEastAsia"/>
          <w:spacing w:val="2"/>
          <w:sz w:val="24"/>
          <w:szCs w:val="24"/>
        </w:rPr>
        <w:t>但</w:t>
      </w:r>
      <w:r>
        <w:rPr>
          <w:rFonts w:asciiTheme="minorEastAsia" w:hAnsiTheme="minorEastAsia" w:eastAsiaTheme="minorEastAsia" w:cstheme="minorEastAsia"/>
          <w:spacing w:val="4"/>
          <w:sz w:val="24"/>
          <w:szCs w:val="24"/>
        </w:rPr>
        <w:t>不</w:t>
      </w:r>
      <w:r>
        <w:rPr>
          <w:rFonts w:asciiTheme="minorEastAsia" w:hAnsiTheme="minorEastAsia" w:eastAsiaTheme="minorEastAsia" w:cstheme="minorEastAsia"/>
          <w:spacing w:val="3"/>
          <w:sz w:val="24"/>
          <w:szCs w:val="24"/>
        </w:rPr>
        <w:t>指</w:t>
      </w:r>
      <w:r>
        <w:rPr>
          <w:rFonts w:asciiTheme="minorEastAsia" w:hAnsiTheme="minorEastAsia" w:eastAsiaTheme="minorEastAsia" w:cstheme="minorEastAsia"/>
          <w:sz w:val="24"/>
          <w:szCs w:val="24"/>
        </w:rPr>
        <w:t>明</w:t>
      </w:r>
      <w:r>
        <w:rPr>
          <w:rFonts w:asciiTheme="minorEastAsia" w:hAnsiTheme="minorEastAsia" w:eastAsiaTheme="minorEastAsia" w:cstheme="minorEastAsia"/>
          <w:spacing w:val="-2"/>
          <w:position w:val="1"/>
          <w:sz w:val="24"/>
          <w:szCs w:val="24"/>
        </w:rPr>
        <w:t xml:space="preserve">澄清问题的来源。澄清发出的时间距本章第 </w:t>
      </w:r>
      <w:r>
        <w:rPr>
          <w:rFonts w:asciiTheme="minorEastAsia" w:hAnsiTheme="minorEastAsia" w:eastAsiaTheme="minorEastAsia" w:cstheme="minorEastAsia"/>
          <w:spacing w:val="-1"/>
          <w:position w:val="1"/>
          <w:sz w:val="24"/>
          <w:szCs w:val="24"/>
        </w:rPr>
        <w:t>4.2.1</w:t>
      </w:r>
      <w:r>
        <w:rPr>
          <w:rFonts w:asciiTheme="minorEastAsia" w:hAnsiTheme="minorEastAsia" w:eastAsiaTheme="minorEastAsia" w:cstheme="minorEastAsia"/>
          <w:spacing w:val="-2"/>
          <w:position w:val="1"/>
          <w:sz w:val="24"/>
          <w:szCs w:val="24"/>
        </w:rPr>
        <w:t>项规定的投标截止时间不足</w:t>
      </w:r>
      <w:r>
        <w:rPr>
          <w:rFonts w:asciiTheme="minorEastAsia" w:hAnsiTheme="minorEastAsia" w:eastAsiaTheme="minorEastAsia" w:cstheme="minorEastAsia"/>
          <w:position w:val="1"/>
          <w:sz w:val="24"/>
          <w:szCs w:val="24"/>
        </w:rPr>
        <w:t>15</w:t>
      </w:r>
      <w:r>
        <w:rPr>
          <w:rFonts w:asciiTheme="minorEastAsia" w:hAnsiTheme="minorEastAsia" w:eastAsiaTheme="minorEastAsia" w:cstheme="minorEastAsia"/>
          <w:spacing w:val="-3"/>
          <w:position w:val="1"/>
          <w:sz w:val="24"/>
          <w:szCs w:val="24"/>
        </w:rPr>
        <w:t>日的，</w:t>
      </w:r>
      <w:r>
        <w:rPr>
          <w:rFonts w:asciiTheme="minorEastAsia" w:hAnsiTheme="minorEastAsia" w:eastAsiaTheme="minorEastAsia" w:cstheme="minorEastAsia"/>
          <w:spacing w:val="-3"/>
          <w:sz w:val="24"/>
          <w:szCs w:val="24"/>
        </w:rPr>
        <w:t>并且澄清内容可能影响投标文件编制的，将相应延长投标截止时间。</w:t>
      </w:r>
    </w:p>
    <w:p>
      <w:pPr>
        <w:pStyle w:val="14"/>
        <w:kinsoku w:val="0"/>
        <w:overflowPunct w:val="0"/>
        <w:spacing w:line="360" w:lineRule="auto"/>
        <w:ind w:firstLine="420"/>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z w:val="24"/>
          <w:szCs w:val="24"/>
        </w:rPr>
        <w:t>2.2.3</w:t>
      </w:r>
      <w:r>
        <w:rPr>
          <w:rFonts w:asciiTheme="minorEastAsia" w:hAnsiTheme="minorEastAsia" w:eastAsiaTheme="minorEastAsia" w:cstheme="minorEastAsia"/>
          <w:spacing w:val="3"/>
          <w:sz w:val="24"/>
          <w:szCs w:val="24"/>
        </w:rPr>
        <w:t>投标人在收到澄清后，应按投标人须知前附表规定的时间和形式通知招标人，确认已</w:t>
      </w:r>
      <w:r>
        <w:rPr>
          <w:rFonts w:asciiTheme="minorEastAsia" w:hAnsiTheme="minorEastAsia" w:eastAsiaTheme="minorEastAsia" w:cstheme="minorEastAsia"/>
          <w:spacing w:val="4"/>
          <w:sz w:val="24"/>
          <w:szCs w:val="24"/>
        </w:rPr>
        <w:t>收到</w:t>
      </w:r>
      <w:r>
        <w:rPr>
          <w:rFonts w:asciiTheme="minorEastAsia" w:hAnsiTheme="minorEastAsia" w:eastAsiaTheme="minorEastAsia" w:cstheme="minorEastAsia"/>
          <w:spacing w:val="-1"/>
          <w:sz w:val="24"/>
          <w:szCs w:val="24"/>
        </w:rPr>
        <w:t>该澄清。</w:t>
      </w:r>
    </w:p>
    <w:p>
      <w:pPr>
        <w:pStyle w:val="14"/>
        <w:kinsoku w:val="0"/>
        <w:overflowPunct w:val="0"/>
        <w:spacing w:line="360" w:lineRule="auto"/>
        <w:ind w:firstLine="42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2.2.4</w:t>
      </w:r>
      <w:r>
        <w:rPr>
          <w:rFonts w:asciiTheme="minorEastAsia" w:hAnsiTheme="minorEastAsia" w:eastAsiaTheme="minorEastAsia" w:cstheme="minorEastAsia"/>
          <w:spacing w:val="-1"/>
          <w:sz w:val="24"/>
          <w:szCs w:val="24"/>
        </w:rPr>
        <w:t>除非招标人认为确有必要答复，否则，招标人有权拒绝回复投标人在本章第</w:t>
      </w:r>
      <w:r>
        <w:rPr>
          <w:rFonts w:asciiTheme="minorEastAsia" w:hAnsiTheme="minorEastAsia" w:eastAsiaTheme="minorEastAsia" w:cstheme="minorEastAsia"/>
          <w:spacing w:val="-2"/>
          <w:sz w:val="24"/>
          <w:szCs w:val="24"/>
        </w:rPr>
        <w:t>2.2.1</w:t>
      </w:r>
      <w:r>
        <w:rPr>
          <w:rFonts w:asciiTheme="minorEastAsia" w:hAnsiTheme="minorEastAsia" w:eastAsiaTheme="minorEastAsia" w:cstheme="minorEastAsia"/>
          <w:sz w:val="24"/>
          <w:szCs w:val="24"/>
        </w:rPr>
        <w:t>项规定</w:t>
      </w:r>
      <w:r>
        <w:rPr>
          <w:rFonts w:asciiTheme="minorEastAsia" w:hAnsiTheme="minorEastAsia" w:eastAsiaTheme="minorEastAsia" w:cstheme="minorEastAsia"/>
          <w:spacing w:val="-3"/>
          <w:sz w:val="24"/>
          <w:szCs w:val="24"/>
        </w:rPr>
        <w:t>的时间后的任何澄清要求。</w:t>
      </w:r>
    </w:p>
    <w:p>
      <w:pPr>
        <w:pStyle w:val="8"/>
        <w:kinsoku w:val="0"/>
        <w:overflowPunct w:val="0"/>
        <w:spacing w:line="360" w:lineRule="auto"/>
        <w:rPr>
          <w:rFonts w:hint="default" w:asciiTheme="minorEastAsia" w:hAnsiTheme="minorEastAsia" w:eastAsiaTheme="minorEastAsia" w:cstheme="minorEastAsia"/>
          <w:b/>
          <w:bCs/>
          <w:sz w:val="24"/>
          <w:szCs w:val="24"/>
        </w:rPr>
      </w:pPr>
      <w:bookmarkStart w:id="50" w:name="_Toc15232_WPSOffice_Level2"/>
      <w:r>
        <w:rPr>
          <w:rFonts w:asciiTheme="minorEastAsia" w:hAnsiTheme="minorEastAsia" w:eastAsiaTheme="minorEastAsia" w:cstheme="minorEastAsia"/>
          <w:b/>
          <w:bCs/>
          <w:spacing w:val="-1"/>
          <w:sz w:val="24"/>
          <w:szCs w:val="24"/>
        </w:rPr>
        <w:t>2.3</w:t>
      </w:r>
      <w:r>
        <w:rPr>
          <w:rFonts w:asciiTheme="minorEastAsia" w:hAnsiTheme="minorEastAsia" w:eastAsiaTheme="minorEastAsia" w:cstheme="minorEastAsia"/>
          <w:b/>
          <w:bCs/>
          <w:spacing w:val="-2"/>
          <w:sz w:val="24"/>
          <w:szCs w:val="24"/>
        </w:rPr>
        <w:t>招标文件的修改</w:t>
      </w:r>
      <w:bookmarkEnd w:id="50"/>
    </w:p>
    <w:p>
      <w:pPr>
        <w:pStyle w:val="14"/>
        <w:kinsoku w:val="0"/>
        <w:overflowPunct w:val="0"/>
        <w:spacing w:line="360" w:lineRule="auto"/>
        <w:ind w:left="19" w:firstLine="518" w:firstLineChars="216"/>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2.3.1招</w:t>
      </w:r>
      <w:r>
        <w:rPr>
          <w:rFonts w:asciiTheme="minorEastAsia" w:hAnsiTheme="minorEastAsia" w:eastAsiaTheme="minorEastAsia" w:cstheme="minorEastAsia"/>
          <w:spacing w:val="-3"/>
          <w:sz w:val="24"/>
          <w:szCs w:val="24"/>
        </w:rPr>
        <w:t>标</w:t>
      </w:r>
      <w:r>
        <w:rPr>
          <w:rFonts w:asciiTheme="minorEastAsia" w:hAnsiTheme="minorEastAsia" w:eastAsiaTheme="minorEastAsia" w:cstheme="minorEastAsia"/>
          <w:sz w:val="24"/>
          <w:szCs w:val="24"/>
        </w:rPr>
        <w:t>人</w:t>
      </w:r>
      <w:r>
        <w:rPr>
          <w:rFonts w:asciiTheme="minorEastAsia" w:hAnsiTheme="minorEastAsia" w:eastAsiaTheme="minorEastAsia" w:cstheme="minorEastAsia"/>
          <w:spacing w:val="-3"/>
          <w:sz w:val="24"/>
          <w:szCs w:val="24"/>
        </w:rPr>
        <w:t>以</w:t>
      </w:r>
      <w:r>
        <w:rPr>
          <w:rFonts w:asciiTheme="minorEastAsia" w:hAnsiTheme="minorEastAsia" w:eastAsiaTheme="minorEastAsia" w:cstheme="minorEastAsia"/>
          <w:sz w:val="24"/>
          <w:szCs w:val="24"/>
        </w:rPr>
        <w:t>投</w:t>
      </w:r>
      <w:r>
        <w:rPr>
          <w:rFonts w:asciiTheme="minorEastAsia" w:hAnsiTheme="minorEastAsia" w:eastAsiaTheme="minorEastAsia" w:cstheme="minorEastAsia"/>
          <w:spacing w:val="-3"/>
          <w:sz w:val="24"/>
          <w:szCs w:val="24"/>
        </w:rPr>
        <w:t>标</w:t>
      </w:r>
      <w:r>
        <w:rPr>
          <w:rFonts w:asciiTheme="minorEastAsia" w:hAnsiTheme="minorEastAsia" w:eastAsiaTheme="minorEastAsia" w:cstheme="minorEastAsia"/>
          <w:spacing w:val="2"/>
          <w:sz w:val="24"/>
          <w:szCs w:val="24"/>
        </w:rPr>
        <w:t>人</w:t>
      </w:r>
      <w:r>
        <w:rPr>
          <w:rFonts w:asciiTheme="minorEastAsia" w:hAnsiTheme="minorEastAsia" w:eastAsiaTheme="minorEastAsia" w:cstheme="minorEastAsia"/>
          <w:spacing w:val="-3"/>
          <w:sz w:val="24"/>
          <w:szCs w:val="24"/>
        </w:rPr>
        <w:t>须知</w:t>
      </w:r>
      <w:r>
        <w:rPr>
          <w:rFonts w:asciiTheme="minorEastAsia" w:hAnsiTheme="minorEastAsia" w:eastAsiaTheme="minorEastAsia" w:cstheme="minorEastAsia"/>
          <w:sz w:val="24"/>
          <w:szCs w:val="24"/>
        </w:rPr>
        <w:t>前</w:t>
      </w:r>
      <w:r>
        <w:rPr>
          <w:rFonts w:asciiTheme="minorEastAsia" w:hAnsiTheme="minorEastAsia" w:eastAsiaTheme="minorEastAsia" w:cstheme="minorEastAsia"/>
          <w:spacing w:val="2"/>
          <w:sz w:val="24"/>
          <w:szCs w:val="24"/>
        </w:rPr>
        <w:t>附</w:t>
      </w:r>
      <w:r>
        <w:rPr>
          <w:rFonts w:asciiTheme="minorEastAsia" w:hAnsiTheme="minorEastAsia" w:eastAsiaTheme="minorEastAsia" w:cstheme="minorEastAsia"/>
          <w:spacing w:val="-3"/>
          <w:sz w:val="24"/>
          <w:szCs w:val="24"/>
        </w:rPr>
        <w:t>表</w:t>
      </w:r>
      <w:r>
        <w:rPr>
          <w:rFonts w:asciiTheme="minorEastAsia" w:hAnsiTheme="minorEastAsia" w:eastAsiaTheme="minorEastAsia" w:cstheme="minorEastAsia"/>
          <w:sz w:val="24"/>
          <w:szCs w:val="24"/>
        </w:rPr>
        <w:t>规</w:t>
      </w:r>
      <w:r>
        <w:rPr>
          <w:rFonts w:asciiTheme="minorEastAsia" w:hAnsiTheme="minorEastAsia" w:eastAsiaTheme="minorEastAsia" w:cstheme="minorEastAsia"/>
          <w:spacing w:val="-3"/>
          <w:sz w:val="24"/>
          <w:szCs w:val="24"/>
        </w:rPr>
        <w:t>定</w:t>
      </w:r>
      <w:r>
        <w:rPr>
          <w:rFonts w:asciiTheme="minorEastAsia" w:hAnsiTheme="minorEastAsia" w:eastAsiaTheme="minorEastAsia" w:cstheme="minorEastAsia"/>
          <w:sz w:val="24"/>
          <w:szCs w:val="24"/>
        </w:rPr>
        <w:t>的</w:t>
      </w:r>
      <w:r>
        <w:rPr>
          <w:rFonts w:asciiTheme="minorEastAsia" w:hAnsiTheme="minorEastAsia" w:eastAsiaTheme="minorEastAsia" w:cstheme="minorEastAsia"/>
          <w:spacing w:val="-2"/>
          <w:sz w:val="24"/>
          <w:szCs w:val="24"/>
        </w:rPr>
        <w:t>形</w:t>
      </w:r>
      <w:r>
        <w:rPr>
          <w:rFonts w:asciiTheme="minorEastAsia" w:hAnsiTheme="minorEastAsia" w:eastAsiaTheme="minorEastAsia" w:cstheme="minorEastAsia"/>
          <w:sz w:val="24"/>
          <w:szCs w:val="24"/>
        </w:rPr>
        <w:t>式</w:t>
      </w:r>
      <w:r>
        <w:rPr>
          <w:rFonts w:asciiTheme="minorEastAsia" w:hAnsiTheme="minorEastAsia" w:eastAsiaTheme="minorEastAsia" w:cstheme="minorEastAsia"/>
          <w:spacing w:val="-3"/>
          <w:sz w:val="24"/>
          <w:szCs w:val="24"/>
        </w:rPr>
        <w:t>修</w:t>
      </w:r>
      <w:r>
        <w:rPr>
          <w:rFonts w:asciiTheme="minorEastAsia" w:hAnsiTheme="minorEastAsia" w:eastAsiaTheme="minorEastAsia" w:cstheme="minorEastAsia"/>
          <w:sz w:val="24"/>
          <w:szCs w:val="24"/>
        </w:rPr>
        <w:t>改</w:t>
      </w:r>
      <w:r>
        <w:rPr>
          <w:rFonts w:asciiTheme="minorEastAsia" w:hAnsiTheme="minorEastAsia" w:eastAsiaTheme="minorEastAsia" w:cstheme="minorEastAsia"/>
          <w:spacing w:val="-3"/>
          <w:sz w:val="24"/>
          <w:szCs w:val="24"/>
        </w:rPr>
        <w:t>招</w:t>
      </w:r>
      <w:r>
        <w:rPr>
          <w:rFonts w:asciiTheme="minorEastAsia" w:hAnsiTheme="minorEastAsia" w:eastAsiaTheme="minorEastAsia" w:cstheme="minorEastAsia"/>
          <w:sz w:val="24"/>
          <w:szCs w:val="24"/>
        </w:rPr>
        <w:t>标文件</w:t>
      </w:r>
      <w:r>
        <w:rPr>
          <w:rFonts w:asciiTheme="minorEastAsia" w:hAnsiTheme="minorEastAsia" w:eastAsiaTheme="minorEastAsia" w:cstheme="minorEastAsia"/>
          <w:spacing w:val="-24"/>
          <w:sz w:val="24"/>
          <w:szCs w:val="24"/>
        </w:rPr>
        <w:t>，</w:t>
      </w:r>
      <w:r>
        <w:rPr>
          <w:rFonts w:asciiTheme="minorEastAsia" w:hAnsiTheme="minorEastAsia" w:eastAsiaTheme="minorEastAsia" w:cstheme="minorEastAsia"/>
          <w:sz w:val="24"/>
          <w:szCs w:val="24"/>
        </w:rPr>
        <w:t>并</w:t>
      </w:r>
      <w:r>
        <w:rPr>
          <w:rFonts w:asciiTheme="minorEastAsia" w:hAnsiTheme="minorEastAsia" w:eastAsiaTheme="minorEastAsia" w:cstheme="minorEastAsia"/>
          <w:spacing w:val="-3"/>
          <w:sz w:val="24"/>
          <w:szCs w:val="24"/>
        </w:rPr>
        <w:t>通</w:t>
      </w:r>
      <w:r>
        <w:rPr>
          <w:rFonts w:asciiTheme="minorEastAsia" w:hAnsiTheme="minorEastAsia" w:eastAsiaTheme="minorEastAsia" w:cstheme="minorEastAsia"/>
          <w:sz w:val="24"/>
          <w:szCs w:val="24"/>
        </w:rPr>
        <w:t>知</w:t>
      </w:r>
      <w:r>
        <w:rPr>
          <w:rFonts w:asciiTheme="minorEastAsia" w:hAnsiTheme="minorEastAsia" w:eastAsiaTheme="minorEastAsia" w:cstheme="minorEastAsia"/>
          <w:spacing w:val="-3"/>
          <w:sz w:val="24"/>
          <w:szCs w:val="24"/>
        </w:rPr>
        <w:t>所</w:t>
      </w:r>
      <w:r>
        <w:rPr>
          <w:rFonts w:asciiTheme="minorEastAsia" w:hAnsiTheme="minorEastAsia" w:eastAsiaTheme="minorEastAsia" w:cstheme="minorEastAsia"/>
          <w:sz w:val="24"/>
          <w:szCs w:val="24"/>
        </w:rPr>
        <w:t>有</w:t>
      </w:r>
      <w:r>
        <w:rPr>
          <w:rFonts w:asciiTheme="minorEastAsia" w:hAnsiTheme="minorEastAsia" w:eastAsiaTheme="minorEastAsia" w:cstheme="minorEastAsia"/>
          <w:spacing w:val="-3"/>
          <w:sz w:val="24"/>
          <w:szCs w:val="24"/>
        </w:rPr>
        <w:t>已购</w:t>
      </w:r>
      <w:r>
        <w:rPr>
          <w:rFonts w:asciiTheme="minorEastAsia" w:hAnsiTheme="minorEastAsia" w:eastAsiaTheme="minorEastAsia" w:cstheme="minorEastAsia"/>
          <w:sz w:val="24"/>
          <w:szCs w:val="24"/>
        </w:rPr>
        <w:t>买招标文</w:t>
      </w:r>
      <w:r>
        <w:rPr>
          <w:rFonts w:asciiTheme="minorEastAsia" w:hAnsiTheme="minorEastAsia" w:eastAsiaTheme="minorEastAsia" w:cstheme="minorEastAsia"/>
          <w:spacing w:val="-3"/>
          <w:sz w:val="24"/>
          <w:szCs w:val="24"/>
        </w:rPr>
        <w:t>件</w:t>
      </w:r>
      <w:r>
        <w:rPr>
          <w:rFonts w:asciiTheme="minorEastAsia" w:hAnsiTheme="minorEastAsia" w:eastAsiaTheme="minorEastAsia" w:cstheme="minorEastAsia"/>
          <w:sz w:val="24"/>
          <w:szCs w:val="24"/>
        </w:rPr>
        <w:t>的投标人。</w:t>
      </w:r>
      <w:r>
        <w:rPr>
          <w:rFonts w:asciiTheme="minorEastAsia" w:hAnsiTheme="minorEastAsia" w:eastAsiaTheme="minorEastAsia" w:cstheme="minorEastAsia"/>
          <w:spacing w:val="-2"/>
          <w:sz w:val="24"/>
          <w:szCs w:val="24"/>
        </w:rPr>
        <w:t>修改招标文件的时间距本章第4.2.1项规定的投标截止时间不足</w:t>
      </w:r>
      <w:r>
        <w:rPr>
          <w:rFonts w:asciiTheme="minorEastAsia" w:hAnsiTheme="minorEastAsia" w:eastAsiaTheme="minorEastAsia" w:cstheme="minorEastAsia"/>
          <w:sz w:val="24"/>
          <w:szCs w:val="24"/>
        </w:rPr>
        <w:t>15</w:t>
      </w:r>
      <w:r>
        <w:rPr>
          <w:rFonts w:asciiTheme="minorEastAsia" w:hAnsiTheme="minorEastAsia" w:eastAsiaTheme="minorEastAsia" w:cstheme="minorEastAsia"/>
          <w:spacing w:val="-3"/>
          <w:sz w:val="24"/>
          <w:szCs w:val="24"/>
        </w:rPr>
        <w:t>日的，并且修改内容可能影响投标文件编制的，将相应延长投标截止时间。</w:t>
      </w:r>
    </w:p>
    <w:p>
      <w:pPr>
        <w:pStyle w:val="14"/>
        <w:kinsoku w:val="0"/>
        <w:overflowPunct w:val="0"/>
        <w:spacing w:line="360" w:lineRule="auto"/>
        <w:ind w:firstLine="42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 xml:space="preserve">2.3.2 </w:t>
      </w:r>
      <w:r>
        <w:rPr>
          <w:rFonts w:asciiTheme="minorEastAsia" w:hAnsiTheme="minorEastAsia" w:eastAsiaTheme="minorEastAsia" w:cstheme="minorEastAsia"/>
          <w:spacing w:val="2"/>
          <w:sz w:val="24"/>
          <w:szCs w:val="24"/>
        </w:rPr>
        <w:t>投</w:t>
      </w:r>
      <w:r>
        <w:rPr>
          <w:rFonts w:asciiTheme="minorEastAsia" w:hAnsiTheme="minorEastAsia" w:eastAsiaTheme="minorEastAsia" w:cstheme="minorEastAsia"/>
          <w:spacing w:val="-3"/>
          <w:sz w:val="24"/>
          <w:szCs w:val="24"/>
        </w:rPr>
        <w:t>标</w:t>
      </w:r>
      <w:r>
        <w:rPr>
          <w:rFonts w:asciiTheme="minorEastAsia" w:hAnsiTheme="minorEastAsia" w:eastAsiaTheme="minorEastAsia" w:cstheme="minorEastAsia"/>
          <w:spacing w:val="2"/>
          <w:sz w:val="24"/>
          <w:szCs w:val="24"/>
        </w:rPr>
        <w:t>人</w:t>
      </w:r>
      <w:r>
        <w:rPr>
          <w:rFonts w:asciiTheme="minorEastAsia" w:hAnsiTheme="minorEastAsia" w:eastAsiaTheme="minorEastAsia" w:cstheme="minorEastAsia"/>
          <w:sz w:val="24"/>
          <w:szCs w:val="24"/>
        </w:rPr>
        <w:t>收到修</w:t>
      </w:r>
      <w:r>
        <w:rPr>
          <w:rFonts w:asciiTheme="minorEastAsia" w:hAnsiTheme="minorEastAsia" w:eastAsiaTheme="minorEastAsia" w:cstheme="minorEastAsia"/>
          <w:spacing w:val="2"/>
          <w:sz w:val="24"/>
          <w:szCs w:val="24"/>
        </w:rPr>
        <w:t>改</w:t>
      </w:r>
      <w:r>
        <w:rPr>
          <w:rFonts w:asciiTheme="minorEastAsia" w:hAnsiTheme="minorEastAsia" w:eastAsiaTheme="minorEastAsia" w:cstheme="minorEastAsia"/>
          <w:spacing w:val="-3"/>
          <w:sz w:val="24"/>
          <w:szCs w:val="24"/>
        </w:rPr>
        <w:t>内</w:t>
      </w:r>
      <w:r>
        <w:rPr>
          <w:rFonts w:asciiTheme="minorEastAsia" w:hAnsiTheme="minorEastAsia" w:eastAsiaTheme="minorEastAsia" w:cstheme="minorEastAsia"/>
          <w:sz w:val="24"/>
          <w:szCs w:val="24"/>
        </w:rPr>
        <w:t>容</w:t>
      </w:r>
      <w:r>
        <w:rPr>
          <w:rFonts w:asciiTheme="minorEastAsia" w:hAnsiTheme="minorEastAsia" w:eastAsiaTheme="minorEastAsia" w:cstheme="minorEastAsia"/>
          <w:spacing w:val="2"/>
          <w:sz w:val="24"/>
          <w:szCs w:val="24"/>
        </w:rPr>
        <w:t>后</w:t>
      </w:r>
      <w:r>
        <w:rPr>
          <w:rFonts w:asciiTheme="minorEastAsia" w:hAnsiTheme="minorEastAsia" w:eastAsiaTheme="minorEastAsia" w:cstheme="minorEastAsia"/>
          <w:spacing w:val="-36"/>
          <w:sz w:val="24"/>
          <w:szCs w:val="24"/>
        </w:rPr>
        <w:t>，</w:t>
      </w:r>
      <w:r>
        <w:rPr>
          <w:rFonts w:asciiTheme="minorEastAsia" w:hAnsiTheme="minorEastAsia" w:eastAsiaTheme="minorEastAsia" w:cstheme="minorEastAsia"/>
          <w:spacing w:val="-3"/>
          <w:sz w:val="24"/>
          <w:szCs w:val="24"/>
        </w:rPr>
        <w:t>应</w:t>
      </w:r>
      <w:r>
        <w:rPr>
          <w:rFonts w:asciiTheme="minorEastAsia" w:hAnsiTheme="minorEastAsia" w:eastAsiaTheme="minorEastAsia" w:cstheme="minorEastAsia"/>
          <w:spacing w:val="2"/>
          <w:sz w:val="24"/>
          <w:szCs w:val="24"/>
        </w:rPr>
        <w:t>按</w:t>
      </w:r>
      <w:r>
        <w:rPr>
          <w:rFonts w:asciiTheme="minorEastAsia" w:hAnsiTheme="minorEastAsia" w:eastAsiaTheme="minorEastAsia" w:cstheme="minorEastAsia"/>
          <w:sz w:val="24"/>
          <w:szCs w:val="24"/>
        </w:rPr>
        <w:t>投标人</w:t>
      </w:r>
      <w:r>
        <w:rPr>
          <w:rFonts w:asciiTheme="minorEastAsia" w:hAnsiTheme="minorEastAsia" w:eastAsiaTheme="minorEastAsia" w:cstheme="minorEastAsia"/>
          <w:spacing w:val="2"/>
          <w:sz w:val="24"/>
          <w:szCs w:val="24"/>
        </w:rPr>
        <w:t>须</w:t>
      </w:r>
      <w:r>
        <w:rPr>
          <w:rFonts w:asciiTheme="minorEastAsia" w:hAnsiTheme="minorEastAsia" w:eastAsiaTheme="minorEastAsia" w:cstheme="minorEastAsia"/>
          <w:spacing w:val="-3"/>
          <w:sz w:val="24"/>
          <w:szCs w:val="24"/>
        </w:rPr>
        <w:t>知</w:t>
      </w:r>
      <w:r>
        <w:rPr>
          <w:rFonts w:asciiTheme="minorEastAsia" w:hAnsiTheme="minorEastAsia" w:eastAsiaTheme="minorEastAsia" w:cstheme="minorEastAsia"/>
          <w:sz w:val="24"/>
          <w:szCs w:val="24"/>
        </w:rPr>
        <w:t>前附</w:t>
      </w:r>
      <w:r>
        <w:rPr>
          <w:rFonts w:asciiTheme="minorEastAsia" w:hAnsiTheme="minorEastAsia" w:eastAsiaTheme="minorEastAsia" w:cstheme="minorEastAsia"/>
          <w:spacing w:val="2"/>
          <w:sz w:val="24"/>
          <w:szCs w:val="24"/>
        </w:rPr>
        <w:t>表规</w:t>
      </w:r>
      <w:r>
        <w:rPr>
          <w:rFonts w:asciiTheme="minorEastAsia" w:hAnsiTheme="minorEastAsia" w:eastAsiaTheme="minorEastAsia" w:cstheme="minorEastAsia"/>
          <w:spacing w:val="-3"/>
          <w:sz w:val="24"/>
          <w:szCs w:val="24"/>
        </w:rPr>
        <w:t>定</w:t>
      </w:r>
      <w:r>
        <w:rPr>
          <w:rFonts w:asciiTheme="minorEastAsia" w:hAnsiTheme="minorEastAsia" w:eastAsiaTheme="minorEastAsia" w:cstheme="minorEastAsia"/>
          <w:spacing w:val="2"/>
          <w:sz w:val="24"/>
          <w:szCs w:val="24"/>
        </w:rPr>
        <w:t>的</w:t>
      </w:r>
      <w:r>
        <w:rPr>
          <w:rFonts w:asciiTheme="minorEastAsia" w:hAnsiTheme="minorEastAsia" w:eastAsiaTheme="minorEastAsia" w:cstheme="minorEastAsia"/>
          <w:spacing w:val="-3"/>
          <w:sz w:val="24"/>
          <w:szCs w:val="24"/>
        </w:rPr>
        <w:t>时</w:t>
      </w:r>
      <w:r>
        <w:rPr>
          <w:rFonts w:asciiTheme="minorEastAsia" w:hAnsiTheme="minorEastAsia" w:eastAsiaTheme="minorEastAsia" w:cstheme="minorEastAsia"/>
          <w:spacing w:val="2"/>
          <w:sz w:val="24"/>
          <w:szCs w:val="24"/>
        </w:rPr>
        <w:t>间</w:t>
      </w:r>
      <w:r>
        <w:rPr>
          <w:rFonts w:asciiTheme="minorEastAsia" w:hAnsiTheme="minorEastAsia" w:eastAsiaTheme="minorEastAsia" w:cstheme="minorEastAsia"/>
          <w:sz w:val="24"/>
          <w:szCs w:val="24"/>
        </w:rPr>
        <w:t>和形式通知</w:t>
      </w:r>
      <w:r>
        <w:rPr>
          <w:rFonts w:asciiTheme="minorEastAsia" w:hAnsiTheme="minorEastAsia" w:eastAsiaTheme="minorEastAsia" w:cstheme="minorEastAsia"/>
          <w:spacing w:val="2"/>
          <w:sz w:val="24"/>
          <w:szCs w:val="24"/>
        </w:rPr>
        <w:t>招标</w:t>
      </w:r>
      <w:r>
        <w:rPr>
          <w:rFonts w:asciiTheme="minorEastAsia" w:hAnsiTheme="minorEastAsia" w:eastAsiaTheme="minorEastAsia" w:cstheme="minorEastAsia"/>
          <w:spacing w:val="-3"/>
          <w:sz w:val="24"/>
          <w:szCs w:val="24"/>
        </w:rPr>
        <w:t>人</w:t>
      </w:r>
      <w:r>
        <w:rPr>
          <w:rFonts w:asciiTheme="minorEastAsia" w:hAnsiTheme="minorEastAsia" w:eastAsiaTheme="minorEastAsia" w:cstheme="minorEastAsia"/>
          <w:spacing w:val="-36"/>
          <w:sz w:val="24"/>
          <w:szCs w:val="24"/>
        </w:rPr>
        <w:t>，</w:t>
      </w:r>
      <w:r>
        <w:rPr>
          <w:rFonts w:asciiTheme="minorEastAsia" w:hAnsiTheme="minorEastAsia" w:eastAsiaTheme="minorEastAsia" w:cstheme="minorEastAsia"/>
          <w:sz w:val="24"/>
          <w:szCs w:val="24"/>
        </w:rPr>
        <w:t>确认已</w:t>
      </w:r>
      <w:r>
        <w:rPr>
          <w:rFonts w:asciiTheme="minorEastAsia" w:hAnsiTheme="minorEastAsia" w:eastAsiaTheme="minorEastAsia" w:cstheme="minorEastAsia"/>
          <w:spacing w:val="2"/>
          <w:sz w:val="24"/>
          <w:szCs w:val="24"/>
        </w:rPr>
        <w:t>收</w:t>
      </w:r>
      <w:r>
        <w:rPr>
          <w:rFonts w:asciiTheme="minorEastAsia" w:hAnsiTheme="minorEastAsia" w:eastAsiaTheme="minorEastAsia" w:cstheme="minorEastAsia"/>
          <w:sz w:val="24"/>
          <w:szCs w:val="24"/>
        </w:rPr>
        <w:t>到</w:t>
      </w:r>
      <w:r>
        <w:rPr>
          <w:rFonts w:asciiTheme="minorEastAsia" w:hAnsiTheme="minorEastAsia" w:eastAsiaTheme="minorEastAsia" w:cstheme="minorEastAsia"/>
          <w:spacing w:val="-3"/>
          <w:sz w:val="24"/>
          <w:szCs w:val="24"/>
        </w:rPr>
        <w:t>该修改。</w:t>
      </w:r>
    </w:p>
    <w:p>
      <w:pPr>
        <w:pStyle w:val="4"/>
        <w:kinsoku w:val="0"/>
        <w:overflowPunct w:val="0"/>
        <w:spacing w:line="360" w:lineRule="auto"/>
        <w:ind w:left="0" w:right="47"/>
        <w:jc w:val="center"/>
        <w:rPr>
          <w:rFonts w:hint="default" w:asciiTheme="minorEastAsia" w:hAnsiTheme="minorEastAsia" w:eastAsiaTheme="minorEastAsia" w:cstheme="minorEastAsia"/>
          <w:b w:val="0"/>
          <w:sz w:val="30"/>
          <w:szCs w:val="30"/>
        </w:rPr>
      </w:pPr>
      <w:bookmarkStart w:id="51" w:name="bookmark6"/>
      <w:bookmarkEnd w:id="51"/>
      <w:r>
        <w:rPr>
          <w:rFonts w:asciiTheme="minorEastAsia" w:hAnsiTheme="minorEastAsia" w:eastAsiaTheme="minorEastAsia" w:cstheme="minorEastAsia"/>
          <w:sz w:val="30"/>
          <w:szCs w:val="30"/>
        </w:rPr>
        <w:t>3.</w:t>
      </w:r>
      <w:r>
        <w:rPr>
          <w:rFonts w:asciiTheme="minorEastAsia" w:hAnsiTheme="minorEastAsia" w:eastAsiaTheme="minorEastAsia" w:cstheme="minorEastAsia"/>
          <w:spacing w:val="4"/>
          <w:sz w:val="30"/>
          <w:szCs w:val="30"/>
        </w:rPr>
        <w:t>投标文件</w:t>
      </w:r>
    </w:p>
    <w:p>
      <w:pPr>
        <w:pStyle w:val="8"/>
        <w:kinsoku w:val="0"/>
        <w:overflowPunct w:val="0"/>
        <w:spacing w:line="360" w:lineRule="auto"/>
        <w:rPr>
          <w:rFonts w:hint="default" w:asciiTheme="minorEastAsia" w:hAnsiTheme="minorEastAsia" w:eastAsiaTheme="minorEastAsia" w:cstheme="minorEastAsia"/>
          <w:b/>
          <w:bCs/>
          <w:sz w:val="24"/>
          <w:szCs w:val="24"/>
        </w:rPr>
      </w:pPr>
      <w:bookmarkStart w:id="52" w:name="_Toc6871_WPSOffice_Level2"/>
      <w:r>
        <w:rPr>
          <w:rFonts w:asciiTheme="minorEastAsia" w:hAnsiTheme="minorEastAsia" w:eastAsiaTheme="minorEastAsia" w:cstheme="minorEastAsia"/>
          <w:b/>
          <w:bCs/>
          <w:spacing w:val="-1"/>
          <w:sz w:val="24"/>
          <w:szCs w:val="24"/>
        </w:rPr>
        <w:t>3.1</w:t>
      </w:r>
      <w:r>
        <w:rPr>
          <w:rFonts w:asciiTheme="minorEastAsia" w:hAnsiTheme="minorEastAsia" w:eastAsiaTheme="minorEastAsia" w:cstheme="minorEastAsia"/>
          <w:b/>
          <w:bCs/>
          <w:spacing w:val="-2"/>
          <w:sz w:val="24"/>
          <w:szCs w:val="24"/>
        </w:rPr>
        <w:t>投标文件的组成</w:t>
      </w:r>
      <w:bookmarkEnd w:id="52"/>
    </w:p>
    <w:p>
      <w:pPr>
        <w:pStyle w:val="14"/>
        <w:kinsoku w:val="0"/>
        <w:overflowPunct w:val="0"/>
        <w:spacing w:line="360" w:lineRule="auto"/>
        <w:ind w:right="110" w:firstLine="420"/>
        <w:jc w:val="both"/>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1"/>
          <w:sz w:val="24"/>
          <w:szCs w:val="24"/>
        </w:rPr>
        <w:t>详见第六章投标文件格式。</w:t>
      </w:r>
    </w:p>
    <w:p>
      <w:pPr>
        <w:pStyle w:val="14"/>
        <w:kinsoku w:val="0"/>
        <w:overflowPunct w:val="0"/>
        <w:spacing w:line="360" w:lineRule="auto"/>
        <w:ind w:right="110"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投标人在评标过程中作出的符合法律法规和招标文件规定的澄清、说明、补正，构成投标文件的组</w:t>
      </w:r>
      <w:r>
        <w:rPr>
          <w:rFonts w:asciiTheme="minorEastAsia" w:hAnsiTheme="minorEastAsia" w:eastAsiaTheme="minorEastAsia" w:cstheme="minorEastAsia"/>
          <w:spacing w:val="-2"/>
          <w:sz w:val="24"/>
          <w:szCs w:val="24"/>
        </w:rPr>
        <w:t>成部分。</w:t>
      </w:r>
    </w:p>
    <w:p>
      <w:pPr>
        <w:pStyle w:val="8"/>
        <w:kinsoku w:val="0"/>
        <w:overflowPunct w:val="0"/>
        <w:spacing w:line="360" w:lineRule="auto"/>
        <w:rPr>
          <w:rFonts w:hint="default" w:asciiTheme="minorEastAsia" w:hAnsiTheme="minorEastAsia" w:eastAsiaTheme="minorEastAsia" w:cstheme="minorEastAsia"/>
          <w:b/>
          <w:bCs/>
          <w:spacing w:val="-1"/>
          <w:sz w:val="24"/>
          <w:szCs w:val="24"/>
        </w:rPr>
      </w:pPr>
      <w:bookmarkStart w:id="53" w:name="_Toc5886_WPSOffice_Level2"/>
      <w:r>
        <w:rPr>
          <w:rFonts w:asciiTheme="minorEastAsia" w:hAnsiTheme="minorEastAsia" w:eastAsiaTheme="minorEastAsia" w:cstheme="minorEastAsia"/>
          <w:b/>
          <w:bCs/>
          <w:spacing w:val="-1"/>
          <w:sz w:val="24"/>
          <w:szCs w:val="24"/>
        </w:rPr>
        <w:t>3.2投标报价</w:t>
      </w:r>
      <w:bookmarkEnd w:id="53"/>
    </w:p>
    <w:p>
      <w:pPr>
        <w:spacing w:beforeLines="0" w:afterLines="0" w:line="360" w:lineRule="auto"/>
        <w:ind w:firstLine="480" w:firstLineChars="200"/>
        <w:rPr>
          <w:rFonts w:hint="eastAsia"/>
          <w:sz w:val="24"/>
        </w:rPr>
      </w:pPr>
      <w:r>
        <w:rPr>
          <w:rFonts w:asciiTheme="minorEastAsia" w:hAnsiTheme="minorEastAsia" w:eastAsiaTheme="minorEastAsia" w:cstheme="minorEastAsia"/>
          <w:sz w:val="24"/>
          <w:szCs w:val="24"/>
        </w:rPr>
        <w:t xml:space="preserve">3.2.1 </w:t>
      </w:r>
      <w:r>
        <w:rPr>
          <w:rFonts w:hint="eastAsia" w:ascii="宋体" w:hAnsi="宋体"/>
          <w:sz w:val="24"/>
        </w:rPr>
        <w:t>所有投标报价均以人民币元为计算单位。投标人的投标报价为交货地点交货价格，含</w:t>
      </w:r>
      <w:r>
        <w:rPr>
          <w:rFonts w:hint="eastAsia" w:ascii="宋体" w:hAnsi="宋体"/>
          <w:color w:val="000000"/>
          <w:sz w:val="24"/>
        </w:rPr>
        <w:t>货物、随配附件、备品备件、工具、厂家赠品、运抵指定交货地点费用、保险费、安装调试费、服务费、售后服务、税金及其他所有费用的总和</w:t>
      </w:r>
      <w:r>
        <w:rPr>
          <w:rFonts w:hint="eastAsia" w:ascii="宋体" w:hAnsi="宋体"/>
          <w:sz w:val="24"/>
          <w:highlight w:val="none"/>
        </w:rPr>
        <w:t>，</w:t>
      </w:r>
      <w:r>
        <w:rPr>
          <w:rFonts w:hint="eastAsia" w:ascii="宋体" w:hAnsi="宋体"/>
          <w:sz w:val="24"/>
          <w:szCs w:val="24"/>
          <w:highlight w:val="none"/>
          <w:lang w:eastAsia="zh-CN"/>
        </w:rPr>
        <w:t>该项目还应</w:t>
      </w:r>
      <w:r>
        <w:rPr>
          <w:rFonts w:hint="eastAsia"/>
          <w:spacing w:val="1"/>
          <w:sz w:val="24"/>
          <w:szCs w:val="24"/>
          <w:highlight w:val="none"/>
          <w:lang w:eastAsia="zh-CN"/>
        </w:rPr>
        <w:t>承担在线监测设备环保验收和设备配套监测基站的改造及首次环保联网的相关费用，</w:t>
      </w:r>
      <w:r>
        <w:rPr>
          <w:rFonts w:hint="eastAsia" w:ascii="宋体" w:hAnsi="宋体"/>
          <w:sz w:val="24"/>
          <w:highlight w:val="none"/>
        </w:rPr>
        <w:t>采购</w:t>
      </w:r>
      <w:r>
        <w:rPr>
          <w:rFonts w:hint="eastAsia" w:ascii="宋体" w:hAnsi="宋体"/>
          <w:sz w:val="24"/>
        </w:rPr>
        <w:t>人不支付报价以外的任何费用。投标人对每种货物只允许有一个报价，招标人不接受有任何选择报价和投标。投标人不得以任何理由在开标后对投标报价予以修改，报价在投标有效期内是固定的，不因任何原因而改变。任何包括价格调整要求和条件的投标，将被视为非实质性响应投标而予以拒绝。投标人不得以低于本项目成本价恶意竞争报价。</w:t>
      </w:r>
    </w:p>
    <w:p>
      <w:pPr>
        <w:pStyle w:val="14"/>
        <w:kinsoku w:val="0"/>
        <w:overflowPunct w:val="0"/>
        <w:spacing w:line="360" w:lineRule="auto"/>
        <w:ind w:right="105" w:firstLine="420"/>
        <w:jc w:val="both"/>
        <w:rPr>
          <w:rFonts w:asciiTheme="minorEastAsia" w:hAnsiTheme="minorEastAsia" w:eastAsiaTheme="minorEastAsia" w:cstheme="minorEastAsia"/>
          <w:sz w:val="24"/>
          <w:szCs w:val="24"/>
        </w:rPr>
      </w:pPr>
    </w:p>
    <w:p>
      <w:pPr>
        <w:pStyle w:val="14"/>
        <w:kinsoku w:val="0"/>
        <w:overflowPunct w:val="0"/>
        <w:spacing w:line="360" w:lineRule="auto"/>
        <w:ind w:right="105" w:firstLine="420"/>
        <w:jc w:val="both"/>
        <w:rPr>
          <w:rFonts w:hint="default"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
          <w:sz w:val="24"/>
          <w:szCs w:val="24"/>
          <w:lang w:val="en-US" w:eastAsia="zh-CN"/>
        </w:rPr>
        <w:t xml:space="preserve">3.2.2 </w:t>
      </w:r>
      <w:r>
        <w:rPr>
          <w:rFonts w:asciiTheme="minorEastAsia" w:hAnsiTheme="minorEastAsia" w:eastAsiaTheme="minorEastAsia" w:cstheme="minorEastAsia"/>
          <w:spacing w:val="1"/>
          <w:sz w:val="24"/>
          <w:szCs w:val="24"/>
        </w:rPr>
        <w:t>投标报价应包括国家规定的税金。投标人应按第六章“投标文件格式”的要求在投标函及开</w:t>
      </w:r>
      <w:r>
        <w:rPr>
          <w:rFonts w:asciiTheme="minorEastAsia" w:hAnsiTheme="minorEastAsia" w:eastAsiaTheme="minorEastAsia" w:cstheme="minorEastAsia"/>
          <w:spacing w:val="-2"/>
          <w:sz w:val="24"/>
          <w:szCs w:val="24"/>
        </w:rPr>
        <w:t>标一览表中进行报价并填写分项报价表。</w:t>
      </w:r>
    </w:p>
    <w:p>
      <w:pPr>
        <w:pStyle w:val="14"/>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3.2.</w:t>
      </w:r>
      <w:r>
        <w:rPr>
          <w:rFonts w:hint="eastAsia" w:asciiTheme="minorEastAsia" w:hAnsiTheme="minorEastAsia" w:eastAsiaTheme="minorEastAsia" w:cstheme="minorEastAsia"/>
          <w:sz w:val="24"/>
          <w:szCs w:val="24"/>
          <w:lang w:val="en-US" w:eastAsia="zh-CN"/>
        </w:rPr>
        <w:t xml:space="preserve">3 </w:t>
      </w:r>
      <w:r>
        <w:rPr>
          <w:rFonts w:asciiTheme="minorEastAsia" w:hAnsiTheme="minorEastAsia" w:eastAsiaTheme="minorEastAsia" w:cstheme="minorEastAsia"/>
          <w:spacing w:val="-3"/>
          <w:sz w:val="24"/>
          <w:szCs w:val="24"/>
        </w:rPr>
        <w:t>投标人应充分了解该项目的总体情况以及影响投标报价的其他要素。</w:t>
      </w:r>
    </w:p>
    <w:p>
      <w:pPr>
        <w:pStyle w:val="14"/>
        <w:kinsoku w:val="0"/>
        <w:overflowPunct w:val="0"/>
        <w:spacing w:line="360" w:lineRule="auto"/>
        <w:ind w:right="106"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3.2.</w:t>
      </w:r>
      <w:r>
        <w:rPr>
          <w:rFonts w:hint="eastAsia" w:asciiTheme="minorEastAsia" w:hAnsiTheme="minorEastAsia" w:eastAsiaTheme="minorEastAsia" w:cstheme="minorEastAsia"/>
          <w:sz w:val="24"/>
          <w:szCs w:val="24"/>
          <w:lang w:val="en-US" w:eastAsia="zh-CN"/>
        </w:rPr>
        <w:t xml:space="preserve">4 </w:t>
      </w:r>
      <w:r>
        <w:rPr>
          <w:rFonts w:asciiTheme="minorEastAsia" w:hAnsiTheme="minorEastAsia" w:eastAsiaTheme="minorEastAsia" w:cstheme="minorEastAsia"/>
          <w:spacing w:val="4"/>
          <w:sz w:val="24"/>
          <w:szCs w:val="24"/>
        </w:rPr>
        <w:t>投</w:t>
      </w:r>
      <w:r>
        <w:rPr>
          <w:rFonts w:asciiTheme="minorEastAsia" w:hAnsiTheme="minorEastAsia" w:eastAsiaTheme="minorEastAsia" w:cstheme="minorEastAsia"/>
          <w:spacing w:val="2"/>
          <w:sz w:val="24"/>
          <w:szCs w:val="24"/>
        </w:rPr>
        <w:t>标</w:t>
      </w:r>
      <w:r>
        <w:rPr>
          <w:rFonts w:asciiTheme="minorEastAsia" w:hAnsiTheme="minorEastAsia" w:eastAsiaTheme="minorEastAsia" w:cstheme="minorEastAsia"/>
          <w:spacing w:val="4"/>
          <w:sz w:val="24"/>
          <w:szCs w:val="24"/>
        </w:rPr>
        <w:t>报</w:t>
      </w:r>
      <w:r>
        <w:rPr>
          <w:rFonts w:asciiTheme="minorEastAsia" w:hAnsiTheme="minorEastAsia" w:eastAsiaTheme="minorEastAsia" w:cstheme="minorEastAsia"/>
          <w:sz w:val="24"/>
          <w:szCs w:val="24"/>
        </w:rPr>
        <w:t>价</w:t>
      </w:r>
      <w:r>
        <w:rPr>
          <w:rFonts w:asciiTheme="minorEastAsia" w:hAnsiTheme="minorEastAsia" w:eastAsiaTheme="minorEastAsia" w:cstheme="minorEastAsia"/>
          <w:spacing w:val="5"/>
          <w:sz w:val="24"/>
          <w:szCs w:val="24"/>
        </w:rPr>
        <w:t>为</w:t>
      </w:r>
      <w:r>
        <w:rPr>
          <w:rFonts w:asciiTheme="minorEastAsia" w:hAnsiTheme="minorEastAsia" w:eastAsiaTheme="minorEastAsia" w:cstheme="minorEastAsia"/>
          <w:spacing w:val="2"/>
          <w:sz w:val="24"/>
          <w:szCs w:val="24"/>
        </w:rPr>
        <w:t>各</w:t>
      </w:r>
      <w:r>
        <w:rPr>
          <w:rFonts w:asciiTheme="minorEastAsia" w:hAnsiTheme="minorEastAsia" w:eastAsiaTheme="minorEastAsia" w:cstheme="minorEastAsia"/>
          <w:spacing w:val="4"/>
          <w:sz w:val="24"/>
          <w:szCs w:val="24"/>
        </w:rPr>
        <w:t>分</w:t>
      </w:r>
      <w:r>
        <w:rPr>
          <w:rFonts w:asciiTheme="minorEastAsia" w:hAnsiTheme="minorEastAsia" w:eastAsiaTheme="minorEastAsia" w:cstheme="minorEastAsia"/>
          <w:sz w:val="24"/>
          <w:szCs w:val="24"/>
        </w:rPr>
        <w:t>项</w:t>
      </w:r>
      <w:r>
        <w:rPr>
          <w:rFonts w:asciiTheme="minorEastAsia" w:hAnsiTheme="minorEastAsia" w:eastAsiaTheme="minorEastAsia" w:cstheme="minorEastAsia"/>
          <w:spacing w:val="2"/>
          <w:sz w:val="24"/>
          <w:szCs w:val="24"/>
        </w:rPr>
        <w:t>报</w:t>
      </w:r>
      <w:r>
        <w:rPr>
          <w:rFonts w:asciiTheme="minorEastAsia" w:hAnsiTheme="minorEastAsia" w:eastAsiaTheme="minorEastAsia" w:cstheme="minorEastAsia"/>
          <w:spacing w:val="4"/>
          <w:sz w:val="24"/>
          <w:szCs w:val="24"/>
        </w:rPr>
        <w:t>价金</w:t>
      </w:r>
      <w:r>
        <w:rPr>
          <w:rFonts w:asciiTheme="minorEastAsia" w:hAnsiTheme="minorEastAsia" w:eastAsiaTheme="minorEastAsia" w:cstheme="minorEastAsia"/>
          <w:spacing w:val="2"/>
          <w:sz w:val="24"/>
          <w:szCs w:val="24"/>
        </w:rPr>
        <w:t>额之和</w:t>
      </w:r>
      <w:r>
        <w:rPr>
          <w:rFonts w:asciiTheme="minorEastAsia" w:hAnsiTheme="minorEastAsia" w:eastAsiaTheme="minorEastAsia" w:cstheme="minorEastAsia"/>
          <w:spacing w:val="-34"/>
          <w:sz w:val="24"/>
          <w:szCs w:val="24"/>
        </w:rPr>
        <w:t>，</w:t>
      </w:r>
      <w:r>
        <w:rPr>
          <w:rFonts w:asciiTheme="minorEastAsia" w:hAnsiTheme="minorEastAsia" w:eastAsiaTheme="minorEastAsia" w:cstheme="minorEastAsia"/>
          <w:spacing w:val="2"/>
          <w:sz w:val="24"/>
          <w:szCs w:val="24"/>
        </w:rPr>
        <w:t>投</w:t>
      </w:r>
      <w:r>
        <w:rPr>
          <w:rFonts w:asciiTheme="minorEastAsia" w:hAnsiTheme="minorEastAsia" w:eastAsiaTheme="minorEastAsia" w:cstheme="minorEastAsia"/>
          <w:spacing w:val="4"/>
          <w:sz w:val="24"/>
          <w:szCs w:val="24"/>
        </w:rPr>
        <w:t>标</w:t>
      </w:r>
      <w:r>
        <w:rPr>
          <w:rFonts w:asciiTheme="minorEastAsia" w:hAnsiTheme="minorEastAsia" w:eastAsiaTheme="minorEastAsia" w:cstheme="minorEastAsia"/>
          <w:sz w:val="24"/>
          <w:szCs w:val="24"/>
        </w:rPr>
        <w:t>报</w:t>
      </w:r>
      <w:r>
        <w:rPr>
          <w:rFonts w:asciiTheme="minorEastAsia" w:hAnsiTheme="minorEastAsia" w:eastAsiaTheme="minorEastAsia" w:cstheme="minorEastAsia"/>
          <w:spacing w:val="2"/>
          <w:sz w:val="24"/>
          <w:szCs w:val="24"/>
        </w:rPr>
        <w:t>价与</w:t>
      </w:r>
      <w:r>
        <w:rPr>
          <w:rFonts w:asciiTheme="minorEastAsia" w:hAnsiTheme="minorEastAsia" w:eastAsiaTheme="minorEastAsia" w:cstheme="minorEastAsia"/>
          <w:spacing w:val="4"/>
          <w:sz w:val="24"/>
          <w:szCs w:val="24"/>
        </w:rPr>
        <w:t>分项</w:t>
      </w:r>
      <w:r>
        <w:rPr>
          <w:rFonts w:asciiTheme="minorEastAsia" w:hAnsiTheme="minorEastAsia" w:eastAsiaTheme="minorEastAsia" w:cstheme="minorEastAsia"/>
          <w:spacing w:val="2"/>
          <w:sz w:val="24"/>
          <w:szCs w:val="24"/>
        </w:rPr>
        <w:t>报价的</w:t>
      </w:r>
      <w:r>
        <w:rPr>
          <w:rFonts w:asciiTheme="minorEastAsia" w:hAnsiTheme="minorEastAsia" w:eastAsiaTheme="minorEastAsia" w:cstheme="minorEastAsia"/>
          <w:spacing w:val="4"/>
          <w:sz w:val="24"/>
          <w:szCs w:val="24"/>
        </w:rPr>
        <w:t>合</w:t>
      </w:r>
      <w:r>
        <w:rPr>
          <w:rFonts w:asciiTheme="minorEastAsia" w:hAnsiTheme="minorEastAsia" w:eastAsiaTheme="minorEastAsia" w:cstheme="minorEastAsia"/>
          <w:spacing w:val="3"/>
          <w:sz w:val="24"/>
          <w:szCs w:val="24"/>
        </w:rPr>
        <w:t>价</w:t>
      </w:r>
      <w:r>
        <w:rPr>
          <w:rFonts w:asciiTheme="minorEastAsia" w:hAnsiTheme="minorEastAsia" w:eastAsiaTheme="minorEastAsia" w:cstheme="minorEastAsia"/>
          <w:spacing w:val="2"/>
          <w:sz w:val="24"/>
          <w:szCs w:val="24"/>
        </w:rPr>
        <w:t>不一致的</w:t>
      </w:r>
      <w:r>
        <w:rPr>
          <w:rFonts w:asciiTheme="minorEastAsia" w:hAnsiTheme="minorEastAsia" w:eastAsiaTheme="minorEastAsia" w:cstheme="minorEastAsia"/>
          <w:spacing w:val="-34"/>
          <w:sz w:val="24"/>
          <w:szCs w:val="24"/>
        </w:rPr>
        <w:t>，</w:t>
      </w:r>
      <w:r>
        <w:rPr>
          <w:rFonts w:asciiTheme="minorEastAsia" w:hAnsiTheme="minorEastAsia" w:eastAsiaTheme="minorEastAsia" w:cstheme="minorEastAsia"/>
          <w:spacing w:val="4"/>
          <w:sz w:val="24"/>
          <w:szCs w:val="24"/>
        </w:rPr>
        <w:t>应</w:t>
      </w:r>
      <w:r>
        <w:rPr>
          <w:rFonts w:asciiTheme="minorEastAsia" w:hAnsiTheme="minorEastAsia" w:eastAsiaTheme="minorEastAsia" w:cstheme="minorEastAsia"/>
          <w:spacing w:val="2"/>
          <w:sz w:val="24"/>
          <w:szCs w:val="24"/>
        </w:rPr>
        <w:t>以</w:t>
      </w:r>
      <w:r>
        <w:rPr>
          <w:rFonts w:asciiTheme="minorEastAsia" w:hAnsiTheme="minorEastAsia" w:eastAsiaTheme="minorEastAsia" w:cstheme="minorEastAsia"/>
          <w:spacing w:val="4"/>
          <w:sz w:val="24"/>
          <w:szCs w:val="24"/>
        </w:rPr>
        <w:t>各</w:t>
      </w:r>
      <w:r>
        <w:rPr>
          <w:rFonts w:asciiTheme="minorEastAsia" w:hAnsiTheme="minorEastAsia" w:eastAsiaTheme="minorEastAsia" w:cstheme="minorEastAsia"/>
          <w:sz w:val="24"/>
          <w:szCs w:val="24"/>
        </w:rPr>
        <w:t>分</w:t>
      </w:r>
      <w:r>
        <w:rPr>
          <w:rFonts w:asciiTheme="minorEastAsia" w:hAnsiTheme="minorEastAsia" w:eastAsiaTheme="minorEastAsia" w:cstheme="minorEastAsia"/>
          <w:spacing w:val="4"/>
          <w:sz w:val="24"/>
          <w:szCs w:val="24"/>
        </w:rPr>
        <w:t>项合</w:t>
      </w:r>
      <w:r>
        <w:rPr>
          <w:rFonts w:asciiTheme="minorEastAsia" w:hAnsiTheme="minorEastAsia" w:eastAsiaTheme="minorEastAsia" w:cstheme="minorEastAsia"/>
          <w:spacing w:val="2"/>
          <w:sz w:val="24"/>
          <w:szCs w:val="24"/>
        </w:rPr>
        <w:t>价</w:t>
      </w:r>
      <w:r>
        <w:rPr>
          <w:rFonts w:asciiTheme="minorEastAsia" w:hAnsiTheme="minorEastAsia" w:eastAsiaTheme="minorEastAsia" w:cstheme="minorEastAsia"/>
          <w:sz w:val="24"/>
          <w:szCs w:val="24"/>
        </w:rPr>
        <w:t>累</w:t>
      </w:r>
      <w:r>
        <w:rPr>
          <w:rFonts w:asciiTheme="minorEastAsia" w:hAnsiTheme="minorEastAsia" w:eastAsiaTheme="minorEastAsia" w:cstheme="minorEastAsia"/>
          <w:spacing w:val="-2"/>
          <w:sz w:val="24"/>
          <w:szCs w:val="24"/>
        </w:rPr>
        <w:t>计数为准，修正投标报价；如分项报价中存在缺漏项，则视为缺漏项价格已包含在其他分项报价之中。投标人在投标截止时间前修改投标函及开标一览表中的投标报价总额，应同时修改投标文件</w:t>
      </w:r>
      <w:r>
        <w:rPr>
          <w:rFonts w:asciiTheme="minorEastAsia" w:hAnsiTheme="minorEastAsia" w:eastAsiaTheme="minorEastAsia" w:cstheme="minorEastAsia"/>
          <w:spacing w:val="-3"/>
          <w:sz w:val="24"/>
          <w:szCs w:val="24"/>
        </w:rPr>
        <w:t>“分项报价表”中的相应报价。此修改须符合本章第</w:t>
      </w:r>
      <w:r>
        <w:rPr>
          <w:rFonts w:asciiTheme="minorEastAsia" w:hAnsiTheme="minorEastAsia" w:eastAsiaTheme="minorEastAsia" w:cstheme="minorEastAsia"/>
          <w:spacing w:val="-1"/>
          <w:sz w:val="24"/>
          <w:szCs w:val="24"/>
        </w:rPr>
        <w:t>4.3</w:t>
      </w:r>
      <w:r>
        <w:rPr>
          <w:rFonts w:asciiTheme="minorEastAsia" w:hAnsiTheme="minorEastAsia" w:eastAsiaTheme="minorEastAsia" w:cstheme="minorEastAsia"/>
          <w:spacing w:val="-3"/>
          <w:sz w:val="24"/>
          <w:szCs w:val="24"/>
        </w:rPr>
        <w:t>款的有关要求。</w:t>
      </w:r>
    </w:p>
    <w:p>
      <w:pPr>
        <w:pStyle w:val="14"/>
        <w:kinsoku w:val="0"/>
        <w:overflowPunct w:val="0"/>
        <w:spacing w:line="360" w:lineRule="auto"/>
        <w:ind w:right="116"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5 </w:t>
      </w:r>
      <w:r>
        <w:rPr>
          <w:rFonts w:asciiTheme="minorEastAsia" w:hAnsiTheme="minorEastAsia" w:eastAsiaTheme="minorEastAsia" w:cstheme="minorEastAsia"/>
          <w:spacing w:val="2"/>
          <w:sz w:val="24"/>
          <w:szCs w:val="24"/>
        </w:rPr>
        <w:t>投标报价不得超过招标文件中规定的预算金额或者最高限价，否则投标无效。预算金额或者</w:t>
      </w:r>
      <w:r>
        <w:rPr>
          <w:rFonts w:asciiTheme="minorEastAsia" w:hAnsiTheme="minorEastAsia" w:eastAsiaTheme="minorEastAsia" w:cstheme="minorEastAsia"/>
          <w:spacing w:val="-2"/>
          <w:sz w:val="24"/>
          <w:szCs w:val="24"/>
        </w:rPr>
        <w:t>最高限价在投标人须知前附表中载明。</w:t>
      </w:r>
    </w:p>
    <w:p>
      <w:pPr>
        <w:pStyle w:val="14"/>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3.2.</w:t>
      </w:r>
      <w:r>
        <w:rPr>
          <w:rFonts w:hint="eastAsia" w:asciiTheme="minorEastAsia" w:hAnsiTheme="minorEastAsia" w:eastAsiaTheme="minorEastAsia" w:cstheme="minorEastAsia"/>
          <w:sz w:val="24"/>
          <w:szCs w:val="24"/>
          <w:lang w:val="en-US" w:eastAsia="zh-CN"/>
        </w:rPr>
        <w:t xml:space="preserve">6 </w:t>
      </w:r>
      <w:r>
        <w:rPr>
          <w:rFonts w:asciiTheme="minorEastAsia" w:hAnsiTheme="minorEastAsia" w:eastAsiaTheme="minorEastAsia" w:cstheme="minorEastAsia"/>
          <w:spacing w:val="-3"/>
          <w:sz w:val="24"/>
          <w:szCs w:val="24"/>
        </w:rPr>
        <w:t>投标报价的其他要求见投标人须知前附表。</w:t>
      </w:r>
    </w:p>
    <w:p>
      <w:pPr>
        <w:pStyle w:val="8"/>
        <w:kinsoku w:val="0"/>
        <w:overflowPunct w:val="0"/>
        <w:spacing w:line="360" w:lineRule="auto"/>
        <w:rPr>
          <w:rFonts w:hint="default" w:asciiTheme="minorEastAsia" w:hAnsiTheme="minorEastAsia" w:eastAsiaTheme="minorEastAsia" w:cstheme="minorEastAsia"/>
          <w:b/>
          <w:bCs/>
          <w:spacing w:val="-2"/>
          <w:sz w:val="24"/>
          <w:szCs w:val="24"/>
        </w:rPr>
      </w:pPr>
      <w:bookmarkStart w:id="54" w:name="_Toc31796_WPSOffice_Level2"/>
      <w:r>
        <w:rPr>
          <w:rFonts w:asciiTheme="minorEastAsia" w:hAnsiTheme="minorEastAsia" w:eastAsiaTheme="minorEastAsia" w:cstheme="minorEastAsia"/>
          <w:b/>
          <w:bCs/>
          <w:spacing w:val="-1"/>
          <w:sz w:val="24"/>
          <w:szCs w:val="24"/>
        </w:rPr>
        <w:t>3.3</w:t>
      </w:r>
      <w:r>
        <w:rPr>
          <w:rFonts w:asciiTheme="minorEastAsia" w:hAnsiTheme="minorEastAsia" w:eastAsiaTheme="minorEastAsia" w:cstheme="minorEastAsia"/>
          <w:b/>
          <w:bCs/>
          <w:spacing w:val="-2"/>
          <w:sz w:val="24"/>
          <w:szCs w:val="24"/>
        </w:rPr>
        <w:t>投标有效期</w:t>
      </w:r>
      <w:bookmarkEnd w:id="54"/>
    </w:p>
    <w:p>
      <w:pPr>
        <w:pStyle w:val="14"/>
        <w:kinsoku w:val="0"/>
        <w:overflowPunct w:val="0"/>
        <w:spacing w:line="360" w:lineRule="auto"/>
        <w:ind w:right="107"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 xml:space="preserve">3.3.1 </w:t>
      </w:r>
      <w:r>
        <w:rPr>
          <w:rFonts w:asciiTheme="minorEastAsia" w:hAnsiTheme="minorEastAsia" w:eastAsiaTheme="minorEastAsia" w:cstheme="minorEastAsia"/>
          <w:spacing w:val="1"/>
          <w:sz w:val="24"/>
          <w:szCs w:val="24"/>
        </w:rPr>
        <w:t>除投标人须知前附表另有规定外，投标有效期为</w:t>
      </w:r>
      <w:r>
        <w:rPr>
          <w:rFonts w:asciiTheme="minorEastAsia" w:hAnsiTheme="minorEastAsia" w:eastAsiaTheme="minorEastAsia" w:cstheme="minorEastAsia"/>
          <w:spacing w:val="-2"/>
          <w:sz w:val="24"/>
          <w:szCs w:val="24"/>
        </w:rPr>
        <w:t>60</w:t>
      </w:r>
      <w:r>
        <w:rPr>
          <w:rFonts w:asciiTheme="minorEastAsia" w:hAnsiTheme="minorEastAsia" w:eastAsiaTheme="minorEastAsia" w:cstheme="minorEastAsia"/>
          <w:sz w:val="24"/>
          <w:szCs w:val="24"/>
        </w:rPr>
        <w:t>天。投标有效期从提交投标文件的截止</w:t>
      </w:r>
      <w:r>
        <w:rPr>
          <w:rFonts w:asciiTheme="minorEastAsia" w:hAnsiTheme="minorEastAsia" w:eastAsiaTheme="minorEastAsia" w:cstheme="minorEastAsia"/>
          <w:spacing w:val="-2"/>
          <w:sz w:val="24"/>
          <w:szCs w:val="24"/>
        </w:rPr>
        <w:t>之日起算。投标文件中承诺的投标有效期应当不少于招标文件中载明的投标有效期。</w:t>
      </w:r>
    </w:p>
    <w:p>
      <w:pPr>
        <w:pStyle w:val="14"/>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3.3.2</w:t>
      </w:r>
      <w:r>
        <w:rPr>
          <w:rFonts w:hint="eastAsia" w:asciiTheme="minorEastAsia" w:hAnsiTheme="minorEastAsia" w:eastAsiaTheme="minorEastAsia" w:cstheme="minorEastAsia"/>
          <w:sz w:val="24"/>
          <w:szCs w:val="24"/>
          <w:lang w:val="en-US" w:eastAsia="zh-CN"/>
        </w:rPr>
        <w:t xml:space="preserve"> </w:t>
      </w:r>
      <w:r>
        <w:rPr>
          <w:rFonts w:asciiTheme="minorEastAsia" w:hAnsiTheme="minorEastAsia" w:eastAsiaTheme="minorEastAsia" w:cstheme="minorEastAsia"/>
          <w:spacing w:val="-3"/>
          <w:sz w:val="24"/>
          <w:szCs w:val="24"/>
        </w:rPr>
        <w:t>在投标有效期内，投标人撤销投标文件的，应承担招标文件和法律规定的责任。</w:t>
      </w:r>
    </w:p>
    <w:p>
      <w:pPr>
        <w:pStyle w:val="14"/>
        <w:kinsoku w:val="0"/>
        <w:overflowPunct w:val="0"/>
        <w:spacing w:line="360" w:lineRule="auto"/>
        <w:ind w:right="146"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 xml:space="preserve">3.3.3 </w:t>
      </w:r>
      <w:r>
        <w:rPr>
          <w:rFonts w:asciiTheme="minorEastAsia" w:hAnsiTheme="minorEastAsia" w:eastAsiaTheme="minorEastAsia" w:cstheme="minorEastAsia"/>
          <w:spacing w:val="2"/>
          <w:sz w:val="24"/>
          <w:szCs w:val="24"/>
        </w:rPr>
        <w:t>出</w:t>
      </w:r>
      <w:r>
        <w:rPr>
          <w:rFonts w:asciiTheme="minorEastAsia" w:hAnsiTheme="minorEastAsia" w:eastAsiaTheme="minorEastAsia" w:cstheme="minorEastAsia"/>
          <w:spacing w:val="-3"/>
          <w:sz w:val="24"/>
          <w:szCs w:val="24"/>
        </w:rPr>
        <w:t>现</w:t>
      </w:r>
      <w:r>
        <w:rPr>
          <w:rFonts w:asciiTheme="minorEastAsia" w:hAnsiTheme="minorEastAsia" w:eastAsiaTheme="minorEastAsia" w:cstheme="minorEastAsia"/>
          <w:spacing w:val="2"/>
          <w:sz w:val="24"/>
          <w:szCs w:val="24"/>
        </w:rPr>
        <w:t>特</w:t>
      </w:r>
      <w:r>
        <w:rPr>
          <w:rFonts w:asciiTheme="minorEastAsia" w:hAnsiTheme="minorEastAsia" w:eastAsiaTheme="minorEastAsia" w:cstheme="minorEastAsia"/>
          <w:sz w:val="24"/>
          <w:szCs w:val="24"/>
        </w:rPr>
        <w:t>殊情况</w:t>
      </w:r>
      <w:r>
        <w:rPr>
          <w:rFonts w:asciiTheme="minorEastAsia" w:hAnsiTheme="minorEastAsia" w:eastAsiaTheme="minorEastAsia" w:cstheme="minorEastAsia"/>
          <w:spacing w:val="2"/>
          <w:sz w:val="24"/>
          <w:szCs w:val="24"/>
        </w:rPr>
        <w:t>需</w:t>
      </w:r>
      <w:r>
        <w:rPr>
          <w:rFonts w:asciiTheme="minorEastAsia" w:hAnsiTheme="minorEastAsia" w:eastAsiaTheme="minorEastAsia" w:cstheme="minorEastAsia"/>
          <w:spacing w:val="-3"/>
          <w:sz w:val="24"/>
          <w:szCs w:val="24"/>
        </w:rPr>
        <w:t>要</w:t>
      </w:r>
      <w:r>
        <w:rPr>
          <w:rFonts w:asciiTheme="minorEastAsia" w:hAnsiTheme="minorEastAsia" w:eastAsiaTheme="minorEastAsia" w:cstheme="minorEastAsia"/>
          <w:sz w:val="24"/>
          <w:szCs w:val="24"/>
        </w:rPr>
        <w:t>延</w:t>
      </w:r>
      <w:r>
        <w:rPr>
          <w:rFonts w:asciiTheme="minorEastAsia" w:hAnsiTheme="minorEastAsia" w:eastAsiaTheme="minorEastAsia" w:cstheme="minorEastAsia"/>
          <w:spacing w:val="2"/>
          <w:sz w:val="24"/>
          <w:szCs w:val="24"/>
        </w:rPr>
        <w:t>长投</w:t>
      </w:r>
      <w:r>
        <w:rPr>
          <w:rFonts w:asciiTheme="minorEastAsia" w:hAnsiTheme="minorEastAsia" w:eastAsiaTheme="minorEastAsia" w:cstheme="minorEastAsia"/>
          <w:spacing w:val="-3"/>
          <w:sz w:val="24"/>
          <w:szCs w:val="24"/>
        </w:rPr>
        <w:t>标</w:t>
      </w:r>
      <w:r>
        <w:rPr>
          <w:rFonts w:asciiTheme="minorEastAsia" w:hAnsiTheme="minorEastAsia" w:eastAsiaTheme="minorEastAsia" w:cstheme="minorEastAsia"/>
          <w:spacing w:val="2"/>
          <w:sz w:val="24"/>
          <w:szCs w:val="24"/>
        </w:rPr>
        <w:t>有</w:t>
      </w:r>
      <w:r>
        <w:rPr>
          <w:rFonts w:asciiTheme="minorEastAsia" w:hAnsiTheme="minorEastAsia" w:eastAsiaTheme="minorEastAsia" w:cstheme="minorEastAsia"/>
          <w:spacing w:val="-3"/>
          <w:sz w:val="24"/>
          <w:szCs w:val="24"/>
        </w:rPr>
        <w:t>效</w:t>
      </w:r>
      <w:r>
        <w:rPr>
          <w:rFonts w:asciiTheme="minorEastAsia" w:hAnsiTheme="minorEastAsia" w:eastAsiaTheme="minorEastAsia" w:cstheme="minorEastAsia"/>
          <w:spacing w:val="2"/>
          <w:sz w:val="24"/>
          <w:szCs w:val="24"/>
        </w:rPr>
        <w:t>期</w:t>
      </w:r>
      <w:r>
        <w:rPr>
          <w:rFonts w:asciiTheme="minorEastAsia" w:hAnsiTheme="minorEastAsia" w:eastAsiaTheme="minorEastAsia" w:cstheme="minorEastAsia"/>
          <w:spacing w:val="-2"/>
          <w:sz w:val="24"/>
          <w:szCs w:val="24"/>
        </w:rPr>
        <w:t>的</w:t>
      </w:r>
      <w:r>
        <w:rPr>
          <w:rFonts w:asciiTheme="minorEastAsia" w:hAnsiTheme="minorEastAsia" w:eastAsiaTheme="minorEastAsia" w:cstheme="minorEastAsia"/>
          <w:spacing w:val="-75"/>
          <w:sz w:val="24"/>
          <w:szCs w:val="24"/>
        </w:rPr>
        <w:t>，</w:t>
      </w:r>
      <w:r>
        <w:rPr>
          <w:rFonts w:asciiTheme="minorEastAsia" w:hAnsiTheme="minorEastAsia" w:eastAsiaTheme="minorEastAsia" w:cstheme="minorEastAsia"/>
          <w:spacing w:val="2"/>
          <w:sz w:val="24"/>
          <w:szCs w:val="24"/>
        </w:rPr>
        <w:t>招</w:t>
      </w:r>
      <w:r>
        <w:rPr>
          <w:rFonts w:asciiTheme="minorEastAsia" w:hAnsiTheme="minorEastAsia" w:eastAsiaTheme="minorEastAsia" w:cstheme="minorEastAsia"/>
          <w:spacing w:val="-3"/>
          <w:sz w:val="24"/>
          <w:szCs w:val="24"/>
        </w:rPr>
        <w:t>标</w:t>
      </w:r>
      <w:r>
        <w:rPr>
          <w:rFonts w:asciiTheme="minorEastAsia" w:hAnsiTheme="minorEastAsia" w:eastAsiaTheme="minorEastAsia" w:cstheme="minorEastAsia"/>
          <w:spacing w:val="2"/>
          <w:sz w:val="24"/>
          <w:szCs w:val="24"/>
        </w:rPr>
        <w:t>人</w:t>
      </w:r>
      <w:r>
        <w:rPr>
          <w:rFonts w:asciiTheme="minorEastAsia" w:hAnsiTheme="minorEastAsia" w:eastAsiaTheme="minorEastAsia" w:cstheme="minorEastAsia"/>
          <w:sz w:val="24"/>
          <w:szCs w:val="24"/>
        </w:rPr>
        <w:t>以书</w:t>
      </w:r>
      <w:r>
        <w:rPr>
          <w:rFonts w:asciiTheme="minorEastAsia" w:hAnsiTheme="minorEastAsia" w:eastAsiaTheme="minorEastAsia" w:cstheme="minorEastAsia"/>
          <w:spacing w:val="2"/>
          <w:sz w:val="24"/>
          <w:szCs w:val="24"/>
        </w:rPr>
        <w:t>面</w:t>
      </w:r>
      <w:r>
        <w:rPr>
          <w:rFonts w:asciiTheme="minorEastAsia" w:hAnsiTheme="minorEastAsia" w:eastAsiaTheme="minorEastAsia" w:cstheme="minorEastAsia"/>
          <w:sz w:val="24"/>
          <w:szCs w:val="24"/>
        </w:rPr>
        <w:t>形式通</w:t>
      </w:r>
      <w:r>
        <w:rPr>
          <w:rFonts w:asciiTheme="minorEastAsia" w:hAnsiTheme="minorEastAsia" w:eastAsiaTheme="minorEastAsia" w:cstheme="minorEastAsia"/>
          <w:spacing w:val="3"/>
          <w:sz w:val="24"/>
          <w:szCs w:val="24"/>
        </w:rPr>
        <w:t>知</w:t>
      </w:r>
      <w:r>
        <w:rPr>
          <w:rFonts w:asciiTheme="minorEastAsia" w:hAnsiTheme="minorEastAsia" w:eastAsiaTheme="minorEastAsia" w:cstheme="minorEastAsia"/>
          <w:spacing w:val="-3"/>
          <w:sz w:val="24"/>
          <w:szCs w:val="24"/>
        </w:rPr>
        <w:t>所</w:t>
      </w:r>
      <w:r>
        <w:rPr>
          <w:rFonts w:asciiTheme="minorEastAsia" w:hAnsiTheme="minorEastAsia" w:eastAsiaTheme="minorEastAsia" w:cstheme="minorEastAsia"/>
          <w:spacing w:val="2"/>
          <w:sz w:val="24"/>
          <w:szCs w:val="24"/>
        </w:rPr>
        <w:t>有</w:t>
      </w:r>
      <w:r>
        <w:rPr>
          <w:rFonts w:asciiTheme="minorEastAsia" w:hAnsiTheme="minorEastAsia" w:eastAsiaTheme="minorEastAsia" w:cstheme="minorEastAsia"/>
          <w:spacing w:val="-3"/>
          <w:sz w:val="24"/>
          <w:szCs w:val="24"/>
        </w:rPr>
        <w:t>投</w:t>
      </w:r>
      <w:r>
        <w:rPr>
          <w:rFonts w:asciiTheme="minorEastAsia" w:hAnsiTheme="minorEastAsia" w:eastAsiaTheme="minorEastAsia" w:cstheme="minorEastAsia"/>
          <w:spacing w:val="2"/>
          <w:sz w:val="24"/>
          <w:szCs w:val="24"/>
        </w:rPr>
        <w:t>标</w:t>
      </w:r>
      <w:r>
        <w:rPr>
          <w:rFonts w:asciiTheme="minorEastAsia" w:hAnsiTheme="minorEastAsia" w:eastAsiaTheme="minorEastAsia" w:cstheme="minorEastAsia"/>
          <w:sz w:val="24"/>
          <w:szCs w:val="24"/>
        </w:rPr>
        <w:t>人延</w:t>
      </w:r>
      <w:r>
        <w:rPr>
          <w:rFonts w:asciiTheme="minorEastAsia" w:hAnsiTheme="minorEastAsia" w:eastAsiaTheme="minorEastAsia" w:cstheme="minorEastAsia"/>
          <w:spacing w:val="2"/>
          <w:sz w:val="24"/>
          <w:szCs w:val="24"/>
        </w:rPr>
        <w:t>长</w:t>
      </w:r>
      <w:r>
        <w:rPr>
          <w:rFonts w:asciiTheme="minorEastAsia" w:hAnsiTheme="minorEastAsia" w:eastAsiaTheme="minorEastAsia" w:cstheme="minorEastAsia"/>
          <w:sz w:val="24"/>
          <w:szCs w:val="24"/>
        </w:rPr>
        <w:t>投标有</w:t>
      </w:r>
      <w:r>
        <w:rPr>
          <w:rFonts w:asciiTheme="minorEastAsia" w:hAnsiTheme="minorEastAsia" w:eastAsiaTheme="minorEastAsia" w:cstheme="minorEastAsia"/>
          <w:spacing w:val="2"/>
          <w:sz w:val="24"/>
          <w:szCs w:val="24"/>
        </w:rPr>
        <w:t>效</w:t>
      </w:r>
      <w:r>
        <w:rPr>
          <w:rFonts w:asciiTheme="minorEastAsia" w:hAnsiTheme="minorEastAsia" w:eastAsiaTheme="minorEastAsia" w:cstheme="minorEastAsia"/>
          <w:sz w:val="24"/>
          <w:szCs w:val="24"/>
        </w:rPr>
        <w:t>期。</w:t>
      </w:r>
      <w:r>
        <w:rPr>
          <w:rFonts w:asciiTheme="minorEastAsia" w:hAnsiTheme="minorEastAsia" w:eastAsiaTheme="minorEastAsia" w:cstheme="minorEastAsia"/>
          <w:spacing w:val="-2"/>
          <w:sz w:val="24"/>
          <w:szCs w:val="24"/>
        </w:rPr>
        <w:t>投标人应予以书面答复，同意延长的，应相应延长其投标保证金的有效期，但不得要求或被允许修改其</w:t>
      </w:r>
      <w:r>
        <w:rPr>
          <w:rFonts w:asciiTheme="minorEastAsia" w:hAnsiTheme="minorEastAsia" w:eastAsiaTheme="minorEastAsia" w:cstheme="minorEastAsia"/>
          <w:spacing w:val="-3"/>
          <w:sz w:val="24"/>
          <w:szCs w:val="24"/>
        </w:rPr>
        <w:t>投标文件；投标人拒绝延长的，有权收回其投标保证金。</w:t>
      </w:r>
    </w:p>
    <w:p>
      <w:pPr>
        <w:pStyle w:val="8"/>
        <w:kinsoku w:val="0"/>
        <w:overflowPunct w:val="0"/>
        <w:spacing w:line="360" w:lineRule="auto"/>
        <w:rPr>
          <w:rFonts w:hint="default" w:asciiTheme="minorEastAsia" w:hAnsiTheme="minorEastAsia" w:eastAsiaTheme="minorEastAsia" w:cstheme="minorEastAsia"/>
          <w:b/>
          <w:bCs/>
          <w:spacing w:val="-2"/>
          <w:sz w:val="24"/>
          <w:szCs w:val="24"/>
        </w:rPr>
      </w:pPr>
      <w:bookmarkStart w:id="55" w:name="_Toc1791_WPSOffice_Level2"/>
      <w:r>
        <w:rPr>
          <w:rFonts w:asciiTheme="minorEastAsia" w:hAnsiTheme="minorEastAsia" w:eastAsiaTheme="minorEastAsia" w:cstheme="minorEastAsia"/>
          <w:b/>
          <w:bCs/>
          <w:spacing w:val="-1"/>
          <w:sz w:val="24"/>
          <w:szCs w:val="24"/>
        </w:rPr>
        <w:t>3.4</w:t>
      </w:r>
      <w:r>
        <w:rPr>
          <w:rFonts w:asciiTheme="minorEastAsia" w:hAnsiTheme="minorEastAsia" w:eastAsiaTheme="minorEastAsia" w:cstheme="minorEastAsia"/>
          <w:b/>
          <w:bCs/>
          <w:spacing w:val="-2"/>
          <w:sz w:val="24"/>
          <w:szCs w:val="24"/>
        </w:rPr>
        <w:t>投标保证金（本项目不适用）</w:t>
      </w:r>
      <w:bookmarkEnd w:id="55"/>
    </w:p>
    <w:p>
      <w:pPr>
        <w:pStyle w:val="14"/>
        <w:kinsoku w:val="0"/>
        <w:overflowPunct w:val="0"/>
        <w:spacing w:line="360" w:lineRule="auto"/>
        <w:ind w:right="-94" w:rightChars="-39" w:firstLine="420"/>
        <w:jc w:val="both"/>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z w:val="24"/>
          <w:szCs w:val="24"/>
        </w:rPr>
        <w:t xml:space="preserve">3.4.1 </w:t>
      </w:r>
      <w:r>
        <w:rPr>
          <w:rFonts w:asciiTheme="minorEastAsia" w:hAnsiTheme="minorEastAsia" w:eastAsiaTheme="minorEastAsia" w:cstheme="minorEastAsia"/>
          <w:spacing w:val="1"/>
          <w:sz w:val="24"/>
          <w:szCs w:val="24"/>
        </w:rPr>
        <w:t>投标人在递交投标文件的同时，应按投标人须知前附表规定的金额、形式和第六章“投标文</w:t>
      </w:r>
      <w:r>
        <w:rPr>
          <w:rFonts w:asciiTheme="minorEastAsia" w:hAnsiTheme="minorEastAsia" w:eastAsiaTheme="minorEastAsia" w:cstheme="minorEastAsia"/>
          <w:sz w:val="24"/>
          <w:szCs w:val="24"/>
        </w:rPr>
        <w:t>件格式”规定的投标保证金格式递交投标保证金，并作为其投标文件的组成部分。境内投标人以支票形式提交的投标保证金，应当从其基本账户转出并在投标文件中附上基本账户开户证明。联合体投标的，</w:t>
      </w:r>
      <w:r>
        <w:rPr>
          <w:rFonts w:asciiTheme="minorEastAsia" w:hAnsiTheme="minorEastAsia" w:eastAsiaTheme="minorEastAsia" w:cstheme="minorEastAsia"/>
          <w:spacing w:val="-2"/>
          <w:sz w:val="24"/>
          <w:szCs w:val="24"/>
        </w:rPr>
        <w:t>其投标保证金可以由牵头人递交，并应符合投标人须知前附表的</w:t>
      </w:r>
      <w:r>
        <w:rPr>
          <w:rFonts w:asciiTheme="minorEastAsia" w:hAnsiTheme="minorEastAsia" w:eastAsiaTheme="minorEastAsia" w:cstheme="minorEastAsia"/>
          <w:spacing w:val="-1"/>
          <w:sz w:val="24"/>
          <w:szCs w:val="24"/>
        </w:rPr>
        <w:t>规定。</w:t>
      </w:r>
    </w:p>
    <w:p>
      <w:pPr>
        <w:pStyle w:val="14"/>
        <w:kinsoku w:val="0"/>
        <w:overflowPunct w:val="0"/>
        <w:spacing w:line="360" w:lineRule="auto"/>
        <w:ind w:left="539" w:right="-94" w:rightChars="-39"/>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3.4.2</w:t>
      </w:r>
      <w:r>
        <w:rPr>
          <w:rFonts w:asciiTheme="minorEastAsia" w:hAnsiTheme="minorEastAsia" w:eastAsiaTheme="minorEastAsia" w:cstheme="minorEastAsia"/>
          <w:spacing w:val="-2"/>
          <w:sz w:val="24"/>
          <w:szCs w:val="24"/>
        </w:rPr>
        <w:t>投标人不按本章第</w:t>
      </w:r>
      <w:r>
        <w:rPr>
          <w:rFonts w:asciiTheme="minorEastAsia" w:hAnsiTheme="minorEastAsia" w:eastAsiaTheme="minorEastAsia" w:cstheme="minorEastAsia"/>
          <w:spacing w:val="-1"/>
          <w:sz w:val="24"/>
          <w:szCs w:val="24"/>
        </w:rPr>
        <w:t>3.4.1</w:t>
      </w:r>
      <w:r>
        <w:rPr>
          <w:rFonts w:asciiTheme="minorEastAsia" w:hAnsiTheme="minorEastAsia" w:eastAsiaTheme="minorEastAsia" w:cstheme="minorEastAsia"/>
          <w:spacing w:val="-3"/>
          <w:sz w:val="24"/>
          <w:szCs w:val="24"/>
        </w:rPr>
        <w:t>项要求提交投标保证金的，评标委员会将否决其投标。</w:t>
      </w:r>
    </w:p>
    <w:p>
      <w:pPr>
        <w:pStyle w:val="14"/>
        <w:kinsoku w:val="0"/>
        <w:overflowPunct w:val="0"/>
        <w:spacing w:line="360" w:lineRule="auto"/>
        <w:ind w:right="-94" w:rightChars="-39"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3.4.3</w:t>
      </w:r>
      <w:r>
        <w:rPr>
          <w:rFonts w:asciiTheme="minorEastAsia" w:hAnsiTheme="minorEastAsia" w:eastAsiaTheme="minorEastAsia" w:cstheme="minorEastAsia"/>
          <w:spacing w:val="3"/>
          <w:sz w:val="24"/>
          <w:szCs w:val="24"/>
        </w:rPr>
        <w:t>采购人或者采购代理机构在中标通知书发出之日起5个工作日内退还未中标人的投标保证金，</w:t>
      </w:r>
      <w:r>
        <w:rPr>
          <w:rFonts w:asciiTheme="minorEastAsia" w:hAnsiTheme="minorEastAsia" w:eastAsiaTheme="minorEastAsia" w:cstheme="minorEastAsia"/>
          <w:spacing w:val="-2"/>
          <w:sz w:val="24"/>
          <w:szCs w:val="24"/>
        </w:rPr>
        <w:t>自采购合同签订之日起5个工作日内退还中标人的投标保证金或者转为中标人的履约保证金。</w:t>
      </w:r>
    </w:p>
    <w:p>
      <w:pPr>
        <w:pStyle w:val="14"/>
        <w:kinsoku w:val="0"/>
        <w:overflowPunct w:val="0"/>
        <w:spacing w:line="360" w:lineRule="auto"/>
        <w:ind w:left="539" w:right="-94" w:rightChars="-39"/>
        <w:jc w:val="both"/>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3.4.4</w:t>
      </w:r>
      <w:r>
        <w:rPr>
          <w:rFonts w:asciiTheme="minorEastAsia" w:hAnsiTheme="minorEastAsia" w:eastAsiaTheme="minorEastAsia" w:cstheme="minorEastAsia"/>
          <w:spacing w:val="-3"/>
          <w:sz w:val="24"/>
          <w:szCs w:val="24"/>
        </w:rPr>
        <w:t>有下列情形之一的，投标保证金将不予退还：</w:t>
      </w:r>
    </w:p>
    <w:p>
      <w:pPr>
        <w:pStyle w:val="14"/>
        <w:kinsoku w:val="0"/>
        <w:overflowPunct w:val="0"/>
        <w:spacing w:line="360" w:lineRule="auto"/>
        <w:ind w:left="434" w:right="-94" w:rightChars="-39"/>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3"/>
          <w:sz w:val="24"/>
          <w:szCs w:val="24"/>
        </w:rPr>
        <w:t>（1）投标人在投标有效期内撤销投标文件；</w:t>
      </w:r>
    </w:p>
    <w:p>
      <w:pPr>
        <w:pStyle w:val="14"/>
        <w:kinsoku w:val="0"/>
        <w:overflowPunct w:val="0"/>
        <w:spacing w:line="360" w:lineRule="auto"/>
        <w:ind w:right="-94" w:rightChars="-39" w:firstLine="312"/>
        <w:jc w:val="both"/>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2"/>
          <w:sz w:val="24"/>
          <w:szCs w:val="24"/>
        </w:rPr>
        <w:t>（2）中标人在收到中标通知书后，无正当理由不与招标人订立合同，在签订合同时向招标 人提出附</w:t>
      </w:r>
      <w:r>
        <w:rPr>
          <w:rFonts w:asciiTheme="minorEastAsia" w:hAnsiTheme="minorEastAsia" w:eastAsiaTheme="minorEastAsia" w:cstheme="minorEastAsia"/>
          <w:spacing w:val="-3"/>
          <w:sz w:val="24"/>
          <w:szCs w:val="24"/>
        </w:rPr>
        <w:t>加条件，或者不按照招标文件要求提交履约保证金；</w:t>
      </w:r>
    </w:p>
    <w:p>
      <w:pPr>
        <w:pStyle w:val="14"/>
        <w:kinsoku w:val="0"/>
        <w:overflowPunct w:val="0"/>
        <w:spacing w:line="360" w:lineRule="auto"/>
        <w:ind w:left="434" w:right="-94" w:rightChars="-39"/>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3"/>
          <w:sz w:val="24"/>
          <w:szCs w:val="24"/>
        </w:rPr>
        <w:t>（3）发生投标人须知前附表规定的其他可以不予退还投标保证金的情形。</w:t>
      </w:r>
    </w:p>
    <w:p>
      <w:pPr>
        <w:pStyle w:val="14"/>
        <w:kinsoku w:val="0"/>
        <w:overflowPunct w:val="0"/>
        <w:spacing w:line="360" w:lineRule="auto"/>
        <w:ind w:left="256"/>
        <w:rPr>
          <w:rFonts w:hint="default" w:asciiTheme="minorEastAsia" w:hAnsiTheme="minorEastAsia" w:eastAsiaTheme="minorEastAsia" w:cstheme="minorEastAsia"/>
          <w:b/>
          <w:bCs/>
          <w:spacing w:val="-2"/>
          <w:sz w:val="24"/>
          <w:szCs w:val="24"/>
          <w:highlight w:val="none"/>
        </w:rPr>
      </w:pPr>
      <w:bookmarkStart w:id="56" w:name="_Toc8451_WPSOffice_Level2"/>
      <w:r>
        <w:rPr>
          <w:rFonts w:asciiTheme="minorEastAsia" w:hAnsiTheme="minorEastAsia" w:eastAsiaTheme="minorEastAsia" w:cstheme="minorEastAsia"/>
          <w:b/>
          <w:bCs/>
          <w:spacing w:val="-1"/>
          <w:sz w:val="24"/>
          <w:szCs w:val="24"/>
        </w:rPr>
        <w:t>3.5</w:t>
      </w:r>
      <w:r>
        <w:rPr>
          <w:rFonts w:hint="eastAsia" w:asciiTheme="minorEastAsia" w:hAnsiTheme="minorEastAsia" w:eastAsiaTheme="minorEastAsia" w:cstheme="minorEastAsia"/>
          <w:b/>
          <w:bCs/>
          <w:spacing w:val="-1"/>
          <w:sz w:val="24"/>
          <w:szCs w:val="24"/>
          <w:lang w:val="en-US" w:eastAsia="zh-CN"/>
        </w:rPr>
        <w:t xml:space="preserve"> </w:t>
      </w:r>
      <w:r>
        <w:rPr>
          <w:rFonts w:asciiTheme="minorEastAsia" w:hAnsiTheme="minorEastAsia" w:eastAsiaTheme="minorEastAsia" w:cstheme="minorEastAsia"/>
          <w:b/>
          <w:bCs/>
          <w:spacing w:val="-2"/>
          <w:sz w:val="24"/>
          <w:szCs w:val="24"/>
        </w:rPr>
        <w:t>资格审查资料</w:t>
      </w:r>
      <w:r>
        <w:rPr>
          <w:rFonts w:asciiTheme="minorEastAsia" w:hAnsiTheme="minorEastAsia" w:eastAsiaTheme="minorEastAsia" w:cstheme="minorEastAsia"/>
          <w:b/>
          <w:bCs/>
          <w:spacing w:val="-2"/>
          <w:sz w:val="24"/>
          <w:szCs w:val="24"/>
          <w:highlight w:val="none"/>
        </w:rPr>
        <w:t>（开标时资格审查所要求的资料均应提供原件）</w:t>
      </w:r>
      <w:bookmarkEnd w:id="56"/>
    </w:p>
    <w:p>
      <w:pPr>
        <w:tabs>
          <w:tab w:val="left" w:pos="786"/>
          <w:tab w:val="left" w:pos="900"/>
        </w:tabs>
        <w:spacing w:line="360" w:lineRule="auto"/>
        <w:ind w:firstLine="480" w:firstLineChars="200"/>
        <w:rPr>
          <w:rFonts w:ascii="宋体" w:hAnsi="宋体" w:cs="宋体"/>
          <w:color w:val="000000"/>
          <w:szCs w:val="24"/>
        </w:rPr>
      </w:pPr>
      <w:r>
        <w:rPr>
          <w:rFonts w:hint="eastAsia" w:ascii="宋体" w:hAnsi="宋体" w:cs="宋体"/>
          <w:color w:val="000000"/>
          <w:szCs w:val="24"/>
        </w:rPr>
        <w:t>依据“投标人须知前附表”中的要求按第六章投标文件格式提交相应的资格证明文件，作为投标文件的一部分，以证明其有资格进行投标和有能力履行合同。</w:t>
      </w:r>
    </w:p>
    <w:p>
      <w:pPr>
        <w:pStyle w:val="8"/>
        <w:kinsoku w:val="0"/>
        <w:overflowPunct w:val="0"/>
        <w:spacing w:line="360" w:lineRule="auto"/>
        <w:ind w:left="356"/>
        <w:rPr>
          <w:rFonts w:hint="default" w:asciiTheme="minorEastAsia" w:hAnsiTheme="minorEastAsia" w:eastAsiaTheme="minorEastAsia" w:cstheme="minorEastAsia"/>
          <w:b/>
          <w:bCs/>
          <w:spacing w:val="-2"/>
          <w:sz w:val="24"/>
          <w:szCs w:val="24"/>
        </w:rPr>
      </w:pPr>
      <w:bookmarkStart w:id="57" w:name="_Toc9917_WPSOffice_Level2"/>
      <w:r>
        <w:rPr>
          <w:rFonts w:asciiTheme="minorEastAsia" w:hAnsiTheme="minorEastAsia" w:eastAsiaTheme="minorEastAsia" w:cstheme="minorEastAsia"/>
          <w:b/>
          <w:bCs/>
          <w:spacing w:val="-1"/>
          <w:sz w:val="24"/>
          <w:szCs w:val="24"/>
        </w:rPr>
        <w:t>3.6</w:t>
      </w:r>
      <w:r>
        <w:rPr>
          <w:rFonts w:hint="eastAsia" w:asciiTheme="minorEastAsia" w:hAnsiTheme="minorEastAsia" w:eastAsiaTheme="minorEastAsia" w:cstheme="minorEastAsia"/>
          <w:b/>
          <w:bCs/>
          <w:spacing w:val="-1"/>
          <w:sz w:val="24"/>
          <w:szCs w:val="24"/>
          <w:lang w:val="en-US" w:eastAsia="zh-CN"/>
        </w:rPr>
        <w:t xml:space="preserve"> </w:t>
      </w:r>
      <w:r>
        <w:rPr>
          <w:rFonts w:asciiTheme="minorEastAsia" w:hAnsiTheme="minorEastAsia" w:eastAsiaTheme="minorEastAsia" w:cstheme="minorEastAsia"/>
          <w:b/>
          <w:bCs/>
          <w:spacing w:val="-2"/>
          <w:sz w:val="24"/>
          <w:szCs w:val="24"/>
        </w:rPr>
        <w:t>备选投标方案</w:t>
      </w:r>
      <w:bookmarkEnd w:id="57"/>
    </w:p>
    <w:p>
      <w:pPr>
        <w:pStyle w:val="14"/>
        <w:kinsoku w:val="0"/>
        <w:overflowPunct w:val="0"/>
        <w:spacing w:line="360" w:lineRule="auto"/>
        <w:ind w:left="0" w:firstLine="720" w:firstLineChars="30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3.6.1除</w:t>
      </w:r>
      <w:r>
        <w:rPr>
          <w:rFonts w:asciiTheme="minorEastAsia" w:hAnsiTheme="minorEastAsia" w:eastAsiaTheme="minorEastAsia" w:cstheme="minorEastAsia"/>
          <w:spacing w:val="-5"/>
          <w:sz w:val="24"/>
          <w:szCs w:val="24"/>
        </w:rPr>
        <w:t>投</w:t>
      </w:r>
      <w:r>
        <w:rPr>
          <w:rFonts w:asciiTheme="minorEastAsia" w:hAnsiTheme="minorEastAsia" w:eastAsiaTheme="minorEastAsia" w:cstheme="minorEastAsia"/>
          <w:sz w:val="24"/>
          <w:szCs w:val="24"/>
        </w:rPr>
        <w:t>标</w:t>
      </w:r>
      <w:r>
        <w:rPr>
          <w:rFonts w:asciiTheme="minorEastAsia" w:hAnsiTheme="minorEastAsia" w:eastAsiaTheme="minorEastAsia" w:cstheme="minorEastAsia"/>
          <w:spacing w:val="-5"/>
          <w:sz w:val="24"/>
          <w:szCs w:val="24"/>
        </w:rPr>
        <w:t>人</w:t>
      </w:r>
      <w:r>
        <w:rPr>
          <w:rFonts w:asciiTheme="minorEastAsia" w:hAnsiTheme="minorEastAsia" w:eastAsiaTheme="minorEastAsia" w:cstheme="minorEastAsia"/>
          <w:sz w:val="24"/>
          <w:szCs w:val="24"/>
        </w:rPr>
        <w:t>须</w:t>
      </w:r>
      <w:r>
        <w:rPr>
          <w:rFonts w:asciiTheme="minorEastAsia" w:hAnsiTheme="minorEastAsia" w:eastAsiaTheme="minorEastAsia" w:cstheme="minorEastAsia"/>
          <w:spacing w:val="-3"/>
          <w:sz w:val="24"/>
          <w:szCs w:val="24"/>
        </w:rPr>
        <w:t>知前</w:t>
      </w:r>
      <w:r>
        <w:rPr>
          <w:rFonts w:asciiTheme="minorEastAsia" w:hAnsiTheme="minorEastAsia" w:eastAsiaTheme="minorEastAsia" w:cstheme="minorEastAsia"/>
          <w:spacing w:val="-5"/>
          <w:sz w:val="24"/>
          <w:szCs w:val="24"/>
        </w:rPr>
        <w:t>附</w:t>
      </w:r>
      <w:r>
        <w:rPr>
          <w:rFonts w:asciiTheme="minorEastAsia" w:hAnsiTheme="minorEastAsia" w:eastAsiaTheme="minorEastAsia" w:cstheme="minorEastAsia"/>
          <w:spacing w:val="-3"/>
          <w:sz w:val="24"/>
          <w:szCs w:val="24"/>
        </w:rPr>
        <w:t>表</w:t>
      </w:r>
      <w:r>
        <w:rPr>
          <w:rFonts w:asciiTheme="minorEastAsia" w:hAnsiTheme="minorEastAsia" w:eastAsiaTheme="minorEastAsia" w:cstheme="minorEastAsia"/>
          <w:sz w:val="24"/>
          <w:szCs w:val="24"/>
        </w:rPr>
        <w:t>规</w:t>
      </w:r>
      <w:r>
        <w:rPr>
          <w:rFonts w:asciiTheme="minorEastAsia" w:hAnsiTheme="minorEastAsia" w:eastAsiaTheme="minorEastAsia" w:cstheme="minorEastAsia"/>
          <w:spacing w:val="-3"/>
          <w:sz w:val="24"/>
          <w:szCs w:val="24"/>
        </w:rPr>
        <w:t>定允</w:t>
      </w:r>
      <w:r>
        <w:rPr>
          <w:rFonts w:asciiTheme="minorEastAsia" w:hAnsiTheme="minorEastAsia" w:eastAsiaTheme="minorEastAsia" w:cstheme="minorEastAsia"/>
          <w:sz w:val="24"/>
          <w:szCs w:val="24"/>
        </w:rPr>
        <w:t>许</w:t>
      </w:r>
      <w:r>
        <w:rPr>
          <w:rFonts w:asciiTheme="minorEastAsia" w:hAnsiTheme="minorEastAsia" w:eastAsiaTheme="minorEastAsia" w:cstheme="minorEastAsia"/>
          <w:spacing w:val="-5"/>
          <w:sz w:val="24"/>
          <w:szCs w:val="24"/>
        </w:rPr>
        <w:t>外</w:t>
      </w:r>
      <w:r>
        <w:rPr>
          <w:rFonts w:asciiTheme="minorEastAsia" w:hAnsiTheme="minorEastAsia" w:eastAsiaTheme="minorEastAsia" w:cstheme="minorEastAsia"/>
          <w:spacing w:val="-39"/>
          <w:sz w:val="24"/>
          <w:szCs w:val="24"/>
        </w:rPr>
        <w:t>，</w:t>
      </w:r>
      <w:r>
        <w:rPr>
          <w:rFonts w:asciiTheme="minorEastAsia" w:hAnsiTheme="minorEastAsia" w:eastAsiaTheme="minorEastAsia" w:cstheme="minorEastAsia"/>
          <w:spacing w:val="-5"/>
          <w:sz w:val="24"/>
          <w:szCs w:val="24"/>
        </w:rPr>
        <w:t>投</w:t>
      </w:r>
      <w:r>
        <w:rPr>
          <w:rFonts w:asciiTheme="minorEastAsia" w:hAnsiTheme="minorEastAsia" w:eastAsiaTheme="minorEastAsia" w:cstheme="minorEastAsia"/>
          <w:sz w:val="24"/>
          <w:szCs w:val="24"/>
        </w:rPr>
        <w:t>标</w:t>
      </w:r>
      <w:r>
        <w:rPr>
          <w:rFonts w:asciiTheme="minorEastAsia" w:hAnsiTheme="minorEastAsia" w:eastAsiaTheme="minorEastAsia" w:cstheme="minorEastAsia"/>
          <w:spacing w:val="-3"/>
          <w:sz w:val="24"/>
          <w:szCs w:val="24"/>
        </w:rPr>
        <w:t>人不得</w:t>
      </w:r>
      <w:r>
        <w:rPr>
          <w:rFonts w:asciiTheme="minorEastAsia" w:hAnsiTheme="minorEastAsia" w:eastAsiaTheme="minorEastAsia" w:cstheme="minorEastAsia"/>
          <w:sz w:val="24"/>
          <w:szCs w:val="24"/>
        </w:rPr>
        <w:t>递</w:t>
      </w:r>
      <w:r>
        <w:rPr>
          <w:rFonts w:asciiTheme="minorEastAsia" w:hAnsiTheme="minorEastAsia" w:eastAsiaTheme="minorEastAsia" w:cstheme="minorEastAsia"/>
          <w:spacing w:val="-3"/>
          <w:sz w:val="24"/>
          <w:szCs w:val="24"/>
        </w:rPr>
        <w:t>交备</w:t>
      </w:r>
      <w:r>
        <w:rPr>
          <w:rFonts w:asciiTheme="minorEastAsia" w:hAnsiTheme="minorEastAsia" w:eastAsiaTheme="minorEastAsia" w:cstheme="minorEastAsia"/>
          <w:sz w:val="24"/>
          <w:szCs w:val="24"/>
        </w:rPr>
        <w:t>选</w:t>
      </w:r>
      <w:r>
        <w:rPr>
          <w:rFonts w:asciiTheme="minorEastAsia" w:hAnsiTheme="minorEastAsia" w:eastAsiaTheme="minorEastAsia" w:cstheme="minorEastAsia"/>
          <w:spacing w:val="-5"/>
          <w:sz w:val="24"/>
          <w:szCs w:val="24"/>
        </w:rPr>
        <w:t>投</w:t>
      </w:r>
      <w:r>
        <w:rPr>
          <w:rFonts w:asciiTheme="minorEastAsia" w:hAnsiTheme="minorEastAsia" w:eastAsiaTheme="minorEastAsia" w:cstheme="minorEastAsia"/>
          <w:sz w:val="24"/>
          <w:szCs w:val="24"/>
        </w:rPr>
        <w:t>标</w:t>
      </w:r>
      <w:r>
        <w:rPr>
          <w:rFonts w:asciiTheme="minorEastAsia" w:hAnsiTheme="minorEastAsia" w:eastAsiaTheme="minorEastAsia" w:cstheme="minorEastAsia"/>
          <w:spacing w:val="-5"/>
          <w:sz w:val="24"/>
          <w:szCs w:val="24"/>
        </w:rPr>
        <w:t>方</w:t>
      </w:r>
      <w:r>
        <w:rPr>
          <w:rFonts w:asciiTheme="minorEastAsia" w:hAnsiTheme="minorEastAsia" w:eastAsiaTheme="minorEastAsia" w:cstheme="minorEastAsia"/>
          <w:sz w:val="24"/>
          <w:szCs w:val="24"/>
        </w:rPr>
        <w:t>案</w:t>
      </w:r>
      <w:r>
        <w:rPr>
          <w:rFonts w:asciiTheme="minorEastAsia" w:hAnsiTheme="minorEastAsia" w:eastAsiaTheme="minorEastAsia" w:cstheme="minorEastAsia"/>
          <w:spacing w:val="-44"/>
          <w:sz w:val="24"/>
          <w:szCs w:val="24"/>
        </w:rPr>
        <w:t>，</w:t>
      </w:r>
      <w:r>
        <w:rPr>
          <w:rFonts w:asciiTheme="minorEastAsia" w:hAnsiTheme="minorEastAsia" w:eastAsiaTheme="minorEastAsia" w:cstheme="minorEastAsia"/>
          <w:spacing w:val="-3"/>
          <w:sz w:val="24"/>
          <w:szCs w:val="24"/>
        </w:rPr>
        <w:t>否则</w:t>
      </w:r>
      <w:r>
        <w:rPr>
          <w:rFonts w:asciiTheme="minorEastAsia" w:hAnsiTheme="minorEastAsia" w:eastAsiaTheme="minorEastAsia" w:cstheme="minorEastAsia"/>
          <w:sz w:val="24"/>
          <w:szCs w:val="24"/>
        </w:rPr>
        <w:t>其</w:t>
      </w:r>
      <w:r>
        <w:rPr>
          <w:rFonts w:asciiTheme="minorEastAsia" w:hAnsiTheme="minorEastAsia" w:eastAsiaTheme="minorEastAsia" w:cstheme="minorEastAsia"/>
          <w:spacing w:val="-3"/>
          <w:sz w:val="24"/>
          <w:szCs w:val="24"/>
        </w:rPr>
        <w:t>投标</w:t>
      </w:r>
      <w:r>
        <w:rPr>
          <w:rFonts w:asciiTheme="minorEastAsia" w:hAnsiTheme="minorEastAsia" w:eastAsiaTheme="minorEastAsia" w:cstheme="minorEastAsia"/>
          <w:sz w:val="24"/>
          <w:szCs w:val="24"/>
        </w:rPr>
        <w:t>将</w:t>
      </w:r>
      <w:r>
        <w:rPr>
          <w:rFonts w:asciiTheme="minorEastAsia" w:hAnsiTheme="minorEastAsia" w:eastAsiaTheme="minorEastAsia" w:cstheme="minorEastAsia"/>
          <w:spacing w:val="-5"/>
          <w:sz w:val="24"/>
          <w:szCs w:val="24"/>
        </w:rPr>
        <w:t>被</w:t>
      </w:r>
      <w:r>
        <w:rPr>
          <w:rFonts w:asciiTheme="minorEastAsia" w:hAnsiTheme="minorEastAsia" w:eastAsiaTheme="minorEastAsia" w:cstheme="minorEastAsia"/>
          <w:sz w:val="24"/>
          <w:szCs w:val="24"/>
        </w:rPr>
        <w:t>否</w:t>
      </w:r>
      <w:r>
        <w:rPr>
          <w:rFonts w:asciiTheme="minorEastAsia" w:hAnsiTheme="minorEastAsia" w:eastAsiaTheme="minorEastAsia" w:cstheme="minorEastAsia"/>
          <w:spacing w:val="-3"/>
          <w:sz w:val="24"/>
          <w:szCs w:val="24"/>
        </w:rPr>
        <w:t>决</w:t>
      </w:r>
      <w:r>
        <w:rPr>
          <w:rFonts w:asciiTheme="minorEastAsia" w:hAnsiTheme="minorEastAsia" w:eastAsiaTheme="minorEastAsia" w:cstheme="minorEastAsia"/>
          <w:sz w:val="24"/>
          <w:szCs w:val="24"/>
        </w:rPr>
        <w:t>。</w:t>
      </w:r>
    </w:p>
    <w:p>
      <w:pPr>
        <w:pStyle w:val="14"/>
        <w:tabs>
          <w:tab w:val="left" w:pos="1376"/>
        </w:tabs>
        <w:kinsoku w:val="0"/>
        <w:overflowPunct w:val="0"/>
        <w:spacing w:line="360" w:lineRule="auto"/>
        <w:ind w:left="219" w:right="146"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3.6.2</w:t>
      </w:r>
      <w:r>
        <w:rPr>
          <w:rFonts w:asciiTheme="minorEastAsia" w:hAnsiTheme="minorEastAsia" w:eastAsiaTheme="minorEastAsia" w:cstheme="minorEastAsia"/>
          <w:sz w:val="24"/>
          <w:szCs w:val="24"/>
        </w:rPr>
        <w:tab/>
      </w:r>
      <w:r>
        <w:rPr>
          <w:rFonts w:asciiTheme="minorEastAsia" w:hAnsiTheme="minorEastAsia" w:eastAsiaTheme="minorEastAsia" w:cstheme="minorEastAsia"/>
          <w:spacing w:val="-2"/>
          <w:sz w:val="24"/>
          <w:szCs w:val="24"/>
        </w:rPr>
        <w:t>允许投标人递交备选投标方案的，只有中标人所递交的备选投标方案方可予以考虑。</w:t>
      </w:r>
      <w:r>
        <w:rPr>
          <w:rFonts w:asciiTheme="minorEastAsia" w:hAnsiTheme="minorEastAsia" w:eastAsiaTheme="minorEastAsia" w:cstheme="minorEastAsia"/>
          <w:spacing w:val="-3"/>
          <w:sz w:val="24"/>
          <w:szCs w:val="24"/>
        </w:rPr>
        <w:t>评标</w:t>
      </w:r>
      <w:r>
        <w:rPr>
          <w:rFonts w:asciiTheme="minorEastAsia" w:hAnsiTheme="minorEastAsia" w:eastAsiaTheme="minorEastAsia" w:cstheme="minorEastAsia"/>
          <w:spacing w:val="-2"/>
          <w:sz w:val="24"/>
          <w:szCs w:val="24"/>
        </w:rPr>
        <w:t>委员会认为中标人的备选投标方案优于其按照招标文件要求编制的投标方案的，招标人可以接受该备选投标方案。</w:t>
      </w:r>
    </w:p>
    <w:p>
      <w:pPr>
        <w:pStyle w:val="14"/>
        <w:kinsoku w:val="0"/>
        <w:overflowPunct w:val="0"/>
        <w:spacing w:line="360" w:lineRule="auto"/>
        <w:ind w:left="219" w:firstLine="420"/>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3.6.3投</w:t>
      </w:r>
      <w:r>
        <w:rPr>
          <w:rFonts w:asciiTheme="minorEastAsia" w:hAnsiTheme="minorEastAsia" w:eastAsiaTheme="minorEastAsia" w:cstheme="minorEastAsia"/>
          <w:spacing w:val="-5"/>
          <w:sz w:val="24"/>
          <w:szCs w:val="24"/>
        </w:rPr>
        <w:t>标</w:t>
      </w:r>
      <w:r>
        <w:rPr>
          <w:rFonts w:asciiTheme="minorEastAsia" w:hAnsiTheme="minorEastAsia" w:eastAsiaTheme="minorEastAsia" w:cstheme="minorEastAsia"/>
          <w:sz w:val="24"/>
          <w:szCs w:val="24"/>
        </w:rPr>
        <w:t>人</w:t>
      </w:r>
      <w:r>
        <w:rPr>
          <w:rFonts w:asciiTheme="minorEastAsia" w:hAnsiTheme="minorEastAsia" w:eastAsiaTheme="minorEastAsia" w:cstheme="minorEastAsia"/>
          <w:spacing w:val="-3"/>
          <w:sz w:val="24"/>
          <w:szCs w:val="24"/>
        </w:rPr>
        <w:t>提</w:t>
      </w:r>
      <w:r>
        <w:rPr>
          <w:rFonts w:asciiTheme="minorEastAsia" w:hAnsiTheme="minorEastAsia" w:eastAsiaTheme="minorEastAsia" w:cstheme="minorEastAsia"/>
          <w:spacing w:val="-2"/>
          <w:sz w:val="24"/>
          <w:szCs w:val="24"/>
        </w:rPr>
        <w:t>供</w:t>
      </w:r>
      <w:r>
        <w:rPr>
          <w:rFonts w:asciiTheme="minorEastAsia" w:hAnsiTheme="minorEastAsia" w:eastAsiaTheme="minorEastAsia" w:cstheme="minorEastAsia"/>
          <w:spacing w:val="-3"/>
          <w:sz w:val="24"/>
          <w:szCs w:val="24"/>
        </w:rPr>
        <w:t>两</w:t>
      </w:r>
      <w:r>
        <w:rPr>
          <w:rFonts w:asciiTheme="minorEastAsia" w:hAnsiTheme="minorEastAsia" w:eastAsiaTheme="minorEastAsia" w:cstheme="minorEastAsia"/>
          <w:sz w:val="24"/>
          <w:szCs w:val="24"/>
        </w:rPr>
        <w:t>个</w:t>
      </w:r>
      <w:r>
        <w:rPr>
          <w:rFonts w:asciiTheme="minorEastAsia" w:hAnsiTheme="minorEastAsia" w:eastAsiaTheme="minorEastAsia" w:cstheme="minorEastAsia"/>
          <w:spacing w:val="-5"/>
          <w:sz w:val="24"/>
          <w:szCs w:val="24"/>
        </w:rPr>
        <w:t>或</w:t>
      </w:r>
      <w:r>
        <w:rPr>
          <w:rFonts w:asciiTheme="minorEastAsia" w:hAnsiTheme="minorEastAsia" w:eastAsiaTheme="minorEastAsia" w:cstheme="minorEastAsia"/>
          <w:spacing w:val="-3"/>
          <w:sz w:val="24"/>
          <w:szCs w:val="24"/>
        </w:rPr>
        <w:t>两</w:t>
      </w:r>
      <w:r>
        <w:rPr>
          <w:rFonts w:asciiTheme="minorEastAsia" w:hAnsiTheme="minorEastAsia" w:eastAsiaTheme="minorEastAsia" w:cstheme="minorEastAsia"/>
          <w:sz w:val="24"/>
          <w:szCs w:val="24"/>
        </w:rPr>
        <w:t>个</w:t>
      </w:r>
      <w:r>
        <w:rPr>
          <w:rFonts w:asciiTheme="minorEastAsia" w:hAnsiTheme="minorEastAsia" w:eastAsiaTheme="minorEastAsia" w:cstheme="minorEastAsia"/>
          <w:spacing w:val="-3"/>
          <w:sz w:val="24"/>
          <w:szCs w:val="24"/>
        </w:rPr>
        <w:t>以上</w:t>
      </w:r>
      <w:r>
        <w:rPr>
          <w:rFonts w:asciiTheme="minorEastAsia" w:hAnsiTheme="minorEastAsia" w:eastAsiaTheme="minorEastAsia" w:cstheme="minorEastAsia"/>
          <w:sz w:val="24"/>
          <w:szCs w:val="24"/>
        </w:rPr>
        <w:t>投</w:t>
      </w:r>
      <w:r>
        <w:rPr>
          <w:rFonts w:asciiTheme="minorEastAsia" w:hAnsiTheme="minorEastAsia" w:eastAsiaTheme="minorEastAsia" w:cstheme="minorEastAsia"/>
          <w:spacing w:val="-5"/>
          <w:sz w:val="24"/>
          <w:szCs w:val="24"/>
        </w:rPr>
        <w:t>标</w:t>
      </w:r>
      <w:r>
        <w:rPr>
          <w:rFonts w:asciiTheme="minorEastAsia" w:hAnsiTheme="minorEastAsia" w:eastAsiaTheme="minorEastAsia" w:cstheme="minorEastAsia"/>
          <w:sz w:val="24"/>
          <w:szCs w:val="24"/>
        </w:rPr>
        <w:t>报</w:t>
      </w:r>
      <w:r>
        <w:rPr>
          <w:rFonts w:asciiTheme="minorEastAsia" w:hAnsiTheme="minorEastAsia" w:eastAsiaTheme="minorEastAsia" w:cstheme="minorEastAsia"/>
          <w:spacing w:val="-2"/>
          <w:sz w:val="24"/>
          <w:szCs w:val="24"/>
        </w:rPr>
        <w:t>价</w:t>
      </w:r>
      <w:r>
        <w:rPr>
          <w:rFonts w:asciiTheme="minorEastAsia" w:hAnsiTheme="minorEastAsia" w:eastAsiaTheme="minorEastAsia" w:cstheme="minorEastAsia"/>
          <w:spacing w:val="-41"/>
          <w:sz w:val="24"/>
          <w:szCs w:val="24"/>
        </w:rPr>
        <w:t>，</w:t>
      </w:r>
      <w:r>
        <w:rPr>
          <w:rFonts w:asciiTheme="minorEastAsia" w:hAnsiTheme="minorEastAsia" w:eastAsiaTheme="minorEastAsia" w:cstheme="minorEastAsia"/>
          <w:spacing w:val="-3"/>
          <w:sz w:val="24"/>
          <w:szCs w:val="24"/>
        </w:rPr>
        <w:t>或者在</w:t>
      </w:r>
      <w:r>
        <w:rPr>
          <w:rFonts w:asciiTheme="minorEastAsia" w:hAnsiTheme="minorEastAsia" w:eastAsiaTheme="minorEastAsia" w:cstheme="minorEastAsia"/>
          <w:sz w:val="24"/>
          <w:szCs w:val="24"/>
        </w:rPr>
        <w:t>投</w:t>
      </w:r>
      <w:r>
        <w:rPr>
          <w:rFonts w:asciiTheme="minorEastAsia" w:hAnsiTheme="minorEastAsia" w:eastAsiaTheme="minorEastAsia" w:cstheme="minorEastAsia"/>
          <w:spacing w:val="-3"/>
          <w:sz w:val="24"/>
          <w:szCs w:val="24"/>
        </w:rPr>
        <w:t>标文</w:t>
      </w:r>
      <w:r>
        <w:rPr>
          <w:rFonts w:asciiTheme="minorEastAsia" w:hAnsiTheme="minorEastAsia" w:eastAsiaTheme="minorEastAsia" w:cstheme="minorEastAsia"/>
          <w:sz w:val="24"/>
          <w:szCs w:val="24"/>
        </w:rPr>
        <w:t>件</w:t>
      </w:r>
      <w:r>
        <w:rPr>
          <w:rFonts w:asciiTheme="minorEastAsia" w:hAnsiTheme="minorEastAsia" w:eastAsiaTheme="minorEastAsia" w:cstheme="minorEastAsia"/>
          <w:spacing w:val="-5"/>
          <w:sz w:val="24"/>
          <w:szCs w:val="24"/>
        </w:rPr>
        <w:t>中</w:t>
      </w:r>
      <w:r>
        <w:rPr>
          <w:rFonts w:asciiTheme="minorEastAsia" w:hAnsiTheme="minorEastAsia" w:eastAsiaTheme="minorEastAsia" w:cstheme="minorEastAsia"/>
          <w:sz w:val="24"/>
          <w:szCs w:val="24"/>
        </w:rPr>
        <w:t>提</w:t>
      </w:r>
      <w:r>
        <w:rPr>
          <w:rFonts w:asciiTheme="minorEastAsia" w:hAnsiTheme="minorEastAsia" w:eastAsiaTheme="minorEastAsia" w:cstheme="minorEastAsia"/>
          <w:spacing w:val="-5"/>
          <w:sz w:val="24"/>
          <w:szCs w:val="24"/>
        </w:rPr>
        <w:t>供</w:t>
      </w:r>
      <w:r>
        <w:rPr>
          <w:rFonts w:asciiTheme="minorEastAsia" w:hAnsiTheme="minorEastAsia" w:eastAsiaTheme="minorEastAsia" w:cstheme="minorEastAsia"/>
          <w:sz w:val="24"/>
          <w:szCs w:val="24"/>
        </w:rPr>
        <w:t>一</w:t>
      </w:r>
      <w:r>
        <w:rPr>
          <w:rFonts w:asciiTheme="minorEastAsia" w:hAnsiTheme="minorEastAsia" w:eastAsiaTheme="minorEastAsia" w:cstheme="minorEastAsia"/>
          <w:spacing w:val="-3"/>
          <w:sz w:val="24"/>
          <w:szCs w:val="24"/>
        </w:rPr>
        <w:t>个报价</w:t>
      </w:r>
      <w:r>
        <w:rPr>
          <w:rFonts w:asciiTheme="minorEastAsia" w:hAnsiTheme="minorEastAsia" w:eastAsiaTheme="minorEastAsia" w:cstheme="minorEastAsia"/>
          <w:spacing w:val="-39"/>
          <w:sz w:val="24"/>
          <w:szCs w:val="24"/>
        </w:rPr>
        <w:t>，</w:t>
      </w:r>
      <w:r>
        <w:rPr>
          <w:rFonts w:asciiTheme="minorEastAsia" w:hAnsiTheme="minorEastAsia" w:eastAsiaTheme="minorEastAsia" w:cstheme="minorEastAsia"/>
          <w:sz w:val="24"/>
          <w:szCs w:val="24"/>
        </w:rPr>
        <w:t>但</w:t>
      </w:r>
      <w:r>
        <w:rPr>
          <w:rFonts w:asciiTheme="minorEastAsia" w:hAnsiTheme="minorEastAsia" w:eastAsiaTheme="minorEastAsia" w:cstheme="minorEastAsia"/>
          <w:spacing w:val="-5"/>
          <w:sz w:val="24"/>
          <w:szCs w:val="24"/>
        </w:rPr>
        <w:t>同</w:t>
      </w:r>
      <w:r>
        <w:rPr>
          <w:rFonts w:asciiTheme="minorEastAsia" w:hAnsiTheme="minorEastAsia" w:eastAsiaTheme="minorEastAsia" w:cstheme="minorEastAsia"/>
          <w:sz w:val="24"/>
          <w:szCs w:val="24"/>
        </w:rPr>
        <w:t>时</w:t>
      </w:r>
      <w:r>
        <w:rPr>
          <w:rFonts w:asciiTheme="minorEastAsia" w:hAnsiTheme="minorEastAsia" w:eastAsiaTheme="minorEastAsia" w:cstheme="minorEastAsia"/>
          <w:spacing w:val="-5"/>
          <w:sz w:val="24"/>
          <w:szCs w:val="24"/>
        </w:rPr>
        <w:t>提</w:t>
      </w:r>
      <w:r>
        <w:rPr>
          <w:rFonts w:asciiTheme="minorEastAsia" w:hAnsiTheme="minorEastAsia" w:eastAsiaTheme="minorEastAsia" w:cstheme="minorEastAsia"/>
          <w:sz w:val="24"/>
          <w:szCs w:val="24"/>
        </w:rPr>
        <w:t>供</w:t>
      </w:r>
      <w:r>
        <w:rPr>
          <w:rFonts w:asciiTheme="minorEastAsia" w:hAnsiTheme="minorEastAsia" w:eastAsiaTheme="minorEastAsia" w:cstheme="minorEastAsia"/>
          <w:spacing w:val="-3"/>
          <w:sz w:val="24"/>
          <w:szCs w:val="24"/>
        </w:rPr>
        <w:t>两</w:t>
      </w:r>
      <w:r>
        <w:rPr>
          <w:rFonts w:asciiTheme="minorEastAsia" w:hAnsiTheme="minorEastAsia" w:eastAsiaTheme="minorEastAsia" w:cstheme="minorEastAsia"/>
          <w:spacing w:val="-2"/>
          <w:sz w:val="24"/>
          <w:szCs w:val="24"/>
        </w:rPr>
        <w:t>个</w:t>
      </w:r>
      <w:r>
        <w:rPr>
          <w:rFonts w:asciiTheme="minorEastAsia" w:hAnsiTheme="minorEastAsia" w:eastAsiaTheme="minorEastAsia" w:cstheme="minorEastAsia"/>
          <w:sz w:val="24"/>
          <w:szCs w:val="24"/>
        </w:rPr>
        <w:t>或</w:t>
      </w:r>
      <w:r>
        <w:rPr>
          <w:rFonts w:asciiTheme="minorEastAsia" w:hAnsiTheme="minorEastAsia" w:eastAsiaTheme="minorEastAsia" w:cstheme="minorEastAsia"/>
          <w:spacing w:val="-3"/>
          <w:sz w:val="24"/>
          <w:szCs w:val="24"/>
        </w:rPr>
        <w:t>两个以上供货方案的，视为提供备选方案。</w:t>
      </w:r>
    </w:p>
    <w:p>
      <w:pPr>
        <w:numPr>
          <w:ilvl w:val="0"/>
          <w:numId w:val="0"/>
        </w:numPr>
        <w:tabs>
          <w:tab w:val="left" w:pos="1904"/>
        </w:tabs>
        <w:spacing w:line="360" w:lineRule="auto"/>
        <w:ind w:leftChars="0"/>
        <w:rPr>
          <w:rFonts w:asciiTheme="minorEastAsia" w:hAnsiTheme="minorEastAsia" w:eastAsiaTheme="minorEastAsia"/>
          <w:b/>
          <w:sz w:val="24"/>
        </w:rPr>
      </w:pPr>
      <w:bookmarkStart w:id="58" w:name="_Toc20849_WPSOffice_Level2"/>
      <w:r>
        <w:rPr>
          <w:rFonts w:asciiTheme="minorEastAsia" w:hAnsiTheme="minorEastAsia" w:eastAsiaTheme="minorEastAsia" w:cstheme="minorEastAsia"/>
          <w:b/>
          <w:bCs/>
          <w:spacing w:val="-1"/>
          <w:sz w:val="24"/>
          <w:szCs w:val="24"/>
        </w:rPr>
        <w:t>3.7</w:t>
      </w:r>
      <w:r>
        <w:rPr>
          <w:rFonts w:asciiTheme="minorEastAsia" w:hAnsiTheme="minorEastAsia" w:eastAsiaTheme="minorEastAsia" w:cstheme="minorEastAsia"/>
          <w:b/>
          <w:bCs/>
          <w:spacing w:val="-2"/>
          <w:sz w:val="24"/>
          <w:szCs w:val="24"/>
        </w:rPr>
        <w:t>投标文件的</w:t>
      </w:r>
      <w:r>
        <w:rPr>
          <w:rFonts w:hint="eastAsia" w:asciiTheme="minorEastAsia" w:hAnsiTheme="minorEastAsia" w:eastAsiaTheme="minorEastAsia"/>
          <w:b/>
          <w:sz w:val="24"/>
        </w:rPr>
        <w:t>投标语言</w:t>
      </w:r>
    </w:p>
    <w:p>
      <w:pPr>
        <w:pStyle w:val="14"/>
        <w:spacing w:line="360" w:lineRule="auto"/>
        <w:ind w:left="100" w:right="214" w:firstLine="419"/>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3.7.1</w:t>
      </w:r>
      <w:r>
        <w:rPr>
          <w:rFonts w:asciiTheme="minorEastAsia" w:hAnsiTheme="minorEastAsia" w:eastAsiaTheme="minorEastAsia"/>
          <w:sz w:val="24"/>
          <w:highlight w:val="none"/>
        </w:rPr>
        <w:t xml:space="preserve"> </w:t>
      </w:r>
      <w:r>
        <w:rPr>
          <w:rFonts w:asciiTheme="minorEastAsia" w:hAnsiTheme="minorEastAsia" w:eastAsiaTheme="minorEastAsia"/>
          <w:spacing w:val="-3"/>
          <w:sz w:val="24"/>
          <w:highlight w:val="none"/>
        </w:rPr>
        <w:t>投标文件应按第六章</w:t>
      </w:r>
      <w:r>
        <w:rPr>
          <w:rFonts w:asciiTheme="minorEastAsia" w:hAnsiTheme="minorEastAsia" w:eastAsiaTheme="minorEastAsia"/>
          <w:i/>
          <w:spacing w:val="-3"/>
          <w:sz w:val="24"/>
          <w:highlight w:val="none"/>
        </w:rPr>
        <w:t>“</w:t>
      </w:r>
      <w:r>
        <w:rPr>
          <w:rFonts w:asciiTheme="minorEastAsia" w:hAnsiTheme="minorEastAsia" w:eastAsiaTheme="minorEastAsia"/>
          <w:spacing w:val="-3"/>
          <w:sz w:val="24"/>
          <w:highlight w:val="none"/>
        </w:rPr>
        <w:t>投标文件格式</w:t>
      </w:r>
      <w:r>
        <w:rPr>
          <w:rFonts w:asciiTheme="minorEastAsia" w:hAnsiTheme="minorEastAsia" w:eastAsiaTheme="minorEastAsia"/>
          <w:i/>
          <w:spacing w:val="-3"/>
          <w:sz w:val="24"/>
          <w:highlight w:val="none"/>
        </w:rPr>
        <w:t>”</w:t>
      </w:r>
      <w:r>
        <w:rPr>
          <w:rFonts w:asciiTheme="minorEastAsia" w:hAnsiTheme="minorEastAsia" w:eastAsiaTheme="minorEastAsia"/>
          <w:spacing w:val="-3"/>
          <w:sz w:val="24"/>
          <w:highlight w:val="none"/>
        </w:rPr>
        <w:t>进行编写，如有必要，可以增加附页，作为投标</w:t>
      </w:r>
      <w:r>
        <w:rPr>
          <w:rFonts w:asciiTheme="minorEastAsia" w:hAnsiTheme="minorEastAsia" w:eastAsiaTheme="minorEastAsia"/>
          <w:sz w:val="24"/>
          <w:highlight w:val="none"/>
        </w:rPr>
        <w:t>文件的组成部分。</w:t>
      </w:r>
    </w:p>
    <w:p>
      <w:pPr>
        <w:pStyle w:val="14"/>
        <w:spacing w:line="360" w:lineRule="auto"/>
        <w:ind w:left="100" w:right="214" w:firstLine="419"/>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3.7</w:t>
      </w:r>
      <w:r>
        <w:rPr>
          <w:rFonts w:asciiTheme="minorEastAsia" w:hAnsiTheme="minorEastAsia" w:eastAsiaTheme="minorEastAsia"/>
          <w:sz w:val="24"/>
          <w:highlight w:val="none"/>
        </w:rPr>
        <w:t xml:space="preserve">.2 </w:t>
      </w:r>
      <w:r>
        <w:rPr>
          <w:rFonts w:asciiTheme="minorEastAsia" w:hAnsiTheme="minorEastAsia" w:eastAsiaTheme="minorEastAsia"/>
          <w:spacing w:val="-4"/>
          <w:sz w:val="24"/>
          <w:highlight w:val="none"/>
        </w:rPr>
        <w:t>投标文件应当对招标文件有关供货期、投标有效期、供货要求、招标范围等实质性内</w:t>
      </w:r>
      <w:r>
        <w:rPr>
          <w:rFonts w:asciiTheme="minorEastAsia" w:hAnsiTheme="minorEastAsia" w:eastAsiaTheme="minorEastAsia"/>
          <w:spacing w:val="-1"/>
          <w:sz w:val="24"/>
          <w:highlight w:val="none"/>
        </w:rPr>
        <w:t>容作出响应。投标文件在满足招标文件实质性要求的基础上，可以提出比招标文件要求更有利</w:t>
      </w:r>
      <w:r>
        <w:rPr>
          <w:rFonts w:asciiTheme="minorEastAsia" w:hAnsiTheme="minorEastAsia" w:eastAsiaTheme="minorEastAsia"/>
          <w:sz w:val="24"/>
          <w:highlight w:val="none"/>
        </w:rPr>
        <w:t>于招标人的承诺。</w:t>
      </w:r>
    </w:p>
    <w:p>
      <w:pPr>
        <w:pStyle w:val="14"/>
        <w:spacing w:line="360" w:lineRule="auto"/>
        <w:ind w:left="100" w:right="212" w:firstLine="419"/>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3.7</w:t>
      </w:r>
      <w:r>
        <w:rPr>
          <w:rFonts w:asciiTheme="minorEastAsia" w:hAnsiTheme="minorEastAsia" w:eastAsiaTheme="minorEastAsia"/>
          <w:sz w:val="24"/>
          <w:highlight w:val="none"/>
        </w:rPr>
        <w:t>.3</w:t>
      </w:r>
      <w:r>
        <w:rPr>
          <w:rFonts w:asciiTheme="minorEastAsia" w:hAnsiTheme="minorEastAsia" w:eastAsiaTheme="minorEastAsia"/>
          <w:spacing w:val="2"/>
          <w:sz w:val="24"/>
          <w:highlight w:val="none"/>
        </w:rPr>
        <w:t>（</w:t>
      </w:r>
      <w:r>
        <w:rPr>
          <w:rFonts w:asciiTheme="minorEastAsia" w:hAnsiTheme="minorEastAsia" w:eastAsiaTheme="minorEastAsia"/>
          <w:sz w:val="24"/>
          <w:highlight w:val="none"/>
        </w:rPr>
        <w:t>1</w:t>
      </w:r>
      <w:r>
        <w:rPr>
          <w:rFonts w:asciiTheme="minorEastAsia" w:hAnsiTheme="minorEastAsia" w:eastAsiaTheme="minorEastAsia"/>
          <w:spacing w:val="2"/>
          <w:sz w:val="24"/>
          <w:highlight w:val="none"/>
        </w:rPr>
        <w:t>）</w:t>
      </w:r>
      <w:r>
        <w:rPr>
          <w:rFonts w:hint="eastAsia" w:asciiTheme="minorEastAsia" w:hAnsiTheme="minorEastAsia" w:eastAsiaTheme="minorEastAsia"/>
          <w:spacing w:val="2"/>
          <w:sz w:val="24"/>
          <w:highlight w:val="none"/>
        </w:rPr>
        <w:t>纸质</w:t>
      </w:r>
      <w:r>
        <w:rPr>
          <w:rFonts w:asciiTheme="minorEastAsia" w:hAnsiTheme="minorEastAsia" w:eastAsiaTheme="minorEastAsia"/>
          <w:sz w:val="24"/>
          <w:highlight w:val="none"/>
        </w:rPr>
        <w:t>投标</w:t>
      </w:r>
      <w:r>
        <w:rPr>
          <w:rFonts w:asciiTheme="minorEastAsia" w:hAnsiTheme="minorEastAsia" w:eastAsiaTheme="minorEastAsia"/>
          <w:spacing w:val="2"/>
          <w:sz w:val="24"/>
          <w:highlight w:val="none"/>
        </w:rPr>
        <w:t>文</w:t>
      </w:r>
      <w:r>
        <w:rPr>
          <w:rFonts w:asciiTheme="minorEastAsia" w:hAnsiTheme="minorEastAsia" w:eastAsiaTheme="minorEastAsia"/>
          <w:sz w:val="24"/>
          <w:highlight w:val="none"/>
        </w:rPr>
        <w:t>件</w:t>
      </w:r>
      <w:r>
        <w:rPr>
          <w:rFonts w:asciiTheme="minorEastAsia" w:hAnsiTheme="minorEastAsia" w:eastAsiaTheme="minorEastAsia"/>
          <w:spacing w:val="2"/>
          <w:sz w:val="24"/>
          <w:highlight w:val="none"/>
        </w:rPr>
        <w:t>应</w:t>
      </w:r>
      <w:r>
        <w:rPr>
          <w:rFonts w:asciiTheme="minorEastAsia" w:hAnsiTheme="minorEastAsia" w:eastAsiaTheme="minorEastAsia"/>
          <w:sz w:val="24"/>
          <w:highlight w:val="none"/>
        </w:rPr>
        <w:t>用</w:t>
      </w:r>
      <w:r>
        <w:rPr>
          <w:rFonts w:asciiTheme="minorEastAsia" w:hAnsiTheme="minorEastAsia" w:eastAsiaTheme="minorEastAsia"/>
          <w:spacing w:val="2"/>
          <w:sz w:val="24"/>
          <w:highlight w:val="none"/>
        </w:rPr>
        <w:t>不</w:t>
      </w:r>
      <w:r>
        <w:rPr>
          <w:rFonts w:asciiTheme="minorEastAsia" w:hAnsiTheme="minorEastAsia" w:eastAsiaTheme="minorEastAsia"/>
          <w:sz w:val="24"/>
          <w:highlight w:val="none"/>
        </w:rPr>
        <w:t>褪</w:t>
      </w:r>
      <w:r>
        <w:rPr>
          <w:rFonts w:asciiTheme="minorEastAsia" w:hAnsiTheme="minorEastAsia" w:eastAsiaTheme="minorEastAsia"/>
          <w:spacing w:val="2"/>
          <w:sz w:val="24"/>
          <w:highlight w:val="none"/>
        </w:rPr>
        <w:t>色</w:t>
      </w:r>
      <w:r>
        <w:rPr>
          <w:rFonts w:asciiTheme="minorEastAsia" w:hAnsiTheme="minorEastAsia" w:eastAsiaTheme="minorEastAsia"/>
          <w:sz w:val="24"/>
          <w:highlight w:val="none"/>
        </w:rPr>
        <w:t>的</w:t>
      </w:r>
      <w:r>
        <w:rPr>
          <w:rFonts w:asciiTheme="minorEastAsia" w:hAnsiTheme="minorEastAsia" w:eastAsiaTheme="minorEastAsia"/>
          <w:spacing w:val="2"/>
          <w:sz w:val="24"/>
          <w:highlight w:val="none"/>
        </w:rPr>
        <w:t>材</w:t>
      </w:r>
      <w:r>
        <w:rPr>
          <w:rFonts w:asciiTheme="minorEastAsia" w:hAnsiTheme="minorEastAsia" w:eastAsiaTheme="minorEastAsia"/>
          <w:sz w:val="24"/>
          <w:highlight w:val="none"/>
        </w:rPr>
        <w:t>料</w:t>
      </w:r>
      <w:r>
        <w:rPr>
          <w:rFonts w:asciiTheme="minorEastAsia" w:hAnsiTheme="minorEastAsia" w:eastAsiaTheme="minorEastAsia"/>
          <w:spacing w:val="2"/>
          <w:sz w:val="24"/>
          <w:highlight w:val="none"/>
        </w:rPr>
        <w:t>书</w:t>
      </w:r>
      <w:r>
        <w:rPr>
          <w:rFonts w:asciiTheme="minorEastAsia" w:hAnsiTheme="minorEastAsia" w:eastAsiaTheme="minorEastAsia"/>
          <w:sz w:val="24"/>
          <w:highlight w:val="none"/>
        </w:rPr>
        <w:t>写或</w:t>
      </w:r>
      <w:r>
        <w:rPr>
          <w:rFonts w:asciiTheme="minorEastAsia" w:hAnsiTheme="minorEastAsia" w:eastAsiaTheme="minorEastAsia"/>
          <w:spacing w:val="2"/>
          <w:sz w:val="24"/>
          <w:highlight w:val="none"/>
        </w:rPr>
        <w:t>打</w:t>
      </w:r>
      <w:r>
        <w:rPr>
          <w:rFonts w:asciiTheme="minorEastAsia" w:hAnsiTheme="minorEastAsia" w:eastAsiaTheme="minorEastAsia"/>
          <w:sz w:val="24"/>
          <w:highlight w:val="none"/>
        </w:rPr>
        <w:t>印</w:t>
      </w:r>
      <w:r>
        <w:rPr>
          <w:rFonts w:asciiTheme="minorEastAsia" w:hAnsiTheme="minorEastAsia" w:eastAsiaTheme="minorEastAsia"/>
          <w:spacing w:val="2"/>
          <w:sz w:val="24"/>
          <w:highlight w:val="none"/>
        </w:rPr>
        <w:t>，</w:t>
      </w:r>
      <w:r>
        <w:rPr>
          <w:rFonts w:asciiTheme="minorEastAsia" w:hAnsiTheme="minorEastAsia" w:eastAsiaTheme="minorEastAsia"/>
          <w:sz w:val="24"/>
          <w:highlight w:val="none"/>
        </w:rPr>
        <w:t>投</w:t>
      </w:r>
      <w:r>
        <w:rPr>
          <w:rFonts w:asciiTheme="minorEastAsia" w:hAnsiTheme="minorEastAsia" w:eastAsiaTheme="minorEastAsia"/>
          <w:spacing w:val="2"/>
          <w:sz w:val="24"/>
          <w:highlight w:val="none"/>
        </w:rPr>
        <w:t>标</w:t>
      </w:r>
      <w:r>
        <w:rPr>
          <w:rFonts w:asciiTheme="minorEastAsia" w:hAnsiTheme="minorEastAsia" w:eastAsiaTheme="minorEastAsia"/>
          <w:sz w:val="24"/>
          <w:highlight w:val="none"/>
        </w:rPr>
        <w:t>函</w:t>
      </w:r>
      <w:r>
        <w:rPr>
          <w:rFonts w:asciiTheme="minorEastAsia" w:hAnsiTheme="minorEastAsia" w:eastAsiaTheme="minorEastAsia"/>
          <w:spacing w:val="2"/>
          <w:sz w:val="24"/>
          <w:highlight w:val="none"/>
        </w:rPr>
        <w:t>及</w:t>
      </w:r>
      <w:r>
        <w:rPr>
          <w:rFonts w:asciiTheme="minorEastAsia" w:hAnsiTheme="minorEastAsia" w:eastAsiaTheme="minorEastAsia"/>
          <w:sz w:val="24"/>
          <w:highlight w:val="none"/>
        </w:rPr>
        <w:t>对</w:t>
      </w:r>
      <w:r>
        <w:rPr>
          <w:rFonts w:asciiTheme="minorEastAsia" w:hAnsiTheme="minorEastAsia" w:eastAsiaTheme="minorEastAsia"/>
          <w:spacing w:val="2"/>
          <w:sz w:val="24"/>
          <w:highlight w:val="none"/>
        </w:rPr>
        <w:t>投</w:t>
      </w:r>
      <w:r>
        <w:rPr>
          <w:rFonts w:asciiTheme="minorEastAsia" w:hAnsiTheme="minorEastAsia" w:eastAsiaTheme="minorEastAsia"/>
          <w:sz w:val="24"/>
          <w:highlight w:val="none"/>
        </w:rPr>
        <w:t>标文</w:t>
      </w:r>
      <w:r>
        <w:rPr>
          <w:rFonts w:asciiTheme="minorEastAsia" w:hAnsiTheme="minorEastAsia" w:eastAsiaTheme="minorEastAsia"/>
          <w:spacing w:val="2"/>
          <w:sz w:val="24"/>
          <w:highlight w:val="none"/>
        </w:rPr>
        <w:t>件</w:t>
      </w:r>
      <w:r>
        <w:rPr>
          <w:rFonts w:asciiTheme="minorEastAsia" w:hAnsiTheme="minorEastAsia" w:eastAsiaTheme="minorEastAsia"/>
          <w:sz w:val="24"/>
          <w:highlight w:val="none"/>
        </w:rPr>
        <w:t>的</w:t>
      </w:r>
      <w:r>
        <w:rPr>
          <w:rFonts w:asciiTheme="minorEastAsia" w:hAnsiTheme="minorEastAsia" w:eastAsiaTheme="minorEastAsia"/>
          <w:spacing w:val="2"/>
          <w:sz w:val="24"/>
          <w:highlight w:val="none"/>
        </w:rPr>
        <w:t>澄</w:t>
      </w:r>
      <w:r>
        <w:rPr>
          <w:rFonts w:asciiTheme="minorEastAsia" w:hAnsiTheme="minorEastAsia" w:eastAsiaTheme="minorEastAsia"/>
          <w:spacing w:val="5"/>
          <w:sz w:val="24"/>
          <w:highlight w:val="none"/>
        </w:rPr>
        <w:t>清</w:t>
      </w:r>
      <w:r>
        <w:rPr>
          <w:rFonts w:asciiTheme="minorEastAsia" w:hAnsiTheme="minorEastAsia" w:eastAsiaTheme="minorEastAsia"/>
          <w:spacing w:val="2"/>
          <w:sz w:val="24"/>
          <w:highlight w:val="none"/>
        </w:rPr>
        <w:t>、</w:t>
      </w:r>
      <w:r>
        <w:rPr>
          <w:rFonts w:asciiTheme="minorEastAsia" w:hAnsiTheme="minorEastAsia" w:eastAsiaTheme="minorEastAsia"/>
          <w:sz w:val="24"/>
          <w:highlight w:val="none"/>
        </w:rPr>
        <w:t>说</w:t>
      </w:r>
      <w:r>
        <w:rPr>
          <w:rFonts w:asciiTheme="minorEastAsia" w:hAnsiTheme="minorEastAsia" w:eastAsiaTheme="minorEastAsia"/>
          <w:spacing w:val="-1"/>
          <w:sz w:val="24"/>
          <w:highlight w:val="none"/>
        </w:rPr>
        <w:t>明和补正应由投标人的法定代表人（单位负责人）或其授权的代理人签字或盖单位章。由投标人的法定代表人（单位负责人）签字的，应附法定代表人（单位负责人）身份证明，由代理人</w:t>
      </w:r>
      <w:r>
        <w:rPr>
          <w:rFonts w:asciiTheme="minorEastAsia" w:hAnsiTheme="minorEastAsia" w:eastAsiaTheme="minorEastAsia"/>
          <w:sz w:val="24"/>
          <w:highlight w:val="none"/>
        </w:rPr>
        <w:t>签字的，应附授权委托书，身份证明或授权委托书应符合第六章</w:t>
      </w:r>
      <w:r>
        <w:rPr>
          <w:rFonts w:asciiTheme="minorEastAsia" w:hAnsiTheme="minorEastAsia" w:eastAsiaTheme="minorEastAsia"/>
          <w:i/>
          <w:sz w:val="24"/>
          <w:highlight w:val="none"/>
        </w:rPr>
        <w:t>“</w:t>
      </w:r>
      <w:r>
        <w:rPr>
          <w:rFonts w:asciiTheme="minorEastAsia" w:hAnsiTheme="minorEastAsia" w:eastAsiaTheme="minorEastAsia"/>
          <w:sz w:val="24"/>
          <w:highlight w:val="none"/>
        </w:rPr>
        <w:t>投标文件格式</w:t>
      </w:r>
      <w:r>
        <w:rPr>
          <w:rFonts w:asciiTheme="minorEastAsia" w:hAnsiTheme="minorEastAsia" w:eastAsiaTheme="minorEastAsia"/>
          <w:i/>
          <w:sz w:val="24"/>
          <w:highlight w:val="none"/>
        </w:rPr>
        <w:t>”</w:t>
      </w:r>
      <w:r>
        <w:rPr>
          <w:rFonts w:asciiTheme="minorEastAsia" w:hAnsiTheme="minorEastAsia" w:eastAsiaTheme="minorEastAsia"/>
          <w:sz w:val="24"/>
          <w:highlight w:val="none"/>
        </w:rPr>
        <w:t>的要求。投标</w:t>
      </w:r>
      <w:r>
        <w:rPr>
          <w:rFonts w:asciiTheme="minorEastAsia" w:hAnsiTheme="minorEastAsia" w:eastAsiaTheme="minorEastAsia"/>
          <w:spacing w:val="-1"/>
          <w:sz w:val="24"/>
          <w:highlight w:val="none"/>
        </w:rPr>
        <w:t xml:space="preserve">文件应尽量避免涂改、行间插字或删除。如果出现上述情况，改动之处应由投标人的法定代表 </w:t>
      </w:r>
      <w:r>
        <w:rPr>
          <w:rFonts w:asciiTheme="minorEastAsia" w:hAnsiTheme="minorEastAsia" w:eastAsiaTheme="minorEastAsia"/>
          <w:sz w:val="24"/>
          <w:highlight w:val="none"/>
        </w:rPr>
        <w:t>人（单位负责人）或其授权的代理人签字或盖单位章。</w:t>
      </w:r>
    </w:p>
    <w:p>
      <w:pPr>
        <w:pStyle w:val="14"/>
        <w:spacing w:line="360" w:lineRule="auto"/>
        <w:ind w:left="100" w:right="213" w:firstLine="419"/>
        <w:rPr>
          <w:rFonts w:asciiTheme="minorEastAsia" w:hAnsiTheme="minorEastAsia" w:eastAsiaTheme="minorEastAsia"/>
          <w:w w:val="95"/>
          <w:sz w:val="24"/>
          <w:highlight w:val="none"/>
        </w:rPr>
      </w:pPr>
      <w:r>
        <w:rPr>
          <w:rFonts w:asciiTheme="minorEastAsia" w:hAnsiTheme="minorEastAsia" w:eastAsiaTheme="minorEastAsia"/>
          <w:spacing w:val="-4"/>
          <w:sz w:val="24"/>
          <w:highlight w:val="none"/>
        </w:rPr>
        <w:t>（2）投标文件正本</w:t>
      </w:r>
      <w:r>
        <w:rPr>
          <w:rFonts w:hint="eastAsia" w:asciiTheme="minorEastAsia" w:hAnsiTheme="minorEastAsia" w:eastAsiaTheme="minorEastAsia"/>
          <w:spacing w:val="-4"/>
          <w:sz w:val="24"/>
          <w:highlight w:val="none"/>
          <w:lang w:eastAsia="zh-CN"/>
        </w:rPr>
        <w:t>壹</w:t>
      </w:r>
      <w:r>
        <w:rPr>
          <w:rFonts w:asciiTheme="minorEastAsia" w:hAnsiTheme="minorEastAsia" w:eastAsiaTheme="minorEastAsia"/>
          <w:spacing w:val="-4"/>
          <w:sz w:val="24"/>
          <w:highlight w:val="none"/>
        </w:rPr>
        <w:t>份，副本</w:t>
      </w:r>
      <w:r>
        <w:rPr>
          <w:rFonts w:hint="eastAsia" w:asciiTheme="minorEastAsia" w:hAnsiTheme="minorEastAsia" w:eastAsiaTheme="minorEastAsia"/>
          <w:spacing w:val="-4"/>
          <w:sz w:val="24"/>
          <w:highlight w:val="none"/>
        </w:rPr>
        <w:t>肆</w:t>
      </w:r>
      <w:r>
        <w:rPr>
          <w:rFonts w:asciiTheme="minorEastAsia" w:hAnsiTheme="minorEastAsia" w:eastAsiaTheme="minorEastAsia"/>
          <w:spacing w:val="-4"/>
          <w:sz w:val="24"/>
          <w:highlight w:val="none"/>
        </w:rPr>
        <w:t>份。正本和副本的封面右上角上应清</w:t>
      </w:r>
      <w:r>
        <w:rPr>
          <w:rFonts w:asciiTheme="minorEastAsia" w:hAnsiTheme="minorEastAsia" w:eastAsiaTheme="minorEastAsia"/>
          <w:w w:val="95"/>
          <w:sz w:val="24"/>
          <w:highlight w:val="none"/>
        </w:rPr>
        <w:t>楚地标记</w:t>
      </w:r>
      <w:r>
        <w:rPr>
          <w:rFonts w:asciiTheme="minorEastAsia" w:hAnsiTheme="minorEastAsia" w:eastAsiaTheme="minorEastAsia"/>
          <w:i/>
          <w:w w:val="95"/>
          <w:sz w:val="24"/>
          <w:highlight w:val="none"/>
        </w:rPr>
        <w:t>“</w:t>
      </w:r>
      <w:r>
        <w:rPr>
          <w:rFonts w:asciiTheme="minorEastAsia" w:hAnsiTheme="minorEastAsia" w:eastAsiaTheme="minorEastAsia"/>
          <w:w w:val="95"/>
          <w:sz w:val="24"/>
          <w:highlight w:val="none"/>
        </w:rPr>
        <w:t>正本</w:t>
      </w:r>
      <w:r>
        <w:rPr>
          <w:rFonts w:asciiTheme="minorEastAsia" w:hAnsiTheme="minorEastAsia" w:eastAsiaTheme="minorEastAsia"/>
          <w:i/>
          <w:w w:val="95"/>
          <w:sz w:val="24"/>
          <w:highlight w:val="none"/>
        </w:rPr>
        <w:t>”</w:t>
      </w:r>
      <w:r>
        <w:rPr>
          <w:rFonts w:asciiTheme="minorEastAsia" w:hAnsiTheme="minorEastAsia" w:eastAsiaTheme="minorEastAsia"/>
          <w:w w:val="95"/>
          <w:sz w:val="24"/>
          <w:highlight w:val="none"/>
        </w:rPr>
        <w:t>或</w:t>
      </w:r>
      <w:r>
        <w:rPr>
          <w:rFonts w:asciiTheme="minorEastAsia" w:hAnsiTheme="minorEastAsia" w:eastAsiaTheme="minorEastAsia"/>
          <w:i/>
          <w:w w:val="95"/>
          <w:sz w:val="24"/>
          <w:highlight w:val="none"/>
        </w:rPr>
        <w:t>“</w:t>
      </w:r>
      <w:r>
        <w:rPr>
          <w:rFonts w:asciiTheme="minorEastAsia" w:hAnsiTheme="minorEastAsia" w:eastAsiaTheme="minorEastAsia"/>
          <w:w w:val="95"/>
          <w:sz w:val="24"/>
          <w:highlight w:val="none"/>
        </w:rPr>
        <w:t>副本</w:t>
      </w:r>
      <w:r>
        <w:rPr>
          <w:rFonts w:asciiTheme="minorEastAsia" w:hAnsiTheme="minorEastAsia" w:eastAsiaTheme="minorEastAsia"/>
          <w:i/>
          <w:w w:val="95"/>
          <w:sz w:val="24"/>
          <w:highlight w:val="none"/>
        </w:rPr>
        <w:t>”</w:t>
      </w:r>
      <w:r>
        <w:rPr>
          <w:rFonts w:asciiTheme="minorEastAsia" w:hAnsiTheme="minorEastAsia" w:eastAsiaTheme="minorEastAsia"/>
          <w:w w:val="95"/>
          <w:sz w:val="24"/>
          <w:highlight w:val="none"/>
        </w:rPr>
        <w:t>的字样。投标人应根据投标人须知前附表要求提供电子版文件。当副</w:t>
      </w:r>
      <w:r>
        <w:rPr>
          <w:rFonts w:asciiTheme="minorEastAsia" w:hAnsiTheme="minorEastAsia" w:eastAsiaTheme="minorEastAsia"/>
          <w:sz w:val="24"/>
          <w:highlight w:val="none"/>
        </w:rPr>
        <w:t>本和正本不一致时，以正本文件为准。</w:t>
      </w:r>
    </w:p>
    <w:p>
      <w:pPr>
        <w:spacing w:line="360" w:lineRule="auto"/>
        <w:ind w:firstLine="480" w:firstLineChars="200"/>
        <w:rPr>
          <w:rFonts w:asciiTheme="minorEastAsia" w:hAnsiTheme="minorEastAsia" w:eastAsiaTheme="minorEastAsia"/>
          <w:spacing w:val="-4"/>
          <w:sz w:val="24"/>
          <w:highlight w:val="none"/>
        </w:rPr>
      </w:pPr>
      <w:r>
        <w:rPr>
          <w:rFonts w:asciiTheme="minorEastAsia" w:hAnsiTheme="minorEastAsia" w:eastAsiaTheme="minorEastAsia"/>
          <w:sz w:val="24"/>
          <w:highlight w:val="none"/>
        </w:rPr>
        <w:t>（3）</w:t>
      </w:r>
      <w:r>
        <w:rPr>
          <w:rFonts w:asciiTheme="minorEastAsia" w:hAnsiTheme="minorEastAsia" w:eastAsiaTheme="minorEastAsia"/>
          <w:spacing w:val="-4"/>
          <w:sz w:val="24"/>
          <w:highlight w:val="none"/>
        </w:rPr>
        <w:t>投标文件的正本与副本应分别装订，并编制目录，</w:t>
      </w:r>
      <w:r>
        <w:rPr>
          <w:rFonts w:hint="eastAsia" w:asciiTheme="minorEastAsia" w:hAnsiTheme="minorEastAsia" w:eastAsiaTheme="minorEastAsia"/>
          <w:spacing w:val="-4"/>
          <w:sz w:val="24"/>
          <w:highlight w:val="none"/>
        </w:rPr>
        <w:t>且应包装在一起，加贴封条，并在封套的封口处加盖投标人单位章。</w:t>
      </w:r>
    </w:p>
    <w:p>
      <w:pPr>
        <w:tabs>
          <w:tab w:val="left" w:pos="540"/>
          <w:tab w:val="left" w:pos="1904"/>
        </w:tabs>
        <w:spacing w:line="360" w:lineRule="auto"/>
        <w:ind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电子版投标文件</w:t>
      </w:r>
      <w:r>
        <w:rPr>
          <w:rFonts w:asciiTheme="minorEastAsia" w:hAnsiTheme="minorEastAsia" w:eastAsiaTheme="minorEastAsia"/>
          <w:sz w:val="24"/>
          <w:highlight w:val="none"/>
        </w:rPr>
        <w:t>，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14"/>
        <w:spacing w:line="360" w:lineRule="auto"/>
        <w:ind w:right="21" w:firstLine="120" w:firstLineChars="50"/>
        <w:rPr>
          <w:rFonts w:cs="宋体"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3.7.4</w:t>
      </w:r>
      <w:r>
        <w:rPr>
          <w:rFonts w:hint="eastAsia" w:asciiTheme="minorEastAsia" w:hAnsiTheme="minorEastAsia" w:eastAsiaTheme="minorEastAsia"/>
          <w:sz w:val="24"/>
          <w:highlight w:val="none"/>
        </w:rPr>
        <w:t xml:space="preserve">  </w:t>
      </w:r>
      <w:r>
        <w:rPr>
          <w:rFonts w:hint="eastAsia" w:cs="宋体" w:asciiTheme="minorEastAsia" w:hAnsiTheme="minorEastAsia" w:eastAsiaTheme="minorEastAsia"/>
          <w:sz w:val="24"/>
          <w:highlight w:val="none"/>
        </w:rPr>
        <w:t>投标文件的制作</w:t>
      </w:r>
    </w:p>
    <w:p>
      <w:pPr>
        <w:autoSpaceDE w:val="0"/>
        <w:autoSpaceDN w:val="0"/>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一、电子投标文件递交</w:t>
      </w:r>
    </w:p>
    <w:p>
      <w:pPr>
        <w:autoSpaceDE w:val="0"/>
        <w:autoSpaceDN w:val="0"/>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投标人应在规定的投标截止时间前完成投标文件的递交。电子投标文件（格式为:.tbdat），投标人上传时必须得到系统“上传成功”的确认回复，并认真检查电子投标文件是否完整、正确。未在投标截止时间前完成上传或送达的，视为逾期送达。逾期上传的投标文件，招标人不予受理。递交网址：http://139.9.119.230:18082/HMROOT/</w:t>
      </w:r>
    </w:p>
    <w:p>
      <w:pPr>
        <w:autoSpaceDE w:val="0"/>
        <w:autoSpaceDN w:val="0"/>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二、备份电子投标文件的提交</w:t>
      </w:r>
    </w:p>
    <w:p>
      <w:pPr>
        <w:autoSpaceDE w:val="0"/>
        <w:autoSpaceDN w:val="0"/>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（1）电子版备份文件应将《公共资源交易平台投标文件制作系统》生成的电子版文件压缩后放入U盘。</w:t>
      </w:r>
    </w:p>
    <w:p>
      <w:pPr>
        <w:autoSpaceDE w:val="0"/>
        <w:autoSpaceDN w:val="0"/>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（2）上述U盘应单独密封，外包封上须显示“投标人名称、项目名称，在年月  日  时</w:t>
      </w:r>
      <w:r>
        <w:rPr>
          <w:rFonts w:hint="eastAsia" w:ascii="宋体" w:hAnsi="宋体" w:cs="宋体"/>
          <w:sz w:val="24"/>
          <w:highlight w:val="none"/>
          <w:lang w:eastAsia="zh-CN"/>
        </w:rPr>
        <w:t>分</w:t>
      </w:r>
      <w:r>
        <w:rPr>
          <w:rFonts w:hint="eastAsia" w:ascii="宋体" w:hAnsi="宋体" w:cs="宋体"/>
          <w:sz w:val="24"/>
          <w:highlight w:val="none"/>
        </w:rPr>
        <w:t>前不得开启”。</w:t>
      </w:r>
    </w:p>
    <w:p>
      <w:pPr>
        <w:pStyle w:val="14"/>
        <w:spacing w:line="360" w:lineRule="auto"/>
        <w:ind w:firstLine="480" w:firstLineChars="200"/>
        <w:rPr>
          <w:rFonts w:asciiTheme="minorEastAsia" w:hAnsiTheme="minorEastAsia" w:eastAsiaTheme="minorEastAsia"/>
          <w:sz w:val="24"/>
          <w:highlight w:val="yellow"/>
        </w:rPr>
      </w:pPr>
      <w:r>
        <w:rPr>
          <w:rFonts w:hint="eastAsia" w:ascii="宋体" w:hAnsi="宋体" w:cs="宋体"/>
          <w:sz w:val="24"/>
          <w:highlight w:val="none"/>
        </w:rPr>
        <w:t>（3）上述U盘外包封应加盖单位公章及法定代表人或委托代理人签名，在开标时递交。</w:t>
      </w:r>
    </w:p>
    <w:bookmarkEnd w:id="58"/>
    <w:p>
      <w:pPr>
        <w:bidi w:val="0"/>
        <w:rPr>
          <w:rFonts w:hint="default"/>
        </w:rPr>
      </w:pPr>
    </w:p>
    <w:p>
      <w:pPr>
        <w:pStyle w:val="4"/>
        <w:kinsoku w:val="0"/>
        <w:overflowPunct w:val="0"/>
        <w:spacing w:line="360" w:lineRule="auto"/>
        <w:ind w:left="5"/>
        <w:jc w:val="center"/>
        <w:rPr>
          <w:rFonts w:hint="default" w:asciiTheme="minorEastAsia" w:hAnsiTheme="minorEastAsia" w:eastAsiaTheme="minorEastAsia" w:cstheme="minorEastAsia"/>
          <w:b w:val="0"/>
          <w:sz w:val="30"/>
          <w:szCs w:val="30"/>
        </w:rPr>
      </w:pPr>
      <w:bookmarkStart w:id="59" w:name="bookmark7"/>
      <w:bookmarkEnd w:id="59"/>
      <w:r>
        <w:rPr>
          <w:rFonts w:asciiTheme="minorEastAsia" w:hAnsiTheme="minorEastAsia" w:eastAsiaTheme="minorEastAsia" w:cstheme="minorEastAsia"/>
          <w:sz w:val="30"/>
          <w:szCs w:val="30"/>
        </w:rPr>
        <w:t>4.</w:t>
      </w:r>
      <w:r>
        <w:rPr>
          <w:rFonts w:asciiTheme="minorEastAsia" w:hAnsiTheme="minorEastAsia" w:eastAsiaTheme="minorEastAsia" w:cstheme="minorEastAsia"/>
          <w:spacing w:val="4"/>
          <w:sz w:val="30"/>
          <w:szCs w:val="30"/>
        </w:rPr>
        <w:t>投标</w:t>
      </w:r>
    </w:p>
    <w:p>
      <w:pPr>
        <w:pStyle w:val="8"/>
        <w:kinsoku w:val="0"/>
        <w:overflowPunct w:val="0"/>
        <w:spacing w:line="360" w:lineRule="auto"/>
        <w:ind w:left="356"/>
        <w:rPr>
          <w:rFonts w:hint="default" w:asciiTheme="minorEastAsia" w:hAnsiTheme="minorEastAsia" w:eastAsiaTheme="minorEastAsia" w:cstheme="minorEastAsia"/>
          <w:b/>
          <w:bCs/>
          <w:spacing w:val="-2"/>
          <w:sz w:val="24"/>
          <w:szCs w:val="24"/>
        </w:rPr>
      </w:pPr>
      <w:bookmarkStart w:id="60" w:name="_Toc14361_WPSOffice_Level2"/>
      <w:r>
        <w:rPr>
          <w:rFonts w:asciiTheme="minorEastAsia" w:hAnsiTheme="minorEastAsia" w:eastAsiaTheme="minorEastAsia" w:cstheme="minorEastAsia"/>
          <w:b/>
          <w:bCs/>
          <w:spacing w:val="-1"/>
          <w:sz w:val="24"/>
          <w:szCs w:val="24"/>
        </w:rPr>
        <w:t>4.1</w:t>
      </w:r>
      <w:r>
        <w:rPr>
          <w:rFonts w:asciiTheme="minorEastAsia" w:hAnsiTheme="minorEastAsia" w:eastAsiaTheme="minorEastAsia" w:cstheme="minorEastAsia"/>
          <w:b/>
          <w:bCs/>
          <w:spacing w:val="-2"/>
          <w:sz w:val="24"/>
          <w:szCs w:val="24"/>
        </w:rPr>
        <w:t>投标文件的密封和标记</w:t>
      </w:r>
      <w:bookmarkEnd w:id="60"/>
    </w:p>
    <w:p>
      <w:pPr>
        <w:pStyle w:val="14"/>
        <w:kinsoku w:val="0"/>
        <w:overflowPunct w:val="0"/>
        <w:spacing w:line="360" w:lineRule="auto"/>
        <w:ind w:left="6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 xml:space="preserve">4.1.1 </w:t>
      </w:r>
      <w:r>
        <w:rPr>
          <w:rFonts w:asciiTheme="minorEastAsia" w:hAnsiTheme="minorEastAsia" w:eastAsiaTheme="minorEastAsia" w:cstheme="minorEastAsia"/>
          <w:spacing w:val="1"/>
          <w:sz w:val="24"/>
          <w:szCs w:val="24"/>
        </w:rPr>
        <w:t>投标文件应密封包装，并在封套的封口处加盖投标人单位章或由投标人的法定代表人</w:t>
      </w:r>
      <w:r>
        <w:rPr>
          <w:rFonts w:asciiTheme="minorEastAsia" w:hAnsiTheme="minorEastAsia" w:eastAsiaTheme="minorEastAsia" w:cstheme="minorEastAsia"/>
          <w:spacing w:val="-2"/>
          <w:sz w:val="24"/>
          <w:szCs w:val="24"/>
        </w:rPr>
        <w:t>（单位负责人）或其授权的代理人签字。</w:t>
      </w:r>
    </w:p>
    <w:p>
      <w:pPr>
        <w:pStyle w:val="14"/>
        <w:kinsoku w:val="0"/>
        <w:overflowPunct w:val="0"/>
        <w:spacing w:line="360" w:lineRule="auto"/>
        <w:ind w:left="6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4.1.2</w:t>
      </w:r>
      <w:r>
        <w:rPr>
          <w:rFonts w:asciiTheme="minorEastAsia" w:hAnsiTheme="minorEastAsia" w:eastAsiaTheme="minorEastAsia" w:cstheme="minorEastAsia"/>
          <w:spacing w:val="-3"/>
          <w:sz w:val="24"/>
          <w:szCs w:val="24"/>
        </w:rPr>
        <w:t>投标文件封套上应写明的内容见投标人须知前附表。</w:t>
      </w:r>
    </w:p>
    <w:p>
      <w:pPr>
        <w:pStyle w:val="14"/>
        <w:kinsoku w:val="0"/>
        <w:overflowPunct w:val="0"/>
        <w:spacing w:line="360" w:lineRule="auto"/>
        <w:ind w:left="6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4.1.3</w:t>
      </w:r>
      <w:r>
        <w:rPr>
          <w:rFonts w:asciiTheme="minorEastAsia" w:hAnsiTheme="minorEastAsia" w:eastAsiaTheme="minorEastAsia" w:cstheme="minorEastAsia"/>
          <w:spacing w:val="-2"/>
          <w:sz w:val="24"/>
          <w:szCs w:val="24"/>
        </w:rPr>
        <w:t>未按本章</w:t>
      </w:r>
      <w:r>
        <w:rPr>
          <w:rFonts w:asciiTheme="minorEastAsia" w:hAnsiTheme="minorEastAsia" w:eastAsiaTheme="minorEastAsia" w:cstheme="minorEastAsia"/>
          <w:spacing w:val="-3"/>
          <w:sz w:val="24"/>
          <w:szCs w:val="24"/>
        </w:rPr>
        <w:t>要求密封的投标文件，招标人将予以拒收。</w:t>
      </w:r>
    </w:p>
    <w:p>
      <w:pPr>
        <w:pStyle w:val="8"/>
        <w:kinsoku w:val="0"/>
        <w:overflowPunct w:val="0"/>
        <w:spacing w:line="360" w:lineRule="auto"/>
        <w:rPr>
          <w:rFonts w:hint="default" w:asciiTheme="minorEastAsia" w:hAnsiTheme="minorEastAsia" w:eastAsiaTheme="minorEastAsia" w:cstheme="minorEastAsia"/>
          <w:b/>
          <w:bCs/>
          <w:sz w:val="24"/>
          <w:szCs w:val="24"/>
        </w:rPr>
      </w:pPr>
      <w:bookmarkStart w:id="61" w:name="_Toc16516_WPSOffice_Level2"/>
      <w:r>
        <w:rPr>
          <w:rFonts w:asciiTheme="minorEastAsia" w:hAnsiTheme="minorEastAsia" w:eastAsiaTheme="minorEastAsia" w:cstheme="minorEastAsia"/>
          <w:b/>
          <w:bCs/>
          <w:spacing w:val="-1"/>
          <w:sz w:val="24"/>
          <w:szCs w:val="24"/>
        </w:rPr>
        <w:t>4.2</w:t>
      </w:r>
      <w:r>
        <w:rPr>
          <w:rFonts w:asciiTheme="minorEastAsia" w:hAnsiTheme="minorEastAsia" w:eastAsiaTheme="minorEastAsia" w:cstheme="minorEastAsia"/>
          <w:b/>
          <w:bCs/>
          <w:spacing w:val="-2"/>
          <w:sz w:val="24"/>
          <w:szCs w:val="24"/>
        </w:rPr>
        <w:t>投标文件的递交</w:t>
      </w:r>
      <w:bookmarkEnd w:id="61"/>
    </w:p>
    <w:p>
      <w:pPr>
        <w:numPr>
          <w:ilvl w:val="0"/>
          <w:numId w:val="0"/>
        </w:numPr>
        <w:tabs>
          <w:tab w:val="left" w:pos="720"/>
        </w:tabs>
        <w:spacing w:line="360" w:lineRule="auto"/>
        <w:ind w:leftChars="0" w:firstLine="241" w:firstLineChars="100"/>
        <w:rPr>
          <w:rFonts w:asciiTheme="minorEastAsia" w:hAnsiTheme="minorEastAsia" w:eastAsiaTheme="minorEastAsia"/>
          <w:b/>
          <w:sz w:val="24"/>
        </w:rPr>
      </w:pPr>
      <w:bookmarkStart w:id="62" w:name="_Toc24587_WPSOffice_Level2"/>
      <w:r>
        <w:rPr>
          <w:rFonts w:hint="eastAsia" w:asciiTheme="minorEastAsia" w:hAnsiTheme="minorEastAsia" w:eastAsiaTheme="minorEastAsia"/>
          <w:b/>
          <w:sz w:val="24"/>
          <w:lang w:val="en-US" w:eastAsia="zh-CN"/>
        </w:rPr>
        <w:t>4.2.1</w:t>
      </w:r>
      <w:r>
        <w:rPr>
          <w:rFonts w:hint="eastAsia" w:asciiTheme="minorEastAsia" w:hAnsiTheme="minorEastAsia" w:eastAsiaTheme="minorEastAsia"/>
          <w:b/>
          <w:sz w:val="24"/>
        </w:rPr>
        <w:t>备份纸质投标文件的密封和标记</w:t>
      </w:r>
    </w:p>
    <w:p>
      <w:pPr>
        <w:keepNext w:val="0"/>
        <w:keepLines w:val="0"/>
        <w:pageBreakBefore w:val="0"/>
        <w:widowControl w:val="0"/>
        <w:numPr>
          <w:ilvl w:val="0"/>
          <w:numId w:val="0"/>
        </w:numPr>
        <w:tabs>
          <w:tab w:val="left" w:pos="720"/>
        </w:tabs>
        <w:kinsoku/>
        <w:wordWrap/>
        <w:overflowPunct/>
        <w:topLinePunct w:val="0"/>
        <w:autoSpaceDE w:val="0"/>
        <w:autoSpaceDN w:val="0"/>
        <w:bidi w:val="0"/>
        <w:adjustRightInd w:val="0"/>
        <w:snapToGrid/>
        <w:spacing w:line="360" w:lineRule="auto"/>
        <w:ind w:left="0" w:leftChars="0" w:firstLine="472" w:firstLineChars="200"/>
        <w:textAlignment w:val="auto"/>
        <w:rPr>
          <w:rFonts w:hint="eastAsia" w:asciiTheme="minorEastAsia" w:hAnsiTheme="minorEastAsia" w:eastAsiaTheme="minorEastAsia" w:cstheme="minorEastAsia"/>
          <w:spacing w:val="-2"/>
          <w:sz w:val="24"/>
          <w:szCs w:val="24"/>
          <w:lang w:val="en-US" w:eastAsia="zh-CN" w:bidi="ar-SA"/>
        </w:rPr>
      </w:pPr>
      <w:r>
        <w:rPr>
          <w:rFonts w:hint="eastAsia" w:asciiTheme="minorEastAsia" w:hAnsiTheme="minorEastAsia" w:eastAsiaTheme="minorEastAsia" w:cstheme="minorEastAsia"/>
          <w:spacing w:val="-2"/>
          <w:sz w:val="24"/>
          <w:szCs w:val="24"/>
          <w:lang w:val="en-US" w:eastAsia="zh-CN" w:bidi="ar-SA"/>
        </w:rPr>
        <w:t>4.2.1.1 投标文件的装订要求：规范打印，A4幅面左侧无线胶装，不得采用活页夹。必须有总目录、页码严格对应、按序连续逐页编码。</w:t>
      </w:r>
    </w:p>
    <w:p>
      <w:pPr>
        <w:keepNext w:val="0"/>
        <w:keepLines w:val="0"/>
        <w:pageBreakBefore w:val="0"/>
        <w:widowControl w:val="0"/>
        <w:numPr>
          <w:ilvl w:val="0"/>
          <w:numId w:val="0"/>
        </w:numPr>
        <w:tabs>
          <w:tab w:val="left" w:pos="720"/>
        </w:tabs>
        <w:kinsoku/>
        <w:wordWrap/>
        <w:overflowPunct/>
        <w:topLinePunct w:val="0"/>
        <w:autoSpaceDE w:val="0"/>
        <w:autoSpaceDN w:val="0"/>
        <w:bidi w:val="0"/>
        <w:adjustRightInd w:val="0"/>
        <w:snapToGrid/>
        <w:spacing w:line="360" w:lineRule="auto"/>
        <w:ind w:left="0" w:leftChars="0" w:firstLine="472" w:firstLineChars="200"/>
        <w:textAlignment w:val="auto"/>
        <w:rPr>
          <w:rFonts w:hint="eastAsia" w:asciiTheme="minorEastAsia" w:hAnsiTheme="minorEastAsia" w:eastAsiaTheme="minorEastAsia" w:cstheme="minorEastAsia"/>
          <w:spacing w:val="-2"/>
          <w:sz w:val="24"/>
          <w:szCs w:val="24"/>
          <w:lang w:val="en-US" w:eastAsia="zh-CN" w:bidi="ar-SA"/>
        </w:rPr>
      </w:pPr>
      <w:r>
        <w:rPr>
          <w:rFonts w:hint="eastAsia" w:asciiTheme="minorEastAsia" w:hAnsiTheme="minorEastAsia" w:eastAsiaTheme="minorEastAsia" w:cstheme="minorEastAsia"/>
          <w:spacing w:val="-2"/>
          <w:sz w:val="24"/>
          <w:szCs w:val="24"/>
          <w:lang w:val="en-US" w:eastAsia="zh-CN" w:bidi="ar-SA"/>
        </w:rPr>
        <w:t>4.2.1.2 纸质文件递交信封袋均应：</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spacing w:line="360" w:lineRule="auto"/>
        <w:ind w:left="0" w:leftChars="0" w:firstLine="472" w:firstLineChars="200"/>
        <w:textAlignment w:val="auto"/>
        <w:rPr>
          <w:rFonts w:hint="eastAsia" w:asciiTheme="minorEastAsia" w:hAnsiTheme="minorEastAsia" w:eastAsiaTheme="minorEastAsia" w:cstheme="minorEastAsia"/>
          <w:spacing w:val="-2"/>
          <w:sz w:val="24"/>
          <w:szCs w:val="24"/>
          <w:lang w:val="en-US" w:eastAsia="zh-CN" w:bidi="ar-SA"/>
        </w:rPr>
      </w:pPr>
      <w:r>
        <w:rPr>
          <w:rFonts w:hint="eastAsia" w:asciiTheme="minorEastAsia" w:hAnsiTheme="minorEastAsia" w:eastAsiaTheme="minorEastAsia" w:cstheme="minorEastAsia"/>
          <w:spacing w:val="-2"/>
          <w:sz w:val="24"/>
          <w:szCs w:val="24"/>
          <w:lang w:val="en-US" w:eastAsia="zh-CN" w:bidi="ar-SA"/>
        </w:rPr>
        <w:t>（1）标明递交至“招标项目资料表”中载明的地址。</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spacing w:line="360" w:lineRule="auto"/>
        <w:ind w:left="0" w:leftChars="0"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注明“招标项目资料表”中载明的项目名称、项目编号、正本、副本及“在年月日时</w:t>
      </w:r>
      <w:r>
        <w:rPr>
          <w:rFonts w:hint="eastAsia" w:asciiTheme="minorEastAsia" w:hAnsiTheme="minorEastAsia" w:eastAsiaTheme="minorEastAsia"/>
          <w:sz w:val="24"/>
          <w:lang w:eastAsia="zh-CN"/>
        </w:rPr>
        <w:t>分</w:t>
      </w:r>
      <w:r>
        <w:rPr>
          <w:rFonts w:hint="eastAsia" w:asciiTheme="minorEastAsia" w:hAnsiTheme="minorEastAsia" w:eastAsiaTheme="minorEastAsia"/>
          <w:sz w:val="24"/>
        </w:rPr>
        <w:t>前不得启封”字样，在后面注明本招标文件规定的开标日期和时间。</w:t>
      </w:r>
    </w:p>
    <w:p>
      <w:pPr>
        <w:keepNext w:val="0"/>
        <w:keepLines w:val="0"/>
        <w:pageBreakBefore w:val="0"/>
        <w:widowControl w:val="0"/>
        <w:numPr>
          <w:ilvl w:val="0"/>
          <w:numId w:val="0"/>
        </w:numPr>
        <w:tabs>
          <w:tab w:val="left" w:pos="1260"/>
        </w:tabs>
        <w:kinsoku/>
        <w:wordWrap/>
        <w:overflowPunct/>
        <w:topLinePunct w:val="0"/>
        <w:autoSpaceDE w:val="0"/>
        <w:autoSpaceDN w:val="0"/>
        <w:bidi w:val="0"/>
        <w:adjustRightInd w:val="0"/>
        <w:snapToGrid/>
        <w:spacing w:line="360" w:lineRule="auto"/>
        <w:ind w:left="0" w:leftChars="0"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写明投标人的名称。</w:t>
      </w:r>
    </w:p>
    <w:p>
      <w:pPr>
        <w:keepNext w:val="0"/>
        <w:keepLines w:val="0"/>
        <w:pageBreakBefore w:val="0"/>
        <w:widowControl w:val="0"/>
        <w:numPr>
          <w:ilvl w:val="0"/>
          <w:numId w:val="0"/>
        </w:numPr>
        <w:tabs>
          <w:tab w:val="left" w:pos="720"/>
        </w:tabs>
        <w:kinsoku/>
        <w:wordWrap/>
        <w:overflowPunct/>
        <w:topLinePunct w:val="0"/>
        <w:autoSpaceDE w:val="0"/>
        <w:autoSpaceDN w:val="0"/>
        <w:bidi w:val="0"/>
        <w:adjustRightInd w:val="0"/>
        <w:snapToGrid/>
        <w:spacing w:line="360" w:lineRule="auto"/>
        <w:ind w:left="0" w:leftChars="0"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 xml:space="preserve">4.2.1.3 </w:t>
      </w:r>
      <w:r>
        <w:rPr>
          <w:rFonts w:hint="eastAsia" w:asciiTheme="minorEastAsia" w:hAnsiTheme="minorEastAsia" w:eastAsiaTheme="minorEastAsia"/>
          <w:sz w:val="24"/>
        </w:rPr>
        <w:t>如果封袋上未按要求密封和加写标记，招标人和招标代理机构对误投或过早启封概不负责。招标代理机构拒收未成册和未按以上要求封装的投标文件。</w:t>
      </w:r>
    </w:p>
    <w:p>
      <w:pPr>
        <w:keepNext w:val="0"/>
        <w:keepLines w:val="0"/>
        <w:pageBreakBefore w:val="0"/>
        <w:widowControl w:val="0"/>
        <w:numPr>
          <w:ilvl w:val="0"/>
          <w:numId w:val="0"/>
        </w:numPr>
        <w:tabs>
          <w:tab w:val="left" w:pos="720"/>
        </w:tabs>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 xml:space="preserve">4.2.1.4 </w:t>
      </w:r>
      <w:r>
        <w:rPr>
          <w:rFonts w:hint="eastAsia" w:asciiTheme="minorEastAsia" w:hAnsiTheme="minorEastAsia" w:eastAsiaTheme="minorEastAsia"/>
          <w:sz w:val="24"/>
        </w:rPr>
        <w:t>投标人应清楚招标文件应直接从招标代理机构获得，根据复制招标文件编制的投标文件将被拒收。</w:t>
      </w:r>
    </w:p>
    <w:p>
      <w:pPr>
        <w:numPr>
          <w:ilvl w:val="0"/>
          <w:numId w:val="0"/>
        </w:numPr>
        <w:tabs>
          <w:tab w:val="left" w:pos="720"/>
        </w:tabs>
        <w:spacing w:line="360" w:lineRule="auto"/>
        <w:ind w:leftChars="0"/>
        <w:rPr>
          <w:rFonts w:hint="eastAsia" w:asciiTheme="minorEastAsia" w:hAnsiTheme="minorEastAsia" w:eastAsiaTheme="minorEastAsia"/>
          <w:b/>
          <w:sz w:val="24"/>
          <w:szCs w:val="22"/>
        </w:rPr>
      </w:pPr>
      <w:r>
        <w:rPr>
          <w:rFonts w:hint="eastAsia" w:asciiTheme="minorEastAsia" w:hAnsiTheme="minorEastAsia" w:eastAsiaTheme="minorEastAsia"/>
          <w:b/>
          <w:sz w:val="24"/>
          <w:szCs w:val="22"/>
          <w:lang w:val="en-US" w:eastAsia="zh-CN"/>
        </w:rPr>
        <w:t>4.2.2</w:t>
      </w:r>
      <w:r>
        <w:rPr>
          <w:rFonts w:hint="eastAsia" w:asciiTheme="minorEastAsia" w:hAnsiTheme="minorEastAsia" w:eastAsiaTheme="minorEastAsia"/>
          <w:b/>
          <w:sz w:val="24"/>
          <w:szCs w:val="22"/>
        </w:rPr>
        <w:t>投标文件的式样和文件签署</w:t>
      </w:r>
    </w:p>
    <w:p>
      <w:pPr>
        <w:keepNext w:val="0"/>
        <w:keepLines w:val="0"/>
        <w:pageBreakBefore w:val="0"/>
        <w:widowControl w:val="0"/>
        <w:numPr>
          <w:ilvl w:val="0"/>
          <w:numId w:val="0"/>
        </w:numPr>
        <w:tabs>
          <w:tab w:val="left" w:pos="720"/>
        </w:tabs>
        <w:kinsoku/>
        <w:wordWrap/>
        <w:overflowPunct/>
        <w:topLinePunct w:val="0"/>
        <w:autoSpaceDE w:val="0"/>
        <w:autoSpaceDN w:val="0"/>
        <w:bidi w:val="0"/>
        <w:adjustRightInd w:val="0"/>
        <w:snapToGrid/>
        <w:spacing w:line="360" w:lineRule="auto"/>
        <w:ind w:leftChars="0" w:firstLine="480" w:firstLineChars="200"/>
        <w:textAlignment w:val="auto"/>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lang w:val="en-US" w:eastAsia="zh-CN"/>
        </w:rPr>
        <w:t xml:space="preserve">4.2.2.1 </w:t>
      </w:r>
      <w:r>
        <w:rPr>
          <w:rFonts w:hint="eastAsia" w:asciiTheme="minorEastAsia" w:hAnsiTheme="minorEastAsia" w:eastAsiaTheme="minorEastAsia"/>
          <w:sz w:val="24"/>
          <w:highlight w:val="none"/>
        </w:rPr>
        <w:t>投标文件必须分标段</w:t>
      </w:r>
      <w:r>
        <w:rPr>
          <w:rFonts w:hint="eastAsia" w:asciiTheme="minorEastAsia" w:hAnsiTheme="minorEastAsia" w:eastAsiaTheme="minorEastAsia"/>
          <w:sz w:val="24"/>
          <w:highlight w:val="none"/>
          <w:lang w:eastAsia="zh-CN"/>
        </w:rPr>
        <w:t>（如果有）</w:t>
      </w:r>
      <w:r>
        <w:rPr>
          <w:rFonts w:hint="eastAsia" w:asciiTheme="minorEastAsia" w:hAnsiTheme="minorEastAsia" w:eastAsiaTheme="minorEastAsia"/>
          <w:sz w:val="24"/>
          <w:highlight w:val="none"/>
        </w:rPr>
        <w:t>独立制作。按规定时间上传到相关网站,即视为递交</w:t>
      </w:r>
      <w:r>
        <w:rPr>
          <w:rFonts w:hint="eastAsia" w:asciiTheme="minorEastAsia" w:hAnsiTheme="minorEastAsia" w:eastAsiaTheme="minorEastAsia"/>
          <w:sz w:val="24"/>
          <w:highlight w:val="none"/>
          <w:lang w:eastAsia="zh-CN"/>
        </w:rPr>
        <w:t>。</w:t>
      </w:r>
    </w:p>
    <w:p>
      <w:pPr>
        <w:keepNext w:val="0"/>
        <w:keepLines w:val="0"/>
        <w:pageBreakBefore w:val="0"/>
        <w:widowControl w:val="0"/>
        <w:numPr>
          <w:ilvl w:val="0"/>
          <w:numId w:val="0"/>
        </w:numPr>
        <w:tabs>
          <w:tab w:val="left" w:pos="720"/>
        </w:tabs>
        <w:kinsoku/>
        <w:wordWrap/>
        <w:overflowPunct/>
        <w:topLinePunct w:val="0"/>
        <w:autoSpaceDE w:val="0"/>
        <w:autoSpaceDN w:val="0"/>
        <w:bidi w:val="0"/>
        <w:adjustRightInd w:val="0"/>
        <w:snapToGrid/>
        <w:spacing w:line="360" w:lineRule="auto"/>
        <w:ind w:leftChars="0" w:firstLine="480" w:firstLineChars="200"/>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 xml:space="preserve">4.2.2.2 </w:t>
      </w:r>
      <w:r>
        <w:rPr>
          <w:rFonts w:hint="eastAsia" w:asciiTheme="minorEastAsia" w:hAnsiTheme="minorEastAsia" w:eastAsiaTheme="minorEastAsia"/>
          <w:sz w:val="24"/>
          <w:highlight w:val="none"/>
        </w:rPr>
        <w:t>备份投标文件及所有文件必须是打印件，并由投标人或经正式授权的代表签字，授权代表必须将以书面形式出具的“法定代表人授权书”附在投标文件中。</w:t>
      </w:r>
    </w:p>
    <w:p>
      <w:pPr>
        <w:keepNext w:val="0"/>
        <w:keepLines w:val="0"/>
        <w:pageBreakBefore w:val="0"/>
        <w:widowControl w:val="0"/>
        <w:numPr>
          <w:ilvl w:val="0"/>
          <w:numId w:val="0"/>
        </w:numPr>
        <w:tabs>
          <w:tab w:val="left" w:pos="720"/>
        </w:tabs>
        <w:kinsoku/>
        <w:wordWrap/>
        <w:overflowPunct/>
        <w:topLinePunct w:val="0"/>
        <w:autoSpaceDE w:val="0"/>
        <w:autoSpaceDN w:val="0"/>
        <w:bidi w:val="0"/>
        <w:adjustRightInd w:val="0"/>
        <w:snapToGrid/>
        <w:spacing w:line="360" w:lineRule="auto"/>
        <w:ind w:leftChars="0" w:firstLine="480" w:firstLineChars="200"/>
        <w:textAlignment w:val="auto"/>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 xml:space="preserve">4.2.2.3 </w:t>
      </w:r>
      <w:r>
        <w:rPr>
          <w:rFonts w:hint="eastAsia" w:asciiTheme="minorEastAsia" w:hAnsiTheme="minorEastAsia" w:eastAsiaTheme="minorEastAsia"/>
          <w:sz w:val="24"/>
          <w:highlight w:val="none"/>
        </w:rPr>
        <w:t>任何行间插字、涂改和增删，必须由投标人或经正式授权的代表用姓或首字母在旁边签字或加盖公章后有效。</w:t>
      </w:r>
    </w:p>
    <w:p>
      <w:pPr>
        <w:keepNext w:val="0"/>
        <w:keepLines w:val="0"/>
        <w:pageBreakBefore w:val="0"/>
        <w:widowControl w:val="0"/>
        <w:numPr>
          <w:ilvl w:val="0"/>
          <w:numId w:val="0"/>
        </w:numPr>
        <w:tabs>
          <w:tab w:val="left" w:pos="720"/>
        </w:tabs>
        <w:kinsoku/>
        <w:wordWrap/>
        <w:overflowPunct/>
        <w:topLinePunct w:val="0"/>
        <w:autoSpaceDE w:val="0"/>
        <w:autoSpaceDN w:val="0"/>
        <w:bidi w:val="0"/>
        <w:adjustRightInd w:val="0"/>
        <w:snapToGrid/>
        <w:spacing w:line="360" w:lineRule="auto"/>
        <w:ind w:leftChars="0" w:firstLine="480" w:firstLineChars="200"/>
        <w:textAlignment w:val="auto"/>
        <w:rPr>
          <w:rFonts w:hint="eastAsia"/>
          <w:highlight w:val="none"/>
        </w:rPr>
      </w:pPr>
      <w:r>
        <w:rPr>
          <w:rFonts w:hint="eastAsia" w:asciiTheme="minorEastAsia" w:hAnsiTheme="minorEastAsia" w:eastAsiaTheme="minorEastAsia"/>
          <w:sz w:val="24"/>
          <w:highlight w:val="none"/>
          <w:lang w:val="en-US" w:eastAsia="zh-CN"/>
        </w:rPr>
        <w:t xml:space="preserve">4.2.2.4 </w:t>
      </w:r>
      <w:r>
        <w:rPr>
          <w:rFonts w:hint="eastAsia" w:asciiTheme="minorEastAsia" w:hAnsiTheme="minorEastAsia" w:eastAsiaTheme="minorEastAsia"/>
          <w:sz w:val="24"/>
          <w:highlight w:val="none"/>
        </w:rPr>
        <w:t>电报、电传和传真投标文件一律不接受。</w:t>
      </w:r>
    </w:p>
    <w:p>
      <w:pPr>
        <w:pStyle w:val="8"/>
        <w:kinsoku w:val="0"/>
        <w:overflowPunct w:val="0"/>
        <w:spacing w:line="360" w:lineRule="auto"/>
        <w:rPr>
          <w:rFonts w:hint="default"/>
        </w:rPr>
      </w:pPr>
      <w:r>
        <w:rPr>
          <w:rFonts w:asciiTheme="minorEastAsia" w:hAnsiTheme="minorEastAsia" w:eastAsiaTheme="minorEastAsia" w:cstheme="minorEastAsia"/>
          <w:b/>
          <w:bCs/>
          <w:spacing w:val="-1"/>
          <w:sz w:val="24"/>
          <w:szCs w:val="24"/>
        </w:rPr>
        <w:t>4.3</w:t>
      </w:r>
      <w:r>
        <w:rPr>
          <w:rFonts w:asciiTheme="minorEastAsia" w:hAnsiTheme="minorEastAsia" w:eastAsiaTheme="minorEastAsia" w:cstheme="minorEastAsia"/>
          <w:b/>
          <w:bCs/>
          <w:spacing w:val="-2"/>
          <w:sz w:val="24"/>
          <w:szCs w:val="24"/>
        </w:rPr>
        <w:t>投标文件的修改与撤回</w:t>
      </w:r>
      <w:bookmarkEnd w:id="62"/>
    </w:p>
    <w:p>
      <w:pPr>
        <w:pStyle w:val="14"/>
        <w:kinsoku w:val="0"/>
        <w:overflowPunct w:val="0"/>
        <w:spacing w:line="360" w:lineRule="auto"/>
        <w:ind w:left="10" w:firstLine="556" w:firstLineChars="234"/>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1"/>
          <w:sz w:val="24"/>
          <w:szCs w:val="24"/>
        </w:rPr>
        <w:t>4.3.1</w:t>
      </w:r>
      <w:r>
        <w:rPr>
          <w:rFonts w:asciiTheme="minorEastAsia" w:hAnsiTheme="minorEastAsia" w:eastAsiaTheme="minorEastAsia" w:cstheme="minorEastAsia"/>
          <w:spacing w:val="-2"/>
          <w:sz w:val="24"/>
          <w:szCs w:val="24"/>
        </w:rPr>
        <w:t>在投标人须知前附表规定的投标截止时间前，投标人可以修改或撤回已上传的电子投标文件，最终电子投标文件以投标截止时间前完成上传至邓州市公共资源交易中心网交易系统最后一份投标文件为准。</w:t>
      </w:r>
    </w:p>
    <w:p>
      <w:pPr>
        <w:pStyle w:val="14"/>
        <w:kinsoku w:val="0"/>
        <w:overflowPunct w:val="0"/>
        <w:spacing w:line="360" w:lineRule="auto"/>
        <w:ind w:left="10" w:firstLine="556" w:firstLineChars="234"/>
        <w:rPr>
          <w:rFonts w:asciiTheme="minorEastAsia" w:hAnsiTheme="minorEastAsia" w:eastAsiaTheme="minorEastAsia" w:cstheme="minorEastAsia"/>
          <w:spacing w:val="-1"/>
          <w:sz w:val="24"/>
          <w:szCs w:val="24"/>
        </w:rPr>
      </w:pPr>
      <w:r>
        <w:rPr>
          <w:rFonts w:asciiTheme="minorEastAsia" w:hAnsiTheme="minorEastAsia" w:eastAsiaTheme="minorEastAsia" w:cstheme="minorEastAsia"/>
          <w:spacing w:val="-1"/>
          <w:sz w:val="24"/>
          <w:szCs w:val="24"/>
        </w:rPr>
        <w:t>4.3.2投标截止时间之后，投标单位不得修改或撤回电子投标文件；</w:t>
      </w:r>
    </w:p>
    <w:p>
      <w:pPr>
        <w:pStyle w:val="14"/>
        <w:kinsoku w:val="0"/>
        <w:overflowPunct w:val="0"/>
        <w:spacing w:line="360" w:lineRule="auto"/>
        <w:ind w:left="10" w:firstLine="556" w:firstLineChars="234"/>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4.3.3从投标截止期至投标人在投标文件中载明的投标有效期满期间，投标人不得撤回其投标。</w:t>
      </w:r>
    </w:p>
    <w:p>
      <w:pPr>
        <w:pStyle w:val="8"/>
        <w:tabs>
          <w:tab w:val="left" w:pos="964"/>
        </w:tabs>
        <w:kinsoku w:val="0"/>
        <w:overflowPunct w:val="0"/>
        <w:spacing w:line="360" w:lineRule="auto"/>
        <w:rPr>
          <w:rFonts w:hint="default" w:asciiTheme="minorEastAsia" w:hAnsiTheme="minorEastAsia" w:eastAsiaTheme="minorEastAsia" w:cstheme="minorEastAsia"/>
          <w:b/>
          <w:bCs/>
          <w:spacing w:val="-1"/>
          <w:sz w:val="24"/>
          <w:szCs w:val="24"/>
        </w:rPr>
      </w:pPr>
      <w:bookmarkStart w:id="63" w:name="_Toc19792_WPSOffice_Level2"/>
      <w:r>
        <w:rPr>
          <w:rFonts w:asciiTheme="minorEastAsia" w:hAnsiTheme="minorEastAsia" w:eastAsiaTheme="minorEastAsia" w:cstheme="minorEastAsia"/>
          <w:b/>
          <w:bCs/>
          <w:sz w:val="24"/>
          <w:szCs w:val="24"/>
        </w:rPr>
        <w:t>4.4</w:t>
      </w:r>
      <w:r>
        <w:rPr>
          <w:rFonts w:asciiTheme="minorEastAsia" w:hAnsiTheme="minorEastAsia" w:eastAsiaTheme="minorEastAsia" w:cstheme="minorEastAsia"/>
          <w:b/>
          <w:bCs/>
          <w:spacing w:val="-1"/>
          <w:sz w:val="24"/>
          <w:szCs w:val="24"/>
        </w:rPr>
        <w:t>供应商信用记录查询</w:t>
      </w:r>
      <w:bookmarkEnd w:id="63"/>
    </w:p>
    <w:p>
      <w:pPr>
        <w:pStyle w:val="14"/>
        <w:kinsoku w:val="0"/>
        <w:overflowPunct w:val="0"/>
        <w:spacing w:line="360" w:lineRule="auto"/>
        <w:ind w:right="203"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根据《关于在政府采购活动中查询及使用信用记录有关问题的通知》(财库[2016]125号)和豫财购【2016】15号的规定，采购人或采购代理机构应当在供应商递交投标文件或响应文件时查询供应商</w:t>
      </w:r>
      <w:r>
        <w:rPr>
          <w:rFonts w:asciiTheme="minorEastAsia" w:hAnsiTheme="minorEastAsia" w:eastAsiaTheme="minorEastAsia" w:cstheme="minorEastAsia"/>
          <w:spacing w:val="4"/>
          <w:sz w:val="24"/>
          <w:szCs w:val="24"/>
        </w:rPr>
        <w:t>信用</w:t>
      </w:r>
      <w:r>
        <w:rPr>
          <w:rFonts w:asciiTheme="minorEastAsia" w:hAnsiTheme="minorEastAsia" w:eastAsiaTheme="minorEastAsia" w:cstheme="minorEastAsia"/>
          <w:spacing w:val="2"/>
          <w:sz w:val="24"/>
          <w:szCs w:val="24"/>
        </w:rPr>
        <w:t>记</w:t>
      </w:r>
      <w:r>
        <w:rPr>
          <w:rFonts w:asciiTheme="minorEastAsia" w:hAnsiTheme="minorEastAsia" w:eastAsiaTheme="minorEastAsia" w:cstheme="minorEastAsia"/>
          <w:spacing w:val="4"/>
          <w:sz w:val="24"/>
          <w:szCs w:val="24"/>
        </w:rPr>
        <w:t>录</w:t>
      </w:r>
      <w:r>
        <w:rPr>
          <w:rFonts w:asciiTheme="minorEastAsia" w:hAnsiTheme="minorEastAsia" w:eastAsiaTheme="minorEastAsia" w:cstheme="minorEastAsia"/>
          <w:spacing w:val="2"/>
          <w:sz w:val="24"/>
          <w:szCs w:val="24"/>
        </w:rPr>
        <w:t>。</w:t>
      </w:r>
      <w:r>
        <w:rPr>
          <w:rFonts w:asciiTheme="minorEastAsia" w:hAnsiTheme="minorEastAsia" w:eastAsiaTheme="minorEastAsia" w:cstheme="minorEastAsia"/>
          <w:spacing w:val="4"/>
          <w:sz w:val="24"/>
          <w:szCs w:val="24"/>
        </w:rPr>
        <w:t>查</w:t>
      </w:r>
      <w:r>
        <w:rPr>
          <w:rFonts w:asciiTheme="minorEastAsia" w:hAnsiTheme="minorEastAsia" w:eastAsiaTheme="minorEastAsia" w:cstheme="minorEastAsia"/>
          <w:spacing w:val="2"/>
          <w:sz w:val="24"/>
          <w:szCs w:val="24"/>
        </w:rPr>
        <w:t>询</w:t>
      </w:r>
      <w:r>
        <w:rPr>
          <w:rFonts w:asciiTheme="minorEastAsia" w:hAnsiTheme="minorEastAsia" w:eastAsiaTheme="minorEastAsia" w:cstheme="minorEastAsia"/>
          <w:spacing w:val="4"/>
          <w:sz w:val="24"/>
          <w:szCs w:val="24"/>
        </w:rPr>
        <w:t>时</w:t>
      </w:r>
      <w:r>
        <w:rPr>
          <w:rFonts w:asciiTheme="minorEastAsia" w:hAnsiTheme="minorEastAsia" w:eastAsiaTheme="minorEastAsia" w:cstheme="minorEastAsia"/>
          <w:spacing w:val="2"/>
          <w:sz w:val="24"/>
          <w:szCs w:val="24"/>
        </w:rPr>
        <w:t>将</w:t>
      </w:r>
      <w:r>
        <w:rPr>
          <w:rFonts w:asciiTheme="minorEastAsia" w:hAnsiTheme="minorEastAsia" w:eastAsiaTheme="minorEastAsia" w:cstheme="minorEastAsia"/>
          <w:spacing w:val="4"/>
          <w:sz w:val="24"/>
          <w:szCs w:val="24"/>
        </w:rPr>
        <w:t>查</w:t>
      </w:r>
      <w:r>
        <w:rPr>
          <w:rFonts w:asciiTheme="minorEastAsia" w:hAnsiTheme="minorEastAsia" w:eastAsiaTheme="minorEastAsia" w:cstheme="minorEastAsia"/>
          <w:spacing w:val="2"/>
          <w:sz w:val="24"/>
          <w:szCs w:val="24"/>
        </w:rPr>
        <w:t>询</w:t>
      </w:r>
      <w:r>
        <w:rPr>
          <w:rFonts w:asciiTheme="minorEastAsia" w:hAnsiTheme="minorEastAsia" w:eastAsiaTheme="minorEastAsia" w:cstheme="minorEastAsia"/>
          <w:spacing w:val="4"/>
          <w:sz w:val="24"/>
          <w:szCs w:val="24"/>
        </w:rPr>
        <w:t>网页</w:t>
      </w:r>
      <w:r>
        <w:rPr>
          <w:rFonts w:asciiTheme="minorEastAsia" w:hAnsiTheme="minorEastAsia" w:eastAsiaTheme="minorEastAsia" w:cstheme="minorEastAsia"/>
          <w:spacing w:val="2"/>
          <w:sz w:val="24"/>
          <w:szCs w:val="24"/>
        </w:rPr>
        <w:t>、</w:t>
      </w:r>
      <w:r>
        <w:rPr>
          <w:rFonts w:asciiTheme="minorEastAsia" w:hAnsiTheme="minorEastAsia" w:eastAsiaTheme="minorEastAsia" w:cstheme="minorEastAsia"/>
          <w:spacing w:val="4"/>
          <w:sz w:val="24"/>
          <w:szCs w:val="24"/>
        </w:rPr>
        <w:t>内</w:t>
      </w:r>
      <w:r>
        <w:rPr>
          <w:rFonts w:asciiTheme="minorEastAsia" w:hAnsiTheme="minorEastAsia" w:eastAsiaTheme="minorEastAsia" w:cstheme="minorEastAsia"/>
          <w:spacing w:val="2"/>
          <w:sz w:val="24"/>
          <w:szCs w:val="24"/>
        </w:rPr>
        <w:t>容</w:t>
      </w:r>
      <w:r>
        <w:rPr>
          <w:rFonts w:asciiTheme="minorEastAsia" w:hAnsiTheme="minorEastAsia" w:eastAsiaTheme="minorEastAsia" w:cstheme="minorEastAsia"/>
          <w:spacing w:val="4"/>
          <w:sz w:val="24"/>
          <w:szCs w:val="24"/>
        </w:rPr>
        <w:t>进</w:t>
      </w:r>
      <w:r>
        <w:rPr>
          <w:rFonts w:asciiTheme="minorEastAsia" w:hAnsiTheme="minorEastAsia" w:eastAsiaTheme="minorEastAsia" w:cstheme="minorEastAsia"/>
          <w:spacing w:val="2"/>
          <w:sz w:val="24"/>
          <w:szCs w:val="24"/>
        </w:rPr>
        <w:t>行</w:t>
      </w:r>
      <w:r>
        <w:rPr>
          <w:rFonts w:asciiTheme="minorEastAsia" w:hAnsiTheme="minorEastAsia" w:eastAsiaTheme="minorEastAsia" w:cstheme="minorEastAsia"/>
          <w:spacing w:val="4"/>
          <w:sz w:val="24"/>
          <w:szCs w:val="24"/>
        </w:rPr>
        <w:t>截</w:t>
      </w:r>
      <w:r>
        <w:rPr>
          <w:rFonts w:asciiTheme="minorEastAsia" w:hAnsiTheme="minorEastAsia" w:eastAsiaTheme="minorEastAsia" w:cstheme="minorEastAsia"/>
          <w:spacing w:val="2"/>
          <w:sz w:val="24"/>
          <w:szCs w:val="24"/>
        </w:rPr>
        <w:t>图</w:t>
      </w:r>
      <w:r>
        <w:rPr>
          <w:rFonts w:asciiTheme="minorEastAsia" w:hAnsiTheme="minorEastAsia" w:eastAsiaTheme="minorEastAsia" w:cstheme="minorEastAsia"/>
          <w:spacing w:val="4"/>
          <w:sz w:val="24"/>
          <w:szCs w:val="24"/>
        </w:rPr>
        <w:t>，</w:t>
      </w:r>
      <w:r>
        <w:rPr>
          <w:rFonts w:asciiTheme="minorEastAsia" w:hAnsiTheme="minorEastAsia" w:eastAsiaTheme="minorEastAsia" w:cstheme="minorEastAsia"/>
          <w:spacing w:val="2"/>
          <w:sz w:val="24"/>
          <w:szCs w:val="24"/>
        </w:rPr>
        <w:t>以</w:t>
      </w:r>
      <w:r>
        <w:rPr>
          <w:rFonts w:asciiTheme="minorEastAsia" w:hAnsiTheme="minorEastAsia" w:eastAsiaTheme="minorEastAsia" w:cstheme="minorEastAsia"/>
          <w:spacing w:val="4"/>
          <w:sz w:val="24"/>
          <w:szCs w:val="24"/>
        </w:rPr>
        <w:t>作</w:t>
      </w:r>
      <w:r>
        <w:rPr>
          <w:rFonts w:asciiTheme="minorEastAsia" w:hAnsiTheme="minorEastAsia" w:eastAsiaTheme="minorEastAsia" w:cstheme="minorEastAsia"/>
          <w:spacing w:val="2"/>
          <w:sz w:val="24"/>
          <w:szCs w:val="24"/>
        </w:rPr>
        <w:t>证</w:t>
      </w:r>
      <w:r>
        <w:rPr>
          <w:rFonts w:asciiTheme="minorEastAsia" w:hAnsiTheme="minorEastAsia" w:eastAsiaTheme="minorEastAsia" w:cstheme="minorEastAsia"/>
          <w:spacing w:val="4"/>
          <w:sz w:val="24"/>
          <w:szCs w:val="24"/>
        </w:rPr>
        <w:t>据</w:t>
      </w:r>
      <w:r>
        <w:rPr>
          <w:rFonts w:asciiTheme="minorEastAsia" w:hAnsiTheme="minorEastAsia" w:eastAsiaTheme="minorEastAsia" w:cstheme="minorEastAsia"/>
          <w:spacing w:val="2"/>
          <w:sz w:val="24"/>
          <w:szCs w:val="24"/>
        </w:rPr>
        <w:t>留</w:t>
      </w:r>
      <w:r>
        <w:rPr>
          <w:rFonts w:asciiTheme="minorEastAsia" w:hAnsiTheme="minorEastAsia" w:eastAsiaTheme="minorEastAsia" w:cstheme="minorEastAsia"/>
          <w:spacing w:val="4"/>
          <w:sz w:val="24"/>
          <w:szCs w:val="24"/>
        </w:rPr>
        <w:t>存</w:t>
      </w:r>
      <w:r>
        <w:rPr>
          <w:rFonts w:asciiTheme="minorEastAsia" w:hAnsiTheme="minorEastAsia" w:eastAsiaTheme="minorEastAsia" w:cstheme="minorEastAsia"/>
          <w:spacing w:val="2"/>
          <w:sz w:val="24"/>
          <w:szCs w:val="24"/>
        </w:rPr>
        <w:t>，</w:t>
      </w:r>
      <w:r>
        <w:rPr>
          <w:rFonts w:asciiTheme="minorEastAsia" w:hAnsiTheme="minorEastAsia" w:eastAsiaTheme="minorEastAsia" w:cstheme="minorEastAsia"/>
          <w:spacing w:val="4"/>
          <w:sz w:val="24"/>
          <w:szCs w:val="24"/>
        </w:rPr>
        <w:t>截</w:t>
      </w:r>
      <w:r>
        <w:rPr>
          <w:rFonts w:asciiTheme="minorEastAsia" w:hAnsiTheme="minorEastAsia" w:eastAsiaTheme="minorEastAsia" w:cstheme="minorEastAsia"/>
          <w:spacing w:val="2"/>
          <w:sz w:val="24"/>
          <w:szCs w:val="24"/>
        </w:rPr>
        <w:t>图</w:t>
      </w:r>
      <w:r>
        <w:rPr>
          <w:rFonts w:asciiTheme="minorEastAsia" w:hAnsiTheme="minorEastAsia" w:eastAsiaTheme="minorEastAsia" w:cstheme="minorEastAsia"/>
          <w:spacing w:val="4"/>
          <w:sz w:val="24"/>
          <w:szCs w:val="24"/>
        </w:rPr>
        <w:t>或拍</w:t>
      </w:r>
      <w:r>
        <w:rPr>
          <w:rFonts w:asciiTheme="minorEastAsia" w:hAnsiTheme="minorEastAsia" w:eastAsiaTheme="minorEastAsia" w:cstheme="minorEastAsia"/>
          <w:spacing w:val="2"/>
          <w:sz w:val="24"/>
          <w:szCs w:val="24"/>
        </w:rPr>
        <w:t>照</w:t>
      </w:r>
      <w:r>
        <w:rPr>
          <w:rFonts w:asciiTheme="minorEastAsia" w:hAnsiTheme="minorEastAsia" w:eastAsiaTheme="minorEastAsia" w:cstheme="minorEastAsia"/>
          <w:spacing w:val="4"/>
          <w:sz w:val="24"/>
          <w:szCs w:val="24"/>
        </w:rPr>
        <w:t>内</w:t>
      </w:r>
      <w:r>
        <w:rPr>
          <w:rFonts w:asciiTheme="minorEastAsia" w:hAnsiTheme="minorEastAsia" w:eastAsiaTheme="minorEastAsia" w:cstheme="minorEastAsia"/>
          <w:spacing w:val="2"/>
          <w:sz w:val="24"/>
          <w:szCs w:val="24"/>
        </w:rPr>
        <w:t>容</w:t>
      </w:r>
      <w:r>
        <w:rPr>
          <w:rFonts w:asciiTheme="minorEastAsia" w:hAnsiTheme="minorEastAsia" w:eastAsiaTheme="minorEastAsia" w:cstheme="minorEastAsia"/>
          <w:spacing w:val="4"/>
          <w:sz w:val="24"/>
          <w:szCs w:val="24"/>
        </w:rPr>
        <w:t>要</w:t>
      </w:r>
      <w:r>
        <w:rPr>
          <w:rFonts w:asciiTheme="minorEastAsia" w:hAnsiTheme="minorEastAsia" w:eastAsiaTheme="minorEastAsia" w:cstheme="minorEastAsia"/>
          <w:spacing w:val="2"/>
          <w:sz w:val="24"/>
          <w:szCs w:val="24"/>
        </w:rPr>
        <w:t>完</w:t>
      </w:r>
      <w:r>
        <w:rPr>
          <w:rFonts w:asciiTheme="minorEastAsia" w:hAnsiTheme="minorEastAsia" w:eastAsiaTheme="minorEastAsia" w:cstheme="minorEastAsia"/>
          <w:spacing w:val="4"/>
          <w:sz w:val="24"/>
          <w:szCs w:val="24"/>
        </w:rPr>
        <w:t>整</w:t>
      </w:r>
      <w:r>
        <w:rPr>
          <w:rFonts w:asciiTheme="minorEastAsia" w:hAnsiTheme="minorEastAsia" w:eastAsiaTheme="minorEastAsia" w:cstheme="minorEastAsia"/>
          <w:spacing w:val="2"/>
          <w:sz w:val="24"/>
          <w:szCs w:val="24"/>
        </w:rPr>
        <w:t>清晰</w:t>
      </w:r>
      <w:r>
        <w:rPr>
          <w:rFonts w:asciiTheme="minorEastAsia" w:hAnsiTheme="minorEastAsia" w:eastAsiaTheme="minorEastAsia" w:cstheme="minorEastAsia"/>
          <w:sz w:val="24"/>
          <w:szCs w:val="24"/>
        </w:rPr>
        <w:t>。</w:t>
      </w:r>
      <w:r>
        <w:rPr>
          <w:rFonts w:asciiTheme="minorEastAsia" w:hAnsiTheme="minorEastAsia" w:eastAsiaTheme="minorEastAsia" w:cstheme="minorEastAsia"/>
          <w:spacing w:val="4"/>
          <w:sz w:val="24"/>
          <w:szCs w:val="24"/>
        </w:rPr>
        <w:t>对列</w:t>
      </w:r>
      <w:r>
        <w:rPr>
          <w:rFonts w:asciiTheme="minorEastAsia" w:hAnsiTheme="minorEastAsia" w:eastAsiaTheme="minorEastAsia" w:cstheme="minorEastAsia"/>
          <w:spacing w:val="2"/>
          <w:sz w:val="24"/>
          <w:szCs w:val="24"/>
        </w:rPr>
        <w:t>入</w:t>
      </w:r>
      <w:r>
        <w:rPr>
          <w:rFonts w:asciiTheme="minorEastAsia" w:hAnsiTheme="minorEastAsia" w:eastAsiaTheme="minorEastAsia" w:cstheme="minorEastAsia"/>
          <w:spacing w:val="4"/>
          <w:sz w:val="24"/>
          <w:szCs w:val="24"/>
        </w:rPr>
        <w:t>失</w:t>
      </w:r>
      <w:r>
        <w:rPr>
          <w:rFonts w:asciiTheme="minorEastAsia" w:hAnsiTheme="minorEastAsia" w:eastAsiaTheme="minorEastAsia" w:cstheme="minorEastAsia"/>
          <w:spacing w:val="2"/>
          <w:sz w:val="24"/>
          <w:szCs w:val="24"/>
        </w:rPr>
        <w:t>信</w:t>
      </w:r>
      <w:r>
        <w:rPr>
          <w:rFonts w:asciiTheme="minorEastAsia" w:hAnsiTheme="minorEastAsia" w:eastAsiaTheme="minorEastAsia" w:cstheme="minorEastAsia"/>
          <w:spacing w:val="4"/>
          <w:sz w:val="24"/>
          <w:szCs w:val="24"/>
        </w:rPr>
        <w:t>被</w:t>
      </w:r>
      <w:r>
        <w:rPr>
          <w:rFonts w:asciiTheme="minorEastAsia" w:hAnsiTheme="minorEastAsia" w:eastAsiaTheme="minorEastAsia" w:cstheme="minorEastAsia"/>
          <w:spacing w:val="2"/>
          <w:sz w:val="24"/>
          <w:szCs w:val="24"/>
        </w:rPr>
        <w:t>执</w:t>
      </w:r>
      <w:r>
        <w:rPr>
          <w:rFonts w:asciiTheme="minorEastAsia" w:hAnsiTheme="minorEastAsia" w:eastAsiaTheme="minorEastAsia" w:cstheme="minorEastAsia"/>
          <w:spacing w:val="4"/>
          <w:sz w:val="24"/>
          <w:szCs w:val="24"/>
        </w:rPr>
        <w:t>行</w:t>
      </w:r>
      <w:r>
        <w:rPr>
          <w:rFonts w:asciiTheme="minorEastAsia" w:hAnsiTheme="minorEastAsia" w:eastAsiaTheme="minorEastAsia" w:cstheme="minorEastAsia"/>
          <w:spacing w:val="2"/>
          <w:sz w:val="24"/>
          <w:szCs w:val="24"/>
        </w:rPr>
        <w:t>人</w:t>
      </w:r>
      <w:r>
        <w:rPr>
          <w:rFonts w:asciiTheme="minorEastAsia" w:hAnsiTheme="minorEastAsia" w:eastAsiaTheme="minorEastAsia" w:cstheme="minorEastAsia"/>
          <w:spacing w:val="4"/>
          <w:sz w:val="24"/>
          <w:szCs w:val="24"/>
        </w:rPr>
        <w:t>、</w:t>
      </w:r>
      <w:r>
        <w:rPr>
          <w:rFonts w:asciiTheme="minorEastAsia" w:hAnsiTheme="minorEastAsia" w:eastAsiaTheme="minorEastAsia" w:cstheme="minorEastAsia"/>
          <w:spacing w:val="2"/>
          <w:sz w:val="24"/>
          <w:szCs w:val="24"/>
        </w:rPr>
        <w:t>重</w:t>
      </w:r>
      <w:r>
        <w:rPr>
          <w:rFonts w:asciiTheme="minorEastAsia" w:hAnsiTheme="minorEastAsia" w:eastAsiaTheme="minorEastAsia" w:cstheme="minorEastAsia"/>
          <w:spacing w:val="4"/>
          <w:sz w:val="24"/>
          <w:szCs w:val="24"/>
        </w:rPr>
        <w:t>大税</w:t>
      </w:r>
      <w:r>
        <w:rPr>
          <w:rFonts w:asciiTheme="minorEastAsia" w:hAnsiTheme="minorEastAsia" w:eastAsiaTheme="minorEastAsia" w:cstheme="minorEastAsia"/>
          <w:spacing w:val="2"/>
          <w:sz w:val="24"/>
          <w:szCs w:val="24"/>
        </w:rPr>
        <w:t>收</w:t>
      </w:r>
      <w:r>
        <w:rPr>
          <w:rFonts w:asciiTheme="minorEastAsia" w:hAnsiTheme="minorEastAsia" w:eastAsiaTheme="minorEastAsia" w:cstheme="minorEastAsia"/>
          <w:spacing w:val="4"/>
          <w:sz w:val="24"/>
          <w:szCs w:val="24"/>
        </w:rPr>
        <w:t>违</w:t>
      </w:r>
      <w:r>
        <w:rPr>
          <w:rFonts w:asciiTheme="minorEastAsia" w:hAnsiTheme="minorEastAsia" w:eastAsiaTheme="minorEastAsia" w:cstheme="minorEastAsia"/>
          <w:spacing w:val="2"/>
          <w:sz w:val="24"/>
          <w:szCs w:val="24"/>
        </w:rPr>
        <w:t>法</w:t>
      </w:r>
      <w:r>
        <w:rPr>
          <w:rFonts w:asciiTheme="minorEastAsia" w:hAnsiTheme="minorEastAsia" w:eastAsiaTheme="minorEastAsia" w:cstheme="minorEastAsia"/>
          <w:spacing w:val="4"/>
          <w:sz w:val="24"/>
          <w:szCs w:val="24"/>
        </w:rPr>
        <w:t>案</w:t>
      </w:r>
      <w:r>
        <w:rPr>
          <w:rFonts w:asciiTheme="minorEastAsia" w:hAnsiTheme="minorEastAsia" w:eastAsiaTheme="minorEastAsia" w:cstheme="minorEastAsia"/>
          <w:spacing w:val="2"/>
          <w:sz w:val="24"/>
          <w:szCs w:val="24"/>
        </w:rPr>
        <w:t>件</w:t>
      </w:r>
      <w:r>
        <w:rPr>
          <w:rFonts w:asciiTheme="minorEastAsia" w:hAnsiTheme="minorEastAsia" w:eastAsiaTheme="minorEastAsia" w:cstheme="minorEastAsia"/>
          <w:spacing w:val="4"/>
          <w:sz w:val="24"/>
          <w:szCs w:val="24"/>
        </w:rPr>
        <w:t>当</w:t>
      </w:r>
      <w:r>
        <w:rPr>
          <w:rFonts w:asciiTheme="minorEastAsia" w:hAnsiTheme="minorEastAsia" w:eastAsiaTheme="minorEastAsia" w:cstheme="minorEastAsia"/>
          <w:spacing w:val="2"/>
          <w:sz w:val="24"/>
          <w:szCs w:val="24"/>
        </w:rPr>
        <w:t>事</w:t>
      </w:r>
      <w:r>
        <w:rPr>
          <w:rFonts w:asciiTheme="minorEastAsia" w:hAnsiTheme="minorEastAsia" w:eastAsiaTheme="minorEastAsia" w:cstheme="minorEastAsia"/>
          <w:spacing w:val="4"/>
          <w:sz w:val="24"/>
          <w:szCs w:val="24"/>
        </w:rPr>
        <w:t>人</w:t>
      </w:r>
      <w:r>
        <w:rPr>
          <w:rFonts w:asciiTheme="minorEastAsia" w:hAnsiTheme="minorEastAsia" w:eastAsiaTheme="minorEastAsia" w:cstheme="minorEastAsia"/>
          <w:spacing w:val="2"/>
          <w:sz w:val="24"/>
          <w:szCs w:val="24"/>
        </w:rPr>
        <w:t>名</w:t>
      </w:r>
      <w:r>
        <w:rPr>
          <w:rFonts w:asciiTheme="minorEastAsia" w:hAnsiTheme="minorEastAsia" w:eastAsiaTheme="minorEastAsia" w:cstheme="minorEastAsia"/>
          <w:spacing w:val="4"/>
          <w:sz w:val="24"/>
          <w:szCs w:val="24"/>
        </w:rPr>
        <w:t>单、</w:t>
      </w:r>
      <w:r>
        <w:rPr>
          <w:rFonts w:asciiTheme="minorEastAsia" w:hAnsiTheme="minorEastAsia" w:eastAsiaTheme="minorEastAsia" w:cstheme="minorEastAsia"/>
          <w:spacing w:val="2"/>
          <w:sz w:val="24"/>
          <w:szCs w:val="24"/>
        </w:rPr>
        <w:t>政</w:t>
      </w:r>
      <w:r>
        <w:rPr>
          <w:rFonts w:asciiTheme="minorEastAsia" w:hAnsiTheme="minorEastAsia" w:eastAsiaTheme="minorEastAsia" w:cstheme="minorEastAsia"/>
          <w:spacing w:val="4"/>
          <w:sz w:val="24"/>
          <w:szCs w:val="24"/>
        </w:rPr>
        <w:t>府</w:t>
      </w:r>
      <w:r>
        <w:rPr>
          <w:rFonts w:asciiTheme="minorEastAsia" w:hAnsiTheme="minorEastAsia" w:eastAsiaTheme="minorEastAsia" w:cstheme="minorEastAsia"/>
          <w:spacing w:val="2"/>
          <w:sz w:val="24"/>
          <w:szCs w:val="24"/>
        </w:rPr>
        <w:t>采</w:t>
      </w:r>
      <w:r>
        <w:rPr>
          <w:rFonts w:asciiTheme="minorEastAsia" w:hAnsiTheme="minorEastAsia" w:eastAsiaTheme="minorEastAsia" w:cstheme="minorEastAsia"/>
          <w:spacing w:val="4"/>
          <w:sz w:val="24"/>
          <w:szCs w:val="24"/>
        </w:rPr>
        <w:t>购</w:t>
      </w:r>
      <w:r>
        <w:rPr>
          <w:rFonts w:asciiTheme="minorEastAsia" w:hAnsiTheme="minorEastAsia" w:eastAsiaTheme="minorEastAsia" w:cstheme="minorEastAsia"/>
          <w:spacing w:val="2"/>
          <w:sz w:val="24"/>
          <w:szCs w:val="24"/>
        </w:rPr>
        <w:t>严</w:t>
      </w:r>
      <w:r>
        <w:rPr>
          <w:rFonts w:asciiTheme="minorEastAsia" w:hAnsiTheme="minorEastAsia" w:eastAsiaTheme="minorEastAsia" w:cstheme="minorEastAsia"/>
          <w:spacing w:val="4"/>
          <w:sz w:val="24"/>
          <w:szCs w:val="24"/>
        </w:rPr>
        <w:t>重</w:t>
      </w:r>
      <w:r>
        <w:rPr>
          <w:rFonts w:asciiTheme="minorEastAsia" w:hAnsiTheme="minorEastAsia" w:eastAsiaTheme="minorEastAsia" w:cstheme="minorEastAsia"/>
          <w:spacing w:val="2"/>
          <w:sz w:val="24"/>
          <w:szCs w:val="24"/>
        </w:rPr>
        <w:t>违</w:t>
      </w:r>
      <w:r>
        <w:rPr>
          <w:rFonts w:asciiTheme="minorEastAsia" w:hAnsiTheme="minorEastAsia" w:eastAsiaTheme="minorEastAsia" w:cstheme="minorEastAsia"/>
          <w:spacing w:val="4"/>
          <w:sz w:val="24"/>
          <w:szCs w:val="24"/>
        </w:rPr>
        <w:t>法</w:t>
      </w:r>
      <w:r>
        <w:rPr>
          <w:rFonts w:asciiTheme="minorEastAsia" w:hAnsiTheme="minorEastAsia" w:eastAsiaTheme="minorEastAsia" w:cstheme="minorEastAsia"/>
          <w:spacing w:val="2"/>
          <w:sz w:val="24"/>
          <w:szCs w:val="24"/>
        </w:rPr>
        <w:t>失</w:t>
      </w:r>
      <w:r>
        <w:rPr>
          <w:rFonts w:asciiTheme="minorEastAsia" w:hAnsiTheme="minorEastAsia" w:eastAsiaTheme="minorEastAsia" w:cstheme="minorEastAsia"/>
          <w:spacing w:val="4"/>
          <w:sz w:val="24"/>
          <w:szCs w:val="24"/>
        </w:rPr>
        <w:t>信行</w:t>
      </w:r>
      <w:r>
        <w:rPr>
          <w:rFonts w:asciiTheme="minorEastAsia" w:hAnsiTheme="minorEastAsia" w:eastAsiaTheme="minorEastAsia" w:cstheme="minorEastAsia"/>
          <w:spacing w:val="2"/>
          <w:sz w:val="24"/>
          <w:szCs w:val="24"/>
        </w:rPr>
        <w:t>为</w:t>
      </w:r>
      <w:r>
        <w:rPr>
          <w:rFonts w:asciiTheme="minorEastAsia" w:hAnsiTheme="minorEastAsia" w:eastAsiaTheme="minorEastAsia" w:cstheme="minorEastAsia"/>
          <w:spacing w:val="4"/>
          <w:sz w:val="24"/>
          <w:szCs w:val="24"/>
        </w:rPr>
        <w:t>记</w:t>
      </w:r>
      <w:r>
        <w:rPr>
          <w:rFonts w:asciiTheme="minorEastAsia" w:hAnsiTheme="minorEastAsia" w:eastAsiaTheme="minorEastAsia" w:cstheme="minorEastAsia"/>
          <w:spacing w:val="2"/>
          <w:sz w:val="24"/>
          <w:szCs w:val="24"/>
        </w:rPr>
        <w:t>录</w:t>
      </w:r>
      <w:r>
        <w:rPr>
          <w:rFonts w:asciiTheme="minorEastAsia" w:hAnsiTheme="minorEastAsia" w:eastAsiaTheme="minorEastAsia" w:cstheme="minorEastAsia"/>
          <w:spacing w:val="4"/>
          <w:sz w:val="24"/>
          <w:szCs w:val="24"/>
        </w:rPr>
        <w:t>名</w:t>
      </w:r>
      <w:r>
        <w:rPr>
          <w:rFonts w:asciiTheme="minorEastAsia" w:hAnsiTheme="minorEastAsia" w:eastAsiaTheme="minorEastAsia" w:cstheme="minorEastAsia"/>
          <w:spacing w:val="2"/>
          <w:sz w:val="24"/>
          <w:szCs w:val="24"/>
        </w:rPr>
        <w:t>单</w:t>
      </w:r>
      <w:r>
        <w:rPr>
          <w:rFonts w:asciiTheme="minorEastAsia" w:hAnsiTheme="minorEastAsia" w:eastAsiaTheme="minorEastAsia" w:cstheme="minorEastAsia"/>
          <w:spacing w:val="4"/>
          <w:sz w:val="24"/>
          <w:szCs w:val="24"/>
        </w:rPr>
        <w:t>及</w:t>
      </w:r>
      <w:r>
        <w:rPr>
          <w:rFonts w:asciiTheme="minorEastAsia" w:hAnsiTheme="minorEastAsia" w:eastAsiaTheme="minorEastAsia" w:cstheme="minorEastAsia"/>
          <w:spacing w:val="2"/>
          <w:sz w:val="24"/>
          <w:szCs w:val="24"/>
        </w:rPr>
        <w:t>其他</w:t>
      </w:r>
      <w:r>
        <w:rPr>
          <w:rFonts w:asciiTheme="minorEastAsia" w:hAnsiTheme="minorEastAsia" w:eastAsiaTheme="minorEastAsia" w:cstheme="minorEastAsia"/>
          <w:sz w:val="24"/>
          <w:szCs w:val="24"/>
        </w:rPr>
        <w:t>不</w:t>
      </w:r>
      <w:r>
        <w:rPr>
          <w:rFonts w:asciiTheme="minorEastAsia" w:hAnsiTheme="minorEastAsia" w:eastAsiaTheme="minorEastAsia" w:cstheme="minorEastAsia"/>
          <w:spacing w:val="4"/>
          <w:sz w:val="24"/>
          <w:szCs w:val="24"/>
        </w:rPr>
        <w:t>符合</w:t>
      </w:r>
      <w:r>
        <w:rPr>
          <w:rFonts w:asciiTheme="minorEastAsia" w:hAnsiTheme="minorEastAsia" w:eastAsiaTheme="minorEastAsia" w:cstheme="minorEastAsia"/>
          <w:spacing w:val="2"/>
          <w:sz w:val="24"/>
          <w:szCs w:val="24"/>
        </w:rPr>
        <w:t>《</w:t>
      </w:r>
      <w:r>
        <w:rPr>
          <w:rFonts w:asciiTheme="minorEastAsia" w:hAnsiTheme="minorEastAsia" w:eastAsiaTheme="minorEastAsia" w:cstheme="minorEastAsia"/>
          <w:spacing w:val="4"/>
          <w:sz w:val="24"/>
          <w:szCs w:val="24"/>
        </w:rPr>
        <w:t>中</w:t>
      </w:r>
      <w:r>
        <w:rPr>
          <w:rFonts w:asciiTheme="minorEastAsia" w:hAnsiTheme="minorEastAsia" w:eastAsiaTheme="minorEastAsia" w:cstheme="minorEastAsia"/>
          <w:spacing w:val="2"/>
          <w:sz w:val="24"/>
          <w:szCs w:val="24"/>
        </w:rPr>
        <w:t>华</w:t>
      </w:r>
      <w:r>
        <w:rPr>
          <w:rFonts w:asciiTheme="minorEastAsia" w:hAnsiTheme="minorEastAsia" w:eastAsiaTheme="minorEastAsia" w:cstheme="minorEastAsia"/>
          <w:spacing w:val="4"/>
          <w:sz w:val="24"/>
          <w:szCs w:val="24"/>
        </w:rPr>
        <w:t>人</w:t>
      </w:r>
      <w:r>
        <w:rPr>
          <w:rFonts w:asciiTheme="minorEastAsia" w:hAnsiTheme="minorEastAsia" w:eastAsiaTheme="minorEastAsia" w:cstheme="minorEastAsia"/>
          <w:spacing w:val="2"/>
          <w:sz w:val="24"/>
          <w:szCs w:val="24"/>
        </w:rPr>
        <w:t>民</w:t>
      </w:r>
      <w:r>
        <w:rPr>
          <w:rFonts w:asciiTheme="minorEastAsia" w:hAnsiTheme="minorEastAsia" w:eastAsiaTheme="minorEastAsia" w:cstheme="minorEastAsia"/>
          <w:spacing w:val="4"/>
          <w:sz w:val="24"/>
          <w:szCs w:val="24"/>
        </w:rPr>
        <w:t>共</w:t>
      </w:r>
      <w:r>
        <w:rPr>
          <w:rFonts w:asciiTheme="minorEastAsia" w:hAnsiTheme="minorEastAsia" w:eastAsiaTheme="minorEastAsia" w:cstheme="minorEastAsia"/>
          <w:spacing w:val="2"/>
          <w:sz w:val="24"/>
          <w:szCs w:val="24"/>
        </w:rPr>
        <w:t>和</w:t>
      </w:r>
      <w:r>
        <w:rPr>
          <w:rFonts w:asciiTheme="minorEastAsia" w:hAnsiTheme="minorEastAsia" w:eastAsiaTheme="minorEastAsia" w:cstheme="minorEastAsia"/>
          <w:spacing w:val="4"/>
          <w:sz w:val="24"/>
          <w:szCs w:val="24"/>
        </w:rPr>
        <w:t>国</w:t>
      </w:r>
      <w:r>
        <w:rPr>
          <w:rFonts w:asciiTheme="minorEastAsia" w:hAnsiTheme="minorEastAsia" w:eastAsiaTheme="minorEastAsia" w:cstheme="minorEastAsia"/>
          <w:spacing w:val="2"/>
          <w:sz w:val="24"/>
          <w:szCs w:val="24"/>
        </w:rPr>
        <w:t>政</w:t>
      </w:r>
      <w:r>
        <w:rPr>
          <w:rFonts w:asciiTheme="minorEastAsia" w:hAnsiTheme="minorEastAsia" w:eastAsiaTheme="minorEastAsia" w:cstheme="minorEastAsia"/>
          <w:spacing w:val="4"/>
          <w:sz w:val="24"/>
          <w:szCs w:val="24"/>
        </w:rPr>
        <w:t>府采</w:t>
      </w:r>
      <w:r>
        <w:rPr>
          <w:rFonts w:asciiTheme="minorEastAsia" w:hAnsiTheme="minorEastAsia" w:eastAsiaTheme="minorEastAsia" w:cstheme="minorEastAsia"/>
          <w:spacing w:val="2"/>
          <w:sz w:val="24"/>
          <w:szCs w:val="24"/>
        </w:rPr>
        <w:t>购</w:t>
      </w:r>
      <w:r>
        <w:rPr>
          <w:rFonts w:asciiTheme="minorEastAsia" w:hAnsiTheme="minorEastAsia" w:eastAsiaTheme="minorEastAsia" w:cstheme="minorEastAsia"/>
          <w:spacing w:val="4"/>
          <w:sz w:val="24"/>
          <w:szCs w:val="24"/>
        </w:rPr>
        <w:t>法</w:t>
      </w:r>
      <w:r>
        <w:rPr>
          <w:rFonts w:asciiTheme="minorEastAsia" w:hAnsiTheme="minorEastAsia" w:eastAsiaTheme="minorEastAsia" w:cstheme="minorEastAsia"/>
          <w:spacing w:val="2"/>
          <w:sz w:val="24"/>
          <w:szCs w:val="24"/>
        </w:rPr>
        <w:t>》</w:t>
      </w:r>
      <w:r>
        <w:rPr>
          <w:rFonts w:asciiTheme="minorEastAsia" w:hAnsiTheme="minorEastAsia" w:eastAsiaTheme="minorEastAsia" w:cstheme="minorEastAsia"/>
          <w:spacing w:val="4"/>
          <w:sz w:val="24"/>
          <w:szCs w:val="24"/>
        </w:rPr>
        <w:t>第</w:t>
      </w:r>
      <w:r>
        <w:rPr>
          <w:rFonts w:asciiTheme="minorEastAsia" w:hAnsiTheme="minorEastAsia" w:eastAsiaTheme="minorEastAsia" w:cstheme="minorEastAsia"/>
          <w:spacing w:val="2"/>
          <w:sz w:val="24"/>
          <w:szCs w:val="24"/>
        </w:rPr>
        <w:t>二</w:t>
      </w:r>
      <w:r>
        <w:rPr>
          <w:rFonts w:asciiTheme="minorEastAsia" w:hAnsiTheme="minorEastAsia" w:eastAsiaTheme="minorEastAsia" w:cstheme="minorEastAsia"/>
          <w:spacing w:val="4"/>
          <w:sz w:val="24"/>
          <w:szCs w:val="24"/>
        </w:rPr>
        <w:t>十</w:t>
      </w:r>
      <w:r>
        <w:rPr>
          <w:rFonts w:asciiTheme="minorEastAsia" w:hAnsiTheme="minorEastAsia" w:eastAsiaTheme="minorEastAsia" w:cstheme="minorEastAsia"/>
          <w:spacing w:val="2"/>
          <w:sz w:val="24"/>
          <w:szCs w:val="24"/>
        </w:rPr>
        <w:t>二</w:t>
      </w:r>
      <w:r>
        <w:rPr>
          <w:rFonts w:asciiTheme="minorEastAsia" w:hAnsiTheme="minorEastAsia" w:eastAsiaTheme="minorEastAsia" w:cstheme="minorEastAsia"/>
          <w:spacing w:val="4"/>
          <w:sz w:val="24"/>
          <w:szCs w:val="24"/>
        </w:rPr>
        <w:t>条</w:t>
      </w:r>
      <w:r>
        <w:rPr>
          <w:rFonts w:asciiTheme="minorEastAsia" w:hAnsiTheme="minorEastAsia" w:eastAsiaTheme="minorEastAsia" w:cstheme="minorEastAsia"/>
          <w:spacing w:val="2"/>
          <w:sz w:val="24"/>
          <w:szCs w:val="24"/>
        </w:rPr>
        <w:t>规</w:t>
      </w:r>
      <w:r>
        <w:rPr>
          <w:rFonts w:asciiTheme="minorEastAsia" w:hAnsiTheme="minorEastAsia" w:eastAsiaTheme="minorEastAsia" w:cstheme="minorEastAsia"/>
          <w:spacing w:val="4"/>
          <w:sz w:val="24"/>
          <w:szCs w:val="24"/>
        </w:rPr>
        <w:t>定条</w:t>
      </w:r>
      <w:r>
        <w:rPr>
          <w:rFonts w:asciiTheme="minorEastAsia" w:hAnsiTheme="minorEastAsia" w:eastAsiaTheme="minorEastAsia" w:cstheme="minorEastAsia"/>
          <w:spacing w:val="2"/>
          <w:sz w:val="24"/>
          <w:szCs w:val="24"/>
        </w:rPr>
        <w:t>件</w:t>
      </w:r>
      <w:r>
        <w:rPr>
          <w:rFonts w:asciiTheme="minorEastAsia" w:hAnsiTheme="minorEastAsia" w:eastAsiaTheme="minorEastAsia" w:cstheme="minorEastAsia"/>
          <w:spacing w:val="4"/>
          <w:sz w:val="24"/>
          <w:szCs w:val="24"/>
        </w:rPr>
        <w:t>的</w:t>
      </w:r>
      <w:r>
        <w:rPr>
          <w:rFonts w:asciiTheme="minorEastAsia" w:hAnsiTheme="minorEastAsia" w:eastAsiaTheme="minorEastAsia" w:cstheme="minorEastAsia"/>
          <w:spacing w:val="2"/>
          <w:sz w:val="24"/>
          <w:szCs w:val="24"/>
        </w:rPr>
        <w:t>供</w:t>
      </w:r>
      <w:r>
        <w:rPr>
          <w:rFonts w:asciiTheme="minorEastAsia" w:hAnsiTheme="minorEastAsia" w:eastAsiaTheme="minorEastAsia" w:cstheme="minorEastAsia"/>
          <w:spacing w:val="4"/>
          <w:sz w:val="24"/>
          <w:szCs w:val="24"/>
        </w:rPr>
        <w:t>应</w:t>
      </w:r>
      <w:r>
        <w:rPr>
          <w:rFonts w:asciiTheme="minorEastAsia" w:hAnsiTheme="minorEastAsia" w:eastAsiaTheme="minorEastAsia" w:cstheme="minorEastAsia"/>
          <w:spacing w:val="2"/>
          <w:sz w:val="24"/>
          <w:szCs w:val="24"/>
        </w:rPr>
        <w:t>商</w:t>
      </w:r>
      <w:r>
        <w:rPr>
          <w:rFonts w:asciiTheme="minorEastAsia" w:hAnsiTheme="minorEastAsia" w:eastAsiaTheme="minorEastAsia" w:cstheme="minorEastAsia"/>
          <w:spacing w:val="4"/>
          <w:sz w:val="24"/>
          <w:szCs w:val="24"/>
        </w:rPr>
        <w:t>，</w:t>
      </w:r>
      <w:r>
        <w:rPr>
          <w:rFonts w:asciiTheme="minorEastAsia" w:hAnsiTheme="minorEastAsia" w:eastAsiaTheme="minorEastAsia" w:cstheme="minorEastAsia"/>
          <w:spacing w:val="2"/>
          <w:sz w:val="24"/>
          <w:szCs w:val="24"/>
        </w:rPr>
        <w:t>采</w:t>
      </w:r>
      <w:r>
        <w:rPr>
          <w:rFonts w:asciiTheme="minorEastAsia" w:hAnsiTheme="minorEastAsia" w:eastAsiaTheme="minorEastAsia" w:cstheme="minorEastAsia"/>
          <w:spacing w:val="4"/>
          <w:sz w:val="24"/>
          <w:szCs w:val="24"/>
        </w:rPr>
        <w:t>购</w:t>
      </w:r>
      <w:r>
        <w:rPr>
          <w:rFonts w:asciiTheme="minorEastAsia" w:hAnsiTheme="minorEastAsia" w:eastAsiaTheme="minorEastAsia" w:cstheme="minorEastAsia"/>
          <w:spacing w:val="2"/>
          <w:sz w:val="24"/>
          <w:szCs w:val="24"/>
        </w:rPr>
        <w:t>人</w:t>
      </w:r>
      <w:r>
        <w:rPr>
          <w:rFonts w:asciiTheme="minorEastAsia" w:hAnsiTheme="minorEastAsia" w:eastAsiaTheme="minorEastAsia" w:cstheme="minorEastAsia"/>
          <w:spacing w:val="4"/>
          <w:sz w:val="24"/>
          <w:szCs w:val="24"/>
        </w:rPr>
        <w:t>、采</w:t>
      </w:r>
      <w:r>
        <w:rPr>
          <w:rFonts w:asciiTheme="minorEastAsia" w:hAnsiTheme="minorEastAsia" w:eastAsiaTheme="minorEastAsia" w:cstheme="minorEastAsia"/>
          <w:spacing w:val="2"/>
          <w:sz w:val="24"/>
          <w:szCs w:val="24"/>
        </w:rPr>
        <w:t>购</w:t>
      </w:r>
      <w:r>
        <w:rPr>
          <w:rFonts w:asciiTheme="minorEastAsia" w:hAnsiTheme="minorEastAsia" w:eastAsiaTheme="minorEastAsia" w:cstheme="minorEastAsia"/>
          <w:spacing w:val="4"/>
          <w:sz w:val="24"/>
          <w:szCs w:val="24"/>
        </w:rPr>
        <w:t>代</w:t>
      </w:r>
      <w:r>
        <w:rPr>
          <w:rFonts w:asciiTheme="minorEastAsia" w:hAnsiTheme="minorEastAsia" w:eastAsiaTheme="minorEastAsia" w:cstheme="minorEastAsia"/>
          <w:spacing w:val="2"/>
          <w:sz w:val="24"/>
          <w:szCs w:val="24"/>
        </w:rPr>
        <w:t>理</w:t>
      </w:r>
      <w:r>
        <w:rPr>
          <w:rFonts w:asciiTheme="minorEastAsia" w:hAnsiTheme="minorEastAsia" w:eastAsiaTheme="minorEastAsia" w:cstheme="minorEastAsia"/>
          <w:spacing w:val="4"/>
          <w:sz w:val="24"/>
          <w:szCs w:val="24"/>
        </w:rPr>
        <w:t>机</w:t>
      </w:r>
      <w:r>
        <w:rPr>
          <w:rFonts w:asciiTheme="minorEastAsia" w:hAnsiTheme="minorEastAsia" w:eastAsiaTheme="minorEastAsia" w:cstheme="minorEastAsia"/>
          <w:spacing w:val="2"/>
          <w:sz w:val="24"/>
          <w:szCs w:val="24"/>
        </w:rPr>
        <w:t>构</w:t>
      </w:r>
      <w:r>
        <w:rPr>
          <w:rFonts w:asciiTheme="minorEastAsia" w:hAnsiTheme="minorEastAsia" w:eastAsiaTheme="minorEastAsia" w:cstheme="minorEastAsia"/>
          <w:spacing w:val="4"/>
          <w:sz w:val="24"/>
          <w:szCs w:val="24"/>
        </w:rPr>
        <w:t>应</w:t>
      </w:r>
      <w:r>
        <w:rPr>
          <w:rFonts w:asciiTheme="minorEastAsia" w:hAnsiTheme="minorEastAsia" w:eastAsiaTheme="minorEastAsia" w:cstheme="minorEastAsia"/>
          <w:spacing w:val="2"/>
          <w:sz w:val="24"/>
          <w:szCs w:val="24"/>
        </w:rPr>
        <w:t>当拒</w:t>
      </w:r>
      <w:r>
        <w:rPr>
          <w:rFonts w:asciiTheme="minorEastAsia" w:hAnsiTheme="minorEastAsia" w:eastAsiaTheme="minorEastAsia" w:cstheme="minorEastAsia"/>
          <w:sz w:val="24"/>
          <w:szCs w:val="24"/>
        </w:rPr>
        <w:t>绝</w:t>
      </w:r>
      <w:r>
        <w:rPr>
          <w:rFonts w:asciiTheme="minorEastAsia" w:hAnsiTheme="minorEastAsia" w:eastAsiaTheme="minorEastAsia" w:cstheme="minorEastAsia"/>
          <w:spacing w:val="-2"/>
          <w:sz w:val="24"/>
          <w:szCs w:val="24"/>
        </w:rPr>
        <w:t>其参加政府采购活动。</w:t>
      </w:r>
    </w:p>
    <w:p>
      <w:pPr>
        <w:pStyle w:val="14"/>
        <w:kinsoku w:val="0"/>
        <w:overflowPunct w:val="0"/>
        <w:spacing w:line="360" w:lineRule="auto"/>
        <w:ind w:firstLine="420"/>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16"/>
          <w:sz w:val="24"/>
          <w:szCs w:val="24"/>
        </w:rPr>
        <w:t>查询渠道：失信被执行人和重大税收违法案件当事人名单（查询网址“</w:t>
      </w:r>
      <w:r>
        <w:rPr>
          <w:rFonts w:asciiTheme="minorEastAsia" w:hAnsiTheme="minorEastAsia" w:eastAsiaTheme="minorEastAsia" w:cstheme="minorEastAsia"/>
          <w:spacing w:val="14"/>
          <w:sz w:val="24"/>
          <w:szCs w:val="24"/>
        </w:rPr>
        <w:t>信用中国”网（</w:t>
      </w:r>
      <w:r>
        <w:fldChar w:fldCharType="begin"/>
      </w:r>
      <w:r>
        <w:instrText xml:space="preserve"> HYPERLINK "http://www.creditchina.gov.cn/" </w:instrText>
      </w:r>
      <w:r>
        <w:fldChar w:fldCharType="separate"/>
      </w:r>
      <w:r>
        <w:rPr>
          <w:rFonts w:asciiTheme="minorEastAsia" w:hAnsiTheme="minorEastAsia" w:eastAsiaTheme="minorEastAsia" w:cstheme="minorEastAsia"/>
          <w:spacing w:val="2"/>
          <w:sz w:val="24"/>
          <w:szCs w:val="24"/>
        </w:rPr>
        <w:t>www.creditchina.gov.cn</w:t>
      </w:r>
      <w:r>
        <w:rPr>
          <w:rFonts w:asciiTheme="minorEastAsia" w:hAnsiTheme="minorEastAsia" w:eastAsiaTheme="minorEastAsia" w:cstheme="minorEastAsia"/>
          <w:spacing w:val="2"/>
          <w:sz w:val="24"/>
          <w:szCs w:val="24"/>
        </w:rPr>
        <w:fldChar w:fldCharType="end"/>
      </w:r>
      <w:r>
        <w:rPr>
          <w:rFonts w:asciiTheme="minorEastAsia" w:hAnsiTheme="minorEastAsia" w:eastAsiaTheme="minorEastAsia" w:cstheme="minorEastAsia"/>
          <w:spacing w:val="2"/>
          <w:sz w:val="24"/>
          <w:szCs w:val="24"/>
        </w:rPr>
        <w:t>））、政府采购严重违法失信行为记录名单（查询网址“中国政府采购”网</w:t>
      </w:r>
      <w:r>
        <w:rPr>
          <w:rFonts w:asciiTheme="minorEastAsia" w:hAnsiTheme="minorEastAsia" w:eastAsiaTheme="minorEastAsia" w:cstheme="minorEastAsia"/>
          <w:sz w:val="24"/>
          <w:szCs w:val="24"/>
        </w:rPr>
        <w:t>（</w:t>
      </w:r>
      <w:r>
        <w:fldChar w:fldCharType="begin"/>
      </w:r>
      <w:r>
        <w:instrText xml:space="preserve"> HYPERLINK "http://www.ccgp.gov.cn/" </w:instrText>
      </w:r>
      <w:r>
        <w:fldChar w:fldCharType="separate"/>
      </w:r>
      <w:r>
        <w:rPr>
          <w:rFonts w:asciiTheme="minorEastAsia" w:hAnsiTheme="minorEastAsia" w:eastAsiaTheme="minorEastAsia" w:cstheme="minorEastAsia"/>
          <w:spacing w:val="-1"/>
          <w:sz w:val="24"/>
          <w:szCs w:val="24"/>
        </w:rPr>
        <w:t>www.ccgp.gov.cn</w:t>
      </w:r>
      <w:r>
        <w:rPr>
          <w:rFonts w:asciiTheme="minorEastAsia" w:hAnsiTheme="minorEastAsia" w:eastAsiaTheme="minorEastAsia" w:cstheme="minorEastAsia"/>
          <w:spacing w:val="-1"/>
          <w:sz w:val="24"/>
          <w:szCs w:val="24"/>
        </w:rPr>
        <w:fldChar w:fldCharType="end"/>
      </w:r>
      <w:r>
        <w:rPr>
          <w:rFonts w:asciiTheme="minorEastAsia" w:hAnsiTheme="minorEastAsia" w:eastAsiaTheme="minorEastAsia" w:cstheme="minorEastAsia"/>
          <w:spacing w:val="-1"/>
          <w:sz w:val="24"/>
          <w:szCs w:val="24"/>
        </w:rPr>
        <w:t>）。</w:t>
      </w:r>
    </w:p>
    <w:p>
      <w:pPr>
        <w:pStyle w:val="4"/>
        <w:kinsoku w:val="0"/>
        <w:overflowPunct w:val="0"/>
        <w:spacing w:line="360" w:lineRule="auto"/>
        <w:ind w:left="0" w:right="52"/>
        <w:jc w:val="center"/>
        <w:rPr>
          <w:rFonts w:hint="default" w:asciiTheme="minorEastAsia" w:hAnsiTheme="minorEastAsia" w:eastAsiaTheme="minorEastAsia" w:cstheme="minorEastAsia"/>
          <w:sz w:val="30"/>
          <w:szCs w:val="30"/>
        </w:rPr>
      </w:pPr>
      <w:bookmarkStart w:id="64" w:name="bookmark8"/>
      <w:bookmarkEnd w:id="64"/>
      <w:r>
        <w:rPr>
          <w:rFonts w:asciiTheme="minorEastAsia" w:hAnsiTheme="minorEastAsia" w:eastAsiaTheme="minorEastAsia" w:cstheme="minorEastAsia"/>
          <w:sz w:val="30"/>
          <w:szCs w:val="30"/>
        </w:rPr>
        <w:t>5.</w:t>
      </w:r>
      <w:r>
        <w:rPr>
          <w:rFonts w:asciiTheme="minorEastAsia" w:hAnsiTheme="minorEastAsia" w:eastAsiaTheme="minorEastAsia" w:cstheme="minorEastAsia"/>
          <w:spacing w:val="4"/>
          <w:sz w:val="30"/>
          <w:szCs w:val="30"/>
        </w:rPr>
        <w:t>开标</w:t>
      </w:r>
    </w:p>
    <w:p>
      <w:pPr>
        <w:pStyle w:val="8"/>
        <w:kinsoku w:val="0"/>
        <w:overflowPunct w:val="0"/>
        <w:spacing w:line="360" w:lineRule="auto"/>
        <w:rPr>
          <w:rFonts w:hint="default" w:asciiTheme="minorEastAsia" w:hAnsiTheme="minorEastAsia" w:eastAsiaTheme="minorEastAsia" w:cstheme="minorEastAsia"/>
          <w:b/>
          <w:bCs/>
          <w:spacing w:val="-2"/>
          <w:sz w:val="24"/>
          <w:szCs w:val="24"/>
        </w:rPr>
      </w:pPr>
      <w:bookmarkStart w:id="65" w:name="_Toc32615_WPSOffice_Level2"/>
      <w:r>
        <w:rPr>
          <w:rFonts w:asciiTheme="minorEastAsia" w:hAnsiTheme="minorEastAsia" w:eastAsiaTheme="minorEastAsia" w:cstheme="minorEastAsia"/>
          <w:b/>
          <w:bCs/>
          <w:spacing w:val="-1"/>
          <w:sz w:val="24"/>
          <w:szCs w:val="24"/>
        </w:rPr>
        <w:t>5.1</w:t>
      </w:r>
      <w:r>
        <w:rPr>
          <w:rFonts w:asciiTheme="minorEastAsia" w:hAnsiTheme="minorEastAsia" w:eastAsiaTheme="minorEastAsia" w:cstheme="minorEastAsia"/>
          <w:b/>
          <w:bCs/>
          <w:spacing w:val="-2"/>
          <w:sz w:val="24"/>
          <w:szCs w:val="24"/>
        </w:rPr>
        <w:t>开标</w:t>
      </w:r>
      <w:bookmarkEnd w:id="65"/>
    </w:p>
    <w:p>
      <w:pPr>
        <w:pStyle w:val="14"/>
        <w:kinsoku w:val="0"/>
        <w:overflowPunct w:val="0"/>
        <w:spacing w:line="360" w:lineRule="auto"/>
        <w:ind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招</w:t>
      </w:r>
      <w:r>
        <w:rPr>
          <w:rFonts w:asciiTheme="minorEastAsia" w:hAnsiTheme="minorEastAsia" w:eastAsiaTheme="minorEastAsia" w:cstheme="minorEastAsia"/>
          <w:spacing w:val="-1"/>
          <w:sz w:val="24"/>
          <w:szCs w:val="24"/>
        </w:rPr>
        <w:t>标</w:t>
      </w:r>
      <w:r>
        <w:rPr>
          <w:rFonts w:asciiTheme="minorEastAsia" w:hAnsiTheme="minorEastAsia" w:eastAsiaTheme="minorEastAsia" w:cstheme="minorEastAsia"/>
          <w:spacing w:val="-3"/>
          <w:sz w:val="24"/>
          <w:szCs w:val="24"/>
        </w:rPr>
        <w:t>人在本章</w:t>
      </w:r>
      <w:r>
        <w:rPr>
          <w:rFonts w:asciiTheme="minorEastAsia" w:hAnsiTheme="minorEastAsia" w:eastAsiaTheme="minorEastAsia" w:cstheme="minorEastAsia"/>
          <w:sz w:val="24"/>
          <w:szCs w:val="24"/>
        </w:rPr>
        <w:t>第4.2</w:t>
      </w:r>
      <w:r>
        <w:rPr>
          <w:rFonts w:asciiTheme="minorEastAsia" w:hAnsiTheme="minorEastAsia" w:eastAsiaTheme="minorEastAsia" w:cstheme="minorEastAsia"/>
          <w:spacing w:val="-5"/>
          <w:sz w:val="24"/>
          <w:szCs w:val="24"/>
        </w:rPr>
        <w:t>.</w:t>
      </w:r>
      <w:r>
        <w:rPr>
          <w:rFonts w:asciiTheme="minorEastAsia" w:hAnsiTheme="minorEastAsia" w:eastAsiaTheme="minorEastAsia" w:cstheme="minorEastAsia"/>
          <w:sz w:val="24"/>
          <w:szCs w:val="24"/>
        </w:rPr>
        <w:t xml:space="preserve">1 </w:t>
      </w:r>
      <w:r>
        <w:rPr>
          <w:rFonts w:asciiTheme="minorEastAsia" w:hAnsiTheme="minorEastAsia" w:eastAsiaTheme="minorEastAsia" w:cstheme="minorEastAsia"/>
          <w:spacing w:val="-3"/>
          <w:sz w:val="24"/>
          <w:szCs w:val="24"/>
        </w:rPr>
        <w:t>项规</w:t>
      </w:r>
      <w:r>
        <w:rPr>
          <w:rFonts w:asciiTheme="minorEastAsia" w:hAnsiTheme="minorEastAsia" w:eastAsiaTheme="minorEastAsia" w:cstheme="minorEastAsia"/>
          <w:sz w:val="24"/>
          <w:szCs w:val="24"/>
        </w:rPr>
        <w:t>定的</w:t>
      </w:r>
      <w:r>
        <w:rPr>
          <w:rFonts w:asciiTheme="minorEastAsia" w:hAnsiTheme="minorEastAsia" w:eastAsiaTheme="minorEastAsia" w:cstheme="minorEastAsia"/>
          <w:spacing w:val="-5"/>
          <w:sz w:val="24"/>
          <w:szCs w:val="24"/>
        </w:rPr>
        <w:t>投</w:t>
      </w:r>
      <w:r>
        <w:rPr>
          <w:rFonts w:asciiTheme="minorEastAsia" w:hAnsiTheme="minorEastAsia" w:eastAsiaTheme="minorEastAsia" w:cstheme="minorEastAsia"/>
          <w:sz w:val="24"/>
          <w:szCs w:val="24"/>
        </w:rPr>
        <w:t>标</w:t>
      </w:r>
      <w:r>
        <w:rPr>
          <w:rFonts w:asciiTheme="minorEastAsia" w:hAnsiTheme="minorEastAsia" w:eastAsiaTheme="minorEastAsia" w:cstheme="minorEastAsia"/>
          <w:spacing w:val="-3"/>
          <w:sz w:val="24"/>
          <w:szCs w:val="24"/>
        </w:rPr>
        <w:t>截</w:t>
      </w:r>
      <w:r>
        <w:rPr>
          <w:rFonts w:asciiTheme="minorEastAsia" w:hAnsiTheme="minorEastAsia" w:eastAsiaTheme="minorEastAsia" w:cstheme="minorEastAsia"/>
          <w:sz w:val="24"/>
          <w:szCs w:val="24"/>
        </w:rPr>
        <w:t>止</w:t>
      </w:r>
      <w:r>
        <w:rPr>
          <w:rFonts w:asciiTheme="minorEastAsia" w:hAnsiTheme="minorEastAsia" w:eastAsiaTheme="minorEastAsia" w:cstheme="minorEastAsia"/>
          <w:spacing w:val="-5"/>
          <w:sz w:val="24"/>
          <w:szCs w:val="24"/>
        </w:rPr>
        <w:t>时</w:t>
      </w:r>
      <w:r>
        <w:rPr>
          <w:rFonts w:asciiTheme="minorEastAsia" w:hAnsiTheme="minorEastAsia" w:eastAsiaTheme="minorEastAsia" w:cstheme="minorEastAsia"/>
          <w:spacing w:val="-39"/>
          <w:sz w:val="24"/>
          <w:szCs w:val="24"/>
        </w:rPr>
        <w:t>间</w:t>
      </w:r>
      <w:r>
        <w:rPr>
          <w:rFonts w:asciiTheme="minorEastAsia" w:hAnsiTheme="minorEastAsia" w:eastAsiaTheme="minorEastAsia" w:cstheme="minorEastAsia"/>
          <w:spacing w:val="-3"/>
          <w:sz w:val="24"/>
          <w:szCs w:val="24"/>
        </w:rPr>
        <w:t>（开标</w:t>
      </w:r>
      <w:r>
        <w:rPr>
          <w:rFonts w:asciiTheme="minorEastAsia" w:hAnsiTheme="minorEastAsia" w:eastAsiaTheme="minorEastAsia" w:cstheme="minorEastAsia"/>
          <w:sz w:val="24"/>
          <w:szCs w:val="24"/>
        </w:rPr>
        <w:t>时间</w:t>
      </w:r>
      <w:r>
        <w:rPr>
          <w:rFonts w:asciiTheme="minorEastAsia" w:hAnsiTheme="minorEastAsia" w:eastAsiaTheme="minorEastAsia" w:cstheme="minorEastAsia"/>
          <w:spacing w:val="-44"/>
          <w:sz w:val="24"/>
          <w:szCs w:val="24"/>
        </w:rPr>
        <w:t>）</w:t>
      </w:r>
      <w:r>
        <w:rPr>
          <w:rFonts w:asciiTheme="minorEastAsia" w:hAnsiTheme="minorEastAsia" w:eastAsiaTheme="minorEastAsia" w:cstheme="minorEastAsia"/>
          <w:sz w:val="24"/>
          <w:szCs w:val="24"/>
        </w:rPr>
        <w:t>和</w:t>
      </w:r>
      <w:r>
        <w:rPr>
          <w:rFonts w:asciiTheme="minorEastAsia" w:hAnsiTheme="minorEastAsia" w:eastAsiaTheme="minorEastAsia" w:cstheme="minorEastAsia"/>
          <w:spacing w:val="-3"/>
          <w:sz w:val="24"/>
          <w:szCs w:val="24"/>
        </w:rPr>
        <w:t>投标</w:t>
      </w:r>
      <w:r>
        <w:rPr>
          <w:rFonts w:asciiTheme="minorEastAsia" w:hAnsiTheme="minorEastAsia" w:eastAsiaTheme="minorEastAsia" w:cstheme="minorEastAsia"/>
          <w:spacing w:val="-2"/>
          <w:sz w:val="24"/>
          <w:szCs w:val="24"/>
        </w:rPr>
        <w:t>人</w:t>
      </w:r>
      <w:r>
        <w:rPr>
          <w:rFonts w:asciiTheme="minorEastAsia" w:hAnsiTheme="minorEastAsia" w:eastAsiaTheme="minorEastAsia" w:cstheme="minorEastAsia"/>
          <w:sz w:val="24"/>
          <w:szCs w:val="24"/>
        </w:rPr>
        <w:t>须</w:t>
      </w:r>
      <w:r>
        <w:rPr>
          <w:rFonts w:asciiTheme="minorEastAsia" w:hAnsiTheme="minorEastAsia" w:eastAsiaTheme="minorEastAsia" w:cstheme="minorEastAsia"/>
          <w:spacing w:val="-5"/>
          <w:sz w:val="24"/>
          <w:szCs w:val="24"/>
        </w:rPr>
        <w:t>知</w:t>
      </w:r>
      <w:r>
        <w:rPr>
          <w:rFonts w:asciiTheme="minorEastAsia" w:hAnsiTheme="minorEastAsia" w:eastAsiaTheme="minorEastAsia" w:cstheme="minorEastAsia"/>
          <w:spacing w:val="-3"/>
          <w:sz w:val="24"/>
          <w:szCs w:val="24"/>
        </w:rPr>
        <w:t>前附</w:t>
      </w:r>
      <w:r>
        <w:rPr>
          <w:rFonts w:asciiTheme="minorEastAsia" w:hAnsiTheme="minorEastAsia" w:eastAsiaTheme="minorEastAsia" w:cstheme="minorEastAsia"/>
          <w:sz w:val="24"/>
          <w:szCs w:val="24"/>
        </w:rPr>
        <w:t>表规</w:t>
      </w:r>
      <w:r>
        <w:rPr>
          <w:rFonts w:asciiTheme="minorEastAsia" w:hAnsiTheme="minorEastAsia" w:eastAsiaTheme="minorEastAsia" w:cstheme="minorEastAsia"/>
          <w:spacing w:val="-5"/>
          <w:sz w:val="24"/>
          <w:szCs w:val="24"/>
        </w:rPr>
        <w:t>定</w:t>
      </w:r>
      <w:r>
        <w:rPr>
          <w:rFonts w:asciiTheme="minorEastAsia" w:hAnsiTheme="minorEastAsia" w:eastAsiaTheme="minorEastAsia" w:cstheme="minorEastAsia"/>
          <w:sz w:val="24"/>
          <w:szCs w:val="24"/>
        </w:rPr>
        <w:t>的</w:t>
      </w:r>
      <w:r>
        <w:rPr>
          <w:rFonts w:asciiTheme="minorEastAsia" w:hAnsiTheme="minorEastAsia" w:eastAsiaTheme="minorEastAsia" w:cstheme="minorEastAsia"/>
          <w:spacing w:val="-3"/>
          <w:sz w:val="24"/>
          <w:szCs w:val="24"/>
        </w:rPr>
        <w:t>地点</w:t>
      </w:r>
      <w:r>
        <w:rPr>
          <w:rFonts w:asciiTheme="minorEastAsia" w:hAnsiTheme="minorEastAsia" w:eastAsiaTheme="minorEastAsia" w:cstheme="minorEastAsia"/>
          <w:sz w:val="24"/>
          <w:szCs w:val="24"/>
        </w:rPr>
        <w:t>公</w:t>
      </w:r>
      <w:r>
        <w:rPr>
          <w:rFonts w:asciiTheme="minorEastAsia" w:hAnsiTheme="minorEastAsia" w:eastAsiaTheme="minorEastAsia" w:cstheme="minorEastAsia"/>
          <w:spacing w:val="-3"/>
          <w:sz w:val="24"/>
          <w:szCs w:val="24"/>
        </w:rPr>
        <w:t>开</w:t>
      </w:r>
      <w:r>
        <w:rPr>
          <w:rFonts w:asciiTheme="minorEastAsia" w:hAnsiTheme="minorEastAsia" w:eastAsiaTheme="minorEastAsia" w:cstheme="minorEastAsia"/>
          <w:sz w:val="24"/>
          <w:szCs w:val="24"/>
        </w:rPr>
        <w:t>开</w:t>
      </w:r>
      <w:r>
        <w:rPr>
          <w:rFonts w:asciiTheme="minorEastAsia" w:hAnsiTheme="minorEastAsia" w:eastAsiaTheme="minorEastAsia" w:cstheme="minorEastAsia"/>
          <w:spacing w:val="-2"/>
          <w:sz w:val="24"/>
          <w:szCs w:val="24"/>
        </w:rPr>
        <w:t>标，邀请投标人参加。评标委员会成员不得参加开标活动。</w:t>
      </w:r>
    </w:p>
    <w:p>
      <w:pPr>
        <w:pStyle w:val="10"/>
        <w:kinsoku w:val="0"/>
        <w:overflowPunct w:val="0"/>
        <w:spacing w:line="360" w:lineRule="auto"/>
        <w:ind w:left="539"/>
        <w:rPr>
          <w:rFonts w:hint="default" w:asciiTheme="minorEastAsia" w:hAnsiTheme="minorEastAsia" w:eastAsiaTheme="minorEastAsia" w:cstheme="minorEastAsia"/>
          <w:szCs w:val="24"/>
        </w:rPr>
      </w:pPr>
      <w:r>
        <w:rPr>
          <w:rFonts w:asciiTheme="minorEastAsia" w:hAnsiTheme="minorEastAsia" w:eastAsiaTheme="minorEastAsia" w:cstheme="minorEastAsia"/>
          <w:szCs w:val="24"/>
        </w:rPr>
        <w:t>投标人未参加开标的，视同认可开标结果。</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投标人不足3家的，不得开标。</w:t>
      </w:r>
    </w:p>
    <w:p>
      <w:pPr>
        <w:pStyle w:val="8"/>
        <w:kinsoku w:val="0"/>
        <w:overflowPunct w:val="0"/>
        <w:spacing w:line="360" w:lineRule="auto"/>
        <w:rPr>
          <w:rFonts w:hint="default" w:asciiTheme="minorEastAsia" w:hAnsiTheme="minorEastAsia" w:eastAsiaTheme="minorEastAsia" w:cstheme="minorEastAsia"/>
          <w:b/>
          <w:bCs/>
          <w:spacing w:val="-1"/>
          <w:sz w:val="24"/>
          <w:szCs w:val="24"/>
        </w:rPr>
      </w:pPr>
      <w:bookmarkStart w:id="66" w:name="_Toc8991_WPSOffice_Level2"/>
      <w:r>
        <w:rPr>
          <w:rFonts w:asciiTheme="minorEastAsia" w:hAnsiTheme="minorEastAsia" w:eastAsiaTheme="minorEastAsia" w:cstheme="minorEastAsia"/>
          <w:b/>
          <w:bCs/>
          <w:spacing w:val="-1"/>
          <w:sz w:val="24"/>
          <w:szCs w:val="24"/>
        </w:rPr>
        <w:t>5.2开标程序</w:t>
      </w:r>
      <w:bookmarkEnd w:id="66"/>
    </w:p>
    <w:p>
      <w:pPr>
        <w:pStyle w:val="14"/>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3"/>
          <w:sz w:val="24"/>
          <w:szCs w:val="24"/>
        </w:rPr>
        <w:t>主持人按下列程序进行开标：</w:t>
      </w:r>
    </w:p>
    <w:p>
      <w:pPr>
        <w:pStyle w:val="14"/>
        <w:kinsoku w:val="0"/>
        <w:overflowPunct w:val="0"/>
        <w:spacing w:line="360" w:lineRule="auto"/>
        <w:ind w:left="698"/>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1、投标人授权委托人代表持</w:t>
      </w:r>
      <w:r>
        <w:rPr>
          <w:rFonts w:asciiTheme="minorEastAsia" w:hAnsiTheme="minorEastAsia" w:eastAsiaTheme="minorEastAsia" w:cstheme="minorEastAsia"/>
          <w:sz w:val="24"/>
          <w:szCs w:val="24"/>
        </w:rPr>
        <w:t xml:space="preserve"> CA</w:t>
      </w:r>
      <w:r>
        <w:rPr>
          <w:rFonts w:asciiTheme="minorEastAsia" w:hAnsiTheme="minorEastAsia" w:eastAsiaTheme="minorEastAsia" w:cstheme="minorEastAsia"/>
          <w:spacing w:val="-2"/>
          <w:sz w:val="24"/>
          <w:szCs w:val="24"/>
        </w:rPr>
        <w:t xml:space="preserve"> 数字证书进入开标现场。</w:t>
      </w:r>
    </w:p>
    <w:p>
      <w:pPr>
        <w:pStyle w:val="14"/>
        <w:kinsoku w:val="0"/>
        <w:overflowPunct w:val="0"/>
        <w:spacing w:line="360" w:lineRule="auto"/>
        <w:ind w:left="698"/>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1"/>
          <w:sz w:val="24"/>
          <w:szCs w:val="24"/>
        </w:rPr>
        <w:t>2、宣布开标纪律。</w:t>
      </w:r>
    </w:p>
    <w:p>
      <w:pPr>
        <w:pStyle w:val="14"/>
        <w:kinsoku w:val="0"/>
        <w:overflowPunct w:val="0"/>
        <w:spacing w:line="360" w:lineRule="auto"/>
        <w:ind w:left="698"/>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3、介绍与会各方代表。</w:t>
      </w:r>
    </w:p>
    <w:p>
      <w:pPr>
        <w:pStyle w:val="14"/>
        <w:kinsoku w:val="0"/>
        <w:overflowPunct w:val="0"/>
        <w:spacing w:line="360" w:lineRule="auto"/>
        <w:ind w:left="698"/>
        <w:rPr>
          <w:rFonts w:hint="default" w:asciiTheme="minorEastAsia" w:hAnsiTheme="minorEastAsia" w:eastAsiaTheme="minorEastAsia" w:cstheme="minorEastAsia"/>
          <w:spacing w:val="47"/>
          <w:sz w:val="24"/>
          <w:szCs w:val="24"/>
        </w:rPr>
      </w:pPr>
      <w:r>
        <w:rPr>
          <w:rFonts w:asciiTheme="minorEastAsia" w:hAnsiTheme="minorEastAsia" w:eastAsiaTheme="minorEastAsia" w:cstheme="minorEastAsia"/>
          <w:spacing w:val="-2"/>
          <w:sz w:val="24"/>
          <w:szCs w:val="24"/>
        </w:rPr>
        <w:t>4、开标顺序：按电子投标文件到达交易系统的先后顺序，分标段进行开标。</w:t>
      </w:r>
    </w:p>
    <w:p>
      <w:pPr>
        <w:pStyle w:val="14"/>
        <w:kinsoku w:val="0"/>
        <w:overflowPunct w:val="0"/>
        <w:spacing w:line="360" w:lineRule="auto"/>
        <w:ind w:left="698"/>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(1)投标人解密：开标现场投标企业使用本单位企业数字证书进行解密。</w:t>
      </w:r>
    </w:p>
    <w:p>
      <w:pPr>
        <w:pStyle w:val="14"/>
        <w:kinsoku w:val="0"/>
        <w:overflowPunct w:val="0"/>
        <w:spacing w:line="360" w:lineRule="auto"/>
        <w:ind w:left="697" w:right="126" w:firstLine="31"/>
        <w:jc w:val="both"/>
        <w:rPr>
          <w:rFonts w:hint="default" w:asciiTheme="minorEastAsia" w:hAnsiTheme="minorEastAsia" w:eastAsiaTheme="minorEastAsia" w:cstheme="minorEastAsia"/>
          <w:spacing w:val="55"/>
          <w:sz w:val="24"/>
          <w:szCs w:val="24"/>
        </w:rPr>
      </w:pPr>
      <w:r>
        <w:rPr>
          <w:rFonts w:asciiTheme="minorEastAsia" w:hAnsiTheme="minorEastAsia" w:eastAsiaTheme="minorEastAsia" w:cstheme="minorEastAsia"/>
          <w:spacing w:val="-2"/>
          <w:sz w:val="24"/>
          <w:szCs w:val="24"/>
        </w:rPr>
        <w:t>(2)招标人解密。招标人或其委托的代理机构持有本单位CA数字证书进行二次解密。</w:t>
      </w:r>
    </w:p>
    <w:p>
      <w:pPr>
        <w:pStyle w:val="14"/>
        <w:kinsoku w:val="0"/>
        <w:overflowPunct w:val="0"/>
        <w:spacing w:line="360" w:lineRule="auto"/>
        <w:ind w:firstLine="42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(3)开标现场无法解密的，由代理机构工作人员启封投标企业未加密的投标文件备用光盘，导入投标文件。若未加密光盘无法导入系统或未加密光盘内容与投标企业原上传系统的加密投标文件内容不一致的，视为投标无效。</w:t>
      </w:r>
    </w:p>
    <w:p>
      <w:pPr>
        <w:pStyle w:val="14"/>
        <w:kinsoku w:val="0"/>
        <w:overflowPunct w:val="0"/>
        <w:spacing w:line="360" w:lineRule="auto"/>
        <w:ind w:left="695"/>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(4)唱标。</w:t>
      </w:r>
    </w:p>
    <w:p>
      <w:pPr>
        <w:pStyle w:val="14"/>
        <w:kinsoku w:val="0"/>
        <w:overflowPunct w:val="0"/>
        <w:spacing w:line="360" w:lineRule="auto"/>
        <w:ind w:left="278" w:firstLine="417"/>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(5)</w:t>
      </w:r>
      <w:r>
        <w:rPr>
          <w:rFonts w:asciiTheme="minorEastAsia" w:hAnsiTheme="minorEastAsia" w:eastAsiaTheme="minorEastAsia" w:cstheme="minorEastAsia"/>
          <w:spacing w:val="-2"/>
          <w:sz w:val="24"/>
          <w:szCs w:val="24"/>
        </w:rPr>
        <w:t>投标人（或其授权委托代理人）、招标人、监督代表、等相关人员在开标记录表上签字确认，投标人（或其授权委托代理人）未签字确认的视为默认开标结果。</w:t>
      </w:r>
    </w:p>
    <w:p>
      <w:pPr>
        <w:pStyle w:val="14"/>
        <w:kinsoku w:val="0"/>
        <w:overflowPunct w:val="0"/>
        <w:spacing w:line="360" w:lineRule="auto"/>
        <w:ind w:left="698" w:right="566"/>
        <w:rPr>
          <w:rFonts w:hint="default" w:asciiTheme="minorEastAsia" w:hAnsiTheme="minorEastAsia" w:eastAsiaTheme="minorEastAsia" w:cstheme="minorEastAsia"/>
          <w:spacing w:val="22"/>
          <w:sz w:val="24"/>
          <w:szCs w:val="24"/>
        </w:rPr>
      </w:pPr>
      <w:r>
        <w:rPr>
          <w:rFonts w:asciiTheme="minorEastAsia" w:hAnsiTheme="minorEastAsia" w:eastAsiaTheme="minorEastAsia" w:cstheme="minorEastAsia"/>
          <w:spacing w:val="-1"/>
          <w:sz w:val="24"/>
          <w:szCs w:val="24"/>
        </w:rPr>
        <w:t>(6)宣布开标结束。</w:t>
      </w:r>
    </w:p>
    <w:p>
      <w:pPr>
        <w:pStyle w:val="14"/>
        <w:kinsoku w:val="0"/>
        <w:overflowPunct w:val="0"/>
        <w:spacing w:line="360" w:lineRule="auto"/>
        <w:ind w:left="698" w:right="566"/>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5、代理机构在开标结束后将招标文件和有效电子投标文件导入评标系统。</w:t>
      </w:r>
    </w:p>
    <w:p>
      <w:pPr>
        <w:pStyle w:val="8"/>
        <w:kinsoku w:val="0"/>
        <w:overflowPunct w:val="0"/>
        <w:spacing w:line="360" w:lineRule="auto"/>
        <w:rPr>
          <w:rFonts w:hint="default" w:asciiTheme="minorEastAsia" w:hAnsiTheme="minorEastAsia" w:eastAsiaTheme="minorEastAsia" w:cstheme="minorEastAsia"/>
          <w:b/>
          <w:bCs/>
          <w:spacing w:val="-1"/>
          <w:sz w:val="24"/>
          <w:szCs w:val="24"/>
        </w:rPr>
      </w:pPr>
      <w:bookmarkStart w:id="67" w:name="_Toc21230_WPSOffice_Level2"/>
      <w:r>
        <w:rPr>
          <w:rFonts w:asciiTheme="minorEastAsia" w:hAnsiTheme="minorEastAsia" w:eastAsiaTheme="minorEastAsia" w:cstheme="minorEastAsia"/>
          <w:b/>
          <w:bCs/>
          <w:spacing w:val="-1"/>
          <w:sz w:val="24"/>
          <w:szCs w:val="24"/>
        </w:rPr>
        <w:t>5.3开标疑义</w:t>
      </w:r>
      <w:bookmarkEnd w:id="67"/>
    </w:p>
    <w:p>
      <w:pPr>
        <w:pStyle w:val="14"/>
        <w:kinsoku w:val="0"/>
        <w:overflowPunct w:val="0"/>
        <w:spacing w:line="360" w:lineRule="auto"/>
        <w:ind w:firstLine="42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8"/>
        <w:kinsoku w:val="0"/>
        <w:overflowPunct w:val="0"/>
        <w:spacing w:line="360" w:lineRule="auto"/>
        <w:rPr>
          <w:rFonts w:hint="default" w:asciiTheme="minorEastAsia" w:hAnsiTheme="minorEastAsia" w:eastAsiaTheme="minorEastAsia" w:cstheme="minorEastAsia"/>
          <w:b/>
          <w:bCs/>
          <w:sz w:val="24"/>
          <w:szCs w:val="24"/>
        </w:rPr>
      </w:pPr>
      <w:bookmarkStart w:id="68" w:name="bookmark9"/>
      <w:bookmarkEnd w:id="68"/>
      <w:bookmarkStart w:id="69" w:name="_Toc22476_WPSOffice_Level2"/>
      <w:r>
        <w:rPr>
          <w:rFonts w:asciiTheme="minorEastAsia" w:hAnsiTheme="minorEastAsia" w:eastAsiaTheme="minorEastAsia" w:cstheme="minorEastAsia"/>
          <w:b/>
          <w:bCs/>
          <w:sz w:val="24"/>
          <w:szCs w:val="24"/>
        </w:rPr>
        <w:t>6.1资格审查</w:t>
      </w:r>
      <w:bookmarkEnd w:id="69"/>
    </w:p>
    <w:p>
      <w:pPr>
        <w:pStyle w:val="8"/>
        <w:kinsoku w:val="0"/>
        <w:overflowPunct w:val="0"/>
        <w:spacing w:line="360" w:lineRule="auto"/>
        <w:ind w:right="-1891" w:rightChars="-788"/>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t>6. 初步评审</w:t>
      </w:r>
    </w:p>
    <w:p>
      <w:pPr>
        <w:pStyle w:val="8"/>
        <w:kinsoku w:val="0"/>
        <w:overflowPunct w:val="0"/>
        <w:spacing w:line="360" w:lineRule="auto"/>
        <w:ind w:right="-94" w:rightChars="-39" w:firstLine="244" w:firstLineChars="10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6.1.1公开招标采购项目开标结束后，采购人或者采购代理机构应当依法对投标人的资格进行审查。</w:t>
      </w:r>
    </w:p>
    <w:p>
      <w:pPr>
        <w:pStyle w:val="14"/>
        <w:kinsoku w:val="0"/>
        <w:overflowPunct w:val="0"/>
        <w:spacing w:line="360" w:lineRule="auto"/>
        <w:ind w:left="53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6.1.2合格投标人不足3家的，不得评标。</w:t>
      </w:r>
    </w:p>
    <w:p>
      <w:pPr>
        <w:pStyle w:val="14"/>
        <w:kinsoku w:val="0"/>
        <w:overflowPunct w:val="0"/>
        <w:spacing w:line="360" w:lineRule="auto"/>
        <w:ind w:left="53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6.1.3资格审查标准见第三章。</w:t>
      </w:r>
    </w:p>
    <w:p>
      <w:pPr>
        <w:pStyle w:val="8"/>
        <w:kinsoku w:val="0"/>
        <w:overflowPunct w:val="0"/>
        <w:spacing w:line="360" w:lineRule="auto"/>
        <w:rPr>
          <w:rFonts w:hint="default" w:asciiTheme="minorEastAsia" w:hAnsiTheme="minorEastAsia" w:eastAsiaTheme="minorEastAsia" w:cstheme="minorEastAsia"/>
          <w:b/>
          <w:bCs/>
          <w:sz w:val="24"/>
          <w:szCs w:val="24"/>
        </w:rPr>
      </w:pPr>
      <w:bookmarkStart w:id="70" w:name="_Toc7365_WPSOffice_Level2"/>
      <w:r>
        <w:rPr>
          <w:rFonts w:asciiTheme="minorEastAsia" w:hAnsiTheme="minorEastAsia" w:eastAsiaTheme="minorEastAsia" w:cstheme="minorEastAsia"/>
          <w:b/>
          <w:bCs/>
          <w:sz w:val="24"/>
          <w:szCs w:val="24"/>
        </w:rPr>
        <w:t>6.2符合性审查</w:t>
      </w:r>
      <w:bookmarkEnd w:id="70"/>
    </w:p>
    <w:p>
      <w:pPr>
        <w:pStyle w:val="14"/>
        <w:kinsoku w:val="0"/>
        <w:overflowPunct w:val="0"/>
        <w:spacing w:line="360" w:lineRule="auto"/>
        <w:ind w:firstLine="42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评标委员会应当对符合资格的投标人的投标文件进行符合性评审，以确定其是否满足招标文件的实质性要求。</w:t>
      </w:r>
    </w:p>
    <w:p>
      <w:pPr>
        <w:pStyle w:val="14"/>
        <w:kinsoku w:val="0"/>
        <w:overflowPunct w:val="0"/>
        <w:spacing w:line="360" w:lineRule="auto"/>
        <w:ind w:left="53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符合性评审标准见第三章。</w:t>
      </w:r>
    </w:p>
    <w:p>
      <w:pPr>
        <w:pStyle w:val="4"/>
        <w:kinsoku w:val="0"/>
        <w:overflowPunct w:val="0"/>
        <w:spacing w:line="360" w:lineRule="auto"/>
        <w:ind w:left="0" w:right="231"/>
        <w:jc w:val="center"/>
        <w:rPr>
          <w:rFonts w:hint="default" w:asciiTheme="minorEastAsia" w:hAnsiTheme="minorEastAsia" w:eastAsiaTheme="minorEastAsia" w:cstheme="minorEastAsia"/>
          <w:sz w:val="30"/>
          <w:szCs w:val="30"/>
        </w:rPr>
      </w:pPr>
      <w:bookmarkStart w:id="71" w:name="bookmark10"/>
      <w:bookmarkEnd w:id="71"/>
      <w:r>
        <w:rPr>
          <w:rFonts w:asciiTheme="minorEastAsia" w:hAnsiTheme="minorEastAsia" w:eastAsiaTheme="minorEastAsia" w:cstheme="minorEastAsia"/>
          <w:sz w:val="30"/>
          <w:szCs w:val="30"/>
        </w:rPr>
        <w:t>7、评标</w:t>
      </w:r>
    </w:p>
    <w:p>
      <w:pPr>
        <w:pStyle w:val="8"/>
        <w:kinsoku w:val="0"/>
        <w:overflowPunct w:val="0"/>
        <w:spacing w:line="360" w:lineRule="auto"/>
        <w:rPr>
          <w:rFonts w:hint="default" w:asciiTheme="minorEastAsia" w:hAnsiTheme="minorEastAsia" w:eastAsiaTheme="minorEastAsia" w:cstheme="minorEastAsia"/>
          <w:b/>
          <w:bCs/>
          <w:spacing w:val="-1"/>
          <w:sz w:val="24"/>
          <w:szCs w:val="24"/>
        </w:rPr>
      </w:pPr>
      <w:bookmarkStart w:id="72" w:name="_Toc25037_WPSOffice_Level2"/>
      <w:r>
        <w:rPr>
          <w:rFonts w:asciiTheme="minorEastAsia" w:hAnsiTheme="minorEastAsia" w:eastAsiaTheme="minorEastAsia" w:cstheme="minorEastAsia"/>
          <w:b/>
          <w:bCs/>
          <w:sz w:val="24"/>
          <w:szCs w:val="24"/>
        </w:rPr>
        <w:t>7.1</w:t>
      </w:r>
      <w:r>
        <w:rPr>
          <w:rFonts w:asciiTheme="minorEastAsia" w:hAnsiTheme="minorEastAsia" w:eastAsiaTheme="minorEastAsia" w:cstheme="minorEastAsia"/>
          <w:b/>
          <w:bCs/>
          <w:spacing w:val="-1"/>
          <w:sz w:val="24"/>
          <w:szCs w:val="24"/>
        </w:rPr>
        <w:t>评标委员会</w:t>
      </w:r>
      <w:bookmarkEnd w:id="72"/>
    </w:p>
    <w:p>
      <w:pPr>
        <w:pStyle w:val="14"/>
        <w:kinsoku w:val="0"/>
        <w:overflowPunct w:val="0"/>
        <w:spacing w:line="360" w:lineRule="auto"/>
        <w:ind w:right="146" w:firstLine="420"/>
        <w:rPr>
          <w:rFonts w:hint="default" w:asciiTheme="minorEastAsia" w:hAnsiTheme="minorEastAsia" w:eastAsiaTheme="minorEastAsia" w:cstheme="minorEastAsia"/>
          <w:spacing w:val="34"/>
          <w:sz w:val="24"/>
          <w:szCs w:val="24"/>
        </w:rPr>
      </w:pPr>
      <w:r>
        <w:rPr>
          <w:rFonts w:asciiTheme="minorEastAsia" w:hAnsiTheme="minorEastAsia" w:eastAsiaTheme="minorEastAsia" w:cstheme="minorEastAsia"/>
          <w:sz w:val="24"/>
          <w:szCs w:val="24"/>
        </w:rPr>
        <w:t>7.1.1评标由招标人依法组建的评标委员会负责。评标委员会由招标人代表，以及有关技术、经济等方面的专家组成。评标委员会成员人数以及技术、经济等方面专家的确定方</w:t>
      </w:r>
      <w:r>
        <w:rPr>
          <w:rFonts w:asciiTheme="minorEastAsia" w:hAnsiTheme="minorEastAsia" w:eastAsiaTheme="minorEastAsia" w:cstheme="minorEastAsia"/>
          <w:spacing w:val="-3"/>
          <w:sz w:val="24"/>
          <w:szCs w:val="24"/>
        </w:rPr>
        <w:t>式见投标人须知前附表。</w:t>
      </w:r>
    </w:p>
    <w:p>
      <w:pPr>
        <w:pStyle w:val="14"/>
        <w:kinsoku w:val="0"/>
        <w:overflowPunct w:val="0"/>
        <w:spacing w:line="360" w:lineRule="auto"/>
        <w:ind w:right="146" w:firstLine="420"/>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2"/>
          <w:sz w:val="24"/>
          <w:szCs w:val="24"/>
        </w:rPr>
        <w:t>7.1.2评标中因评标委员会成员缺席、回避或者健康等特殊原因导致评标委员会组成不符合本办法</w:t>
      </w:r>
      <w:r>
        <w:rPr>
          <w:rFonts w:asciiTheme="minorEastAsia" w:hAnsiTheme="minorEastAsia" w:eastAsiaTheme="minorEastAsia" w:cstheme="minorEastAsia"/>
          <w:sz w:val="24"/>
          <w:szCs w:val="24"/>
        </w:rPr>
        <w:t>规定的，采购人或者采购代理机构应当依法补足后继续评标。被更换的评标委员会成员所作出的评标意</w:t>
      </w:r>
      <w:r>
        <w:rPr>
          <w:rFonts w:asciiTheme="minorEastAsia" w:hAnsiTheme="minorEastAsia" w:eastAsiaTheme="minorEastAsia" w:cstheme="minorEastAsia"/>
          <w:spacing w:val="-1"/>
          <w:sz w:val="24"/>
          <w:szCs w:val="24"/>
        </w:rPr>
        <w:t>见无效。</w:t>
      </w:r>
    </w:p>
    <w:p>
      <w:pPr>
        <w:pStyle w:val="14"/>
        <w:kinsoku w:val="0"/>
        <w:overflowPunct w:val="0"/>
        <w:spacing w:line="360" w:lineRule="auto"/>
        <w:ind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无法及时补足评标委员会成员的，采购人或者采购代理机构应当停止评标活动，封存所有投标文件</w:t>
      </w:r>
      <w:r>
        <w:rPr>
          <w:rFonts w:asciiTheme="minorEastAsia" w:hAnsiTheme="minorEastAsia" w:eastAsiaTheme="minorEastAsia" w:cstheme="minorEastAsia"/>
          <w:spacing w:val="-2"/>
          <w:sz w:val="24"/>
          <w:szCs w:val="24"/>
        </w:rPr>
        <w:t>和开标、评标资料，依法重新组建评标委员会进行评标。原评标委员会所作出的评标意见无效。</w:t>
      </w:r>
    </w:p>
    <w:p>
      <w:pPr>
        <w:pStyle w:val="14"/>
        <w:kinsoku w:val="0"/>
        <w:overflowPunct w:val="0"/>
        <w:spacing w:line="360" w:lineRule="auto"/>
        <w:ind w:firstLine="42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采购人或者采购代理机构应当将变更、重新组建评标委员会的情况予以记录，并随采购文件一并存档。</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7.1.3评标委员会成员名单在评标结果公告前应当保密。</w:t>
      </w:r>
    </w:p>
    <w:p>
      <w:pPr>
        <w:pStyle w:val="8"/>
        <w:kinsoku w:val="0"/>
        <w:overflowPunct w:val="0"/>
        <w:spacing w:line="360" w:lineRule="auto"/>
        <w:rPr>
          <w:rFonts w:hint="default" w:asciiTheme="minorEastAsia" w:hAnsiTheme="minorEastAsia" w:eastAsiaTheme="minorEastAsia" w:cstheme="minorEastAsia"/>
          <w:b/>
          <w:bCs/>
          <w:spacing w:val="-1"/>
          <w:sz w:val="24"/>
          <w:szCs w:val="24"/>
        </w:rPr>
      </w:pPr>
      <w:bookmarkStart w:id="73" w:name="_Toc27338_WPSOffice_Level2"/>
      <w:r>
        <w:rPr>
          <w:rFonts w:asciiTheme="minorEastAsia" w:hAnsiTheme="minorEastAsia" w:eastAsiaTheme="minorEastAsia" w:cstheme="minorEastAsia"/>
          <w:b/>
          <w:bCs/>
          <w:sz w:val="24"/>
          <w:szCs w:val="24"/>
        </w:rPr>
        <w:t>7.2</w:t>
      </w:r>
      <w:r>
        <w:rPr>
          <w:rFonts w:asciiTheme="minorEastAsia" w:hAnsiTheme="minorEastAsia" w:eastAsiaTheme="minorEastAsia" w:cstheme="minorEastAsia"/>
          <w:b/>
          <w:bCs/>
          <w:spacing w:val="-1"/>
          <w:sz w:val="24"/>
          <w:szCs w:val="24"/>
        </w:rPr>
        <w:t>评标原则</w:t>
      </w:r>
      <w:bookmarkEnd w:id="73"/>
    </w:p>
    <w:p>
      <w:pPr>
        <w:pStyle w:val="14"/>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3"/>
          <w:sz w:val="24"/>
          <w:szCs w:val="24"/>
        </w:rPr>
        <w:t>评标活动遵循公平、公正、科学和择优的原则。</w:t>
      </w:r>
    </w:p>
    <w:p>
      <w:pPr>
        <w:pStyle w:val="8"/>
        <w:kinsoku w:val="0"/>
        <w:overflowPunct w:val="0"/>
        <w:spacing w:line="360" w:lineRule="auto"/>
        <w:rPr>
          <w:rFonts w:hint="default" w:asciiTheme="minorEastAsia" w:hAnsiTheme="minorEastAsia" w:eastAsiaTheme="minorEastAsia" w:cstheme="minorEastAsia"/>
          <w:b/>
          <w:bCs/>
          <w:sz w:val="24"/>
          <w:szCs w:val="24"/>
        </w:rPr>
      </w:pPr>
      <w:bookmarkStart w:id="74" w:name="_Toc19401_WPSOffice_Level2"/>
      <w:r>
        <w:rPr>
          <w:rFonts w:asciiTheme="minorEastAsia" w:hAnsiTheme="minorEastAsia" w:eastAsiaTheme="minorEastAsia" w:cstheme="minorEastAsia"/>
          <w:b/>
          <w:bCs/>
          <w:sz w:val="24"/>
          <w:szCs w:val="24"/>
        </w:rPr>
        <w:t>7.3评标</w:t>
      </w:r>
      <w:bookmarkEnd w:id="74"/>
    </w:p>
    <w:p>
      <w:pPr>
        <w:pStyle w:val="14"/>
        <w:kinsoku w:val="0"/>
        <w:overflowPunct w:val="0"/>
        <w:spacing w:line="360" w:lineRule="auto"/>
        <w:ind w:firstLine="42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3"/>
          <w:sz w:val="24"/>
          <w:szCs w:val="24"/>
        </w:rPr>
        <w:t>7.3.1评标委员会应当按照招标文件中规定的评标方法和标准，对初步评审合格的投标文件进行商</w:t>
      </w:r>
      <w:r>
        <w:rPr>
          <w:rFonts w:asciiTheme="minorEastAsia" w:hAnsiTheme="minorEastAsia" w:eastAsiaTheme="minorEastAsia" w:cstheme="minorEastAsia"/>
          <w:spacing w:val="-3"/>
          <w:sz w:val="24"/>
          <w:szCs w:val="24"/>
        </w:rPr>
        <w:t>务和技术评估，综合比较与评价。招标文件没有规定的评标方法、评审因素和标准，不作为评标依据。</w:t>
      </w:r>
    </w:p>
    <w:p>
      <w:pPr>
        <w:pStyle w:val="14"/>
        <w:kinsoku w:val="0"/>
        <w:overflowPunct w:val="0"/>
        <w:spacing w:line="360" w:lineRule="auto"/>
        <w:ind w:firstLine="420"/>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2"/>
          <w:sz w:val="24"/>
          <w:szCs w:val="24"/>
        </w:rPr>
        <w:t>7.3.2评标时，评标委员会各成员应当独立对每个投标人的投标文件进行评价，并汇总每个投标人</w:t>
      </w:r>
      <w:r>
        <w:rPr>
          <w:rFonts w:asciiTheme="minorEastAsia" w:hAnsiTheme="minorEastAsia" w:eastAsiaTheme="minorEastAsia" w:cstheme="minorEastAsia"/>
          <w:spacing w:val="-1"/>
          <w:sz w:val="24"/>
          <w:szCs w:val="24"/>
        </w:rPr>
        <w:t>的得分。</w:t>
      </w:r>
    </w:p>
    <w:p>
      <w:pPr>
        <w:pStyle w:val="14"/>
        <w:kinsoku w:val="0"/>
        <w:overflowPunct w:val="0"/>
        <w:spacing w:line="360" w:lineRule="auto"/>
        <w:ind w:firstLine="420"/>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评标完成后，评标委员会应当向招标人提交书面评标报告和中标候选人名单。评标委员会推荐中标</w:t>
      </w:r>
      <w:r>
        <w:rPr>
          <w:rFonts w:asciiTheme="minorEastAsia" w:hAnsiTheme="minorEastAsia" w:eastAsiaTheme="minorEastAsia" w:cstheme="minorEastAsia"/>
          <w:spacing w:val="-3"/>
          <w:sz w:val="24"/>
          <w:szCs w:val="24"/>
        </w:rPr>
        <w:t>候选人的人数见投标人须知前附表。</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7.3.3评标委员会负责具体评标事务，并独立履行下列职责：</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（一）审查、评价投标文件是否符合招标文件的商务、技术等实质性要求；</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（二）要求投标人对投标文件有关事项作出澄清或者说明；</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（三）对投标文件进行比较和评价；</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（四）确定中标候选人名单，以及根据采购人委托直接确定中标人；</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（五）向采购人、采购代理机构或者有关部门报告评标中发现的违法行为。</w:t>
      </w:r>
    </w:p>
    <w:p>
      <w:pPr>
        <w:pStyle w:val="8"/>
        <w:tabs>
          <w:tab w:val="left" w:pos="1245"/>
        </w:tabs>
        <w:kinsoku w:val="0"/>
        <w:overflowPunct w:val="0"/>
        <w:spacing w:line="360" w:lineRule="auto"/>
        <w:ind w:left="537"/>
        <w:rPr>
          <w:rFonts w:hint="default" w:asciiTheme="minorEastAsia" w:hAnsiTheme="minorEastAsia" w:eastAsiaTheme="minorEastAsia" w:cstheme="minorEastAsia"/>
          <w:b/>
          <w:bCs/>
          <w:sz w:val="24"/>
          <w:szCs w:val="24"/>
        </w:rPr>
      </w:pPr>
      <w:bookmarkStart w:id="75" w:name="_Toc26713_WPSOffice_Level2"/>
      <w:r>
        <w:rPr>
          <w:rFonts w:asciiTheme="minorEastAsia" w:hAnsiTheme="minorEastAsia" w:eastAsiaTheme="minorEastAsia" w:cstheme="minorEastAsia"/>
          <w:b/>
          <w:bCs/>
          <w:sz w:val="24"/>
          <w:szCs w:val="24"/>
        </w:rPr>
        <w:t>7.4</w:t>
      </w:r>
      <w:r>
        <w:rPr>
          <w:rFonts w:asciiTheme="minorEastAsia" w:hAnsiTheme="minorEastAsia" w:eastAsiaTheme="minorEastAsia" w:cstheme="minorEastAsia"/>
          <w:b/>
          <w:bCs/>
          <w:sz w:val="24"/>
          <w:szCs w:val="24"/>
        </w:rPr>
        <w:tab/>
      </w:r>
      <w:r>
        <w:rPr>
          <w:rFonts w:asciiTheme="minorEastAsia" w:hAnsiTheme="minorEastAsia" w:eastAsiaTheme="minorEastAsia" w:cstheme="minorEastAsia"/>
          <w:b/>
          <w:bCs/>
          <w:sz w:val="24"/>
          <w:szCs w:val="24"/>
        </w:rPr>
        <w:t>废标</w:t>
      </w:r>
      <w:bookmarkEnd w:id="75"/>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招标采购中，出现下列情形之一的，应予废标：</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（一）符合专业条件的供应商或者对招标文件作实质响应的供应商不足三家的；</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（二）出现影响采购公正的违法、违规行为的；</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（三）投标人的报价均超过了采购预算，采购人不能支付的；</w:t>
      </w:r>
    </w:p>
    <w:p>
      <w:pPr>
        <w:pStyle w:val="14"/>
        <w:kinsoku w:val="0"/>
        <w:overflowPunct w:val="0"/>
        <w:spacing w:line="360" w:lineRule="auto"/>
        <w:ind w:left="539"/>
        <w:rPr>
          <w:rFonts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（四）因重大变故，采购任务取消的。废标后，采购人应当将废标理由通知所有投标人</w:t>
      </w:r>
    </w:p>
    <w:p>
      <w:pPr>
        <w:ind w:firstLine="474" w:firstLineChars="200"/>
        <w:rPr>
          <w:rFonts w:hint="eastAsia" w:asciiTheme="minorEastAsia" w:hAnsiTheme="minorEastAsia" w:eastAsiaTheme="minorEastAsia" w:cstheme="minorEastAsia"/>
          <w:b/>
          <w:bCs/>
          <w:spacing w:val="-2"/>
          <w:sz w:val="24"/>
          <w:szCs w:val="24"/>
        </w:rPr>
      </w:pPr>
      <w:r>
        <w:rPr>
          <w:rFonts w:hint="eastAsia" w:asciiTheme="minorEastAsia" w:hAnsiTheme="minorEastAsia" w:eastAsiaTheme="minorEastAsia" w:cstheme="minorEastAsia"/>
          <w:b/>
          <w:bCs/>
          <w:spacing w:val="-2"/>
          <w:sz w:val="24"/>
          <w:szCs w:val="24"/>
        </w:rPr>
        <w:t>（</w:t>
      </w:r>
      <w:r>
        <w:rPr>
          <w:rFonts w:hint="eastAsia" w:asciiTheme="minorEastAsia" w:hAnsiTheme="minorEastAsia" w:eastAsiaTheme="minorEastAsia" w:cstheme="minorEastAsia"/>
          <w:b/>
          <w:bCs/>
          <w:spacing w:val="-2"/>
          <w:sz w:val="24"/>
          <w:szCs w:val="24"/>
          <w:lang w:eastAsia="zh-CN"/>
        </w:rPr>
        <w:t>五</w:t>
      </w:r>
      <w:r>
        <w:rPr>
          <w:rFonts w:hint="eastAsia" w:asciiTheme="minorEastAsia" w:hAnsiTheme="minorEastAsia" w:eastAsiaTheme="minorEastAsia" w:cstheme="minorEastAsia"/>
          <w:b/>
          <w:bCs/>
          <w:spacing w:val="-2"/>
          <w:sz w:val="24"/>
          <w:szCs w:val="24"/>
        </w:rPr>
        <w:t>）投标文件制作机器码一致的；</w:t>
      </w:r>
    </w:p>
    <w:p>
      <w:pPr>
        <w:pStyle w:val="26"/>
        <w:ind w:left="0" w:leftChars="0" w:firstLine="0" w:firstLineChars="0"/>
        <w:rPr>
          <w:rFonts w:hint="default" w:asciiTheme="minorEastAsia" w:hAnsiTheme="minorEastAsia" w:eastAsiaTheme="minorEastAsia" w:cstheme="minorEastAsia"/>
          <w:spacing w:val="-2"/>
          <w:sz w:val="24"/>
          <w:szCs w:val="24"/>
        </w:rPr>
      </w:pPr>
    </w:p>
    <w:p>
      <w:pPr>
        <w:pStyle w:val="4"/>
        <w:kinsoku w:val="0"/>
        <w:overflowPunct w:val="0"/>
        <w:spacing w:line="360" w:lineRule="auto"/>
        <w:ind w:left="0" w:right="50"/>
        <w:jc w:val="center"/>
        <w:rPr>
          <w:rFonts w:hint="default" w:asciiTheme="minorEastAsia" w:hAnsiTheme="minorEastAsia" w:eastAsiaTheme="minorEastAsia" w:cstheme="minorEastAsia"/>
          <w:b w:val="0"/>
          <w:sz w:val="30"/>
          <w:szCs w:val="30"/>
        </w:rPr>
      </w:pPr>
      <w:bookmarkStart w:id="76" w:name="bookmark11"/>
      <w:bookmarkEnd w:id="76"/>
      <w:r>
        <w:rPr>
          <w:rFonts w:asciiTheme="minorEastAsia" w:hAnsiTheme="minorEastAsia" w:eastAsiaTheme="minorEastAsia" w:cstheme="minorEastAsia"/>
          <w:sz w:val="30"/>
          <w:szCs w:val="30"/>
        </w:rPr>
        <w:t>8.</w:t>
      </w:r>
      <w:r>
        <w:rPr>
          <w:rFonts w:asciiTheme="minorEastAsia" w:hAnsiTheme="minorEastAsia" w:eastAsiaTheme="minorEastAsia" w:cstheme="minorEastAsia"/>
          <w:spacing w:val="4"/>
          <w:sz w:val="30"/>
          <w:szCs w:val="30"/>
        </w:rPr>
        <w:t>合</w:t>
      </w:r>
      <w:r>
        <w:rPr>
          <w:rFonts w:asciiTheme="minorEastAsia" w:hAnsiTheme="minorEastAsia" w:eastAsiaTheme="minorEastAsia" w:cstheme="minorEastAsia"/>
          <w:spacing w:val="2"/>
          <w:sz w:val="30"/>
          <w:szCs w:val="30"/>
        </w:rPr>
        <w:t>同授</w:t>
      </w:r>
      <w:r>
        <w:rPr>
          <w:rFonts w:asciiTheme="minorEastAsia" w:hAnsiTheme="minorEastAsia" w:eastAsiaTheme="minorEastAsia" w:cstheme="minorEastAsia"/>
          <w:sz w:val="30"/>
          <w:szCs w:val="30"/>
        </w:rPr>
        <w:t>予</w:t>
      </w:r>
    </w:p>
    <w:p>
      <w:pPr>
        <w:pStyle w:val="8"/>
        <w:tabs>
          <w:tab w:val="left" w:pos="959"/>
        </w:tabs>
        <w:kinsoku w:val="0"/>
        <w:overflowPunct w:val="0"/>
        <w:spacing w:line="360" w:lineRule="auto"/>
        <w:rPr>
          <w:rFonts w:hint="default" w:asciiTheme="minorEastAsia" w:hAnsiTheme="minorEastAsia" w:eastAsiaTheme="minorEastAsia" w:cstheme="minorEastAsia"/>
          <w:b/>
          <w:bCs/>
          <w:sz w:val="24"/>
          <w:szCs w:val="24"/>
        </w:rPr>
      </w:pPr>
      <w:bookmarkStart w:id="77" w:name="_Toc31153_WPSOffice_Level2"/>
      <w:r>
        <w:rPr>
          <w:rFonts w:asciiTheme="minorEastAsia" w:hAnsiTheme="minorEastAsia" w:eastAsiaTheme="minorEastAsia" w:cstheme="minorEastAsia"/>
          <w:b/>
          <w:bCs/>
          <w:sz w:val="24"/>
          <w:szCs w:val="24"/>
        </w:rPr>
        <w:t>8.1</w:t>
      </w:r>
      <w:r>
        <w:rPr>
          <w:rFonts w:asciiTheme="minorEastAsia" w:hAnsiTheme="minorEastAsia" w:eastAsiaTheme="minorEastAsia" w:cstheme="minorEastAsia"/>
          <w:b/>
          <w:bCs/>
          <w:sz w:val="24"/>
          <w:szCs w:val="24"/>
        </w:rPr>
        <w:tab/>
      </w:r>
      <w:r>
        <w:rPr>
          <w:rFonts w:asciiTheme="minorEastAsia" w:hAnsiTheme="minorEastAsia" w:eastAsiaTheme="minorEastAsia" w:cstheme="minorEastAsia"/>
          <w:b/>
          <w:bCs/>
          <w:sz w:val="24"/>
          <w:szCs w:val="24"/>
        </w:rPr>
        <w:t>定标</w:t>
      </w:r>
      <w:bookmarkEnd w:id="77"/>
    </w:p>
    <w:p>
      <w:pPr>
        <w:pStyle w:val="14"/>
        <w:kinsoku w:val="0"/>
        <w:overflowPunct w:val="0"/>
        <w:spacing w:line="360" w:lineRule="auto"/>
        <w:ind w:firstLine="472" w:firstLineChars="20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按照投标人须知前附表的规定，招标人或招标人授权的评标委员会依法确定中标人。</w:t>
      </w:r>
      <w:r>
        <w:rPr>
          <w:rFonts w:asciiTheme="minorEastAsia" w:hAnsiTheme="minorEastAsia" w:eastAsiaTheme="minorEastAsia" w:cstheme="minorEastAsia"/>
          <w:sz w:val="24"/>
          <w:szCs w:val="24"/>
        </w:rPr>
        <w:t>中标或者成交供应商拒绝与采购人签订合同的，采购人可以按照评审报告推荐的中标或者成交候选</w:t>
      </w:r>
      <w:r>
        <w:rPr>
          <w:rFonts w:asciiTheme="minorEastAsia" w:hAnsiTheme="minorEastAsia" w:eastAsiaTheme="minorEastAsia" w:cstheme="minorEastAsia"/>
          <w:spacing w:val="-2"/>
          <w:sz w:val="24"/>
          <w:szCs w:val="24"/>
        </w:rPr>
        <w:t>人名单排序，确定下一候选人为中标或者成交供应商，也可以重新开展政府采购活动。</w:t>
      </w:r>
    </w:p>
    <w:p>
      <w:pPr>
        <w:pStyle w:val="8"/>
        <w:kinsoku w:val="0"/>
        <w:overflowPunct w:val="0"/>
        <w:spacing w:line="360" w:lineRule="auto"/>
        <w:jc w:val="both"/>
        <w:rPr>
          <w:rFonts w:hint="default" w:asciiTheme="minorEastAsia" w:hAnsiTheme="minorEastAsia" w:eastAsiaTheme="minorEastAsia" w:cstheme="minorEastAsia"/>
          <w:b/>
          <w:bCs/>
          <w:sz w:val="24"/>
          <w:szCs w:val="24"/>
        </w:rPr>
      </w:pPr>
      <w:bookmarkStart w:id="78" w:name="_Toc24452_WPSOffice_Level2"/>
      <w:r>
        <w:rPr>
          <w:rFonts w:asciiTheme="minorEastAsia" w:hAnsiTheme="minorEastAsia" w:eastAsiaTheme="minorEastAsia" w:cstheme="minorEastAsia"/>
          <w:b/>
          <w:bCs/>
          <w:sz w:val="24"/>
          <w:szCs w:val="24"/>
        </w:rPr>
        <w:t>8.2中标、成交结果公告</w:t>
      </w:r>
      <w:bookmarkEnd w:id="78"/>
    </w:p>
    <w:p>
      <w:pPr>
        <w:pStyle w:val="14"/>
        <w:kinsoku w:val="0"/>
        <w:overflowPunct w:val="0"/>
        <w:spacing w:line="360" w:lineRule="auto"/>
        <w:ind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3"/>
          <w:sz w:val="24"/>
          <w:szCs w:val="24"/>
        </w:rPr>
        <w:t>采购代理机构应当自评审结束之日起2个工作日内将评审报告送交采购人。采购人应当自收到评审</w:t>
      </w:r>
      <w:r>
        <w:rPr>
          <w:rFonts w:asciiTheme="minorEastAsia" w:hAnsiTheme="minorEastAsia" w:eastAsiaTheme="minorEastAsia" w:cstheme="minorEastAsia"/>
          <w:spacing w:val="-2"/>
          <w:sz w:val="24"/>
          <w:szCs w:val="24"/>
        </w:rPr>
        <w:t>报告之日起5个工作日内在评审报告推荐的中标或者成交候选人中按顺序确定中标或者成交供应商。</w:t>
      </w:r>
    </w:p>
    <w:p>
      <w:pPr>
        <w:pStyle w:val="14"/>
        <w:kinsoku w:val="0"/>
        <w:overflowPunct w:val="0"/>
        <w:spacing w:line="360" w:lineRule="auto"/>
        <w:ind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3"/>
          <w:sz w:val="24"/>
          <w:szCs w:val="24"/>
        </w:rPr>
        <w:t>采购人或者采购代理机构应当自中标、成交供应商确定之日起2个工作日内，发出中标、成交通知</w:t>
      </w:r>
      <w:r>
        <w:rPr>
          <w:rFonts w:asciiTheme="minorEastAsia" w:hAnsiTheme="minorEastAsia" w:eastAsiaTheme="minorEastAsia" w:cstheme="minorEastAsia"/>
          <w:spacing w:val="-2"/>
          <w:sz w:val="24"/>
          <w:szCs w:val="24"/>
        </w:rPr>
        <w:t>书，并在省级以上人民政府财政部门指定的媒体上公告中标、成交结果。</w:t>
      </w:r>
    </w:p>
    <w:p>
      <w:pPr>
        <w:pStyle w:val="14"/>
        <w:kinsoku w:val="0"/>
        <w:overflowPunct w:val="0"/>
        <w:spacing w:line="360" w:lineRule="auto"/>
        <w:ind w:left="539"/>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中标公告期限为1个工作日。</w:t>
      </w:r>
    </w:p>
    <w:p>
      <w:pPr>
        <w:pStyle w:val="8"/>
        <w:kinsoku w:val="0"/>
        <w:overflowPunct w:val="0"/>
        <w:spacing w:line="360" w:lineRule="auto"/>
        <w:rPr>
          <w:rFonts w:hint="default" w:asciiTheme="minorEastAsia" w:hAnsiTheme="minorEastAsia" w:eastAsiaTheme="minorEastAsia" w:cstheme="minorEastAsia"/>
          <w:b/>
          <w:bCs/>
          <w:spacing w:val="-1"/>
          <w:sz w:val="24"/>
          <w:szCs w:val="24"/>
        </w:rPr>
      </w:pPr>
      <w:bookmarkStart w:id="79" w:name="_Toc13224_WPSOffice_Level2"/>
      <w:r>
        <w:rPr>
          <w:rFonts w:asciiTheme="minorEastAsia" w:hAnsiTheme="minorEastAsia" w:eastAsiaTheme="minorEastAsia" w:cstheme="minorEastAsia"/>
          <w:b/>
          <w:bCs/>
          <w:sz w:val="24"/>
          <w:szCs w:val="24"/>
        </w:rPr>
        <w:t>8.3</w:t>
      </w:r>
      <w:r>
        <w:rPr>
          <w:rFonts w:asciiTheme="minorEastAsia" w:hAnsiTheme="minorEastAsia" w:eastAsiaTheme="minorEastAsia" w:cstheme="minorEastAsia"/>
          <w:b/>
          <w:bCs/>
          <w:spacing w:val="-1"/>
          <w:sz w:val="24"/>
          <w:szCs w:val="24"/>
        </w:rPr>
        <w:t>中标通知</w:t>
      </w:r>
      <w:bookmarkEnd w:id="79"/>
    </w:p>
    <w:p>
      <w:pPr>
        <w:pStyle w:val="14"/>
        <w:kinsoku w:val="0"/>
        <w:overflowPunct w:val="0"/>
        <w:spacing w:line="360" w:lineRule="auto"/>
        <w:ind w:left="539"/>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在公告中标结果的同时，采购人或者采购代理机构应当向中标人发出中标通知书；</w:t>
      </w:r>
    </w:p>
    <w:p>
      <w:pPr>
        <w:pStyle w:val="8"/>
        <w:kinsoku w:val="0"/>
        <w:overflowPunct w:val="0"/>
        <w:spacing w:line="360" w:lineRule="auto"/>
        <w:jc w:val="both"/>
        <w:rPr>
          <w:rFonts w:hint="default" w:asciiTheme="minorEastAsia" w:hAnsiTheme="minorEastAsia" w:eastAsiaTheme="minorEastAsia" w:cstheme="minorEastAsia"/>
          <w:b/>
          <w:bCs/>
          <w:spacing w:val="-1"/>
          <w:sz w:val="24"/>
          <w:szCs w:val="24"/>
        </w:rPr>
      </w:pPr>
      <w:bookmarkStart w:id="80" w:name="_Toc27857_WPSOffice_Level2"/>
      <w:r>
        <w:rPr>
          <w:rFonts w:asciiTheme="minorEastAsia" w:hAnsiTheme="minorEastAsia" w:eastAsiaTheme="minorEastAsia" w:cstheme="minorEastAsia"/>
          <w:b/>
          <w:bCs/>
          <w:sz w:val="24"/>
          <w:szCs w:val="24"/>
        </w:rPr>
        <w:t>8.4</w:t>
      </w:r>
      <w:r>
        <w:rPr>
          <w:rFonts w:asciiTheme="minorEastAsia" w:hAnsiTheme="minorEastAsia" w:eastAsiaTheme="minorEastAsia" w:cstheme="minorEastAsia"/>
          <w:b/>
          <w:bCs/>
          <w:spacing w:val="-1"/>
          <w:sz w:val="24"/>
          <w:szCs w:val="24"/>
        </w:rPr>
        <w:t>履约保证金</w:t>
      </w:r>
      <w:bookmarkEnd w:id="80"/>
    </w:p>
    <w:p>
      <w:pPr>
        <w:pStyle w:val="14"/>
        <w:kinsoku w:val="0"/>
        <w:overflowPunct w:val="0"/>
        <w:spacing w:line="360" w:lineRule="auto"/>
        <w:ind w:right="105" w:firstLine="420"/>
        <w:jc w:val="both"/>
        <w:rPr>
          <w:rFonts w:hint="default" w:asciiTheme="minorEastAsia" w:hAnsiTheme="minorEastAsia" w:eastAsiaTheme="minorEastAsia" w:cstheme="minorEastAsia"/>
          <w:spacing w:val="-2"/>
          <w:sz w:val="24"/>
          <w:szCs w:val="24"/>
          <w:highlight w:val="yellow"/>
        </w:rPr>
      </w:pPr>
      <w:r>
        <w:rPr>
          <w:rFonts w:asciiTheme="minorEastAsia" w:hAnsiTheme="minorEastAsia" w:eastAsiaTheme="minorEastAsia" w:cstheme="minorEastAsia"/>
          <w:spacing w:val="-1"/>
          <w:sz w:val="24"/>
          <w:szCs w:val="24"/>
        </w:rPr>
        <w:t>8.4.1</w:t>
      </w:r>
      <w:r>
        <w:rPr>
          <w:rFonts w:cs="宋体"/>
          <w:color w:val="000000"/>
          <w:sz w:val="24"/>
          <w:szCs w:val="24"/>
        </w:rPr>
        <w:t>中标人应按照招标文件或合同条款的规定，采用招标文件中提供的履约保函格式、政府采购履约担保函格式或采购人可以接受的其他形式向采购人提交履约保证金。</w:t>
      </w:r>
    </w:p>
    <w:p>
      <w:pPr>
        <w:pStyle w:val="14"/>
        <w:kinsoku w:val="0"/>
        <w:overflowPunct w:val="0"/>
        <w:spacing w:line="360" w:lineRule="auto"/>
        <w:ind w:right="210"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1"/>
          <w:sz w:val="24"/>
          <w:szCs w:val="24"/>
        </w:rPr>
        <w:t>8.4.2</w:t>
      </w:r>
      <w:r>
        <w:rPr>
          <w:rFonts w:asciiTheme="minorEastAsia" w:hAnsiTheme="minorEastAsia" w:eastAsiaTheme="minorEastAsia" w:cstheme="minorEastAsia"/>
          <w:spacing w:val="3"/>
          <w:sz w:val="24"/>
          <w:szCs w:val="24"/>
        </w:rPr>
        <w:t xml:space="preserve"> 中标人不能按本章第</w:t>
      </w:r>
      <w:r>
        <w:rPr>
          <w:rFonts w:asciiTheme="minorEastAsia" w:hAnsiTheme="minorEastAsia" w:eastAsiaTheme="minorEastAsia" w:cstheme="minorEastAsia"/>
          <w:spacing w:val="-1"/>
          <w:sz w:val="24"/>
          <w:szCs w:val="24"/>
        </w:rPr>
        <w:t>8.4.1</w:t>
      </w:r>
      <w:r>
        <w:rPr>
          <w:rFonts w:asciiTheme="minorEastAsia" w:hAnsiTheme="minorEastAsia" w:eastAsiaTheme="minorEastAsia" w:cstheme="minorEastAsia"/>
          <w:spacing w:val="3"/>
          <w:sz w:val="24"/>
          <w:szCs w:val="24"/>
        </w:rPr>
        <w:t>项要求提交履约保证金的，视为放弃中标，其投标保证金不予</w:t>
      </w:r>
      <w:r>
        <w:rPr>
          <w:rFonts w:asciiTheme="minorEastAsia" w:hAnsiTheme="minorEastAsia" w:eastAsiaTheme="minorEastAsia" w:cstheme="minorEastAsia"/>
          <w:spacing w:val="-2"/>
          <w:sz w:val="24"/>
          <w:szCs w:val="24"/>
        </w:rPr>
        <w:t>退还，给招标人造成的损失超过投标保证金数额的，中标人还应当对超过部分予以赔偿。</w:t>
      </w:r>
    </w:p>
    <w:p>
      <w:pPr>
        <w:pStyle w:val="8"/>
        <w:kinsoku w:val="0"/>
        <w:overflowPunct w:val="0"/>
        <w:spacing w:line="360" w:lineRule="auto"/>
        <w:rPr>
          <w:rFonts w:hint="default" w:asciiTheme="minorEastAsia" w:hAnsiTheme="minorEastAsia" w:eastAsiaTheme="minorEastAsia" w:cstheme="minorEastAsia"/>
          <w:b/>
          <w:bCs/>
          <w:spacing w:val="-1"/>
          <w:sz w:val="24"/>
          <w:szCs w:val="24"/>
        </w:rPr>
      </w:pPr>
      <w:bookmarkStart w:id="81" w:name="_Toc3404_WPSOffice_Level2"/>
      <w:r>
        <w:rPr>
          <w:rFonts w:asciiTheme="minorEastAsia" w:hAnsiTheme="minorEastAsia" w:eastAsiaTheme="minorEastAsia" w:cstheme="minorEastAsia"/>
          <w:b/>
          <w:bCs/>
          <w:sz w:val="24"/>
          <w:szCs w:val="24"/>
        </w:rPr>
        <w:t>8.5</w:t>
      </w:r>
      <w:r>
        <w:rPr>
          <w:rFonts w:asciiTheme="minorEastAsia" w:hAnsiTheme="minorEastAsia" w:eastAsiaTheme="minorEastAsia" w:cstheme="minorEastAsia"/>
          <w:b/>
          <w:bCs/>
          <w:spacing w:val="-1"/>
          <w:sz w:val="24"/>
          <w:szCs w:val="24"/>
        </w:rPr>
        <w:t>签订合同</w:t>
      </w:r>
      <w:bookmarkEnd w:id="81"/>
    </w:p>
    <w:p>
      <w:pPr>
        <w:pStyle w:val="14"/>
        <w:kinsoku w:val="0"/>
        <w:overflowPunct w:val="0"/>
        <w:spacing w:line="360" w:lineRule="auto"/>
        <w:ind w:right="144" w:rightChars="60" w:firstLine="420"/>
        <w:jc w:val="both"/>
        <w:rPr>
          <w:rFonts w:hint="default" w:asciiTheme="minorEastAsia" w:hAnsiTheme="minorEastAsia" w:eastAsiaTheme="minorEastAsia" w:cstheme="minorEastAsia"/>
          <w:spacing w:val="-4"/>
          <w:sz w:val="24"/>
          <w:szCs w:val="24"/>
        </w:rPr>
      </w:pPr>
      <w:r>
        <w:rPr>
          <w:rFonts w:asciiTheme="minorEastAsia" w:hAnsiTheme="minorEastAsia" w:eastAsiaTheme="minorEastAsia" w:cstheme="minorEastAsia"/>
          <w:spacing w:val="1"/>
          <w:sz w:val="24"/>
          <w:szCs w:val="24"/>
        </w:rPr>
        <w:t>8.5.1采购人应当自中标通知书发出之日起30日内，按照招标文件和中标人投标文件的规定，与中</w:t>
      </w:r>
      <w:r>
        <w:rPr>
          <w:rFonts w:asciiTheme="minorEastAsia" w:hAnsiTheme="minorEastAsia" w:eastAsiaTheme="minorEastAsia" w:cstheme="minorEastAsia"/>
          <w:spacing w:val="-4"/>
          <w:sz w:val="24"/>
          <w:szCs w:val="24"/>
        </w:rPr>
        <w:t>标人签订书面合同。所签订的合同不得对招标文件确定的事项和中标人投标文件作实质性修改。</w:t>
      </w:r>
    </w:p>
    <w:p>
      <w:pPr>
        <w:pStyle w:val="14"/>
        <w:kinsoku w:val="0"/>
        <w:overflowPunct w:val="0"/>
        <w:spacing w:line="360" w:lineRule="auto"/>
        <w:ind w:left="539" w:right="144" w:rightChars="60"/>
        <w:jc w:val="both"/>
        <w:rPr>
          <w:rFonts w:hint="default" w:asciiTheme="minorEastAsia" w:hAnsiTheme="minorEastAsia" w:eastAsiaTheme="minorEastAsia" w:cstheme="minorEastAsia"/>
          <w:spacing w:val="-4"/>
          <w:sz w:val="24"/>
          <w:szCs w:val="24"/>
        </w:rPr>
      </w:pPr>
      <w:r>
        <w:rPr>
          <w:rFonts w:asciiTheme="minorEastAsia" w:hAnsiTheme="minorEastAsia" w:eastAsiaTheme="minorEastAsia" w:cstheme="minorEastAsia"/>
          <w:spacing w:val="-4"/>
          <w:sz w:val="24"/>
          <w:szCs w:val="24"/>
        </w:rPr>
        <w:t>8.5.2采购人不得向中标人提出任何不合理的要求作为签订合同的条件。</w:t>
      </w:r>
    </w:p>
    <w:p>
      <w:pPr>
        <w:pStyle w:val="14"/>
        <w:kinsoku w:val="0"/>
        <w:overflowPunct w:val="0"/>
        <w:spacing w:line="360" w:lineRule="auto"/>
        <w:ind w:right="144" w:rightChars="60" w:firstLine="420"/>
        <w:jc w:val="both"/>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8.5.3中标人无正当理由拒签合同，在签订合同时向招标人提出附加条件，或者不按照招标文件要</w:t>
      </w:r>
      <w:r>
        <w:rPr>
          <w:rFonts w:asciiTheme="minorEastAsia" w:hAnsiTheme="minorEastAsia" w:eastAsiaTheme="minorEastAsia" w:cstheme="minorEastAsia"/>
          <w:spacing w:val="1"/>
          <w:sz w:val="24"/>
          <w:szCs w:val="24"/>
        </w:rPr>
        <w:t>求提交履约保证金的，招标人有权取消其中标资格，其投标保证金不予退</w:t>
      </w:r>
      <w:r>
        <w:rPr>
          <w:rFonts w:asciiTheme="minorEastAsia" w:hAnsiTheme="minorEastAsia" w:eastAsiaTheme="minorEastAsia" w:cstheme="minorEastAsia"/>
          <w:sz w:val="24"/>
          <w:szCs w:val="24"/>
        </w:rPr>
        <w:t>还；给招标人造成的损失超</w:t>
      </w:r>
      <w:r>
        <w:rPr>
          <w:rFonts w:asciiTheme="minorEastAsia" w:hAnsiTheme="minorEastAsia" w:eastAsiaTheme="minorEastAsia" w:cstheme="minorEastAsia"/>
          <w:spacing w:val="-3"/>
          <w:sz w:val="24"/>
          <w:szCs w:val="24"/>
        </w:rPr>
        <w:t>过投标保证金数额的，中标人还应当对超过部分予以赔偿。</w:t>
      </w:r>
    </w:p>
    <w:p>
      <w:pPr>
        <w:pStyle w:val="14"/>
        <w:kinsoku w:val="0"/>
        <w:overflowPunct w:val="0"/>
        <w:spacing w:line="360" w:lineRule="auto"/>
        <w:ind w:right="144" w:rightChars="60"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8.5</w:t>
      </w:r>
      <w:r>
        <w:rPr>
          <w:rFonts w:asciiTheme="minorEastAsia" w:hAnsiTheme="minorEastAsia" w:eastAsiaTheme="minorEastAsia" w:cstheme="minorEastAsia"/>
          <w:spacing w:val="-1"/>
          <w:sz w:val="24"/>
          <w:szCs w:val="24"/>
        </w:rPr>
        <w:t>.</w:t>
      </w:r>
      <w:r>
        <w:rPr>
          <w:rFonts w:asciiTheme="minorEastAsia" w:hAnsiTheme="minorEastAsia" w:eastAsiaTheme="minorEastAsia" w:cstheme="minorEastAsia"/>
          <w:sz w:val="24"/>
          <w:szCs w:val="24"/>
        </w:rPr>
        <w:t xml:space="preserve">4 </w:t>
      </w:r>
      <w:r>
        <w:rPr>
          <w:rFonts w:asciiTheme="minorEastAsia" w:hAnsiTheme="minorEastAsia" w:eastAsiaTheme="minorEastAsia" w:cstheme="minorEastAsia"/>
          <w:spacing w:val="2"/>
          <w:sz w:val="24"/>
          <w:szCs w:val="24"/>
        </w:rPr>
        <w:t>发</w:t>
      </w:r>
      <w:r>
        <w:rPr>
          <w:rFonts w:asciiTheme="minorEastAsia" w:hAnsiTheme="minorEastAsia" w:eastAsiaTheme="minorEastAsia" w:cstheme="minorEastAsia"/>
          <w:sz w:val="24"/>
          <w:szCs w:val="24"/>
        </w:rPr>
        <w:t>出</w:t>
      </w:r>
      <w:r>
        <w:rPr>
          <w:rFonts w:asciiTheme="minorEastAsia" w:hAnsiTheme="minorEastAsia" w:eastAsiaTheme="minorEastAsia" w:cstheme="minorEastAsia"/>
          <w:spacing w:val="2"/>
          <w:sz w:val="24"/>
          <w:szCs w:val="24"/>
        </w:rPr>
        <w:t>中</w:t>
      </w:r>
      <w:r>
        <w:rPr>
          <w:rFonts w:asciiTheme="minorEastAsia" w:hAnsiTheme="minorEastAsia" w:eastAsiaTheme="minorEastAsia" w:cstheme="minorEastAsia"/>
          <w:spacing w:val="-3"/>
          <w:sz w:val="24"/>
          <w:szCs w:val="24"/>
        </w:rPr>
        <w:t>标</w:t>
      </w:r>
      <w:r>
        <w:rPr>
          <w:rFonts w:asciiTheme="minorEastAsia" w:hAnsiTheme="minorEastAsia" w:eastAsiaTheme="minorEastAsia" w:cstheme="minorEastAsia"/>
          <w:spacing w:val="3"/>
          <w:sz w:val="24"/>
          <w:szCs w:val="24"/>
        </w:rPr>
        <w:t>通</w:t>
      </w:r>
      <w:r>
        <w:rPr>
          <w:rFonts w:asciiTheme="minorEastAsia" w:hAnsiTheme="minorEastAsia" w:eastAsiaTheme="minorEastAsia" w:cstheme="minorEastAsia"/>
          <w:sz w:val="24"/>
          <w:szCs w:val="24"/>
        </w:rPr>
        <w:t>知书后</w:t>
      </w:r>
      <w:r>
        <w:rPr>
          <w:rFonts w:asciiTheme="minorEastAsia" w:hAnsiTheme="minorEastAsia" w:eastAsiaTheme="minorEastAsia" w:cstheme="minorEastAsia"/>
          <w:spacing w:val="-39"/>
          <w:sz w:val="24"/>
          <w:szCs w:val="24"/>
        </w:rPr>
        <w:t>，</w:t>
      </w:r>
      <w:r>
        <w:rPr>
          <w:rFonts w:asciiTheme="minorEastAsia" w:hAnsiTheme="minorEastAsia" w:eastAsiaTheme="minorEastAsia" w:cstheme="minorEastAsia"/>
          <w:spacing w:val="2"/>
          <w:sz w:val="24"/>
          <w:szCs w:val="24"/>
        </w:rPr>
        <w:t>招标</w:t>
      </w:r>
      <w:r>
        <w:rPr>
          <w:rFonts w:asciiTheme="minorEastAsia" w:hAnsiTheme="minorEastAsia" w:eastAsiaTheme="minorEastAsia" w:cstheme="minorEastAsia"/>
          <w:spacing w:val="-3"/>
          <w:sz w:val="24"/>
          <w:szCs w:val="24"/>
        </w:rPr>
        <w:t>人</w:t>
      </w:r>
      <w:r>
        <w:rPr>
          <w:rFonts w:asciiTheme="minorEastAsia" w:hAnsiTheme="minorEastAsia" w:eastAsiaTheme="minorEastAsia" w:cstheme="minorEastAsia"/>
          <w:spacing w:val="2"/>
          <w:sz w:val="24"/>
          <w:szCs w:val="24"/>
        </w:rPr>
        <w:t>无</w:t>
      </w:r>
      <w:r>
        <w:rPr>
          <w:rFonts w:asciiTheme="minorEastAsia" w:hAnsiTheme="minorEastAsia" w:eastAsiaTheme="minorEastAsia" w:cstheme="minorEastAsia"/>
          <w:sz w:val="24"/>
          <w:szCs w:val="24"/>
        </w:rPr>
        <w:t>正</w:t>
      </w:r>
      <w:r>
        <w:rPr>
          <w:rFonts w:asciiTheme="minorEastAsia" w:hAnsiTheme="minorEastAsia" w:eastAsiaTheme="minorEastAsia" w:cstheme="minorEastAsia"/>
          <w:spacing w:val="2"/>
          <w:sz w:val="24"/>
          <w:szCs w:val="24"/>
        </w:rPr>
        <w:t>当</w:t>
      </w:r>
      <w:r>
        <w:rPr>
          <w:rFonts w:asciiTheme="minorEastAsia" w:hAnsiTheme="minorEastAsia" w:eastAsiaTheme="minorEastAsia" w:cstheme="minorEastAsia"/>
          <w:spacing w:val="-2"/>
          <w:sz w:val="24"/>
          <w:szCs w:val="24"/>
        </w:rPr>
        <w:t>理</w:t>
      </w:r>
      <w:r>
        <w:rPr>
          <w:rFonts w:asciiTheme="minorEastAsia" w:hAnsiTheme="minorEastAsia" w:eastAsiaTheme="minorEastAsia" w:cstheme="minorEastAsia"/>
          <w:spacing w:val="2"/>
          <w:sz w:val="24"/>
          <w:szCs w:val="24"/>
        </w:rPr>
        <w:t>由</w:t>
      </w:r>
      <w:r>
        <w:rPr>
          <w:rFonts w:asciiTheme="minorEastAsia" w:hAnsiTheme="minorEastAsia" w:eastAsiaTheme="minorEastAsia" w:cstheme="minorEastAsia"/>
          <w:sz w:val="24"/>
          <w:szCs w:val="24"/>
        </w:rPr>
        <w:t>拒签合</w:t>
      </w:r>
      <w:r>
        <w:rPr>
          <w:rFonts w:asciiTheme="minorEastAsia" w:hAnsiTheme="minorEastAsia" w:eastAsiaTheme="minorEastAsia" w:cstheme="minorEastAsia"/>
          <w:spacing w:val="2"/>
          <w:sz w:val="24"/>
          <w:szCs w:val="24"/>
        </w:rPr>
        <w:t>同</w:t>
      </w:r>
      <w:r>
        <w:rPr>
          <w:rFonts w:asciiTheme="minorEastAsia" w:hAnsiTheme="minorEastAsia" w:eastAsiaTheme="minorEastAsia" w:cstheme="minorEastAsia"/>
          <w:spacing w:val="-36"/>
          <w:sz w:val="24"/>
          <w:szCs w:val="24"/>
        </w:rPr>
        <w:t>，</w:t>
      </w:r>
      <w:r>
        <w:rPr>
          <w:rFonts w:asciiTheme="minorEastAsia" w:hAnsiTheme="minorEastAsia" w:eastAsiaTheme="minorEastAsia" w:cstheme="minorEastAsia"/>
          <w:sz w:val="24"/>
          <w:szCs w:val="24"/>
        </w:rPr>
        <w:t>或</w:t>
      </w:r>
      <w:r>
        <w:rPr>
          <w:rFonts w:asciiTheme="minorEastAsia" w:hAnsiTheme="minorEastAsia" w:eastAsiaTheme="minorEastAsia" w:cstheme="minorEastAsia"/>
          <w:spacing w:val="2"/>
          <w:sz w:val="24"/>
          <w:szCs w:val="24"/>
        </w:rPr>
        <w:t>者</w:t>
      </w:r>
      <w:r>
        <w:rPr>
          <w:rFonts w:asciiTheme="minorEastAsia" w:hAnsiTheme="minorEastAsia" w:eastAsiaTheme="minorEastAsia" w:cstheme="minorEastAsia"/>
          <w:spacing w:val="-3"/>
          <w:sz w:val="24"/>
          <w:szCs w:val="24"/>
        </w:rPr>
        <w:t>在</w:t>
      </w:r>
      <w:r>
        <w:rPr>
          <w:rFonts w:asciiTheme="minorEastAsia" w:hAnsiTheme="minorEastAsia" w:eastAsiaTheme="minorEastAsia" w:cstheme="minorEastAsia"/>
          <w:spacing w:val="2"/>
          <w:sz w:val="24"/>
          <w:szCs w:val="24"/>
        </w:rPr>
        <w:t>签</w:t>
      </w:r>
      <w:r>
        <w:rPr>
          <w:rFonts w:asciiTheme="minorEastAsia" w:hAnsiTheme="minorEastAsia" w:eastAsiaTheme="minorEastAsia" w:cstheme="minorEastAsia"/>
          <w:sz w:val="24"/>
          <w:szCs w:val="24"/>
        </w:rPr>
        <w:t>订</w:t>
      </w:r>
      <w:r>
        <w:rPr>
          <w:rFonts w:asciiTheme="minorEastAsia" w:hAnsiTheme="minorEastAsia" w:eastAsiaTheme="minorEastAsia" w:cstheme="minorEastAsia"/>
          <w:spacing w:val="2"/>
          <w:sz w:val="24"/>
          <w:szCs w:val="24"/>
        </w:rPr>
        <w:t>合</w:t>
      </w:r>
      <w:r>
        <w:rPr>
          <w:rFonts w:asciiTheme="minorEastAsia" w:hAnsiTheme="minorEastAsia" w:eastAsiaTheme="minorEastAsia" w:cstheme="minorEastAsia"/>
          <w:spacing w:val="-3"/>
          <w:sz w:val="24"/>
          <w:szCs w:val="24"/>
        </w:rPr>
        <w:t>同</w:t>
      </w:r>
      <w:r>
        <w:rPr>
          <w:rFonts w:asciiTheme="minorEastAsia" w:hAnsiTheme="minorEastAsia" w:eastAsiaTheme="minorEastAsia" w:cstheme="minorEastAsia"/>
          <w:sz w:val="24"/>
          <w:szCs w:val="24"/>
        </w:rPr>
        <w:t>时向</w:t>
      </w:r>
      <w:r>
        <w:rPr>
          <w:rFonts w:asciiTheme="minorEastAsia" w:hAnsiTheme="minorEastAsia" w:eastAsiaTheme="minorEastAsia" w:cstheme="minorEastAsia"/>
          <w:spacing w:val="2"/>
          <w:sz w:val="24"/>
          <w:szCs w:val="24"/>
        </w:rPr>
        <w:t>中标</w:t>
      </w:r>
      <w:r>
        <w:rPr>
          <w:rFonts w:asciiTheme="minorEastAsia" w:hAnsiTheme="minorEastAsia" w:eastAsiaTheme="minorEastAsia" w:cstheme="minorEastAsia"/>
          <w:sz w:val="24"/>
          <w:szCs w:val="24"/>
        </w:rPr>
        <w:t>人提出</w:t>
      </w:r>
      <w:r>
        <w:rPr>
          <w:rFonts w:asciiTheme="minorEastAsia" w:hAnsiTheme="minorEastAsia" w:eastAsiaTheme="minorEastAsia" w:cstheme="minorEastAsia"/>
          <w:spacing w:val="2"/>
          <w:sz w:val="24"/>
          <w:szCs w:val="24"/>
        </w:rPr>
        <w:t>附</w:t>
      </w:r>
      <w:r>
        <w:rPr>
          <w:rFonts w:asciiTheme="minorEastAsia" w:hAnsiTheme="minorEastAsia" w:eastAsiaTheme="minorEastAsia" w:cstheme="minorEastAsia"/>
          <w:sz w:val="24"/>
          <w:szCs w:val="24"/>
        </w:rPr>
        <w:t>加</w:t>
      </w:r>
      <w:r>
        <w:rPr>
          <w:rFonts w:asciiTheme="minorEastAsia" w:hAnsiTheme="minorEastAsia" w:eastAsiaTheme="minorEastAsia" w:cstheme="minorEastAsia"/>
          <w:spacing w:val="3"/>
          <w:sz w:val="24"/>
          <w:szCs w:val="24"/>
        </w:rPr>
        <w:t>条</w:t>
      </w:r>
      <w:r>
        <w:rPr>
          <w:rFonts w:asciiTheme="minorEastAsia" w:hAnsiTheme="minorEastAsia" w:eastAsiaTheme="minorEastAsia" w:cstheme="minorEastAsia"/>
          <w:sz w:val="24"/>
          <w:szCs w:val="24"/>
        </w:rPr>
        <w:t>件</w:t>
      </w:r>
      <w:r>
        <w:rPr>
          <w:rFonts w:asciiTheme="minorEastAsia" w:hAnsiTheme="minorEastAsia" w:eastAsiaTheme="minorEastAsia" w:cstheme="minorEastAsia"/>
          <w:spacing w:val="-3"/>
          <w:sz w:val="24"/>
          <w:szCs w:val="24"/>
        </w:rPr>
        <w:t>的，给中标人造成损失的，还应当赔偿损失。</w:t>
      </w:r>
    </w:p>
    <w:p>
      <w:pPr>
        <w:pStyle w:val="14"/>
        <w:kinsoku w:val="0"/>
        <w:overflowPunct w:val="0"/>
        <w:spacing w:line="360" w:lineRule="auto"/>
        <w:ind w:left="0" w:firstLine="480" w:firstLineChars="200"/>
        <w:jc w:val="both"/>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8.5.5联合体中标的，联合体各方应当共同与招标人签订合同，就中标项目向招标人承担连带责任。</w:t>
      </w:r>
    </w:p>
    <w:p>
      <w:pPr>
        <w:pStyle w:val="8"/>
        <w:tabs>
          <w:tab w:val="left" w:pos="964"/>
        </w:tabs>
        <w:kinsoku w:val="0"/>
        <w:overflowPunct w:val="0"/>
        <w:spacing w:line="360" w:lineRule="auto"/>
        <w:jc w:val="both"/>
        <w:rPr>
          <w:rFonts w:hint="default" w:asciiTheme="minorEastAsia" w:hAnsiTheme="minorEastAsia" w:eastAsiaTheme="minorEastAsia" w:cstheme="minorEastAsia"/>
          <w:b/>
          <w:bCs/>
          <w:sz w:val="24"/>
          <w:szCs w:val="24"/>
        </w:rPr>
      </w:pPr>
      <w:bookmarkStart w:id="82" w:name="_Toc16872_WPSOffice_Level2"/>
      <w:r>
        <w:rPr>
          <w:rFonts w:asciiTheme="minorEastAsia" w:hAnsiTheme="minorEastAsia" w:eastAsiaTheme="minorEastAsia" w:cstheme="minorEastAsia"/>
          <w:b/>
          <w:bCs/>
          <w:sz w:val="24"/>
          <w:szCs w:val="24"/>
        </w:rPr>
        <w:t>8.6货款支付</w:t>
      </w:r>
      <w:bookmarkEnd w:id="82"/>
    </w:p>
    <w:p>
      <w:pPr>
        <w:pStyle w:val="14"/>
        <w:kinsoku w:val="0"/>
        <w:overflowPunct w:val="0"/>
        <w:spacing w:line="360" w:lineRule="auto"/>
        <w:ind w:left="0" w:right="70" w:firstLine="566" w:firstLineChars="24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采购人应当按照政府采购合同规定，及时向中标或者成交供应商支付采购资金。政府采购项目资金支付程序，按照国家有关财政资金支付管理的规定执行。</w:t>
      </w:r>
    </w:p>
    <w:p>
      <w:pPr>
        <w:pStyle w:val="8"/>
        <w:kinsoku w:val="0"/>
        <w:overflowPunct w:val="0"/>
        <w:spacing w:line="360" w:lineRule="auto"/>
        <w:rPr>
          <w:rFonts w:hint="default" w:asciiTheme="minorEastAsia" w:hAnsiTheme="minorEastAsia" w:eastAsiaTheme="minorEastAsia" w:cstheme="minorEastAsia"/>
          <w:b/>
          <w:bCs/>
          <w:sz w:val="24"/>
          <w:szCs w:val="24"/>
        </w:rPr>
      </w:pPr>
      <w:bookmarkStart w:id="83" w:name="_Toc13337_WPSOffice_Level2"/>
      <w:r>
        <w:rPr>
          <w:rFonts w:asciiTheme="minorEastAsia" w:hAnsiTheme="minorEastAsia" w:eastAsiaTheme="minorEastAsia" w:cstheme="minorEastAsia"/>
          <w:b/>
          <w:bCs/>
          <w:sz w:val="24"/>
          <w:szCs w:val="24"/>
        </w:rPr>
        <w:t>8.7中标无效</w:t>
      </w:r>
      <w:bookmarkEnd w:id="83"/>
    </w:p>
    <w:p>
      <w:pPr>
        <w:pStyle w:val="14"/>
        <w:kinsoku w:val="0"/>
        <w:overflowPunct w:val="0"/>
        <w:spacing w:line="360" w:lineRule="auto"/>
        <w:ind w:left="539"/>
        <w:rPr>
          <w:rFonts w:hint="default" w:asciiTheme="minorEastAsia" w:hAnsiTheme="minorEastAsia" w:eastAsiaTheme="minorEastAsia" w:cstheme="minorEastAsia"/>
          <w:spacing w:val="-4"/>
          <w:sz w:val="24"/>
          <w:szCs w:val="24"/>
        </w:rPr>
      </w:pPr>
      <w:r>
        <w:rPr>
          <w:rFonts w:asciiTheme="minorEastAsia" w:hAnsiTheme="minorEastAsia" w:eastAsiaTheme="minorEastAsia" w:cstheme="minorEastAsia"/>
          <w:spacing w:val="-4"/>
          <w:sz w:val="24"/>
          <w:szCs w:val="24"/>
        </w:rPr>
        <w:t>供应商有下列情形之一的，中标、成交无效：</w:t>
      </w:r>
    </w:p>
    <w:p>
      <w:pPr>
        <w:pStyle w:val="14"/>
        <w:kinsoku w:val="0"/>
        <w:overflowPunct w:val="0"/>
        <w:spacing w:line="360" w:lineRule="auto"/>
        <w:ind w:left="539"/>
        <w:rPr>
          <w:rFonts w:hint="default" w:asciiTheme="minorEastAsia" w:hAnsiTheme="minorEastAsia" w:eastAsiaTheme="minorEastAsia" w:cstheme="minorEastAsia"/>
          <w:spacing w:val="-4"/>
          <w:sz w:val="24"/>
          <w:szCs w:val="24"/>
        </w:rPr>
      </w:pPr>
      <w:r>
        <w:rPr>
          <w:rFonts w:asciiTheme="minorEastAsia" w:hAnsiTheme="minorEastAsia" w:eastAsiaTheme="minorEastAsia" w:cstheme="minorEastAsia"/>
          <w:spacing w:val="-4"/>
          <w:sz w:val="24"/>
          <w:szCs w:val="24"/>
        </w:rPr>
        <w:t>（1）提供虚假材料谋取中标的；</w:t>
      </w:r>
    </w:p>
    <w:p>
      <w:pPr>
        <w:pStyle w:val="14"/>
        <w:kinsoku w:val="0"/>
        <w:overflowPunct w:val="0"/>
        <w:spacing w:line="360" w:lineRule="auto"/>
        <w:ind w:left="539"/>
        <w:rPr>
          <w:rFonts w:hint="default" w:asciiTheme="minorEastAsia" w:hAnsiTheme="minorEastAsia" w:eastAsiaTheme="minorEastAsia" w:cstheme="minorEastAsia"/>
          <w:spacing w:val="-4"/>
          <w:sz w:val="24"/>
          <w:szCs w:val="24"/>
        </w:rPr>
      </w:pPr>
      <w:r>
        <w:rPr>
          <w:rFonts w:asciiTheme="minorEastAsia" w:hAnsiTheme="minorEastAsia" w:eastAsiaTheme="minorEastAsia" w:cstheme="minorEastAsia"/>
          <w:spacing w:val="-4"/>
          <w:sz w:val="24"/>
          <w:szCs w:val="24"/>
        </w:rPr>
        <w:t>（2）采取不正当手段诋毁、排挤其他供应商的；</w:t>
      </w:r>
    </w:p>
    <w:p>
      <w:pPr>
        <w:pStyle w:val="14"/>
        <w:kinsoku w:val="0"/>
        <w:overflowPunct w:val="0"/>
        <w:spacing w:line="360" w:lineRule="auto"/>
        <w:ind w:left="539"/>
        <w:rPr>
          <w:rFonts w:hint="default" w:asciiTheme="minorEastAsia" w:hAnsiTheme="minorEastAsia" w:eastAsiaTheme="minorEastAsia" w:cstheme="minorEastAsia"/>
          <w:spacing w:val="-4"/>
          <w:sz w:val="24"/>
          <w:szCs w:val="24"/>
        </w:rPr>
      </w:pPr>
      <w:r>
        <w:rPr>
          <w:rFonts w:asciiTheme="minorEastAsia" w:hAnsiTheme="minorEastAsia" w:eastAsiaTheme="minorEastAsia" w:cstheme="minorEastAsia"/>
          <w:spacing w:val="-4"/>
          <w:sz w:val="24"/>
          <w:szCs w:val="24"/>
        </w:rPr>
        <w:t>（3）与采购人、其他供应商或者采购代理机构恶意串通的；</w:t>
      </w:r>
    </w:p>
    <w:p>
      <w:pPr>
        <w:pStyle w:val="14"/>
        <w:kinsoku w:val="0"/>
        <w:overflowPunct w:val="0"/>
        <w:spacing w:line="360" w:lineRule="auto"/>
        <w:ind w:left="539"/>
        <w:rPr>
          <w:rFonts w:hint="default" w:asciiTheme="minorEastAsia" w:hAnsiTheme="minorEastAsia" w:eastAsiaTheme="minorEastAsia" w:cstheme="minorEastAsia"/>
          <w:spacing w:val="-4"/>
          <w:sz w:val="24"/>
          <w:szCs w:val="24"/>
        </w:rPr>
      </w:pPr>
      <w:r>
        <w:rPr>
          <w:rFonts w:asciiTheme="minorEastAsia" w:hAnsiTheme="minorEastAsia" w:eastAsiaTheme="minorEastAsia" w:cstheme="minorEastAsia"/>
          <w:spacing w:val="-4"/>
          <w:sz w:val="24"/>
          <w:szCs w:val="24"/>
        </w:rPr>
        <w:t>（4）向采购人、采购代理机构行贿或者提供其他不正当利益的；</w:t>
      </w:r>
    </w:p>
    <w:p>
      <w:pPr>
        <w:pStyle w:val="14"/>
        <w:kinsoku w:val="0"/>
        <w:overflowPunct w:val="0"/>
        <w:spacing w:line="360" w:lineRule="auto"/>
        <w:ind w:left="0" w:right="70" w:firstLine="556" w:firstLineChars="24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4"/>
          <w:sz w:val="24"/>
          <w:szCs w:val="24"/>
        </w:rPr>
        <w:t>（5）在招标采购过程中与采购人进行协商谈判的。</w:t>
      </w:r>
      <w:r>
        <w:rPr>
          <w:rFonts w:asciiTheme="minorEastAsia" w:hAnsiTheme="minorEastAsia" w:eastAsiaTheme="minorEastAsia" w:cstheme="minorEastAsia"/>
          <w:spacing w:val="-2"/>
          <w:sz w:val="24"/>
          <w:szCs w:val="24"/>
        </w:rPr>
        <w:t>在此情况下，报经同级政府采购管理部门批准，可将合同授予下一顺位中标候选人，或者重新组织</w:t>
      </w:r>
      <w:r>
        <w:rPr>
          <w:rFonts w:asciiTheme="minorEastAsia" w:hAnsiTheme="minorEastAsia" w:eastAsiaTheme="minorEastAsia" w:cstheme="minorEastAsia"/>
          <w:spacing w:val="-3"/>
          <w:sz w:val="24"/>
          <w:szCs w:val="24"/>
        </w:rPr>
        <w:t>采购。</w:t>
      </w:r>
    </w:p>
    <w:p>
      <w:pPr>
        <w:pStyle w:val="4"/>
        <w:kinsoku w:val="0"/>
        <w:overflowPunct w:val="0"/>
        <w:spacing w:line="360" w:lineRule="auto"/>
        <w:ind w:left="3332" w:right="3485"/>
        <w:jc w:val="center"/>
        <w:rPr>
          <w:rFonts w:hint="default" w:asciiTheme="minorEastAsia" w:hAnsiTheme="minorEastAsia" w:eastAsiaTheme="minorEastAsia" w:cstheme="minorEastAsia"/>
          <w:b w:val="0"/>
          <w:sz w:val="24"/>
          <w:szCs w:val="24"/>
        </w:rPr>
      </w:pPr>
      <w:bookmarkStart w:id="84" w:name="bookmark12"/>
      <w:bookmarkEnd w:id="84"/>
      <w:r>
        <w:rPr>
          <w:rFonts w:asciiTheme="minorEastAsia" w:hAnsiTheme="minorEastAsia" w:eastAsiaTheme="minorEastAsia" w:cstheme="minorEastAsia"/>
          <w:sz w:val="24"/>
          <w:szCs w:val="24"/>
        </w:rPr>
        <w:t>9.</w:t>
      </w:r>
      <w:r>
        <w:rPr>
          <w:rFonts w:asciiTheme="minorEastAsia" w:hAnsiTheme="minorEastAsia" w:eastAsiaTheme="minorEastAsia" w:cstheme="minorEastAsia"/>
          <w:spacing w:val="2"/>
          <w:sz w:val="24"/>
          <w:szCs w:val="24"/>
        </w:rPr>
        <w:t>纪律和监督</w:t>
      </w:r>
    </w:p>
    <w:p>
      <w:pPr>
        <w:pStyle w:val="8"/>
        <w:kinsoku w:val="0"/>
        <w:overflowPunct w:val="0"/>
        <w:spacing w:line="360" w:lineRule="auto"/>
        <w:rPr>
          <w:rFonts w:hint="default" w:asciiTheme="minorEastAsia" w:hAnsiTheme="minorEastAsia" w:eastAsiaTheme="minorEastAsia" w:cstheme="minorEastAsia"/>
          <w:b/>
          <w:bCs/>
          <w:spacing w:val="-2"/>
          <w:sz w:val="24"/>
          <w:szCs w:val="24"/>
        </w:rPr>
      </w:pPr>
      <w:bookmarkStart w:id="85" w:name="_Toc30443_WPSOffice_Level2"/>
      <w:r>
        <w:rPr>
          <w:rFonts w:asciiTheme="minorEastAsia" w:hAnsiTheme="minorEastAsia" w:eastAsiaTheme="minorEastAsia" w:cstheme="minorEastAsia"/>
          <w:b/>
          <w:bCs/>
          <w:sz w:val="24"/>
          <w:szCs w:val="24"/>
        </w:rPr>
        <w:t>9.1</w:t>
      </w:r>
      <w:r>
        <w:rPr>
          <w:rFonts w:asciiTheme="minorEastAsia" w:hAnsiTheme="minorEastAsia" w:eastAsiaTheme="minorEastAsia" w:cstheme="minorEastAsia"/>
          <w:b/>
          <w:bCs/>
          <w:spacing w:val="-2"/>
          <w:sz w:val="24"/>
          <w:szCs w:val="24"/>
        </w:rPr>
        <w:t>对招标人的纪律要求</w:t>
      </w:r>
      <w:bookmarkEnd w:id="85"/>
    </w:p>
    <w:p>
      <w:pPr>
        <w:pStyle w:val="14"/>
        <w:kinsoku w:val="0"/>
        <w:overflowPunct w:val="0"/>
        <w:spacing w:line="360" w:lineRule="auto"/>
        <w:ind w:right="311"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招</w:t>
      </w:r>
      <w:r>
        <w:rPr>
          <w:rFonts w:asciiTheme="minorEastAsia" w:hAnsiTheme="minorEastAsia" w:eastAsiaTheme="minorEastAsia" w:cstheme="minorEastAsia"/>
          <w:spacing w:val="-1"/>
          <w:sz w:val="24"/>
          <w:szCs w:val="24"/>
        </w:rPr>
        <w:t>标</w:t>
      </w:r>
      <w:r>
        <w:rPr>
          <w:rFonts w:asciiTheme="minorEastAsia" w:hAnsiTheme="minorEastAsia" w:eastAsiaTheme="minorEastAsia" w:cstheme="minorEastAsia"/>
          <w:spacing w:val="-5"/>
          <w:sz w:val="24"/>
          <w:szCs w:val="24"/>
        </w:rPr>
        <w:t>人</w:t>
      </w:r>
      <w:r>
        <w:rPr>
          <w:rFonts w:asciiTheme="minorEastAsia" w:hAnsiTheme="minorEastAsia" w:eastAsiaTheme="minorEastAsia" w:cstheme="minorEastAsia"/>
          <w:sz w:val="24"/>
          <w:szCs w:val="24"/>
        </w:rPr>
        <w:t>不</w:t>
      </w:r>
      <w:r>
        <w:rPr>
          <w:rFonts w:asciiTheme="minorEastAsia" w:hAnsiTheme="minorEastAsia" w:eastAsiaTheme="minorEastAsia" w:cstheme="minorEastAsia"/>
          <w:spacing w:val="-5"/>
          <w:sz w:val="24"/>
          <w:szCs w:val="24"/>
        </w:rPr>
        <w:t>得</w:t>
      </w:r>
      <w:r>
        <w:rPr>
          <w:rFonts w:asciiTheme="minorEastAsia" w:hAnsiTheme="minorEastAsia" w:eastAsiaTheme="minorEastAsia" w:cstheme="minorEastAsia"/>
          <w:sz w:val="24"/>
          <w:szCs w:val="24"/>
        </w:rPr>
        <w:t>泄</w:t>
      </w:r>
      <w:r>
        <w:rPr>
          <w:rFonts w:asciiTheme="minorEastAsia" w:hAnsiTheme="minorEastAsia" w:eastAsiaTheme="minorEastAsia" w:cstheme="minorEastAsia"/>
          <w:spacing w:val="-3"/>
          <w:sz w:val="24"/>
          <w:szCs w:val="24"/>
        </w:rPr>
        <w:t>露</w:t>
      </w:r>
      <w:r>
        <w:rPr>
          <w:rFonts w:asciiTheme="minorEastAsia" w:hAnsiTheme="minorEastAsia" w:eastAsiaTheme="minorEastAsia" w:cstheme="minorEastAsia"/>
          <w:spacing w:val="-2"/>
          <w:sz w:val="24"/>
          <w:szCs w:val="24"/>
        </w:rPr>
        <w:t>招</w:t>
      </w:r>
      <w:r>
        <w:rPr>
          <w:rFonts w:asciiTheme="minorEastAsia" w:hAnsiTheme="minorEastAsia" w:eastAsiaTheme="minorEastAsia" w:cstheme="minorEastAsia"/>
          <w:spacing w:val="-3"/>
          <w:sz w:val="24"/>
          <w:szCs w:val="24"/>
        </w:rPr>
        <w:t>标投</w:t>
      </w:r>
      <w:r>
        <w:rPr>
          <w:rFonts w:asciiTheme="minorEastAsia" w:hAnsiTheme="minorEastAsia" w:eastAsiaTheme="minorEastAsia" w:cstheme="minorEastAsia"/>
          <w:spacing w:val="-5"/>
          <w:sz w:val="24"/>
          <w:szCs w:val="24"/>
        </w:rPr>
        <w:t>标</w:t>
      </w:r>
      <w:r>
        <w:rPr>
          <w:rFonts w:asciiTheme="minorEastAsia" w:hAnsiTheme="minorEastAsia" w:eastAsiaTheme="minorEastAsia" w:cstheme="minorEastAsia"/>
          <w:sz w:val="24"/>
          <w:szCs w:val="24"/>
        </w:rPr>
        <w:t>活动</w:t>
      </w:r>
      <w:r>
        <w:rPr>
          <w:rFonts w:asciiTheme="minorEastAsia" w:hAnsiTheme="minorEastAsia" w:eastAsiaTheme="minorEastAsia" w:cstheme="minorEastAsia"/>
          <w:spacing w:val="-5"/>
          <w:sz w:val="24"/>
          <w:szCs w:val="24"/>
        </w:rPr>
        <w:t>中</w:t>
      </w:r>
      <w:r>
        <w:rPr>
          <w:rFonts w:asciiTheme="minorEastAsia" w:hAnsiTheme="minorEastAsia" w:eastAsiaTheme="minorEastAsia" w:cstheme="minorEastAsia"/>
          <w:sz w:val="24"/>
          <w:szCs w:val="24"/>
        </w:rPr>
        <w:t>应</w:t>
      </w:r>
      <w:r>
        <w:rPr>
          <w:rFonts w:asciiTheme="minorEastAsia" w:hAnsiTheme="minorEastAsia" w:eastAsiaTheme="minorEastAsia" w:cstheme="minorEastAsia"/>
          <w:spacing w:val="-5"/>
          <w:sz w:val="24"/>
          <w:szCs w:val="24"/>
        </w:rPr>
        <w:t>当</w:t>
      </w:r>
      <w:r>
        <w:rPr>
          <w:rFonts w:asciiTheme="minorEastAsia" w:hAnsiTheme="minorEastAsia" w:eastAsiaTheme="minorEastAsia" w:cstheme="minorEastAsia"/>
          <w:sz w:val="24"/>
          <w:szCs w:val="24"/>
        </w:rPr>
        <w:t>保</w:t>
      </w:r>
      <w:r>
        <w:rPr>
          <w:rFonts w:asciiTheme="minorEastAsia" w:hAnsiTheme="minorEastAsia" w:eastAsiaTheme="minorEastAsia" w:cstheme="minorEastAsia"/>
          <w:spacing w:val="-3"/>
          <w:sz w:val="24"/>
          <w:szCs w:val="24"/>
        </w:rPr>
        <w:t>密</w:t>
      </w:r>
      <w:r>
        <w:rPr>
          <w:rFonts w:asciiTheme="minorEastAsia" w:hAnsiTheme="minorEastAsia" w:eastAsiaTheme="minorEastAsia" w:cstheme="minorEastAsia"/>
          <w:spacing w:val="-2"/>
          <w:sz w:val="24"/>
          <w:szCs w:val="24"/>
        </w:rPr>
        <w:t>的</w:t>
      </w:r>
      <w:r>
        <w:rPr>
          <w:rFonts w:asciiTheme="minorEastAsia" w:hAnsiTheme="minorEastAsia" w:eastAsiaTheme="minorEastAsia" w:cstheme="minorEastAsia"/>
          <w:spacing w:val="-3"/>
          <w:sz w:val="24"/>
          <w:szCs w:val="24"/>
        </w:rPr>
        <w:t>情况</w:t>
      </w:r>
      <w:r>
        <w:rPr>
          <w:rFonts w:asciiTheme="minorEastAsia" w:hAnsiTheme="minorEastAsia" w:eastAsiaTheme="minorEastAsia" w:cstheme="minorEastAsia"/>
          <w:spacing w:val="-5"/>
          <w:sz w:val="24"/>
          <w:szCs w:val="24"/>
        </w:rPr>
        <w:t>和</w:t>
      </w:r>
      <w:r>
        <w:rPr>
          <w:rFonts w:asciiTheme="minorEastAsia" w:hAnsiTheme="minorEastAsia" w:eastAsiaTheme="minorEastAsia" w:cstheme="minorEastAsia"/>
          <w:sz w:val="24"/>
          <w:szCs w:val="24"/>
        </w:rPr>
        <w:t>资</w:t>
      </w:r>
      <w:r>
        <w:rPr>
          <w:rFonts w:asciiTheme="minorEastAsia" w:hAnsiTheme="minorEastAsia" w:eastAsiaTheme="minorEastAsia" w:cstheme="minorEastAsia"/>
          <w:spacing w:val="-3"/>
          <w:sz w:val="24"/>
          <w:szCs w:val="24"/>
        </w:rPr>
        <w:t>料</w:t>
      </w:r>
      <w:r>
        <w:rPr>
          <w:rFonts w:asciiTheme="minorEastAsia" w:hAnsiTheme="minorEastAsia" w:eastAsiaTheme="minorEastAsia" w:cstheme="minorEastAsia"/>
          <w:spacing w:val="-75"/>
          <w:sz w:val="24"/>
          <w:szCs w:val="24"/>
        </w:rPr>
        <w:t>，</w:t>
      </w:r>
      <w:r>
        <w:rPr>
          <w:rFonts w:asciiTheme="minorEastAsia" w:hAnsiTheme="minorEastAsia" w:eastAsiaTheme="minorEastAsia" w:cstheme="minorEastAsia"/>
          <w:spacing w:val="-5"/>
          <w:sz w:val="24"/>
          <w:szCs w:val="24"/>
        </w:rPr>
        <w:t>不</w:t>
      </w:r>
      <w:r>
        <w:rPr>
          <w:rFonts w:asciiTheme="minorEastAsia" w:hAnsiTheme="minorEastAsia" w:eastAsiaTheme="minorEastAsia" w:cstheme="minorEastAsia"/>
          <w:sz w:val="24"/>
          <w:szCs w:val="24"/>
        </w:rPr>
        <w:t>得</w:t>
      </w:r>
      <w:r>
        <w:rPr>
          <w:rFonts w:asciiTheme="minorEastAsia" w:hAnsiTheme="minorEastAsia" w:eastAsiaTheme="minorEastAsia" w:cstheme="minorEastAsia"/>
          <w:spacing w:val="-5"/>
          <w:sz w:val="24"/>
          <w:szCs w:val="24"/>
        </w:rPr>
        <w:t>与</w:t>
      </w:r>
      <w:r>
        <w:rPr>
          <w:rFonts w:asciiTheme="minorEastAsia" w:hAnsiTheme="minorEastAsia" w:eastAsiaTheme="minorEastAsia" w:cstheme="minorEastAsia"/>
          <w:sz w:val="24"/>
          <w:szCs w:val="24"/>
        </w:rPr>
        <w:t>投</w:t>
      </w:r>
      <w:r>
        <w:rPr>
          <w:rFonts w:asciiTheme="minorEastAsia" w:hAnsiTheme="minorEastAsia" w:eastAsiaTheme="minorEastAsia" w:cstheme="minorEastAsia"/>
          <w:spacing w:val="-5"/>
          <w:sz w:val="24"/>
          <w:szCs w:val="24"/>
        </w:rPr>
        <w:t>标</w:t>
      </w:r>
      <w:r>
        <w:rPr>
          <w:rFonts w:asciiTheme="minorEastAsia" w:hAnsiTheme="minorEastAsia" w:eastAsiaTheme="minorEastAsia" w:cstheme="minorEastAsia"/>
          <w:sz w:val="24"/>
          <w:szCs w:val="24"/>
        </w:rPr>
        <w:t>人</w:t>
      </w:r>
      <w:r>
        <w:rPr>
          <w:rFonts w:asciiTheme="minorEastAsia" w:hAnsiTheme="minorEastAsia" w:eastAsiaTheme="minorEastAsia" w:cstheme="minorEastAsia"/>
          <w:spacing w:val="-3"/>
          <w:sz w:val="24"/>
          <w:szCs w:val="24"/>
        </w:rPr>
        <w:t>串通</w:t>
      </w:r>
      <w:r>
        <w:rPr>
          <w:rFonts w:asciiTheme="minorEastAsia" w:hAnsiTheme="minorEastAsia" w:eastAsiaTheme="minorEastAsia" w:cstheme="minorEastAsia"/>
          <w:spacing w:val="-5"/>
          <w:sz w:val="24"/>
          <w:szCs w:val="24"/>
        </w:rPr>
        <w:t>损</w:t>
      </w:r>
      <w:r>
        <w:rPr>
          <w:rFonts w:asciiTheme="minorEastAsia" w:hAnsiTheme="minorEastAsia" w:eastAsiaTheme="minorEastAsia" w:cstheme="minorEastAsia"/>
          <w:sz w:val="24"/>
          <w:szCs w:val="24"/>
        </w:rPr>
        <w:t>害国</w:t>
      </w:r>
      <w:r>
        <w:rPr>
          <w:rFonts w:asciiTheme="minorEastAsia" w:hAnsiTheme="minorEastAsia" w:eastAsiaTheme="minorEastAsia" w:cstheme="minorEastAsia"/>
          <w:spacing w:val="-5"/>
          <w:sz w:val="24"/>
          <w:szCs w:val="24"/>
        </w:rPr>
        <w:t>家</w:t>
      </w:r>
      <w:r>
        <w:rPr>
          <w:rFonts w:asciiTheme="minorEastAsia" w:hAnsiTheme="minorEastAsia" w:eastAsiaTheme="minorEastAsia" w:cstheme="minorEastAsia"/>
          <w:sz w:val="24"/>
          <w:szCs w:val="24"/>
        </w:rPr>
        <w:t>利</w:t>
      </w:r>
      <w:r>
        <w:rPr>
          <w:rFonts w:asciiTheme="minorEastAsia" w:hAnsiTheme="minorEastAsia" w:eastAsiaTheme="minorEastAsia" w:cstheme="minorEastAsia"/>
          <w:spacing w:val="-5"/>
          <w:sz w:val="24"/>
          <w:szCs w:val="24"/>
        </w:rPr>
        <w:t>益</w:t>
      </w:r>
      <w:r>
        <w:rPr>
          <w:rFonts w:asciiTheme="minorEastAsia" w:hAnsiTheme="minorEastAsia" w:eastAsiaTheme="minorEastAsia" w:cstheme="minorEastAsia"/>
          <w:sz w:val="24"/>
          <w:szCs w:val="24"/>
        </w:rPr>
        <w:t>、</w:t>
      </w:r>
      <w:r>
        <w:rPr>
          <w:rFonts w:asciiTheme="minorEastAsia" w:hAnsiTheme="minorEastAsia" w:eastAsiaTheme="minorEastAsia" w:cstheme="minorEastAsia"/>
          <w:spacing w:val="-3"/>
          <w:sz w:val="24"/>
          <w:szCs w:val="24"/>
        </w:rPr>
        <w:t>社</w:t>
      </w:r>
      <w:r>
        <w:rPr>
          <w:rFonts w:asciiTheme="minorEastAsia" w:hAnsiTheme="minorEastAsia" w:eastAsiaTheme="minorEastAsia" w:cstheme="minorEastAsia"/>
          <w:sz w:val="24"/>
          <w:szCs w:val="24"/>
        </w:rPr>
        <w:t>会公</w:t>
      </w:r>
      <w:r>
        <w:rPr>
          <w:rFonts w:asciiTheme="minorEastAsia" w:hAnsiTheme="minorEastAsia" w:eastAsiaTheme="minorEastAsia" w:cstheme="minorEastAsia"/>
          <w:spacing w:val="-3"/>
          <w:sz w:val="24"/>
          <w:szCs w:val="24"/>
        </w:rPr>
        <w:t>共利益或者他人合法权益。</w:t>
      </w:r>
    </w:p>
    <w:p>
      <w:pPr>
        <w:pStyle w:val="8"/>
        <w:kinsoku w:val="0"/>
        <w:overflowPunct w:val="0"/>
        <w:spacing w:line="360" w:lineRule="auto"/>
        <w:jc w:val="both"/>
        <w:rPr>
          <w:rFonts w:hint="default" w:asciiTheme="minorEastAsia" w:hAnsiTheme="minorEastAsia" w:eastAsiaTheme="minorEastAsia" w:cstheme="minorEastAsia"/>
          <w:b/>
          <w:bCs/>
          <w:sz w:val="24"/>
          <w:szCs w:val="24"/>
        </w:rPr>
      </w:pPr>
      <w:bookmarkStart w:id="86" w:name="_Toc17908_WPSOffice_Level2"/>
      <w:r>
        <w:rPr>
          <w:rFonts w:asciiTheme="minorEastAsia" w:hAnsiTheme="minorEastAsia" w:eastAsiaTheme="minorEastAsia" w:cstheme="minorEastAsia"/>
          <w:b/>
          <w:bCs/>
          <w:sz w:val="24"/>
          <w:szCs w:val="24"/>
        </w:rPr>
        <w:t>9.2</w:t>
      </w:r>
      <w:r>
        <w:rPr>
          <w:rFonts w:asciiTheme="minorEastAsia" w:hAnsiTheme="minorEastAsia" w:eastAsiaTheme="minorEastAsia" w:cstheme="minorEastAsia"/>
          <w:b/>
          <w:bCs/>
          <w:spacing w:val="-2"/>
          <w:sz w:val="24"/>
          <w:szCs w:val="24"/>
        </w:rPr>
        <w:t>对投标人的纪律要求</w:t>
      </w:r>
      <w:bookmarkEnd w:id="86"/>
    </w:p>
    <w:p>
      <w:pPr>
        <w:pStyle w:val="8"/>
        <w:kinsoku w:val="0"/>
        <w:overflowPunct w:val="0"/>
        <w:spacing w:line="360" w:lineRule="auto"/>
        <w:ind w:left="0" w:firstLine="480" w:firstLineChars="200"/>
        <w:jc w:val="both"/>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z w:val="24"/>
          <w:szCs w:val="24"/>
        </w:rPr>
        <w:t>投标人不得相互串通投标或者与招标人串通投标，不得向招标人或者评标委员会成员行贿谋取中标，不得以他人名义投标或者以其他方式弄虚作假骗取中标；投标人不得以任何方式干扰、影响评标</w:t>
      </w:r>
      <w:r>
        <w:rPr>
          <w:rFonts w:asciiTheme="minorEastAsia" w:hAnsiTheme="minorEastAsia" w:eastAsiaTheme="minorEastAsia" w:cstheme="minorEastAsia"/>
          <w:spacing w:val="-1"/>
          <w:sz w:val="24"/>
          <w:szCs w:val="24"/>
        </w:rPr>
        <w:t>工作。</w:t>
      </w:r>
    </w:p>
    <w:p>
      <w:pPr>
        <w:pStyle w:val="8"/>
        <w:kinsoku w:val="0"/>
        <w:overflowPunct w:val="0"/>
        <w:spacing w:line="360" w:lineRule="auto"/>
        <w:rPr>
          <w:rFonts w:hint="default" w:asciiTheme="minorEastAsia" w:hAnsiTheme="minorEastAsia" w:eastAsiaTheme="minorEastAsia" w:cstheme="minorEastAsia"/>
          <w:b/>
          <w:bCs/>
          <w:spacing w:val="-2"/>
          <w:sz w:val="24"/>
          <w:szCs w:val="24"/>
        </w:rPr>
      </w:pPr>
      <w:bookmarkStart w:id="87" w:name="_Toc10056_WPSOffice_Level2"/>
      <w:r>
        <w:rPr>
          <w:rFonts w:asciiTheme="minorEastAsia" w:hAnsiTheme="minorEastAsia" w:eastAsiaTheme="minorEastAsia" w:cstheme="minorEastAsia"/>
          <w:b/>
          <w:bCs/>
          <w:sz w:val="24"/>
          <w:szCs w:val="24"/>
        </w:rPr>
        <w:t>9.3</w:t>
      </w:r>
      <w:r>
        <w:rPr>
          <w:rFonts w:hint="eastAsia" w:asciiTheme="minorEastAsia" w:hAnsiTheme="minorEastAsia" w:eastAsiaTheme="minorEastAsia" w:cstheme="minorEastAsia"/>
          <w:b/>
          <w:bCs/>
          <w:sz w:val="24"/>
          <w:szCs w:val="24"/>
          <w:lang w:val="en-US" w:eastAsia="zh-CN"/>
        </w:rPr>
        <w:t xml:space="preserve"> </w:t>
      </w:r>
      <w:r>
        <w:rPr>
          <w:rFonts w:asciiTheme="minorEastAsia" w:hAnsiTheme="minorEastAsia" w:eastAsiaTheme="minorEastAsia" w:cstheme="minorEastAsia"/>
          <w:b/>
          <w:bCs/>
          <w:spacing w:val="-2"/>
          <w:sz w:val="24"/>
          <w:szCs w:val="24"/>
        </w:rPr>
        <w:t>评标委员会成员不得有以下行为：</w:t>
      </w:r>
      <w:bookmarkEnd w:id="87"/>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（一）确定参与评标至评标结束前私自接触投标人；</w:t>
      </w:r>
    </w:p>
    <w:p>
      <w:pPr>
        <w:pStyle w:val="14"/>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3"/>
          <w:sz w:val="24"/>
          <w:szCs w:val="24"/>
        </w:rPr>
        <w:t>（二）接受投标人提出的与投标文件不一致的澄清或者说明，87号令第五十一条规定的情形除外；</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（三）违反评标纪律发表倾向性意见或者征询采购人的倾向性意见；</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（四）对需要专业判断的主观评审因素协商评分；</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（五）在评标过程中擅离职守，影响评标程序正常进行的；</w:t>
      </w:r>
    </w:p>
    <w:p>
      <w:pPr>
        <w:pStyle w:val="14"/>
        <w:kinsoku w:val="0"/>
        <w:overflowPunct w:val="0"/>
        <w:spacing w:line="360" w:lineRule="auto"/>
        <w:ind w:left="53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2"/>
          <w:sz w:val="24"/>
          <w:szCs w:val="24"/>
        </w:rPr>
        <w:t>（六）评标委员会成员收受他人的财物或者其他好处；</w:t>
      </w:r>
    </w:p>
    <w:p>
      <w:pPr>
        <w:pStyle w:val="14"/>
        <w:kinsoku w:val="0"/>
        <w:overflowPunct w:val="0"/>
        <w:spacing w:line="360" w:lineRule="auto"/>
        <w:ind w:left="53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3"/>
          <w:position w:val="1"/>
          <w:sz w:val="24"/>
          <w:szCs w:val="24"/>
        </w:rPr>
        <w:t>（七）使用招标文件</w:t>
      </w:r>
      <w:r>
        <w:rPr>
          <w:rFonts w:asciiTheme="minorEastAsia" w:hAnsiTheme="minorEastAsia" w:eastAsiaTheme="minorEastAsia" w:cstheme="minorEastAsia"/>
          <w:spacing w:val="-3"/>
          <w:sz w:val="24"/>
          <w:szCs w:val="24"/>
        </w:rPr>
        <w:t>没有规定的评审因素和标准进行评标。</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position w:val="1"/>
          <w:sz w:val="24"/>
          <w:szCs w:val="24"/>
        </w:rPr>
        <w:t>（八）</w:t>
      </w:r>
      <w:r>
        <w:rPr>
          <w:rFonts w:asciiTheme="minorEastAsia" w:hAnsiTheme="minorEastAsia" w:eastAsiaTheme="minorEastAsia" w:cstheme="minorEastAsia"/>
          <w:spacing w:val="-2"/>
          <w:sz w:val="24"/>
          <w:szCs w:val="24"/>
        </w:rPr>
        <w:t>泄露评审文件、评审情况和评审中获悉的商业秘密。</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（九）记录、复制或者带走任何评标资料；</w:t>
      </w:r>
    </w:p>
    <w:p>
      <w:pPr>
        <w:pStyle w:val="14"/>
        <w:kinsoku w:val="0"/>
        <w:overflowPunct w:val="0"/>
        <w:spacing w:line="360" w:lineRule="auto"/>
        <w:ind w:right="-94" w:rightChars="-39" w:firstLine="472" w:firstLineChars="20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（十）其他不遵守评标纪律的行为。</w:t>
      </w:r>
      <w:r>
        <w:rPr>
          <w:rFonts w:asciiTheme="minorEastAsia" w:hAnsiTheme="minorEastAsia" w:eastAsiaTheme="minorEastAsia" w:cstheme="minorEastAsia"/>
          <w:sz w:val="24"/>
          <w:szCs w:val="24"/>
        </w:rPr>
        <w:t>评标委员会成员有前款第一至七项行为之一的，其评审意见无效，并不得获取评审劳务报酬和报销</w:t>
      </w:r>
      <w:r>
        <w:rPr>
          <w:rFonts w:asciiTheme="minorEastAsia" w:hAnsiTheme="minorEastAsia" w:eastAsiaTheme="minorEastAsia" w:cstheme="minorEastAsia"/>
          <w:spacing w:val="-2"/>
          <w:sz w:val="24"/>
          <w:szCs w:val="24"/>
        </w:rPr>
        <w:t>异地评审差旅费。</w:t>
      </w:r>
    </w:p>
    <w:p>
      <w:pPr>
        <w:pStyle w:val="8"/>
        <w:kinsoku w:val="0"/>
        <w:overflowPunct w:val="0"/>
        <w:spacing w:line="360" w:lineRule="auto"/>
        <w:ind w:right="-94" w:rightChars="-39"/>
        <w:rPr>
          <w:rFonts w:hint="default" w:asciiTheme="minorEastAsia" w:hAnsiTheme="minorEastAsia" w:eastAsiaTheme="minorEastAsia" w:cstheme="minorEastAsia"/>
          <w:b/>
          <w:bCs/>
          <w:spacing w:val="-2"/>
          <w:sz w:val="24"/>
          <w:szCs w:val="24"/>
        </w:rPr>
      </w:pPr>
      <w:bookmarkStart w:id="88" w:name="_Toc6448_WPSOffice_Level2"/>
      <w:r>
        <w:rPr>
          <w:rFonts w:asciiTheme="minorEastAsia" w:hAnsiTheme="minorEastAsia" w:eastAsiaTheme="minorEastAsia" w:cstheme="minorEastAsia"/>
          <w:b/>
          <w:bCs/>
          <w:sz w:val="24"/>
          <w:szCs w:val="24"/>
        </w:rPr>
        <w:t>9.4</w:t>
      </w:r>
      <w:r>
        <w:rPr>
          <w:rFonts w:hint="eastAsia" w:asciiTheme="minorEastAsia" w:hAnsiTheme="minorEastAsia" w:eastAsiaTheme="minorEastAsia" w:cstheme="minorEastAsia"/>
          <w:b/>
          <w:bCs/>
          <w:sz w:val="24"/>
          <w:szCs w:val="24"/>
          <w:lang w:val="en-US" w:eastAsia="zh-CN"/>
        </w:rPr>
        <w:t xml:space="preserve"> </w:t>
      </w:r>
      <w:r>
        <w:rPr>
          <w:rFonts w:asciiTheme="minorEastAsia" w:hAnsiTheme="minorEastAsia" w:eastAsiaTheme="minorEastAsia" w:cstheme="minorEastAsia"/>
          <w:b/>
          <w:bCs/>
          <w:spacing w:val="-2"/>
          <w:sz w:val="24"/>
          <w:szCs w:val="24"/>
        </w:rPr>
        <w:t>对与评标活动有关的工作人员的纪律要求</w:t>
      </w:r>
      <w:bookmarkEnd w:id="88"/>
    </w:p>
    <w:p>
      <w:pPr>
        <w:pStyle w:val="14"/>
        <w:kinsoku w:val="0"/>
        <w:overflowPunct w:val="0"/>
        <w:spacing w:line="360" w:lineRule="auto"/>
        <w:ind w:right="-94" w:rightChars="-39"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w:t>
      </w:r>
      <w:r>
        <w:rPr>
          <w:rFonts w:asciiTheme="minorEastAsia" w:hAnsiTheme="minorEastAsia" w:eastAsiaTheme="minorEastAsia" w:cstheme="minorEastAsia"/>
          <w:spacing w:val="-3"/>
          <w:sz w:val="24"/>
          <w:szCs w:val="24"/>
        </w:rPr>
        <w:t>不得擅离职守，影响评标程序正常进行。</w:t>
      </w:r>
    </w:p>
    <w:p>
      <w:pPr>
        <w:pStyle w:val="8"/>
        <w:tabs>
          <w:tab w:val="left" w:pos="964"/>
        </w:tabs>
        <w:kinsoku w:val="0"/>
        <w:overflowPunct w:val="0"/>
        <w:spacing w:line="360" w:lineRule="auto"/>
        <w:ind w:right="-94" w:rightChars="-39"/>
        <w:rPr>
          <w:rFonts w:hint="default" w:asciiTheme="minorEastAsia" w:hAnsiTheme="minorEastAsia" w:eastAsiaTheme="minorEastAsia" w:cstheme="minorEastAsia"/>
          <w:b/>
          <w:bCs/>
          <w:sz w:val="24"/>
          <w:szCs w:val="24"/>
        </w:rPr>
      </w:pPr>
      <w:bookmarkStart w:id="89" w:name="_Toc15931_WPSOffice_Level2"/>
      <w:r>
        <w:rPr>
          <w:rFonts w:asciiTheme="minorEastAsia" w:hAnsiTheme="minorEastAsia" w:eastAsiaTheme="minorEastAsia" w:cstheme="minorEastAsia"/>
          <w:b/>
          <w:bCs/>
          <w:sz w:val="24"/>
          <w:szCs w:val="24"/>
        </w:rPr>
        <w:t>9.5</w:t>
      </w:r>
      <w:r>
        <w:rPr>
          <w:rFonts w:hint="eastAsia" w:asciiTheme="minorEastAsia" w:hAnsiTheme="minorEastAsia" w:eastAsiaTheme="minorEastAsia" w:cstheme="minorEastAsia"/>
          <w:b/>
          <w:bCs/>
          <w:sz w:val="24"/>
          <w:szCs w:val="24"/>
          <w:lang w:val="en-US" w:eastAsia="zh-CN"/>
        </w:rPr>
        <w:t xml:space="preserve"> </w:t>
      </w:r>
      <w:r>
        <w:rPr>
          <w:rFonts w:asciiTheme="minorEastAsia" w:hAnsiTheme="minorEastAsia" w:eastAsiaTheme="minorEastAsia" w:cstheme="minorEastAsia"/>
          <w:b/>
          <w:bCs/>
          <w:sz w:val="24"/>
          <w:szCs w:val="24"/>
        </w:rPr>
        <w:t>回避要求</w:t>
      </w:r>
      <w:bookmarkEnd w:id="89"/>
    </w:p>
    <w:p>
      <w:pPr>
        <w:pStyle w:val="14"/>
        <w:kinsoku w:val="0"/>
        <w:overflowPunct w:val="0"/>
        <w:spacing w:line="360" w:lineRule="auto"/>
        <w:ind w:left="539" w:right="-94" w:rightChars="-39"/>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在政府采购活动中，采购人员、评标委员会及相关人员与供应商有下列利害关系之一的，应当回避：</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（一）参加采购活动前3年内与供应商存在劳动关系；</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（二）参加采购活动前3年内担任供应商的董事、监事；</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（三）参加采购活动前3年内是供应商的控股股东或者实际控制人；</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（四）与供应商的法定代表人或者负责人有夫妻、直系血亲、三代以内旁系血亲或者近姻亲关系；</w:t>
      </w:r>
    </w:p>
    <w:p>
      <w:pPr>
        <w:pStyle w:val="14"/>
        <w:kinsoku w:val="0"/>
        <w:overflowPunct w:val="0"/>
        <w:spacing w:line="360" w:lineRule="auto"/>
        <w:ind w:left="0" w:right="99" w:firstLine="566" w:firstLineChars="240"/>
        <w:rPr>
          <w:rFonts w:hint="default" w:asciiTheme="minorEastAsia" w:hAnsiTheme="minorEastAsia" w:eastAsiaTheme="minorEastAsia" w:cstheme="minorEastAsia"/>
          <w:spacing w:val="47"/>
          <w:sz w:val="24"/>
          <w:szCs w:val="24"/>
        </w:rPr>
      </w:pPr>
      <w:r>
        <w:rPr>
          <w:rFonts w:asciiTheme="minorEastAsia" w:hAnsiTheme="minorEastAsia" w:eastAsiaTheme="minorEastAsia" w:cstheme="minorEastAsia"/>
          <w:spacing w:val="-2"/>
          <w:sz w:val="24"/>
          <w:szCs w:val="24"/>
        </w:rPr>
        <w:t>（五）与供应商有其他可能影响政府采购活动公平、公正进行的关系。</w:t>
      </w:r>
    </w:p>
    <w:p>
      <w:pPr>
        <w:pStyle w:val="14"/>
        <w:kinsoku w:val="0"/>
        <w:overflowPunct w:val="0"/>
        <w:spacing w:line="360" w:lineRule="auto"/>
        <w:ind w:left="0" w:right="99" w:firstLine="576" w:firstLineChars="24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w:t>
      </w:r>
      <w:r>
        <w:rPr>
          <w:rFonts w:asciiTheme="minorEastAsia" w:hAnsiTheme="minorEastAsia" w:eastAsiaTheme="minorEastAsia" w:cstheme="minorEastAsia"/>
          <w:spacing w:val="-2"/>
          <w:sz w:val="24"/>
          <w:szCs w:val="24"/>
        </w:rPr>
        <w:t>申请回避人员应当回避。</w:t>
      </w:r>
    </w:p>
    <w:p>
      <w:pPr>
        <w:pStyle w:val="8"/>
        <w:kinsoku w:val="0"/>
        <w:overflowPunct w:val="0"/>
        <w:spacing w:line="360" w:lineRule="auto"/>
        <w:rPr>
          <w:rFonts w:hint="default" w:asciiTheme="minorEastAsia" w:hAnsiTheme="minorEastAsia" w:eastAsiaTheme="minorEastAsia" w:cstheme="minorEastAsia"/>
          <w:b/>
          <w:bCs/>
          <w:sz w:val="24"/>
          <w:szCs w:val="24"/>
        </w:rPr>
      </w:pPr>
      <w:bookmarkStart w:id="90" w:name="_Toc27010_WPSOffice_Level2"/>
      <w:r>
        <w:rPr>
          <w:rFonts w:asciiTheme="minorEastAsia" w:hAnsiTheme="minorEastAsia" w:eastAsiaTheme="minorEastAsia" w:cstheme="minorEastAsia"/>
          <w:b/>
          <w:bCs/>
          <w:sz w:val="24"/>
          <w:szCs w:val="24"/>
        </w:rPr>
        <w:t>9.6</w:t>
      </w:r>
      <w:r>
        <w:rPr>
          <w:rFonts w:hint="eastAsia" w:asciiTheme="minorEastAsia" w:hAnsiTheme="minorEastAsia" w:eastAsiaTheme="minorEastAsia" w:cstheme="minorEastAsia"/>
          <w:b/>
          <w:bCs/>
          <w:sz w:val="24"/>
          <w:szCs w:val="24"/>
          <w:lang w:val="en-US" w:eastAsia="zh-CN"/>
        </w:rPr>
        <w:t xml:space="preserve"> </w:t>
      </w:r>
      <w:r>
        <w:rPr>
          <w:rFonts w:asciiTheme="minorEastAsia" w:hAnsiTheme="minorEastAsia" w:eastAsiaTheme="minorEastAsia" w:cstheme="minorEastAsia"/>
          <w:b/>
          <w:bCs/>
          <w:sz w:val="24"/>
          <w:szCs w:val="24"/>
        </w:rPr>
        <w:t>疑问和</w:t>
      </w:r>
      <w:r>
        <w:rPr>
          <w:rFonts w:asciiTheme="minorEastAsia" w:hAnsiTheme="minorEastAsia" w:eastAsiaTheme="minorEastAsia" w:cstheme="minorEastAsia"/>
          <w:b/>
          <w:bCs/>
          <w:spacing w:val="-3"/>
          <w:sz w:val="24"/>
          <w:szCs w:val="24"/>
        </w:rPr>
        <w:t>质疑</w:t>
      </w:r>
      <w:bookmarkEnd w:id="90"/>
    </w:p>
    <w:p>
      <w:pPr>
        <w:pStyle w:val="14"/>
        <w:kinsoku w:val="0"/>
        <w:overflowPunct w:val="0"/>
        <w:spacing w:line="360" w:lineRule="auto"/>
        <w:ind w:right="99"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供应商对政府采购活动事项有疑问的，可以向采购人提出询问，采购人应当及时作出答复，但答复</w:t>
      </w:r>
      <w:r>
        <w:rPr>
          <w:rFonts w:asciiTheme="minorEastAsia" w:hAnsiTheme="minorEastAsia" w:eastAsiaTheme="minorEastAsia" w:cstheme="minorEastAsia"/>
          <w:spacing w:val="-2"/>
          <w:sz w:val="24"/>
          <w:szCs w:val="24"/>
        </w:rPr>
        <w:t>的内容不得涉及商业秘密。</w:t>
      </w:r>
    </w:p>
    <w:p>
      <w:pPr>
        <w:pStyle w:val="14"/>
        <w:kinsoku w:val="0"/>
        <w:overflowPunct w:val="0"/>
        <w:spacing w:line="360" w:lineRule="auto"/>
        <w:ind w:right="99"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供应商认为采购文件、采购过程和中标、成交结果使自己的权益受到损害的，可以在知道或者应知</w:t>
      </w:r>
      <w:r>
        <w:rPr>
          <w:rFonts w:asciiTheme="minorEastAsia" w:hAnsiTheme="minorEastAsia" w:eastAsiaTheme="minorEastAsia" w:cstheme="minorEastAsia"/>
          <w:spacing w:val="-2"/>
          <w:sz w:val="24"/>
          <w:szCs w:val="24"/>
        </w:rPr>
        <w:t>其权益受到损害之日起七个工作日内，以书面形式向采购人提出质疑。</w:t>
      </w:r>
    </w:p>
    <w:p>
      <w:pPr>
        <w:pStyle w:val="4"/>
        <w:kinsoku w:val="0"/>
        <w:overflowPunct w:val="0"/>
        <w:spacing w:line="360" w:lineRule="auto"/>
        <w:ind w:left="2947"/>
        <w:rPr>
          <w:rFonts w:hint="default" w:asciiTheme="minorEastAsia" w:hAnsiTheme="minorEastAsia" w:eastAsiaTheme="minorEastAsia" w:cstheme="minorEastAsia"/>
          <w:b w:val="0"/>
          <w:sz w:val="24"/>
          <w:szCs w:val="24"/>
        </w:rPr>
      </w:pPr>
      <w:bookmarkStart w:id="91" w:name="bookmark13"/>
      <w:bookmarkEnd w:id="91"/>
      <w:r>
        <w:rPr>
          <w:rFonts w:asciiTheme="minorEastAsia" w:hAnsiTheme="minorEastAsia" w:eastAsiaTheme="minorEastAsia" w:cstheme="minorEastAsia"/>
          <w:sz w:val="24"/>
          <w:szCs w:val="24"/>
        </w:rPr>
        <w:t>10.</w:t>
      </w:r>
      <w:r>
        <w:rPr>
          <w:rFonts w:asciiTheme="minorEastAsia" w:hAnsiTheme="minorEastAsia" w:eastAsiaTheme="minorEastAsia" w:cstheme="minorEastAsia"/>
          <w:spacing w:val="3"/>
          <w:sz w:val="24"/>
          <w:szCs w:val="24"/>
        </w:rPr>
        <w:t>是否采用电子招标投标</w:t>
      </w:r>
    </w:p>
    <w:p>
      <w:pPr>
        <w:pStyle w:val="14"/>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3"/>
          <w:sz w:val="24"/>
          <w:szCs w:val="24"/>
        </w:rPr>
        <w:t>本招标项目是否采用电子招标投标方式，见投标人须知前附表。</w:t>
      </w:r>
    </w:p>
    <w:p>
      <w:pPr>
        <w:pStyle w:val="4"/>
        <w:kinsoku w:val="0"/>
        <w:overflowPunct w:val="0"/>
        <w:spacing w:line="360" w:lineRule="auto"/>
        <w:ind w:left="2788"/>
        <w:rPr>
          <w:rFonts w:hint="default" w:asciiTheme="minorEastAsia" w:hAnsiTheme="minorEastAsia" w:eastAsiaTheme="minorEastAsia" w:cstheme="minorEastAsia"/>
          <w:b w:val="0"/>
          <w:sz w:val="24"/>
          <w:szCs w:val="24"/>
        </w:rPr>
      </w:pPr>
      <w:bookmarkStart w:id="92" w:name="bookmark14"/>
      <w:bookmarkEnd w:id="92"/>
      <w:r>
        <w:rPr>
          <w:rFonts w:asciiTheme="minorEastAsia" w:hAnsiTheme="minorEastAsia" w:eastAsiaTheme="minorEastAsia" w:cstheme="minorEastAsia"/>
          <w:sz w:val="24"/>
          <w:szCs w:val="24"/>
        </w:rPr>
        <w:t>11.</w:t>
      </w:r>
      <w:r>
        <w:rPr>
          <w:rFonts w:asciiTheme="minorEastAsia" w:hAnsiTheme="minorEastAsia" w:eastAsiaTheme="minorEastAsia" w:cstheme="minorEastAsia"/>
          <w:spacing w:val="3"/>
          <w:sz w:val="24"/>
          <w:szCs w:val="24"/>
        </w:rPr>
        <w:t>需要补充的其他内容</w:t>
      </w:r>
    </w:p>
    <w:p>
      <w:pPr>
        <w:pStyle w:val="14"/>
        <w:kinsoku w:val="0"/>
        <w:overflowPunct w:val="0"/>
        <w:spacing w:line="360" w:lineRule="auto"/>
        <w:ind w:left="219" w:firstLine="234" w:firstLineChars="100"/>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3"/>
          <w:sz w:val="24"/>
          <w:szCs w:val="24"/>
        </w:rPr>
        <w:t>需要补充的其他内容：见投标人须知前附表。</w:t>
      </w:r>
    </w:p>
    <w:p>
      <w:pPr>
        <w:pStyle w:val="14"/>
        <w:kinsoku w:val="0"/>
        <w:overflowPunct w:val="0"/>
        <w:spacing w:line="360" w:lineRule="auto"/>
        <w:ind w:left="0"/>
        <w:rPr>
          <w:rFonts w:hint="default" w:asciiTheme="minorEastAsia" w:hAnsiTheme="minorEastAsia" w:eastAsiaTheme="minorEastAsia" w:cstheme="minorEastAsia"/>
          <w:sz w:val="24"/>
          <w:szCs w:val="24"/>
        </w:rPr>
      </w:pPr>
    </w:p>
    <w:p>
      <w:pPr>
        <w:pStyle w:val="14"/>
        <w:kinsoku w:val="0"/>
        <w:overflowPunct w:val="0"/>
        <w:spacing w:line="360" w:lineRule="auto"/>
        <w:ind w:left="0"/>
        <w:rPr>
          <w:rFonts w:hint="default" w:asciiTheme="minorEastAsia" w:hAnsiTheme="minorEastAsia" w:eastAsiaTheme="minorEastAsia" w:cstheme="minorEastAsia"/>
          <w:sz w:val="24"/>
          <w:szCs w:val="24"/>
        </w:rPr>
      </w:pPr>
    </w:p>
    <w:p>
      <w:pPr>
        <w:pStyle w:val="14"/>
        <w:kinsoku w:val="0"/>
        <w:overflowPunct w:val="0"/>
        <w:spacing w:line="360" w:lineRule="auto"/>
        <w:ind w:left="0"/>
        <w:rPr>
          <w:rFonts w:hint="default" w:asciiTheme="minorEastAsia" w:hAnsiTheme="minorEastAsia" w:eastAsiaTheme="minorEastAsia" w:cstheme="minorEastAsia"/>
          <w:sz w:val="24"/>
          <w:szCs w:val="24"/>
        </w:rPr>
      </w:pPr>
    </w:p>
    <w:p>
      <w:pPr>
        <w:pStyle w:val="14"/>
        <w:kinsoku w:val="0"/>
        <w:overflowPunct w:val="0"/>
        <w:spacing w:line="360" w:lineRule="auto"/>
        <w:ind w:left="0"/>
        <w:rPr>
          <w:rFonts w:hint="default" w:asciiTheme="minorEastAsia" w:hAnsiTheme="minorEastAsia" w:eastAsiaTheme="minorEastAsia" w:cstheme="minorEastAsia"/>
          <w:sz w:val="24"/>
          <w:szCs w:val="24"/>
        </w:rPr>
      </w:pPr>
    </w:p>
    <w:p>
      <w:pPr>
        <w:rPr>
          <w:rFonts w:hint="default" w:asciiTheme="minorEastAsia" w:hAnsiTheme="minorEastAsia" w:eastAsiaTheme="minorEastAsia" w:cstheme="minorEastAsia"/>
          <w:sz w:val="24"/>
          <w:szCs w:val="24"/>
        </w:rPr>
      </w:pPr>
    </w:p>
    <w:p>
      <w:pPr>
        <w:pStyle w:val="26"/>
        <w:rPr>
          <w:rFonts w:hint="default" w:asciiTheme="minorEastAsia" w:hAnsiTheme="minorEastAsia" w:eastAsiaTheme="minorEastAsia" w:cstheme="minorEastAsia"/>
          <w:sz w:val="24"/>
          <w:szCs w:val="24"/>
        </w:rPr>
      </w:pPr>
    </w:p>
    <w:p>
      <w:pPr>
        <w:pStyle w:val="26"/>
        <w:rPr>
          <w:rFonts w:hint="default" w:asciiTheme="minorEastAsia" w:hAnsiTheme="minorEastAsia" w:eastAsiaTheme="minorEastAsia" w:cstheme="minorEastAsia"/>
          <w:sz w:val="24"/>
          <w:szCs w:val="24"/>
        </w:rPr>
      </w:pPr>
    </w:p>
    <w:p>
      <w:pPr>
        <w:pStyle w:val="26"/>
        <w:rPr>
          <w:rFonts w:hint="default" w:asciiTheme="minorEastAsia" w:hAnsiTheme="minorEastAsia" w:eastAsiaTheme="minorEastAsia" w:cstheme="minorEastAsia"/>
          <w:sz w:val="24"/>
          <w:szCs w:val="24"/>
        </w:rPr>
      </w:pPr>
    </w:p>
    <w:p>
      <w:pPr>
        <w:pStyle w:val="26"/>
        <w:rPr>
          <w:rFonts w:hint="default" w:asciiTheme="minorEastAsia" w:hAnsiTheme="minorEastAsia" w:eastAsiaTheme="minorEastAsia" w:cstheme="minorEastAsia"/>
          <w:sz w:val="24"/>
          <w:szCs w:val="24"/>
        </w:rPr>
      </w:pPr>
    </w:p>
    <w:p>
      <w:pPr>
        <w:pStyle w:val="26"/>
        <w:rPr>
          <w:rFonts w:hint="default" w:asciiTheme="minorEastAsia" w:hAnsiTheme="minorEastAsia" w:eastAsiaTheme="minorEastAsia" w:cstheme="minorEastAsia"/>
          <w:sz w:val="24"/>
          <w:szCs w:val="24"/>
        </w:rPr>
      </w:pPr>
    </w:p>
    <w:p>
      <w:pPr>
        <w:pStyle w:val="26"/>
        <w:rPr>
          <w:rFonts w:hint="default" w:asciiTheme="minorEastAsia" w:hAnsiTheme="minorEastAsia" w:eastAsiaTheme="minorEastAsia" w:cstheme="minorEastAsia"/>
          <w:sz w:val="24"/>
          <w:szCs w:val="24"/>
        </w:rPr>
      </w:pPr>
    </w:p>
    <w:p>
      <w:pPr>
        <w:pStyle w:val="26"/>
        <w:rPr>
          <w:rFonts w:hint="default" w:asciiTheme="minorEastAsia" w:hAnsiTheme="minorEastAsia" w:eastAsiaTheme="minorEastAsia" w:cstheme="minorEastAsia"/>
          <w:sz w:val="24"/>
          <w:szCs w:val="24"/>
        </w:rPr>
      </w:pPr>
    </w:p>
    <w:p>
      <w:pPr>
        <w:pStyle w:val="26"/>
        <w:rPr>
          <w:rFonts w:hint="default" w:asciiTheme="minorEastAsia" w:hAnsiTheme="minorEastAsia" w:eastAsiaTheme="minorEastAsia" w:cstheme="minorEastAsia"/>
          <w:sz w:val="24"/>
          <w:szCs w:val="24"/>
        </w:rPr>
      </w:pPr>
    </w:p>
    <w:p>
      <w:pPr>
        <w:pStyle w:val="26"/>
        <w:rPr>
          <w:rFonts w:hint="default" w:asciiTheme="minorEastAsia" w:hAnsiTheme="minorEastAsia" w:eastAsiaTheme="minorEastAsia" w:cstheme="minorEastAsia"/>
          <w:sz w:val="24"/>
          <w:szCs w:val="24"/>
        </w:rPr>
      </w:pPr>
    </w:p>
    <w:p>
      <w:pPr>
        <w:pStyle w:val="26"/>
        <w:rPr>
          <w:rFonts w:hint="default" w:asciiTheme="minorEastAsia" w:hAnsiTheme="minorEastAsia" w:eastAsiaTheme="minorEastAsia" w:cstheme="minorEastAsia"/>
          <w:sz w:val="24"/>
          <w:szCs w:val="24"/>
        </w:rPr>
      </w:pPr>
    </w:p>
    <w:p>
      <w:pPr>
        <w:pStyle w:val="26"/>
        <w:rPr>
          <w:rFonts w:hint="default" w:asciiTheme="minorEastAsia" w:hAnsiTheme="minorEastAsia" w:eastAsiaTheme="minorEastAsia" w:cstheme="minorEastAsia"/>
          <w:sz w:val="24"/>
          <w:szCs w:val="24"/>
        </w:rPr>
      </w:pPr>
    </w:p>
    <w:p>
      <w:pPr>
        <w:pStyle w:val="26"/>
        <w:rPr>
          <w:rFonts w:hint="default" w:asciiTheme="minorEastAsia" w:hAnsiTheme="minorEastAsia" w:eastAsiaTheme="minorEastAsia" w:cstheme="minorEastAsia"/>
          <w:sz w:val="24"/>
          <w:szCs w:val="24"/>
        </w:rPr>
      </w:pPr>
    </w:p>
    <w:p>
      <w:pPr>
        <w:pStyle w:val="26"/>
        <w:rPr>
          <w:rFonts w:hint="default" w:asciiTheme="minorEastAsia" w:hAnsiTheme="minorEastAsia" w:eastAsiaTheme="minorEastAsia" w:cstheme="minorEastAsia"/>
          <w:sz w:val="24"/>
          <w:szCs w:val="24"/>
        </w:rPr>
      </w:pPr>
    </w:p>
    <w:p>
      <w:pPr>
        <w:pStyle w:val="26"/>
        <w:rPr>
          <w:rFonts w:hint="default" w:asciiTheme="minorEastAsia" w:hAnsiTheme="minorEastAsia" w:eastAsiaTheme="minorEastAsia" w:cstheme="minorEastAsia"/>
          <w:sz w:val="24"/>
          <w:szCs w:val="24"/>
        </w:rPr>
      </w:pPr>
    </w:p>
    <w:p>
      <w:pPr>
        <w:pStyle w:val="27"/>
        <w:rPr>
          <w:rFonts w:hint="default"/>
        </w:rPr>
      </w:pPr>
    </w:p>
    <w:p>
      <w:pPr>
        <w:pStyle w:val="26"/>
        <w:rPr>
          <w:rFonts w:hint="default" w:asciiTheme="minorEastAsia" w:hAnsiTheme="minorEastAsia" w:eastAsiaTheme="minorEastAsia" w:cstheme="minorEastAsia"/>
          <w:sz w:val="24"/>
          <w:szCs w:val="24"/>
        </w:rPr>
      </w:pPr>
    </w:p>
    <w:p>
      <w:pPr>
        <w:pStyle w:val="27"/>
        <w:rPr>
          <w:rFonts w:hint="default" w:asciiTheme="minorEastAsia" w:hAnsiTheme="minorEastAsia" w:eastAsiaTheme="minorEastAsia" w:cstheme="minorEastAsia"/>
          <w:sz w:val="24"/>
          <w:szCs w:val="24"/>
        </w:rPr>
      </w:pPr>
    </w:p>
    <w:p>
      <w:pPr>
        <w:rPr>
          <w:rFonts w:hint="default" w:asciiTheme="minorEastAsia" w:hAnsiTheme="minorEastAsia" w:eastAsiaTheme="minorEastAsia" w:cstheme="minorEastAsia"/>
          <w:sz w:val="24"/>
          <w:szCs w:val="24"/>
        </w:rPr>
      </w:pPr>
    </w:p>
    <w:p>
      <w:pPr>
        <w:bidi w:val="0"/>
        <w:rPr>
          <w:rFonts w:hint="default"/>
        </w:rPr>
      </w:pPr>
    </w:p>
    <w:p>
      <w:pPr>
        <w:pStyle w:val="26"/>
        <w:rPr>
          <w:rFonts w:hint="default" w:asciiTheme="minorEastAsia" w:hAnsiTheme="minorEastAsia" w:eastAsiaTheme="minorEastAsia" w:cstheme="minorEastAsia"/>
          <w:sz w:val="24"/>
          <w:szCs w:val="24"/>
        </w:rPr>
      </w:pPr>
    </w:p>
    <w:p>
      <w:pPr>
        <w:pStyle w:val="4"/>
        <w:rPr>
          <w:rFonts w:hint="default"/>
          <w:color w:val="000000"/>
          <w:sz w:val="24"/>
          <w:szCs w:val="24"/>
        </w:rPr>
      </w:pPr>
      <w:bookmarkStart w:id="93" w:name="_Toc14438_WPSOffice_Level2"/>
      <w:r>
        <w:rPr>
          <w:color w:val="000000"/>
          <w:sz w:val="24"/>
          <w:szCs w:val="24"/>
        </w:rPr>
        <w:t>附件一：</w:t>
      </w:r>
      <w:bookmarkEnd w:id="93"/>
    </w:p>
    <w:p>
      <w:pPr>
        <w:pStyle w:val="4"/>
        <w:jc w:val="center"/>
        <w:rPr>
          <w:rFonts w:hint="default"/>
          <w:color w:val="000000"/>
        </w:rPr>
      </w:pPr>
      <w:bookmarkStart w:id="94" w:name="_Toc14780_WPSOffice_Level2"/>
      <w:r>
        <w:rPr>
          <w:color w:val="000000"/>
        </w:rPr>
        <w:t>问题澄清通知</w:t>
      </w:r>
      <w:bookmarkEnd w:id="94"/>
    </w:p>
    <w:p>
      <w:pPr>
        <w:spacing w:line="440" w:lineRule="exact"/>
        <w:rPr>
          <w:rFonts w:ascii="宋体" w:hAnsi="宋体"/>
          <w:color w:val="000000"/>
          <w:szCs w:val="24"/>
        </w:rPr>
      </w:pPr>
      <w:r>
        <w:rPr>
          <w:rFonts w:ascii="宋体" w:hAnsi="宋体"/>
          <w:color w:val="000000"/>
          <w:szCs w:val="24"/>
        </w:rPr>
        <w:t>编号：</w:t>
      </w:r>
    </w:p>
    <w:p>
      <w:pPr>
        <w:spacing w:line="440" w:lineRule="exact"/>
        <w:rPr>
          <w:rFonts w:ascii="宋体" w:hAnsi="宋体"/>
          <w:color w:val="000000"/>
          <w:szCs w:val="24"/>
        </w:rPr>
      </w:pPr>
    </w:p>
    <w:p>
      <w:pPr>
        <w:spacing w:line="440" w:lineRule="exact"/>
        <w:rPr>
          <w:rFonts w:ascii="宋体" w:hAnsi="宋体"/>
          <w:color w:val="000000"/>
          <w:szCs w:val="24"/>
        </w:rPr>
      </w:pPr>
      <w:r>
        <w:rPr>
          <w:rFonts w:ascii="宋体" w:hAnsi="宋体"/>
          <w:color w:val="000000"/>
          <w:szCs w:val="24"/>
        </w:rPr>
        <w:t>（投标人名称）：</w:t>
      </w:r>
    </w:p>
    <w:p>
      <w:pPr>
        <w:spacing w:line="440" w:lineRule="exact"/>
        <w:rPr>
          <w:rFonts w:ascii="宋体" w:hAnsi="宋体"/>
          <w:color w:val="000000"/>
          <w:szCs w:val="24"/>
        </w:rPr>
      </w:pPr>
    </w:p>
    <w:p>
      <w:pPr>
        <w:spacing w:line="440" w:lineRule="exact"/>
        <w:rPr>
          <w:rFonts w:ascii="宋体" w:hAnsi="宋体"/>
          <w:color w:val="000000"/>
          <w:szCs w:val="24"/>
        </w:rPr>
      </w:pPr>
      <w:r>
        <w:rPr>
          <w:rFonts w:ascii="宋体" w:hAnsi="宋体"/>
          <w:color w:val="000000"/>
          <w:szCs w:val="24"/>
        </w:rPr>
        <w:t xml:space="preserve">　　  </w:t>
      </w:r>
      <w:r>
        <w:rPr>
          <w:rFonts w:ascii="宋体" w:hAnsi="宋体"/>
          <w:color w:val="000000"/>
          <w:szCs w:val="24"/>
          <w:u w:val="single"/>
        </w:rPr>
        <w:t xml:space="preserve">　             </w:t>
      </w:r>
      <w:r>
        <w:rPr>
          <w:rFonts w:ascii="宋体" w:hAnsi="宋体"/>
          <w:color w:val="000000"/>
          <w:szCs w:val="24"/>
        </w:rPr>
        <w:t xml:space="preserve"> （项目名称）招标的评标委员会，对你方的投标文件进行了仔细的审查，现需你方对下列问题以书面形式予以澄清：</w:t>
      </w:r>
    </w:p>
    <w:p>
      <w:pPr>
        <w:spacing w:line="440" w:lineRule="exact"/>
        <w:rPr>
          <w:rFonts w:ascii="宋体" w:hAnsi="宋体"/>
          <w:color w:val="000000"/>
          <w:szCs w:val="24"/>
        </w:rPr>
      </w:pPr>
      <w:r>
        <w:rPr>
          <w:rFonts w:ascii="宋体" w:hAnsi="宋体"/>
          <w:color w:val="000000"/>
          <w:szCs w:val="24"/>
        </w:rPr>
        <w:t>　　</w:t>
      </w:r>
    </w:p>
    <w:p>
      <w:pPr>
        <w:spacing w:line="440" w:lineRule="exact"/>
        <w:rPr>
          <w:rFonts w:ascii="宋体" w:hAnsi="宋体"/>
          <w:color w:val="000000"/>
          <w:szCs w:val="24"/>
        </w:rPr>
      </w:pPr>
      <w:r>
        <w:rPr>
          <w:rFonts w:ascii="宋体" w:hAnsi="宋体"/>
          <w:color w:val="000000"/>
          <w:szCs w:val="24"/>
        </w:rPr>
        <w:t xml:space="preserve">    </w:t>
      </w:r>
      <w:bookmarkStart w:id="95" w:name="_Toc2857_WPSOffice_Level2"/>
      <w:r>
        <w:rPr>
          <w:rFonts w:ascii="宋体" w:hAnsi="宋体"/>
          <w:color w:val="000000"/>
          <w:szCs w:val="24"/>
        </w:rPr>
        <w:t>1.</w:t>
      </w:r>
      <w:bookmarkEnd w:id="95"/>
    </w:p>
    <w:p>
      <w:pPr>
        <w:spacing w:line="440" w:lineRule="exact"/>
        <w:rPr>
          <w:rFonts w:ascii="宋体" w:hAnsi="宋体"/>
          <w:color w:val="000000"/>
          <w:szCs w:val="24"/>
        </w:rPr>
      </w:pPr>
      <w:r>
        <w:rPr>
          <w:rFonts w:ascii="宋体" w:hAnsi="宋体"/>
          <w:color w:val="000000"/>
          <w:szCs w:val="24"/>
        </w:rPr>
        <w:t xml:space="preserve">    </w:t>
      </w:r>
      <w:bookmarkStart w:id="96" w:name="_Toc30796_WPSOffice_Level2"/>
      <w:r>
        <w:rPr>
          <w:rFonts w:ascii="宋体" w:hAnsi="宋体"/>
          <w:color w:val="000000"/>
          <w:szCs w:val="24"/>
        </w:rPr>
        <w:t>2.</w:t>
      </w:r>
      <w:bookmarkEnd w:id="96"/>
    </w:p>
    <w:p>
      <w:pPr>
        <w:spacing w:line="440" w:lineRule="exact"/>
        <w:rPr>
          <w:rFonts w:ascii="宋体" w:hAnsi="宋体"/>
          <w:color w:val="000000"/>
          <w:szCs w:val="24"/>
        </w:rPr>
      </w:pPr>
      <w:r>
        <w:rPr>
          <w:rFonts w:ascii="宋体" w:hAnsi="宋体"/>
          <w:color w:val="000000"/>
          <w:szCs w:val="24"/>
        </w:rPr>
        <w:t xml:space="preserve">     ......   </w:t>
      </w:r>
    </w:p>
    <w:p>
      <w:pPr>
        <w:spacing w:line="440" w:lineRule="exact"/>
        <w:rPr>
          <w:rFonts w:ascii="宋体" w:hAnsi="宋体"/>
          <w:color w:val="000000"/>
          <w:szCs w:val="24"/>
        </w:rPr>
      </w:pPr>
      <w:r>
        <w:rPr>
          <w:rFonts w:ascii="宋体" w:hAnsi="宋体"/>
          <w:color w:val="000000"/>
          <w:szCs w:val="24"/>
        </w:rPr>
        <w:t>　　　</w:t>
      </w:r>
    </w:p>
    <w:p>
      <w:pPr>
        <w:spacing w:line="440" w:lineRule="exact"/>
        <w:rPr>
          <w:rFonts w:ascii="宋体" w:hAnsi="宋体"/>
          <w:color w:val="000000"/>
          <w:szCs w:val="24"/>
        </w:rPr>
      </w:pPr>
      <w:r>
        <w:rPr>
          <w:rFonts w:ascii="宋体" w:hAnsi="宋体"/>
          <w:color w:val="000000"/>
          <w:szCs w:val="24"/>
        </w:rPr>
        <w:t>　　请将上述问题的澄清于年月日时前递交至（详细地址）</w:t>
      </w:r>
      <w:r>
        <w:rPr>
          <w:rFonts w:hint="eastAsia" w:ascii="宋体" w:hAnsi="宋体"/>
          <w:color w:val="000000"/>
          <w:szCs w:val="24"/>
        </w:rPr>
        <w:t>或传真至（传真号码）。采用传真方式的，应在</w:t>
      </w:r>
      <w:r>
        <w:rPr>
          <w:rFonts w:ascii="宋体" w:hAnsi="宋体"/>
          <w:color w:val="000000"/>
          <w:szCs w:val="24"/>
        </w:rPr>
        <w:t>年月日</w:t>
      </w:r>
      <w:r>
        <w:rPr>
          <w:rFonts w:hint="eastAsia" w:ascii="宋体" w:hAnsi="宋体"/>
          <w:color w:val="000000"/>
          <w:szCs w:val="24"/>
        </w:rPr>
        <w:t>时前将原件递交至</w:t>
      </w:r>
      <w:r>
        <w:rPr>
          <w:rFonts w:ascii="宋体" w:hAnsi="宋体"/>
          <w:color w:val="000000"/>
          <w:szCs w:val="24"/>
        </w:rPr>
        <w:t>（详细地址）。</w:t>
      </w:r>
    </w:p>
    <w:p>
      <w:pPr>
        <w:spacing w:line="440" w:lineRule="exact"/>
        <w:rPr>
          <w:rFonts w:ascii="宋体" w:hAnsi="宋体"/>
          <w:color w:val="000000"/>
          <w:szCs w:val="24"/>
        </w:rPr>
      </w:pPr>
    </w:p>
    <w:p>
      <w:pPr>
        <w:spacing w:line="440" w:lineRule="exact"/>
        <w:rPr>
          <w:rFonts w:ascii="宋体" w:hAnsi="宋体"/>
          <w:color w:val="000000"/>
          <w:szCs w:val="24"/>
        </w:rPr>
      </w:pPr>
    </w:p>
    <w:p>
      <w:pPr>
        <w:widowControl/>
        <w:ind w:firstLine="3120" w:firstLineChars="1300"/>
        <w:rPr>
          <w:rFonts w:hint="eastAsia" w:ascii="宋体" w:hAnsi="宋体"/>
          <w:color w:val="000000"/>
          <w:szCs w:val="24"/>
        </w:rPr>
      </w:pPr>
    </w:p>
    <w:p>
      <w:pPr>
        <w:widowControl/>
        <w:ind w:firstLine="3120" w:firstLineChars="1300"/>
        <w:rPr>
          <w:rFonts w:ascii="宋体" w:hAnsi="宋体"/>
          <w:color w:val="000000"/>
          <w:szCs w:val="24"/>
        </w:rPr>
      </w:pPr>
      <w:r>
        <w:rPr>
          <w:rFonts w:hint="eastAsia" w:ascii="宋体" w:hAnsi="宋体"/>
          <w:color w:val="000000"/>
          <w:szCs w:val="24"/>
        </w:rPr>
        <w:t>评标委员会授权的招标人或招标代理机构：（签字或盖章）</w:t>
      </w:r>
    </w:p>
    <w:p>
      <w:pPr>
        <w:spacing w:line="440" w:lineRule="exact"/>
        <w:rPr>
          <w:rFonts w:ascii="宋体" w:hAnsi="宋体"/>
          <w:color w:val="000000"/>
          <w:szCs w:val="24"/>
        </w:rPr>
      </w:pPr>
    </w:p>
    <w:p>
      <w:pPr>
        <w:spacing w:line="440" w:lineRule="exact"/>
        <w:ind w:firstLine="6360" w:firstLineChars="2650"/>
        <w:rPr>
          <w:rFonts w:ascii="宋体" w:hAnsi="宋体"/>
          <w:color w:val="000000"/>
          <w:szCs w:val="24"/>
        </w:rPr>
      </w:pPr>
      <w:r>
        <w:rPr>
          <w:rFonts w:ascii="宋体" w:hAnsi="宋体"/>
          <w:color w:val="000000"/>
          <w:szCs w:val="24"/>
        </w:rPr>
        <w:t>年</w:t>
      </w:r>
      <w:r>
        <w:rPr>
          <w:rFonts w:hint="eastAsia" w:ascii="宋体" w:hAnsi="宋体"/>
          <w:color w:val="000000"/>
          <w:szCs w:val="24"/>
          <w:lang w:val="en-US" w:eastAsia="zh-CN"/>
        </w:rPr>
        <w:t xml:space="preserve">  </w:t>
      </w:r>
      <w:r>
        <w:rPr>
          <w:rFonts w:ascii="宋体" w:hAnsi="宋体"/>
          <w:color w:val="000000"/>
          <w:szCs w:val="24"/>
        </w:rPr>
        <w:t xml:space="preserve"> 月 </w:t>
      </w:r>
      <w:r>
        <w:rPr>
          <w:rFonts w:hint="eastAsia" w:ascii="宋体" w:hAnsi="宋体"/>
          <w:color w:val="000000"/>
          <w:szCs w:val="24"/>
          <w:lang w:val="en-US" w:eastAsia="zh-CN"/>
        </w:rPr>
        <w:t xml:space="preserve">   </w:t>
      </w:r>
      <w:r>
        <w:rPr>
          <w:rFonts w:ascii="宋体" w:hAnsi="宋体"/>
          <w:color w:val="000000"/>
          <w:szCs w:val="24"/>
        </w:rPr>
        <w:t>日</w:t>
      </w:r>
    </w:p>
    <w:p>
      <w:pPr>
        <w:spacing w:line="400" w:lineRule="exact"/>
        <w:rPr>
          <w:rFonts w:ascii="宋体" w:hAnsi="宋体"/>
          <w:color w:val="000000"/>
        </w:rPr>
      </w:pPr>
    </w:p>
    <w:p>
      <w:pPr>
        <w:pStyle w:val="4"/>
        <w:rPr>
          <w:rFonts w:hint="default"/>
          <w:color w:val="000000"/>
          <w:sz w:val="24"/>
          <w:szCs w:val="24"/>
        </w:rPr>
      </w:pPr>
      <w:r>
        <w:rPr>
          <w:color w:val="000000"/>
        </w:rPr>
        <w:br w:type="page"/>
      </w:r>
      <w:bookmarkStart w:id="97" w:name="_Toc152045583"/>
      <w:bookmarkStart w:id="98" w:name="_Toc179632601"/>
      <w:bookmarkStart w:id="99" w:name="_Toc296602471"/>
      <w:bookmarkStart w:id="100" w:name="_Toc417283112"/>
      <w:bookmarkStart w:id="101" w:name="_Toc246996969"/>
      <w:bookmarkStart w:id="102" w:name="_Toc10133_WPSOffice_Level2"/>
      <w:bookmarkStart w:id="103" w:name="_Toc152042360"/>
      <w:bookmarkStart w:id="104" w:name="_Toc246996226"/>
      <w:bookmarkStart w:id="105" w:name="_Toc144974550"/>
      <w:bookmarkStart w:id="106" w:name="_Toc30413"/>
      <w:bookmarkStart w:id="107" w:name="_Toc417283200"/>
      <w:bookmarkStart w:id="108" w:name="_Toc247085741"/>
      <w:r>
        <w:rPr>
          <w:color w:val="000000"/>
          <w:sz w:val="24"/>
          <w:szCs w:val="24"/>
        </w:rPr>
        <w:t>附件二：</w:t>
      </w:r>
      <w:bookmarkEnd w:id="97"/>
      <w:bookmarkEnd w:id="98"/>
      <w:bookmarkEnd w:id="99"/>
      <w:bookmarkEnd w:id="100"/>
      <w:bookmarkEnd w:id="101"/>
      <w:bookmarkEnd w:id="102"/>
      <w:bookmarkEnd w:id="103"/>
      <w:bookmarkEnd w:id="104"/>
      <w:bookmarkEnd w:id="105"/>
      <w:bookmarkEnd w:id="106"/>
      <w:bookmarkEnd w:id="107"/>
      <w:bookmarkEnd w:id="108"/>
    </w:p>
    <w:p>
      <w:pPr>
        <w:spacing w:line="400" w:lineRule="exact"/>
        <w:jc w:val="center"/>
        <w:rPr>
          <w:rFonts w:ascii="宋体" w:hAnsi="宋体"/>
          <w:b/>
          <w:color w:val="000000"/>
          <w:sz w:val="32"/>
          <w:szCs w:val="32"/>
        </w:rPr>
      </w:pPr>
      <w:bookmarkStart w:id="109" w:name="_Toc9428_WPSOffice_Level2"/>
      <w:r>
        <w:rPr>
          <w:rFonts w:hint="eastAsia" w:ascii="宋体" w:hAnsi="宋体"/>
          <w:b/>
          <w:color w:val="000000"/>
          <w:sz w:val="32"/>
          <w:szCs w:val="32"/>
        </w:rPr>
        <w:t>问题的澄清</w:t>
      </w:r>
      <w:bookmarkEnd w:id="109"/>
    </w:p>
    <w:p>
      <w:pPr>
        <w:spacing w:line="400" w:lineRule="exact"/>
        <w:ind w:firstLine="3960" w:firstLineChars="1650"/>
        <w:rPr>
          <w:rFonts w:ascii="宋体" w:hAnsi="宋体"/>
          <w:color w:val="000000"/>
          <w:szCs w:val="24"/>
        </w:rPr>
      </w:pPr>
      <w:r>
        <w:rPr>
          <w:rFonts w:hint="eastAsia" w:ascii="宋体" w:hAnsi="宋体"/>
          <w:color w:val="000000"/>
          <w:szCs w:val="24"/>
        </w:rPr>
        <w:t xml:space="preserve">编号： </w:t>
      </w:r>
    </w:p>
    <w:p>
      <w:pPr>
        <w:spacing w:line="400" w:lineRule="exact"/>
        <w:rPr>
          <w:rFonts w:ascii="宋体" w:hAnsi="宋体"/>
          <w:color w:val="000000"/>
          <w:szCs w:val="24"/>
        </w:rPr>
      </w:pPr>
    </w:p>
    <w:p>
      <w:pPr>
        <w:spacing w:line="440" w:lineRule="exact"/>
        <w:rPr>
          <w:rFonts w:ascii="宋体" w:hAnsi="宋体"/>
          <w:color w:val="000000"/>
          <w:szCs w:val="24"/>
        </w:rPr>
      </w:pPr>
      <w:r>
        <w:rPr>
          <w:rFonts w:ascii="宋体" w:hAnsi="宋体"/>
          <w:color w:val="000000"/>
          <w:szCs w:val="24"/>
          <w:u w:val="single"/>
        </w:rPr>
        <w:t xml:space="preserve">                  （</w:t>
      </w:r>
      <w:r>
        <w:rPr>
          <w:rFonts w:ascii="宋体" w:hAnsi="宋体"/>
          <w:color w:val="000000"/>
          <w:szCs w:val="24"/>
        </w:rPr>
        <w:t>项目名称）招标评标委员会：</w:t>
      </w:r>
    </w:p>
    <w:p>
      <w:pPr>
        <w:spacing w:line="440" w:lineRule="exact"/>
        <w:rPr>
          <w:rFonts w:ascii="宋体" w:hAnsi="宋体"/>
          <w:color w:val="000000"/>
          <w:szCs w:val="24"/>
        </w:rPr>
      </w:pPr>
    </w:p>
    <w:p>
      <w:pPr>
        <w:spacing w:line="440" w:lineRule="exact"/>
        <w:rPr>
          <w:rFonts w:ascii="宋体" w:hAnsi="宋体"/>
          <w:color w:val="000000"/>
          <w:szCs w:val="24"/>
        </w:rPr>
      </w:pPr>
      <w:r>
        <w:rPr>
          <w:rFonts w:ascii="宋体" w:hAnsi="宋体"/>
          <w:color w:val="000000"/>
          <w:szCs w:val="24"/>
        </w:rPr>
        <w:t>　　问题澄清通知（编号：）已收悉，现澄清如下：</w:t>
      </w:r>
    </w:p>
    <w:p>
      <w:pPr>
        <w:spacing w:line="440" w:lineRule="exact"/>
        <w:rPr>
          <w:rFonts w:ascii="宋体" w:hAnsi="宋体"/>
          <w:color w:val="000000"/>
          <w:szCs w:val="24"/>
        </w:rPr>
      </w:pPr>
      <w:r>
        <w:rPr>
          <w:rFonts w:ascii="宋体" w:hAnsi="宋体"/>
          <w:color w:val="000000"/>
          <w:szCs w:val="24"/>
        </w:rPr>
        <w:t xml:space="preserve">　     </w:t>
      </w:r>
      <w:bookmarkStart w:id="110" w:name="_Toc32313_WPSOffice_Level2"/>
      <w:r>
        <w:rPr>
          <w:rFonts w:ascii="宋体" w:hAnsi="宋体"/>
          <w:color w:val="000000"/>
          <w:szCs w:val="24"/>
        </w:rPr>
        <w:t>1.</w:t>
      </w:r>
      <w:bookmarkEnd w:id="110"/>
    </w:p>
    <w:p>
      <w:pPr>
        <w:spacing w:line="440" w:lineRule="exact"/>
        <w:rPr>
          <w:rFonts w:ascii="宋体" w:hAnsi="宋体"/>
          <w:color w:val="000000"/>
          <w:szCs w:val="24"/>
        </w:rPr>
      </w:pPr>
      <w:r>
        <w:rPr>
          <w:rFonts w:ascii="宋体" w:hAnsi="宋体"/>
          <w:color w:val="000000"/>
          <w:szCs w:val="24"/>
        </w:rPr>
        <w:t xml:space="preserve">　     </w:t>
      </w:r>
      <w:bookmarkStart w:id="111" w:name="_Toc26451_WPSOffice_Level2"/>
      <w:r>
        <w:rPr>
          <w:rFonts w:ascii="宋体" w:hAnsi="宋体"/>
          <w:color w:val="000000"/>
          <w:szCs w:val="24"/>
        </w:rPr>
        <w:t>2.</w:t>
      </w:r>
      <w:bookmarkEnd w:id="111"/>
    </w:p>
    <w:p>
      <w:pPr>
        <w:spacing w:line="440" w:lineRule="exact"/>
        <w:rPr>
          <w:rFonts w:ascii="宋体" w:hAnsi="宋体"/>
          <w:color w:val="000000"/>
          <w:szCs w:val="24"/>
        </w:rPr>
      </w:pPr>
      <w:r>
        <w:rPr>
          <w:rFonts w:ascii="宋体" w:hAnsi="宋体"/>
          <w:color w:val="000000"/>
          <w:szCs w:val="24"/>
        </w:rPr>
        <w:t xml:space="preserve">　   </w:t>
      </w:r>
    </w:p>
    <w:p>
      <w:pPr>
        <w:spacing w:line="440" w:lineRule="exact"/>
        <w:rPr>
          <w:rFonts w:ascii="宋体" w:hAnsi="宋体"/>
          <w:color w:val="000000"/>
          <w:szCs w:val="24"/>
        </w:rPr>
      </w:pPr>
      <w:r>
        <w:rPr>
          <w:rFonts w:ascii="宋体" w:hAnsi="宋体"/>
          <w:color w:val="000000"/>
          <w:szCs w:val="24"/>
        </w:rPr>
        <w:t>　    .....</w:t>
      </w:r>
    </w:p>
    <w:p>
      <w:pPr>
        <w:spacing w:line="440" w:lineRule="exact"/>
        <w:rPr>
          <w:rFonts w:ascii="宋体" w:hAnsi="宋体"/>
          <w:color w:val="000000"/>
          <w:szCs w:val="24"/>
        </w:rPr>
      </w:pPr>
    </w:p>
    <w:p>
      <w:pPr>
        <w:spacing w:line="440" w:lineRule="exact"/>
        <w:rPr>
          <w:rFonts w:ascii="宋体" w:hAnsi="宋体"/>
          <w:color w:val="000000"/>
          <w:szCs w:val="24"/>
        </w:rPr>
      </w:pPr>
      <w:r>
        <w:rPr>
          <w:rFonts w:ascii="宋体" w:hAnsi="宋体"/>
          <w:color w:val="000000"/>
          <w:szCs w:val="24"/>
        </w:rPr>
        <w:t xml:space="preserve">　 </w:t>
      </w:r>
    </w:p>
    <w:p>
      <w:pPr>
        <w:spacing w:line="440" w:lineRule="exact"/>
        <w:rPr>
          <w:rFonts w:ascii="宋体" w:hAnsi="宋体"/>
          <w:color w:val="000000"/>
          <w:szCs w:val="24"/>
        </w:rPr>
      </w:pPr>
    </w:p>
    <w:p>
      <w:pPr>
        <w:spacing w:line="440" w:lineRule="exact"/>
        <w:rPr>
          <w:rFonts w:ascii="宋体" w:hAnsi="宋体"/>
          <w:color w:val="000000"/>
          <w:szCs w:val="24"/>
        </w:rPr>
      </w:pPr>
    </w:p>
    <w:p>
      <w:pPr>
        <w:spacing w:line="440" w:lineRule="exact"/>
        <w:rPr>
          <w:rFonts w:ascii="宋体" w:hAnsi="宋体"/>
          <w:color w:val="000000"/>
          <w:szCs w:val="24"/>
        </w:rPr>
      </w:pPr>
    </w:p>
    <w:p>
      <w:pPr>
        <w:spacing w:line="440" w:lineRule="exact"/>
        <w:rPr>
          <w:rFonts w:ascii="宋体" w:hAnsi="宋体"/>
          <w:color w:val="000000"/>
          <w:szCs w:val="24"/>
        </w:rPr>
      </w:pPr>
    </w:p>
    <w:p>
      <w:pPr>
        <w:spacing w:line="440" w:lineRule="exact"/>
        <w:rPr>
          <w:rFonts w:ascii="宋体" w:hAnsi="宋体"/>
          <w:color w:val="000000"/>
          <w:szCs w:val="24"/>
        </w:rPr>
      </w:pPr>
      <w:r>
        <w:rPr>
          <w:rFonts w:ascii="宋体" w:hAnsi="宋体"/>
          <w:color w:val="000000"/>
          <w:szCs w:val="24"/>
        </w:rPr>
        <w:t>　　　　　　　　　　　　　　　投标人：（盖单位章）</w:t>
      </w:r>
    </w:p>
    <w:p>
      <w:pPr>
        <w:spacing w:line="440" w:lineRule="exact"/>
        <w:rPr>
          <w:rFonts w:ascii="宋体" w:hAnsi="宋体"/>
          <w:color w:val="000000"/>
          <w:szCs w:val="24"/>
        </w:rPr>
      </w:pPr>
      <w:r>
        <w:rPr>
          <w:rFonts w:ascii="宋体" w:hAnsi="宋体"/>
          <w:color w:val="000000"/>
          <w:szCs w:val="24"/>
        </w:rPr>
        <w:t>　　　　　　　　　　　　　　　</w:t>
      </w:r>
    </w:p>
    <w:p>
      <w:pPr>
        <w:spacing w:line="440" w:lineRule="exact"/>
        <w:rPr>
          <w:rFonts w:ascii="宋体" w:hAnsi="宋体"/>
          <w:color w:val="000000"/>
          <w:szCs w:val="24"/>
        </w:rPr>
      </w:pPr>
      <w:r>
        <w:rPr>
          <w:rFonts w:ascii="宋体" w:hAnsi="宋体"/>
          <w:color w:val="000000"/>
          <w:szCs w:val="24"/>
        </w:rPr>
        <w:t>　　　　　　　　　　　　　　　法定代表人或其委托代理人：（签字）</w:t>
      </w:r>
    </w:p>
    <w:p>
      <w:pPr>
        <w:spacing w:line="440" w:lineRule="exact"/>
        <w:rPr>
          <w:rFonts w:ascii="宋体" w:hAnsi="宋体"/>
          <w:color w:val="000000"/>
          <w:szCs w:val="24"/>
        </w:rPr>
      </w:pPr>
      <w:r>
        <w:rPr>
          <w:rFonts w:ascii="宋体" w:hAnsi="宋体"/>
          <w:color w:val="000000"/>
          <w:szCs w:val="24"/>
        </w:rPr>
        <w:t>　　　　　　　　　　　　　　　</w:t>
      </w:r>
    </w:p>
    <w:p>
      <w:pPr>
        <w:spacing w:line="440" w:lineRule="exact"/>
        <w:rPr>
          <w:rFonts w:ascii="宋体" w:hAnsi="宋体"/>
          <w:color w:val="000000"/>
          <w:szCs w:val="24"/>
        </w:rPr>
      </w:pPr>
      <w:r>
        <w:rPr>
          <w:rFonts w:ascii="宋体" w:hAnsi="宋体"/>
          <w:color w:val="000000"/>
          <w:szCs w:val="24"/>
        </w:rPr>
        <w:t>　　　　　　　　　　　　　　　        年月日</w:t>
      </w:r>
    </w:p>
    <w:p>
      <w:pPr>
        <w:spacing w:line="400" w:lineRule="exact"/>
        <w:rPr>
          <w:rFonts w:ascii="宋体" w:hAnsi="宋体"/>
          <w:color w:val="000000"/>
          <w:szCs w:val="24"/>
        </w:rPr>
      </w:pPr>
    </w:p>
    <w:p>
      <w:pPr>
        <w:pStyle w:val="8"/>
        <w:kinsoku w:val="0"/>
        <w:overflowPunct w:val="0"/>
        <w:spacing w:line="358" w:lineRule="exact"/>
        <w:rPr>
          <w:rFonts w:hint="default"/>
          <w:spacing w:val="-2"/>
          <w:sz w:val="24"/>
          <w:szCs w:val="24"/>
        </w:rPr>
      </w:pPr>
      <w:r>
        <w:rPr>
          <w:color w:val="000000"/>
        </w:rPr>
        <w:br w:type="page"/>
      </w:r>
      <w:bookmarkStart w:id="112" w:name="_Toc21018_WPSOffice_Level2"/>
      <w:r>
        <w:rPr>
          <w:spacing w:val="-2"/>
          <w:sz w:val="24"/>
          <w:szCs w:val="24"/>
        </w:rPr>
        <w:t>附件三：</w:t>
      </w:r>
      <w:bookmarkEnd w:id="112"/>
    </w:p>
    <w:p>
      <w:pPr>
        <w:pStyle w:val="14"/>
        <w:kinsoku w:val="0"/>
        <w:overflowPunct w:val="0"/>
        <w:ind w:left="0"/>
        <w:rPr>
          <w:rFonts w:hint="default"/>
          <w:sz w:val="20"/>
        </w:rPr>
      </w:pPr>
    </w:p>
    <w:p>
      <w:pPr>
        <w:spacing w:line="400" w:lineRule="exact"/>
        <w:jc w:val="center"/>
        <w:rPr>
          <w:rFonts w:ascii="宋体" w:hAnsi="宋体"/>
          <w:b/>
          <w:color w:val="000000"/>
          <w:sz w:val="32"/>
          <w:szCs w:val="32"/>
        </w:rPr>
      </w:pPr>
    </w:p>
    <w:p>
      <w:pPr>
        <w:spacing w:line="400" w:lineRule="exact"/>
        <w:jc w:val="center"/>
        <w:rPr>
          <w:rFonts w:ascii="宋体" w:hAnsi="宋体"/>
          <w:b/>
          <w:color w:val="000000"/>
          <w:sz w:val="32"/>
          <w:szCs w:val="32"/>
        </w:rPr>
      </w:pPr>
      <w:bookmarkStart w:id="113" w:name="_Toc19890_WPSOffice_Level2"/>
      <w:r>
        <w:rPr>
          <w:rFonts w:hint="eastAsia" w:ascii="宋体" w:hAnsi="宋体"/>
          <w:b/>
          <w:color w:val="000000"/>
          <w:sz w:val="32"/>
          <w:szCs w:val="32"/>
        </w:rPr>
        <w:t>确认通知</w:t>
      </w:r>
      <w:bookmarkEnd w:id="113"/>
    </w:p>
    <w:p>
      <w:pPr>
        <w:pStyle w:val="14"/>
        <w:kinsoku w:val="0"/>
        <w:overflowPunct w:val="0"/>
        <w:ind w:left="0"/>
        <w:rPr>
          <w:rFonts w:hint="default"/>
          <w:sz w:val="20"/>
        </w:rPr>
      </w:pPr>
    </w:p>
    <w:p>
      <w:pPr>
        <w:pStyle w:val="14"/>
        <w:kinsoku w:val="0"/>
        <w:overflowPunct w:val="0"/>
        <w:ind w:left="0"/>
        <w:rPr>
          <w:rFonts w:hint="default"/>
          <w:sz w:val="19"/>
        </w:rPr>
      </w:pPr>
    </w:p>
    <w:p>
      <w:pPr>
        <w:pStyle w:val="14"/>
        <w:tabs>
          <w:tab w:val="left" w:pos="2318"/>
        </w:tabs>
        <w:kinsoku w:val="0"/>
        <w:overflowPunct w:val="0"/>
        <w:rPr>
          <w:rFonts w:hint="default"/>
          <w:sz w:val="24"/>
          <w:szCs w:val="24"/>
        </w:rPr>
      </w:pPr>
      <w:r>
        <w:rPr>
          <w:sz w:val="24"/>
          <w:szCs w:val="24"/>
          <w:u w:val="single"/>
        </w:rPr>
        <w:tab/>
      </w:r>
      <w:r>
        <w:rPr>
          <w:spacing w:val="-3"/>
          <w:sz w:val="24"/>
          <w:szCs w:val="24"/>
        </w:rPr>
        <w:t>（</w:t>
      </w:r>
      <w:r>
        <w:rPr>
          <w:sz w:val="24"/>
          <w:szCs w:val="24"/>
        </w:rPr>
        <w:t>招</w:t>
      </w:r>
      <w:r>
        <w:rPr>
          <w:spacing w:val="-3"/>
          <w:sz w:val="24"/>
          <w:szCs w:val="24"/>
        </w:rPr>
        <w:t>标人</w:t>
      </w:r>
      <w:r>
        <w:rPr>
          <w:sz w:val="24"/>
          <w:szCs w:val="24"/>
        </w:rPr>
        <w:t>名</w:t>
      </w:r>
      <w:r>
        <w:rPr>
          <w:spacing w:val="-5"/>
          <w:sz w:val="24"/>
          <w:szCs w:val="24"/>
        </w:rPr>
        <w:t>称</w:t>
      </w:r>
      <w:r>
        <w:rPr>
          <w:spacing w:val="-108"/>
          <w:sz w:val="24"/>
          <w:szCs w:val="24"/>
        </w:rPr>
        <w:t>）</w:t>
      </w:r>
      <w:r>
        <w:rPr>
          <w:sz w:val="24"/>
          <w:szCs w:val="24"/>
        </w:rPr>
        <w:t>：</w:t>
      </w:r>
    </w:p>
    <w:p>
      <w:pPr>
        <w:pStyle w:val="14"/>
        <w:kinsoku w:val="0"/>
        <w:overflowPunct w:val="0"/>
        <w:ind w:left="0"/>
        <w:rPr>
          <w:rFonts w:hint="default"/>
          <w:sz w:val="24"/>
          <w:szCs w:val="24"/>
        </w:rPr>
      </w:pPr>
    </w:p>
    <w:p>
      <w:pPr>
        <w:pStyle w:val="14"/>
        <w:kinsoku w:val="0"/>
        <w:overflowPunct w:val="0"/>
        <w:ind w:left="0"/>
        <w:rPr>
          <w:rFonts w:hint="default"/>
          <w:sz w:val="24"/>
          <w:szCs w:val="24"/>
        </w:rPr>
      </w:pPr>
    </w:p>
    <w:p>
      <w:pPr>
        <w:pStyle w:val="14"/>
        <w:tabs>
          <w:tab w:val="left" w:pos="1897"/>
          <w:tab w:val="left" w:pos="2858"/>
          <w:tab w:val="left" w:pos="3799"/>
          <w:tab w:val="left" w:pos="5599"/>
        </w:tabs>
        <w:kinsoku w:val="0"/>
        <w:overflowPunct w:val="0"/>
        <w:ind w:left="539"/>
        <w:rPr>
          <w:rFonts w:hint="default"/>
          <w:sz w:val="24"/>
          <w:szCs w:val="24"/>
        </w:rPr>
      </w:pPr>
      <w:r>
        <w:rPr>
          <w:spacing w:val="-1"/>
          <w:sz w:val="24"/>
          <w:szCs w:val="24"/>
        </w:rPr>
        <w:t>你方于</w:t>
      </w:r>
      <w:r>
        <w:rPr>
          <w:spacing w:val="-1"/>
          <w:sz w:val="24"/>
          <w:szCs w:val="24"/>
          <w:u w:val="single"/>
        </w:rPr>
        <w:tab/>
      </w:r>
      <w:r>
        <w:rPr>
          <w:sz w:val="24"/>
          <w:szCs w:val="24"/>
        </w:rPr>
        <w:t>年月</w:t>
      </w:r>
      <w:r>
        <w:rPr>
          <w:spacing w:val="-1"/>
          <w:sz w:val="24"/>
          <w:szCs w:val="24"/>
        </w:rPr>
        <w:t>日发出的</w:t>
      </w:r>
      <w:r>
        <w:rPr>
          <w:spacing w:val="-1"/>
          <w:sz w:val="24"/>
          <w:szCs w:val="24"/>
          <w:u w:val="single"/>
        </w:rPr>
        <w:tab/>
      </w:r>
      <w:r>
        <w:rPr>
          <w:spacing w:val="-2"/>
          <w:sz w:val="24"/>
          <w:szCs w:val="24"/>
          <w:u w:val="single"/>
        </w:rPr>
        <w:t>（项目名称）</w:t>
      </w:r>
      <w:r>
        <w:rPr>
          <w:spacing w:val="-2"/>
          <w:sz w:val="24"/>
          <w:szCs w:val="24"/>
        </w:rPr>
        <w:t>设备采购招标关于</w:t>
      </w:r>
      <w:r>
        <w:rPr>
          <w:spacing w:val="-2"/>
          <w:sz w:val="24"/>
          <w:szCs w:val="24"/>
          <w:u w:val="single"/>
        </w:rPr>
        <w:t>招</w:t>
      </w:r>
    </w:p>
    <w:p>
      <w:pPr>
        <w:pStyle w:val="14"/>
        <w:kinsoku w:val="0"/>
        <w:overflowPunct w:val="0"/>
        <w:ind w:left="0"/>
        <w:rPr>
          <w:rFonts w:hint="default"/>
          <w:sz w:val="24"/>
          <w:szCs w:val="24"/>
        </w:rPr>
      </w:pPr>
    </w:p>
    <w:p>
      <w:pPr>
        <w:pStyle w:val="14"/>
        <w:tabs>
          <w:tab w:val="left" w:pos="4260"/>
          <w:tab w:val="left" w:pos="5220"/>
          <w:tab w:val="left" w:pos="6158"/>
        </w:tabs>
        <w:kinsoku w:val="0"/>
        <w:overflowPunct w:val="0"/>
        <w:spacing w:line="375" w:lineRule="auto"/>
        <w:ind w:left="542" w:right="146" w:hanging="423"/>
        <w:rPr>
          <w:rFonts w:hint="default"/>
          <w:spacing w:val="21"/>
          <w:sz w:val="24"/>
          <w:szCs w:val="24"/>
        </w:rPr>
      </w:pPr>
      <w:r>
        <w:rPr>
          <w:spacing w:val="-2"/>
          <w:sz w:val="24"/>
          <w:szCs w:val="24"/>
          <w:u w:val="single"/>
        </w:rPr>
        <w:t>标文件的澄清/修改</w:t>
      </w:r>
      <w:r>
        <w:rPr>
          <w:spacing w:val="-2"/>
          <w:sz w:val="24"/>
          <w:szCs w:val="24"/>
        </w:rPr>
        <w:t>的通知，我方已于</w:t>
      </w:r>
      <w:r>
        <w:rPr>
          <w:spacing w:val="-2"/>
          <w:sz w:val="24"/>
          <w:szCs w:val="24"/>
          <w:u w:val="single"/>
        </w:rPr>
        <w:tab/>
      </w:r>
      <w:r>
        <w:rPr>
          <w:sz w:val="24"/>
          <w:szCs w:val="24"/>
        </w:rPr>
        <w:t>年</w:t>
      </w:r>
      <w:r>
        <w:rPr>
          <w:sz w:val="24"/>
          <w:szCs w:val="24"/>
          <w:u w:val="single"/>
        </w:rPr>
        <w:tab/>
      </w:r>
      <w:r>
        <w:rPr>
          <w:sz w:val="24"/>
          <w:szCs w:val="24"/>
        </w:rPr>
        <w:t>月</w:t>
      </w:r>
      <w:r>
        <w:rPr>
          <w:sz w:val="24"/>
          <w:szCs w:val="24"/>
          <w:u w:val="single"/>
        </w:rPr>
        <w:tab/>
      </w:r>
      <w:r>
        <w:rPr>
          <w:spacing w:val="-2"/>
          <w:sz w:val="24"/>
          <w:szCs w:val="24"/>
        </w:rPr>
        <w:t>日收到。</w:t>
      </w:r>
    </w:p>
    <w:p>
      <w:pPr>
        <w:pStyle w:val="14"/>
        <w:tabs>
          <w:tab w:val="left" w:pos="4260"/>
          <w:tab w:val="left" w:pos="5220"/>
          <w:tab w:val="left" w:pos="6158"/>
        </w:tabs>
        <w:kinsoku w:val="0"/>
        <w:overflowPunct w:val="0"/>
        <w:spacing w:line="375" w:lineRule="auto"/>
        <w:ind w:left="598" w:leftChars="249" w:right="146" w:firstLine="56" w:firstLineChars="24"/>
        <w:rPr>
          <w:rFonts w:hint="default"/>
          <w:spacing w:val="-2"/>
          <w:sz w:val="24"/>
          <w:szCs w:val="24"/>
        </w:rPr>
      </w:pPr>
      <w:r>
        <w:rPr>
          <w:spacing w:val="-2"/>
          <w:sz w:val="24"/>
          <w:szCs w:val="24"/>
        </w:rPr>
        <w:t>特此确认。</w:t>
      </w:r>
    </w:p>
    <w:p>
      <w:pPr>
        <w:pStyle w:val="14"/>
        <w:kinsoku w:val="0"/>
        <w:overflowPunct w:val="0"/>
        <w:ind w:left="0"/>
        <w:rPr>
          <w:rFonts w:hint="default"/>
          <w:sz w:val="24"/>
          <w:szCs w:val="24"/>
        </w:rPr>
      </w:pPr>
    </w:p>
    <w:p>
      <w:pPr>
        <w:pStyle w:val="14"/>
        <w:kinsoku w:val="0"/>
        <w:overflowPunct w:val="0"/>
        <w:ind w:left="0"/>
        <w:rPr>
          <w:rFonts w:hint="default"/>
          <w:sz w:val="24"/>
          <w:szCs w:val="24"/>
        </w:rPr>
      </w:pPr>
    </w:p>
    <w:p>
      <w:pPr>
        <w:pStyle w:val="14"/>
        <w:kinsoku w:val="0"/>
        <w:overflowPunct w:val="0"/>
        <w:ind w:left="0"/>
        <w:rPr>
          <w:rFonts w:hint="default"/>
          <w:sz w:val="24"/>
          <w:szCs w:val="24"/>
        </w:rPr>
      </w:pPr>
    </w:p>
    <w:p>
      <w:pPr>
        <w:pStyle w:val="14"/>
        <w:tabs>
          <w:tab w:val="left" w:pos="7141"/>
        </w:tabs>
        <w:kinsoku w:val="0"/>
        <w:overflowPunct w:val="0"/>
        <w:ind w:left="2534" w:firstLine="2124" w:firstLineChars="900"/>
        <w:rPr>
          <w:spacing w:val="-2"/>
          <w:sz w:val="24"/>
          <w:szCs w:val="24"/>
        </w:rPr>
      </w:pPr>
    </w:p>
    <w:p>
      <w:pPr>
        <w:pStyle w:val="14"/>
        <w:tabs>
          <w:tab w:val="left" w:pos="7141"/>
        </w:tabs>
        <w:kinsoku w:val="0"/>
        <w:overflowPunct w:val="0"/>
        <w:ind w:left="2534" w:firstLine="2124" w:firstLineChars="900"/>
        <w:rPr>
          <w:spacing w:val="-2"/>
          <w:sz w:val="24"/>
          <w:szCs w:val="24"/>
        </w:rPr>
      </w:pPr>
    </w:p>
    <w:p>
      <w:pPr>
        <w:pStyle w:val="14"/>
        <w:tabs>
          <w:tab w:val="left" w:pos="7141"/>
        </w:tabs>
        <w:kinsoku w:val="0"/>
        <w:overflowPunct w:val="0"/>
        <w:ind w:left="2534" w:firstLine="2124" w:firstLineChars="900"/>
        <w:rPr>
          <w:rFonts w:hint="default"/>
          <w:sz w:val="24"/>
          <w:szCs w:val="24"/>
        </w:rPr>
      </w:pPr>
      <w:r>
        <w:rPr>
          <w:spacing w:val="-2"/>
          <w:sz w:val="24"/>
          <w:szCs w:val="24"/>
        </w:rPr>
        <w:t>投标人：（盖单位章）</w:t>
      </w:r>
    </w:p>
    <w:p>
      <w:pPr>
        <w:pStyle w:val="14"/>
        <w:kinsoku w:val="0"/>
        <w:overflowPunct w:val="0"/>
        <w:ind w:left="0"/>
        <w:rPr>
          <w:rFonts w:hint="default"/>
          <w:sz w:val="24"/>
          <w:szCs w:val="24"/>
        </w:rPr>
      </w:pPr>
    </w:p>
    <w:p>
      <w:pPr>
        <w:pStyle w:val="14"/>
        <w:tabs>
          <w:tab w:val="left" w:pos="7359"/>
        </w:tabs>
        <w:kinsoku w:val="0"/>
        <w:overflowPunct w:val="0"/>
        <w:ind w:left="2534" w:firstLine="702" w:firstLineChars="300"/>
        <w:rPr>
          <w:rFonts w:hint="default"/>
          <w:spacing w:val="-2"/>
          <w:sz w:val="24"/>
          <w:szCs w:val="24"/>
        </w:rPr>
      </w:pPr>
      <w:r>
        <w:rPr>
          <w:spacing w:val="-3"/>
          <w:sz w:val="24"/>
          <w:szCs w:val="24"/>
        </w:rPr>
        <w:t xml:space="preserve">法定代表人（单位负责人）或委托代理人： </w:t>
      </w:r>
      <w:r>
        <w:rPr>
          <w:spacing w:val="-3"/>
          <w:sz w:val="24"/>
          <w:szCs w:val="24"/>
        </w:rPr>
        <w:tab/>
      </w:r>
      <w:r>
        <w:rPr>
          <w:spacing w:val="-2"/>
          <w:sz w:val="24"/>
          <w:szCs w:val="24"/>
        </w:rPr>
        <w:t>（签字）</w:t>
      </w:r>
    </w:p>
    <w:p>
      <w:pPr>
        <w:pStyle w:val="14"/>
        <w:kinsoku w:val="0"/>
        <w:overflowPunct w:val="0"/>
        <w:ind w:left="0"/>
        <w:rPr>
          <w:rFonts w:hint="default"/>
          <w:sz w:val="24"/>
          <w:szCs w:val="24"/>
        </w:rPr>
      </w:pPr>
    </w:p>
    <w:p>
      <w:pPr>
        <w:spacing w:line="440" w:lineRule="exact"/>
        <w:ind w:firstLine="5280" w:firstLineChars="2200"/>
        <w:rPr>
          <w:rFonts w:ascii="宋体" w:hAnsi="宋体"/>
          <w:color w:val="000000"/>
          <w:szCs w:val="24"/>
        </w:rPr>
      </w:pPr>
      <w:r>
        <w:rPr>
          <w:rFonts w:ascii="宋体" w:hAnsi="宋体"/>
          <w:color w:val="000000"/>
          <w:szCs w:val="24"/>
        </w:rPr>
        <w:t>年</w:t>
      </w:r>
      <w:r>
        <w:rPr>
          <w:rFonts w:hint="eastAsia" w:ascii="宋体" w:hAnsi="宋体"/>
          <w:color w:val="000000"/>
          <w:szCs w:val="24"/>
          <w:lang w:val="en-US" w:eastAsia="zh-CN"/>
        </w:rPr>
        <w:t xml:space="preserve">  </w:t>
      </w:r>
      <w:r>
        <w:rPr>
          <w:rFonts w:ascii="宋体" w:hAnsi="宋体"/>
          <w:color w:val="000000"/>
          <w:szCs w:val="24"/>
        </w:rPr>
        <w:t>月</w:t>
      </w:r>
      <w:r>
        <w:rPr>
          <w:rFonts w:hint="eastAsia" w:ascii="宋体" w:hAnsi="宋体"/>
          <w:color w:val="000000"/>
          <w:szCs w:val="24"/>
          <w:lang w:val="en-US" w:eastAsia="zh-CN"/>
        </w:rPr>
        <w:t xml:space="preserve">   </w:t>
      </w:r>
      <w:r>
        <w:rPr>
          <w:rFonts w:ascii="宋体" w:hAnsi="宋体"/>
          <w:color w:val="000000"/>
          <w:szCs w:val="24"/>
        </w:rPr>
        <w:t>日</w:t>
      </w:r>
    </w:p>
    <w:p>
      <w:pPr>
        <w:spacing w:line="400" w:lineRule="exact"/>
        <w:rPr>
          <w:rFonts w:ascii="宋体" w:hAnsi="宋体"/>
          <w:color w:val="000000"/>
          <w:szCs w:val="24"/>
        </w:rPr>
      </w:pPr>
    </w:p>
    <w:p>
      <w:pPr>
        <w:pStyle w:val="14"/>
        <w:kinsoku w:val="0"/>
        <w:overflowPunct w:val="0"/>
        <w:ind w:left="0"/>
        <w:rPr>
          <w:rFonts w:hint="default"/>
          <w:sz w:val="24"/>
          <w:szCs w:val="24"/>
        </w:rPr>
      </w:pPr>
    </w:p>
    <w:p>
      <w:pPr>
        <w:pStyle w:val="14"/>
        <w:kinsoku w:val="0"/>
        <w:overflowPunct w:val="0"/>
        <w:ind w:left="0"/>
        <w:rPr>
          <w:rFonts w:hint="default"/>
          <w:sz w:val="20"/>
        </w:rPr>
      </w:pPr>
    </w:p>
    <w:p>
      <w:pPr>
        <w:pStyle w:val="14"/>
        <w:kinsoku w:val="0"/>
        <w:overflowPunct w:val="0"/>
        <w:ind w:left="0"/>
        <w:rPr>
          <w:rFonts w:hint="default"/>
          <w:sz w:val="20"/>
        </w:rPr>
      </w:pPr>
    </w:p>
    <w:p>
      <w:pPr>
        <w:pStyle w:val="14"/>
        <w:kinsoku w:val="0"/>
        <w:overflowPunct w:val="0"/>
        <w:ind w:left="0"/>
        <w:rPr>
          <w:rFonts w:hint="default"/>
          <w:sz w:val="20"/>
        </w:rPr>
      </w:pPr>
    </w:p>
    <w:p>
      <w:pPr>
        <w:pStyle w:val="14"/>
        <w:kinsoku w:val="0"/>
        <w:overflowPunct w:val="0"/>
        <w:ind w:left="0"/>
        <w:rPr>
          <w:rFonts w:hint="default"/>
          <w:sz w:val="20"/>
        </w:rPr>
      </w:pPr>
    </w:p>
    <w:p>
      <w:pPr>
        <w:pStyle w:val="14"/>
        <w:kinsoku w:val="0"/>
        <w:overflowPunct w:val="0"/>
        <w:ind w:left="0"/>
        <w:rPr>
          <w:rFonts w:hint="default"/>
          <w:sz w:val="20"/>
        </w:rPr>
      </w:pPr>
    </w:p>
    <w:p>
      <w:pPr>
        <w:pStyle w:val="14"/>
        <w:kinsoku w:val="0"/>
        <w:overflowPunct w:val="0"/>
        <w:ind w:left="0"/>
        <w:rPr>
          <w:rFonts w:hint="default"/>
          <w:sz w:val="20"/>
        </w:rPr>
      </w:pPr>
    </w:p>
    <w:p>
      <w:pPr>
        <w:pStyle w:val="14"/>
        <w:kinsoku w:val="0"/>
        <w:overflowPunct w:val="0"/>
        <w:ind w:left="0"/>
        <w:rPr>
          <w:rFonts w:hint="default"/>
          <w:sz w:val="20"/>
        </w:rPr>
      </w:pPr>
    </w:p>
    <w:p>
      <w:pPr>
        <w:pStyle w:val="14"/>
        <w:kinsoku w:val="0"/>
        <w:overflowPunct w:val="0"/>
        <w:ind w:left="0"/>
        <w:rPr>
          <w:rFonts w:hint="default"/>
          <w:sz w:val="20"/>
        </w:rPr>
      </w:pPr>
    </w:p>
    <w:p>
      <w:pPr>
        <w:pStyle w:val="14"/>
        <w:kinsoku w:val="0"/>
        <w:overflowPunct w:val="0"/>
        <w:ind w:left="0"/>
        <w:rPr>
          <w:rFonts w:hint="default"/>
          <w:sz w:val="20"/>
        </w:rPr>
      </w:pPr>
    </w:p>
    <w:p>
      <w:pPr>
        <w:pStyle w:val="14"/>
        <w:kinsoku w:val="0"/>
        <w:overflowPunct w:val="0"/>
        <w:ind w:left="0"/>
        <w:rPr>
          <w:rFonts w:hint="default"/>
          <w:sz w:val="20"/>
        </w:rPr>
      </w:pPr>
    </w:p>
    <w:p>
      <w:pPr>
        <w:pStyle w:val="14"/>
        <w:kinsoku w:val="0"/>
        <w:overflowPunct w:val="0"/>
        <w:ind w:left="0"/>
        <w:rPr>
          <w:rFonts w:hint="default"/>
          <w:sz w:val="20"/>
        </w:rPr>
      </w:pPr>
    </w:p>
    <w:p>
      <w:pPr>
        <w:pStyle w:val="14"/>
        <w:kinsoku w:val="0"/>
        <w:overflowPunct w:val="0"/>
        <w:ind w:left="0"/>
        <w:rPr>
          <w:rFonts w:hint="default"/>
          <w:sz w:val="20"/>
        </w:rPr>
      </w:pPr>
    </w:p>
    <w:p>
      <w:pPr>
        <w:pStyle w:val="14"/>
        <w:kinsoku w:val="0"/>
        <w:overflowPunct w:val="0"/>
        <w:ind w:left="0"/>
        <w:rPr>
          <w:rFonts w:hint="default"/>
          <w:sz w:val="20"/>
        </w:rPr>
      </w:pPr>
    </w:p>
    <w:p>
      <w:pPr>
        <w:pStyle w:val="14"/>
        <w:kinsoku w:val="0"/>
        <w:overflowPunct w:val="0"/>
        <w:ind w:left="0"/>
        <w:rPr>
          <w:rFonts w:hint="default"/>
          <w:sz w:val="20"/>
        </w:rPr>
      </w:pPr>
    </w:p>
    <w:p>
      <w:pPr>
        <w:pStyle w:val="14"/>
        <w:kinsoku w:val="0"/>
        <w:overflowPunct w:val="0"/>
        <w:ind w:left="0"/>
        <w:rPr>
          <w:rFonts w:hint="default"/>
          <w:sz w:val="20"/>
        </w:rPr>
      </w:pPr>
    </w:p>
    <w:p>
      <w:pPr>
        <w:pStyle w:val="14"/>
        <w:kinsoku w:val="0"/>
        <w:overflowPunct w:val="0"/>
        <w:ind w:left="0"/>
        <w:rPr>
          <w:rFonts w:hint="default"/>
          <w:sz w:val="20"/>
        </w:rPr>
      </w:pPr>
    </w:p>
    <w:p>
      <w:pPr>
        <w:pStyle w:val="14"/>
        <w:kinsoku w:val="0"/>
        <w:overflowPunct w:val="0"/>
        <w:ind w:left="0"/>
        <w:rPr>
          <w:rFonts w:hint="default"/>
          <w:sz w:val="20"/>
        </w:rPr>
      </w:pPr>
    </w:p>
    <w:p>
      <w:pPr>
        <w:pStyle w:val="4"/>
        <w:kinsoku w:val="0"/>
        <w:overflowPunct w:val="0"/>
        <w:ind w:left="6"/>
        <w:jc w:val="center"/>
        <w:rPr>
          <w:rFonts w:hint="default"/>
          <w:bCs/>
        </w:rPr>
      </w:pPr>
      <w:bookmarkStart w:id="114" w:name="bookmark15"/>
      <w:bookmarkEnd w:id="114"/>
      <w:bookmarkStart w:id="115" w:name="_Toc166_WPSOffice_Level1"/>
      <w:r>
        <w:rPr>
          <w:bCs/>
          <w:spacing w:val="1"/>
        </w:rPr>
        <w:t>第三章评标方法（综合评分法）</w:t>
      </w:r>
      <w:bookmarkEnd w:id="115"/>
    </w:p>
    <w:p>
      <w:pPr>
        <w:pStyle w:val="14"/>
        <w:kinsoku w:val="0"/>
        <w:overflowPunct w:val="0"/>
        <w:spacing w:line="360" w:lineRule="auto"/>
        <w:ind w:left="10"/>
        <w:jc w:val="center"/>
        <w:rPr>
          <w:rFonts w:hint="default"/>
          <w:b/>
          <w:spacing w:val="2"/>
          <w:sz w:val="24"/>
          <w:szCs w:val="24"/>
        </w:rPr>
      </w:pPr>
      <w:bookmarkStart w:id="116" w:name="bookmark16"/>
      <w:bookmarkEnd w:id="116"/>
    </w:p>
    <w:p>
      <w:pPr>
        <w:pStyle w:val="14"/>
        <w:kinsoku w:val="0"/>
        <w:overflowPunct w:val="0"/>
        <w:spacing w:line="360" w:lineRule="auto"/>
        <w:ind w:left="10"/>
        <w:jc w:val="center"/>
        <w:rPr>
          <w:rFonts w:hint="default"/>
          <w:sz w:val="24"/>
          <w:szCs w:val="24"/>
        </w:rPr>
      </w:pPr>
      <w:bookmarkStart w:id="117" w:name="_Toc23695_WPSOffice_Level2"/>
      <w:r>
        <w:rPr>
          <w:b/>
          <w:spacing w:val="2"/>
          <w:sz w:val="24"/>
          <w:szCs w:val="24"/>
        </w:rPr>
        <w:t>一、资格审查</w:t>
      </w:r>
      <w:bookmarkEnd w:id="117"/>
    </w:p>
    <w:p>
      <w:pPr>
        <w:pStyle w:val="14"/>
        <w:kinsoku w:val="0"/>
        <w:overflowPunct w:val="0"/>
        <w:spacing w:line="360" w:lineRule="auto"/>
        <w:ind w:left="118" w:firstLine="662" w:firstLineChars="276"/>
        <w:rPr>
          <w:rFonts w:hint="default"/>
          <w:sz w:val="24"/>
          <w:szCs w:val="24"/>
        </w:rPr>
      </w:pPr>
      <w:r>
        <w:rPr>
          <w:rFonts w:cs="宋体"/>
          <w:sz w:val="24"/>
        </w:rPr>
        <w:t>按照《政府采购货物和服务招标投标管理办法》（财政部第87号</w:t>
      </w:r>
      <w:r>
        <w:rPr>
          <w:rFonts w:cs="宋体"/>
          <w:spacing w:val="-1"/>
          <w:sz w:val="24"/>
        </w:rPr>
        <w:t>令）由采购人对投标人的资格性进行审查</w:t>
      </w:r>
      <w:r>
        <w:rPr>
          <w:sz w:val="24"/>
          <w:szCs w:val="24"/>
        </w:rPr>
        <w:t>，有一项不符合审查标准的，则资格审查不合格，其投标将被否决</w:t>
      </w:r>
    </w:p>
    <w:tbl>
      <w:tblPr>
        <w:tblStyle w:val="28"/>
        <w:tblW w:w="9200" w:type="dxa"/>
        <w:tblInd w:w="261" w:type="dxa"/>
        <w:tblLayout w:type="fixed"/>
        <w:tblCellMar>
          <w:top w:w="0" w:type="dxa"/>
          <w:left w:w="0" w:type="dxa"/>
          <w:bottom w:w="0" w:type="dxa"/>
          <w:right w:w="0" w:type="dxa"/>
        </w:tblCellMar>
      </w:tblPr>
      <w:tblGrid>
        <w:gridCol w:w="856"/>
        <w:gridCol w:w="3396"/>
        <w:gridCol w:w="4948"/>
      </w:tblGrid>
      <w:tr>
        <w:tblPrEx>
          <w:tblCellMar>
            <w:top w:w="0" w:type="dxa"/>
            <w:left w:w="0" w:type="dxa"/>
            <w:bottom w:w="0" w:type="dxa"/>
            <w:right w:w="0" w:type="dxa"/>
          </w:tblCellMar>
        </w:tblPrEx>
        <w:trPr>
          <w:trHeight w:val="556" w:hRule="exact"/>
        </w:trPr>
        <w:tc>
          <w:tcPr>
            <w:tcW w:w="4252" w:type="dxa"/>
            <w:gridSpan w:val="2"/>
            <w:tcBorders>
              <w:top w:val="single" w:color="000000" w:sz="6" w:space="0"/>
              <w:left w:val="single" w:color="000000" w:sz="6" w:space="0"/>
              <w:bottom w:val="single" w:color="000000" w:sz="6" w:space="0"/>
              <w:right w:val="single" w:color="000000" w:sz="6" w:space="0"/>
              <w:tl2br w:val="nil"/>
              <w:tr2bl w:val="nil"/>
            </w:tcBorders>
          </w:tcPr>
          <w:p>
            <w:pPr>
              <w:pStyle w:val="45"/>
              <w:kinsoku w:val="0"/>
              <w:overflowPunct w:val="0"/>
              <w:spacing w:before="78"/>
              <w:ind w:left="539"/>
              <w:jc w:val="center"/>
              <w:rPr>
                <w:sz w:val="21"/>
                <w:szCs w:val="21"/>
              </w:rPr>
            </w:pPr>
            <w:r>
              <w:rPr>
                <w:rFonts w:ascii="宋体"/>
                <w:b/>
                <w:sz w:val="21"/>
                <w:szCs w:val="21"/>
              </w:rPr>
              <w:t>评审因素</w:t>
            </w:r>
          </w:p>
        </w:tc>
        <w:tc>
          <w:tcPr>
            <w:tcW w:w="4948" w:type="dxa"/>
            <w:tcBorders>
              <w:top w:val="single" w:color="000000" w:sz="6" w:space="0"/>
              <w:left w:val="single" w:color="000000" w:sz="6" w:space="0"/>
              <w:bottom w:val="single" w:color="000000" w:sz="6" w:space="0"/>
              <w:right w:val="single" w:color="000000" w:sz="6" w:space="0"/>
              <w:tl2br w:val="nil"/>
              <w:tr2bl w:val="nil"/>
            </w:tcBorders>
          </w:tcPr>
          <w:p>
            <w:pPr>
              <w:pStyle w:val="45"/>
              <w:kinsoku w:val="0"/>
              <w:overflowPunct w:val="0"/>
              <w:spacing w:before="78"/>
              <w:ind w:left="19" w:hanging="19" w:hangingChars="9"/>
              <w:jc w:val="center"/>
              <w:rPr>
                <w:sz w:val="21"/>
                <w:szCs w:val="21"/>
              </w:rPr>
            </w:pPr>
            <w:r>
              <w:rPr>
                <w:rFonts w:ascii="宋体"/>
                <w:b/>
                <w:spacing w:val="-1"/>
                <w:sz w:val="21"/>
                <w:szCs w:val="21"/>
              </w:rPr>
              <w:t>评审标准</w:t>
            </w:r>
          </w:p>
        </w:tc>
      </w:tr>
      <w:tr>
        <w:tblPrEx>
          <w:tblCellMar>
            <w:top w:w="0" w:type="dxa"/>
            <w:left w:w="0" w:type="dxa"/>
            <w:bottom w:w="0" w:type="dxa"/>
            <w:right w:w="0" w:type="dxa"/>
          </w:tblCellMar>
        </w:tblPrEx>
        <w:trPr>
          <w:trHeight w:val="601" w:hRule="exact"/>
        </w:trPr>
        <w:tc>
          <w:tcPr>
            <w:tcW w:w="856" w:type="dxa"/>
            <w:vMerge w:val="restart"/>
            <w:tcBorders>
              <w:top w:val="single" w:color="000000" w:sz="6" w:space="0"/>
              <w:left w:val="single" w:color="000000" w:sz="6" w:space="0"/>
              <w:right w:val="single" w:color="000000" w:sz="6" w:space="0"/>
              <w:tl2br w:val="nil"/>
              <w:tr2bl w:val="nil"/>
            </w:tcBorders>
          </w:tcPr>
          <w:p>
            <w:pPr>
              <w:pStyle w:val="45"/>
              <w:kinsoku w:val="0"/>
              <w:overflowPunct w:val="0"/>
              <w:rPr>
                <w:rFonts w:ascii="宋体"/>
                <w:sz w:val="21"/>
                <w:szCs w:val="21"/>
              </w:rPr>
            </w:pPr>
          </w:p>
          <w:p>
            <w:pPr>
              <w:pStyle w:val="45"/>
              <w:kinsoku w:val="0"/>
              <w:overflowPunct w:val="0"/>
              <w:rPr>
                <w:rFonts w:ascii="宋体"/>
                <w:sz w:val="21"/>
                <w:szCs w:val="21"/>
              </w:rPr>
            </w:pPr>
          </w:p>
          <w:p>
            <w:pPr>
              <w:pStyle w:val="45"/>
              <w:kinsoku w:val="0"/>
              <w:overflowPunct w:val="0"/>
              <w:spacing w:before="7"/>
              <w:rPr>
                <w:rFonts w:ascii="宋体"/>
                <w:sz w:val="21"/>
                <w:szCs w:val="21"/>
              </w:rPr>
            </w:pPr>
          </w:p>
          <w:p>
            <w:pPr>
              <w:pStyle w:val="45"/>
              <w:kinsoku w:val="0"/>
              <w:overflowPunct w:val="0"/>
              <w:spacing w:line="355" w:lineRule="auto"/>
              <w:ind w:left="59" w:right="27" w:firstLine="55"/>
              <w:rPr>
                <w:sz w:val="21"/>
                <w:szCs w:val="21"/>
              </w:rPr>
            </w:pPr>
            <w:r>
              <w:rPr>
                <w:rFonts w:ascii="宋体"/>
                <w:sz w:val="21"/>
                <w:szCs w:val="21"/>
              </w:rPr>
              <w:t xml:space="preserve">资 </w:t>
            </w:r>
            <w:r>
              <w:rPr>
                <w:rFonts w:ascii="宋体"/>
                <w:spacing w:val="10"/>
                <w:sz w:val="21"/>
                <w:szCs w:val="21"/>
              </w:rPr>
              <w:t>格性审</w:t>
            </w:r>
            <w:r>
              <w:rPr>
                <w:rFonts w:ascii="宋体"/>
                <w:sz w:val="21"/>
                <w:szCs w:val="21"/>
              </w:rPr>
              <w:t xml:space="preserve">查 </w:t>
            </w:r>
          </w:p>
        </w:tc>
        <w:tc>
          <w:tcPr>
            <w:tcW w:w="3396"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sz w:val="21"/>
                <w:szCs w:val="21"/>
              </w:rPr>
            </w:pPr>
            <w:r>
              <w:rPr>
                <w:rFonts w:hint="eastAsia" w:ascii="宋体" w:hAnsi="宋体" w:cs="宋体"/>
                <w:sz w:val="21"/>
                <w:szCs w:val="21"/>
              </w:rPr>
              <w:t>投标人名称</w:t>
            </w:r>
          </w:p>
        </w:tc>
        <w:tc>
          <w:tcPr>
            <w:tcW w:w="494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rFonts w:ascii="宋体"/>
                <w:sz w:val="21"/>
                <w:szCs w:val="21"/>
              </w:rPr>
            </w:pPr>
            <w:r>
              <w:rPr>
                <w:rFonts w:hint="eastAsia" w:ascii="宋体" w:hAnsi="宋体" w:cs="宋体"/>
                <w:sz w:val="21"/>
                <w:szCs w:val="21"/>
              </w:rPr>
              <w:t>与营业执照一致</w:t>
            </w:r>
          </w:p>
        </w:tc>
      </w:tr>
      <w:tr>
        <w:tblPrEx>
          <w:tblCellMar>
            <w:top w:w="0" w:type="dxa"/>
            <w:left w:w="0" w:type="dxa"/>
            <w:bottom w:w="0" w:type="dxa"/>
            <w:right w:w="0" w:type="dxa"/>
          </w:tblCellMar>
        </w:tblPrEx>
        <w:trPr>
          <w:trHeight w:val="601" w:hRule="exact"/>
        </w:trPr>
        <w:tc>
          <w:tcPr>
            <w:tcW w:w="856" w:type="dxa"/>
            <w:vMerge w:val="continue"/>
            <w:tcBorders>
              <w:left w:val="single" w:color="000000" w:sz="6" w:space="0"/>
              <w:right w:val="single" w:color="000000" w:sz="6" w:space="0"/>
              <w:tl2br w:val="nil"/>
              <w:tr2bl w:val="nil"/>
            </w:tcBorders>
          </w:tcPr>
          <w:p>
            <w:pPr>
              <w:pStyle w:val="45"/>
              <w:kinsoku w:val="0"/>
              <w:overflowPunct w:val="0"/>
              <w:spacing w:line="355" w:lineRule="auto"/>
              <w:ind w:left="59" w:right="27" w:firstLine="55"/>
              <w:rPr>
                <w:rFonts w:ascii="宋体"/>
                <w:sz w:val="21"/>
                <w:szCs w:val="21"/>
              </w:rPr>
            </w:pPr>
          </w:p>
        </w:tc>
        <w:tc>
          <w:tcPr>
            <w:tcW w:w="3396"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rFonts w:ascii="宋体" w:hAnsi="宋体" w:cs="宋体"/>
                <w:sz w:val="21"/>
                <w:szCs w:val="21"/>
              </w:rPr>
            </w:pPr>
            <w:r>
              <w:rPr>
                <w:rFonts w:hint="eastAsia" w:ascii="宋体" w:hAnsi="宋体" w:cs="宋体"/>
                <w:sz w:val="21"/>
                <w:szCs w:val="21"/>
              </w:rPr>
              <w:t>营业执照</w:t>
            </w:r>
          </w:p>
        </w:tc>
        <w:tc>
          <w:tcPr>
            <w:tcW w:w="494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rFonts w:ascii="宋体" w:hAnsi="宋体" w:cs="宋体"/>
                <w:sz w:val="21"/>
                <w:szCs w:val="21"/>
              </w:rPr>
            </w:pPr>
            <w:r>
              <w:rPr>
                <w:rFonts w:hint="eastAsia" w:ascii="宋体" w:hAnsi="宋体" w:cs="宋体"/>
                <w:sz w:val="21"/>
                <w:szCs w:val="21"/>
              </w:rPr>
              <w:t>符合“投标人须知前附表”</w:t>
            </w:r>
          </w:p>
        </w:tc>
      </w:tr>
      <w:tr>
        <w:tblPrEx>
          <w:tblCellMar>
            <w:top w:w="0" w:type="dxa"/>
            <w:left w:w="0" w:type="dxa"/>
            <w:bottom w:w="0" w:type="dxa"/>
            <w:right w:w="0" w:type="dxa"/>
          </w:tblCellMar>
        </w:tblPrEx>
        <w:trPr>
          <w:trHeight w:val="539" w:hRule="exact"/>
        </w:trPr>
        <w:tc>
          <w:tcPr>
            <w:tcW w:w="856" w:type="dxa"/>
            <w:vMerge w:val="continue"/>
            <w:tcBorders>
              <w:left w:val="single" w:color="000000" w:sz="6" w:space="0"/>
              <w:right w:val="single" w:color="000000" w:sz="6" w:space="0"/>
              <w:tl2br w:val="nil"/>
              <w:tr2bl w:val="nil"/>
            </w:tcBorders>
          </w:tcPr>
          <w:p>
            <w:pPr>
              <w:pStyle w:val="45"/>
              <w:kinsoku w:val="0"/>
              <w:overflowPunct w:val="0"/>
              <w:spacing w:before="151"/>
              <w:ind w:left="118"/>
              <w:rPr>
                <w:sz w:val="21"/>
                <w:szCs w:val="21"/>
              </w:rPr>
            </w:pPr>
          </w:p>
        </w:tc>
        <w:tc>
          <w:tcPr>
            <w:tcW w:w="3396"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sz w:val="21"/>
                <w:szCs w:val="21"/>
              </w:rPr>
            </w:pPr>
            <w:r>
              <w:rPr>
                <w:rFonts w:hint="eastAsia" w:ascii="宋体" w:hAnsi="宋体" w:cs="宋体"/>
                <w:sz w:val="21"/>
                <w:szCs w:val="21"/>
              </w:rPr>
              <w:t>信用查询</w:t>
            </w:r>
          </w:p>
        </w:tc>
        <w:tc>
          <w:tcPr>
            <w:tcW w:w="494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sz w:val="21"/>
                <w:szCs w:val="21"/>
              </w:rPr>
            </w:pPr>
            <w:r>
              <w:rPr>
                <w:rFonts w:hint="eastAsia" w:ascii="宋体" w:hAnsi="宋体" w:cs="宋体"/>
                <w:sz w:val="21"/>
                <w:szCs w:val="21"/>
              </w:rPr>
              <w:t>符合“投标人须知前附表”</w:t>
            </w:r>
          </w:p>
        </w:tc>
      </w:tr>
      <w:tr>
        <w:tblPrEx>
          <w:tblCellMar>
            <w:top w:w="0" w:type="dxa"/>
            <w:left w:w="0" w:type="dxa"/>
            <w:bottom w:w="0" w:type="dxa"/>
            <w:right w:w="0" w:type="dxa"/>
          </w:tblCellMar>
        </w:tblPrEx>
        <w:trPr>
          <w:trHeight w:val="539" w:hRule="exact"/>
        </w:trPr>
        <w:tc>
          <w:tcPr>
            <w:tcW w:w="856" w:type="dxa"/>
            <w:vMerge w:val="continue"/>
            <w:tcBorders>
              <w:left w:val="single" w:color="000000" w:sz="6" w:space="0"/>
              <w:right w:val="single" w:color="000000" w:sz="6" w:space="0"/>
              <w:tl2br w:val="nil"/>
              <w:tr2bl w:val="nil"/>
            </w:tcBorders>
          </w:tcPr>
          <w:p>
            <w:pPr>
              <w:pStyle w:val="45"/>
              <w:kinsoku w:val="0"/>
              <w:overflowPunct w:val="0"/>
              <w:spacing w:before="151"/>
              <w:ind w:left="118"/>
              <w:rPr>
                <w:sz w:val="21"/>
                <w:szCs w:val="21"/>
              </w:rPr>
            </w:pPr>
          </w:p>
        </w:tc>
        <w:tc>
          <w:tcPr>
            <w:tcW w:w="3396"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rFonts w:hint="eastAsia" w:ascii="宋体" w:hAnsi="宋体" w:eastAsia="宋体" w:cs="宋体"/>
                <w:sz w:val="21"/>
                <w:szCs w:val="21"/>
                <w:lang w:eastAsia="zh-CN"/>
              </w:rPr>
            </w:pPr>
            <w:r>
              <w:rPr>
                <w:rFonts w:hint="eastAsia" w:ascii="宋体" w:hAnsi="宋体" w:cs="宋体"/>
                <w:sz w:val="21"/>
                <w:szCs w:val="21"/>
                <w:lang w:eastAsia="zh-CN"/>
              </w:rPr>
              <w:t>审计报告</w:t>
            </w:r>
          </w:p>
        </w:tc>
        <w:tc>
          <w:tcPr>
            <w:tcW w:w="494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rFonts w:hint="eastAsia" w:ascii="宋体" w:hAnsi="宋体" w:cs="宋体"/>
                <w:sz w:val="21"/>
                <w:szCs w:val="21"/>
              </w:rPr>
            </w:pPr>
            <w:r>
              <w:rPr>
                <w:rFonts w:hint="eastAsia" w:ascii="宋体" w:hAnsi="宋体" w:cs="宋体"/>
                <w:sz w:val="21"/>
                <w:szCs w:val="21"/>
              </w:rPr>
              <w:t>符合“投标人须知前附表”</w:t>
            </w:r>
          </w:p>
        </w:tc>
      </w:tr>
      <w:tr>
        <w:tblPrEx>
          <w:tblCellMar>
            <w:top w:w="0" w:type="dxa"/>
            <w:left w:w="0" w:type="dxa"/>
            <w:bottom w:w="0" w:type="dxa"/>
            <w:right w:w="0" w:type="dxa"/>
          </w:tblCellMar>
        </w:tblPrEx>
        <w:trPr>
          <w:trHeight w:val="539" w:hRule="exact"/>
        </w:trPr>
        <w:tc>
          <w:tcPr>
            <w:tcW w:w="856" w:type="dxa"/>
            <w:vMerge w:val="continue"/>
            <w:tcBorders>
              <w:left w:val="single" w:color="000000" w:sz="6" w:space="0"/>
              <w:right w:val="single" w:color="000000" w:sz="6" w:space="0"/>
              <w:tl2br w:val="nil"/>
              <w:tr2bl w:val="nil"/>
            </w:tcBorders>
          </w:tcPr>
          <w:p>
            <w:pPr>
              <w:pStyle w:val="45"/>
              <w:kinsoku w:val="0"/>
              <w:overflowPunct w:val="0"/>
              <w:spacing w:before="151"/>
              <w:ind w:left="118"/>
              <w:rPr>
                <w:sz w:val="21"/>
                <w:szCs w:val="21"/>
              </w:rPr>
            </w:pPr>
          </w:p>
        </w:tc>
        <w:tc>
          <w:tcPr>
            <w:tcW w:w="3396"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rFonts w:hint="eastAsia" w:ascii="宋体" w:hAnsi="宋体" w:cs="宋体"/>
                <w:sz w:val="21"/>
                <w:szCs w:val="21"/>
                <w:lang w:eastAsia="zh-CN"/>
              </w:rPr>
            </w:pPr>
            <w:r>
              <w:rPr>
                <w:rFonts w:hint="eastAsia" w:ascii="宋体" w:hAnsi="宋体" w:cs="宋体"/>
                <w:sz w:val="21"/>
                <w:szCs w:val="21"/>
                <w:lang w:eastAsia="zh-CN"/>
              </w:rPr>
              <w:t>纳税和社保凭证</w:t>
            </w:r>
          </w:p>
        </w:tc>
        <w:tc>
          <w:tcPr>
            <w:tcW w:w="494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rFonts w:hint="eastAsia" w:ascii="宋体" w:hAnsi="宋体" w:cs="宋体"/>
                <w:sz w:val="21"/>
                <w:szCs w:val="21"/>
              </w:rPr>
            </w:pPr>
            <w:r>
              <w:rPr>
                <w:rFonts w:hint="eastAsia" w:ascii="宋体" w:hAnsi="宋体" w:cs="宋体"/>
                <w:sz w:val="21"/>
                <w:szCs w:val="21"/>
              </w:rPr>
              <w:t>符合“投标人须知前附表”</w:t>
            </w:r>
          </w:p>
        </w:tc>
      </w:tr>
      <w:tr>
        <w:tblPrEx>
          <w:tblCellMar>
            <w:top w:w="0" w:type="dxa"/>
            <w:left w:w="0" w:type="dxa"/>
            <w:bottom w:w="0" w:type="dxa"/>
            <w:right w:w="0" w:type="dxa"/>
          </w:tblCellMar>
        </w:tblPrEx>
        <w:trPr>
          <w:trHeight w:val="700" w:hRule="exact"/>
        </w:trPr>
        <w:tc>
          <w:tcPr>
            <w:tcW w:w="856" w:type="dxa"/>
            <w:vMerge w:val="continue"/>
            <w:tcBorders>
              <w:left w:val="single" w:color="000000" w:sz="6" w:space="0"/>
              <w:right w:val="single" w:color="000000" w:sz="6" w:space="0"/>
              <w:tl2br w:val="nil"/>
              <w:tr2bl w:val="nil"/>
            </w:tcBorders>
          </w:tcPr>
          <w:p>
            <w:pPr>
              <w:pStyle w:val="45"/>
              <w:kinsoku w:val="0"/>
              <w:overflowPunct w:val="0"/>
              <w:spacing w:line="367" w:lineRule="auto"/>
              <w:ind w:left="118" w:right="86"/>
              <w:rPr>
                <w:sz w:val="21"/>
                <w:szCs w:val="21"/>
              </w:rPr>
            </w:pPr>
          </w:p>
        </w:tc>
        <w:tc>
          <w:tcPr>
            <w:tcW w:w="3396"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sz w:val="21"/>
                <w:szCs w:val="21"/>
              </w:rPr>
            </w:pPr>
            <w:r>
              <w:rPr>
                <w:rFonts w:hint="eastAsia" w:ascii="宋体" w:hAnsi="宋体"/>
                <w:snapToGrid w:val="0"/>
                <w:sz w:val="21"/>
                <w:szCs w:val="21"/>
              </w:rPr>
              <w:t>最近三年在经营活动中没有重大违法、违纪行为的书面声明</w:t>
            </w:r>
          </w:p>
        </w:tc>
        <w:tc>
          <w:tcPr>
            <w:tcW w:w="494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sz w:val="21"/>
                <w:szCs w:val="21"/>
              </w:rPr>
            </w:pPr>
            <w:r>
              <w:rPr>
                <w:rFonts w:hint="eastAsia" w:ascii="宋体" w:hAnsi="宋体" w:cs="宋体"/>
                <w:sz w:val="21"/>
                <w:szCs w:val="21"/>
              </w:rPr>
              <w:t>符合“投标人须知前附表”</w:t>
            </w:r>
          </w:p>
        </w:tc>
      </w:tr>
      <w:tr>
        <w:tblPrEx>
          <w:tblCellMar>
            <w:top w:w="0" w:type="dxa"/>
            <w:left w:w="0" w:type="dxa"/>
            <w:bottom w:w="0" w:type="dxa"/>
            <w:right w:w="0" w:type="dxa"/>
          </w:tblCellMar>
        </w:tblPrEx>
        <w:trPr>
          <w:trHeight w:val="700" w:hRule="exact"/>
        </w:trPr>
        <w:tc>
          <w:tcPr>
            <w:tcW w:w="856" w:type="dxa"/>
            <w:vMerge w:val="continue"/>
            <w:tcBorders>
              <w:left w:val="single" w:color="000000" w:sz="6" w:space="0"/>
              <w:bottom w:val="single" w:color="000000" w:sz="6" w:space="0"/>
              <w:right w:val="single" w:color="000000" w:sz="6" w:space="0"/>
              <w:tl2br w:val="nil"/>
              <w:tr2bl w:val="nil"/>
            </w:tcBorders>
          </w:tcPr>
          <w:p>
            <w:pPr>
              <w:pStyle w:val="45"/>
              <w:kinsoku w:val="0"/>
              <w:overflowPunct w:val="0"/>
              <w:spacing w:line="367" w:lineRule="auto"/>
              <w:ind w:left="118" w:right="86"/>
              <w:rPr>
                <w:sz w:val="21"/>
                <w:szCs w:val="21"/>
              </w:rPr>
            </w:pPr>
          </w:p>
        </w:tc>
        <w:tc>
          <w:tcPr>
            <w:tcW w:w="3396"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rFonts w:hint="default" w:ascii="宋体" w:hAnsi="宋体" w:eastAsia="宋体"/>
                <w:snapToGrid w:val="0"/>
                <w:sz w:val="21"/>
                <w:szCs w:val="21"/>
                <w:lang w:val="en-US" w:eastAsia="zh-CN"/>
              </w:rPr>
            </w:pPr>
            <w:r>
              <w:rPr>
                <w:rFonts w:hint="eastAsia" w:ascii="宋体" w:hAnsi="宋体"/>
                <w:snapToGrid w:val="0"/>
                <w:sz w:val="21"/>
                <w:szCs w:val="21"/>
                <w:lang w:eastAsia="zh-CN"/>
              </w:rPr>
              <w:t>其他资格要求</w:t>
            </w:r>
          </w:p>
        </w:tc>
        <w:tc>
          <w:tcPr>
            <w:tcW w:w="4948" w:type="dxa"/>
            <w:tcBorders>
              <w:top w:val="single" w:color="000000" w:sz="6" w:space="0"/>
              <w:left w:val="single" w:color="000000" w:sz="6" w:space="0"/>
              <w:bottom w:val="single" w:color="000000" w:sz="6" w:space="0"/>
              <w:right w:val="single" w:color="000000" w:sz="6" w:space="0"/>
              <w:tl2br w:val="nil"/>
              <w:tr2bl w:val="nil"/>
            </w:tcBorders>
            <w:vAlign w:val="center"/>
          </w:tcPr>
          <w:p>
            <w:pPr>
              <w:widowControl/>
              <w:snapToGrid w:val="0"/>
              <w:spacing w:beforeLines="10" w:afterLines="10" w:line="320" w:lineRule="exact"/>
              <w:ind w:left="24" w:leftChars="10" w:right="24" w:rightChars="10"/>
              <w:jc w:val="center"/>
              <w:rPr>
                <w:rFonts w:hint="eastAsia" w:ascii="宋体" w:hAnsi="宋体" w:cs="宋体"/>
                <w:sz w:val="21"/>
                <w:szCs w:val="21"/>
              </w:rPr>
            </w:pPr>
            <w:r>
              <w:rPr>
                <w:rFonts w:hint="eastAsia" w:ascii="宋体" w:hAnsi="宋体" w:cs="宋体"/>
                <w:sz w:val="21"/>
                <w:szCs w:val="21"/>
              </w:rPr>
              <w:t>符合“投标人须知前附表”</w:t>
            </w:r>
          </w:p>
        </w:tc>
      </w:tr>
    </w:tbl>
    <w:p/>
    <w:p>
      <w:pPr>
        <w:pStyle w:val="4"/>
        <w:kinsoku w:val="0"/>
        <w:overflowPunct w:val="0"/>
        <w:spacing w:line="360" w:lineRule="auto"/>
        <w:ind w:left="3"/>
        <w:jc w:val="center"/>
        <w:rPr>
          <w:rFonts w:hint="default"/>
          <w:bCs/>
          <w:sz w:val="24"/>
          <w:szCs w:val="24"/>
        </w:rPr>
      </w:pPr>
      <w:bookmarkStart w:id="118" w:name="bookmark17"/>
      <w:bookmarkEnd w:id="118"/>
      <w:bookmarkStart w:id="119" w:name="_Toc19133_WPSOffice_Level2"/>
      <w:r>
        <w:rPr>
          <w:bCs/>
          <w:spacing w:val="1"/>
          <w:sz w:val="24"/>
          <w:szCs w:val="24"/>
        </w:rPr>
        <w:t>二、符合性审查</w:t>
      </w:r>
      <w:bookmarkEnd w:id="119"/>
    </w:p>
    <w:p>
      <w:pPr>
        <w:pStyle w:val="14"/>
        <w:kinsoku w:val="0"/>
        <w:overflowPunct w:val="0"/>
        <w:spacing w:line="360" w:lineRule="auto"/>
        <w:ind w:left="118" w:right="-94" w:firstLine="420"/>
        <w:jc w:val="both"/>
        <w:rPr>
          <w:rFonts w:hint="default"/>
          <w:spacing w:val="-2"/>
          <w:sz w:val="24"/>
          <w:szCs w:val="24"/>
        </w:rPr>
      </w:pPr>
      <w:r>
        <w:rPr>
          <w:rFonts w:cs="宋体"/>
          <w:b/>
          <w:sz w:val="24"/>
        </w:rPr>
        <w:t>2.</w:t>
      </w:r>
      <w:r>
        <w:rPr>
          <w:rFonts w:cs="宋体"/>
          <w:spacing w:val="4"/>
          <w:sz w:val="24"/>
        </w:rPr>
        <w:t>评标委员会根据评标原则和评标标准对所有符合资格的投标人的投标文件进行符合</w:t>
      </w:r>
      <w:r>
        <w:rPr>
          <w:rFonts w:cs="宋体"/>
          <w:spacing w:val="1"/>
          <w:sz w:val="24"/>
        </w:rPr>
        <w:t>性审查，以确定是否满足招标文件的实质性要求。</w:t>
      </w:r>
      <w:r>
        <w:rPr>
          <w:spacing w:val="-2"/>
          <w:sz w:val="24"/>
          <w:szCs w:val="24"/>
        </w:rPr>
        <w:t>符合性审查有一项不符合审查标准的，评标委员会应当否决其投标。</w:t>
      </w:r>
    </w:p>
    <w:p>
      <w:pPr>
        <w:pStyle w:val="14"/>
        <w:kinsoku w:val="0"/>
        <w:overflowPunct w:val="0"/>
        <w:spacing w:before="49" w:line="355" w:lineRule="auto"/>
        <w:ind w:left="141" w:right="-94" w:firstLine="480"/>
        <w:jc w:val="both"/>
        <w:rPr>
          <w:rFonts w:hint="default" w:cs="宋体"/>
          <w:sz w:val="24"/>
        </w:rPr>
      </w:pPr>
      <w:r>
        <w:rPr>
          <w:rFonts w:cs="宋体"/>
          <w:spacing w:val="1"/>
          <w:sz w:val="24"/>
        </w:rPr>
        <w:t>符合招标文件实质性要求的投标文件，评</w:t>
      </w:r>
      <w:r>
        <w:rPr>
          <w:rFonts w:cs="宋体"/>
          <w:spacing w:val="-1"/>
          <w:sz w:val="24"/>
        </w:rPr>
        <w:t>委将按评分标准进行价格评议和综合评分。</w:t>
      </w:r>
    </w:p>
    <w:tbl>
      <w:tblPr>
        <w:tblStyle w:val="28"/>
        <w:tblpPr w:leftFromText="180" w:rightFromText="180" w:vertAnchor="text" w:horzAnchor="page" w:tblpX="1493" w:tblpY="29"/>
        <w:tblOverlap w:val="never"/>
        <w:tblW w:w="9166" w:type="dxa"/>
        <w:tblInd w:w="0" w:type="dxa"/>
        <w:tblLayout w:type="fixed"/>
        <w:tblCellMar>
          <w:top w:w="0" w:type="dxa"/>
          <w:left w:w="0" w:type="dxa"/>
          <w:bottom w:w="0" w:type="dxa"/>
          <w:right w:w="0" w:type="dxa"/>
        </w:tblCellMar>
      </w:tblPr>
      <w:tblGrid>
        <w:gridCol w:w="1837"/>
        <w:gridCol w:w="2356"/>
        <w:gridCol w:w="4973"/>
      </w:tblGrid>
      <w:tr>
        <w:tblPrEx>
          <w:tblCellMar>
            <w:top w:w="0" w:type="dxa"/>
            <w:left w:w="0" w:type="dxa"/>
            <w:bottom w:w="0" w:type="dxa"/>
            <w:right w:w="0" w:type="dxa"/>
          </w:tblCellMar>
        </w:tblPrEx>
        <w:trPr>
          <w:trHeight w:val="497" w:hRule="exact"/>
        </w:trPr>
        <w:tc>
          <w:tcPr>
            <w:tcW w:w="4193" w:type="dxa"/>
            <w:gridSpan w:val="2"/>
            <w:tcBorders>
              <w:top w:val="single" w:color="000000" w:sz="6" w:space="0"/>
              <w:left w:val="single" w:color="000000" w:sz="6" w:space="0"/>
              <w:bottom w:val="single" w:color="000000" w:sz="6" w:space="0"/>
              <w:right w:val="single" w:color="000000" w:sz="6" w:space="0"/>
              <w:tl2br w:val="nil"/>
              <w:tr2bl w:val="nil"/>
            </w:tcBorders>
            <w:vAlign w:val="center"/>
          </w:tcPr>
          <w:p>
            <w:pPr>
              <w:pStyle w:val="45"/>
              <w:kinsoku w:val="0"/>
              <w:overflowPunct w:val="0"/>
              <w:spacing w:before="79"/>
              <w:ind w:left="539"/>
              <w:jc w:val="center"/>
              <w:rPr>
                <w:sz w:val="21"/>
                <w:szCs w:val="21"/>
              </w:rPr>
            </w:pPr>
            <w:r>
              <w:rPr>
                <w:rFonts w:ascii="宋体"/>
                <w:b/>
                <w:sz w:val="21"/>
                <w:szCs w:val="21"/>
              </w:rPr>
              <w:t>评审因素</w:t>
            </w:r>
          </w:p>
        </w:tc>
        <w:tc>
          <w:tcPr>
            <w:tcW w:w="4973" w:type="dxa"/>
            <w:tcBorders>
              <w:top w:val="single" w:color="000000" w:sz="6" w:space="0"/>
              <w:left w:val="single" w:color="000000" w:sz="6" w:space="0"/>
              <w:bottom w:val="single" w:color="000000" w:sz="6" w:space="0"/>
              <w:right w:val="single" w:color="000000" w:sz="6" w:space="0"/>
              <w:tl2br w:val="nil"/>
              <w:tr2bl w:val="nil"/>
            </w:tcBorders>
            <w:vAlign w:val="center"/>
          </w:tcPr>
          <w:p>
            <w:pPr>
              <w:pStyle w:val="45"/>
              <w:kinsoku w:val="0"/>
              <w:overflowPunct w:val="0"/>
              <w:spacing w:before="79"/>
              <w:ind w:left="540"/>
              <w:jc w:val="center"/>
              <w:rPr>
                <w:sz w:val="21"/>
                <w:szCs w:val="21"/>
              </w:rPr>
            </w:pPr>
            <w:r>
              <w:rPr>
                <w:rFonts w:ascii="宋体"/>
                <w:b/>
                <w:spacing w:val="-1"/>
                <w:sz w:val="21"/>
                <w:szCs w:val="21"/>
              </w:rPr>
              <w:t>评审标准</w:t>
            </w:r>
          </w:p>
        </w:tc>
      </w:tr>
      <w:tr>
        <w:tblPrEx>
          <w:tblCellMar>
            <w:top w:w="0" w:type="dxa"/>
            <w:left w:w="0" w:type="dxa"/>
            <w:bottom w:w="0" w:type="dxa"/>
            <w:right w:w="0" w:type="dxa"/>
          </w:tblCellMar>
        </w:tblPrEx>
        <w:trPr>
          <w:trHeight w:val="553" w:hRule="exact"/>
        </w:trPr>
        <w:tc>
          <w:tcPr>
            <w:tcW w:w="1837" w:type="dxa"/>
            <w:vMerge w:val="restart"/>
            <w:tcBorders>
              <w:top w:val="single" w:color="000000" w:sz="6" w:space="0"/>
              <w:left w:val="single" w:color="000000" w:sz="6" w:space="0"/>
              <w:bottom w:val="nil"/>
              <w:right w:val="single" w:color="000000" w:sz="6" w:space="0"/>
              <w:tl2br w:val="nil"/>
              <w:tr2bl w:val="nil"/>
            </w:tcBorders>
          </w:tcPr>
          <w:p>
            <w:pPr>
              <w:pStyle w:val="45"/>
              <w:kinsoku w:val="0"/>
              <w:overflowPunct w:val="0"/>
              <w:rPr>
                <w:rFonts w:ascii="宋体"/>
                <w:b/>
                <w:sz w:val="21"/>
                <w:szCs w:val="21"/>
              </w:rPr>
            </w:pPr>
          </w:p>
          <w:p>
            <w:pPr>
              <w:pStyle w:val="45"/>
              <w:kinsoku w:val="0"/>
              <w:overflowPunct w:val="0"/>
              <w:spacing w:before="5"/>
              <w:rPr>
                <w:rFonts w:ascii="宋体"/>
                <w:b/>
                <w:sz w:val="21"/>
                <w:szCs w:val="21"/>
              </w:rPr>
            </w:pPr>
          </w:p>
          <w:p>
            <w:pPr>
              <w:pStyle w:val="45"/>
              <w:kinsoku w:val="0"/>
              <w:overflowPunct w:val="0"/>
              <w:spacing w:before="5"/>
              <w:rPr>
                <w:rFonts w:ascii="宋体"/>
                <w:b/>
                <w:sz w:val="21"/>
                <w:szCs w:val="21"/>
              </w:rPr>
            </w:pPr>
          </w:p>
          <w:p>
            <w:pPr>
              <w:pStyle w:val="45"/>
              <w:kinsoku w:val="0"/>
              <w:overflowPunct w:val="0"/>
              <w:spacing w:before="5"/>
              <w:rPr>
                <w:rFonts w:ascii="宋体"/>
                <w:b/>
                <w:sz w:val="21"/>
                <w:szCs w:val="21"/>
              </w:rPr>
            </w:pPr>
          </w:p>
          <w:p>
            <w:pPr>
              <w:pStyle w:val="45"/>
              <w:kinsoku w:val="0"/>
              <w:overflowPunct w:val="0"/>
              <w:spacing w:before="5"/>
              <w:rPr>
                <w:rFonts w:ascii="宋体"/>
                <w:b/>
                <w:sz w:val="21"/>
                <w:szCs w:val="21"/>
              </w:rPr>
            </w:pPr>
          </w:p>
          <w:p>
            <w:pPr>
              <w:pStyle w:val="45"/>
              <w:kinsoku w:val="0"/>
              <w:overflowPunct w:val="0"/>
              <w:ind w:left="59"/>
              <w:jc w:val="center"/>
              <w:rPr>
                <w:sz w:val="21"/>
                <w:szCs w:val="21"/>
              </w:rPr>
            </w:pPr>
            <w:r>
              <w:rPr>
                <w:rFonts w:ascii="宋体"/>
                <w:spacing w:val="-1"/>
                <w:sz w:val="21"/>
                <w:szCs w:val="21"/>
              </w:rPr>
              <w:t>符合性审查</w:t>
            </w: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360" w:lineRule="auto"/>
              <w:jc w:val="center"/>
              <w:rPr>
                <w:sz w:val="21"/>
                <w:szCs w:val="21"/>
              </w:rPr>
            </w:pPr>
            <w:r>
              <w:rPr>
                <w:rFonts w:hint="eastAsia" w:ascii="宋体" w:hAnsi="宋体"/>
                <w:sz w:val="21"/>
                <w:szCs w:val="21"/>
              </w:rPr>
              <w:t>投标文件签字盖章</w:t>
            </w:r>
          </w:p>
        </w:tc>
        <w:tc>
          <w:tcPr>
            <w:tcW w:w="4973"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360" w:lineRule="auto"/>
              <w:jc w:val="center"/>
              <w:rPr>
                <w:sz w:val="21"/>
                <w:szCs w:val="21"/>
              </w:rPr>
            </w:pPr>
            <w:r>
              <w:rPr>
                <w:rFonts w:hint="eastAsia" w:ascii="宋体" w:hAnsi="宋体"/>
                <w:sz w:val="21"/>
                <w:szCs w:val="21"/>
              </w:rPr>
              <w:t>有法定代表人或其委托代理人签字、加盖单位章</w:t>
            </w:r>
          </w:p>
        </w:tc>
      </w:tr>
      <w:tr>
        <w:tblPrEx>
          <w:tblCellMar>
            <w:top w:w="0" w:type="dxa"/>
            <w:left w:w="0" w:type="dxa"/>
            <w:bottom w:w="0" w:type="dxa"/>
            <w:right w:w="0" w:type="dxa"/>
          </w:tblCellMar>
        </w:tblPrEx>
        <w:trPr>
          <w:trHeight w:val="507" w:hRule="exact"/>
        </w:trPr>
        <w:tc>
          <w:tcPr>
            <w:tcW w:w="1837" w:type="dxa"/>
            <w:vMerge w:val="continue"/>
            <w:tcBorders>
              <w:top w:val="nil"/>
              <w:left w:val="single" w:color="000000" w:sz="6" w:space="0"/>
              <w:bottom w:val="nil"/>
              <w:right w:val="single" w:color="000000" w:sz="6" w:space="0"/>
              <w:tl2br w:val="nil"/>
              <w:tr2bl w:val="nil"/>
            </w:tcBorders>
          </w:tcPr>
          <w:p>
            <w:pPr>
              <w:pStyle w:val="45"/>
              <w:kinsoku w:val="0"/>
              <w:overflowPunct w:val="0"/>
              <w:spacing w:before="109"/>
              <w:ind w:left="540"/>
              <w:rPr>
                <w:sz w:val="21"/>
                <w:szCs w:val="21"/>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50"/>
              <w:ind w:right="97" w:firstLine="59" w:firstLineChars="28"/>
              <w:jc w:val="center"/>
              <w:rPr>
                <w:sz w:val="21"/>
                <w:szCs w:val="21"/>
              </w:rPr>
            </w:pPr>
            <w:r>
              <w:rPr>
                <w:rFonts w:hint="eastAsia" w:ascii="宋体" w:hAnsi="宋体" w:cs="宋体"/>
                <w:spacing w:val="1"/>
                <w:sz w:val="21"/>
                <w:szCs w:val="21"/>
              </w:rPr>
              <w:t>投标人名称</w:t>
            </w:r>
          </w:p>
        </w:tc>
        <w:tc>
          <w:tcPr>
            <w:tcW w:w="4973"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50"/>
              <w:ind w:right="97" w:firstLine="59" w:firstLineChars="28"/>
              <w:jc w:val="center"/>
              <w:rPr>
                <w:sz w:val="21"/>
                <w:szCs w:val="21"/>
              </w:rPr>
            </w:pPr>
            <w:r>
              <w:rPr>
                <w:rFonts w:hint="eastAsia" w:ascii="宋体" w:hAnsi="宋体" w:cs="宋体"/>
                <w:spacing w:val="1"/>
                <w:sz w:val="21"/>
                <w:szCs w:val="21"/>
              </w:rPr>
              <w:t>与营业执照一致</w:t>
            </w:r>
          </w:p>
        </w:tc>
      </w:tr>
      <w:tr>
        <w:tblPrEx>
          <w:tblCellMar>
            <w:top w:w="0" w:type="dxa"/>
            <w:left w:w="0" w:type="dxa"/>
            <w:bottom w:w="0" w:type="dxa"/>
            <w:right w:w="0" w:type="dxa"/>
          </w:tblCellMar>
        </w:tblPrEx>
        <w:trPr>
          <w:trHeight w:val="558" w:hRule="exact"/>
        </w:trPr>
        <w:tc>
          <w:tcPr>
            <w:tcW w:w="1837" w:type="dxa"/>
            <w:vMerge w:val="continue"/>
            <w:tcBorders>
              <w:top w:val="nil"/>
              <w:left w:val="single" w:color="000000" w:sz="6" w:space="0"/>
              <w:bottom w:val="nil"/>
              <w:right w:val="single" w:color="000000" w:sz="6" w:space="0"/>
              <w:tl2br w:val="nil"/>
              <w:tr2bl w:val="nil"/>
            </w:tcBorders>
          </w:tcPr>
          <w:p>
            <w:pPr>
              <w:pStyle w:val="45"/>
              <w:kinsoku w:val="0"/>
              <w:overflowPunct w:val="0"/>
              <w:spacing w:before="169"/>
              <w:ind w:left="540"/>
              <w:rPr>
                <w:sz w:val="21"/>
                <w:szCs w:val="21"/>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360" w:lineRule="auto"/>
              <w:jc w:val="center"/>
              <w:rPr>
                <w:sz w:val="21"/>
                <w:szCs w:val="21"/>
              </w:rPr>
            </w:pPr>
            <w:r>
              <w:rPr>
                <w:rFonts w:hint="eastAsia" w:ascii="宋体" w:hAnsi="宋体"/>
                <w:sz w:val="21"/>
                <w:szCs w:val="21"/>
              </w:rPr>
              <w:t>投标文件格式</w:t>
            </w:r>
          </w:p>
        </w:tc>
        <w:tc>
          <w:tcPr>
            <w:tcW w:w="4973"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360" w:lineRule="auto"/>
              <w:jc w:val="center"/>
              <w:rPr>
                <w:sz w:val="21"/>
                <w:szCs w:val="21"/>
              </w:rPr>
            </w:pPr>
            <w:r>
              <w:rPr>
                <w:rFonts w:hint="eastAsia" w:ascii="宋体" w:hAnsi="宋体"/>
                <w:sz w:val="21"/>
                <w:szCs w:val="21"/>
              </w:rPr>
              <w:t>符合第六章“投标文件格式”的要求</w:t>
            </w:r>
          </w:p>
        </w:tc>
      </w:tr>
      <w:tr>
        <w:tblPrEx>
          <w:tblCellMar>
            <w:top w:w="0" w:type="dxa"/>
            <w:left w:w="0" w:type="dxa"/>
            <w:bottom w:w="0" w:type="dxa"/>
            <w:right w:w="0" w:type="dxa"/>
          </w:tblCellMar>
        </w:tblPrEx>
        <w:trPr>
          <w:trHeight w:val="408" w:hRule="exact"/>
        </w:trPr>
        <w:tc>
          <w:tcPr>
            <w:tcW w:w="1837" w:type="dxa"/>
            <w:vMerge w:val="continue"/>
            <w:tcBorders>
              <w:top w:val="nil"/>
              <w:left w:val="single" w:color="000000" w:sz="6" w:space="0"/>
              <w:bottom w:val="nil"/>
              <w:right w:val="single" w:color="000000" w:sz="6" w:space="0"/>
              <w:tl2br w:val="nil"/>
              <w:tr2bl w:val="nil"/>
            </w:tcBorders>
          </w:tcPr>
          <w:p>
            <w:pPr>
              <w:pStyle w:val="45"/>
              <w:kinsoku w:val="0"/>
              <w:overflowPunct w:val="0"/>
              <w:spacing w:before="169"/>
              <w:ind w:left="540"/>
              <w:rPr>
                <w:sz w:val="21"/>
                <w:szCs w:val="21"/>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360" w:lineRule="auto"/>
              <w:jc w:val="center"/>
              <w:rPr>
                <w:rFonts w:ascii="宋体"/>
                <w:spacing w:val="-1"/>
                <w:sz w:val="21"/>
                <w:szCs w:val="21"/>
              </w:rPr>
            </w:pPr>
            <w:r>
              <w:rPr>
                <w:rFonts w:hint="eastAsia" w:ascii="宋体" w:hAnsi="宋体"/>
                <w:sz w:val="21"/>
                <w:szCs w:val="21"/>
              </w:rPr>
              <w:t>报价唯一</w:t>
            </w:r>
          </w:p>
        </w:tc>
        <w:tc>
          <w:tcPr>
            <w:tcW w:w="4973"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360" w:lineRule="auto"/>
              <w:jc w:val="center"/>
              <w:rPr>
                <w:rFonts w:ascii="宋体"/>
                <w:spacing w:val="-1"/>
                <w:sz w:val="21"/>
                <w:szCs w:val="21"/>
              </w:rPr>
            </w:pPr>
            <w:r>
              <w:rPr>
                <w:rFonts w:hint="eastAsia" w:ascii="宋体" w:hAnsi="宋体"/>
                <w:sz w:val="21"/>
                <w:szCs w:val="21"/>
              </w:rPr>
              <w:t>只能有一个有效报价</w:t>
            </w:r>
          </w:p>
        </w:tc>
      </w:tr>
      <w:tr>
        <w:tblPrEx>
          <w:tblCellMar>
            <w:top w:w="0" w:type="dxa"/>
            <w:left w:w="0" w:type="dxa"/>
            <w:bottom w:w="0" w:type="dxa"/>
            <w:right w:w="0" w:type="dxa"/>
          </w:tblCellMar>
        </w:tblPrEx>
        <w:trPr>
          <w:trHeight w:val="498" w:hRule="exact"/>
        </w:trPr>
        <w:tc>
          <w:tcPr>
            <w:tcW w:w="1837" w:type="dxa"/>
            <w:vMerge w:val="continue"/>
            <w:tcBorders>
              <w:top w:val="nil"/>
              <w:left w:val="single" w:color="000000" w:sz="6" w:space="0"/>
              <w:bottom w:val="nil"/>
              <w:right w:val="single" w:color="000000" w:sz="6" w:space="0"/>
              <w:tl2br w:val="nil"/>
              <w:tr2bl w:val="nil"/>
            </w:tcBorders>
          </w:tcPr>
          <w:p>
            <w:pPr>
              <w:pStyle w:val="45"/>
              <w:kinsoku w:val="0"/>
              <w:overflowPunct w:val="0"/>
              <w:spacing w:before="169"/>
              <w:ind w:left="540"/>
              <w:rPr>
                <w:sz w:val="21"/>
                <w:szCs w:val="21"/>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50"/>
              <w:ind w:right="97" w:firstLine="59" w:firstLineChars="28"/>
              <w:jc w:val="center"/>
              <w:rPr>
                <w:rFonts w:ascii="宋体"/>
                <w:spacing w:val="-1"/>
                <w:sz w:val="21"/>
                <w:szCs w:val="21"/>
              </w:rPr>
            </w:pPr>
            <w:r>
              <w:rPr>
                <w:rFonts w:hint="eastAsia" w:ascii="宋体" w:hAnsi="宋体" w:cs="宋体"/>
                <w:spacing w:val="1"/>
                <w:sz w:val="21"/>
                <w:szCs w:val="21"/>
              </w:rPr>
              <w:t>投标内容</w:t>
            </w:r>
          </w:p>
        </w:tc>
        <w:tc>
          <w:tcPr>
            <w:tcW w:w="4973"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spacing w:val="-1"/>
                <w:sz w:val="21"/>
                <w:szCs w:val="21"/>
              </w:rPr>
            </w:pPr>
            <w:r>
              <w:rPr>
                <w:rFonts w:hint="eastAsia" w:ascii="宋体" w:hAnsi="宋体" w:cs="宋体"/>
                <w:spacing w:val="1"/>
                <w:sz w:val="21"/>
                <w:szCs w:val="21"/>
              </w:rPr>
              <w:t>符合 “投标人须知前附表”的要求</w:t>
            </w:r>
          </w:p>
        </w:tc>
      </w:tr>
      <w:tr>
        <w:tblPrEx>
          <w:tblCellMar>
            <w:top w:w="0" w:type="dxa"/>
            <w:left w:w="0" w:type="dxa"/>
            <w:bottom w:w="0" w:type="dxa"/>
            <w:right w:w="0" w:type="dxa"/>
          </w:tblCellMar>
        </w:tblPrEx>
        <w:trPr>
          <w:trHeight w:val="483" w:hRule="exact"/>
        </w:trPr>
        <w:tc>
          <w:tcPr>
            <w:tcW w:w="1837" w:type="dxa"/>
            <w:vMerge w:val="continue"/>
            <w:tcBorders>
              <w:top w:val="nil"/>
              <w:left w:val="single" w:color="000000" w:sz="6" w:space="0"/>
              <w:bottom w:val="nil"/>
              <w:right w:val="single" w:color="000000" w:sz="6" w:space="0"/>
              <w:tl2br w:val="nil"/>
              <w:tr2bl w:val="nil"/>
            </w:tcBorders>
          </w:tcPr>
          <w:p>
            <w:pPr>
              <w:pStyle w:val="45"/>
              <w:kinsoku w:val="0"/>
              <w:overflowPunct w:val="0"/>
              <w:spacing w:before="169"/>
              <w:ind w:left="540"/>
              <w:rPr>
                <w:sz w:val="21"/>
                <w:szCs w:val="21"/>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50"/>
              <w:ind w:right="97" w:firstLine="59" w:firstLineChars="28"/>
              <w:jc w:val="center"/>
              <w:rPr>
                <w:rFonts w:ascii="宋体"/>
                <w:spacing w:val="-1"/>
                <w:sz w:val="21"/>
                <w:szCs w:val="21"/>
              </w:rPr>
            </w:pPr>
            <w:r>
              <w:rPr>
                <w:rFonts w:hint="eastAsia" w:ascii="宋体" w:hAnsi="宋体" w:cs="宋体"/>
                <w:spacing w:val="1"/>
                <w:sz w:val="21"/>
                <w:szCs w:val="21"/>
              </w:rPr>
              <w:t>交货期</w:t>
            </w:r>
          </w:p>
        </w:tc>
        <w:tc>
          <w:tcPr>
            <w:tcW w:w="4973"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spacing w:val="-1"/>
                <w:sz w:val="21"/>
                <w:szCs w:val="21"/>
              </w:rPr>
            </w:pPr>
            <w:r>
              <w:rPr>
                <w:rFonts w:hint="eastAsia" w:ascii="宋体" w:hAnsi="宋体" w:cs="宋体"/>
                <w:spacing w:val="1"/>
                <w:sz w:val="21"/>
                <w:szCs w:val="21"/>
              </w:rPr>
              <w:t>符合 “投标人须知前附表”的要求</w:t>
            </w:r>
          </w:p>
        </w:tc>
      </w:tr>
      <w:tr>
        <w:tblPrEx>
          <w:tblCellMar>
            <w:top w:w="0" w:type="dxa"/>
            <w:left w:w="0" w:type="dxa"/>
            <w:bottom w:w="0" w:type="dxa"/>
            <w:right w:w="0" w:type="dxa"/>
          </w:tblCellMar>
        </w:tblPrEx>
        <w:trPr>
          <w:trHeight w:val="498" w:hRule="exact"/>
        </w:trPr>
        <w:tc>
          <w:tcPr>
            <w:tcW w:w="1837" w:type="dxa"/>
            <w:vMerge w:val="continue"/>
            <w:tcBorders>
              <w:top w:val="nil"/>
              <w:left w:val="single" w:color="000000" w:sz="6" w:space="0"/>
              <w:bottom w:val="nil"/>
              <w:right w:val="single" w:color="000000" w:sz="6" w:space="0"/>
              <w:tl2br w:val="nil"/>
              <w:tr2bl w:val="nil"/>
            </w:tcBorders>
          </w:tcPr>
          <w:p>
            <w:pPr>
              <w:pStyle w:val="45"/>
              <w:kinsoku w:val="0"/>
              <w:overflowPunct w:val="0"/>
              <w:spacing w:before="169"/>
              <w:ind w:left="540"/>
              <w:rPr>
                <w:sz w:val="21"/>
                <w:szCs w:val="21"/>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50"/>
              <w:ind w:right="97" w:firstLine="59" w:firstLineChars="28"/>
              <w:jc w:val="center"/>
              <w:rPr>
                <w:rFonts w:ascii="宋体" w:hAnsi="宋体" w:cs="宋体"/>
                <w:spacing w:val="1"/>
                <w:sz w:val="21"/>
                <w:szCs w:val="21"/>
              </w:rPr>
            </w:pPr>
            <w:r>
              <w:rPr>
                <w:rFonts w:hint="eastAsia" w:ascii="宋体" w:hAnsi="宋体" w:cs="宋体"/>
                <w:spacing w:val="1"/>
                <w:sz w:val="21"/>
                <w:szCs w:val="21"/>
              </w:rPr>
              <w:t>质保期</w:t>
            </w:r>
          </w:p>
        </w:tc>
        <w:tc>
          <w:tcPr>
            <w:tcW w:w="4973"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hAnsi="宋体" w:cs="宋体"/>
                <w:spacing w:val="1"/>
                <w:sz w:val="21"/>
                <w:szCs w:val="21"/>
              </w:rPr>
            </w:pPr>
            <w:r>
              <w:rPr>
                <w:rFonts w:hint="eastAsia" w:ascii="宋体" w:hAnsi="宋体" w:cs="宋体"/>
                <w:spacing w:val="1"/>
                <w:sz w:val="21"/>
                <w:szCs w:val="21"/>
              </w:rPr>
              <w:t>符合 “投标人须知前附表”的要求</w:t>
            </w:r>
          </w:p>
        </w:tc>
      </w:tr>
      <w:tr>
        <w:tblPrEx>
          <w:tblCellMar>
            <w:top w:w="0" w:type="dxa"/>
            <w:left w:w="0" w:type="dxa"/>
            <w:bottom w:w="0" w:type="dxa"/>
            <w:right w:w="0" w:type="dxa"/>
          </w:tblCellMar>
        </w:tblPrEx>
        <w:trPr>
          <w:trHeight w:val="468" w:hRule="exact"/>
        </w:trPr>
        <w:tc>
          <w:tcPr>
            <w:tcW w:w="1837" w:type="dxa"/>
            <w:vMerge w:val="continue"/>
            <w:tcBorders>
              <w:top w:val="nil"/>
              <w:left w:val="single" w:color="000000" w:sz="6" w:space="0"/>
              <w:bottom w:val="nil"/>
              <w:right w:val="single" w:color="000000" w:sz="6" w:space="0"/>
              <w:tl2br w:val="nil"/>
              <w:tr2bl w:val="nil"/>
            </w:tcBorders>
          </w:tcPr>
          <w:p>
            <w:pPr>
              <w:pStyle w:val="45"/>
              <w:kinsoku w:val="0"/>
              <w:overflowPunct w:val="0"/>
              <w:spacing w:before="169"/>
              <w:ind w:left="540"/>
              <w:rPr>
                <w:sz w:val="21"/>
                <w:szCs w:val="21"/>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50"/>
              <w:ind w:right="97" w:firstLine="59" w:firstLineChars="28"/>
              <w:jc w:val="center"/>
              <w:rPr>
                <w:rFonts w:ascii="宋体" w:hAnsi="宋体" w:cs="宋体"/>
                <w:spacing w:val="1"/>
                <w:sz w:val="21"/>
                <w:szCs w:val="21"/>
              </w:rPr>
            </w:pPr>
            <w:r>
              <w:rPr>
                <w:rFonts w:hint="eastAsia" w:ascii="宋体" w:hAnsi="宋体" w:cs="宋体"/>
                <w:spacing w:val="1"/>
                <w:sz w:val="21"/>
                <w:szCs w:val="21"/>
              </w:rPr>
              <w:t>质量要求</w:t>
            </w:r>
          </w:p>
        </w:tc>
        <w:tc>
          <w:tcPr>
            <w:tcW w:w="4973"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hAnsi="宋体" w:cs="宋体"/>
                <w:spacing w:val="1"/>
                <w:sz w:val="21"/>
                <w:szCs w:val="21"/>
              </w:rPr>
            </w:pPr>
            <w:r>
              <w:rPr>
                <w:rFonts w:hint="eastAsia" w:ascii="宋体" w:hAnsi="宋体" w:cs="宋体"/>
                <w:spacing w:val="1"/>
                <w:sz w:val="21"/>
                <w:szCs w:val="21"/>
              </w:rPr>
              <w:t>符合 “投标人须知前附表”的要求</w:t>
            </w:r>
          </w:p>
        </w:tc>
      </w:tr>
      <w:tr>
        <w:tblPrEx>
          <w:tblCellMar>
            <w:top w:w="0" w:type="dxa"/>
            <w:left w:w="0" w:type="dxa"/>
            <w:bottom w:w="0" w:type="dxa"/>
            <w:right w:w="0" w:type="dxa"/>
          </w:tblCellMar>
        </w:tblPrEx>
        <w:trPr>
          <w:trHeight w:val="442" w:hRule="exact"/>
        </w:trPr>
        <w:tc>
          <w:tcPr>
            <w:tcW w:w="1837" w:type="dxa"/>
            <w:vMerge w:val="continue"/>
            <w:tcBorders>
              <w:top w:val="nil"/>
              <w:left w:val="single" w:color="000000" w:sz="6" w:space="0"/>
              <w:bottom w:val="single" w:color="000000" w:sz="6" w:space="0"/>
              <w:right w:val="single" w:color="000000" w:sz="6" w:space="0"/>
              <w:tl2br w:val="nil"/>
              <w:tr2bl w:val="nil"/>
            </w:tcBorders>
          </w:tcPr>
          <w:p>
            <w:pPr>
              <w:pStyle w:val="45"/>
              <w:kinsoku w:val="0"/>
              <w:overflowPunct w:val="0"/>
              <w:spacing w:before="169"/>
              <w:ind w:left="540"/>
              <w:rPr>
                <w:sz w:val="21"/>
                <w:szCs w:val="21"/>
              </w:rPr>
            </w:pPr>
          </w:p>
        </w:tc>
        <w:tc>
          <w:tcPr>
            <w:tcW w:w="235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50"/>
              <w:ind w:right="97" w:firstLine="59" w:firstLineChars="28"/>
              <w:jc w:val="center"/>
              <w:rPr>
                <w:rFonts w:ascii="宋体"/>
                <w:spacing w:val="-1"/>
                <w:sz w:val="21"/>
                <w:szCs w:val="21"/>
              </w:rPr>
            </w:pPr>
            <w:r>
              <w:rPr>
                <w:rFonts w:hint="eastAsia" w:ascii="宋体" w:hAnsi="宋体" w:cs="宋体"/>
                <w:spacing w:val="1"/>
                <w:sz w:val="21"/>
                <w:szCs w:val="21"/>
              </w:rPr>
              <w:t>投标有效期</w:t>
            </w:r>
          </w:p>
        </w:tc>
        <w:tc>
          <w:tcPr>
            <w:tcW w:w="4973" w:type="dxa"/>
            <w:tcBorders>
              <w:top w:val="single" w:color="000000" w:sz="6" w:space="0"/>
              <w:left w:val="single" w:color="000000" w:sz="6" w:space="0"/>
              <w:bottom w:val="single" w:color="000000" w:sz="6" w:space="0"/>
              <w:right w:val="single" w:color="000000" w:sz="6" w:space="0"/>
              <w:tl2br w:val="nil"/>
              <w:tr2bl w:val="nil"/>
            </w:tcBorders>
            <w:vAlign w:val="center"/>
          </w:tcPr>
          <w:p>
            <w:pPr>
              <w:jc w:val="center"/>
              <w:rPr>
                <w:rFonts w:ascii="宋体"/>
                <w:spacing w:val="-1"/>
                <w:sz w:val="21"/>
                <w:szCs w:val="21"/>
              </w:rPr>
            </w:pPr>
            <w:r>
              <w:rPr>
                <w:rFonts w:hint="eastAsia" w:ascii="宋体" w:hAnsi="宋体" w:cs="宋体"/>
                <w:spacing w:val="1"/>
                <w:sz w:val="21"/>
                <w:szCs w:val="21"/>
              </w:rPr>
              <w:t>符合 “投标人须知前附表”的要求</w:t>
            </w:r>
          </w:p>
        </w:tc>
      </w:tr>
    </w:tbl>
    <w:p>
      <w:pPr>
        <w:pStyle w:val="14"/>
        <w:kinsoku w:val="0"/>
        <w:overflowPunct w:val="0"/>
        <w:ind w:left="0"/>
        <w:rPr>
          <w:rFonts w:hint="default"/>
          <w:sz w:val="3"/>
        </w:rPr>
      </w:pPr>
    </w:p>
    <w:p>
      <w:pPr>
        <w:pStyle w:val="14"/>
        <w:kinsoku w:val="0"/>
        <w:overflowPunct w:val="0"/>
        <w:ind w:left="0"/>
        <w:rPr>
          <w:rFonts w:hint="default" w:ascii="Calibri" w:hAnsi="Calibri" w:eastAsia="Calibri"/>
          <w:sz w:val="20"/>
        </w:rPr>
      </w:pPr>
    </w:p>
    <w:p>
      <w:pPr>
        <w:pStyle w:val="4"/>
        <w:kinsoku w:val="0"/>
        <w:overflowPunct w:val="0"/>
        <w:spacing w:line="360" w:lineRule="auto"/>
        <w:ind w:left="0"/>
        <w:jc w:val="center"/>
        <w:rPr>
          <w:rFonts w:hint="default"/>
          <w:bCs/>
          <w:spacing w:val="1"/>
          <w:sz w:val="24"/>
          <w:szCs w:val="24"/>
        </w:rPr>
      </w:pPr>
      <w:bookmarkStart w:id="120" w:name="_Toc4312_WPSOffice_Level2"/>
      <w:r>
        <w:rPr>
          <w:bCs/>
          <w:spacing w:val="1"/>
          <w:sz w:val="24"/>
          <w:szCs w:val="24"/>
        </w:rPr>
        <w:t>三、评标办法</w:t>
      </w:r>
      <w:bookmarkEnd w:id="120"/>
    </w:p>
    <w:p>
      <w:pPr>
        <w:pStyle w:val="14"/>
        <w:tabs>
          <w:tab w:val="left" w:pos="685"/>
        </w:tabs>
        <w:kinsoku w:val="0"/>
        <w:overflowPunct w:val="0"/>
        <w:spacing w:line="360" w:lineRule="auto"/>
        <w:rPr>
          <w:rFonts w:hint="default" w:asciiTheme="minorEastAsia" w:hAnsiTheme="minorEastAsia" w:eastAsiaTheme="minorEastAsia" w:cstheme="minorEastAsia"/>
          <w:b/>
          <w:sz w:val="24"/>
          <w:szCs w:val="24"/>
        </w:rPr>
      </w:pPr>
      <w:bookmarkStart w:id="121" w:name="bookmark18"/>
      <w:bookmarkEnd w:id="121"/>
      <w:r>
        <w:rPr>
          <w:rFonts w:asciiTheme="minorEastAsia" w:hAnsiTheme="minorEastAsia" w:eastAsiaTheme="minorEastAsia" w:cstheme="minorEastAsia"/>
          <w:b/>
          <w:w w:val="95"/>
          <w:sz w:val="24"/>
          <w:szCs w:val="24"/>
        </w:rPr>
        <w:t>1.</w:t>
      </w:r>
      <w:r>
        <w:rPr>
          <w:rFonts w:asciiTheme="minorEastAsia" w:hAnsiTheme="minorEastAsia" w:eastAsiaTheme="minorEastAsia" w:cstheme="minorEastAsia"/>
          <w:b/>
          <w:w w:val="95"/>
          <w:sz w:val="24"/>
          <w:szCs w:val="24"/>
        </w:rPr>
        <w:tab/>
      </w:r>
      <w:r>
        <w:rPr>
          <w:rFonts w:asciiTheme="minorEastAsia" w:hAnsiTheme="minorEastAsia" w:eastAsiaTheme="minorEastAsia" w:cstheme="minorEastAsia"/>
          <w:b/>
          <w:spacing w:val="2"/>
          <w:sz w:val="24"/>
          <w:szCs w:val="24"/>
        </w:rPr>
        <w:t>评标方法</w:t>
      </w:r>
    </w:p>
    <w:p>
      <w:pPr>
        <w:pStyle w:val="14"/>
        <w:kinsoku w:val="0"/>
        <w:overflowPunct w:val="0"/>
        <w:spacing w:line="360" w:lineRule="auto"/>
        <w:ind w:right="108"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1"/>
          <w:sz w:val="24"/>
          <w:szCs w:val="24"/>
        </w:rPr>
        <w:t>评标委员会应当按照招标文件中规定的评标方法和标准，对初步评审合格的投标文件进行商务和技</w:t>
      </w:r>
      <w:r>
        <w:rPr>
          <w:rFonts w:asciiTheme="minorEastAsia" w:hAnsiTheme="minorEastAsia" w:eastAsiaTheme="minorEastAsia" w:cstheme="minorEastAsia"/>
          <w:spacing w:val="-2"/>
          <w:sz w:val="24"/>
          <w:szCs w:val="24"/>
        </w:rPr>
        <w:t>术评估，综合比较与评价。</w:t>
      </w:r>
    </w:p>
    <w:p>
      <w:pPr>
        <w:pStyle w:val="14"/>
        <w:kinsoku w:val="0"/>
        <w:overflowPunct w:val="0"/>
        <w:spacing w:line="360" w:lineRule="auto"/>
        <w:ind w:right="110"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本次评标采用综合评分法。综合评分法，是指投标文件满足招标文件全部实质性要求，且按照评审</w:t>
      </w:r>
      <w:r>
        <w:rPr>
          <w:rFonts w:asciiTheme="minorEastAsia" w:hAnsiTheme="minorEastAsia" w:eastAsiaTheme="minorEastAsia" w:cstheme="minorEastAsia"/>
          <w:spacing w:val="-2"/>
          <w:sz w:val="24"/>
          <w:szCs w:val="24"/>
        </w:rPr>
        <w:t>因素的量化指标评审得分最高的投标人为中标候选人的评标方法。</w:t>
      </w:r>
    </w:p>
    <w:p>
      <w:pPr>
        <w:pStyle w:val="14"/>
        <w:kinsoku w:val="0"/>
        <w:overflowPunct w:val="0"/>
        <w:spacing w:line="360" w:lineRule="auto"/>
        <w:ind w:right="108"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评标委员会按照本章规定的评标方法和标准进行打分。评标结果按评审后得分由高到低顺序排列。得分相同的，按投标报价由低到高顺序排列。得分且投标报价相同的并列。投标文件满足招标文件全部</w:t>
      </w:r>
      <w:r>
        <w:rPr>
          <w:rFonts w:asciiTheme="minorEastAsia" w:hAnsiTheme="minorEastAsia" w:eastAsiaTheme="minorEastAsia" w:cstheme="minorEastAsia"/>
          <w:spacing w:val="-2"/>
          <w:sz w:val="24"/>
          <w:szCs w:val="24"/>
        </w:rPr>
        <w:t>实质性要求，且按照评审因素的量化指标评审得分最高的投标人为排名第一的中标候选人。</w:t>
      </w:r>
    </w:p>
    <w:p>
      <w:pPr>
        <w:pStyle w:val="14"/>
        <w:tabs>
          <w:tab w:val="left" w:pos="685"/>
        </w:tabs>
        <w:kinsoku w:val="0"/>
        <w:overflowPunct w:val="0"/>
        <w:spacing w:line="360" w:lineRule="auto"/>
        <w:rPr>
          <w:rFonts w:hint="default" w:asciiTheme="minorEastAsia" w:hAnsiTheme="minorEastAsia" w:eastAsiaTheme="minorEastAsia" w:cstheme="minorEastAsia"/>
          <w:b/>
          <w:sz w:val="24"/>
          <w:szCs w:val="24"/>
        </w:rPr>
      </w:pPr>
      <w:r>
        <w:rPr>
          <w:rFonts w:asciiTheme="minorEastAsia" w:hAnsiTheme="minorEastAsia" w:eastAsiaTheme="minorEastAsia" w:cstheme="minorEastAsia"/>
          <w:b/>
          <w:w w:val="95"/>
          <w:sz w:val="24"/>
          <w:szCs w:val="24"/>
        </w:rPr>
        <w:t>2.</w:t>
      </w:r>
      <w:r>
        <w:rPr>
          <w:rFonts w:asciiTheme="minorEastAsia" w:hAnsiTheme="minorEastAsia" w:eastAsiaTheme="minorEastAsia" w:cstheme="minorEastAsia"/>
          <w:b/>
          <w:w w:val="95"/>
          <w:sz w:val="24"/>
          <w:szCs w:val="24"/>
        </w:rPr>
        <w:tab/>
      </w:r>
      <w:r>
        <w:rPr>
          <w:rFonts w:asciiTheme="minorEastAsia" w:hAnsiTheme="minorEastAsia" w:eastAsiaTheme="minorEastAsia" w:cstheme="minorEastAsia"/>
          <w:b/>
          <w:spacing w:val="2"/>
          <w:sz w:val="24"/>
          <w:szCs w:val="24"/>
        </w:rPr>
        <w:t>评标标准</w:t>
      </w:r>
    </w:p>
    <w:p>
      <w:pPr>
        <w:pStyle w:val="8"/>
        <w:kinsoku w:val="0"/>
        <w:overflowPunct w:val="0"/>
        <w:spacing w:line="360" w:lineRule="auto"/>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1"/>
          <w:sz w:val="24"/>
          <w:szCs w:val="24"/>
        </w:rPr>
        <w:t>2.1</w:t>
      </w:r>
      <w:r>
        <w:rPr>
          <w:rFonts w:asciiTheme="minorEastAsia" w:hAnsiTheme="minorEastAsia" w:eastAsiaTheme="minorEastAsia" w:cstheme="minorEastAsia"/>
          <w:spacing w:val="-2"/>
          <w:sz w:val="24"/>
          <w:szCs w:val="24"/>
        </w:rPr>
        <w:t>分值构成与评分标准</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详见评标分值构成与评分标准表</w:t>
      </w:r>
    </w:p>
    <w:p>
      <w:pPr>
        <w:pStyle w:val="8"/>
        <w:kinsoku w:val="0"/>
        <w:overflowPunct w:val="0"/>
        <w:spacing w:line="360" w:lineRule="auto"/>
        <w:rPr>
          <w:rFonts w:hint="default"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2.2关于小微企业、监狱企业、残疾人福利性单位产品价格扣除</w:t>
      </w:r>
    </w:p>
    <w:p>
      <w:pPr>
        <w:pStyle w:val="14"/>
        <w:kinsoku w:val="0"/>
        <w:overflowPunct w:val="0"/>
        <w:spacing w:line="360" w:lineRule="auto"/>
        <w:ind w:left="179" w:right="100"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根据财政部、工信部关于印发《政府采购促进中小企业发展暂行办法》的通知（财库〔2011〕181</w:t>
      </w:r>
      <w:r>
        <w:rPr>
          <w:rFonts w:asciiTheme="minorEastAsia" w:hAnsiTheme="minorEastAsia" w:eastAsiaTheme="minorEastAsia" w:cstheme="minorEastAsia"/>
          <w:sz w:val="24"/>
          <w:szCs w:val="24"/>
        </w:rPr>
        <w:t>号</w:t>
      </w:r>
      <w:r>
        <w:rPr>
          <w:rFonts w:asciiTheme="minorEastAsia" w:hAnsiTheme="minorEastAsia" w:eastAsiaTheme="minorEastAsia" w:cstheme="minorEastAsia"/>
          <w:spacing w:val="-2"/>
          <w:sz w:val="24"/>
          <w:szCs w:val="24"/>
        </w:rPr>
        <w:t>）文件规定：</w:t>
      </w:r>
    </w:p>
    <w:p>
      <w:pPr>
        <w:pStyle w:val="14"/>
        <w:kinsoku w:val="0"/>
        <w:overflowPunct w:val="0"/>
        <w:spacing w:line="360" w:lineRule="auto"/>
        <w:ind w:left="179" w:firstLine="420"/>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2"/>
          <w:sz w:val="24"/>
          <w:szCs w:val="24"/>
        </w:rPr>
        <w:t>2.2.1对小型和微型企业产品的价格给予6%-10%的扣除，用扣除后的价格参与评审，本项目的扣除</w:t>
      </w:r>
      <w:r>
        <w:rPr>
          <w:rFonts w:asciiTheme="minorEastAsia" w:hAnsiTheme="minorEastAsia" w:eastAsiaTheme="minorEastAsia" w:cstheme="minorEastAsia"/>
          <w:spacing w:val="-1"/>
          <w:sz w:val="24"/>
          <w:szCs w:val="24"/>
        </w:rPr>
        <w:t>比例为6%；</w:t>
      </w:r>
    </w:p>
    <w:p>
      <w:pPr>
        <w:pStyle w:val="14"/>
        <w:kinsoku w:val="0"/>
        <w:overflowPunct w:val="0"/>
        <w:spacing w:line="360" w:lineRule="auto"/>
        <w:ind w:left="179" w:right="146"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2.2.2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-3%的价格扣除，本项目的扣除比例为2%。</w:t>
      </w:r>
    </w:p>
    <w:p>
      <w:pPr>
        <w:pStyle w:val="14"/>
        <w:kinsoku w:val="0"/>
        <w:overflowPunct w:val="0"/>
        <w:spacing w:line="360" w:lineRule="auto"/>
        <w:ind w:left="179" w:firstLine="422"/>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2.2.3联合体各方均为小型、微型企业的，联合体视同为小型、微型企业享受规定的扶持政策。组</w:t>
      </w:r>
      <w:r>
        <w:rPr>
          <w:rFonts w:asciiTheme="minorEastAsia" w:hAnsiTheme="minorEastAsia" w:eastAsiaTheme="minorEastAsia" w:cstheme="minorEastAsia"/>
          <w:spacing w:val="2"/>
          <w:sz w:val="24"/>
          <w:szCs w:val="24"/>
        </w:rPr>
        <w:t>成联合体的大中型企业和其他自然人、法人或者其他组织，与小型、微型企业之间不得存在投资关系。</w:t>
      </w:r>
    </w:p>
    <w:p>
      <w:pPr>
        <w:pStyle w:val="14"/>
        <w:kinsoku w:val="0"/>
        <w:overflowPunct w:val="0"/>
        <w:spacing w:line="360" w:lineRule="auto"/>
        <w:ind w:left="602" w:right="-94" w:rightChars="-39"/>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2.2.4本办法所称中小企业（含中型、小型、微型企业，下同）应当同时符合以下条件</w:t>
      </w:r>
    </w:p>
    <w:p>
      <w:pPr>
        <w:pStyle w:val="14"/>
        <w:kinsoku w:val="0"/>
        <w:overflowPunct w:val="0"/>
        <w:spacing w:line="360" w:lineRule="auto"/>
        <w:ind w:left="602"/>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（1）符合中小企业划分标准；</w:t>
      </w:r>
    </w:p>
    <w:p>
      <w:pPr>
        <w:pStyle w:val="14"/>
        <w:kinsoku w:val="0"/>
        <w:overflowPunct w:val="0"/>
        <w:spacing w:line="360" w:lineRule="auto"/>
        <w:ind w:left="179" w:firstLine="422"/>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（2）提供本企业制造的货物、承担的工程或者服务，或者提供其他中小企业制造的货物。本项所称货物不包括使用大型企业注册商标的货物。</w:t>
      </w:r>
    </w:p>
    <w:p>
      <w:pPr>
        <w:pStyle w:val="14"/>
        <w:kinsoku w:val="0"/>
        <w:overflowPunct w:val="0"/>
        <w:spacing w:line="360" w:lineRule="auto"/>
        <w:ind w:left="179" w:firstLine="422"/>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本办法所称中小企业划分标准，是指国务院有关部门根据企业从业人员、营业收入、资产总额等指标制定的中小企业划型标准。</w:t>
      </w:r>
    </w:p>
    <w:p>
      <w:pPr>
        <w:pStyle w:val="14"/>
        <w:kinsoku w:val="0"/>
        <w:overflowPunct w:val="0"/>
        <w:spacing w:line="360" w:lineRule="auto"/>
        <w:ind w:left="602"/>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2.2.5小型、微型企业提供中型企业制造的货物的，视同为中型企业。</w:t>
      </w:r>
    </w:p>
    <w:p>
      <w:pPr>
        <w:pStyle w:val="14"/>
        <w:kinsoku w:val="0"/>
        <w:overflowPunct w:val="0"/>
        <w:spacing w:line="360" w:lineRule="auto"/>
        <w:ind w:left="179"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2.2.6投标人应在分项报价表中写明符合上述条件的属于小型和微型企业产品的单价、合价和小计，</w:t>
      </w:r>
      <w:r>
        <w:rPr>
          <w:rFonts w:asciiTheme="minorEastAsia" w:hAnsiTheme="minorEastAsia" w:eastAsiaTheme="minorEastAsia" w:cstheme="minorEastAsia"/>
          <w:spacing w:val="-2"/>
          <w:sz w:val="24"/>
          <w:szCs w:val="24"/>
        </w:rPr>
        <w:t>并如实填写“小微企业声明函”，否则在价格评审时不予考虑价格扣除；</w:t>
      </w:r>
    </w:p>
    <w:p>
      <w:pPr>
        <w:pStyle w:val="14"/>
        <w:kinsoku w:val="0"/>
        <w:overflowPunct w:val="0"/>
        <w:spacing w:line="360" w:lineRule="auto"/>
        <w:ind w:left="179"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2.2.7关于监狱企业：视同小微企业。须提供由省级以上监狱管理局、戒毒管理局（含新疆生产建设兵团）出具的属于监狱企业的证明文件，否则不考虑价格扣除。</w:t>
      </w:r>
    </w:p>
    <w:p>
      <w:pPr>
        <w:pStyle w:val="14"/>
        <w:kinsoku w:val="0"/>
        <w:overflowPunct w:val="0"/>
        <w:spacing w:line="360" w:lineRule="auto"/>
        <w:ind w:left="179"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2.2.8关于残疾人福利性单位：视同小微企业。须提供完整的“残疾人福利性单位声明函”，否则在价格评审时不予考虑价格扣除。残疾人福利性单位属于小型、微型企业的，不重复享受政策。</w:t>
      </w:r>
    </w:p>
    <w:p>
      <w:pPr>
        <w:pStyle w:val="14"/>
        <w:kinsoku w:val="0"/>
        <w:overflowPunct w:val="0"/>
        <w:spacing w:line="360" w:lineRule="auto"/>
        <w:ind w:left="479"/>
        <w:rPr>
          <w:rFonts w:hint="default" w:asciiTheme="minorEastAsia" w:hAnsiTheme="minorEastAsia" w:eastAsiaTheme="minorEastAsia" w:cstheme="minorEastAsia"/>
          <w:b/>
          <w:sz w:val="24"/>
          <w:szCs w:val="24"/>
        </w:rPr>
      </w:pPr>
      <w:r>
        <w:rPr>
          <w:rFonts w:asciiTheme="minorEastAsia" w:hAnsiTheme="minorEastAsia" w:eastAsiaTheme="minorEastAsia" w:cstheme="minorEastAsia"/>
          <w:b/>
          <w:spacing w:val="1"/>
          <w:sz w:val="24"/>
          <w:szCs w:val="24"/>
        </w:rPr>
        <w:t>3.</w:t>
      </w:r>
      <w:r>
        <w:rPr>
          <w:rFonts w:asciiTheme="minorEastAsia" w:hAnsiTheme="minorEastAsia" w:eastAsiaTheme="minorEastAsia" w:cstheme="minorEastAsia"/>
          <w:b/>
          <w:spacing w:val="-3"/>
          <w:sz w:val="24"/>
          <w:szCs w:val="24"/>
        </w:rPr>
        <w:t>评标程序</w:t>
      </w:r>
    </w:p>
    <w:p>
      <w:pPr>
        <w:pStyle w:val="8"/>
        <w:kinsoku w:val="0"/>
        <w:overflowPunct w:val="0"/>
        <w:spacing w:line="360" w:lineRule="auto"/>
        <w:ind w:left="621"/>
        <w:rPr>
          <w:rFonts w:hint="default" w:asciiTheme="minorEastAsia" w:hAnsiTheme="minorEastAsia" w:eastAsiaTheme="minorEastAsia" w:cstheme="minorEastAsia"/>
          <w:b/>
          <w:bCs/>
          <w:spacing w:val="-1"/>
          <w:sz w:val="24"/>
          <w:szCs w:val="24"/>
        </w:rPr>
      </w:pPr>
      <w:r>
        <w:rPr>
          <w:rFonts w:asciiTheme="minorEastAsia" w:hAnsiTheme="minorEastAsia" w:eastAsiaTheme="minorEastAsia" w:cstheme="minorEastAsia"/>
          <w:b/>
          <w:bCs/>
          <w:spacing w:val="-1"/>
          <w:sz w:val="24"/>
          <w:szCs w:val="24"/>
        </w:rPr>
        <w:t>3.1初步评审</w:t>
      </w:r>
    </w:p>
    <w:p>
      <w:pPr>
        <w:pStyle w:val="14"/>
        <w:kinsoku w:val="0"/>
        <w:overflowPunct w:val="0"/>
        <w:spacing w:line="360" w:lineRule="auto"/>
        <w:ind w:left="59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3.1.1投标人有以下情形之一的，评标委员会应当否决其投标：</w:t>
      </w:r>
    </w:p>
    <w:p>
      <w:pPr>
        <w:pStyle w:val="14"/>
        <w:kinsoku w:val="0"/>
        <w:overflowPunct w:val="0"/>
        <w:spacing w:line="360" w:lineRule="auto"/>
        <w:ind w:left="179" w:firstLine="420"/>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1"/>
          <w:sz w:val="24"/>
          <w:szCs w:val="24"/>
        </w:rPr>
        <w:t>（</w:t>
      </w:r>
      <w:r>
        <w:rPr>
          <w:rFonts w:asciiTheme="minorEastAsia" w:hAnsiTheme="minorEastAsia" w:eastAsiaTheme="minorEastAsia" w:cstheme="minorEastAsia"/>
          <w:sz w:val="24"/>
          <w:szCs w:val="24"/>
        </w:rPr>
        <w:t>1</w:t>
      </w:r>
      <w:r>
        <w:rPr>
          <w:rFonts w:asciiTheme="minorEastAsia" w:hAnsiTheme="minorEastAsia" w:eastAsiaTheme="minorEastAsia" w:cstheme="minorEastAsia"/>
          <w:spacing w:val="-39"/>
          <w:sz w:val="24"/>
          <w:szCs w:val="24"/>
        </w:rPr>
        <w:t>）</w:t>
      </w:r>
      <w:r>
        <w:rPr>
          <w:rFonts w:asciiTheme="minorEastAsia" w:hAnsiTheme="minorEastAsia" w:eastAsiaTheme="minorEastAsia" w:cstheme="minorEastAsia"/>
          <w:spacing w:val="-5"/>
          <w:sz w:val="24"/>
          <w:szCs w:val="24"/>
        </w:rPr>
        <w:t>投</w:t>
      </w:r>
      <w:r>
        <w:rPr>
          <w:rFonts w:asciiTheme="minorEastAsia" w:hAnsiTheme="minorEastAsia" w:eastAsiaTheme="minorEastAsia" w:cstheme="minorEastAsia"/>
          <w:sz w:val="24"/>
          <w:szCs w:val="24"/>
        </w:rPr>
        <w:t>标</w:t>
      </w:r>
      <w:r>
        <w:rPr>
          <w:rFonts w:asciiTheme="minorEastAsia" w:hAnsiTheme="minorEastAsia" w:eastAsiaTheme="minorEastAsia" w:cstheme="minorEastAsia"/>
          <w:spacing w:val="-5"/>
          <w:sz w:val="24"/>
          <w:szCs w:val="24"/>
        </w:rPr>
        <w:t>文</w:t>
      </w:r>
      <w:r>
        <w:rPr>
          <w:rFonts w:asciiTheme="minorEastAsia" w:hAnsiTheme="minorEastAsia" w:eastAsiaTheme="minorEastAsia" w:cstheme="minorEastAsia"/>
          <w:sz w:val="24"/>
          <w:szCs w:val="24"/>
        </w:rPr>
        <w:t>件</w:t>
      </w:r>
      <w:r>
        <w:rPr>
          <w:rFonts w:asciiTheme="minorEastAsia" w:hAnsiTheme="minorEastAsia" w:eastAsiaTheme="minorEastAsia" w:cstheme="minorEastAsia"/>
          <w:spacing w:val="-5"/>
          <w:sz w:val="24"/>
          <w:szCs w:val="24"/>
        </w:rPr>
        <w:t>没</w:t>
      </w:r>
      <w:r>
        <w:rPr>
          <w:rFonts w:asciiTheme="minorEastAsia" w:hAnsiTheme="minorEastAsia" w:eastAsiaTheme="minorEastAsia" w:cstheme="minorEastAsia"/>
          <w:sz w:val="24"/>
          <w:szCs w:val="24"/>
        </w:rPr>
        <w:t>有</w:t>
      </w:r>
      <w:r>
        <w:rPr>
          <w:rFonts w:asciiTheme="minorEastAsia" w:hAnsiTheme="minorEastAsia" w:eastAsiaTheme="minorEastAsia" w:cstheme="minorEastAsia"/>
          <w:spacing w:val="-3"/>
          <w:sz w:val="24"/>
          <w:szCs w:val="24"/>
        </w:rPr>
        <w:t>对招</w:t>
      </w:r>
      <w:r>
        <w:rPr>
          <w:rFonts w:asciiTheme="minorEastAsia" w:hAnsiTheme="minorEastAsia" w:eastAsiaTheme="minorEastAsia" w:cstheme="minorEastAsia"/>
          <w:spacing w:val="-5"/>
          <w:sz w:val="24"/>
          <w:szCs w:val="24"/>
        </w:rPr>
        <w:t>标</w:t>
      </w:r>
      <w:r>
        <w:rPr>
          <w:rFonts w:asciiTheme="minorEastAsia" w:hAnsiTheme="minorEastAsia" w:eastAsiaTheme="minorEastAsia" w:cstheme="minorEastAsia"/>
          <w:sz w:val="24"/>
          <w:szCs w:val="24"/>
        </w:rPr>
        <w:t>文件</w:t>
      </w:r>
      <w:r>
        <w:rPr>
          <w:rFonts w:asciiTheme="minorEastAsia" w:hAnsiTheme="minorEastAsia" w:eastAsiaTheme="minorEastAsia" w:cstheme="minorEastAsia"/>
          <w:spacing w:val="-5"/>
          <w:sz w:val="24"/>
          <w:szCs w:val="24"/>
        </w:rPr>
        <w:t>的</w:t>
      </w:r>
      <w:r>
        <w:rPr>
          <w:rFonts w:asciiTheme="minorEastAsia" w:hAnsiTheme="minorEastAsia" w:eastAsiaTheme="minorEastAsia" w:cstheme="minorEastAsia"/>
          <w:sz w:val="24"/>
          <w:szCs w:val="24"/>
        </w:rPr>
        <w:t>实</w:t>
      </w:r>
      <w:r>
        <w:rPr>
          <w:rFonts w:asciiTheme="minorEastAsia" w:hAnsiTheme="minorEastAsia" w:eastAsiaTheme="minorEastAsia" w:cstheme="minorEastAsia"/>
          <w:spacing w:val="-5"/>
          <w:sz w:val="24"/>
          <w:szCs w:val="24"/>
        </w:rPr>
        <w:t>质</w:t>
      </w:r>
      <w:r>
        <w:rPr>
          <w:rFonts w:asciiTheme="minorEastAsia" w:hAnsiTheme="minorEastAsia" w:eastAsiaTheme="minorEastAsia" w:cstheme="minorEastAsia"/>
          <w:sz w:val="24"/>
          <w:szCs w:val="24"/>
        </w:rPr>
        <w:t>性</w:t>
      </w:r>
      <w:r>
        <w:rPr>
          <w:rFonts w:asciiTheme="minorEastAsia" w:hAnsiTheme="minorEastAsia" w:eastAsiaTheme="minorEastAsia" w:cstheme="minorEastAsia"/>
          <w:spacing w:val="-3"/>
          <w:sz w:val="24"/>
          <w:szCs w:val="24"/>
        </w:rPr>
        <w:t>要</w:t>
      </w:r>
      <w:r>
        <w:rPr>
          <w:rFonts w:asciiTheme="minorEastAsia" w:hAnsiTheme="minorEastAsia" w:eastAsiaTheme="minorEastAsia" w:cstheme="minorEastAsia"/>
          <w:spacing w:val="-2"/>
          <w:sz w:val="24"/>
          <w:szCs w:val="24"/>
        </w:rPr>
        <w:t>求</w:t>
      </w:r>
      <w:r>
        <w:rPr>
          <w:rFonts w:asciiTheme="minorEastAsia" w:hAnsiTheme="minorEastAsia" w:eastAsiaTheme="minorEastAsia" w:cstheme="minorEastAsia"/>
          <w:spacing w:val="-3"/>
          <w:sz w:val="24"/>
          <w:szCs w:val="24"/>
        </w:rPr>
        <w:t>和条</w:t>
      </w:r>
      <w:r>
        <w:rPr>
          <w:rFonts w:asciiTheme="minorEastAsia" w:hAnsiTheme="minorEastAsia" w:eastAsiaTheme="minorEastAsia" w:cstheme="minorEastAsia"/>
          <w:spacing w:val="-5"/>
          <w:sz w:val="24"/>
          <w:szCs w:val="24"/>
        </w:rPr>
        <w:t>件</w:t>
      </w:r>
      <w:r>
        <w:rPr>
          <w:rFonts w:asciiTheme="minorEastAsia" w:hAnsiTheme="minorEastAsia" w:eastAsiaTheme="minorEastAsia" w:cstheme="minorEastAsia"/>
          <w:sz w:val="24"/>
          <w:szCs w:val="24"/>
        </w:rPr>
        <w:t>作出</w:t>
      </w:r>
      <w:r>
        <w:rPr>
          <w:rFonts w:asciiTheme="minorEastAsia" w:hAnsiTheme="minorEastAsia" w:eastAsiaTheme="minorEastAsia" w:cstheme="minorEastAsia"/>
          <w:spacing w:val="-5"/>
          <w:sz w:val="24"/>
          <w:szCs w:val="24"/>
        </w:rPr>
        <w:t>响</w:t>
      </w:r>
      <w:r>
        <w:rPr>
          <w:rFonts w:asciiTheme="minorEastAsia" w:hAnsiTheme="minorEastAsia" w:eastAsiaTheme="minorEastAsia" w:cstheme="minorEastAsia"/>
          <w:sz w:val="24"/>
          <w:szCs w:val="24"/>
        </w:rPr>
        <w:t>应</w:t>
      </w:r>
      <w:r>
        <w:rPr>
          <w:rFonts w:asciiTheme="minorEastAsia" w:hAnsiTheme="minorEastAsia" w:eastAsiaTheme="minorEastAsia" w:cstheme="minorEastAsia"/>
          <w:spacing w:val="-44"/>
          <w:sz w:val="24"/>
          <w:szCs w:val="24"/>
        </w:rPr>
        <w:t>，</w:t>
      </w:r>
      <w:r>
        <w:rPr>
          <w:rFonts w:asciiTheme="minorEastAsia" w:hAnsiTheme="minorEastAsia" w:eastAsiaTheme="minorEastAsia" w:cstheme="minorEastAsia"/>
          <w:sz w:val="24"/>
          <w:szCs w:val="24"/>
        </w:rPr>
        <w:t>或</w:t>
      </w:r>
      <w:r>
        <w:rPr>
          <w:rFonts w:asciiTheme="minorEastAsia" w:hAnsiTheme="minorEastAsia" w:eastAsiaTheme="minorEastAsia" w:cstheme="minorEastAsia"/>
          <w:spacing w:val="-5"/>
          <w:sz w:val="24"/>
          <w:szCs w:val="24"/>
        </w:rPr>
        <w:t>者</w:t>
      </w:r>
      <w:r>
        <w:rPr>
          <w:rFonts w:asciiTheme="minorEastAsia" w:hAnsiTheme="minorEastAsia" w:eastAsiaTheme="minorEastAsia" w:cstheme="minorEastAsia"/>
          <w:sz w:val="24"/>
          <w:szCs w:val="24"/>
        </w:rPr>
        <w:t>对</w:t>
      </w:r>
      <w:r>
        <w:rPr>
          <w:rFonts w:asciiTheme="minorEastAsia" w:hAnsiTheme="minorEastAsia" w:eastAsiaTheme="minorEastAsia" w:cstheme="minorEastAsia"/>
          <w:spacing w:val="-5"/>
          <w:sz w:val="24"/>
          <w:szCs w:val="24"/>
        </w:rPr>
        <w:t>招</w:t>
      </w:r>
      <w:r>
        <w:rPr>
          <w:rFonts w:asciiTheme="minorEastAsia" w:hAnsiTheme="minorEastAsia" w:eastAsiaTheme="minorEastAsia" w:cstheme="minorEastAsia"/>
          <w:sz w:val="24"/>
          <w:szCs w:val="24"/>
        </w:rPr>
        <w:t>标</w:t>
      </w:r>
      <w:r>
        <w:rPr>
          <w:rFonts w:asciiTheme="minorEastAsia" w:hAnsiTheme="minorEastAsia" w:eastAsiaTheme="minorEastAsia" w:cstheme="minorEastAsia"/>
          <w:spacing w:val="-5"/>
          <w:sz w:val="24"/>
          <w:szCs w:val="24"/>
        </w:rPr>
        <w:t>文</w:t>
      </w:r>
      <w:r>
        <w:rPr>
          <w:rFonts w:asciiTheme="minorEastAsia" w:hAnsiTheme="minorEastAsia" w:eastAsiaTheme="minorEastAsia" w:cstheme="minorEastAsia"/>
          <w:sz w:val="24"/>
          <w:szCs w:val="24"/>
        </w:rPr>
        <w:t>件的</w:t>
      </w:r>
      <w:r>
        <w:rPr>
          <w:rFonts w:asciiTheme="minorEastAsia" w:hAnsiTheme="minorEastAsia" w:eastAsiaTheme="minorEastAsia" w:cstheme="minorEastAsia"/>
          <w:spacing w:val="-5"/>
          <w:sz w:val="24"/>
          <w:szCs w:val="24"/>
        </w:rPr>
        <w:t>偏</w:t>
      </w:r>
      <w:r>
        <w:rPr>
          <w:rFonts w:asciiTheme="minorEastAsia" w:hAnsiTheme="minorEastAsia" w:eastAsiaTheme="minorEastAsia" w:cstheme="minorEastAsia"/>
          <w:sz w:val="24"/>
          <w:szCs w:val="24"/>
        </w:rPr>
        <w:t>差</w:t>
      </w:r>
      <w:r>
        <w:rPr>
          <w:rFonts w:asciiTheme="minorEastAsia" w:hAnsiTheme="minorEastAsia" w:eastAsiaTheme="minorEastAsia" w:cstheme="minorEastAsia"/>
          <w:spacing w:val="-5"/>
          <w:sz w:val="24"/>
          <w:szCs w:val="24"/>
        </w:rPr>
        <w:t>超</w:t>
      </w:r>
      <w:r>
        <w:rPr>
          <w:rFonts w:asciiTheme="minorEastAsia" w:hAnsiTheme="minorEastAsia" w:eastAsiaTheme="minorEastAsia" w:cstheme="minorEastAsia"/>
          <w:sz w:val="24"/>
          <w:szCs w:val="24"/>
        </w:rPr>
        <w:t>出</w:t>
      </w:r>
      <w:r>
        <w:rPr>
          <w:rFonts w:asciiTheme="minorEastAsia" w:hAnsiTheme="minorEastAsia" w:eastAsiaTheme="minorEastAsia" w:cstheme="minorEastAsia"/>
          <w:spacing w:val="-3"/>
          <w:sz w:val="24"/>
          <w:szCs w:val="24"/>
        </w:rPr>
        <w:t>招</w:t>
      </w:r>
      <w:r>
        <w:rPr>
          <w:rFonts w:asciiTheme="minorEastAsia" w:hAnsiTheme="minorEastAsia" w:eastAsiaTheme="minorEastAsia" w:cstheme="minorEastAsia"/>
          <w:sz w:val="24"/>
          <w:szCs w:val="24"/>
        </w:rPr>
        <w:t>标</w:t>
      </w:r>
      <w:r>
        <w:rPr>
          <w:rFonts w:asciiTheme="minorEastAsia" w:hAnsiTheme="minorEastAsia" w:eastAsiaTheme="minorEastAsia" w:cstheme="minorEastAsia"/>
          <w:spacing w:val="-3"/>
          <w:sz w:val="24"/>
          <w:szCs w:val="24"/>
        </w:rPr>
        <w:t>文</w:t>
      </w:r>
      <w:r>
        <w:rPr>
          <w:rFonts w:asciiTheme="minorEastAsia" w:hAnsiTheme="minorEastAsia" w:eastAsiaTheme="minorEastAsia" w:cstheme="minorEastAsia"/>
          <w:sz w:val="24"/>
          <w:szCs w:val="24"/>
        </w:rPr>
        <w:t>件</w:t>
      </w:r>
      <w:r>
        <w:rPr>
          <w:rFonts w:asciiTheme="minorEastAsia" w:hAnsiTheme="minorEastAsia" w:eastAsiaTheme="minorEastAsia" w:cstheme="minorEastAsia"/>
          <w:spacing w:val="-3"/>
          <w:sz w:val="24"/>
          <w:szCs w:val="24"/>
        </w:rPr>
        <w:t>规定的偏差范围或最高项数；</w:t>
      </w:r>
    </w:p>
    <w:p>
      <w:pPr>
        <w:pStyle w:val="14"/>
        <w:kinsoku w:val="0"/>
        <w:overflowPunct w:val="0"/>
        <w:spacing w:line="360" w:lineRule="auto"/>
        <w:ind w:left="59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pacing w:val="-3"/>
          <w:sz w:val="24"/>
          <w:szCs w:val="24"/>
        </w:rPr>
        <w:t>（2）有串通投标、弄虚作假、行贿等违法行为；</w:t>
      </w:r>
    </w:p>
    <w:p>
      <w:pPr>
        <w:pStyle w:val="14"/>
        <w:kinsoku w:val="0"/>
        <w:overflowPunct w:val="0"/>
        <w:spacing w:line="360" w:lineRule="auto"/>
        <w:ind w:left="59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3.1.2投标文件报价出现前后不一致的，除招标文件另有规定外，按照下列规定修正：</w:t>
      </w:r>
    </w:p>
    <w:p>
      <w:pPr>
        <w:pStyle w:val="14"/>
        <w:kinsoku w:val="0"/>
        <w:overflowPunct w:val="0"/>
        <w:spacing w:line="360" w:lineRule="auto"/>
        <w:ind w:left="179" w:firstLine="420"/>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pacing w:val="-2"/>
          <w:sz w:val="24"/>
          <w:szCs w:val="24"/>
        </w:rPr>
        <w:t>（1）投标文件中开标一览表（报价表）内容与投标文件中相应内容不一致的，以开标一览表（报</w:t>
      </w:r>
      <w:r>
        <w:rPr>
          <w:rFonts w:asciiTheme="minorEastAsia" w:hAnsiTheme="minorEastAsia" w:eastAsiaTheme="minorEastAsia" w:cstheme="minorEastAsia"/>
          <w:spacing w:val="-1"/>
          <w:sz w:val="24"/>
          <w:szCs w:val="24"/>
        </w:rPr>
        <w:t>价表）为准；</w:t>
      </w:r>
    </w:p>
    <w:p>
      <w:pPr>
        <w:pStyle w:val="14"/>
        <w:kinsoku w:val="0"/>
        <w:overflowPunct w:val="0"/>
        <w:spacing w:line="360" w:lineRule="auto"/>
        <w:ind w:left="59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（2）大写金额和小写金额不一致的，以大写金额为准；</w:t>
      </w:r>
    </w:p>
    <w:p>
      <w:pPr>
        <w:pStyle w:val="14"/>
        <w:kinsoku w:val="0"/>
        <w:overflowPunct w:val="0"/>
        <w:spacing w:line="360" w:lineRule="auto"/>
        <w:ind w:left="599" w:right="-94" w:rightChars="-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（3）单价金额小数点或者百分比有明显错位的，以开标一览表的总价为准，并修改单价；</w:t>
      </w:r>
    </w:p>
    <w:p>
      <w:pPr>
        <w:pStyle w:val="14"/>
        <w:kinsoku w:val="0"/>
        <w:overflowPunct w:val="0"/>
        <w:spacing w:line="360" w:lineRule="auto"/>
        <w:ind w:left="0" w:firstLine="708" w:firstLineChars="30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4）总价金额与按单价汇总金额不一致的，以单价金额计算结果为准。同时出现两种以上不一致的，按照前款规定的顺序修正。修正后的报价按照本节第3.3款的规定经投标人确认后产生约束力，投标人不确认的，其投标无效。</w:t>
      </w:r>
    </w:p>
    <w:p>
      <w:pPr>
        <w:pStyle w:val="14"/>
        <w:kinsoku w:val="0"/>
        <w:overflowPunct w:val="0"/>
        <w:spacing w:line="360" w:lineRule="auto"/>
        <w:ind w:right="-94" w:firstLine="468" w:firstLineChars="200"/>
        <w:jc w:val="both"/>
        <w:rPr>
          <w:rFonts w:hint="default" w:asciiTheme="minorEastAsia" w:hAnsiTheme="minorEastAsia" w:eastAsiaTheme="minorEastAsia" w:cstheme="minorEastAsia"/>
          <w:spacing w:val="61"/>
          <w:sz w:val="24"/>
          <w:szCs w:val="24"/>
        </w:rPr>
      </w:pPr>
      <w:r>
        <w:rPr>
          <w:rFonts w:asciiTheme="minorEastAsia" w:hAnsiTheme="minorEastAsia" w:eastAsiaTheme="minorEastAsia" w:cstheme="minorEastAsia"/>
          <w:spacing w:val="-3"/>
          <w:sz w:val="24"/>
          <w:szCs w:val="24"/>
        </w:rPr>
        <w:t>（5）如果分项报价中存在缺漏项，则视为缺漏项价格已包含在其他分项报价之中。</w:t>
      </w:r>
    </w:p>
    <w:p>
      <w:pPr>
        <w:pStyle w:val="14"/>
        <w:kinsoku w:val="0"/>
        <w:overflowPunct w:val="0"/>
        <w:spacing w:line="360" w:lineRule="auto"/>
        <w:ind w:left="0" w:right="-94" w:firstLine="566" w:firstLineChars="24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3.1.3评标委员会按本节第</w:t>
      </w:r>
      <w:r>
        <w:rPr>
          <w:rFonts w:asciiTheme="minorEastAsia" w:hAnsiTheme="minorEastAsia" w:eastAsiaTheme="minorEastAsia" w:cstheme="minorEastAsia"/>
          <w:sz w:val="24"/>
          <w:szCs w:val="24"/>
        </w:rPr>
        <w:t xml:space="preserve"> 2.2</w:t>
      </w:r>
      <w:r>
        <w:rPr>
          <w:rFonts w:asciiTheme="minorEastAsia" w:hAnsiTheme="minorEastAsia" w:eastAsiaTheme="minorEastAsia" w:cstheme="minorEastAsia"/>
          <w:spacing w:val="-2"/>
          <w:sz w:val="24"/>
          <w:szCs w:val="24"/>
        </w:rPr>
        <w:t xml:space="preserve"> 款规定的小微企业、监狱企业、残疾人福利性单位产品价格扣除办法进行必要的价格扣除，用扣除后的价格参与投标报价的评审。</w:t>
      </w:r>
    </w:p>
    <w:p>
      <w:pPr>
        <w:pStyle w:val="14"/>
        <w:kinsoku w:val="0"/>
        <w:overflowPunct w:val="0"/>
        <w:spacing w:line="360" w:lineRule="auto"/>
        <w:ind w:left="539"/>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3.1.4有下列情形之一的，视为投标人串通投标，其投标无效：</w:t>
      </w:r>
    </w:p>
    <w:p>
      <w:pPr>
        <w:pStyle w:val="14"/>
        <w:kinsoku w:val="0"/>
        <w:overflowPunct w:val="0"/>
        <w:spacing w:line="360" w:lineRule="auto"/>
        <w:ind w:left="75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（1）不同投标人的投标文件由同一单位或者个人编制；</w:t>
      </w:r>
    </w:p>
    <w:p>
      <w:pPr>
        <w:pStyle w:val="14"/>
        <w:kinsoku w:val="0"/>
        <w:overflowPunct w:val="0"/>
        <w:spacing w:line="360" w:lineRule="auto"/>
        <w:ind w:left="75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（2）不同投标人委托同一单位或者个人办理投标事宜；</w:t>
      </w:r>
    </w:p>
    <w:p>
      <w:pPr>
        <w:pStyle w:val="14"/>
        <w:kinsoku w:val="0"/>
        <w:overflowPunct w:val="0"/>
        <w:spacing w:line="360" w:lineRule="auto"/>
        <w:ind w:left="75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（3）不同投标人的投标文件载明的项目管理成员或者联系人员为同一人；</w:t>
      </w:r>
    </w:p>
    <w:p>
      <w:pPr>
        <w:pStyle w:val="14"/>
        <w:kinsoku w:val="0"/>
        <w:overflowPunct w:val="0"/>
        <w:spacing w:line="360" w:lineRule="auto"/>
        <w:ind w:left="75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（4）不同投标人的投标文件异常一致或者投标报价呈规律性差异；</w:t>
      </w:r>
    </w:p>
    <w:p>
      <w:pPr>
        <w:pStyle w:val="14"/>
        <w:kinsoku w:val="0"/>
        <w:overflowPunct w:val="0"/>
        <w:spacing w:line="360" w:lineRule="auto"/>
        <w:ind w:left="75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（5）不同投标人的投标文件相互混装；</w:t>
      </w:r>
    </w:p>
    <w:p>
      <w:pPr>
        <w:pStyle w:val="14"/>
        <w:kinsoku w:val="0"/>
        <w:overflowPunct w:val="0"/>
        <w:spacing w:line="360" w:lineRule="auto"/>
        <w:ind w:left="75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（6）不同投标人的投标保证金从同一单位或者个人的账户转出。</w:t>
      </w:r>
    </w:p>
    <w:p>
      <w:pPr>
        <w:pStyle w:val="8"/>
        <w:kinsoku w:val="0"/>
        <w:overflowPunct w:val="0"/>
        <w:spacing w:line="360" w:lineRule="auto"/>
        <w:ind w:left="561"/>
        <w:rPr>
          <w:rFonts w:hint="default" w:asciiTheme="minorEastAsia" w:hAnsiTheme="minorEastAsia" w:eastAsiaTheme="minorEastAsia" w:cstheme="minorEastAsia"/>
          <w:b/>
          <w:bCs/>
          <w:spacing w:val="-1"/>
          <w:sz w:val="24"/>
          <w:szCs w:val="24"/>
        </w:rPr>
      </w:pPr>
      <w:r>
        <w:rPr>
          <w:rFonts w:asciiTheme="minorEastAsia" w:hAnsiTheme="minorEastAsia" w:eastAsiaTheme="minorEastAsia" w:cstheme="minorEastAsia"/>
          <w:b/>
          <w:bCs/>
          <w:spacing w:val="-1"/>
          <w:sz w:val="24"/>
          <w:szCs w:val="24"/>
        </w:rPr>
        <w:t>3.2详细评审</w:t>
      </w:r>
    </w:p>
    <w:p>
      <w:pPr>
        <w:pStyle w:val="14"/>
        <w:kinsoku w:val="0"/>
        <w:overflowPunct w:val="0"/>
        <w:spacing w:line="360" w:lineRule="auto"/>
        <w:ind w:right="99" w:firstLine="525"/>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3.2.1</w:t>
      </w:r>
      <w:r>
        <w:rPr>
          <w:rFonts w:asciiTheme="minorEastAsia" w:hAnsiTheme="minorEastAsia" w:eastAsiaTheme="minorEastAsia" w:cstheme="minorEastAsia"/>
          <w:spacing w:val="-2"/>
          <w:sz w:val="24"/>
          <w:szCs w:val="24"/>
        </w:rPr>
        <w:t xml:space="preserve"> 评标委员会各成员应当独立对每个投标人的投标文件进行评价，按本节第</w:t>
      </w:r>
      <w:r>
        <w:rPr>
          <w:rFonts w:asciiTheme="minorEastAsia" w:hAnsiTheme="minorEastAsia" w:eastAsiaTheme="minorEastAsia" w:cstheme="minorEastAsia"/>
          <w:spacing w:val="-1"/>
          <w:sz w:val="24"/>
          <w:szCs w:val="24"/>
        </w:rPr>
        <w:t>2.1</w:t>
      </w:r>
      <w:r>
        <w:rPr>
          <w:rFonts w:asciiTheme="minorEastAsia" w:hAnsiTheme="minorEastAsia" w:eastAsiaTheme="minorEastAsia" w:cstheme="minorEastAsia"/>
          <w:spacing w:val="-2"/>
          <w:sz w:val="24"/>
          <w:szCs w:val="24"/>
        </w:rPr>
        <w:t xml:space="preserve"> 款规定的评标分值构成与评分标准进行打分，并汇总每个投标人的得分。</w:t>
      </w:r>
    </w:p>
    <w:p>
      <w:pPr>
        <w:pStyle w:val="14"/>
        <w:kinsoku w:val="0"/>
        <w:overflowPunct w:val="0"/>
        <w:spacing w:line="360" w:lineRule="auto"/>
        <w:ind w:left="539"/>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3.2.2</w:t>
      </w:r>
      <w:r>
        <w:rPr>
          <w:rFonts w:asciiTheme="minorEastAsia" w:hAnsiTheme="minorEastAsia" w:eastAsiaTheme="minorEastAsia" w:cstheme="minorEastAsia"/>
          <w:spacing w:val="-3"/>
          <w:sz w:val="24"/>
          <w:szCs w:val="24"/>
        </w:rPr>
        <w:t>评分分值计算保留小数点后两位，小数点后第三位“四舍五入”。</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3.2.3</w:t>
      </w:r>
      <w:r>
        <w:rPr>
          <w:rFonts w:asciiTheme="minorEastAsia" w:hAnsiTheme="minorEastAsia" w:eastAsiaTheme="minorEastAsia" w:cstheme="minorEastAsia"/>
          <w:spacing w:val="-2"/>
          <w:sz w:val="24"/>
          <w:szCs w:val="24"/>
        </w:rPr>
        <w:t>投标人最终得分为所有评委打分的算术平均值。</w:t>
      </w:r>
    </w:p>
    <w:p>
      <w:pPr>
        <w:pStyle w:val="14"/>
        <w:kinsoku w:val="0"/>
        <w:overflowPunct w:val="0"/>
        <w:spacing w:line="360" w:lineRule="auto"/>
        <w:ind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 xml:space="preserve">3.2.4 </w:t>
      </w:r>
      <w:r>
        <w:rPr>
          <w:rFonts w:asciiTheme="minorEastAsia" w:hAnsiTheme="minorEastAsia" w:eastAsiaTheme="minorEastAsia" w:cstheme="minorEastAsia"/>
          <w:spacing w:val="1"/>
          <w:sz w:val="24"/>
          <w:szCs w:val="24"/>
        </w:rPr>
        <w:t>评标委员会认为投标人的报价明显低于其他通过初步评审投标人的报价，有可能影响产品质</w:t>
      </w:r>
      <w:r>
        <w:rPr>
          <w:rFonts w:asciiTheme="minorEastAsia" w:hAnsiTheme="minorEastAsia" w:eastAsiaTheme="minorEastAsia" w:cstheme="minorEastAsia"/>
          <w:sz w:val="24"/>
          <w:szCs w:val="24"/>
        </w:rPr>
        <w:t>量或者不能诚信履约的，应当要求其在评标现场合理的时间内提供书面说明，必要时提交相关证明材料；</w:t>
      </w:r>
      <w:r>
        <w:rPr>
          <w:rFonts w:asciiTheme="minorEastAsia" w:hAnsiTheme="minorEastAsia" w:eastAsiaTheme="minorEastAsia" w:cstheme="minorEastAsia"/>
          <w:spacing w:val="-2"/>
          <w:sz w:val="24"/>
          <w:szCs w:val="24"/>
        </w:rPr>
        <w:t>投标人不能证明其报价合理性的，评标委员会应当将其作为无效投标处理。</w:t>
      </w:r>
    </w:p>
    <w:p>
      <w:pPr>
        <w:pStyle w:val="8"/>
        <w:kinsoku w:val="0"/>
        <w:overflowPunct w:val="0"/>
        <w:spacing w:line="360" w:lineRule="auto"/>
        <w:ind w:left="539"/>
        <w:rPr>
          <w:rFonts w:hint="default" w:asciiTheme="minorEastAsia" w:hAnsiTheme="minorEastAsia" w:eastAsiaTheme="minorEastAsia" w:cstheme="minorEastAsia"/>
          <w:b/>
          <w:bCs/>
          <w:sz w:val="24"/>
          <w:szCs w:val="24"/>
        </w:rPr>
      </w:pPr>
      <w:r>
        <w:rPr>
          <w:rFonts w:asciiTheme="minorEastAsia" w:hAnsiTheme="minorEastAsia" w:eastAsiaTheme="minorEastAsia" w:cstheme="minorEastAsia"/>
          <w:b/>
          <w:bCs/>
          <w:spacing w:val="-1"/>
          <w:sz w:val="24"/>
          <w:szCs w:val="24"/>
        </w:rPr>
        <w:t>3.3</w:t>
      </w:r>
      <w:r>
        <w:rPr>
          <w:rFonts w:asciiTheme="minorEastAsia" w:hAnsiTheme="minorEastAsia" w:eastAsiaTheme="minorEastAsia" w:cstheme="minorEastAsia"/>
          <w:b/>
          <w:bCs/>
          <w:spacing w:val="-2"/>
          <w:sz w:val="24"/>
          <w:szCs w:val="24"/>
        </w:rPr>
        <w:t>投标文件的澄清</w:t>
      </w:r>
    </w:p>
    <w:p>
      <w:pPr>
        <w:pStyle w:val="14"/>
        <w:kinsoku w:val="0"/>
        <w:overflowPunct w:val="0"/>
        <w:spacing w:line="360" w:lineRule="auto"/>
        <w:ind w:right="99" w:firstLine="42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3.3.1对于投标文件中含义不明确、同类问题表述不一致或者有明显文字和计算错误的内容，评标委员会应当以书面形式要求投标人作出必要的澄清、说明或者补正。</w:t>
      </w:r>
    </w:p>
    <w:p>
      <w:pPr>
        <w:pStyle w:val="14"/>
        <w:kinsoku w:val="0"/>
        <w:overflowPunct w:val="0"/>
        <w:spacing w:line="360" w:lineRule="auto"/>
        <w:ind w:right="99" w:firstLine="420"/>
        <w:rPr>
          <w:rFonts w:hint="default" w:asciiTheme="minorEastAsia" w:hAnsiTheme="minorEastAsia" w:eastAsiaTheme="minorEastAsia" w:cstheme="minorEastAsia"/>
          <w:spacing w:val="-1"/>
          <w:sz w:val="24"/>
          <w:szCs w:val="24"/>
        </w:rPr>
      </w:pPr>
      <w:r>
        <w:rPr>
          <w:rFonts w:asciiTheme="minorEastAsia" w:hAnsiTheme="minorEastAsia" w:eastAsiaTheme="minorEastAsia" w:cstheme="minorEastAsia"/>
          <w:sz w:val="24"/>
          <w:szCs w:val="24"/>
        </w:rPr>
        <w:t>3.3.2</w:t>
      </w:r>
      <w:r>
        <w:rPr>
          <w:rFonts w:asciiTheme="minorEastAsia" w:hAnsiTheme="minorEastAsia" w:eastAsiaTheme="minorEastAsia" w:cstheme="minorEastAsia"/>
          <w:spacing w:val="-2"/>
          <w:sz w:val="24"/>
          <w:szCs w:val="24"/>
        </w:rPr>
        <w:t xml:space="preserve"> 投标人的澄清、说明或者补正应当采用书面形式，并加盖公章，或者由法定代表人或其授权</w:t>
      </w:r>
      <w:r>
        <w:rPr>
          <w:rFonts w:asciiTheme="minorEastAsia" w:hAnsiTheme="minorEastAsia" w:eastAsiaTheme="minorEastAsia" w:cstheme="minorEastAsia"/>
          <w:spacing w:val="-1"/>
          <w:sz w:val="24"/>
          <w:szCs w:val="24"/>
        </w:rPr>
        <w:t>的代表签字。</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3.3.3投标人的澄清、说明或者补正不得超出投标文件的范围或者改变投标文件的实质性内容。</w:t>
      </w:r>
    </w:p>
    <w:p>
      <w:pPr>
        <w:pStyle w:val="14"/>
        <w:kinsoku w:val="0"/>
        <w:overflowPunct w:val="0"/>
        <w:spacing w:line="360" w:lineRule="auto"/>
        <w:ind w:left="53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3.3.4评标委员会不接受投标人主动提出的澄清、说明或补正。</w:t>
      </w:r>
    </w:p>
    <w:p>
      <w:pPr>
        <w:pStyle w:val="8"/>
        <w:tabs>
          <w:tab w:val="left" w:pos="1247"/>
        </w:tabs>
        <w:kinsoku w:val="0"/>
        <w:overflowPunct w:val="0"/>
        <w:spacing w:line="360" w:lineRule="auto"/>
        <w:ind w:left="539"/>
        <w:rPr>
          <w:rFonts w:hint="default" w:asciiTheme="minorEastAsia" w:hAnsiTheme="minorEastAsia" w:eastAsiaTheme="minorEastAsia" w:cstheme="minorEastAsia"/>
          <w:b/>
          <w:bCs/>
          <w:spacing w:val="-1"/>
          <w:sz w:val="24"/>
          <w:szCs w:val="24"/>
        </w:rPr>
      </w:pPr>
      <w:r>
        <w:rPr>
          <w:rFonts w:asciiTheme="minorEastAsia" w:hAnsiTheme="minorEastAsia" w:eastAsiaTheme="minorEastAsia" w:cstheme="minorEastAsia"/>
          <w:b/>
          <w:bCs/>
          <w:sz w:val="24"/>
          <w:szCs w:val="24"/>
        </w:rPr>
        <w:t>3.4</w:t>
      </w:r>
      <w:r>
        <w:rPr>
          <w:rFonts w:asciiTheme="minorEastAsia" w:hAnsiTheme="minorEastAsia" w:eastAsiaTheme="minorEastAsia" w:cstheme="minorEastAsia"/>
          <w:b/>
          <w:bCs/>
          <w:spacing w:val="-1"/>
          <w:sz w:val="24"/>
          <w:szCs w:val="24"/>
        </w:rPr>
        <w:t>相同品牌产品投标的规定</w:t>
      </w:r>
    </w:p>
    <w:p>
      <w:pPr>
        <w:pStyle w:val="14"/>
        <w:kinsoku w:val="0"/>
        <w:overflowPunct w:val="0"/>
        <w:spacing w:line="360" w:lineRule="auto"/>
        <w:ind w:right="99"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3.4.1采用最低评标价法的采购项目，提供相同品牌产品的不同投标人参加同一合同项下投标的，以其中通过资格审查、形式评审、响应评审且报价最低的参加评标；报价相同的，由采购人或者采购人委托评标委员会按照招标文件规定的方式确定一个参加评标的投标人，招标文件未规定的采取随机抽取方式确定，其他投标无效。</w:t>
      </w:r>
    </w:p>
    <w:p>
      <w:pPr>
        <w:pStyle w:val="14"/>
        <w:kinsoku w:val="0"/>
        <w:overflowPunct w:val="0"/>
        <w:spacing w:line="360" w:lineRule="auto"/>
        <w:ind w:right="99" w:firstLine="420"/>
        <w:jc w:val="both"/>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2"/>
          <w:sz w:val="24"/>
          <w:szCs w:val="24"/>
        </w:rPr>
        <w:t>3.4.2使用综合评分法的采购项目，提供相同品牌产品且通过资格审查、形式评审、响应评审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w:t>
      </w:r>
      <w:r>
        <w:rPr>
          <w:rFonts w:asciiTheme="minorEastAsia" w:hAnsiTheme="minorEastAsia" w:eastAsiaTheme="minorEastAsia" w:cstheme="minorEastAsia"/>
          <w:sz w:val="24"/>
          <w:szCs w:val="24"/>
        </w:rPr>
        <w:t>人。</w:t>
      </w:r>
    </w:p>
    <w:p>
      <w:pPr>
        <w:pStyle w:val="14"/>
        <w:kinsoku w:val="0"/>
        <w:overflowPunct w:val="0"/>
        <w:spacing w:line="360" w:lineRule="auto"/>
        <w:ind w:right="99" w:firstLine="420"/>
        <w:jc w:val="both"/>
        <w:rPr>
          <w:rFonts w:hint="default" w:asciiTheme="minorEastAsia" w:hAnsiTheme="minorEastAsia" w:eastAsiaTheme="minorEastAsia" w:cstheme="minorEastAsia"/>
          <w:sz w:val="24"/>
          <w:szCs w:val="24"/>
        </w:rPr>
      </w:pPr>
      <w:r>
        <w:rPr>
          <w:rFonts w:asciiTheme="minorEastAsia" w:hAnsiTheme="minorEastAsia" w:eastAsiaTheme="minorEastAsia" w:cstheme="minorEastAsia"/>
          <w:spacing w:val="-2"/>
          <w:sz w:val="24"/>
          <w:szCs w:val="24"/>
        </w:rPr>
        <w:t>3.4.3非单一产品采购项目，采购人应当根据采购项目技术构成、产品价格比重等合理确定核心产品，并在招标文件中载明。多家投标人提供的核心产品品牌相同的，按前两款规定处理。</w:t>
      </w:r>
    </w:p>
    <w:p>
      <w:pPr>
        <w:pStyle w:val="8"/>
        <w:kinsoku w:val="0"/>
        <w:overflowPunct w:val="0"/>
        <w:spacing w:line="360" w:lineRule="auto"/>
        <w:jc w:val="both"/>
        <w:rPr>
          <w:rFonts w:hint="default" w:asciiTheme="minorEastAsia" w:hAnsiTheme="minorEastAsia" w:eastAsiaTheme="minorEastAsia" w:cstheme="minorEastAsia"/>
          <w:b/>
          <w:bCs/>
          <w:spacing w:val="-1"/>
          <w:sz w:val="24"/>
          <w:szCs w:val="24"/>
        </w:rPr>
      </w:pPr>
      <w:r>
        <w:rPr>
          <w:rFonts w:asciiTheme="minorEastAsia" w:hAnsiTheme="minorEastAsia" w:eastAsiaTheme="minorEastAsia" w:cstheme="minorEastAsia"/>
          <w:b/>
          <w:bCs/>
          <w:spacing w:val="-1"/>
          <w:sz w:val="24"/>
          <w:szCs w:val="24"/>
        </w:rPr>
        <w:t>3.5评标结果</w:t>
      </w:r>
    </w:p>
    <w:p>
      <w:pPr>
        <w:pStyle w:val="14"/>
        <w:kinsoku w:val="0"/>
        <w:overflowPunct w:val="0"/>
        <w:spacing w:line="360" w:lineRule="auto"/>
        <w:ind w:left="179" w:right="309" w:firstLine="420"/>
        <w:jc w:val="both"/>
        <w:rPr>
          <w:rFonts w:hint="default" w:asciiTheme="minorEastAsia" w:hAnsiTheme="minorEastAsia" w:eastAsiaTheme="minorEastAsia" w:cstheme="minorEastAsia"/>
          <w:spacing w:val="-3"/>
          <w:sz w:val="24"/>
          <w:szCs w:val="24"/>
        </w:rPr>
      </w:pPr>
      <w:r>
        <w:rPr>
          <w:rFonts w:asciiTheme="minorEastAsia" w:hAnsiTheme="minorEastAsia" w:eastAsiaTheme="minorEastAsia" w:cstheme="minorEastAsia"/>
          <w:sz w:val="24"/>
          <w:szCs w:val="24"/>
        </w:rPr>
        <w:t>3</w:t>
      </w:r>
      <w:r>
        <w:rPr>
          <w:rFonts w:asciiTheme="minorEastAsia" w:hAnsiTheme="minorEastAsia" w:eastAsiaTheme="minorEastAsia" w:cstheme="minorEastAsia"/>
          <w:spacing w:val="-1"/>
          <w:sz w:val="24"/>
          <w:szCs w:val="24"/>
        </w:rPr>
        <w:t>.</w:t>
      </w:r>
      <w:r>
        <w:rPr>
          <w:rFonts w:asciiTheme="minorEastAsia" w:hAnsiTheme="minorEastAsia" w:eastAsiaTheme="minorEastAsia" w:cstheme="minorEastAsia"/>
          <w:sz w:val="24"/>
          <w:szCs w:val="24"/>
        </w:rPr>
        <w:t>5.1 除第二章“投标人须知</w:t>
      </w:r>
      <w:r>
        <w:rPr>
          <w:rFonts w:asciiTheme="minorEastAsia" w:hAnsiTheme="minorEastAsia" w:eastAsiaTheme="minorEastAsia" w:cstheme="minorEastAsia"/>
          <w:spacing w:val="2"/>
          <w:sz w:val="24"/>
          <w:szCs w:val="24"/>
        </w:rPr>
        <w:t>”</w:t>
      </w:r>
      <w:r>
        <w:rPr>
          <w:rFonts w:asciiTheme="minorEastAsia" w:hAnsiTheme="minorEastAsia" w:eastAsiaTheme="minorEastAsia" w:cstheme="minorEastAsia"/>
          <w:spacing w:val="-3"/>
          <w:sz w:val="24"/>
          <w:szCs w:val="24"/>
        </w:rPr>
        <w:t>前</w:t>
      </w:r>
      <w:r>
        <w:rPr>
          <w:rFonts w:asciiTheme="minorEastAsia" w:hAnsiTheme="minorEastAsia" w:eastAsiaTheme="minorEastAsia" w:cstheme="minorEastAsia"/>
          <w:spacing w:val="2"/>
          <w:sz w:val="24"/>
          <w:szCs w:val="24"/>
        </w:rPr>
        <w:t>附</w:t>
      </w:r>
      <w:r>
        <w:rPr>
          <w:rFonts w:asciiTheme="minorEastAsia" w:hAnsiTheme="minorEastAsia" w:eastAsiaTheme="minorEastAsia" w:cstheme="minorEastAsia"/>
          <w:spacing w:val="-3"/>
          <w:sz w:val="24"/>
          <w:szCs w:val="24"/>
        </w:rPr>
        <w:t>表</w:t>
      </w:r>
      <w:r>
        <w:rPr>
          <w:rFonts w:asciiTheme="minorEastAsia" w:hAnsiTheme="minorEastAsia" w:eastAsiaTheme="minorEastAsia" w:cstheme="minorEastAsia"/>
          <w:spacing w:val="2"/>
          <w:sz w:val="24"/>
          <w:szCs w:val="24"/>
        </w:rPr>
        <w:t>授</w:t>
      </w:r>
      <w:r>
        <w:rPr>
          <w:rFonts w:asciiTheme="minorEastAsia" w:hAnsiTheme="minorEastAsia" w:eastAsiaTheme="minorEastAsia" w:cstheme="minorEastAsia"/>
          <w:spacing w:val="-2"/>
          <w:sz w:val="24"/>
          <w:szCs w:val="24"/>
        </w:rPr>
        <w:t>权</w:t>
      </w:r>
      <w:r>
        <w:rPr>
          <w:rFonts w:asciiTheme="minorEastAsia" w:hAnsiTheme="minorEastAsia" w:eastAsiaTheme="minorEastAsia" w:cstheme="minorEastAsia"/>
          <w:spacing w:val="2"/>
          <w:sz w:val="24"/>
          <w:szCs w:val="24"/>
        </w:rPr>
        <w:t>直</w:t>
      </w:r>
      <w:r>
        <w:rPr>
          <w:rFonts w:asciiTheme="minorEastAsia" w:hAnsiTheme="minorEastAsia" w:eastAsiaTheme="minorEastAsia" w:cstheme="minorEastAsia"/>
          <w:spacing w:val="-3"/>
          <w:sz w:val="24"/>
          <w:szCs w:val="24"/>
        </w:rPr>
        <w:t>接</w:t>
      </w:r>
      <w:r>
        <w:rPr>
          <w:rFonts w:asciiTheme="minorEastAsia" w:hAnsiTheme="minorEastAsia" w:eastAsiaTheme="minorEastAsia" w:cstheme="minorEastAsia"/>
          <w:sz w:val="24"/>
          <w:szCs w:val="24"/>
        </w:rPr>
        <w:t>确定</w:t>
      </w:r>
      <w:r>
        <w:rPr>
          <w:rFonts w:asciiTheme="minorEastAsia" w:hAnsiTheme="minorEastAsia" w:eastAsiaTheme="minorEastAsia" w:cstheme="minorEastAsia"/>
          <w:spacing w:val="-3"/>
          <w:sz w:val="24"/>
          <w:szCs w:val="24"/>
        </w:rPr>
        <w:t>中</w:t>
      </w:r>
      <w:r>
        <w:rPr>
          <w:rFonts w:asciiTheme="minorEastAsia" w:hAnsiTheme="minorEastAsia" w:eastAsiaTheme="minorEastAsia" w:cstheme="minorEastAsia"/>
          <w:spacing w:val="2"/>
          <w:sz w:val="24"/>
          <w:szCs w:val="24"/>
        </w:rPr>
        <w:t>标</w:t>
      </w:r>
      <w:r>
        <w:rPr>
          <w:rFonts w:asciiTheme="minorEastAsia" w:hAnsiTheme="minorEastAsia" w:eastAsiaTheme="minorEastAsia" w:cstheme="minorEastAsia"/>
          <w:sz w:val="24"/>
          <w:szCs w:val="24"/>
        </w:rPr>
        <w:t>人外</w:t>
      </w:r>
      <w:r>
        <w:rPr>
          <w:rFonts w:asciiTheme="minorEastAsia" w:hAnsiTheme="minorEastAsia" w:eastAsiaTheme="minorEastAsia" w:cstheme="minorEastAsia"/>
          <w:spacing w:val="-53"/>
          <w:sz w:val="24"/>
          <w:szCs w:val="24"/>
        </w:rPr>
        <w:t>，</w:t>
      </w:r>
      <w:r>
        <w:rPr>
          <w:rFonts w:asciiTheme="minorEastAsia" w:hAnsiTheme="minorEastAsia" w:eastAsiaTheme="minorEastAsia" w:cstheme="minorEastAsia"/>
          <w:spacing w:val="2"/>
          <w:sz w:val="24"/>
          <w:szCs w:val="24"/>
        </w:rPr>
        <w:t>评</w:t>
      </w:r>
      <w:r>
        <w:rPr>
          <w:rFonts w:asciiTheme="minorEastAsia" w:hAnsiTheme="minorEastAsia" w:eastAsiaTheme="minorEastAsia" w:cstheme="minorEastAsia"/>
          <w:spacing w:val="-2"/>
          <w:sz w:val="24"/>
          <w:szCs w:val="24"/>
        </w:rPr>
        <w:t>标</w:t>
      </w:r>
      <w:r>
        <w:rPr>
          <w:rFonts w:asciiTheme="minorEastAsia" w:hAnsiTheme="minorEastAsia" w:eastAsiaTheme="minorEastAsia" w:cstheme="minorEastAsia"/>
          <w:spacing w:val="2"/>
          <w:sz w:val="24"/>
          <w:szCs w:val="24"/>
        </w:rPr>
        <w:t>委</w:t>
      </w:r>
      <w:r>
        <w:rPr>
          <w:rFonts w:asciiTheme="minorEastAsia" w:hAnsiTheme="minorEastAsia" w:eastAsiaTheme="minorEastAsia" w:cstheme="minorEastAsia"/>
          <w:spacing w:val="-3"/>
          <w:sz w:val="24"/>
          <w:szCs w:val="24"/>
        </w:rPr>
        <w:t>员</w:t>
      </w:r>
      <w:r>
        <w:rPr>
          <w:rFonts w:asciiTheme="minorEastAsia" w:hAnsiTheme="minorEastAsia" w:eastAsiaTheme="minorEastAsia" w:cstheme="minorEastAsia"/>
          <w:sz w:val="24"/>
          <w:szCs w:val="24"/>
        </w:rPr>
        <w:t>会按</w:t>
      </w:r>
      <w:r>
        <w:rPr>
          <w:rFonts w:asciiTheme="minorEastAsia" w:hAnsiTheme="minorEastAsia" w:eastAsiaTheme="minorEastAsia" w:cstheme="minorEastAsia"/>
          <w:spacing w:val="-3"/>
          <w:sz w:val="24"/>
          <w:szCs w:val="24"/>
        </w:rPr>
        <w:t>照</w:t>
      </w:r>
      <w:r>
        <w:rPr>
          <w:rFonts w:asciiTheme="minorEastAsia" w:hAnsiTheme="minorEastAsia" w:eastAsiaTheme="minorEastAsia" w:cstheme="minorEastAsia"/>
          <w:spacing w:val="2"/>
          <w:sz w:val="24"/>
          <w:szCs w:val="24"/>
        </w:rPr>
        <w:t>得</w:t>
      </w:r>
      <w:r>
        <w:rPr>
          <w:rFonts w:asciiTheme="minorEastAsia" w:hAnsiTheme="minorEastAsia" w:eastAsiaTheme="minorEastAsia" w:cstheme="minorEastAsia"/>
          <w:sz w:val="24"/>
          <w:szCs w:val="24"/>
        </w:rPr>
        <w:t>分由高到低的顺</w:t>
      </w:r>
      <w:r>
        <w:rPr>
          <w:rFonts w:asciiTheme="minorEastAsia" w:hAnsiTheme="minorEastAsia" w:eastAsiaTheme="minorEastAsia" w:cstheme="minorEastAsia"/>
          <w:spacing w:val="-3"/>
          <w:sz w:val="24"/>
          <w:szCs w:val="24"/>
        </w:rPr>
        <w:t>序推荐中标候选人，并标明排序。</w:t>
      </w:r>
    </w:p>
    <w:p>
      <w:pPr>
        <w:pStyle w:val="14"/>
        <w:tabs>
          <w:tab w:val="left" w:pos="1336"/>
        </w:tabs>
        <w:kinsoku w:val="0"/>
        <w:overflowPunct w:val="0"/>
        <w:spacing w:line="360" w:lineRule="auto"/>
        <w:ind w:left="599"/>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1"/>
          <w:sz w:val="24"/>
          <w:szCs w:val="24"/>
        </w:rPr>
        <w:t>3.5.2</w:t>
      </w:r>
      <w:r>
        <w:rPr>
          <w:rFonts w:asciiTheme="minorEastAsia" w:hAnsiTheme="minorEastAsia" w:eastAsiaTheme="minorEastAsia" w:cstheme="minorEastAsia"/>
          <w:spacing w:val="-1"/>
          <w:sz w:val="24"/>
          <w:szCs w:val="24"/>
        </w:rPr>
        <w:tab/>
      </w:r>
      <w:r>
        <w:rPr>
          <w:rFonts w:asciiTheme="minorEastAsia" w:hAnsiTheme="minorEastAsia" w:eastAsiaTheme="minorEastAsia" w:cstheme="minorEastAsia"/>
          <w:spacing w:val="-2"/>
          <w:sz w:val="24"/>
          <w:szCs w:val="24"/>
        </w:rPr>
        <w:t>评标结果汇总完成后，除下列情形外，任何人不得修改评标结果：</w:t>
      </w:r>
    </w:p>
    <w:p>
      <w:pPr>
        <w:pStyle w:val="14"/>
        <w:kinsoku w:val="0"/>
        <w:overflowPunct w:val="0"/>
        <w:spacing w:line="360" w:lineRule="auto"/>
        <w:ind w:left="498"/>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（1）分值汇总计算错误的；</w:t>
      </w:r>
    </w:p>
    <w:p>
      <w:pPr>
        <w:pStyle w:val="14"/>
        <w:kinsoku w:val="0"/>
        <w:overflowPunct w:val="0"/>
        <w:spacing w:line="360" w:lineRule="auto"/>
        <w:ind w:left="498"/>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（2）分项评分超出评分标准范围的；</w:t>
      </w:r>
    </w:p>
    <w:p>
      <w:pPr>
        <w:pStyle w:val="14"/>
        <w:kinsoku w:val="0"/>
        <w:overflowPunct w:val="0"/>
        <w:spacing w:line="360" w:lineRule="auto"/>
        <w:ind w:left="498"/>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（3）评标委员会成员对客观评审因素评分不一致的；</w:t>
      </w:r>
    </w:p>
    <w:p>
      <w:pPr>
        <w:pStyle w:val="14"/>
        <w:kinsoku w:val="0"/>
        <w:overflowPunct w:val="0"/>
        <w:spacing w:line="360" w:lineRule="auto"/>
        <w:ind w:left="0" w:firstLine="48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（4）经评标委员会认定评分畸高、畸低的。</w:t>
      </w:r>
      <w:r>
        <w:rPr>
          <w:rFonts w:asciiTheme="minorEastAsia" w:hAnsiTheme="minorEastAsia" w:eastAsiaTheme="minorEastAsia" w:cstheme="minorEastAsia"/>
          <w:spacing w:val="3"/>
          <w:sz w:val="24"/>
          <w:szCs w:val="24"/>
        </w:rPr>
        <w:t>评标报告签署前，经复核发现存在以上情形之一的，评标委员会应当当场修改评标结果，并在评</w:t>
      </w:r>
      <w:r>
        <w:rPr>
          <w:rFonts w:asciiTheme="minorEastAsia" w:hAnsiTheme="minorEastAsia" w:eastAsiaTheme="minorEastAsia" w:cstheme="minorEastAsia"/>
          <w:spacing w:val="2"/>
          <w:sz w:val="24"/>
          <w:szCs w:val="24"/>
        </w:rPr>
        <w:t>标报告中记载；评标报告签署后，采购人或者采购代理机构发现存在以上情形之一的，应当组织原评</w:t>
      </w:r>
      <w:r>
        <w:rPr>
          <w:rFonts w:asciiTheme="minorEastAsia" w:hAnsiTheme="minorEastAsia" w:eastAsiaTheme="minorEastAsia" w:cstheme="minorEastAsia"/>
          <w:spacing w:val="-2"/>
          <w:sz w:val="24"/>
          <w:szCs w:val="24"/>
        </w:rPr>
        <w:t>标委员会进行重新评审，重新评审改变评标结果的，书面报告本级财政部门。</w:t>
      </w:r>
    </w:p>
    <w:p>
      <w:pPr>
        <w:pStyle w:val="14"/>
        <w:kinsoku w:val="0"/>
        <w:overflowPunct w:val="0"/>
        <w:spacing w:line="360" w:lineRule="auto"/>
        <w:ind w:left="599"/>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3.5.3评标委员会完成评标后，根据全体评标成员签字的原始评标记录和评标结果编写评标报告。</w:t>
      </w:r>
    </w:p>
    <w:p>
      <w:pPr>
        <w:pStyle w:val="14"/>
        <w:kinsoku w:val="0"/>
        <w:overflowPunct w:val="0"/>
        <w:spacing w:line="360" w:lineRule="auto"/>
        <w:ind w:left="179" w:firstLine="420"/>
        <w:jc w:val="both"/>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z w:val="24"/>
          <w:szCs w:val="24"/>
        </w:rPr>
        <w:t>3.5.4评标委员会成员对需要共同认定的事项存在争议的，应当按照少数服从多数的原则作出结论。</w:t>
      </w:r>
      <w:r>
        <w:rPr>
          <w:rFonts w:asciiTheme="minorEastAsia" w:hAnsiTheme="minorEastAsia" w:eastAsiaTheme="minorEastAsia" w:cstheme="minorEastAsia"/>
          <w:spacing w:val="-2"/>
          <w:sz w:val="24"/>
          <w:szCs w:val="24"/>
        </w:rPr>
        <w:t>持不同意见的评标委员会成员应当在评标报告上签署不同意见及理由，否则视为同意评标报告。</w:t>
      </w:r>
    </w:p>
    <w:p>
      <w:pPr>
        <w:bidi w:val="0"/>
        <w:rPr>
          <w:rFonts w:hint="default"/>
        </w:rPr>
      </w:pPr>
    </w:p>
    <w:p>
      <w:pPr>
        <w:pStyle w:val="14"/>
        <w:kinsoku w:val="0"/>
        <w:overflowPunct w:val="0"/>
        <w:spacing w:line="360" w:lineRule="auto"/>
        <w:ind w:left="3207"/>
        <w:rPr>
          <w:b/>
          <w:sz w:val="28"/>
          <w:highlight w:val="none"/>
        </w:rPr>
      </w:pPr>
      <w:bookmarkStart w:id="122" w:name="_Toc10693_WPSOffice_Level2"/>
      <w:r>
        <w:rPr>
          <w:b/>
          <w:sz w:val="28"/>
          <w:highlight w:val="none"/>
        </w:rPr>
        <w:t>评标分值构成与评分标准表</w:t>
      </w:r>
      <w:bookmarkEnd w:id="122"/>
    </w:p>
    <w:tbl>
      <w:tblPr>
        <w:tblStyle w:val="29"/>
        <w:tblpPr w:leftFromText="180" w:rightFromText="180" w:vertAnchor="text" w:horzAnchor="page" w:tblpX="1786" w:tblpY="457"/>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56"/>
        <w:gridCol w:w="8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36" w:type="dxa"/>
          </w:tcPr>
          <w:p>
            <w:pPr>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vertAlign w:val="baseline"/>
              </w:rPr>
              <w:t>序 号</w:t>
            </w:r>
          </w:p>
        </w:tc>
        <w:tc>
          <w:tcPr>
            <w:tcW w:w="856" w:type="dxa"/>
          </w:tcPr>
          <w:p>
            <w:pPr>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vertAlign w:val="baseline"/>
              </w:rPr>
              <w:t>评分因素</w:t>
            </w:r>
          </w:p>
        </w:tc>
        <w:tc>
          <w:tcPr>
            <w:tcW w:w="8090" w:type="dxa"/>
          </w:tcPr>
          <w:p>
            <w:pPr>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vertAlign w:val="baseli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6" w:type="dxa"/>
          </w:tcPr>
          <w:p>
            <w:pPr>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vertAlign w:val="baseline"/>
              </w:rPr>
              <w:t>1</w:t>
            </w:r>
          </w:p>
        </w:tc>
        <w:tc>
          <w:tcPr>
            <w:tcW w:w="856" w:type="dxa"/>
          </w:tcPr>
          <w:p>
            <w:pPr>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vertAlign w:val="baseline"/>
              </w:rPr>
              <w:t>价格分</w:t>
            </w:r>
          </w:p>
          <w:p>
            <w:pPr>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vertAlign w:val="baseline"/>
              </w:rPr>
              <w:t>（30 分）</w:t>
            </w:r>
          </w:p>
        </w:tc>
        <w:tc>
          <w:tcPr>
            <w:tcW w:w="8090" w:type="dxa"/>
          </w:tcPr>
          <w:p>
            <w:pPr>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vertAlign w:val="baseline"/>
              </w:rPr>
              <w:t>采用低价优先法计算，即满足招标文件要求且投标价格低的投标报价为评标基准价，其价格分为满分。其他投标供应商的价格分按照下列公式计算（小数点保留一位）：投标报价得分=(评标基准价／投标报价)×30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0" w:hRule="atLeast"/>
        </w:trPr>
        <w:tc>
          <w:tcPr>
            <w:tcW w:w="536" w:type="dxa"/>
            <w:vMerge w:val="restart"/>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w:t>
            </w:r>
          </w:p>
        </w:tc>
        <w:tc>
          <w:tcPr>
            <w:tcW w:w="856" w:type="dxa"/>
            <w:vMerge w:val="restart"/>
            <w:vAlign w:val="center"/>
          </w:tcPr>
          <w:p>
            <w:pPr>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vertAlign w:val="baseline"/>
              </w:rPr>
              <w:t>商务分</w:t>
            </w:r>
          </w:p>
          <w:p>
            <w:pPr>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vertAlign w:val="baseline"/>
              </w:rPr>
              <w:t>（</w:t>
            </w:r>
            <w:r>
              <w:rPr>
                <w:rFonts w:hint="eastAsia" w:asciiTheme="minorEastAsia" w:hAnsiTheme="minorEastAsia" w:eastAsiaTheme="minorEastAsia" w:cstheme="minorEastAsia"/>
                <w:color w:val="auto"/>
                <w:sz w:val="21"/>
                <w:szCs w:val="21"/>
                <w:vertAlign w:val="baseline"/>
                <w:lang w:val="en-US" w:eastAsia="zh-CN"/>
              </w:rPr>
              <w:t>37</w:t>
            </w:r>
            <w:r>
              <w:rPr>
                <w:rFonts w:hint="eastAsia" w:asciiTheme="minorEastAsia" w:hAnsiTheme="minorEastAsia" w:eastAsiaTheme="minorEastAsia" w:cstheme="minorEastAsia"/>
                <w:color w:val="auto"/>
                <w:sz w:val="21"/>
                <w:szCs w:val="21"/>
                <w:vertAlign w:val="baseline"/>
              </w:rPr>
              <w:t>分）</w:t>
            </w:r>
          </w:p>
          <w:p>
            <w:pPr>
              <w:jc w:val="center"/>
              <w:rPr>
                <w:rFonts w:hint="eastAsia" w:asciiTheme="minorEastAsia" w:hAnsiTheme="minorEastAsia" w:eastAsiaTheme="minorEastAsia" w:cstheme="minorEastAsia"/>
                <w:color w:val="auto"/>
                <w:sz w:val="21"/>
                <w:szCs w:val="21"/>
                <w:vertAlign w:val="baseline"/>
              </w:rPr>
            </w:pPr>
          </w:p>
        </w:tc>
        <w:tc>
          <w:tcPr>
            <w:tcW w:w="8090" w:type="dxa"/>
          </w:tcPr>
          <w:p>
            <w:pPr>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vertAlign w:val="baseline"/>
              </w:rPr>
              <w:t>1、质量保障及产品生产保障</w:t>
            </w:r>
          </w:p>
          <w:p>
            <w:pPr>
              <w:jc w:val="both"/>
              <w:rPr>
                <w:rFonts w:hint="eastAsia" w:asciiTheme="minorEastAsia" w:hAnsiTheme="minorEastAsia" w:eastAsiaTheme="minorEastAsia" w:cstheme="minorEastAsia"/>
                <w:b/>
                <w:bCs/>
                <w:color w:val="auto"/>
                <w:sz w:val="21"/>
                <w:szCs w:val="21"/>
                <w:vertAlign w:val="baseline"/>
              </w:rPr>
            </w:pPr>
            <w:r>
              <w:rPr>
                <w:rFonts w:hint="eastAsia" w:asciiTheme="minorEastAsia" w:hAnsiTheme="minorEastAsia" w:eastAsiaTheme="minorEastAsia" w:cstheme="minorEastAsia"/>
                <w:color w:val="auto"/>
                <w:sz w:val="21"/>
                <w:szCs w:val="21"/>
                <w:vertAlign w:val="baseline"/>
              </w:rPr>
              <w:t xml:space="preserve">    ①投标人</w:t>
            </w:r>
            <w:r>
              <w:rPr>
                <w:rFonts w:hint="eastAsia" w:asciiTheme="minorEastAsia" w:hAnsiTheme="minorEastAsia" w:eastAsiaTheme="minorEastAsia" w:cstheme="minorEastAsia"/>
                <w:color w:val="auto"/>
                <w:sz w:val="21"/>
                <w:szCs w:val="21"/>
                <w:vertAlign w:val="baseline"/>
                <w:lang w:eastAsia="zh-CN"/>
              </w:rPr>
              <w:t>或授权厂家</w:t>
            </w:r>
            <w:r>
              <w:rPr>
                <w:rFonts w:hint="eastAsia" w:asciiTheme="minorEastAsia" w:hAnsiTheme="minorEastAsia" w:eastAsiaTheme="minorEastAsia" w:cstheme="minorEastAsia"/>
                <w:color w:val="auto"/>
                <w:sz w:val="21"/>
                <w:szCs w:val="21"/>
                <w:vertAlign w:val="baseline"/>
              </w:rPr>
              <w:t>通过 ISO14001：2015 环境管理体系认证，证书认证范围须包含床上用品及服装；且证书在有效期内</w:t>
            </w:r>
            <w:r>
              <w:rPr>
                <w:rFonts w:hint="eastAsia" w:asciiTheme="minorEastAsia" w:hAnsiTheme="minorEastAsia" w:eastAsiaTheme="minorEastAsia" w:cstheme="minorEastAsia"/>
                <w:b/>
                <w:bCs/>
                <w:color w:val="auto"/>
                <w:sz w:val="21"/>
                <w:szCs w:val="21"/>
                <w:vertAlign w:val="baseline"/>
              </w:rPr>
              <w:t>（开标时提供复印件或扫描件加盖公章附于投标文件中原件现场备查,同时提供认监委官方网站查询途径、公示面页、页面截图附于投标文件中）</w:t>
            </w:r>
          </w:p>
          <w:p>
            <w:pPr>
              <w:jc w:val="both"/>
              <w:rPr>
                <w:rFonts w:hint="eastAsia" w:asciiTheme="minorEastAsia" w:hAnsiTheme="minorEastAsia" w:eastAsiaTheme="minorEastAsia" w:cstheme="minorEastAsia"/>
                <w:b/>
                <w:bCs/>
                <w:color w:val="auto"/>
                <w:sz w:val="21"/>
                <w:szCs w:val="21"/>
                <w:vertAlign w:val="baseline"/>
              </w:rPr>
            </w:pPr>
            <w:r>
              <w:rPr>
                <w:rFonts w:hint="eastAsia" w:asciiTheme="minorEastAsia" w:hAnsiTheme="minorEastAsia" w:eastAsiaTheme="minorEastAsia" w:cstheme="minorEastAsia"/>
                <w:color w:val="auto"/>
                <w:sz w:val="21"/>
                <w:szCs w:val="21"/>
                <w:vertAlign w:val="baseline"/>
              </w:rPr>
              <w:t xml:space="preserve">    ②投标人</w:t>
            </w:r>
            <w:r>
              <w:rPr>
                <w:rFonts w:hint="eastAsia" w:asciiTheme="minorEastAsia" w:hAnsiTheme="minorEastAsia" w:eastAsiaTheme="minorEastAsia" w:cstheme="minorEastAsia"/>
                <w:color w:val="auto"/>
                <w:sz w:val="21"/>
                <w:szCs w:val="21"/>
                <w:vertAlign w:val="baseline"/>
                <w:lang w:eastAsia="zh-CN"/>
              </w:rPr>
              <w:t>或授权厂家</w:t>
            </w:r>
            <w:r>
              <w:rPr>
                <w:rFonts w:hint="eastAsia" w:asciiTheme="minorEastAsia" w:hAnsiTheme="minorEastAsia" w:eastAsiaTheme="minorEastAsia" w:cstheme="minorEastAsia"/>
                <w:color w:val="auto"/>
                <w:sz w:val="21"/>
                <w:szCs w:val="21"/>
                <w:vertAlign w:val="baseline"/>
              </w:rPr>
              <w:t>通过 ISO9001：2015 质量管理体系认证，证书认证范围须包含床上用品及服装；且证书在有效期内</w:t>
            </w:r>
            <w:r>
              <w:rPr>
                <w:rFonts w:hint="eastAsia" w:asciiTheme="minorEastAsia" w:hAnsiTheme="minorEastAsia" w:eastAsiaTheme="minorEastAsia" w:cstheme="minorEastAsia"/>
                <w:b/>
                <w:bCs/>
                <w:color w:val="auto"/>
                <w:sz w:val="21"/>
                <w:szCs w:val="21"/>
                <w:vertAlign w:val="baseline"/>
              </w:rPr>
              <w:t>（开标时提供复印件或扫描件加盖公章附于投标文件中原件现场备查,同时提供认监委官方网站查询途径、公示面页、页面截图附于投标文件中）</w:t>
            </w:r>
          </w:p>
          <w:p>
            <w:pPr>
              <w:jc w:val="both"/>
              <w:rPr>
                <w:rFonts w:hint="eastAsia" w:asciiTheme="minorEastAsia" w:hAnsiTheme="minorEastAsia" w:eastAsiaTheme="minorEastAsia" w:cstheme="minorEastAsia"/>
                <w:b/>
                <w:bCs/>
                <w:color w:val="auto"/>
                <w:sz w:val="21"/>
                <w:szCs w:val="21"/>
                <w:vertAlign w:val="baseline"/>
              </w:rPr>
            </w:pPr>
            <w:r>
              <w:rPr>
                <w:rFonts w:hint="eastAsia" w:asciiTheme="minorEastAsia" w:hAnsiTheme="minorEastAsia" w:eastAsiaTheme="minorEastAsia" w:cstheme="minorEastAsia"/>
                <w:color w:val="auto"/>
                <w:sz w:val="21"/>
                <w:szCs w:val="21"/>
                <w:vertAlign w:val="baseline"/>
              </w:rPr>
              <w:t xml:space="preserve">     ③投标人</w:t>
            </w:r>
            <w:r>
              <w:rPr>
                <w:rFonts w:hint="eastAsia" w:asciiTheme="minorEastAsia" w:hAnsiTheme="minorEastAsia" w:eastAsiaTheme="minorEastAsia" w:cstheme="minorEastAsia"/>
                <w:color w:val="auto"/>
                <w:sz w:val="21"/>
                <w:szCs w:val="21"/>
                <w:vertAlign w:val="baseline"/>
                <w:lang w:eastAsia="zh-CN"/>
              </w:rPr>
              <w:t>或授权厂家</w:t>
            </w:r>
            <w:r>
              <w:rPr>
                <w:rFonts w:hint="eastAsia" w:asciiTheme="minorEastAsia" w:hAnsiTheme="minorEastAsia" w:eastAsiaTheme="minorEastAsia" w:cstheme="minorEastAsia"/>
                <w:color w:val="auto"/>
                <w:sz w:val="21"/>
                <w:szCs w:val="21"/>
                <w:vertAlign w:val="baseline"/>
              </w:rPr>
              <w:t>通过 GB/T28001-2011 职业健康安全管理体系认证， 证书认证范围须包含床上用品及服装；且证书在有效期内</w:t>
            </w:r>
            <w:r>
              <w:rPr>
                <w:rFonts w:hint="eastAsia" w:asciiTheme="minorEastAsia" w:hAnsiTheme="minorEastAsia" w:eastAsiaTheme="minorEastAsia" w:cstheme="minorEastAsia"/>
                <w:b/>
                <w:bCs/>
                <w:color w:val="auto"/>
                <w:sz w:val="21"/>
                <w:szCs w:val="21"/>
                <w:vertAlign w:val="baseline"/>
              </w:rPr>
              <w:t>（开标时提供复印件或扫描件加盖公章附于投标文件中原件现场备查,同时提供认监委官方网站查询途径、公示面页、页面截图附于投标文件中）</w:t>
            </w:r>
          </w:p>
          <w:p>
            <w:pPr>
              <w:jc w:val="both"/>
              <w:rPr>
                <w:rFonts w:hint="eastAsia" w:asciiTheme="minorEastAsia" w:hAnsiTheme="minorEastAsia" w:eastAsiaTheme="minorEastAsia" w:cstheme="minorEastAsia"/>
                <w:b/>
                <w:bCs/>
                <w:color w:val="auto"/>
                <w:sz w:val="21"/>
                <w:szCs w:val="21"/>
                <w:vertAlign w:val="baseline"/>
              </w:rPr>
            </w:pPr>
            <w:r>
              <w:rPr>
                <w:rFonts w:hint="eastAsia" w:asciiTheme="minorEastAsia" w:hAnsiTheme="minorEastAsia" w:eastAsiaTheme="minorEastAsia" w:cstheme="minorEastAsia"/>
                <w:color w:val="auto"/>
                <w:sz w:val="21"/>
                <w:szCs w:val="21"/>
                <w:vertAlign w:val="baseline"/>
              </w:rPr>
              <w:t xml:space="preserve">     ④投标人</w:t>
            </w:r>
            <w:r>
              <w:rPr>
                <w:rFonts w:hint="eastAsia" w:asciiTheme="minorEastAsia" w:hAnsiTheme="minorEastAsia" w:eastAsiaTheme="minorEastAsia" w:cstheme="minorEastAsia"/>
                <w:color w:val="auto"/>
                <w:sz w:val="21"/>
                <w:szCs w:val="21"/>
                <w:vertAlign w:val="baseline"/>
                <w:lang w:eastAsia="zh-CN"/>
              </w:rPr>
              <w:t>或授权厂家通过环评</w:t>
            </w:r>
            <w:r>
              <w:rPr>
                <w:rFonts w:hint="eastAsia" w:asciiTheme="minorEastAsia" w:hAnsiTheme="minorEastAsia" w:eastAsiaTheme="minorEastAsia" w:cstheme="minorEastAsia"/>
                <w:color w:val="auto"/>
                <w:sz w:val="21"/>
                <w:szCs w:val="21"/>
                <w:vertAlign w:val="baseline"/>
              </w:rPr>
              <w:t>由环保部门出具的“建设项目竣工环境保护验收申请</w:t>
            </w:r>
            <w:r>
              <w:rPr>
                <w:rFonts w:hint="eastAsia" w:asciiTheme="minorEastAsia" w:hAnsiTheme="minorEastAsia" w:eastAsiaTheme="minorEastAsia" w:cstheme="minorEastAsia"/>
                <w:color w:val="auto"/>
                <w:sz w:val="21"/>
                <w:szCs w:val="21"/>
                <w:vertAlign w:val="baseline"/>
                <w:lang w:eastAsia="zh-CN"/>
              </w:rPr>
              <w:t>的</w:t>
            </w:r>
            <w:r>
              <w:rPr>
                <w:rFonts w:hint="eastAsia" w:asciiTheme="minorEastAsia" w:hAnsiTheme="minorEastAsia" w:eastAsiaTheme="minorEastAsia" w:cstheme="minorEastAsia"/>
                <w:color w:val="auto"/>
                <w:sz w:val="21"/>
                <w:szCs w:val="21"/>
                <w:vertAlign w:val="baseline"/>
              </w:rPr>
              <w:t>批复”文件。</w:t>
            </w:r>
            <w:r>
              <w:rPr>
                <w:rFonts w:hint="eastAsia" w:asciiTheme="minorEastAsia" w:hAnsiTheme="minorEastAsia" w:eastAsiaTheme="minorEastAsia" w:cstheme="minorEastAsia"/>
                <w:b/>
                <w:bCs/>
                <w:color w:val="auto"/>
                <w:sz w:val="21"/>
                <w:szCs w:val="21"/>
                <w:vertAlign w:val="baseline"/>
              </w:rPr>
              <w:t>（批复结果内容须为准许正式生产，</w:t>
            </w:r>
            <w:r>
              <w:rPr>
                <w:rFonts w:hint="eastAsia" w:asciiTheme="minorEastAsia" w:hAnsiTheme="minorEastAsia" w:eastAsiaTheme="minorEastAsia" w:cstheme="minorEastAsia"/>
                <w:b/>
                <w:bCs/>
                <w:color w:val="auto"/>
                <w:sz w:val="21"/>
                <w:szCs w:val="21"/>
                <w:vertAlign w:val="baseline"/>
                <w:lang w:eastAsia="zh-CN"/>
              </w:rPr>
              <w:t>批复内容为</w:t>
            </w:r>
            <w:r>
              <w:rPr>
                <w:rFonts w:hint="eastAsia" w:asciiTheme="minorEastAsia" w:hAnsiTheme="minorEastAsia" w:eastAsiaTheme="minorEastAsia" w:cstheme="minorEastAsia"/>
                <w:b/>
                <w:bCs/>
                <w:color w:val="auto"/>
                <w:sz w:val="21"/>
                <w:szCs w:val="21"/>
                <w:vertAlign w:val="baseline"/>
              </w:rPr>
              <w:t>准许正式生产的产品须包含床上用品及服装；开标时提供复印件或扫描件加盖公章附于投标文件中,证书原件现场备查， 同时提供政府官方网站“建设项目拟验收公示”面页、页面截图附于投标文件中）。</w:t>
            </w:r>
          </w:p>
          <w:p>
            <w:pPr>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b/>
                <w:bCs/>
                <w:color w:val="auto"/>
                <w:sz w:val="21"/>
                <w:szCs w:val="21"/>
                <w:vertAlign w:val="baseline"/>
              </w:rPr>
              <w:t>以上①</w:t>
            </w:r>
            <w:r>
              <w:rPr>
                <w:rFonts w:hint="eastAsia" w:asciiTheme="minorEastAsia" w:hAnsiTheme="minorEastAsia" w:eastAsiaTheme="minorEastAsia" w:cstheme="minorEastAsia"/>
                <w:b/>
                <w:bCs/>
                <w:color w:val="auto"/>
                <w:sz w:val="21"/>
                <w:szCs w:val="21"/>
                <w:vertAlign w:val="baseline"/>
                <w:lang w:eastAsia="zh-CN"/>
              </w:rPr>
              <w:t>、</w:t>
            </w:r>
            <w:r>
              <w:rPr>
                <w:rFonts w:hint="eastAsia" w:asciiTheme="minorEastAsia" w:hAnsiTheme="minorEastAsia" w:eastAsiaTheme="minorEastAsia" w:cstheme="minorEastAsia"/>
                <w:b/>
                <w:bCs/>
                <w:color w:val="auto"/>
                <w:sz w:val="21"/>
                <w:szCs w:val="21"/>
                <w:vertAlign w:val="baseline"/>
              </w:rPr>
              <w:t>②</w:t>
            </w:r>
            <w:r>
              <w:rPr>
                <w:rFonts w:hint="eastAsia" w:asciiTheme="minorEastAsia" w:hAnsiTheme="minorEastAsia" w:eastAsiaTheme="minorEastAsia" w:cstheme="minorEastAsia"/>
                <w:b/>
                <w:bCs/>
                <w:color w:val="auto"/>
                <w:sz w:val="21"/>
                <w:szCs w:val="21"/>
                <w:vertAlign w:val="baseline"/>
                <w:lang w:eastAsia="zh-CN"/>
              </w:rPr>
              <w:t>、</w:t>
            </w:r>
            <w:r>
              <w:rPr>
                <w:rFonts w:hint="eastAsia" w:asciiTheme="minorEastAsia" w:hAnsiTheme="minorEastAsia" w:eastAsiaTheme="minorEastAsia" w:cstheme="minorEastAsia"/>
                <w:b/>
                <w:bCs/>
                <w:color w:val="auto"/>
                <w:sz w:val="21"/>
                <w:szCs w:val="21"/>
                <w:vertAlign w:val="baseline"/>
              </w:rPr>
              <w:t>③</w:t>
            </w:r>
            <w:r>
              <w:rPr>
                <w:rFonts w:hint="eastAsia" w:asciiTheme="minorEastAsia" w:hAnsiTheme="minorEastAsia" w:eastAsiaTheme="minorEastAsia" w:cstheme="minorEastAsia"/>
                <w:b/>
                <w:bCs/>
                <w:color w:val="auto"/>
                <w:sz w:val="21"/>
                <w:szCs w:val="21"/>
                <w:vertAlign w:val="baseline"/>
                <w:lang w:eastAsia="zh-CN"/>
              </w:rPr>
              <w:t>、</w:t>
            </w:r>
            <w:r>
              <w:rPr>
                <w:rFonts w:hint="eastAsia" w:asciiTheme="minorEastAsia" w:hAnsiTheme="minorEastAsia" w:eastAsiaTheme="minorEastAsia" w:cstheme="minorEastAsia"/>
                <w:b/>
                <w:bCs/>
                <w:color w:val="auto"/>
                <w:sz w:val="21"/>
                <w:szCs w:val="21"/>
                <w:vertAlign w:val="baseline"/>
              </w:rPr>
              <w:t>④各项证书齐全的得 12 分。缺任何一项</w:t>
            </w:r>
            <w:r>
              <w:rPr>
                <w:rFonts w:hint="eastAsia" w:asciiTheme="minorEastAsia" w:hAnsiTheme="minorEastAsia" w:eastAsiaTheme="minorEastAsia" w:cstheme="minorEastAsia"/>
                <w:b/>
                <w:bCs/>
                <w:color w:val="auto"/>
                <w:sz w:val="21"/>
                <w:szCs w:val="21"/>
                <w:vertAlign w:val="baseline"/>
                <w:lang w:eastAsia="zh-CN"/>
              </w:rPr>
              <w:t>或任何一项不符合要求的</w:t>
            </w:r>
            <w:r>
              <w:rPr>
                <w:rFonts w:hint="eastAsia" w:asciiTheme="minorEastAsia" w:hAnsiTheme="minorEastAsia" w:eastAsiaTheme="minorEastAsia" w:cstheme="minorEastAsia"/>
                <w:b/>
                <w:bCs/>
                <w:color w:val="auto"/>
                <w:sz w:val="21"/>
                <w:szCs w:val="21"/>
                <w:vertAlign w:val="baseline"/>
              </w:rPr>
              <w:t>质量保障及产品生产保障分</w:t>
            </w:r>
            <w:r>
              <w:rPr>
                <w:rFonts w:hint="eastAsia" w:asciiTheme="minorEastAsia" w:hAnsiTheme="minorEastAsia" w:eastAsiaTheme="minorEastAsia" w:cstheme="minorEastAsia"/>
                <w:b/>
                <w:bCs/>
                <w:color w:val="auto"/>
                <w:sz w:val="21"/>
                <w:szCs w:val="21"/>
                <w:vertAlign w:val="baseline"/>
                <w:lang w:eastAsia="zh-CN"/>
              </w:rPr>
              <w:t>得</w:t>
            </w:r>
            <w:r>
              <w:rPr>
                <w:rFonts w:hint="eastAsia" w:asciiTheme="minorEastAsia" w:hAnsiTheme="minorEastAsia" w:eastAsiaTheme="minorEastAsia" w:cstheme="minorEastAsia"/>
                <w:b/>
                <w:bCs/>
                <w:color w:val="auto"/>
                <w:sz w:val="21"/>
                <w:szCs w:val="21"/>
                <w:vertAlign w:val="baseline"/>
                <w:lang w:val="en-US" w:eastAsia="zh-CN"/>
              </w:rPr>
              <w:t>0分</w:t>
            </w:r>
            <w:r>
              <w:rPr>
                <w:rFonts w:hint="eastAsia" w:asciiTheme="minorEastAsia" w:hAnsiTheme="minorEastAsia" w:eastAsiaTheme="minorEastAsia" w:cstheme="minorEastAsia"/>
                <w:b/>
                <w:bCs/>
                <w:color w:val="auto"/>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536" w:type="dxa"/>
            <w:vMerge w:val="continue"/>
          </w:tcPr>
          <w:p>
            <w:pPr>
              <w:jc w:val="both"/>
              <w:rPr>
                <w:rFonts w:hint="eastAsia" w:asciiTheme="minorEastAsia" w:hAnsiTheme="minorEastAsia" w:eastAsiaTheme="minorEastAsia" w:cstheme="minorEastAsia"/>
                <w:color w:val="auto"/>
                <w:sz w:val="21"/>
                <w:szCs w:val="21"/>
                <w:vertAlign w:val="baseline"/>
              </w:rPr>
            </w:pPr>
          </w:p>
        </w:tc>
        <w:tc>
          <w:tcPr>
            <w:tcW w:w="856" w:type="dxa"/>
            <w:vMerge w:val="continue"/>
          </w:tcPr>
          <w:p>
            <w:pPr>
              <w:jc w:val="both"/>
              <w:rPr>
                <w:rFonts w:hint="eastAsia" w:asciiTheme="minorEastAsia" w:hAnsiTheme="minorEastAsia" w:eastAsiaTheme="minorEastAsia" w:cstheme="minorEastAsia"/>
                <w:color w:val="auto"/>
                <w:sz w:val="21"/>
                <w:szCs w:val="21"/>
                <w:vertAlign w:val="baseline"/>
              </w:rPr>
            </w:pPr>
          </w:p>
        </w:tc>
        <w:tc>
          <w:tcPr>
            <w:tcW w:w="8090" w:type="dxa"/>
          </w:tcPr>
          <w:p>
            <w:pPr>
              <w:jc w:val="both"/>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vertAlign w:val="baseline"/>
                <w:lang w:val="en-US" w:eastAsia="zh-CN"/>
              </w:rPr>
              <w:t>2、</w:t>
            </w:r>
            <w:r>
              <w:rPr>
                <w:rFonts w:hint="eastAsia" w:asciiTheme="minorEastAsia" w:hAnsiTheme="minorEastAsia" w:eastAsiaTheme="minorEastAsia" w:cstheme="minorEastAsia"/>
                <w:color w:val="auto"/>
                <w:sz w:val="21"/>
                <w:szCs w:val="21"/>
                <w:vertAlign w:val="baseline"/>
              </w:rPr>
              <w:t>投标人</w:t>
            </w:r>
            <w:r>
              <w:rPr>
                <w:rFonts w:hint="eastAsia" w:asciiTheme="minorEastAsia" w:hAnsiTheme="minorEastAsia" w:eastAsiaTheme="minorEastAsia" w:cstheme="minorEastAsia"/>
                <w:color w:val="auto"/>
                <w:sz w:val="21"/>
                <w:szCs w:val="21"/>
                <w:vertAlign w:val="baseline"/>
                <w:lang w:val="en-US" w:eastAsia="zh-CN"/>
              </w:rPr>
              <w:t>2019</w:t>
            </w:r>
            <w:r>
              <w:rPr>
                <w:rFonts w:hint="eastAsia" w:asciiTheme="minorEastAsia" w:hAnsiTheme="minorEastAsia" w:eastAsiaTheme="minorEastAsia" w:cstheme="minorEastAsia"/>
                <w:color w:val="auto"/>
                <w:sz w:val="21"/>
                <w:szCs w:val="21"/>
                <w:vertAlign w:val="baseline"/>
              </w:rPr>
              <w:t xml:space="preserve"> </w:t>
            </w:r>
            <w:r>
              <w:rPr>
                <w:rFonts w:hint="eastAsia" w:asciiTheme="minorEastAsia" w:hAnsiTheme="minorEastAsia" w:cstheme="minorEastAsia"/>
                <w:color w:val="auto"/>
                <w:sz w:val="21"/>
                <w:szCs w:val="21"/>
                <w:vertAlign w:val="baseline"/>
                <w:lang w:eastAsia="zh-CN"/>
              </w:rPr>
              <w:t>被</w:t>
            </w:r>
            <w:r>
              <w:rPr>
                <w:rFonts w:hint="eastAsia" w:asciiTheme="minorEastAsia" w:hAnsiTheme="minorEastAsia" w:eastAsiaTheme="minorEastAsia" w:cstheme="minorEastAsia"/>
                <w:color w:val="auto"/>
                <w:sz w:val="21"/>
                <w:szCs w:val="21"/>
                <w:vertAlign w:val="baseline"/>
              </w:rPr>
              <w:t>纳入自然灾害应急救助物资生产商参考名录</w:t>
            </w:r>
            <w:r>
              <w:rPr>
                <w:rFonts w:hint="eastAsia" w:asciiTheme="minorEastAsia" w:hAnsiTheme="minorEastAsia" w:eastAsiaTheme="minorEastAsia" w:cstheme="minorEastAsia"/>
                <w:b/>
                <w:bCs/>
                <w:color w:val="auto"/>
                <w:sz w:val="21"/>
                <w:szCs w:val="21"/>
                <w:vertAlign w:val="baseline"/>
              </w:rPr>
              <w:t>（</w:t>
            </w:r>
            <w:r>
              <w:rPr>
                <w:rFonts w:hint="eastAsia" w:asciiTheme="minorEastAsia" w:hAnsiTheme="minorEastAsia" w:eastAsiaTheme="minorEastAsia" w:cstheme="minorEastAsia"/>
                <w:b/>
                <w:bCs/>
                <w:color w:val="auto"/>
                <w:sz w:val="21"/>
                <w:szCs w:val="21"/>
                <w:vertAlign w:val="baseline"/>
                <w:lang w:eastAsia="zh-CN"/>
              </w:rPr>
              <w:t>应急管理部编制</w:t>
            </w:r>
            <w:r>
              <w:rPr>
                <w:rFonts w:hint="eastAsia" w:asciiTheme="minorEastAsia" w:hAnsiTheme="minorEastAsia" w:eastAsiaTheme="minorEastAsia" w:cstheme="minorEastAsia"/>
                <w:b/>
                <w:bCs/>
                <w:color w:val="auto"/>
                <w:sz w:val="21"/>
                <w:szCs w:val="21"/>
                <w:vertAlign w:val="baseline"/>
              </w:rPr>
              <w:t>）</w:t>
            </w:r>
            <w:r>
              <w:rPr>
                <w:rFonts w:hint="eastAsia" w:asciiTheme="minorEastAsia" w:hAnsiTheme="minorEastAsia" w:eastAsiaTheme="minorEastAsia" w:cstheme="minorEastAsia"/>
                <w:color w:val="auto"/>
                <w:sz w:val="21"/>
                <w:szCs w:val="21"/>
                <w:vertAlign w:val="baseline"/>
              </w:rPr>
              <w:t>的得</w:t>
            </w:r>
            <w:r>
              <w:rPr>
                <w:rFonts w:hint="eastAsia" w:asciiTheme="minorEastAsia" w:hAnsiTheme="minorEastAsia" w:eastAsiaTheme="minorEastAsia" w:cstheme="minorEastAsia"/>
                <w:color w:val="auto"/>
                <w:sz w:val="21"/>
                <w:szCs w:val="21"/>
                <w:vertAlign w:val="baseline"/>
                <w:lang w:val="en-US" w:eastAsia="zh-CN"/>
              </w:rPr>
              <w:t>2</w:t>
            </w:r>
            <w:r>
              <w:rPr>
                <w:rFonts w:hint="eastAsia" w:asciiTheme="minorEastAsia" w:hAnsiTheme="minorEastAsia" w:eastAsiaTheme="minorEastAsia" w:cstheme="minorEastAsia"/>
                <w:color w:val="auto"/>
                <w:sz w:val="21"/>
                <w:szCs w:val="21"/>
                <w:vertAlign w:val="baseline"/>
              </w:rPr>
              <w:t>分，没有不得分。（投标人提供所在页复印件或扫描件加盖公章附于投标文件）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6" w:type="dxa"/>
            <w:vMerge w:val="continue"/>
          </w:tcPr>
          <w:p>
            <w:pPr>
              <w:jc w:val="both"/>
              <w:rPr>
                <w:rFonts w:hint="eastAsia" w:asciiTheme="minorEastAsia" w:hAnsiTheme="minorEastAsia" w:eastAsiaTheme="minorEastAsia" w:cstheme="minorEastAsia"/>
                <w:color w:val="auto"/>
                <w:sz w:val="21"/>
                <w:szCs w:val="21"/>
                <w:vertAlign w:val="baseline"/>
              </w:rPr>
            </w:pPr>
          </w:p>
        </w:tc>
        <w:tc>
          <w:tcPr>
            <w:tcW w:w="856" w:type="dxa"/>
            <w:vMerge w:val="continue"/>
          </w:tcPr>
          <w:p>
            <w:pPr>
              <w:jc w:val="both"/>
              <w:rPr>
                <w:rFonts w:hint="eastAsia" w:asciiTheme="minorEastAsia" w:hAnsiTheme="minorEastAsia" w:eastAsiaTheme="minorEastAsia" w:cstheme="minorEastAsia"/>
                <w:color w:val="auto"/>
                <w:sz w:val="21"/>
                <w:szCs w:val="21"/>
                <w:vertAlign w:val="baseline"/>
              </w:rPr>
            </w:pPr>
          </w:p>
        </w:tc>
        <w:tc>
          <w:tcPr>
            <w:tcW w:w="8090" w:type="dxa"/>
          </w:tcPr>
          <w:p>
            <w:pPr>
              <w:jc w:val="both"/>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b w:val="0"/>
                <w:bCs w:val="0"/>
                <w:color w:val="000000"/>
                <w:sz w:val="21"/>
                <w:szCs w:val="21"/>
                <w:lang w:val="en-US" w:eastAsia="zh-CN"/>
              </w:rPr>
              <w:t>3、</w:t>
            </w:r>
            <w:r>
              <w:rPr>
                <w:rFonts w:hint="eastAsia" w:asciiTheme="minorEastAsia" w:hAnsiTheme="minorEastAsia" w:eastAsiaTheme="minorEastAsia" w:cstheme="minorEastAsia"/>
                <w:b w:val="0"/>
                <w:bCs w:val="0"/>
                <w:color w:val="000000"/>
                <w:sz w:val="21"/>
                <w:szCs w:val="21"/>
                <w:lang w:val="zh-CN"/>
              </w:rPr>
              <w:t>设置了项目管理机构，并且有科学、具体的项目管理措施，能够结合项目特点制定实施方案优秀的得</w:t>
            </w:r>
            <w:r>
              <w:rPr>
                <w:rFonts w:hint="eastAsia" w:asciiTheme="minorEastAsia" w:hAnsiTheme="minorEastAsia" w:eastAsiaTheme="minorEastAsia" w:cstheme="minorEastAsia"/>
                <w:b w:val="0"/>
                <w:bCs w:val="0"/>
                <w:color w:val="000000"/>
                <w:sz w:val="21"/>
                <w:szCs w:val="21"/>
                <w:lang w:val="en-US" w:eastAsia="zh-CN"/>
              </w:rPr>
              <w:t>3</w:t>
            </w:r>
            <w:r>
              <w:rPr>
                <w:rFonts w:hint="eastAsia" w:asciiTheme="minorEastAsia" w:hAnsiTheme="minorEastAsia" w:eastAsiaTheme="minorEastAsia" w:cstheme="minorEastAsia"/>
                <w:b w:val="0"/>
                <w:bCs w:val="0"/>
                <w:color w:val="000000"/>
                <w:sz w:val="21"/>
                <w:szCs w:val="21"/>
                <w:lang w:val="zh-CN"/>
              </w:rPr>
              <w:t>分，一般得</w:t>
            </w:r>
            <w:r>
              <w:rPr>
                <w:rFonts w:hint="eastAsia" w:asciiTheme="minorEastAsia" w:hAnsiTheme="minorEastAsia" w:eastAsiaTheme="minorEastAsia" w:cstheme="minorEastAsia"/>
                <w:b w:val="0"/>
                <w:bCs w:val="0"/>
                <w:color w:val="000000"/>
                <w:sz w:val="21"/>
                <w:szCs w:val="21"/>
                <w:lang w:val="en-US" w:eastAsia="zh-CN"/>
              </w:rPr>
              <w:t>1</w:t>
            </w:r>
            <w:r>
              <w:rPr>
                <w:rFonts w:hint="eastAsia" w:asciiTheme="minorEastAsia" w:hAnsiTheme="minorEastAsia" w:eastAsiaTheme="minorEastAsia" w:cstheme="minorEastAsia"/>
                <w:b w:val="0"/>
                <w:bCs w:val="0"/>
                <w:color w:val="000000"/>
                <w:sz w:val="21"/>
                <w:szCs w:val="21"/>
                <w:lang w:val="zh-CN"/>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536" w:type="dxa"/>
            <w:vMerge w:val="continue"/>
          </w:tcPr>
          <w:p>
            <w:pPr>
              <w:jc w:val="both"/>
              <w:rPr>
                <w:rFonts w:hint="eastAsia" w:asciiTheme="minorEastAsia" w:hAnsiTheme="minorEastAsia" w:eastAsiaTheme="minorEastAsia" w:cstheme="minorEastAsia"/>
                <w:color w:val="auto"/>
                <w:sz w:val="21"/>
                <w:szCs w:val="21"/>
                <w:vertAlign w:val="baseline"/>
              </w:rPr>
            </w:pPr>
          </w:p>
        </w:tc>
        <w:tc>
          <w:tcPr>
            <w:tcW w:w="856" w:type="dxa"/>
            <w:vMerge w:val="continue"/>
          </w:tcPr>
          <w:p>
            <w:pPr>
              <w:jc w:val="both"/>
              <w:rPr>
                <w:rFonts w:hint="eastAsia" w:asciiTheme="minorEastAsia" w:hAnsiTheme="minorEastAsia" w:eastAsiaTheme="minorEastAsia" w:cstheme="minorEastAsia"/>
                <w:color w:val="auto"/>
                <w:sz w:val="21"/>
                <w:szCs w:val="21"/>
                <w:vertAlign w:val="baseline"/>
              </w:rPr>
            </w:pPr>
          </w:p>
        </w:tc>
        <w:tc>
          <w:tcPr>
            <w:tcW w:w="8090" w:type="dxa"/>
          </w:tcPr>
          <w:p>
            <w:pPr>
              <w:numPr>
                <w:ilvl w:val="0"/>
                <w:numId w:val="0"/>
              </w:numPr>
              <w:jc w:val="both"/>
              <w:rPr>
                <w:rFonts w:hint="eastAsia" w:asciiTheme="minorEastAsia" w:hAnsiTheme="minorEastAsia" w:eastAsiaTheme="minorEastAsia" w:cstheme="minorEastAsia"/>
                <w:b/>
                <w:bCs/>
                <w:color w:val="auto"/>
                <w:sz w:val="21"/>
                <w:szCs w:val="21"/>
                <w:vertAlign w:val="baseline"/>
              </w:rPr>
            </w:pP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根据投标人提供的</w:t>
            </w:r>
            <w:r>
              <w:rPr>
                <w:rFonts w:hint="eastAsia" w:asciiTheme="minorEastAsia" w:hAnsiTheme="minorEastAsia" w:eastAsiaTheme="minorEastAsia" w:cstheme="minorEastAsia"/>
                <w:sz w:val="21"/>
                <w:szCs w:val="21"/>
                <w:lang w:eastAsia="zh-CN"/>
              </w:rPr>
              <w:t>售后服务承诺、</w:t>
            </w:r>
            <w:r>
              <w:rPr>
                <w:rFonts w:hint="eastAsia" w:asciiTheme="minorEastAsia" w:hAnsiTheme="minorEastAsia" w:eastAsiaTheme="minorEastAsia" w:cstheme="minorEastAsia"/>
                <w:sz w:val="21"/>
                <w:szCs w:val="21"/>
              </w:rPr>
              <w:t>售后服务方案，从</w:t>
            </w:r>
            <w:r>
              <w:rPr>
                <w:rFonts w:hint="eastAsia" w:asciiTheme="minorEastAsia" w:hAnsiTheme="minorEastAsia" w:eastAsiaTheme="minorEastAsia" w:cstheme="minorEastAsia"/>
                <w:sz w:val="21"/>
                <w:szCs w:val="21"/>
                <w:lang w:eastAsia="zh-CN"/>
              </w:rPr>
              <w:t>售后服务承诺、</w:t>
            </w:r>
            <w:r>
              <w:rPr>
                <w:rFonts w:hint="eastAsia" w:asciiTheme="minorEastAsia" w:hAnsiTheme="minorEastAsia" w:eastAsiaTheme="minorEastAsia" w:cstheme="minorEastAsia"/>
                <w:sz w:val="21"/>
                <w:szCs w:val="21"/>
              </w:rPr>
              <w:t>售后服务方案的合理性、科学性、可操作性、人员安排、响应措施等方面进行综合评价，评价为优的计</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分，评价为良好的计</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分，评价为一般的计1分，评价为差或未提供方案的不计分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536" w:type="dxa"/>
            <w:vMerge w:val="continue"/>
          </w:tcPr>
          <w:p>
            <w:pPr>
              <w:jc w:val="both"/>
              <w:rPr>
                <w:rFonts w:hint="eastAsia" w:asciiTheme="minorEastAsia" w:hAnsiTheme="minorEastAsia" w:eastAsiaTheme="minorEastAsia" w:cstheme="minorEastAsia"/>
                <w:color w:val="auto"/>
                <w:sz w:val="21"/>
                <w:szCs w:val="21"/>
                <w:vertAlign w:val="baseline"/>
              </w:rPr>
            </w:pPr>
          </w:p>
        </w:tc>
        <w:tc>
          <w:tcPr>
            <w:tcW w:w="856" w:type="dxa"/>
            <w:vMerge w:val="restart"/>
          </w:tcPr>
          <w:p>
            <w:pPr>
              <w:jc w:val="both"/>
              <w:rPr>
                <w:rFonts w:hint="eastAsia" w:asciiTheme="minorEastAsia" w:hAnsiTheme="minorEastAsia" w:eastAsiaTheme="minorEastAsia" w:cstheme="minorEastAsia"/>
                <w:color w:val="auto"/>
                <w:sz w:val="21"/>
                <w:szCs w:val="21"/>
                <w:vertAlign w:val="baseline"/>
              </w:rPr>
            </w:pPr>
          </w:p>
        </w:tc>
        <w:tc>
          <w:tcPr>
            <w:tcW w:w="8090" w:type="dxa"/>
          </w:tcPr>
          <w:p>
            <w:pPr>
              <w:numPr>
                <w:ilvl w:val="0"/>
                <w:numId w:val="0"/>
              </w:numPr>
              <w:ind w:leftChars="0"/>
              <w:jc w:val="both"/>
              <w:rPr>
                <w:rFonts w:hint="eastAsia" w:asciiTheme="minorEastAsia" w:hAnsiTheme="minorEastAsia" w:eastAsiaTheme="minorEastAsia" w:cstheme="minorEastAsia"/>
                <w:b/>
                <w:bCs/>
                <w:color w:val="auto"/>
                <w:sz w:val="21"/>
                <w:szCs w:val="21"/>
                <w:vertAlign w:val="baseline"/>
              </w:rPr>
            </w:pPr>
            <w:r>
              <w:rPr>
                <w:rFonts w:hint="eastAsia" w:asciiTheme="minorEastAsia" w:hAnsiTheme="minorEastAsia" w:cstheme="minorEastAsia"/>
                <w:b w:val="0"/>
                <w:bCs w:val="0"/>
                <w:color w:val="auto"/>
                <w:kern w:val="0"/>
                <w:sz w:val="21"/>
                <w:szCs w:val="21"/>
                <w:lang w:val="en-US" w:eastAsia="zh-CN"/>
              </w:rPr>
              <w:t>5</w:t>
            </w:r>
            <w:r>
              <w:rPr>
                <w:rFonts w:hint="eastAsia" w:asciiTheme="minorEastAsia" w:hAnsiTheme="minorEastAsia" w:eastAsiaTheme="minorEastAsia" w:cstheme="minorEastAsia"/>
                <w:b w:val="0"/>
                <w:bCs w:val="0"/>
                <w:color w:val="auto"/>
                <w:kern w:val="0"/>
                <w:sz w:val="21"/>
                <w:szCs w:val="21"/>
                <w:lang w:val="en-US" w:eastAsia="zh-CN"/>
              </w:rPr>
              <w:t>、投标人</w:t>
            </w:r>
            <w:r>
              <w:rPr>
                <w:rFonts w:hint="eastAsia" w:asciiTheme="minorEastAsia" w:hAnsiTheme="minorEastAsia" w:eastAsiaTheme="minorEastAsia" w:cstheme="minorEastAsia"/>
                <w:color w:val="auto"/>
                <w:sz w:val="21"/>
                <w:szCs w:val="21"/>
                <w:vertAlign w:val="baseline"/>
                <w:lang w:eastAsia="zh-CN"/>
              </w:rPr>
              <w:t>或授权厂家</w:t>
            </w:r>
            <w:r>
              <w:rPr>
                <w:rFonts w:hint="eastAsia" w:asciiTheme="minorEastAsia" w:hAnsiTheme="minorEastAsia" w:eastAsiaTheme="minorEastAsia" w:cstheme="minorEastAsia"/>
                <w:b w:val="0"/>
                <w:bCs w:val="0"/>
                <w:color w:val="auto"/>
                <w:kern w:val="0"/>
                <w:sz w:val="21"/>
                <w:szCs w:val="21"/>
                <w:lang w:val="en-US" w:eastAsia="zh-CN"/>
              </w:rPr>
              <w:t>通过 GB/T27922-2011《商品售后 服务评价体系》评价，服务能力达到四星级的得 2 分；五星级的得 5 分。</w:t>
            </w:r>
            <w:r>
              <w:rPr>
                <w:rFonts w:hint="eastAsia" w:asciiTheme="minorEastAsia" w:hAnsiTheme="minorEastAsia" w:eastAsiaTheme="minorEastAsia" w:cstheme="minorEastAsia"/>
                <w:b/>
                <w:bCs/>
                <w:color w:val="auto"/>
                <w:sz w:val="21"/>
                <w:szCs w:val="21"/>
                <w:vertAlign w:val="baseline"/>
                <w:lang w:eastAsia="zh-CN"/>
              </w:rPr>
              <w:t>（</w:t>
            </w:r>
            <w:r>
              <w:rPr>
                <w:rFonts w:hint="eastAsia" w:asciiTheme="minorEastAsia" w:hAnsiTheme="minorEastAsia" w:eastAsiaTheme="minorEastAsia" w:cstheme="minorEastAsia"/>
                <w:b/>
                <w:bCs/>
                <w:color w:val="auto"/>
                <w:sz w:val="21"/>
                <w:szCs w:val="21"/>
                <w:vertAlign w:val="baseline"/>
              </w:rPr>
              <w:t>投标文件中提供证书复印件或扫描件加盖公章及查询途径网上查询截图附于投标文件中，证书原件现场备查）</w:t>
            </w:r>
            <w:r>
              <w:rPr>
                <w:rFonts w:hint="eastAsia" w:asciiTheme="minorEastAsia" w:hAnsiTheme="minorEastAsia" w:eastAsiaTheme="minorEastAsia" w:cstheme="minorEastAsia"/>
                <w:b/>
                <w:bCs/>
                <w:color w:val="auto"/>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36" w:type="dxa"/>
            <w:vMerge w:val="continue"/>
          </w:tcPr>
          <w:p>
            <w:pPr>
              <w:jc w:val="both"/>
              <w:rPr>
                <w:rFonts w:hint="eastAsia" w:asciiTheme="minorEastAsia" w:hAnsiTheme="minorEastAsia" w:eastAsiaTheme="minorEastAsia" w:cstheme="minorEastAsia"/>
                <w:color w:val="auto"/>
                <w:sz w:val="21"/>
                <w:szCs w:val="21"/>
                <w:vertAlign w:val="baseline"/>
              </w:rPr>
            </w:pPr>
          </w:p>
        </w:tc>
        <w:tc>
          <w:tcPr>
            <w:tcW w:w="856" w:type="dxa"/>
            <w:vMerge w:val="continue"/>
          </w:tcPr>
          <w:p>
            <w:pPr>
              <w:jc w:val="both"/>
              <w:rPr>
                <w:rFonts w:hint="eastAsia" w:asciiTheme="minorEastAsia" w:hAnsiTheme="minorEastAsia" w:eastAsiaTheme="minorEastAsia" w:cstheme="minorEastAsia"/>
                <w:color w:val="auto"/>
                <w:sz w:val="21"/>
                <w:szCs w:val="21"/>
                <w:vertAlign w:val="baseline"/>
              </w:rPr>
            </w:pPr>
          </w:p>
        </w:tc>
        <w:tc>
          <w:tcPr>
            <w:tcW w:w="8090" w:type="dxa"/>
          </w:tcPr>
          <w:p>
            <w:pPr>
              <w:numPr>
                <w:ilvl w:val="0"/>
                <w:numId w:val="0"/>
              </w:numPr>
              <w:jc w:val="both"/>
              <w:rPr>
                <w:rFonts w:hint="eastAsia" w:asciiTheme="minorEastAsia" w:hAnsiTheme="minorEastAsia" w:eastAsiaTheme="minorEastAsia" w:cstheme="minorEastAsia"/>
                <w:b/>
                <w:bCs/>
                <w:color w:val="auto"/>
                <w:sz w:val="21"/>
                <w:szCs w:val="21"/>
                <w:vertAlign w:val="baseline"/>
              </w:rPr>
            </w:pPr>
            <w:r>
              <w:rPr>
                <w:rFonts w:hint="eastAsia" w:asciiTheme="minorEastAsia" w:hAnsiTheme="minorEastAsia" w:cstheme="minorEastAsia"/>
                <w:b/>
                <w:bCs/>
                <w:color w:val="auto"/>
                <w:sz w:val="21"/>
                <w:szCs w:val="21"/>
                <w:vertAlign w:val="baseline"/>
                <w:lang w:val="en-US" w:eastAsia="zh-CN"/>
              </w:rPr>
              <w:t>6</w:t>
            </w:r>
            <w:r>
              <w:rPr>
                <w:rFonts w:hint="eastAsia" w:asciiTheme="minorEastAsia" w:hAnsiTheme="minorEastAsia" w:eastAsiaTheme="minorEastAsia" w:cstheme="minorEastAsia"/>
                <w:b/>
                <w:bCs/>
                <w:color w:val="auto"/>
                <w:sz w:val="21"/>
                <w:szCs w:val="21"/>
                <w:vertAlign w:val="baseline"/>
                <w:lang w:val="en-US" w:eastAsia="zh-CN"/>
              </w:rPr>
              <w:t>、</w:t>
            </w:r>
            <w:r>
              <w:rPr>
                <w:rFonts w:hint="eastAsia" w:asciiTheme="minorEastAsia" w:hAnsiTheme="minorEastAsia" w:eastAsiaTheme="minorEastAsia" w:cstheme="minorEastAsia"/>
                <w:sz w:val="21"/>
                <w:szCs w:val="21"/>
              </w:rPr>
              <w:t>投标人在河南省境内设有售后分支机构的得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b/>
                <w:bCs/>
                <w:sz w:val="21"/>
                <w:szCs w:val="21"/>
              </w:rPr>
              <w:t>（售后服务</w:t>
            </w:r>
            <w:r>
              <w:rPr>
                <w:rFonts w:hint="eastAsia" w:asciiTheme="minorEastAsia" w:hAnsiTheme="minorEastAsia" w:eastAsiaTheme="minorEastAsia" w:cstheme="minorEastAsia"/>
                <w:b/>
                <w:bCs/>
                <w:sz w:val="21"/>
                <w:szCs w:val="21"/>
                <w:lang w:eastAsia="zh-CN"/>
              </w:rPr>
              <w:t>分支</w:t>
            </w:r>
            <w:r>
              <w:rPr>
                <w:rFonts w:hint="eastAsia" w:asciiTheme="minorEastAsia" w:hAnsiTheme="minorEastAsia" w:eastAsiaTheme="minorEastAsia" w:cstheme="minorEastAsia"/>
                <w:b/>
                <w:bCs/>
                <w:sz w:val="21"/>
                <w:szCs w:val="21"/>
              </w:rPr>
              <w:t>机构营业执照复印件做入投标文件中</w:t>
            </w:r>
            <w:r>
              <w:rPr>
                <w:rFonts w:hint="eastAsia" w:asciiTheme="minorEastAsia" w:hAnsiTheme="minorEastAsia" w:eastAsiaTheme="minorEastAsia" w:cstheme="minorEastAsia"/>
                <w:b/>
                <w:bCs/>
                <w:sz w:val="21"/>
                <w:szCs w:val="21"/>
                <w:lang w:eastAsia="zh-CN"/>
              </w:rPr>
              <w:t>并加盖公章</w:t>
            </w:r>
            <w:r>
              <w:rPr>
                <w:rFonts w:hint="eastAsia" w:asciiTheme="minorEastAsia" w:hAnsiTheme="minorEastAsia" w:eastAsiaTheme="minorEastAsia" w:cstheme="minorEastAsia"/>
                <w:b/>
                <w:bCs/>
                <w:sz w:val="21"/>
                <w:szCs w:val="21"/>
              </w:rPr>
              <w:t>，原件备查，如投标人营业执照</w:t>
            </w:r>
            <w:r>
              <w:rPr>
                <w:rFonts w:hint="eastAsia" w:asciiTheme="minorEastAsia" w:hAnsiTheme="minorEastAsia" w:eastAsiaTheme="minorEastAsia" w:cstheme="minorEastAsia"/>
                <w:b/>
                <w:bCs/>
                <w:sz w:val="21"/>
                <w:szCs w:val="21"/>
                <w:lang w:eastAsia="zh-CN"/>
              </w:rPr>
              <w:t>注册</w:t>
            </w:r>
            <w:r>
              <w:rPr>
                <w:rFonts w:hint="eastAsia" w:asciiTheme="minorEastAsia" w:hAnsiTheme="minorEastAsia" w:eastAsiaTheme="minorEastAsia" w:cstheme="minorEastAsia"/>
                <w:b/>
                <w:bCs/>
                <w:sz w:val="21"/>
                <w:szCs w:val="21"/>
              </w:rPr>
              <w:t>地址在河南省境内，则本项直接得3分</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投标人在河南省境内设有售后网点</w:t>
            </w:r>
            <w:r>
              <w:rPr>
                <w:rFonts w:hint="eastAsia" w:asciiTheme="minorEastAsia" w:hAnsiTheme="minorEastAsia" w:eastAsiaTheme="minorEastAsia" w:cstheme="minorEastAsia"/>
                <w:sz w:val="21"/>
                <w:szCs w:val="21"/>
                <w:lang w:eastAsia="zh-CN"/>
              </w:rPr>
              <w:t>的得</w:t>
            </w:r>
            <w:r>
              <w:rPr>
                <w:rFonts w:hint="eastAsia" w:asciiTheme="minorEastAsia" w:hAnsiTheme="minorEastAsia" w:eastAsiaTheme="minorEastAsia" w:cstheme="minorEastAsia"/>
                <w:sz w:val="21"/>
                <w:szCs w:val="21"/>
                <w:lang w:val="en-US" w:eastAsia="zh-CN"/>
              </w:rPr>
              <w:t>1分，</w:t>
            </w:r>
            <w:r>
              <w:rPr>
                <w:rFonts w:hint="eastAsia" w:asciiTheme="minorEastAsia" w:hAnsiTheme="minorEastAsia" w:eastAsiaTheme="minorEastAsia" w:cstheme="minorEastAsia"/>
                <w:b/>
                <w:bCs/>
                <w:sz w:val="21"/>
                <w:szCs w:val="21"/>
                <w:lang w:val="en-US" w:eastAsia="zh-CN"/>
              </w:rPr>
              <w:t>（与</w:t>
            </w:r>
            <w:r>
              <w:rPr>
                <w:rFonts w:hint="eastAsia" w:asciiTheme="minorEastAsia" w:hAnsiTheme="minorEastAsia" w:eastAsiaTheme="minorEastAsia" w:cstheme="minorEastAsia"/>
                <w:b/>
                <w:bCs/>
                <w:sz w:val="21"/>
                <w:szCs w:val="21"/>
              </w:rPr>
              <w:t>售后服务网点签订的合同、售后服务网点的营业执照</w:t>
            </w:r>
            <w:r>
              <w:rPr>
                <w:rFonts w:hint="eastAsia" w:asciiTheme="minorEastAsia" w:hAnsiTheme="minorEastAsia" w:eastAsiaTheme="minorEastAsia" w:cstheme="minorEastAsia"/>
                <w:b/>
                <w:bCs/>
                <w:sz w:val="21"/>
                <w:szCs w:val="21"/>
                <w:lang w:eastAsia="zh-CN"/>
              </w:rPr>
              <w:t>复印件做入投标文件中并加盖公章，原件备查</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36" w:type="dxa"/>
          </w:tcPr>
          <w:p>
            <w:pPr>
              <w:jc w:val="both"/>
              <w:rPr>
                <w:rFonts w:hint="eastAsia" w:asciiTheme="minorEastAsia" w:hAnsiTheme="minorEastAsia" w:eastAsiaTheme="minorEastAsia" w:cstheme="minorEastAsia"/>
                <w:color w:val="auto"/>
                <w:sz w:val="21"/>
                <w:szCs w:val="21"/>
                <w:vertAlign w:val="baseline"/>
              </w:rPr>
            </w:pPr>
          </w:p>
        </w:tc>
        <w:tc>
          <w:tcPr>
            <w:tcW w:w="856" w:type="dxa"/>
          </w:tcPr>
          <w:p>
            <w:pPr>
              <w:jc w:val="both"/>
              <w:rPr>
                <w:rFonts w:hint="eastAsia" w:asciiTheme="minorEastAsia" w:hAnsiTheme="minorEastAsia" w:eastAsiaTheme="minorEastAsia" w:cstheme="minorEastAsia"/>
                <w:color w:val="auto"/>
                <w:sz w:val="21"/>
                <w:szCs w:val="21"/>
                <w:vertAlign w:val="baseline"/>
              </w:rPr>
            </w:pPr>
          </w:p>
        </w:tc>
        <w:tc>
          <w:tcPr>
            <w:tcW w:w="8090" w:type="dxa"/>
          </w:tcPr>
          <w:p>
            <w:pPr>
              <w:numPr>
                <w:ilvl w:val="0"/>
                <w:numId w:val="0"/>
              </w:numPr>
              <w:ind w:leftChars="0"/>
              <w:jc w:val="both"/>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w:t>
            </w:r>
            <w:r>
              <w:rPr>
                <w:rFonts w:hint="eastAsia" w:asciiTheme="minorEastAsia" w:hAnsiTheme="minorEastAsia" w:eastAsiaTheme="minorEastAsia" w:cstheme="minorEastAsia"/>
                <w:color w:val="auto"/>
                <w:sz w:val="21"/>
                <w:szCs w:val="21"/>
                <w:vertAlign w:val="baseline"/>
              </w:rPr>
              <w:t>投标人每提供一份自 201</w:t>
            </w:r>
            <w:r>
              <w:rPr>
                <w:rFonts w:hint="eastAsia" w:asciiTheme="minorEastAsia" w:hAnsiTheme="minorEastAsia" w:eastAsiaTheme="minorEastAsia" w:cstheme="minorEastAsia"/>
                <w:color w:val="auto"/>
                <w:sz w:val="21"/>
                <w:szCs w:val="21"/>
                <w:vertAlign w:val="baseline"/>
                <w:lang w:val="en-US" w:eastAsia="zh-CN"/>
              </w:rPr>
              <w:t>7</w:t>
            </w:r>
            <w:r>
              <w:rPr>
                <w:rFonts w:hint="eastAsia" w:asciiTheme="minorEastAsia" w:hAnsiTheme="minorEastAsia" w:eastAsiaTheme="minorEastAsia" w:cstheme="minorEastAsia"/>
                <w:color w:val="auto"/>
                <w:sz w:val="21"/>
                <w:szCs w:val="21"/>
                <w:vertAlign w:val="baseline"/>
              </w:rPr>
              <w:t xml:space="preserve"> 年以来类似业绩的得 2 分，最高的 </w:t>
            </w:r>
            <w:r>
              <w:rPr>
                <w:rFonts w:hint="eastAsia" w:asciiTheme="minorEastAsia" w:hAnsiTheme="minorEastAsia" w:eastAsiaTheme="minorEastAsia" w:cstheme="minorEastAsia"/>
                <w:color w:val="auto"/>
                <w:sz w:val="21"/>
                <w:szCs w:val="21"/>
                <w:vertAlign w:val="baseline"/>
                <w:lang w:val="en-US"/>
              </w:rPr>
              <w:t>4</w:t>
            </w:r>
            <w:r>
              <w:rPr>
                <w:rFonts w:hint="eastAsia" w:asciiTheme="minorEastAsia" w:hAnsiTheme="minorEastAsia" w:eastAsiaTheme="minorEastAsia" w:cstheme="minorEastAsia"/>
                <w:color w:val="auto"/>
                <w:sz w:val="21"/>
                <w:szCs w:val="21"/>
                <w:vertAlign w:val="baseline"/>
              </w:rPr>
              <w:t xml:space="preserve"> 分</w:t>
            </w:r>
            <w:r>
              <w:rPr>
                <w:rFonts w:hint="eastAsia" w:asciiTheme="minorEastAsia" w:hAnsiTheme="minorEastAsia" w:eastAsiaTheme="minorEastAsia" w:cstheme="minorEastAsia"/>
                <w:b/>
                <w:bCs/>
                <w:color w:val="auto"/>
                <w:sz w:val="21"/>
                <w:szCs w:val="21"/>
                <w:vertAlign w:val="baseline"/>
              </w:rPr>
              <w:t>（提供政府官方网站发布中标公示面页截图、中标通知书、合同、开具的发票底联、采购方汇款凭证的复印件或扫描件并加盖投标人公章附于投标文件中）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trPr>
        <w:tc>
          <w:tcPr>
            <w:tcW w:w="536" w:type="dxa"/>
            <w:vAlign w:val="center"/>
          </w:tcPr>
          <w:p>
            <w:pPr>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w:t>
            </w:r>
          </w:p>
        </w:tc>
        <w:tc>
          <w:tcPr>
            <w:tcW w:w="856" w:type="dxa"/>
            <w:vAlign w:val="center"/>
          </w:tcPr>
          <w:p>
            <w:pPr>
              <w:jc w:val="center"/>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vertAlign w:val="baseline"/>
              </w:rPr>
              <w:t>技术分（</w:t>
            </w:r>
            <w:r>
              <w:rPr>
                <w:rFonts w:hint="eastAsia" w:asciiTheme="minorEastAsia" w:hAnsiTheme="minorEastAsia" w:eastAsiaTheme="minorEastAsia" w:cstheme="minorEastAsia"/>
                <w:color w:val="auto"/>
                <w:sz w:val="21"/>
                <w:szCs w:val="21"/>
                <w:vertAlign w:val="baseline"/>
                <w:lang w:val="en-US" w:eastAsia="zh-CN"/>
              </w:rPr>
              <w:t>33</w:t>
            </w:r>
            <w:r>
              <w:rPr>
                <w:rFonts w:hint="eastAsia" w:asciiTheme="minorEastAsia" w:hAnsiTheme="minorEastAsia" w:eastAsiaTheme="minorEastAsia" w:cstheme="minorEastAsia"/>
                <w:color w:val="auto"/>
                <w:sz w:val="21"/>
                <w:szCs w:val="21"/>
                <w:vertAlign w:val="baseline"/>
              </w:rPr>
              <w:t>分）</w:t>
            </w:r>
          </w:p>
        </w:tc>
        <w:tc>
          <w:tcPr>
            <w:tcW w:w="8090" w:type="dxa"/>
          </w:tcPr>
          <w:p>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color w:val="auto"/>
                <w:sz w:val="21"/>
                <w:szCs w:val="21"/>
                <w:vertAlign w:val="baseline"/>
              </w:rPr>
              <w:t xml:space="preserve"> </w:t>
            </w:r>
            <w:r>
              <w:rPr>
                <w:rFonts w:hint="eastAsia" w:asciiTheme="minorEastAsia" w:hAnsiTheme="minorEastAsia" w:eastAsiaTheme="minorEastAsia" w:cstheme="minorEastAsia"/>
                <w:color w:val="auto"/>
                <w:sz w:val="21"/>
                <w:szCs w:val="21"/>
                <w:vertAlign w:val="baseline"/>
                <w:lang w:val="en-US" w:eastAsia="zh-CN"/>
              </w:rPr>
              <w:t>1、</w:t>
            </w:r>
            <w:r>
              <w:rPr>
                <w:rFonts w:hint="eastAsia" w:asciiTheme="minorEastAsia" w:hAnsiTheme="minorEastAsia" w:eastAsiaTheme="minorEastAsia" w:cstheme="minorEastAsia"/>
                <w:color w:val="auto"/>
                <w:sz w:val="21"/>
                <w:szCs w:val="21"/>
                <w:vertAlign w:val="baseline"/>
              </w:rPr>
              <w:t>以招标文件“技术规格、参数和要求”为基准，完全满足招标文件技术参数要求的计</w:t>
            </w:r>
            <w:r>
              <w:rPr>
                <w:rFonts w:hint="eastAsia" w:asciiTheme="minorEastAsia" w:hAnsiTheme="minorEastAsia" w:eastAsiaTheme="minorEastAsia" w:cstheme="minorEastAsia"/>
                <w:color w:val="auto"/>
                <w:sz w:val="21"/>
                <w:szCs w:val="21"/>
                <w:vertAlign w:val="baseline"/>
                <w:lang w:val="en-US" w:eastAsia="zh-CN"/>
              </w:rPr>
              <w:t>10</w:t>
            </w:r>
            <w:r>
              <w:rPr>
                <w:rFonts w:hint="eastAsia" w:asciiTheme="minorEastAsia" w:hAnsiTheme="minorEastAsia" w:eastAsiaTheme="minorEastAsia" w:cstheme="minorEastAsia"/>
                <w:color w:val="auto"/>
                <w:sz w:val="21"/>
                <w:szCs w:val="21"/>
                <w:vertAlign w:val="baseline"/>
              </w:rPr>
              <w:t>分，</w:t>
            </w:r>
            <w:r>
              <w:rPr>
                <w:rFonts w:hint="eastAsia" w:asciiTheme="minorEastAsia" w:hAnsiTheme="minorEastAsia" w:eastAsiaTheme="minorEastAsia" w:cstheme="minorEastAsia"/>
                <w:color w:val="auto"/>
                <w:sz w:val="21"/>
                <w:szCs w:val="21"/>
                <w:vertAlign w:val="baseline"/>
                <w:lang w:eastAsia="zh-CN"/>
              </w:rPr>
              <w:t>有一项不满足扣</w:t>
            </w:r>
            <w:r>
              <w:rPr>
                <w:rFonts w:hint="eastAsia" w:asciiTheme="minorEastAsia" w:hAnsiTheme="minorEastAsia" w:eastAsiaTheme="minorEastAsia" w:cstheme="minorEastAsia"/>
                <w:color w:val="auto"/>
                <w:sz w:val="21"/>
                <w:szCs w:val="21"/>
                <w:vertAlign w:val="baseline"/>
                <w:lang w:val="en-US" w:eastAsia="zh-CN"/>
              </w:rPr>
              <w:t>2分，最多扣6分</w:t>
            </w:r>
            <w:r>
              <w:rPr>
                <w:rFonts w:hint="eastAsia" w:asciiTheme="minorEastAsia" w:hAnsiTheme="minorEastAsia" w:eastAsiaTheme="minorEastAsia" w:cstheme="minorEastAsia"/>
                <w:color w:val="auto"/>
                <w:sz w:val="21"/>
                <w:szCs w:val="21"/>
                <w:vertAlign w:val="baseline"/>
              </w:rPr>
              <w:t>。</w:t>
            </w:r>
          </w:p>
          <w:p>
            <w:pPr>
              <w:keepNext w:val="0"/>
              <w:keepLines w:val="0"/>
              <w:widowControl/>
              <w:suppressLineNumbers w:val="0"/>
              <w:spacing w:line="360" w:lineRule="auto"/>
              <w:jc w:val="left"/>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sz w:val="21"/>
                <w:szCs w:val="21"/>
                <w:vertAlign w:val="baseline"/>
                <w:lang w:val="en-US" w:eastAsia="zh-CN"/>
              </w:rPr>
              <w:t>2、</w:t>
            </w:r>
            <w:r>
              <w:rPr>
                <w:rFonts w:hint="eastAsia" w:asciiTheme="minorEastAsia" w:hAnsiTheme="minorEastAsia" w:eastAsiaTheme="minorEastAsia" w:cstheme="minorEastAsia"/>
                <w:color w:val="auto"/>
                <w:sz w:val="21"/>
                <w:szCs w:val="21"/>
                <w:vertAlign w:val="baseline"/>
              </w:rPr>
              <w:t>根据投标人提供的投标样品</w:t>
            </w:r>
            <w:r>
              <w:rPr>
                <w:rFonts w:hint="eastAsia" w:asciiTheme="minorEastAsia" w:hAnsiTheme="minorEastAsia" w:eastAsiaTheme="minorEastAsia" w:cstheme="minorEastAsia"/>
                <w:color w:val="auto"/>
                <w:sz w:val="21"/>
                <w:szCs w:val="21"/>
                <w:vertAlign w:val="baseline"/>
                <w:lang w:eastAsia="zh-CN"/>
              </w:rPr>
              <w:t>款式、面料质量、</w:t>
            </w:r>
            <w:r>
              <w:rPr>
                <w:rFonts w:hint="eastAsia" w:asciiTheme="minorEastAsia" w:hAnsiTheme="minorEastAsia" w:eastAsiaTheme="minorEastAsia" w:cstheme="minorEastAsia"/>
                <w:color w:val="auto"/>
                <w:sz w:val="21"/>
                <w:szCs w:val="21"/>
                <w:vertAlign w:val="baseline"/>
              </w:rPr>
              <w:t>缝纫工艺</w:t>
            </w:r>
            <w:r>
              <w:rPr>
                <w:rFonts w:hint="eastAsia" w:asciiTheme="minorEastAsia" w:hAnsiTheme="minorEastAsia" w:eastAsiaTheme="minorEastAsia" w:cstheme="minorEastAsia"/>
                <w:color w:val="auto"/>
                <w:sz w:val="21"/>
                <w:szCs w:val="21"/>
                <w:vertAlign w:val="baseline"/>
                <w:lang w:eastAsia="zh-CN"/>
              </w:rPr>
              <w:t>，填充物</w:t>
            </w:r>
            <w:r>
              <w:rPr>
                <w:rFonts w:hint="eastAsia" w:asciiTheme="minorEastAsia" w:hAnsiTheme="minorEastAsia" w:eastAsiaTheme="minorEastAsia" w:cstheme="minorEastAsia"/>
                <w:color w:val="auto"/>
                <w:sz w:val="21"/>
                <w:szCs w:val="21"/>
                <w:vertAlign w:val="baseline"/>
              </w:rPr>
              <w:t>色泽、形态、铺棉、包边 研磨、含杂、网纱</w:t>
            </w:r>
            <w:r>
              <w:rPr>
                <w:rFonts w:hint="eastAsia" w:asciiTheme="minorEastAsia" w:hAnsiTheme="minorEastAsia" w:eastAsiaTheme="minorEastAsia" w:cstheme="minorEastAsia"/>
                <w:color w:val="auto"/>
                <w:sz w:val="21"/>
                <w:szCs w:val="21"/>
                <w:vertAlign w:val="baseline"/>
                <w:lang w:eastAsia="zh-CN"/>
              </w:rPr>
              <w:t>、所用材质的优劣</w:t>
            </w:r>
            <w:r>
              <w:rPr>
                <w:rFonts w:hint="eastAsia" w:asciiTheme="minorEastAsia" w:hAnsiTheme="minorEastAsia" w:eastAsiaTheme="minorEastAsia" w:cstheme="minorEastAsia"/>
                <w:color w:val="auto"/>
                <w:sz w:val="21"/>
                <w:szCs w:val="21"/>
                <w:vertAlign w:val="baseline"/>
              </w:rPr>
              <w:t>情况</w:t>
            </w:r>
            <w:r>
              <w:rPr>
                <w:rFonts w:hint="eastAsia" w:asciiTheme="minorEastAsia" w:hAnsiTheme="minorEastAsia" w:eastAsiaTheme="minorEastAsia" w:cstheme="minorEastAsia"/>
                <w:sz w:val="21"/>
                <w:szCs w:val="21"/>
              </w:rPr>
              <w:t>综合评价</w:t>
            </w:r>
            <w:r>
              <w:rPr>
                <w:rFonts w:hint="eastAsia" w:asciiTheme="minorEastAsia" w:hAnsiTheme="minorEastAsia" w:eastAsiaTheme="minorEastAsia" w:cstheme="minorEastAsia"/>
                <w:color w:val="auto"/>
                <w:sz w:val="21"/>
                <w:szCs w:val="21"/>
                <w:vertAlign w:val="baseline"/>
                <w:lang w:eastAsia="zh-CN"/>
              </w:rPr>
              <w:t>，</w:t>
            </w:r>
            <w:r>
              <w:rPr>
                <w:rFonts w:hint="eastAsia" w:asciiTheme="minorEastAsia" w:hAnsiTheme="minorEastAsia" w:eastAsiaTheme="minorEastAsia" w:cstheme="minorEastAsia"/>
                <w:color w:val="auto"/>
                <w:kern w:val="0"/>
                <w:sz w:val="21"/>
                <w:szCs w:val="21"/>
                <w:lang w:val="en-US" w:eastAsia="zh-CN" w:bidi="ar"/>
              </w:rPr>
              <w:t xml:space="preserve">优得 </w:t>
            </w:r>
            <w:r>
              <w:rPr>
                <w:rFonts w:hint="eastAsia" w:asciiTheme="minorEastAsia" w:hAnsiTheme="minorEastAsia" w:cstheme="minorEastAsia"/>
                <w:color w:val="auto"/>
                <w:kern w:val="0"/>
                <w:sz w:val="21"/>
                <w:szCs w:val="21"/>
                <w:lang w:val="en-US" w:eastAsia="zh-CN" w:bidi="ar"/>
              </w:rPr>
              <w:t>10</w:t>
            </w:r>
            <w:r>
              <w:rPr>
                <w:rFonts w:hint="eastAsia" w:asciiTheme="minorEastAsia" w:hAnsiTheme="minorEastAsia" w:eastAsiaTheme="minorEastAsia" w:cstheme="minorEastAsia"/>
                <w:color w:val="auto"/>
                <w:kern w:val="0"/>
                <w:sz w:val="21"/>
                <w:szCs w:val="21"/>
                <w:lang w:val="en-US" w:eastAsia="zh-CN" w:bidi="ar"/>
              </w:rPr>
              <w:t xml:space="preserve">分，较好得 </w:t>
            </w:r>
            <w:r>
              <w:rPr>
                <w:rFonts w:hint="eastAsia" w:asciiTheme="minorEastAsia" w:hAnsiTheme="minorEastAsia" w:cstheme="minorEastAsia"/>
                <w:color w:val="auto"/>
                <w:kern w:val="0"/>
                <w:sz w:val="21"/>
                <w:szCs w:val="21"/>
                <w:lang w:val="en-US" w:eastAsia="zh-CN" w:bidi="ar"/>
              </w:rPr>
              <w:t>6</w:t>
            </w:r>
            <w:r>
              <w:rPr>
                <w:rFonts w:hint="eastAsia" w:asciiTheme="minorEastAsia" w:hAnsiTheme="minorEastAsia" w:eastAsiaTheme="minorEastAsia" w:cstheme="minorEastAsia"/>
                <w:color w:val="auto"/>
                <w:kern w:val="0"/>
                <w:sz w:val="21"/>
                <w:szCs w:val="21"/>
                <w:lang w:val="en-US" w:eastAsia="zh-CN" w:bidi="ar"/>
              </w:rPr>
              <w:t xml:space="preserve">分，一般得 </w:t>
            </w:r>
            <w:r>
              <w:rPr>
                <w:rFonts w:hint="eastAsia" w:asciiTheme="minorEastAsia" w:hAnsi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val="en-US" w:eastAsia="zh-CN" w:bidi="ar"/>
              </w:rPr>
              <w:t>分，差得0分（未提供样品，该项不得分）。</w:t>
            </w:r>
          </w:p>
          <w:p>
            <w:pPr>
              <w:keepNext w:val="0"/>
              <w:keepLines w:val="0"/>
              <w:widowControl/>
              <w:suppressLineNumbers w:val="0"/>
              <w:spacing w:line="360" w:lineRule="auto"/>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vertAlign w:val="baseline"/>
                <w:lang w:val="en-US" w:eastAsia="zh-CN"/>
              </w:rPr>
              <w:t>3、</w:t>
            </w:r>
            <w:r>
              <w:rPr>
                <w:rFonts w:hint="eastAsia" w:asciiTheme="minorEastAsia" w:hAnsiTheme="minorEastAsia" w:eastAsiaTheme="minorEastAsia" w:cstheme="minorEastAsia"/>
                <w:sz w:val="21"/>
                <w:szCs w:val="21"/>
                <w:lang w:val="zh-CN"/>
              </w:rPr>
              <w:t>设置了产品质量保障体系，能够针对产品特点制定质量保障方案，并且提供详尽、具体的质量保证措施，优秀的，得</w:t>
            </w:r>
            <w:r>
              <w:rPr>
                <w:rFonts w:hint="eastAsia" w:asciiTheme="minorEastAsia" w:hAnsiTheme="minorEastAsia" w:cstheme="minorEastAsia"/>
                <w:sz w:val="21"/>
                <w:szCs w:val="21"/>
                <w:lang w:val="en-US" w:eastAsia="zh-CN"/>
              </w:rPr>
              <w:t>7</w:t>
            </w:r>
            <w:r>
              <w:rPr>
                <w:rFonts w:hint="eastAsia" w:asciiTheme="minorEastAsia" w:hAnsiTheme="minorEastAsia" w:eastAsiaTheme="minorEastAsia" w:cstheme="minorEastAsia"/>
                <w:sz w:val="21"/>
                <w:szCs w:val="21"/>
                <w:lang w:val="zh-CN"/>
              </w:rPr>
              <w:t>分；较好的得</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val="zh-CN"/>
              </w:rPr>
              <w:t>分；一般得</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val="zh-CN"/>
              </w:rPr>
              <w:t>分；差的得</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lang w:val="zh-CN"/>
              </w:rPr>
              <w:t>分；未提供的不得分。</w:t>
            </w:r>
          </w:p>
          <w:p>
            <w:pPr>
              <w:keepNext w:val="0"/>
              <w:keepLines w:val="0"/>
              <w:widowControl/>
              <w:suppressLineNumbers w:val="0"/>
              <w:spacing w:line="360" w:lineRule="auto"/>
              <w:jc w:val="left"/>
              <w:rPr>
                <w:rFonts w:hint="eastAsia" w:asciiTheme="minorEastAsia" w:hAnsiTheme="minorEastAsia" w:eastAsiaTheme="minorEastAsia" w:cstheme="minorEastAsia"/>
                <w:b w:val="0"/>
                <w:bCs w:val="0"/>
                <w:color w:val="000000"/>
                <w:sz w:val="21"/>
                <w:szCs w:val="21"/>
                <w:lang w:val="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b w:val="0"/>
                <w:bCs w:val="0"/>
                <w:color w:val="000000"/>
                <w:sz w:val="21"/>
                <w:szCs w:val="21"/>
                <w:lang w:val="zh-CN"/>
              </w:rPr>
              <w:t>设置了项目管理机构，并且有科学、具体的项目管理措施，能够结合项目特点制定实施方案优秀的得</w:t>
            </w:r>
            <w:r>
              <w:rPr>
                <w:rFonts w:hint="eastAsia" w:asciiTheme="minorEastAsia" w:hAnsiTheme="minorEastAsia" w:eastAsiaTheme="minorEastAsia" w:cstheme="minorEastAsia"/>
                <w:b w:val="0"/>
                <w:bCs w:val="0"/>
                <w:color w:val="000000"/>
                <w:sz w:val="21"/>
                <w:szCs w:val="21"/>
                <w:lang w:val="en-US" w:eastAsia="zh-CN"/>
              </w:rPr>
              <w:t>3</w:t>
            </w:r>
            <w:r>
              <w:rPr>
                <w:rFonts w:hint="eastAsia" w:asciiTheme="minorEastAsia" w:hAnsiTheme="minorEastAsia" w:eastAsiaTheme="minorEastAsia" w:cstheme="minorEastAsia"/>
                <w:b w:val="0"/>
                <w:bCs w:val="0"/>
                <w:color w:val="000000"/>
                <w:sz w:val="21"/>
                <w:szCs w:val="21"/>
                <w:lang w:val="zh-CN"/>
              </w:rPr>
              <w:t>分，一般得</w:t>
            </w:r>
            <w:r>
              <w:rPr>
                <w:rFonts w:hint="eastAsia" w:asciiTheme="minorEastAsia" w:hAnsiTheme="minorEastAsia" w:eastAsiaTheme="minorEastAsia" w:cstheme="minorEastAsia"/>
                <w:b w:val="0"/>
                <w:bCs w:val="0"/>
                <w:color w:val="000000"/>
                <w:sz w:val="21"/>
                <w:szCs w:val="21"/>
                <w:lang w:val="en-US" w:eastAsia="zh-CN"/>
              </w:rPr>
              <w:t>1</w:t>
            </w:r>
            <w:r>
              <w:rPr>
                <w:rFonts w:hint="eastAsia" w:asciiTheme="minorEastAsia" w:hAnsiTheme="minorEastAsia" w:eastAsiaTheme="minorEastAsia" w:cstheme="minorEastAsia"/>
                <w:b w:val="0"/>
                <w:bCs w:val="0"/>
                <w:color w:val="000000"/>
                <w:sz w:val="21"/>
                <w:szCs w:val="21"/>
                <w:lang w:val="zh-CN"/>
              </w:rPr>
              <w:t>分，未提供的不得分。</w:t>
            </w:r>
          </w:p>
          <w:p>
            <w:pPr>
              <w:keepNext w:val="0"/>
              <w:keepLines w:val="0"/>
              <w:widowControl/>
              <w:suppressLineNumbers w:val="0"/>
              <w:jc w:val="left"/>
              <w:rPr>
                <w:rFonts w:hint="eastAsia" w:asciiTheme="minorEastAsia" w:hAnsiTheme="minorEastAsia" w:eastAsiaTheme="minorEastAsia" w:cstheme="minorEastAsia"/>
                <w:color w:val="auto"/>
                <w:sz w:val="21"/>
                <w:szCs w:val="21"/>
                <w:vertAlign w:val="baseline"/>
              </w:rPr>
            </w:pPr>
            <w:r>
              <w:rPr>
                <w:rFonts w:hint="eastAsia" w:asciiTheme="minorEastAsia" w:hAnsiTheme="minorEastAsia" w:eastAsiaTheme="minorEastAsia" w:cstheme="minorEastAsia"/>
                <w:b/>
                <w:bCs/>
                <w:sz w:val="21"/>
                <w:szCs w:val="21"/>
                <w:vertAlign w:val="baseline"/>
                <w:lang w:val="en-US" w:eastAsia="zh-CN"/>
              </w:rPr>
              <w:t>5、</w:t>
            </w:r>
            <w:r>
              <w:rPr>
                <w:rFonts w:hint="eastAsia" w:asciiTheme="minorEastAsia" w:hAnsiTheme="minorEastAsia" w:eastAsiaTheme="minorEastAsia" w:cstheme="minorEastAsia"/>
                <w:sz w:val="21"/>
                <w:szCs w:val="21"/>
                <w:lang w:eastAsia="zh-CN"/>
              </w:rPr>
              <w:t>投标人</w:t>
            </w:r>
            <w:r>
              <w:rPr>
                <w:rFonts w:hint="eastAsia" w:asciiTheme="minorEastAsia" w:hAnsiTheme="minorEastAsia" w:eastAsiaTheme="minorEastAsia" w:cstheme="minorEastAsia"/>
                <w:sz w:val="21"/>
                <w:szCs w:val="21"/>
              </w:rPr>
              <w:t>针对本项目制定的运输过程中突发情况的解决方案及处理措施</w:t>
            </w:r>
            <w:r>
              <w:rPr>
                <w:rFonts w:hint="eastAsia" w:asciiTheme="minorEastAsia" w:hAnsiTheme="minorEastAsia" w:eastAsiaTheme="minorEastAsia" w:cstheme="minorEastAsia"/>
                <w:b w:val="0"/>
                <w:bCs w:val="0"/>
                <w:color w:val="000000"/>
                <w:sz w:val="21"/>
                <w:szCs w:val="21"/>
                <w:lang w:val="zh-CN"/>
              </w:rPr>
              <w:t>优秀的得</w:t>
            </w:r>
            <w:r>
              <w:rPr>
                <w:rFonts w:hint="eastAsia" w:asciiTheme="minorEastAsia" w:hAnsiTheme="minorEastAsia" w:eastAsiaTheme="minorEastAsia" w:cstheme="minorEastAsia"/>
                <w:b w:val="0"/>
                <w:bCs w:val="0"/>
                <w:color w:val="000000"/>
                <w:sz w:val="21"/>
                <w:szCs w:val="21"/>
                <w:lang w:val="en-US" w:eastAsia="zh-CN"/>
              </w:rPr>
              <w:t>3</w:t>
            </w:r>
            <w:r>
              <w:rPr>
                <w:rFonts w:hint="eastAsia" w:asciiTheme="minorEastAsia" w:hAnsiTheme="minorEastAsia" w:eastAsiaTheme="minorEastAsia" w:cstheme="minorEastAsia"/>
                <w:b w:val="0"/>
                <w:bCs w:val="0"/>
                <w:color w:val="000000"/>
                <w:sz w:val="21"/>
                <w:szCs w:val="21"/>
                <w:lang w:val="zh-CN"/>
              </w:rPr>
              <w:t>分，一般得</w:t>
            </w:r>
            <w:r>
              <w:rPr>
                <w:rFonts w:hint="eastAsia" w:asciiTheme="minorEastAsia" w:hAnsiTheme="minorEastAsia" w:eastAsiaTheme="minorEastAsia" w:cstheme="minorEastAsia"/>
                <w:b w:val="0"/>
                <w:bCs w:val="0"/>
                <w:color w:val="000000"/>
                <w:sz w:val="21"/>
                <w:szCs w:val="21"/>
                <w:lang w:val="en-US" w:eastAsia="zh-CN"/>
              </w:rPr>
              <w:t>1</w:t>
            </w:r>
            <w:r>
              <w:rPr>
                <w:rFonts w:hint="eastAsia" w:asciiTheme="minorEastAsia" w:hAnsiTheme="minorEastAsia" w:eastAsiaTheme="minorEastAsia" w:cstheme="minorEastAsia"/>
                <w:b w:val="0"/>
                <w:bCs w:val="0"/>
                <w:color w:val="000000"/>
                <w:sz w:val="21"/>
                <w:szCs w:val="21"/>
                <w:lang w:val="zh-CN"/>
              </w:rPr>
              <w:t>分。</w:t>
            </w:r>
          </w:p>
        </w:tc>
      </w:tr>
    </w:tbl>
    <w:p>
      <w:pPr>
        <w:pStyle w:val="15"/>
        <w:rPr>
          <w:b/>
          <w:sz w:val="28"/>
          <w:highlight w:val="none"/>
        </w:rPr>
      </w:pPr>
    </w:p>
    <w:p>
      <w:pPr>
        <w:pStyle w:val="15"/>
        <w:rPr>
          <w:b/>
          <w:sz w:val="28"/>
          <w:highlight w:val="none"/>
        </w:rPr>
      </w:pPr>
    </w:p>
    <w:p>
      <w:pPr>
        <w:pStyle w:val="15"/>
        <w:rPr>
          <w:b/>
          <w:sz w:val="28"/>
          <w:highlight w:val="none"/>
        </w:rPr>
      </w:pPr>
    </w:p>
    <w:p>
      <w:pPr>
        <w:pStyle w:val="15"/>
        <w:rPr>
          <w:b/>
          <w:sz w:val="28"/>
          <w:highlight w:val="none"/>
        </w:rPr>
      </w:pPr>
    </w:p>
    <w:p>
      <w:pPr>
        <w:pStyle w:val="15"/>
        <w:rPr>
          <w:b/>
          <w:sz w:val="28"/>
          <w:highlight w:val="none"/>
        </w:rPr>
      </w:pPr>
    </w:p>
    <w:p>
      <w:pPr>
        <w:pStyle w:val="15"/>
        <w:rPr>
          <w:b/>
          <w:sz w:val="28"/>
          <w:highlight w:val="none"/>
        </w:rPr>
      </w:pPr>
    </w:p>
    <w:p>
      <w:pPr>
        <w:pStyle w:val="15"/>
        <w:rPr>
          <w:b/>
          <w:sz w:val="28"/>
          <w:highlight w:val="none"/>
        </w:rPr>
      </w:pPr>
    </w:p>
    <w:p>
      <w:pPr>
        <w:spacing w:line="360" w:lineRule="auto"/>
        <w:ind w:firstLine="420" w:firstLineChars="200"/>
        <w:rPr>
          <w:rFonts w:hint="eastAsia" w:asciiTheme="minorEastAsia" w:hAnsiTheme="minorEastAsia" w:eastAsiaTheme="minorEastAsia" w:cstheme="minorEastAsia"/>
          <w:sz w:val="21"/>
          <w:szCs w:val="21"/>
          <w:lang w:val="en-US" w:eastAsia="zh-CN"/>
        </w:rPr>
      </w:pPr>
    </w:p>
    <w:p>
      <w:pPr>
        <w:spacing w:line="360" w:lineRule="auto"/>
        <w:ind w:firstLine="420" w:firstLineChars="200"/>
        <w:rPr>
          <w:rFonts w:hint="eastAsia" w:asciiTheme="minorEastAsia" w:hAnsiTheme="minorEastAsia" w:eastAsiaTheme="minorEastAsia" w:cstheme="minorEastAsia"/>
          <w:sz w:val="21"/>
          <w:szCs w:val="21"/>
          <w:lang w:val="en-US" w:eastAsia="zh-CN"/>
        </w:rPr>
      </w:pPr>
    </w:p>
    <w:p>
      <w:pPr>
        <w:pStyle w:val="15"/>
        <w:rPr>
          <w:b/>
          <w:sz w:val="28"/>
          <w:highlight w:val="none"/>
        </w:rPr>
      </w:pPr>
    </w:p>
    <w:p>
      <w:pPr>
        <w:pStyle w:val="15"/>
        <w:rPr>
          <w:b/>
          <w:sz w:val="28"/>
          <w:highlight w:val="yellow"/>
        </w:rPr>
      </w:pPr>
    </w:p>
    <w:p>
      <w:pPr>
        <w:pStyle w:val="15"/>
        <w:rPr>
          <w:b/>
          <w:sz w:val="28"/>
          <w:highlight w:val="yellow"/>
        </w:rPr>
      </w:pPr>
    </w:p>
    <w:p>
      <w:pPr>
        <w:pStyle w:val="15"/>
        <w:rPr>
          <w:b/>
          <w:sz w:val="28"/>
          <w:highlight w:val="yellow"/>
        </w:rPr>
      </w:pPr>
    </w:p>
    <w:p>
      <w:pPr>
        <w:pStyle w:val="4"/>
        <w:kinsoku w:val="0"/>
        <w:overflowPunct w:val="0"/>
        <w:ind w:left="0"/>
        <w:jc w:val="center"/>
        <w:rPr>
          <w:rFonts w:hint="default"/>
          <w:bCs/>
          <w:sz w:val="28"/>
          <w:szCs w:val="28"/>
        </w:rPr>
      </w:pPr>
      <w:bookmarkStart w:id="123" w:name="_Toc20752_WPSOffice_Level1"/>
      <w:r>
        <w:rPr>
          <w:bCs/>
          <w:spacing w:val="1"/>
          <w:sz w:val="28"/>
          <w:szCs w:val="28"/>
        </w:rPr>
        <w:t>第四章</w:t>
      </w:r>
      <w:r>
        <w:rPr>
          <w:rFonts w:hint="eastAsia"/>
          <w:bCs/>
          <w:spacing w:val="1"/>
          <w:sz w:val="28"/>
          <w:szCs w:val="28"/>
          <w:lang w:val="en-US" w:eastAsia="zh-CN"/>
        </w:rPr>
        <w:t xml:space="preserve">  </w:t>
      </w:r>
      <w:r>
        <w:rPr>
          <w:bCs/>
          <w:spacing w:val="2"/>
          <w:sz w:val="28"/>
          <w:szCs w:val="28"/>
        </w:rPr>
        <w:t>合同条款及格式</w:t>
      </w:r>
      <w:bookmarkEnd w:id="123"/>
    </w:p>
    <w:p>
      <w:pPr>
        <w:pStyle w:val="14"/>
        <w:kinsoku w:val="0"/>
        <w:overflowPunct w:val="0"/>
        <w:ind w:left="0"/>
        <w:rPr>
          <w:rFonts w:hint="default"/>
          <w:b/>
          <w:sz w:val="20"/>
        </w:rPr>
      </w:pPr>
    </w:p>
    <w:p>
      <w:pPr>
        <w:pStyle w:val="5"/>
        <w:kinsoku w:val="0"/>
        <w:overflowPunct w:val="0"/>
        <w:spacing w:line="360" w:lineRule="auto"/>
        <w:ind w:left="0"/>
        <w:jc w:val="center"/>
        <w:rPr>
          <w:rFonts w:hint="default" w:asciiTheme="minorEastAsia" w:hAnsiTheme="minorEastAsia" w:eastAsiaTheme="minorEastAsia" w:cstheme="minorEastAsia"/>
          <w:sz w:val="24"/>
          <w:szCs w:val="24"/>
        </w:rPr>
      </w:pPr>
      <w:bookmarkStart w:id="124" w:name="_Toc1458_WPSOffice_Level2"/>
      <w:r>
        <w:rPr>
          <w:rFonts w:asciiTheme="minorEastAsia" w:hAnsiTheme="minorEastAsia" w:eastAsiaTheme="minorEastAsia" w:cstheme="minorEastAsia"/>
          <w:spacing w:val="1"/>
          <w:sz w:val="24"/>
          <w:szCs w:val="24"/>
        </w:rPr>
        <w:t>第一节</w:t>
      </w:r>
      <w:r>
        <w:rPr>
          <w:rFonts w:hint="eastAsia" w:asciiTheme="minorEastAsia" w:hAnsiTheme="minorEastAsia" w:eastAsiaTheme="minorEastAsia" w:cstheme="minorEastAsia"/>
          <w:spacing w:val="1"/>
          <w:sz w:val="24"/>
          <w:szCs w:val="24"/>
          <w:lang w:val="en-US" w:eastAsia="zh-CN"/>
        </w:rPr>
        <w:t xml:space="preserve"> </w:t>
      </w:r>
      <w:r>
        <w:rPr>
          <w:rFonts w:asciiTheme="minorEastAsia" w:hAnsiTheme="minorEastAsia" w:eastAsiaTheme="minorEastAsia" w:cstheme="minorEastAsia"/>
          <w:spacing w:val="1"/>
          <w:sz w:val="24"/>
          <w:szCs w:val="24"/>
        </w:rPr>
        <w:t>合同通用条款</w:t>
      </w:r>
      <w:bookmarkEnd w:id="124"/>
    </w:p>
    <w:p>
      <w:pPr>
        <w:pStyle w:val="4"/>
        <w:numPr>
          <w:ilvl w:val="0"/>
          <w:numId w:val="2"/>
        </w:numPr>
        <w:spacing w:line="360" w:lineRule="auto"/>
        <w:jc w:val="both"/>
        <w:rPr>
          <w:rFonts w:hint="default" w:cs="宋体"/>
          <w:color w:val="000000"/>
          <w:sz w:val="24"/>
          <w:szCs w:val="24"/>
        </w:rPr>
      </w:pPr>
      <w:bookmarkStart w:id="125" w:name="_Toc8834_WPSOffice_Level2"/>
      <w:r>
        <w:rPr>
          <w:rFonts w:cs="宋体"/>
          <w:color w:val="000000"/>
          <w:sz w:val="24"/>
          <w:szCs w:val="24"/>
        </w:rPr>
        <w:t>适用性</w:t>
      </w:r>
      <w:bookmarkEnd w:id="125"/>
    </w:p>
    <w:p>
      <w:pPr>
        <w:spacing w:line="360" w:lineRule="auto"/>
        <w:rPr>
          <w:rFonts w:ascii="宋体" w:hAnsi="宋体" w:cs="宋体"/>
          <w:color w:val="000000"/>
          <w:szCs w:val="24"/>
        </w:rPr>
      </w:pPr>
      <w:r>
        <w:rPr>
          <w:rFonts w:hint="eastAsia" w:ascii="宋体" w:hAnsi="宋体" w:cs="宋体"/>
          <w:color w:val="000000"/>
          <w:szCs w:val="24"/>
        </w:rPr>
        <w:t>1.1  本合同条款适用于没有被本合同其他部分的条款所取代的范围。</w:t>
      </w:r>
    </w:p>
    <w:p>
      <w:pPr>
        <w:pStyle w:val="4"/>
        <w:numPr>
          <w:ilvl w:val="0"/>
          <w:numId w:val="2"/>
        </w:numPr>
        <w:spacing w:line="360" w:lineRule="auto"/>
        <w:jc w:val="both"/>
        <w:rPr>
          <w:rFonts w:hint="default" w:cs="宋体"/>
          <w:color w:val="000000"/>
          <w:sz w:val="24"/>
          <w:szCs w:val="24"/>
        </w:rPr>
      </w:pPr>
      <w:bookmarkStart w:id="126" w:name="_Toc2746_WPSOffice_Level2"/>
      <w:r>
        <w:rPr>
          <w:rFonts w:cs="宋体"/>
          <w:color w:val="000000"/>
          <w:sz w:val="24"/>
          <w:szCs w:val="24"/>
        </w:rPr>
        <w:t>定义</w:t>
      </w:r>
      <w:bookmarkEnd w:id="126"/>
    </w:p>
    <w:p>
      <w:pPr>
        <w:spacing w:line="360" w:lineRule="auto"/>
        <w:rPr>
          <w:rFonts w:ascii="宋体" w:hAnsi="宋体" w:cs="宋体"/>
          <w:color w:val="000000"/>
          <w:szCs w:val="24"/>
        </w:rPr>
      </w:pPr>
      <w:r>
        <w:rPr>
          <w:rFonts w:hint="eastAsia" w:ascii="宋体" w:hAnsi="宋体" w:cs="宋体"/>
          <w:color w:val="000000"/>
          <w:szCs w:val="24"/>
        </w:rPr>
        <w:t>2.1  本文件和附件中所用下列名词的含义在此予以确定。</w:t>
      </w:r>
    </w:p>
    <w:p>
      <w:pPr>
        <w:numPr>
          <w:ilvl w:val="0"/>
          <w:numId w:val="3"/>
        </w:numPr>
        <w:tabs>
          <w:tab w:val="left" w:pos="640"/>
          <w:tab w:val="left" w:pos="126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“需方”是指“合同专用条款资料表”中指明的采购需要货物和服务的单位，包括该法人的法定代表人、法人的继任方和法人的受让方。</w:t>
      </w:r>
    </w:p>
    <w:p>
      <w:pPr>
        <w:numPr>
          <w:ilvl w:val="0"/>
          <w:numId w:val="3"/>
        </w:numPr>
        <w:tabs>
          <w:tab w:val="left" w:pos="640"/>
          <w:tab w:val="left" w:pos="126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“供方”是指提供本合同项下货物和服务的公司或其他实体，包括该法人的法定代表人、法人的继任方和法人的受让方。</w:t>
      </w:r>
    </w:p>
    <w:p>
      <w:pPr>
        <w:numPr>
          <w:ilvl w:val="0"/>
          <w:numId w:val="3"/>
        </w:numPr>
        <w:tabs>
          <w:tab w:val="left" w:pos="640"/>
          <w:tab w:val="left" w:pos="126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“付款人”是指在本合同项下向供方支付合同货物资金款的票据台头单位或部门。</w:t>
      </w:r>
    </w:p>
    <w:p>
      <w:pPr>
        <w:numPr>
          <w:ilvl w:val="0"/>
          <w:numId w:val="3"/>
        </w:numPr>
        <w:tabs>
          <w:tab w:val="left" w:pos="640"/>
          <w:tab w:val="left" w:pos="126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“合同”是指供需双方签署的、合同格式中载明的供需双方所达成的协议，包括所有的附件、附录和上述文件中提到的构成合同的所有文件。</w:t>
      </w:r>
    </w:p>
    <w:p>
      <w:pPr>
        <w:numPr>
          <w:ilvl w:val="0"/>
          <w:numId w:val="3"/>
        </w:numPr>
        <w:tabs>
          <w:tab w:val="left" w:pos="640"/>
          <w:tab w:val="left" w:pos="126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“合同价格”是指根据本合同规定供方在正确地完全履行合同义务后需方应支付给供方的价款。合同价格在合同有效期内为固定价格。</w:t>
      </w:r>
    </w:p>
    <w:p>
      <w:pPr>
        <w:numPr>
          <w:ilvl w:val="0"/>
          <w:numId w:val="3"/>
        </w:numPr>
        <w:tabs>
          <w:tab w:val="left" w:pos="640"/>
          <w:tab w:val="left" w:pos="126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“货物”系指供方按合同要求，须向需方提供的所有设备、材料、机械、仪表、备品备件、工具、手册及其他技术资料和/或其他材料。</w:t>
      </w:r>
    </w:p>
    <w:p>
      <w:pPr>
        <w:numPr>
          <w:ilvl w:val="0"/>
          <w:numId w:val="3"/>
        </w:numPr>
        <w:tabs>
          <w:tab w:val="left" w:pos="640"/>
          <w:tab w:val="left" w:pos="126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服务”是指根据本合同规定由供方提供的与本合同货物有关的辅助服务，包括运输、保险以及其它伴随服务，如安装、调试、验收、试验、运行、检修时相应的技术指导、技术配合、技术培训和合同中规定供方应承担的其它义务。</w:t>
      </w:r>
    </w:p>
    <w:p>
      <w:pPr>
        <w:numPr>
          <w:ilvl w:val="0"/>
          <w:numId w:val="3"/>
        </w:numPr>
        <w:tabs>
          <w:tab w:val="left" w:pos="640"/>
          <w:tab w:val="left" w:pos="126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技术资料”是指合同货物及其相关的设计、制造、监造、检验、安装、调试、验收、性能验收试验和技术指导及合格证、产品质量证明书等文件(包括图纸、各种文字说明、标准、各种软件)，和用于合同项目正确运行和维护的文件。</w:t>
      </w:r>
    </w:p>
    <w:p>
      <w:pPr>
        <w:numPr>
          <w:ilvl w:val="0"/>
          <w:numId w:val="3"/>
        </w:numPr>
        <w:tabs>
          <w:tab w:val="left" w:pos="640"/>
          <w:tab w:val="left" w:pos="126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“监造”是指在合同设备的制造过程中，由需方委托有资质的监造单位派出代表对供方提供的合同设备的关键部位进行质量监督，实行文件见证和现场见证。此种质量监造不解除供方对合同设备质量所负的责任。</w:t>
      </w:r>
    </w:p>
    <w:p>
      <w:pPr>
        <w:numPr>
          <w:ilvl w:val="0"/>
          <w:numId w:val="3"/>
        </w:numPr>
        <w:tabs>
          <w:tab w:val="left" w:pos="640"/>
          <w:tab w:val="left" w:pos="1080"/>
          <w:tab w:val="left" w:pos="1260"/>
          <w:tab w:val="left" w:pos="144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“初步验收”是指当性能验收试验的结果表明已达到了合同附件1规定的保证值后，需方对每台合同货物的验收。</w:t>
      </w:r>
    </w:p>
    <w:p>
      <w:pPr>
        <w:numPr>
          <w:ilvl w:val="0"/>
          <w:numId w:val="3"/>
        </w:numPr>
        <w:tabs>
          <w:tab w:val="left" w:pos="640"/>
          <w:tab w:val="left" w:pos="1080"/>
          <w:tab w:val="left" w:pos="1260"/>
          <w:tab w:val="left" w:pos="1440"/>
          <w:tab w:val="left" w:pos="162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“最终验收”是指由法定的检验部门或需方对的合同货物保证期满后的验收。</w:t>
      </w:r>
    </w:p>
    <w:p>
      <w:pPr>
        <w:numPr>
          <w:ilvl w:val="0"/>
          <w:numId w:val="3"/>
        </w:numPr>
        <w:tabs>
          <w:tab w:val="left" w:pos="640"/>
          <w:tab w:val="left" w:pos="1080"/>
          <w:tab w:val="left" w:pos="1260"/>
          <w:tab w:val="left" w:pos="144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“备品备件”是指根据本合同提供的合同货物备用部件，包括随机备品备件和足够按“合同专用条款资料表”中要求保证所提供设备正常运行使用的备品备件。</w:t>
      </w:r>
    </w:p>
    <w:p>
      <w:pPr>
        <w:numPr>
          <w:ilvl w:val="0"/>
          <w:numId w:val="3"/>
        </w:numPr>
        <w:tabs>
          <w:tab w:val="left" w:pos="640"/>
          <w:tab w:val="left" w:pos="1080"/>
          <w:tab w:val="left" w:pos="1260"/>
          <w:tab w:val="left" w:pos="144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“试运行”是指单机、整机或各系统和/或设备在调试和项目试运行阶段进行的运行。</w:t>
      </w:r>
    </w:p>
    <w:p>
      <w:pPr>
        <w:numPr>
          <w:ilvl w:val="0"/>
          <w:numId w:val="3"/>
        </w:numPr>
        <w:tabs>
          <w:tab w:val="left" w:pos="640"/>
          <w:tab w:val="left" w:pos="1080"/>
          <w:tab w:val="left" w:pos="1260"/>
          <w:tab w:val="left" w:pos="144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“书面文件”是指任何手稿、打字或印刷的有签字和/或印章及日期的文件。</w:t>
      </w:r>
    </w:p>
    <w:p>
      <w:pPr>
        <w:numPr>
          <w:ilvl w:val="0"/>
          <w:numId w:val="3"/>
        </w:numPr>
        <w:tabs>
          <w:tab w:val="left" w:pos="640"/>
          <w:tab w:val="left" w:pos="1080"/>
          <w:tab w:val="left" w:pos="1260"/>
          <w:tab w:val="left" w:pos="144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“分包商”或“分供货商”是指由供方将合同供货范围内任何部分的供货分包给其他的法人及该法人的继任方和该法人允许的受让方。</w:t>
      </w:r>
    </w:p>
    <w:p>
      <w:pPr>
        <w:numPr>
          <w:ilvl w:val="0"/>
          <w:numId w:val="3"/>
        </w:numPr>
        <w:tabs>
          <w:tab w:val="left" w:pos="640"/>
          <w:tab w:val="left" w:pos="1080"/>
          <w:tab w:val="left" w:pos="1260"/>
          <w:tab w:val="left" w:pos="144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 xml:space="preserve"> “设备缺陷”是指供方因设计、制造错误或疏忽所引起的本合同设备（包括部件、原材料、铸锻件、原器件等）达不到本合同规定的性能、质量标准要求的情形。</w:t>
      </w:r>
    </w:p>
    <w:p>
      <w:pPr>
        <w:numPr>
          <w:ilvl w:val="0"/>
          <w:numId w:val="3"/>
        </w:numPr>
        <w:tabs>
          <w:tab w:val="left" w:pos="640"/>
          <w:tab w:val="left" w:pos="1080"/>
          <w:tab w:val="left" w:pos="1260"/>
          <w:tab w:val="left" w:pos="144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“运杂费”是指合同货物从供方始发站（车上）/码头（船上）到需方指定地点所发生的公路、水路、铁路、航空运费，保险费及运输过程中发生的各种费用。</w:t>
      </w:r>
    </w:p>
    <w:p>
      <w:pPr>
        <w:numPr>
          <w:ilvl w:val="0"/>
          <w:numId w:val="3"/>
        </w:numPr>
        <w:tabs>
          <w:tab w:val="left" w:pos="640"/>
          <w:tab w:val="left" w:pos="1080"/>
          <w:tab w:val="left" w:pos="1260"/>
          <w:tab w:val="left" w:pos="144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“合同条款”是指本合同条款。</w:t>
      </w:r>
    </w:p>
    <w:p>
      <w:pPr>
        <w:numPr>
          <w:ilvl w:val="0"/>
          <w:numId w:val="3"/>
        </w:numPr>
        <w:tabs>
          <w:tab w:val="left" w:pos="640"/>
          <w:tab w:val="left" w:pos="1080"/>
          <w:tab w:val="left" w:pos="1260"/>
          <w:tab w:val="left" w:pos="144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“项目现场”是指本合同项下货物的安装、运行的现场，其名称在合同条款资料表中指明。</w:t>
      </w:r>
    </w:p>
    <w:p>
      <w:pPr>
        <w:numPr>
          <w:ilvl w:val="0"/>
          <w:numId w:val="3"/>
        </w:numPr>
        <w:tabs>
          <w:tab w:val="left" w:pos="640"/>
          <w:tab w:val="left" w:pos="1080"/>
          <w:tab w:val="left" w:pos="1260"/>
          <w:tab w:val="left" w:pos="1440"/>
          <w:tab w:val="clear" w:pos="890"/>
        </w:tabs>
        <w:spacing w:line="360" w:lineRule="auto"/>
        <w:ind w:left="730" w:leftChars="304" w:firstLine="0"/>
        <w:rPr>
          <w:rFonts w:ascii="宋体" w:hAnsi="宋体" w:cs="宋体"/>
          <w:color w:val="000000"/>
          <w:szCs w:val="24"/>
        </w:rPr>
      </w:pPr>
      <w:r>
        <w:rPr>
          <w:rFonts w:hint="eastAsia" w:ascii="宋体" w:hAnsi="宋体" w:cs="宋体"/>
          <w:color w:val="000000"/>
          <w:szCs w:val="24"/>
        </w:rPr>
        <w:t>“日、月、年”是指公历的日、月、年；“天”是指24小时；“周”是指7天。</w:t>
      </w:r>
    </w:p>
    <w:p>
      <w:pPr>
        <w:pStyle w:val="4"/>
        <w:numPr>
          <w:ilvl w:val="0"/>
          <w:numId w:val="2"/>
        </w:numPr>
        <w:spacing w:line="360" w:lineRule="auto"/>
        <w:jc w:val="both"/>
        <w:rPr>
          <w:rFonts w:hint="default" w:cs="宋体"/>
          <w:color w:val="000000"/>
          <w:sz w:val="24"/>
          <w:szCs w:val="24"/>
        </w:rPr>
      </w:pPr>
      <w:bookmarkStart w:id="127" w:name="_Toc8841_WPSOffice_Level2"/>
      <w:r>
        <w:rPr>
          <w:rFonts w:cs="宋体"/>
          <w:color w:val="000000"/>
          <w:sz w:val="24"/>
          <w:szCs w:val="24"/>
        </w:rPr>
        <w:t>原产地</w:t>
      </w:r>
      <w:bookmarkEnd w:id="127"/>
    </w:p>
    <w:p>
      <w:pPr>
        <w:pStyle w:val="18"/>
        <w:numPr>
          <w:ilvl w:val="1"/>
          <w:numId w:val="4"/>
        </w:numPr>
        <w:tabs>
          <w:tab w:val="left" w:pos="640"/>
          <w:tab w:val="clear" w:pos="735"/>
        </w:tabs>
        <w:spacing w:line="360" w:lineRule="auto"/>
        <w:ind w:left="641" w:hanging="640" w:hangingChars="267"/>
        <w:rPr>
          <w:rFonts w:hAnsi="宋体" w:cs="宋体"/>
          <w:color w:val="000000"/>
          <w:sz w:val="24"/>
          <w:szCs w:val="24"/>
        </w:rPr>
      </w:pPr>
      <w:r>
        <w:rPr>
          <w:rFonts w:hint="eastAsia" w:hAnsi="宋体" w:cs="宋体"/>
          <w:color w:val="000000"/>
          <w:sz w:val="24"/>
          <w:szCs w:val="24"/>
        </w:rPr>
        <w:t>本合同项下所提供的货物及服务均应来自于中华人民共和国或是与中华人民共和国有正常贸易往来的国家和地区(以下简称“合格来源国”)。</w:t>
      </w:r>
    </w:p>
    <w:p>
      <w:pPr>
        <w:pStyle w:val="18"/>
        <w:numPr>
          <w:ilvl w:val="1"/>
          <w:numId w:val="4"/>
        </w:numPr>
        <w:tabs>
          <w:tab w:val="left" w:pos="640"/>
          <w:tab w:val="clear" w:pos="735"/>
        </w:tabs>
        <w:spacing w:line="360" w:lineRule="auto"/>
        <w:ind w:left="641" w:hanging="640" w:hangingChars="267"/>
        <w:rPr>
          <w:rFonts w:hAnsi="宋体" w:cs="宋体"/>
          <w:color w:val="000000"/>
          <w:sz w:val="24"/>
          <w:szCs w:val="24"/>
        </w:rPr>
      </w:pPr>
      <w:r>
        <w:rPr>
          <w:rFonts w:hint="eastAsia" w:hAnsi="宋体" w:cs="宋体"/>
          <w:color w:val="000000"/>
          <w:sz w:val="24"/>
          <w:szCs w:val="24"/>
        </w:rPr>
        <w:t>本款所述的“原产地”是指货物开采、生长或生产或提供有关服务的来源地。所述的“货物”是指通过制造、加工或用重要的和主要元部件装配而成的，其基本特性、功能或效用应是商业上公认的与元部件有着实质性区别的产品。</w:t>
      </w:r>
    </w:p>
    <w:p>
      <w:pPr>
        <w:pStyle w:val="18"/>
        <w:numPr>
          <w:ilvl w:val="1"/>
          <w:numId w:val="4"/>
        </w:numPr>
        <w:tabs>
          <w:tab w:val="left" w:pos="640"/>
          <w:tab w:val="clear" w:pos="735"/>
        </w:tabs>
        <w:spacing w:line="360" w:lineRule="auto"/>
        <w:ind w:left="641" w:hanging="640" w:hangingChars="267"/>
        <w:rPr>
          <w:rFonts w:hAnsi="宋体" w:cs="宋体"/>
          <w:color w:val="000000"/>
          <w:sz w:val="24"/>
          <w:szCs w:val="24"/>
        </w:rPr>
      </w:pPr>
      <w:r>
        <w:rPr>
          <w:rFonts w:hint="eastAsia" w:hAnsi="宋体" w:cs="宋体"/>
          <w:color w:val="000000"/>
          <w:sz w:val="24"/>
          <w:szCs w:val="24"/>
        </w:rPr>
        <w:t>货物和服务的原产地有别于供方的法定注册地或国籍。</w:t>
      </w:r>
    </w:p>
    <w:p>
      <w:pPr>
        <w:pStyle w:val="4"/>
        <w:numPr>
          <w:ilvl w:val="0"/>
          <w:numId w:val="2"/>
        </w:numPr>
        <w:spacing w:line="360" w:lineRule="auto"/>
        <w:jc w:val="both"/>
        <w:rPr>
          <w:rFonts w:hint="default" w:cs="宋体"/>
          <w:color w:val="000000"/>
          <w:sz w:val="24"/>
          <w:szCs w:val="24"/>
        </w:rPr>
      </w:pPr>
      <w:bookmarkStart w:id="128" w:name="_Toc10796_WPSOffice_Level2"/>
      <w:r>
        <w:rPr>
          <w:rFonts w:cs="宋体"/>
          <w:color w:val="000000"/>
          <w:sz w:val="24"/>
          <w:szCs w:val="24"/>
        </w:rPr>
        <w:t>标准</w:t>
      </w:r>
      <w:bookmarkEnd w:id="128"/>
    </w:p>
    <w:p>
      <w:pPr>
        <w:pStyle w:val="18"/>
        <w:numPr>
          <w:ilvl w:val="1"/>
          <w:numId w:val="5"/>
        </w:numPr>
        <w:spacing w:line="360" w:lineRule="auto"/>
        <w:rPr>
          <w:rFonts w:hAnsi="宋体" w:cs="宋体"/>
          <w:color w:val="000000"/>
          <w:sz w:val="24"/>
          <w:szCs w:val="24"/>
        </w:rPr>
      </w:pPr>
      <w:r>
        <w:rPr>
          <w:rFonts w:hint="eastAsia" w:hAnsi="宋体" w:cs="宋体"/>
          <w:color w:val="000000"/>
          <w:sz w:val="24"/>
          <w:szCs w:val="24"/>
        </w:rPr>
        <w:t>本合同项下交付的货物应符合技术规格所述的标准。如果没有提及适用标准，则应符合货物来源国适用的官方标准。这些标准必须是有关机构发布的最新版本的标准。</w:t>
      </w:r>
    </w:p>
    <w:p>
      <w:pPr>
        <w:pStyle w:val="18"/>
        <w:numPr>
          <w:ilvl w:val="1"/>
          <w:numId w:val="5"/>
        </w:numPr>
        <w:spacing w:line="360" w:lineRule="auto"/>
        <w:rPr>
          <w:rFonts w:hAnsi="宋体" w:cs="宋体"/>
          <w:color w:val="000000"/>
          <w:sz w:val="24"/>
          <w:szCs w:val="24"/>
        </w:rPr>
      </w:pPr>
      <w:r>
        <w:rPr>
          <w:rFonts w:hint="eastAsia" w:hAnsi="宋体" w:cs="宋体"/>
          <w:color w:val="000000"/>
          <w:sz w:val="24"/>
          <w:szCs w:val="24"/>
        </w:rPr>
        <w:t>除非技术规格中另有规定，计量单位均采用中华人民共和国法定计量单位。</w:t>
      </w:r>
    </w:p>
    <w:p>
      <w:pPr>
        <w:pStyle w:val="4"/>
        <w:numPr>
          <w:ilvl w:val="0"/>
          <w:numId w:val="2"/>
        </w:numPr>
        <w:spacing w:line="360" w:lineRule="auto"/>
        <w:jc w:val="both"/>
        <w:rPr>
          <w:rFonts w:hint="default" w:cs="宋体"/>
          <w:color w:val="000000"/>
          <w:sz w:val="24"/>
          <w:szCs w:val="24"/>
        </w:rPr>
      </w:pPr>
      <w:bookmarkStart w:id="129" w:name="_Toc9410_WPSOffice_Level2"/>
      <w:r>
        <w:rPr>
          <w:rFonts w:cs="宋体"/>
          <w:color w:val="000000"/>
          <w:sz w:val="24"/>
          <w:szCs w:val="24"/>
        </w:rPr>
        <w:t>使用合同文件和资料</w:t>
      </w:r>
      <w:bookmarkEnd w:id="129"/>
    </w:p>
    <w:p>
      <w:pPr>
        <w:pStyle w:val="18"/>
        <w:numPr>
          <w:ilvl w:val="1"/>
          <w:numId w:val="6"/>
        </w:numPr>
        <w:spacing w:line="360" w:lineRule="auto"/>
        <w:rPr>
          <w:rFonts w:hAnsi="宋体" w:cs="宋体"/>
          <w:color w:val="000000"/>
          <w:sz w:val="24"/>
          <w:szCs w:val="24"/>
        </w:rPr>
      </w:pPr>
      <w:r>
        <w:rPr>
          <w:rFonts w:hint="eastAsia" w:hAnsi="宋体" w:cs="宋体"/>
          <w:color w:val="000000"/>
          <w:sz w:val="24"/>
          <w:szCs w:val="24"/>
        </w:rPr>
        <w:t>没有需方事先书面同意，供方不得将由需方或代表需方提供的有关合同或任何合同条文、规格、计划、图纸、模型、样品或资料提供给与履行本合同无关的任何其他人。即使向与履行本合同有关的人员提供，也应注意保密并限于履行合同必须的范围。</w:t>
      </w:r>
    </w:p>
    <w:p>
      <w:pPr>
        <w:pStyle w:val="18"/>
        <w:numPr>
          <w:ilvl w:val="1"/>
          <w:numId w:val="6"/>
        </w:numPr>
        <w:spacing w:line="360" w:lineRule="auto"/>
        <w:rPr>
          <w:rFonts w:hAnsi="宋体" w:cs="宋体"/>
          <w:color w:val="000000"/>
          <w:sz w:val="24"/>
          <w:szCs w:val="24"/>
        </w:rPr>
      </w:pPr>
      <w:r>
        <w:rPr>
          <w:rFonts w:hint="eastAsia" w:hAnsi="宋体" w:cs="宋体"/>
          <w:color w:val="000000"/>
          <w:sz w:val="24"/>
          <w:szCs w:val="24"/>
        </w:rPr>
        <w:t>没有需方事先书面同意，除了履行本合同之外，供方不应使用合同条款第5.1条所列举的任何文件和资料。</w:t>
      </w:r>
    </w:p>
    <w:p>
      <w:pPr>
        <w:pStyle w:val="18"/>
        <w:numPr>
          <w:ilvl w:val="1"/>
          <w:numId w:val="6"/>
        </w:numPr>
        <w:spacing w:line="360" w:lineRule="auto"/>
        <w:rPr>
          <w:rFonts w:hAnsi="宋体" w:cs="宋体"/>
          <w:color w:val="000000"/>
          <w:sz w:val="24"/>
          <w:szCs w:val="24"/>
        </w:rPr>
      </w:pPr>
      <w:r>
        <w:rPr>
          <w:rFonts w:hint="eastAsia" w:hAnsi="宋体" w:cs="宋体"/>
          <w:color w:val="000000"/>
          <w:sz w:val="24"/>
          <w:szCs w:val="24"/>
        </w:rPr>
        <w:t>除了合同本身以外，合同条款第5.1条所列举的任何文件是需方的财产。如果需方有要求，供方在完成合同后应将这些文件及全部复制件还给需方。</w:t>
      </w:r>
    </w:p>
    <w:p>
      <w:pPr>
        <w:pStyle w:val="4"/>
        <w:numPr>
          <w:ilvl w:val="0"/>
          <w:numId w:val="2"/>
        </w:numPr>
        <w:spacing w:line="360" w:lineRule="auto"/>
        <w:jc w:val="both"/>
        <w:rPr>
          <w:rFonts w:hint="default" w:cs="宋体"/>
          <w:color w:val="000000"/>
          <w:sz w:val="24"/>
          <w:szCs w:val="24"/>
        </w:rPr>
      </w:pPr>
      <w:bookmarkStart w:id="130" w:name="_Toc17520_WPSOffice_Level2"/>
      <w:r>
        <w:rPr>
          <w:rFonts w:cs="宋体"/>
          <w:color w:val="000000"/>
          <w:sz w:val="24"/>
          <w:szCs w:val="24"/>
        </w:rPr>
        <w:t>专利权</w:t>
      </w:r>
      <w:bookmarkEnd w:id="130"/>
    </w:p>
    <w:p>
      <w:pPr>
        <w:pStyle w:val="18"/>
        <w:spacing w:line="360" w:lineRule="auto"/>
        <w:ind w:left="617" w:hanging="616" w:hangingChars="257"/>
        <w:rPr>
          <w:rFonts w:hAnsi="宋体" w:cs="宋体"/>
          <w:color w:val="000000"/>
          <w:sz w:val="24"/>
          <w:szCs w:val="24"/>
        </w:rPr>
      </w:pPr>
      <w:r>
        <w:rPr>
          <w:rFonts w:hint="eastAsia" w:hAnsi="宋体" w:cs="宋体"/>
          <w:color w:val="000000"/>
          <w:sz w:val="24"/>
          <w:szCs w:val="24"/>
        </w:rPr>
        <w:t>6. 1 供方应保证，需方在使用该货物或货物的任何一部分时，免受第三方提出的侵犯其专利权、商标权、著作权或其它知识产权的起诉。</w:t>
      </w:r>
    </w:p>
    <w:p>
      <w:pPr>
        <w:pStyle w:val="4"/>
        <w:numPr>
          <w:ilvl w:val="0"/>
          <w:numId w:val="2"/>
        </w:numPr>
        <w:spacing w:line="360" w:lineRule="auto"/>
        <w:jc w:val="both"/>
        <w:rPr>
          <w:rFonts w:hint="default" w:cs="宋体"/>
          <w:color w:val="000000"/>
          <w:sz w:val="24"/>
          <w:szCs w:val="24"/>
        </w:rPr>
      </w:pPr>
      <w:r>
        <w:rPr>
          <w:rFonts w:cs="宋体"/>
          <w:color w:val="000000"/>
          <w:sz w:val="24"/>
          <w:szCs w:val="24"/>
        </w:rPr>
        <w:t>履约保证金</w:t>
      </w:r>
    </w:p>
    <w:p>
      <w:pPr>
        <w:pStyle w:val="18"/>
        <w:numPr>
          <w:ilvl w:val="1"/>
          <w:numId w:val="7"/>
        </w:numPr>
        <w:spacing w:line="360" w:lineRule="auto"/>
        <w:rPr>
          <w:rFonts w:hAnsi="宋体" w:cs="宋体"/>
          <w:color w:val="000000"/>
          <w:sz w:val="24"/>
          <w:szCs w:val="24"/>
        </w:rPr>
      </w:pPr>
      <w:r>
        <w:rPr>
          <w:rFonts w:hint="eastAsia" w:hAnsi="宋体" w:cs="宋体"/>
          <w:color w:val="000000"/>
          <w:sz w:val="24"/>
          <w:szCs w:val="24"/>
        </w:rPr>
        <w:t>供方应在收到中标通知书后二十(20)天内，向付款人提交“合同专用条款资料表”中所规定金额的履约保证金。</w:t>
      </w:r>
    </w:p>
    <w:p>
      <w:pPr>
        <w:pStyle w:val="18"/>
        <w:numPr>
          <w:ilvl w:val="1"/>
          <w:numId w:val="7"/>
        </w:numPr>
        <w:spacing w:line="360" w:lineRule="auto"/>
        <w:rPr>
          <w:rFonts w:hAnsi="宋体" w:cs="宋体"/>
          <w:color w:val="000000"/>
          <w:sz w:val="24"/>
          <w:szCs w:val="24"/>
        </w:rPr>
      </w:pPr>
      <w:r>
        <w:rPr>
          <w:rFonts w:hint="eastAsia" w:hAnsi="宋体" w:cs="宋体"/>
          <w:color w:val="000000"/>
          <w:sz w:val="24"/>
          <w:szCs w:val="24"/>
        </w:rPr>
        <w:t>履约保证金用于补偿需方因供方不能完成其合同义务而蒙受的损失。</w:t>
      </w:r>
    </w:p>
    <w:p>
      <w:pPr>
        <w:pStyle w:val="18"/>
        <w:numPr>
          <w:ilvl w:val="1"/>
          <w:numId w:val="7"/>
        </w:numPr>
        <w:spacing w:line="360" w:lineRule="auto"/>
        <w:rPr>
          <w:rFonts w:hAnsi="宋体" w:cs="宋体"/>
          <w:color w:val="000000"/>
          <w:sz w:val="24"/>
          <w:szCs w:val="24"/>
        </w:rPr>
      </w:pPr>
      <w:r>
        <w:rPr>
          <w:rFonts w:hint="eastAsia" w:hAnsi="宋体" w:cs="宋体"/>
          <w:color w:val="000000"/>
          <w:sz w:val="24"/>
          <w:szCs w:val="24"/>
        </w:rPr>
        <w:t>履约保证金应采用本合同货币，或付款人可以接受的其它货币并采用下述方式之一提交：</w:t>
      </w:r>
    </w:p>
    <w:p>
      <w:pPr>
        <w:pStyle w:val="18"/>
        <w:numPr>
          <w:ilvl w:val="1"/>
          <w:numId w:val="2"/>
        </w:numPr>
        <w:spacing w:line="360" w:lineRule="auto"/>
        <w:ind w:hanging="120"/>
        <w:rPr>
          <w:rFonts w:hAnsi="宋体" w:cs="宋体"/>
          <w:color w:val="000000"/>
          <w:sz w:val="24"/>
          <w:szCs w:val="24"/>
        </w:rPr>
      </w:pPr>
      <w:r>
        <w:rPr>
          <w:rFonts w:hint="eastAsia" w:hAnsi="宋体" w:cs="宋体"/>
          <w:color w:val="000000"/>
          <w:sz w:val="24"/>
          <w:szCs w:val="24"/>
        </w:rPr>
        <w:t>银行保函或不可撤销的信用证</w:t>
      </w:r>
    </w:p>
    <w:p>
      <w:pPr>
        <w:pStyle w:val="18"/>
        <w:spacing w:line="360" w:lineRule="auto"/>
        <w:ind w:left="960" w:leftChars="400"/>
        <w:rPr>
          <w:rFonts w:hAnsi="宋体" w:cs="宋体"/>
          <w:color w:val="000000"/>
          <w:sz w:val="24"/>
          <w:szCs w:val="24"/>
        </w:rPr>
      </w:pPr>
      <w:r>
        <w:rPr>
          <w:rFonts w:hint="eastAsia" w:hAnsi="宋体" w:cs="宋体"/>
          <w:color w:val="000000"/>
          <w:sz w:val="24"/>
          <w:szCs w:val="24"/>
        </w:rPr>
        <w:t>由需方可接受的在中华人民共和国注册和营业的银行，或外国银行通过在中华人民共和国注册和营业的银行提交。其格式采用招标文件提供的格式或其他需方可接受的格式；</w:t>
      </w:r>
    </w:p>
    <w:p>
      <w:pPr>
        <w:pStyle w:val="18"/>
        <w:numPr>
          <w:ilvl w:val="1"/>
          <w:numId w:val="2"/>
        </w:numPr>
        <w:spacing w:line="360" w:lineRule="auto"/>
        <w:ind w:hanging="120"/>
        <w:rPr>
          <w:rFonts w:hAnsi="宋体" w:cs="宋体"/>
          <w:color w:val="000000"/>
          <w:sz w:val="24"/>
          <w:szCs w:val="24"/>
        </w:rPr>
      </w:pPr>
      <w:r>
        <w:rPr>
          <w:rFonts w:hint="eastAsia" w:hAnsi="宋体" w:cs="宋体"/>
          <w:color w:val="000000"/>
          <w:sz w:val="24"/>
          <w:szCs w:val="24"/>
        </w:rPr>
        <w:t>银行本票、保兑支票或现金；</w:t>
      </w:r>
    </w:p>
    <w:p>
      <w:pPr>
        <w:pStyle w:val="18"/>
        <w:numPr>
          <w:ilvl w:val="1"/>
          <w:numId w:val="2"/>
        </w:numPr>
        <w:spacing w:line="360" w:lineRule="auto"/>
        <w:ind w:hanging="120"/>
        <w:rPr>
          <w:rFonts w:hAnsi="宋体" w:cs="宋体"/>
          <w:color w:val="000000"/>
          <w:sz w:val="24"/>
          <w:szCs w:val="24"/>
        </w:rPr>
      </w:pPr>
      <w:r>
        <w:rPr>
          <w:rFonts w:hint="eastAsia" w:hAnsi="宋体" w:cs="宋体"/>
          <w:color w:val="000000"/>
          <w:sz w:val="24"/>
          <w:szCs w:val="24"/>
        </w:rPr>
        <w:t>由投标保证金转换为履约保证金；</w:t>
      </w:r>
    </w:p>
    <w:p>
      <w:pPr>
        <w:pStyle w:val="18"/>
        <w:numPr>
          <w:ilvl w:val="1"/>
          <w:numId w:val="2"/>
        </w:numPr>
        <w:spacing w:line="360" w:lineRule="auto"/>
        <w:ind w:hanging="120"/>
        <w:rPr>
          <w:rFonts w:hAnsi="宋体" w:cs="宋体"/>
          <w:color w:val="000000"/>
          <w:sz w:val="24"/>
          <w:szCs w:val="24"/>
        </w:rPr>
      </w:pPr>
      <w:r>
        <w:rPr>
          <w:rFonts w:hint="eastAsia" w:hAnsi="宋体" w:cs="宋体"/>
          <w:color w:val="000000"/>
          <w:sz w:val="24"/>
          <w:szCs w:val="24"/>
        </w:rPr>
        <w:t>政府采购履约担保函。</w:t>
      </w:r>
    </w:p>
    <w:p>
      <w:pPr>
        <w:pStyle w:val="18"/>
        <w:numPr>
          <w:ilvl w:val="1"/>
          <w:numId w:val="7"/>
        </w:numPr>
        <w:spacing w:line="360" w:lineRule="auto"/>
        <w:rPr>
          <w:rFonts w:hAnsi="宋体" w:cs="宋体"/>
          <w:color w:val="000000"/>
          <w:sz w:val="24"/>
          <w:szCs w:val="24"/>
        </w:rPr>
      </w:pPr>
      <w:r>
        <w:rPr>
          <w:rFonts w:hint="eastAsia" w:hAnsi="宋体" w:cs="宋体"/>
          <w:color w:val="000000"/>
          <w:sz w:val="24"/>
          <w:szCs w:val="24"/>
        </w:rPr>
        <w:t>在供方完成其合同义务包括任何保证义务后三十(30)天内，付款人将把履约保证金退还供方。</w:t>
      </w:r>
    </w:p>
    <w:p>
      <w:pPr>
        <w:pStyle w:val="4"/>
        <w:numPr>
          <w:ilvl w:val="0"/>
          <w:numId w:val="2"/>
        </w:numPr>
        <w:spacing w:line="360" w:lineRule="auto"/>
        <w:jc w:val="both"/>
        <w:rPr>
          <w:rFonts w:hint="default" w:cs="宋体"/>
          <w:color w:val="000000"/>
          <w:sz w:val="24"/>
          <w:szCs w:val="24"/>
        </w:rPr>
      </w:pPr>
      <w:r>
        <w:rPr>
          <w:rFonts w:cs="宋体"/>
          <w:color w:val="000000"/>
          <w:sz w:val="24"/>
          <w:szCs w:val="24"/>
        </w:rPr>
        <w:t>检验和测试</w:t>
      </w:r>
    </w:p>
    <w:p>
      <w:pPr>
        <w:pStyle w:val="18"/>
        <w:numPr>
          <w:ilvl w:val="1"/>
          <w:numId w:val="8"/>
        </w:numPr>
        <w:spacing w:line="360" w:lineRule="auto"/>
        <w:rPr>
          <w:rFonts w:hAnsi="宋体" w:cs="宋体"/>
          <w:color w:val="000000"/>
          <w:sz w:val="24"/>
          <w:szCs w:val="24"/>
        </w:rPr>
      </w:pPr>
      <w:r>
        <w:rPr>
          <w:rFonts w:hint="eastAsia" w:hAnsi="宋体" w:cs="宋体"/>
          <w:color w:val="000000"/>
          <w:sz w:val="24"/>
          <w:szCs w:val="24"/>
        </w:rPr>
        <w:t>需方或其代表应有权检验和／或测试货物，以确认货物是否符合合同规格的要求。“合同专用条款资料表”中和货物技术规格将说明需方要求进行的检验和测试，以及在何处进行这些检验和测试。需方将及时以书面形式把进行检验和／或需方测试代表的身份通知供方。</w:t>
      </w:r>
    </w:p>
    <w:p>
      <w:pPr>
        <w:pStyle w:val="18"/>
        <w:numPr>
          <w:ilvl w:val="1"/>
          <w:numId w:val="8"/>
        </w:numPr>
        <w:spacing w:line="360" w:lineRule="auto"/>
        <w:rPr>
          <w:rFonts w:hAnsi="宋体" w:cs="宋体"/>
          <w:color w:val="000000"/>
          <w:sz w:val="24"/>
          <w:szCs w:val="24"/>
        </w:rPr>
      </w:pPr>
      <w:r>
        <w:rPr>
          <w:rFonts w:hint="eastAsia" w:hAnsi="宋体" w:cs="宋体"/>
          <w:color w:val="000000"/>
          <w:sz w:val="24"/>
          <w:szCs w:val="24"/>
        </w:rPr>
        <w:t>检验和测试可以在供方或其分包人的驻地、交货地点和／或货物的最终目的地进行。如果在供方或其分包人的驻地进行，检测人员应能得到全部合理的设施和协助。</w:t>
      </w:r>
    </w:p>
    <w:p>
      <w:pPr>
        <w:pStyle w:val="18"/>
        <w:numPr>
          <w:ilvl w:val="1"/>
          <w:numId w:val="8"/>
        </w:numPr>
        <w:spacing w:line="360" w:lineRule="auto"/>
        <w:rPr>
          <w:rFonts w:hAnsi="宋体" w:cs="宋体"/>
          <w:color w:val="000000"/>
          <w:sz w:val="24"/>
          <w:szCs w:val="24"/>
        </w:rPr>
      </w:pPr>
      <w:r>
        <w:rPr>
          <w:rFonts w:hint="eastAsia" w:hAnsi="宋体" w:cs="宋体"/>
          <w:color w:val="000000"/>
          <w:sz w:val="24"/>
          <w:szCs w:val="24"/>
        </w:rPr>
        <w:t>如果任何被检验或测试的货物不能满足规格的要求，需方可以拒绝接受该货物，供方应更换被拒绝的货物，或者在需方认同下免费进行必要的修改以满足规格的要求。</w:t>
      </w:r>
    </w:p>
    <w:p>
      <w:pPr>
        <w:pStyle w:val="18"/>
        <w:numPr>
          <w:ilvl w:val="1"/>
          <w:numId w:val="8"/>
        </w:numPr>
        <w:spacing w:line="360" w:lineRule="auto"/>
        <w:rPr>
          <w:rFonts w:hAnsi="宋体" w:cs="宋体"/>
          <w:color w:val="000000"/>
          <w:sz w:val="24"/>
          <w:szCs w:val="24"/>
        </w:rPr>
      </w:pPr>
      <w:r>
        <w:rPr>
          <w:rFonts w:hint="eastAsia" w:hAnsi="宋体" w:cs="宋体"/>
          <w:color w:val="000000"/>
          <w:sz w:val="24"/>
          <w:szCs w:val="24"/>
        </w:rPr>
        <w:t>需方在货物到达目的港和／或现场后对货物进行检验、测试及必要时拒绝接受货物的权力将不会因为货物在从来源地（国）启运前通过了需方或其代表的检验、测试和认可而受到限制或放弃。</w:t>
      </w:r>
    </w:p>
    <w:p>
      <w:pPr>
        <w:pStyle w:val="18"/>
        <w:numPr>
          <w:ilvl w:val="1"/>
          <w:numId w:val="8"/>
        </w:numPr>
        <w:spacing w:line="360" w:lineRule="auto"/>
        <w:rPr>
          <w:rFonts w:hAnsi="宋体" w:cs="宋体"/>
          <w:color w:val="000000"/>
          <w:sz w:val="24"/>
          <w:szCs w:val="24"/>
        </w:rPr>
      </w:pPr>
      <w:r>
        <w:rPr>
          <w:rFonts w:hint="eastAsia" w:hAnsi="宋体" w:cs="宋体"/>
          <w:color w:val="000000"/>
          <w:sz w:val="24"/>
          <w:szCs w:val="24"/>
        </w:rPr>
        <w:t>在交货前，供方应让制造商对货物的质量、规格、性能、数量和重量等进行详细而全面的检验，并出具一份证明货物符合合同规定的检验证书，检验证书是付款时提交文件的一个组成部分，但不能作为有关质量、规格、性能、数量或重量的最终检验。制造商检验的结果和细节应附在质量检验证书后面。</w:t>
      </w:r>
    </w:p>
    <w:p>
      <w:pPr>
        <w:pStyle w:val="18"/>
        <w:numPr>
          <w:ilvl w:val="1"/>
          <w:numId w:val="8"/>
        </w:numPr>
        <w:spacing w:line="360" w:lineRule="auto"/>
        <w:ind w:left="737" w:hanging="737"/>
        <w:rPr>
          <w:rFonts w:hAnsi="宋体" w:cs="宋体"/>
          <w:color w:val="000000"/>
          <w:sz w:val="24"/>
          <w:szCs w:val="24"/>
        </w:rPr>
      </w:pPr>
      <w:r>
        <w:rPr>
          <w:rFonts w:hint="eastAsia" w:hAnsi="宋体" w:cs="宋体"/>
          <w:color w:val="000000"/>
          <w:sz w:val="24"/>
          <w:szCs w:val="24"/>
        </w:rPr>
        <w:t>货物抵达目的港和／或现场后，由需方或政府管理机构指定检验部门（第三方）对货物的质量、规格、数量和重量进行检验，如果发现规格、数量或两者有与合同规定不一致的地方，需方有权在货物到达现场后九十(90)天内向供方提出索赔。货物运至合同规定交货地或工程设备安装调试完毕，并接到供货方货物清单和验收申请后的5个工作日内，需方应组织初验，逾期视为初验合格，初验合格满30天后的5个工作日内，需方应组织正式验收，逾期视为正式验收合格。</w:t>
      </w:r>
    </w:p>
    <w:p>
      <w:pPr>
        <w:pStyle w:val="18"/>
        <w:numPr>
          <w:ilvl w:val="1"/>
          <w:numId w:val="8"/>
        </w:numPr>
        <w:spacing w:line="360" w:lineRule="auto"/>
        <w:rPr>
          <w:rFonts w:hAnsi="宋体" w:cs="宋体"/>
          <w:color w:val="000000"/>
          <w:sz w:val="24"/>
          <w:szCs w:val="24"/>
        </w:rPr>
      </w:pPr>
      <w:r>
        <w:rPr>
          <w:rFonts w:hint="eastAsia" w:hAnsi="宋体" w:cs="宋体"/>
          <w:color w:val="000000"/>
          <w:sz w:val="24"/>
          <w:szCs w:val="24"/>
        </w:rPr>
        <w:t>如果在合同条款第l 8条规定的保证期内，发现货物的质量或规格与合同要求不符，或货物被证实有缺陷，包括潜在的缺陷或使用不合适的材料，需方有权随时向供方提出索赔。</w:t>
      </w:r>
    </w:p>
    <w:p>
      <w:pPr>
        <w:pStyle w:val="18"/>
        <w:numPr>
          <w:ilvl w:val="1"/>
          <w:numId w:val="8"/>
        </w:numPr>
        <w:spacing w:line="360" w:lineRule="auto"/>
        <w:rPr>
          <w:rFonts w:hAnsi="宋体" w:cs="宋体"/>
          <w:color w:val="000000"/>
          <w:sz w:val="24"/>
          <w:szCs w:val="24"/>
        </w:rPr>
      </w:pPr>
      <w:r>
        <w:rPr>
          <w:rFonts w:hint="eastAsia" w:hAnsi="宋体" w:cs="宋体"/>
          <w:color w:val="000000"/>
          <w:sz w:val="24"/>
          <w:szCs w:val="24"/>
        </w:rPr>
        <w:t>所有上述的检验和测试不论在何处发生，一切费用均由供方承担。对第三方参与的检验所发生的费用，从合同总额中扣除直接支付检验部门。检验和测试的相关内容和要求见“合同专用条款资料表”。</w:t>
      </w:r>
    </w:p>
    <w:p>
      <w:pPr>
        <w:pStyle w:val="18"/>
        <w:numPr>
          <w:ilvl w:val="1"/>
          <w:numId w:val="8"/>
        </w:numPr>
        <w:spacing w:line="360" w:lineRule="auto"/>
        <w:rPr>
          <w:rFonts w:hAnsi="宋体" w:cs="宋体"/>
          <w:color w:val="000000"/>
          <w:sz w:val="24"/>
          <w:szCs w:val="24"/>
        </w:rPr>
      </w:pPr>
      <w:r>
        <w:rPr>
          <w:rFonts w:hint="eastAsia" w:hAnsi="宋体" w:cs="宋体"/>
          <w:color w:val="000000"/>
          <w:sz w:val="24"/>
          <w:szCs w:val="24"/>
        </w:rPr>
        <w:t>合同条款第8条的规定不能免除供方在本合同项下的保证义务或其他义务。</w:t>
      </w:r>
    </w:p>
    <w:p>
      <w:pPr>
        <w:pStyle w:val="4"/>
        <w:numPr>
          <w:ilvl w:val="0"/>
          <w:numId w:val="2"/>
        </w:numPr>
        <w:spacing w:line="360" w:lineRule="auto"/>
        <w:jc w:val="both"/>
        <w:rPr>
          <w:rFonts w:hint="default" w:cs="宋体"/>
          <w:bCs/>
          <w:color w:val="000000"/>
          <w:sz w:val="24"/>
          <w:szCs w:val="24"/>
        </w:rPr>
      </w:pPr>
      <w:r>
        <w:rPr>
          <w:rFonts w:cs="宋体"/>
          <w:color w:val="000000"/>
          <w:sz w:val="24"/>
          <w:szCs w:val="24"/>
        </w:rPr>
        <w:t>包装</w:t>
      </w:r>
    </w:p>
    <w:p>
      <w:pPr>
        <w:pStyle w:val="23"/>
        <w:ind w:left="614" w:leftChars="-1" w:hanging="616" w:hangingChars="257"/>
        <w:rPr>
          <w:rFonts w:ascii="宋体" w:hAnsi="宋体" w:cs="宋体"/>
          <w:color w:val="000000"/>
          <w:szCs w:val="24"/>
        </w:rPr>
      </w:pPr>
      <w:r>
        <w:rPr>
          <w:rFonts w:hint="eastAsia" w:ascii="宋体" w:hAnsi="宋体" w:cs="宋体"/>
          <w:color w:val="000000"/>
          <w:szCs w:val="24"/>
        </w:rPr>
        <w:t>9. 1   供方应提供货物运至合同规定的最终目的地所需要的包装，以防止货物在转运中损坏或变质。这类包装应采取防潮、防晒、防锈、防腐蚀、防震动及防止其它损坏的必要保护措施，从而保护货物能够经受多次搬运、装卸及海运、水运和陆地的长途运输。供方应承担由于其包装或其防护措施不妥而引起货物锈蚀、损坏和丢失的任何损失的责任或费用。</w:t>
      </w:r>
    </w:p>
    <w:p>
      <w:pPr>
        <w:pStyle w:val="4"/>
        <w:numPr>
          <w:ilvl w:val="0"/>
          <w:numId w:val="2"/>
        </w:numPr>
        <w:spacing w:line="360" w:lineRule="auto"/>
        <w:jc w:val="both"/>
        <w:rPr>
          <w:rFonts w:hint="default" w:cs="宋体"/>
          <w:color w:val="000000"/>
          <w:sz w:val="24"/>
          <w:szCs w:val="24"/>
        </w:rPr>
      </w:pPr>
      <w:r>
        <w:rPr>
          <w:rFonts w:cs="宋体"/>
          <w:color w:val="000000"/>
          <w:sz w:val="24"/>
          <w:szCs w:val="24"/>
        </w:rPr>
        <w:t>装运标记</w:t>
      </w:r>
    </w:p>
    <w:p>
      <w:pPr>
        <w:pStyle w:val="18"/>
        <w:numPr>
          <w:ilvl w:val="1"/>
          <w:numId w:val="9"/>
        </w:numPr>
        <w:spacing w:line="360" w:lineRule="auto"/>
        <w:rPr>
          <w:rFonts w:hAnsi="宋体" w:cs="宋体"/>
          <w:color w:val="000000"/>
          <w:sz w:val="24"/>
          <w:szCs w:val="24"/>
        </w:rPr>
      </w:pPr>
      <w:r>
        <w:rPr>
          <w:rFonts w:hint="eastAsia" w:hAnsi="宋体" w:cs="宋体"/>
          <w:color w:val="000000"/>
          <w:sz w:val="24"/>
          <w:szCs w:val="24"/>
        </w:rPr>
        <w:t>供方应在每一包装箱相邻的四面用不可擦除的油漆和明显的约定的字样做出以下标记：</w:t>
      </w:r>
    </w:p>
    <w:p>
      <w:pPr>
        <w:pStyle w:val="18"/>
        <w:numPr>
          <w:ilvl w:val="0"/>
          <w:numId w:val="10"/>
        </w:numPr>
        <w:spacing w:line="360" w:lineRule="auto"/>
        <w:rPr>
          <w:rFonts w:hAnsi="宋体" w:cs="宋体"/>
          <w:color w:val="000000"/>
          <w:sz w:val="24"/>
          <w:szCs w:val="24"/>
        </w:rPr>
      </w:pPr>
      <w:r>
        <w:rPr>
          <w:rFonts w:hint="eastAsia" w:hAnsi="宋体" w:cs="宋体"/>
          <w:color w:val="000000"/>
          <w:sz w:val="24"/>
          <w:szCs w:val="24"/>
        </w:rPr>
        <w:t>收货人</w:t>
      </w:r>
    </w:p>
    <w:p>
      <w:pPr>
        <w:pStyle w:val="18"/>
        <w:numPr>
          <w:ilvl w:val="0"/>
          <w:numId w:val="10"/>
        </w:numPr>
        <w:spacing w:line="360" w:lineRule="auto"/>
        <w:rPr>
          <w:rFonts w:hAnsi="宋体" w:cs="宋体"/>
          <w:color w:val="000000"/>
          <w:sz w:val="24"/>
          <w:szCs w:val="24"/>
        </w:rPr>
      </w:pPr>
      <w:r>
        <w:rPr>
          <w:rFonts w:hint="eastAsia" w:hAnsi="宋体" w:cs="宋体"/>
          <w:color w:val="000000"/>
          <w:sz w:val="24"/>
          <w:szCs w:val="24"/>
        </w:rPr>
        <w:t>合同号</w:t>
      </w:r>
    </w:p>
    <w:p>
      <w:pPr>
        <w:pStyle w:val="18"/>
        <w:numPr>
          <w:ilvl w:val="0"/>
          <w:numId w:val="10"/>
        </w:numPr>
        <w:spacing w:line="360" w:lineRule="auto"/>
        <w:rPr>
          <w:rFonts w:hAnsi="宋体" w:cs="宋体"/>
          <w:color w:val="000000"/>
          <w:sz w:val="24"/>
          <w:szCs w:val="24"/>
        </w:rPr>
      </w:pPr>
      <w:r>
        <w:rPr>
          <w:rFonts w:hint="eastAsia" w:hAnsi="宋体" w:cs="宋体"/>
          <w:color w:val="000000"/>
          <w:sz w:val="24"/>
          <w:szCs w:val="24"/>
        </w:rPr>
        <w:t>发货标记(唛头)</w:t>
      </w:r>
    </w:p>
    <w:p>
      <w:pPr>
        <w:pStyle w:val="18"/>
        <w:numPr>
          <w:ilvl w:val="0"/>
          <w:numId w:val="10"/>
        </w:numPr>
        <w:spacing w:line="360" w:lineRule="auto"/>
        <w:rPr>
          <w:rFonts w:hAnsi="宋体" w:cs="宋体"/>
          <w:color w:val="000000"/>
          <w:sz w:val="24"/>
          <w:szCs w:val="24"/>
        </w:rPr>
      </w:pPr>
      <w:r>
        <w:rPr>
          <w:rFonts w:hint="eastAsia" w:hAnsi="宋体" w:cs="宋体"/>
          <w:color w:val="000000"/>
          <w:sz w:val="24"/>
          <w:szCs w:val="24"/>
        </w:rPr>
        <w:t>收货人编号</w:t>
      </w:r>
    </w:p>
    <w:p>
      <w:pPr>
        <w:pStyle w:val="18"/>
        <w:numPr>
          <w:ilvl w:val="0"/>
          <w:numId w:val="10"/>
        </w:numPr>
        <w:spacing w:line="360" w:lineRule="auto"/>
        <w:rPr>
          <w:rFonts w:hAnsi="宋体" w:cs="宋体"/>
          <w:color w:val="000000"/>
          <w:sz w:val="24"/>
          <w:szCs w:val="24"/>
        </w:rPr>
      </w:pPr>
      <w:r>
        <w:rPr>
          <w:rFonts w:hint="eastAsia" w:hAnsi="宋体" w:cs="宋体"/>
          <w:color w:val="000000"/>
          <w:sz w:val="24"/>
          <w:szCs w:val="24"/>
        </w:rPr>
        <w:t>目的地（港）</w:t>
      </w:r>
    </w:p>
    <w:p>
      <w:pPr>
        <w:pStyle w:val="18"/>
        <w:numPr>
          <w:ilvl w:val="0"/>
          <w:numId w:val="10"/>
        </w:numPr>
        <w:spacing w:line="360" w:lineRule="auto"/>
        <w:rPr>
          <w:rFonts w:hAnsi="宋体" w:cs="宋体"/>
          <w:color w:val="000000"/>
          <w:sz w:val="24"/>
          <w:szCs w:val="24"/>
        </w:rPr>
      </w:pPr>
      <w:r>
        <w:rPr>
          <w:rFonts w:hint="eastAsia" w:hAnsi="宋体" w:cs="宋体"/>
          <w:color w:val="000000"/>
          <w:sz w:val="24"/>
          <w:szCs w:val="24"/>
        </w:rPr>
        <w:t>货物名称、品目号和箱号</w:t>
      </w:r>
    </w:p>
    <w:p>
      <w:pPr>
        <w:pStyle w:val="18"/>
        <w:numPr>
          <w:ilvl w:val="0"/>
          <w:numId w:val="10"/>
        </w:numPr>
        <w:spacing w:line="360" w:lineRule="auto"/>
        <w:rPr>
          <w:rFonts w:hAnsi="宋体" w:cs="宋体"/>
          <w:color w:val="000000"/>
          <w:sz w:val="24"/>
          <w:szCs w:val="24"/>
        </w:rPr>
      </w:pPr>
      <w:r>
        <w:rPr>
          <w:rFonts w:hint="eastAsia" w:hAnsi="宋体" w:cs="宋体"/>
          <w:color w:val="000000"/>
          <w:sz w:val="24"/>
          <w:szCs w:val="24"/>
        </w:rPr>
        <w:t>毛重／净重(用kg表示)</w:t>
      </w:r>
    </w:p>
    <w:p>
      <w:pPr>
        <w:pStyle w:val="18"/>
        <w:numPr>
          <w:ilvl w:val="0"/>
          <w:numId w:val="10"/>
        </w:numPr>
        <w:spacing w:line="360" w:lineRule="auto"/>
        <w:rPr>
          <w:rFonts w:hAnsi="宋体" w:cs="宋体"/>
          <w:color w:val="000000"/>
          <w:sz w:val="24"/>
          <w:szCs w:val="24"/>
        </w:rPr>
      </w:pPr>
      <w:r>
        <w:rPr>
          <w:rFonts w:hint="eastAsia" w:hAnsi="宋体" w:cs="宋体"/>
          <w:color w:val="000000"/>
          <w:sz w:val="24"/>
          <w:szCs w:val="24"/>
        </w:rPr>
        <w:t>尺寸(长×宽×高用cm表示)</w:t>
      </w:r>
    </w:p>
    <w:p>
      <w:pPr>
        <w:pStyle w:val="18"/>
        <w:numPr>
          <w:ilvl w:val="1"/>
          <w:numId w:val="9"/>
        </w:numPr>
        <w:spacing w:line="360" w:lineRule="auto"/>
        <w:rPr>
          <w:rFonts w:hAnsi="宋体" w:cs="宋体"/>
          <w:color w:val="000000"/>
          <w:sz w:val="24"/>
          <w:szCs w:val="24"/>
        </w:rPr>
      </w:pPr>
      <w:r>
        <w:rPr>
          <w:rFonts w:hint="eastAsia" w:hAnsi="宋体" w:cs="宋体"/>
          <w:color w:val="000000"/>
          <w:sz w:val="24"/>
          <w:szCs w:val="24"/>
        </w:rPr>
        <w:t>如果单件包装箱的重量在2吨或2吨以上，供方应在包装箱两侧用文字标注“重心”和“起吊点”以便装卸和搬运。根据货物的特点和运输的不同要求，供方应在包装箱上清楚地标注“小心轻放”、“此端朝上，请勿倒置”、“保持干燥”等字样。</w:t>
      </w:r>
    </w:p>
    <w:p>
      <w:pPr>
        <w:pStyle w:val="4"/>
        <w:numPr>
          <w:ilvl w:val="0"/>
          <w:numId w:val="2"/>
        </w:numPr>
        <w:spacing w:line="360" w:lineRule="auto"/>
        <w:jc w:val="both"/>
        <w:rPr>
          <w:rFonts w:hint="default" w:cs="宋体"/>
          <w:color w:val="000000"/>
          <w:sz w:val="24"/>
          <w:szCs w:val="24"/>
        </w:rPr>
      </w:pPr>
      <w:r>
        <w:rPr>
          <w:rFonts w:cs="宋体"/>
          <w:color w:val="000000"/>
          <w:sz w:val="24"/>
          <w:szCs w:val="24"/>
        </w:rPr>
        <w:t>装运条件</w:t>
      </w:r>
    </w:p>
    <w:p>
      <w:pPr>
        <w:pStyle w:val="18"/>
        <w:numPr>
          <w:ilvl w:val="1"/>
          <w:numId w:val="11"/>
        </w:numPr>
        <w:spacing w:line="360" w:lineRule="auto"/>
        <w:rPr>
          <w:rFonts w:hAnsi="宋体" w:cs="宋体"/>
          <w:iCs/>
          <w:color w:val="000000"/>
          <w:sz w:val="24"/>
          <w:szCs w:val="24"/>
        </w:rPr>
      </w:pPr>
      <w:r>
        <w:rPr>
          <w:rFonts w:hint="eastAsia" w:hAnsi="宋体" w:cs="宋体"/>
          <w:iCs/>
          <w:color w:val="000000"/>
          <w:sz w:val="24"/>
          <w:szCs w:val="24"/>
        </w:rPr>
        <w:t>合同货物的：</w:t>
      </w:r>
    </w:p>
    <w:p>
      <w:pPr>
        <w:pStyle w:val="18"/>
        <w:numPr>
          <w:ilvl w:val="0"/>
          <w:numId w:val="12"/>
        </w:numPr>
        <w:tabs>
          <w:tab w:val="left" w:pos="1260"/>
        </w:tabs>
        <w:spacing w:line="360" w:lineRule="auto"/>
        <w:ind w:left="1260" w:hanging="360"/>
        <w:rPr>
          <w:rFonts w:hAnsi="宋体" w:cs="宋体"/>
          <w:iCs/>
          <w:color w:val="000000"/>
          <w:sz w:val="24"/>
          <w:szCs w:val="24"/>
        </w:rPr>
      </w:pPr>
      <w:r>
        <w:rPr>
          <w:rFonts w:hint="eastAsia" w:hAnsi="宋体" w:cs="宋体"/>
          <w:iCs/>
          <w:color w:val="000000"/>
          <w:sz w:val="24"/>
          <w:szCs w:val="24"/>
        </w:rPr>
        <w:t>运输条件和保险、运费支付；</w:t>
      </w:r>
    </w:p>
    <w:p>
      <w:pPr>
        <w:pStyle w:val="18"/>
        <w:numPr>
          <w:ilvl w:val="0"/>
          <w:numId w:val="12"/>
        </w:numPr>
        <w:tabs>
          <w:tab w:val="left" w:pos="1260"/>
        </w:tabs>
        <w:spacing w:line="360" w:lineRule="auto"/>
        <w:ind w:left="1260" w:hanging="360"/>
        <w:rPr>
          <w:rFonts w:hAnsi="宋体" w:cs="宋体"/>
          <w:iCs/>
          <w:color w:val="000000"/>
          <w:sz w:val="24"/>
          <w:szCs w:val="24"/>
        </w:rPr>
      </w:pPr>
      <w:r>
        <w:rPr>
          <w:rFonts w:hint="eastAsia" w:hAnsi="宋体" w:cs="宋体"/>
          <w:iCs/>
          <w:color w:val="000000"/>
          <w:sz w:val="24"/>
          <w:szCs w:val="24"/>
        </w:rPr>
        <w:t>交货日期认定；</w:t>
      </w:r>
    </w:p>
    <w:p>
      <w:pPr>
        <w:pStyle w:val="18"/>
        <w:numPr>
          <w:ilvl w:val="0"/>
          <w:numId w:val="12"/>
        </w:numPr>
        <w:tabs>
          <w:tab w:val="left" w:pos="1260"/>
        </w:tabs>
        <w:spacing w:line="360" w:lineRule="auto"/>
        <w:ind w:left="1260" w:hanging="360"/>
        <w:rPr>
          <w:rFonts w:hAnsi="宋体" w:cs="宋体"/>
          <w:iCs/>
          <w:color w:val="000000"/>
          <w:sz w:val="24"/>
          <w:szCs w:val="24"/>
        </w:rPr>
      </w:pPr>
      <w:r>
        <w:rPr>
          <w:rFonts w:hint="eastAsia" w:hAnsi="宋体" w:cs="宋体"/>
          <w:iCs/>
          <w:color w:val="000000"/>
          <w:sz w:val="24"/>
          <w:szCs w:val="24"/>
        </w:rPr>
        <w:t>目的港／项目现场；</w:t>
      </w:r>
    </w:p>
    <w:p>
      <w:pPr>
        <w:pStyle w:val="18"/>
        <w:tabs>
          <w:tab w:val="left" w:pos="1260"/>
        </w:tabs>
        <w:spacing w:line="360" w:lineRule="auto"/>
        <w:ind w:left="900"/>
        <w:rPr>
          <w:rFonts w:hAnsi="宋体" w:cs="宋体"/>
          <w:iCs/>
          <w:color w:val="000000"/>
          <w:sz w:val="24"/>
          <w:szCs w:val="24"/>
        </w:rPr>
      </w:pPr>
      <w:r>
        <w:rPr>
          <w:rFonts w:hint="eastAsia" w:hAnsi="宋体" w:cs="宋体"/>
          <w:iCs/>
          <w:color w:val="000000"/>
          <w:sz w:val="24"/>
          <w:szCs w:val="24"/>
        </w:rPr>
        <w:t>按“合同专用条款资料表”中规定。</w:t>
      </w:r>
    </w:p>
    <w:p>
      <w:pPr>
        <w:pStyle w:val="18"/>
        <w:numPr>
          <w:ilvl w:val="1"/>
          <w:numId w:val="11"/>
        </w:numPr>
        <w:spacing w:line="360" w:lineRule="auto"/>
        <w:rPr>
          <w:rFonts w:hAnsi="宋体" w:cs="宋体"/>
          <w:color w:val="000000"/>
          <w:sz w:val="24"/>
          <w:szCs w:val="24"/>
        </w:rPr>
      </w:pPr>
      <w:r>
        <w:rPr>
          <w:rFonts w:hint="eastAsia" w:hAnsi="宋体" w:cs="宋体"/>
          <w:color w:val="000000"/>
          <w:sz w:val="24"/>
          <w:szCs w:val="24"/>
        </w:rPr>
        <w:t>供方装运的货物不应超过合同规定的数量或重量。否则，需方对由此产生的一切费用和后果不承担责任。</w:t>
      </w:r>
    </w:p>
    <w:p>
      <w:pPr>
        <w:pStyle w:val="4"/>
        <w:numPr>
          <w:ilvl w:val="0"/>
          <w:numId w:val="2"/>
        </w:numPr>
        <w:spacing w:line="360" w:lineRule="auto"/>
        <w:jc w:val="both"/>
        <w:rPr>
          <w:rFonts w:hint="default" w:cs="宋体"/>
          <w:color w:val="000000"/>
          <w:sz w:val="24"/>
          <w:szCs w:val="24"/>
        </w:rPr>
      </w:pPr>
      <w:r>
        <w:rPr>
          <w:rFonts w:cs="宋体"/>
          <w:color w:val="000000"/>
          <w:sz w:val="24"/>
          <w:szCs w:val="24"/>
        </w:rPr>
        <w:t>装运通知</w:t>
      </w:r>
    </w:p>
    <w:p>
      <w:pPr>
        <w:pStyle w:val="18"/>
        <w:numPr>
          <w:ilvl w:val="1"/>
          <w:numId w:val="13"/>
        </w:numPr>
        <w:spacing w:line="360" w:lineRule="auto"/>
        <w:rPr>
          <w:rFonts w:hAnsi="宋体" w:cs="宋体"/>
          <w:iCs/>
          <w:color w:val="000000"/>
          <w:sz w:val="24"/>
          <w:szCs w:val="24"/>
        </w:rPr>
      </w:pPr>
      <w:r>
        <w:rPr>
          <w:rFonts w:hint="eastAsia" w:hAnsi="宋体" w:cs="宋体"/>
          <w:iCs/>
          <w:color w:val="000000"/>
          <w:sz w:val="24"/>
          <w:szCs w:val="24"/>
        </w:rPr>
        <w:t>供方应在预计的装运日期之前，即海运前三十(30)天或铁路／公路／水运前二十一(21)天或空运前七(7)天以电报或电传或传真形式将货物合同号、名称、数量、箱数、总毛重、总体积(用m</w:t>
      </w:r>
      <w:r>
        <w:rPr>
          <w:rFonts w:hint="eastAsia" w:hAnsi="宋体" w:cs="宋体"/>
          <w:iCs/>
          <w:color w:val="000000"/>
          <w:sz w:val="24"/>
          <w:szCs w:val="24"/>
          <w:vertAlign w:val="superscript"/>
        </w:rPr>
        <w:t>3</w:t>
      </w:r>
      <w:r>
        <w:rPr>
          <w:rFonts w:hint="eastAsia" w:hAnsi="宋体" w:cs="宋体"/>
          <w:iCs/>
          <w:color w:val="000000"/>
          <w:sz w:val="24"/>
          <w:szCs w:val="24"/>
        </w:rPr>
        <w:t>表示)和在装运地备妥待运日期通知需方，同时，供方把详细的货物清单一式三(3)份，包括货物合同号、名称、规格、数量、总体积(用m</w:t>
      </w:r>
      <w:r>
        <w:rPr>
          <w:rFonts w:hint="eastAsia" w:hAnsi="宋体" w:cs="宋体"/>
          <w:iCs/>
          <w:color w:val="000000"/>
          <w:sz w:val="24"/>
          <w:szCs w:val="24"/>
          <w:vertAlign w:val="superscript"/>
        </w:rPr>
        <w:t>3</w:t>
      </w:r>
      <w:r>
        <w:rPr>
          <w:rFonts w:hint="eastAsia" w:hAnsi="宋体" w:cs="宋体"/>
          <w:iCs/>
          <w:color w:val="000000"/>
          <w:sz w:val="24"/>
          <w:szCs w:val="24"/>
        </w:rPr>
        <w:t>表示)、每箱尺寸(长×宽×高)、单价、总金额、启运地（或口岸）、备妥待运日期和货物在储存中的特殊要求和注意事项等寄给需方。</w:t>
      </w:r>
    </w:p>
    <w:p>
      <w:pPr>
        <w:pStyle w:val="18"/>
        <w:numPr>
          <w:ilvl w:val="1"/>
          <w:numId w:val="13"/>
        </w:numPr>
        <w:spacing w:line="360" w:lineRule="auto"/>
        <w:rPr>
          <w:rFonts w:hAnsi="宋体" w:cs="宋体"/>
          <w:iCs/>
          <w:color w:val="000000"/>
          <w:sz w:val="24"/>
          <w:szCs w:val="24"/>
        </w:rPr>
      </w:pPr>
      <w:r>
        <w:rPr>
          <w:rFonts w:hint="eastAsia" w:hAnsi="宋体" w:cs="宋体"/>
          <w:iCs/>
          <w:color w:val="000000"/>
          <w:sz w:val="24"/>
          <w:szCs w:val="24"/>
        </w:rPr>
        <w:t>供方应在货物装运完成后二十四(24)小时之内以电报或电传或传真形式将货物合同号、名称、数量、毛重、体积(用m</w:t>
      </w:r>
      <w:r>
        <w:rPr>
          <w:rFonts w:hint="eastAsia" w:hAnsi="宋体" w:cs="宋体"/>
          <w:iCs/>
          <w:color w:val="000000"/>
          <w:sz w:val="24"/>
          <w:szCs w:val="24"/>
          <w:vertAlign w:val="superscript"/>
        </w:rPr>
        <w:t>3</w:t>
      </w:r>
      <w:r>
        <w:rPr>
          <w:rFonts w:hint="eastAsia" w:hAnsi="宋体" w:cs="宋体"/>
          <w:iCs/>
          <w:color w:val="000000"/>
          <w:sz w:val="24"/>
          <w:szCs w:val="24"/>
        </w:rPr>
        <w:t>表示)、发票金额、运输工具名称及启运日期通知需方。如果每个包装箱的重量超过20吨(t)或体积达到或超过长12米(m)、宽2.7米(m)和高3米(m)，供方应将每个包装箱的重量和体积通知需方，易燃品或危险品的细节还应另行注明。</w:t>
      </w:r>
    </w:p>
    <w:p>
      <w:pPr>
        <w:pStyle w:val="18"/>
        <w:numPr>
          <w:ilvl w:val="1"/>
          <w:numId w:val="13"/>
        </w:numPr>
        <w:spacing w:line="360" w:lineRule="auto"/>
        <w:rPr>
          <w:rFonts w:hAnsi="宋体" w:cs="宋体"/>
          <w:iCs/>
          <w:color w:val="000000"/>
          <w:sz w:val="24"/>
          <w:szCs w:val="24"/>
        </w:rPr>
      </w:pPr>
      <w:r>
        <w:rPr>
          <w:rFonts w:hint="eastAsia" w:hAnsi="宋体" w:cs="宋体"/>
          <w:iCs/>
          <w:color w:val="000000"/>
          <w:sz w:val="24"/>
          <w:szCs w:val="24"/>
        </w:rPr>
        <w:t>如果是因为供方延误不能将上述内容通知需方，使需方不能及时做好有关准备或办理相关手续，由此而造成的全部损失应由供方负责。</w:t>
      </w:r>
    </w:p>
    <w:p>
      <w:pPr>
        <w:pStyle w:val="18"/>
        <w:spacing w:line="360" w:lineRule="auto"/>
        <w:ind w:left="420"/>
        <w:rPr>
          <w:rFonts w:hAnsi="宋体" w:cs="宋体"/>
          <w:iCs/>
          <w:color w:val="000000"/>
          <w:sz w:val="24"/>
          <w:szCs w:val="24"/>
        </w:rPr>
      </w:pPr>
      <w:r>
        <w:rPr>
          <w:rFonts w:hint="eastAsia" w:hAnsi="宋体" w:cs="宋体"/>
          <w:iCs/>
          <w:color w:val="000000"/>
          <w:sz w:val="24"/>
          <w:szCs w:val="24"/>
        </w:rPr>
        <w:t xml:space="preserve">   此条款的适用对象见“合同专用条款资料表”。</w:t>
      </w:r>
    </w:p>
    <w:p>
      <w:pPr>
        <w:pStyle w:val="4"/>
        <w:numPr>
          <w:ilvl w:val="0"/>
          <w:numId w:val="2"/>
        </w:numPr>
        <w:spacing w:line="360" w:lineRule="auto"/>
        <w:jc w:val="both"/>
        <w:rPr>
          <w:rFonts w:hint="default" w:cs="宋体"/>
          <w:iCs/>
          <w:color w:val="000000"/>
          <w:sz w:val="24"/>
          <w:szCs w:val="24"/>
        </w:rPr>
      </w:pPr>
      <w:r>
        <w:rPr>
          <w:rFonts w:cs="宋体"/>
          <w:iCs/>
          <w:color w:val="000000"/>
          <w:sz w:val="24"/>
          <w:szCs w:val="24"/>
        </w:rPr>
        <w:t>交货和单据</w:t>
      </w:r>
    </w:p>
    <w:p>
      <w:pPr>
        <w:pStyle w:val="18"/>
        <w:numPr>
          <w:ilvl w:val="1"/>
          <w:numId w:val="14"/>
        </w:numPr>
        <w:spacing w:line="360" w:lineRule="auto"/>
        <w:rPr>
          <w:rFonts w:hAnsi="宋体" w:cs="宋体"/>
          <w:iCs/>
          <w:color w:val="000000"/>
          <w:sz w:val="24"/>
          <w:szCs w:val="24"/>
        </w:rPr>
      </w:pPr>
      <w:r>
        <w:rPr>
          <w:rFonts w:hint="eastAsia" w:hAnsi="宋体" w:cs="宋体"/>
          <w:iCs/>
          <w:color w:val="000000"/>
          <w:sz w:val="24"/>
          <w:szCs w:val="24"/>
        </w:rPr>
        <w:t>供方应按照“</w:t>
      </w:r>
      <w:r>
        <w:rPr>
          <w:rFonts w:hint="eastAsia" w:hAnsi="宋体" w:cs="宋体"/>
          <w:color w:val="000000"/>
          <w:sz w:val="24"/>
          <w:szCs w:val="24"/>
        </w:rPr>
        <w:t>招标项目需求及技术规格要求</w:t>
      </w:r>
      <w:r>
        <w:rPr>
          <w:rFonts w:hint="eastAsia" w:hAnsi="宋体" w:cs="宋体"/>
          <w:iCs/>
          <w:color w:val="000000"/>
          <w:sz w:val="24"/>
          <w:szCs w:val="24"/>
        </w:rPr>
        <w:t>”规定的条件交货。供方应提供的装运细节和／或要求见合同条款第9、10、11、12条规定。</w:t>
      </w:r>
    </w:p>
    <w:p>
      <w:pPr>
        <w:pStyle w:val="18"/>
        <w:numPr>
          <w:ilvl w:val="1"/>
          <w:numId w:val="14"/>
        </w:numPr>
        <w:spacing w:line="360" w:lineRule="auto"/>
        <w:rPr>
          <w:rFonts w:hAnsi="宋体" w:cs="宋体"/>
          <w:iCs/>
          <w:color w:val="000000"/>
          <w:sz w:val="24"/>
          <w:szCs w:val="24"/>
        </w:rPr>
      </w:pPr>
      <w:r>
        <w:rPr>
          <w:rFonts w:hint="eastAsia" w:hAnsi="宋体" w:cs="宋体"/>
          <w:iCs/>
          <w:color w:val="000000"/>
          <w:sz w:val="24"/>
          <w:szCs w:val="24"/>
        </w:rPr>
        <w:t>为合同支付的需要，供方还应根据本合同条款第20条的规定，向需方寄交或通过供方银行转交该条款规定的相关“支付单据”。</w:t>
      </w:r>
    </w:p>
    <w:p>
      <w:pPr>
        <w:pStyle w:val="4"/>
        <w:numPr>
          <w:ilvl w:val="0"/>
          <w:numId w:val="2"/>
        </w:numPr>
        <w:spacing w:line="360" w:lineRule="auto"/>
        <w:jc w:val="both"/>
        <w:rPr>
          <w:rFonts w:hint="default" w:cs="宋体"/>
          <w:iCs/>
          <w:color w:val="000000"/>
          <w:sz w:val="24"/>
          <w:szCs w:val="24"/>
        </w:rPr>
      </w:pPr>
      <w:r>
        <w:rPr>
          <w:rFonts w:cs="宋体"/>
          <w:iCs/>
          <w:color w:val="000000"/>
          <w:sz w:val="24"/>
          <w:szCs w:val="24"/>
        </w:rPr>
        <w:t>保险</w:t>
      </w:r>
    </w:p>
    <w:p>
      <w:pPr>
        <w:pStyle w:val="18"/>
        <w:numPr>
          <w:ilvl w:val="1"/>
          <w:numId w:val="15"/>
        </w:numPr>
        <w:spacing w:line="360" w:lineRule="auto"/>
        <w:rPr>
          <w:rFonts w:hAnsi="宋体" w:cs="宋体"/>
          <w:iCs/>
          <w:color w:val="000000"/>
          <w:sz w:val="24"/>
          <w:szCs w:val="24"/>
        </w:rPr>
      </w:pPr>
      <w:r>
        <w:rPr>
          <w:rFonts w:hint="eastAsia" w:hAnsi="宋体" w:cs="宋体"/>
          <w:iCs/>
          <w:color w:val="000000"/>
          <w:sz w:val="24"/>
          <w:szCs w:val="24"/>
        </w:rPr>
        <w:t>供方在本合同下提供的货物应对其在制造、购置、运输、存放及交货过程中的丢失或损坏按本条款规定的方式，进行全面保险。</w:t>
      </w:r>
    </w:p>
    <w:p>
      <w:pPr>
        <w:pStyle w:val="18"/>
        <w:numPr>
          <w:ilvl w:val="1"/>
          <w:numId w:val="15"/>
        </w:numPr>
        <w:spacing w:line="360" w:lineRule="auto"/>
        <w:rPr>
          <w:rFonts w:hAnsi="宋体" w:cs="宋体"/>
          <w:iCs/>
          <w:color w:val="000000"/>
          <w:sz w:val="24"/>
          <w:szCs w:val="24"/>
        </w:rPr>
      </w:pPr>
      <w:r>
        <w:rPr>
          <w:rFonts w:hint="eastAsia" w:hAnsi="宋体" w:cs="宋体"/>
          <w:iCs/>
          <w:color w:val="000000"/>
          <w:sz w:val="24"/>
          <w:szCs w:val="24"/>
        </w:rPr>
        <w:t>根据需方在“招标项目资料表”中要求的报价条件交货，如由供方负责办理、支付货物保险，供方应用一种可以自由兑换的货币办理以发票金额百分之一百一十(110％)投保的一切险和战争险，并以需方为受益人。</w:t>
      </w:r>
    </w:p>
    <w:p>
      <w:pPr>
        <w:pStyle w:val="4"/>
        <w:numPr>
          <w:ilvl w:val="0"/>
          <w:numId w:val="2"/>
        </w:numPr>
        <w:spacing w:line="360" w:lineRule="auto"/>
        <w:jc w:val="both"/>
        <w:rPr>
          <w:rFonts w:hint="default" w:cs="宋体"/>
          <w:iCs/>
          <w:color w:val="000000"/>
          <w:sz w:val="24"/>
          <w:szCs w:val="24"/>
        </w:rPr>
      </w:pPr>
      <w:r>
        <w:rPr>
          <w:rFonts w:cs="宋体"/>
          <w:iCs/>
          <w:color w:val="000000"/>
          <w:sz w:val="24"/>
          <w:szCs w:val="24"/>
        </w:rPr>
        <w:t>运输</w:t>
      </w:r>
    </w:p>
    <w:p>
      <w:pPr>
        <w:pStyle w:val="18"/>
        <w:numPr>
          <w:ilvl w:val="1"/>
          <w:numId w:val="16"/>
        </w:numPr>
        <w:spacing w:line="360" w:lineRule="auto"/>
        <w:rPr>
          <w:rFonts w:hAnsi="宋体" w:cs="宋体"/>
          <w:color w:val="000000"/>
          <w:sz w:val="24"/>
          <w:szCs w:val="24"/>
        </w:rPr>
      </w:pPr>
      <w:r>
        <w:rPr>
          <w:rFonts w:hint="eastAsia" w:hAnsi="宋体" w:cs="宋体"/>
          <w:iCs/>
          <w:color w:val="000000"/>
          <w:sz w:val="24"/>
          <w:szCs w:val="24"/>
        </w:rPr>
        <w:t>根据需方在“招标项目资料表”中要求的报价条件交货，供方应负责办理相应的运输、仓储、保管等事项，相关费用包括在合同价中。</w:t>
      </w:r>
    </w:p>
    <w:p>
      <w:pPr>
        <w:pStyle w:val="4"/>
        <w:numPr>
          <w:ilvl w:val="0"/>
          <w:numId w:val="2"/>
        </w:numPr>
        <w:spacing w:line="360" w:lineRule="auto"/>
        <w:jc w:val="both"/>
        <w:rPr>
          <w:rFonts w:hint="default" w:cs="宋体"/>
          <w:color w:val="000000"/>
          <w:sz w:val="24"/>
          <w:szCs w:val="24"/>
        </w:rPr>
      </w:pPr>
      <w:r>
        <w:rPr>
          <w:rFonts w:cs="宋体"/>
          <w:color w:val="000000"/>
          <w:sz w:val="24"/>
          <w:szCs w:val="24"/>
        </w:rPr>
        <w:t>伴随服务</w:t>
      </w:r>
    </w:p>
    <w:p>
      <w:pPr>
        <w:pStyle w:val="18"/>
        <w:numPr>
          <w:ilvl w:val="1"/>
          <w:numId w:val="17"/>
        </w:numPr>
        <w:spacing w:line="360" w:lineRule="auto"/>
        <w:rPr>
          <w:rFonts w:hAnsi="宋体" w:cs="宋体"/>
          <w:color w:val="000000"/>
          <w:sz w:val="24"/>
          <w:szCs w:val="24"/>
        </w:rPr>
      </w:pPr>
      <w:r>
        <w:rPr>
          <w:rFonts w:hint="eastAsia" w:hAnsi="宋体" w:cs="宋体"/>
          <w:color w:val="000000"/>
          <w:sz w:val="24"/>
          <w:szCs w:val="24"/>
        </w:rPr>
        <w:t>供方可能被要求提供下列服务中的任一项或所有服务，包括“合同专用条款资料表”与技术规格规定的附加服务(如果有的话)：</w:t>
      </w:r>
    </w:p>
    <w:p>
      <w:pPr>
        <w:pStyle w:val="18"/>
        <w:numPr>
          <w:ilvl w:val="0"/>
          <w:numId w:val="18"/>
        </w:numPr>
        <w:tabs>
          <w:tab w:val="left" w:pos="1260"/>
        </w:tabs>
        <w:spacing w:line="360" w:lineRule="auto"/>
        <w:ind w:left="1260" w:hanging="360"/>
        <w:rPr>
          <w:rFonts w:hAnsi="宋体" w:cs="宋体"/>
          <w:color w:val="000000"/>
          <w:sz w:val="24"/>
          <w:szCs w:val="24"/>
        </w:rPr>
      </w:pPr>
      <w:r>
        <w:rPr>
          <w:rFonts w:hint="eastAsia" w:hAnsi="宋体" w:cs="宋体"/>
          <w:color w:val="000000"/>
          <w:sz w:val="24"/>
          <w:szCs w:val="24"/>
        </w:rPr>
        <w:t>实施或监督所供货物的现场组装和／或试运行；</w:t>
      </w:r>
    </w:p>
    <w:p>
      <w:pPr>
        <w:pStyle w:val="18"/>
        <w:numPr>
          <w:ilvl w:val="0"/>
          <w:numId w:val="18"/>
        </w:numPr>
        <w:tabs>
          <w:tab w:val="left" w:pos="1260"/>
        </w:tabs>
        <w:spacing w:line="360" w:lineRule="auto"/>
        <w:ind w:left="1260" w:hanging="360"/>
        <w:rPr>
          <w:rFonts w:hAnsi="宋体" w:cs="宋体"/>
          <w:color w:val="000000"/>
          <w:sz w:val="24"/>
          <w:szCs w:val="24"/>
        </w:rPr>
      </w:pPr>
      <w:r>
        <w:rPr>
          <w:rFonts w:hint="eastAsia" w:hAnsi="宋体" w:cs="宋体"/>
          <w:color w:val="000000"/>
          <w:sz w:val="24"/>
          <w:szCs w:val="24"/>
        </w:rPr>
        <w:t>提供货物组装和／或维修所需的工具；</w:t>
      </w:r>
    </w:p>
    <w:p>
      <w:pPr>
        <w:pStyle w:val="18"/>
        <w:numPr>
          <w:ilvl w:val="0"/>
          <w:numId w:val="18"/>
        </w:numPr>
        <w:tabs>
          <w:tab w:val="left" w:pos="1260"/>
        </w:tabs>
        <w:spacing w:line="360" w:lineRule="auto"/>
        <w:ind w:left="1260" w:hanging="360"/>
        <w:rPr>
          <w:rFonts w:hAnsi="宋体" w:cs="宋体"/>
          <w:color w:val="000000"/>
          <w:sz w:val="24"/>
          <w:szCs w:val="24"/>
        </w:rPr>
      </w:pPr>
      <w:r>
        <w:rPr>
          <w:rFonts w:hint="eastAsia" w:hAnsi="宋体" w:cs="宋体"/>
          <w:color w:val="000000"/>
          <w:sz w:val="24"/>
          <w:szCs w:val="24"/>
        </w:rPr>
        <w:t>为所供货物的每一适当的单台设备提供详细的操作和维护手册；</w:t>
      </w:r>
    </w:p>
    <w:p>
      <w:pPr>
        <w:pStyle w:val="18"/>
        <w:numPr>
          <w:ilvl w:val="0"/>
          <w:numId w:val="18"/>
        </w:numPr>
        <w:tabs>
          <w:tab w:val="left" w:pos="1260"/>
        </w:tabs>
        <w:spacing w:line="360" w:lineRule="auto"/>
        <w:ind w:left="1260" w:hanging="360"/>
        <w:rPr>
          <w:rFonts w:hAnsi="宋体" w:cs="宋体"/>
          <w:color w:val="000000"/>
          <w:sz w:val="24"/>
          <w:szCs w:val="24"/>
        </w:rPr>
      </w:pPr>
      <w:r>
        <w:rPr>
          <w:rFonts w:hint="eastAsia" w:hAnsi="宋体" w:cs="宋体"/>
          <w:color w:val="000000"/>
          <w:sz w:val="24"/>
          <w:szCs w:val="24"/>
        </w:rPr>
        <w:t>在双方商定的一定期限内对所供货物实施运行或监督或维护或修理，但前提条件是该服务并不能免除供方在合同保证期内所承担的义务；</w:t>
      </w:r>
    </w:p>
    <w:p>
      <w:pPr>
        <w:pStyle w:val="18"/>
        <w:numPr>
          <w:ilvl w:val="0"/>
          <w:numId w:val="18"/>
        </w:numPr>
        <w:tabs>
          <w:tab w:val="left" w:pos="1260"/>
        </w:tabs>
        <w:spacing w:line="360" w:lineRule="auto"/>
        <w:ind w:left="1260" w:hanging="360"/>
        <w:rPr>
          <w:rFonts w:hAnsi="宋体" w:cs="宋体"/>
          <w:color w:val="000000"/>
          <w:sz w:val="24"/>
          <w:szCs w:val="24"/>
        </w:rPr>
      </w:pPr>
      <w:r>
        <w:rPr>
          <w:rFonts w:hint="eastAsia" w:hAnsi="宋体" w:cs="宋体"/>
          <w:color w:val="000000"/>
          <w:sz w:val="24"/>
          <w:szCs w:val="24"/>
        </w:rPr>
        <w:t>在供方厂家和／或在项目现场就所供货物的组装、试运行、运行、维护和／或修理对需方人员进行培训。</w:t>
      </w:r>
    </w:p>
    <w:p>
      <w:pPr>
        <w:pStyle w:val="18"/>
        <w:numPr>
          <w:ilvl w:val="1"/>
          <w:numId w:val="17"/>
        </w:numPr>
        <w:spacing w:line="360" w:lineRule="auto"/>
        <w:rPr>
          <w:rFonts w:hAnsi="宋体" w:cs="宋体"/>
          <w:color w:val="000000"/>
          <w:sz w:val="24"/>
          <w:szCs w:val="24"/>
        </w:rPr>
      </w:pPr>
      <w:r>
        <w:rPr>
          <w:rFonts w:hint="eastAsia" w:hAnsi="宋体" w:cs="宋体"/>
          <w:color w:val="000000"/>
          <w:sz w:val="24"/>
          <w:szCs w:val="24"/>
        </w:rPr>
        <w:t>供方应提供“合同专用条款资料表”／技术规格中规定的所有服务。为履行要求的伴随服务的报价或双方商定的费用均应包括在合同价中。</w:t>
      </w:r>
    </w:p>
    <w:p>
      <w:pPr>
        <w:pStyle w:val="4"/>
        <w:numPr>
          <w:ilvl w:val="0"/>
          <w:numId w:val="2"/>
        </w:numPr>
        <w:spacing w:line="360" w:lineRule="auto"/>
        <w:jc w:val="both"/>
        <w:rPr>
          <w:rFonts w:hint="default" w:cs="宋体"/>
          <w:color w:val="000000"/>
          <w:sz w:val="24"/>
          <w:szCs w:val="24"/>
        </w:rPr>
      </w:pPr>
      <w:r>
        <w:rPr>
          <w:rFonts w:cs="宋体"/>
          <w:color w:val="000000"/>
          <w:sz w:val="24"/>
          <w:szCs w:val="24"/>
        </w:rPr>
        <w:t>备件</w:t>
      </w:r>
    </w:p>
    <w:p>
      <w:pPr>
        <w:pStyle w:val="18"/>
        <w:numPr>
          <w:ilvl w:val="1"/>
          <w:numId w:val="19"/>
        </w:numPr>
        <w:spacing w:line="360" w:lineRule="auto"/>
        <w:rPr>
          <w:rFonts w:hAnsi="宋体" w:cs="宋体"/>
          <w:color w:val="000000"/>
          <w:sz w:val="24"/>
          <w:szCs w:val="24"/>
        </w:rPr>
      </w:pPr>
      <w:r>
        <w:rPr>
          <w:rFonts w:hint="eastAsia" w:hAnsi="宋体" w:cs="宋体"/>
          <w:color w:val="000000"/>
          <w:sz w:val="24"/>
          <w:szCs w:val="24"/>
        </w:rPr>
        <w:t>供方可能被要求提供下列与备件有关的材料、通知和资料：</w:t>
      </w:r>
    </w:p>
    <w:p>
      <w:pPr>
        <w:pStyle w:val="18"/>
        <w:numPr>
          <w:ilvl w:val="0"/>
          <w:numId w:val="20"/>
        </w:numPr>
        <w:tabs>
          <w:tab w:val="left" w:pos="1260"/>
        </w:tabs>
        <w:spacing w:line="360" w:lineRule="auto"/>
        <w:ind w:left="1260" w:hanging="360"/>
        <w:rPr>
          <w:rFonts w:hAnsi="宋体" w:cs="宋体"/>
          <w:color w:val="000000"/>
          <w:sz w:val="24"/>
          <w:szCs w:val="24"/>
        </w:rPr>
      </w:pPr>
      <w:r>
        <w:rPr>
          <w:rFonts w:hint="eastAsia" w:hAnsi="宋体" w:cs="宋体"/>
          <w:color w:val="000000"/>
          <w:sz w:val="24"/>
          <w:szCs w:val="24"/>
        </w:rPr>
        <w:t>需方从供方选购备件，但前提条件是该选择并不能免除供方在合同保证期内所承担的义务；</w:t>
      </w:r>
    </w:p>
    <w:p>
      <w:pPr>
        <w:pStyle w:val="18"/>
        <w:numPr>
          <w:ilvl w:val="0"/>
          <w:numId w:val="20"/>
        </w:numPr>
        <w:tabs>
          <w:tab w:val="left" w:pos="1260"/>
        </w:tabs>
        <w:spacing w:line="360" w:lineRule="auto"/>
        <w:ind w:left="1260" w:hanging="360"/>
        <w:rPr>
          <w:rFonts w:hAnsi="宋体" w:cs="宋体"/>
          <w:color w:val="000000"/>
          <w:sz w:val="24"/>
          <w:szCs w:val="24"/>
        </w:rPr>
      </w:pPr>
      <w:r>
        <w:rPr>
          <w:rFonts w:hint="eastAsia" w:hAnsi="宋体" w:cs="宋体"/>
          <w:color w:val="000000"/>
          <w:sz w:val="24"/>
          <w:szCs w:val="24"/>
        </w:rPr>
        <w:t>在备件停止生产的情况下，供方应事先将要停止生产的计划通知需方，以便需方有足够的时间采购所需的备件；</w:t>
      </w:r>
    </w:p>
    <w:p>
      <w:pPr>
        <w:pStyle w:val="18"/>
        <w:numPr>
          <w:ilvl w:val="0"/>
          <w:numId w:val="20"/>
        </w:numPr>
        <w:tabs>
          <w:tab w:val="left" w:pos="1260"/>
          <w:tab w:val="clear" w:pos="660"/>
        </w:tabs>
        <w:spacing w:line="360" w:lineRule="auto"/>
        <w:ind w:left="1260" w:hanging="360"/>
        <w:rPr>
          <w:rFonts w:hAnsi="宋体" w:cs="宋体"/>
          <w:color w:val="000000"/>
          <w:sz w:val="24"/>
          <w:szCs w:val="24"/>
        </w:rPr>
      </w:pPr>
      <w:r>
        <w:rPr>
          <w:rFonts w:hint="eastAsia" w:hAnsi="宋体" w:cs="宋体"/>
          <w:color w:val="000000"/>
          <w:sz w:val="24"/>
          <w:szCs w:val="24"/>
        </w:rPr>
        <w:t>在备件停止生产后，如果需方要求，供方应免费向需方提供备件的蓝图、图纸和规格。</w:t>
      </w:r>
    </w:p>
    <w:p>
      <w:pPr>
        <w:pStyle w:val="18"/>
        <w:numPr>
          <w:ilvl w:val="1"/>
          <w:numId w:val="19"/>
        </w:numPr>
        <w:tabs>
          <w:tab w:val="left" w:pos="900"/>
        </w:tabs>
        <w:spacing w:line="360" w:lineRule="auto"/>
        <w:ind w:left="900" w:hanging="900"/>
        <w:rPr>
          <w:rFonts w:hAnsi="宋体" w:cs="宋体"/>
          <w:color w:val="000000"/>
          <w:sz w:val="24"/>
          <w:szCs w:val="24"/>
        </w:rPr>
      </w:pPr>
      <w:r>
        <w:rPr>
          <w:rFonts w:hint="eastAsia" w:hAnsi="宋体" w:cs="宋体"/>
          <w:color w:val="000000"/>
          <w:sz w:val="24"/>
          <w:szCs w:val="24"/>
        </w:rPr>
        <w:t>供方应按照“合同专用条款资料表”／技术规格中的规定提供所需的备件。</w:t>
      </w:r>
    </w:p>
    <w:p>
      <w:pPr>
        <w:pStyle w:val="4"/>
        <w:numPr>
          <w:ilvl w:val="0"/>
          <w:numId w:val="2"/>
        </w:numPr>
        <w:spacing w:line="360" w:lineRule="auto"/>
        <w:jc w:val="both"/>
        <w:rPr>
          <w:rFonts w:hint="default" w:cs="宋体"/>
          <w:bCs/>
          <w:color w:val="000000"/>
          <w:sz w:val="24"/>
          <w:szCs w:val="24"/>
        </w:rPr>
      </w:pPr>
      <w:r>
        <w:rPr>
          <w:rFonts w:cs="宋体"/>
          <w:color w:val="000000"/>
          <w:sz w:val="24"/>
          <w:szCs w:val="24"/>
        </w:rPr>
        <w:t>保证</w:t>
      </w:r>
    </w:p>
    <w:p>
      <w:pPr>
        <w:pStyle w:val="18"/>
        <w:spacing w:line="360" w:lineRule="auto"/>
        <w:ind w:left="617" w:hanging="616" w:hangingChars="257"/>
        <w:rPr>
          <w:rFonts w:hAnsi="宋体" w:cs="宋体"/>
          <w:color w:val="000000"/>
          <w:sz w:val="24"/>
          <w:szCs w:val="24"/>
        </w:rPr>
      </w:pPr>
      <w:r>
        <w:rPr>
          <w:rFonts w:hint="eastAsia" w:hAnsi="宋体" w:cs="宋体"/>
          <w:color w:val="000000"/>
          <w:sz w:val="24"/>
          <w:szCs w:val="24"/>
        </w:rPr>
        <w:t>18.1</w:t>
      </w:r>
      <w:r>
        <w:rPr>
          <w:rFonts w:hint="eastAsia" w:hAnsi="宋体" w:cs="宋体"/>
          <w:color w:val="000000"/>
          <w:sz w:val="24"/>
          <w:szCs w:val="24"/>
        </w:rPr>
        <w:tab/>
      </w:r>
      <w:r>
        <w:rPr>
          <w:rFonts w:hint="eastAsia" w:hAnsi="宋体" w:cs="宋体"/>
          <w:color w:val="000000"/>
          <w:sz w:val="24"/>
          <w:szCs w:val="24"/>
        </w:rPr>
        <w:t>供方应保证合同下所供货物的全部组成是全新的、未使用过的一级正品，除非合同另有规定，货物应含有设计上和材料上的全部最新改进。供方还应保证，合同项下提供的全部货物没有设计、材料或工艺上的缺陷(由于按需方的要求设计或按需方的规格提供的材料所产生的缺陷除外)，或者没有因供方的行为或疏忽而产生的缺陷，这些缺陷项目是工作现场现行条件下正常使用可能产生的。</w:t>
      </w:r>
    </w:p>
    <w:p>
      <w:pPr>
        <w:pStyle w:val="18"/>
        <w:spacing w:line="360" w:lineRule="auto"/>
        <w:ind w:left="617" w:hanging="616" w:hangingChars="257"/>
        <w:rPr>
          <w:rFonts w:hAnsi="宋体" w:cs="宋体"/>
          <w:color w:val="000000"/>
          <w:sz w:val="24"/>
          <w:szCs w:val="24"/>
        </w:rPr>
      </w:pPr>
      <w:r>
        <w:rPr>
          <w:rFonts w:hint="eastAsia" w:hAnsi="宋体" w:cs="宋体"/>
          <w:color w:val="000000"/>
          <w:sz w:val="24"/>
          <w:szCs w:val="24"/>
        </w:rPr>
        <w:t>18.2</w:t>
      </w:r>
      <w:r>
        <w:rPr>
          <w:rFonts w:hint="eastAsia" w:hAnsi="宋体" w:cs="宋体"/>
          <w:color w:val="000000"/>
          <w:sz w:val="24"/>
          <w:szCs w:val="24"/>
        </w:rPr>
        <w:tab/>
      </w:r>
      <w:r>
        <w:rPr>
          <w:rFonts w:hint="eastAsia" w:hAnsi="宋体" w:cs="宋体"/>
          <w:color w:val="000000"/>
          <w:sz w:val="24"/>
          <w:szCs w:val="24"/>
        </w:rPr>
        <w:t>本保证应在合同货物最终验收后的一定期限内保持有效，或在最后一批合同货物到达目的地后的一定期限内保持有效(上述期限见“合同专用条款资料表”)，以先发生的为准。</w:t>
      </w:r>
    </w:p>
    <w:p>
      <w:pPr>
        <w:pStyle w:val="18"/>
        <w:tabs>
          <w:tab w:val="left" w:pos="720"/>
        </w:tabs>
        <w:spacing w:line="360" w:lineRule="auto"/>
        <w:rPr>
          <w:rFonts w:hAnsi="宋体" w:cs="宋体"/>
          <w:color w:val="000000"/>
          <w:sz w:val="24"/>
          <w:szCs w:val="24"/>
        </w:rPr>
      </w:pPr>
      <w:r>
        <w:rPr>
          <w:rFonts w:hint="eastAsia" w:hAnsi="宋体" w:cs="宋体"/>
          <w:color w:val="000000"/>
          <w:sz w:val="24"/>
          <w:szCs w:val="24"/>
        </w:rPr>
        <w:t>18.3</w:t>
      </w:r>
      <w:r>
        <w:rPr>
          <w:rFonts w:hint="eastAsia" w:hAnsi="宋体" w:cs="宋体"/>
          <w:color w:val="000000"/>
          <w:sz w:val="24"/>
          <w:szCs w:val="24"/>
        </w:rPr>
        <w:tab/>
      </w:r>
      <w:r>
        <w:rPr>
          <w:rFonts w:hint="eastAsia" w:hAnsi="宋体" w:cs="宋体"/>
          <w:color w:val="000000"/>
          <w:sz w:val="24"/>
          <w:szCs w:val="24"/>
        </w:rPr>
        <w:t>需方应尽快以书面形式通知供方保证期内所发现的货物的缺陷。</w:t>
      </w:r>
    </w:p>
    <w:p>
      <w:pPr>
        <w:pStyle w:val="18"/>
        <w:spacing w:line="360" w:lineRule="auto"/>
        <w:ind w:left="617" w:hanging="616" w:hangingChars="257"/>
        <w:rPr>
          <w:rFonts w:hAnsi="宋体" w:cs="宋体"/>
          <w:color w:val="000000"/>
          <w:sz w:val="24"/>
          <w:szCs w:val="24"/>
        </w:rPr>
      </w:pPr>
      <w:r>
        <w:rPr>
          <w:rFonts w:hint="eastAsia" w:hAnsi="宋体" w:cs="宋体"/>
          <w:color w:val="000000"/>
          <w:sz w:val="24"/>
          <w:szCs w:val="24"/>
        </w:rPr>
        <w:t>18.4</w:t>
      </w:r>
      <w:r>
        <w:rPr>
          <w:rFonts w:hint="eastAsia" w:hAnsi="宋体" w:cs="宋体"/>
          <w:color w:val="000000"/>
          <w:sz w:val="24"/>
          <w:szCs w:val="24"/>
        </w:rPr>
        <w:tab/>
      </w:r>
      <w:r>
        <w:rPr>
          <w:rFonts w:hint="eastAsia" w:hAnsi="宋体" w:cs="宋体"/>
          <w:color w:val="000000"/>
          <w:sz w:val="24"/>
          <w:szCs w:val="24"/>
        </w:rPr>
        <w:t>供方收到通知后应在“合同专用条款资料表”规定的时间内以合理的速度免费维修或更换有缺陷的货物或部件。</w:t>
      </w:r>
    </w:p>
    <w:p>
      <w:pPr>
        <w:pStyle w:val="18"/>
        <w:spacing w:line="360" w:lineRule="auto"/>
        <w:ind w:left="617" w:hanging="616" w:hangingChars="257"/>
        <w:rPr>
          <w:rFonts w:hAnsi="宋体" w:cs="宋体"/>
          <w:color w:val="000000"/>
          <w:sz w:val="24"/>
          <w:szCs w:val="24"/>
        </w:rPr>
      </w:pPr>
      <w:r>
        <w:rPr>
          <w:rFonts w:hint="eastAsia" w:hAnsi="宋体" w:cs="宋体"/>
          <w:color w:val="000000"/>
          <w:sz w:val="24"/>
          <w:szCs w:val="24"/>
        </w:rPr>
        <w:t>l8.5</w:t>
      </w:r>
      <w:r>
        <w:rPr>
          <w:rFonts w:hint="eastAsia" w:hAnsi="宋体" w:cs="宋体"/>
          <w:color w:val="000000"/>
          <w:sz w:val="24"/>
          <w:szCs w:val="24"/>
        </w:rPr>
        <w:tab/>
      </w:r>
      <w:r>
        <w:rPr>
          <w:rFonts w:hint="eastAsia" w:hAnsi="宋体" w:cs="宋体"/>
          <w:color w:val="000000"/>
          <w:sz w:val="24"/>
          <w:szCs w:val="24"/>
        </w:rPr>
        <w:t>如果供方收到通知后在合同规定的时间内没有以合理的速度弥补缺陷，需方可采取必要的补救措施，但其风险和费用将由供方承担，需方根据合同规定对供方行使的其他权力不受影响。</w:t>
      </w:r>
    </w:p>
    <w:p>
      <w:pPr>
        <w:pStyle w:val="4"/>
        <w:numPr>
          <w:ilvl w:val="0"/>
          <w:numId w:val="2"/>
        </w:numPr>
        <w:spacing w:line="360" w:lineRule="auto"/>
        <w:jc w:val="both"/>
        <w:rPr>
          <w:rFonts w:hint="default" w:cs="宋体"/>
          <w:color w:val="000000"/>
          <w:sz w:val="24"/>
          <w:szCs w:val="24"/>
        </w:rPr>
      </w:pPr>
      <w:r>
        <w:rPr>
          <w:rFonts w:cs="宋体"/>
          <w:color w:val="000000"/>
          <w:sz w:val="24"/>
          <w:szCs w:val="24"/>
        </w:rPr>
        <w:t>索赔</w:t>
      </w:r>
    </w:p>
    <w:p>
      <w:pPr>
        <w:pStyle w:val="18"/>
        <w:numPr>
          <w:ilvl w:val="1"/>
          <w:numId w:val="21"/>
        </w:numPr>
        <w:tabs>
          <w:tab w:val="left" w:pos="640"/>
          <w:tab w:val="clear" w:pos="840"/>
        </w:tabs>
        <w:spacing w:line="360" w:lineRule="auto"/>
        <w:ind w:left="641" w:hanging="640" w:hangingChars="267"/>
        <w:rPr>
          <w:rFonts w:hAnsi="宋体" w:cs="宋体"/>
          <w:color w:val="000000"/>
          <w:sz w:val="24"/>
          <w:szCs w:val="24"/>
        </w:rPr>
      </w:pPr>
      <w:r>
        <w:rPr>
          <w:rFonts w:hint="eastAsia" w:hAnsi="宋体" w:cs="宋体"/>
          <w:color w:val="000000"/>
          <w:sz w:val="24"/>
          <w:szCs w:val="24"/>
        </w:rPr>
        <w:t>如果供方对货物的偏差负有责任，而需方在合同条款第18条或合同的其他条款规定的检验、安装、调试、验收和质量保证期内提出了索赔，供方应按照需方同意的下列一种或几种方式结合起来解决索赔事宜：</w:t>
      </w:r>
    </w:p>
    <w:p>
      <w:pPr>
        <w:pStyle w:val="18"/>
        <w:numPr>
          <w:ilvl w:val="0"/>
          <w:numId w:val="22"/>
        </w:numPr>
        <w:tabs>
          <w:tab w:val="left" w:pos="640"/>
        </w:tabs>
        <w:spacing w:line="360" w:lineRule="auto"/>
        <w:ind w:left="641" w:hanging="640" w:hangingChars="267"/>
        <w:rPr>
          <w:rFonts w:hAnsi="宋体" w:cs="宋体"/>
          <w:color w:val="000000"/>
          <w:sz w:val="24"/>
          <w:szCs w:val="24"/>
        </w:rPr>
      </w:pPr>
      <w:r>
        <w:rPr>
          <w:rFonts w:hint="eastAsia" w:hAnsi="宋体" w:cs="宋体"/>
          <w:color w:val="000000"/>
          <w:sz w:val="24"/>
          <w:szCs w:val="24"/>
        </w:rPr>
        <w:t>供方同意退货并用合同规定的货币将货款退还给需方，并承担由此发生的一切损失和费用，包括利息、银行手续费、运费、保险费、检验费、仓储费、装卸费以及为看管和保护退回货物所需的其它必要费用。</w:t>
      </w:r>
    </w:p>
    <w:p>
      <w:pPr>
        <w:pStyle w:val="18"/>
        <w:numPr>
          <w:ilvl w:val="0"/>
          <w:numId w:val="22"/>
        </w:numPr>
        <w:tabs>
          <w:tab w:val="left" w:pos="640"/>
        </w:tabs>
        <w:spacing w:line="360" w:lineRule="auto"/>
        <w:ind w:left="641" w:hanging="640" w:hangingChars="267"/>
        <w:rPr>
          <w:rFonts w:hAnsi="宋体" w:cs="宋体"/>
          <w:color w:val="000000"/>
          <w:sz w:val="24"/>
          <w:szCs w:val="24"/>
        </w:rPr>
      </w:pPr>
      <w:r>
        <w:rPr>
          <w:rFonts w:hint="eastAsia" w:hAnsi="宋体" w:cs="宋体"/>
          <w:color w:val="000000"/>
          <w:sz w:val="24"/>
          <w:szCs w:val="24"/>
        </w:rPr>
        <w:t>根据货物的偏差情况、损坏程度以及需方所遭受损失的金额，经需供双方商定降低货物的价格。</w:t>
      </w:r>
    </w:p>
    <w:p>
      <w:pPr>
        <w:pStyle w:val="18"/>
        <w:numPr>
          <w:ilvl w:val="0"/>
          <w:numId w:val="22"/>
        </w:numPr>
        <w:tabs>
          <w:tab w:val="left" w:pos="640"/>
          <w:tab w:val="clear" w:pos="930"/>
        </w:tabs>
        <w:spacing w:line="360" w:lineRule="auto"/>
        <w:ind w:left="641" w:hanging="640" w:hangingChars="267"/>
        <w:rPr>
          <w:rFonts w:hAnsi="宋体" w:cs="宋体"/>
          <w:color w:val="000000"/>
          <w:sz w:val="24"/>
          <w:szCs w:val="24"/>
        </w:rPr>
      </w:pPr>
      <w:r>
        <w:rPr>
          <w:rFonts w:hint="eastAsia" w:hAnsi="宋体" w:cs="宋体"/>
          <w:color w:val="000000"/>
          <w:sz w:val="24"/>
          <w:szCs w:val="24"/>
        </w:rPr>
        <w:t>用符合合同规定的规格、质量和性能要求的新零件、部件和／或设备来更换有缺陷的部分和／或修补缺陷部分，供方应承担一切费用和风险并负担需方蒙受的全部直接损失费用。同时，供方应按合同条款第l 8条规定，相应延长所更换货物的质量保证期。</w:t>
      </w:r>
    </w:p>
    <w:p>
      <w:pPr>
        <w:pStyle w:val="18"/>
        <w:numPr>
          <w:ilvl w:val="1"/>
          <w:numId w:val="21"/>
        </w:numPr>
        <w:tabs>
          <w:tab w:val="left" w:pos="640"/>
          <w:tab w:val="clear" w:pos="840"/>
        </w:tabs>
        <w:spacing w:line="360" w:lineRule="auto"/>
        <w:ind w:left="641" w:hanging="640" w:hangingChars="267"/>
        <w:rPr>
          <w:rFonts w:hAnsi="宋体" w:cs="宋体"/>
          <w:color w:val="000000"/>
          <w:sz w:val="24"/>
          <w:szCs w:val="24"/>
        </w:rPr>
      </w:pPr>
      <w:r>
        <w:rPr>
          <w:rFonts w:hint="eastAsia" w:hAnsi="宋体" w:cs="宋体"/>
          <w:color w:val="000000"/>
          <w:sz w:val="24"/>
          <w:szCs w:val="24"/>
        </w:rPr>
        <w:t>如果在需方发出索赔通知后三十(30)天内，供方未作答复，上述索赔应视为已被供方接受。如供方未能在需方发出索赔通知后三十(30)天内或需方同意的延长期限内，按照需方同意的上述规定的任一种方法解决索赔事宜，需方将从合同货款或供方开具的履约保证金中扣回索赔金额。</w:t>
      </w:r>
    </w:p>
    <w:p>
      <w:pPr>
        <w:pStyle w:val="4"/>
        <w:numPr>
          <w:ilvl w:val="0"/>
          <w:numId w:val="2"/>
        </w:numPr>
        <w:spacing w:line="360" w:lineRule="auto"/>
        <w:jc w:val="both"/>
        <w:rPr>
          <w:rFonts w:hint="default" w:cs="宋体"/>
          <w:color w:val="000000"/>
          <w:sz w:val="24"/>
          <w:szCs w:val="24"/>
        </w:rPr>
      </w:pPr>
      <w:r>
        <w:rPr>
          <w:rFonts w:cs="宋体"/>
          <w:color w:val="000000"/>
          <w:sz w:val="24"/>
          <w:szCs w:val="24"/>
        </w:rPr>
        <w:t>付款</w:t>
      </w:r>
    </w:p>
    <w:p>
      <w:pPr>
        <w:pStyle w:val="18"/>
        <w:numPr>
          <w:ilvl w:val="1"/>
          <w:numId w:val="23"/>
        </w:numPr>
        <w:spacing w:line="360" w:lineRule="auto"/>
        <w:rPr>
          <w:rFonts w:hAnsi="宋体" w:cs="宋体"/>
          <w:color w:val="000000"/>
          <w:sz w:val="24"/>
          <w:szCs w:val="24"/>
        </w:rPr>
      </w:pPr>
      <w:r>
        <w:rPr>
          <w:rFonts w:hint="eastAsia" w:hAnsi="宋体" w:cs="宋体"/>
          <w:color w:val="000000"/>
          <w:sz w:val="24"/>
          <w:szCs w:val="24"/>
        </w:rPr>
        <w:t>本合同项下的付款方法和条件在“合同专用条款资料表”中规定。</w:t>
      </w:r>
    </w:p>
    <w:p>
      <w:pPr>
        <w:pStyle w:val="4"/>
        <w:numPr>
          <w:ilvl w:val="0"/>
          <w:numId w:val="2"/>
        </w:numPr>
        <w:spacing w:line="360" w:lineRule="auto"/>
        <w:jc w:val="both"/>
        <w:rPr>
          <w:rFonts w:hint="default" w:cs="宋体"/>
          <w:color w:val="000000"/>
          <w:sz w:val="24"/>
          <w:szCs w:val="24"/>
        </w:rPr>
      </w:pPr>
      <w:r>
        <w:rPr>
          <w:rFonts w:cs="宋体"/>
          <w:color w:val="000000"/>
          <w:sz w:val="24"/>
          <w:szCs w:val="24"/>
        </w:rPr>
        <w:t>价格</w:t>
      </w:r>
    </w:p>
    <w:p>
      <w:pPr>
        <w:pStyle w:val="18"/>
        <w:numPr>
          <w:ilvl w:val="1"/>
          <w:numId w:val="24"/>
        </w:numPr>
        <w:spacing w:line="360" w:lineRule="auto"/>
        <w:rPr>
          <w:rFonts w:hAnsi="宋体" w:cs="宋体"/>
          <w:color w:val="000000"/>
          <w:sz w:val="24"/>
          <w:szCs w:val="24"/>
        </w:rPr>
      </w:pPr>
      <w:r>
        <w:rPr>
          <w:rFonts w:hint="eastAsia" w:hAnsi="宋体" w:cs="宋体"/>
          <w:color w:val="000000"/>
          <w:sz w:val="24"/>
          <w:szCs w:val="24"/>
        </w:rPr>
        <w:t>供方在本合同项下提交货物和履行服务的价格在合同中给出。</w:t>
      </w:r>
    </w:p>
    <w:p>
      <w:pPr>
        <w:pStyle w:val="4"/>
        <w:numPr>
          <w:ilvl w:val="0"/>
          <w:numId w:val="2"/>
        </w:numPr>
        <w:spacing w:line="360" w:lineRule="auto"/>
        <w:jc w:val="both"/>
        <w:rPr>
          <w:rFonts w:hint="default" w:cs="宋体"/>
          <w:color w:val="000000"/>
          <w:sz w:val="24"/>
          <w:szCs w:val="24"/>
        </w:rPr>
      </w:pPr>
      <w:r>
        <w:rPr>
          <w:rFonts w:cs="宋体"/>
          <w:color w:val="000000"/>
          <w:sz w:val="24"/>
          <w:szCs w:val="24"/>
        </w:rPr>
        <w:t>变更指令</w:t>
      </w:r>
    </w:p>
    <w:p>
      <w:pPr>
        <w:pStyle w:val="18"/>
        <w:numPr>
          <w:ilvl w:val="1"/>
          <w:numId w:val="25"/>
        </w:numPr>
        <w:spacing w:line="360" w:lineRule="auto"/>
        <w:rPr>
          <w:rFonts w:hAnsi="宋体" w:cs="宋体"/>
          <w:color w:val="000000"/>
          <w:sz w:val="24"/>
          <w:szCs w:val="24"/>
        </w:rPr>
      </w:pPr>
      <w:r>
        <w:rPr>
          <w:rFonts w:hint="eastAsia" w:hAnsi="宋体" w:cs="宋体"/>
          <w:color w:val="000000"/>
          <w:sz w:val="24"/>
          <w:szCs w:val="24"/>
        </w:rPr>
        <w:t>根据合同条款第35条的规定，需方可以在任何时候书面向供方发出指令，在本合同的一般范围内变更下述一项或几项：</w:t>
      </w:r>
    </w:p>
    <w:p>
      <w:pPr>
        <w:pStyle w:val="18"/>
        <w:numPr>
          <w:ilvl w:val="0"/>
          <w:numId w:val="26"/>
        </w:numPr>
        <w:spacing w:line="360" w:lineRule="auto"/>
        <w:rPr>
          <w:rFonts w:hAnsi="宋体" w:cs="宋体"/>
          <w:color w:val="000000"/>
          <w:sz w:val="24"/>
          <w:szCs w:val="24"/>
        </w:rPr>
      </w:pPr>
      <w:r>
        <w:rPr>
          <w:rFonts w:hint="eastAsia" w:hAnsi="宋体" w:cs="宋体"/>
          <w:color w:val="000000"/>
          <w:sz w:val="24"/>
          <w:szCs w:val="24"/>
        </w:rPr>
        <w:t>本合同项下提供的货物是专为需方制造时，变更图纸、设计或规格；</w:t>
      </w:r>
    </w:p>
    <w:p>
      <w:pPr>
        <w:pStyle w:val="18"/>
        <w:numPr>
          <w:ilvl w:val="0"/>
          <w:numId w:val="26"/>
        </w:numPr>
        <w:spacing w:line="360" w:lineRule="auto"/>
        <w:rPr>
          <w:rFonts w:hAnsi="宋体" w:cs="宋体"/>
          <w:color w:val="000000"/>
          <w:sz w:val="24"/>
          <w:szCs w:val="24"/>
        </w:rPr>
      </w:pPr>
      <w:r>
        <w:rPr>
          <w:rFonts w:hint="eastAsia" w:hAnsi="宋体" w:cs="宋体"/>
          <w:color w:val="000000"/>
          <w:sz w:val="24"/>
          <w:szCs w:val="24"/>
        </w:rPr>
        <w:t>运输或包装的方法；</w:t>
      </w:r>
    </w:p>
    <w:p>
      <w:pPr>
        <w:pStyle w:val="18"/>
        <w:numPr>
          <w:ilvl w:val="0"/>
          <w:numId w:val="26"/>
        </w:numPr>
        <w:spacing w:line="360" w:lineRule="auto"/>
        <w:rPr>
          <w:rFonts w:hAnsi="宋体" w:cs="宋体"/>
          <w:color w:val="000000"/>
          <w:sz w:val="24"/>
          <w:szCs w:val="24"/>
        </w:rPr>
      </w:pPr>
      <w:r>
        <w:rPr>
          <w:rFonts w:hint="eastAsia" w:hAnsi="宋体" w:cs="宋体"/>
          <w:color w:val="000000"/>
          <w:sz w:val="24"/>
          <w:szCs w:val="24"/>
        </w:rPr>
        <w:t>交货地点；</w:t>
      </w:r>
    </w:p>
    <w:p>
      <w:pPr>
        <w:pStyle w:val="18"/>
        <w:numPr>
          <w:ilvl w:val="0"/>
          <w:numId w:val="26"/>
        </w:numPr>
        <w:spacing w:line="360" w:lineRule="auto"/>
        <w:rPr>
          <w:rFonts w:hAnsi="宋体" w:cs="宋体"/>
          <w:color w:val="000000"/>
          <w:sz w:val="24"/>
          <w:szCs w:val="24"/>
        </w:rPr>
      </w:pPr>
      <w:r>
        <w:rPr>
          <w:rFonts w:hint="eastAsia" w:hAnsi="宋体" w:cs="宋体"/>
          <w:color w:val="000000"/>
          <w:sz w:val="24"/>
          <w:szCs w:val="24"/>
        </w:rPr>
        <w:t>供方提供的服务。</w:t>
      </w:r>
    </w:p>
    <w:p>
      <w:pPr>
        <w:pStyle w:val="18"/>
        <w:numPr>
          <w:ilvl w:val="1"/>
          <w:numId w:val="25"/>
        </w:numPr>
        <w:spacing w:line="360" w:lineRule="auto"/>
        <w:rPr>
          <w:rFonts w:hAnsi="宋体" w:cs="宋体"/>
          <w:color w:val="000000"/>
          <w:sz w:val="24"/>
          <w:szCs w:val="24"/>
        </w:rPr>
      </w:pPr>
      <w:r>
        <w:rPr>
          <w:rFonts w:hint="eastAsia" w:hAnsi="宋体" w:cs="宋体"/>
          <w:color w:val="000000"/>
          <w:sz w:val="24"/>
          <w:szCs w:val="24"/>
        </w:rPr>
        <w:t>如果上述变更使供方履行合同义务的费用或时间增加或减少，将对合同价或交货时间或两者进行公平的调整，同时相应修改合同。供方根据本条进行调整的要求必须在收到需方的变更指令后三十(30)天内提出。</w:t>
      </w:r>
    </w:p>
    <w:p>
      <w:pPr>
        <w:pStyle w:val="4"/>
        <w:numPr>
          <w:ilvl w:val="0"/>
          <w:numId w:val="2"/>
        </w:numPr>
        <w:spacing w:line="360" w:lineRule="auto"/>
        <w:jc w:val="both"/>
        <w:rPr>
          <w:rFonts w:hint="default" w:cs="宋体"/>
          <w:color w:val="000000"/>
          <w:sz w:val="24"/>
          <w:szCs w:val="24"/>
        </w:rPr>
      </w:pPr>
      <w:r>
        <w:rPr>
          <w:rFonts w:cs="宋体"/>
          <w:color w:val="000000"/>
          <w:sz w:val="24"/>
          <w:szCs w:val="24"/>
        </w:rPr>
        <w:t>合同修改</w:t>
      </w:r>
    </w:p>
    <w:p>
      <w:pPr>
        <w:pStyle w:val="18"/>
        <w:numPr>
          <w:ilvl w:val="1"/>
          <w:numId w:val="27"/>
        </w:numPr>
        <w:spacing w:line="360" w:lineRule="auto"/>
        <w:rPr>
          <w:rFonts w:hAnsi="宋体" w:cs="宋体"/>
          <w:color w:val="000000"/>
          <w:sz w:val="24"/>
          <w:szCs w:val="24"/>
        </w:rPr>
      </w:pPr>
      <w:r>
        <w:rPr>
          <w:rFonts w:hint="eastAsia" w:hAnsi="宋体" w:cs="宋体"/>
          <w:color w:val="000000"/>
          <w:sz w:val="24"/>
          <w:szCs w:val="24"/>
        </w:rPr>
        <w:t>除了合同条款第22条的情况，任何一方不应对合同条款进行任何变更或修改，除非双方协商同意并签订书面的合同修改书。</w:t>
      </w:r>
    </w:p>
    <w:p>
      <w:pPr>
        <w:pStyle w:val="4"/>
        <w:numPr>
          <w:ilvl w:val="0"/>
          <w:numId w:val="2"/>
        </w:numPr>
        <w:spacing w:line="360" w:lineRule="auto"/>
        <w:jc w:val="both"/>
        <w:rPr>
          <w:rFonts w:hint="default" w:cs="宋体"/>
          <w:color w:val="000000"/>
          <w:sz w:val="24"/>
          <w:szCs w:val="24"/>
        </w:rPr>
      </w:pPr>
      <w:r>
        <w:rPr>
          <w:rFonts w:cs="宋体"/>
          <w:color w:val="000000"/>
          <w:sz w:val="24"/>
          <w:szCs w:val="24"/>
        </w:rPr>
        <w:t>转让</w:t>
      </w:r>
    </w:p>
    <w:p>
      <w:pPr>
        <w:pStyle w:val="18"/>
        <w:numPr>
          <w:ilvl w:val="1"/>
          <w:numId w:val="28"/>
        </w:numPr>
        <w:spacing w:line="360" w:lineRule="auto"/>
        <w:rPr>
          <w:rFonts w:hAnsi="宋体" w:cs="宋体"/>
          <w:color w:val="000000"/>
          <w:sz w:val="24"/>
          <w:szCs w:val="24"/>
        </w:rPr>
      </w:pPr>
      <w:r>
        <w:rPr>
          <w:rFonts w:hint="eastAsia" w:hAnsi="宋体" w:cs="宋体"/>
          <w:color w:val="000000"/>
          <w:sz w:val="24"/>
          <w:szCs w:val="24"/>
        </w:rPr>
        <w:t>除特殊情况下并经需方事先书面同意外，供方所应履行的合同义务的任何一部分均不得向其他方转让。</w:t>
      </w:r>
    </w:p>
    <w:p>
      <w:pPr>
        <w:pStyle w:val="4"/>
        <w:numPr>
          <w:ilvl w:val="0"/>
          <w:numId w:val="2"/>
        </w:numPr>
        <w:spacing w:line="360" w:lineRule="auto"/>
        <w:jc w:val="both"/>
        <w:rPr>
          <w:rFonts w:hint="default" w:cs="宋体"/>
          <w:color w:val="000000"/>
          <w:sz w:val="24"/>
          <w:szCs w:val="24"/>
        </w:rPr>
      </w:pPr>
      <w:r>
        <w:rPr>
          <w:rFonts w:cs="宋体"/>
          <w:color w:val="000000"/>
          <w:sz w:val="24"/>
          <w:szCs w:val="24"/>
        </w:rPr>
        <w:t>分包</w:t>
      </w:r>
    </w:p>
    <w:p>
      <w:pPr>
        <w:pStyle w:val="18"/>
        <w:numPr>
          <w:ilvl w:val="1"/>
          <w:numId w:val="29"/>
        </w:numPr>
        <w:spacing w:line="360" w:lineRule="auto"/>
        <w:rPr>
          <w:rFonts w:hAnsi="宋体" w:cs="宋体"/>
          <w:color w:val="000000"/>
          <w:sz w:val="24"/>
          <w:szCs w:val="24"/>
        </w:rPr>
      </w:pPr>
      <w:r>
        <w:rPr>
          <w:rFonts w:hint="eastAsia" w:hAnsi="宋体" w:cs="宋体"/>
          <w:color w:val="000000"/>
          <w:sz w:val="24"/>
          <w:szCs w:val="24"/>
        </w:rPr>
        <w:t>不适用。</w:t>
      </w:r>
    </w:p>
    <w:p>
      <w:pPr>
        <w:pStyle w:val="4"/>
        <w:numPr>
          <w:ilvl w:val="0"/>
          <w:numId w:val="2"/>
        </w:numPr>
        <w:spacing w:line="360" w:lineRule="auto"/>
        <w:jc w:val="both"/>
        <w:rPr>
          <w:rFonts w:hint="default" w:cs="宋体"/>
          <w:color w:val="000000"/>
          <w:sz w:val="24"/>
          <w:szCs w:val="24"/>
        </w:rPr>
      </w:pPr>
      <w:r>
        <w:rPr>
          <w:rFonts w:cs="宋体"/>
          <w:color w:val="000000"/>
          <w:sz w:val="24"/>
          <w:szCs w:val="24"/>
        </w:rPr>
        <w:t>供方履约延误</w:t>
      </w:r>
    </w:p>
    <w:p>
      <w:pPr>
        <w:pStyle w:val="18"/>
        <w:numPr>
          <w:ilvl w:val="1"/>
          <w:numId w:val="30"/>
        </w:numPr>
        <w:spacing w:line="360" w:lineRule="auto"/>
        <w:rPr>
          <w:rFonts w:hAnsi="宋体" w:cs="宋体"/>
          <w:color w:val="000000"/>
          <w:sz w:val="24"/>
          <w:szCs w:val="24"/>
        </w:rPr>
      </w:pPr>
      <w:r>
        <w:rPr>
          <w:rFonts w:hint="eastAsia" w:hAnsi="宋体" w:cs="宋体"/>
          <w:color w:val="000000"/>
          <w:sz w:val="24"/>
          <w:szCs w:val="24"/>
        </w:rPr>
        <w:t>供方应按照“招标项目需求及技术规格要求”中需方规定的时间表交货和提供服务。</w:t>
      </w:r>
    </w:p>
    <w:p>
      <w:pPr>
        <w:tabs>
          <w:tab w:val="left" w:pos="840"/>
        </w:tabs>
        <w:spacing w:line="360" w:lineRule="auto"/>
        <w:ind w:left="977" w:leftChars="407"/>
        <w:rPr>
          <w:rFonts w:ascii="宋体" w:hAnsi="宋体" w:cs="宋体"/>
          <w:color w:val="000000"/>
          <w:szCs w:val="24"/>
        </w:rPr>
      </w:pPr>
      <w:r>
        <w:rPr>
          <w:rFonts w:hint="eastAsia" w:ascii="宋体" w:hAnsi="宋体" w:cs="宋体"/>
          <w:color w:val="000000"/>
          <w:szCs w:val="24"/>
        </w:rPr>
        <w:t>在履行合同过程中，如果供方及其分包人遇到妨碍按时交货和提供服务的情况时，应及时以书面形式将拖延的事实、可能拖延的时间和原因通知需方。需方在收到供方通知后，应尽快对情况进行评价，并确定是否同意延长交货时间以及是否收取误期赔偿费。延期应通过修改合同的方式由双方认可。</w:t>
      </w:r>
    </w:p>
    <w:p>
      <w:pPr>
        <w:pStyle w:val="18"/>
        <w:numPr>
          <w:ilvl w:val="1"/>
          <w:numId w:val="30"/>
        </w:numPr>
        <w:spacing w:line="360" w:lineRule="auto"/>
        <w:rPr>
          <w:rFonts w:hAnsi="宋体" w:cs="宋体"/>
          <w:color w:val="000000"/>
          <w:sz w:val="24"/>
          <w:szCs w:val="24"/>
        </w:rPr>
      </w:pPr>
      <w:r>
        <w:rPr>
          <w:rFonts w:hint="eastAsia" w:hAnsi="宋体" w:cs="宋体"/>
          <w:color w:val="000000"/>
          <w:sz w:val="24"/>
          <w:szCs w:val="24"/>
        </w:rPr>
        <w:t>除了合同条款第29条的情况外，除非拖延是根据合同条款第26.2条的规定取得同意而不收取误期赔偿费之外，供方延误交货，将按合同条款第27条的规定被收取误期赔偿费。</w:t>
      </w:r>
    </w:p>
    <w:p>
      <w:pPr>
        <w:pStyle w:val="4"/>
        <w:numPr>
          <w:ilvl w:val="0"/>
          <w:numId w:val="2"/>
        </w:numPr>
        <w:spacing w:line="360" w:lineRule="auto"/>
        <w:jc w:val="both"/>
        <w:rPr>
          <w:rFonts w:hint="default" w:cs="宋体"/>
          <w:color w:val="000000"/>
          <w:sz w:val="24"/>
          <w:szCs w:val="24"/>
        </w:rPr>
      </w:pPr>
      <w:r>
        <w:rPr>
          <w:rFonts w:cs="宋体"/>
          <w:color w:val="000000"/>
          <w:sz w:val="24"/>
          <w:szCs w:val="24"/>
        </w:rPr>
        <w:t>误期赔偿费</w:t>
      </w:r>
    </w:p>
    <w:p>
      <w:pPr>
        <w:pStyle w:val="18"/>
        <w:numPr>
          <w:ilvl w:val="1"/>
          <w:numId w:val="31"/>
        </w:numPr>
        <w:spacing w:line="360" w:lineRule="auto"/>
        <w:rPr>
          <w:rFonts w:hAnsi="宋体" w:cs="宋体"/>
          <w:color w:val="000000"/>
          <w:sz w:val="24"/>
          <w:szCs w:val="24"/>
        </w:rPr>
      </w:pPr>
      <w:r>
        <w:rPr>
          <w:rFonts w:hint="eastAsia" w:hAnsi="宋体" w:cs="宋体"/>
          <w:color w:val="000000"/>
          <w:sz w:val="24"/>
          <w:szCs w:val="24"/>
        </w:rPr>
        <w:t>除合同条款第29条规定的情况外，如果供方没有按照合同规定的时间交货和提供服务，需方应在不影响合同项下的其他补救措施的情况下，从合同价中扣除误期赔偿费。每延误一周的赔偿费按迟交货物交货价或未提供服务的服务费用的百分之贰点五(2.5％)计收，直至交货或提供服务为止。误期延误最多为两周。一旦达到误期最高期限，需方可考虑根据合同条款第28条的规定终止合同。</w:t>
      </w:r>
    </w:p>
    <w:p>
      <w:pPr>
        <w:pStyle w:val="4"/>
        <w:numPr>
          <w:ilvl w:val="0"/>
          <w:numId w:val="2"/>
        </w:numPr>
        <w:spacing w:line="360" w:lineRule="auto"/>
        <w:jc w:val="both"/>
        <w:rPr>
          <w:rFonts w:hint="default" w:cs="宋体"/>
          <w:color w:val="000000"/>
          <w:sz w:val="24"/>
          <w:szCs w:val="24"/>
        </w:rPr>
      </w:pPr>
      <w:r>
        <w:rPr>
          <w:rFonts w:cs="宋体"/>
          <w:color w:val="000000"/>
          <w:sz w:val="24"/>
          <w:szCs w:val="24"/>
        </w:rPr>
        <w:t>违约终止合同</w:t>
      </w:r>
    </w:p>
    <w:p>
      <w:pPr>
        <w:pStyle w:val="18"/>
        <w:numPr>
          <w:ilvl w:val="1"/>
          <w:numId w:val="32"/>
        </w:numPr>
        <w:spacing w:line="360" w:lineRule="auto"/>
        <w:rPr>
          <w:rFonts w:hAnsi="宋体" w:cs="宋体"/>
          <w:color w:val="000000"/>
          <w:sz w:val="24"/>
          <w:szCs w:val="24"/>
        </w:rPr>
      </w:pPr>
      <w:r>
        <w:rPr>
          <w:rFonts w:hint="eastAsia" w:hAnsi="宋体" w:cs="宋体"/>
          <w:color w:val="000000"/>
          <w:sz w:val="24"/>
          <w:szCs w:val="24"/>
        </w:rPr>
        <w:t>在需方对供方违约而采取的任何补救措施不受影响的情况下，需方可向供方发出书面违约通知书，提出终止部分或全部合同：</w:t>
      </w:r>
    </w:p>
    <w:p>
      <w:pPr>
        <w:pStyle w:val="18"/>
        <w:numPr>
          <w:ilvl w:val="0"/>
          <w:numId w:val="33"/>
        </w:numPr>
        <w:spacing w:line="360" w:lineRule="auto"/>
        <w:rPr>
          <w:rFonts w:hAnsi="宋体" w:cs="宋体"/>
          <w:color w:val="000000"/>
          <w:sz w:val="24"/>
          <w:szCs w:val="24"/>
        </w:rPr>
      </w:pPr>
      <w:r>
        <w:rPr>
          <w:rFonts w:hint="eastAsia" w:hAnsi="宋体" w:cs="宋体"/>
          <w:color w:val="000000"/>
          <w:sz w:val="24"/>
          <w:szCs w:val="24"/>
        </w:rPr>
        <w:t>如果供方未能在合同规定的期限内或需方根据合同条款第26条的规定同意延长的期限内提供部分或全部货物；</w:t>
      </w:r>
    </w:p>
    <w:p>
      <w:pPr>
        <w:pStyle w:val="18"/>
        <w:numPr>
          <w:ilvl w:val="0"/>
          <w:numId w:val="33"/>
        </w:numPr>
        <w:spacing w:line="360" w:lineRule="auto"/>
        <w:rPr>
          <w:rFonts w:hAnsi="宋体" w:cs="宋体"/>
          <w:color w:val="000000"/>
          <w:sz w:val="24"/>
          <w:szCs w:val="24"/>
        </w:rPr>
      </w:pPr>
      <w:r>
        <w:rPr>
          <w:rFonts w:hint="eastAsia" w:hAnsi="宋体" w:cs="宋体"/>
          <w:color w:val="000000"/>
          <w:sz w:val="24"/>
          <w:szCs w:val="24"/>
        </w:rPr>
        <w:t>如果供方未能履行合同规定的其它任何项义务。</w:t>
      </w:r>
    </w:p>
    <w:p>
      <w:pPr>
        <w:pStyle w:val="18"/>
        <w:numPr>
          <w:ilvl w:val="0"/>
          <w:numId w:val="33"/>
        </w:numPr>
        <w:spacing w:line="360" w:lineRule="auto"/>
        <w:rPr>
          <w:rFonts w:hAnsi="宋体" w:cs="宋体"/>
          <w:color w:val="000000"/>
          <w:sz w:val="24"/>
          <w:szCs w:val="24"/>
        </w:rPr>
      </w:pPr>
      <w:r>
        <w:rPr>
          <w:rFonts w:hint="eastAsia" w:hAnsi="宋体" w:cs="宋体"/>
          <w:color w:val="000000"/>
          <w:sz w:val="24"/>
          <w:szCs w:val="24"/>
        </w:rPr>
        <w:t>如果需方认为供方在本合同的竞争和实施过程中有腐败和欺诈行为。其定义如下：</w:t>
      </w:r>
    </w:p>
    <w:p>
      <w:pPr>
        <w:pStyle w:val="18"/>
        <w:numPr>
          <w:ilvl w:val="2"/>
          <w:numId w:val="2"/>
        </w:numPr>
        <w:tabs>
          <w:tab w:val="left" w:pos="1080"/>
          <w:tab w:val="clear" w:pos="1260"/>
        </w:tabs>
        <w:spacing w:line="360" w:lineRule="auto"/>
        <w:ind w:left="1080" w:firstLine="0"/>
        <w:rPr>
          <w:rFonts w:hAnsi="宋体" w:cs="宋体"/>
          <w:color w:val="000000"/>
          <w:sz w:val="24"/>
          <w:szCs w:val="24"/>
        </w:rPr>
      </w:pPr>
      <w:r>
        <w:rPr>
          <w:rFonts w:hint="eastAsia" w:hAnsi="宋体" w:cs="宋体"/>
          <w:color w:val="000000"/>
          <w:sz w:val="24"/>
          <w:szCs w:val="24"/>
        </w:rPr>
        <w:t>腐败行为：是指提供、给予、接受或索取任何有价值的物品来影响需方在采购过程或合同实施过程中的行为。</w:t>
      </w:r>
    </w:p>
    <w:p>
      <w:pPr>
        <w:pStyle w:val="18"/>
        <w:numPr>
          <w:ilvl w:val="2"/>
          <w:numId w:val="2"/>
        </w:numPr>
        <w:tabs>
          <w:tab w:val="left" w:pos="1080"/>
          <w:tab w:val="clear" w:pos="1260"/>
        </w:tabs>
        <w:spacing w:line="360" w:lineRule="auto"/>
        <w:ind w:left="1080" w:firstLine="0"/>
        <w:rPr>
          <w:rFonts w:hAnsi="宋体" w:cs="宋体"/>
          <w:color w:val="000000"/>
          <w:sz w:val="24"/>
          <w:szCs w:val="24"/>
        </w:rPr>
      </w:pPr>
      <w:r>
        <w:rPr>
          <w:rFonts w:hint="eastAsia" w:hAnsi="宋体" w:cs="宋体"/>
          <w:color w:val="000000"/>
          <w:sz w:val="24"/>
          <w:szCs w:val="24"/>
        </w:rPr>
        <w:t>欺诈行为：是指为了影响采购过程或合同实施过程而谎报或隐瞒事实，提供不满足合同要求的货物，损害需方利益的行为。</w:t>
      </w:r>
    </w:p>
    <w:p>
      <w:pPr>
        <w:pStyle w:val="18"/>
        <w:numPr>
          <w:ilvl w:val="1"/>
          <w:numId w:val="32"/>
        </w:numPr>
        <w:spacing w:line="360" w:lineRule="auto"/>
        <w:rPr>
          <w:rFonts w:hAnsi="宋体" w:cs="宋体"/>
          <w:color w:val="000000"/>
          <w:sz w:val="24"/>
          <w:szCs w:val="24"/>
        </w:rPr>
      </w:pPr>
      <w:r>
        <w:rPr>
          <w:rFonts w:hint="eastAsia" w:hAnsi="宋体" w:cs="宋体"/>
          <w:color w:val="000000"/>
          <w:sz w:val="24"/>
          <w:szCs w:val="24"/>
        </w:rPr>
        <w:t>如果需方根据上述第28.1条的规定，终止了全部或部分合同，需方可以依其认为适当的条件和方法购买与末交货物类似的货物或服务，供方应承担需方因购买类似货物或服务而产生的额外支出。但是，供方应继续执行合同中未终止的部分。</w:t>
      </w:r>
    </w:p>
    <w:p>
      <w:pPr>
        <w:pStyle w:val="4"/>
        <w:numPr>
          <w:ilvl w:val="0"/>
          <w:numId w:val="2"/>
        </w:numPr>
        <w:spacing w:line="360" w:lineRule="auto"/>
        <w:jc w:val="both"/>
        <w:rPr>
          <w:rFonts w:hint="default" w:cs="宋体"/>
          <w:color w:val="000000"/>
          <w:sz w:val="24"/>
          <w:szCs w:val="24"/>
        </w:rPr>
      </w:pPr>
      <w:r>
        <w:rPr>
          <w:rFonts w:cs="宋体"/>
          <w:color w:val="000000"/>
          <w:sz w:val="24"/>
          <w:szCs w:val="24"/>
        </w:rPr>
        <w:t>不可抗力</w:t>
      </w:r>
    </w:p>
    <w:p>
      <w:pPr>
        <w:pStyle w:val="18"/>
        <w:numPr>
          <w:ilvl w:val="1"/>
          <w:numId w:val="34"/>
        </w:numPr>
        <w:spacing w:line="360" w:lineRule="auto"/>
        <w:rPr>
          <w:rFonts w:hAnsi="宋体" w:cs="宋体"/>
          <w:color w:val="000000"/>
          <w:sz w:val="24"/>
          <w:szCs w:val="24"/>
        </w:rPr>
      </w:pPr>
      <w:r>
        <w:rPr>
          <w:rFonts w:hint="eastAsia" w:hAnsi="宋体" w:cs="宋体"/>
          <w:color w:val="000000"/>
          <w:sz w:val="24"/>
          <w:szCs w:val="24"/>
        </w:rPr>
        <w:t>签约双方任何一方由于不可抗力事件的影响而不能执行合同时，履行合同的期限应予以延长，其延长的期限应相当于事件所影响的时间。不可抗力事件系指需供双方在缔结合同时所不能预见的，并且它的发生及其后果是无法避免和无法克服的事件，诸如战争、严重火灾、洪水、台风、地震等。</w:t>
      </w:r>
    </w:p>
    <w:p>
      <w:pPr>
        <w:pStyle w:val="18"/>
        <w:numPr>
          <w:ilvl w:val="1"/>
          <w:numId w:val="34"/>
        </w:numPr>
        <w:spacing w:line="360" w:lineRule="auto"/>
        <w:rPr>
          <w:rFonts w:hAnsi="宋体" w:cs="宋体"/>
          <w:color w:val="000000"/>
          <w:sz w:val="24"/>
          <w:szCs w:val="24"/>
        </w:rPr>
      </w:pPr>
      <w:r>
        <w:rPr>
          <w:rFonts w:hint="eastAsia" w:hAnsi="宋体" w:cs="宋体"/>
          <w:color w:val="000000"/>
          <w:sz w:val="24"/>
          <w:szCs w:val="24"/>
        </w:rPr>
        <w:t>受阻一方应在不可抗力事件发生后尽快以书面形式通知对方，并于时间发生后十四(14)天内将有关当局出具的证明文件用特快专递或挂号信寄结对方审阅确认。一旦不可抗力事件的影响持续一百二十天(120)天以上，双方应通过友好协商在合理的时间内达成进一步履行合同的协议。</w:t>
      </w:r>
    </w:p>
    <w:p>
      <w:pPr>
        <w:pStyle w:val="4"/>
        <w:numPr>
          <w:ilvl w:val="0"/>
          <w:numId w:val="2"/>
        </w:numPr>
        <w:spacing w:line="360" w:lineRule="auto"/>
        <w:jc w:val="both"/>
        <w:rPr>
          <w:rFonts w:hint="default" w:cs="宋体"/>
          <w:color w:val="000000"/>
          <w:sz w:val="24"/>
          <w:szCs w:val="24"/>
        </w:rPr>
      </w:pPr>
      <w:r>
        <w:rPr>
          <w:rFonts w:cs="宋体"/>
          <w:color w:val="000000"/>
          <w:sz w:val="24"/>
          <w:szCs w:val="24"/>
        </w:rPr>
        <w:t>因破产而终止合同</w:t>
      </w:r>
    </w:p>
    <w:p>
      <w:pPr>
        <w:pStyle w:val="18"/>
        <w:numPr>
          <w:ilvl w:val="1"/>
          <w:numId w:val="35"/>
        </w:numPr>
        <w:spacing w:line="360" w:lineRule="auto"/>
        <w:rPr>
          <w:rFonts w:hAnsi="宋体" w:cs="宋体"/>
          <w:color w:val="000000"/>
          <w:sz w:val="24"/>
          <w:szCs w:val="24"/>
        </w:rPr>
      </w:pPr>
      <w:r>
        <w:rPr>
          <w:rFonts w:hint="eastAsia" w:hAnsi="宋体" w:cs="宋体"/>
          <w:color w:val="000000"/>
          <w:sz w:val="24"/>
          <w:szCs w:val="24"/>
        </w:rPr>
        <w:t>如果供方破产或无清偿能力，需方可在任何时候以书面形式通知供方，提出终止合同而不给供方补偿。该合同的终止将不损害或影响需方已经采取或将要采取的任何行动或补救措施的权力。</w:t>
      </w:r>
    </w:p>
    <w:p>
      <w:pPr>
        <w:pStyle w:val="4"/>
        <w:numPr>
          <w:ilvl w:val="0"/>
          <w:numId w:val="2"/>
        </w:numPr>
        <w:spacing w:line="360" w:lineRule="auto"/>
        <w:jc w:val="both"/>
        <w:rPr>
          <w:rFonts w:hint="default" w:cs="宋体"/>
          <w:color w:val="000000"/>
          <w:sz w:val="24"/>
          <w:szCs w:val="24"/>
        </w:rPr>
      </w:pPr>
      <w:r>
        <w:rPr>
          <w:rFonts w:cs="宋体"/>
          <w:color w:val="000000"/>
          <w:sz w:val="24"/>
          <w:szCs w:val="24"/>
        </w:rPr>
        <w:t>因需方的便利而终止合同</w:t>
      </w:r>
    </w:p>
    <w:p>
      <w:pPr>
        <w:pStyle w:val="18"/>
        <w:numPr>
          <w:ilvl w:val="1"/>
          <w:numId w:val="36"/>
        </w:numPr>
        <w:spacing w:line="360" w:lineRule="auto"/>
        <w:rPr>
          <w:rFonts w:hAnsi="宋体" w:cs="宋体"/>
          <w:color w:val="000000"/>
          <w:sz w:val="24"/>
          <w:szCs w:val="24"/>
        </w:rPr>
      </w:pPr>
      <w:r>
        <w:rPr>
          <w:rFonts w:hint="eastAsia" w:hAnsi="宋体" w:cs="宋体"/>
          <w:color w:val="000000"/>
          <w:sz w:val="24"/>
          <w:szCs w:val="24"/>
        </w:rPr>
        <w:t>需方可在任何时候出于自身的便利向供方发出书面通知全部或部分终止合同，终止通知应明确该终止合同是出于需方的便利，并明确合同终止的程度，以及终止的生效日期。</w:t>
      </w:r>
    </w:p>
    <w:p>
      <w:pPr>
        <w:pStyle w:val="18"/>
        <w:numPr>
          <w:ilvl w:val="1"/>
          <w:numId w:val="36"/>
        </w:numPr>
        <w:spacing w:line="360" w:lineRule="auto"/>
        <w:rPr>
          <w:rFonts w:hAnsi="宋体" w:cs="宋体"/>
          <w:color w:val="000000"/>
          <w:sz w:val="24"/>
          <w:szCs w:val="24"/>
        </w:rPr>
      </w:pPr>
      <w:r>
        <w:rPr>
          <w:rFonts w:hint="eastAsia" w:hAnsi="宋体" w:cs="宋体"/>
          <w:color w:val="000000"/>
          <w:sz w:val="24"/>
          <w:szCs w:val="24"/>
        </w:rPr>
        <w:t>对供方在收到终止通知后二十(20)天内已完成并准备装运的货物，需方应按原合同价格和条款予以接收，对于剩下的货物，需方可：</w:t>
      </w:r>
    </w:p>
    <w:p>
      <w:pPr>
        <w:pStyle w:val="18"/>
        <w:numPr>
          <w:ilvl w:val="0"/>
          <w:numId w:val="37"/>
        </w:numPr>
        <w:spacing w:line="360" w:lineRule="auto"/>
        <w:rPr>
          <w:rFonts w:hAnsi="宋体" w:cs="宋体"/>
          <w:color w:val="000000"/>
          <w:sz w:val="24"/>
          <w:szCs w:val="24"/>
        </w:rPr>
      </w:pPr>
      <w:r>
        <w:rPr>
          <w:rFonts w:hint="eastAsia" w:hAnsi="宋体" w:cs="宋体"/>
          <w:color w:val="000000"/>
          <w:sz w:val="24"/>
          <w:szCs w:val="24"/>
        </w:rPr>
        <w:t>仅对部分货物按照原来的合同价格和条款予以接受；或</w:t>
      </w:r>
    </w:p>
    <w:p>
      <w:pPr>
        <w:pStyle w:val="18"/>
        <w:numPr>
          <w:ilvl w:val="0"/>
          <w:numId w:val="37"/>
        </w:numPr>
        <w:spacing w:line="360" w:lineRule="auto"/>
        <w:rPr>
          <w:rFonts w:hAnsi="宋体" w:cs="宋体"/>
          <w:color w:val="000000"/>
          <w:sz w:val="24"/>
          <w:szCs w:val="24"/>
        </w:rPr>
      </w:pPr>
      <w:r>
        <w:rPr>
          <w:rFonts w:hint="eastAsia" w:hAnsi="宋体" w:cs="宋体"/>
          <w:color w:val="000000"/>
          <w:sz w:val="24"/>
          <w:szCs w:val="24"/>
        </w:rPr>
        <w:t>取消对所剩货物的采购，并按双方商定的金额向供方支付部分完成的货物和服务以及供方以前已采购的材料和部件的费用。</w:t>
      </w:r>
    </w:p>
    <w:p>
      <w:pPr>
        <w:pStyle w:val="4"/>
        <w:numPr>
          <w:ilvl w:val="0"/>
          <w:numId w:val="2"/>
        </w:numPr>
        <w:spacing w:line="360" w:lineRule="auto"/>
        <w:jc w:val="both"/>
        <w:rPr>
          <w:rFonts w:hint="default" w:cs="宋体"/>
          <w:color w:val="000000"/>
          <w:sz w:val="24"/>
          <w:szCs w:val="24"/>
        </w:rPr>
      </w:pPr>
      <w:r>
        <w:rPr>
          <w:rFonts w:cs="宋体"/>
          <w:color w:val="000000"/>
          <w:sz w:val="24"/>
          <w:szCs w:val="24"/>
        </w:rPr>
        <w:t>争端的解决</w:t>
      </w:r>
    </w:p>
    <w:p>
      <w:pPr>
        <w:pStyle w:val="18"/>
        <w:numPr>
          <w:ilvl w:val="1"/>
          <w:numId w:val="38"/>
        </w:numPr>
        <w:spacing w:line="360" w:lineRule="auto"/>
        <w:rPr>
          <w:rFonts w:hAnsi="宋体" w:cs="宋体"/>
          <w:color w:val="000000"/>
          <w:sz w:val="24"/>
          <w:szCs w:val="24"/>
        </w:rPr>
      </w:pPr>
      <w:r>
        <w:rPr>
          <w:rFonts w:hint="eastAsia" w:hAnsi="宋体" w:cs="宋体"/>
          <w:color w:val="000000"/>
          <w:sz w:val="24"/>
          <w:szCs w:val="24"/>
        </w:rPr>
        <w:t>合同实施或与合同有关的一切争端应通过双方协商解决。如果协商开始后三十(30) 天还不能解决，争端应提请有管辖权的政府采购管理机构按有关规则进行裁解或提交甲方所在地人民法院按有关规则和程序裁决。</w:t>
      </w:r>
    </w:p>
    <w:p>
      <w:pPr>
        <w:pStyle w:val="18"/>
        <w:numPr>
          <w:ilvl w:val="1"/>
          <w:numId w:val="38"/>
        </w:numPr>
        <w:spacing w:line="360" w:lineRule="auto"/>
        <w:rPr>
          <w:rFonts w:hAnsi="宋体" w:cs="宋体"/>
          <w:color w:val="000000"/>
          <w:sz w:val="24"/>
          <w:szCs w:val="24"/>
        </w:rPr>
      </w:pPr>
      <w:r>
        <w:rPr>
          <w:rFonts w:hint="eastAsia" w:hAnsi="宋体" w:cs="宋体"/>
          <w:color w:val="000000"/>
          <w:sz w:val="24"/>
          <w:szCs w:val="24"/>
        </w:rPr>
        <w:t>人民法院裁决应为最终裁决，对双方均具有约束力。</w:t>
      </w:r>
    </w:p>
    <w:p>
      <w:pPr>
        <w:pStyle w:val="18"/>
        <w:numPr>
          <w:ilvl w:val="1"/>
          <w:numId w:val="38"/>
        </w:numPr>
        <w:spacing w:line="360" w:lineRule="auto"/>
        <w:rPr>
          <w:rFonts w:hAnsi="宋体" w:cs="宋体"/>
          <w:color w:val="000000"/>
          <w:sz w:val="24"/>
          <w:szCs w:val="24"/>
        </w:rPr>
      </w:pPr>
      <w:r>
        <w:rPr>
          <w:rFonts w:hint="eastAsia" w:hAnsi="宋体" w:cs="宋体"/>
          <w:color w:val="000000"/>
          <w:sz w:val="24"/>
          <w:szCs w:val="24"/>
        </w:rPr>
        <w:t>诉讼费用除人民法院另有裁决外均应由败诉方负担。</w:t>
      </w:r>
    </w:p>
    <w:p>
      <w:pPr>
        <w:pStyle w:val="18"/>
        <w:numPr>
          <w:ilvl w:val="1"/>
          <w:numId w:val="38"/>
        </w:numPr>
        <w:spacing w:line="360" w:lineRule="auto"/>
        <w:rPr>
          <w:rFonts w:hAnsi="宋体" w:cs="宋体"/>
          <w:color w:val="000000"/>
          <w:sz w:val="24"/>
          <w:szCs w:val="24"/>
        </w:rPr>
      </w:pPr>
      <w:r>
        <w:rPr>
          <w:rFonts w:hint="eastAsia" w:hAnsi="宋体" w:cs="宋体"/>
          <w:color w:val="000000"/>
          <w:sz w:val="24"/>
          <w:szCs w:val="24"/>
        </w:rPr>
        <w:t>在诉讼期间，除正在进行诉讼的部分外，本合同其它部分应继续执行。</w:t>
      </w:r>
    </w:p>
    <w:p>
      <w:pPr>
        <w:pStyle w:val="4"/>
        <w:numPr>
          <w:ilvl w:val="0"/>
          <w:numId w:val="2"/>
        </w:numPr>
        <w:spacing w:line="360" w:lineRule="auto"/>
        <w:jc w:val="both"/>
        <w:rPr>
          <w:rFonts w:hint="default" w:cs="宋体"/>
          <w:color w:val="000000"/>
          <w:sz w:val="24"/>
          <w:szCs w:val="24"/>
        </w:rPr>
      </w:pPr>
      <w:r>
        <w:rPr>
          <w:rFonts w:cs="宋体"/>
          <w:color w:val="000000"/>
          <w:sz w:val="24"/>
          <w:szCs w:val="24"/>
        </w:rPr>
        <w:t>合同语言</w:t>
      </w:r>
    </w:p>
    <w:p>
      <w:pPr>
        <w:pStyle w:val="18"/>
        <w:numPr>
          <w:ilvl w:val="1"/>
          <w:numId w:val="39"/>
        </w:numPr>
        <w:spacing w:line="360" w:lineRule="auto"/>
        <w:rPr>
          <w:rFonts w:hAnsi="宋体" w:cs="宋体"/>
          <w:color w:val="000000"/>
          <w:sz w:val="24"/>
          <w:szCs w:val="24"/>
        </w:rPr>
      </w:pPr>
      <w:r>
        <w:rPr>
          <w:rFonts w:hint="eastAsia" w:hAnsi="宋体" w:cs="宋体"/>
          <w:color w:val="000000"/>
          <w:sz w:val="24"/>
          <w:szCs w:val="24"/>
        </w:rPr>
        <w:t>除非双方另行同意，本合同语言为汉语。双方交换的与合同有关的信函应用合同语言书写。</w:t>
      </w:r>
    </w:p>
    <w:p>
      <w:pPr>
        <w:pStyle w:val="4"/>
        <w:numPr>
          <w:ilvl w:val="0"/>
          <w:numId w:val="2"/>
        </w:numPr>
        <w:spacing w:line="360" w:lineRule="auto"/>
        <w:jc w:val="both"/>
        <w:rPr>
          <w:rFonts w:hint="default" w:cs="宋体"/>
          <w:color w:val="000000"/>
          <w:sz w:val="24"/>
          <w:szCs w:val="24"/>
        </w:rPr>
      </w:pPr>
      <w:r>
        <w:rPr>
          <w:rFonts w:cs="宋体"/>
          <w:color w:val="000000"/>
          <w:sz w:val="24"/>
          <w:szCs w:val="24"/>
        </w:rPr>
        <w:t>适用法律</w:t>
      </w:r>
    </w:p>
    <w:p>
      <w:pPr>
        <w:pStyle w:val="18"/>
        <w:numPr>
          <w:ilvl w:val="1"/>
          <w:numId w:val="40"/>
        </w:numPr>
        <w:spacing w:line="360" w:lineRule="auto"/>
        <w:rPr>
          <w:rFonts w:hAnsi="宋体" w:cs="宋体"/>
          <w:color w:val="000000"/>
          <w:sz w:val="24"/>
          <w:szCs w:val="24"/>
        </w:rPr>
      </w:pPr>
      <w:r>
        <w:rPr>
          <w:rFonts w:hint="eastAsia" w:hAnsi="宋体" w:cs="宋体"/>
          <w:color w:val="000000"/>
          <w:sz w:val="24"/>
          <w:szCs w:val="24"/>
        </w:rPr>
        <w:t>本合同应按照中华人民共和国的法律进行解释。</w:t>
      </w:r>
    </w:p>
    <w:p>
      <w:pPr>
        <w:pStyle w:val="4"/>
        <w:numPr>
          <w:ilvl w:val="0"/>
          <w:numId w:val="2"/>
        </w:numPr>
        <w:spacing w:line="360" w:lineRule="auto"/>
        <w:jc w:val="both"/>
        <w:rPr>
          <w:rFonts w:hint="default" w:cs="宋体"/>
          <w:color w:val="000000"/>
          <w:sz w:val="24"/>
          <w:szCs w:val="24"/>
        </w:rPr>
      </w:pPr>
      <w:r>
        <w:rPr>
          <w:rFonts w:cs="宋体"/>
          <w:color w:val="000000"/>
          <w:sz w:val="24"/>
          <w:szCs w:val="24"/>
        </w:rPr>
        <w:t>通知</w:t>
      </w:r>
    </w:p>
    <w:p>
      <w:pPr>
        <w:pStyle w:val="18"/>
        <w:numPr>
          <w:ilvl w:val="1"/>
          <w:numId w:val="41"/>
        </w:numPr>
        <w:spacing w:line="360" w:lineRule="auto"/>
        <w:rPr>
          <w:rFonts w:hAnsi="宋体" w:cs="宋体"/>
          <w:color w:val="000000"/>
          <w:sz w:val="24"/>
          <w:szCs w:val="24"/>
        </w:rPr>
      </w:pPr>
      <w:r>
        <w:rPr>
          <w:rFonts w:hint="eastAsia" w:hAnsi="宋体" w:cs="宋体"/>
          <w:color w:val="000000"/>
          <w:sz w:val="24"/>
          <w:szCs w:val="24"/>
        </w:rPr>
        <w:t>本合同一方给对方的通知应用书面形式送到“合同专用条款资料表”中规定的对方的地址。</w:t>
      </w:r>
    </w:p>
    <w:p>
      <w:pPr>
        <w:pStyle w:val="18"/>
        <w:numPr>
          <w:ilvl w:val="1"/>
          <w:numId w:val="41"/>
        </w:numPr>
        <w:spacing w:line="360" w:lineRule="auto"/>
        <w:rPr>
          <w:rFonts w:hAnsi="宋体" w:cs="宋体"/>
          <w:color w:val="000000"/>
          <w:sz w:val="24"/>
          <w:szCs w:val="24"/>
        </w:rPr>
      </w:pPr>
      <w:r>
        <w:rPr>
          <w:rFonts w:hint="eastAsia" w:hAnsi="宋体" w:cs="宋体"/>
          <w:color w:val="000000"/>
          <w:sz w:val="24"/>
          <w:szCs w:val="24"/>
        </w:rPr>
        <w:t>通知以送到日期或通知书的生效日期为生效日期，两者中以晚的一个日期为准。</w:t>
      </w:r>
    </w:p>
    <w:p>
      <w:pPr>
        <w:pStyle w:val="4"/>
        <w:numPr>
          <w:ilvl w:val="0"/>
          <w:numId w:val="2"/>
        </w:numPr>
        <w:spacing w:line="360" w:lineRule="auto"/>
        <w:jc w:val="both"/>
        <w:rPr>
          <w:rFonts w:hint="default" w:cs="宋体"/>
          <w:color w:val="000000"/>
          <w:sz w:val="24"/>
          <w:szCs w:val="24"/>
        </w:rPr>
      </w:pPr>
      <w:r>
        <w:rPr>
          <w:rFonts w:cs="宋体"/>
          <w:color w:val="000000"/>
          <w:sz w:val="24"/>
          <w:szCs w:val="24"/>
        </w:rPr>
        <w:t>税</w:t>
      </w:r>
    </w:p>
    <w:p>
      <w:pPr>
        <w:pStyle w:val="18"/>
        <w:numPr>
          <w:ilvl w:val="1"/>
          <w:numId w:val="42"/>
        </w:numPr>
        <w:spacing w:line="360" w:lineRule="auto"/>
        <w:rPr>
          <w:rFonts w:hAnsi="宋体" w:cs="宋体"/>
          <w:iCs/>
          <w:color w:val="000000"/>
          <w:sz w:val="24"/>
          <w:szCs w:val="24"/>
        </w:rPr>
      </w:pPr>
      <w:r>
        <w:rPr>
          <w:rFonts w:hint="eastAsia" w:hAnsi="宋体" w:cs="宋体"/>
          <w:iCs/>
          <w:color w:val="000000"/>
          <w:sz w:val="24"/>
          <w:szCs w:val="24"/>
        </w:rPr>
        <w:t>在本合同项下提供的货物及实施与本合同有关的伴随服务，则根据中华人民共和国现行税法对供方征收的与本合同有关的一切税费均应由供方负担。</w:t>
      </w:r>
    </w:p>
    <w:p>
      <w:pPr>
        <w:pStyle w:val="4"/>
        <w:numPr>
          <w:ilvl w:val="0"/>
          <w:numId w:val="2"/>
        </w:numPr>
        <w:spacing w:line="360" w:lineRule="auto"/>
        <w:jc w:val="both"/>
        <w:rPr>
          <w:rFonts w:hint="default" w:cs="宋体"/>
          <w:color w:val="000000"/>
          <w:sz w:val="24"/>
          <w:szCs w:val="24"/>
        </w:rPr>
      </w:pPr>
      <w:r>
        <w:rPr>
          <w:rFonts w:cs="宋体"/>
          <w:color w:val="000000"/>
          <w:sz w:val="24"/>
          <w:szCs w:val="24"/>
        </w:rPr>
        <w:t>合同生效及其他</w:t>
      </w:r>
    </w:p>
    <w:p>
      <w:pPr>
        <w:pStyle w:val="18"/>
        <w:numPr>
          <w:ilvl w:val="1"/>
          <w:numId w:val="43"/>
        </w:numPr>
        <w:spacing w:line="360" w:lineRule="auto"/>
        <w:rPr>
          <w:rFonts w:hAnsi="宋体" w:cs="宋体"/>
          <w:color w:val="000000"/>
          <w:sz w:val="24"/>
          <w:szCs w:val="24"/>
        </w:rPr>
      </w:pPr>
      <w:r>
        <w:rPr>
          <w:rFonts w:hint="eastAsia" w:hAnsi="宋体" w:cs="宋体"/>
          <w:color w:val="000000"/>
          <w:sz w:val="24"/>
          <w:szCs w:val="24"/>
        </w:rPr>
        <w:t>本合同应在双方签字和需方收到供方提交的履约保证金后生效。</w:t>
      </w:r>
    </w:p>
    <w:p>
      <w:pPr>
        <w:pStyle w:val="18"/>
        <w:numPr>
          <w:ilvl w:val="1"/>
          <w:numId w:val="43"/>
        </w:numPr>
        <w:spacing w:line="360" w:lineRule="auto"/>
        <w:rPr>
          <w:rFonts w:hAnsi="宋体" w:cs="宋体"/>
          <w:color w:val="000000"/>
          <w:sz w:val="24"/>
          <w:szCs w:val="24"/>
        </w:rPr>
      </w:pPr>
      <w:r>
        <w:rPr>
          <w:rFonts w:hint="eastAsia" w:hAnsi="宋体" w:cs="宋体"/>
          <w:color w:val="000000"/>
          <w:sz w:val="24"/>
          <w:szCs w:val="24"/>
        </w:rPr>
        <w:t>如果本合同中的非中华人民共和国境内生产的货物需要进出口许可证，应由供方负责办理，费用自理。</w:t>
      </w:r>
    </w:p>
    <w:p>
      <w:pPr>
        <w:pStyle w:val="18"/>
        <w:numPr>
          <w:ilvl w:val="1"/>
          <w:numId w:val="43"/>
        </w:numPr>
        <w:spacing w:line="360" w:lineRule="auto"/>
        <w:rPr>
          <w:rFonts w:hAnsi="宋体" w:cs="宋体"/>
          <w:color w:val="000000"/>
          <w:sz w:val="24"/>
          <w:szCs w:val="24"/>
        </w:rPr>
      </w:pPr>
      <w:r>
        <w:rPr>
          <w:rFonts w:hint="eastAsia" w:hAnsi="宋体" w:cs="宋体"/>
          <w:color w:val="000000"/>
          <w:sz w:val="24"/>
          <w:szCs w:val="24"/>
        </w:rPr>
        <w:t>下述合同附件为本合同不可分割的部分并与本合同具有同等效力：</w:t>
      </w:r>
    </w:p>
    <w:p>
      <w:pPr>
        <w:pStyle w:val="18"/>
        <w:numPr>
          <w:ilvl w:val="0"/>
          <w:numId w:val="44"/>
        </w:numPr>
        <w:spacing w:line="360" w:lineRule="auto"/>
        <w:rPr>
          <w:rFonts w:hAnsi="宋体" w:cs="宋体"/>
          <w:color w:val="000000"/>
          <w:sz w:val="24"/>
          <w:szCs w:val="24"/>
        </w:rPr>
      </w:pPr>
      <w:r>
        <w:rPr>
          <w:rFonts w:hint="eastAsia" w:hAnsi="宋体" w:cs="宋体"/>
          <w:color w:val="000000"/>
          <w:sz w:val="24"/>
          <w:szCs w:val="24"/>
        </w:rPr>
        <w:t>供货范围及分项价格表</w:t>
      </w:r>
    </w:p>
    <w:p>
      <w:pPr>
        <w:pStyle w:val="18"/>
        <w:numPr>
          <w:ilvl w:val="0"/>
          <w:numId w:val="44"/>
        </w:numPr>
        <w:spacing w:line="360" w:lineRule="auto"/>
        <w:rPr>
          <w:rFonts w:hAnsi="宋体" w:cs="宋体"/>
          <w:color w:val="000000"/>
          <w:sz w:val="24"/>
          <w:szCs w:val="24"/>
        </w:rPr>
      </w:pPr>
      <w:r>
        <w:rPr>
          <w:rFonts w:hint="eastAsia" w:hAnsi="宋体" w:cs="宋体"/>
          <w:color w:val="000000"/>
          <w:sz w:val="24"/>
          <w:szCs w:val="24"/>
        </w:rPr>
        <w:t>技术规格</w:t>
      </w:r>
    </w:p>
    <w:p>
      <w:pPr>
        <w:pStyle w:val="18"/>
        <w:numPr>
          <w:ilvl w:val="0"/>
          <w:numId w:val="44"/>
        </w:numPr>
        <w:spacing w:line="360" w:lineRule="auto"/>
        <w:rPr>
          <w:rFonts w:hAnsi="宋体" w:cs="宋体"/>
          <w:color w:val="000000"/>
          <w:sz w:val="24"/>
          <w:szCs w:val="24"/>
        </w:rPr>
      </w:pPr>
      <w:r>
        <w:rPr>
          <w:rFonts w:hint="eastAsia" w:hAnsi="宋体" w:cs="宋体"/>
          <w:color w:val="000000"/>
          <w:sz w:val="24"/>
          <w:szCs w:val="24"/>
        </w:rPr>
        <w:t>交货计划</w:t>
      </w:r>
    </w:p>
    <w:p>
      <w:pPr>
        <w:pStyle w:val="18"/>
        <w:numPr>
          <w:ilvl w:val="0"/>
          <w:numId w:val="44"/>
        </w:numPr>
        <w:spacing w:line="360" w:lineRule="auto"/>
        <w:rPr>
          <w:rFonts w:hAnsi="宋体" w:cs="宋体"/>
          <w:color w:val="000000"/>
          <w:sz w:val="24"/>
          <w:szCs w:val="24"/>
        </w:rPr>
      </w:pPr>
      <w:r>
        <w:rPr>
          <w:rFonts w:hint="eastAsia" w:hAnsi="宋体" w:cs="宋体"/>
          <w:color w:val="000000"/>
          <w:sz w:val="24"/>
          <w:szCs w:val="24"/>
        </w:rPr>
        <w:t>合同资料表中规定的其他附件</w:t>
      </w:r>
    </w:p>
    <w:p>
      <w:pPr>
        <w:pStyle w:val="5"/>
        <w:kinsoku w:val="0"/>
        <w:overflowPunct w:val="0"/>
        <w:spacing w:line="402" w:lineRule="exact"/>
        <w:ind w:left="2975"/>
        <w:rPr>
          <w:rFonts w:hint="default"/>
          <w:b/>
          <w:bCs/>
        </w:rPr>
      </w:pPr>
      <w:r>
        <w:rPr>
          <w:rFonts w:cs="宋体"/>
          <w:color w:val="000000"/>
        </w:rPr>
        <w:br w:type="page"/>
      </w:r>
      <w:bookmarkStart w:id="131" w:name="_Toc1157_WPSOffice_Level2"/>
      <w:r>
        <w:rPr>
          <w:b/>
          <w:bCs/>
          <w:spacing w:val="1"/>
        </w:rPr>
        <w:t>第三节</w:t>
      </w:r>
      <w:r>
        <w:rPr>
          <w:rFonts w:hint="eastAsia"/>
          <w:b/>
          <w:bCs/>
          <w:spacing w:val="1"/>
          <w:lang w:val="en-US" w:eastAsia="zh-CN"/>
        </w:rPr>
        <w:t xml:space="preserve"> </w:t>
      </w:r>
      <w:r>
        <w:rPr>
          <w:b/>
          <w:bCs/>
          <w:spacing w:val="1"/>
        </w:rPr>
        <w:t>合同附件格式</w:t>
      </w:r>
      <w:bookmarkEnd w:id="131"/>
    </w:p>
    <w:p>
      <w:pPr>
        <w:pStyle w:val="14"/>
        <w:kinsoku w:val="0"/>
        <w:overflowPunct w:val="0"/>
        <w:ind w:left="0"/>
        <w:rPr>
          <w:rFonts w:hint="default"/>
          <w:sz w:val="20"/>
        </w:rPr>
      </w:pPr>
    </w:p>
    <w:p>
      <w:pPr>
        <w:spacing w:line="360" w:lineRule="auto"/>
        <w:ind w:firstLine="360" w:firstLineChars="150"/>
        <w:rPr>
          <w:rFonts w:ascii="宋体" w:hAnsi="宋体" w:cs="宋体"/>
          <w:snapToGrid w:val="0"/>
          <w:color w:val="000000"/>
          <w:szCs w:val="24"/>
        </w:rPr>
      </w:pPr>
      <w:r>
        <w:rPr>
          <w:rFonts w:hint="eastAsia" w:ascii="宋体" w:hAnsi="宋体" w:cs="宋体"/>
          <w:snapToGrid w:val="0"/>
          <w:color w:val="000000"/>
          <w:szCs w:val="24"/>
        </w:rPr>
        <w:t>采购人（甲方）：</w:t>
      </w:r>
    </w:p>
    <w:p>
      <w:pPr>
        <w:spacing w:line="360" w:lineRule="auto"/>
        <w:ind w:firstLine="360" w:firstLineChars="150"/>
        <w:rPr>
          <w:rFonts w:ascii="宋体" w:hAnsi="宋体" w:cs="宋体"/>
          <w:snapToGrid w:val="0"/>
          <w:color w:val="000000"/>
          <w:szCs w:val="24"/>
        </w:rPr>
      </w:pPr>
      <w:r>
        <w:rPr>
          <w:rFonts w:hint="eastAsia" w:ascii="宋体" w:hAnsi="宋体" w:cs="宋体"/>
          <w:snapToGrid w:val="0"/>
          <w:color w:val="000000"/>
          <w:szCs w:val="24"/>
        </w:rPr>
        <w:t>供应商（乙方）：</w:t>
      </w:r>
    </w:p>
    <w:p>
      <w:pPr>
        <w:spacing w:line="360" w:lineRule="auto"/>
        <w:ind w:firstLine="390" w:firstLineChars="150"/>
        <w:rPr>
          <w:rFonts w:ascii="宋体" w:hAnsi="宋体" w:cs="宋体"/>
          <w:snapToGrid w:val="0"/>
          <w:color w:val="000000"/>
          <w:spacing w:val="-14"/>
          <w:szCs w:val="24"/>
        </w:rPr>
      </w:pPr>
      <w:r>
        <w:rPr>
          <w:rFonts w:hint="eastAsia" w:ascii="宋体" w:hAnsi="宋体" w:cs="宋体"/>
          <w:snapToGrid w:val="0"/>
          <w:color w:val="000000"/>
          <w:spacing w:val="10"/>
          <w:szCs w:val="24"/>
        </w:rPr>
        <w:t>根据《中华人民共和国政府采购法》、《中华人民共和国合同法》及</w:t>
      </w:r>
      <w:r>
        <w:rPr>
          <w:rFonts w:hint="eastAsia" w:ascii="宋体" w:hAnsi="宋体" w:cs="宋体"/>
          <w:snapToGrid w:val="0"/>
          <w:color w:val="000000"/>
          <w:spacing w:val="-14"/>
          <w:szCs w:val="24"/>
        </w:rPr>
        <w:t>采购项目（招标编号：）的《招标文件》、乙方的《投标文件》及《中标通知书》，甲、乙双方同意遵守如下条款：</w:t>
      </w:r>
    </w:p>
    <w:p>
      <w:pPr>
        <w:numPr>
          <w:ilvl w:val="0"/>
          <w:numId w:val="45"/>
        </w:numPr>
        <w:spacing w:line="360" w:lineRule="auto"/>
        <w:rPr>
          <w:rFonts w:ascii="宋体" w:hAnsi="宋体" w:cs="宋体"/>
          <w:snapToGrid w:val="0"/>
          <w:color w:val="000000"/>
          <w:szCs w:val="24"/>
        </w:rPr>
      </w:pPr>
      <w:bookmarkStart w:id="132" w:name="_Toc2188_WPSOffice_Level2"/>
      <w:r>
        <w:rPr>
          <w:rFonts w:hint="eastAsia" w:ascii="宋体" w:hAnsi="宋体" w:cs="宋体"/>
          <w:snapToGrid w:val="0"/>
          <w:color w:val="000000"/>
          <w:szCs w:val="24"/>
        </w:rPr>
        <w:t>合同标的和合同价格</w:t>
      </w:r>
      <w:bookmarkEnd w:id="132"/>
    </w:p>
    <w:tbl>
      <w:tblPr>
        <w:tblStyle w:val="28"/>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354"/>
        <w:gridCol w:w="1537"/>
        <w:gridCol w:w="901"/>
        <w:gridCol w:w="1083"/>
        <w:gridCol w:w="1119"/>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37" w:type="dxa"/>
            <w:noWrap/>
          </w:tcPr>
          <w:p>
            <w:pPr>
              <w:spacing w:line="360" w:lineRule="auto"/>
              <w:textAlignment w:val="baseline"/>
              <w:rPr>
                <w:rFonts w:ascii="宋体" w:hAnsi="宋体" w:cs="宋体"/>
                <w:snapToGrid w:val="0"/>
                <w:color w:val="000000"/>
                <w:szCs w:val="24"/>
              </w:rPr>
            </w:pPr>
            <w:r>
              <w:rPr>
                <w:rFonts w:hint="eastAsia" w:ascii="宋体" w:hAnsi="宋体" w:cs="宋体"/>
                <w:snapToGrid w:val="0"/>
                <w:color w:val="000000"/>
                <w:szCs w:val="24"/>
              </w:rPr>
              <w:t>产品名称</w:t>
            </w:r>
          </w:p>
        </w:tc>
        <w:tc>
          <w:tcPr>
            <w:tcW w:w="1354" w:type="dxa"/>
            <w:noWrap/>
          </w:tcPr>
          <w:p>
            <w:pPr>
              <w:spacing w:line="360" w:lineRule="auto"/>
              <w:textAlignment w:val="baseline"/>
              <w:rPr>
                <w:rFonts w:ascii="宋体" w:hAnsi="宋体" w:cs="宋体"/>
                <w:snapToGrid w:val="0"/>
                <w:color w:val="000000"/>
                <w:szCs w:val="24"/>
              </w:rPr>
            </w:pPr>
            <w:r>
              <w:rPr>
                <w:rFonts w:hint="eastAsia" w:ascii="宋体" w:hAnsi="宋体" w:cs="宋体"/>
                <w:snapToGrid w:val="0"/>
                <w:color w:val="000000"/>
                <w:szCs w:val="24"/>
              </w:rPr>
              <w:t>规格型号</w:t>
            </w:r>
          </w:p>
        </w:tc>
        <w:tc>
          <w:tcPr>
            <w:tcW w:w="1537" w:type="dxa"/>
            <w:noWrap/>
          </w:tcPr>
          <w:p>
            <w:pPr>
              <w:spacing w:line="360" w:lineRule="auto"/>
              <w:textAlignment w:val="baseline"/>
              <w:rPr>
                <w:rFonts w:ascii="宋体" w:hAnsi="宋体" w:cs="宋体"/>
                <w:snapToGrid w:val="0"/>
                <w:color w:val="000000"/>
                <w:szCs w:val="24"/>
              </w:rPr>
            </w:pPr>
            <w:r>
              <w:rPr>
                <w:rFonts w:hint="eastAsia" w:ascii="宋体" w:hAnsi="宋体" w:cs="宋体"/>
                <w:snapToGrid w:val="0"/>
                <w:color w:val="000000"/>
                <w:szCs w:val="24"/>
              </w:rPr>
              <w:t>生产厂家</w:t>
            </w:r>
          </w:p>
        </w:tc>
        <w:tc>
          <w:tcPr>
            <w:tcW w:w="901" w:type="dxa"/>
            <w:noWrap/>
          </w:tcPr>
          <w:p>
            <w:pPr>
              <w:spacing w:line="360" w:lineRule="auto"/>
              <w:textAlignment w:val="baseline"/>
              <w:rPr>
                <w:rFonts w:ascii="宋体" w:hAnsi="宋体" w:cs="宋体"/>
                <w:snapToGrid w:val="0"/>
                <w:color w:val="000000"/>
                <w:szCs w:val="24"/>
              </w:rPr>
            </w:pPr>
            <w:r>
              <w:rPr>
                <w:rFonts w:hint="eastAsia" w:ascii="宋体" w:hAnsi="宋体" w:cs="宋体"/>
                <w:snapToGrid w:val="0"/>
                <w:color w:val="000000"/>
                <w:szCs w:val="24"/>
              </w:rPr>
              <w:t>单位</w:t>
            </w:r>
          </w:p>
        </w:tc>
        <w:tc>
          <w:tcPr>
            <w:tcW w:w="1083" w:type="dxa"/>
            <w:noWrap/>
          </w:tcPr>
          <w:p>
            <w:pPr>
              <w:spacing w:line="360" w:lineRule="auto"/>
              <w:textAlignment w:val="baseline"/>
              <w:rPr>
                <w:rFonts w:ascii="宋体" w:hAnsi="宋体" w:cs="宋体"/>
                <w:snapToGrid w:val="0"/>
                <w:color w:val="000000"/>
                <w:szCs w:val="24"/>
              </w:rPr>
            </w:pPr>
            <w:r>
              <w:rPr>
                <w:rFonts w:hint="eastAsia" w:ascii="宋体" w:hAnsi="宋体" w:cs="宋体"/>
                <w:snapToGrid w:val="0"/>
                <w:color w:val="000000"/>
                <w:szCs w:val="24"/>
              </w:rPr>
              <w:t>数 量</w:t>
            </w:r>
          </w:p>
        </w:tc>
        <w:tc>
          <w:tcPr>
            <w:tcW w:w="1119" w:type="dxa"/>
            <w:noWrap/>
          </w:tcPr>
          <w:p>
            <w:pPr>
              <w:spacing w:line="360" w:lineRule="auto"/>
              <w:textAlignment w:val="baseline"/>
              <w:rPr>
                <w:rFonts w:ascii="宋体" w:hAnsi="宋体" w:cs="宋体"/>
                <w:snapToGrid w:val="0"/>
                <w:color w:val="000000"/>
                <w:szCs w:val="24"/>
              </w:rPr>
            </w:pPr>
            <w:r>
              <w:rPr>
                <w:rFonts w:hint="eastAsia" w:ascii="宋体" w:hAnsi="宋体" w:cs="宋体"/>
                <w:snapToGrid w:val="0"/>
                <w:color w:val="000000"/>
                <w:szCs w:val="24"/>
              </w:rPr>
              <w:t>单 价</w:t>
            </w:r>
          </w:p>
        </w:tc>
        <w:tc>
          <w:tcPr>
            <w:tcW w:w="1126" w:type="dxa"/>
            <w:noWrap/>
          </w:tcPr>
          <w:p>
            <w:pPr>
              <w:spacing w:line="360" w:lineRule="auto"/>
              <w:textAlignment w:val="baseline"/>
              <w:rPr>
                <w:rFonts w:ascii="宋体" w:hAnsi="宋体" w:cs="宋体"/>
                <w:snapToGrid w:val="0"/>
                <w:color w:val="000000"/>
                <w:szCs w:val="24"/>
              </w:rPr>
            </w:pPr>
            <w:r>
              <w:rPr>
                <w:rFonts w:hint="eastAsia" w:ascii="宋体" w:hAnsi="宋体" w:cs="宋体"/>
                <w:snapToGrid w:val="0"/>
                <w:color w:val="000000"/>
                <w:szCs w:val="24"/>
              </w:rPr>
              <w:t>总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37" w:type="dxa"/>
            <w:noWrap/>
          </w:tcPr>
          <w:p>
            <w:pPr>
              <w:spacing w:line="360" w:lineRule="auto"/>
              <w:ind w:firstLine="567"/>
              <w:textAlignment w:val="baseline"/>
              <w:rPr>
                <w:rFonts w:ascii="宋体" w:hAnsi="宋体" w:cs="宋体"/>
                <w:snapToGrid w:val="0"/>
                <w:color w:val="000000"/>
                <w:szCs w:val="24"/>
              </w:rPr>
            </w:pPr>
          </w:p>
        </w:tc>
        <w:tc>
          <w:tcPr>
            <w:tcW w:w="1354" w:type="dxa"/>
            <w:noWrap/>
          </w:tcPr>
          <w:p>
            <w:pPr>
              <w:spacing w:line="360" w:lineRule="auto"/>
              <w:ind w:firstLine="567"/>
              <w:textAlignment w:val="baseline"/>
              <w:rPr>
                <w:rFonts w:ascii="宋体" w:hAnsi="宋体" w:cs="宋体"/>
                <w:snapToGrid w:val="0"/>
                <w:color w:val="000000"/>
                <w:szCs w:val="24"/>
              </w:rPr>
            </w:pPr>
          </w:p>
        </w:tc>
        <w:tc>
          <w:tcPr>
            <w:tcW w:w="1537" w:type="dxa"/>
            <w:noWrap/>
          </w:tcPr>
          <w:p>
            <w:pPr>
              <w:spacing w:line="360" w:lineRule="auto"/>
              <w:ind w:firstLine="567"/>
              <w:textAlignment w:val="baseline"/>
              <w:rPr>
                <w:rFonts w:ascii="宋体" w:hAnsi="宋体" w:cs="宋体"/>
                <w:snapToGrid w:val="0"/>
                <w:color w:val="000000"/>
                <w:szCs w:val="24"/>
              </w:rPr>
            </w:pPr>
          </w:p>
        </w:tc>
        <w:tc>
          <w:tcPr>
            <w:tcW w:w="901" w:type="dxa"/>
            <w:noWrap/>
          </w:tcPr>
          <w:p>
            <w:pPr>
              <w:spacing w:line="360" w:lineRule="auto"/>
              <w:ind w:firstLine="567"/>
              <w:textAlignment w:val="baseline"/>
              <w:rPr>
                <w:rFonts w:ascii="宋体" w:hAnsi="宋体" w:cs="宋体"/>
                <w:snapToGrid w:val="0"/>
                <w:color w:val="000000"/>
                <w:szCs w:val="24"/>
              </w:rPr>
            </w:pPr>
          </w:p>
        </w:tc>
        <w:tc>
          <w:tcPr>
            <w:tcW w:w="1083" w:type="dxa"/>
            <w:noWrap/>
          </w:tcPr>
          <w:p>
            <w:pPr>
              <w:spacing w:line="360" w:lineRule="auto"/>
              <w:ind w:firstLine="567"/>
              <w:textAlignment w:val="baseline"/>
              <w:rPr>
                <w:rFonts w:ascii="宋体" w:hAnsi="宋体" w:cs="宋体"/>
                <w:snapToGrid w:val="0"/>
                <w:color w:val="000000"/>
                <w:szCs w:val="24"/>
              </w:rPr>
            </w:pPr>
          </w:p>
        </w:tc>
        <w:tc>
          <w:tcPr>
            <w:tcW w:w="1119" w:type="dxa"/>
            <w:noWrap/>
          </w:tcPr>
          <w:p>
            <w:pPr>
              <w:spacing w:line="360" w:lineRule="auto"/>
              <w:ind w:firstLine="567"/>
              <w:textAlignment w:val="baseline"/>
              <w:rPr>
                <w:rFonts w:ascii="宋体" w:hAnsi="宋体" w:cs="宋体"/>
                <w:snapToGrid w:val="0"/>
                <w:color w:val="000000"/>
                <w:szCs w:val="24"/>
              </w:rPr>
            </w:pPr>
          </w:p>
        </w:tc>
        <w:tc>
          <w:tcPr>
            <w:tcW w:w="1126" w:type="dxa"/>
            <w:noWrap/>
          </w:tcPr>
          <w:p>
            <w:pPr>
              <w:spacing w:line="360" w:lineRule="auto"/>
              <w:ind w:firstLine="567"/>
              <w:textAlignment w:val="baseline"/>
              <w:rPr>
                <w:rFonts w:ascii="宋体" w:hAnsi="宋体" w:cs="宋体"/>
                <w:snapToGrid w:val="0"/>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37" w:type="dxa"/>
            <w:noWrap/>
          </w:tcPr>
          <w:p>
            <w:pPr>
              <w:spacing w:line="360" w:lineRule="auto"/>
              <w:ind w:firstLine="567"/>
              <w:textAlignment w:val="baseline"/>
              <w:rPr>
                <w:rFonts w:ascii="宋体" w:hAnsi="宋体" w:cs="宋体"/>
                <w:snapToGrid w:val="0"/>
                <w:color w:val="000000"/>
                <w:szCs w:val="24"/>
              </w:rPr>
            </w:pPr>
          </w:p>
        </w:tc>
        <w:tc>
          <w:tcPr>
            <w:tcW w:w="1354" w:type="dxa"/>
            <w:noWrap/>
          </w:tcPr>
          <w:p>
            <w:pPr>
              <w:spacing w:line="360" w:lineRule="auto"/>
              <w:ind w:firstLine="567"/>
              <w:textAlignment w:val="baseline"/>
              <w:rPr>
                <w:rFonts w:ascii="宋体" w:hAnsi="宋体" w:cs="宋体"/>
                <w:snapToGrid w:val="0"/>
                <w:color w:val="000000"/>
                <w:szCs w:val="24"/>
              </w:rPr>
            </w:pPr>
          </w:p>
        </w:tc>
        <w:tc>
          <w:tcPr>
            <w:tcW w:w="1537" w:type="dxa"/>
            <w:noWrap/>
          </w:tcPr>
          <w:p>
            <w:pPr>
              <w:spacing w:line="360" w:lineRule="auto"/>
              <w:ind w:firstLine="567"/>
              <w:textAlignment w:val="baseline"/>
              <w:rPr>
                <w:rFonts w:ascii="宋体" w:hAnsi="宋体" w:cs="宋体"/>
                <w:snapToGrid w:val="0"/>
                <w:color w:val="000000"/>
                <w:szCs w:val="24"/>
              </w:rPr>
            </w:pPr>
          </w:p>
        </w:tc>
        <w:tc>
          <w:tcPr>
            <w:tcW w:w="901" w:type="dxa"/>
            <w:noWrap/>
          </w:tcPr>
          <w:p>
            <w:pPr>
              <w:spacing w:line="360" w:lineRule="auto"/>
              <w:ind w:firstLine="567"/>
              <w:textAlignment w:val="baseline"/>
              <w:rPr>
                <w:rFonts w:ascii="宋体" w:hAnsi="宋体" w:cs="宋体"/>
                <w:snapToGrid w:val="0"/>
                <w:color w:val="000000"/>
                <w:szCs w:val="24"/>
              </w:rPr>
            </w:pPr>
          </w:p>
        </w:tc>
        <w:tc>
          <w:tcPr>
            <w:tcW w:w="1083" w:type="dxa"/>
            <w:noWrap/>
          </w:tcPr>
          <w:p>
            <w:pPr>
              <w:spacing w:line="360" w:lineRule="auto"/>
              <w:ind w:firstLine="567"/>
              <w:textAlignment w:val="baseline"/>
              <w:rPr>
                <w:rFonts w:ascii="宋体" w:hAnsi="宋体" w:cs="宋体"/>
                <w:snapToGrid w:val="0"/>
                <w:color w:val="000000"/>
                <w:szCs w:val="24"/>
              </w:rPr>
            </w:pPr>
          </w:p>
        </w:tc>
        <w:tc>
          <w:tcPr>
            <w:tcW w:w="1119" w:type="dxa"/>
            <w:noWrap/>
          </w:tcPr>
          <w:p>
            <w:pPr>
              <w:spacing w:line="360" w:lineRule="auto"/>
              <w:ind w:firstLine="567"/>
              <w:textAlignment w:val="baseline"/>
              <w:rPr>
                <w:rFonts w:ascii="宋体" w:hAnsi="宋体" w:cs="宋体"/>
                <w:snapToGrid w:val="0"/>
                <w:color w:val="000000"/>
                <w:szCs w:val="24"/>
              </w:rPr>
            </w:pPr>
          </w:p>
        </w:tc>
        <w:tc>
          <w:tcPr>
            <w:tcW w:w="1126" w:type="dxa"/>
            <w:noWrap/>
          </w:tcPr>
          <w:p>
            <w:pPr>
              <w:spacing w:line="360" w:lineRule="auto"/>
              <w:ind w:firstLine="567"/>
              <w:textAlignment w:val="baseline"/>
              <w:rPr>
                <w:rFonts w:ascii="宋体" w:hAnsi="宋体" w:cs="宋体"/>
                <w:snapToGrid w:val="0"/>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37" w:type="dxa"/>
            <w:noWrap/>
          </w:tcPr>
          <w:p>
            <w:pPr>
              <w:spacing w:line="360" w:lineRule="auto"/>
              <w:ind w:firstLine="567"/>
              <w:textAlignment w:val="baseline"/>
              <w:rPr>
                <w:rFonts w:ascii="宋体" w:hAnsi="宋体" w:cs="宋体"/>
                <w:snapToGrid w:val="0"/>
                <w:color w:val="000000"/>
                <w:szCs w:val="24"/>
              </w:rPr>
            </w:pPr>
          </w:p>
        </w:tc>
        <w:tc>
          <w:tcPr>
            <w:tcW w:w="1354" w:type="dxa"/>
            <w:noWrap/>
          </w:tcPr>
          <w:p>
            <w:pPr>
              <w:spacing w:line="360" w:lineRule="auto"/>
              <w:ind w:firstLine="567"/>
              <w:textAlignment w:val="baseline"/>
              <w:rPr>
                <w:rFonts w:ascii="宋体" w:hAnsi="宋体" w:cs="宋体"/>
                <w:snapToGrid w:val="0"/>
                <w:color w:val="000000"/>
                <w:szCs w:val="24"/>
              </w:rPr>
            </w:pPr>
          </w:p>
        </w:tc>
        <w:tc>
          <w:tcPr>
            <w:tcW w:w="1537" w:type="dxa"/>
            <w:noWrap/>
          </w:tcPr>
          <w:p>
            <w:pPr>
              <w:spacing w:line="360" w:lineRule="auto"/>
              <w:ind w:firstLine="567"/>
              <w:textAlignment w:val="baseline"/>
              <w:rPr>
                <w:rFonts w:ascii="宋体" w:hAnsi="宋体" w:cs="宋体"/>
                <w:snapToGrid w:val="0"/>
                <w:color w:val="000000"/>
                <w:szCs w:val="24"/>
              </w:rPr>
            </w:pPr>
          </w:p>
        </w:tc>
        <w:tc>
          <w:tcPr>
            <w:tcW w:w="901" w:type="dxa"/>
            <w:noWrap/>
          </w:tcPr>
          <w:p>
            <w:pPr>
              <w:spacing w:line="360" w:lineRule="auto"/>
              <w:ind w:firstLine="567"/>
              <w:textAlignment w:val="baseline"/>
              <w:rPr>
                <w:rFonts w:ascii="宋体" w:hAnsi="宋体" w:cs="宋体"/>
                <w:snapToGrid w:val="0"/>
                <w:color w:val="000000"/>
                <w:szCs w:val="24"/>
              </w:rPr>
            </w:pPr>
          </w:p>
        </w:tc>
        <w:tc>
          <w:tcPr>
            <w:tcW w:w="1083" w:type="dxa"/>
            <w:noWrap/>
          </w:tcPr>
          <w:p>
            <w:pPr>
              <w:spacing w:line="360" w:lineRule="auto"/>
              <w:ind w:firstLine="567"/>
              <w:textAlignment w:val="baseline"/>
              <w:rPr>
                <w:rFonts w:ascii="宋体" w:hAnsi="宋体" w:cs="宋体"/>
                <w:snapToGrid w:val="0"/>
                <w:color w:val="000000"/>
                <w:szCs w:val="24"/>
              </w:rPr>
            </w:pPr>
          </w:p>
        </w:tc>
        <w:tc>
          <w:tcPr>
            <w:tcW w:w="1119" w:type="dxa"/>
            <w:noWrap/>
          </w:tcPr>
          <w:p>
            <w:pPr>
              <w:spacing w:line="360" w:lineRule="auto"/>
              <w:ind w:firstLine="567"/>
              <w:textAlignment w:val="baseline"/>
              <w:rPr>
                <w:rFonts w:ascii="宋体" w:hAnsi="宋体" w:cs="宋体"/>
                <w:snapToGrid w:val="0"/>
                <w:color w:val="000000"/>
                <w:szCs w:val="24"/>
              </w:rPr>
            </w:pPr>
          </w:p>
        </w:tc>
        <w:tc>
          <w:tcPr>
            <w:tcW w:w="1126" w:type="dxa"/>
            <w:noWrap/>
          </w:tcPr>
          <w:p>
            <w:pPr>
              <w:spacing w:line="360" w:lineRule="auto"/>
              <w:ind w:firstLine="567"/>
              <w:textAlignment w:val="baseline"/>
              <w:rPr>
                <w:rFonts w:ascii="宋体" w:hAnsi="宋体" w:cs="宋体"/>
                <w:snapToGrid w:val="0"/>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37" w:type="dxa"/>
            <w:noWrap/>
          </w:tcPr>
          <w:p>
            <w:pPr>
              <w:spacing w:line="360" w:lineRule="auto"/>
              <w:ind w:firstLine="567"/>
              <w:textAlignment w:val="baseline"/>
              <w:rPr>
                <w:rFonts w:ascii="宋体" w:hAnsi="宋体" w:cs="宋体"/>
                <w:snapToGrid w:val="0"/>
                <w:color w:val="000000"/>
                <w:szCs w:val="24"/>
              </w:rPr>
            </w:pPr>
          </w:p>
        </w:tc>
        <w:tc>
          <w:tcPr>
            <w:tcW w:w="1354" w:type="dxa"/>
            <w:noWrap/>
          </w:tcPr>
          <w:p>
            <w:pPr>
              <w:spacing w:line="360" w:lineRule="auto"/>
              <w:ind w:firstLine="567"/>
              <w:textAlignment w:val="baseline"/>
              <w:rPr>
                <w:rFonts w:ascii="宋体" w:hAnsi="宋体" w:cs="宋体"/>
                <w:snapToGrid w:val="0"/>
                <w:color w:val="000000"/>
                <w:szCs w:val="24"/>
              </w:rPr>
            </w:pPr>
          </w:p>
        </w:tc>
        <w:tc>
          <w:tcPr>
            <w:tcW w:w="1537" w:type="dxa"/>
            <w:noWrap/>
          </w:tcPr>
          <w:p>
            <w:pPr>
              <w:spacing w:line="360" w:lineRule="auto"/>
              <w:ind w:firstLine="567"/>
              <w:textAlignment w:val="baseline"/>
              <w:rPr>
                <w:rFonts w:ascii="宋体" w:hAnsi="宋体" w:cs="宋体"/>
                <w:snapToGrid w:val="0"/>
                <w:color w:val="000000"/>
                <w:szCs w:val="24"/>
              </w:rPr>
            </w:pPr>
          </w:p>
        </w:tc>
        <w:tc>
          <w:tcPr>
            <w:tcW w:w="901" w:type="dxa"/>
            <w:noWrap/>
          </w:tcPr>
          <w:p>
            <w:pPr>
              <w:spacing w:line="360" w:lineRule="auto"/>
              <w:ind w:firstLine="567"/>
              <w:textAlignment w:val="baseline"/>
              <w:rPr>
                <w:rFonts w:ascii="宋体" w:hAnsi="宋体" w:cs="宋体"/>
                <w:snapToGrid w:val="0"/>
                <w:color w:val="000000"/>
                <w:szCs w:val="24"/>
              </w:rPr>
            </w:pPr>
          </w:p>
        </w:tc>
        <w:tc>
          <w:tcPr>
            <w:tcW w:w="1083" w:type="dxa"/>
            <w:noWrap/>
          </w:tcPr>
          <w:p>
            <w:pPr>
              <w:spacing w:line="360" w:lineRule="auto"/>
              <w:ind w:firstLine="567"/>
              <w:textAlignment w:val="baseline"/>
              <w:rPr>
                <w:rFonts w:ascii="宋体" w:hAnsi="宋体" w:cs="宋体"/>
                <w:snapToGrid w:val="0"/>
                <w:color w:val="000000"/>
                <w:szCs w:val="24"/>
              </w:rPr>
            </w:pPr>
          </w:p>
        </w:tc>
        <w:tc>
          <w:tcPr>
            <w:tcW w:w="1119" w:type="dxa"/>
            <w:noWrap/>
          </w:tcPr>
          <w:p>
            <w:pPr>
              <w:spacing w:line="360" w:lineRule="auto"/>
              <w:ind w:firstLine="567"/>
              <w:textAlignment w:val="baseline"/>
              <w:rPr>
                <w:rFonts w:ascii="宋体" w:hAnsi="宋体" w:cs="宋体"/>
                <w:snapToGrid w:val="0"/>
                <w:color w:val="000000"/>
                <w:szCs w:val="24"/>
              </w:rPr>
            </w:pPr>
          </w:p>
        </w:tc>
        <w:tc>
          <w:tcPr>
            <w:tcW w:w="1126" w:type="dxa"/>
            <w:noWrap/>
          </w:tcPr>
          <w:p>
            <w:pPr>
              <w:spacing w:line="360" w:lineRule="auto"/>
              <w:ind w:firstLine="567"/>
              <w:textAlignment w:val="baseline"/>
              <w:rPr>
                <w:rFonts w:ascii="宋体" w:hAnsi="宋体" w:cs="宋体"/>
                <w:snapToGrid w:val="0"/>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8657" w:type="dxa"/>
            <w:gridSpan w:val="7"/>
            <w:noWrap/>
            <w:vAlign w:val="center"/>
          </w:tcPr>
          <w:p>
            <w:pPr>
              <w:spacing w:line="360" w:lineRule="auto"/>
              <w:textAlignment w:val="baseline"/>
              <w:rPr>
                <w:rFonts w:ascii="宋体" w:hAnsi="宋体" w:cs="宋体"/>
                <w:snapToGrid w:val="0"/>
                <w:color w:val="000000"/>
                <w:szCs w:val="24"/>
              </w:rPr>
            </w:pPr>
            <w:r>
              <w:rPr>
                <w:rFonts w:hint="eastAsia" w:ascii="宋体" w:hAnsi="宋体" w:cs="宋体"/>
                <w:snapToGrid w:val="0"/>
                <w:color w:val="000000"/>
                <w:spacing w:val="-16"/>
                <w:szCs w:val="24"/>
              </w:rPr>
              <w:t>合同总金额（大写）（包含备件、专用工具、安装、调试、检验、技术培训及技术资料和运输保险等费用）：人民币（¥：）</w:t>
            </w:r>
          </w:p>
        </w:tc>
      </w:tr>
    </w:tbl>
    <w:p>
      <w:pPr>
        <w:numPr>
          <w:ilvl w:val="0"/>
          <w:numId w:val="45"/>
        </w:numPr>
        <w:spacing w:line="360" w:lineRule="auto"/>
        <w:rPr>
          <w:rFonts w:ascii="宋体" w:hAnsi="宋体" w:cs="宋体"/>
          <w:snapToGrid w:val="0"/>
          <w:color w:val="000000"/>
          <w:szCs w:val="24"/>
        </w:rPr>
      </w:pPr>
      <w:bookmarkStart w:id="133" w:name="_Toc20751_WPSOffice_Level2"/>
      <w:r>
        <w:rPr>
          <w:rFonts w:hint="eastAsia" w:ascii="宋体" w:hAnsi="宋体" w:cs="宋体"/>
          <w:snapToGrid w:val="0"/>
          <w:color w:val="000000"/>
          <w:szCs w:val="24"/>
        </w:rPr>
        <w:t>交货时间和交货地点</w:t>
      </w:r>
      <w:bookmarkEnd w:id="133"/>
    </w:p>
    <w:p>
      <w:pPr>
        <w:spacing w:line="360" w:lineRule="auto"/>
        <w:ind w:left="410" w:leftChars="171" w:firstLine="120" w:firstLineChars="50"/>
        <w:rPr>
          <w:rFonts w:ascii="宋体" w:hAnsi="宋体" w:cs="宋体"/>
          <w:snapToGrid w:val="0"/>
          <w:color w:val="000000"/>
          <w:szCs w:val="24"/>
        </w:rPr>
      </w:pPr>
      <w:r>
        <w:rPr>
          <w:rFonts w:hint="eastAsia" w:ascii="宋体" w:hAnsi="宋体" w:cs="宋体"/>
          <w:snapToGrid w:val="0"/>
          <w:color w:val="000000"/>
          <w:szCs w:val="24"/>
        </w:rPr>
        <w:t>2.1交货时间：</w:t>
      </w:r>
    </w:p>
    <w:p>
      <w:pPr>
        <w:spacing w:line="360" w:lineRule="auto"/>
        <w:ind w:left="410" w:leftChars="171" w:firstLine="120" w:firstLineChars="50"/>
        <w:rPr>
          <w:rFonts w:ascii="宋体" w:hAnsi="宋体" w:cs="宋体"/>
          <w:snapToGrid w:val="0"/>
          <w:color w:val="000000"/>
          <w:szCs w:val="24"/>
          <w:u w:val="single"/>
        </w:rPr>
      </w:pPr>
      <w:r>
        <w:rPr>
          <w:rFonts w:hint="eastAsia" w:ascii="宋体" w:hAnsi="宋体" w:cs="宋体"/>
          <w:snapToGrid w:val="0"/>
          <w:color w:val="000000"/>
          <w:szCs w:val="24"/>
        </w:rPr>
        <w:t>2.2交货地点：</w:t>
      </w:r>
    </w:p>
    <w:p>
      <w:pPr>
        <w:spacing w:line="360" w:lineRule="auto"/>
        <w:rPr>
          <w:rFonts w:ascii="宋体" w:hAnsi="宋体" w:cs="宋体"/>
          <w:snapToGrid w:val="0"/>
          <w:color w:val="000000"/>
          <w:szCs w:val="24"/>
        </w:rPr>
      </w:pPr>
      <w:bookmarkStart w:id="134" w:name="_Toc21887_WPSOffice_Level2"/>
      <w:r>
        <w:rPr>
          <w:rFonts w:hint="eastAsia" w:ascii="宋体" w:hAnsi="宋体" w:cs="宋体"/>
          <w:snapToGrid w:val="0"/>
          <w:color w:val="000000"/>
          <w:szCs w:val="24"/>
        </w:rPr>
        <w:t>3、付款方式与比例</w:t>
      </w:r>
      <w:bookmarkEnd w:id="134"/>
    </w:p>
    <w:p>
      <w:pPr>
        <w:spacing w:line="360" w:lineRule="auto"/>
        <w:rPr>
          <w:rFonts w:ascii="宋体" w:hAnsi="宋体" w:cs="宋体"/>
          <w:snapToGrid w:val="0"/>
          <w:color w:val="000000"/>
          <w:szCs w:val="24"/>
        </w:rPr>
      </w:pPr>
      <w:bookmarkStart w:id="135" w:name="_Toc29048_WPSOffice_Level2"/>
      <w:r>
        <w:rPr>
          <w:rFonts w:hint="eastAsia" w:ascii="宋体" w:hAnsi="宋体" w:cs="宋体"/>
          <w:snapToGrid w:val="0"/>
          <w:color w:val="000000"/>
          <w:szCs w:val="24"/>
        </w:rPr>
        <w:t>4、质量要求和技术标准</w:t>
      </w:r>
      <w:bookmarkEnd w:id="135"/>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质量要求和技术标准按招标文件和乙方投标文件执行。</w:t>
      </w:r>
    </w:p>
    <w:p>
      <w:pPr>
        <w:spacing w:line="360" w:lineRule="auto"/>
        <w:rPr>
          <w:rFonts w:ascii="宋体" w:hAnsi="宋体" w:cs="宋体"/>
          <w:snapToGrid w:val="0"/>
          <w:color w:val="000000"/>
          <w:szCs w:val="24"/>
        </w:rPr>
      </w:pPr>
      <w:bookmarkStart w:id="136" w:name="_Toc6173_WPSOffice_Level2"/>
      <w:r>
        <w:rPr>
          <w:rFonts w:hint="eastAsia" w:ascii="宋体" w:hAnsi="宋体" w:cs="宋体"/>
          <w:snapToGrid w:val="0"/>
          <w:color w:val="000000"/>
          <w:szCs w:val="24"/>
        </w:rPr>
        <w:t>5、安装调试、技术服务、人员培训及技术资料。</w:t>
      </w:r>
      <w:bookmarkEnd w:id="136"/>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安装调试、技术服务、人员培训及技术资料按招标文件和乙方投标文件执行。</w:t>
      </w:r>
    </w:p>
    <w:p>
      <w:pPr>
        <w:spacing w:line="360" w:lineRule="auto"/>
        <w:rPr>
          <w:rFonts w:ascii="宋体" w:hAnsi="宋体" w:cs="宋体"/>
          <w:snapToGrid w:val="0"/>
          <w:color w:val="000000"/>
          <w:szCs w:val="24"/>
        </w:rPr>
      </w:pPr>
      <w:bookmarkStart w:id="137" w:name="_Toc4399_WPSOffice_Level2"/>
      <w:r>
        <w:rPr>
          <w:rFonts w:hint="eastAsia" w:ascii="宋体" w:hAnsi="宋体" w:cs="宋体"/>
          <w:snapToGrid w:val="0"/>
          <w:color w:val="000000"/>
          <w:szCs w:val="24"/>
        </w:rPr>
        <w:t>6、验收</w:t>
      </w:r>
      <w:bookmarkEnd w:id="137"/>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6.1乙方在所有设备安装调试完毕后，向甲方发出验收申请。甲方组织验收（检验与测试的条件和方式：1）投标设备送到交货后，由设备制造厂商授权的技术人员现场安装调试；2）安装调试完成，由采购人组织验收），乙方应给予配合。</w:t>
      </w:r>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6.2如在验收过程中产生异议，甲乙双方均可向同级政府采购管理部门申请，组织专家综合评定。</w:t>
      </w:r>
    </w:p>
    <w:p>
      <w:pPr>
        <w:spacing w:line="360" w:lineRule="auto"/>
        <w:rPr>
          <w:rFonts w:ascii="宋体" w:hAnsi="宋体" w:cs="宋体"/>
          <w:snapToGrid w:val="0"/>
          <w:color w:val="000000"/>
          <w:szCs w:val="24"/>
        </w:rPr>
      </w:pPr>
      <w:bookmarkStart w:id="138" w:name="_Toc2278_WPSOffice_Level2"/>
      <w:r>
        <w:rPr>
          <w:rFonts w:hint="eastAsia" w:ascii="宋体" w:hAnsi="宋体" w:cs="宋体"/>
          <w:snapToGrid w:val="0"/>
          <w:color w:val="000000"/>
          <w:szCs w:val="24"/>
        </w:rPr>
        <w:t>7、售后服务</w:t>
      </w:r>
      <w:bookmarkEnd w:id="138"/>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7.1质保期、乙方响应时间、费用承担按招标文件和乙方投标文件执行。</w:t>
      </w:r>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7.2如货物不能达到本合同约定的质量标准，视作乙方未能按时交货，甲方有权退货并追究乙方的违约责任。</w:t>
      </w:r>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7.3乙方须指派专人负责与甲方联系售后服务事宜。</w:t>
      </w:r>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7.4质保期外的售后服务按招标文件和乙方投标文件执行。（如招标文件没有规定，可在此约定）</w:t>
      </w:r>
    </w:p>
    <w:p>
      <w:pPr>
        <w:spacing w:line="360" w:lineRule="auto"/>
        <w:rPr>
          <w:rFonts w:ascii="宋体" w:hAnsi="宋体" w:cs="宋体"/>
          <w:snapToGrid w:val="0"/>
          <w:color w:val="000000"/>
          <w:szCs w:val="24"/>
        </w:rPr>
      </w:pPr>
      <w:bookmarkStart w:id="139" w:name="_Toc15152_WPSOffice_Level2"/>
      <w:r>
        <w:rPr>
          <w:rFonts w:hint="eastAsia" w:ascii="宋体" w:hAnsi="宋体" w:cs="宋体"/>
          <w:snapToGrid w:val="0"/>
          <w:color w:val="000000"/>
          <w:szCs w:val="24"/>
        </w:rPr>
        <w:t>8、违约责任</w:t>
      </w:r>
      <w:bookmarkEnd w:id="139"/>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8.1乙方未能按期供货的，应向甲方支付合同总价款的5%的违约金；同时，甲方有权要求追偿其他损失，并有权解除合同。</w:t>
      </w:r>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8.2乙方所交的设备品种、型号、规格、质量不符合合同规定标准的，甲方有权拒收设备，解除合同，乙方须向甲方支付合同总价款的5%的违约金。</w:t>
      </w:r>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8.3甲方无正当理由拒收设备，应向乙方支付拒收设备款总额5%的违约金。</w:t>
      </w:r>
    </w:p>
    <w:p>
      <w:pPr>
        <w:spacing w:line="360" w:lineRule="auto"/>
        <w:rPr>
          <w:rFonts w:ascii="宋体" w:hAnsi="宋体" w:cs="宋体"/>
          <w:snapToGrid w:val="0"/>
          <w:color w:val="000000"/>
          <w:szCs w:val="24"/>
        </w:rPr>
      </w:pPr>
      <w:bookmarkStart w:id="140" w:name="_Toc20850_WPSOffice_Level2"/>
      <w:r>
        <w:rPr>
          <w:rFonts w:hint="eastAsia" w:ascii="宋体" w:hAnsi="宋体" w:cs="宋体"/>
          <w:snapToGrid w:val="0"/>
          <w:color w:val="000000"/>
          <w:szCs w:val="24"/>
        </w:rPr>
        <w:t>9、合同纠纷处理</w:t>
      </w:r>
      <w:bookmarkEnd w:id="140"/>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9.1因货物的质量问题发生争议，由质量技术监督部门或其指定的质量鉴定机构进行质量鉴定。货物符合标准的，鉴定费由甲方承担；货物不符合质量标准的，鉴定费由乙方承担。</w:t>
      </w:r>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9.2合同履行期间，若双方发生争议，可协商解决。协商不成的，可申请同级政府采购管理部门调解。调解不成或不经调解，双方均可向合甲方所在地人民法院提起诉讼。</w:t>
      </w:r>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9.3本合同所涉及的货物在交付验收使用后所发生的合同纠纷，由甲方直接与乙方协商进行处理。协商不成的，双方均可向甲方所在地人民法院提起诉讼。</w:t>
      </w:r>
    </w:p>
    <w:p>
      <w:pPr>
        <w:spacing w:line="360" w:lineRule="auto"/>
        <w:rPr>
          <w:rFonts w:ascii="宋体" w:hAnsi="宋体" w:cs="宋体"/>
          <w:snapToGrid w:val="0"/>
          <w:color w:val="000000"/>
          <w:szCs w:val="24"/>
        </w:rPr>
      </w:pPr>
      <w:bookmarkStart w:id="141" w:name="_Toc23290_WPSOffice_Level2"/>
      <w:r>
        <w:rPr>
          <w:rFonts w:hint="eastAsia" w:ascii="宋体" w:hAnsi="宋体" w:cs="宋体"/>
          <w:snapToGrid w:val="0"/>
          <w:color w:val="000000"/>
          <w:szCs w:val="24"/>
        </w:rPr>
        <w:t>10、未尽事宜</w:t>
      </w:r>
      <w:bookmarkEnd w:id="141"/>
    </w:p>
    <w:p>
      <w:pPr>
        <w:spacing w:line="360" w:lineRule="auto"/>
        <w:ind w:firstLine="468" w:firstLineChars="195"/>
        <w:rPr>
          <w:rFonts w:ascii="宋体" w:hAnsi="宋体" w:cs="宋体"/>
          <w:snapToGrid w:val="0"/>
          <w:color w:val="000000"/>
          <w:szCs w:val="24"/>
        </w:rPr>
      </w:pPr>
      <w:r>
        <w:rPr>
          <w:rFonts w:hint="eastAsia" w:ascii="宋体" w:hAnsi="宋体" w:cs="宋体"/>
          <w:snapToGrid w:val="0"/>
          <w:color w:val="000000"/>
          <w:szCs w:val="24"/>
        </w:rPr>
        <w:t>本合同未尽事宜，供需双方可签订补充协议，与本合具有同等法律效力，但不得违背本合同的实质性条款。</w:t>
      </w:r>
    </w:p>
    <w:p>
      <w:pPr>
        <w:spacing w:line="360" w:lineRule="auto"/>
        <w:rPr>
          <w:rFonts w:ascii="宋体" w:hAnsi="宋体" w:cs="宋体"/>
          <w:snapToGrid w:val="0"/>
          <w:color w:val="000000"/>
          <w:szCs w:val="24"/>
        </w:rPr>
      </w:pPr>
      <w:bookmarkStart w:id="142" w:name="_Toc7787_WPSOffice_Level2"/>
      <w:r>
        <w:rPr>
          <w:rFonts w:hint="eastAsia" w:ascii="宋体" w:hAnsi="宋体" w:cs="宋体"/>
          <w:snapToGrid w:val="0"/>
          <w:color w:val="000000"/>
          <w:szCs w:val="24"/>
        </w:rPr>
        <w:t>11、其他</w:t>
      </w:r>
      <w:bookmarkEnd w:id="142"/>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11.1详细技术说明及其他有关合同项目的特定信息由合同附件予以说明，合同附件及本项目的招标文件、投标文件、《中标通知书》、相关的澄清确认（如果有的话）均为本合同不可分割的组成部分，与本合同具有同等法律效力。</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11.2本合同经甲乙双方授权代表签字，并加盖公章后生效。本合同一式六份，甲乙双方各两份，送采购代理机构、同级政府采购管理部门备案各一份。</w:t>
      </w:r>
    </w:p>
    <w:p>
      <w:pPr>
        <w:pStyle w:val="26"/>
        <w:spacing w:line="360" w:lineRule="auto"/>
        <w:ind w:firstLine="210"/>
        <w:rPr>
          <w:rFonts w:hint="default" w:eastAsia="宋体" w:cs="宋体"/>
          <w:snapToGrid w:val="0"/>
          <w:color w:val="000000"/>
          <w:sz w:val="24"/>
          <w:szCs w:val="24"/>
        </w:rPr>
      </w:pPr>
    </w:p>
    <w:p>
      <w:pPr>
        <w:pStyle w:val="26"/>
        <w:spacing w:line="360" w:lineRule="auto"/>
        <w:ind w:firstLine="210"/>
        <w:rPr>
          <w:rFonts w:hint="default" w:eastAsia="宋体" w:cs="宋体"/>
          <w:snapToGrid w:val="0"/>
          <w:color w:val="000000"/>
          <w:sz w:val="24"/>
          <w:szCs w:val="24"/>
        </w:rPr>
      </w:pP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甲方：    （盖章）</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法定代表人（授权代表）：</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地    址：</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开户银行：</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账    号：</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电    话：</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传    真：</w:t>
      </w:r>
    </w:p>
    <w:p>
      <w:pPr>
        <w:spacing w:line="360" w:lineRule="auto"/>
        <w:rPr>
          <w:rFonts w:ascii="宋体" w:hAnsi="宋体" w:cs="宋体"/>
          <w:snapToGrid w:val="0"/>
          <w:color w:val="000000"/>
          <w:szCs w:val="24"/>
        </w:rPr>
      </w:pP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乙方：    （盖章）</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法定代表人（授权代表）：</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地    址：</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开户银行：</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账    号：</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电    话：</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传    真：</w:t>
      </w:r>
    </w:p>
    <w:p>
      <w:pPr>
        <w:spacing w:line="360" w:lineRule="auto"/>
        <w:rPr>
          <w:rFonts w:ascii="宋体" w:hAnsi="宋体" w:cs="宋体"/>
          <w:snapToGrid w:val="0"/>
          <w:color w:val="000000"/>
          <w:szCs w:val="24"/>
        </w:rPr>
      </w:pPr>
      <w:r>
        <w:rPr>
          <w:rFonts w:hint="eastAsia" w:ascii="宋体" w:hAnsi="宋体" w:cs="宋体"/>
          <w:snapToGrid w:val="0"/>
          <w:color w:val="000000"/>
          <w:szCs w:val="24"/>
        </w:rPr>
        <w:t xml:space="preserve">         签约日期：     年    月    日</w:t>
      </w:r>
    </w:p>
    <w:p>
      <w:pPr>
        <w:pStyle w:val="14"/>
        <w:kinsoku w:val="0"/>
        <w:overflowPunct w:val="0"/>
        <w:ind w:left="0"/>
        <w:rPr>
          <w:rFonts w:hint="default"/>
          <w:sz w:val="20"/>
        </w:rPr>
      </w:pPr>
      <w:r>
        <w:rPr>
          <w:rFonts w:cs="宋体"/>
          <w:color w:val="000000"/>
          <w:sz w:val="24"/>
        </w:rPr>
        <w:br w:type="page"/>
      </w:r>
    </w:p>
    <w:p>
      <w:pPr>
        <w:pStyle w:val="4"/>
        <w:keepNext w:val="0"/>
        <w:keepLines w:val="0"/>
        <w:pageBreakBefore w:val="0"/>
        <w:kinsoku w:val="0"/>
        <w:wordWrap/>
        <w:overflowPunct w:val="0"/>
        <w:topLinePunct w:val="0"/>
        <w:bidi w:val="0"/>
        <w:snapToGrid/>
        <w:spacing w:line="360" w:lineRule="exact"/>
        <w:ind w:left="10"/>
        <w:jc w:val="center"/>
        <w:rPr>
          <w:rFonts w:hint="eastAsia"/>
        </w:rPr>
      </w:pPr>
      <w:bookmarkStart w:id="143" w:name="bookmark23"/>
      <w:bookmarkEnd w:id="143"/>
      <w:bookmarkStart w:id="144" w:name="_Toc20280_WPSOffice_Level1"/>
      <w:r>
        <w:rPr>
          <w:spacing w:val="2"/>
          <w:highlight w:val="none"/>
        </w:rPr>
        <w:t>第五章</w:t>
      </w:r>
      <w:r>
        <w:rPr>
          <w:rFonts w:hint="eastAsia"/>
          <w:spacing w:val="2"/>
          <w:highlight w:val="none"/>
          <w:lang w:val="en-US" w:eastAsia="zh-CN"/>
        </w:rPr>
        <w:t xml:space="preserve"> </w:t>
      </w:r>
      <w:r>
        <w:rPr>
          <w:spacing w:val="2"/>
          <w:highlight w:val="none"/>
        </w:rPr>
        <w:t>采购需求</w:t>
      </w:r>
      <w:bookmarkEnd w:id="144"/>
      <w:bookmarkStart w:id="145" w:name="_Toc31789_WPSOffice_Level2"/>
    </w:p>
    <w:p>
      <w:pPr>
        <w:keepNext w:val="0"/>
        <w:keepLines w:val="0"/>
        <w:pageBreakBefore w:val="0"/>
        <w:wordWrap/>
        <w:topLinePunct w:val="0"/>
        <w:bidi w:val="0"/>
        <w:snapToGrid/>
        <w:spacing w:line="360" w:lineRule="exact"/>
        <w:rPr>
          <w:rFonts w:hint="eastAsia"/>
        </w:rPr>
      </w:pPr>
    </w:p>
    <w:tbl>
      <w:tblPr>
        <w:tblStyle w:val="28"/>
        <w:tblW w:w="96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05"/>
        <w:gridCol w:w="6896"/>
        <w:gridCol w:w="759"/>
        <w:gridCol w:w="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wordWrap/>
              <w:topLinePunct w:val="0"/>
              <w:bidi w:val="0"/>
              <w:snapToGrid/>
              <w:spacing w:line="360" w:lineRule="exact"/>
              <w:jc w:val="center"/>
              <w:textAlignment w:val="center"/>
              <w:rPr>
                <w:rStyle w:val="46"/>
                <w:rFonts w:ascii="宋体" w:hAnsi="宋体" w:eastAsia="宋体"/>
                <w:i w:val="0"/>
                <w:color w:val="000000"/>
                <w:kern w:val="2"/>
                <w:sz w:val="21"/>
                <w:szCs w:val="21"/>
                <w:lang w:val="en-US" w:eastAsia="zh-CN" w:bidi="ar-SA"/>
              </w:rPr>
            </w:pPr>
            <w:r>
              <w:rPr>
                <w:rStyle w:val="46"/>
                <w:rFonts w:ascii="宋体" w:hAnsi="宋体" w:eastAsia="宋体"/>
                <w:i w:val="0"/>
                <w:color w:val="000000"/>
                <w:kern w:val="0"/>
                <w:sz w:val="21"/>
                <w:szCs w:val="21"/>
                <w:lang w:val="en-US" w:eastAsia="zh-CN"/>
              </w:rPr>
              <w:t>货物名称</w:t>
            </w:r>
          </w:p>
        </w:tc>
        <w:tc>
          <w:tcPr>
            <w:tcW w:w="68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wordWrap/>
              <w:topLinePunct w:val="0"/>
              <w:bidi w:val="0"/>
              <w:snapToGrid/>
              <w:spacing w:line="360" w:lineRule="exact"/>
              <w:jc w:val="center"/>
              <w:textAlignment w:val="center"/>
              <w:rPr>
                <w:rStyle w:val="46"/>
                <w:rFonts w:ascii="宋体" w:hAnsi="宋体" w:eastAsia="宋体"/>
                <w:i w:val="0"/>
                <w:color w:val="000000"/>
                <w:kern w:val="2"/>
                <w:sz w:val="21"/>
                <w:szCs w:val="21"/>
                <w:lang w:val="en-US" w:eastAsia="zh-CN" w:bidi="ar-SA"/>
              </w:rPr>
            </w:pPr>
            <w:r>
              <w:rPr>
                <w:rStyle w:val="46"/>
                <w:rFonts w:ascii="宋体" w:hAnsi="宋体" w:eastAsia="宋体"/>
                <w:i w:val="0"/>
                <w:color w:val="000000"/>
                <w:kern w:val="0"/>
                <w:sz w:val="21"/>
                <w:szCs w:val="21"/>
                <w:lang w:val="en-US" w:eastAsia="zh-CN"/>
              </w:rPr>
              <w:t>具体要求</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wordWrap/>
              <w:topLinePunct w:val="0"/>
              <w:bidi w:val="0"/>
              <w:snapToGrid/>
              <w:spacing w:line="360" w:lineRule="exact"/>
              <w:jc w:val="center"/>
              <w:textAlignment w:val="center"/>
              <w:rPr>
                <w:rStyle w:val="46"/>
                <w:rFonts w:ascii="宋体" w:hAnsi="宋体" w:eastAsia="宋体"/>
                <w:i w:val="0"/>
                <w:color w:val="000000"/>
                <w:kern w:val="2"/>
                <w:sz w:val="21"/>
                <w:szCs w:val="21"/>
                <w:lang w:val="en-US" w:eastAsia="zh-CN" w:bidi="ar-SA"/>
              </w:rPr>
            </w:pPr>
            <w:r>
              <w:rPr>
                <w:rStyle w:val="46"/>
                <w:rFonts w:ascii="宋体" w:hAnsi="宋体" w:eastAsia="宋体"/>
                <w:i w:val="0"/>
                <w:color w:val="000000"/>
                <w:kern w:val="0"/>
                <w:sz w:val="21"/>
                <w:szCs w:val="21"/>
                <w:lang w:val="en-US" w:eastAsia="zh-CN"/>
              </w:rPr>
              <w:t>单位</w:t>
            </w:r>
          </w:p>
        </w:tc>
        <w:tc>
          <w:tcPr>
            <w:tcW w:w="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wordWrap/>
              <w:topLinePunct w:val="0"/>
              <w:bidi w:val="0"/>
              <w:snapToGrid/>
              <w:spacing w:line="360" w:lineRule="exact"/>
              <w:jc w:val="center"/>
              <w:textAlignment w:val="center"/>
              <w:rPr>
                <w:rStyle w:val="46"/>
                <w:rFonts w:ascii="宋体" w:hAnsi="宋体" w:eastAsia="宋体"/>
                <w:i w:val="0"/>
                <w:color w:val="000000"/>
                <w:kern w:val="2"/>
                <w:sz w:val="21"/>
                <w:szCs w:val="21"/>
                <w:lang w:val="en-US" w:eastAsia="zh-CN" w:bidi="ar-SA"/>
              </w:rPr>
            </w:pPr>
            <w:r>
              <w:rPr>
                <w:rStyle w:val="46"/>
                <w:rFonts w:ascii="宋体" w:hAnsi="宋体" w:eastAsia="宋体"/>
                <w:i w:val="0"/>
                <w:color w:val="000000"/>
                <w:kern w:val="0"/>
                <w:sz w:val="21"/>
                <w:szCs w:val="21"/>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7" w:hRule="atLeast"/>
          <w:jc w:val="center"/>
        </w:trPr>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ordWrap/>
              <w:topLinePunct w:val="0"/>
              <w:bidi w:val="0"/>
              <w:snapToGrid/>
              <w:spacing w:line="360" w:lineRule="exact"/>
              <w:jc w:val="center"/>
              <w:textAlignment w:val="baseline"/>
              <w:rPr>
                <w:rStyle w:val="46"/>
                <w:rFonts w:ascii="宋体" w:hAnsi="宋体" w:eastAsia="宋体"/>
                <w:i w:val="0"/>
                <w:color w:val="000000"/>
                <w:kern w:val="2"/>
                <w:sz w:val="21"/>
                <w:szCs w:val="21"/>
                <w:lang w:val="en-US" w:eastAsia="zh-CN" w:bidi="ar-SA"/>
              </w:rPr>
            </w:pPr>
            <w:r>
              <w:rPr>
                <w:rStyle w:val="46"/>
                <w:rFonts w:ascii="宋体" w:hAnsi="宋体" w:eastAsia="宋体"/>
                <w:i w:val="0"/>
                <w:color w:val="000000"/>
                <w:kern w:val="2"/>
                <w:sz w:val="21"/>
                <w:szCs w:val="21"/>
                <w:lang w:val="en-US" w:eastAsia="zh-CN" w:bidi="ar-SA"/>
              </w:rPr>
              <w:t>棉被</w:t>
            </w:r>
          </w:p>
        </w:tc>
        <w:tc>
          <w:tcPr>
            <w:tcW w:w="68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snapToGrid/>
              <w:spacing w:line="360" w:lineRule="exact"/>
              <w:jc w:val="both"/>
              <w:textAlignment w:val="auto"/>
              <w:rPr>
                <w:rStyle w:val="46"/>
                <w:rFonts w:ascii="宋体" w:hAnsi="宋体" w:eastAsia="宋体"/>
                <w:color w:val="1F497D" w:themeColor="text2"/>
                <w:kern w:val="2"/>
                <w:sz w:val="21"/>
                <w:szCs w:val="21"/>
                <w:lang w:val="en-US" w:eastAsia="zh-CN" w:bidi="ar-SA"/>
                <w14:textFill>
                  <w14:solidFill>
                    <w14:schemeClr w14:val="tx2"/>
                  </w14:solidFill>
                </w14:textFill>
              </w:rPr>
            </w:pPr>
            <w:r>
              <w:rPr>
                <w:rStyle w:val="46"/>
                <w:rFonts w:ascii="宋体" w:hAnsi="宋体" w:eastAsia="宋体"/>
                <w:kern w:val="2"/>
                <w:sz w:val="21"/>
                <w:szCs w:val="21"/>
                <w:lang w:val="en-US" w:eastAsia="zh-CN" w:bidi="ar-SA"/>
              </w:rPr>
              <w:t>1、被胎2150mm×1650mm,</w:t>
            </w:r>
            <w:r>
              <w:rPr>
                <w:rStyle w:val="46"/>
                <w:rFonts w:hint="eastAsia" w:ascii="宋体" w:hAnsi="宋体"/>
                <w:color w:val="1F497D" w:themeColor="text2"/>
                <w:kern w:val="2"/>
                <w:sz w:val="21"/>
                <w:szCs w:val="21"/>
                <w:lang w:val="en-US" w:eastAsia="zh-CN" w:bidi="ar-SA"/>
                <w14:textFill>
                  <w14:solidFill>
                    <w14:schemeClr w14:val="tx2"/>
                  </w14:solidFill>
                </w14:textFill>
              </w:rPr>
              <w:t>一级棉胎</w:t>
            </w:r>
            <w:r>
              <w:rPr>
                <w:rStyle w:val="46"/>
                <w:rFonts w:ascii="宋体" w:hAnsi="宋体" w:eastAsia="宋体"/>
                <w:color w:val="1F497D" w:themeColor="text2"/>
                <w:kern w:val="2"/>
                <w:sz w:val="21"/>
                <w:szCs w:val="21"/>
                <w:lang w:val="en-US" w:eastAsia="zh-CN" w:bidi="ar-SA"/>
                <w14:textFill>
                  <w14:solidFill>
                    <w14:schemeClr w14:val="tx2"/>
                  </w14:solidFill>
                </w14:textFill>
              </w:rPr>
              <w:t>(颜色级12级以上)</w:t>
            </w:r>
            <w:r>
              <w:rPr>
                <w:rStyle w:val="46"/>
                <w:rFonts w:ascii="宋体" w:hAnsi="宋体" w:eastAsia="宋体"/>
                <w:kern w:val="2"/>
                <w:sz w:val="21"/>
                <w:szCs w:val="21"/>
                <w:lang w:val="en-US" w:eastAsia="zh-CN" w:bidi="ar-SA"/>
              </w:rPr>
              <w:t>,棉纤维100%,色泽:色洁白,无漂白棉。形态:纤维蓬松均匀,手感柔软,回弹性好。铺棉:铺棉均匀平坦,薄厚一致,手感无棉块。包边:包边整齐,四角平直,四角方正,无缺花,不塌边。含杂率:≤0.8%。研磨:网线与棉花磨合的程度完全粘连,研磨率80%以上。网纱:机械自动网纱,网纱为21或32支</w:t>
            </w:r>
            <w:r>
              <w:rPr>
                <w:rStyle w:val="46"/>
                <w:rFonts w:hint="eastAsia" w:ascii="宋体" w:hAnsi="宋体"/>
                <w:kern w:val="2"/>
                <w:sz w:val="21"/>
                <w:szCs w:val="21"/>
                <w:lang w:val="en-US" w:eastAsia="zh-CN" w:bidi="ar-SA"/>
              </w:rPr>
              <w:t>纯棉</w:t>
            </w:r>
            <w:r>
              <w:rPr>
                <w:rStyle w:val="46"/>
                <w:rFonts w:ascii="宋体" w:hAnsi="宋体" w:eastAsia="宋体"/>
                <w:kern w:val="2"/>
                <w:sz w:val="21"/>
                <w:szCs w:val="21"/>
                <w:lang w:val="en-US" w:eastAsia="zh-CN" w:bidi="ar-SA"/>
              </w:rPr>
              <w:t>纱线,每面各三层,坚纱一层,左右斜纱各一层,每层网纱不少于13根/10cm;筋纱:竖纱每面不少于10道,左右斜筋纱不少于15道,每根筋纱由</w:t>
            </w:r>
            <w:r>
              <w:rPr>
                <w:rStyle w:val="46"/>
                <w:rFonts w:hint="eastAsia" w:ascii="宋体" w:hAnsi="宋体"/>
                <w:kern w:val="2"/>
                <w:sz w:val="21"/>
                <w:szCs w:val="21"/>
                <w:lang w:val="en-US" w:eastAsia="zh-CN" w:bidi="ar-SA"/>
              </w:rPr>
              <w:t>二</w:t>
            </w:r>
            <w:r>
              <w:rPr>
                <w:rStyle w:val="46"/>
                <w:rFonts w:ascii="宋体" w:hAnsi="宋体" w:eastAsia="宋体"/>
                <w:kern w:val="2"/>
                <w:sz w:val="21"/>
                <w:szCs w:val="21"/>
                <w:lang w:val="en-US" w:eastAsia="zh-CN" w:bidi="ar-SA"/>
              </w:rPr>
              <w:t>根以上网纱组成;</w:t>
            </w:r>
            <w:r>
              <w:rPr>
                <w:rStyle w:val="46"/>
                <w:rFonts w:ascii="宋体" w:hAnsi="宋体" w:eastAsia="宋体"/>
                <w:color w:val="1F497D" w:themeColor="text2"/>
                <w:kern w:val="2"/>
                <w:sz w:val="21"/>
                <w:szCs w:val="21"/>
                <w:lang w:val="en-US" w:eastAsia="zh-CN" w:bidi="ar-SA"/>
                <w14:textFill>
                  <w14:solidFill>
                    <w14:schemeClr w14:val="tx2"/>
                  </w14:solidFill>
                </w14:textFill>
              </w:rPr>
              <w:t>质量:符合一级棉胎要求。</w:t>
            </w:r>
          </w:p>
          <w:p>
            <w:pPr>
              <w:pStyle w:val="59"/>
              <w:keepNext w:val="0"/>
              <w:keepLines w:val="0"/>
              <w:pageBreakBefore w:val="0"/>
              <w:numPr>
                <w:ilvl w:val="0"/>
                <w:numId w:val="0"/>
              </w:numPr>
              <w:kinsoku/>
              <w:wordWrap/>
              <w:overflowPunct/>
              <w:topLinePunct w:val="0"/>
              <w:autoSpaceDE/>
              <w:autoSpaceDN/>
              <w:bidi w:val="0"/>
              <w:snapToGrid/>
              <w:spacing w:line="360" w:lineRule="exact"/>
              <w:textAlignment w:val="auto"/>
              <w:rPr>
                <w:rStyle w:val="46"/>
                <w:rFonts w:ascii="宋体" w:hAnsi="宋体" w:eastAsia="宋体"/>
                <w:i w:val="0"/>
                <w:color w:val="000000"/>
                <w:kern w:val="2"/>
                <w:sz w:val="21"/>
                <w:szCs w:val="21"/>
                <w:lang w:val="en-US" w:eastAsia="zh-CN" w:bidi="ar-SA"/>
              </w:rPr>
            </w:pPr>
            <w:r>
              <w:rPr>
                <w:rStyle w:val="46"/>
                <w:rFonts w:ascii="宋体" w:hAnsi="宋体" w:eastAsia="宋体"/>
                <w:i w:val="0"/>
                <w:color w:val="000000"/>
                <w:kern w:val="2"/>
                <w:sz w:val="21"/>
                <w:szCs w:val="21"/>
                <w:lang w:val="en-US" w:eastAsia="zh-CN" w:bidi="ar-SA"/>
              </w:rPr>
              <w:t>2、被面1.7米×2.2米；面料为</w:t>
            </w:r>
            <w:r>
              <w:rPr>
                <w:rStyle w:val="46"/>
                <w:rFonts w:ascii="宋体" w:hAnsi="宋体" w:eastAsia="宋体"/>
                <w:b w:val="0"/>
                <w:bCs w:val="0"/>
                <w:i w:val="0"/>
                <w:iCs w:val="0"/>
                <w:color w:val="000000"/>
                <w:kern w:val="2"/>
                <w:sz w:val="21"/>
                <w:szCs w:val="21"/>
                <w:lang w:val="en-US" w:eastAsia="zh-CN" w:bidi="ar-SA"/>
              </w:rPr>
              <w:t>印花仿植物羊绒面料（</w:t>
            </w:r>
            <w:r>
              <w:rPr>
                <w:rStyle w:val="46"/>
                <w:rFonts w:ascii="宋体" w:hAnsi="宋体" w:eastAsia="宋体"/>
                <w:b w:val="0"/>
                <w:bCs w:val="0"/>
                <w:i w:val="0"/>
                <w:iCs w:val="0"/>
                <w:color w:val="1F497D" w:themeColor="text2"/>
                <w:kern w:val="2"/>
                <w:sz w:val="21"/>
                <w:szCs w:val="21"/>
                <w:lang w:val="en-US" w:eastAsia="zh-CN" w:bidi="ar-SA"/>
                <w14:textFill>
                  <w14:solidFill>
                    <w14:schemeClr w14:val="tx2"/>
                  </w14:solidFill>
                </w14:textFill>
              </w:rPr>
              <w:t>聚酯纤维100%</w:t>
            </w:r>
            <w:r>
              <w:rPr>
                <w:rStyle w:val="46"/>
                <w:rFonts w:hint="eastAsia" w:ascii="宋体" w:hAnsi="宋体"/>
                <w:b w:val="0"/>
                <w:bCs w:val="0"/>
                <w:i w:val="0"/>
                <w:iCs w:val="0"/>
                <w:color w:val="1F497D" w:themeColor="text2"/>
                <w:kern w:val="2"/>
                <w:sz w:val="21"/>
                <w:szCs w:val="21"/>
                <w:lang w:val="en-US" w:eastAsia="zh-CN" w:bidi="ar-SA"/>
                <w14:textFill>
                  <w14:solidFill>
                    <w14:schemeClr w14:val="tx2"/>
                  </w14:solidFill>
                </w14:textFill>
              </w:rPr>
              <w:t>，不允许偏离</w:t>
            </w:r>
            <w:r>
              <w:rPr>
                <w:rStyle w:val="46"/>
                <w:rFonts w:ascii="宋体" w:hAnsi="宋体" w:eastAsia="宋体"/>
                <w:b w:val="0"/>
                <w:bCs w:val="0"/>
                <w:i w:val="0"/>
                <w:iCs w:val="0"/>
                <w:color w:val="000000"/>
                <w:kern w:val="2"/>
                <w:sz w:val="21"/>
                <w:szCs w:val="21"/>
                <w:lang w:val="en-US" w:eastAsia="zh-CN" w:bidi="ar-SA"/>
              </w:rPr>
              <w:t>）</w:t>
            </w:r>
            <w:r>
              <w:rPr>
                <w:rStyle w:val="46"/>
                <w:rFonts w:ascii="宋体" w:hAnsi="宋体" w:eastAsia="宋体"/>
                <w:i w:val="0"/>
                <w:color w:val="000000"/>
                <w:kern w:val="2"/>
                <w:sz w:val="21"/>
                <w:szCs w:val="21"/>
                <w:lang w:val="en-US" w:eastAsia="zh-CN" w:bidi="ar-SA"/>
              </w:rPr>
              <w:t>。</w:t>
            </w:r>
            <w:r>
              <w:rPr>
                <w:rStyle w:val="46"/>
                <w:rFonts w:ascii="宋体" w:hAnsi="宋体" w:eastAsia="宋体"/>
                <w:b w:val="0"/>
                <w:bCs w:val="0"/>
                <w:i w:val="0"/>
                <w:iCs w:val="0"/>
                <w:color w:val="000000"/>
                <w:kern w:val="2"/>
                <w:sz w:val="21"/>
                <w:szCs w:val="21"/>
                <w:lang w:val="en-US" w:eastAsia="zh-CN" w:bidi="ar-SA"/>
              </w:rPr>
              <w:t>活性印花自带救灾标志，救灾标志在印花时同时印染一次成型，每面≥6个（不接受丝网印刷或数码打印）。</w:t>
            </w:r>
            <w:r>
              <w:rPr>
                <w:rStyle w:val="46"/>
                <w:rFonts w:ascii="宋体" w:hAnsi="宋体" w:eastAsia="宋体"/>
                <w:i w:val="0"/>
                <w:color w:val="000000"/>
                <w:kern w:val="2"/>
                <w:sz w:val="21"/>
                <w:szCs w:val="21"/>
                <w:lang w:val="en-US" w:eastAsia="zh-CN" w:bidi="ar-SA"/>
              </w:rPr>
              <w:t>产品质量符合GB18401-2010《国家纺织品基本安全技术规范》B类产品要求、质量符合</w:t>
            </w:r>
            <w:r>
              <w:rPr>
                <w:rStyle w:val="46"/>
                <w:rFonts w:ascii="宋体" w:hAnsi="宋体" w:eastAsia="宋体"/>
                <w:i w:val="0"/>
                <w:color w:val="1F497D" w:themeColor="text2"/>
                <w:kern w:val="2"/>
                <w:sz w:val="21"/>
                <w:szCs w:val="21"/>
                <w:lang w:val="en-US" w:eastAsia="zh-CN" w:bidi="ar-SA"/>
                <w14:textFill>
                  <w14:solidFill>
                    <w14:schemeClr w14:val="tx2"/>
                  </w14:solidFill>
                </w14:textFill>
              </w:rPr>
              <w:t>GB/T22796-2009</w:t>
            </w:r>
            <w:r>
              <w:rPr>
                <w:rStyle w:val="46"/>
                <w:rFonts w:hint="eastAsia" w:ascii="宋体" w:hAnsi="宋体"/>
                <w:i w:val="0"/>
                <w:color w:val="1F497D" w:themeColor="text2"/>
                <w:kern w:val="2"/>
                <w:sz w:val="21"/>
                <w:szCs w:val="21"/>
                <w:lang w:val="en-US" w:eastAsia="zh-CN" w:bidi="ar-SA"/>
                <w14:textFill>
                  <w14:solidFill>
                    <w14:schemeClr w14:val="tx2"/>
                  </w14:solidFill>
                </w14:textFill>
              </w:rPr>
              <w:t>《被、被套》</w:t>
            </w:r>
            <w:r>
              <w:rPr>
                <w:rStyle w:val="46"/>
                <w:rFonts w:ascii="宋体" w:hAnsi="宋体" w:eastAsia="宋体"/>
                <w:i w:val="0"/>
                <w:color w:val="000000"/>
                <w:kern w:val="2"/>
                <w:sz w:val="21"/>
                <w:szCs w:val="21"/>
                <w:lang w:val="en-US" w:eastAsia="zh-CN" w:bidi="ar-SA"/>
              </w:rPr>
              <w:t>一等品标准要求。</w:t>
            </w:r>
          </w:p>
          <w:p>
            <w:pPr>
              <w:pStyle w:val="59"/>
              <w:keepNext w:val="0"/>
              <w:keepLines w:val="0"/>
              <w:pageBreakBefore w:val="0"/>
              <w:numPr>
                <w:ilvl w:val="0"/>
                <w:numId w:val="0"/>
              </w:numPr>
              <w:kinsoku/>
              <w:wordWrap/>
              <w:overflowPunct/>
              <w:topLinePunct w:val="0"/>
              <w:autoSpaceDE/>
              <w:autoSpaceDN/>
              <w:bidi w:val="0"/>
              <w:snapToGrid/>
              <w:spacing w:line="360" w:lineRule="exact"/>
              <w:textAlignment w:val="auto"/>
              <w:rPr>
                <w:rStyle w:val="46"/>
                <w:rFonts w:ascii="宋体" w:hAnsi="宋体" w:eastAsia="宋体"/>
                <w:b w:val="0"/>
                <w:bCs w:val="0"/>
                <w:kern w:val="2"/>
                <w:sz w:val="21"/>
                <w:szCs w:val="21"/>
                <w:lang w:val="en-US" w:eastAsia="zh-CN" w:bidi="ar-SA"/>
              </w:rPr>
            </w:pPr>
            <w:r>
              <w:rPr>
                <w:rStyle w:val="46"/>
                <w:rFonts w:ascii="宋体" w:hAnsi="宋体" w:eastAsia="宋体"/>
                <w:b w:val="0"/>
                <w:bCs w:val="0"/>
                <w:kern w:val="2"/>
                <w:sz w:val="21"/>
                <w:szCs w:val="21"/>
                <w:lang w:val="en-US" w:eastAsia="zh-CN" w:bidi="ar-SA"/>
              </w:rPr>
              <w:t>3、</w:t>
            </w:r>
            <w:r>
              <w:rPr>
                <w:rStyle w:val="46"/>
                <w:rFonts w:ascii="宋体" w:hAnsi="宋体" w:eastAsia="宋体"/>
                <w:kern w:val="2"/>
                <w:sz w:val="21"/>
                <w:szCs w:val="21"/>
                <w:lang w:val="en-US" w:eastAsia="zh-CN" w:bidi="ar-SA"/>
              </w:rPr>
              <w:t>重量</w:t>
            </w:r>
            <w:r>
              <w:rPr>
                <w:rStyle w:val="46"/>
                <w:rFonts w:hint="eastAsia" w:ascii="宋体" w:hAnsi="宋体"/>
                <w:kern w:val="2"/>
                <w:sz w:val="21"/>
                <w:szCs w:val="21"/>
                <w:lang w:val="en-US" w:eastAsia="zh-CN" w:bidi="ar-SA"/>
              </w:rPr>
              <w:t>:</w:t>
            </w:r>
            <w:r>
              <w:rPr>
                <w:rStyle w:val="46"/>
                <w:rFonts w:ascii="宋体" w:hAnsi="宋体" w:eastAsia="宋体"/>
                <w:b w:val="0"/>
                <w:bCs w:val="0"/>
                <w:i w:val="0"/>
                <w:iCs w:val="0"/>
                <w:color w:val="000000"/>
                <w:kern w:val="2"/>
                <w:sz w:val="21"/>
                <w:szCs w:val="21"/>
                <w:lang w:val="en-US" w:eastAsia="zh-CN" w:bidi="ar-SA"/>
              </w:rPr>
              <w:t>≥</w:t>
            </w:r>
            <w:r>
              <w:rPr>
                <w:rStyle w:val="46"/>
                <w:rFonts w:hint="eastAsia" w:ascii="宋体" w:hAnsi="宋体"/>
                <w:kern w:val="2"/>
                <w:sz w:val="21"/>
                <w:szCs w:val="21"/>
                <w:lang w:val="en-US" w:eastAsia="zh-CN" w:bidi="ar-SA"/>
              </w:rPr>
              <w:t>7</w:t>
            </w:r>
            <w:r>
              <w:rPr>
                <w:rStyle w:val="46"/>
                <w:rFonts w:ascii="宋体" w:hAnsi="宋体" w:eastAsia="宋体"/>
                <w:kern w:val="2"/>
                <w:sz w:val="21"/>
                <w:szCs w:val="21"/>
                <w:lang w:val="en-US" w:eastAsia="zh-CN" w:bidi="ar-SA"/>
              </w:rPr>
              <w:t>斤</w:t>
            </w:r>
          </w:p>
          <w:p>
            <w:pPr>
              <w:pStyle w:val="59"/>
              <w:keepNext w:val="0"/>
              <w:keepLines w:val="0"/>
              <w:pageBreakBefore w:val="0"/>
              <w:numPr>
                <w:ilvl w:val="0"/>
                <w:numId w:val="0"/>
              </w:numPr>
              <w:kinsoku/>
              <w:wordWrap/>
              <w:overflowPunct/>
              <w:topLinePunct w:val="0"/>
              <w:autoSpaceDE/>
              <w:autoSpaceDN/>
              <w:bidi w:val="0"/>
              <w:snapToGrid/>
              <w:spacing w:line="360" w:lineRule="exact"/>
              <w:ind w:left="0" w:leftChars="0" w:firstLineChars="0"/>
              <w:jc w:val="both"/>
              <w:textAlignment w:val="auto"/>
              <w:rPr>
                <w:rStyle w:val="46"/>
                <w:rFonts w:ascii="宋体" w:hAnsi="宋体" w:eastAsia="宋体"/>
                <w:i w:val="0"/>
                <w:color w:val="000000"/>
                <w:kern w:val="2"/>
                <w:sz w:val="21"/>
                <w:szCs w:val="21"/>
                <w:lang w:val="en-US" w:eastAsia="zh-CN" w:bidi="ar-SA"/>
              </w:rPr>
            </w:pPr>
            <w:r>
              <w:rPr>
                <w:rStyle w:val="46"/>
                <w:rFonts w:hint="eastAsia" w:ascii="宋体" w:hAnsi="宋体"/>
                <w:b w:val="0"/>
                <w:bCs w:val="0"/>
                <w:kern w:val="2"/>
                <w:sz w:val="21"/>
                <w:szCs w:val="21"/>
                <w:lang w:val="en-US" w:eastAsia="zh-CN" w:bidi="ar-SA"/>
              </w:rPr>
              <w:t>4、</w:t>
            </w:r>
            <w:r>
              <w:rPr>
                <w:rStyle w:val="46"/>
                <w:rFonts w:ascii="宋体" w:hAnsi="宋体" w:eastAsia="宋体"/>
                <w:b w:val="0"/>
                <w:bCs w:val="0"/>
                <w:kern w:val="2"/>
                <w:sz w:val="21"/>
                <w:szCs w:val="21"/>
                <w:lang w:val="en-US" w:eastAsia="zh-CN" w:bidi="ar-SA"/>
              </w:rPr>
              <w:t>投标产品必须具备质量保证能力的基本要求，以应急管理部救灾和物资保障司编制的《自然灾害应急救助物资生产商参考名录》为准。</w:t>
            </w: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ordWrap/>
              <w:topLinePunct w:val="0"/>
              <w:bidi w:val="0"/>
              <w:snapToGrid/>
              <w:spacing w:line="360" w:lineRule="exact"/>
              <w:ind w:firstLine="210" w:firstLineChars="100"/>
              <w:jc w:val="both"/>
              <w:textAlignment w:val="baseline"/>
              <w:rPr>
                <w:rStyle w:val="46"/>
                <w:rFonts w:ascii="宋体" w:hAnsi="宋体" w:eastAsia="宋体"/>
                <w:i w:val="0"/>
                <w:color w:val="000000"/>
                <w:kern w:val="2"/>
                <w:sz w:val="21"/>
                <w:szCs w:val="21"/>
                <w:lang w:val="en-US" w:eastAsia="zh-CN" w:bidi="ar-SA"/>
              </w:rPr>
            </w:pPr>
            <w:r>
              <w:rPr>
                <w:rStyle w:val="46"/>
                <w:rFonts w:ascii="宋体" w:hAnsi="宋体" w:eastAsia="宋体"/>
                <w:i w:val="0"/>
                <w:color w:val="000000"/>
                <w:kern w:val="2"/>
                <w:sz w:val="21"/>
                <w:szCs w:val="21"/>
                <w:lang w:val="en-US" w:eastAsia="zh-CN" w:bidi="ar-SA"/>
              </w:rPr>
              <w:t>条</w:t>
            </w:r>
          </w:p>
        </w:tc>
        <w:tc>
          <w:tcPr>
            <w:tcW w:w="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ordWrap/>
              <w:topLinePunct w:val="0"/>
              <w:bidi w:val="0"/>
              <w:snapToGrid/>
              <w:spacing w:line="360" w:lineRule="exact"/>
              <w:jc w:val="center"/>
              <w:textAlignment w:val="baseline"/>
              <w:rPr>
                <w:rStyle w:val="46"/>
                <w:rFonts w:hint="default" w:ascii="宋体" w:hAnsi="宋体" w:eastAsia="宋体"/>
                <w:i w:val="0"/>
                <w:color w:val="000000"/>
                <w:kern w:val="2"/>
                <w:sz w:val="21"/>
                <w:szCs w:val="21"/>
                <w:lang w:val="en-US" w:eastAsia="zh-CN" w:bidi="ar-SA"/>
              </w:rPr>
            </w:pPr>
            <w:r>
              <w:rPr>
                <w:rStyle w:val="46"/>
                <w:rFonts w:hint="eastAsia" w:ascii="宋体" w:hAnsi="宋体" w:eastAsia="宋体"/>
                <w:i w:val="0"/>
                <w:color w:val="000000"/>
                <w:kern w:val="2"/>
                <w:sz w:val="21"/>
                <w:szCs w:val="21"/>
                <w:lang w:val="en-US" w:eastAsia="zh-CN" w:bidi="ar-SA"/>
              </w:rPr>
              <w:t>10</w:t>
            </w:r>
            <w:r>
              <w:rPr>
                <w:rStyle w:val="46"/>
                <w:rFonts w:hint="eastAsia" w:ascii="宋体" w:hAnsi="宋体"/>
                <w:i w:val="0"/>
                <w:color w:val="000000"/>
                <w:kern w:val="2"/>
                <w:sz w:val="21"/>
                <w:szCs w:val="21"/>
                <w:lang w:val="en-US" w:eastAsia="zh-CN" w:bidi="ar-SA"/>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5" w:hRule="atLeast"/>
          <w:jc w:val="center"/>
        </w:trPr>
        <w:tc>
          <w:tcPr>
            <w:tcW w:w="1305" w:type="dxa"/>
            <w:tcBorders>
              <w:top w:val="single" w:color="000000" w:sz="4" w:space="0"/>
              <w:left w:val="single" w:color="000000" w:sz="4" w:space="0"/>
              <w:bottom w:val="single" w:color="000000" w:sz="4" w:space="0"/>
              <w:right w:val="single" w:color="000000" w:sz="4" w:space="0"/>
            </w:tcBorders>
            <w:vAlign w:val="center"/>
          </w:tcPr>
          <w:p>
            <w:pPr>
              <w:pStyle w:val="61"/>
              <w:keepNext w:val="0"/>
              <w:keepLines w:val="0"/>
              <w:pageBreakBefore w:val="0"/>
              <w:kinsoku/>
              <w:wordWrap/>
              <w:overflowPunct/>
              <w:topLinePunct w:val="0"/>
              <w:bidi w:val="0"/>
              <w:snapToGrid/>
              <w:spacing w:line="360" w:lineRule="exact"/>
              <w:textAlignment w:val="auto"/>
              <w:rPr>
                <w:rStyle w:val="46"/>
                <w:rFonts w:ascii="宋体" w:hAnsi="宋体" w:eastAsia="宋体"/>
                <w:b w:val="0"/>
                <w:bCs w:val="0"/>
                <w:color w:val="000000"/>
                <w:kern w:val="0"/>
                <w:sz w:val="21"/>
                <w:szCs w:val="21"/>
                <w:lang w:val="en-US" w:eastAsia="zh-CN" w:bidi="ar-SA"/>
              </w:rPr>
            </w:pPr>
          </w:p>
          <w:p>
            <w:pPr>
              <w:pStyle w:val="61"/>
              <w:keepNext w:val="0"/>
              <w:keepLines w:val="0"/>
              <w:pageBreakBefore w:val="0"/>
              <w:kinsoku/>
              <w:wordWrap/>
              <w:overflowPunct/>
              <w:topLinePunct w:val="0"/>
              <w:bidi w:val="0"/>
              <w:snapToGrid/>
              <w:spacing w:line="360" w:lineRule="exact"/>
              <w:textAlignment w:val="auto"/>
              <w:rPr>
                <w:rStyle w:val="46"/>
                <w:rFonts w:ascii="宋体" w:hAnsi="宋体" w:eastAsia="宋体"/>
                <w:b w:val="0"/>
                <w:bCs w:val="0"/>
                <w:color w:val="000000"/>
                <w:kern w:val="0"/>
                <w:sz w:val="21"/>
                <w:szCs w:val="21"/>
                <w:lang w:val="en-US" w:eastAsia="zh-CN" w:bidi="ar-SA"/>
              </w:rPr>
            </w:pPr>
          </w:p>
          <w:p>
            <w:pPr>
              <w:pStyle w:val="61"/>
              <w:keepNext w:val="0"/>
              <w:keepLines w:val="0"/>
              <w:pageBreakBefore w:val="0"/>
              <w:kinsoku/>
              <w:wordWrap/>
              <w:overflowPunct/>
              <w:topLinePunct w:val="0"/>
              <w:bidi w:val="0"/>
              <w:snapToGrid/>
              <w:spacing w:line="360" w:lineRule="exact"/>
              <w:jc w:val="center"/>
              <w:textAlignment w:val="auto"/>
              <w:rPr>
                <w:rStyle w:val="46"/>
                <w:rFonts w:ascii="宋体" w:hAnsi="宋体" w:eastAsia="宋体"/>
                <w:b w:val="0"/>
                <w:bCs w:val="0"/>
                <w:color w:val="000000"/>
                <w:kern w:val="0"/>
                <w:sz w:val="21"/>
                <w:szCs w:val="21"/>
                <w:lang w:val="en-US" w:eastAsia="zh-CN" w:bidi="ar-SA"/>
              </w:rPr>
            </w:pPr>
            <w:r>
              <w:rPr>
                <w:rStyle w:val="46"/>
                <w:rFonts w:ascii="宋体" w:hAnsi="宋体" w:eastAsia="宋体"/>
                <w:b w:val="0"/>
                <w:bCs w:val="0"/>
                <w:color w:val="000000"/>
                <w:kern w:val="0"/>
                <w:sz w:val="21"/>
                <w:szCs w:val="21"/>
                <w:lang w:val="en-US" w:eastAsia="zh-CN" w:bidi="ar-SA"/>
              </w:rPr>
              <w:t>多功能</w:t>
            </w:r>
          </w:p>
          <w:p>
            <w:pPr>
              <w:pStyle w:val="61"/>
              <w:keepNext w:val="0"/>
              <w:keepLines w:val="0"/>
              <w:pageBreakBefore w:val="0"/>
              <w:kinsoku/>
              <w:wordWrap/>
              <w:overflowPunct/>
              <w:topLinePunct w:val="0"/>
              <w:bidi w:val="0"/>
              <w:snapToGrid/>
              <w:spacing w:line="360" w:lineRule="exact"/>
              <w:jc w:val="center"/>
              <w:textAlignment w:val="auto"/>
              <w:rPr>
                <w:rStyle w:val="46"/>
                <w:rFonts w:ascii="宋体" w:hAnsi="宋体" w:eastAsia="宋体"/>
                <w:b w:val="0"/>
                <w:bCs w:val="0"/>
                <w:color w:val="000000"/>
                <w:kern w:val="0"/>
                <w:sz w:val="21"/>
                <w:szCs w:val="21"/>
                <w:lang w:val="en-US" w:eastAsia="zh-CN" w:bidi="ar-SA"/>
              </w:rPr>
            </w:pPr>
            <w:r>
              <w:rPr>
                <w:rStyle w:val="46"/>
                <w:rFonts w:ascii="宋体" w:hAnsi="宋体" w:eastAsia="宋体"/>
                <w:b w:val="0"/>
                <w:bCs w:val="0"/>
                <w:color w:val="000000"/>
                <w:kern w:val="0"/>
                <w:sz w:val="21"/>
                <w:szCs w:val="21"/>
                <w:lang w:val="en-US" w:eastAsia="zh-CN" w:bidi="ar-SA"/>
              </w:rPr>
              <w:t>防寒服</w:t>
            </w:r>
          </w:p>
          <w:p>
            <w:pPr>
              <w:keepNext w:val="0"/>
              <w:keepLines w:val="0"/>
              <w:pageBreakBefore w:val="0"/>
              <w:wordWrap/>
              <w:topLinePunct w:val="0"/>
              <w:bidi w:val="0"/>
              <w:snapToGrid/>
              <w:spacing w:line="360" w:lineRule="exact"/>
              <w:jc w:val="center"/>
              <w:textAlignment w:val="baseline"/>
              <w:rPr>
                <w:rStyle w:val="46"/>
                <w:rFonts w:ascii="宋体" w:hAnsi="宋体" w:eastAsia="宋体"/>
                <w:i w:val="0"/>
                <w:color w:val="000000"/>
                <w:kern w:val="2"/>
                <w:sz w:val="21"/>
                <w:szCs w:val="21"/>
                <w:lang w:val="en-US" w:eastAsia="zh-CN" w:bidi="ar-SA"/>
              </w:rPr>
            </w:pPr>
          </w:p>
        </w:tc>
        <w:tc>
          <w:tcPr>
            <w:tcW w:w="6896" w:type="dxa"/>
            <w:tcBorders>
              <w:top w:val="single" w:color="000000" w:sz="4" w:space="0"/>
              <w:left w:val="single" w:color="000000" w:sz="4" w:space="0"/>
              <w:bottom w:val="single" w:color="000000" w:sz="4" w:space="0"/>
              <w:right w:val="single" w:color="000000" w:sz="4" w:space="0"/>
            </w:tcBorders>
            <w:vAlign w:val="center"/>
          </w:tcPr>
          <w:p>
            <w:pPr>
              <w:bidi w:val="0"/>
              <w:rPr>
                <w:rStyle w:val="46"/>
                <w:rFonts w:ascii="宋体" w:hAnsi="宋体" w:eastAsia="宋体"/>
                <w:b w:val="0"/>
                <w:bCs w:val="0"/>
                <w:color w:val="000000"/>
                <w:kern w:val="2"/>
                <w:sz w:val="21"/>
                <w:szCs w:val="21"/>
                <w:lang w:val="en-US" w:eastAsia="zh-CN" w:bidi="ar-SA"/>
              </w:rPr>
            </w:pPr>
          </w:p>
          <w:p>
            <w:pPr>
              <w:keepNext w:val="0"/>
              <w:keepLines w:val="0"/>
              <w:pageBreakBefore w:val="0"/>
              <w:kinsoku/>
              <w:wordWrap/>
              <w:overflowPunct/>
              <w:topLinePunct w:val="0"/>
              <w:bidi w:val="0"/>
              <w:snapToGrid/>
              <w:spacing w:line="360" w:lineRule="exact"/>
              <w:jc w:val="both"/>
              <w:textAlignment w:val="auto"/>
              <w:rPr>
                <w:rStyle w:val="46"/>
                <w:rFonts w:ascii="宋体" w:hAnsi="宋体" w:eastAsia="宋体"/>
                <w:b w:val="0"/>
                <w:bCs w:val="0"/>
                <w:color w:val="000000"/>
                <w:kern w:val="2"/>
                <w:sz w:val="21"/>
                <w:szCs w:val="21"/>
                <w:lang w:val="en-US" w:eastAsia="zh-CN" w:bidi="ar-SA"/>
              </w:rPr>
            </w:pPr>
            <w:r>
              <w:rPr>
                <w:rStyle w:val="46"/>
                <w:rFonts w:ascii="宋体" w:hAnsi="宋体" w:eastAsia="宋体"/>
                <w:b w:val="0"/>
                <w:bCs w:val="0"/>
                <w:color w:val="000000"/>
                <w:kern w:val="2"/>
                <w:sz w:val="21"/>
                <w:szCs w:val="21"/>
                <w:lang w:val="en-US" w:eastAsia="zh-CN" w:bidi="ar-SA"/>
              </w:rPr>
              <w:t>1、防水面料：防水复合PU涂层  内胆丝绵</w:t>
            </w:r>
          </w:p>
          <w:p>
            <w:pPr>
              <w:keepNext w:val="0"/>
              <w:keepLines w:val="0"/>
              <w:pageBreakBefore w:val="0"/>
              <w:kinsoku/>
              <w:wordWrap/>
              <w:overflowPunct/>
              <w:topLinePunct w:val="0"/>
              <w:bidi w:val="0"/>
              <w:snapToGrid/>
              <w:spacing w:line="360" w:lineRule="exact"/>
              <w:jc w:val="both"/>
              <w:textAlignment w:val="auto"/>
              <w:rPr>
                <w:rStyle w:val="46"/>
                <w:rFonts w:ascii="宋体" w:hAnsi="宋体" w:eastAsia="宋体"/>
                <w:b w:val="0"/>
                <w:bCs w:val="0"/>
                <w:color w:val="000000"/>
                <w:kern w:val="2"/>
                <w:sz w:val="21"/>
                <w:szCs w:val="21"/>
                <w:lang w:val="en-US" w:eastAsia="zh-CN" w:bidi="ar-SA"/>
              </w:rPr>
            </w:pPr>
            <w:r>
              <w:rPr>
                <w:rStyle w:val="46"/>
                <w:rFonts w:ascii="宋体" w:hAnsi="宋体" w:eastAsia="宋体"/>
                <w:b w:val="0"/>
                <w:bCs w:val="0"/>
                <w:color w:val="000000"/>
                <w:kern w:val="2"/>
                <w:sz w:val="21"/>
                <w:szCs w:val="21"/>
                <w:lang w:val="en-US" w:eastAsia="zh-CN" w:bidi="ar-SA"/>
              </w:rPr>
              <w:t>2、里料：外装上衣里、里袋牙、里袋布，领口贴边里，领、袖口扣袢；上衣内胆面、里，胆贴袋布为涤沦平纹绸。</w:t>
            </w:r>
          </w:p>
          <w:p>
            <w:pPr>
              <w:keepNext w:val="0"/>
              <w:keepLines w:val="0"/>
              <w:pageBreakBefore w:val="0"/>
              <w:kinsoku/>
              <w:wordWrap/>
              <w:overflowPunct/>
              <w:topLinePunct w:val="0"/>
              <w:bidi w:val="0"/>
              <w:snapToGrid/>
              <w:spacing w:line="360" w:lineRule="exact"/>
              <w:jc w:val="both"/>
              <w:textAlignment w:val="auto"/>
              <w:rPr>
                <w:rStyle w:val="46"/>
                <w:rFonts w:ascii="宋体" w:hAnsi="宋体" w:eastAsia="宋体"/>
                <w:b w:val="0"/>
                <w:bCs w:val="0"/>
                <w:color w:val="000000"/>
                <w:kern w:val="2"/>
                <w:sz w:val="21"/>
                <w:szCs w:val="21"/>
                <w:lang w:val="en-US" w:eastAsia="zh-CN" w:bidi="ar-SA"/>
              </w:rPr>
            </w:pPr>
            <w:r>
              <w:rPr>
                <w:rStyle w:val="46"/>
                <w:rFonts w:ascii="宋体" w:hAnsi="宋体" w:eastAsia="宋体"/>
                <w:b w:val="0"/>
                <w:bCs w:val="0"/>
                <w:color w:val="000000"/>
                <w:kern w:val="2"/>
                <w:sz w:val="21"/>
                <w:szCs w:val="21"/>
                <w:lang w:val="en-US" w:eastAsia="zh-CN" w:bidi="ar-SA"/>
              </w:rPr>
              <w:t>3、金属四件按扣：15mm 外装上衣门襟、袖口、肩袢扣不饱和聚酯四眼扣：15mm 胆门襟、绒领，面身袖与胆结合扣双开尾注塑拉链：5号 外装上衣前门、帽子与大身结合，活里活面，易于拆洗。质量：符合国家有关标准</w:t>
            </w:r>
          </w:p>
          <w:p>
            <w:pPr>
              <w:keepNext w:val="0"/>
              <w:keepLines w:val="0"/>
              <w:pageBreakBefore w:val="0"/>
              <w:kinsoku/>
              <w:wordWrap/>
              <w:overflowPunct/>
              <w:topLinePunct w:val="0"/>
              <w:bidi w:val="0"/>
              <w:snapToGrid/>
              <w:spacing w:line="360" w:lineRule="exact"/>
              <w:jc w:val="both"/>
              <w:textAlignment w:val="auto"/>
              <w:rPr>
                <w:rStyle w:val="46"/>
                <w:rFonts w:ascii="宋体" w:hAnsi="宋体" w:eastAsia="宋体"/>
                <w:b w:val="0"/>
                <w:bCs w:val="0"/>
                <w:color w:val="000000"/>
                <w:kern w:val="2"/>
                <w:sz w:val="21"/>
                <w:szCs w:val="21"/>
                <w:lang w:val="en-US" w:eastAsia="zh-CN" w:bidi="ar-SA"/>
              </w:rPr>
            </w:pPr>
            <w:r>
              <w:rPr>
                <w:rStyle w:val="46"/>
                <w:rFonts w:ascii="宋体" w:hAnsi="宋体" w:eastAsia="宋体"/>
                <w:b w:val="0"/>
                <w:bCs w:val="0"/>
                <w:color w:val="000000"/>
                <w:kern w:val="2"/>
                <w:sz w:val="21"/>
                <w:szCs w:val="21"/>
                <w:lang w:val="en-US" w:eastAsia="zh-CN" w:bidi="ar-SA"/>
              </w:rPr>
              <w:t>4、规格：165#-190#（型号配比按采购人指定）</w:t>
            </w:r>
          </w:p>
          <w:p>
            <w:pPr>
              <w:pStyle w:val="59"/>
              <w:keepNext w:val="0"/>
              <w:keepLines w:val="0"/>
              <w:pageBreakBefore w:val="0"/>
              <w:widowControl/>
              <w:wordWrap/>
              <w:topLinePunct w:val="0"/>
              <w:bidi w:val="0"/>
              <w:snapToGrid/>
              <w:spacing w:line="360" w:lineRule="exact"/>
              <w:ind w:left="0" w:leftChars="0" w:firstLineChars="0"/>
              <w:textAlignment w:val="baseline"/>
              <w:rPr>
                <w:rStyle w:val="46"/>
                <w:rFonts w:ascii="宋体" w:hAnsi="宋体" w:eastAsia="宋体"/>
                <w:i w:val="0"/>
                <w:color w:val="000000"/>
                <w:kern w:val="2"/>
                <w:sz w:val="21"/>
                <w:szCs w:val="21"/>
                <w:lang w:val="en-US" w:eastAsia="zh-CN" w:bidi="ar-SA"/>
              </w:rPr>
            </w:pP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ordWrap/>
              <w:topLinePunct w:val="0"/>
              <w:bidi w:val="0"/>
              <w:snapToGrid/>
              <w:spacing w:line="360" w:lineRule="exact"/>
              <w:ind w:firstLine="210" w:firstLineChars="100"/>
              <w:jc w:val="both"/>
              <w:textAlignment w:val="baseline"/>
              <w:rPr>
                <w:rStyle w:val="46"/>
                <w:rFonts w:ascii="宋体" w:hAnsi="宋体" w:eastAsia="宋体"/>
                <w:i w:val="0"/>
                <w:color w:val="000000"/>
                <w:kern w:val="2"/>
                <w:sz w:val="21"/>
                <w:szCs w:val="21"/>
                <w:lang w:val="en-US" w:eastAsia="zh-CN" w:bidi="ar-SA"/>
              </w:rPr>
            </w:pPr>
            <w:r>
              <w:rPr>
                <w:rStyle w:val="46"/>
                <w:rFonts w:ascii="宋体" w:hAnsi="宋体" w:eastAsia="宋体"/>
                <w:i w:val="0"/>
                <w:color w:val="000000"/>
                <w:kern w:val="2"/>
                <w:sz w:val="21"/>
                <w:szCs w:val="21"/>
                <w:lang w:val="en-US" w:eastAsia="zh-CN" w:bidi="ar-SA"/>
              </w:rPr>
              <w:t>件</w:t>
            </w:r>
          </w:p>
        </w:tc>
        <w:tc>
          <w:tcPr>
            <w:tcW w:w="7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ordWrap/>
              <w:topLinePunct w:val="0"/>
              <w:bidi w:val="0"/>
              <w:snapToGrid/>
              <w:spacing w:line="360" w:lineRule="exact"/>
              <w:jc w:val="center"/>
              <w:textAlignment w:val="baseline"/>
              <w:rPr>
                <w:rStyle w:val="46"/>
                <w:rFonts w:hint="default" w:ascii="宋体" w:hAnsi="宋体" w:eastAsia="宋体"/>
                <w:i w:val="0"/>
                <w:color w:val="000000"/>
                <w:kern w:val="2"/>
                <w:sz w:val="21"/>
                <w:szCs w:val="21"/>
                <w:lang w:val="en-US" w:eastAsia="zh-CN" w:bidi="ar-SA"/>
              </w:rPr>
            </w:pPr>
            <w:r>
              <w:rPr>
                <w:rStyle w:val="46"/>
                <w:rFonts w:hint="eastAsia" w:ascii="宋体" w:hAnsi="宋体" w:eastAsia="宋体"/>
                <w:i w:val="0"/>
                <w:color w:val="000000"/>
                <w:kern w:val="2"/>
                <w:sz w:val="21"/>
                <w:szCs w:val="21"/>
                <w:lang w:val="en-US" w:eastAsia="zh-CN" w:bidi="ar-SA"/>
              </w:rPr>
              <w:t>3000</w:t>
            </w:r>
          </w:p>
        </w:tc>
      </w:tr>
    </w:tbl>
    <w:p>
      <w:pPr>
        <w:bidi w:val="0"/>
        <w:rPr>
          <w:rFonts w:hint="eastAsia"/>
        </w:rPr>
      </w:pPr>
    </w:p>
    <w:bookmarkEnd w:id="145"/>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360" w:lineRule="auto"/>
        <w:textAlignment w:val="auto"/>
        <w:rPr>
          <w:rFonts w:hint="eastAsia" w:ascii="宋体" w:hAnsi="宋体"/>
          <w:b/>
          <w:color w:val="000000"/>
          <w:sz w:val="24"/>
        </w:rPr>
      </w:pPr>
      <w:bookmarkStart w:id="146" w:name="_Toc32571_WPSOffice_Level1"/>
      <w:r>
        <w:rPr>
          <w:rFonts w:hint="eastAsia" w:ascii="宋体" w:hAnsi="宋体"/>
          <w:b/>
          <w:color w:val="000000"/>
          <w:sz w:val="24"/>
          <w:lang w:eastAsia="zh-CN"/>
        </w:rPr>
        <w:t>备注：</w:t>
      </w:r>
    </w:p>
    <w:p>
      <w:pPr>
        <w:pStyle w:val="42"/>
        <w:widowControl/>
        <w:spacing w:line="400" w:lineRule="exact"/>
        <w:ind w:firstLine="480" w:firstLineChars="200"/>
        <w:textAlignment w:val="baseline"/>
        <w:rPr>
          <w:rStyle w:val="46"/>
          <w:rFonts w:ascii="Times New Roman" w:hAnsi="Times New Roman" w:eastAsia="宋体" w:cs="Times New Roman"/>
          <w:b/>
          <w:bCs/>
          <w:kern w:val="2"/>
          <w:sz w:val="24"/>
          <w:szCs w:val="24"/>
          <w:highlight w:val="none"/>
          <w:lang w:val="en-US" w:eastAsia="zh-CN" w:bidi="ar-SA"/>
        </w:rPr>
      </w:pPr>
      <w:r>
        <w:rPr>
          <w:rFonts w:hint="eastAsia" w:ascii="宋体" w:hAnsi="宋体" w:eastAsia="宋体" w:cs="Times New Roman"/>
          <w:b w:val="0"/>
          <w:color w:val="000000"/>
          <w:sz w:val="24"/>
          <w:szCs w:val="22"/>
          <w:highlight w:val="none"/>
          <w:lang w:val="en-US" w:eastAsia="zh-CN" w:bidi="ar-SA"/>
        </w:rPr>
        <w:t>（</w:t>
      </w:r>
      <w:r>
        <w:rPr>
          <w:rFonts w:hint="eastAsia" w:ascii="宋体" w:hAnsi="宋体" w:cs="Times New Roman"/>
          <w:b w:val="0"/>
          <w:color w:val="000000"/>
          <w:sz w:val="24"/>
          <w:szCs w:val="22"/>
          <w:highlight w:val="none"/>
          <w:lang w:val="en-US" w:eastAsia="zh-CN" w:bidi="ar-SA"/>
        </w:rPr>
        <w:t>1</w:t>
      </w:r>
      <w:r>
        <w:rPr>
          <w:rFonts w:hint="eastAsia" w:ascii="宋体" w:hAnsi="宋体" w:eastAsia="宋体" w:cs="Times New Roman"/>
          <w:b w:val="0"/>
          <w:color w:val="000000"/>
          <w:sz w:val="24"/>
          <w:szCs w:val="22"/>
          <w:highlight w:val="none"/>
          <w:lang w:val="en-US" w:eastAsia="zh-CN" w:bidi="ar-SA"/>
        </w:rPr>
        <w:t>）</w:t>
      </w:r>
      <w:r>
        <w:rPr>
          <w:rStyle w:val="46"/>
          <w:rFonts w:ascii="Times New Roman" w:hAnsi="Times New Roman" w:eastAsia="宋体" w:cs="Times New Roman"/>
          <w:b/>
          <w:bCs/>
          <w:kern w:val="2"/>
          <w:sz w:val="24"/>
          <w:szCs w:val="24"/>
          <w:highlight w:val="none"/>
          <w:lang w:val="en-US" w:eastAsia="zh-CN" w:bidi="ar-SA"/>
        </w:rPr>
        <w:t>开标时提供符合技术参数要求的样品。</w:t>
      </w:r>
    </w:p>
    <w:p>
      <w:pPr>
        <w:spacing w:beforeLines="0" w:afterLines="0" w:line="360" w:lineRule="auto"/>
        <w:ind w:firstLine="480" w:firstLineChars="200"/>
        <w:rPr>
          <w:rFonts w:hint="eastAsia" w:ascii="宋体" w:hAnsi="宋体" w:eastAsia="宋体" w:cs="Times New Roman"/>
          <w:b w:val="0"/>
          <w:color w:val="000000"/>
          <w:sz w:val="24"/>
          <w:szCs w:val="22"/>
          <w:lang w:val="en-US" w:eastAsia="zh-CN" w:bidi="ar-SA"/>
        </w:rPr>
      </w:pPr>
      <w:r>
        <w:rPr>
          <w:rFonts w:hint="eastAsia" w:ascii="宋体" w:hAnsi="宋体" w:cs="Times New Roman"/>
          <w:b w:val="0"/>
          <w:color w:val="000000"/>
          <w:sz w:val="24"/>
          <w:szCs w:val="22"/>
          <w:lang w:val="en-US" w:eastAsia="zh-CN" w:bidi="ar-SA"/>
        </w:rPr>
        <w:t>（2）</w:t>
      </w:r>
      <w:r>
        <w:rPr>
          <w:rFonts w:hint="eastAsia" w:ascii="宋体" w:hAnsi="宋体" w:eastAsia="宋体" w:cs="Times New Roman"/>
          <w:b w:val="0"/>
          <w:color w:val="000000"/>
          <w:sz w:val="24"/>
          <w:szCs w:val="22"/>
          <w:lang w:val="en-US" w:eastAsia="zh-CN" w:bidi="ar-SA"/>
        </w:rPr>
        <w:t>某项技术指标和要求如需更详细的表述，可单项另作文字说明。</w:t>
      </w:r>
    </w:p>
    <w:p>
      <w:pPr>
        <w:spacing w:beforeLines="0" w:afterLines="0" w:line="360" w:lineRule="auto"/>
        <w:ind w:firstLine="480" w:firstLineChars="200"/>
        <w:rPr>
          <w:rFonts w:hint="eastAsia" w:ascii="宋体" w:hAnsi="宋体"/>
          <w:color w:val="000000"/>
          <w:sz w:val="24"/>
        </w:rPr>
      </w:pPr>
      <w:r>
        <w:rPr>
          <w:rFonts w:hint="eastAsia" w:ascii="宋体" w:hAnsi="宋体" w:eastAsia="宋体" w:cs="Times New Roman"/>
          <w:b w:val="0"/>
          <w:color w:val="000000"/>
          <w:sz w:val="24"/>
          <w:szCs w:val="22"/>
          <w:lang w:val="en-US" w:eastAsia="zh-CN" w:bidi="ar-SA"/>
        </w:rPr>
        <w:t>（</w:t>
      </w:r>
      <w:r>
        <w:rPr>
          <w:rFonts w:hint="eastAsia" w:ascii="宋体" w:hAnsi="宋体" w:cs="Times New Roman"/>
          <w:b w:val="0"/>
          <w:color w:val="000000"/>
          <w:sz w:val="24"/>
          <w:szCs w:val="22"/>
          <w:lang w:val="en-US" w:eastAsia="zh-CN" w:bidi="ar-SA"/>
        </w:rPr>
        <w:t>3</w:t>
      </w:r>
      <w:r>
        <w:rPr>
          <w:rFonts w:hint="eastAsia" w:ascii="宋体" w:hAnsi="宋体" w:eastAsia="宋体" w:cs="Times New Roman"/>
          <w:b w:val="0"/>
          <w:color w:val="000000"/>
          <w:sz w:val="24"/>
          <w:szCs w:val="22"/>
          <w:lang w:val="en-US" w:eastAsia="zh-CN" w:bidi="ar-SA"/>
        </w:rPr>
        <w:t>）采购文件中技术要求</w:t>
      </w:r>
      <w:r>
        <w:rPr>
          <w:rFonts w:hint="eastAsia" w:ascii="宋体" w:hAnsi="宋体"/>
          <w:color w:val="000000"/>
          <w:sz w:val="24"/>
        </w:rPr>
        <w:t>部分为满足采购人需要的最低要求，如有与某项参数描述相同，并非特指，仅为招标项目质量、档次、水平参照，评标以功能、性能为主。</w:t>
      </w:r>
    </w:p>
    <w:p>
      <w:pPr>
        <w:pStyle w:val="4"/>
        <w:tabs>
          <w:tab w:val="left" w:pos="8640"/>
        </w:tabs>
        <w:kinsoku w:val="0"/>
        <w:overflowPunct w:val="0"/>
        <w:ind w:left="12" w:right="160" w:hanging="12"/>
        <w:jc w:val="center"/>
        <w:rPr>
          <w:rFonts w:hint="default"/>
          <w:b w:val="0"/>
        </w:rPr>
      </w:pPr>
      <w:r>
        <w:rPr>
          <w:spacing w:val="1"/>
        </w:rPr>
        <w:t>第六章</w:t>
      </w:r>
      <w:r>
        <w:rPr>
          <w:rFonts w:hint="eastAsia"/>
          <w:spacing w:val="1"/>
          <w:lang w:val="en-US" w:eastAsia="zh-CN"/>
        </w:rPr>
        <w:t xml:space="preserve"> </w:t>
      </w:r>
      <w:r>
        <w:rPr>
          <w:spacing w:val="1"/>
        </w:rPr>
        <w:t>投标文件格式</w:t>
      </w:r>
      <w:bookmarkEnd w:id="146"/>
    </w:p>
    <w:p>
      <w:pPr>
        <w:pStyle w:val="14"/>
        <w:kinsoku w:val="0"/>
        <w:overflowPunct w:val="0"/>
        <w:ind w:left="0"/>
        <w:rPr>
          <w:rFonts w:hint="default"/>
          <w:b/>
          <w:sz w:val="20"/>
        </w:rPr>
      </w:pPr>
    </w:p>
    <w:p>
      <w:pPr>
        <w:pStyle w:val="14"/>
        <w:kinsoku w:val="0"/>
        <w:overflowPunct w:val="0"/>
        <w:ind w:left="0"/>
        <w:rPr>
          <w:rFonts w:hint="default" w:ascii="Calibri" w:hAnsi="Calibri" w:eastAsia="Calibri"/>
          <w:sz w:val="20"/>
        </w:rPr>
      </w:pPr>
    </w:p>
    <w:p>
      <w:pPr>
        <w:pStyle w:val="14"/>
        <w:kinsoku w:val="0"/>
        <w:overflowPunct w:val="0"/>
        <w:ind w:left="0"/>
        <w:rPr>
          <w:rFonts w:hint="default" w:ascii="Calibri" w:hAnsi="Calibri" w:eastAsia="Calibri"/>
          <w:sz w:val="20"/>
        </w:rPr>
      </w:pPr>
    </w:p>
    <w:p>
      <w:pPr>
        <w:rPr>
          <w:rFonts w:ascii="宋体" w:hAnsi="宋体" w:cs="宋体"/>
          <w:b/>
          <w:color w:val="000000"/>
          <w:sz w:val="36"/>
        </w:rPr>
      </w:pPr>
      <w:bookmarkStart w:id="147" w:name="_Toc2607_WPSOffice_Level2"/>
      <w:bookmarkStart w:id="148" w:name="_Toc30352_WPSOffice_Level2"/>
      <w:r>
        <w:rPr>
          <w:rFonts w:hint="eastAsia" w:ascii="宋体" w:hAnsi="宋体" w:cs="宋体"/>
          <w:b/>
          <w:color w:val="000000"/>
          <w:sz w:val="36"/>
        </w:rPr>
        <w:t>封面：</w:t>
      </w:r>
      <w:bookmarkEnd w:id="147"/>
      <w:bookmarkEnd w:id="148"/>
    </w:p>
    <w:p>
      <w:pPr>
        <w:tabs>
          <w:tab w:val="left" w:pos="360"/>
        </w:tabs>
        <w:jc w:val="center"/>
        <w:rPr>
          <w:rFonts w:ascii="宋体" w:hAnsi="宋体" w:cs="宋体"/>
          <w:b/>
          <w:color w:val="000000"/>
          <w:sz w:val="44"/>
          <w:szCs w:val="44"/>
          <w:u w:val="single"/>
        </w:rPr>
      </w:pPr>
    </w:p>
    <w:p>
      <w:pPr>
        <w:tabs>
          <w:tab w:val="left" w:pos="360"/>
        </w:tabs>
        <w:jc w:val="center"/>
        <w:rPr>
          <w:rFonts w:ascii="宋体" w:hAnsi="宋体" w:cs="宋体"/>
          <w:b/>
          <w:color w:val="000000"/>
          <w:sz w:val="44"/>
          <w:szCs w:val="44"/>
        </w:rPr>
      </w:pPr>
      <w:bookmarkStart w:id="149" w:name="_Toc27151_WPSOffice_Level2"/>
      <w:r>
        <w:rPr>
          <w:rFonts w:hint="eastAsia" w:ascii="宋体" w:hAnsi="宋体" w:cs="宋体"/>
          <w:b/>
          <w:color w:val="000000"/>
          <w:sz w:val="44"/>
          <w:szCs w:val="44"/>
          <w:u w:val="single"/>
          <w:lang w:val="en-US" w:eastAsia="zh-CN"/>
        </w:rPr>
        <w:t xml:space="preserve">                   </w:t>
      </w:r>
      <w:bookmarkStart w:id="150" w:name="_Toc19313_WPSOffice_Level2"/>
      <w:r>
        <w:rPr>
          <w:rFonts w:hint="eastAsia" w:ascii="宋体" w:hAnsi="宋体" w:cs="宋体"/>
          <w:b/>
          <w:color w:val="000000"/>
          <w:sz w:val="44"/>
          <w:szCs w:val="44"/>
        </w:rPr>
        <w:t>项目</w:t>
      </w:r>
      <w:bookmarkEnd w:id="149"/>
      <w:bookmarkEnd w:id="150"/>
    </w:p>
    <w:p>
      <w:pPr>
        <w:tabs>
          <w:tab w:val="left" w:pos="55"/>
        </w:tabs>
        <w:rPr>
          <w:rFonts w:ascii="宋体" w:hAnsi="宋体" w:cs="宋体"/>
          <w:b/>
          <w:color w:val="000000"/>
          <w:w w:val="150"/>
          <w:sz w:val="48"/>
          <w:szCs w:val="48"/>
        </w:rPr>
      </w:pPr>
      <w:r>
        <w:rPr>
          <w:rFonts w:hint="eastAsia" w:ascii="宋体" w:hAnsi="宋体" w:cs="宋体"/>
          <w:b/>
          <w:color w:val="000000"/>
          <w:w w:val="150"/>
          <w:sz w:val="84"/>
        </w:rPr>
        <w:tab/>
      </w:r>
    </w:p>
    <w:p>
      <w:pPr>
        <w:tabs>
          <w:tab w:val="left" w:pos="1950"/>
        </w:tabs>
        <w:rPr>
          <w:rFonts w:ascii="宋体" w:hAnsi="宋体" w:cs="宋体"/>
          <w:b/>
          <w:color w:val="000000"/>
          <w:w w:val="150"/>
          <w:sz w:val="48"/>
          <w:szCs w:val="48"/>
        </w:rPr>
      </w:pPr>
    </w:p>
    <w:p>
      <w:pPr>
        <w:tabs>
          <w:tab w:val="left" w:pos="1950"/>
        </w:tabs>
        <w:rPr>
          <w:rFonts w:ascii="宋体" w:hAnsi="宋体" w:cs="宋体"/>
          <w:b/>
          <w:color w:val="000000"/>
          <w:w w:val="150"/>
          <w:sz w:val="48"/>
          <w:szCs w:val="48"/>
        </w:rPr>
      </w:pPr>
    </w:p>
    <w:p>
      <w:pPr>
        <w:tabs>
          <w:tab w:val="left" w:pos="1950"/>
        </w:tabs>
        <w:rPr>
          <w:rFonts w:ascii="宋体" w:hAnsi="宋体" w:cs="宋体"/>
          <w:b/>
          <w:color w:val="000000"/>
          <w:w w:val="150"/>
          <w:sz w:val="48"/>
          <w:szCs w:val="48"/>
        </w:rPr>
      </w:pPr>
    </w:p>
    <w:p>
      <w:pPr>
        <w:jc w:val="center"/>
        <w:rPr>
          <w:rFonts w:ascii="宋体" w:hAnsi="宋体" w:cs="宋体"/>
          <w:b/>
          <w:color w:val="000000"/>
          <w:sz w:val="72"/>
          <w:szCs w:val="72"/>
        </w:rPr>
      </w:pPr>
      <w:bookmarkStart w:id="151" w:name="_Toc10007_WPSOffice_Level2"/>
      <w:bookmarkStart w:id="152" w:name="_Toc28037_WPSOffice_Level2"/>
      <w:r>
        <w:rPr>
          <w:rFonts w:hint="eastAsia" w:ascii="宋体" w:hAnsi="宋体" w:cs="宋体"/>
          <w:b/>
          <w:color w:val="000000"/>
          <w:sz w:val="72"/>
          <w:szCs w:val="72"/>
        </w:rPr>
        <w:t>投</w:t>
      </w:r>
      <w:r>
        <w:rPr>
          <w:rFonts w:hint="eastAsia" w:ascii="宋体" w:hAnsi="宋体" w:cs="宋体"/>
          <w:b/>
          <w:color w:val="000000"/>
          <w:sz w:val="72"/>
          <w:szCs w:val="72"/>
          <w:lang w:val="en-US" w:eastAsia="zh-CN"/>
        </w:rPr>
        <w:t xml:space="preserve"> </w:t>
      </w:r>
      <w:r>
        <w:rPr>
          <w:rFonts w:hint="eastAsia" w:ascii="宋体" w:hAnsi="宋体" w:cs="宋体"/>
          <w:b/>
          <w:color w:val="000000"/>
          <w:sz w:val="72"/>
          <w:szCs w:val="72"/>
        </w:rPr>
        <w:t>标</w:t>
      </w:r>
      <w:r>
        <w:rPr>
          <w:rFonts w:hint="eastAsia" w:ascii="宋体" w:hAnsi="宋体" w:cs="宋体"/>
          <w:b/>
          <w:color w:val="000000"/>
          <w:sz w:val="72"/>
          <w:szCs w:val="72"/>
          <w:lang w:val="en-US" w:eastAsia="zh-CN"/>
        </w:rPr>
        <w:t xml:space="preserve"> </w:t>
      </w:r>
      <w:r>
        <w:rPr>
          <w:rFonts w:hint="eastAsia" w:ascii="宋体" w:hAnsi="宋体" w:cs="宋体"/>
          <w:b/>
          <w:color w:val="000000"/>
          <w:sz w:val="72"/>
          <w:szCs w:val="72"/>
        </w:rPr>
        <w:t>文</w:t>
      </w:r>
      <w:r>
        <w:rPr>
          <w:rFonts w:hint="eastAsia" w:ascii="宋体" w:hAnsi="宋体" w:cs="宋体"/>
          <w:b/>
          <w:color w:val="000000"/>
          <w:sz w:val="72"/>
          <w:szCs w:val="72"/>
          <w:lang w:val="en-US" w:eastAsia="zh-CN"/>
        </w:rPr>
        <w:t xml:space="preserve"> </w:t>
      </w:r>
      <w:r>
        <w:rPr>
          <w:rFonts w:hint="eastAsia" w:ascii="宋体" w:hAnsi="宋体" w:cs="宋体"/>
          <w:b/>
          <w:color w:val="000000"/>
          <w:sz w:val="72"/>
          <w:szCs w:val="72"/>
        </w:rPr>
        <w:t>件</w:t>
      </w:r>
      <w:bookmarkEnd w:id="151"/>
      <w:bookmarkEnd w:id="152"/>
    </w:p>
    <w:p>
      <w:pPr>
        <w:spacing w:line="360" w:lineRule="auto"/>
        <w:jc w:val="center"/>
        <w:rPr>
          <w:rFonts w:ascii="宋体" w:hAnsi="宋体" w:cs="宋体"/>
          <w:b/>
          <w:bCs/>
          <w:color w:val="000000"/>
          <w:sz w:val="30"/>
          <w:szCs w:val="30"/>
        </w:rPr>
      </w:pPr>
      <w:bookmarkStart w:id="153" w:name="_Toc18962_WPSOffice_Level2"/>
      <w:bookmarkStart w:id="154" w:name="_Toc4218_WPSOffice_Level2"/>
      <w:r>
        <w:rPr>
          <w:rFonts w:hint="eastAsia" w:ascii="宋体" w:hAnsi="宋体" w:cs="宋体"/>
          <w:b/>
          <w:bCs/>
          <w:color w:val="000000"/>
          <w:sz w:val="30"/>
          <w:szCs w:val="30"/>
        </w:rPr>
        <w:t>招标编号：</w:t>
      </w:r>
      <w:bookmarkEnd w:id="153"/>
      <w:bookmarkEnd w:id="154"/>
    </w:p>
    <w:p>
      <w:pPr>
        <w:spacing w:line="360" w:lineRule="auto"/>
        <w:jc w:val="center"/>
        <w:rPr>
          <w:rFonts w:ascii="宋体" w:hAnsi="宋体" w:cs="宋体"/>
          <w:b/>
          <w:bCs/>
          <w:color w:val="000000"/>
          <w:szCs w:val="21"/>
        </w:rPr>
      </w:pPr>
    </w:p>
    <w:p>
      <w:pPr>
        <w:spacing w:line="360" w:lineRule="auto"/>
        <w:jc w:val="center"/>
        <w:rPr>
          <w:rFonts w:ascii="宋体" w:hAnsi="宋体" w:cs="宋体"/>
          <w:b/>
          <w:color w:val="000000"/>
          <w:sz w:val="32"/>
        </w:rPr>
      </w:pPr>
    </w:p>
    <w:p>
      <w:pPr>
        <w:spacing w:line="360" w:lineRule="auto"/>
        <w:jc w:val="center"/>
        <w:rPr>
          <w:rFonts w:ascii="宋体" w:hAnsi="宋体" w:cs="宋体"/>
          <w:b/>
          <w:color w:val="000000"/>
          <w:sz w:val="32"/>
        </w:rPr>
      </w:pPr>
    </w:p>
    <w:p>
      <w:pPr>
        <w:spacing w:line="360" w:lineRule="auto"/>
        <w:jc w:val="center"/>
        <w:rPr>
          <w:rFonts w:ascii="宋体" w:hAnsi="宋体" w:cs="宋体"/>
          <w:b/>
          <w:color w:val="000000"/>
          <w:sz w:val="32"/>
        </w:rPr>
      </w:pPr>
    </w:p>
    <w:p>
      <w:pPr>
        <w:spacing w:line="360" w:lineRule="auto"/>
        <w:jc w:val="center"/>
        <w:rPr>
          <w:rFonts w:ascii="宋体" w:hAnsi="宋体" w:cs="宋体"/>
          <w:b/>
          <w:color w:val="000000"/>
          <w:sz w:val="32"/>
        </w:rPr>
      </w:pPr>
    </w:p>
    <w:p>
      <w:pPr>
        <w:rPr>
          <w:rFonts w:ascii="宋体" w:hAnsi="宋体" w:cs="宋体"/>
          <w:b/>
          <w:color w:val="000000"/>
          <w:sz w:val="32"/>
        </w:rPr>
      </w:pPr>
    </w:p>
    <w:p>
      <w:pPr>
        <w:spacing w:after="134" w:line="460" w:lineRule="exact"/>
        <w:ind w:right="3634" w:firstLine="2319" w:firstLineChars="773"/>
        <w:rPr>
          <w:rFonts w:ascii="宋体" w:hAnsi="宋体" w:cs="宋体"/>
          <w:color w:val="000000"/>
          <w:sz w:val="30"/>
        </w:rPr>
      </w:pPr>
    </w:p>
    <w:p>
      <w:pPr>
        <w:pStyle w:val="42"/>
      </w:pPr>
    </w:p>
    <w:p>
      <w:pPr>
        <w:spacing w:after="134" w:line="460" w:lineRule="exact"/>
        <w:ind w:right="-88" w:firstLine="2319" w:firstLineChars="773"/>
        <w:rPr>
          <w:rFonts w:ascii="宋体" w:hAnsi="宋体" w:cs="宋体"/>
          <w:color w:val="000000"/>
          <w:sz w:val="30"/>
        </w:rPr>
      </w:pPr>
      <w:r>
        <w:rPr>
          <w:rFonts w:hint="eastAsia" w:ascii="宋体" w:hAnsi="宋体" w:cs="宋体"/>
          <w:color w:val="000000"/>
          <w:sz w:val="30"/>
        </w:rPr>
        <w:t xml:space="preserve">投标人（企业电子签章）： </w:t>
      </w:r>
    </w:p>
    <w:p>
      <w:pPr>
        <w:ind w:firstLine="2319" w:firstLineChars="773"/>
        <w:rPr>
          <w:rFonts w:ascii="宋体" w:hAnsi="宋体" w:cs="宋体"/>
          <w:color w:val="000000"/>
          <w:sz w:val="30"/>
        </w:rPr>
      </w:pPr>
      <w:r>
        <w:rPr>
          <w:rFonts w:hint="eastAsia" w:ascii="宋体" w:hAnsi="宋体" w:cs="宋体"/>
          <w:color w:val="000000"/>
          <w:sz w:val="30"/>
        </w:rPr>
        <w:t>法定代表人（个人电子签章）：</w:t>
      </w:r>
    </w:p>
    <w:p>
      <w:pPr>
        <w:jc w:val="center"/>
        <w:rPr>
          <w:rFonts w:ascii="宋体" w:hAnsi="宋体" w:cs="宋体"/>
          <w:color w:val="000000"/>
          <w:sz w:val="36"/>
        </w:rPr>
      </w:pPr>
      <w:bookmarkStart w:id="155" w:name="_Toc20243_WPSOffice_Level2"/>
      <w:bookmarkStart w:id="156" w:name="_Toc32194_WPSOffice_Level2"/>
      <w:r>
        <w:rPr>
          <w:rFonts w:hint="eastAsia" w:ascii="宋体" w:hAnsi="宋体" w:cs="宋体"/>
          <w:b/>
          <w:color w:val="000000"/>
          <w:sz w:val="30"/>
          <w:szCs w:val="30"/>
        </w:rPr>
        <w:t>20</w:t>
      </w:r>
      <w:r>
        <w:rPr>
          <w:rFonts w:hint="eastAsia" w:ascii="宋体" w:hAnsi="宋体" w:cs="宋体"/>
          <w:b/>
          <w:color w:val="000000"/>
          <w:sz w:val="30"/>
          <w:szCs w:val="30"/>
          <w:lang w:val="en-US" w:eastAsia="zh-CN"/>
        </w:rPr>
        <w:t>20</w:t>
      </w:r>
      <w:r>
        <w:rPr>
          <w:rFonts w:hint="eastAsia" w:ascii="宋体" w:hAnsi="宋体" w:cs="宋体"/>
          <w:b/>
          <w:color w:val="000000"/>
          <w:sz w:val="30"/>
          <w:szCs w:val="30"/>
        </w:rPr>
        <w:t>年  月  日</w:t>
      </w:r>
      <w:bookmarkEnd w:id="155"/>
      <w:bookmarkEnd w:id="156"/>
    </w:p>
    <w:p>
      <w:pPr>
        <w:pStyle w:val="14"/>
        <w:kinsoku w:val="0"/>
        <w:overflowPunct w:val="0"/>
        <w:ind w:left="0"/>
        <w:rPr>
          <w:rFonts w:hint="default"/>
          <w:sz w:val="20"/>
        </w:rPr>
      </w:pPr>
    </w:p>
    <w:p/>
    <w:p>
      <w:pPr>
        <w:spacing w:beforeLines="0" w:afterLines="0"/>
        <w:jc w:val="center"/>
        <w:rPr>
          <w:rFonts w:hint="eastAsia" w:ascii="宋体" w:hAnsi="宋体" w:eastAsia="宋体"/>
          <w:b/>
          <w:sz w:val="32"/>
          <w:lang w:val="en-US"/>
        </w:rPr>
      </w:pPr>
      <w:bookmarkStart w:id="157" w:name="_Toc13889_WPSOffice_Level2"/>
      <w:r>
        <w:rPr>
          <w:rFonts w:hint="eastAsia" w:ascii="宋体" w:hAnsi="宋体" w:eastAsia="宋体"/>
          <w:b/>
          <w:kern w:val="2"/>
          <w:sz w:val="32"/>
          <w:lang w:val="en-US" w:eastAsia="zh-CN"/>
        </w:rPr>
        <w:t>目   录</w:t>
      </w:r>
      <w:bookmarkEnd w:id="157"/>
    </w:p>
    <w:p>
      <w:pPr>
        <w:spacing w:beforeLines="0" w:afterLines="0" w:line="540" w:lineRule="exact"/>
        <w:jc w:val="center"/>
        <w:rPr>
          <w:rFonts w:hint="eastAsia" w:ascii="宋体" w:hAnsi="宋体" w:eastAsia="宋体"/>
          <w:kern w:val="2"/>
          <w:sz w:val="24"/>
          <w:lang w:val="en-US" w:eastAsia="zh-CN"/>
        </w:rPr>
      </w:pPr>
      <w:bookmarkStart w:id="158" w:name="_Toc26023_WPSOffice_Level2"/>
      <w:r>
        <w:rPr>
          <w:rFonts w:hint="eastAsia" w:ascii="宋体" w:hAnsi="宋体" w:eastAsia="宋体"/>
          <w:kern w:val="2"/>
          <w:sz w:val="24"/>
          <w:lang w:val="en-US" w:eastAsia="zh-CN"/>
        </w:rPr>
        <w:t>（投标人根据招标文件的格式自行编制目录）</w:t>
      </w:r>
      <w:bookmarkEnd w:id="158"/>
    </w:p>
    <w:p>
      <w:pPr>
        <w:spacing w:beforeLines="0" w:afterLines="0" w:line="540" w:lineRule="exact"/>
        <w:jc w:val="center"/>
        <w:rPr>
          <w:rFonts w:hint="eastAsia" w:ascii="宋体" w:hAnsi="宋体" w:eastAsia="宋体"/>
          <w:sz w:val="24"/>
          <w:lang w:val="en-US"/>
        </w:rPr>
      </w:pPr>
      <w:r>
        <w:rPr>
          <w:rFonts w:hint="eastAsia" w:ascii="宋体" w:hAnsi="宋体" w:eastAsia="宋体"/>
          <w:kern w:val="2"/>
          <w:sz w:val="24"/>
          <w:lang w:val="en-US" w:eastAsia="zh-CN"/>
        </w:rPr>
        <w:br w:type="page"/>
      </w:r>
    </w:p>
    <w:p>
      <w:pPr>
        <w:pStyle w:val="4"/>
        <w:widowControl/>
        <w:numPr>
          <w:ilvl w:val="0"/>
          <w:numId w:val="46"/>
        </w:numPr>
        <w:spacing w:beforeLines="0" w:afterLines="0"/>
        <w:jc w:val="center"/>
        <w:rPr>
          <w:rFonts w:hint="eastAsia"/>
          <w:sz w:val="36"/>
          <w:lang w:eastAsia="zh-CN"/>
        </w:rPr>
      </w:pPr>
      <w:bookmarkStart w:id="159" w:name="_Toc23157_WPSOffice_Level2"/>
      <w:bookmarkStart w:id="160" w:name="_Toc5784"/>
      <w:bookmarkStart w:id="161" w:name="_Toc6977"/>
      <w:r>
        <w:rPr>
          <w:rFonts w:hint="eastAsia"/>
          <w:sz w:val="36"/>
        </w:rPr>
        <w:t>法定代表人授权书</w:t>
      </w:r>
      <w:bookmarkEnd w:id="159"/>
      <w:bookmarkEnd w:id="160"/>
      <w:bookmarkEnd w:id="161"/>
    </w:p>
    <w:p>
      <w:pPr>
        <w:spacing w:beforeLines="0" w:afterLines="0" w:line="500" w:lineRule="exact"/>
        <w:jc w:val="both"/>
        <w:rPr>
          <w:rFonts w:hint="eastAsia" w:ascii="宋体" w:hAnsi="宋体" w:eastAsia="宋体"/>
          <w:sz w:val="24"/>
          <w:lang w:val="en-US"/>
        </w:rPr>
      </w:pPr>
      <w:r>
        <w:rPr>
          <w:rFonts w:hint="eastAsia" w:ascii="宋体" w:hAnsi="宋体" w:eastAsia="宋体"/>
          <w:kern w:val="2"/>
          <w:sz w:val="24"/>
          <w:lang w:val="en-US" w:eastAsia="zh-CN"/>
        </w:rPr>
        <w:t xml:space="preserve">    本授权书声明：注册于（</w:t>
      </w:r>
      <w:r>
        <w:rPr>
          <w:rFonts w:hint="eastAsia" w:ascii="宋体" w:hAnsi="宋体" w:eastAsia="宋体"/>
          <w:kern w:val="2"/>
          <w:sz w:val="24"/>
          <w:u w:val="single"/>
          <w:lang w:val="en-US" w:eastAsia="zh-CN"/>
        </w:rPr>
        <w:t>注册地址名称</w:t>
      </w:r>
      <w:r>
        <w:rPr>
          <w:rFonts w:hint="eastAsia" w:ascii="宋体" w:hAnsi="宋体" w:eastAsia="宋体"/>
          <w:kern w:val="2"/>
          <w:sz w:val="24"/>
          <w:lang w:val="en-US" w:eastAsia="zh-CN"/>
        </w:rPr>
        <w:t>）的(</w:t>
      </w:r>
      <w:r>
        <w:rPr>
          <w:rFonts w:hint="eastAsia" w:ascii="宋体" w:hAnsi="宋体" w:eastAsia="宋体"/>
          <w:kern w:val="2"/>
          <w:sz w:val="24"/>
          <w:u w:val="single"/>
          <w:lang w:val="en-US" w:eastAsia="zh-CN"/>
        </w:rPr>
        <w:t>投标人全名</w:t>
      </w:r>
      <w:r>
        <w:rPr>
          <w:rFonts w:hint="eastAsia" w:ascii="宋体" w:hAnsi="宋体" w:eastAsia="宋体"/>
          <w:kern w:val="2"/>
          <w:sz w:val="24"/>
          <w:lang w:val="en-US" w:eastAsia="zh-CN"/>
        </w:rPr>
        <w:t>)的在下面签字的</w:t>
      </w:r>
      <w:r>
        <w:rPr>
          <w:rFonts w:hint="eastAsia" w:ascii="宋体" w:hAnsi="宋体" w:eastAsia="宋体"/>
          <w:kern w:val="2"/>
          <w:sz w:val="24"/>
          <w:u w:val="single"/>
          <w:lang w:val="en-US" w:eastAsia="zh-CN"/>
        </w:rPr>
        <w:t xml:space="preserve">             </w:t>
      </w:r>
      <w:r>
        <w:rPr>
          <w:rFonts w:hint="eastAsia" w:ascii="宋体" w:hAnsi="宋体" w:eastAsia="宋体"/>
          <w:kern w:val="2"/>
          <w:sz w:val="24"/>
          <w:lang w:val="en-US" w:eastAsia="zh-CN"/>
        </w:rPr>
        <w:t>(</w:t>
      </w:r>
      <w:r>
        <w:rPr>
          <w:rFonts w:hint="eastAsia" w:ascii="宋体" w:hAnsi="宋体" w:eastAsia="宋体"/>
          <w:kern w:val="2"/>
          <w:sz w:val="24"/>
          <w:u w:val="single"/>
          <w:lang w:val="en-US" w:eastAsia="zh-CN"/>
        </w:rPr>
        <w:t>法定代表人姓名、职务</w:t>
      </w:r>
      <w:r>
        <w:rPr>
          <w:rFonts w:hint="eastAsia" w:ascii="宋体" w:hAnsi="宋体" w:eastAsia="宋体"/>
          <w:kern w:val="2"/>
          <w:sz w:val="24"/>
          <w:lang w:val="en-US" w:eastAsia="zh-CN"/>
        </w:rPr>
        <w:t>)代表本公司授权（</w:t>
      </w:r>
      <w:r>
        <w:rPr>
          <w:rFonts w:hint="eastAsia" w:ascii="宋体" w:hAnsi="宋体" w:eastAsia="宋体"/>
          <w:kern w:val="2"/>
          <w:sz w:val="24"/>
          <w:u w:val="single"/>
          <w:lang w:val="en-US" w:eastAsia="zh-CN"/>
        </w:rPr>
        <w:t>单位名称</w:t>
      </w:r>
      <w:r>
        <w:rPr>
          <w:rFonts w:hint="eastAsia" w:ascii="宋体" w:hAnsi="宋体" w:eastAsia="宋体"/>
          <w:kern w:val="2"/>
          <w:sz w:val="24"/>
          <w:lang w:val="en-US" w:eastAsia="zh-CN"/>
        </w:rPr>
        <w:t>）的在下面签字的</w:t>
      </w:r>
      <w:r>
        <w:rPr>
          <w:rFonts w:hint="eastAsia" w:ascii="宋体" w:hAnsi="宋体" w:eastAsia="宋体"/>
          <w:kern w:val="2"/>
          <w:sz w:val="24"/>
          <w:u w:val="single"/>
          <w:lang w:val="en-US" w:eastAsia="zh-CN"/>
        </w:rPr>
        <w:t xml:space="preserve">            </w:t>
      </w:r>
      <w:r>
        <w:rPr>
          <w:rFonts w:hint="eastAsia" w:ascii="宋体" w:hAnsi="宋体" w:eastAsia="宋体"/>
          <w:kern w:val="2"/>
          <w:sz w:val="24"/>
          <w:lang w:val="en-US" w:eastAsia="zh-CN"/>
        </w:rPr>
        <w:t>（</w:t>
      </w:r>
      <w:r>
        <w:rPr>
          <w:rFonts w:hint="eastAsia" w:ascii="宋体" w:hAnsi="宋体" w:eastAsia="宋体"/>
          <w:kern w:val="2"/>
          <w:sz w:val="24"/>
          <w:u w:val="single"/>
          <w:lang w:val="en-US" w:eastAsia="zh-CN"/>
        </w:rPr>
        <w:t>被授权人的姓名、职务</w:t>
      </w:r>
      <w:r>
        <w:rPr>
          <w:rFonts w:hint="eastAsia" w:ascii="宋体" w:hAnsi="宋体" w:eastAsia="宋体"/>
          <w:kern w:val="2"/>
          <w:sz w:val="24"/>
          <w:lang w:val="en-US" w:eastAsia="zh-CN"/>
        </w:rPr>
        <w:t>）为本公司的合法代理人，就招标编号为</w:t>
      </w:r>
      <w:r>
        <w:rPr>
          <w:rFonts w:hint="eastAsia" w:ascii="宋体" w:hAnsi="宋体" w:eastAsia="宋体"/>
          <w:kern w:val="2"/>
          <w:sz w:val="24"/>
          <w:u w:val="single"/>
          <w:lang w:val="en-US" w:eastAsia="zh-CN"/>
        </w:rPr>
        <w:t xml:space="preserve">        （项目名称</w:t>
      </w:r>
      <w:r>
        <w:rPr>
          <w:rFonts w:hint="eastAsia" w:ascii="宋体" w:hAnsi="宋体" w:eastAsia="宋体"/>
          <w:kern w:val="2"/>
          <w:sz w:val="24"/>
          <w:lang w:val="en-US" w:eastAsia="zh-CN"/>
        </w:rPr>
        <w:t>）的投标及合同执行，以本公司名义处理一切与之有关的事务。</w:t>
      </w:r>
    </w:p>
    <w:p>
      <w:pPr>
        <w:spacing w:beforeLines="0" w:afterLines="0" w:line="500" w:lineRule="exact"/>
        <w:jc w:val="both"/>
        <w:rPr>
          <w:rFonts w:hint="eastAsia" w:ascii="宋体" w:hAnsi="宋体" w:eastAsia="宋体"/>
          <w:sz w:val="24"/>
          <w:lang w:val="en-US"/>
        </w:rPr>
      </w:pPr>
      <w:r>
        <w:rPr>
          <w:rFonts w:hint="eastAsia" w:ascii="宋体" w:hAnsi="宋体" w:eastAsia="宋体"/>
          <w:kern w:val="2"/>
          <w:sz w:val="24"/>
          <w:lang w:val="en-US" w:eastAsia="zh-CN"/>
        </w:rPr>
        <w:t xml:space="preserve">    本授权书于</w:t>
      </w:r>
      <w:r>
        <w:rPr>
          <w:rFonts w:hint="eastAsia" w:ascii="宋体" w:hAnsi="宋体" w:eastAsia="宋体"/>
          <w:kern w:val="2"/>
          <w:sz w:val="24"/>
          <w:u w:val="single"/>
          <w:lang w:val="en-US" w:eastAsia="zh-CN"/>
        </w:rPr>
        <w:t xml:space="preserve">     </w:t>
      </w:r>
      <w:r>
        <w:rPr>
          <w:rFonts w:hint="eastAsia" w:ascii="宋体" w:hAnsi="宋体" w:eastAsia="宋体"/>
          <w:kern w:val="2"/>
          <w:sz w:val="24"/>
          <w:lang w:val="en-US" w:eastAsia="zh-CN"/>
        </w:rPr>
        <w:t>年</w:t>
      </w:r>
      <w:r>
        <w:rPr>
          <w:rFonts w:hint="eastAsia" w:ascii="宋体" w:hAnsi="宋体" w:eastAsia="宋体"/>
          <w:kern w:val="2"/>
          <w:sz w:val="24"/>
          <w:u w:val="single"/>
          <w:lang w:val="en-US" w:eastAsia="zh-CN"/>
        </w:rPr>
        <w:t xml:space="preserve">    </w:t>
      </w:r>
      <w:r>
        <w:rPr>
          <w:rFonts w:hint="eastAsia" w:ascii="宋体" w:hAnsi="宋体" w:eastAsia="宋体"/>
          <w:kern w:val="2"/>
          <w:sz w:val="24"/>
          <w:lang w:val="en-US" w:eastAsia="zh-CN"/>
        </w:rPr>
        <w:t>月</w:t>
      </w:r>
      <w:r>
        <w:rPr>
          <w:rFonts w:hint="eastAsia" w:ascii="宋体" w:hAnsi="宋体" w:eastAsia="宋体"/>
          <w:kern w:val="2"/>
          <w:sz w:val="24"/>
          <w:u w:val="single"/>
          <w:lang w:val="en-US" w:eastAsia="zh-CN"/>
        </w:rPr>
        <w:t xml:space="preserve">    </w:t>
      </w:r>
      <w:r>
        <w:rPr>
          <w:rFonts w:hint="eastAsia" w:ascii="宋体" w:hAnsi="宋体" w:eastAsia="宋体"/>
          <w:kern w:val="2"/>
          <w:sz w:val="24"/>
          <w:lang w:val="en-US" w:eastAsia="zh-CN"/>
        </w:rPr>
        <w:t>日签字生效，特此声明。</w:t>
      </w:r>
    </w:p>
    <w:p>
      <w:pPr>
        <w:spacing w:beforeLines="0" w:afterLines="0" w:line="500" w:lineRule="exact"/>
        <w:jc w:val="both"/>
        <w:rPr>
          <w:rFonts w:hint="eastAsia" w:ascii="宋体" w:hAnsi="宋体" w:eastAsia="宋体"/>
          <w:sz w:val="24"/>
          <w:lang w:val="en-US"/>
        </w:rPr>
      </w:pPr>
    </w:p>
    <w:p>
      <w:pPr>
        <w:spacing w:beforeLines="0" w:afterLines="0" w:line="400" w:lineRule="exact"/>
        <w:ind w:firstLine="3888" w:firstLineChars="1620"/>
        <w:rPr>
          <w:rFonts w:hint="eastAsia" w:ascii="宋体" w:hAnsi="宋体" w:eastAsia="宋体"/>
          <w:sz w:val="24"/>
        </w:rPr>
      </w:pPr>
      <w:r>
        <w:rPr>
          <w:rFonts w:hint="eastAsia" w:ascii="宋体" w:hAnsi="宋体" w:eastAsia="宋体"/>
          <w:sz w:val="24"/>
        </w:rPr>
        <w:t>投标人（电子签章）：</w:t>
      </w:r>
    </w:p>
    <w:p>
      <w:pPr>
        <w:spacing w:beforeLines="0" w:afterLines="0" w:line="400" w:lineRule="exact"/>
        <w:ind w:firstLine="3888" w:firstLineChars="1620"/>
        <w:rPr>
          <w:rFonts w:hint="eastAsia" w:ascii="宋体" w:hAnsi="宋体" w:eastAsia="宋体"/>
          <w:sz w:val="24"/>
        </w:rPr>
      </w:pPr>
      <w:r>
        <w:rPr>
          <w:rFonts w:hint="eastAsia" w:ascii="宋体" w:hAnsi="宋体" w:eastAsia="宋体"/>
          <w:sz w:val="24"/>
        </w:rPr>
        <w:t>法定代表人（电子签</w:t>
      </w:r>
      <w:r>
        <w:rPr>
          <w:rFonts w:hint="eastAsia" w:ascii="宋体" w:hAnsi="宋体" w:eastAsia="宋体"/>
          <w:sz w:val="24"/>
          <w:lang w:eastAsia="zh-CN"/>
        </w:rPr>
        <w:t>名</w:t>
      </w:r>
      <w:r>
        <w:rPr>
          <w:rFonts w:hint="eastAsia" w:ascii="宋体" w:hAnsi="宋体" w:eastAsia="宋体"/>
          <w:sz w:val="24"/>
        </w:rPr>
        <w:t>）：</w:t>
      </w:r>
    </w:p>
    <w:p>
      <w:pPr>
        <w:spacing w:beforeLines="0" w:afterLines="0" w:line="400" w:lineRule="exact"/>
        <w:ind w:left="5825" w:leftChars="227" w:hanging="5280" w:hangingChars="2200"/>
        <w:rPr>
          <w:rFonts w:hint="eastAsia" w:ascii="宋体" w:hAnsi="宋体" w:eastAsia="宋体"/>
          <w:sz w:val="24"/>
        </w:rPr>
      </w:pPr>
      <w:r>
        <w:rPr>
          <w:rFonts w:hint="eastAsia" w:ascii="宋体" w:hAnsi="宋体" w:eastAsia="宋体"/>
          <w:sz w:val="24"/>
        </w:rPr>
        <w:t xml:space="preserve">                                                                                    年  月  日</w:t>
      </w:r>
    </w:p>
    <w:p>
      <w:pPr>
        <w:spacing w:beforeLines="0" w:afterLines="0"/>
        <w:jc w:val="both"/>
        <w:rPr>
          <w:rFonts w:hint="eastAsia" w:ascii="宋体" w:hAnsi="宋体" w:eastAsia="宋体"/>
          <w:sz w:val="24"/>
          <w:lang w:val="en-US"/>
        </w:rPr>
      </w:pPr>
    </w:p>
    <w:tbl>
      <w:tblPr>
        <w:tblStyle w:val="28"/>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4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sz w:val="24"/>
                <w:lang w:val="en-US"/>
              </w:rPr>
            </w:pPr>
            <w:r>
              <w:rPr>
                <w:rFonts w:hint="eastAsia" w:ascii="宋体" w:hAnsi="宋体" w:eastAsia="宋体"/>
                <w:kern w:val="2"/>
                <w:sz w:val="21"/>
                <w:lang w:val="en-US" w:eastAsia="zh-CN"/>
              </w:rPr>
              <w:t>法定代表人身份证复印件（正面）</w:t>
            </w:r>
          </w:p>
        </w:tc>
        <w:tc>
          <w:tcPr>
            <w:tcW w:w="448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sz w:val="24"/>
                <w:lang w:val="en-US"/>
              </w:rPr>
            </w:pPr>
            <w:r>
              <w:rPr>
                <w:rFonts w:hint="eastAsia" w:ascii="宋体" w:hAnsi="宋体" w:eastAsia="宋体"/>
                <w:kern w:val="2"/>
                <w:sz w:val="21"/>
                <w:lang w:val="en-US" w:eastAsia="zh-CN"/>
              </w:rPr>
              <w:t>法定代表人身份证复印件（反面）</w:t>
            </w:r>
          </w:p>
        </w:tc>
      </w:tr>
    </w:tbl>
    <w:p>
      <w:pPr>
        <w:spacing w:beforeLines="0" w:afterLines="0"/>
        <w:jc w:val="center"/>
        <w:rPr>
          <w:rFonts w:hint="eastAsia" w:ascii="宋体" w:hAnsi="宋体" w:eastAsia="宋体"/>
          <w:sz w:val="24"/>
          <w:lang w:val="en-US"/>
        </w:rPr>
      </w:pP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1"/>
        <w:gridCol w:w="4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sz w:val="24"/>
                <w:lang w:val="en-US"/>
              </w:rPr>
            </w:pPr>
            <w:bookmarkStart w:id="162" w:name="_资格证明文件"/>
            <w:bookmarkEnd w:id="162"/>
            <w:bookmarkStart w:id="163" w:name="_Toc364329026"/>
            <w:r>
              <w:rPr>
                <w:rFonts w:hint="eastAsia" w:ascii="宋体" w:hAnsi="宋体" w:eastAsia="宋体"/>
                <w:kern w:val="2"/>
                <w:sz w:val="21"/>
                <w:lang w:val="en-US" w:eastAsia="zh-CN"/>
              </w:rPr>
              <w:t>法定代表人授权代表身份证（正面）</w:t>
            </w:r>
            <w:bookmarkEnd w:id="163"/>
          </w:p>
        </w:tc>
        <w:tc>
          <w:tcPr>
            <w:tcW w:w="44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sz w:val="24"/>
                <w:lang w:val="en-US"/>
              </w:rPr>
            </w:pPr>
            <w:bookmarkStart w:id="164" w:name="_Toc364329027"/>
            <w:r>
              <w:rPr>
                <w:rFonts w:hint="eastAsia" w:ascii="宋体" w:hAnsi="宋体" w:eastAsia="宋体"/>
                <w:kern w:val="2"/>
                <w:sz w:val="21"/>
                <w:lang w:val="en-US" w:eastAsia="zh-CN"/>
              </w:rPr>
              <w:t>法定代表人授权代表身份证（反面）</w:t>
            </w:r>
            <w:bookmarkEnd w:id="164"/>
          </w:p>
        </w:tc>
      </w:tr>
    </w:tbl>
    <w:p>
      <w:pPr>
        <w:pStyle w:val="4"/>
        <w:widowControl/>
        <w:tabs>
          <w:tab w:val="left" w:pos="420"/>
        </w:tabs>
        <w:spacing w:beforeLines="0" w:afterLines="0"/>
        <w:ind w:left="420"/>
        <w:jc w:val="center"/>
        <w:rPr>
          <w:rFonts w:hint="eastAsia"/>
          <w:sz w:val="36"/>
        </w:rPr>
      </w:pPr>
      <w:r>
        <w:rPr>
          <w:rFonts w:hint="eastAsia"/>
          <w:kern w:val="2"/>
          <w:sz w:val="32"/>
        </w:rPr>
        <w:br w:type="page"/>
      </w:r>
      <w:bookmarkStart w:id="165" w:name="_Toc18105_WPSOffice_Level2"/>
      <w:bookmarkStart w:id="166" w:name="_Toc20745"/>
      <w:bookmarkStart w:id="167" w:name="_Toc31167"/>
      <w:r>
        <w:rPr>
          <w:rFonts w:hint="eastAsia"/>
          <w:sz w:val="36"/>
          <w:lang w:val="en-US" w:eastAsia="zh-CN"/>
        </w:rPr>
        <w:t>2.</w:t>
      </w:r>
      <w:r>
        <w:rPr>
          <w:rFonts w:hint="eastAsia"/>
          <w:sz w:val="36"/>
        </w:rPr>
        <w:t>投 标 函</w:t>
      </w:r>
      <w:bookmarkEnd w:id="165"/>
      <w:bookmarkEnd w:id="166"/>
      <w:bookmarkEnd w:id="167"/>
    </w:p>
    <w:p>
      <w:pPr>
        <w:spacing w:beforeLines="0" w:afterLines="0" w:line="460" w:lineRule="exact"/>
        <w:jc w:val="both"/>
        <w:rPr>
          <w:rFonts w:hint="eastAsia" w:ascii="宋体" w:hAnsi="宋体" w:eastAsia="宋体"/>
          <w:sz w:val="24"/>
          <w:u w:val="single"/>
          <w:lang w:val="en-US"/>
        </w:rPr>
      </w:pPr>
      <w:r>
        <w:rPr>
          <w:rFonts w:hint="eastAsia" w:ascii="宋体" w:hAnsi="宋体" w:eastAsia="宋体"/>
          <w:kern w:val="2"/>
          <w:sz w:val="24"/>
          <w:lang w:val="en-US" w:eastAsia="zh-CN"/>
        </w:rPr>
        <w:t>致：</w:t>
      </w:r>
      <w:r>
        <w:rPr>
          <w:rFonts w:hint="eastAsia" w:ascii="宋体" w:hAnsi="宋体" w:eastAsia="宋体"/>
          <w:kern w:val="2"/>
          <w:sz w:val="24"/>
          <w:u w:val="single"/>
          <w:lang w:val="en-US" w:eastAsia="zh-CN"/>
        </w:rPr>
        <w:t xml:space="preserve">    (采购人名称）   </w:t>
      </w:r>
    </w:p>
    <w:p>
      <w:pPr>
        <w:spacing w:beforeLines="0" w:afterLines="0" w:line="460" w:lineRule="exact"/>
        <w:ind w:firstLine="480" w:firstLineChars="200"/>
        <w:jc w:val="both"/>
        <w:rPr>
          <w:rFonts w:hint="eastAsia" w:ascii="宋体" w:hAnsi="宋体" w:eastAsia="宋体"/>
          <w:sz w:val="24"/>
          <w:lang w:val="en-US"/>
        </w:rPr>
      </w:pPr>
      <w:r>
        <w:rPr>
          <w:rFonts w:hint="eastAsia" w:ascii="宋体" w:hAnsi="宋体" w:eastAsia="宋体"/>
          <w:kern w:val="2"/>
          <w:sz w:val="24"/>
          <w:lang w:val="en-US" w:eastAsia="zh-CN"/>
        </w:rPr>
        <w:t>我们收到了招标编号为</w:t>
      </w:r>
      <w:r>
        <w:rPr>
          <w:rFonts w:hint="eastAsia" w:ascii="宋体" w:hAnsi="宋体" w:eastAsia="宋体"/>
          <w:kern w:val="2"/>
          <w:sz w:val="24"/>
          <w:u w:val="single"/>
          <w:lang w:val="en-US" w:eastAsia="zh-CN"/>
        </w:rPr>
        <w:t xml:space="preserve">           </w:t>
      </w:r>
      <w:r>
        <w:rPr>
          <w:rFonts w:hint="eastAsia" w:ascii="宋体" w:hAnsi="宋体" w:eastAsia="宋体"/>
          <w:kern w:val="2"/>
          <w:sz w:val="24"/>
          <w:lang w:val="en-US" w:eastAsia="zh-CN"/>
        </w:rPr>
        <w:t>的</w:t>
      </w:r>
      <w:r>
        <w:rPr>
          <w:rFonts w:hint="eastAsia" w:ascii="宋体" w:hAnsi="宋体" w:eastAsia="宋体"/>
          <w:kern w:val="2"/>
          <w:sz w:val="24"/>
          <w:u w:val="single"/>
          <w:lang w:val="en-US" w:eastAsia="zh-CN"/>
        </w:rPr>
        <w:t xml:space="preserve">    （项目名称）  </w:t>
      </w:r>
      <w:r>
        <w:rPr>
          <w:rFonts w:hint="eastAsia" w:ascii="宋体" w:hAnsi="宋体" w:eastAsia="宋体"/>
          <w:kern w:val="2"/>
          <w:sz w:val="24"/>
          <w:lang w:val="en-US" w:eastAsia="zh-CN"/>
        </w:rPr>
        <w:t>招标文件，经详细研究，我们决定参加该项目的投标活动并按要求提交投标文件。我们郑重声明以下诸点并负法律责任:</w:t>
      </w:r>
    </w:p>
    <w:p>
      <w:pPr>
        <w:spacing w:beforeLines="0" w:afterLines="0" w:line="460" w:lineRule="exact"/>
        <w:ind w:firstLine="480" w:firstLineChars="200"/>
        <w:jc w:val="both"/>
        <w:rPr>
          <w:rFonts w:hint="eastAsia" w:ascii="宋体" w:hAnsi="宋体" w:eastAsia="宋体"/>
          <w:sz w:val="24"/>
          <w:lang w:val="en-US"/>
        </w:rPr>
      </w:pPr>
      <w:r>
        <w:rPr>
          <w:rFonts w:hint="eastAsia" w:ascii="宋体" w:hAnsi="宋体" w:eastAsia="宋体"/>
          <w:kern w:val="2"/>
          <w:sz w:val="24"/>
          <w:lang w:val="en-US" w:eastAsia="zh-CN"/>
        </w:rPr>
        <w:t>(1) 愿按照招标文件中规定的条款和要求，提供完成招标文件规定的全部工作，投标总报价为（大写）</w:t>
      </w:r>
      <w:r>
        <w:rPr>
          <w:rFonts w:hint="eastAsia" w:ascii="宋体" w:hAnsi="宋体" w:eastAsia="宋体"/>
          <w:kern w:val="2"/>
          <w:sz w:val="24"/>
          <w:u w:val="single"/>
          <w:lang w:val="en-US" w:eastAsia="zh-CN"/>
        </w:rPr>
        <w:t xml:space="preserve">         </w:t>
      </w:r>
      <w:r>
        <w:rPr>
          <w:rFonts w:hint="eastAsia" w:ascii="宋体" w:hAnsi="宋体" w:eastAsia="宋体"/>
          <w:kern w:val="2"/>
          <w:sz w:val="24"/>
          <w:lang w:val="en-US" w:eastAsia="zh-CN"/>
        </w:rPr>
        <w:t>元人民币（RMB￥：</w:t>
      </w:r>
      <w:r>
        <w:rPr>
          <w:rFonts w:hint="eastAsia" w:ascii="宋体" w:hAnsi="宋体" w:eastAsia="宋体"/>
          <w:kern w:val="2"/>
          <w:sz w:val="24"/>
          <w:u w:val="single"/>
          <w:lang w:val="en-US" w:eastAsia="zh-CN"/>
        </w:rPr>
        <w:t xml:space="preserve">         </w:t>
      </w:r>
      <w:r>
        <w:rPr>
          <w:rFonts w:hint="eastAsia" w:ascii="宋体" w:hAnsi="宋体" w:eastAsia="宋体"/>
          <w:kern w:val="2"/>
          <w:sz w:val="24"/>
          <w:lang w:val="en-US" w:eastAsia="zh-CN"/>
        </w:rPr>
        <w:t>元），项目交货期为</w:t>
      </w:r>
      <w:r>
        <w:rPr>
          <w:rFonts w:hint="eastAsia" w:ascii="宋体" w:hAnsi="宋体" w:eastAsia="宋体"/>
          <w:kern w:val="2"/>
          <w:sz w:val="24"/>
          <w:u w:val="single"/>
          <w:lang w:val="en-US" w:eastAsia="zh-CN"/>
        </w:rPr>
        <w:t xml:space="preserve">           </w:t>
      </w:r>
      <w:r>
        <w:rPr>
          <w:rFonts w:hint="eastAsia" w:ascii="宋体" w:hAnsi="宋体" w:eastAsia="宋体"/>
          <w:kern w:val="2"/>
          <w:sz w:val="24"/>
          <w:lang w:val="en-US" w:eastAsia="zh-CN"/>
        </w:rPr>
        <w:t xml:space="preserve"> 。</w:t>
      </w:r>
    </w:p>
    <w:p>
      <w:pPr>
        <w:spacing w:beforeLines="0" w:afterLines="0" w:line="460" w:lineRule="exact"/>
        <w:ind w:firstLine="480" w:firstLineChars="200"/>
        <w:jc w:val="both"/>
        <w:rPr>
          <w:rFonts w:hint="eastAsia" w:ascii="宋体" w:hAnsi="宋体" w:eastAsia="宋体"/>
          <w:sz w:val="24"/>
          <w:lang w:val="en-US"/>
        </w:rPr>
      </w:pPr>
      <w:r>
        <w:rPr>
          <w:rFonts w:hint="eastAsia" w:ascii="宋体" w:hAnsi="宋体" w:eastAsia="宋体"/>
          <w:kern w:val="2"/>
          <w:sz w:val="24"/>
          <w:lang w:val="en-US" w:eastAsia="zh-CN"/>
        </w:rPr>
        <w:t>(2) 如果我们的投标文件被接受，我们将履行招标文件中规定的各项要求。</w:t>
      </w:r>
    </w:p>
    <w:p>
      <w:pPr>
        <w:spacing w:beforeLines="0" w:afterLines="0" w:line="460" w:lineRule="exact"/>
        <w:ind w:firstLine="480" w:firstLineChars="200"/>
        <w:jc w:val="both"/>
        <w:rPr>
          <w:rFonts w:hint="eastAsia" w:ascii="宋体" w:hAnsi="宋体" w:eastAsia="宋体"/>
          <w:sz w:val="24"/>
          <w:lang w:val="en-US"/>
        </w:rPr>
      </w:pPr>
      <w:r>
        <w:rPr>
          <w:rFonts w:hint="eastAsia" w:ascii="宋体" w:hAnsi="宋体" w:eastAsia="宋体"/>
          <w:kern w:val="2"/>
          <w:sz w:val="24"/>
          <w:lang w:val="en-US" w:eastAsia="zh-CN"/>
        </w:rPr>
        <w:t>(3) 我们同意本招标文件中有关投标有效期的规定。如果中标，有效期延长至合同终止日止。</w:t>
      </w:r>
    </w:p>
    <w:p>
      <w:pPr>
        <w:spacing w:beforeLines="0" w:afterLines="0" w:line="460" w:lineRule="exact"/>
        <w:ind w:firstLine="480" w:firstLineChars="200"/>
        <w:jc w:val="both"/>
        <w:rPr>
          <w:rFonts w:hint="eastAsia" w:ascii="宋体" w:hAnsi="宋体" w:eastAsia="宋体"/>
          <w:sz w:val="24"/>
          <w:lang w:val="en-US"/>
        </w:rPr>
      </w:pPr>
      <w:r>
        <w:rPr>
          <w:rFonts w:hint="eastAsia" w:ascii="宋体" w:hAnsi="宋体" w:eastAsia="宋体"/>
          <w:kern w:val="2"/>
          <w:sz w:val="24"/>
          <w:lang w:val="en-US" w:eastAsia="zh-CN"/>
        </w:rPr>
        <w:t>(4) 我们愿提供招标文件中要求的所有文件资料。</w:t>
      </w:r>
    </w:p>
    <w:p>
      <w:pPr>
        <w:spacing w:beforeLines="0" w:afterLines="0" w:line="460" w:lineRule="exact"/>
        <w:ind w:firstLine="480" w:firstLineChars="200"/>
        <w:jc w:val="both"/>
        <w:rPr>
          <w:rFonts w:hint="eastAsia" w:ascii="宋体" w:hAnsi="宋体" w:eastAsia="宋体"/>
          <w:sz w:val="24"/>
          <w:lang w:val="en-US"/>
        </w:rPr>
      </w:pPr>
      <w:r>
        <w:rPr>
          <w:rFonts w:hint="eastAsia" w:ascii="宋体" w:hAnsi="宋体" w:eastAsia="宋体"/>
          <w:kern w:val="2"/>
          <w:sz w:val="24"/>
          <w:lang w:val="en-US" w:eastAsia="zh-CN"/>
        </w:rPr>
        <w:t>(5) 我们已经详细审核了全部招标文件，如有需要澄清的问题，我们同意按招标文件规定的时间向采购人提出。逾期不提，我公司同意放弃对这方面有不明及误解的权利。</w:t>
      </w:r>
    </w:p>
    <w:p>
      <w:pPr>
        <w:spacing w:beforeLines="0" w:afterLines="0" w:line="460" w:lineRule="exact"/>
        <w:ind w:firstLine="480" w:firstLineChars="200"/>
        <w:jc w:val="both"/>
        <w:rPr>
          <w:rFonts w:hint="eastAsia" w:ascii="宋体" w:hAnsi="宋体" w:eastAsia="宋体"/>
          <w:sz w:val="24"/>
          <w:lang w:val="en-US"/>
        </w:rPr>
      </w:pPr>
      <w:r>
        <w:rPr>
          <w:rFonts w:hint="eastAsia" w:ascii="宋体" w:hAnsi="宋体" w:eastAsia="宋体"/>
          <w:kern w:val="2"/>
          <w:sz w:val="24"/>
          <w:lang w:val="en-US" w:eastAsia="zh-CN"/>
        </w:rPr>
        <w:t>(6) 我们承诺，与采购人聘请的为此项目提供咨询服务及任何附属机构均无关联，非采购人的附属机构。</w:t>
      </w:r>
    </w:p>
    <w:p>
      <w:pPr>
        <w:spacing w:beforeLines="0" w:afterLines="0" w:line="460" w:lineRule="exact"/>
        <w:ind w:firstLine="480" w:firstLineChars="200"/>
        <w:jc w:val="both"/>
        <w:rPr>
          <w:rFonts w:hint="eastAsia" w:ascii="宋体" w:hAnsi="宋体" w:eastAsia="宋体"/>
          <w:sz w:val="24"/>
          <w:lang w:val="en-US"/>
        </w:rPr>
      </w:pPr>
      <w:r>
        <w:rPr>
          <w:rFonts w:hint="eastAsia" w:ascii="宋体" w:hAnsi="宋体" w:eastAsia="宋体"/>
          <w:kern w:val="2"/>
          <w:sz w:val="24"/>
          <w:lang w:val="en-US" w:eastAsia="zh-CN"/>
        </w:rPr>
        <w:t>(7) 我公司同意提供按照采购人可能要求的与其投标有关的一切数据或资料，完全理解采购人不一定接受最低价的投标或收到的任何投标。</w:t>
      </w:r>
    </w:p>
    <w:p>
      <w:pPr>
        <w:spacing w:beforeLines="0" w:afterLines="0" w:line="460" w:lineRule="exact"/>
        <w:ind w:firstLine="480" w:firstLineChars="200"/>
        <w:jc w:val="both"/>
        <w:rPr>
          <w:rFonts w:hint="eastAsia" w:ascii="宋体" w:hAnsi="宋体" w:eastAsia="宋体"/>
          <w:sz w:val="24"/>
          <w:lang w:val="en-US"/>
        </w:rPr>
      </w:pPr>
      <w:r>
        <w:rPr>
          <w:rFonts w:hint="eastAsia" w:ascii="宋体" w:hAnsi="宋体" w:eastAsia="宋体"/>
          <w:kern w:val="2"/>
          <w:sz w:val="24"/>
          <w:lang w:val="en-US" w:eastAsia="zh-CN"/>
        </w:rPr>
        <w:t>(8) 我们愿按《中华人民共和国合同法》履行自己的全部责任。</w:t>
      </w:r>
    </w:p>
    <w:p>
      <w:pPr>
        <w:spacing w:beforeLines="0" w:afterLines="0" w:line="460" w:lineRule="exact"/>
        <w:ind w:firstLine="480" w:firstLineChars="200"/>
        <w:jc w:val="both"/>
        <w:rPr>
          <w:rFonts w:hint="eastAsia" w:ascii="宋体" w:hAnsi="宋体" w:eastAsia="宋体"/>
          <w:sz w:val="24"/>
          <w:lang w:val="en-US"/>
        </w:rPr>
      </w:pPr>
      <w:r>
        <w:rPr>
          <w:rFonts w:hint="eastAsia" w:ascii="宋体" w:hAnsi="宋体" w:eastAsia="宋体"/>
          <w:kern w:val="2"/>
          <w:sz w:val="24"/>
          <w:lang w:val="en-US" w:eastAsia="zh-CN"/>
        </w:rPr>
        <w:t>与本投标有关的正式通讯地址：</w:t>
      </w:r>
    </w:p>
    <w:p>
      <w:pPr>
        <w:spacing w:beforeLines="0" w:afterLines="0" w:line="400" w:lineRule="exact"/>
        <w:ind w:firstLine="465"/>
        <w:jc w:val="both"/>
        <w:rPr>
          <w:rFonts w:hint="eastAsia" w:ascii="宋体" w:hAnsi="宋体" w:eastAsia="宋体"/>
          <w:sz w:val="24"/>
          <w:lang w:val="en-US"/>
        </w:rPr>
      </w:pPr>
      <w:r>
        <w:rPr>
          <w:rFonts w:hint="eastAsia" w:ascii="宋体" w:hAnsi="宋体" w:eastAsia="宋体"/>
          <w:kern w:val="2"/>
          <w:sz w:val="24"/>
          <w:lang w:val="en-US" w:eastAsia="zh-CN"/>
        </w:rPr>
        <w:t>地  址：                             邮  编：</w:t>
      </w:r>
    </w:p>
    <w:p>
      <w:pPr>
        <w:spacing w:beforeLines="0" w:afterLines="0" w:line="400" w:lineRule="exact"/>
        <w:ind w:firstLine="465"/>
        <w:jc w:val="both"/>
        <w:rPr>
          <w:rFonts w:hint="eastAsia" w:ascii="宋体" w:hAnsi="宋体" w:eastAsia="宋体"/>
          <w:sz w:val="24"/>
          <w:lang w:val="en-US"/>
        </w:rPr>
      </w:pPr>
      <w:r>
        <w:rPr>
          <w:rFonts w:hint="eastAsia" w:ascii="宋体" w:hAnsi="宋体" w:eastAsia="宋体"/>
          <w:kern w:val="2"/>
          <w:sz w:val="24"/>
          <w:lang w:val="en-US" w:eastAsia="zh-CN"/>
        </w:rPr>
        <w:t>电  话：                             传  真：</w:t>
      </w:r>
    </w:p>
    <w:p>
      <w:pPr>
        <w:autoSpaceDE/>
        <w:autoSpaceDN/>
        <w:adjustRightInd/>
        <w:spacing w:beforeLines="0" w:afterLines="0" w:line="360" w:lineRule="auto"/>
        <w:ind w:firstLine="4838" w:firstLineChars="2016"/>
        <w:rPr>
          <w:rFonts w:hint="eastAsia" w:ascii="宋体" w:hAnsi="宋体" w:eastAsia="宋体"/>
          <w:sz w:val="24"/>
        </w:rPr>
      </w:pP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投标人(</w:t>
      </w:r>
      <w:r>
        <w:rPr>
          <w:rFonts w:hint="eastAsia" w:ascii="宋体" w:hAnsi="宋体" w:eastAsia="宋体"/>
          <w:sz w:val="24"/>
          <w:lang w:eastAsia="zh-CN"/>
        </w:rPr>
        <w:t>电子签章</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法人代表或授权代表(</w:t>
      </w:r>
      <w:r>
        <w:rPr>
          <w:rFonts w:hint="eastAsia" w:ascii="宋体" w:hAnsi="宋体" w:eastAsia="宋体"/>
          <w:sz w:val="24"/>
          <w:lang w:eastAsia="zh-CN"/>
        </w:rPr>
        <w:t>电子</w:t>
      </w:r>
      <w:r>
        <w:rPr>
          <w:rFonts w:hint="eastAsia" w:ascii="宋体" w:hAnsi="宋体" w:eastAsia="宋体"/>
          <w:sz w:val="24"/>
        </w:rPr>
        <w:t>签</w:t>
      </w:r>
      <w:r>
        <w:rPr>
          <w:rFonts w:hint="eastAsia" w:ascii="宋体" w:hAnsi="宋体" w:eastAsia="宋体"/>
          <w:sz w:val="24"/>
          <w:lang w:eastAsia="zh-CN"/>
        </w:rPr>
        <w:t>名</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rPr>
          <w:rFonts w:hint="eastAsia" w:ascii="宋体" w:hAnsi="宋体" w:eastAsia="宋体"/>
          <w:sz w:val="28"/>
        </w:rPr>
      </w:pP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lang w:eastAsia="zh-CN"/>
        </w:rPr>
        <w:t>日期：</w:t>
      </w:r>
      <w:r>
        <w:rPr>
          <w:rFonts w:hint="eastAsia" w:ascii="宋体" w:hAnsi="宋体" w:eastAsia="宋体"/>
          <w:sz w:val="24"/>
          <w:u w:val="single"/>
          <w:lang w:val="en-US" w:eastAsia="zh-CN"/>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日</w:t>
      </w:r>
    </w:p>
    <w:p>
      <w:pPr>
        <w:spacing w:beforeLines="0" w:afterLines="0" w:line="400" w:lineRule="exact"/>
        <w:ind w:left="5825" w:leftChars="227" w:hanging="5280" w:hangingChars="2200"/>
        <w:rPr>
          <w:rFonts w:hint="eastAsia" w:ascii="宋体" w:hAnsi="宋体" w:eastAsia="宋体"/>
          <w:sz w:val="24"/>
          <w:lang w:val="en-US"/>
        </w:rPr>
      </w:pPr>
      <w:r>
        <w:rPr>
          <w:rFonts w:hint="eastAsia" w:ascii="宋体" w:hAnsi="宋体" w:eastAsia="宋体"/>
          <w:kern w:val="2"/>
          <w:sz w:val="24"/>
          <w:lang w:val="en-US" w:eastAsia="zh-CN"/>
        </w:rPr>
        <w:t xml:space="preserve">                                                                                    </w:t>
      </w:r>
    </w:p>
    <w:p>
      <w:pPr>
        <w:pStyle w:val="4"/>
        <w:tabs>
          <w:tab w:val="left" w:pos="840"/>
        </w:tabs>
        <w:spacing w:beforeLines="0" w:afterLines="0" w:line="412" w:lineRule="auto"/>
        <w:ind w:left="0"/>
        <w:jc w:val="center"/>
        <w:rPr>
          <w:rFonts w:hint="eastAsia"/>
          <w:sz w:val="36"/>
        </w:rPr>
      </w:pPr>
      <w:r>
        <w:rPr>
          <w:rFonts w:hint="eastAsia"/>
          <w:kern w:val="2"/>
          <w:sz w:val="32"/>
        </w:rPr>
        <w:br w:type="page"/>
      </w:r>
      <w:bookmarkStart w:id="168" w:name="_Toc4717"/>
      <w:bookmarkStart w:id="169" w:name="_Toc26327_WPSOffice_Level2"/>
      <w:bookmarkStart w:id="170" w:name="_Toc11014"/>
      <w:r>
        <w:rPr>
          <w:rFonts w:hint="eastAsia"/>
          <w:sz w:val="36"/>
          <w:lang w:eastAsia="zh-CN"/>
        </w:rPr>
        <w:t>3.资格证明文件</w:t>
      </w:r>
      <w:bookmarkEnd w:id="168"/>
      <w:bookmarkEnd w:id="169"/>
      <w:bookmarkEnd w:id="170"/>
    </w:p>
    <w:p>
      <w:pPr>
        <w:pStyle w:val="5"/>
        <w:spacing w:beforeLines="0" w:afterLines="0"/>
        <w:jc w:val="center"/>
        <w:rPr>
          <w:rFonts w:hint="eastAsia"/>
          <w:sz w:val="28"/>
          <w:lang w:val="en-US"/>
        </w:rPr>
      </w:pPr>
      <w:bookmarkStart w:id="171" w:name="_Toc10284"/>
      <w:bookmarkStart w:id="172" w:name="_Toc27118"/>
      <w:bookmarkStart w:id="173" w:name="_Toc21692"/>
      <w:bookmarkStart w:id="174" w:name="_Toc18670_WPSOffice_Level3"/>
      <w:r>
        <w:rPr>
          <w:rFonts w:hint="eastAsia"/>
          <w:sz w:val="28"/>
          <w:lang w:val="en-US"/>
        </w:rPr>
        <w:t>3.1</w:t>
      </w:r>
      <w:r>
        <w:rPr>
          <w:rFonts w:hint="eastAsia"/>
          <w:sz w:val="28"/>
          <w:lang w:eastAsia="zh-CN"/>
        </w:rPr>
        <w:t>申明资格信</w:t>
      </w:r>
      <w:bookmarkEnd w:id="171"/>
      <w:bookmarkEnd w:id="172"/>
      <w:bookmarkEnd w:id="173"/>
      <w:bookmarkEnd w:id="174"/>
    </w:p>
    <w:p>
      <w:pPr>
        <w:pStyle w:val="6"/>
        <w:widowControl/>
        <w:spacing w:beforeLines="0" w:afterLines="0" w:line="360" w:lineRule="auto"/>
        <w:ind w:firstLine="0"/>
        <w:rPr>
          <w:rFonts w:hint="eastAsia" w:ascii="宋体" w:hAnsi="宋体" w:eastAsia="宋体"/>
          <w:sz w:val="24"/>
          <w:lang w:val="en-US"/>
        </w:rPr>
      </w:pPr>
      <w:r>
        <w:rPr>
          <w:rFonts w:hint="eastAsia" w:ascii="宋体" w:hAnsi="宋体" w:eastAsia="宋体"/>
          <w:sz w:val="24"/>
          <w:lang w:eastAsia="zh-CN"/>
        </w:rPr>
        <w:t>致：（采购人名称）</w:t>
      </w:r>
    </w:p>
    <w:p>
      <w:pPr>
        <w:pStyle w:val="6"/>
        <w:widowControl/>
        <w:spacing w:beforeLines="0" w:afterLines="0" w:line="360" w:lineRule="auto"/>
        <w:ind w:firstLine="540"/>
        <w:rPr>
          <w:rFonts w:hint="eastAsia" w:ascii="宋体" w:hAnsi="宋体" w:eastAsia="宋体"/>
          <w:sz w:val="24"/>
          <w:lang w:val="en-US"/>
        </w:rPr>
      </w:pPr>
      <w:r>
        <w:rPr>
          <w:rFonts w:hint="eastAsia" w:ascii="宋体" w:hAnsi="宋体" w:eastAsia="宋体"/>
          <w:sz w:val="24"/>
          <w:lang w:eastAsia="zh-CN"/>
        </w:rPr>
        <w:t>响应</w:t>
      </w:r>
      <w:r>
        <w:rPr>
          <w:rFonts w:hint="eastAsia" w:ascii="宋体" w:hAnsi="宋体" w:eastAsia="宋体"/>
          <w:sz w:val="24"/>
          <w:u w:val="single"/>
          <w:lang w:eastAsia="zh-CN"/>
        </w:rPr>
        <w:t>（代理机构名称）</w:t>
      </w:r>
      <w:r>
        <w:rPr>
          <w:rFonts w:hint="eastAsia" w:ascii="宋体" w:hAnsi="宋体" w:eastAsia="宋体"/>
          <w:sz w:val="24"/>
          <w:u w:val="single"/>
          <w:lang w:val="en-US"/>
        </w:rPr>
        <w:t xml:space="preserve">  </w:t>
      </w:r>
      <w:r>
        <w:rPr>
          <w:rFonts w:hint="eastAsia" w:ascii="宋体" w:hAnsi="宋体" w:eastAsia="宋体"/>
          <w:sz w:val="24"/>
          <w:lang w:eastAsia="zh-CN"/>
        </w:rPr>
        <w:t>年</w:t>
      </w:r>
      <w:r>
        <w:rPr>
          <w:rFonts w:hint="eastAsia" w:ascii="宋体" w:hAnsi="宋体" w:eastAsia="宋体"/>
          <w:sz w:val="24"/>
          <w:u w:val="single"/>
          <w:lang w:val="en-US"/>
        </w:rPr>
        <w:t xml:space="preserve">  </w:t>
      </w:r>
      <w:r>
        <w:rPr>
          <w:rFonts w:hint="eastAsia" w:ascii="宋体" w:hAnsi="宋体" w:eastAsia="宋体"/>
          <w:sz w:val="24"/>
          <w:lang w:eastAsia="zh-CN"/>
        </w:rPr>
        <w:t>月</w:t>
      </w:r>
      <w:r>
        <w:rPr>
          <w:rFonts w:hint="eastAsia" w:ascii="宋体" w:hAnsi="宋体" w:eastAsia="宋体"/>
          <w:sz w:val="24"/>
          <w:u w:val="single"/>
          <w:lang w:val="en-US"/>
        </w:rPr>
        <w:t xml:space="preserve">  </w:t>
      </w:r>
      <w:r>
        <w:rPr>
          <w:rFonts w:hint="eastAsia" w:ascii="宋体" w:hAnsi="宋体" w:eastAsia="宋体"/>
          <w:sz w:val="24"/>
          <w:lang w:eastAsia="zh-CN"/>
        </w:rPr>
        <w:t>日发出的</w:t>
      </w:r>
      <w:r>
        <w:rPr>
          <w:rFonts w:hint="eastAsia" w:ascii="宋体" w:hAnsi="宋体" w:eastAsia="宋体"/>
          <w:sz w:val="24"/>
          <w:u w:val="single"/>
          <w:lang w:eastAsia="zh-CN"/>
        </w:rPr>
        <w:t>（招标编号</w:t>
      </w:r>
      <w:r>
        <w:rPr>
          <w:rFonts w:hint="eastAsia" w:ascii="宋体" w:hAnsi="宋体" w:eastAsia="宋体"/>
          <w:sz w:val="24"/>
          <w:u w:val="single"/>
          <w:lang w:val="en-US" w:eastAsia="zh-CN"/>
        </w:rPr>
        <w:t xml:space="preserve">   </w:t>
      </w:r>
      <w:r>
        <w:rPr>
          <w:rFonts w:hint="eastAsia" w:ascii="宋体" w:hAnsi="宋体" w:eastAsia="宋体"/>
          <w:sz w:val="24"/>
          <w:u w:val="single"/>
          <w:lang w:eastAsia="zh-CN"/>
        </w:rPr>
        <w:t xml:space="preserve">）标段  </w:t>
      </w:r>
      <w:r>
        <w:rPr>
          <w:rFonts w:hint="eastAsia" w:ascii="宋体" w:hAnsi="宋体" w:eastAsia="宋体"/>
          <w:sz w:val="24"/>
          <w:lang w:eastAsia="zh-CN"/>
        </w:rPr>
        <w:t>招标文件，下述签字人愿意参加投标，提供招标文件中工程</w:t>
      </w:r>
      <w:r>
        <w:rPr>
          <w:rFonts w:hint="eastAsia" w:ascii="宋体" w:hAnsi="宋体" w:eastAsia="宋体"/>
          <w:sz w:val="24"/>
          <w:lang w:val="en-US"/>
        </w:rPr>
        <w:t>/</w:t>
      </w:r>
      <w:r>
        <w:rPr>
          <w:rFonts w:hint="eastAsia" w:ascii="宋体" w:hAnsi="宋体" w:eastAsia="宋体"/>
          <w:sz w:val="24"/>
          <w:lang w:eastAsia="zh-CN"/>
        </w:rPr>
        <w:t>货物需求一览表规定的</w:t>
      </w:r>
      <w:r>
        <w:rPr>
          <w:rFonts w:hint="eastAsia" w:ascii="宋体" w:hAnsi="宋体" w:eastAsia="宋体"/>
          <w:sz w:val="24"/>
          <w:u w:val="single"/>
          <w:lang w:eastAsia="zh-CN"/>
        </w:rPr>
        <w:t>（项目</w:t>
      </w:r>
      <w:r>
        <w:rPr>
          <w:rFonts w:hint="eastAsia" w:ascii="宋体" w:hAnsi="宋体" w:eastAsia="宋体"/>
          <w:sz w:val="24"/>
          <w:u w:val="single"/>
          <w:lang w:val="en-US" w:eastAsia="zh-CN"/>
        </w:rPr>
        <w:t>/</w:t>
      </w:r>
      <w:r>
        <w:rPr>
          <w:rFonts w:hint="eastAsia" w:ascii="宋体" w:hAnsi="宋体" w:eastAsia="宋体"/>
          <w:sz w:val="24"/>
          <w:u w:val="single"/>
          <w:lang w:eastAsia="zh-CN"/>
        </w:rPr>
        <w:t xml:space="preserve">货物名称） </w:t>
      </w:r>
      <w:r>
        <w:rPr>
          <w:rFonts w:hint="eastAsia" w:ascii="宋体" w:hAnsi="宋体" w:eastAsia="宋体"/>
          <w:sz w:val="24"/>
          <w:lang w:eastAsia="zh-CN"/>
        </w:rPr>
        <w:t>，在此申明：保证提供的所有文件、陈述是正确的和真实的，并愿意承担相关法律责任。</w:t>
      </w:r>
    </w:p>
    <w:p>
      <w:pPr>
        <w:spacing w:beforeLines="0" w:afterLines="0" w:line="400" w:lineRule="exact"/>
        <w:jc w:val="both"/>
        <w:rPr>
          <w:rFonts w:hint="eastAsia" w:ascii="宋体" w:hAnsi="宋体" w:eastAsia="宋体"/>
          <w:sz w:val="24"/>
          <w:lang w:val="en-US"/>
        </w:rPr>
      </w:pPr>
    </w:p>
    <w:p>
      <w:pPr>
        <w:pStyle w:val="6"/>
        <w:widowControl/>
        <w:spacing w:beforeLines="0" w:afterLines="0" w:line="360" w:lineRule="auto"/>
        <w:ind w:firstLine="0"/>
        <w:rPr>
          <w:rFonts w:hint="eastAsia" w:ascii="宋体" w:hAnsi="宋体" w:eastAsia="宋体"/>
          <w:sz w:val="24"/>
          <w:lang w:val="en-US"/>
        </w:rPr>
      </w:pPr>
    </w:p>
    <w:p>
      <w:pPr>
        <w:pStyle w:val="6"/>
        <w:widowControl/>
        <w:spacing w:beforeLines="0" w:afterLines="0" w:line="360" w:lineRule="auto"/>
        <w:ind w:firstLine="0"/>
        <w:rPr>
          <w:rFonts w:hint="eastAsia" w:ascii="宋体" w:hAnsi="宋体" w:eastAsia="宋体"/>
          <w:sz w:val="24"/>
          <w:lang w:val="en-US"/>
        </w:rPr>
      </w:pPr>
    </w:p>
    <w:p>
      <w:pPr>
        <w:pStyle w:val="6"/>
        <w:widowControl/>
        <w:spacing w:beforeLines="0" w:afterLines="0" w:line="360" w:lineRule="auto"/>
        <w:ind w:firstLine="0"/>
        <w:rPr>
          <w:rFonts w:hint="eastAsia" w:ascii="宋体" w:hAnsi="宋体" w:eastAsia="宋体"/>
          <w:sz w:val="24"/>
          <w:lang w:val="en-US"/>
        </w:rPr>
      </w:pP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投标人(</w:t>
      </w:r>
      <w:r>
        <w:rPr>
          <w:rFonts w:hint="eastAsia" w:ascii="宋体" w:hAnsi="宋体" w:eastAsia="宋体"/>
          <w:sz w:val="24"/>
          <w:lang w:eastAsia="zh-CN"/>
        </w:rPr>
        <w:t>电子签章</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法人代表或授权代表(</w:t>
      </w:r>
      <w:r>
        <w:rPr>
          <w:rFonts w:hint="eastAsia" w:ascii="宋体" w:hAnsi="宋体" w:eastAsia="宋体"/>
          <w:sz w:val="24"/>
          <w:lang w:eastAsia="zh-CN"/>
        </w:rPr>
        <w:t>电子</w:t>
      </w:r>
      <w:r>
        <w:rPr>
          <w:rFonts w:hint="eastAsia" w:ascii="宋体" w:hAnsi="宋体" w:eastAsia="宋体"/>
          <w:sz w:val="24"/>
        </w:rPr>
        <w:t>签</w:t>
      </w:r>
      <w:r>
        <w:rPr>
          <w:rFonts w:hint="eastAsia" w:ascii="宋体" w:hAnsi="宋体" w:eastAsia="宋体"/>
          <w:sz w:val="24"/>
          <w:lang w:eastAsia="zh-CN"/>
        </w:rPr>
        <w:t>名</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rPr>
          <w:rFonts w:hint="eastAsia" w:ascii="宋体" w:hAnsi="宋体" w:eastAsia="宋体"/>
          <w:sz w:val="28"/>
        </w:rPr>
      </w:pP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lang w:eastAsia="zh-CN"/>
        </w:rPr>
        <w:t>日期：</w:t>
      </w:r>
      <w:r>
        <w:rPr>
          <w:rFonts w:hint="eastAsia" w:ascii="宋体" w:hAnsi="宋体" w:eastAsia="宋体"/>
          <w:sz w:val="24"/>
          <w:u w:val="single"/>
          <w:lang w:val="en-US" w:eastAsia="zh-CN"/>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日</w:t>
      </w:r>
    </w:p>
    <w:p>
      <w:pPr>
        <w:pStyle w:val="6"/>
        <w:widowControl/>
        <w:spacing w:beforeLines="0" w:afterLines="0" w:line="360" w:lineRule="auto"/>
        <w:ind w:firstLine="0"/>
        <w:rPr>
          <w:rFonts w:hint="eastAsia" w:ascii="宋体" w:hAnsi="宋体" w:eastAsia="宋体"/>
          <w:sz w:val="24"/>
          <w:lang w:val="en-US"/>
        </w:rPr>
      </w:pPr>
    </w:p>
    <w:p>
      <w:pPr>
        <w:pStyle w:val="6"/>
        <w:widowControl/>
        <w:spacing w:beforeLines="0" w:afterLines="0" w:line="360" w:lineRule="auto"/>
        <w:ind w:firstLine="0"/>
        <w:rPr>
          <w:rFonts w:hint="eastAsia" w:ascii="宋体" w:hAnsi="宋体" w:eastAsia="宋体"/>
          <w:sz w:val="24"/>
          <w:lang w:val="en-US"/>
        </w:rPr>
      </w:pPr>
    </w:p>
    <w:p>
      <w:pPr>
        <w:pStyle w:val="6"/>
        <w:widowControl/>
        <w:spacing w:beforeLines="0" w:afterLines="0" w:line="360" w:lineRule="auto"/>
        <w:ind w:firstLine="0"/>
        <w:rPr>
          <w:rFonts w:hint="eastAsia" w:ascii="宋体" w:hAnsi="宋体" w:eastAsia="宋体"/>
          <w:sz w:val="24"/>
          <w:lang w:val="en-US"/>
        </w:rPr>
      </w:pPr>
    </w:p>
    <w:p>
      <w:pPr>
        <w:pStyle w:val="6"/>
        <w:widowControl/>
        <w:spacing w:beforeLines="0" w:afterLines="0" w:line="360" w:lineRule="auto"/>
        <w:ind w:firstLine="0"/>
        <w:rPr>
          <w:rFonts w:hint="eastAsia" w:ascii="宋体" w:hAnsi="宋体" w:eastAsia="宋体"/>
          <w:sz w:val="24"/>
          <w:lang w:val="en-US"/>
        </w:rPr>
      </w:pPr>
    </w:p>
    <w:p>
      <w:pPr>
        <w:pStyle w:val="6"/>
        <w:widowControl/>
        <w:spacing w:beforeLines="0" w:afterLines="0" w:line="360" w:lineRule="auto"/>
        <w:ind w:firstLine="0"/>
        <w:rPr>
          <w:rFonts w:hint="eastAsia" w:ascii="宋体" w:hAnsi="宋体" w:eastAsia="宋体"/>
          <w:sz w:val="24"/>
          <w:lang w:val="en-US"/>
        </w:rPr>
      </w:pPr>
    </w:p>
    <w:p>
      <w:pPr>
        <w:pStyle w:val="6"/>
        <w:widowControl/>
        <w:spacing w:beforeLines="0" w:afterLines="0" w:line="360" w:lineRule="auto"/>
        <w:ind w:firstLine="0"/>
        <w:rPr>
          <w:rFonts w:hint="eastAsia" w:ascii="宋体" w:hAnsi="宋体" w:eastAsia="宋体"/>
          <w:sz w:val="24"/>
          <w:lang w:val="en-US"/>
        </w:rPr>
      </w:pPr>
    </w:p>
    <w:p>
      <w:pPr>
        <w:pStyle w:val="6"/>
        <w:widowControl/>
        <w:spacing w:beforeLines="0" w:afterLines="0" w:line="360" w:lineRule="auto"/>
        <w:ind w:firstLine="0"/>
        <w:rPr>
          <w:rFonts w:hint="eastAsia" w:ascii="宋体" w:hAnsi="宋体" w:eastAsia="宋体"/>
          <w:sz w:val="24"/>
          <w:lang w:val="en-US"/>
        </w:rPr>
      </w:pPr>
    </w:p>
    <w:p>
      <w:pPr>
        <w:pStyle w:val="6"/>
        <w:widowControl/>
        <w:spacing w:beforeLines="0" w:afterLines="0" w:line="360" w:lineRule="auto"/>
        <w:ind w:firstLine="0"/>
        <w:rPr>
          <w:rFonts w:hint="eastAsia" w:ascii="宋体" w:hAnsi="宋体" w:eastAsia="宋体"/>
          <w:sz w:val="24"/>
          <w:lang w:val="en-US"/>
        </w:rPr>
      </w:pPr>
    </w:p>
    <w:p>
      <w:pPr>
        <w:pStyle w:val="6"/>
        <w:widowControl/>
        <w:spacing w:beforeLines="0" w:afterLines="0" w:line="360" w:lineRule="auto"/>
        <w:ind w:firstLine="0"/>
        <w:rPr>
          <w:rFonts w:hint="eastAsia" w:ascii="宋体" w:hAnsi="宋体" w:eastAsia="宋体"/>
          <w:sz w:val="24"/>
          <w:lang w:val="en-US"/>
        </w:rPr>
      </w:pPr>
    </w:p>
    <w:p>
      <w:pPr>
        <w:pStyle w:val="6"/>
        <w:widowControl/>
        <w:spacing w:beforeLines="0" w:afterLines="0" w:line="360" w:lineRule="auto"/>
        <w:ind w:firstLine="0"/>
        <w:rPr>
          <w:rFonts w:hint="eastAsia" w:ascii="宋体" w:hAnsi="宋体" w:eastAsia="宋体"/>
          <w:sz w:val="24"/>
          <w:lang w:val="en-US"/>
        </w:rPr>
      </w:pPr>
    </w:p>
    <w:p>
      <w:pPr>
        <w:pStyle w:val="6"/>
        <w:widowControl/>
        <w:spacing w:beforeLines="0" w:afterLines="0" w:line="360" w:lineRule="auto"/>
        <w:ind w:firstLine="0"/>
        <w:rPr>
          <w:rFonts w:hint="eastAsia" w:ascii="宋体" w:hAnsi="宋体" w:eastAsia="宋体"/>
          <w:sz w:val="24"/>
          <w:lang w:val="en-US"/>
        </w:rPr>
      </w:pPr>
    </w:p>
    <w:p>
      <w:pPr>
        <w:pStyle w:val="6"/>
        <w:widowControl/>
        <w:spacing w:beforeLines="0" w:afterLines="0" w:line="360" w:lineRule="auto"/>
        <w:ind w:firstLine="0"/>
        <w:rPr>
          <w:rFonts w:hint="eastAsia" w:ascii="宋体" w:hAnsi="宋体" w:eastAsia="宋体"/>
          <w:sz w:val="24"/>
          <w:lang w:val="en-US"/>
        </w:rPr>
      </w:pPr>
    </w:p>
    <w:p>
      <w:pPr>
        <w:pStyle w:val="6"/>
        <w:widowControl/>
        <w:spacing w:beforeLines="0" w:afterLines="0" w:line="360" w:lineRule="auto"/>
        <w:ind w:firstLine="0"/>
        <w:rPr>
          <w:rFonts w:hint="eastAsia" w:ascii="宋体" w:hAnsi="宋体" w:eastAsia="宋体"/>
          <w:sz w:val="24"/>
          <w:lang w:val="en-US"/>
        </w:rPr>
      </w:pPr>
    </w:p>
    <w:p>
      <w:pPr>
        <w:pStyle w:val="6"/>
        <w:widowControl/>
        <w:spacing w:beforeLines="0" w:afterLines="0" w:line="360" w:lineRule="auto"/>
        <w:ind w:firstLine="0"/>
        <w:rPr>
          <w:rFonts w:hint="eastAsia" w:ascii="宋体" w:hAnsi="宋体" w:eastAsia="宋体"/>
          <w:sz w:val="24"/>
          <w:lang w:val="en-US"/>
        </w:rPr>
      </w:pPr>
    </w:p>
    <w:p>
      <w:pPr>
        <w:pStyle w:val="5"/>
        <w:spacing w:beforeLines="0" w:afterLines="0"/>
        <w:jc w:val="center"/>
        <w:rPr>
          <w:rFonts w:hint="eastAsia"/>
          <w:sz w:val="28"/>
          <w:lang w:val="en-US"/>
        </w:rPr>
      </w:pPr>
      <w:bookmarkStart w:id="175" w:name="_Toc19505"/>
      <w:bookmarkStart w:id="176" w:name="_Toc11852"/>
      <w:bookmarkStart w:id="177" w:name="_Toc9440"/>
      <w:bookmarkStart w:id="178" w:name="_Toc18376_WPSOffice_Level3"/>
      <w:r>
        <w:rPr>
          <w:rFonts w:hint="eastAsia"/>
          <w:sz w:val="28"/>
          <w:lang w:val="en-US"/>
        </w:rPr>
        <w:t xml:space="preserve">3.2  </w:t>
      </w:r>
      <w:r>
        <w:rPr>
          <w:rFonts w:hint="eastAsia"/>
          <w:sz w:val="28"/>
          <w:lang w:val="en-US" w:eastAsia="zh-CN"/>
        </w:rPr>
        <w:t>近三年没有重大违法声明函</w:t>
      </w:r>
      <w:bookmarkEnd w:id="175"/>
      <w:bookmarkEnd w:id="176"/>
      <w:bookmarkEnd w:id="177"/>
      <w:bookmarkEnd w:id="178"/>
    </w:p>
    <w:p>
      <w:pPr>
        <w:spacing w:beforeLines="0" w:afterLines="0" w:line="360" w:lineRule="auto"/>
        <w:jc w:val="both"/>
        <w:outlineLvl w:val="0"/>
        <w:rPr>
          <w:rFonts w:hint="eastAsia" w:ascii="宋体" w:hAnsi="宋体" w:eastAsia="宋体"/>
          <w:sz w:val="24"/>
          <w:lang w:val="en-US"/>
        </w:rPr>
      </w:pPr>
    </w:p>
    <w:p>
      <w:pPr>
        <w:spacing w:beforeLines="0" w:afterLines="0" w:line="360" w:lineRule="auto"/>
        <w:rPr>
          <w:rFonts w:hint="eastAsia" w:ascii="宋体" w:hAnsi="宋体" w:eastAsia="宋体"/>
          <w:kern w:val="2"/>
          <w:sz w:val="24"/>
          <w:lang w:val="en-US" w:eastAsia="zh-CN"/>
        </w:rPr>
      </w:pPr>
      <w:bookmarkStart w:id="179" w:name="_Toc25690"/>
      <w:r>
        <w:rPr>
          <w:rFonts w:hint="eastAsia" w:ascii="宋体" w:hAnsi="宋体" w:eastAsia="宋体"/>
          <w:kern w:val="2"/>
          <w:sz w:val="24"/>
          <w:lang w:val="en-US" w:eastAsia="zh-CN"/>
        </w:rPr>
        <w:t>我单位承诺：</w:t>
      </w:r>
      <w:bookmarkEnd w:id="179"/>
    </w:p>
    <w:p>
      <w:pPr>
        <w:spacing w:beforeLines="0" w:afterLines="0" w:line="360" w:lineRule="auto"/>
        <w:ind w:firstLine="480" w:firstLineChars="200"/>
        <w:rPr>
          <w:rFonts w:hint="eastAsia" w:ascii="宋体" w:hAnsi="宋体" w:eastAsia="宋体"/>
          <w:kern w:val="2"/>
          <w:sz w:val="24"/>
          <w:lang w:val="en-US" w:eastAsia="zh-CN"/>
        </w:rPr>
      </w:pPr>
      <w:bookmarkStart w:id="180" w:name="_Toc19813"/>
      <w:r>
        <w:rPr>
          <w:rFonts w:hint="eastAsia" w:ascii="宋体" w:hAnsi="宋体" w:eastAsia="宋体"/>
          <w:kern w:val="2"/>
          <w:sz w:val="24"/>
          <w:lang w:val="en-US" w:eastAsia="zh-CN"/>
        </w:rPr>
        <w:t>我公司近三年内在中华人民共和国境内没有重大违法记录，具有良好的商业信誉和完善的售后服务体系，并能承担招标项目供货能力和服务的企业。</w:t>
      </w:r>
      <w:bookmarkEnd w:id="180"/>
    </w:p>
    <w:p>
      <w:pPr>
        <w:spacing w:beforeLines="0" w:afterLines="0" w:line="360" w:lineRule="auto"/>
        <w:ind w:firstLine="480" w:firstLineChars="200"/>
        <w:rPr>
          <w:rFonts w:hint="eastAsia" w:ascii="宋体" w:hAnsi="宋体" w:eastAsia="宋体"/>
          <w:kern w:val="2"/>
          <w:sz w:val="24"/>
          <w:lang w:val="en-US" w:eastAsia="zh-CN"/>
        </w:rPr>
      </w:pPr>
      <w:r>
        <w:rPr>
          <w:rFonts w:hint="eastAsia" w:ascii="宋体" w:hAnsi="宋体" w:eastAsia="宋体"/>
          <w:kern w:val="2"/>
          <w:sz w:val="24"/>
          <w:lang w:val="en-US" w:eastAsia="zh-CN"/>
        </w:rPr>
        <w:t>若我公司承诺不属实，同意取消本项目投标资格，并将承担相关法律责任，接受处理。</w:t>
      </w:r>
    </w:p>
    <w:p>
      <w:pPr>
        <w:spacing w:beforeLines="0" w:afterLines="0" w:line="360" w:lineRule="auto"/>
        <w:rPr>
          <w:rFonts w:hint="eastAsia" w:ascii="宋体" w:hAnsi="宋体" w:eastAsia="宋体"/>
          <w:kern w:val="2"/>
          <w:sz w:val="24"/>
          <w:lang w:val="en-US" w:eastAsia="zh-CN"/>
        </w:rPr>
      </w:pPr>
    </w:p>
    <w:p>
      <w:pPr>
        <w:spacing w:beforeLines="0" w:afterLines="0" w:line="360" w:lineRule="auto"/>
        <w:rPr>
          <w:rFonts w:hint="eastAsia" w:ascii="宋体" w:hAnsi="宋体" w:eastAsia="宋体"/>
          <w:kern w:val="2"/>
          <w:sz w:val="24"/>
          <w:lang w:val="en-US" w:eastAsia="zh-CN"/>
        </w:rPr>
      </w:pPr>
    </w:p>
    <w:p>
      <w:pPr>
        <w:spacing w:beforeLines="0" w:afterLines="0" w:line="360" w:lineRule="auto"/>
        <w:rPr>
          <w:rFonts w:hint="eastAsia" w:ascii="宋体" w:hAnsi="宋体" w:eastAsia="宋体"/>
          <w:kern w:val="2"/>
          <w:sz w:val="24"/>
          <w:lang w:val="en-US" w:eastAsia="zh-CN"/>
        </w:rPr>
      </w:pPr>
    </w:p>
    <w:p>
      <w:pPr>
        <w:spacing w:beforeLines="0" w:afterLines="0" w:line="360" w:lineRule="auto"/>
        <w:rPr>
          <w:rFonts w:hint="eastAsia" w:ascii="宋体" w:hAnsi="宋体" w:eastAsia="宋体"/>
          <w:kern w:val="2"/>
          <w:sz w:val="24"/>
          <w:lang w:val="en-US" w:eastAsia="zh-CN"/>
        </w:rPr>
      </w:pP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投标人(</w:t>
      </w:r>
      <w:r>
        <w:rPr>
          <w:rFonts w:hint="eastAsia" w:ascii="宋体" w:hAnsi="宋体" w:eastAsia="宋体"/>
          <w:sz w:val="24"/>
          <w:lang w:eastAsia="zh-CN"/>
        </w:rPr>
        <w:t>电子签章</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法人代表或授权代表(</w:t>
      </w:r>
      <w:r>
        <w:rPr>
          <w:rFonts w:hint="eastAsia" w:ascii="宋体" w:hAnsi="宋体" w:eastAsia="宋体"/>
          <w:sz w:val="24"/>
          <w:lang w:eastAsia="zh-CN"/>
        </w:rPr>
        <w:t>电子</w:t>
      </w:r>
      <w:r>
        <w:rPr>
          <w:rFonts w:hint="eastAsia" w:ascii="宋体" w:hAnsi="宋体" w:eastAsia="宋体"/>
          <w:sz w:val="24"/>
        </w:rPr>
        <w:t>签</w:t>
      </w:r>
      <w:r>
        <w:rPr>
          <w:rFonts w:hint="eastAsia" w:ascii="宋体" w:hAnsi="宋体" w:eastAsia="宋体"/>
          <w:sz w:val="24"/>
          <w:lang w:eastAsia="zh-CN"/>
        </w:rPr>
        <w:t>名</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rPr>
          <w:rFonts w:hint="eastAsia" w:ascii="宋体" w:hAnsi="宋体" w:eastAsia="宋体"/>
          <w:sz w:val="28"/>
        </w:rPr>
      </w:pP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lang w:eastAsia="zh-CN"/>
        </w:rPr>
        <w:t>日期：</w:t>
      </w:r>
      <w:r>
        <w:rPr>
          <w:rFonts w:hint="eastAsia" w:ascii="宋体" w:hAnsi="宋体" w:eastAsia="宋体"/>
          <w:sz w:val="24"/>
          <w:u w:val="single"/>
          <w:lang w:val="en-US" w:eastAsia="zh-CN"/>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日</w:t>
      </w:r>
    </w:p>
    <w:p>
      <w:pPr>
        <w:spacing w:beforeLines="0" w:afterLines="0" w:line="360" w:lineRule="auto"/>
        <w:rPr>
          <w:rFonts w:hint="eastAsia" w:ascii="宋体" w:hAnsi="宋体" w:eastAsia="宋体"/>
          <w:kern w:val="2"/>
          <w:sz w:val="24"/>
          <w:lang w:val="en-US" w:eastAsia="zh-CN"/>
        </w:rPr>
      </w:pPr>
    </w:p>
    <w:p>
      <w:pPr>
        <w:spacing w:beforeLines="0" w:afterLines="0" w:line="360" w:lineRule="auto"/>
        <w:jc w:val="both"/>
        <w:rPr>
          <w:rFonts w:hint="eastAsia" w:ascii="宋体" w:hAnsi="宋体" w:eastAsia="宋体"/>
          <w:kern w:val="2"/>
          <w:sz w:val="24"/>
          <w:lang w:val="en-US" w:eastAsia="zh-CN"/>
        </w:rPr>
      </w:pPr>
    </w:p>
    <w:p>
      <w:pPr>
        <w:spacing w:beforeLines="0" w:afterLines="0" w:line="360" w:lineRule="auto"/>
        <w:jc w:val="both"/>
        <w:rPr>
          <w:rFonts w:hint="eastAsia" w:ascii="宋体" w:hAnsi="宋体" w:eastAsia="宋体"/>
          <w:kern w:val="2"/>
          <w:sz w:val="24"/>
          <w:lang w:val="en-US" w:eastAsia="zh-CN"/>
        </w:rPr>
      </w:pPr>
    </w:p>
    <w:p>
      <w:pPr>
        <w:spacing w:beforeLines="0" w:afterLines="0" w:line="360" w:lineRule="auto"/>
        <w:jc w:val="both"/>
        <w:rPr>
          <w:rFonts w:hint="eastAsia" w:ascii="宋体" w:hAnsi="宋体" w:eastAsia="宋体"/>
          <w:kern w:val="2"/>
          <w:sz w:val="24"/>
          <w:lang w:val="en-US" w:eastAsia="zh-CN"/>
        </w:rPr>
      </w:pPr>
    </w:p>
    <w:p>
      <w:pPr>
        <w:spacing w:beforeLines="0" w:afterLines="0"/>
        <w:jc w:val="both"/>
        <w:rPr>
          <w:rFonts w:hint="eastAsia" w:ascii="宋体" w:hAnsi="宋体" w:eastAsia="宋体"/>
          <w:sz w:val="24"/>
          <w:lang w:val="en-US"/>
        </w:rPr>
      </w:pPr>
    </w:p>
    <w:p>
      <w:pPr>
        <w:spacing w:beforeLines="0" w:afterLines="0"/>
        <w:jc w:val="both"/>
        <w:rPr>
          <w:rFonts w:hint="eastAsia" w:ascii="宋体" w:hAnsi="宋体" w:eastAsia="宋体"/>
          <w:sz w:val="24"/>
          <w:lang w:val="en-US"/>
        </w:rPr>
      </w:pPr>
    </w:p>
    <w:p>
      <w:pPr>
        <w:spacing w:beforeLines="0" w:afterLines="0"/>
        <w:jc w:val="both"/>
        <w:rPr>
          <w:rFonts w:hint="eastAsia" w:ascii="宋体" w:hAnsi="宋体" w:eastAsia="宋体"/>
          <w:sz w:val="24"/>
          <w:lang w:val="en-US"/>
        </w:rPr>
      </w:pPr>
    </w:p>
    <w:p>
      <w:pPr>
        <w:spacing w:beforeLines="0" w:afterLines="0"/>
        <w:jc w:val="both"/>
        <w:rPr>
          <w:rFonts w:hint="eastAsia" w:ascii="宋体" w:hAnsi="宋体" w:eastAsia="宋体"/>
          <w:sz w:val="24"/>
          <w:lang w:val="en-US"/>
        </w:rPr>
      </w:pPr>
    </w:p>
    <w:p>
      <w:pPr>
        <w:spacing w:beforeLines="0" w:afterLines="0"/>
        <w:jc w:val="both"/>
        <w:rPr>
          <w:rFonts w:hint="eastAsia" w:ascii="宋体" w:hAnsi="宋体" w:eastAsia="宋体"/>
          <w:sz w:val="24"/>
          <w:lang w:val="en-US"/>
        </w:rPr>
      </w:pPr>
    </w:p>
    <w:p>
      <w:pPr>
        <w:spacing w:beforeLines="0" w:afterLines="0"/>
        <w:jc w:val="both"/>
        <w:rPr>
          <w:rFonts w:hint="eastAsia" w:ascii="宋体" w:hAnsi="宋体" w:eastAsia="宋体"/>
          <w:sz w:val="24"/>
          <w:lang w:val="en-US"/>
        </w:rPr>
      </w:pPr>
    </w:p>
    <w:p>
      <w:pPr>
        <w:spacing w:beforeLines="0" w:afterLines="0" w:line="360" w:lineRule="auto"/>
        <w:jc w:val="both"/>
        <w:outlineLvl w:val="0"/>
        <w:rPr>
          <w:rFonts w:hint="eastAsia" w:ascii="宋体" w:hAnsi="宋体" w:eastAsia="宋体"/>
          <w:b/>
          <w:sz w:val="32"/>
          <w:lang w:val="en-US"/>
        </w:rPr>
      </w:pPr>
    </w:p>
    <w:p>
      <w:pPr>
        <w:pStyle w:val="5"/>
        <w:spacing w:beforeLines="0" w:afterLines="0"/>
        <w:jc w:val="center"/>
        <w:rPr>
          <w:rFonts w:hint="eastAsia"/>
          <w:sz w:val="24"/>
          <w:lang w:val="en-US"/>
        </w:rPr>
      </w:pPr>
      <w:r>
        <w:rPr>
          <w:rFonts w:hint="eastAsia"/>
          <w:sz w:val="24"/>
          <w:lang w:val="en-US"/>
        </w:rPr>
        <w:br w:type="page"/>
      </w:r>
      <w:r>
        <w:rPr>
          <w:rFonts w:hint="eastAsia"/>
          <w:sz w:val="28"/>
          <w:lang w:val="en-US"/>
        </w:rPr>
        <w:t xml:space="preserve">   </w:t>
      </w:r>
      <w:bookmarkStart w:id="181" w:name="_Toc22157_WPSOffice_Level3"/>
      <w:bookmarkStart w:id="182" w:name="_Toc17126"/>
      <w:bookmarkStart w:id="183" w:name="_Toc5865"/>
      <w:bookmarkStart w:id="184" w:name="_Toc32334"/>
      <w:r>
        <w:rPr>
          <w:rFonts w:hint="eastAsia"/>
          <w:sz w:val="28"/>
          <w:lang w:val="en-US"/>
        </w:rPr>
        <w:t xml:space="preserve">3.3 </w:t>
      </w:r>
      <w:r>
        <w:rPr>
          <w:rFonts w:hint="eastAsia"/>
          <w:sz w:val="28"/>
          <w:lang w:val="en-US" w:eastAsia="zh-CN"/>
        </w:rPr>
        <w:t>投标人反商业贿赂承诺书（固定格式）</w:t>
      </w:r>
      <w:bookmarkEnd w:id="181"/>
      <w:bookmarkEnd w:id="182"/>
      <w:bookmarkEnd w:id="183"/>
      <w:bookmarkEnd w:id="184"/>
    </w:p>
    <w:p>
      <w:pPr>
        <w:spacing w:beforeLines="0" w:afterLines="0" w:line="360" w:lineRule="auto"/>
        <w:rPr>
          <w:rFonts w:hint="default"/>
          <w:sz w:val="24"/>
          <w:lang w:val="en-US" w:eastAsia="zh-CN"/>
        </w:rPr>
      </w:pPr>
      <w:bookmarkStart w:id="185" w:name="_Toc4416"/>
    </w:p>
    <w:p>
      <w:pPr>
        <w:spacing w:beforeLines="0" w:afterLines="0" w:line="360" w:lineRule="auto"/>
        <w:rPr>
          <w:rFonts w:hint="default"/>
          <w:sz w:val="24"/>
          <w:lang w:val="en-US"/>
        </w:rPr>
      </w:pPr>
      <w:r>
        <w:rPr>
          <w:rFonts w:hint="eastAsia" w:ascii="Wingdings" w:hAnsi="Wingdings" w:eastAsia="宋体"/>
          <w:sz w:val="24"/>
          <w:lang w:val="en-US" w:eastAsia="zh-CN"/>
        </w:rPr>
        <w:t>我公司承诺：</w:t>
      </w:r>
      <w:bookmarkEnd w:id="185"/>
    </w:p>
    <w:p>
      <w:pPr>
        <w:spacing w:beforeLines="0" w:afterLines="0" w:line="360" w:lineRule="auto"/>
        <w:ind w:firstLine="480" w:firstLineChars="200"/>
        <w:rPr>
          <w:rFonts w:hint="default"/>
          <w:sz w:val="24"/>
          <w:lang w:val="en-US"/>
        </w:rPr>
      </w:pPr>
      <w:bookmarkStart w:id="186" w:name="_Toc32295"/>
      <w:r>
        <w:rPr>
          <w:rFonts w:hint="eastAsia" w:ascii="Wingdings" w:hAnsi="Wingdings" w:eastAsia="宋体"/>
          <w:sz w:val="24"/>
          <w:lang w:val="en-US" w:eastAsia="zh-CN"/>
        </w:rPr>
        <w:t>在 （投标项目名称）招标活动中，我公司保证做到：</w:t>
      </w:r>
      <w:bookmarkEnd w:id="186"/>
    </w:p>
    <w:p>
      <w:pPr>
        <w:spacing w:beforeLines="0" w:afterLines="0" w:line="360" w:lineRule="auto"/>
        <w:ind w:firstLine="420" w:firstLineChars="175"/>
        <w:rPr>
          <w:rFonts w:hint="default"/>
          <w:sz w:val="24"/>
          <w:lang w:val="en-US"/>
        </w:rPr>
      </w:pPr>
      <w:bookmarkStart w:id="187" w:name="_Toc21232"/>
      <w:r>
        <w:rPr>
          <w:rFonts w:hint="eastAsia" w:ascii="Wingdings" w:hAnsi="Wingdings" w:eastAsia="宋体"/>
          <w:sz w:val="24"/>
          <w:lang w:val="en-US" w:eastAsia="zh-CN"/>
        </w:rPr>
        <w:t>一、公平竞争参加本次招标活动。</w:t>
      </w:r>
      <w:bookmarkEnd w:id="187"/>
    </w:p>
    <w:p>
      <w:pPr>
        <w:spacing w:beforeLines="0" w:afterLines="0" w:line="360" w:lineRule="auto"/>
        <w:ind w:firstLine="420" w:firstLineChars="175"/>
        <w:rPr>
          <w:rFonts w:hint="default"/>
          <w:sz w:val="24"/>
          <w:lang w:val="en-US"/>
        </w:rPr>
      </w:pPr>
      <w:bookmarkStart w:id="188" w:name="_Toc7180"/>
      <w:r>
        <w:rPr>
          <w:rFonts w:hint="eastAsia" w:ascii="Wingdings" w:hAnsi="Wingdings" w:eastAsia="宋体"/>
          <w:sz w:val="24"/>
          <w:lang w:val="en-US" w:eastAsia="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188"/>
    </w:p>
    <w:p>
      <w:pPr>
        <w:spacing w:beforeLines="0" w:afterLines="0" w:line="360" w:lineRule="auto"/>
        <w:ind w:firstLine="420" w:firstLineChars="175"/>
        <w:rPr>
          <w:rFonts w:hint="default"/>
          <w:sz w:val="24"/>
          <w:lang w:val="en-US"/>
        </w:rPr>
      </w:pPr>
      <w:bookmarkStart w:id="189" w:name="_Toc23684"/>
      <w:r>
        <w:rPr>
          <w:rFonts w:hint="eastAsia" w:ascii="Wingdings" w:hAnsi="Wingdings" w:eastAsia="宋体"/>
          <w:sz w:val="24"/>
          <w:lang w:val="en-US" w:eastAsia="zh-CN"/>
        </w:rPr>
        <w:t>三、若出现上述行为，我公司及参与投标的工作人员愿意接受按照国家法律法规等有关规定给予的处罚。</w:t>
      </w:r>
      <w:bookmarkEnd w:id="189"/>
    </w:p>
    <w:p>
      <w:pPr>
        <w:spacing w:beforeLines="0" w:afterLines="0" w:line="360" w:lineRule="auto"/>
        <w:ind w:firstLine="420" w:firstLineChars="175"/>
        <w:rPr>
          <w:rFonts w:hint="default"/>
          <w:sz w:val="24"/>
          <w:lang w:val="en-US"/>
        </w:rPr>
      </w:pPr>
    </w:p>
    <w:p>
      <w:pPr>
        <w:spacing w:beforeLines="0" w:afterLines="0" w:line="360" w:lineRule="auto"/>
        <w:rPr>
          <w:rFonts w:hint="default"/>
          <w:sz w:val="24"/>
          <w:lang w:val="en-US"/>
        </w:rPr>
      </w:pPr>
    </w:p>
    <w:p>
      <w:pPr>
        <w:spacing w:beforeLines="0" w:afterLines="0" w:line="360" w:lineRule="auto"/>
        <w:rPr>
          <w:rFonts w:hint="default"/>
          <w:sz w:val="24"/>
          <w:lang w:val="en-US"/>
        </w:rPr>
      </w:pP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投标人(</w:t>
      </w:r>
      <w:r>
        <w:rPr>
          <w:rFonts w:hint="eastAsia" w:ascii="宋体" w:hAnsi="宋体" w:eastAsia="宋体"/>
          <w:sz w:val="24"/>
          <w:lang w:eastAsia="zh-CN"/>
        </w:rPr>
        <w:t>电子签章</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法人代表或授权代表(</w:t>
      </w:r>
      <w:r>
        <w:rPr>
          <w:rFonts w:hint="eastAsia" w:ascii="宋体" w:hAnsi="宋体" w:eastAsia="宋体"/>
          <w:sz w:val="24"/>
          <w:lang w:eastAsia="zh-CN"/>
        </w:rPr>
        <w:t>电子</w:t>
      </w:r>
      <w:r>
        <w:rPr>
          <w:rFonts w:hint="eastAsia" w:ascii="宋体" w:hAnsi="宋体" w:eastAsia="宋体"/>
          <w:sz w:val="24"/>
        </w:rPr>
        <w:t>签</w:t>
      </w:r>
      <w:r>
        <w:rPr>
          <w:rFonts w:hint="eastAsia" w:ascii="宋体" w:hAnsi="宋体" w:eastAsia="宋体"/>
          <w:sz w:val="24"/>
          <w:lang w:eastAsia="zh-CN"/>
        </w:rPr>
        <w:t>名</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rPr>
          <w:rFonts w:hint="eastAsia" w:ascii="宋体" w:hAnsi="宋体" w:eastAsia="宋体"/>
          <w:sz w:val="28"/>
        </w:rPr>
      </w:pP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lang w:eastAsia="zh-CN"/>
        </w:rPr>
        <w:t>日期：</w:t>
      </w:r>
      <w:r>
        <w:rPr>
          <w:rFonts w:hint="eastAsia" w:ascii="宋体" w:hAnsi="宋体" w:eastAsia="宋体"/>
          <w:sz w:val="24"/>
          <w:u w:val="single"/>
          <w:lang w:val="en-US" w:eastAsia="zh-CN"/>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日</w:t>
      </w:r>
    </w:p>
    <w:p>
      <w:pPr>
        <w:spacing w:beforeLines="0" w:afterLines="0"/>
        <w:jc w:val="both"/>
        <w:rPr>
          <w:rFonts w:hint="eastAsia" w:ascii="宋体" w:hAnsi="宋体" w:eastAsia="宋体"/>
          <w:sz w:val="24"/>
          <w:lang w:val="en-US"/>
        </w:rPr>
      </w:pPr>
    </w:p>
    <w:p>
      <w:pPr>
        <w:spacing w:beforeLines="0" w:afterLines="0"/>
        <w:jc w:val="both"/>
        <w:rPr>
          <w:rFonts w:hint="eastAsia" w:ascii="宋体" w:hAnsi="宋体" w:eastAsia="宋体"/>
          <w:sz w:val="24"/>
          <w:lang w:val="en-US"/>
        </w:rPr>
      </w:pPr>
    </w:p>
    <w:p>
      <w:pPr>
        <w:spacing w:beforeLines="0" w:afterLines="0"/>
        <w:jc w:val="both"/>
        <w:rPr>
          <w:rFonts w:hint="eastAsia" w:ascii="宋体" w:hAnsi="宋体" w:eastAsia="宋体"/>
          <w:sz w:val="24"/>
          <w:lang w:val="en-US"/>
        </w:rPr>
      </w:pPr>
    </w:p>
    <w:p>
      <w:pPr>
        <w:pStyle w:val="26"/>
        <w:spacing w:beforeLines="0" w:afterLines="0"/>
        <w:rPr>
          <w:rFonts w:hint="eastAsia" w:eastAsia="宋体"/>
          <w:sz w:val="24"/>
          <w:lang w:val="en-US"/>
        </w:rPr>
      </w:pPr>
    </w:p>
    <w:p>
      <w:pPr>
        <w:pStyle w:val="26"/>
        <w:spacing w:beforeLines="0" w:afterLines="0"/>
        <w:rPr>
          <w:rFonts w:hint="eastAsia" w:eastAsia="宋体"/>
          <w:sz w:val="24"/>
          <w:lang w:val="en-US"/>
        </w:rPr>
      </w:pPr>
    </w:p>
    <w:p>
      <w:pPr>
        <w:spacing w:beforeLines="0" w:afterLines="0"/>
        <w:jc w:val="both"/>
        <w:rPr>
          <w:rFonts w:hint="eastAsia" w:ascii="宋体" w:hAnsi="宋体" w:eastAsia="宋体"/>
          <w:sz w:val="24"/>
          <w:lang w:val="en-US"/>
        </w:rPr>
      </w:pPr>
    </w:p>
    <w:p>
      <w:pPr>
        <w:spacing w:beforeLines="0" w:afterLines="0"/>
        <w:jc w:val="both"/>
        <w:rPr>
          <w:rFonts w:hint="eastAsia" w:ascii="宋体" w:hAnsi="宋体" w:eastAsia="宋体"/>
          <w:sz w:val="24"/>
          <w:lang w:val="en-US"/>
        </w:rPr>
      </w:pPr>
    </w:p>
    <w:p>
      <w:pPr>
        <w:spacing w:beforeLines="0" w:afterLines="0"/>
        <w:jc w:val="both"/>
        <w:rPr>
          <w:rFonts w:hint="eastAsia" w:ascii="宋体" w:hAnsi="宋体" w:eastAsia="宋体"/>
          <w:sz w:val="24"/>
          <w:lang w:val="en-US"/>
        </w:rPr>
      </w:pPr>
    </w:p>
    <w:p>
      <w:pPr>
        <w:spacing w:beforeLines="0" w:afterLines="0"/>
        <w:jc w:val="both"/>
        <w:rPr>
          <w:rFonts w:hint="eastAsia" w:ascii="宋体" w:hAnsi="宋体" w:eastAsia="宋体"/>
          <w:sz w:val="24"/>
          <w:lang w:val="en-US"/>
        </w:rPr>
      </w:pPr>
    </w:p>
    <w:p>
      <w:pPr>
        <w:spacing w:beforeLines="0" w:afterLines="0"/>
        <w:jc w:val="both"/>
        <w:rPr>
          <w:rFonts w:hint="eastAsia" w:ascii="宋体" w:hAnsi="宋体" w:eastAsia="宋体"/>
          <w:sz w:val="24"/>
          <w:lang w:val="en-US"/>
        </w:rPr>
      </w:pPr>
    </w:p>
    <w:p>
      <w:pPr>
        <w:spacing w:beforeLines="0" w:afterLines="0"/>
        <w:jc w:val="both"/>
        <w:rPr>
          <w:rFonts w:hint="eastAsia" w:ascii="宋体" w:hAnsi="宋体" w:eastAsia="宋体"/>
          <w:sz w:val="24"/>
          <w:lang w:val="en-US"/>
        </w:rPr>
      </w:pPr>
    </w:p>
    <w:p>
      <w:pPr>
        <w:spacing w:beforeLines="0" w:afterLines="0"/>
        <w:jc w:val="both"/>
        <w:rPr>
          <w:rFonts w:hint="eastAsia" w:ascii="宋体" w:hAnsi="宋体" w:eastAsia="宋体"/>
          <w:sz w:val="24"/>
          <w:lang w:val="en-US"/>
        </w:rPr>
      </w:pPr>
    </w:p>
    <w:p>
      <w:pPr>
        <w:spacing w:beforeLines="0" w:afterLines="0"/>
        <w:jc w:val="both"/>
        <w:rPr>
          <w:rFonts w:hint="eastAsia" w:ascii="宋体" w:hAnsi="宋体" w:eastAsia="宋体"/>
          <w:sz w:val="24"/>
          <w:lang w:val="en-US"/>
        </w:rPr>
      </w:pPr>
    </w:p>
    <w:p>
      <w:pPr>
        <w:pStyle w:val="16"/>
        <w:spacing w:beforeLines="0" w:afterLines="0"/>
        <w:rPr>
          <w:rFonts w:hint="eastAsia" w:ascii="宋体" w:hAnsi="宋体" w:eastAsia="宋体"/>
          <w:sz w:val="28"/>
          <w:lang w:val="en-US"/>
        </w:rPr>
      </w:pPr>
    </w:p>
    <w:p>
      <w:pPr>
        <w:pStyle w:val="15"/>
        <w:rPr>
          <w:rFonts w:hint="eastAsia" w:hAnsi="宋体"/>
          <w:sz w:val="24"/>
        </w:rPr>
      </w:pPr>
    </w:p>
    <w:p>
      <w:pPr>
        <w:pStyle w:val="15"/>
        <w:rPr>
          <w:rFonts w:hint="eastAsia" w:hAnsi="宋体"/>
          <w:sz w:val="24"/>
        </w:rPr>
      </w:pPr>
    </w:p>
    <w:p>
      <w:pPr>
        <w:pStyle w:val="15"/>
        <w:rPr>
          <w:rFonts w:hint="eastAsia" w:hAnsi="宋体"/>
          <w:sz w:val="24"/>
        </w:rPr>
      </w:pPr>
    </w:p>
    <w:p>
      <w:pPr>
        <w:spacing w:beforeLines="0" w:afterLines="0"/>
        <w:jc w:val="center"/>
        <w:rPr>
          <w:rFonts w:hint="eastAsia" w:ascii="Times New Roman" w:hAnsi="Times New Roman" w:eastAsia="宋体"/>
          <w:b/>
          <w:kern w:val="2"/>
          <w:sz w:val="24"/>
          <w:lang w:val="en-US" w:eastAsia="zh-CN"/>
        </w:rPr>
      </w:pPr>
      <w:bookmarkStart w:id="190" w:name="_Toc22579_WPSOffice_Level3"/>
    </w:p>
    <w:p>
      <w:pPr>
        <w:pStyle w:val="5"/>
        <w:spacing w:beforeLines="0" w:afterLines="0"/>
        <w:jc w:val="center"/>
        <w:rPr>
          <w:rFonts w:hint="eastAsia"/>
          <w:sz w:val="28"/>
          <w:lang w:val="en-US" w:eastAsia="zh-CN"/>
        </w:rPr>
      </w:pPr>
      <w:bookmarkStart w:id="191" w:name="_Toc22273"/>
      <w:r>
        <w:rPr>
          <w:rFonts w:hint="eastAsia"/>
          <w:sz w:val="28"/>
          <w:lang w:val="en-US" w:eastAsia="zh-CN"/>
        </w:rPr>
        <w:t>3.4供应商基本情况表</w:t>
      </w:r>
      <w:bookmarkEnd w:id="190"/>
      <w:bookmarkEnd w:id="191"/>
    </w:p>
    <w:tbl>
      <w:tblPr>
        <w:tblStyle w:val="2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5"/>
        <w:gridCol w:w="1025"/>
        <w:gridCol w:w="59"/>
        <w:gridCol w:w="1201"/>
        <w:gridCol w:w="1260"/>
        <w:gridCol w:w="900"/>
        <w:gridCol w:w="360"/>
        <w:gridCol w:w="90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供应商名称</w:t>
            </w:r>
          </w:p>
        </w:tc>
        <w:tc>
          <w:tcPr>
            <w:tcW w:w="7325"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注册地址</w:t>
            </w:r>
          </w:p>
        </w:tc>
        <w:tc>
          <w:tcPr>
            <w:tcW w:w="4445"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p>
        </w:tc>
        <w:tc>
          <w:tcPr>
            <w:tcW w:w="1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邮政编码</w:t>
            </w:r>
          </w:p>
        </w:tc>
        <w:tc>
          <w:tcPr>
            <w:tcW w:w="16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联系方式</w:t>
            </w:r>
          </w:p>
        </w:tc>
        <w:tc>
          <w:tcPr>
            <w:tcW w:w="108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联系人</w:t>
            </w:r>
          </w:p>
        </w:tc>
        <w:tc>
          <w:tcPr>
            <w:tcW w:w="336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p>
        </w:tc>
        <w:tc>
          <w:tcPr>
            <w:tcW w:w="1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联系电话</w:t>
            </w:r>
          </w:p>
        </w:tc>
        <w:tc>
          <w:tcPr>
            <w:tcW w:w="16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组织结构</w:t>
            </w:r>
          </w:p>
        </w:tc>
        <w:tc>
          <w:tcPr>
            <w:tcW w:w="7325"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法定代表人</w:t>
            </w:r>
          </w:p>
        </w:tc>
        <w:tc>
          <w:tcPr>
            <w:tcW w:w="10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姓名</w:t>
            </w:r>
          </w:p>
        </w:tc>
        <w:tc>
          <w:tcPr>
            <w:tcW w:w="1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技术职称</w:t>
            </w:r>
          </w:p>
        </w:tc>
        <w:tc>
          <w:tcPr>
            <w:tcW w:w="1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p>
        </w:tc>
        <w:tc>
          <w:tcPr>
            <w:tcW w:w="1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联系电话</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技术负责人</w:t>
            </w:r>
          </w:p>
        </w:tc>
        <w:tc>
          <w:tcPr>
            <w:tcW w:w="10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姓名</w:t>
            </w:r>
          </w:p>
        </w:tc>
        <w:tc>
          <w:tcPr>
            <w:tcW w:w="1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技术职称</w:t>
            </w:r>
          </w:p>
        </w:tc>
        <w:tc>
          <w:tcPr>
            <w:tcW w:w="1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p>
        </w:tc>
        <w:tc>
          <w:tcPr>
            <w:tcW w:w="126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联系电话</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成立时间</w:t>
            </w:r>
          </w:p>
        </w:tc>
        <w:tc>
          <w:tcPr>
            <w:tcW w:w="228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p>
        </w:tc>
        <w:tc>
          <w:tcPr>
            <w:tcW w:w="504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企业资质等级</w:t>
            </w:r>
          </w:p>
        </w:tc>
        <w:tc>
          <w:tcPr>
            <w:tcW w:w="7325"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营业执照号</w:t>
            </w:r>
          </w:p>
        </w:tc>
        <w:tc>
          <w:tcPr>
            <w:tcW w:w="7325"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注册资金</w:t>
            </w:r>
          </w:p>
        </w:tc>
        <w:tc>
          <w:tcPr>
            <w:tcW w:w="7325"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开户银行</w:t>
            </w:r>
          </w:p>
        </w:tc>
        <w:tc>
          <w:tcPr>
            <w:tcW w:w="7325"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账号</w:t>
            </w:r>
          </w:p>
        </w:tc>
        <w:tc>
          <w:tcPr>
            <w:tcW w:w="7325"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经营范围</w:t>
            </w:r>
          </w:p>
        </w:tc>
        <w:tc>
          <w:tcPr>
            <w:tcW w:w="7325"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r>
              <w:rPr>
                <w:rFonts w:hint="eastAsia" w:ascii="宋体" w:hAnsi="宋体" w:eastAsia="宋体"/>
                <w:kern w:val="2"/>
                <w:sz w:val="24"/>
                <w:lang w:val="en-US" w:eastAsia="zh-CN"/>
              </w:rPr>
              <w:t>备注</w:t>
            </w:r>
          </w:p>
        </w:tc>
        <w:tc>
          <w:tcPr>
            <w:tcW w:w="7325"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宋体" w:hAnsi="宋体" w:eastAsia="宋体"/>
                <w:sz w:val="24"/>
                <w:lang w:val="en-US"/>
              </w:rPr>
            </w:pPr>
          </w:p>
        </w:tc>
      </w:tr>
    </w:tbl>
    <w:p>
      <w:pPr>
        <w:spacing w:beforeLines="0" w:afterLines="0"/>
        <w:jc w:val="both"/>
        <w:rPr>
          <w:rFonts w:hint="eastAsia" w:ascii="宋体" w:hAnsi="宋体" w:eastAsia="宋体"/>
          <w:sz w:val="24"/>
          <w:lang w:val="en-US"/>
        </w:rPr>
      </w:pPr>
    </w:p>
    <w:p>
      <w:pPr>
        <w:spacing w:beforeLines="0" w:afterLines="0"/>
        <w:jc w:val="both"/>
        <w:rPr>
          <w:rFonts w:hint="eastAsia" w:ascii="宋体" w:hAnsi="宋体" w:eastAsia="宋体"/>
          <w:b/>
          <w:sz w:val="24"/>
          <w:lang w:val="en-US"/>
        </w:rPr>
      </w:pP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投标人(</w:t>
      </w:r>
      <w:r>
        <w:rPr>
          <w:rFonts w:hint="eastAsia" w:ascii="宋体" w:hAnsi="宋体" w:eastAsia="宋体"/>
          <w:sz w:val="24"/>
          <w:lang w:eastAsia="zh-CN"/>
        </w:rPr>
        <w:t>电子签章</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法人代表或授权代表(</w:t>
      </w:r>
      <w:r>
        <w:rPr>
          <w:rFonts w:hint="eastAsia" w:ascii="宋体" w:hAnsi="宋体" w:eastAsia="宋体"/>
          <w:sz w:val="24"/>
          <w:lang w:eastAsia="zh-CN"/>
        </w:rPr>
        <w:t>电子</w:t>
      </w:r>
      <w:r>
        <w:rPr>
          <w:rFonts w:hint="eastAsia" w:ascii="宋体" w:hAnsi="宋体" w:eastAsia="宋体"/>
          <w:sz w:val="24"/>
        </w:rPr>
        <w:t>签</w:t>
      </w:r>
      <w:r>
        <w:rPr>
          <w:rFonts w:hint="eastAsia" w:ascii="宋体" w:hAnsi="宋体" w:eastAsia="宋体"/>
          <w:sz w:val="24"/>
          <w:lang w:eastAsia="zh-CN"/>
        </w:rPr>
        <w:t>名</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rPr>
          <w:rFonts w:hint="eastAsia" w:ascii="宋体" w:hAnsi="宋体" w:eastAsia="宋体"/>
          <w:sz w:val="28"/>
        </w:rPr>
      </w:pP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lang w:eastAsia="zh-CN"/>
        </w:rPr>
        <w:t>日期：</w:t>
      </w:r>
      <w:r>
        <w:rPr>
          <w:rFonts w:hint="eastAsia" w:ascii="宋体" w:hAnsi="宋体" w:eastAsia="宋体"/>
          <w:sz w:val="24"/>
          <w:u w:val="single"/>
          <w:lang w:val="en-US" w:eastAsia="zh-CN"/>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日</w:t>
      </w:r>
    </w:p>
    <w:p>
      <w:pPr>
        <w:pStyle w:val="26"/>
        <w:spacing w:beforeLines="0" w:afterLines="0"/>
        <w:rPr>
          <w:rFonts w:hint="eastAsia" w:eastAsia="宋体"/>
          <w:kern w:val="2"/>
          <w:sz w:val="24"/>
          <w:lang w:val="en-US" w:eastAsia="zh-CN"/>
        </w:rPr>
      </w:pPr>
    </w:p>
    <w:p>
      <w:pPr>
        <w:pStyle w:val="26"/>
        <w:spacing w:beforeLines="0" w:afterLines="0"/>
        <w:rPr>
          <w:rFonts w:hint="eastAsia" w:eastAsia="宋体"/>
          <w:kern w:val="2"/>
          <w:sz w:val="24"/>
          <w:lang w:val="en-US" w:eastAsia="zh-CN"/>
        </w:rPr>
      </w:pPr>
    </w:p>
    <w:p>
      <w:pPr>
        <w:pStyle w:val="26"/>
        <w:spacing w:beforeLines="0" w:afterLines="0"/>
        <w:rPr>
          <w:rFonts w:hint="eastAsia" w:eastAsia="宋体"/>
          <w:kern w:val="2"/>
          <w:sz w:val="24"/>
          <w:lang w:val="en-US" w:eastAsia="zh-CN"/>
        </w:rPr>
      </w:pPr>
    </w:p>
    <w:p>
      <w:pPr>
        <w:pStyle w:val="27"/>
        <w:rPr>
          <w:rFonts w:hint="eastAsia"/>
          <w:lang w:val="en-US" w:eastAsia="zh-CN"/>
        </w:rPr>
      </w:pPr>
    </w:p>
    <w:p>
      <w:pPr>
        <w:pStyle w:val="26"/>
        <w:spacing w:beforeLines="0" w:afterLines="0"/>
        <w:rPr>
          <w:rFonts w:hint="eastAsia" w:eastAsia="宋体"/>
          <w:kern w:val="2"/>
          <w:sz w:val="24"/>
          <w:lang w:val="en-US" w:eastAsia="zh-CN"/>
        </w:rPr>
      </w:pPr>
    </w:p>
    <w:p>
      <w:pPr>
        <w:spacing w:beforeLines="0" w:afterLines="0"/>
        <w:jc w:val="both"/>
        <w:rPr>
          <w:rFonts w:hint="eastAsia" w:ascii="宋体" w:hAnsi="宋体" w:eastAsia="宋体"/>
          <w:sz w:val="24"/>
          <w:lang w:val="en-US"/>
        </w:rPr>
      </w:pPr>
    </w:p>
    <w:p>
      <w:pPr>
        <w:pStyle w:val="5"/>
        <w:spacing w:beforeLines="0" w:afterLines="0"/>
        <w:jc w:val="center"/>
        <w:rPr>
          <w:rFonts w:hint="eastAsia"/>
          <w:sz w:val="28"/>
          <w:lang w:val="en-US" w:eastAsia="zh-CN"/>
        </w:rPr>
      </w:pPr>
      <w:bookmarkStart w:id="192" w:name="_Toc32750"/>
      <w:bookmarkStart w:id="193" w:name="_Toc6543_WPSOffice_Level3"/>
      <w:bookmarkStart w:id="194" w:name="_Toc29889"/>
      <w:r>
        <w:rPr>
          <w:rFonts w:hint="eastAsia"/>
          <w:sz w:val="28"/>
          <w:lang w:val="en-US" w:eastAsia="zh-CN"/>
        </w:rPr>
        <w:t>3.5投标人依法缴纳税收凭证及社会保障资金证明</w:t>
      </w:r>
      <w:bookmarkEnd w:id="192"/>
      <w:bookmarkEnd w:id="193"/>
      <w:bookmarkEnd w:id="194"/>
    </w:p>
    <w:p>
      <w:pPr>
        <w:spacing w:beforeLines="0" w:afterLines="0" w:line="360" w:lineRule="auto"/>
        <w:jc w:val="both"/>
        <w:rPr>
          <w:rFonts w:hint="eastAsia" w:ascii="宋体" w:hAnsi="宋体" w:eastAsia="宋体"/>
          <w:sz w:val="24"/>
          <w:lang w:val="en-US" w:eastAsia="zh-CN"/>
        </w:rPr>
      </w:pPr>
    </w:p>
    <w:p>
      <w:pPr>
        <w:pStyle w:val="26"/>
        <w:spacing w:beforeLines="0" w:afterLines="0"/>
        <w:rPr>
          <w:rFonts w:hint="eastAsia" w:eastAsia="宋体"/>
          <w:sz w:val="24"/>
          <w:lang w:val="en-US" w:eastAsia="zh-CN"/>
        </w:rPr>
      </w:pPr>
    </w:p>
    <w:p>
      <w:pPr>
        <w:pStyle w:val="26"/>
        <w:spacing w:beforeLines="0" w:afterLines="0"/>
        <w:rPr>
          <w:rFonts w:hint="eastAsia" w:eastAsia="宋体"/>
          <w:sz w:val="24"/>
          <w:lang w:val="en-US" w:eastAsia="zh-CN"/>
        </w:rPr>
      </w:pPr>
    </w:p>
    <w:p>
      <w:pPr>
        <w:pStyle w:val="26"/>
        <w:spacing w:beforeLines="0" w:afterLines="0"/>
        <w:rPr>
          <w:rFonts w:hint="eastAsia" w:eastAsia="宋体"/>
          <w:sz w:val="24"/>
          <w:lang w:val="en-US" w:eastAsia="zh-CN"/>
        </w:rPr>
      </w:pPr>
    </w:p>
    <w:p>
      <w:pPr>
        <w:pStyle w:val="27"/>
        <w:rPr>
          <w:rFonts w:hint="eastAsia"/>
          <w:lang w:val="en-US" w:eastAsia="zh-CN"/>
        </w:rPr>
      </w:pPr>
    </w:p>
    <w:p>
      <w:pPr>
        <w:pStyle w:val="26"/>
        <w:spacing w:beforeLines="0" w:afterLines="0"/>
        <w:rPr>
          <w:rFonts w:hint="eastAsia" w:eastAsia="宋体"/>
          <w:sz w:val="24"/>
          <w:lang w:val="en-US" w:eastAsia="zh-CN"/>
        </w:rPr>
      </w:pPr>
    </w:p>
    <w:p>
      <w:pPr>
        <w:pStyle w:val="26"/>
        <w:spacing w:beforeLines="0" w:afterLines="0"/>
        <w:rPr>
          <w:rFonts w:hint="eastAsia" w:eastAsia="宋体"/>
          <w:sz w:val="24"/>
          <w:lang w:val="en-US" w:eastAsia="zh-CN"/>
        </w:rPr>
      </w:pPr>
    </w:p>
    <w:p>
      <w:pPr>
        <w:pStyle w:val="5"/>
        <w:keepNext w:val="0"/>
        <w:keepLines w:val="0"/>
        <w:pageBreakBefore w:val="0"/>
        <w:widowControl w:val="0"/>
        <w:kinsoku/>
        <w:wordWrap/>
        <w:overflowPunct/>
        <w:topLinePunct w:val="0"/>
        <w:autoSpaceDE w:val="0"/>
        <w:autoSpaceDN w:val="0"/>
        <w:bidi w:val="0"/>
        <w:adjustRightInd w:val="0"/>
        <w:snapToGrid/>
        <w:spacing w:beforeLines="0" w:after="0" w:afterLines="100"/>
        <w:ind w:left="119"/>
        <w:jc w:val="center"/>
        <w:textAlignment w:val="auto"/>
        <w:rPr>
          <w:rFonts w:hint="eastAsia"/>
          <w:sz w:val="28"/>
          <w:lang w:val="en-US" w:eastAsia="zh-CN"/>
        </w:rPr>
      </w:pPr>
      <w:bookmarkStart w:id="195" w:name="_Toc20995_WPSOffice_Level3"/>
      <w:bookmarkStart w:id="196" w:name="_Toc11161"/>
      <w:r>
        <w:rPr>
          <w:rFonts w:hint="eastAsia"/>
          <w:sz w:val="28"/>
          <w:lang w:val="en-US" w:eastAsia="zh-CN"/>
        </w:rPr>
        <w:t>3.6投标人财务审计报告</w:t>
      </w:r>
      <w:bookmarkEnd w:id="195"/>
      <w:bookmarkEnd w:id="196"/>
    </w:p>
    <w:p>
      <w:pPr>
        <w:spacing w:beforeLines="0" w:afterLines="0" w:line="360" w:lineRule="auto"/>
        <w:jc w:val="both"/>
        <w:rPr>
          <w:rFonts w:hint="eastAsia" w:ascii="宋体" w:hAnsi="宋体" w:eastAsia="宋体"/>
          <w:sz w:val="24"/>
          <w:shd w:val="clear" w:color="auto" w:fill="FFFFFF"/>
          <w:lang w:val="en-US"/>
        </w:rPr>
      </w:pPr>
      <w:r>
        <w:rPr>
          <w:rFonts w:hint="eastAsia" w:ascii="宋体" w:hAnsi="宋体" w:eastAsia="宋体"/>
          <w:kern w:val="2"/>
          <w:sz w:val="24"/>
          <w:shd w:val="clear" w:color="auto" w:fill="FFFFFF"/>
          <w:lang w:val="en-US" w:eastAsia="zh-CN"/>
        </w:rPr>
        <w:t>【附：会计师事务所出具的资格证明文件要求的完整的财务报告】</w:t>
      </w:r>
    </w:p>
    <w:p>
      <w:pPr>
        <w:pStyle w:val="6"/>
        <w:widowControl/>
        <w:spacing w:beforeLines="0" w:afterLines="0" w:line="360" w:lineRule="auto"/>
        <w:rPr>
          <w:rFonts w:hint="eastAsia" w:ascii="宋体" w:hAnsi="宋体" w:eastAsia="宋体"/>
          <w:sz w:val="24"/>
          <w:shd w:val="clear" w:color="auto" w:fill="FFFFFF"/>
          <w:lang w:val="en-US"/>
        </w:rPr>
      </w:pPr>
      <w:r>
        <w:rPr>
          <w:rFonts w:hint="eastAsia" w:ascii="宋体" w:hAnsi="宋体" w:eastAsia="宋体"/>
          <w:sz w:val="24"/>
          <w:shd w:val="clear" w:color="auto" w:fill="FFFFFF"/>
          <w:lang w:eastAsia="zh-CN"/>
        </w:rPr>
        <w:t>注：参考《财政部关于注册会计师在审计报告上签名盖章有关问题的通知》（财会【</w:t>
      </w:r>
      <w:r>
        <w:rPr>
          <w:rFonts w:hint="eastAsia" w:ascii="宋体" w:hAnsi="宋体" w:eastAsia="宋体"/>
          <w:sz w:val="24"/>
          <w:shd w:val="clear" w:color="auto" w:fill="FFFFFF"/>
          <w:lang w:val="en-US"/>
        </w:rPr>
        <w:t>2001</w:t>
      </w:r>
      <w:r>
        <w:rPr>
          <w:rFonts w:hint="eastAsia" w:ascii="宋体" w:hAnsi="宋体" w:eastAsia="宋体"/>
          <w:sz w:val="24"/>
          <w:shd w:val="clear" w:color="auto" w:fill="FFFFFF"/>
          <w:lang w:eastAsia="zh-CN"/>
        </w:rPr>
        <w:t>】</w:t>
      </w:r>
      <w:r>
        <w:rPr>
          <w:rFonts w:hint="eastAsia" w:ascii="宋体" w:hAnsi="宋体" w:eastAsia="宋体"/>
          <w:sz w:val="24"/>
          <w:shd w:val="clear" w:color="auto" w:fill="FFFFFF"/>
          <w:lang w:val="en-US"/>
        </w:rPr>
        <w:t>1035</w:t>
      </w:r>
      <w:r>
        <w:rPr>
          <w:rFonts w:hint="eastAsia" w:ascii="宋体" w:hAnsi="宋体" w:eastAsia="宋体"/>
          <w:sz w:val="24"/>
          <w:shd w:val="clear" w:color="auto" w:fill="FFFFFF"/>
          <w:lang w:eastAsia="zh-CN"/>
        </w:rPr>
        <w:t>号）规定，审计报告应当由两名具备相关业务资格的注册会计师签名盖章并经会计师事务所盖章方为有效。</w:t>
      </w:r>
    </w:p>
    <w:p>
      <w:pPr>
        <w:pStyle w:val="5"/>
        <w:spacing w:beforeLines="0" w:afterLines="0"/>
        <w:jc w:val="center"/>
        <w:rPr>
          <w:rFonts w:hint="eastAsia"/>
          <w:sz w:val="28"/>
          <w:lang w:val="en-US" w:eastAsia="zh-CN"/>
        </w:rPr>
      </w:pPr>
      <w:bookmarkStart w:id="197" w:name="_Toc29364"/>
      <w:bookmarkStart w:id="198" w:name="_Toc1214_WPSOffice_Level3"/>
    </w:p>
    <w:p>
      <w:pPr>
        <w:pStyle w:val="5"/>
        <w:spacing w:beforeLines="0" w:afterLines="0"/>
        <w:jc w:val="center"/>
        <w:rPr>
          <w:rFonts w:hint="eastAsia"/>
          <w:sz w:val="28"/>
          <w:lang w:val="en-US" w:eastAsia="zh-CN"/>
        </w:rPr>
      </w:pPr>
    </w:p>
    <w:p>
      <w:pPr>
        <w:pStyle w:val="6"/>
        <w:rPr>
          <w:rFonts w:hint="eastAsia"/>
          <w:sz w:val="28"/>
          <w:lang w:val="en-US" w:eastAsia="zh-CN"/>
        </w:rPr>
      </w:pPr>
    </w:p>
    <w:p>
      <w:pPr>
        <w:pStyle w:val="6"/>
        <w:rPr>
          <w:rFonts w:hint="eastAsia"/>
          <w:sz w:val="28"/>
          <w:lang w:val="en-US" w:eastAsia="zh-CN"/>
        </w:rPr>
      </w:pPr>
    </w:p>
    <w:p>
      <w:pPr>
        <w:pStyle w:val="6"/>
        <w:spacing w:beforeLines="0" w:afterLines="0"/>
        <w:rPr>
          <w:rFonts w:hint="default"/>
          <w:sz w:val="28"/>
          <w:lang w:val="en-US" w:eastAsia="zh-CN"/>
        </w:rPr>
      </w:pPr>
    </w:p>
    <w:p>
      <w:pPr>
        <w:pStyle w:val="5"/>
        <w:spacing w:beforeLines="0" w:afterLines="0"/>
        <w:jc w:val="center"/>
        <w:rPr>
          <w:rFonts w:hint="eastAsia"/>
          <w:sz w:val="28"/>
          <w:lang w:val="en-US" w:eastAsia="zh-CN"/>
        </w:rPr>
      </w:pPr>
      <w:r>
        <w:rPr>
          <w:rFonts w:hint="eastAsia"/>
          <w:sz w:val="28"/>
          <w:lang w:val="en-US" w:eastAsia="zh-CN"/>
        </w:rPr>
        <w:t>3.7投标人信用查询</w:t>
      </w:r>
      <w:bookmarkEnd w:id="197"/>
      <w:bookmarkEnd w:id="198"/>
    </w:p>
    <w:p>
      <w:pPr>
        <w:pStyle w:val="5"/>
        <w:spacing w:beforeLines="0" w:afterLines="0"/>
        <w:jc w:val="center"/>
        <w:rPr>
          <w:rFonts w:hint="eastAsia"/>
          <w:b/>
          <w:bCs/>
          <w:sz w:val="28"/>
          <w:lang w:val="en-US" w:eastAsia="zh-CN"/>
        </w:rPr>
      </w:pPr>
      <w:bookmarkStart w:id="199" w:name="_Toc23627"/>
      <w:r>
        <w:rPr>
          <w:rFonts w:hint="eastAsia"/>
          <w:sz w:val="28"/>
          <w:lang w:val="en-US" w:eastAsia="zh-CN"/>
        </w:rPr>
        <w:br w:type="page"/>
      </w:r>
      <w:bookmarkStart w:id="200" w:name="_Toc18105"/>
      <w:r>
        <w:rPr>
          <w:rFonts w:hint="eastAsia"/>
          <w:b/>
          <w:bCs/>
          <w:sz w:val="28"/>
          <w:lang w:val="en-US" w:eastAsia="zh-CN"/>
        </w:rPr>
        <w:t>3.8 承诺函</w:t>
      </w:r>
      <w:bookmarkEnd w:id="199"/>
      <w:bookmarkEnd w:id="200"/>
    </w:p>
    <w:p>
      <w:pPr>
        <w:pStyle w:val="24"/>
        <w:widowControl/>
        <w:shd w:val="clear" w:color="auto" w:fill="FFFFFF"/>
        <w:spacing w:beforeLines="0" w:afterLines="0"/>
        <w:jc w:val="center"/>
        <w:rPr>
          <w:rFonts w:hint="eastAsia" w:ascii="微软雅黑" w:hAnsi="微软雅黑" w:eastAsia="微软雅黑"/>
          <w:color w:val="333333"/>
          <w:spacing w:val="8"/>
          <w:sz w:val="25"/>
        </w:rPr>
      </w:pPr>
      <w:r>
        <w:rPr>
          <w:rStyle w:val="31"/>
          <w:rFonts w:hint="default"/>
          <w:color w:val="333333"/>
          <w:spacing w:val="8"/>
          <w:sz w:val="24"/>
          <w:shd w:val="clear" w:color="auto" w:fill="FFFFFF"/>
        </w:rPr>
        <w:t>3.8-1</w:t>
      </w:r>
      <w:r>
        <w:rPr>
          <w:rStyle w:val="31"/>
          <w:rFonts w:hint="eastAsia" w:ascii="宋体" w:hAnsi="宋体" w:eastAsia="宋体"/>
          <w:color w:val="333333"/>
          <w:spacing w:val="8"/>
          <w:sz w:val="24"/>
          <w:shd w:val="clear" w:color="auto" w:fill="FFFFFF"/>
        </w:rPr>
        <w:t>投标承诺函</w:t>
      </w:r>
    </w:p>
    <w:p>
      <w:pPr>
        <w:pStyle w:val="24"/>
        <w:widowControl/>
        <w:shd w:val="clear" w:color="auto" w:fill="FFFFFF"/>
        <w:spacing w:beforeLines="0" w:afterLines="0" w:line="405" w:lineRule="atLeast"/>
        <w:jc w:val="both"/>
        <w:rPr>
          <w:rFonts w:hint="eastAsia" w:ascii="微软雅黑" w:hAnsi="微软雅黑" w:eastAsia="微软雅黑"/>
          <w:color w:val="333333"/>
          <w:spacing w:val="8"/>
          <w:sz w:val="25"/>
          <w:u w:val="single"/>
        </w:rPr>
      </w:pPr>
      <w:r>
        <w:rPr>
          <w:rFonts w:hint="eastAsia" w:ascii="宋体" w:hAnsi="宋体" w:eastAsia="宋体"/>
          <w:color w:val="000000"/>
          <w:sz w:val="24"/>
          <w:u w:val="single"/>
          <w:shd w:val="clear" w:color="auto" w:fill="FFFFFF"/>
        </w:rPr>
        <w:t>致（采购人及采购代理机构）</w:t>
      </w:r>
      <w:r>
        <w:rPr>
          <w:rFonts w:hint="eastAsia" w:ascii="宋体" w:hAnsi="宋体" w:eastAsia="宋体"/>
          <w:color w:val="333333"/>
          <w:spacing w:val="8"/>
          <w:sz w:val="24"/>
          <w:u w:val="single"/>
          <w:shd w:val="clear" w:color="auto" w:fill="FFFFFF"/>
        </w:rPr>
        <w:t>：</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ind w:firstLine="480"/>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我公司作为本次采购项目的投标人，根据招标文件要求，现郑重承诺如下：</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ind w:firstLine="480"/>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一、具备《中华人民共和国政府采购法》第二十二条第一款和本项目规定的条件：</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ind w:firstLine="480"/>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（一）具有独立承担民事责任的能力； 　　</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ind w:firstLine="480"/>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（二）具有良好的商业信誉和健全的财务会计制度； 　</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ind w:firstLine="480"/>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（三）具有履行合同所必需的设备和专业技术能力； 　　</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ind w:firstLine="480"/>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（四）有依法缴纳税收和社会保障资金的良好记录； 　　</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ind w:firstLine="480"/>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（五）参加政府采购活动前三年内，在经营活动中没有重大违法记录；</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ind w:firstLine="480"/>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（六）法律、行政法规规定的其他条件；</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ind w:firstLine="480"/>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（七）根据采购项目提出的特殊条件。</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ind w:firstLine="480"/>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ind w:firstLine="480"/>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三、参加本次招标采购活动，不存在与单位负责人为同一人或者存在直接控股、管理关系的其他供应商参与同一合同项下的政府采购活动的行为。    </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ind w:firstLine="480"/>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四、参加本次招标采购活动，不存在为采购项目提供整体设计、规范编制或者项目管理、监理、检测等服务的行为。</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ind w:firstLine="480"/>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五、参加本次招标采购活动，不存在和其他供应商在同一合同项下的采购项目中，同时委托同一个自然人、同一家庭的人员、同一单位的人员作为代理人的行为。</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ind w:firstLine="480"/>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六、投标人参加本次政府采购活动要求在近三年内投标人和其法定代表人没有行贿犯罪行为。</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ind w:firstLine="480"/>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七、参加本次招标采购活动，不存在联合体投标。</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ind w:firstLine="480"/>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八、投标文件中提供的能够给予我公司带来优惠、好处的任何材料资料和技术、服务、商务等响应承诺情况都是真实的、有效的、合法的。</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jc w:val="both"/>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    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jc w:val="both"/>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    十、存在以下行为之一的愿意接受相关部门的处理：</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jc w:val="both"/>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   （一）投标有效期内撤销投标文件的；</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jc w:val="both"/>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   （二）在采购人确定中标人以前放弃中标候选资格的；</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jc w:val="both"/>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   （三）由于中标人的原因未能按照招标文件的规定与采购人签订合同；</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jc w:val="both"/>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   （四）由于中标人的原因未能按照招标文件的规定交纳履约保证金；</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jc w:val="both"/>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   （五）在投标文件中提供虚假材料谋取中标；</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jc w:val="both"/>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   （六）与采购人、其他供应商或者采购代理机构恶意串通的；</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jc w:val="both"/>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   （七）投标有效期内，投标人在政府采购活动中有违法、违规、违纪行为。</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jc w:val="both"/>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 由此产生的一切法律后果和责任由我公司承担。我公司声明放弃对此提出任何异议和追索的权利。</w:t>
      </w:r>
    </w:p>
    <w:p>
      <w:pPr>
        <w:pStyle w:val="24"/>
        <w:keepNext w:val="0"/>
        <w:keepLines w:val="0"/>
        <w:pageBreakBefore w:val="0"/>
        <w:widowControl/>
        <w:shd w:val="clear" w:color="auto" w:fill="FFFFFF"/>
        <w:kinsoku/>
        <w:wordWrap/>
        <w:overflowPunct/>
        <w:topLinePunct w:val="0"/>
        <w:autoSpaceDE w:val="0"/>
        <w:autoSpaceDN w:val="0"/>
        <w:bidi w:val="0"/>
        <w:adjustRightInd w:val="0"/>
        <w:snapToGrid/>
        <w:spacing w:beforeLines="0" w:beforeAutospacing="0" w:afterLines="0" w:afterAutospacing="0" w:line="360" w:lineRule="auto"/>
        <w:ind w:firstLine="690"/>
        <w:jc w:val="both"/>
        <w:textAlignment w:val="auto"/>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本公司对上述承诺的内容事项真实性负责。如经查实上述承诺的内容事项存在虚假，我公司愿意接受以提供虚假材料谋取中标追究法律责任。</w:t>
      </w:r>
    </w:p>
    <w:p>
      <w:pPr>
        <w:pStyle w:val="24"/>
        <w:widowControl/>
        <w:shd w:val="clear" w:color="auto" w:fill="FFFFFF"/>
        <w:spacing w:beforeLines="0" w:afterLines="0" w:line="360" w:lineRule="atLeast"/>
        <w:rPr>
          <w:rFonts w:hint="eastAsia" w:ascii="微软雅黑" w:hAnsi="微软雅黑" w:eastAsia="微软雅黑"/>
          <w:color w:val="333333"/>
          <w:spacing w:val="8"/>
          <w:sz w:val="24"/>
        </w:rPr>
      </w:pPr>
      <w:r>
        <w:rPr>
          <w:rFonts w:hint="eastAsia" w:ascii="宋体" w:hAnsi="宋体" w:eastAsia="宋体"/>
          <w:color w:val="333333"/>
          <w:spacing w:val="8"/>
          <w:sz w:val="24"/>
          <w:shd w:val="clear" w:color="auto" w:fill="FFFFFF"/>
        </w:rPr>
        <w:t>       </w:t>
      </w:r>
    </w:p>
    <w:p>
      <w:pPr>
        <w:spacing w:beforeLines="0" w:afterLines="0"/>
        <w:rPr>
          <w:rFonts w:hint="eastAsia" w:ascii="宋体" w:hAnsi="宋体" w:eastAsia="宋体"/>
          <w:sz w:val="24"/>
        </w:rPr>
      </w:pP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投标人(</w:t>
      </w:r>
      <w:r>
        <w:rPr>
          <w:rFonts w:hint="eastAsia" w:ascii="宋体" w:hAnsi="宋体" w:eastAsia="宋体"/>
          <w:sz w:val="24"/>
          <w:lang w:eastAsia="zh-CN"/>
        </w:rPr>
        <w:t>电子签章</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法人代表或授权代表(</w:t>
      </w:r>
      <w:r>
        <w:rPr>
          <w:rFonts w:hint="eastAsia" w:ascii="宋体" w:hAnsi="宋体" w:eastAsia="宋体"/>
          <w:sz w:val="24"/>
          <w:lang w:eastAsia="zh-CN"/>
        </w:rPr>
        <w:t>电子</w:t>
      </w:r>
      <w:r>
        <w:rPr>
          <w:rFonts w:hint="eastAsia" w:ascii="宋体" w:hAnsi="宋体" w:eastAsia="宋体"/>
          <w:sz w:val="24"/>
        </w:rPr>
        <w:t>签</w:t>
      </w:r>
      <w:r>
        <w:rPr>
          <w:rFonts w:hint="eastAsia" w:ascii="宋体" w:hAnsi="宋体" w:eastAsia="宋体"/>
          <w:sz w:val="24"/>
          <w:lang w:eastAsia="zh-CN"/>
        </w:rPr>
        <w:t>名</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rPr>
          <w:rFonts w:hint="eastAsia" w:ascii="宋体" w:hAnsi="宋体" w:eastAsia="宋体"/>
          <w:sz w:val="28"/>
        </w:rPr>
      </w:pP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lang w:eastAsia="zh-CN"/>
        </w:rPr>
        <w:t>日期：</w:t>
      </w:r>
      <w:r>
        <w:rPr>
          <w:rFonts w:hint="eastAsia" w:ascii="宋体" w:hAnsi="宋体" w:eastAsia="宋体"/>
          <w:sz w:val="24"/>
          <w:u w:val="single"/>
          <w:lang w:val="en-US" w:eastAsia="zh-CN"/>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日</w:t>
      </w:r>
    </w:p>
    <w:p>
      <w:pPr>
        <w:pStyle w:val="24"/>
        <w:widowControl/>
        <w:shd w:val="clear" w:color="auto" w:fill="FFFFFF"/>
        <w:spacing w:beforeLines="0" w:afterLines="0" w:line="408" w:lineRule="atLeast"/>
        <w:jc w:val="center"/>
        <w:rPr>
          <w:rStyle w:val="31"/>
          <w:rFonts w:hint="eastAsia" w:ascii="宋体" w:hAnsi="宋体" w:eastAsia="宋体"/>
          <w:color w:val="333333"/>
          <w:spacing w:val="8"/>
          <w:sz w:val="24"/>
          <w:shd w:val="clear" w:color="auto" w:fill="FFFFFF"/>
        </w:rPr>
      </w:pPr>
    </w:p>
    <w:p>
      <w:pPr>
        <w:pStyle w:val="24"/>
        <w:widowControl/>
        <w:shd w:val="clear" w:color="auto" w:fill="FFFFFF"/>
        <w:spacing w:beforeLines="0" w:afterLines="0" w:line="408" w:lineRule="atLeast"/>
        <w:jc w:val="center"/>
        <w:rPr>
          <w:rStyle w:val="31"/>
          <w:rFonts w:hint="eastAsia" w:ascii="宋体" w:hAnsi="宋体" w:eastAsia="宋体"/>
          <w:color w:val="333333"/>
          <w:spacing w:val="8"/>
          <w:sz w:val="24"/>
          <w:shd w:val="clear" w:color="auto" w:fill="FFFFFF"/>
        </w:rPr>
      </w:pPr>
    </w:p>
    <w:p>
      <w:pPr>
        <w:pStyle w:val="24"/>
        <w:widowControl/>
        <w:shd w:val="clear" w:color="auto" w:fill="FFFFFF"/>
        <w:spacing w:beforeLines="0" w:afterLines="0" w:line="408" w:lineRule="atLeast"/>
        <w:jc w:val="center"/>
        <w:rPr>
          <w:rStyle w:val="31"/>
          <w:rFonts w:hint="eastAsia" w:ascii="宋体" w:hAnsi="宋体" w:eastAsia="宋体"/>
          <w:color w:val="333333"/>
          <w:spacing w:val="8"/>
          <w:sz w:val="24"/>
          <w:shd w:val="clear" w:color="auto" w:fill="FFFFFF"/>
        </w:rPr>
      </w:pPr>
    </w:p>
    <w:p>
      <w:pPr>
        <w:pStyle w:val="24"/>
        <w:widowControl/>
        <w:shd w:val="clear" w:color="auto" w:fill="FFFFFF"/>
        <w:spacing w:beforeLines="0" w:afterLines="0" w:line="408" w:lineRule="atLeast"/>
        <w:jc w:val="center"/>
        <w:rPr>
          <w:rStyle w:val="31"/>
          <w:rFonts w:hint="eastAsia" w:ascii="宋体" w:hAnsi="宋体" w:eastAsia="宋体"/>
          <w:color w:val="333333"/>
          <w:spacing w:val="8"/>
          <w:sz w:val="24"/>
          <w:shd w:val="clear" w:color="auto" w:fill="FFFFFF"/>
        </w:rPr>
      </w:pPr>
    </w:p>
    <w:p>
      <w:pPr>
        <w:pStyle w:val="24"/>
        <w:widowControl/>
        <w:shd w:val="clear" w:color="auto" w:fill="FFFFFF"/>
        <w:spacing w:beforeLines="0" w:afterLines="0" w:line="408" w:lineRule="atLeast"/>
        <w:jc w:val="center"/>
        <w:rPr>
          <w:rFonts w:hint="eastAsia" w:ascii="微软雅黑" w:hAnsi="微软雅黑" w:eastAsia="微软雅黑"/>
          <w:color w:val="333333"/>
          <w:spacing w:val="8"/>
          <w:sz w:val="25"/>
        </w:rPr>
      </w:pPr>
      <w:r>
        <w:rPr>
          <w:rStyle w:val="31"/>
          <w:rFonts w:hint="default"/>
          <w:color w:val="333333"/>
          <w:spacing w:val="8"/>
          <w:sz w:val="24"/>
          <w:shd w:val="clear" w:color="auto" w:fill="FFFFFF"/>
        </w:rPr>
        <w:t>3.8-2</w:t>
      </w:r>
      <w:r>
        <w:rPr>
          <w:rStyle w:val="31"/>
          <w:rFonts w:hint="eastAsia" w:ascii="宋体" w:hAnsi="宋体" w:eastAsia="宋体"/>
          <w:color w:val="333333"/>
          <w:spacing w:val="8"/>
          <w:sz w:val="24"/>
          <w:shd w:val="clear" w:color="auto" w:fill="FFFFFF"/>
        </w:rPr>
        <w:t>招标代理服务费承诺函</w:t>
      </w:r>
    </w:p>
    <w:p>
      <w:pPr>
        <w:pStyle w:val="24"/>
        <w:widowControl/>
        <w:shd w:val="clear" w:color="auto" w:fill="FFFFFF"/>
        <w:spacing w:beforeLines="0" w:afterLines="0" w:line="408" w:lineRule="atLeast"/>
        <w:jc w:val="both"/>
        <w:rPr>
          <w:rFonts w:hint="eastAsia" w:ascii="微软雅黑" w:hAnsi="微软雅黑" w:eastAsia="微软雅黑"/>
          <w:color w:val="333333"/>
          <w:spacing w:val="8"/>
          <w:sz w:val="25"/>
        </w:rPr>
      </w:pPr>
      <w:r>
        <w:rPr>
          <w:rFonts w:hint="eastAsia" w:ascii="宋体" w:hAnsi="宋体" w:eastAsia="宋体"/>
          <w:color w:val="333333"/>
          <w:spacing w:val="8"/>
          <w:sz w:val="24"/>
          <w:shd w:val="clear" w:color="auto" w:fill="FFFFFF"/>
        </w:rPr>
        <w:t> </w:t>
      </w:r>
    </w:p>
    <w:p>
      <w:pPr>
        <w:pStyle w:val="6"/>
        <w:widowControl/>
        <w:spacing w:beforeLines="0" w:afterLines="0" w:line="360" w:lineRule="auto"/>
        <w:ind w:firstLine="0"/>
        <w:rPr>
          <w:rFonts w:hint="eastAsia" w:ascii="宋体" w:hAnsi="宋体" w:eastAsia="宋体"/>
          <w:sz w:val="24"/>
          <w:shd w:val="clear" w:color="auto" w:fill="FFFFFF"/>
        </w:rPr>
      </w:pPr>
      <w:r>
        <w:rPr>
          <w:rFonts w:hint="eastAsia" w:ascii="宋体" w:hAnsi="宋体" w:eastAsia="宋体"/>
          <w:sz w:val="24"/>
          <w:u w:val="single"/>
          <w:shd w:val="clear" w:color="auto" w:fill="FFFFFF"/>
        </w:rPr>
        <w:t>致（采购人及采购代理机构）</w:t>
      </w:r>
      <w:r>
        <w:rPr>
          <w:rFonts w:hint="eastAsia" w:ascii="宋体" w:hAnsi="宋体" w:eastAsia="宋体"/>
          <w:sz w:val="24"/>
          <w:shd w:val="clear" w:color="auto" w:fill="FFFFFF"/>
        </w:rPr>
        <w:t>：</w:t>
      </w:r>
    </w:p>
    <w:p>
      <w:pPr>
        <w:pStyle w:val="6"/>
        <w:widowControl/>
        <w:spacing w:beforeLines="0" w:afterLines="0" w:line="360" w:lineRule="auto"/>
        <w:ind w:firstLine="480" w:firstLineChars="200"/>
        <w:rPr>
          <w:rFonts w:hint="eastAsia" w:ascii="宋体" w:hAnsi="宋体" w:eastAsia="宋体"/>
          <w:sz w:val="24"/>
          <w:shd w:val="clear" w:color="auto" w:fill="FFFFFF"/>
        </w:rPr>
      </w:pPr>
      <w:r>
        <w:rPr>
          <w:rFonts w:hint="eastAsia" w:ascii="宋体" w:hAnsi="宋体" w:eastAsia="宋体"/>
          <w:sz w:val="24"/>
          <w:shd w:val="clear" w:color="auto" w:fill="FFFFFF"/>
        </w:rPr>
        <w:t>我们在贵公司组织的（项目名称： ，</w:t>
      </w:r>
      <w:r>
        <w:rPr>
          <w:rFonts w:hint="eastAsia" w:ascii="宋体" w:hAnsi="宋体" w:eastAsia="宋体"/>
          <w:sz w:val="24"/>
          <w:shd w:val="clear" w:color="auto" w:fill="FFFFFF"/>
          <w:lang w:val="en-US" w:eastAsia="zh-CN"/>
        </w:rPr>
        <w:t xml:space="preserve">  </w:t>
      </w:r>
      <w:r>
        <w:rPr>
          <w:rFonts w:hint="eastAsia" w:ascii="宋体" w:hAnsi="宋体" w:eastAsia="宋体"/>
          <w:sz w:val="24"/>
          <w:shd w:val="clear" w:color="auto" w:fill="FFFFFF"/>
        </w:rPr>
        <w:t>采购编号：）招标中若获中标，我们保证在中标公告发布后5个工作日内，按招标文件的规定，以支票、银行转账、汇票或现金，向贵公司一次性支付招标代理服务费用。否则，由此产生的一切法律后果和责任由我公司承担。我公司声明放弃对此提出任何异议和追索的权利。</w:t>
      </w:r>
    </w:p>
    <w:p>
      <w:pPr>
        <w:pStyle w:val="6"/>
        <w:widowControl/>
        <w:spacing w:beforeLines="0" w:afterLines="0" w:line="360" w:lineRule="auto"/>
        <w:ind w:firstLine="468" w:firstLineChars="195"/>
        <w:rPr>
          <w:rFonts w:hint="eastAsia" w:ascii="宋体" w:hAnsi="宋体" w:eastAsia="宋体"/>
          <w:sz w:val="24"/>
          <w:shd w:val="clear" w:color="auto" w:fill="FFFFFF"/>
        </w:rPr>
      </w:pPr>
      <w:r>
        <w:rPr>
          <w:rFonts w:hint="eastAsia" w:ascii="宋体" w:hAnsi="宋体" w:eastAsia="宋体"/>
          <w:sz w:val="24"/>
          <w:shd w:val="clear" w:color="auto" w:fill="FFFFFF"/>
        </w:rPr>
        <w:t>特此承诺。</w:t>
      </w:r>
    </w:p>
    <w:p>
      <w:pPr>
        <w:pStyle w:val="6"/>
        <w:widowControl/>
        <w:spacing w:beforeLines="0" w:afterLines="0" w:line="360" w:lineRule="auto"/>
        <w:rPr>
          <w:rFonts w:hint="eastAsia" w:ascii="宋体" w:hAnsi="宋体" w:eastAsia="宋体"/>
          <w:sz w:val="24"/>
          <w:shd w:val="clear" w:color="auto" w:fill="FFFFFF"/>
        </w:rPr>
      </w:pP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投标人(</w:t>
      </w:r>
      <w:r>
        <w:rPr>
          <w:rFonts w:hint="eastAsia" w:ascii="宋体" w:hAnsi="宋体" w:eastAsia="宋体"/>
          <w:sz w:val="24"/>
          <w:lang w:eastAsia="zh-CN"/>
        </w:rPr>
        <w:t>电子签章</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法人代表或授权代表(</w:t>
      </w:r>
      <w:r>
        <w:rPr>
          <w:rFonts w:hint="eastAsia" w:ascii="宋体" w:hAnsi="宋体" w:eastAsia="宋体"/>
          <w:sz w:val="24"/>
          <w:lang w:eastAsia="zh-CN"/>
        </w:rPr>
        <w:t>电子</w:t>
      </w:r>
      <w:r>
        <w:rPr>
          <w:rFonts w:hint="eastAsia" w:ascii="宋体" w:hAnsi="宋体" w:eastAsia="宋体"/>
          <w:sz w:val="24"/>
        </w:rPr>
        <w:t>签</w:t>
      </w:r>
      <w:r>
        <w:rPr>
          <w:rFonts w:hint="eastAsia" w:ascii="宋体" w:hAnsi="宋体" w:eastAsia="宋体"/>
          <w:sz w:val="24"/>
          <w:lang w:eastAsia="zh-CN"/>
        </w:rPr>
        <w:t>名</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rPr>
          <w:rFonts w:hint="eastAsia" w:ascii="宋体" w:hAnsi="宋体" w:eastAsia="宋体"/>
          <w:sz w:val="28"/>
        </w:rPr>
      </w:pP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lang w:eastAsia="zh-CN"/>
        </w:rPr>
        <w:t>日期：</w:t>
      </w:r>
      <w:r>
        <w:rPr>
          <w:rFonts w:hint="eastAsia" w:ascii="宋体" w:hAnsi="宋体" w:eastAsia="宋体"/>
          <w:sz w:val="24"/>
          <w:u w:val="single"/>
          <w:lang w:val="en-US" w:eastAsia="zh-CN"/>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日</w:t>
      </w:r>
    </w:p>
    <w:p>
      <w:pPr>
        <w:pStyle w:val="24"/>
        <w:widowControl/>
        <w:shd w:val="clear" w:color="auto" w:fill="FFFFFF"/>
        <w:spacing w:beforeLines="0" w:afterLines="0" w:line="408" w:lineRule="atLeast"/>
        <w:ind w:firstLine="480"/>
        <w:jc w:val="both"/>
        <w:rPr>
          <w:rFonts w:hint="eastAsia" w:ascii="微软雅黑" w:hAnsi="微软雅黑" w:eastAsia="微软雅黑"/>
          <w:color w:val="333333"/>
          <w:spacing w:val="8"/>
          <w:sz w:val="25"/>
        </w:rPr>
      </w:pPr>
    </w:p>
    <w:p>
      <w:pPr>
        <w:spacing w:beforeLines="0" w:afterLines="0" w:line="360" w:lineRule="auto"/>
        <w:rPr>
          <w:rFonts w:hint="eastAsia" w:ascii="宋体" w:hAnsi="宋体" w:eastAsia="宋体"/>
          <w:b/>
          <w:sz w:val="24"/>
        </w:rPr>
      </w:pPr>
    </w:p>
    <w:p>
      <w:pPr>
        <w:spacing w:beforeLines="0" w:afterLines="0" w:line="360" w:lineRule="auto"/>
        <w:jc w:val="both"/>
        <w:rPr>
          <w:rFonts w:hint="eastAsia" w:ascii="宋体" w:hAnsi="宋体" w:eastAsia="宋体"/>
          <w:b/>
          <w:sz w:val="24"/>
          <w:lang w:val="en-US"/>
        </w:rPr>
      </w:pPr>
    </w:p>
    <w:p>
      <w:pPr>
        <w:pStyle w:val="5"/>
        <w:spacing w:beforeLines="0" w:afterLines="0"/>
        <w:jc w:val="center"/>
        <w:rPr>
          <w:rFonts w:hint="eastAsia"/>
          <w:sz w:val="28"/>
          <w:lang w:val="en-US" w:eastAsia="zh-CN"/>
        </w:rPr>
      </w:pPr>
      <w:bookmarkStart w:id="201" w:name="_Toc745_WPSOffice_Level3"/>
      <w:bookmarkStart w:id="202" w:name="_Toc30619"/>
    </w:p>
    <w:p>
      <w:pPr>
        <w:pStyle w:val="5"/>
        <w:spacing w:beforeLines="0" w:afterLines="0"/>
        <w:jc w:val="center"/>
        <w:rPr>
          <w:rFonts w:hint="eastAsia"/>
          <w:sz w:val="28"/>
          <w:lang w:val="en-US" w:eastAsia="zh-CN"/>
        </w:rPr>
      </w:pPr>
    </w:p>
    <w:p>
      <w:pPr>
        <w:pStyle w:val="5"/>
        <w:spacing w:beforeLines="0" w:afterLines="0"/>
        <w:jc w:val="center"/>
        <w:rPr>
          <w:rFonts w:hint="eastAsia"/>
          <w:sz w:val="28"/>
          <w:lang w:val="en-US" w:eastAsia="zh-CN"/>
        </w:rPr>
      </w:pPr>
    </w:p>
    <w:p>
      <w:pPr>
        <w:pStyle w:val="5"/>
        <w:keepNext w:val="0"/>
        <w:keepLines w:val="0"/>
        <w:pageBreakBefore w:val="0"/>
        <w:widowControl w:val="0"/>
        <w:kinsoku/>
        <w:wordWrap/>
        <w:overflowPunct/>
        <w:topLinePunct w:val="0"/>
        <w:autoSpaceDE w:val="0"/>
        <w:autoSpaceDN w:val="0"/>
        <w:bidi w:val="0"/>
        <w:adjustRightInd w:val="0"/>
        <w:snapToGrid/>
        <w:spacing w:beforeLines="0" w:after="0" w:afterLines="100"/>
        <w:ind w:left="119"/>
        <w:jc w:val="center"/>
        <w:textAlignment w:val="auto"/>
        <w:rPr>
          <w:rFonts w:hint="eastAsia"/>
          <w:b/>
          <w:bCs/>
          <w:sz w:val="28"/>
          <w:lang w:val="en-US" w:eastAsia="zh-CN"/>
        </w:rPr>
      </w:pPr>
      <w:r>
        <w:rPr>
          <w:rFonts w:hint="eastAsia"/>
          <w:b/>
          <w:bCs/>
          <w:sz w:val="28"/>
          <w:lang w:val="en-US" w:eastAsia="zh-CN"/>
        </w:rPr>
        <w:t>3.9其他</w:t>
      </w:r>
      <w:bookmarkEnd w:id="201"/>
      <w:bookmarkEnd w:id="202"/>
    </w:p>
    <w:p>
      <w:pPr>
        <w:spacing w:beforeLines="0" w:afterLines="0" w:line="360" w:lineRule="auto"/>
        <w:ind w:firstLine="235" w:firstLineChars="98"/>
        <w:jc w:val="both"/>
        <w:rPr>
          <w:rFonts w:hint="eastAsia" w:ascii="宋体" w:hAnsi="宋体" w:eastAsia="宋体"/>
          <w:sz w:val="24"/>
          <w:lang w:val="en-US"/>
        </w:rPr>
      </w:pPr>
      <w:r>
        <w:rPr>
          <w:rFonts w:hint="eastAsia" w:ascii="宋体" w:hAnsi="宋体" w:eastAsia="宋体"/>
          <w:kern w:val="2"/>
          <w:sz w:val="24"/>
          <w:lang w:val="en-US" w:eastAsia="zh-CN"/>
        </w:rPr>
        <w:t>招标文件要求提供的其他资格证明文件或投标人认为有必要提供的其他证明文件。</w:t>
      </w:r>
    </w:p>
    <w:p>
      <w:pPr>
        <w:spacing w:beforeLines="0" w:afterLines="0" w:line="360" w:lineRule="auto"/>
        <w:ind w:firstLine="235" w:firstLineChars="98"/>
        <w:jc w:val="both"/>
        <w:rPr>
          <w:rFonts w:hint="eastAsia" w:ascii="宋体" w:hAnsi="宋体" w:eastAsia="宋体"/>
          <w:sz w:val="24"/>
          <w:lang w:val="en-US"/>
        </w:rPr>
      </w:pPr>
    </w:p>
    <w:p>
      <w:pPr>
        <w:spacing w:beforeLines="0" w:afterLines="0" w:line="360" w:lineRule="auto"/>
        <w:ind w:firstLine="235" w:firstLineChars="98"/>
        <w:jc w:val="both"/>
        <w:rPr>
          <w:rFonts w:hint="eastAsia" w:ascii="宋体" w:hAnsi="宋体" w:eastAsia="宋体"/>
          <w:sz w:val="24"/>
          <w:lang w:val="en-US"/>
        </w:rPr>
      </w:pPr>
    </w:p>
    <w:p>
      <w:pPr>
        <w:pStyle w:val="26"/>
        <w:spacing w:beforeLines="0" w:afterLines="0"/>
        <w:rPr>
          <w:rFonts w:hint="eastAsia" w:eastAsia="宋体"/>
          <w:sz w:val="24"/>
          <w:lang w:val="en-US"/>
        </w:rPr>
      </w:pPr>
    </w:p>
    <w:p>
      <w:pPr>
        <w:pStyle w:val="26"/>
        <w:spacing w:beforeLines="0" w:afterLines="0"/>
        <w:rPr>
          <w:rFonts w:hint="eastAsia" w:eastAsia="宋体"/>
          <w:sz w:val="24"/>
          <w:lang w:val="en-US"/>
        </w:rPr>
      </w:pPr>
    </w:p>
    <w:p>
      <w:pPr>
        <w:pStyle w:val="26"/>
        <w:spacing w:beforeLines="0" w:afterLines="0"/>
        <w:rPr>
          <w:rFonts w:hint="eastAsia" w:eastAsia="宋体"/>
          <w:sz w:val="24"/>
          <w:lang w:val="en-US"/>
        </w:rPr>
      </w:pPr>
    </w:p>
    <w:p>
      <w:pPr>
        <w:pStyle w:val="26"/>
        <w:spacing w:beforeLines="0" w:afterLines="0"/>
        <w:rPr>
          <w:rFonts w:hint="eastAsia" w:eastAsia="宋体"/>
          <w:sz w:val="24"/>
          <w:lang w:val="en-US"/>
        </w:rPr>
      </w:pPr>
    </w:p>
    <w:p>
      <w:pPr>
        <w:pStyle w:val="26"/>
        <w:spacing w:beforeLines="0" w:afterLines="0"/>
        <w:rPr>
          <w:rFonts w:hint="eastAsia" w:eastAsia="宋体"/>
          <w:sz w:val="24"/>
          <w:lang w:val="en-US"/>
        </w:rPr>
      </w:pPr>
    </w:p>
    <w:p>
      <w:pPr>
        <w:pStyle w:val="26"/>
        <w:spacing w:beforeLines="0" w:afterLines="0"/>
        <w:rPr>
          <w:rFonts w:hint="eastAsia" w:eastAsia="宋体"/>
          <w:sz w:val="24"/>
          <w:lang w:val="en-US"/>
        </w:rPr>
      </w:pPr>
    </w:p>
    <w:p>
      <w:pPr>
        <w:pStyle w:val="4"/>
        <w:tabs>
          <w:tab w:val="left" w:pos="840"/>
        </w:tabs>
        <w:spacing w:beforeLines="0" w:afterLines="0" w:line="412" w:lineRule="auto"/>
        <w:ind w:left="0"/>
        <w:jc w:val="center"/>
        <w:rPr>
          <w:rFonts w:hint="eastAsia"/>
          <w:sz w:val="36"/>
          <w:lang w:val="en-US" w:eastAsia="zh-CN"/>
        </w:rPr>
      </w:pPr>
      <w:bookmarkStart w:id="203" w:name="_Toc6735"/>
      <w:bookmarkStart w:id="204" w:name="_Toc21727_WPSOffice_Level2"/>
      <w:bookmarkStart w:id="205" w:name="_Toc9046"/>
      <w:r>
        <w:rPr>
          <w:rFonts w:hint="eastAsia"/>
          <w:sz w:val="36"/>
          <w:lang w:val="en-US" w:eastAsia="zh-CN"/>
        </w:rPr>
        <w:t xml:space="preserve">4. </w:t>
      </w:r>
      <w:r>
        <w:rPr>
          <w:rFonts w:hint="eastAsia"/>
          <w:sz w:val="36"/>
          <w:lang w:eastAsia="zh-CN"/>
        </w:rPr>
        <w:t>投标报价表格</w:t>
      </w:r>
      <w:bookmarkEnd w:id="203"/>
      <w:bookmarkEnd w:id="204"/>
      <w:bookmarkEnd w:id="205"/>
    </w:p>
    <w:p>
      <w:pPr>
        <w:pStyle w:val="6"/>
        <w:spacing w:beforeLines="0" w:afterLines="0"/>
        <w:ind w:firstLine="0"/>
        <w:jc w:val="center"/>
        <w:rPr>
          <w:rFonts w:hint="eastAsia" w:ascii="宋体" w:hAnsi="宋体" w:eastAsia="宋体"/>
          <w:b/>
          <w:sz w:val="28"/>
        </w:rPr>
      </w:pPr>
      <w:r>
        <w:rPr>
          <w:rFonts w:hint="eastAsia" w:ascii="宋体" w:hAnsi="宋体" w:eastAsia="宋体"/>
          <w:b/>
          <w:sz w:val="28"/>
          <w:lang w:val="en-US" w:eastAsia="zh-CN"/>
        </w:rPr>
        <w:t>4</w:t>
      </w:r>
      <w:r>
        <w:rPr>
          <w:rFonts w:hint="eastAsia" w:ascii="宋体" w:hAnsi="宋体" w:eastAsia="宋体"/>
          <w:b/>
          <w:sz w:val="28"/>
        </w:rPr>
        <w:t>.1 开标一览表</w:t>
      </w:r>
    </w:p>
    <w:p>
      <w:pPr>
        <w:pStyle w:val="6"/>
        <w:spacing w:beforeLines="0" w:afterLines="0" w:line="460" w:lineRule="exact"/>
        <w:rPr>
          <w:rFonts w:hint="eastAsia" w:ascii="仿宋_GB2312" w:hAnsi="Wingdings" w:eastAsia="仿宋_GB2312"/>
          <w:sz w:val="24"/>
        </w:rPr>
      </w:pPr>
    </w:p>
    <w:p>
      <w:pPr>
        <w:pStyle w:val="6"/>
        <w:spacing w:beforeLines="0" w:afterLines="0" w:line="460" w:lineRule="exact"/>
        <w:ind w:firstLine="480" w:firstLineChars="200"/>
        <w:jc w:val="both"/>
        <w:rPr>
          <w:rFonts w:hint="eastAsia" w:ascii="宋体" w:hAnsi="宋体" w:eastAsia="宋体"/>
          <w:sz w:val="24"/>
        </w:rPr>
      </w:pPr>
      <w:r>
        <w:rPr>
          <w:rFonts w:hint="eastAsia" w:ascii="宋体" w:hAnsi="宋体" w:eastAsia="宋体"/>
          <w:sz w:val="24"/>
        </w:rPr>
        <w:t>投标人：（此处填名称并盖章）                        单位：人民币元</w:t>
      </w:r>
    </w:p>
    <w:tbl>
      <w:tblPr>
        <w:tblStyle w:val="28"/>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4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sz w:val="24"/>
                <w:lang w:eastAsia="zh-CN"/>
              </w:rPr>
            </w:pPr>
            <w:r>
              <w:rPr>
                <w:rFonts w:hint="eastAsia" w:ascii="宋体" w:hAnsi="宋体" w:eastAsia="宋体"/>
                <w:sz w:val="24"/>
              </w:rPr>
              <w:t>项目名称</w:t>
            </w:r>
          </w:p>
        </w:tc>
        <w:tc>
          <w:tcPr>
            <w:tcW w:w="53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4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sz w:val="24"/>
              </w:rPr>
            </w:pPr>
            <w:r>
              <w:rPr>
                <w:rFonts w:hint="eastAsia" w:ascii="宋体" w:hAnsi="宋体" w:eastAsia="宋体"/>
                <w:sz w:val="24"/>
              </w:rPr>
              <w:t>投 标 人</w:t>
            </w:r>
          </w:p>
        </w:tc>
        <w:tc>
          <w:tcPr>
            <w:tcW w:w="53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340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sz w:val="24"/>
              </w:rPr>
            </w:pPr>
            <w:r>
              <w:rPr>
                <w:rFonts w:hint="eastAsia" w:ascii="宋体" w:hAnsi="宋体" w:eastAsia="宋体"/>
                <w:sz w:val="24"/>
              </w:rPr>
              <w:t>投标总报价</w:t>
            </w:r>
          </w:p>
        </w:tc>
        <w:tc>
          <w:tcPr>
            <w:tcW w:w="53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sz w:val="24"/>
              </w:rPr>
            </w:pPr>
            <w:r>
              <w:rPr>
                <w:rFonts w:hint="eastAsia" w:ascii="宋体" w:hAnsi="宋体" w:eastAsia="宋体"/>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340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sz w:val="24"/>
              </w:rPr>
            </w:pPr>
          </w:p>
        </w:tc>
        <w:tc>
          <w:tcPr>
            <w:tcW w:w="53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sz w:val="24"/>
              </w:rPr>
            </w:pPr>
            <w:r>
              <w:rPr>
                <w:rFonts w:hint="eastAsia" w:ascii="宋体" w:hAnsi="宋体" w:eastAsia="宋体"/>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4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sz w:val="24"/>
              </w:rPr>
            </w:pPr>
            <w:r>
              <w:rPr>
                <w:rFonts w:hint="eastAsia" w:ascii="宋体" w:hAnsi="宋体" w:eastAsia="宋体"/>
                <w:sz w:val="24"/>
                <w:lang w:eastAsia="zh-CN"/>
              </w:rPr>
              <w:t>交</w:t>
            </w:r>
            <w:r>
              <w:rPr>
                <w:rFonts w:hint="eastAsia" w:ascii="宋体" w:hAnsi="宋体" w:eastAsia="宋体"/>
                <w:sz w:val="24"/>
              </w:rPr>
              <w:t>货期</w:t>
            </w:r>
          </w:p>
        </w:tc>
        <w:tc>
          <w:tcPr>
            <w:tcW w:w="53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4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sz w:val="24"/>
              </w:rPr>
            </w:pPr>
            <w:r>
              <w:rPr>
                <w:rFonts w:hint="eastAsia" w:ascii="宋体" w:hAnsi="宋体" w:eastAsia="宋体"/>
                <w:sz w:val="24"/>
              </w:rPr>
              <w:t>质保期</w:t>
            </w:r>
          </w:p>
        </w:tc>
        <w:tc>
          <w:tcPr>
            <w:tcW w:w="53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4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sz w:val="24"/>
                <w:lang w:eastAsia="zh-CN"/>
              </w:rPr>
            </w:pPr>
            <w:r>
              <w:rPr>
                <w:rFonts w:hint="eastAsia" w:ascii="宋体" w:hAnsi="宋体" w:eastAsia="宋体"/>
                <w:sz w:val="24"/>
                <w:lang w:eastAsia="zh-CN"/>
              </w:rPr>
              <w:t>质量要求</w:t>
            </w:r>
          </w:p>
        </w:tc>
        <w:tc>
          <w:tcPr>
            <w:tcW w:w="53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34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sz w:val="24"/>
              </w:rPr>
            </w:pPr>
            <w:r>
              <w:rPr>
                <w:rFonts w:hint="eastAsia" w:ascii="宋体" w:hAnsi="宋体" w:eastAsia="宋体"/>
                <w:sz w:val="24"/>
              </w:rPr>
              <w:t>优惠条款</w:t>
            </w:r>
          </w:p>
        </w:tc>
        <w:tc>
          <w:tcPr>
            <w:tcW w:w="53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40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sz w:val="24"/>
              </w:rPr>
            </w:pPr>
            <w:r>
              <w:rPr>
                <w:rFonts w:hint="eastAsia" w:ascii="宋体" w:hAnsi="宋体" w:eastAsia="宋体"/>
                <w:sz w:val="24"/>
              </w:rPr>
              <w:t>服务承诺</w:t>
            </w:r>
          </w:p>
        </w:tc>
        <w:tc>
          <w:tcPr>
            <w:tcW w:w="53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hAnsi="宋体" w:eastAsia="宋体"/>
                <w:sz w:val="24"/>
              </w:rPr>
            </w:pPr>
          </w:p>
        </w:tc>
      </w:tr>
    </w:tbl>
    <w:p>
      <w:pPr>
        <w:spacing w:beforeLines="0" w:afterLines="0"/>
        <w:ind w:firstLine="5280" w:firstLineChars="2200"/>
        <w:rPr>
          <w:rFonts w:hint="eastAsia" w:ascii="宋体" w:hAnsi="宋体" w:eastAsia="宋体"/>
          <w:sz w:val="24"/>
        </w:rPr>
      </w:pPr>
    </w:p>
    <w:p>
      <w:pPr>
        <w:pStyle w:val="6"/>
        <w:spacing w:beforeLines="0" w:afterLines="0" w:line="460" w:lineRule="exact"/>
        <w:ind w:firstLine="0"/>
        <w:rPr>
          <w:rFonts w:hint="eastAsia" w:ascii="宋体" w:hAnsi="宋体" w:eastAsia="宋体"/>
          <w:sz w:val="24"/>
        </w:rPr>
      </w:pPr>
      <w:r>
        <w:rPr>
          <w:rFonts w:hint="eastAsia" w:ascii="宋体" w:hAnsi="宋体" w:eastAsia="宋体"/>
          <w:sz w:val="24"/>
        </w:rPr>
        <w:t>说明：本表投标总价应与投标文件中报价表的总报价一致，否则投标人承担被拒标的风险。</w:t>
      </w:r>
    </w:p>
    <w:p>
      <w:pPr>
        <w:autoSpaceDE/>
        <w:autoSpaceDN/>
        <w:adjustRightInd/>
        <w:spacing w:beforeLines="0" w:afterLines="0" w:line="360" w:lineRule="auto"/>
        <w:ind w:firstLine="5280" w:firstLineChars="2200"/>
        <w:rPr>
          <w:rFonts w:hint="eastAsia" w:ascii="宋体" w:hAnsi="宋体" w:eastAsia="宋体"/>
          <w:sz w:val="24"/>
        </w:rPr>
      </w:pP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投标人(</w:t>
      </w:r>
      <w:r>
        <w:rPr>
          <w:rFonts w:hint="eastAsia" w:ascii="宋体" w:hAnsi="宋体" w:eastAsia="宋体"/>
          <w:sz w:val="24"/>
          <w:lang w:eastAsia="zh-CN"/>
        </w:rPr>
        <w:t>电子签章</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法人代表或授权代表(</w:t>
      </w:r>
      <w:r>
        <w:rPr>
          <w:rFonts w:hint="eastAsia" w:ascii="宋体" w:hAnsi="宋体" w:eastAsia="宋体"/>
          <w:sz w:val="24"/>
          <w:lang w:eastAsia="zh-CN"/>
        </w:rPr>
        <w:t>电子</w:t>
      </w:r>
      <w:r>
        <w:rPr>
          <w:rFonts w:hint="eastAsia" w:ascii="宋体" w:hAnsi="宋体" w:eastAsia="宋体"/>
          <w:sz w:val="24"/>
        </w:rPr>
        <w:t>签</w:t>
      </w:r>
      <w:r>
        <w:rPr>
          <w:rFonts w:hint="eastAsia" w:ascii="宋体" w:hAnsi="宋体" w:eastAsia="宋体"/>
          <w:sz w:val="24"/>
          <w:lang w:eastAsia="zh-CN"/>
        </w:rPr>
        <w:t>名</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rPr>
          <w:rFonts w:hint="eastAsia" w:ascii="宋体" w:hAnsi="宋体" w:eastAsia="宋体"/>
          <w:sz w:val="28"/>
        </w:rPr>
      </w:pP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lang w:eastAsia="zh-CN"/>
        </w:rPr>
        <w:t>日期：</w:t>
      </w:r>
      <w:r>
        <w:rPr>
          <w:rFonts w:hint="eastAsia" w:ascii="宋体" w:hAnsi="宋体" w:eastAsia="宋体"/>
          <w:sz w:val="24"/>
          <w:u w:val="single"/>
          <w:lang w:val="en-US" w:eastAsia="zh-CN"/>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日</w:t>
      </w:r>
    </w:p>
    <w:p>
      <w:pPr>
        <w:pStyle w:val="6"/>
        <w:spacing w:beforeLines="0" w:afterLines="0"/>
        <w:rPr>
          <w:rFonts w:hint="eastAsia" w:ascii="宋体" w:hAnsi="宋体" w:eastAsia="宋体"/>
          <w:sz w:val="28"/>
        </w:rPr>
      </w:pPr>
    </w:p>
    <w:p>
      <w:pPr>
        <w:spacing w:beforeLines="50" w:afterLines="50"/>
        <w:jc w:val="center"/>
        <w:rPr>
          <w:rFonts w:hint="eastAsia" w:ascii="宋体" w:hAnsi="宋体" w:eastAsia="宋体"/>
          <w:b/>
          <w:sz w:val="28"/>
          <w:lang w:val="en-US" w:eastAsia="zh-CN"/>
        </w:rPr>
      </w:pPr>
    </w:p>
    <w:p>
      <w:pPr>
        <w:spacing w:beforeLines="50" w:afterLines="50"/>
        <w:jc w:val="center"/>
        <w:rPr>
          <w:rFonts w:hint="eastAsia" w:ascii="宋体" w:hAnsi="宋体" w:eastAsia="宋体"/>
          <w:b/>
          <w:sz w:val="28"/>
          <w:lang w:val="en-US" w:eastAsia="zh-CN"/>
        </w:rPr>
      </w:pPr>
    </w:p>
    <w:p>
      <w:pPr>
        <w:pStyle w:val="26"/>
        <w:rPr>
          <w:rFonts w:hint="eastAsia"/>
          <w:lang w:val="en-US" w:eastAsia="zh-CN"/>
        </w:rPr>
      </w:pPr>
    </w:p>
    <w:p>
      <w:pPr>
        <w:spacing w:beforeLines="50" w:afterLines="50"/>
        <w:jc w:val="center"/>
        <w:rPr>
          <w:rFonts w:hint="eastAsia" w:ascii="宋体" w:hAnsi="宋体" w:eastAsia="宋体"/>
          <w:b/>
          <w:sz w:val="30"/>
        </w:rPr>
      </w:pPr>
      <w:r>
        <w:rPr>
          <w:rFonts w:hint="eastAsia" w:ascii="宋体" w:hAnsi="宋体" w:eastAsia="宋体"/>
          <w:b/>
          <w:sz w:val="28"/>
          <w:lang w:val="en-US" w:eastAsia="zh-CN"/>
        </w:rPr>
        <w:t>4</w:t>
      </w:r>
      <w:r>
        <w:rPr>
          <w:rFonts w:hint="eastAsia" w:ascii="宋体" w:hAnsi="宋体" w:eastAsia="宋体"/>
          <w:b/>
          <w:sz w:val="28"/>
        </w:rPr>
        <w:t>.2 货物分项报价一览表</w:t>
      </w:r>
    </w:p>
    <w:p>
      <w:pPr>
        <w:spacing w:beforeLines="50" w:afterLines="50"/>
        <w:ind w:firstLine="463" w:firstLineChars="193"/>
        <w:jc w:val="both"/>
        <w:rPr>
          <w:rFonts w:hint="eastAsia" w:ascii="宋体" w:hAnsi="宋体" w:eastAsia="宋体"/>
          <w:sz w:val="24"/>
        </w:rPr>
      </w:pPr>
      <w:r>
        <w:rPr>
          <w:rFonts w:hint="eastAsia" w:ascii="宋体" w:hAnsi="宋体" w:eastAsia="宋体"/>
          <w:sz w:val="24"/>
        </w:rPr>
        <w:t>投标人：（此处填名称并盖章）                        单位：人民币元</w:t>
      </w:r>
    </w:p>
    <w:tbl>
      <w:tblPr>
        <w:tblStyle w:val="28"/>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080"/>
        <w:gridCol w:w="1266"/>
        <w:gridCol w:w="1181"/>
        <w:gridCol w:w="1093"/>
        <w:gridCol w:w="1062"/>
        <w:gridCol w:w="1090"/>
        <w:gridCol w:w="1088"/>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olor w:val="000000"/>
                <w:sz w:val="21"/>
              </w:rPr>
            </w:pPr>
            <w:r>
              <w:rPr>
                <w:rFonts w:hint="eastAsia" w:ascii="宋体" w:hAnsi="宋体" w:eastAsia="宋体"/>
                <w:color w:val="000000"/>
                <w:sz w:val="21"/>
              </w:rPr>
              <w:t>序</w:t>
            </w:r>
          </w:p>
          <w:p>
            <w:pPr>
              <w:spacing w:beforeLines="0" w:afterLines="0" w:line="240" w:lineRule="exact"/>
              <w:jc w:val="center"/>
              <w:rPr>
                <w:rFonts w:hint="eastAsia" w:ascii="宋体" w:hAnsi="宋体" w:eastAsia="宋体"/>
                <w:color w:val="000000"/>
                <w:sz w:val="21"/>
              </w:rPr>
            </w:pPr>
            <w:r>
              <w:rPr>
                <w:rFonts w:hint="eastAsia" w:ascii="宋体" w:hAnsi="宋体" w:eastAsia="宋体"/>
                <w:color w:val="000000"/>
                <w:sz w:val="21"/>
              </w:rPr>
              <w:t>号</w:t>
            </w:r>
          </w:p>
        </w:tc>
        <w:tc>
          <w:tcPr>
            <w:tcW w:w="1080"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olor w:val="000000"/>
                <w:sz w:val="21"/>
              </w:rPr>
            </w:pPr>
            <w:r>
              <w:rPr>
                <w:rFonts w:hint="eastAsia" w:ascii="宋体" w:hAnsi="宋体" w:eastAsia="宋体"/>
                <w:color w:val="000000"/>
                <w:sz w:val="21"/>
              </w:rPr>
              <w:t>投标货</w:t>
            </w:r>
          </w:p>
          <w:p>
            <w:pPr>
              <w:spacing w:beforeLines="0" w:afterLines="0" w:line="240" w:lineRule="exact"/>
              <w:jc w:val="center"/>
              <w:rPr>
                <w:rFonts w:hint="eastAsia" w:ascii="宋体" w:hAnsi="宋体" w:eastAsia="宋体"/>
                <w:color w:val="000000"/>
                <w:sz w:val="21"/>
              </w:rPr>
            </w:pPr>
            <w:r>
              <w:rPr>
                <w:rFonts w:hint="eastAsia" w:ascii="宋体" w:hAnsi="宋体" w:eastAsia="宋体"/>
                <w:color w:val="000000"/>
                <w:sz w:val="21"/>
              </w:rPr>
              <w:t>物名称</w:t>
            </w:r>
          </w:p>
        </w:tc>
        <w:tc>
          <w:tcPr>
            <w:tcW w:w="1266" w:type="dxa"/>
            <w:tcBorders>
              <w:top w:val="single" w:color="auto" w:sz="4" w:space="0"/>
              <w:left w:val="nil"/>
              <w:bottom w:val="single" w:color="auto" w:sz="4" w:space="0"/>
              <w:right w:val="single" w:color="auto" w:sz="4" w:space="0"/>
              <w:tl2br w:val="nil"/>
              <w:tr2bl w:val="nil"/>
            </w:tcBorders>
            <w:noWrap w:val="0"/>
            <w:vAlign w:val="center"/>
          </w:tcPr>
          <w:p>
            <w:pPr>
              <w:pStyle w:val="21"/>
              <w:spacing w:beforeLines="0" w:afterLines="0" w:line="240" w:lineRule="exact"/>
              <w:rPr>
                <w:rFonts w:hint="eastAsia" w:ascii="宋体" w:hAnsi="宋体" w:eastAsia="宋体"/>
                <w:color w:val="000000"/>
                <w:sz w:val="21"/>
              </w:rPr>
            </w:pPr>
            <w:r>
              <w:rPr>
                <w:rFonts w:hint="eastAsia" w:ascii="宋体" w:hAnsi="宋体" w:eastAsia="宋体"/>
                <w:color w:val="000000"/>
                <w:sz w:val="21"/>
              </w:rPr>
              <w:t>品牌</w:t>
            </w:r>
          </w:p>
        </w:tc>
        <w:tc>
          <w:tcPr>
            <w:tcW w:w="1181"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line="240" w:lineRule="exact"/>
              <w:jc w:val="both"/>
              <w:rPr>
                <w:rFonts w:hint="eastAsia" w:ascii="宋体" w:hAnsi="宋体" w:eastAsia="宋体"/>
                <w:color w:val="000000"/>
                <w:sz w:val="21"/>
              </w:rPr>
            </w:pPr>
            <w:r>
              <w:rPr>
                <w:rFonts w:hint="eastAsia" w:ascii="宋体" w:hAnsi="宋体" w:eastAsia="宋体"/>
                <w:color w:val="000000"/>
                <w:sz w:val="21"/>
              </w:rPr>
              <w:t>规格</w:t>
            </w:r>
          </w:p>
          <w:p>
            <w:pPr>
              <w:pStyle w:val="21"/>
              <w:spacing w:beforeLines="0" w:afterLines="0" w:line="240" w:lineRule="exact"/>
              <w:rPr>
                <w:rFonts w:hint="eastAsia" w:ascii="宋体" w:hAnsi="宋体" w:eastAsia="宋体"/>
                <w:b/>
                <w:color w:val="000000"/>
                <w:sz w:val="21"/>
              </w:rPr>
            </w:pPr>
            <w:r>
              <w:rPr>
                <w:rFonts w:hint="eastAsia" w:ascii="宋体" w:hAnsi="宋体" w:eastAsia="宋体"/>
                <w:color w:val="000000"/>
                <w:sz w:val="21"/>
              </w:rPr>
              <w:t>型号</w:t>
            </w:r>
          </w:p>
        </w:tc>
        <w:tc>
          <w:tcPr>
            <w:tcW w:w="1093"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line="240" w:lineRule="exact"/>
              <w:ind w:firstLine="105" w:firstLineChars="50"/>
              <w:rPr>
                <w:rFonts w:hint="eastAsia" w:ascii="宋体" w:hAnsi="宋体" w:eastAsia="宋体"/>
                <w:color w:val="000000"/>
                <w:sz w:val="21"/>
              </w:rPr>
            </w:pPr>
            <w:r>
              <w:rPr>
                <w:rFonts w:hint="eastAsia" w:ascii="宋体" w:hAnsi="宋体" w:eastAsia="宋体"/>
                <w:color w:val="000000"/>
                <w:sz w:val="21"/>
              </w:rPr>
              <w:t>单位</w:t>
            </w:r>
          </w:p>
        </w:tc>
        <w:tc>
          <w:tcPr>
            <w:tcW w:w="1062"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line="240" w:lineRule="exact"/>
              <w:rPr>
                <w:rFonts w:hint="eastAsia" w:ascii="宋体" w:hAnsi="宋体" w:eastAsia="宋体"/>
                <w:color w:val="000000"/>
                <w:sz w:val="21"/>
              </w:rPr>
            </w:pPr>
            <w:r>
              <w:rPr>
                <w:rFonts w:hint="eastAsia" w:ascii="宋体" w:hAnsi="宋体" w:eastAsia="宋体"/>
                <w:color w:val="000000"/>
                <w:sz w:val="21"/>
              </w:rPr>
              <w:t>数量</w:t>
            </w:r>
          </w:p>
        </w:tc>
        <w:tc>
          <w:tcPr>
            <w:tcW w:w="1090"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olor w:val="000000"/>
                <w:sz w:val="21"/>
              </w:rPr>
            </w:pPr>
            <w:r>
              <w:rPr>
                <w:rFonts w:hint="eastAsia" w:ascii="宋体" w:hAnsi="宋体" w:eastAsia="宋体"/>
                <w:color w:val="000000"/>
                <w:sz w:val="21"/>
              </w:rPr>
              <w:t>单价</w:t>
            </w:r>
          </w:p>
        </w:tc>
        <w:tc>
          <w:tcPr>
            <w:tcW w:w="1088"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olor w:val="000000"/>
                <w:sz w:val="21"/>
              </w:rPr>
            </w:pPr>
            <w:r>
              <w:rPr>
                <w:rFonts w:hint="eastAsia" w:ascii="宋体" w:hAnsi="宋体" w:eastAsia="宋体"/>
                <w:color w:val="000000"/>
                <w:sz w:val="21"/>
              </w:rPr>
              <w:t>小计</w:t>
            </w:r>
          </w:p>
        </w:tc>
        <w:tc>
          <w:tcPr>
            <w:tcW w:w="1094" w:type="dxa"/>
            <w:tcBorders>
              <w:top w:val="single" w:color="auto" w:sz="4" w:space="0"/>
              <w:left w:val="nil"/>
              <w:bottom w:val="single" w:color="auto" w:sz="4" w:space="0"/>
              <w:right w:val="single" w:color="auto" w:sz="4" w:space="0"/>
              <w:tl2br w:val="nil"/>
              <w:tr2bl w:val="nil"/>
            </w:tcBorders>
            <w:noWrap w:val="0"/>
            <w:vAlign w:val="center"/>
          </w:tcPr>
          <w:p>
            <w:pPr>
              <w:spacing w:beforeLines="0" w:afterLines="0" w:line="240" w:lineRule="exact"/>
              <w:jc w:val="center"/>
              <w:rPr>
                <w:rFonts w:hint="eastAsia" w:ascii="宋体" w:hAnsi="宋体" w:eastAsia="宋体"/>
                <w:color w:val="000000"/>
                <w:sz w:val="21"/>
              </w:rPr>
            </w:pPr>
            <w:r>
              <w:rPr>
                <w:rFonts w:hint="eastAsia" w:ascii="宋体" w:hAnsi="宋体" w:eastAsia="宋体"/>
                <w:color w:val="000000"/>
                <w:sz w:val="21"/>
              </w:rPr>
              <w:t>免费</w:t>
            </w:r>
          </w:p>
          <w:p>
            <w:pPr>
              <w:spacing w:beforeLines="0" w:afterLines="0" w:line="240" w:lineRule="exact"/>
              <w:jc w:val="center"/>
              <w:rPr>
                <w:rFonts w:hint="eastAsia" w:ascii="宋体" w:hAnsi="宋体" w:eastAsia="宋体"/>
                <w:color w:val="000000"/>
                <w:sz w:val="21"/>
              </w:rPr>
            </w:pPr>
            <w:r>
              <w:rPr>
                <w:rFonts w:hint="eastAsia" w:ascii="宋体" w:hAnsi="宋体" w:eastAsia="宋体"/>
                <w:color w:val="000000"/>
                <w:sz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r>
              <w:rPr>
                <w:rFonts w:hint="eastAsia" w:ascii="宋体" w:hAnsi="宋体" w:eastAsia="宋体"/>
                <w:color w:val="000000"/>
                <w:sz w:val="21"/>
              </w:rPr>
              <w:t>1</w:t>
            </w:r>
          </w:p>
        </w:tc>
        <w:tc>
          <w:tcPr>
            <w:tcW w:w="1080"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hAnsi="宋体" w:eastAsia="宋体"/>
                <w:color w:val="000000"/>
                <w:sz w:val="21"/>
                <w:lang w:val="en-US" w:eastAsia="zh-CN"/>
              </w:rPr>
            </w:pPr>
          </w:p>
        </w:tc>
        <w:tc>
          <w:tcPr>
            <w:tcW w:w="1266"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181"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93"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62"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90"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88"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94"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r>
              <w:rPr>
                <w:rFonts w:hint="eastAsia" w:ascii="宋体" w:hAnsi="宋体" w:eastAsia="宋体"/>
                <w:color w:val="000000"/>
                <w:sz w:val="21"/>
              </w:rPr>
              <w:t>2</w:t>
            </w:r>
          </w:p>
        </w:tc>
        <w:tc>
          <w:tcPr>
            <w:tcW w:w="1080"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hAnsi="宋体" w:eastAsia="宋体"/>
                <w:color w:val="000000"/>
                <w:sz w:val="21"/>
                <w:lang w:val="en-US" w:eastAsia="zh-CN"/>
              </w:rPr>
            </w:pPr>
          </w:p>
        </w:tc>
        <w:tc>
          <w:tcPr>
            <w:tcW w:w="1266"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181"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93"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62"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90"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88"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94"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r>
              <w:rPr>
                <w:rFonts w:hint="eastAsia" w:ascii="宋体" w:hAnsi="宋体" w:eastAsia="宋体"/>
                <w:color w:val="000000"/>
                <w:sz w:val="21"/>
              </w:rPr>
              <w:t>3</w:t>
            </w:r>
          </w:p>
        </w:tc>
        <w:tc>
          <w:tcPr>
            <w:tcW w:w="1080"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hAnsi="宋体" w:eastAsia="宋体"/>
                <w:color w:val="000000"/>
                <w:sz w:val="21"/>
                <w:lang w:val="en-US" w:eastAsia="zh-CN"/>
              </w:rPr>
            </w:pPr>
          </w:p>
        </w:tc>
        <w:tc>
          <w:tcPr>
            <w:tcW w:w="1266"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181"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93"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62"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90"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88"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94"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r>
              <w:rPr>
                <w:rFonts w:hint="eastAsia" w:ascii="宋体" w:hAnsi="宋体" w:eastAsia="宋体"/>
                <w:color w:val="000000"/>
                <w:sz w:val="21"/>
              </w:rPr>
              <w:t>4</w:t>
            </w:r>
          </w:p>
        </w:tc>
        <w:tc>
          <w:tcPr>
            <w:tcW w:w="1080"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hAnsi="宋体" w:eastAsia="宋体"/>
                <w:color w:val="000000"/>
                <w:sz w:val="21"/>
                <w:lang w:val="en-US" w:eastAsia="zh-CN"/>
              </w:rPr>
            </w:pPr>
          </w:p>
        </w:tc>
        <w:tc>
          <w:tcPr>
            <w:tcW w:w="1266"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181"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93"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62"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90"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88"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94"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lang w:val="en-US" w:eastAsia="zh-CN"/>
              </w:rPr>
            </w:pPr>
            <w:r>
              <w:rPr>
                <w:rFonts w:hint="eastAsia" w:ascii="宋体" w:hAnsi="宋体" w:eastAsia="宋体"/>
                <w:color w:val="000000"/>
                <w:sz w:val="21"/>
                <w:lang w:val="en-US" w:eastAsia="zh-CN"/>
              </w:rPr>
              <w:t>5</w:t>
            </w:r>
          </w:p>
        </w:tc>
        <w:tc>
          <w:tcPr>
            <w:tcW w:w="1080"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hAnsi="宋体" w:eastAsia="宋体"/>
                <w:color w:val="000000"/>
                <w:sz w:val="21"/>
                <w:lang w:val="en-US" w:eastAsia="zh-CN"/>
              </w:rPr>
            </w:pPr>
          </w:p>
        </w:tc>
        <w:tc>
          <w:tcPr>
            <w:tcW w:w="1266"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181"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93"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62"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90"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88"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94"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lang w:val="en-US" w:eastAsia="zh-CN"/>
              </w:rPr>
            </w:pPr>
            <w:r>
              <w:rPr>
                <w:rFonts w:hint="eastAsia" w:ascii="宋体" w:hAnsi="宋体" w:eastAsia="宋体"/>
                <w:color w:val="000000"/>
                <w:sz w:val="21"/>
                <w:lang w:val="en-US" w:eastAsia="zh-CN"/>
              </w:rPr>
              <w:t>6</w:t>
            </w:r>
          </w:p>
        </w:tc>
        <w:tc>
          <w:tcPr>
            <w:tcW w:w="1080" w:type="dxa"/>
            <w:tcBorders>
              <w:top w:val="single" w:color="auto" w:sz="4" w:space="0"/>
              <w:left w:val="nil"/>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hAnsi="宋体" w:eastAsia="宋体"/>
                <w:color w:val="000000"/>
                <w:sz w:val="21"/>
                <w:lang w:val="en-US" w:eastAsia="zh-CN"/>
              </w:rPr>
            </w:pPr>
          </w:p>
        </w:tc>
        <w:tc>
          <w:tcPr>
            <w:tcW w:w="1266"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181"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93"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62"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90"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88"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c>
          <w:tcPr>
            <w:tcW w:w="1094" w:type="dxa"/>
            <w:tcBorders>
              <w:top w:val="single" w:color="auto" w:sz="4" w:space="0"/>
              <w:left w:val="nil"/>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74"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400" w:lineRule="exact"/>
              <w:rPr>
                <w:rFonts w:hint="eastAsia" w:ascii="宋体" w:hAnsi="宋体" w:eastAsia="宋体"/>
                <w:b w:val="0"/>
                <w:bCs w:val="0"/>
                <w:color w:val="000000"/>
                <w:sz w:val="21"/>
              </w:rPr>
            </w:pPr>
            <w:r>
              <w:rPr>
                <w:rFonts w:hint="eastAsia" w:ascii="宋体" w:hAnsi="宋体" w:eastAsia="宋体"/>
                <w:b w:val="0"/>
                <w:bCs w:val="0"/>
                <w:color w:val="000000"/>
                <w:sz w:val="21"/>
              </w:rPr>
              <w:t>投标总价</w:t>
            </w:r>
          </w:p>
        </w:tc>
        <w:tc>
          <w:tcPr>
            <w:tcW w:w="7874" w:type="dxa"/>
            <w:gridSpan w:val="7"/>
            <w:tcBorders>
              <w:top w:val="single" w:color="auto" w:sz="4" w:space="0"/>
              <w:left w:val="nil"/>
              <w:bottom w:val="single" w:color="auto" w:sz="4" w:space="0"/>
              <w:right w:val="single" w:color="auto" w:sz="4" w:space="0"/>
              <w:tl2br w:val="nil"/>
              <w:tr2bl w:val="nil"/>
            </w:tcBorders>
            <w:noWrap w:val="0"/>
            <w:vAlign w:val="top"/>
          </w:tcPr>
          <w:p>
            <w:pPr>
              <w:spacing w:beforeLines="0" w:afterLines="0" w:line="500" w:lineRule="exact"/>
              <w:rPr>
                <w:rFonts w:hint="eastAsia" w:ascii="宋体" w:hAnsi="宋体" w:eastAsia="宋体"/>
                <w:b w:val="0"/>
                <w:bCs w:val="0"/>
                <w:color w:val="000000"/>
                <w:sz w:val="21"/>
              </w:rPr>
            </w:pPr>
            <w:r>
              <w:rPr>
                <w:rFonts w:hint="eastAsia" w:ascii="宋体" w:hAnsi="宋体" w:eastAsia="宋体"/>
                <w:b w:val="0"/>
                <w:bCs w:val="0"/>
                <w:color w:val="000000"/>
                <w:sz w:val="21"/>
              </w:rPr>
              <w:t>人民币大写：</w:t>
            </w:r>
            <w:r>
              <w:rPr>
                <w:rFonts w:hint="eastAsia" w:ascii="宋体" w:hAnsi="宋体" w:eastAsia="宋体"/>
                <w:b w:val="0"/>
                <w:bCs w:val="0"/>
                <w:color w:val="000000"/>
                <w:sz w:val="21"/>
                <w:u w:val="single"/>
              </w:rPr>
              <w:t xml:space="preserve">                         </w:t>
            </w:r>
            <w:r>
              <w:rPr>
                <w:rFonts w:hint="eastAsia" w:ascii="宋体" w:hAnsi="宋体" w:eastAsia="宋体"/>
                <w:b w:val="0"/>
                <w:bCs w:val="0"/>
                <w:color w:val="000000"/>
                <w:sz w:val="21"/>
              </w:rPr>
              <w:t xml:space="preserve">  </w:t>
            </w:r>
          </w:p>
          <w:p>
            <w:pPr>
              <w:spacing w:beforeLines="0" w:afterLines="0" w:line="500" w:lineRule="exact"/>
              <w:rPr>
                <w:rFonts w:hint="eastAsia" w:ascii="宋体" w:hAnsi="宋体" w:eastAsia="宋体"/>
                <w:b w:val="0"/>
                <w:bCs w:val="0"/>
                <w:color w:val="000000"/>
                <w:sz w:val="21"/>
                <w:u w:val="single"/>
              </w:rPr>
            </w:pPr>
            <w:r>
              <w:rPr>
                <w:rFonts w:hint="eastAsia" w:ascii="宋体" w:hAnsi="宋体" w:eastAsia="宋体"/>
                <w:b w:val="0"/>
                <w:bCs w:val="0"/>
                <w:color w:val="000000"/>
                <w:sz w:val="21"/>
              </w:rPr>
              <w:t>小写：</w:t>
            </w:r>
            <w:r>
              <w:rPr>
                <w:rFonts w:hint="eastAsia" w:ascii="宋体" w:hAnsi="宋体" w:eastAsia="宋体"/>
                <w:b w:val="0"/>
                <w:bCs w:val="0"/>
                <w:color w:val="000000"/>
                <w:sz w:val="21"/>
                <w:u w:val="single"/>
              </w:rPr>
              <w:t xml:space="preserve">              </w:t>
            </w:r>
            <w:r>
              <w:rPr>
                <w:rFonts w:hint="eastAsia" w:ascii="宋体" w:hAnsi="宋体" w:eastAsia="宋体"/>
                <w:b w:val="0"/>
                <w:bCs w:val="0"/>
                <w:color w:val="000000"/>
                <w:sz w:val="21"/>
              </w:rPr>
              <w:t xml:space="preserve">   </w:t>
            </w:r>
          </w:p>
        </w:tc>
      </w:tr>
    </w:tbl>
    <w:p>
      <w:pPr>
        <w:pStyle w:val="16"/>
        <w:spacing w:beforeLines="0" w:afterLines="0"/>
        <w:rPr>
          <w:rFonts w:hint="eastAsia" w:ascii="宋体" w:hAnsi="宋体"/>
          <w:sz w:val="24"/>
        </w:rPr>
      </w:pP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投标人(</w:t>
      </w:r>
      <w:r>
        <w:rPr>
          <w:rFonts w:hint="eastAsia" w:ascii="宋体" w:hAnsi="宋体" w:eastAsia="宋体"/>
          <w:sz w:val="24"/>
          <w:lang w:eastAsia="zh-CN"/>
        </w:rPr>
        <w:t>电子签章</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法人代表或授权代表(</w:t>
      </w:r>
      <w:r>
        <w:rPr>
          <w:rFonts w:hint="eastAsia" w:ascii="宋体" w:hAnsi="宋体" w:eastAsia="宋体"/>
          <w:sz w:val="24"/>
          <w:lang w:eastAsia="zh-CN"/>
        </w:rPr>
        <w:t>电子</w:t>
      </w:r>
      <w:r>
        <w:rPr>
          <w:rFonts w:hint="eastAsia" w:ascii="宋体" w:hAnsi="宋体" w:eastAsia="宋体"/>
          <w:sz w:val="24"/>
        </w:rPr>
        <w:t>签</w:t>
      </w:r>
      <w:r>
        <w:rPr>
          <w:rFonts w:hint="eastAsia" w:ascii="宋体" w:hAnsi="宋体" w:eastAsia="宋体"/>
          <w:sz w:val="24"/>
          <w:lang w:eastAsia="zh-CN"/>
        </w:rPr>
        <w:t>名</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rPr>
          <w:rFonts w:hint="eastAsia" w:ascii="宋体" w:hAnsi="宋体" w:eastAsia="宋体"/>
          <w:sz w:val="28"/>
        </w:rPr>
      </w:pP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lang w:eastAsia="zh-CN"/>
        </w:rPr>
        <w:t>日期：</w:t>
      </w:r>
      <w:r>
        <w:rPr>
          <w:rFonts w:hint="eastAsia" w:ascii="宋体" w:hAnsi="宋体" w:eastAsia="宋体"/>
          <w:sz w:val="24"/>
          <w:u w:val="single"/>
          <w:lang w:val="en-US" w:eastAsia="zh-CN"/>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日</w:t>
      </w:r>
    </w:p>
    <w:p>
      <w:pPr>
        <w:spacing w:beforeLines="0" w:afterLines="0"/>
        <w:rPr>
          <w:rFonts w:hint="default"/>
          <w:sz w:val="24"/>
        </w:rPr>
      </w:pPr>
    </w:p>
    <w:p>
      <w:pPr>
        <w:spacing w:beforeLines="0" w:afterLines="0"/>
        <w:rPr>
          <w:rFonts w:hint="default"/>
          <w:sz w:val="24"/>
        </w:rPr>
      </w:pPr>
    </w:p>
    <w:p>
      <w:pPr>
        <w:pStyle w:val="26"/>
        <w:spacing w:beforeLines="0" w:afterLines="0"/>
        <w:rPr>
          <w:rFonts w:hint="eastAsia"/>
          <w:sz w:val="32"/>
        </w:rPr>
      </w:pPr>
    </w:p>
    <w:p>
      <w:pPr>
        <w:pStyle w:val="27"/>
        <w:spacing w:beforeLines="0" w:afterLines="0"/>
        <w:rPr>
          <w:rFonts w:hint="default"/>
          <w:sz w:val="28"/>
        </w:rPr>
      </w:pPr>
    </w:p>
    <w:p>
      <w:pPr>
        <w:spacing w:beforeLines="0" w:afterLines="0"/>
        <w:rPr>
          <w:rFonts w:hint="default"/>
          <w:sz w:val="24"/>
        </w:rPr>
      </w:pPr>
    </w:p>
    <w:p>
      <w:pPr>
        <w:pStyle w:val="26"/>
        <w:spacing w:beforeLines="0" w:afterLines="0"/>
        <w:rPr>
          <w:rFonts w:hint="eastAsia"/>
          <w:sz w:val="32"/>
        </w:rPr>
      </w:pPr>
    </w:p>
    <w:p>
      <w:pPr>
        <w:pStyle w:val="27"/>
        <w:spacing w:beforeLines="0" w:afterLines="0"/>
        <w:rPr>
          <w:rFonts w:hint="default"/>
          <w:sz w:val="28"/>
        </w:rPr>
      </w:pPr>
    </w:p>
    <w:p>
      <w:pPr>
        <w:spacing w:beforeLines="0" w:afterLines="0"/>
        <w:rPr>
          <w:rFonts w:hint="default"/>
          <w:sz w:val="24"/>
        </w:rPr>
      </w:pPr>
    </w:p>
    <w:p>
      <w:pPr>
        <w:pStyle w:val="26"/>
        <w:rPr>
          <w:rFonts w:hint="default"/>
          <w:sz w:val="24"/>
        </w:rPr>
      </w:pPr>
    </w:p>
    <w:p>
      <w:pPr>
        <w:pStyle w:val="27"/>
        <w:rPr>
          <w:rFonts w:hint="default"/>
        </w:rPr>
      </w:pPr>
    </w:p>
    <w:p>
      <w:pPr>
        <w:pStyle w:val="26"/>
        <w:spacing w:beforeLines="0" w:afterLines="0"/>
        <w:rPr>
          <w:rFonts w:hint="eastAsia"/>
          <w:sz w:val="32"/>
        </w:rPr>
      </w:pPr>
    </w:p>
    <w:p>
      <w:pPr>
        <w:pStyle w:val="27"/>
        <w:spacing w:beforeLines="0" w:afterLines="0"/>
        <w:rPr>
          <w:rFonts w:hint="default"/>
          <w:sz w:val="28"/>
        </w:rPr>
      </w:pPr>
    </w:p>
    <w:p>
      <w:pPr>
        <w:spacing w:beforeLines="0" w:afterLines="0"/>
        <w:rPr>
          <w:rFonts w:hint="default"/>
          <w:sz w:val="24"/>
        </w:rPr>
      </w:pPr>
    </w:p>
    <w:p>
      <w:pPr>
        <w:pStyle w:val="26"/>
        <w:spacing w:beforeLines="0" w:afterLines="0"/>
        <w:rPr>
          <w:rFonts w:hint="eastAsia"/>
          <w:sz w:val="32"/>
        </w:rPr>
      </w:pPr>
    </w:p>
    <w:p>
      <w:pPr>
        <w:spacing w:beforeLines="0" w:afterLines="0"/>
        <w:jc w:val="center"/>
        <w:rPr>
          <w:rFonts w:hint="eastAsia" w:ascii="宋体" w:hAnsi="宋体" w:eastAsia="宋体"/>
          <w:b/>
          <w:color w:val="000000"/>
          <w:sz w:val="30"/>
        </w:rPr>
      </w:pPr>
      <w:r>
        <w:rPr>
          <w:rFonts w:hint="eastAsia" w:ascii="宋体" w:hAnsi="宋体" w:eastAsia="宋体"/>
          <w:b/>
          <w:color w:val="000000"/>
          <w:sz w:val="30"/>
          <w:lang w:val="en-US" w:eastAsia="zh-CN"/>
        </w:rPr>
        <w:t>4</w:t>
      </w:r>
      <w:r>
        <w:rPr>
          <w:rFonts w:hint="eastAsia" w:ascii="宋体" w:hAnsi="宋体" w:eastAsia="宋体"/>
          <w:b/>
          <w:color w:val="000000"/>
          <w:sz w:val="30"/>
        </w:rPr>
        <w:t>.</w:t>
      </w:r>
      <w:r>
        <w:rPr>
          <w:rFonts w:hint="eastAsia" w:ascii="宋体" w:hAnsi="宋体" w:eastAsia="宋体"/>
          <w:b/>
          <w:color w:val="000000"/>
          <w:sz w:val="30"/>
          <w:lang w:val="en-US" w:eastAsia="zh-CN"/>
        </w:rPr>
        <w:t>3</w:t>
      </w:r>
      <w:r>
        <w:rPr>
          <w:rFonts w:hint="eastAsia" w:ascii="宋体" w:hAnsi="宋体" w:eastAsia="宋体"/>
          <w:b/>
          <w:color w:val="000000"/>
          <w:sz w:val="30"/>
        </w:rPr>
        <w:t xml:space="preserve"> </w:t>
      </w:r>
      <w:r>
        <w:rPr>
          <w:rFonts w:hint="eastAsia" w:ascii="仿宋_GB2312" w:hAnsi="宋体" w:eastAsia="仿宋_GB2312"/>
          <w:b/>
          <w:color w:val="000000"/>
          <w:sz w:val="30"/>
        </w:rPr>
        <w:t>规格性能</w:t>
      </w:r>
      <w:r>
        <w:rPr>
          <w:rFonts w:hint="eastAsia" w:ascii="仿宋_GB2312" w:hAnsi="宋体" w:eastAsia="仿宋_GB2312"/>
          <w:b/>
          <w:color w:val="000000"/>
          <w:sz w:val="30"/>
          <w:lang w:eastAsia="zh-CN"/>
        </w:rPr>
        <w:t>参数</w:t>
      </w:r>
      <w:r>
        <w:rPr>
          <w:rFonts w:hint="eastAsia" w:ascii="仿宋_GB2312" w:hAnsi="宋体" w:eastAsia="仿宋_GB2312"/>
          <w:b/>
          <w:color w:val="000000"/>
          <w:sz w:val="30"/>
        </w:rPr>
        <w:t>表</w:t>
      </w:r>
    </w:p>
    <w:p>
      <w:pPr>
        <w:spacing w:beforeLines="0" w:afterLines="0"/>
        <w:ind w:firstLine="435"/>
        <w:jc w:val="center"/>
        <w:rPr>
          <w:rFonts w:hint="eastAsia" w:ascii="仿宋_GB2312" w:hAnsi="宋体" w:eastAsia="仿宋_GB2312"/>
          <w:b/>
          <w:sz w:val="28"/>
        </w:rPr>
      </w:pPr>
    </w:p>
    <w:p>
      <w:pPr>
        <w:spacing w:beforeLines="0" w:afterLines="0"/>
        <w:ind w:left="480" w:leftChars="200" w:firstLine="0" w:firstLineChars="0"/>
        <w:jc w:val="both"/>
        <w:rPr>
          <w:rFonts w:hint="default"/>
          <w:sz w:val="24"/>
        </w:rPr>
      </w:pPr>
      <w:r>
        <w:rPr>
          <w:rFonts w:hint="eastAsia" w:ascii="Wingdings" w:hAnsi="Wingdings" w:eastAsia="宋体"/>
          <w:sz w:val="24"/>
        </w:rPr>
        <w:t xml:space="preserve">项目名称：                                              </w:t>
      </w:r>
      <w:r>
        <w:rPr>
          <w:rFonts w:hint="default"/>
          <w:sz w:val="24"/>
          <w:lang w:val="en-US" w:eastAsia="zh-CN"/>
        </w:rPr>
        <w:t xml:space="preserve">       </w:t>
      </w:r>
      <w:r>
        <w:rPr>
          <w:rFonts w:hint="default"/>
          <w:sz w:val="24"/>
        </w:rPr>
        <w:t xml:space="preserve">      </w:t>
      </w:r>
      <w:r>
        <w:rPr>
          <w:rFonts w:hint="eastAsia" w:ascii="Wingdings" w:hAnsi="Wingdings" w:eastAsia="宋体"/>
          <w:sz w:val="24"/>
        </w:rPr>
        <w:t>金额单位：元</w:t>
      </w:r>
    </w:p>
    <w:p>
      <w:pPr>
        <w:pStyle w:val="14"/>
        <w:kinsoku w:val="0"/>
        <w:overflowPunct w:val="0"/>
        <w:spacing w:beforeLines="0" w:afterLines="0"/>
        <w:rPr>
          <w:rFonts w:hint="eastAsia"/>
          <w:sz w:val="8"/>
        </w:rPr>
      </w:pPr>
    </w:p>
    <w:tbl>
      <w:tblPr>
        <w:tblStyle w:val="28"/>
        <w:tblW w:w="0" w:type="auto"/>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5"/>
        <w:gridCol w:w="907"/>
        <w:gridCol w:w="1763"/>
        <w:gridCol w:w="881"/>
        <w:gridCol w:w="985"/>
        <w:gridCol w:w="893"/>
        <w:gridCol w:w="966"/>
        <w:gridCol w:w="893"/>
        <w:gridCol w:w="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exact"/>
        </w:trPr>
        <w:tc>
          <w:tcPr>
            <w:tcW w:w="835" w:type="dxa"/>
            <w:tcBorders>
              <w:top w:val="single" w:color="000000" w:sz="4" w:space="0"/>
              <w:left w:val="single" w:color="000000" w:sz="4" w:space="0"/>
              <w:bottom w:val="nil"/>
              <w:right w:val="single" w:color="000000" w:sz="4" w:space="0"/>
              <w:tl2br w:val="nil"/>
              <w:tr2bl w:val="nil"/>
            </w:tcBorders>
            <w:noWrap w:val="0"/>
            <w:vAlign w:val="center"/>
          </w:tcPr>
          <w:p>
            <w:pPr>
              <w:pStyle w:val="45"/>
              <w:kinsoku w:val="0"/>
              <w:overflowPunct w:val="0"/>
              <w:spacing w:beforeLines="0" w:afterLines="0"/>
              <w:ind w:left="140"/>
              <w:jc w:val="center"/>
              <w:rPr>
                <w:rFonts w:hint="eastAsia" w:ascii="宋体" w:hAnsi="宋体" w:eastAsia="宋体"/>
                <w:spacing w:val="1"/>
                <w:sz w:val="21"/>
              </w:rPr>
            </w:pPr>
            <w:r>
              <w:rPr>
                <w:rFonts w:hint="eastAsia" w:ascii="宋体" w:hAnsi="宋体" w:eastAsia="宋体"/>
                <w:spacing w:val="1"/>
                <w:sz w:val="21"/>
              </w:rPr>
              <w:t>项目</w:t>
            </w:r>
          </w:p>
          <w:p>
            <w:pPr>
              <w:pStyle w:val="45"/>
              <w:kinsoku w:val="0"/>
              <w:overflowPunct w:val="0"/>
              <w:spacing w:beforeLines="0" w:afterLines="0" w:line="222" w:lineRule="exact"/>
              <w:ind w:left="140"/>
              <w:jc w:val="center"/>
              <w:rPr>
                <w:rFonts w:hint="default"/>
                <w:sz w:val="24"/>
              </w:rPr>
            </w:pPr>
            <w:r>
              <w:rPr>
                <w:rFonts w:hint="eastAsia" w:ascii="宋体" w:hAnsi="宋体" w:eastAsia="宋体"/>
                <w:spacing w:val="1"/>
                <w:sz w:val="21"/>
              </w:rPr>
              <w:t>序号</w:t>
            </w:r>
          </w:p>
        </w:tc>
        <w:tc>
          <w:tcPr>
            <w:tcW w:w="907" w:type="dxa"/>
            <w:tcBorders>
              <w:top w:val="single" w:color="000000" w:sz="4" w:space="0"/>
              <w:left w:val="single" w:color="000000" w:sz="4" w:space="0"/>
              <w:bottom w:val="nil"/>
              <w:right w:val="single" w:color="000000" w:sz="4" w:space="0"/>
              <w:tl2br w:val="nil"/>
              <w:tr2bl w:val="nil"/>
            </w:tcBorders>
            <w:noWrap w:val="0"/>
            <w:vAlign w:val="center"/>
          </w:tcPr>
          <w:p>
            <w:pPr>
              <w:pStyle w:val="45"/>
              <w:kinsoku w:val="0"/>
              <w:overflowPunct w:val="0"/>
              <w:spacing w:beforeLines="0" w:afterLines="0"/>
              <w:ind w:left="193"/>
              <w:jc w:val="center"/>
              <w:rPr>
                <w:rFonts w:hint="default"/>
                <w:sz w:val="24"/>
              </w:rPr>
            </w:pPr>
            <w:r>
              <w:rPr>
                <w:rFonts w:hint="eastAsia" w:ascii="宋体" w:hAnsi="宋体" w:eastAsia="宋体"/>
                <w:sz w:val="21"/>
              </w:rPr>
              <w:t>货物名称</w:t>
            </w:r>
          </w:p>
        </w:tc>
        <w:tc>
          <w:tcPr>
            <w:tcW w:w="1763" w:type="dxa"/>
            <w:tcBorders>
              <w:top w:val="single" w:color="000000" w:sz="4" w:space="0"/>
              <w:left w:val="single" w:color="000000" w:sz="4" w:space="0"/>
              <w:bottom w:val="nil"/>
              <w:right w:val="single" w:color="000000" w:sz="4" w:space="0"/>
              <w:tl2br w:val="nil"/>
              <w:tr2bl w:val="nil"/>
            </w:tcBorders>
            <w:noWrap w:val="0"/>
            <w:vAlign w:val="center"/>
          </w:tcPr>
          <w:p>
            <w:pPr>
              <w:pStyle w:val="45"/>
              <w:kinsoku w:val="0"/>
              <w:overflowPunct w:val="0"/>
              <w:spacing w:before="63" w:beforeLines="0" w:afterLines="0"/>
              <w:ind w:left="262"/>
              <w:jc w:val="center"/>
              <w:rPr>
                <w:rFonts w:hint="eastAsia" w:ascii="宋体" w:hAnsi="宋体" w:eastAsia="宋体"/>
                <w:sz w:val="21"/>
              </w:rPr>
            </w:pPr>
            <w:r>
              <w:rPr>
                <w:rFonts w:hint="eastAsia" w:ascii="宋体" w:hAnsi="宋体" w:eastAsia="宋体"/>
                <w:sz w:val="21"/>
              </w:rPr>
              <w:t>分项材料名称</w:t>
            </w:r>
          </w:p>
          <w:p>
            <w:pPr>
              <w:pStyle w:val="45"/>
              <w:kinsoku w:val="0"/>
              <w:overflowPunct w:val="0"/>
              <w:spacing w:beforeLines="0" w:afterLines="0" w:line="222" w:lineRule="exact"/>
              <w:ind w:left="158"/>
              <w:jc w:val="center"/>
              <w:rPr>
                <w:rFonts w:hint="default"/>
                <w:sz w:val="24"/>
              </w:rPr>
            </w:pPr>
            <w:r>
              <w:rPr>
                <w:rFonts w:hint="eastAsia" w:ascii="宋体" w:hAnsi="宋体" w:eastAsia="宋体"/>
                <w:sz w:val="21"/>
              </w:rPr>
              <w:t>（面料、辅料、</w:t>
            </w:r>
          </w:p>
          <w:p>
            <w:pPr>
              <w:pStyle w:val="45"/>
              <w:kinsoku w:val="0"/>
              <w:overflowPunct w:val="0"/>
              <w:spacing w:beforeLines="0" w:afterLines="0" w:line="222" w:lineRule="exact"/>
              <w:ind w:left="158"/>
              <w:jc w:val="center"/>
              <w:rPr>
                <w:rFonts w:hint="default"/>
                <w:sz w:val="24"/>
              </w:rPr>
            </w:pPr>
            <w:r>
              <w:rPr>
                <w:rFonts w:hint="eastAsia" w:ascii="宋体" w:hAnsi="宋体" w:eastAsia="宋体"/>
                <w:sz w:val="21"/>
              </w:rPr>
              <w:t>里料、配件等）</w:t>
            </w: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5"/>
              <w:kinsoku w:val="0"/>
              <w:overflowPunct w:val="0"/>
              <w:spacing w:beforeLines="0" w:afterLines="0"/>
              <w:ind w:left="115"/>
              <w:jc w:val="center"/>
              <w:rPr>
                <w:rFonts w:hint="eastAsia" w:ascii="宋体" w:hAnsi="宋体" w:eastAsia="宋体"/>
                <w:sz w:val="21"/>
              </w:rPr>
            </w:pPr>
            <w:r>
              <w:rPr>
                <w:rFonts w:hint="eastAsia" w:ascii="宋体" w:hAnsi="宋体" w:eastAsia="宋体"/>
                <w:sz w:val="21"/>
              </w:rPr>
              <w:t>品 牌</w:t>
            </w:r>
          </w:p>
          <w:p>
            <w:pPr>
              <w:pStyle w:val="45"/>
              <w:kinsoku w:val="0"/>
              <w:overflowPunct w:val="0"/>
              <w:spacing w:beforeLines="0" w:afterLines="0"/>
              <w:ind w:left="115"/>
              <w:jc w:val="center"/>
              <w:rPr>
                <w:rFonts w:hint="default"/>
                <w:sz w:val="24"/>
              </w:rPr>
            </w:pPr>
            <w:r>
              <w:rPr>
                <w:rFonts w:hint="eastAsia" w:ascii="宋体" w:hAnsi="宋体" w:eastAsia="宋体"/>
                <w:sz w:val="21"/>
              </w:rPr>
              <w:t>名 称</w:t>
            </w:r>
          </w:p>
        </w:tc>
        <w:tc>
          <w:tcPr>
            <w:tcW w:w="9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5"/>
              <w:kinsoku w:val="0"/>
              <w:overflowPunct w:val="0"/>
              <w:spacing w:beforeLines="0" w:afterLines="0"/>
              <w:ind w:left="115"/>
              <w:jc w:val="center"/>
              <w:rPr>
                <w:rFonts w:hint="eastAsia" w:ascii="宋体" w:hAnsi="宋体" w:eastAsia="宋体"/>
                <w:sz w:val="21"/>
              </w:rPr>
            </w:pPr>
            <w:r>
              <w:rPr>
                <w:rFonts w:hint="eastAsia" w:ascii="宋体" w:hAnsi="宋体" w:eastAsia="宋体"/>
                <w:sz w:val="21"/>
              </w:rPr>
              <w:t>每 套</w:t>
            </w:r>
          </w:p>
          <w:p>
            <w:pPr>
              <w:pStyle w:val="45"/>
              <w:kinsoku w:val="0"/>
              <w:overflowPunct w:val="0"/>
              <w:spacing w:beforeLines="0" w:afterLines="0"/>
              <w:ind w:left="115"/>
              <w:jc w:val="center"/>
              <w:rPr>
                <w:rFonts w:hint="default"/>
                <w:sz w:val="24"/>
              </w:rPr>
            </w:pPr>
            <w:r>
              <w:rPr>
                <w:rFonts w:hint="eastAsia" w:ascii="宋体" w:hAnsi="宋体" w:eastAsia="宋体"/>
                <w:sz w:val="21"/>
              </w:rPr>
              <w:t>用 量</w:t>
            </w:r>
          </w:p>
        </w:tc>
        <w:tc>
          <w:tcPr>
            <w:tcW w:w="8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5"/>
              <w:kinsoku w:val="0"/>
              <w:overflowPunct w:val="0"/>
              <w:spacing w:beforeLines="0" w:afterLines="0"/>
              <w:jc w:val="center"/>
              <w:rPr>
                <w:rFonts w:hint="default"/>
                <w:sz w:val="24"/>
              </w:rPr>
            </w:pPr>
            <w:r>
              <w:rPr>
                <w:rFonts w:hint="eastAsia" w:ascii="宋体" w:hAnsi="宋体" w:eastAsia="宋体"/>
                <w:sz w:val="21"/>
              </w:rPr>
              <w:t>单 价</w:t>
            </w:r>
          </w:p>
        </w:tc>
        <w:tc>
          <w:tcPr>
            <w:tcW w:w="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5"/>
              <w:kinsoku w:val="0"/>
              <w:overflowPunct w:val="0"/>
              <w:spacing w:beforeLines="0" w:afterLines="0"/>
              <w:ind w:left="166"/>
              <w:jc w:val="center"/>
              <w:rPr>
                <w:rFonts w:hint="default"/>
                <w:sz w:val="24"/>
              </w:rPr>
            </w:pPr>
            <w:r>
              <w:rPr>
                <w:rFonts w:hint="eastAsia" w:ascii="宋体" w:hAnsi="宋体" w:eastAsia="宋体"/>
                <w:sz w:val="21"/>
              </w:rPr>
              <w:t>技术规格参 数</w:t>
            </w:r>
          </w:p>
        </w:tc>
        <w:tc>
          <w:tcPr>
            <w:tcW w:w="8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5"/>
              <w:kinsoku w:val="0"/>
              <w:overflowPunct w:val="0"/>
              <w:spacing w:beforeLines="0" w:afterLines="0"/>
              <w:ind w:left="129"/>
              <w:jc w:val="center"/>
              <w:rPr>
                <w:rFonts w:hint="default"/>
                <w:sz w:val="24"/>
              </w:rPr>
            </w:pPr>
            <w:r>
              <w:rPr>
                <w:rFonts w:hint="eastAsia" w:ascii="宋体" w:hAnsi="宋体" w:eastAsia="宋体"/>
                <w:sz w:val="21"/>
              </w:rPr>
              <w:t>生产厂家</w:t>
            </w:r>
          </w:p>
        </w:tc>
        <w:tc>
          <w:tcPr>
            <w:tcW w:w="7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45"/>
              <w:kinsoku w:val="0"/>
              <w:overflowPunct w:val="0"/>
              <w:spacing w:beforeLines="0" w:afterLines="0"/>
              <w:ind w:left="144"/>
              <w:jc w:val="center"/>
              <w:rPr>
                <w:rFonts w:hint="default"/>
                <w:sz w:val="24"/>
              </w:rPr>
            </w:pPr>
            <w:r>
              <w:rPr>
                <w:rFonts w:hint="eastAsia" w:ascii="宋体" w:hAnsi="宋体" w:eastAsia="宋体"/>
                <w:sz w:val="21"/>
              </w:rPr>
              <w:t>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exact"/>
        </w:trPr>
        <w:tc>
          <w:tcPr>
            <w:tcW w:w="83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5"/>
              <w:kinsoku w:val="0"/>
              <w:overflowPunct w:val="0"/>
              <w:spacing w:beforeLines="0" w:afterLines="0"/>
              <w:rPr>
                <w:rFonts w:hint="eastAsia" w:ascii="宋体" w:hAnsi="宋体" w:eastAsia="宋体"/>
                <w:sz w:val="20"/>
              </w:rPr>
            </w:pPr>
          </w:p>
          <w:p>
            <w:pPr>
              <w:pStyle w:val="45"/>
              <w:kinsoku w:val="0"/>
              <w:overflowPunct w:val="0"/>
              <w:spacing w:beforeLines="0" w:afterLines="0"/>
              <w:rPr>
                <w:rFonts w:hint="eastAsia" w:ascii="宋体" w:hAnsi="宋体" w:eastAsia="宋体"/>
                <w:sz w:val="20"/>
              </w:rPr>
            </w:pPr>
          </w:p>
          <w:p>
            <w:pPr>
              <w:pStyle w:val="45"/>
              <w:kinsoku w:val="0"/>
              <w:overflowPunct w:val="0"/>
              <w:spacing w:beforeLines="0" w:afterLines="0"/>
              <w:rPr>
                <w:rFonts w:hint="eastAsia" w:ascii="宋体" w:hAnsi="宋体" w:eastAsia="宋体"/>
                <w:sz w:val="20"/>
              </w:rPr>
            </w:pPr>
          </w:p>
          <w:p>
            <w:pPr>
              <w:pStyle w:val="45"/>
              <w:kinsoku w:val="0"/>
              <w:overflowPunct w:val="0"/>
              <w:spacing w:before="11" w:beforeLines="0" w:afterLines="0"/>
              <w:rPr>
                <w:rFonts w:hint="eastAsia" w:ascii="宋体" w:hAnsi="宋体" w:eastAsia="宋体"/>
                <w:sz w:val="17"/>
              </w:rPr>
            </w:pPr>
          </w:p>
          <w:p>
            <w:pPr>
              <w:pStyle w:val="45"/>
              <w:kinsoku w:val="0"/>
              <w:overflowPunct w:val="0"/>
              <w:spacing w:beforeLines="0" w:afterLines="0"/>
              <w:ind w:right="1"/>
              <w:jc w:val="center"/>
              <w:rPr>
                <w:rFonts w:hint="default"/>
                <w:sz w:val="24"/>
              </w:rPr>
            </w:pPr>
            <w:r>
              <w:rPr>
                <w:rFonts w:hint="eastAsia" w:ascii="宋体" w:hAnsi="宋体" w:eastAsia="宋体"/>
                <w:sz w:val="21"/>
              </w:rPr>
              <w:t>1</w:t>
            </w:r>
          </w:p>
        </w:tc>
        <w:tc>
          <w:tcPr>
            <w:tcW w:w="90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7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9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8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9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8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71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exact"/>
        </w:trPr>
        <w:tc>
          <w:tcPr>
            <w:tcW w:w="8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90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7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9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8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9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8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71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exact"/>
        </w:trPr>
        <w:tc>
          <w:tcPr>
            <w:tcW w:w="8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90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7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9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8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9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8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71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exact"/>
        </w:trPr>
        <w:tc>
          <w:tcPr>
            <w:tcW w:w="8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90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7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9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8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9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8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71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exact"/>
        </w:trPr>
        <w:tc>
          <w:tcPr>
            <w:tcW w:w="8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90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7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9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8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9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8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71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exact"/>
        </w:trPr>
        <w:tc>
          <w:tcPr>
            <w:tcW w:w="8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5"/>
              <w:kinsoku w:val="0"/>
              <w:overflowPunct w:val="0"/>
              <w:spacing w:before="63" w:beforeLines="0" w:afterLines="0"/>
              <w:ind w:right="1"/>
              <w:jc w:val="center"/>
              <w:rPr>
                <w:rFonts w:hint="default"/>
                <w:sz w:val="24"/>
              </w:rPr>
            </w:pPr>
            <w:r>
              <w:rPr>
                <w:rFonts w:hint="eastAsia" w:ascii="宋体" w:hAnsi="宋体" w:eastAsia="宋体"/>
                <w:sz w:val="21"/>
              </w:rPr>
              <w:t>2</w:t>
            </w:r>
          </w:p>
        </w:tc>
        <w:tc>
          <w:tcPr>
            <w:tcW w:w="9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7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9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8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9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8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71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exact"/>
        </w:trPr>
        <w:tc>
          <w:tcPr>
            <w:tcW w:w="83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5"/>
              <w:kinsoku w:val="0"/>
              <w:overflowPunct w:val="0"/>
              <w:spacing w:before="62" w:beforeLines="0" w:afterLines="0"/>
              <w:ind w:left="140"/>
              <w:rPr>
                <w:rFonts w:hint="default"/>
                <w:sz w:val="24"/>
              </w:rPr>
            </w:pPr>
            <w:r>
              <w:rPr>
                <w:rFonts w:hint="eastAsia" w:ascii="宋体" w:hAnsi="宋体" w:eastAsia="宋体"/>
                <w:sz w:val="21"/>
              </w:rPr>
              <w:t>……</w:t>
            </w:r>
          </w:p>
        </w:tc>
        <w:tc>
          <w:tcPr>
            <w:tcW w:w="9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7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5"/>
              <w:kinsoku w:val="0"/>
              <w:overflowPunct w:val="0"/>
              <w:spacing w:before="62" w:beforeLines="0" w:afterLines="0"/>
              <w:ind w:right="1"/>
              <w:jc w:val="center"/>
              <w:rPr>
                <w:rFonts w:hint="default"/>
                <w:sz w:val="24"/>
              </w:rPr>
            </w:pPr>
            <w:r>
              <w:rPr>
                <w:rFonts w:hint="eastAsia" w:ascii="宋体" w:hAnsi="宋体" w:eastAsia="宋体"/>
                <w:sz w:val="21"/>
              </w:rPr>
              <w:t>……</w:t>
            </w: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9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8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9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89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71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r>
    </w:tbl>
    <w:p>
      <w:pPr>
        <w:spacing w:beforeLines="0" w:afterLines="0"/>
        <w:ind w:firstLine="435"/>
        <w:jc w:val="center"/>
        <w:rPr>
          <w:rFonts w:hint="eastAsia" w:ascii="仿宋_GB2312" w:hAnsi="宋体" w:eastAsia="仿宋_GB2312"/>
          <w:b/>
          <w:sz w:val="28"/>
        </w:rPr>
      </w:pPr>
    </w:p>
    <w:p>
      <w:pPr>
        <w:spacing w:beforeLines="0" w:afterLines="0"/>
        <w:rPr>
          <w:rFonts w:hint="eastAsia" w:ascii="宋体" w:hAnsi="宋体" w:eastAsia="宋体"/>
          <w:sz w:val="24"/>
        </w:rPr>
      </w:pPr>
    </w:p>
    <w:p>
      <w:pPr>
        <w:spacing w:beforeLines="0" w:afterLines="0"/>
        <w:ind w:firstLine="4838" w:firstLineChars="2016"/>
        <w:rPr>
          <w:rFonts w:hint="eastAsia" w:ascii="宋体" w:hAnsi="宋体" w:eastAsia="宋体"/>
          <w:sz w:val="24"/>
        </w:rPr>
      </w:pP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投标人(</w:t>
      </w:r>
      <w:r>
        <w:rPr>
          <w:rFonts w:hint="eastAsia" w:ascii="宋体" w:hAnsi="宋体" w:eastAsia="宋体"/>
          <w:sz w:val="24"/>
          <w:lang w:eastAsia="zh-CN"/>
        </w:rPr>
        <w:t>电子签章</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法人代表或授权代表(</w:t>
      </w:r>
      <w:r>
        <w:rPr>
          <w:rFonts w:hint="eastAsia" w:ascii="宋体" w:hAnsi="宋体" w:eastAsia="宋体"/>
          <w:sz w:val="24"/>
          <w:lang w:eastAsia="zh-CN"/>
        </w:rPr>
        <w:t>电子</w:t>
      </w:r>
      <w:r>
        <w:rPr>
          <w:rFonts w:hint="eastAsia" w:ascii="宋体" w:hAnsi="宋体" w:eastAsia="宋体"/>
          <w:sz w:val="24"/>
        </w:rPr>
        <w:t>签</w:t>
      </w:r>
      <w:r>
        <w:rPr>
          <w:rFonts w:hint="eastAsia" w:ascii="宋体" w:hAnsi="宋体" w:eastAsia="宋体"/>
          <w:sz w:val="24"/>
          <w:lang w:eastAsia="zh-CN"/>
        </w:rPr>
        <w:t>名</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rPr>
          <w:rFonts w:hint="eastAsia" w:ascii="宋体" w:hAnsi="宋体" w:eastAsia="宋体"/>
          <w:sz w:val="28"/>
        </w:rPr>
      </w:pP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lang w:eastAsia="zh-CN"/>
        </w:rPr>
        <w:t>日期：</w:t>
      </w:r>
      <w:r>
        <w:rPr>
          <w:rFonts w:hint="eastAsia" w:ascii="宋体" w:hAnsi="宋体" w:eastAsia="宋体"/>
          <w:sz w:val="24"/>
          <w:u w:val="single"/>
          <w:lang w:val="en-US" w:eastAsia="zh-CN"/>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日</w:t>
      </w:r>
    </w:p>
    <w:p>
      <w:pPr>
        <w:pStyle w:val="14"/>
        <w:kinsoku w:val="0"/>
        <w:overflowPunct w:val="0"/>
        <w:spacing w:before="40" w:beforeLines="0" w:afterLines="0" w:line="357" w:lineRule="auto"/>
        <w:ind w:left="558" w:right="114"/>
        <w:rPr>
          <w:rFonts w:hint="eastAsia"/>
          <w:kern w:val="2"/>
          <w:sz w:val="24"/>
        </w:rPr>
      </w:pPr>
      <w:r>
        <w:rPr>
          <w:rFonts w:hint="eastAsia"/>
          <w:kern w:val="2"/>
          <w:sz w:val="24"/>
        </w:rPr>
        <w:t>说明：</w:t>
      </w:r>
    </w:p>
    <w:p>
      <w:pPr>
        <w:pStyle w:val="14"/>
        <w:kinsoku w:val="0"/>
        <w:overflowPunct w:val="0"/>
        <w:spacing w:before="40" w:beforeLines="0" w:afterLines="0" w:line="357" w:lineRule="auto"/>
        <w:ind w:left="558" w:right="114" w:firstLine="720" w:firstLineChars="300"/>
        <w:rPr>
          <w:rFonts w:hint="eastAsia"/>
          <w:kern w:val="2"/>
          <w:sz w:val="24"/>
        </w:rPr>
      </w:pPr>
      <w:r>
        <w:rPr>
          <w:rFonts w:hint="eastAsia"/>
          <w:kern w:val="2"/>
          <w:sz w:val="24"/>
        </w:rPr>
        <w:t>1、具体货物分项材料名称由投标人根据货物的实际需要和其使用的重要程度一一填报；</w:t>
      </w:r>
    </w:p>
    <w:p>
      <w:pPr>
        <w:pStyle w:val="14"/>
        <w:tabs>
          <w:tab w:val="left" w:pos="0"/>
        </w:tabs>
        <w:kinsoku w:val="0"/>
        <w:overflowPunct w:val="0"/>
        <w:spacing w:before="36" w:beforeLines="0" w:afterLines="0"/>
        <w:ind w:left="566" w:leftChars="236" w:firstLine="780" w:firstLineChars="325"/>
        <w:rPr>
          <w:rFonts w:hint="eastAsia"/>
          <w:kern w:val="2"/>
          <w:sz w:val="24"/>
        </w:rPr>
      </w:pPr>
      <w:r>
        <w:rPr>
          <w:rFonts w:hint="eastAsia"/>
          <w:kern w:val="2"/>
          <w:sz w:val="24"/>
        </w:rPr>
        <w:t>2、技术规格参数要作详细说明，以此作为评分的依据。</w:t>
      </w:r>
    </w:p>
    <w:p>
      <w:pPr>
        <w:pStyle w:val="14"/>
        <w:kinsoku w:val="0"/>
        <w:overflowPunct w:val="0"/>
        <w:spacing w:beforeLines="0" w:afterLines="0" w:line="357" w:lineRule="auto"/>
        <w:ind w:left="558" w:right="118" w:firstLine="720"/>
        <w:rPr>
          <w:rFonts w:hint="eastAsia"/>
          <w:kern w:val="2"/>
          <w:sz w:val="24"/>
        </w:rPr>
      </w:pPr>
      <w:r>
        <w:rPr>
          <w:rFonts w:hint="eastAsia"/>
          <w:kern w:val="2"/>
          <w:sz w:val="24"/>
        </w:rPr>
        <w:t>3、投标人选择此种材料的特性和优点可另作详细的文字说明。</w:t>
      </w:r>
    </w:p>
    <w:p>
      <w:pPr>
        <w:spacing w:beforeLines="0" w:afterLines="0"/>
        <w:rPr>
          <w:rFonts w:hint="default"/>
          <w:sz w:val="24"/>
        </w:rPr>
      </w:pPr>
    </w:p>
    <w:p>
      <w:pPr>
        <w:spacing w:beforeLines="0" w:afterLines="0"/>
        <w:jc w:val="center"/>
        <w:rPr>
          <w:rFonts w:hint="eastAsia" w:ascii="宋体" w:hAnsi="宋体" w:eastAsia="宋体"/>
          <w:b/>
          <w:color w:val="000000"/>
          <w:sz w:val="30"/>
          <w:lang w:val="en-US" w:eastAsia="zh-CN"/>
        </w:rPr>
      </w:pPr>
    </w:p>
    <w:p>
      <w:pPr>
        <w:pStyle w:val="14"/>
        <w:spacing w:beforeLines="0" w:afterLines="0"/>
        <w:rPr>
          <w:rFonts w:hint="eastAsia"/>
          <w:sz w:val="24"/>
          <w:lang w:val="en-US" w:eastAsia="zh-CN"/>
        </w:rPr>
      </w:pPr>
    </w:p>
    <w:p>
      <w:pPr>
        <w:pStyle w:val="16"/>
        <w:spacing w:beforeLines="0" w:afterLines="0"/>
        <w:rPr>
          <w:rFonts w:hint="eastAsia"/>
          <w:sz w:val="28"/>
          <w:lang w:val="en-US" w:eastAsia="zh-CN"/>
        </w:rPr>
      </w:pPr>
    </w:p>
    <w:p>
      <w:pPr>
        <w:spacing w:beforeLines="0" w:afterLines="0"/>
        <w:jc w:val="center"/>
        <w:rPr>
          <w:rFonts w:hint="eastAsia" w:ascii="宋体" w:hAnsi="宋体" w:eastAsia="宋体"/>
          <w:b/>
          <w:color w:val="000000"/>
          <w:sz w:val="30"/>
          <w:lang w:val="en-US" w:eastAsia="zh-CN"/>
        </w:rPr>
      </w:pPr>
    </w:p>
    <w:p>
      <w:pPr>
        <w:spacing w:beforeLines="0" w:afterLines="0"/>
        <w:jc w:val="center"/>
        <w:rPr>
          <w:rFonts w:hint="eastAsia" w:ascii="宋体" w:hAnsi="宋体" w:eastAsia="宋体"/>
          <w:b/>
          <w:color w:val="000000"/>
          <w:sz w:val="30"/>
          <w:lang w:val="en-US" w:eastAsia="zh-CN"/>
        </w:rPr>
      </w:pPr>
      <w:r>
        <w:rPr>
          <w:rFonts w:hint="eastAsia" w:ascii="宋体" w:hAnsi="宋体" w:eastAsia="宋体"/>
          <w:b/>
          <w:color w:val="000000"/>
          <w:sz w:val="30"/>
          <w:lang w:val="en-US" w:eastAsia="zh-CN"/>
        </w:rPr>
        <w:t xml:space="preserve">4.4 拟用于本项目主要管理人员 </w:t>
      </w:r>
    </w:p>
    <w:p>
      <w:pPr>
        <w:widowControl/>
        <w:spacing w:beforeLines="0" w:afterLines="0"/>
        <w:rPr>
          <w:rFonts w:hint="eastAsia" w:ascii="宋体" w:hAnsi="宋体" w:eastAsia="宋体"/>
          <w:color w:val="000000"/>
          <w:sz w:val="24"/>
          <w:lang w:val="en-US" w:eastAsia="zh-CN"/>
        </w:rPr>
      </w:pPr>
    </w:p>
    <w:p>
      <w:pPr>
        <w:widowControl/>
        <w:spacing w:beforeLines="0" w:afterLines="0"/>
        <w:rPr>
          <w:rFonts w:hint="eastAsia" w:ascii="宋体" w:hAnsi="宋体" w:eastAsia="宋体"/>
          <w:color w:val="000000"/>
          <w:sz w:val="24"/>
          <w:lang w:val="en-US" w:eastAsia="zh-CN"/>
        </w:rPr>
      </w:pPr>
      <w:r>
        <w:rPr>
          <w:rFonts w:hint="eastAsia" w:ascii="宋体" w:hAnsi="宋体" w:eastAsia="宋体"/>
          <w:color w:val="000000"/>
          <w:sz w:val="24"/>
          <w:lang w:val="en-US" w:eastAsia="zh-CN"/>
        </w:rPr>
        <w:t xml:space="preserve">投标人（此处填名称并盖章） </w:t>
      </w:r>
    </w:p>
    <w:tbl>
      <w:tblPr>
        <w:tblStyle w:val="28"/>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1858"/>
        <w:gridCol w:w="1858"/>
        <w:gridCol w:w="3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r>
              <w:rPr>
                <w:rFonts w:hint="eastAsia" w:ascii="宋体" w:hAnsi="宋体" w:eastAsia="宋体"/>
                <w:color w:val="000000"/>
                <w:sz w:val="24"/>
                <w:lang w:val="en-US" w:eastAsia="zh-CN"/>
              </w:rPr>
              <w:t>姓名</w:t>
            </w: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r>
              <w:rPr>
                <w:rFonts w:hint="eastAsia" w:ascii="宋体" w:hAnsi="宋体" w:eastAsia="宋体"/>
                <w:color w:val="000000"/>
                <w:sz w:val="24"/>
                <w:lang w:val="en-US" w:eastAsia="zh-CN"/>
              </w:rPr>
              <w:t>职务</w:t>
            </w: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r>
              <w:rPr>
                <w:rFonts w:hint="eastAsia" w:ascii="宋体" w:hAnsi="宋体" w:eastAsia="宋体"/>
                <w:color w:val="000000"/>
                <w:sz w:val="24"/>
                <w:lang w:val="en-US" w:eastAsia="zh-CN"/>
              </w:rPr>
              <w:t>职称</w:t>
            </w:r>
          </w:p>
        </w:tc>
        <w:tc>
          <w:tcPr>
            <w:tcW w:w="37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r>
              <w:rPr>
                <w:rFonts w:hint="eastAsia" w:ascii="宋体" w:hAnsi="宋体" w:eastAsia="宋体"/>
                <w:color w:val="000000"/>
                <w:sz w:val="24"/>
                <w:lang w:val="en-US" w:eastAsia="zh-CN"/>
              </w:rPr>
              <w:t>主要资历、经验及承过的同类项目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37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37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37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37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37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37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37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37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37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37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5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18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c>
          <w:tcPr>
            <w:tcW w:w="375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sz w:val="24"/>
                <w:lang w:val="en-US" w:eastAsia="zh-CN"/>
              </w:rPr>
            </w:pPr>
          </w:p>
        </w:tc>
      </w:tr>
    </w:tbl>
    <w:p>
      <w:pPr>
        <w:widowControl/>
        <w:spacing w:beforeLines="0" w:afterLines="0"/>
        <w:rPr>
          <w:rFonts w:hint="default"/>
          <w:sz w:val="24"/>
        </w:rPr>
      </w:pPr>
      <w:r>
        <w:rPr>
          <w:rFonts w:hint="eastAsia" w:ascii="宋体" w:hAnsi="宋体" w:eastAsia="宋体"/>
          <w:color w:val="000000"/>
          <w:sz w:val="24"/>
          <w:lang w:val="en-US" w:eastAsia="zh-CN"/>
        </w:rPr>
        <w:t xml:space="preserve"> </w:t>
      </w: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投标人(</w:t>
      </w:r>
      <w:r>
        <w:rPr>
          <w:rFonts w:hint="eastAsia" w:ascii="宋体" w:hAnsi="宋体" w:eastAsia="宋体"/>
          <w:sz w:val="24"/>
          <w:lang w:eastAsia="zh-CN"/>
        </w:rPr>
        <w:t>电子签章</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法人代表或授权代表(</w:t>
      </w:r>
      <w:r>
        <w:rPr>
          <w:rFonts w:hint="eastAsia" w:ascii="宋体" w:hAnsi="宋体" w:eastAsia="宋体"/>
          <w:sz w:val="24"/>
          <w:lang w:eastAsia="zh-CN"/>
        </w:rPr>
        <w:t>电子</w:t>
      </w:r>
      <w:r>
        <w:rPr>
          <w:rFonts w:hint="eastAsia" w:ascii="宋体" w:hAnsi="宋体" w:eastAsia="宋体"/>
          <w:sz w:val="24"/>
        </w:rPr>
        <w:t>签</w:t>
      </w:r>
      <w:r>
        <w:rPr>
          <w:rFonts w:hint="eastAsia" w:ascii="宋体" w:hAnsi="宋体" w:eastAsia="宋体"/>
          <w:sz w:val="24"/>
          <w:lang w:eastAsia="zh-CN"/>
        </w:rPr>
        <w:t>名</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rPr>
          <w:rFonts w:hint="eastAsia" w:ascii="宋体" w:hAnsi="宋体" w:eastAsia="宋体"/>
          <w:sz w:val="28"/>
        </w:rPr>
      </w:pP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lang w:eastAsia="zh-CN"/>
        </w:rPr>
        <w:t>日期：</w:t>
      </w:r>
      <w:r>
        <w:rPr>
          <w:rFonts w:hint="eastAsia" w:ascii="宋体" w:hAnsi="宋体" w:eastAsia="宋体"/>
          <w:sz w:val="24"/>
          <w:u w:val="single"/>
          <w:lang w:val="en-US" w:eastAsia="zh-CN"/>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日</w:t>
      </w:r>
    </w:p>
    <w:p>
      <w:pPr>
        <w:spacing w:beforeLines="0" w:afterLines="0"/>
        <w:jc w:val="center"/>
        <w:rPr>
          <w:rFonts w:hint="eastAsia" w:ascii="宋体" w:hAnsi="宋体" w:eastAsia="宋体"/>
          <w:b/>
          <w:color w:val="000000"/>
          <w:sz w:val="30"/>
        </w:rPr>
      </w:pPr>
    </w:p>
    <w:p>
      <w:pPr>
        <w:spacing w:beforeLines="0" w:afterLines="0"/>
        <w:jc w:val="center"/>
        <w:rPr>
          <w:rFonts w:hint="eastAsia" w:ascii="宋体" w:hAnsi="宋体" w:eastAsia="宋体"/>
          <w:b/>
          <w:color w:val="000000"/>
          <w:sz w:val="30"/>
        </w:rPr>
      </w:pPr>
    </w:p>
    <w:p>
      <w:pPr>
        <w:spacing w:beforeLines="0" w:afterLines="0"/>
        <w:jc w:val="center"/>
        <w:rPr>
          <w:rFonts w:hint="eastAsia" w:ascii="宋体" w:hAnsi="宋体" w:eastAsia="宋体"/>
          <w:b/>
          <w:color w:val="000000"/>
          <w:sz w:val="30"/>
        </w:rPr>
      </w:pPr>
    </w:p>
    <w:p>
      <w:pPr>
        <w:pStyle w:val="14"/>
        <w:spacing w:beforeLines="0" w:afterLines="0"/>
        <w:rPr>
          <w:rFonts w:hint="eastAsia"/>
          <w:b/>
          <w:color w:val="000000"/>
          <w:sz w:val="30"/>
        </w:rPr>
      </w:pPr>
    </w:p>
    <w:p>
      <w:pPr>
        <w:pStyle w:val="15"/>
        <w:rPr>
          <w:rFonts w:hint="eastAsia"/>
          <w:sz w:val="24"/>
        </w:rPr>
      </w:pPr>
    </w:p>
    <w:p>
      <w:pPr>
        <w:spacing w:beforeLines="0" w:afterLines="0"/>
        <w:jc w:val="center"/>
        <w:rPr>
          <w:rFonts w:hint="eastAsia" w:ascii="宋体" w:hAnsi="宋体" w:eastAsia="宋体"/>
          <w:b/>
          <w:color w:val="000000"/>
          <w:sz w:val="30"/>
        </w:rPr>
      </w:pPr>
    </w:p>
    <w:p>
      <w:pPr>
        <w:spacing w:beforeLines="0" w:afterLines="0"/>
        <w:jc w:val="center"/>
        <w:rPr>
          <w:rFonts w:hint="eastAsia" w:ascii="宋体" w:hAnsi="宋体" w:eastAsia="宋体"/>
          <w:b/>
          <w:color w:val="000000"/>
          <w:sz w:val="30"/>
        </w:rPr>
      </w:pPr>
    </w:p>
    <w:p>
      <w:pPr>
        <w:pStyle w:val="26"/>
        <w:rPr>
          <w:rFonts w:hint="eastAsia"/>
        </w:rPr>
      </w:pPr>
    </w:p>
    <w:p>
      <w:pPr>
        <w:pStyle w:val="26"/>
        <w:spacing w:beforeLines="0" w:afterLines="0"/>
        <w:rPr>
          <w:rFonts w:hint="eastAsia"/>
          <w:sz w:val="32"/>
        </w:rPr>
      </w:pPr>
    </w:p>
    <w:p>
      <w:pPr>
        <w:spacing w:beforeLines="0" w:afterLines="0"/>
        <w:jc w:val="center"/>
        <w:rPr>
          <w:rFonts w:hint="eastAsia" w:ascii="宋体" w:hAnsi="宋体" w:eastAsia="宋体"/>
          <w:b/>
          <w:color w:val="000000"/>
          <w:sz w:val="30"/>
        </w:rPr>
      </w:pPr>
      <w:r>
        <w:rPr>
          <w:rFonts w:hint="eastAsia" w:ascii="宋体" w:hAnsi="宋体" w:eastAsia="宋体"/>
          <w:b/>
          <w:color w:val="000000"/>
          <w:sz w:val="30"/>
          <w:lang w:val="en-US" w:eastAsia="zh-CN"/>
        </w:rPr>
        <w:t>5</w:t>
      </w:r>
      <w:r>
        <w:rPr>
          <w:rFonts w:hint="eastAsia" w:ascii="宋体" w:hAnsi="宋体" w:eastAsia="宋体"/>
          <w:b/>
          <w:color w:val="000000"/>
          <w:sz w:val="30"/>
        </w:rPr>
        <w:t>、技术规格偏差表</w:t>
      </w:r>
    </w:p>
    <w:p>
      <w:pPr>
        <w:spacing w:beforeLines="0" w:afterLines="0"/>
        <w:rPr>
          <w:rFonts w:hint="default"/>
          <w:sz w:val="24"/>
        </w:rPr>
      </w:pPr>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7"/>
        <w:gridCol w:w="2345"/>
        <w:gridCol w:w="1369"/>
        <w:gridCol w:w="1376"/>
        <w:gridCol w:w="1471"/>
        <w:gridCol w:w="758"/>
        <w:gridCol w:w="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exact"/>
          <w:jc w:val="center"/>
        </w:trPr>
        <w:tc>
          <w:tcPr>
            <w:tcW w:w="50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val="0"/>
              <w:overflowPunct w:val="0"/>
              <w:spacing w:beforeLines="0" w:afterLines="0"/>
              <w:ind w:left="102"/>
              <w:jc w:val="center"/>
              <w:rPr>
                <w:rFonts w:hint="eastAsia" w:ascii="宋体" w:hAnsi="宋体" w:eastAsia="宋体"/>
                <w:kern w:val="2"/>
                <w:sz w:val="24"/>
                <w:lang w:val="en-US" w:eastAsia="zh-CN"/>
              </w:rPr>
            </w:pPr>
            <w:r>
              <w:rPr>
                <w:rFonts w:hint="eastAsia" w:ascii="宋体" w:hAnsi="宋体" w:eastAsia="宋体"/>
                <w:kern w:val="2"/>
                <w:sz w:val="24"/>
                <w:lang w:val="en-US" w:eastAsia="zh-CN"/>
              </w:rPr>
              <w:t>序号</w:t>
            </w:r>
          </w:p>
        </w:tc>
        <w:tc>
          <w:tcPr>
            <w:tcW w:w="234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val="0"/>
              <w:overflowPunct w:val="0"/>
              <w:spacing w:beforeLines="0" w:afterLines="0"/>
              <w:ind w:left="102"/>
              <w:jc w:val="center"/>
              <w:rPr>
                <w:rFonts w:hint="eastAsia" w:ascii="宋体" w:hAnsi="宋体" w:eastAsia="宋体"/>
                <w:kern w:val="2"/>
                <w:sz w:val="24"/>
                <w:lang w:val="en-US" w:eastAsia="zh-CN"/>
              </w:rPr>
            </w:pPr>
            <w:r>
              <w:rPr>
                <w:rFonts w:hint="eastAsia" w:ascii="宋体" w:hAnsi="宋体" w:eastAsia="宋体"/>
                <w:kern w:val="2"/>
                <w:sz w:val="24"/>
                <w:lang w:val="en-US" w:eastAsia="zh-CN"/>
              </w:rPr>
              <w:t>投标货物名称和条 款号</w:t>
            </w:r>
          </w:p>
        </w:tc>
        <w:tc>
          <w:tcPr>
            <w:tcW w:w="27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val="0"/>
              <w:overflowPunct w:val="0"/>
              <w:spacing w:beforeLines="0" w:afterLines="0"/>
              <w:ind w:left="102"/>
              <w:jc w:val="center"/>
              <w:rPr>
                <w:rFonts w:hint="eastAsia" w:ascii="宋体" w:hAnsi="宋体" w:eastAsia="宋体"/>
                <w:kern w:val="2"/>
                <w:sz w:val="24"/>
                <w:lang w:val="en-US" w:eastAsia="zh-CN"/>
              </w:rPr>
            </w:pPr>
            <w:r>
              <w:rPr>
                <w:rFonts w:hint="eastAsia" w:ascii="宋体" w:hAnsi="宋体" w:eastAsia="宋体"/>
                <w:kern w:val="2"/>
                <w:sz w:val="24"/>
                <w:lang w:val="en-US" w:eastAsia="zh-CN"/>
              </w:rPr>
              <w:t>技术参数及要求</w:t>
            </w:r>
          </w:p>
        </w:tc>
        <w:tc>
          <w:tcPr>
            <w:tcW w:w="147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val="0"/>
              <w:overflowPunct w:val="0"/>
              <w:spacing w:beforeLines="0" w:afterLines="0"/>
              <w:ind w:left="102"/>
              <w:jc w:val="center"/>
              <w:rPr>
                <w:rFonts w:hint="eastAsia" w:ascii="宋体" w:hAnsi="宋体" w:eastAsia="宋体"/>
                <w:kern w:val="2"/>
                <w:sz w:val="24"/>
                <w:lang w:val="en-US" w:eastAsia="zh-CN"/>
              </w:rPr>
            </w:pPr>
            <w:r>
              <w:rPr>
                <w:rFonts w:hint="eastAsia" w:ascii="宋体" w:hAnsi="宋体" w:eastAsia="宋体"/>
                <w:kern w:val="2"/>
                <w:sz w:val="24"/>
                <w:lang w:val="en-US" w:eastAsia="zh-CN"/>
              </w:rPr>
              <w:t>对招标文 件偏差</w:t>
            </w:r>
          </w:p>
        </w:tc>
        <w:tc>
          <w:tcPr>
            <w:tcW w:w="75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val="0"/>
              <w:overflowPunct w:val="0"/>
              <w:spacing w:beforeLines="0" w:afterLines="0"/>
              <w:ind w:left="102"/>
              <w:jc w:val="center"/>
              <w:rPr>
                <w:rFonts w:hint="eastAsia" w:ascii="宋体" w:hAnsi="宋体" w:eastAsia="宋体"/>
                <w:kern w:val="2"/>
                <w:sz w:val="24"/>
                <w:lang w:val="en-US" w:eastAsia="zh-CN"/>
              </w:rPr>
            </w:pPr>
            <w:r>
              <w:rPr>
                <w:rFonts w:hint="eastAsia" w:ascii="宋体" w:hAnsi="宋体" w:eastAsia="宋体"/>
                <w:kern w:val="2"/>
                <w:sz w:val="24"/>
                <w:lang w:val="en-US" w:eastAsia="zh-CN"/>
              </w:rPr>
              <w:t>描述</w:t>
            </w:r>
          </w:p>
        </w:tc>
        <w:tc>
          <w:tcPr>
            <w:tcW w:w="8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val="0"/>
              <w:overflowPunct w:val="0"/>
              <w:spacing w:beforeLines="0" w:afterLines="0"/>
              <w:ind w:left="102"/>
              <w:jc w:val="center"/>
              <w:rPr>
                <w:rFonts w:hint="eastAsia" w:ascii="宋体" w:hAnsi="宋体" w:eastAsia="宋体"/>
                <w:kern w:val="2"/>
                <w:sz w:val="24"/>
                <w:lang w:val="en-US" w:eastAsia="zh-CN"/>
              </w:rPr>
            </w:pPr>
            <w:r>
              <w:rPr>
                <w:rFonts w:hint="eastAsia" w:ascii="宋体" w:hAnsi="宋体" w:eastAsia="宋体"/>
                <w:kern w:val="2"/>
                <w:sz w:val="24"/>
                <w:lang w:val="en-US" w:eastAsia="zh-CN"/>
              </w:rPr>
              <w:t>技术</w:t>
            </w:r>
          </w:p>
          <w:p>
            <w:pPr>
              <w:kinsoku w:val="0"/>
              <w:overflowPunct w:val="0"/>
              <w:spacing w:beforeLines="0" w:afterLines="0"/>
              <w:ind w:left="102"/>
              <w:jc w:val="center"/>
              <w:rPr>
                <w:rFonts w:hint="eastAsia" w:ascii="宋体" w:hAnsi="宋体" w:eastAsia="宋体"/>
                <w:kern w:val="2"/>
                <w:sz w:val="24"/>
                <w:lang w:val="en-US" w:eastAsia="zh-CN"/>
              </w:rPr>
            </w:pPr>
            <w:r>
              <w:rPr>
                <w:rFonts w:hint="eastAsia" w:ascii="宋体" w:hAnsi="宋体" w:eastAsia="宋体"/>
                <w:kern w:val="2"/>
                <w:sz w:val="24"/>
                <w:lang w:val="en-US" w:eastAsia="zh-CN"/>
              </w:rPr>
              <w:t>证明 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50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23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val="0"/>
              <w:overflowPunct w:val="0"/>
              <w:spacing w:beforeLines="0" w:afterLines="0"/>
              <w:ind w:left="102"/>
              <w:jc w:val="center"/>
              <w:rPr>
                <w:rFonts w:hint="eastAsia" w:ascii="宋体" w:hAnsi="宋体" w:eastAsia="宋体"/>
                <w:kern w:val="2"/>
                <w:sz w:val="24"/>
                <w:lang w:val="en-US" w:eastAsia="zh-CN"/>
              </w:rPr>
            </w:pPr>
            <w:r>
              <w:rPr>
                <w:rFonts w:hint="eastAsia" w:ascii="宋体" w:hAnsi="宋体" w:eastAsia="宋体"/>
                <w:kern w:val="2"/>
                <w:sz w:val="24"/>
                <w:lang w:val="en-US" w:eastAsia="zh-CN"/>
              </w:rPr>
              <w:t>招标文件</w:t>
            </w: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insoku w:val="0"/>
              <w:overflowPunct w:val="0"/>
              <w:spacing w:beforeLines="0" w:afterLines="0"/>
              <w:ind w:left="102"/>
              <w:jc w:val="center"/>
              <w:rPr>
                <w:rFonts w:hint="eastAsia" w:ascii="宋体" w:hAnsi="宋体" w:eastAsia="宋体"/>
                <w:kern w:val="2"/>
                <w:sz w:val="24"/>
                <w:lang w:val="en-US" w:eastAsia="zh-CN"/>
              </w:rPr>
            </w:pPr>
            <w:r>
              <w:rPr>
                <w:rFonts w:hint="eastAsia" w:ascii="宋体" w:hAnsi="宋体" w:eastAsia="宋体"/>
                <w:kern w:val="2"/>
                <w:sz w:val="24"/>
                <w:lang w:val="en-US" w:eastAsia="zh-CN"/>
              </w:rPr>
              <w:t>投标文件</w:t>
            </w:r>
          </w:p>
        </w:tc>
        <w:tc>
          <w:tcPr>
            <w:tcW w:w="14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75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8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5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r>
              <w:rPr>
                <w:rFonts w:hint="eastAsia" w:ascii="宋体" w:hAnsi="宋体" w:eastAsia="宋体"/>
                <w:kern w:val="2"/>
                <w:sz w:val="24"/>
                <w:lang w:val="en-US" w:eastAsia="zh-CN"/>
              </w:rPr>
              <w:t>1</w:t>
            </w:r>
          </w:p>
        </w:tc>
        <w:tc>
          <w:tcPr>
            <w:tcW w:w="23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r>
              <w:rPr>
                <w:rFonts w:hint="eastAsia" w:ascii="宋体" w:hAnsi="宋体" w:eastAsia="宋体"/>
                <w:kern w:val="2"/>
                <w:sz w:val="24"/>
                <w:lang w:val="en-US" w:eastAsia="zh-CN"/>
              </w:rPr>
              <w:t>货物名称</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47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8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exact"/>
          <w:jc w:val="center"/>
        </w:trPr>
        <w:tc>
          <w:tcPr>
            <w:tcW w:w="5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23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47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8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exact"/>
          <w:jc w:val="center"/>
        </w:trPr>
        <w:tc>
          <w:tcPr>
            <w:tcW w:w="5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23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r>
              <w:rPr>
                <w:rFonts w:hint="eastAsia" w:ascii="宋体" w:hAnsi="宋体" w:eastAsia="宋体"/>
                <w:kern w:val="2"/>
                <w:sz w:val="24"/>
                <w:lang w:val="en-US" w:eastAsia="zh-CN"/>
              </w:rPr>
              <w:t>……</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47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8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exact"/>
          <w:jc w:val="center"/>
        </w:trPr>
        <w:tc>
          <w:tcPr>
            <w:tcW w:w="5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23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47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8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23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47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8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exact"/>
          <w:jc w:val="center"/>
        </w:trPr>
        <w:tc>
          <w:tcPr>
            <w:tcW w:w="5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23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47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8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exact"/>
          <w:jc w:val="center"/>
        </w:trPr>
        <w:tc>
          <w:tcPr>
            <w:tcW w:w="5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23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47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8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23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47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8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exact"/>
          <w:jc w:val="center"/>
        </w:trPr>
        <w:tc>
          <w:tcPr>
            <w:tcW w:w="5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23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47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8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exact"/>
          <w:jc w:val="center"/>
        </w:trPr>
        <w:tc>
          <w:tcPr>
            <w:tcW w:w="50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234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37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147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7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c>
          <w:tcPr>
            <w:tcW w:w="89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kinsoku w:val="0"/>
              <w:overflowPunct w:val="0"/>
              <w:spacing w:beforeLines="0" w:afterLines="0"/>
              <w:ind w:left="102"/>
              <w:jc w:val="both"/>
              <w:rPr>
                <w:rFonts w:hint="eastAsia" w:ascii="宋体" w:hAnsi="宋体" w:eastAsia="宋体"/>
                <w:kern w:val="2"/>
                <w:sz w:val="24"/>
                <w:lang w:val="en-US" w:eastAsia="zh-CN"/>
              </w:rPr>
            </w:pPr>
          </w:p>
        </w:tc>
      </w:tr>
    </w:tbl>
    <w:p>
      <w:pPr>
        <w:pStyle w:val="45"/>
        <w:kinsoku w:val="0"/>
        <w:overflowPunct w:val="0"/>
        <w:spacing w:beforeLines="0" w:afterLines="0"/>
        <w:ind w:left="102"/>
        <w:rPr>
          <w:rFonts w:hint="eastAsia" w:ascii="宋体" w:hAnsi="宋体" w:eastAsia="宋体"/>
          <w:sz w:val="24"/>
        </w:rPr>
      </w:pPr>
    </w:p>
    <w:p>
      <w:pPr>
        <w:pStyle w:val="45"/>
        <w:kinsoku w:val="0"/>
        <w:overflowPunct w:val="0"/>
        <w:spacing w:beforeLines="0" w:afterLines="0"/>
        <w:ind w:left="102"/>
        <w:rPr>
          <w:rFonts w:hint="eastAsia" w:ascii="宋体" w:hAnsi="宋体" w:eastAsia="宋体"/>
          <w:sz w:val="24"/>
        </w:rPr>
      </w:pP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投标人(</w:t>
      </w:r>
      <w:r>
        <w:rPr>
          <w:rFonts w:hint="eastAsia" w:ascii="宋体" w:hAnsi="宋体" w:eastAsia="宋体"/>
          <w:sz w:val="24"/>
          <w:lang w:eastAsia="zh-CN"/>
        </w:rPr>
        <w:t>电子签章</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法人代表或授权代表(</w:t>
      </w:r>
      <w:r>
        <w:rPr>
          <w:rFonts w:hint="eastAsia" w:ascii="宋体" w:hAnsi="宋体" w:eastAsia="宋体"/>
          <w:sz w:val="24"/>
          <w:lang w:eastAsia="zh-CN"/>
        </w:rPr>
        <w:t>电子</w:t>
      </w:r>
      <w:r>
        <w:rPr>
          <w:rFonts w:hint="eastAsia" w:ascii="宋体" w:hAnsi="宋体" w:eastAsia="宋体"/>
          <w:sz w:val="24"/>
        </w:rPr>
        <w:t>签</w:t>
      </w:r>
      <w:r>
        <w:rPr>
          <w:rFonts w:hint="eastAsia" w:ascii="宋体" w:hAnsi="宋体" w:eastAsia="宋体"/>
          <w:sz w:val="24"/>
          <w:lang w:eastAsia="zh-CN"/>
        </w:rPr>
        <w:t>名</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rPr>
          <w:rFonts w:hint="eastAsia" w:ascii="宋体" w:hAnsi="宋体" w:eastAsia="宋体"/>
          <w:sz w:val="28"/>
        </w:rPr>
      </w:pP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lang w:eastAsia="zh-CN"/>
        </w:rPr>
        <w:t>日期：</w:t>
      </w:r>
      <w:r>
        <w:rPr>
          <w:rFonts w:hint="eastAsia" w:ascii="宋体" w:hAnsi="宋体" w:eastAsia="宋体"/>
          <w:sz w:val="24"/>
          <w:u w:val="single"/>
          <w:lang w:val="en-US" w:eastAsia="zh-CN"/>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日</w:t>
      </w:r>
    </w:p>
    <w:p>
      <w:pPr>
        <w:pStyle w:val="45"/>
        <w:kinsoku w:val="0"/>
        <w:overflowPunct w:val="0"/>
        <w:spacing w:before="22" w:beforeLines="0" w:afterLines="0"/>
        <w:ind w:left="102"/>
        <w:rPr>
          <w:rFonts w:hint="eastAsia" w:ascii="宋体" w:hAnsi="宋体" w:eastAsia="宋体"/>
          <w:sz w:val="24"/>
        </w:rPr>
      </w:pPr>
    </w:p>
    <w:p>
      <w:pPr>
        <w:pStyle w:val="45"/>
        <w:kinsoku w:val="0"/>
        <w:overflowPunct w:val="0"/>
        <w:spacing w:before="22" w:beforeLines="0" w:afterLines="0"/>
        <w:ind w:left="102"/>
        <w:rPr>
          <w:rFonts w:hint="eastAsia" w:ascii="宋体" w:hAnsi="宋体" w:eastAsia="宋体"/>
          <w:sz w:val="24"/>
        </w:rPr>
      </w:pPr>
      <w:r>
        <w:rPr>
          <w:rFonts w:hint="eastAsia" w:ascii="宋体" w:hAnsi="宋体" w:eastAsia="宋体"/>
          <w:sz w:val="24"/>
        </w:rPr>
        <w:t>说明：</w:t>
      </w:r>
    </w:p>
    <w:p>
      <w:pPr>
        <w:pStyle w:val="45"/>
        <w:kinsoku w:val="0"/>
        <w:overflowPunct w:val="0"/>
        <w:spacing w:before="22" w:beforeLines="0" w:afterLines="0"/>
        <w:rPr>
          <w:rFonts w:hint="eastAsia" w:ascii="宋体" w:hAnsi="宋体" w:eastAsia="宋体"/>
          <w:sz w:val="24"/>
        </w:rPr>
      </w:pPr>
      <w:r>
        <w:rPr>
          <w:rFonts w:hint="eastAsia" w:ascii="宋体" w:hAnsi="宋体" w:eastAsia="宋体"/>
          <w:sz w:val="24"/>
        </w:rPr>
        <w:t xml:space="preserve">    投标货物或商务条款存在偏差的必须如实填写本表，否则可能导致投标被废。</w:t>
      </w:r>
    </w:p>
    <w:p>
      <w:pPr>
        <w:spacing w:beforeLines="0" w:afterLines="0" w:line="360" w:lineRule="auto"/>
        <w:jc w:val="center"/>
        <w:rPr>
          <w:rFonts w:hint="eastAsia" w:ascii="仿宋_GB2312" w:hAnsi="宋体" w:eastAsia="仿宋_GB2312"/>
          <w:b/>
          <w:sz w:val="28"/>
        </w:rPr>
      </w:pPr>
    </w:p>
    <w:p>
      <w:pPr>
        <w:spacing w:beforeLines="0" w:afterLines="0" w:line="360" w:lineRule="auto"/>
        <w:jc w:val="center"/>
        <w:rPr>
          <w:rFonts w:hint="eastAsia" w:ascii="仿宋_GB2312" w:hAnsi="宋体" w:eastAsia="仿宋_GB2312"/>
          <w:b/>
          <w:sz w:val="28"/>
        </w:rPr>
      </w:pPr>
    </w:p>
    <w:p>
      <w:pPr>
        <w:spacing w:beforeLines="0" w:afterLines="0" w:line="360" w:lineRule="auto"/>
        <w:jc w:val="center"/>
        <w:rPr>
          <w:rFonts w:hint="eastAsia" w:ascii="仿宋_GB2312" w:hAnsi="宋体" w:eastAsia="仿宋_GB2312"/>
          <w:b/>
          <w:sz w:val="28"/>
        </w:rPr>
      </w:pPr>
    </w:p>
    <w:p>
      <w:pPr>
        <w:pStyle w:val="14"/>
        <w:spacing w:beforeLines="0" w:afterLines="0"/>
        <w:rPr>
          <w:rFonts w:hint="eastAsia"/>
          <w:sz w:val="24"/>
        </w:rPr>
      </w:pPr>
    </w:p>
    <w:p>
      <w:pPr>
        <w:spacing w:beforeLines="0" w:afterLines="0"/>
        <w:rPr>
          <w:rFonts w:hint="default"/>
          <w:sz w:val="24"/>
        </w:rPr>
      </w:pPr>
    </w:p>
    <w:p>
      <w:pPr>
        <w:spacing w:beforeLines="0" w:afterLines="0"/>
        <w:jc w:val="center"/>
        <w:rPr>
          <w:rFonts w:hint="eastAsia" w:ascii="宋体" w:hAnsi="宋体" w:eastAsia="宋体"/>
          <w:b/>
          <w:color w:val="000000"/>
          <w:sz w:val="30"/>
          <w:lang w:val="en-US" w:eastAsia="zh-CN"/>
        </w:rPr>
      </w:pPr>
    </w:p>
    <w:p>
      <w:pPr>
        <w:spacing w:beforeLines="0" w:afterLines="0"/>
        <w:jc w:val="center"/>
        <w:rPr>
          <w:rFonts w:hint="eastAsia" w:ascii="宋体" w:hAnsi="宋体" w:eastAsia="宋体"/>
          <w:b/>
          <w:color w:val="000000"/>
          <w:sz w:val="30"/>
          <w:lang w:val="en-US" w:eastAsia="zh-CN"/>
        </w:rPr>
      </w:pPr>
    </w:p>
    <w:p>
      <w:pPr>
        <w:spacing w:beforeLines="0" w:afterLines="0"/>
        <w:jc w:val="center"/>
        <w:rPr>
          <w:rFonts w:hint="eastAsia" w:ascii="宋体" w:hAnsi="宋体" w:eastAsia="宋体"/>
          <w:b/>
          <w:color w:val="000000"/>
          <w:sz w:val="30"/>
          <w:lang w:val="en-US" w:eastAsia="zh-CN"/>
        </w:rPr>
      </w:pPr>
    </w:p>
    <w:p>
      <w:pPr>
        <w:spacing w:beforeLines="0" w:afterLines="0"/>
        <w:jc w:val="center"/>
        <w:rPr>
          <w:rFonts w:hint="eastAsia" w:ascii="宋体" w:hAnsi="宋体" w:eastAsia="宋体"/>
          <w:b/>
          <w:color w:val="000000"/>
          <w:sz w:val="30"/>
          <w:lang w:val="en-US" w:eastAsia="zh-CN"/>
        </w:rPr>
      </w:pPr>
    </w:p>
    <w:p>
      <w:pPr>
        <w:spacing w:beforeLines="0" w:afterLines="0"/>
        <w:jc w:val="center"/>
        <w:rPr>
          <w:rFonts w:hint="eastAsia" w:ascii="宋体" w:hAnsi="宋体" w:eastAsia="宋体"/>
          <w:b/>
          <w:color w:val="000000"/>
          <w:sz w:val="30"/>
        </w:rPr>
      </w:pPr>
      <w:r>
        <w:rPr>
          <w:rFonts w:hint="eastAsia" w:ascii="宋体" w:hAnsi="宋体" w:eastAsia="宋体"/>
          <w:b/>
          <w:color w:val="000000"/>
          <w:sz w:val="30"/>
          <w:lang w:val="en-US" w:eastAsia="zh-CN"/>
        </w:rPr>
        <w:t>6</w:t>
      </w:r>
      <w:r>
        <w:rPr>
          <w:rFonts w:hint="eastAsia" w:ascii="宋体" w:hAnsi="宋体" w:eastAsia="宋体"/>
          <w:b/>
          <w:color w:val="000000"/>
          <w:sz w:val="30"/>
        </w:rPr>
        <w:t>、商务条款偏差表</w:t>
      </w:r>
    </w:p>
    <w:p>
      <w:pPr>
        <w:spacing w:beforeLines="0" w:afterLines="0" w:line="360" w:lineRule="auto"/>
        <w:rPr>
          <w:rFonts w:hint="eastAsia" w:ascii="宋体" w:hAnsi="宋体" w:eastAsia="宋体"/>
          <w:color w:val="000000"/>
          <w:spacing w:val="20"/>
          <w:sz w:val="24"/>
        </w:rPr>
      </w:pPr>
    </w:p>
    <w:tbl>
      <w:tblPr>
        <w:tblStyle w:val="28"/>
        <w:tblW w:w="8640" w:type="dxa"/>
        <w:tblInd w:w="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2"/>
        <w:gridCol w:w="1836"/>
        <w:gridCol w:w="1517"/>
        <w:gridCol w:w="1484"/>
        <w:gridCol w:w="1525"/>
        <w:gridCol w:w="1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exact"/>
        </w:trPr>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5"/>
              <w:kinsoku w:val="0"/>
              <w:overflowPunct w:val="0"/>
              <w:spacing w:before="139" w:beforeLines="0" w:afterLines="0"/>
              <w:jc w:val="center"/>
              <w:rPr>
                <w:rFonts w:hint="default"/>
                <w:sz w:val="24"/>
              </w:rPr>
            </w:pPr>
            <w:r>
              <w:rPr>
                <w:rFonts w:hint="eastAsia" w:ascii="宋体" w:hAnsi="宋体" w:eastAsia="宋体"/>
                <w:b/>
                <w:sz w:val="24"/>
              </w:rPr>
              <w:t>序号</w:t>
            </w:r>
          </w:p>
        </w:tc>
        <w:tc>
          <w:tcPr>
            <w:tcW w:w="18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5"/>
              <w:kinsoku w:val="0"/>
              <w:overflowPunct w:val="0"/>
              <w:spacing w:before="139" w:beforeLines="0" w:afterLines="0"/>
              <w:ind w:right="1"/>
              <w:jc w:val="center"/>
              <w:rPr>
                <w:rFonts w:hint="default"/>
                <w:sz w:val="24"/>
              </w:rPr>
            </w:pPr>
            <w:r>
              <w:rPr>
                <w:rFonts w:hint="eastAsia" w:ascii="宋体" w:hAnsi="宋体" w:eastAsia="宋体"/>
                <w:b/>
                <w:sz w:val="24"/>
              </w:rPr>
              <w:t>内容</w:t>
            </w: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5"/>
              <w:kinsoku w:val="0"/>
              <w:overflowPunct w:val="0"/>
              <w:spacing w:before="139" w:beforeLines="0" w:afterLines="0"/>
              <w:ind w:left="169"/>
              <w:rPr>
                <w:rFonts w:hint="default"/>
                <w:sz w:val="24"/>
              </w:rPr>
            </w:pPr>
            <w:r>
              <w:rPr>
                <w:rFonts w:hint="eastAsia" w:ascii="宋体" w:hAnsi="宋体" w:eastAsia="宋体"/>
                <w:b/>
                <w:sz w:val="24"/>
              </w:rPr>
              <w:t>标书要求</w:t>
            </w:r>
          </w:p>
        </w:tc>
        <w:tc>
          <w:tcPr>
            <w:tcW w:w="148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5"/>
              <w:kinsoku w:val="0"/>
              <w:overflowPunct w:val="0"/>
              <w:spacing w:before="139" w:beforeLines="0" w:afterLines="0"/>
              <w:ind w:left="166"/>
              <w:rPr>
                <w:rFonts w:hint="default"/>
                <w:sz w:val="24"/>
              </w:rPr>
            </w:pPr>
            <w:r>
              <w:rPr>
                <w:rFonts w:hint="eastAsia" w:ascii="宋体" w:hAnsi="宋体" w:eastAsia="宋体"/>
                <w:b/>
                <w:sz w:val="24"/>
              </w:rPr>
              <w:t>投标响应</w:t>
            </w: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5"/>
              <w:kinsoku w:val="0"/>
              <w:overflowPunct w:val="0"/>
              <w:spacing w:before="139" w:beforeLines="0" w:afterLines="0"/>
              <w:ind w:left="255"/>
              <w:rPr>
                <w:rFonts w:hint="default"/>
                <w:sz w:val="24"/>
              </w:rPr>
            </w:pPr>
            <w:r>
              <w:rPr>
                <w:rFonts w:hint="eastAsia" w:ascii="宋体" w:hAnsi="宋体" w:eastAsia="宋体"/>
                <w:b/>
                <w:sz w:val="24"/>
              </w:rPr>
              <w:t>是否偏离</w:t>
            </w:r>
          </w:p>
        </w:tc>
        <w:tc>
          <w:tcPr>
            <w:tcW w:w="13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5"/>
              <w:kinsoku w:val="0"/>
              <w:overflowPunct w:val="0"/>
              <w:spacing w:before="139" w:beforeLines="0" w:afterLines="0"/>
              <w:jc w:val="center"/>
              <w:rPr>
                <w:rFonts w:hint="default"/>
                <w:sz w:val="24"/>
              </w:rPr>
            </w:pPr>
            <w:r>
              <w:rPr>
                <w:rFonts w:hint="eastAsia" w:ascii="宋体" w:hAnsi="宋体" w:eastAsia="宋体"/>
                <w:b/>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exact"/>
        </w:trPr>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5"/>
              <w:kinsoku w:val="0"/>
              <w:overflowPunct w:val="0"/>
              <w:spacing w:before="22" w:beforeLines="0" w:afterLines="0"/>
              <w:ind w:right="24"/>
              <w:jc w:val="center"/>
              <w:rPr>
                <w:rFonts w:hint="default"/>
                <w:sz w:val="24"/>
              </w:rPr>
            </w:pPr>
            <w:r>
              <w:rPr>
                <w:rFonts w:hint="eastAsia" w:ascii="宋体" w:hAnsi="宋体" w:eastAsia="宋体"/>
                <w:sz w:val="24"/>
              </w:rPr>
              <w:t>1</w:t>
            </w:r>
          </w:p>
        </w:tc>
        <w:tc>
          <w:tcPr>
            <w:tcW w:w="18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5"/>
              <w:kinsoku w:val="0"/>
              <w:overflowPunct w:val="0"/>
              <w:spacing w:before="22" w:beforeLines="0" w:afterLines="0"/>
              <w:ind w:left="102"/>
              <w:rPr>
                <w:rFonts w:hint="default"/>
                <w:sz w:val="24"/>
              </w:rPr>
            </w:pP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48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3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exact"/>
        </w:trPr>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5"/>
              <w:kinsoku w:val="0"/>
              <w:overflowPunct w:val="0"/>
              <w:spacing w:before="33" w:beforeLines="0" w:afterLines="0"/>
              <w:ind w:right="24"/>
              <w:jc w:val="center"/>
              <w:rPr>
                <w:rFonts w:hint="default"/>
                <w:sz w:val="24"/>
              </w:rPr>
            </w:pPr>
            <w:r>
              <w:rPr>
                <w:rFonts w:hint="eastAsia" w:ascii="宋体" w:hAnsi="宋体" w:eastAsia="宋体"/>
                <w:sz w:val="24"/>
              </w:rPr>
              <w:t>2</w:t>
            </w:r>
          </w:p>
        </w:tc>
        <w:tc>
          <w:tcPr>
            <w:tcW w:w="18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5"/>
              <w:kinsoku w:val="0"/>
              <w:overflowPunct w:val="0"/>
              <w:spacing w:before="33" w:beforeLines="0" w:afterLines="0"/>
              <w:ind w:left="102"/>
              <w:rPr>
                <w:rFonts w:hint="default"/>
                <w:sz w:val="24"/>
              </w:rPr>
            </w:pP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48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3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exact"/>
        </w:trPr>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5"/>
              <w:kinsoku w:val="0"/>
              <w:overflowPunct w:val="0"/>
              <w:spacing w:before="106" w:beforeLines="0" w:afterLines="0"/>
              <w:ind w:right="24"/>
              <w:jc w:val="center"/>
              <w:rPr>
                <w:rFonts w:hint="default"/>
                <w:sz w:val="24"/>
              </w:rPr>
            </w:pPr>
            <w:r>
              <w:rPr>
                <w:rFonts w:hint="eastAsia" w:ascii="宋体" w:hAnsi="宋体" w:eastAsia="宋体"/>
                <w:sz w:val="24"/>
              </w:rPr>
              <w:t>3</w:t>
            </w:r>
          </w:p>
        </w:tc>
        <w:tc>
          <w:tcPr>
            <w:tcW w:w="18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5"/>
              <w:kinsoku w:val="0"/>
              <w:overflowPunct w:val="0"/>
              <w:spacing w:before="106" w:beforeLines="0" w:afterLines="0"/>
              <w:ind w:left="102"/>
              <w:rPr>
                <w:rFonts w:hint="default"/>
                <w:sz w:val="24"/>
              </w:rPr>
            </w:pP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48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3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exact"/>
        </w:trPr>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5"/>
              <w:kinsoku w:val="0"/>
              <w:overflowPunct w:val="0"/>
              <w:spacing w:before="147" w:beforeLines="0" w:afterLines="0"/>
              <w:ind w:right="24"/>
              <w:jc w:val="center"/>
              <w:rPr>
                <w:rFonts w:hint="default"/>
                <w:sz w:val="24"/>
              </w:rPr>
            </w:pPr>
            <w:r>
              <w:rPr>
                <w:rFonts w:hint="eastAsia" w:ascii="宋体" w:hAnsi="宋体" w:eastAsia="宋体"/>
                <w:sz w:val="24"/>
              </w:rPr>
              <w:t>4</w:t>
            </w:r>
          </w:p>
        </w:tc>
        <w:tc>
          <w:tcPr>
            <w:tcW w:w="18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5"/>
              <w:kinsoku w:val="0"/>
              <w:overflowPunct w:val="0"/>
              <w:spacing w:before="147" w:beforeLines="0" w:afterLines="0"/>
              <w:ind w:left="102"/>
              <w:rPr>
                <w:rFonts w:hint="default"/>
                <w:sz w:val="24"/>
              </w:rPr>
            </w:pP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48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3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exact"/>
        </w:trPr>
        <w:tc>
          <w:tcPr>
            <w:tcW w:w="912"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5"/>
              <w:kinsoku w:val="0"/>
              <w:overflowPunct w:val="0"/>
              <w:spacing w:before="21" w:beforeLines="0" w:afterLines="0"/>
              <w:ind w:right="24"/>
              <w:jc w:val="center"/>
              <w:rPr>
                <w:rFonts w:hint="default"/>
                <w:sz w:val="24"/>
              </w:rPr>
            </w:pPr>
            <w:r>
              <w:rPr>
                <w:rFonts w:hint="eastAsia" w:ascii="宋体" w:hAnsi="宋体" w:eastAsia="宋体"/>
                <w:sz w:val="24"/>
              </w:rPr>
              <w:t>5</w:t>
            </w:r>
          </w:p>
        </w:tc>
        <w:tc>
          <w:tcPr>
            <w:tcW w:w="183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45"/>
              <w:kinsoku w:val="0"/>
              <w:overflowPunct w:val="0"/>
              <w:spacing w:before="21" w:beforeLines="0" w:afterLines="0"/>
              <w:ind w:left="102"/>
              <w:rPr>
                <w:rFonts w:hint="default"/>
                <w:sz w:val="24"/>
              </w:rPr>
            </w:pPr>
          </w:p>
        </w:tc>
        <w:tc>
          <w:tcPr>
            <w:tcW w:w="151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48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52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c>
          <w:tcPr>
            <w:tcW w:w="13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4"/>
              </w:rPr>
            </w:pPr>
          </w:p>
        </w:tc>
      </w:tr>
    </w:tbl>
    <w:p>
      <w:pPr>
        <w:spacing w:beforeLines="0" w:afterLines="0" w:line="360" w:lineRule="auto"/>
        <w:rPr>
          <w:rFonts w:hint="eastAsia" w:ascii="宋体" w:hAnsi="宋体" w:eastAsia="宋体"/>
          <w:color w:val="000000"/>
          <w:spacing w:val="20"/>
          <w:sz w:val="24"/>
        </w:rPr>
      </w:pPr>
    </w:p>
    <w:p>
      <w:pPr>
        <w:spacing w:beforeLines="0" w:afterLines="0" w:line="360" w:lineRule="auto"/>
        <w:rPr>
          <w:rFonts w:hint="eastAsia" w:ascii="宋体" w:hAnsi="宋体" w:eastAsia="宋体"/>
          <w:color w:val="000000"/>
          <w:spacing w:val="20"/>
          <w:sz w:val="24"/>
        </w:rPr>
      </w:pPr>
    </w:p>
    <w:p>
      <w:pPr>
        <w:autoSpaceDE/>
        <w:autoSpaceDN/>
        <w:adjustRightInd/>
        <w:spacing w:beforeLines="0" w:afterLines="0" w:line="360" w:lineRule="auto"/>
        <w:ind w:left="5280" w:leftChars="2200"/>
        <w:rPr>
          <w:rFonts w:hint="eastAsia" w:ascii="宋体" w:hAnsi="宋体" w:eastAsia="宋体"/>
          <w:sz w:val="24"/>
          <w:lang w:val="en-US" w:eastAsia="zh-CN"/>
        </w:rPr>
      </w:pPr>
      <w:r>
        <w:rPr>
          <w:rFonts w:hint="eastAsia" w:ascii="宋体" w:hAnsi="宋体" w:eastAsia="宋体"/>
          <w:color w:val="000000"/>
          <w:spacing w:val="20"/>
          <w:sz w:val="24"/>
        </w:rPr>
        <w:t xml:space="preserve">                                     </w:t>
      </w:r>
      <w:r>
        <w:rPr>
          <w:rFonts w:hint="eastAsia" w:ascii="宋体" w:hAnsi="宋体" w:eastAsia="宋体"/>
          <w:sz w:val="24"/>
        </w:rPr>
        <w:t>投标人(</w:t>
      </w:r>
      <w:r>
        <w:rPr>
          <w:rFonts w:hint="eastAsia" w:ascii="宋体" w:hAnsi="宋体" w:eastAsia="宋体"/>
          <w:sz w:val="24"/>
          <w:lang w:eastAsia="zh-CN"/>
        </w:rPr>
        <w:t>电子签章</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法人代表或授权代表(</w:t>
      </w:r>
      <w:r>
        <w:rPr>
          <w:rFonts w:hint="eastAsia" w:ascii="宋体" w:hAnsi="宋体" w:eastAsia="宋体"/>
          <w:sz w:val="24"/>
          <w:lang w:eastAsia="zh-CN"/>
        </w:rPr>
        <w:t>电子</w:t>
      </w:r>
      <w:r>
        <w:rPr>
          <w:rFonts w:hint="eastAsia" w:ascii="宋体" w:hAnsi="宋体" w:eastAsia="宋体"/>
          <w:sz w:val="24"/>
        </w:rPr>
        <w:t>签</w:t>
      </w:r>
      <w:r>
        <w:rPr>
          <w:rFonts w:hint="eastAsia" w:ascii="宋体" w:hAnsi="宋体" w:eastAsia="宋体"/>
          <w:sz w:val="24"/>
          <w:lang w:eastAsia="zh-CN"/>
        </w:rPr>
        <w:t>名</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rPr>
          <w:rFonts w:hint="eastAsia" w:ascii="宋体" w:hAnsi="宋体" w:eastAsia="宋体"/>
          <w:sz w:val="28"/>
        </w:rPr>
      </w:pP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lang w:eastAsia="zh-CN"/>
        </w:rPr>
        <w:t>日期：</w:t>
      </w:r>
      <w:r>
        <w:rPr>
          <w:rFonts w:hint="eastAsia" w:ascii="宋体" w:hAnsi="宋体" w:eastAsia="宋体"/>
          <w:sz w:val="24"/>
          <w:u w:val="single"/>
          <w:lang w:val="en-US" w:eastAsia="zh-CN"/>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日</w:t>
      </w:r>
    </w:p>
    <w:p>
      <w:pPr>
        <w:spacing w:beforeLines="0" w:afterLines="0" w:line="360" w:lineRule="auto"/>
        <w:rPr>
          <w:rFonts w:hint="eastAsia" w:ascii="宋体" w:hAnsi="宋体" w:eastAsia="宋体"/>
          <w:color w:val="000000"/>
          <w:spacing w:val="20"/>
          <w:sz w:val="24"/>
        </w:rPr>
      </w:pPr>
    </w:p>
    <w:p>
      <w:pPr>
        <w:spacing w:beforeLines="0" w:afterLines="0" w:line="460" w:lineRule="exact"/>
        <w:jc w:val="center"/>
        <w:rPr>
          <w:rFonts w:hint="eastAsia" w:ascii="仿宋_GB2312" w:hAnsi="宋体" w:eastAsia="仿宋_GB2312"/>
          <w:sz w:val="28"/>
        </w:rPr>
      </w:pPr>
    </w:p>
    <w:p>
      <w:pPr>
        <w:spacing w:beforeLines="0" w:afterLines="0" w:line="460" w:lineRule="exact"/>
        <w:jc w:val="center"/>
        <w:rPr>
          <w:rFonts w:hint="eastAsia" w:ascii="仿宋_GB2312" w:hAnsi="宋体" w:eastAsia="仿宋_GB2312"/>
          <w:sz w:val="28"/>
        </w:rPr>
      </w:pPr>
    </w:p>
    <w:p>
      <w:pPr>
        <w:spacing w:beforeLines="0" w:afterLines="0"/>
        <w:rPr>
          <w:rFonts w:hint="default"/>
          <w:sz w:val="24"/>
        </w:rPr>
      </w:pPr>
      <w:r>
        <w:rPr>
          <w:rFonts w:hint="eastAsia" w:ascii="Wingdings" w:hAnsi="Wingdings" w:eastAsia="宋体"/>
          <w:sz w:val="24"/>
        </w:rPr>
        <w:t>说明：</w:t>
      </w:r>
    </w:p>
    <w:p>
      <w:pPr>
        <w:spacing w:beforeLines="0" w:afterLines="0"/>
        <w:rPr>
          <w:rFonts w:hint="default"/>
          <w:sz w:val="24"/>
        </w:rPr>
      </w:pPr>
    </w:p>
    <w:p>
      <w:pPr>
        <w:spacing w:beforeLines="0" w:afterLines="0"/>
        <w:ind w:firstLine="480" w:firstLineChars="200"/>
        <w:rPr>
          <w:rFonts w:hint="default"/>
          <w:sz w:val="24"/>
        </w:rPr>
      </w:pPr>
      <w:r>
        <w:rPr>
          <w:rFonts w:hint="eastAsia" w:ascii="Wingdings" w:hAnsi="Wingdings" w:eastAsia="宋体"/>
          <w:sz w:val="24"/>
        </w:rPr>
        <w:t>投标货物或商务条款存在偏差的必须如实填写本表，否则可能导致投标被废风险。</w:t>
      </w:r>
    </w:p>
    <w:p>
      <w:pPr>
        <w:spacing w:beforeLines="0" w:afterLines="0"/>
        <w:rPr>
          <w:rFonts w:hint="default"/>
          <w:sz w:val="24"/>
        </w:rPr>
      </w:pPr>
    </w:p>
    <w:p>
      <w:pPr>
        <w:spacing w:beforeLines="0" w:afterLines="0" w:line="460" w:lineRule="exact"/>
        <w:jc w:val="center"/>
        <w:rPr>
          <w:rFonts w:hint="eastAsia" w:ascii="仿宋_GB2312" w:hAnsi="宋体" w:eastAsia="仿宋_GB2312"/>
          <w:sz w:val="28"/>
        </w:rPr>
      </w:pPr>
    </w:p>
    <w:p>
      <w:pPr>
        <w:spacing w:beforeLines="0" w:afterLines="0" w:line="460" w:lineRule="exact"/>
        <w:jc w:val="center"/>
        <w:rPr>
          <w:rFonts w:hint="eastAsia" w:ascii="仿宋_GB2312" w:hAnsi="宋体" w:eastAsia="仿宋_GB2312"/>
          <w:sz w:val="28"/>
        </w:rPr>
      </w:pPr>
    </w:p>
    <w:p>
      <w:pPr>
        <w:spacing w:beforeLines="0" w:afterLines="0" w:line="460" w:lineRule="exact"/>
        <w:jc w:val="center"/>
        <w:rPr>
          <w:rFonts w:hint="eastAsia" w:ascii="仿宋_GB2312" w:hAnsi="宋体" w:eastAsia="仿宋_GB2312"/>
          <w:sz w:val="28"/>
        </w:rPr>
      </w:pPr>
    </w:p>
    <w:p>
      <w:pPr>
        <w:spacing w:beforeLines="0" w:afterLines="0" w:line="460" w:lineRule="exact"/>
        <w:jc w:val="center"/>
        <w:rPr>
          <w:rFonts w:hint="eastAsia" w:ascii="仿宋_GB2312" w:hAnsi="宋体" w:eastAsia="仿宋_GB2312"/>
          <w:sz w:val="28"/>
        </w:rPr>
      </w:pPr>
    </w:p>
    <w:p>
      <w:pPr>
        <w:spacing w:beforeLines="0" w:afterLines="0"/>
        <w:rPr>
          <w:rFonts w:hint="default"/>
          <w:sz w:val="24"/>
        </w:rPr>
      </w:pPr>
    </w:p>
    <w:p>
      <w:pPr>
        <w:keepNext w:val="0"/>
        <w:keepLines w:val="0"/>
        <w:pageBreakBefore w:val="0"/>
        <w:widowControl w:val="0"/>
        <w:kinsoku/>
        <w:wordWrap/>
        <w:overflowPunct/>
        <w:topLinePunct w:val="0"/>
        <w:autoSpaceDE w:val="0"/>
        <w:autoSpaceDN w:val="0"/>
        <w:bidi w:val="0"/>
        <w:adjustRightInd w:val="0"/>
        <w:snapToGrid/>
        <w:spacing w:beforeLines="0" w:after="0" w:afterLines="100"/>
        <w:jc w:val="center"/>
        <w:textAlignment w:val="auto"/>
        <w:rPr>
          <w:rFonts w:hint="eastAsia" w:ascii="宋体" w:hAnsi="宋体" w:eastAsia="宋体"/>
          <w:b/>
          <w:color w:val="auto"/>
          <w:kern w:val="2"/>
          <w:sz w:val="28"/>
          <w:lang w:val="en-US" w:eastAsia="zh-CN"/>
        </w:rPr>
      </w:pPr>
      <w:r>
        <w:rPr>
          <w:rFonts w:hint="eastAsia" w:ascii="宋体" w:hAnsi="宋体" w:eastAsia="宋体"/>
          <w:b/>
          <w:color w:val="auto"/>
          <w:kern w:val="2"/>
          <w:sz w:val="28"/>
          <w:lang w:val="en-US" w:eastAsia="zh-CN"/>
        </w:rPr>
        <w:t>7、近三年完成的同类项目业绩一览表</w:t>
      </w:r>
    </w:p>
    <w:tbl>
      <w:tblPr>
        <w:tblStyle w:val="28"/>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4"/>
        <w:gridCol w:w="1317"/>
        <w:gridCol w:w="850"/>
        <w:gridCol w:w="1250"/>
        <w:gridCol w:w="1404"/>
        <w:gridCol w:w="1107"/>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ind w:firstLine="0"/>
              <w:jc w:val="both"/>
              <w:rPr>
                <w:rFonts w:hint="eastAsia" w:ascii="宋体" w:hAnsi="宋体" w:eastAsia="宋体"/>
                <w:color w:val="auto"/>
                <w:sz w:val="24"/>
              </w:rPr>
            </w:pPr>
            <w:r>
              <w:rPr>
                <w:rFonts w:hint="eastAsia" w:ascii="宋体" w:hAnsi="宋体" w:eastAsia="宋体"/>
                <w:color w:val="auto"/>
                <w:sz w:val="24"/>
              </w:rPr>
              <w:t>序号</w:t>
            </w: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ind w:firstLine="0"/>
              <w:jc w:val="center"/>
              <w:rPr>
                <w:rFonts w:hint="eastAsia" w:ascii="宋体" w:hAnsi="宋体" w:eastAsia="宋体"/>
                <w:color w:val="auto"/>
                <w:sz w:val="24"/>
              </w:rPr>
            </w:pPr>
            <w:r>
              <w:rPr>
                <w:rFonts w:hint="eastAsia" w:ascii="宋体" w:hAnsi="宋体" w:eastAsia="宋体"/>
                <w:color w:val="auto"/>
                <w:sz w:val="24"/>
              </w:rPr>
              <w:t>项目名称</w:t>
            </w:r>
          </w:p>
        </w:tc>
        <w:tc>
          <w:tcPr>
            <w:tcW w:w="13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ind w:firstLine="0"/>
              <w:jc w:val="center"/>
              <w:rPr>
                <w:rFonts w:hint="eastAsia" w:ascii="宋体" w:hAnsi="宋体" w:eastAsia="宋体"/>
                <w:color w:val="auto"/>
                <w:sz w:val="24"/>
                <w:lang w:eastAsia="zh-CN"/>
              </w:rPr>
            </w:pPr>
            <w:r>
              <w:rPr>
                <w:rFonts w:hint="eastAsia" w:ascii="宋体" w:hAnsi="宋体" w:eastAsia="宋体"/>
                <w:color w:val="auto"/>
                <w:sz w:val="24"/>
                <w:lang w:eastAsia="zh-CN"/>
              </w:rPr>
              <w:t>产品名称</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ind w:firstLine="0"/>
              <w:jc w:val="center"/>
              <w:rPr>
                <w:rFonts w:hint="eastAsia" w:ascii="宋体" w:hAnsi="宋体" w:eastAsia="宋体"/>
                <w:color w:val="auto"/>
                <w:sz w:val="24"/>
              </w:rPr>
            </w:pPr>
            <w:r>
              <w:rPr>
                <w:rFonts w:hint="eastAsia" w:ascii="宋体" w:hAnsi="宋体" w:eastAsia="宋体"/>
                <w:color w:val="auto"/>
                <w:sz w:val="24"/>
              </w:rPr>
              <w:t>合同金额</w:t>
            </w: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ind w:firstLine="0"/>
              <w:jc w:val="both"/>
              <w:rPr>
                <w:rFonts w:hint="eastAsia" w:ascii="宋体" w:hAnsi="宋体" w:eastAsia="宋体"/>
                <w:color w:val="auto"/>
                <w:sz w:val="24"/>
              </w:rPr>
            </w:pPr>
            <w:r>
              <w:rPr>
                <w:rFonts w:hint="eastAsia" w:ascii="宋体" w:hAnsi="宋体" w:eastAsia="宋体"/>
                <w:color w:val="auto"/>
                <w:sz w:val="24"/>
              </w:rPr>
              <w:t>完成时间</w:t>
            </w:r>
          </w:p>
        </w:tc>
        <w:tc>
          <w:tcPr>
            <w:tcW w:w="140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ind w:firstLine="0"/>
              <w:jc w:val="center"/>
              <w:rPr>
                <w:rFonts w:hint="eastAsia" w:ascii="宋体" w:hAnsi="宋体" w:eastAsia="宋体"/>
                <w:color w:val="auto"/>
                <w:sz w:val="24"/>
              </w:rPr>
            </w:pPr>
            <w:r>
              <w:rPr>
                <w:rFonts w:hint="eastAsia" w:ascii="宋体" w:hAnsi="宋体" w:eastAsia="宋体"/>
                <w:color w:val="auto"/>
                <w:sz w:val="24"/>
              </w:rPr>
              <w:t>项目单位</w:t>
            </w:r>
          </w:p>
        </w:tc>
        <w:tc>
          <w:tcPr>
            <w:tcW w:w="11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ind w:firstLine="0"/>
              <w:jc w:val="center"/>
              <w:rPr>
                <w:rFonts w:hint="eastAsia" w:ascii="宋体" w:hAnsi="宋体" w:eastAsia="宋体"/>
                <w:color w:val="auto"/>
                <w:sz w:val="24"/>
              </w:rPr>
            </w:pPr>
            <w:r>
              <w:rPr>
                <w:rFonts w:hint="eastAsia" w:ascii="宋体" w:hAnsi="宋体" w:eastAsia="宋体"/>
                <w:color w:val="auto"/>
                <w:sz w:val="24"/>
              </w:rPr>
              <w:t>联系人</w:t>
            </w:r>
          </w:p>
        </w:tc>
        <w:tc>
          <w:tcPr>
            <w:tcW w:w="87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ind w:firstLine="0"/>
              <w:jc w:val="center"/>
              <w:rPr>
                <w:rFonts w:hint="eastAsia" w:ascii="宋体" w:hAnsi="宋体" w:eastAsia="宋体"/>
                <w:color w:val="auto"/>
                <w:sz w:val="24"/>
              </w:rPr>
            </w:pPr>
            <w:r>
              <w:rPr>
                <w:rFonts w:hint="eastAsia" w:ascii="宋体" w:hAnsi="宋体" w:eastAsia="宋体"/>
                <w:color w:val="auto"/>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3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40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1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87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3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40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1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87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3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40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1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87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3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40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1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87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3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40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1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87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35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31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40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11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c>
          <w:tcPr>
            <w:tcW w:w="87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
              <w:spacing w:beforeLines="0" w:afterLines="0"/>
              <w:jc w:val="center"/>
              <w:rPr>
                <w:rFonts w:hint="eastAsia" w:ascii="宋体" w:hAnsi="宋体" w:eastAsia="宋体"/>
                <w:color w:val="auto"/>
                <w:sz w:val="24"/>
              </w:rPr>
            </w:pPr>
          </w:p>
        </w:tc>
      </w:tr>
    </w:tbl>
    <w:p>
      <w:pPr>
        <w:pStyle w:val="6"/>
        <w:spacing w:beforeLines="0" w:afterLines="0"/>
        <w:rPr>
          <w:rFonts w:hint="eastAsia" w:ascii="宋体" w:hAnsi="宋体" w:eastAsia="宋体"/>
          <w:color w:val="auto"/>
          <w:sz w:val="28"/>
        </w:rPr>
      </w:pPr>
    </w:p>
    <w:p>
      <w:pPr>
        <w:spacing w:beforeLines="0" w:afterLines="0" w:line="360" w:lineRule="auto"/>
        <w:rPr>
          <w:rFonts w:hint="eastAsia" w:ascii="宋体" w:hAnsi="宋体" w:eastAsia="宋体"/>
          <w:color w:val="auto"/>
          <w:sz w:val="24"/>
          <w:lang w:eastAsia="zh-CN"/>
        </w:rPr>
      </w:pPr>
      <w:r>
        <w:rPr>
          <w:rFonts w:hint="eastAsia" w:ascii="宋体" w:hAnsi="宋体" w:eastAsia="宋体"/>
          <w:color w:val="auto"/>
          <w:sz w:val="24"/>
        </w:rPr>
        <w:t>注：投标人需附相关项目的完整的业绩证明的扫描件，并加盖公章</w:t>
      </w:r>
      <w:r>
        <w:rPr>
          <w:rFonts w:hint="eastAsia" w:ascii="宋体" w:hAnsi="宋体" w:eastAsia="宋体"/>
          <w:color w:val="auto"/>
          <w:sz w:val="24"/>
          <w:lang w:eastAsia="zh-CN"/>
        </w:rPr>
        <w:t>。</w:t>
      </w:r>
    </w:p>
    <w:p>
      <w:pPr>
        <w:autoSpaceDE/>
        <w:autoSpaceDN/>
        <w:adjustRightInd/>
        <w:spacing w:beforeLines="0" w:afterLines="0" w:line="360" w:lineRule="auto"/>
        <w:ind w:firstLine="4838" w:firstLineChars="2016"/>
        <w:rPr>
          <w:rFonts w:hint="eastAsia" w:ascii="宋体" w:hAnsi="宋体" w:eastAsia="宋体"/>
          <w:sz w:val="24"/>
        </w:rPr>
      </w:pPr>
    </w:p>
    <w:p>
      <w:pPr>
        <w:pStyle w:val="26"/>
        <w:spacing w:beforeLines="0" w:afterLines="0"/>
        <w:rPr>
          <w:rFonts w:hint="eastAsia"/>
          <w:sz w:val="32"/>
        </w:rPr>
      </w:pP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投标人(</w:t>
      </w:r>
      <w:r>
        <w:rPr>
          <w:rFonts w:hint="eastAsia" w:ascii="宋体" w:hAnsi="宋体" w:eastAsia="宋体"/>
          <w:sz w:val="24"/>
          <w:lang w:eastAsia="zh-CN"/>
        </w:rPr>
        <w:t>电子签章</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法人代表或授权代表(</w:t>
      </w:r>
      <w:r>
        <w:rPr>
          <w:rFonts w:hint="eastAsia" w:ascii="宋体" w:hAnsi="宋体" w:eastAsia="宋体"/>
          <w:sz w:val="24"/>
          <w:lang w:eastAsia="zh-CN"/>
        </w:rPr>
        <w:t>电子</w:t>
      </w:r>
      <w:r>
        <w:rPr>
          <w:rFonts w:hint="eastAsia" w:ascii="宋体" w:hAnsi="宋体" w:eastAsia="宋体"/>
          <w:sz w:val="24"/>
        </w:rPr>
        <w:t>签</w:t>
      </w:r>
      <w:r>
        <w:rPr>
          <w:rFonts w:hint="eastAsia" w:ascii="宋体" w:hAnsi="宋体" w:eastAsia="宋体"/>
          <w:sz w:val="24"/>
          <w:lang w:eastAsia="zh-CN"/>
        </w:rPr>
        <w:t>名</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rPr>
          <w:rFonts w:hint="eastAsia" w:ascii="宋体" w:hAnsi="宋体" w:eastAsia="宋体"/>
          <w:sz w:val="28"/>
        </w:rPr>
      </w:pP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lang w:eastAsia="zh-CN"/>
        </w:rPr>
        <w:t>日期：</w:t>
      </w:r>
      <w:r>
        <w:rPr>
          <w:rFonts w:hint="eastAsia" w:ascii="宋体" w:hAnsi="宋体" w:eastAsia="宋体"/>
          <w:sz w:val="24"/>
          <w:u w:val="single"/>
          <w:lang w:val="en-US" w:eastAsia="zh-CN"/>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日</w:t>
      </w:r>
    </w:p>
    <w:p>
      <w:pPr>
        <w:spacing w:beforeLines="0" w:afterLines="0"/>
        <w:jc w:val="center"/>
        <w:rPr>
          <w:rFonts w:hint="eastAsia" w:ascii="宋体" w:hAnsi="宋体" w:eastAsia="宋体"/>
          <w:b/>
          <w:color w:val="000000"/>
          <w:sz w:val="30"/>
          <w:lang w:val="en-US" w:eastAsia="zh-CN"/>
        </w:rPr>
      </w:pPr>
    </w:p>
    <w:p>
      <w:pPr>
        <w:spacing w:beforeLines="0" w:afterLines="0"/>
        <w:jc w:val="center"/>
        <w:rPr>
          <w:rFonts w:hint="eastAsia" w:ascii="宋体" w:hAnsi="宋体" w:eastAsia="宋体"/>
          <w:b/>
          <w:color w:val="000000"/>
          <w:sz w:val="30"/>
          <w:lang w:val="en-US" w:eastAsia="zh-CN"/>
        </w:rPr>
      </w:pPr>
    </w:p>
    <w:p>
      <w:pPr>
        <w:spacing w:beforeLines="0" w:afterLines="0"/>
        <w:jc w:val="center"/>
        <w:rPr>
          <w:rFonts w:hint="eastAsia" w:ascii="宋体" w:hAnsi="宋体" w:eastAsia="宋体"/>
          <w:b/>
          <w:color w:val="000000"/>
          <w:sz w:val="30"/>
          <w:lang w:val="en-US" w:eastAsia="zh-CN"/>
        </w:rPr>
      </w:pPr>
    </w:p>
    <w:p>
      <w:pPr>
        <w:spacing w:beforeLines="0" w:afterLines="0"/>
        <w:jc w:val="center"/>
        <w:rPr>
          <w:rFonts w:hint="eastAsia" w:ascii="宋体" w:hAnsi="宋体" w:eastAsia="宋体"/>
          <w:b/>
          <w:color w:val="000000"/>
          <w:sz w:val="30"/>
          <w:lang w:val="en-US" w:eastAsia="zh-CN"/>
        </w:rPr>
      </w:pPr>
    </w:p>
    <w:p>
      <w:pPr>
        <w:spacing w:beforeLines="0" w:afterLines="0"/>
        <w:jc w:val="center"/>
        <w:rPr>
          <w:rFonts w:hint="eastAsia" w:ascii="宋体" w:hAnsi="宋体" w:eastAsia="宋体"/>
          <w:b/>
          <w:color w:val="000000"/>
          <w:sz w:val="30"/>
          <w:lang w:val="en-US" w:eastAsia="zh-CN"/>
        </w:rPr>
      </w:pPr>
    </w:p>
    <w:p>
      <w:pPr>
        <w:spacing w:beforeLines="0" w:afterLines="0"/>
        <w:jc w:val="center"/>
        <w:rPr>
          <w:rFonts w:hint="eastAsia" w:ascii="宋体" w:hAnsi="宋体" w:eastAsia="宋体"/>
          <w:b/>
          <w:color w:val="000000"/>
          <w:sz w:val="30"/>
          <w:lang w:val="en-US" w:eastAsia="zh-CN"/>
        </w:rPr>
      </w:pPr>
    </w:p>
    <w:p>
      <w:pPr>
        <w:pStyle w:val="26"/>
        <w:rPr>
          <w:rFonts w:hint="eastAsia" w:ascii="宋体" w:hAnsi="宋体" w:eastAsia="宋体"/>
          <w:b/>
          <w:color w:val="000000"/>
          <w:sz w:val="30"/>
          <w:lang w:val="en-US" w:eastAsia="zh-CN"/>
        </w:rPr>
      </w:pPr>
    </w:p>
    <w:p>
      <w:pPr>
        <w:pStyle w:val="27"/>
        <w:rPr>
          <w:rFonts w:hint="eastAsia" w:ascii="宋体" w:hAnsi="宋体" w:eastAsia="宋体"/>
          <w:b/>
          <w:color w:val="000000"/>
          <w:sz w:val="30"/>
          <w:lang w:val="en-US" w:eastAsia="zh-CN"/>
        </w:rPr>
      </w:pPr>
    </w:p>
    <w:p>
      <w:pPr>
        <w:rPr>
          <w:rFonts w:hint="eastAsia"/>
          <w:lang w:val="en-US" w:eastAsia="zh-CN"/>
        </w:rPr>
      </w:pPr>
    </w:p>
    <w:p>
      <w:pPr>
        <w:spacing w:beforeLines="0" w:afterLines="0"/>
        <w:jc w:val="center"/>
        <w:rPr>
          <w:rFonts w:hint="eastAsia" w:ascii="宋体" w:hAnsi="宋体" w:eastAsia="宋体"/>
          <w:b/>
          <w:color w:val="000000"/>
          <w:sz w:val="30"/>
          <w:lang w:val="en-US" w:eastAsia="zh-CN"/>
        </w:rPr>
      </w:pPr>
    </w:p>
    <w:p>
      <w:pPr>
        <w:spacing w:beforeLines="0" w:afterLines="0"/>
        <w:jc w:val="center"/>
        <w:rPr>
          <w:rFonts w:hint="eastAsia" w:ascii="宋体" w:hAnsi="宋体" w:eastAsia="宋体"/>
          <w:b/>
          <w:color w:val="000000"/>
          <w:sz w:val="30"/>
          <w:lang w:val="en-US" w:eastAsia="zh-CN"/>
        </w:rPr>
      </w:pPr>
    </w:p>
    <w:p>
      <w:pPr>
        <w:pStyle w:val="14"/>
        <w:spacing w:beforeLines="0" w:afterLines="0"/>
        <w:rPr>
          <w:rFonts w:hint="eastAsia"/>
          <w:b/>
          <w:color w:val="000000"/>
          <w:sz w:val="30"/>
          <w:lang w:val="en-US" w:eastAsia="zh-CN"/>
        </w:rPr>
      </w:pPr>
    </w:p>
    <w:p>
      <w:pPr>
        <w:pStyle w:val="15"/>
        <w:rPr>
          <w:rFonts w:hint="eastAsia" w:hAnsi="宋体"/>
          <w:b/>
          <w:sz w:val="30"/>
        </w:rPr>
      </w:pPr>
    </w:p>
    <w:p>
      <w:pPr>
        <w:spacing w:beforeLines="0" w:afterLines="0"/>
        <w:jc w:val="center"/>
        <w:rPr>
          <w:rFonts w:hint="eastAsia" w:ascii="宋体" w:hAnsi="宋体" w:eastAsia="宋体"/>
          <w:b/>
          <w:color w:val="000000"/>
          <w:sz w:val="30"/>
        </w:rPr>
      </w:pPr>
      <w:r>
        <w:rPr>
          <w:rFonts w:hint="eastAsia" w:ascii="宋体" w:hAnsi="宋体" w:eastAsia="宋体"/>
          <w:b/>
          <w:color w:val="000000"/>
          <w:sz w:val="30"/>
          <w:lang w:val="en-US" w:eastAsia="zh-CN"/>
        </w:rPr>
        <w:t xml:space="preserve">8、 </w:t>
      </w:r>
      <w:r>
        <w:rPr>
          <w:rFonts w:hint="eastAsia" w:ascii="宋体" w:hAnsi="宋体" w:eastAsia="宋体"/>
          <w:b/>
          <w:color w:val="000000"/>
          <w:sz w:val="30"/>
        </w:rPr>
        <w:t>服务承诺及优惠</w:t>
      </w:r>
    </w:p>
    <w:p>
      <w:pPr>
        <w:spacing w:beforeLines="0" w:afterLines="0" w:line="360" w:lineRule="auto"/>
        <w:jc w:val="center"/>
        <w:rPr>
          <w:rFonts w:hint="eastAsia" w:ascii="仿宋_GB2312" w:hAnsi="Wingdings" w:eastAsia="仿宋_GB2312"/>
          <w:b/>
          <w:spacing w:val="10"/>
          <w:sz w:val="28"/>
        </w:rPr>
      </w:pPr>
    </w:p>
    <w:p>
      <w:pPr>
        <w:spacing w:beforeLines="0" w:afterLines="0"/>
        <w:jc w:val="center"/>
        <w:rPr>
          <w:rFonts w:hint="eastAsia" w:ascii="宋体" w:hAnsi="宋体" w:eastAsia="宋体"/>
          <w:b/>
          <w:color w:val="000000"/>
          <w:sz w:val="30"/>
          <w:lang w:val="en-US" w:eastAsia="zh-CN"/>
        </w:rPr>
      </w:pPr>
    </w:p>
    <w:p>
      <w:pPr>
        <w:spacing w:beforeLines="0" w:afterLines="0"/>
        <w:rPr>
          <w:rFonts w:hint="default"/>
          <w:sz w:val="24"/>
          <w:lang w:val="en-US" w:eastAsia="zh-CN"/>
        </w:rPr>
      </w:pPr>
    </w:p>
    <w:p>
      <w:pPr>
        <w:spacing w:beforeLines="0" w:afterLines="0"/>
        <w:rPr>
          <w:rFonts w:hint="default"/>
          <w:sz w:val="24"/>
          <w:lang w:val="en-US" w:eastAsia="zh-CN"/>
        </w:rPr>
      </w:pPr>
    </w:p>
    <w:p>
      <w:pPr>
        <w:spacing w:beforeLines="0" w:afterLines="0"/>
        <w:rPr>
          <w:rFonts w:hint="default"/>
          <w:sz w:val="24"/>
          <w:lang w:val="en-US" w:eastAsia="zh-CN"/>
        </w:rPr>
      </w:pPr>
    </w:p>
    <w:p>
      <w:pPr>
        <w:pStyle w:val="26"/>
        <w:spacing w:beforeLines="0" w:afterLines="0"/>
        <w:ind w:left="0" w:firstLine="0"/>
        <w:rPr>
          <w:rFonts w:hint="eastAsia"/>
          <w:b/>
          <w:color w:val="000000"/>
          <w:sz w:val="30"/>
          <w:lang w:val="en-US" w:eastAsia="zh-CN"/>
        </w:rPr>
      </w:pPr>
    </w:p>
    <w:p>
      <w:pPr>
        <w:pStyle w:val="5"/>
        <w:spacing w:beforeLines="0" w:afterLines="0"/>
        <w:jc w:val="center"/>
        <w:rPr>
          <w:rFonts w:hint="eastAsia" w:eastAsia="仿宋_GB2312"/>
          <w:color w:val="000000"/>
          <w:sz w:val="30"/>
          <w:lang w:val="en-US" w:eastAsia="zh-CN"/>
        </w:rPr>
      </w:pPr>
    </w:p>
    <w:p>
      <w:pPr>
        <w:pStyle w:val="5"/>
        <w:spacing w:beforeLines="0" w:afterLines="0"/>
        <w:jc w:val="center"/>
        <w:rPr>
          <w:rFonts w:hint="eastAsia"/>
          <w:b/>
          <w:bCs/>
          <w:color w:val="000000"/>
          <w:sz w:val="30"/>
        </w:rPr>
      </w:pPr>
      <w:r>
        <w:rPr>
          <w:rFonts w:hint="eastAsia" w:eastAsia="仿宋_GB2312"/>
          <w:b/>
          <w:bCs/>
          <w:color w:val="000000"/>
          <w:sz w:val="30"/>
          <w:lang w:val="en-US" w:eastAsia="zh-CN"/>
        </w:rPr>
        <w:t>9</w:t>
      </w:r>
      <w:r>
        <w:rPr>
          <w:rFonts w:hint="eastAsia"/>
          <w:b/>
          <w:bCs/>
          <w:color w:val="000000"/>
          <w:sz w:val="30"/>
        </w:rPr>
        <w:t>、投标人简介</w:t>
      </w:r>
    </w:p>
    <w:p>
      <w:pPr>
        <w:spacing w:beforeLines="0" w:afterLines="0"/>
        <w:rPr>
          <w:rFonts w:hint="default"/>
          <w:sz w:val="24"/>
        </w:rPr>
      </w:pPr>
    </w:p>
    <w:p>
      <w:pPr>
        <w:spacing w:beforeLines="0" w:afterLines="0" w:line="360" w:lineRule="auto"/>
        <w:jc w:val="both"/>
        <w:rPr>
          <w:rFonts w:hint="eastAsia" w:ascii="宋体" w:hAnsi="宋体" w:eastAsia="宋体"/>
          <w:spacing w:val="10"/>
          <w:sz w:val="24"/>
          <w:lang w:val="en-US"/>
        </w:rPr>
      </w:pPr>
      <w:r>
        <w:rPr>
          <w:rFonts w:hint="eastAsia" w:ascii="宋体" w:hAnsi="宋体" w:eastAsia="宋体"/>
          <w:spacing w:val="10"/>
          <w:sz w:val="24"/>
          <w:lang w:val="en-US" w:eastAsia="zh-CN"/>
        </w:rPr>
        <w:t>投标人提供以下内容：</w:t>
      </w:r>
    </w:p>
    <w:p>
      <w:pPr>
        <w:spacing w:beforeLines="0" w:afterLines="0" w:line="360" w:lineRule="auto"/>
        <w:ind w:firstLine="520" w:firstLineChars="200"/>
        <w:jc w:val="both"/>
        <w:rPr>
          <w:rFonts w:hint="eastAsia" w:ascii="宋体" w:hAnsi="宋体" w:eastAsia="宋体"/>
          <w:spacing w:val="10"/>
          <w:sz w:val="24"/>
          <w:lang w:val="en-US"/>
        </w:rPr>
      </w:pPr>
      <w:bookmarkStart w:id="206" w:name="_Toc28206_WPSOffice_Level3"/>
      <w:r>
        <w:rPr>
          <w:rFonts w:hint="eastAsia" w:ascii="宋体" w:hAnsi="宋体" w:eastAsia="宋体"/>
          <w:spacing w:val="10"/>
          <w:sz w:val="24"/>
          <w:lang w:val="en-US" w:eastAsia="zh-CN"/>
        </w:rPr>
        <w:t>1、投标人简介：包括公司概况、组织机构、近三年经营情况；</w:t>
      </w:r>
      <w:bookmarkEnd w:id="206"/>
    </w:p>
    <w:p>
      <w:pPr>
        <w:spacing w:beforeLines="0" w:afterLines="0" w:line="360" w:lineRule="auto"/>
        <w:ind w:firstLine="520" w:firstLineChars="200"/>
        <w:jc w:val="both"/>
        <w:rPr>
          <w:rFonts w:hint="eastAsia" w:ascii="宋体" w:hAnsi="宋体" w:eastAsia="宋体"/>
          <w:spacing w:val="10"/>
          <w:sz w:val="24"/>
          <w:lang w:val="en-US"/>
        </w:rPr>
      </w:pPr>
      <w:bookmarkStart w:id="207" w:name="_Toc13690_WPSOffice_Level3"/>
      <w:r>
        <w:rPr>
          <w:rFonts w:hint="eastAsia" w:ascii="宋体" w:hAnsi="宋体" w:eastAsia="宋体"/>
          <w:spacing w:val="10"/>
          <w:sz w:val="24"/>
          <w:lang w:val="en-US" w:eastAsia="zh-CN"/>
        </w:rPr>
        <w:t>2、具备履行本项目合同所必需的设备、专业技术能力的相关材料和</w:t>
      </w:r>
      <w:r>
        <w:rPr>
          <w:rFonts w:hint="eastAsia" w:ascii="宋体" w:hAnsi="宋体" w:eastAsia="宋体"/>
          <w:color w:val="444444"/>
          <w:sz w:val="24"/>
          <w:shd w:val="clear" w:color="auto" w:fill="FFFFFF"/>
        </w:rPr>
        <w:t>完善的售后服务体系</w:t>
      </w:r>
      <w:r>
        <w:rPr>
          <w:rFonts w:hint="eastAsia" w:ascii="宋体" w:hAnsi="宋体" w:eastAsia="宋体"/>
          <w:spacing w:val="10"/>
          <w:sz w:val="24"/>
          <w:lang w:val="en-US" w:eastAsia="zh-CN"/>
        </w:rPr>
        <w:t>；</w:t>
      </w:r>
      <w:bookmarkEnd w:id="207"/>
      <w:r>
        <w:rPr>
          <w:rFonts w:hint="eastAsia" w:ascii="宋体" w:hAnsi="宋体" w:eastAsia="宋体"/>
          <w:spacing w:val="10"/>
          <w:sz w:val="24"/>
          <w:lang w:val="en-US" w:eastAsia="zh-CN"/>
        </w:rPr>
        <w:t xml:space="preserve"> </w:t>
      </w:r>
    </w:p>
    <w:p>
      <w:pPr>
        <w:spacing w:beforeLines="0" w:afterLines="0" w:line="360" w:lineRule="auto"/>
        <w:ind w:firstLine="520" w:firstLineChars="200"/>
        <w:jc w:val="both"/>
        <w:rPr>
          <w:rFonts w:hint="eastAsia" w:ascii="宋体" w:hAnsi="宋体" w:eastAsia="宋体"/>
          <w:spacing w:val="10"/>
          <w:sz w:val="24"/>
          <w:lang w:val="en-US"/>
        </w:rPr>
      </w:pPr>
      <w:bookmarkStart w:id="208" w:name="_Toc21020_WPSOffice_Level3"/>
      <w:r>
        <w:rPr>
          <w:rFonts w:hint="eastAsia" w:ascii="宋体" w:hAnsi="宋体" w:eastAsia="宋体"/>
          <w:spacing w:val="10"/>
          <w:sz w:val="24"/>
          <w:lang w:val="en-US" w:eastAsia="zh-CN"/>
        </w:rPr>
        <w:t>3、</w:t>
      </w:r>
      <w:r>
        <w:rPr>
          <w:rFonts w:hint="eastAsia" w:ascii="宋体" w:hAnsi="宋体" w:eastAsia="宋体"/>
          <w:kern w:val="2"/>
          <w:sz w:val="24"/>
          <w:lang w:val="en-US" w:eastAsia="zh-CN"/>
        </w:rPr>
        <w:t>具有完成本项目优势的详细说明</w:t>
      </w:r>
      <w:bookmarkEnd w:id="208"/>
    </w:p>
    <w:p>
      <w:pPr>
        <w:spacing w:beforeLines="0" w:afterLines="0" w:line="360" w:lineRule="auto"/>
        <w:ind w:firstLine="520" w:firstLineChars="200"/>
        <w:jc w:val="both"/>
        <w:rPr>
          <w:rFonts w:hint="eastAsia" w:ascii="宋体" w:hAnsi="宋体" w:eastAsia="宋体"/>
          <w:spacing w:val="10"/>
          <w:sz w:val="24"/>
          <w:lang w:val="en-US"/>
        </w:rPr>
      </w:pPr>
      <w:bookmarkStart w:id="209" w:name="_Toc147_WPSOffice_Level3"/>
      <w:r>
        <w:rPr>
          <w:rFonts w:hint="eastAsia" w:ascii="宋体" w:hAnsi="宋体" w:eastAsia="宋体"/>
          <w:spacing w:val="10"/>
          <w:sz w:val="24"/>
          <w:lang w:val="en-US" w:eastAsia="zh-CN"/>
        </w:rPr>
        <w:t>4、业绩及目前正在执行合同的情况；</w:t>
      </w:r>
      <w:bookmarkEnd w:id="209"/>
    </w:p>
    <w:p>
      <w:pPr>
        <w:spacing w:beforeLines="0" w:afterLines="0" w:line="360" w:lineRule="auto"/>
        <w:ind w:firstLine="520" w:firstLineChars="200"/>
        <w:jc w:val="both"/>
        <w:rPr>
          <w:rFonts w:hint="eastAsia" w:ascii="宋体" w:hAnsi="宋体" w:eastAsia="宋体"/>
          <w:spacing w:val="10"/>
          <w:sz w:val="24"/>
          <w:lang w:val="en-US"/>
        </w:rPr>
      </w:pPr>
      <w:bookmarkStart w:id="210" w:name="_Toc5190_WPSOffice_Level3"/>
      <w:r>
        <w:rPr>
          <w:rFonts w:hint="eastAsia" w:ascii="宋体" w:hAnsi="宋体" w:eastAsia="宋体"/>
          <w:spacing w:val="10"/>
          <w:sz w:val="24"/>
          <w:lang w:val="en-US" w:eastAsia="zh-CN"/>
        </w:rPr>
        <w:t>5、其他投标人认为需要提供的。</w:t>
      </w:r>
      <w:bookmarkEnd w:id="210"/>
    </w:p>
    <w:p>
      <w:pPr>
        <w:spacing w:beforeLines="0" w:afterLines="0" w:line="360" w:lineRule="auto"/>
        <w:ind w:firstLine="565" w:firstLineChars="202"/>
        <w:rPr>
          <w:rFonts w:hint="eastAsia" w:ascii="宋体" w:hAnsi="宋体" w:eastAsia="宋体"/>
          <w:color w:val="000000"/>
          <w:spacing w:val="20"/>
          <w:sz w:val="24"/>
        </w:rPr>
      </w:pPr>
    </w:p>
    <w:p>
      <w:pPr>
        <w:spacing w:beforeLines="0" w:afterLines="0" w:line="360" w:lineRule="auto"/>
        <w:rPr>
          <w:rFonts w:hint="eastAsia" w:ascii="宋体" w:hAnsi="宋体" w:eastAsia="宋体"/>
          <w:color w:val="000000"/>
          <w:spacing w:val="20"/>
          <w:sz w:val="24"/>
        </w:rPr>
      </w:pPr>
    </w:p>
    <w:p>
      <w:pPr>
        <w:spacing w:beforeLines="0" w:afterLines="0" w:line="360" w:lineRule="auto"/>
        <w:rPr>
          <w:rFonts w:hint="eastAsia" w:ascii="宋体" w:hAnsi="宋体" w:eastAsia="宋体"/>
          <w:color w:val="000000"/>
          <w:spacing w:val="20"/>
          <w:sz w:val="24"/>
        </w:rPr>
      </w:pPr>
    </w:p>
    <w:p>
      <w:pPr>
        <w:spacing w:beforeLines="0" w:afterLines="0" w:line="360" w:lineRule="auto"/>
        <w:rPr>
          <w:rFonts w:hint="eastAsia" w:ascii="宋体" w:hAnsi="宋体" w:eastAsia="宋体"/>
          <w:color w:val="000000"/>
          <w:spacing w:val="20"/>
          <w:sz w:val="24"/>
        </w:rPr>
      </w:pPr>
    </w:p>
    <w:p>
      <w:pPr>
        <w:spacing w:beforeLines="0" w:afterLines="0" w:line="360" w:lineRule="auto"/>
        <w:rPr>
          <w:rFonts w:hint="eastAsia" w:ascii="宋体" w:hAnsi="宋体" w:eastAsia="宋体"/>
          <w:color w:val="000000"/>
          <w:spacing w:val="20"/>
          <w:sz w:val="24"/>
        </w:rPr>
      </w:pPr>
    </w:p>
    <w:p>
      <w:pPr>
        <w:spacing w:beforeLines="0" w:afterLines="0" w:line="360" w:lineRule="auto"/>
        <w:rPr>
          <w:rFonts w:hint="eastAsia" w:ascii="宋体" w:hAnsi="宋体" w:eastAsia="宋体"/>
          <w:color w:val="000000"/>
          <w:spacing w:val="20"/>
          <w:sz w:val="24"/>
        </w:rPr>
      </w:pPr>
    </w:p>
    <w:p>
      <w:pPr>
        <w:spacing w:beforeLines="0" w:afterLines="0" w:line="360" w:lineRule="auto"/>
        <w:rPr>
          <w:rFonts w:hint="eastAsia" w:ascii="宋体" w:hAnsi="宋体" w:eastAsia="宋体"/>
          <w:color w:val="000000"/>
          <w:spacing w:val="20"/>
          <w:sz w:val="24"/>
        </w:rPr>
      </w:pP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投标人(</w:t>
      </w:r>
      <w:r>
        <w:rPr>
          <w:rFonts w:hint="eastAsia" w:ascii="宋体" w:hAnsi="宋体" w:eastAsia="宋体"/>
          <w:sz w:val="24"/>
          <w:lang w:eastAsia="zh-CN"/>
        </w:rPr>
        <w:t>电子签章</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ind w:firstLine="5280" w:firstLineChars="2200"/>
        <w:rPr>
          <w:rFonts w:hint="eastAsia" w:ascii="宋体" w:hAnsi="宋体" w:eastAsia="宋体"/>
          <w:sz w:val="24"/>
          <w:lang w:val="en-US" w:eastAsia="zh-CN"/>
        </w:rPr>
      </w:pPr>
      <w:r>
        <w:rPr>
          <w:rFonts w:hint="eastAsia" w:ascii="宋体" w:hAnsi="宋体" w:eastAsia="宋体"/>
          <w:sz w:val="24"/>
        </w:rPr>
        <w:t>法人代表或授权代表(</w:t>
      </w:r>
      <w:r>
        <w:rPr>
          <w:rFonts w:hint="eastAsia" w:ascii="宋体" w:hAnsi="宋体" w:eastAsia="宋体"/>
          <w:sz w:val="24"/>
          <w:lang w:eastAsia="zh-CN"/>
        </w:rPr>
        <w:t>电子</w:t>
      </w:r>
      <w:r>
        <w:rPr>
          <w:rFonts w:hint="eastAsia" w:ascii="宋体" w:hAnsi="宋体" w:eastAsia="宋体"/>
          <w:sz w:val="24"/>
        </w:rPr>
        <w:t>签</w:t>
      </w:r>
      <w:r>
        <w:rPr>
          <w:rFonts w:hint="eastAsia" w:ascii="宋体" w:hAnsi="宋体" w:eastAsia="宋体"/>
          <w:sz w:val="24"/>
          <w:lang w:eastAsia="zh-CN"/>
        </w:rPr>
        <w:t>名</w:t>
      </w:r>
      <w:r>
        <w:rPr>
          <w:rFonts w:hint="eastAsia" w:ascii="宋体" w:hAnsi="宋体" w:eastAsia="宋体"/>
          <w:sz w:val="24"/>
        </w:rPr>
        <w:t>)：</w:t>
      </w:r>
      <w:r>
        <w:rPr>
          <w:rFonts w:hint="eastAsia" w:ascii="宋体" w:hAnsi="宋体" w:eastAsia="宋体"/>
          <w:sz w:val="24"/>
          <w:u w:val="single"/>
          <w:lang w:val="en-US" w:eastAsia="zh-CN"/>
        </w:rPr>
        <w:t xml:space="preserve">       </w:t>
      </w:r>
      <w:r>
        <w:rPr>
          <w:rFonts w:hint="eastAsia" w:ascii="宋体" w:hAnsi="宋体" w:eastAsia="宋体"/>
          <w:sz w:val="24"/>
          <w:lang w:val="en-US" w:eastAsia="zh-CN"/>
        </w:rPr>
        <w:t xml:space="preserve"> </w:t>
      </w:r>
    </w:p>
    <w:p>
      <w:pPr>
        <w:autoSpaceDE/>
        <w:autoSpaceDN/>
        <w:adjustRightInd/>
        <w:spacing w:beforeLines="0" w:afterLines="0" w:line="360" w:lineRule="auto"/>
        <w:rPr>
          <w:rFonts w:hint="eastAsia" w:ascii="宋体" w:hAnsi="宋体" w:eastAsia="宋体"/>
          <w:sz w:val="28"/>
        </w:rPr>
      </w:pP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lang w:eastAsia="zh-CN"/>
        </w:rPr>
        <w:t>日期：</w:t>
      </w:r>
      <w:r>
        <w:rPr>
          <w:rFonts w:hint="eastAsia" w:ascii="宋体" w:hAnsi="宋体" w:eastAsia="宋体"/>
          <w:sz w:val="24"/>
          <w:u w:val="single"/>
          <w:lang w:val="en-US" w:eastAsia="zh-CN"/>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u w:val="single"/>
          <w:lang w:val="en-US" w:eastAsia="zh-CN"/>
        </w:rPr>
        <w:t xml:space="preserve">  </w:t>
      </w:r>
      <w:r>
        <w:rPr>
          <w:rFonts w:hint="eastAsia" w:ascii="宋体" w:hAnsi="宋体" w:eastAsia="宋体"/>
          <w:sz w:val="24"/>
        </w:rPr>
        <w:t>日</w:t>
      </w:r>
    </w:p>
    <w:p>
      <w:pPr>
        <w:spacing w:beforeLines="0" w:afterLines="0" w:line="360" w:lineRule="auto"/>
        <w:rPr>
          <w:rFonts w:hint="eastAsia" w:ascii="宋体" w:hAnsi="宋体" w:eastAsia="宋体"/>
          <w:color w:val="000000"/>
          <w:spacing w:val="20"/>
          <w:sz w:val="24"/>
        </w:rPr>
      </w:pPr>
    </w:p>
    <w:p>
      <w:pPr>
        <w:pStyle w:val="26"/>
        <w:spacing w:beforeLines="0" w:afterLines="0"/>
        <w:rPr>
          <w:rFonts w:hint="eastAsia"/>
          <w:sz w:val="32"/>
        </w:rPr>
      </w:pPr>
    </w:p>
    <w:p>
      <w:pPr>
        <w:spacing w:beforeLines="0" w:afterLines="0"/>
        <w:rPr>
          <w:rFonts w:hint="default"/>
          <w:sz w:val="24"/>
        </w:rPr>
      </w:pPr>
    </w:p>
    <w:p>
      <w:pPr>
        <w:pStyle w:val="5"/>
        <w:spacing w:beforeLines="0" w:afterLines="0"/>
        <w:jc w:val="center"/>
        <w:rPr>
          <w:rFonts w:hint="eastAsia" w:ascii="宋体" w:hAnsi="宋体" w:eastAsia="宋体" w:cs="宋体"/>
          <w:b/>
          <w:bCs/>
          <w:color w:val="000000"/>
          <w:sz w:val="30"/>
          <w:szCs w:val="22"/>
          <w:lang w:val="en-US" w:eastAsia="zh-CN"/>
        </w:rPr>
      </w:pPr>
      <w:bookmarkStart w:id="211" w:name="_Toc3447"/>
      <w:bookmarkStart w:id="212" w:name="_Toc14167_WPSOffice_Level2"/>
      <w:r>
        <w:rPr>
          <w:rFonts w:hint="eastAsia" w:ascii="宋体" w:hAnsi="宋体" w:eastAsia="宋体" w:cs="宋体"/>
          <w:b/>
          <w:bCs/>
          <w:color w:val="000000"/>
          <w:sz w:val="30"/>
          <w:szCs w:val="22"/>
          <w:lang w:val="en-US" w:eastAsia="zh-CN"/>
        </w:rPr>
        <w:t>10.评标办法中所要求提供的相关材料</w:t>
      </w:r>
    </w:p>
    <w:p>
      <w:pPr>
        <w:pStyle w:val="4"/>
        <w:tabs>
          <w:tab w:val="left" w:pos="840"/>
        </w:tabs>
        <w:spacing w:beforeLines="0" w:afterLines="0" w:line="412" w:lineRule="auto"/>
        <w:ind w:left="0"/>
        <w:jc w:val="center"/>
        <w:rPr>
          <w:rFonts w:hint="eastAsia"/>
          <w:sz w:val="36"/>
          <w:lang w:val="en-US" w:eastAsia="zh-CN"/>
        </w:rPr>
      </w:pPr>
    </w:p>
    <w:p>
      <w:pPr>
        <w:pStyle w:val="4"/>
        <w:tabs>
          <w:tab w:val="left" w:pos="840"/>
        </w:tabs>
        <w:spacing w:beforeLines="0" w:afterLines="0" w:line="412" w:lineRule="auto"/>
        <w:ind w:left="0"/>
        <w:jc w:val="center"/>
        <w:rPr>
          <w:rFonts w:hint="eastAsia"/>
          <w:sz w:val="36"/>
          <w:lang w:val="en-US" w:eastAsia="zh-CN"/>
        </w:rPr>
      </w:pPr>
    </w:p>
    <w:p>
      <w:pPr>
        <w:pStyle w:val="4"/>
        <w:tabs>
          <w:tab w:val="left" w:pos="840"/>
        </w:tabs>
        <w:spacing w:beforeLines="0" w:afterLines="0" w:line="412" w:lineRule="auto"/>
        <w:ind w:left="0"/>
        <w:jc w:val="center"/>
        <w:rPr>
          <w:rFonts w:hint="eastAsia"/>
          <w:sz w:val="36"/>
          <w:lang w:val="en-US" w:eastAsia="zh-CN"/>
        </w:rPr>
      </w:pPr>
    </w:p>
    <w:p>
      <w:pPr>
        <w:pStyle w:val="4"/>
        <w:tabs>
          <w:tab w:val="left" w:pos="840"/>
        </w:tabs>
        <w:spacing w:beforeLines="0" w:afterLines="0" w:line="412" w:lineRule="auto"/>
        <w:ind w:left="0"/>
        <w:jc w:val="center"/>
        <w:rPr>
          <w:rFonts w:hint="eastAsia"/>
          <w:sz w:val="36"/>
          <w:lang w:val="en-US" w:eastAsia="zh-CN"/>
        </w:rPr>
      </w:pPr>
    </w:p>
    <w:p>
      <w:pPr>
        <w:pStyle w:val="4"/>
        <w:tabs>
          <w:tab w:val="left" w:pos="840"/>
        </w:tabs>
        <w:spacing w:beforeLines="0" w:afterLines="0" w:line="412" w:lineRule="auto"/>
        <w:ind w:left="0"/>
        <w:jc w:val="center"/>
        <w:rPr>
          <w:rFonts w:hint="eastAsia"/>
          <w:sz w:val="36"/>
          <w:lang w:val="en-US" w:eastAsia="zh-CN"/>
        </w:rPr>
      </w:pPr>
    </w:p>
    <w:p>
      <w:pPr>
        <w:pStyle w:val="4"/>
        <w:tabs>
          <w:tab w:val="left" w:pos="840"/>
        </w:tabs>
        <w:spacing w:beforeLines="0" w:afterLines="0" w:line="412" w:lineRule="auto"/>
        <w:ind w:left="0"/>
        <w:jc w:val="center"/>
        <w:rPr>
          <w:rFonts w:hint="eastAsia"/>
          <w:sz w:val="36"/>
          <w:lang w:val="en-US" w:eastAsia="zh-CN"/>
        </w:rPr>
      </w:pPr>
    </w:p>
    <w:p>
      <w:pPr>
        <w:pStyle w:val="4"/>
        <w:tabs>
          <w:tab w:val="left" w:pos="840"/>
        </w:tabs>
        <w:spacing w:beforeLines="0" w:afterLines="0" w:line="412" w:lineRule="auto"/>
        <w:ind w:left="0"/>
        <w:jc w:val="center"/>
        <w:rPr>
          <w:rFonts w:hint="eastAsia"/>
          <w:sz w:val="36"/>
          <w:lang w:val="en-US" w:eastAsia="zh-CN"/>
        </w:rPr>
      </w:pPr>
    </w:p>
    <w:p>
      <w:pPr>
        <w:pStyle w:val="4"/>
        <w:tabs>
          <w:tab w:val="left" w:pos="840"/>
        </w:tabs>
        <w:spacing w:beforeLines="0" w:afterLines="0" w:line="412" w:lineRule="auto"/>
        <w:ind w:left="0"/>
        <w:jc w:val="center"/>
        <w:rPr>
          <w:rFonts w:hint="eastAsia"/>
          <w:sz w:val="36"/>
          <w:lang w:val="en-US" w:eastAsia="zh-CN"/>
        </w:rPr>
      </w:pPr>
    </w:p>
    <w:p>
      <w:pPr>
        <w:pStyle w:val="4"/>
        <w:tabs>
          <w:tab w:val="left" w:pos="840"/>
        </w:tabs>
        <w:spacing w:beforeLines="0" w:afterLines="0" w:line="412" w:lineRule="auto"/>
        <w:ind w:left="0"/>
        <w:jc w:val="center"/>
        <w:rPr>
          <w:rFonts w:hint="eastAsia"/>
          <w:sz w:val="36"/>
          <w:lang w:val="en-US" w:eastAsia="zh-CN"/>
        </w:rPr>
      </w:pPr>
    </w:p>
    <w:p>
      <w:pPr>
        <w:pStyle w:val="4"/>
        <w:tabs>
          <w:tab w:val="left" w:pos="840"/>
        </w:tabs>
        <w:spacing w:beforeLines="0" w:afterLines="0" w:line="412" w:lineRule="auto"/>
        <w:ind w:left="0"/>
        <w:jc w:val="center"/>
        <w:rPr>
          <w:rFonts w:hint="eastAsia"/>
          <w:sz w:val="36"/>
          <w:lang w:val="en-US" w:eastAsia="zh-CN"/>
        </w:rPr>
      </w:pPr>
    </w:p>
    <w:p>
      <w:pPr>
        <w:pStyle w:val="4"/>
        <w:tabs>
          <w:tab w:val="left" w:pos="840"/>
        </w:tabs>
        <w:spacing w:beforeLines="0" w:afterLines="0" w:line="412" w:lineRule="auto"/>
        <w:ind w:left="0"/>
        <w:jc w:val="center"/>
        <w:rPr>
          <w:rFonts w:hint="eastAsia"/>
          <w:sz w:val="36"/>
          <w:lang w:val="en-US" w:eastAsia="zh-CN"/>
        </w:rPr>
      </w:pPr>
    </w:p>
    <w:p>
      <w:pPr>
        <w:pStyle w:val="4"/>
        <w:tabs>
          <w:tab w:val="left" w:pos="840"/>
        </w:tabs>
        <w:spacing w:beforeLines="0" w:afterLines="0" w:line="412" w:lineRule="auto"/>
        <w:ind w:left="0"/>
        <w:jc w:val="center"/>
        <w:rPr>
          <w:rFonts w:hint="eastAsia"/>
          <w:sz w:val="36"/>
          <w:lang w:val="en-US" w:eastAsia="zh-CN"/>
        </w:rPr>
      </w:pPr>
    </w:p>
    <w:p>
      <w:pPr>
        <w:spacing w:beforeLines="0" w:afterLines="0"/>
        <w:rPr>
          <w:rFonts w:hint="default"/>
          <w:sz w:val="24"/>
          <w:lang w:val="en-US" w:eastAsia="zh-CN"/>
        </w:rPr>
      </w:pPr>
    </w:p>
    <w:p>
      <w:pPr>
        <w:pStyle w:val="4"/>
        <w:tabs>
          <w:tab w:val="left" w:pos="840"/>
        </w:tabs>
        <w:spacing w:beforeLines="0" w:afterLines="0" w:line="412" w:lineRule="auto"/>
        <w:ind w:left="0"/>
        <w:jc w:val="center"/>
        <w:rPr>
          <w:rFonts w:hint="eastAsia"/>
          <w:sz w:val="36"/>
          <w:lang w:val="en-US" w:eastAsia="zh-CN"/>
        </w:rPr>
      </w:pPr>
    </w:p>
    <w:p>
      <w:pPr>
        <w:spacing w:beforeLines="0" w:afterLines="0"/>
        <w:rPr>
          <w:rFonts w:hint="default"/>
          <w:sz w:val="24"/>
          <w:lang w:val="en-US" w:eastAsia="zh-CN"/>
        </w:rPr>
      </w:pPr>
    </w:p>
    <w:p>
      <w:pPr>
        <w:pStyle w:val="26"/>
        <w:spacing w:beforeLines="0" w:afterLines="0"/>
        <w:rPr>
          <w:rFonts w:hint="eastAsia"/>
          <w:sz w:val="32"/>
          <w:lang w:val="en-US" w:eastAsia="zh-CN"/>
        </w:rPr>
      </w:pPr>
    </w:p>
    <w:p>
      <w:pPr>
        <w:pStyle w:val="27"/>
        <w:spacing w:beforeLines="0" w:afterLines="0"/>
        <w:rPr>
          <w:rFonts w:hint="eastAsia"/>
          <w:sz w:val="28"/>
          <w:lang w:val="en-US" w:eastAsia="zh-CN"/>
        </w:rPr>
      </w:pPr>
    </w:p>
    <w:p>
      <w:pPr>
        <w:pStyle w:val="5"/>
        <w:spacing w:beforeLines="0" w:afterLines="0"/>
        <w:jc w:val="center"/>
        <w:rPr>
          <w:rFonts w:hint="eastAsia" w:eastAsia="仿宋_GB2312"/>
          <w:color w:val="000000"/>
          <w:sz w:val="30"/>
          <w:lang w:val="en-US" w:eastAsia="zh-CN"/>
        </w:rPr>
      </w:pPr>
    </w:p>
    <w:p>
      <w:pPr>
        <w:pStyle w:val="5"/>
        <w:spacing w:beforeLines="0" w:afterLines="0"/>
        <w:jc w:val="center"/>
        <w:rPr>
          <w:rFonts w:hint="eastAsia" w:ascii="宋体" w:hAnsi="宋体" w:eastAsia="宋体" w:cs="宋体"/>
          <w:b/>
          <w:bCs/>
          <w:color w:val="000000"/>
          <w:sz w:val="30"/>
          <w:lang w:val="en-US" w:eastAsia="zh-CN"/>
        </w:rPr>
      </w:pPr>
      <w:r>
        <w:rPr>
          <w:rFonts w:hint="eastAsia" w:ascii="宋体" w:hAnsi="宋体" w:eastAsia="宋体" w:cs="宋体"/>
          <w:b/>
          <w:bCs/>
          <w:color w:val="000000"/>
          <w:sz w:val="30"/>
          <w:lang w:val="en-US" w:eastAsia="zh-CN"/>
        </w:rPr>
        <w:t>11、投标人及投标产品适用政府采购政策情况表</w:t>
      </w:r>
      <w:bookmarkEnd w:id="211"/>
      <w:bookmarkEnd w:id="212"/>
    </w:p>
    <w:tbl>
      <w:tblPr>
        <w:tblStyle w:val="2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643"/>
        <w:gridCol w:w="2025"/>
        <w:gridCol w:w="1734"/>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r>
              <w:rPr>
                <w:rFonts w:hint="eastAsia" w:ascii="宋体" w:hAnsi="宋体"/>
                <w:sz w:val="24"/>
              </w:rPr>
              <w:t>监狱企业、残疾人福利性单位、中小企业扶持政策</w:t>
            </w:r>
          </w:p>
        </w:tc>
        <w:tc>
          <w:tcPr>
            <w:tcW w:w="828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line="360" w:lineRule="auto"/>
              <w:rPr>
                <w:rFonts w:hint="eastAsia" w:ascii="宋体" w:hAnsi="宋体"/>
                <w:sz w:val="24"/>
              </w:rPr>
            </w:pPr>
            <w:r>
              <w:rPr>
                <w:rFonts w:hint="eastAsia" w:ascii="宋体" w:hAnsi="宋体"/>
                <w:sz w:val="24"/>
              </w:rPr>
              <w:t>如属所列情形的，请在括号内打“√”：</w:t>
            </w:r>
          </w:p>
          <w:p>
            <w:pPr>
              <w:pStyle w:val="47"/>
              <w:widowControl/>
              <w:spacing w:beforeLines="0" w:afterLines="0" w:line="360" w:lineRule="auto"/>
              <w:rPr>
                <w:rFonts w:hint="eastAsia" w:ascii="宋体" w:hAnsi="宋体"/>
                <w:sz w:val="24"/>
              </w:rPr>
            </w:pPr>
            <w:r>
              <w:rPr>
                <w:rFonts w:hint="eastAsia" w:ascii="宋体" w:hAnsi="宋体"/>
                <w:sz w:val="24"/>
              </w:rPr>
              <w:t>（  ）投标人为监狱企业。</w:t>
            </w:r>
          </w:p>
          <w:p>
            <w:pPr>
              <w:pStyle w:val="47"/>
              <w:widowControl/>
              <w:spacing w:beforeLines="0" w:afterLines="0" w:line="360" w:lineRule="auto"/>
              <w:rPr>
                <w:rFonts w:hint="eastAsia" w:ascii="宋体" w:hAnsi="宋体"/>
                <w:sz w:val="24"/>
              </w:rPr>
            </w:pPr>
            <w:r>
              <w:rPr>
                <w:rFonts w:hint="eastAsia" w:ascii="宋体" w:hAnsi="宋体"/>
                <w:sz w:val="24"/>
              </w:rPr>
              <w:t>（  ）投标人为残疾人福利性单位。</w:t>
            </w:r>
          </w:p>
          <w:p>
            <w:pPr>
              <w:pStyle w:val="47"/>
              <w:widowControl/>
              <w:spacing w:beforeLines="0" w:afterLines="0" w:line="360" w:lineRule="auto"/>
              <w:rPr>
                <w:rFonts w:hint="eastAsia" w:ascii="宋体" w:hAnsi="宋体"/>
                <w:sz w:val="24"/>
              </w:rPr>
            </w:pPr>
            <w:r>
              <w:rPr>
                <w:rFonts w:hint="eastAsia" w:ascii="宋体" w:hAnsi="宋体"/>
                <w:sz w:val="24"/>
              </w:rPr>
              <w:t>（  ）小型、微型企业投标且提供本企业制造的产品。</w:t>
            </w:r>
          </w:p>
          <w:p>
            <w:pPr>
              <w:pStyle w:val="47"/>
              <w:widowControl/>
              <w:tabs>
                <w:tab w:val="left" w:pos="1260"/>
              </w:tabs>
              <w:spacing w:before="40" w:beforeLines="0" w:after="40" w:afterLines="0" w:line="360" w:lineRule="auto"/>
              <w:rPr>
                <w:rFonts w:hint="eastAsia" w:ascii="宋体" w:hAnsi="宋体"/>
                <w:sz w:val="24"/>
              </w:rPr>
            </w:pPr>
            <w:r>
              <w:rPr>
                <w:rFonts w:hint="eastAsia" w:ascii="宋体" w:hAnsi="宋体"/>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hAnsi="Times New Roman" w:eastAsia="宋体"/>
                <w:sz w:val="20"/>
              </w:rPr>
            </w:pP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制造商</w:t>
            </w:r>
          </w:p>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企业类型</w:t>
            </w: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hAnsi="Times New Roman" w:eastAsia="宋体"/>
                <w:sz w:val="20"/>
              </w:rPr>
            </w:pP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hAnsi="Times New Roman" w:eastAsia="宋体"/>
                <w:sz w:val="20"/>
              </w:rPr>
            </w:pPr>
          </w:p>
        </w:tc>
        <w:tc>
          <w:tcPr>
            <w:tcW w:w="640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小型、微型企业产品金额合计</w:t>
            </w: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1"/>
              </w:rPr>
            </w:pPr>
            <w:r>
              <w:rPr>
                <w:rFonts w:hint="eastAsia" w:ascii="宋体" w:hAnsi="宋体"/>
                <w:sz w:val="24"/>
              </w:rPr>
              <w:t>节能产品</w:t>
            </w: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认证证书编号</w:t>
            </w: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hAnsi="Times New Roman" w:eastAsia="宋体"/>
                <w:sz w:val="20"/>
              </w:rPr>
            </w:pP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r>
              <w:rPr>
                <w:rFonts w:hint="eastAsia" w:ascii="宋体" w:hAnsi="宋体"/>
                <w:sz w:val="24"/>
              </w:rPr>
              <w:t>环境标志产品</w:t>
            </w: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认证证书编号</w:t>
            </w: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40" w:beforeLines="0" w:after="40" w:afterLines="0"/>
              <w:jc w:val="center"/>
              <w:rPr>
                <w:rFonts w:hint="eastAsia"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hAnsi="Times New Roman" w:eastAsia="宋体"/>
                <w:sz w:val="20"/>
              </w:rPr>
            </w:pP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ascii="Times New Roman" w:hAnsi="Times New Roman" w:eastAsia="宋体"/>
                <w:sz w:val="20"/>
              </w:rPr>
            </w:pPr>
          </w:p>
        </w:tc>
        <w:tc>
          <w:tcPr>
            <w:tcW w:w="264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7"/>
              <w:widowControl/>
              <w:tabs>
                <w:tab w:val="left" w:pos="1260"/>
              </w:tabs>
              <w:spacing w:before="156" w:beforeLines="0" w:after="156" w:afterLines="0"/>
              <w:jc w:val="center"/>
              <w:rPr>
                <w:rFonts w:hint="eastAsia" w:ascii="宋体" w:hAnsi="宋体"/>
                <w:sz w:val="24"/>
              </w:rPr>
            </w:pPr>
          </w:p>
        </w:tc>
      </w:tr>
    </w:tbl>
    <w:p>
      <w:pPr>
        <w:pStyle w:val="47"/>
        <w:widowControl/>
        <w:spacing w:beforeLines="0" w:afterLines="0" w:line="460" w:lineRule="exact"/>
        <w:ind w:left="821" w:hanging="820" w:hangingChars="342"/>
        <w:rPr>
          <w:rFonts w:hint="eastAsia" w:ascii="宋体" w:hAnsi="宋体"/>
          <w:sz w:val="24"/>
        </w:rPr>
      </w:pPr>
      <w:r>
        <w:rPr>
          <w:rFonts w:hint="eastAsia" w:ascii="宋体" w:hAnsi="宋体"/>
          <w:sz w:val="24"/>
        </w:rPr>
        <w:t>填报要求：</w:t>
      </w:r>
    </w:p>
    <w:p>
      <w:pPr>
        <w:pStyle w:val="47"/>
        <w:widowControl/>
        <w:numPr>
          <w:ilvl w:val="0"/>
          <w:numId w:val="47"/>
        </w:numPr>
        <w:tabs>
          <w:tab w:val="left" w:pos="360"/>
        </w:tabs>
        <w:spacing w:beforeLines="0" w:afterLines="0" w:line="360" w:lineRule="auto"/>
        <w:ind w:left="360" w:right="96" w:rightChars="40" w:hanging="360"/>
        <w:jc w:val="left"/>
        <w:rPr>
          <w:rFonts w:hint="eastAsia" w:ascii="宋体" w:hAnsi="宋体"/>
          <w:sz w:val="24"/>
        </w:rPr>
      </w:pPr>
      <w:r>
        <w:rPr>
          <w:rFonts w:hint="eastAsia" w:ascii="宋体" w:hAnsi="宋体"/>
          <w:sz w:val="24"/>
        </w:rPr>
        <w:t>本表的产品名称、规格型号和注册商标、金额应与《报价明细表》一致。</w:t>
      </w:r>
    </w:p>
    <w:p>
      <w:pPr>
        <w:pStyle w:val="47"/>
        <w:widowControl/>
        <w:numPr>
          <w:ilvl w:val="0"/>
          <w:numId w:val="47"/>
        </w:numPr>
        <w:tabs>
          <w:tab w:val="left" w:pos="360"/>
        </w:tabs>
        <w:spacing w:beforeLines="0" w:afterLines="0" w:line="360" w:lineRule="auto"/>
        <w:ind w:left="360" w:right="96" w:rightChars="40" w:hanging="360"/>
        <w:jc w:val="left"/>
        <w:rPr>
          <w:rFonts w:hint="eastAsia" w:ascii="宋体" w:hAnsi="宋体"/>
          <w:sz w:val="24"/>
        </w:rPr>
      </w:pPr>
      <w:r>
        <w:rPr>
          <w:rFonts w:hint="eastAsia" w:ascii="宋体" w:hAnsi="宋体"/>
          <w:sz w:val="24"/>
        </w:rPr>
        <w:t>制造商为监狱企业、小型或微型企业时才需要填“制造商企业类型”栏，填写内容为“小型”或“微型”。</w:t>
      </w:r>
    </w:p>
    <w:p>
      <w:pPr>
        <w:pStyle w:val="47"/>
        <w:widowControl/>
        <w:numPr>
          <w:ilvl w:val="0"/>
          <w:numId w:val="47"/>
        </w:numPr>
        <w:tabs>
          <w:tab w:val="left" w:pos="360"/>
        </w:tabs>
        <w:spacing w:beforeLines="0" w:afterLines="0" w:line="360" w:lineRule="auto"/>
        <w:ind w:left="360" w:right="96" w:rightChars="40" w:hanging="360"/>
        <w:jc w:val="left"/>
        <w:rPr>
          <w:rFonts w:hint="eastAsia" w:ascii="宋体" w:hAnsi="宋体"/>
          <w:sz w:val="24"/>
        </w:rPr>
      </w:pPr>
      <w:r>
        <w:rPr>
          <w:rFonts w:hint="eastAsia" w:ascii="宋体" w:hAnsi="宋体"/>
          <w:sz w:val="24"/>
        </w:rPr>
        <w:t>节能产品是指财政部和国家发展改革委员会公布的最新《节能产品政府采购清单》中的产品；环境标志产品是指财政部、环境保护部发布的最新《环境标志产品政府采购清单》中的产品。请提供《清单》中相关内容页（并对相关内容作圈记）。</w:t>
      </w:r>
    </w:p>
    <w:p>
      <w:pPr>
        <w:pStyle w:val="47"/>
        <w:widowControl/>
        <w:numPr>
          <w:ilvl w:val="0"/>
          <w:numId w:val="47"/>
        </w:numPr>
        <w:tabs>
          <w:tab w:val="left" w:pos="360"/>
        </w:tabs>
        <w:spacing w:beforeLines="0" w:afterLines="0" w:line="360" w:lineRule="auto"/>
        <w:ind w:left="360" w:right="96" w:rightChars="40" w:hanging="360"/>
        <w:jc w:val="left"/>
        <w:rPr>
          <w:rFonts w:hint="eastAsia" w:ascii="宋体" w:hAnsi="宋体"/>
          <w:sz w:val="24"/>
        </w:rPr>
      </w:pPr>
      <w:r>
        <w:rPr>
          <w:rFonts w:hint="eastAsia" w:ascii="宋体" w:hAnsi="宋体"/>
          <w:sz w:val="24"/>
        </w:rPr>
        <w:t>请投标人正确填写本表，所填内容将作为评审的依据。其内容或数据应与对应的证明资料相符。</w:t>
      </w:r>
    </w:p>
    <w:p>
      <w:pPr>
        <w:pStyle w:val="47"/>
        <w:widowControl/>
        <w:numPr>
          <w:ilvl w:val="0"/>
          <w:numId w:val="47"/>
        </w:numPr>
        <w:tabs>
          <w:tab w:val="left" w:pos="360"/>
        </w:tabs>
        <w:spacing w:beforeLines="0" w:afterLines="0" w:line="360" w:lineRule="auto"/>
        <w:ind w:left="360" w:right="96" w:rightChars="40" w:hanging="360"/>
        <w:jc w:val="left"/>
        <w:rPr>
          <w:rFonts w:hint="eastAsia" w:ascii="宋体" w:hAnsi="宋体"/>
          <w:sz w:val="24"/>
        </w:rPr>
      </w:pPr>
      <w:r>
        <w:rPr>
          <w:rFonts w:hint="eastAsia" w:ascii="宋体" w:hAnsi="宋体"/>
          <w:sz w:val="24"/>
        </w:rPr>
        <w:t>没有相关产品可不填此表。</w:t>
      </w:r>
    </w:p>
    <w:p>
      <w:pPr>
        <w:pStyle w:val="14"/>
        <w:keepNext w:val="0"/>
        <w:keepLines w:val="0"/>
        <w:pageBreakBefore w:val="0"/>
        <w:widowControl w:val="0"/>
        <w:kinsoku w:val="0"/>
        <w:wordWrap/>
        <w:overflowPunct w:val="0"/>
        <w:topLinePunct w:val="0"/>
        <w:autoSpaceDE w:val="0"/>
        <w:autoSpaceDN w:val="0"/>
        <w:bidi w:val="0"/>
        <w:adjustRightInd w:val="0"/>
        <w:snapToGrid/>
        <w:spacing w:beforeLines="0" w:after="0" w:afterLines="100" w:line="400" w:lineRule="exact"/>
        <w:ind w:left="0"/>
        <w:jc w:val="center"/>
        <w:textAlignment w:val="auto"/>
        <w:rPr>
          <w:rFonts w:hint="eastAsia"/>
          <w:b/>
          <w:sz w:val="24"/>
        </w:rPr>
      </w:pPr>
      <w:bookmarkStart w:id="213" w:name="_Toc26649_WPSOffice_Level2"/>
      <w:bookmarkStart w:id="214" w:name="_Toc16490"/>
      <w:r>
        <w:rPr>
          <w:rFonts w:hint="eastAsia"/>
          <w:b/>
          <w:color w:val="000000"/>
          <w:spacing w:val="10"/>
          <w:sz w:val="24"/>
        </w:rPr>
        <w:t>中小企业声明函</w:t>
      </w:r>
    </w:p>
    <w:p>
      <w:pPr>
        <w:spacing w:beforeLines="0" w:afterLines="0" w:line="400" w:lineRule="exact"/>
        <w:ind w:firstLine="504" w:firstLineChars="200"/>
        <w:rPr>
          <w:rFonts w:hint="eastAsia" w:ascii="宋体" w:hAnsi="宋体" w:eastAsia="宋体"/>
          <w:color w:val="000000"/>
          <w:spacing w:val="6"/>
          <w:sz w:val="24"/>
        </w:rPr>
      </w:pPr>
      <w:r>
        <w:rPr>
          <w:rFonts w:hint="eastAsia" w:ascii="宋体" w:hAnsi="宋体" w:eastAsia="宋体"/>
          <w:color w:val="000000"/>
          <w:spacing w:val="6"/>
          <w:sz w:val="24"/>
        </w:rPr>
        <w:t>本公司郑重声明，根据《政府采购促进中小企业发展暂行办法》（财库[2011]181号）的规定，本公司为</w:t>
      </w:r>
      <w:bookmarkStart w:id="215" w:name="OLE_LINK5"/>
      <w:r>
        <w:rPr>
          <w:rFonts w:hint="eastAsia" w:ascii="宋体" w:hAnsi="宋体" w:eastAsia="宋体"/>
          <w:color w:val="000000"/>
          <w:spacing w:val="6"/>
          <w:sz w:val="24"/>
        </w:rPr>
        <w:t>______（请填写：中型、小型、微型）企业</w:t>
      </w:r>
      <w:bookmarkEnd w:id="215"/>
      <w:r>
        <w:rPr>
          <w:rFonts w:hint="eastAsia" w:ascii="宋体" w:hAnsi="宋体" w:eastAsia="宋体"/>
          <w:color w:val="000000"/>
          <w:spacing w:val="6"/>
          <w:sz w:val="24"/>
        </w:rPr>
        <w:t>。即，本公司同时满足以下条件：</w:t>
      </w:r>
    </w:p>
    <w:p>
      <w:pPr>
        <w:spacing w:beforeLines="0" w:afterLines="0" w:line="400" w:lineRule="exact"/>
        <w:ind w:firstLine="504" w:firstLineChars="200"/>
        <w:rPr>
          <w:rFonts w:hint="eastAsia" w:ascii="宋体" w:hAnsi="宋体" w:eastAsia="宋体"/>
          <w:color w:val="000000"/>
          <w:spacing w:val="6"/>
          <w:sz w:val="24"/>
        </w:rPr>
      </w:pPr>
      <w:r>
        <w:rPr>
          <w:rFonts w:hint="eastAsia" w:ascii="宋体" w:hAnsi="宋体" w:eastAsia="宋体"/>
          <w:color w:val="000000"/>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pPr>
        <w:spacing w:beforeLines="0" w:afterLines="0" w:line="400" w:lineRule="exact"/>
        <w:ind w:firstLine="504" w:firstLineChars="200"/>
        <w:rPr>
          <w:rFonts w:hint="eastAsia" w:ascii="宋体" w:hAnsi="宋体" w:eastAsia="宋体"/>
          <w:color w:val="000000"/>
          <w:spacing w:val="6"/>
          <w:sz w:val="24"/>
        </w:rPr>
      </w:pPr>
      <w:r>
        <w:rPr>
          <w:rFonts w:hint="eastAsia" w:ascii="宋体" w:hAnsi="宋体" w:eastAsia="宋体"/>
          <w:color w:val="000000"/>
          <w:spacing w:val="6"/>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beforeLines="0" w:afterLines="0" w:line="400" w:lineRule="exact"/>
        <w:ind w:firstLine="504" w:firstLineChars="200"/>
        <w:rPr>
          <w:rFonts w:hint="eastAsia" w:ascii="宋体" w:hAnsi="宋体" w:eastAsia="宋体"/>
          <w:color w:val="000000"/>
          <w:spacing w:val="6"/>
          <w:sz w:val="24"/>
        </w:rPr>
      </w:pPr>
      <w:r>
        <w:rPr>
          <w:rFonts w:hint="eastAsia" w:ascii="宋体" w:hAnsi="宋体" w:eastAsia="宋体"/>
          <w:color w:val="000000"/>
          <w:spacing w:val="6"/>
          <w:sz w:val="24"/>
        </w:rPr>
        <w:t>本公司对上述声明的真实性负责。如有虚假，将依法承担相应责任。</w:t>
      </w:r>
    </w:p>
    <w:p>
      <w:pPr>
        <w:spacing w:beforeLines="0" w:afterLines="0" w:line="400" w:lineRule="exact"/>
        <w:ind w:firstLine="4800" w:firstLineChars="2000"/>
        <w:rPr>
          <w:rFonts w:hint="eastAsia" w:ascii="宋体" w:hAnsi="宋体" w:eastAsia="宋体"/>
          <w:color w:val="000000"/>
          <w:sz w:val="24"/>
        </w:rPr>
      </w:pPr>
      <w:r>
        <w:rPr>
          <w:rFonts w:hint="eastAsia" w:ascii="宋体" w:hAnsi="宋体" w:eastAsia="宋体"/>
          <w:color w:val="000000"/>
          <w:sz w:val="24"/>
        </w:rPr>
        <w:t>投标人（企业电子签章或公章）：</w:t>
      </w:r>
    </w:p>
    <w:p>
      <w:pPr>
        <w:spacing w:beforeLines="0" w:afterLines="0" w:line="400" w:lineRule="exact"/>
        <w:ind w:firstLine="4788" w:firstLineChars="1900"/>
        <w:rPr>
          <w:rFonts w:hint="eastAsia" w:ascii="宋体" w:hAnsi="宋体" w:eastAsia="宋体"/>
          <w:color w:val="000000"/>
          <w:spacing w:val="6"/>
          <w:sz w:val="24"/>
        </w:rPr>
      </w:pPr>
      <w:r>
        <w:rPr>
          <w:rFonts w:hint="eastAsia" w:ascii="宋体" w:hAnsi="宋体" w:eastAsia="宋体"/>
          <w:color w:val="000000"/>
          <w:spacing w:val="6"/>
          <w:sz w:val="24"/>
        </w:rPr>
        <w:t>日    期：</w:t>
      </w:r>
    </w:p>
    <w:p>
      <w:pPr>
        <w:spacing w:beforeLines="0" w:afterLines="0" w:line="400" w:lineRule="exact"/>
        <w:rPr>
          <w:rFonts w:hint="eastAsia" w:ascii="宋体" w:hAnsi="宋体" w:eastAsia="宋体"/>
          <w:color w:val="000000"/>
          <w:sz w:val="24"/>
        </w:rPr>
      </w:pPr>
      <w:r>
        <w:rPr>
          <w:rFonts w:hint="eastAsia" w:ascii="宋体" w:hAnsi="宋体" w:eastAsia="宋体"/>
          <w:color w:val="000000"/>
          <w:sz w:val="24"/>
        </w:rPr>
        <w:t>说明：</w:t>
      </w:r>
    </w:p>
    <w:p>
      <w:pPr>
        <w:spacing w:beforeLines="0" w:afterLines="0" w:line="400" w:lineRule="exact"/>
        <w:rPr>
          <w:rFonts w:hint="eastAsia" w:ascii="宋体" w:hAnsi="宋体" w:eastAsia="宋体"/>
          <w:color w:val="000000"/>
          <w:sz w:val="24"/>
        </w:rPr>
      </w:pPr>
      <w:r>
        <w:rPr>
          <w:rFonts w:hint="eastAsia" w:ascii="宋体" w:hAnsi="宋体" w:eastAsia="宋体"/>
          <w:color w:val="000000"/>
          <w:sz w:val="24"/>
        </w:rPr>
        <w:t>1、该声明函是针对小、微型企业的，非小型、微型企业投标时不用提供该声明。</w:t>
      </w:r>
    </w:p>
    <w:p>
      <w:pPr>
        <w:spacing w:beforeLines="0" w:afterLines="0" w:line="400" w:lineRule="exact"/>
        <w:rPr>
          <w:rFonts w:hint="eastAsia" w:ascii="宋体" w:hAnsi="宋体" w:eastAsia="宋体"/>
          <w:color w:val="000000"/>
          <w:sz w:val="24"/>
        </w:rPr>
      </w:pPr>
      <w:r>
        <w:rPr>
          <w:rFonts w:hint="eastAsia" w:ascii="宋体" w:hAnsi="宋体" w:eastAsia="宋体"/>
          <w:color w:val="000000"/>
          <w:sz w:val="24"/>
        </w:rPr>
        <w:t>2、根据《政府采购促进中小企业发展暂行办法》(财库[2011]181 号)的规定，对于非专门面向中小企业的项目，对小型和微型企业产品的价格给予6%的扣除，用扣除后的价格参与评审。</w:t>
      </w:r>
    </w:p>
    <w:p>
      <w:pPr>
        <w:spacing w:beforeLines="0" w:afterLines="0" w:line="400" w:lineRule="exact"/>
        <w:rPr>
          <w:rFonts w:hint="eastAsia" w:ascii="宋体" w:hAnsi="宋体" w:eastAsia="宋体"/>
          <w:color w:val="000000"/>
          <w:sz w:val="24"/>
        </w:rPr>
      </w:pPr>
      <w:r>
        <w:rPr>
          <w:rFonts w:hint="eastAsia" w:ascii="宋体" w:hAnsi="宋体" w:eastAsia="宋体"/>
          <w:color w:val="000000"/>
          <w:sz w:val="24"/>
        </w:rPr>
        <w:t>3、供应商可向所在地县级以上(工业和信息化部门\统计局\发展和改革委员会\财政部门)办理大\中\小\微企业证明，并将证明材料附到本次投标文件中，作为评审依据，同时提供《中小企业声明函》，否则不予认可。代理中小企业产品的还应提供生产企业中小企业声明和证明材料。</w:t>
      </w:r>
    </w:p>
    <w:p>
      <w:pPr>
        <w:pStyle w:val="14"/>
        <w:kinsoku w:val="0"/>
        <w:overflowPunct w:val="0"/>
        <w:spacing w:beforeLines="0" w:afterLines="0"/>
        <w:ind w:left="0"/>
        <w:rPr>
          <w:rFonts w:hint="eastAsia"/>
          <w:color w:val="000000"/>
          <w:kern w:val="2"/>
          <w:sz w:val="21"/>
          <w:lang w:val="en-US" w:eastAsia="zh-CN"/>
        </w:rPr>
      </w:pPr>
    </w:p>
    <w:p>
      <w:pPr>
        <w:pStyle w:val="14"/>
        <w:kinsoku w:val="0"/>
        <w:overflowPunct w:val="0"/>
        <w:spacing w:beforeLines="0" w:afterLines="0"/>
        <w:ind w:left="0"/>
        <w:rPr>
          <w:rFonts w:hint="eastAsia"/>
          <w:color w:val="000000"/>
          <w:kern w:val="2"/>
          <w:sz w:val="21"/>
          <w:lang w:val="en-US" w:eastAsia="zh-CN"/>
        </w:rPr>
      </w:pPr>
    </w:p>
    <w:p>
      <w:pPr>
        <w:pStyle w:val="14"/>
        <w:kinsoku w:val="0"/>
        <w:overflowPunct w:val="0"/>
        <w:spacing w:beforeLines="0" w:afterLines="0"/>
        <w:ind w:left="0"/>
        <w:rPr>
          <w:rFonts w:hint="eastAsia"/>
          <w:color w:val="000000"/>
          <w:kern w:val="2"/>
          <w:sz w:val="21"/>
          <w:lang w:val="en-US" w:eastAsia="zh-CN"/>
        </w:rPr>
      </w:pPr>
    </w:p>
    <w:p>
      <w:pPr>
        <w:pStyle w:val="14"/>
        <w:kinsoku w:val="0"/>
        <w:overflowPunct w:val="0"/>
        <w:spacing w:beforeLines="0" w:afterLines="0"/>
        <w:ind w:left="0"/>
        <w:rPr>
          <w:rFonts w:hint="eastAsia"/>
          <w:color w:val="000000"/>
          <w:kern w:val="2"/>
          <w:sz w:val="21"/>
          <w:lang w:val="en-US" w:eastAsia="zh-CN"/>
        </w:rPr>
      </w:pPr>
    </w:p>
    <w:p>
      <w:pPr>
        <w:pStyle w:val="14"/>
        <w:kinsoku w:val="0"/>
        <w:overflowPunct w:val="0"/>
        <w:spacing w:beforeLines="0" w:afterLines="0"/>
        <w:ind w:left="0"/>
        <w:rPr>
          <w:rFonts w:hint="eastAsia"/>
          <w:color w:val="000000"/>
          <w:kern w:val="2"/>
          <w:sz w:val="21"/>
          <w:lang w:val="en-US" w:eastAsia="zh-CN"/>
        </w:rPr>
      </w:pPr>
    </w:p>
    <w:p>
      <w:pPr>
        <w:pStyle w:val="14"/>
        <w:kinsoku w:val="0"/>
        <w:overflowPunct w:val="0"/>
        <w:spacing w:beforeLines="0" w:afterLines="0"/>
        <w:ind w:left="0"/>
        <w:rPr>
          <w:rFonts w:hint="eastAsia"/>
          <w:color w:val="000000"/>
          <w:kern w:val="2"/>
          <w:sz w:val="21"/>
          <w:lang w:val="en-US" w:eastAsia="zh-CN"/>
        </w:rPr>
      </w:pPr>
    </w:p>
    <w:p>
      <w:pPr>
        <w:pStyle w:val="14"/>
        <w:kinsoku w:val="0"/>
        <w:overflowPunct w:val="0"/>
        <w:spacing w:beforeLines="0" w:afterLines="0" w:line="419" w:lineRule="auto"/>
        <w:ind w:left="118" w:right="-134" w:firstLine="422"/>
        <w:jc w:val="both"/>
        <w:rPr>
          <w:rFonts w:hint="eastAsia"/>
          <w:color w:val="000000"/>
          <w:kern w:val="2"/>
          <w:sz w:val="21"/>
          <w:lang w:val="en-US" w:eastAsia="zh-CN"/>
        </w:rPr>
      </w:pPr>
    </w:p>
    <w:p>
      <w:pPr>
        <w:pStyle w:val="14"/>
        <w:kinsoku w:val="0"/>
        <w:overflowPunct w:val="0"/>
        <w:spacing w:beforeLines="0" w:afterLines="0"/>
        <w:ind w:left="0"/>
        <w:rPr>
          <w:rFonts w:hint="eastAsia"/>
          <w:sz w:val="20"/>
        </w:rPr>
      </w:pPr>
    </w:p>
    <w:p>
      <w:pPr>
        <w:pStyle w:val="14"/>
        <w:kinsoku w:val="0"/>
        <w:overflowPunct w:val="0"/>
        <w:spacing w:beforeLines="0" w:afterLines="0"/>
        <w:ind w:left="0"/>
        <w:rPr>
          <w:rFonts w:hint="eastAsia"/>
          <w:sz w:val="20"/>
        </w:rPr>
      </w:pPr>
    </w:p>
    <w:p>
      <w:pPr>
        <w:pStyle w:val="14"/>
        <w:kinsoku w:val="0"/>
        <w:overflowPunct w:val="0"/>
        <w:spacing w:beforeLines="0" w:afterLines="0"/>
        <w:ind w:left="0"/>
        <w:rPr>
          <w:rFonts w:hint="eastAsia"/>
          <w:sz w:val="20"/>
        </w:rPr>
      </w:pPr>
    </w:p>
    <w:p>
      <w:pPr>
        <w:pStyle w:val="14"/>
        <w:kinsoku w:val="0"/>
        <w:overflowPunct w:val="0"/>
        <w:spacing w:beforeLines="0" w:afterLines="0"/>
        <w:ind w:left="0"/>
        <w:rPr>
          <w:rFonts w:hint="eastAsia"/>
          <w:sz w:val="20"/>
        </w:rPr>
      </w:pPr>
    </w:p>
    <w:p>
      <w:pPr>
        <w:pStyle w:val="14"/>
        <w:kinsoku w:val="0"/>
        <w:overflowPunct w:val="0"/>
        <w:spacing w:beforeLines="0" w:afterLines="0"/>
        <w:ind w:left="0"/>
        <w:rPr>
          <w:rFonts w:hint="eastAsia"/>
          <w:sz w:val="20"/>
        </w:rPr>
      </w:pPr>
    </w:p>
    <w:p>
      <w:pPr>
        <w:pStyle w:val="14"/>
        <w:kinsoku w:val="0"/>
        <w:overflowPunct w:val="0"/>
        <w:spacing w:beforeLines="0" w:afterLines="0"/>
        <w:ind w:left="0"/>
        <w:rPr>
          <w:rFonts w:hint="eastAsia"/>
          <w:sz w:val="20"/>
        </w:rPr>
      </w:pPr>
    </w:p>
    <w:p>
      <w:pPr>
        <w:pStyle w:val="14"/>
        <w:kinsoku w:val="0"/>
        <w:overflowPunct w:val="0"/>
        <w:spacing w:beforeLines="0" w:afterLines="0"/>
        <w:ind w:left="0"/>
        <w:rPr>
          <w:rFonts w:hint="eastAsia"/>
          <w:sz w:val="20"/>
        </w:rPr>
      </w:pPr>
    </w:p>
    <w:p>
      <w:pPr>
        <w:pStyle w:val="9"/>
        <w:kinsoku w:val="0"/>
        <w:overflowPunct w:val="0"/>
        <w:spacing w:beforeLines="0" w:afterLines="0"/>
        <w:ind w:left="0" w:right="-94"/>
        <w:jc w:val="center"/>
        <w:rPr>
          <w:rFonts w:hint="default"/>
          <w:b w:val="0"/>
          <w:sz w:val="28"/>
        </w:rPr>
      </w:pPr>
      <w:r>
        <w:rPr>
          <w:rFonts w:hint="eastAsia"/>
          <w:spacing w:val="6"/>
          <w:sz w:val="28"/>
        </w:rPr>
        <w:t>残疾人福利性单位声明函</w:t>
      </w:r>
    </w:p>
    <w:p>
      <w:pPr>
        <w:pStyle w:val="14"/>
        <w:kinsoku w:val="0"/>
        <w:overflowPunct w:val="0"/>
        <w:spacing w:beforeLines="0" w:afterLines="0"/>
        <w:ind w:left="0"/>
        <w:rPr>
          <w:rFonts w:hint="eastAsia"/>
          <w:b/>
          <w:sz w:val="24"/>
        </w:rPr>
      </w:pPr>
    </w:p>
    <w:p>
      <w:pPr>
        <w:pStyle w:val="14"/>
        <w:kinsoku w:val="0"/>
        <w:overflowPunct w:val="0"/>
        <w:spacing w:beforeLines="0" w:afterLines="0"/>
        <w:ind w:left="0"/>
        <w:rPr>
          <w:rFonts w:hint="eastAsia"/>
          <w:b/>
          <w:sz w:val="19"/>
        </w:rPr>
      </w:pPr>
    </w:p>
    <w:p>
      <w:pPr>
        <w:pStyle w:val="14"/>
        <w:kinsoku w:val="0"/>
        <w:overflowPunct w:val="0"/>
        <w:spacing w:beforeLines="0" w:afterLines="0" w:line="360" w:lineRule="auto"/>
        <w:ind w:left="118" w:right="32" w:firstLine="436" w:firstLineChars="200"/>
        <w:rPr>
          <w:rFonts w:hint="eastAsia"/>
          <w:spacing w:val="4"/>
          <w:sz w:val="21"/>
        </w:rPr>
      </w:pPr>
      <w:r>
        <w:rPr>
          <w:rFonts w:hint="eastAsia"/>
          <w:spacing w:val="4"/>
          <w:sz w:val="21"/>
        </w:rPr>
        <w:t>本单位郑重声明，根据《财政部 民政部 中国残疾人联合会关于促进残疾人就业政府采购政策的 通知》（财库〔2017〕141 号）的规定，本单位为符合条件的残疾人福利性单位，且本单位参加__________________单位的______________________项目采购活动提供本单位制造的货物（由本单位 承担工程/提供服务），或者提供其他残疾人福利性单位制造的货物（不包括使用非残疾人福利性单位 注册商标的货物）。</w:t>
      </w:r>
    </w:p>
    <w:p>
      <w:pPr>
        <w:pStyle w:val="14"/>
        <w:kinsoku w:val="0"/>
        <w:overflowPunct w:val="0"/>
        <w:spacing w:beforeLines="0" w:afterLines="0" w:line="360" w:lineRule="auto"/>
        <w:ind w:left="118" w:right="32" w:firstLine="436" w:firstLineChars="200"/>
        <w:rPr>
          <w:rFonts w:hint="eastAsia"/>
          <w:spacing w:val="4"/>
          <w:sz w:val="21"/>
        </w:rPr>
      </w:pPr>
      <w:r>
        <w:rPr>
          <w:rFonts w:hint="eastAsia"/>
          <w:spacing w:val="4"/>
          <w:sz w:val="21"/>
        </w:rPr>
        <w:t>本单位对上述声明的真实性负责。如有虚假，将依法承担相应责任。</w:t>
      </w:r>
    </w:p>
    <w:p>
      <w:pPr>
        <w:pStyle w:val="14"/>
        <w:kinsoku w:val="0"/>
        <w:overflowPunct w:val="0"/>
        <w:spacing w:beforeLines="0" w:afterLines="0" w:line="360" w:lineRule="auto"/>
        <w:ind w:left="118" w:right="2532"/>
        <w:rPr>
          <w:rFonts w:hint="eastAsia"/>
          <w:spacing w:val="4"/>
          <w:sz w:val="21"/>
        </w:rPr>
      </w:pPr>
    </w:p>
    <w:p>
      <w:pPr>
        <w:pStyle w:val="14"/>
        <w:kinsoku w:val="0"/>
        <w:overflowPunct w:val="0"/>
        <w:spacing w:beforeLines="0" w:afterLines="0" w:line="360" w:lineRule="auto"/>
        <w:ind w:left="118" w:right="2532"/>
        <w:rPr>
          <w:rFonts w:hint="eastAsia"/>
          <w:spacing w:val="4"/>
          <w:sz w:val="21"/>
        </w:rPr>
      </w:pPr>
    </w:p>
    <w:p>
      <w:pPr>
        <w:pStyle w:val="14"/>
        <w:kinsoku w:val="0"/>
        <w:overflowPunct w:val="0"/>
        <w:spacing w:beforeLines="0" w:afterLines="0" w:line="360" w:lineRule="auto"/>
        <w:ind w:right="2532"/>
        <w:jc w:val="right"/>
        <w:rPr>
          <w:rFonts w:hint="eastAsia"/>
          <w:spacing w:val="4"/>
          <w:sz w:val="21"/>
        </w:rPr>
      </w:pPr>
      <w:r>
        <w:rPr>
          <w:rFonts w:hint="eastAsia"/>
          <w:spacing w:val="4"/>
          <w:sz w:val="21"/>
        </w:rPr>
        <w:t>投标人：（公章）</w:t>
      </w:r>
    </w:p>
    <w:p>
      <w:pPr>
        <w:pStyle w:val="14"/>
        <w:kinsoku w:val="0"/>
        <w:overflowPunct w:val="0"/>
        <w:spacing w:beforeLines="0" w:afterLines="0" w:line="360" w:lineRule="auto"/>
        <w:ind w:right="2532" w:firstLine="5450" w:firstLineChars="2500"/>
        <w:rPr>
          <w:rFonts w:hint="eastAsia"/>
          <w:sz w:val="20"/>
        </w:rPr>
      </w:pPr>
      <w:r>
        <w:rPr>
          <w:rFonts w:hint="eastAsia"/>
          <w:spacing w:val="4"/>
          <w:sz w:val="21"/>
        </w:rPr>
        <w:t>日</w:t>
      </w:r>
      <w:r>
        <w:rPr>
          <w:rFonts w:hint="eastAsia"/>
          <w:spacing w:val="4"/>
          <w:sz w:val="21"/>
        </w:rPr>
        <w:tab/>
      </w:r>
      <w:r>
        <w:rPr>
          <w:rFonts w:hint="eastAsia"/>
          <w:spacing w:val="4"/>
          <w:sz w:val="21"/>
        </w:rPr>
        <w:t>期：</w:t>
      </w:r>
    </w:p>
    <w:p>
      <w:pPr>
        <w:pStyle w:val="14"/>
        <w:kinsoku w:val="0"/>
        <w:overflowPunct w:val="0"/>
        <w:spacing w:beforeLines="0" w:afterLines="0"/>
        <w:ind w:left="0"/>
        <w:rPr>
          <w:rFonts w:hint="eastAsia"/>
          <w:sz w:val="20"/>
        </w:rPr>
      </w:pPr>
    </w:p>
    <w:p>
      <w:pPr>
        <w:pStyle w:val="14"/>
        <w:kinsoku w:val="0"/>
        <w:overflowPunct w:val="0"/>
        <w:spacing w:beforeLines="0" w:afterLines="0"/>
        <w:ind w:left="0"/>
        <w:rPr>
          <w:rFonts w:hint="eastAsia"/>
          <w:sz w:val="20"/>
        </w:rPr>
      </w:pPr>
    </w:p>
    <w:p>
      <w:pPr>
        <w:pStyle w:val="14"/>
        <w:kinsoku w:val="0"/>
        <w:overflowPunct w:val="0"/>
        <w:spacing w:beforeLines="0" w:afterLines="0"/>
        <w:ind w:left="0"/>
        <w:rPr>
          <w:rFonts w:hint="eastAsia"/>
          <w:sz w:val="20"/>
        </w:rPr>
      </w:pPr>
    </w:p>
    <w:p>
      <w:pPr>
        <w:pStyle w:val="15"/>
        <w:rPr>
          <w:rFonts w:hint="eastAsia"/>
          <w:sz w:val="24"/>
        </w:rPr>
      </w:pPr>
    </w:p>
    <w:p>
      <w:pPr>
        <w:pStyle w:val="15"/>
        <w:rPr>
          <w:rFonts w:hint="eastAsia"/>
          <w:sz w:val="24"/>
        </w:rPr>
      </w:pPr>
    </w:p>
    <w:p>
      <w:pPr>
        <w:pStyle w:val="14"/>
        <w:kinsoku w:val="0"/>
        <w:overflowPunct w:val="0"/>
        <w:spacing w:beforeLines="0" w:afterLines="0"/>
        <w:ind w:left="0"/>
        <w:rPr>
          <w:rFonts w:hint="eastAsia"/>
          <w:sz w:val="20"/>
        </w:rPr>
      </w:pPr>
    </w:p>
    <w:p>
      <w:pPr>
        <w:pStyle w:val="9"/>
        <w:kinsoku w:val="0"/>
        <w:overflowPunct w:val="0"/>
        <w:spacing w:beforeLines="0" w:afterLines="0"/>
        <w:ind w:left="0" w:right="-94"/>
        <w:jc w:val="center"/>
        <w:rPr>
          <w:rFonts w:hint="eastAsia"/>
          <w:spacing w:val="6"/>
          <w:sz w:val="28"/>
        </w:rPr>
      </w:pPr>
    </w:p>
    <w:p>
      <w:pPr>
        <w:pStyle w:val="14"/>
        <w:kinsoku w:val="0"/>
        <w:overflowPunct w:val="0"/>
        <w:spacing w:beforeLines="0" w:afterLines="0" w:line="360" w:lineRule="auto"/>
        <w:ind w:left="0"/>
        <w:rPr>
          <w:rFonts w:hint="eastAsia"/>
          <w:sz w:val="24"/>
        </w:rPr>
      </w:pPr>
    </w:p>
    <w:p>
      <w:pPr>
        <w:pStyle w:val="14"/>
        <w:kinsoku w:val="0"/>
        <w:overflowPunct w:val="0"/>
        <w:spacing w:beforeLines="0" w:afterLines="0"/>
        <w:ind w:left="0"/>
        <w:rPr>
          <w:rFonts w:hint="eastAsia"/>
          <w:sz w:val="20"/>
        </w:rPr>
      </w:pPr>
    </w:p>
    <w:p>
      <w:pPr>
        <w:pStyle w:val="14"/>
        <w:kinsoku w:val="0"/>
        <w:overflowPunct w:val="0"/>
        <w:spacing w:beforeLines="0" w:afterLines="0"/>
        <w:ind w:left="0"/>
        <w:rPr>
          <w:rFonts w:hint="eastAsia"/>
          <w:sz w:val="20"/>
        </w:rPr>
      </w:pPr>
    </w:p>
    <w:p>
      <w:pPr>
        <w:pStyle w:val="14"/>
        <w:kinsoku w:val="0"/>
        <w:overflowPunct w:val="0"/>
        <w:spacing w:beforeLines="0" w:afterLines="0"/>
        <w:ind w:left="0"/>
        <w:rPr>
          <w:rFonts w:hint="eastAsia"/>
          <w:sz w:val="20"/>
        </w:rPr>
      </w:pPr>
    </w:p>
    <w:p>
      <w:pPr>
        <w:pStyle w:val="14"/>
        <w:kinsoku w:val="0"/>
        <w:overflowPunct w:val="0"/>
        <w:spacing w:beforeLines="0" w:afterLines="0"/>
        <w:ind w:left="0"/>
        <w:rPr>
          <w:rFonts w:hint="eastAsia"/>
          <w:sz w:val="20"/>
        </w:rPr>
      </w:pPr>
    </w:p>
    <w:p>
      <w:pPr>
        <w:pStyle w:val="9"/>
        <w:kinsoku w:val="0"/>
        <w:overflowPunct w:val="0"/>
        <w:spacing w:beforeLines="0" w:afterLines="0"/>
        <w:ind w:left="2735"/>
        <w:rPr>
          <w:rFonts w:hint="default"/>
          <w:b w:val="0"/>
          <w:sz w:val="28"/>
        </w:rPr>
      </w:pPr>
      <w:r>
        <w:rPr>
          <w:rFonts w:hint="eastAsia"/>
          <w:sz w:val="28"/>
        </w:rPr>
        <w:t>其他政府采购政策及证明材料</w:t>
      </w:r>
    </w:p>
    <w:p>
      <w:pPr>
        <w:pStyle w:val="14"/>
        <w:kinsoku w:val="0"/>
        <w:overflowPunct w:val="0"/>
        <w:spacing w:beforeLines="0" w:afterLines="0"/>
        <w:ind w:left="0"/>
        <w:rPr>
          <w:rFonts w:hint="eastAsia"/>
          <w:b/>
          <w:sz w:val="20"/>
        </w:rPr>
      </w:pPr>
    </w:p>
    <w:p>
      <w:pPr>
        <w:pStyle w:val="14"/>
        <w:kinsoku w:val="0"/>
        <w:overflowPunct w:val="0"/>
        <w:spacing w:beforeLines="0" w:afterLines="0"/>
        <w:ind w:left="0"/>
        <w:rPr>
          <w:rFonts w:hint="eastAsia"/>
          <w:b/>
          <w:sz w:val="20"/>
        </w:rPr>
      </w:pPr>
    </w:p>
    <w:p>
      <w:pPr>
        <w:pStyle w:val="14"/>
        <w:kinsoku w:val="0"/>
        <w:overflowPunct w:val="0"/>
        <w:spacing w:beforeLines="0" w:afterLines="0"/>
        <w:ind w:left="0"/>
        <w:rPr>
          <w:rFonts w:hint="eastAsia"/>
          <w:b/>
          <w:sz w:val="20"/>
        </w:rPr>
      </w:pPr>
    </w:p>
    <w:p>
      <w:pPr>
        <w:pStyle w:val="14"/>
        <w:kinsoku w:val="0"/>
        <w:overflowPunct w:val="0"/>
        <w:spacing w:beforeLines="0" w:afterLines="0"/>
        <w:ind w:left="0"/>
        <w:rPr>
          <w:rFonts w:hint="eastAsia"/>
          <w:b/>
          <w:sz w:val="20"/>
        </w:rPr>
      </w:pPr>
    </w:p>
    <w:bookmarkEnd w:id="213"/>
    <w:bookmarkEnd w:id="214"/>
    <w:p>
      <w:pPr>
        <w:spacing w:beforeLines="0" w:afterLines="0"/>
        <w:jc w:val="center"/>
        <w:rPr>
          <w:rFonts w:hint="eastAsia" w:ascii="宋体" w:hAnsi="宋体" w:eastAsia="宋体"/>
          <w:b/>
          <w:kern w:val="44"/>
          <w:sz w:val="44"/>
          <w:lang w:val="en-US"/>
        </w:rPr>
      </w:pPr>
    </w:p>
    <w:p>
      <w:pPr>
        <w:spacing w:beforeLines="0" w:afterLines="0"/>
        <w:jc w:val="center"/>
        <w:rPr>
          <w:rFonts w:hint="eastAsia" w:ascii="宋体" w:hAnsi="宋体" w:eastAsia="宋体"/>
          <w:b/>
          <w:kern w:val="44"/>
          <w:sz w:val="44"/>
          <w:lang w:val="en-US"/>
        </w:rPr>
      </w:pPr>
    </w:p>
    <w:p>
      <w:pPr>
        <w:spacing w:beforeLines="0" w:afterLines="0"/>
        <w:jc w:val="center"/>
        <w:rPr>
          <w:rFonts w:hint="eastAsia" w:ascii="宋体" w:hAnsi="宋体" w:eastAsia="宋体"/>
          <w:b/>
          <w:kern w:val="44"/>
          <w:sz w:val="44"/>
          <w:lang w:val="en-US"/>
        </w:rPr>
      </w:pPr>
    </w:p>
    <w:p>
      <w:pPr>
        <w:spacing w:beforeLines="0" w:afterLines="0"/>
        <w:jc w:val="center"/>
        <w:rPr>
          <w:rFonts w:hint="default" w:ascii="宋体" w:hAnsi="宋体" w:eastAsia="宋体"/>
          <w:b/>
          <w:kern w:val="44"/>
          <w:sz w:val="44"/>
          <w:lang w:val="en-US"/>
        </w:rPr>
      </w:pPr>
    </w:p>
    <w:sectPr>
      <w:footerReference r:id="rId3" w:type="default"/>
      <w:pgSz w:w="12240" w:h="15840"/>
      <w:pgMar w:top="1417" w:right="1247" w:bottom="1417" w:left="1247" w:header="737" w:footer="1077" w:gutter="0"/>
      <w:cols w:equalWidth="0" w:num="1">
        <w:col w:w="8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Consolas">
    <w:panose1 w:val="020B0609020204030204"/>
    <w:charset w:val="00"/>
    <w:family w:val="auto"/>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GA0MN4bAgAAIQQAAA4A&#10;AAAAAAAAAQAgAAAAHwEAAGRycy9lMm9Eb2MueG1sUEsFBgAAAAAGAAYAWQEAAKw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9DFC6F"/>
    <w:multiLevelType w:val="singleLevel"/>
    <w:tmpl w:val="959DFC6F"/>
    <w:lvl w:ilvl="0" w:tentative="0">
      <w:start w:val="5"/>
      <w:numFmt w:val="chineseCounting"/>
      <w:suff w:val="nothing"/>
      <w:lvlText w:val="%1、"/>
      <w:lvlJc w:val="left"/>
      <w:rPr>
        <w:rFonts w:hint="eastAsia"/>
      </w:rPr>
    </w:lvl>
  </w:abstractNum>
  <w:abstractNum w:abstractNumId="1">
    <w:nsid w:val="BF5C576C"/>
    <w:multiLevelType w:val="multilevel"/>
    <w:tmpl w:val="BF5C576C"/>
    <w:lvl w:ilvl="0" w:tentative="0">
      <w:start w:val="1"/>
      <w:numFmt w:val="decimal"/>
      <w:lvlText w:val="%1."/>
      <w:lvlJc w:val="left"/>
      <w:pPr>
        <w:tabs>
          <w:tab w:val="left" w:pos="1264"/>
        </w:tabs>
        <w:ind w:left="1264" w:hanging="420"/>
      </w:pPr>
      <w:rPr>
        <w:rFonts w:hint="default"/>
        <w:u w:val="none" w:color="auto"/>
      </w:rPr>
    </w:lvl>
    <w:lvl w:ilvl="1" w:tentative="0">
      <w:start w:val="1"/>
      <w:numFmt w:val="lowerLetter"/>
      <w:lvlText w:val="%2)"/>
      <w:lvlJc w:val="left"/>
      <w:pPr>
        <w:tabs>
          <w:tab w:val="left" w:pos="840"/>
        </w:tabs>
        <w:ind w:left="840" w:hanging="420"/>
      </w:pPr>
      <w:rPr>
        <w:rFonts w:hint="default"/>
        <w:u w:val="none" w:color="auto"/>
      </w:rPr>
    </w:lvl>
    <w:lvl w:ilvl="2" w:tentative="0">
      <w:start w:val="1"/>
      <w:numFmt w:val="lowerRoman"/>
      <w:lvlText w:val="%3."/>
      <w:lvlJc w:val="right"/>
      <w:pPr>
        <w:tabs>
          <w:tab w:val="left" w:pos="1260"/>
        </w:tabs>
        <w:ind w:left="1260" w:hanging="420"/>
      </w:pPr>
      <w:rPr>
        <w:rFonts w:hint="default"/>
        <w:u w:val="none" w:color="auto"/>
      </w:rPr>
    </w:lvl>
    <w:lvl w:ilvl="3" w:tentative="0">
      <w:start w:val="1"/>
      <w:numFmt w:val="decimal"/>
      <w:lvlText w:val="%4."/>
      <w:lvlJc w:val="left"/>
      <w:pPr>
        <w:tabs>
          <w:tab w:val="left" w:pos="1680"/>
        </w:tabs>
        <w:ind w:left="1680" w:hanging="420"/>
      </w:pPr>
      <w:rPr>
        <w:rFonts w:hint="default"/>
        <w:u w:val="none" w:color="auto"/>
      </w:rPr>
    </w:lvl>
    <w:lvl w:ilvl="4" w:tentative="0">
      <w:start w:val="1"/>
      <w:numFmt w:val="lowerLetter"/>
      <w:lvlText w:val="%5)"/>
      <w:lvlJc w:val="left"/>
      <w:pPr>
        <w:tabs>
          <w:tab w:val="left" w:pos="2100"/>
        </w:tabs>
        <w:ind w:left="2100" w:hanging="420"/>
      </w:pPr>
      <w:rPr>
        <w:rFonts w:hint="default"/>
        <w:u w:val="none" w:color="auto"/>
      </w:rPr>
    </w:lvl>
    <w:lvl w:ilvl="5" w:tentative="0">
      <w:start w:val="1"/>
      <w:numFmt w:val="lowerRoman"/>
      <w:lvlText w:val="%6."/>
      <w:lvlJc w:val="right"/>
      <w:pPr>
        <w:tabs>
          <w:tab w:val="left" w:pos="2520"/>
        </w:tabs>
        <w:ind w:left="2520" w:hanging="420"/>
      </w:pPr>
      <w:rPr>
        <w:rFonts w:hint="default"/>
        <w:u w:val="none" w:color="auto"/>
      </w:rPr>
    </w:lvl>
    <w:lvl w:ilvl="6" w:tentative="0">
      <w:start w:val="1"/>
      <w:numFmt w:val="decimal"/>
      <w:lvlText w:val="%7."/>
      <w:lvlJc w:val="left"/>
      <w:pPr>
        <w:tabs>
          <w:tab w:val="left" w:pos="2940"/>
        </w:tabs>
        <w:ind w:left="2940" w:hanging="420"/>
      </w:pPr>
      <w:rPr>
        <w:rFonts w:hint="default"/>
        <w:u w:val="none" w:color="auto"/>
      </w:rPr>
    </w:lvl>
    <w:lvl w:ilvl="7" w:tentative="0">
      <w:start w:val="1"/>
      <w:numFmt w:val="lowerLetter"/>
      <w:lvlText w:val="%8)"/>
      <w:lvlJc w:val="left"/>
      <w:pPr>
        <w:tabs>
          <w:tab w:val="left" w:pos="3360"/>
        </w:tabs>
        <w:ind w:left="3360" w:hanging="420"/>
      </w:pPr>
      <w:rPr>
        <w:rFonts w:hint="default"/>
        <w:u w:val="none" w:color="auto"/>
      </w:rPr>
    </w:lvl>
    <w:lvl w:ilvl="8" w:tentative="0">
      <w:start w:val="1"/>
      <w:numFmt w:val="lowerRoman"/>
      <w:lvlText w:val="%9."/>
      <w:lvlJc w:val="right"/>
      <w:pPr>
        <w:tabs>
          <w:tab w:val="left" w:pos="3780"/>
        </w:tabs>
        <w:ind w:left="3780" w:hanging="420"/>
      </w:pPr>
      <w:rPr>
        <w:rFonts w:hint="default"/>
        <w:u w:val="none" w:color="auto"/>
      </w:rPr>
    </w:lvl>
  </w:abstractNum>
  <w:abstractNum w:abstractNumId="2">
    <w:nsid w:val="01973298"/>
    <w:multiLevelType w:val="singleLevel"/>
    <w:tmpl w:val="01973298"/>
    <w:lvl w:ilvl="0" w:tentative="0">
      <w:start w:val="1"/>
      <w:numFmt w:val="decimal"/>
      <w:lvlText w:val="%1)"/>
      <w:lvlJc w:val="left"/>
      <w:pPr>
        <w:tabs>
          <w:tab w:val="left" w:pos="930"/>
        </w:tabs>
        <w:ind w:left="930" w:hanging="240"/>
      </w:pPr>
      <w:rPr>
        <w:rFonts w:hint="eastAsia"/>
      </w:rPr>
    </w:lvl>
  </w:abstractNum>
  <w:abstractNum w:abstractNumId="3">
    <w:nsid w:val="02A22642"/>
    <w:multiLevelType w:val="multilevel"/>
    <w:tmpl w:val="02A22642"/>
    <w:lvl w:ilvl="0" w:tentative="0">
      <w:start w:val="34"/>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
    <w:nsid w:val="034C1D6C"/>
    <w:multiLevelType w:val="singleLevel"/>
    <w:tmpl w:val="034C1D6C"/>
    <w:lvl w:ilvl="0" w:tentative="0">
      <w:start w:val="1"/>
      <w:numFmt w:val="decimal"/>
      <w:lvlText w:val="%1)"/>
      <w:lvlJc w:val="left"/>
      <w:pPr>
        <w:tabs>
          <w:tab w:val="left" w:pos="1050"/>
        </w:tabs>
        <w:ind w:left="1050" w:hanging="240"/>
      </w:pPr>
      <w:rPr>
        <w:rFonts w:hint="eastAsia"/>
      </w:rPr>
    </w:lvl>
  </w:abstractNum>
  <w:abstractNum w:abstractNumId="5">
    <w:nsid w:val="05D1574C"/>
    <w:multiLevelType w:val="multilevel"/>
    <w:tmpl w:val="05D1574C"/>
    <w:lvl w:ilvl="0" w:tentative="0">
      <w:start w:val="10"/>
      <w:numFmt w:val="decimal"/>
      <w:lvlText w:val="%1"/>
      <w:lvlJc w:val="left"/>
      <w:pPr>
        <w:tabs>
          <w:tab w:val="left" w:pos="840"/>
        </w:tabs>
        <w:ind w:left="840" w:hanging="840"/>
      </w:pPr>
    </w:lvl>
    <w:lvl w:ilvl="1" w:tentative="0">
      <w:start w:val="1"/>
      <w:numFmt w:val="decimal"/>
      <w:lvlText w:val="%1．%2"/>
      <w:lvlJc w:val="left"/>
      <w:pPr>
        <w:tabs>
          <w:tab w:val="left" w:pos="840"/>
        </w:tabs>
        <w:ind w:left="840" w:hanging="840"/>
      </w:pPr>
    </w:lvl>
    <w:lvl w:ilvl="2" w:tentative="0">
      <w:start w:val="1"/>
      <w:numFmt w:val="decimal"/>
      <w:lvlText w:val="%1．%2.%3"/>
      <w:lvlJc w:val="left"/>
      <w:pPr>
        <w:tabs>
          <w:tab w:val="left" w:pos="840"/>
        </w:tabs>
        <w:ind w:left="840" w:hanging="840"/>
      </w:pPr>
    </w:lvl>
    <w:lvl w:ilvl="3" w:tentative="0">
      <w:start w:val="1"/>
      <w:numFmt w:val="decimal"/>
      <w:lvlText w:val="%1．%2.%3.%4"/>
      <w:lvlJc w:val="left"/>
      <w:pPr>
        <w:tabs>
          <w:tab w:val="left" w:pos="840"/>
        </w:tabs>
        <w:ind w:left="840" w:hanging="840"/>
      </w:pPr>
    </w:lvl>
    <w:lvl w:ilvl="4" w:tentative="0">
      <w:start w:val="1"/>
      <w:numFmt w:val="decimal"/>
      <w:lvlText w:val="%1．%2.%3.%4.%5"/>
      <w:lvlJc w:val="left"/>
      <w:pPr>
        <w:tabs>
          <w:tab w:val="left" w:pos="840"/>
        </w:tabs>
        <w:ind w:left="840" w:hanging="840"/>
      </w:pPr>
    </w:lvl>
    <w:lvl w:ilvl="5" w:tentative="0">
      <w:start w:val="1"/>
      <w:numFmt w:val="decimal"/>
      <w:lvlText w:val="%1．%2.%3.%4.%5.%6"/>
      <w:lvlJc w:val="left"/>
      <w:pPr>
        <w:tabs>
          <w:tab w:val="left" w:pos="840"/>
        </w:tabs>
        <w:ind w:left="840" w:hanging="840"/>
      </w:pPr>
    </w:lvl>
    <w:lvl w:ilvl="6" w:tentative="0">
      <w:start w:val="1"/>
      <w:numFmt w:val="decimal"/>
      <w:lvlText w:val="%1．%2.%3.%4.%5.%6.%7"/>
      <w:lvlJc w:val="left"/>
      <w:pPr>
        <w:tabs>
          <w:tab w:val="left" w:pos="840"/>
        </w:tabs>
        <w:ind w:left="840" w:hanging="840"/>
      </w:pPr>
    </w:lvl>
    <w:lvl w:ilvl="7" w:tentative="0">
      <w:start w:val="1"/>
      <w:numFmt w:val="decimal"/>
      <w:lvlText w:val="%1．%2.%3.%4.%5.%6.%7.%8"/>
      <w:lvlJc w:val="left"/>
      <w:pPr>
        <w:tabs>
          <w:tab w:val="left" w:pos="840"/>
        </w:tabs>
        <w:ind w:left="840" w:hanging="840"/>
      </w:pPr>
    </w:lvl>
    <w:lvl w:ilvl="8" w:tentative="0">
      <w:start w:val="1"/>
      <w:numFmt w:val="decimal"/>
      <w:lvlText w:val="%1．%2.%3.%4.%5.%6.%7.%8.%9"/>
      <w:lvlJc w:val="left"/>
      <w:pPr>
        <w:tabs>
          <w:tab w:val="left" w:pos="840"/>
        </w:tabs>
        <w:ind w:left="840" w:hanging="840"/>
      </w:pPr>
    </w:lvl>
  </w:abstractNum>
  <w:abstractNum w:abstractNumId="6">
    <w:nsid w:val="062A259D"/>
    <w:multiLevelType w:val="multilevel"/>
    <w:tmpl w:val="062A259D"/>
    <w:lvl w:ilvl="0" w:tentative="0">
      <w:start w:val="7"/>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7">
    <w:nsid w:val="067C75B6"/>
    <w:multiLevelType w:val="multilevel"/>
    <w:tmpl w:val="067C75B6"/>
    <w:lvl w:ilvl="0" w:tentative="0">
      <w:start w:val="11"/>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8">
    <w:nsid w:val="07305F17"/>
    <w:multiLevelType w:val="multilevel"/>
    <w:tmpl w:val="07305F17"/>
    <w:lvl w:ilvl="0" w:tentative="0">
      <w:start w:val="25"/>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9">
    <w:nsid w:val="0A633AA3"/>
    <w:multiLevelType w:val="multilevel"/>
    <w:tmpl w:val="0A633AA3"/>
    <w:lvl w:ilvl="0" w:tentative="0">
      <w:start w:val="32"/>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0">
    <w:nsid w:val="0B2C5011"/>
    <w:multiLevelType w:val="multilevel"/>
    <w:tmpl w:val="0B2C5011"/>
    <w:lvl w:ilvl="0" w:tentative="0">
      <w:start w:val="31"/>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1">
    <w:nsid w:val="0B6D1811"/>
    <w:multiLevelType w:val="multilevel"/>
    <w:tmpl w:val="0B6D1811"/>
    <w:lvl w:ilvl="0" w:tentative="0">
      <w:start w:val="30"/>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2">
    <w:nsid w:val="0D55205A"/>
    <w:multiLevelType w:val="multilevel"/>
    <w:tmpl w:val="0D55205A"/>
    <w:lvl w:ilvl="0" w:tentative="0">
      <w:start w:val="19"/>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3">
    <w:nsid w:val="12B9062D"/>
    <w:multiLevelType w:val="multilevel"/>
    <w:tmpl w:val="12B9062D"/>
    <w:lvl w:ilvl="0" w:tentative="0">
      <w:start w:val="17"/>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4">
    <w:nsid w:val="16F32296"/>
    <w:multiLevelType w:val="multilevel"/>
    <w:tmpl w:val="16F32296"/>
    <w:lvl w:ilvl="0" w:tentative="0">
      <w:start w:val="28"/>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5">
    <w:nsid w:val="171A6FB2"/>
    <w:multiLevelType w:val="singleLevel"/>
    <w:tmpl w:val="171A6FB2"/>
    <w:lvl w:ilvl="0" w:tentative="0">
      <w:start w:val="1"/>
      <w:numFmt w:val="decimal"/>
      <w:lvlText w:val="%1）"/>
      <w:lvlJc w:val="left"/>
      <w:pPr>
        <w:tabs>
          <w:tab w:val="left" w:pos="890"/>
        </w:tabs>
        <w:ind w:left="890" w:hanging="465"/>
      </w:pPr>
    </w:lvl>
  </w:abstractNum>
  <w:abstractNum w:abstractNumId="16">
    <w:nsid w:val="1A95737C"/>
    <w:multiLevelType w:val="multilevel"/>
    <w:tmpl w:val="1A95737C"/>
    <w:lvl w:ilvl="0" w:tentative="0">
      <w:start w:val="14"/>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7">
    <w:nsid w:val="1B681982"/>
    <w:multiLevelType w:val="singleLevel"/>
    <w:tmpl w:val="1B681982"/>
    <w:lvl w:ilvl="0" w:tentative="0">
      <w:start w:val="1"/>
      <w:numFmt w:val="decimal"/>
      <w:lvlText w:val="%1)"/>
      <w:lvlJc w:val="left"/>
      <w:pPr>
        <w:tabs>
          <w:tab w:val="left" w:pos="1140"/>
        </w:tabs>
        <w:ind w:left="1140" w:hanging="240"/>
      </w:pPr>
    </w:lvl>
  </w:abstractNum>
  <w:abstractNum w:abstractNumId="18">
    <w:nsid w:val="1EEB5251"/>
    <w:multiLevelType w:val="multilevel"/>
    <w:tmpl w:val="1EEB5251"/>
    <w:lvl w:ilvl="0" w:tentative="0">
      <w:start w:val="20"/>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19">
    <w:nsid w:val="297C2FEC"/>
    <w:multiLevelType w:val="multilevel"/>
    <w:tmpl w:val="297C2FEC"/>
    <w:lvl w:ilvl="0" w:tentative="0">
      <w:start w:val="22"/>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20">
    <w:nsid w:val="299F661F"/>
    <w:multiLevelType w:val="singleLevel"/>
    <w:tmpl w:val="299F661F"/>
    <w:lvl w:ilvl="0" w:tentative="0">
      <w:start w:val="1"/>
      <w:numFmt w:val="decimal"/>
      <w:lvlText w:val="%1)"/>
      <w:lvlJc w:val="left"/>
      <w:pPr>
        <w:tabs>
          <w:tab w:val="left" w:pos="1080"/>
        </w:tabs>
        <w:ind w:left="1080" w:hanging="240"/>
      </w:pPr>
      <w:rPr>
        <w:rFonts w:hint="eastAsia"/>
      </w:rPr>
    </w:lvl>
  </w:abstractNum>
  <w:abstractNum w:abstractNumId="21">
    <w:nsid w:val="2B0E6635"/>
    <w:multiLevelType w:val="singleLevel"/>
    <w:tmpl w:val="2B0E6635"/>
    <w:lvl w:ilvl="0" w:tentative="0">
      <w:start w:val="1"/>
      <w:numFmt w:val="decimal"/>
      <w:lvlText w:val="%1)"/>
      <w:lvlJc w:val="left"/>
      <w:pPr>
        <w:tabs>
          <w:tab w:val="left" w:pos="1200"/>
        </w:tabs>
        <w:ind w:left="1200" w:hanging="240"/>
      </w:pPr>
      <w:rPr>
        <w:rFonts w:hint="eastAsia"/>
      </w:rPr>
    </w:lvl>
  </w:abstractNum>
  <w:abstractNum w:abstractNumId="22">
    <w:nsid w:val="2E3F6AB9"/>
    <w:multiLevelType w:val="multilevel"/>
    <w:tmpl w:val="2E3F6AB9"/>
    <w:lvl w:ilvl="0" w:tentative="0">
      <w:start w:val="5"/>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23">
    <w:nsid w:val="2F6E4008"/>
    <w:multiLevelType w:val="singleLevel"/>
    <w:tmpl w:val="2F6E4008"/>
    <w:lvl w:ilvl="0" w:tentative="0">
      <w:start w:val="1"/>
      <w:numFmt w:val="decimal"/>
      <w:lvlText w:val="%1)"/>
      <w:lvlJc w:val="left"/>
      <w:pPr>
        <w:tabs>
          <w:tab w:val="left" w:pos="719"/>
        </w:tabs>
        <w:ind w:left="719" w:hanging="240"/>
      </w:pPr>
      <w:rPr>
        <w:rFonts w:hint="eastAsia"/>
      </w:rPr>
    </w:lvl>
  </w:abstractNum>
  <w:abstractNum w:abstractNumId="24">
    <w:nsid w:val="2FEA6790"/>
    <w:multiLevelType w:val="multilevel"/>
    <w:tmpl w:val="2FEA6790"/>
    <w:lvl w:ilvl="0" w:tentative="0">
      <w:start w:val="16"/>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25">
    <w:nsid w:val="32216081"/>
    <w:multiLevelType w:val="multilevel"/>
    <w:tmpl w:val="32216081"/>
    <w:lvl w:ilvl="0" w:tentative="0">
      <w:start w:val="3"/>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26">
    <w:nsid w:val="34CB7BAC"/>
    <w:multiLevelType w:val="singleLevel"/>
    <w:tmpl w:val="34CB7BAC"/>
    <w:lvl w:ilvl="0" w:tentative="0">
      <w:start w:val="1"/>
      <w:numFmt w:val="decimal"/>
      <w:lvlText w:val="%1)"/>
      <w:lvlJc w:val="left"/>
      <w:pPr>
        <w:tabs>
          <w:tab w:val="left" w:pos="660"/>
        </w:tabs>
        <w:ind w:left="660" w:hanging="240"/>
      </w:pPr>
      <w:rPr>
        <w:rFonts w:hint="eastAsia"/>
      </w:rPr>
    </w:lvl>
  </w:abstractNum>
  <w:abstractNum w:abstractNumId="27">
    <w:nsid w:val="38DCB2D5"/>
    <w:multiLevelType w:val="multilevel"/>
    <w:tmpl w:val="38DCB2D5"/>
    <w:lvl w:ilvl="0" w:tentative="0">
      <w:start w:val="1"/>
      <w:numFmt w:val="decimal"/>
      <w:lvlText w:val="%1."/>
      <w:lvlJc w:val="left"/>
      <w:pPr>
        <w:tabs>
          <w:tab w:val="left" w:pos="420"/>
        </w:tabs>
        <w:ind w:left="420" w:hanging="420"/>
      </w:pPr>
      <w:rPr>
        <w:rFonts w:hint="default"/>
        <w:u w:val="none" w:color="auto"/>
      </w:rPr>
    </w:lvl>
    <w:lvl w:ilvl="1" w:tentative="0">
      <w:start w:val="1"/>
      <w:numFmt w:val="lowerLetter"/>
      <w:lvlText w:val="%2)"/>
      <w:lvlJc w:val="left"/>
      <w:pPr>
        <w:tabs>
          <w:tab w:val="left" w:pos="840"/>
        </w:tabs>
        <w:ind w:left="840" w:hanging="420"/>
      </w:pPr>
      <w:rPr>
        <w:rFonts w:hint="default"/>
        <w:u w:val="none" w:color="auto"/>
      </w:rPr>
    </w:lvl>
    <w:lvl w:ilvl="2" w:tentative="0">
      <w:start w:val="1"/>
      <w:numFmt w:val="lowerRoman"/>
      <w:lvlText w:val="%3."/>
      <w:lvlJc w:val="right"/>
      <w:pPr>
        <w:tabs>
          <w:tab w:val="left" w:pos="1260"/>
        </w:tabs>
        <w:ind w:left="1260" w:hanging="420"/>
      </w:pPr>
      <w:rPr>
        <w:rFonts w:hint="default"/>
        <w:u w:val="none" w:color="auto"/>
      </w:rPr>
    </w:lvl>
    <w:lvl w:ilvl="3" w:tentative="0">
      <w:start w:val="1"/>
      <w:numFmt w:val="decimal"/>
      <w:lvlText w:val="%4."/>
      <w:lvlJc w:val="left"/>
      <w:pPr>
        <w:tabs>
          <w:tab w:val="left" w:pos="1680"/>
        </w:tabs>
        <w:ind w:left="1680" w:hanging="420"/>
      </w:pPr>
      <w:rPr>
        <w:rFonts w:hint="default"/>
        <w:u w:val="none" w:color="auto"/>
      </w:rPr>
    </w:lvl>
    <w:lvl w:ilvl="4" w:tentative="0">
      <w:start w:val="1"/>
      <w:numFmt w:val="lowerLetter"/>
      <w:lvlText w:val="%5)"/>
      <w:lvlJc w:val="left"/>
      <w:pPr>
        <w:tabs>
          <w:tab w:val="left" w:pos="2100"/>
        </w:tabs>
        <w:ind w:left="2100" w:hanging="420"/>
      </w:pPr>
      <w:rPr>
        <w:rFonts w:hint="default"/>
        <w:u w:val="none" w:color="auto"/>
      </w:rPr>
    </w:lvl>
    <w:lvl w:ilvl="5" w:tentative="0">
      <w:start w:val="1"/>
      <w:numFmt w:val="lowerRoman"/>
      <w:lvlText w:val="%6."/>
      <w:lvlJc w:val="right"/>
      <w:pPr>
        <w:tabs>
          <w:tab w:val="left" w:pos="2520"/>
        </w:tabs>
        <w:ind w:left="2520" w:hanging="420"/>
      </w:pPr>
      <w:rPr>
        <w:rFonts w:hint="default"/>
        <w:u w:val="none" w:color="auto"/>
      </w:rPr>
    </w:lvl>
    <w:lvl w:ilvl="6" w:tentative="0">
      <w:start w:val="1"/>
      <w:numFmt w:val="decimal"/>
      <w:lvlText w:val="%7."/>
      <w:lvlJc w:val="left"/>
      <w:pPr>
        <w:tabs>
          <w:tab w:val="left" w:pos="2940"/>
        </w:tabs>
        <w:ind w:left="2940" w:hanging="420"/>
      </w:pPr>
      <w:rPr>
        <w:rFonts w:hint="default"/>
        <w:u w:val="none" w:color="auto"/>
      </w:rPr>
    </w:lvl>
    <w:lvl w:ilvl="7" w:tentative="0">
      <w:start w:val="1"/>
      <w:numFmt w:val="lowerLetter"/>
      <w:lvlText w:val="%8)"/>
      <w:lvlJc w:val="left"/>
      <w:pPr>
        <w:tabs>
          <w:tab w:val="left" w:pos="3360"/>
        </w:tabs>
        <w:ind w:left="3360" w:hanging="420"/>
      </w:pPr>
      <w:rPr>
        <w:rFonts w:hint="default"/>
        <w:u w:val="none" w:color="auto"/>
      </w:rPr>
    </w:lvl>
    <w:lvl w:ilvl="8" w:tentative="0">
      <w:start w:val="1"/>
      <w:numFmt w:val="lowerRoman"/>
      <w:lvlText w:val="%9."/>
      <w:lvlJc w:val="right"/>
      <w:pPr>
        <w:tabs>
          <w:tab w:val="left" w:pos="3780"/>
        </w:tabs>
        <w:ind w:left="3780" w:hanging="420"/>
      </w:pPr>
      <w:rPr>
        <w:rFonts w:hint="default"/>
        <w:u w:val="none" w:color="auto"/>
      </w:rPr>
    </w:lvl>
  </w:abstractNum>
  <w:abstractNum w:abstractNumId="28">
    <w:nsid w:val="3A0B7DA4"/>
    <w:multiLevelType w:val="multilevel"/>
    <w:tmpl w:val="3A0B7DA4"/>
    <w:lvl w:ilvl="0" w:tentative="0">
      <w:start w:val="33"/>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29">
    <w:nsid w:val="3C0957A7"/>
    <w:multiLevelType w:val="multilevel"/>
    <w:tmpl w:val="3C0957A7"/>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lowerLetter"/>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3C111650"/>
    <w:multiLevelType w:val="multilevel"/>
    <w:tmpl w:val="3C111650"/>
    <w:lvl w:ilvl="0" w:tentative="0">
      <w:start w:val="13"/>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1">
    <w:nsid w:val="439155A5"/>
    <w:multiLevelType w:val="multilevel"/>
    <w:tmpl w:val="439155A5"/>
    <w:lvl w:ilvl="0" w:tentative="0">
      <w:start w:val="12"/>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2">
    <w:nsid w:val="49C55FEF"/>
    <w:multiLevelType w:val="multilevel"/>
    <w:tmpl w:val="49C55FEF"/>
    <w:lvl w:ilvl="0" w:tentative="0">
      <w:start w:val="35"/>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3">
    <w:nsid w:val="4D6A1EDC"/>
    <w:multiLevelType w:val="multilevel"/>
    <w:tmpl w:val="4D6A1EDC"/>
    <w:lvl w:ilvl="0" w:tentative="0">
      <w:start w:val="27"/>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4">
    <w:nsid w:val="4FD61139"/>
    <w:multiLevelType w:val="multilevel"/>
    <w:tmpl w:val="4FD61139"/>
    <w:lvl w:ilvl="0" w:tentative="0">
      <w:start w:val="15"/>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5">
    <w:nsid w:val="53EA6E03"/>
    <w:multiLevelType w:val="multilevel"/>
    <w:tmpl w:val="53EA6E03"/>
    <w:lvl w:ilvl="0" w:tentative="0">
      <w:start w:val="8"/>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36">
    <w:nsid w:val="55724361"/>
    <w:multiLevelType w:val="multilevel"/>
    <w:tmpl w:val="55724361"/>
    <w:lvl w:ilvl="0" w:tentative="0">
      <w:start w:val="26"/>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7">
    <w:nsid w:val="5F6D2720"/>
    <w:multiLevelType w:val="multilevel"/>
    <w:tmpl w:val="5F6D2720"/>
    <w:lvl w:ilvl="0" w:tentative="0">
      <w:start w:val="37"/>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8">
    <w:nsid w:val="618F6D61"/>
    <w:multiLevelType w:val="multilevel"/>
    <w:tmpl w:val="618F6D61"/>
    <w:lvl w:ilvl="0" w:tentative="0">
      <w:start w:val="23"/>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39">
    <w:nsid w:val="64C060A2"/>
    <w:multiLevelType w:val="multilevel"/>
    <w:tmpl w:val="64C060A2"/>
    <w:lvl w:ilvl="0" w:tentative="0">
      <w:start w:val="4"/>
      <w:numFmt w:val="decimal"/>
      <w:lvlText w:val="%1"/>
      <w:lvlJc w:val="left"/>
      <w:pPr>
        <w:tabs>
          <w:tab w:val="left" w:pos="735"/>
        </w:tabs>
        <w:ind w:left="735" w:hanging="735"/>
      </w:pPr>
    </w:lvl>
    <w:lvl w:ilvl="1" w:tentative="0">
      <w:start w:val="1"/>
      <w:numFmt w:val="decimal"/>
      <w:lvlText w:val="%1．%2"/>
      <w:lvlJc w:val="left"/>
      <w:pPr>
        <w:tabs>
          <w:tab w:val="left" w:pos="735"/>
        </w:tabs>
        <w:ind w:left="735" w:hanging="735"/>
      </w:pPr>
    </w:lvl>
    <w:lvl w:ilvl="2" w:tentative="0">
      <w:start w:val="1"/>
      <w:numFmt w:val="decimal"/>
      <w:lvlText w:val="%1．%2.%3"/>
      <w:lvlJc w:val="left"/>
      <w:pPr>
        <w:tabs>
          <w:tab w:val="left" w:pos="735"/>
        </w:tabs>
        <w:ind w:left="735" w:hanging="735"/>
      </w:pPr>
    </w:lvl>
    <w:lvl w:ilvl="3" w:tentative="0">
      <w:start w:val="1"/>
      <w:numFmt w:val="decimal"/>
      <w:lvlText w:val="%1．%2.%3.%4"/>
      <w:lvlJc w:val="left"/>
      <w:pPr>
        <w:tabs>
          <w:tab w:val="left" w:pos="735"/>
        </w:tabs>
        <w:ind w:left="735" w:hanging="735"/>
      </w:pPr>
    </w:lvl>
    <w:lvl w:ilvl="4" w:tentative="0">
      <w:start w:val="1"/>
      <w:numFmt w:val="decimal"/>
      <w:lvlText w:val="%1．%2.%3.%4.%5"/>
      <w:lvlJc w:val="left"/>
      <w:pPr>
        <w:tabs>
          <w:tab w:val="left" w:pos="735"/>
        </w:tabs>
        <w:ind w:left="735" w:hanging="735"/>
      </w:pPr>
    </w:lvl>
    <w:lvl w:ilvl="5" w:tentative="0">
      <w:start w:val="1"/>
      <w:numFmt w:val="decimal"/>
      <w:lvlText w:val="%1．%2.%3.%4.%5.%6"/>
      <w:lvlJc w:val="left"/>
      <w:pPr>
        <w:tabs>
          <w:tab w:val="left" w:pos="735"/>
        </w:tabs>
        <w:ind w:left="735" w:hanging="735"/>
      </w:pPr>
    </w:lvl>
    <w:lvl w:ilvl="6" w:tentative="0">
      <w:start w:val="1"/>
      <w:numFmt w:val="decimal"/>
      <w:lvlText w:val="%1．%2.%3.%4.%5.%6.%7"/>
      <w:lvlJc w:val="left"/>
      <w:pPr>
        <w:tabs>
          <w:tab w:val="left" w:pos="735"/>
        </w:tabs>
        <w:ind w:left="735" w:hanging="735"/>
      </w:pPr>
    </w:lvl>
    <w:lvl w:ilvl="7" w:tentative="0">
      <w:start w:val="1"/>
      <w:numFmt w:val="decimal"/>
      <w:lvlText w:val="%1．%2.%3.%4.%5.%6.%7.%8"/>
      <w:lvlJc w:val="left"/>
      <w:pPr>
        <w:tabs>
          <w:tab w:val="left" w:pos="735"/>
        </w:tabs>
        <w:ind w:left="735" w:hanging="735"/>
      </w:pPr>
    </w:lvl>
    <w:lvl w:ilvl="8" w:tentative="0">
      <w:start w:val="1"/>
      <w:numFmt w:val="decimal"/>
      <w:lvlText w:val="%1．%2.%3.%4.%5.%6.%7.%8.%9"/>
      <w:lvlJc w:val="left"/>
      <w:pPr>
        <w:tabs>
          <w:tab w:val="left" w:pos="735"/>
        </w:tabs>
        <w:ind w:left="735" w:hanging="735"/>
      </w:pPr>
    </w:lvl>
  </w:abstractNum>
  <w:abstractNum w:abstractNumId="40">
    <w:nsid w:val="65DA355F"/>
    <w:multiLevelType w:val="multilevel"/>
    <w:tmpl w:val="65DA355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69412735"/>
    <w:multiLevelType w:val="multilevel"/>
    <w:tmpl w:val="69412735"/>
    <w:lvl w:ilvl="0" w:tentative="0">
      <w:start w:val="21"/>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2">
    <w:nsid w:val="6B377381"/>
    <w:multiLevelType w:val="multilevel"/>
    <w:tmpl w:val="6B377381"/>
    <w:lvl w:ilvl="0" w:tentative="0">
      <w:start w:val="36"/>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3">
    <w:nsid w:val="6D1631D3"/>
    <w:multiLevelType w:val="singleLevel"/>
    <w:tmpl w:val="6D1631D3"/>
    <w:lvl w:ilvl="0" w:tentative="0">
      <w:start w:val="1"/>
      <w:numFmt w:val="decimal"/>
      <w:lvlText w:val="%1)"/>
      <w:lvlJc w:val="left"/>
      <w:pPr>
        <w:tabs>
          <w:tab w:val="left" w:pos="1080"/>
        </w:tabs>
        <w:ind w:left="1080" w:hanging="240"/>
      </w:pPr>
      <w:rPr>
        <w:rFonts w:hint="eastAsia"/>
      </w:rPr>
    </w:lvl>
  </w:abstractNum>
  <w:abstractNum w:abstractNumId="44">
    <w:nsid w:val="789B1B11"/>
    <w:multiLevelType w:val="singleLevel"/>
    <w:tmpl w:val="789B1B11"/>
    <w:lvl w:ilvl="0" w:tentative="0">
      <w:start w:val="1"/>
      <w:numFmt w:val="decimal"/>
      <w:lvlText w:val="%1)"/>
      <w:lvlJc w:val="left"/>
      <w:pPr>
        <w:tabs>
          <w:tab w:val="left" w:pos="720"/>
        </w:tabs>
        <w:ind w:left="720" w:hanging="240"/>
      </w:pPr>
      <w:rPr>
        <w:rFonts w:hint="eastAsia"/>
      </w:rPr>
    </w:lvl>
  </w:abstractNum>
  <w:abstractNum w:abstractNumId="45">
    <w:nsid w:val="7B7A3CBF"/>
    <w:multiLevelType w:val="multilevel"/>
    <w:tmpl w:val="7B7A3CBF"/>
    <w:lvl w:ilvl="0" w:tentative="0">
      <w:start w:val="24"/>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abstractNum w:abstractNumId="46">
    <w:nsid w:val="7F4555C4"/>
    <w:multiLevelType w:val="multilevel"/>
    <w:tmpl w:val="7F4555C4"/>
    <w:lvl w:ilvl="0" w:tentative="0">
      <w:start w:val="29"/>
      <w:numFmt w:val="decimal"/>
      <w:lvlText w:val="%1"/>
      <w:lvlJc w:val="left"/>
      <w:pPr>
        <w:tabs>
          <w:tab w:val="left" w:pos="840"/>
        </w:tabs>
        <w:ind w:left="840" w:hanging="840"/>
      </w:pPr>
      <w:rPr>
        <w:rFonts w:hint="eastAsia"/>
      </w:rPr>
    </w:lvl>
    <w:lvl w:ilvl="1" w:tentative="0">
      <w:start w:val="1"/>
      <w:numFmt w:val="decimal"/>
      <w:lvlText w:val="%1．%2"/>
      <w:lvlJc w:val="left"/>
      <w:pPr>
        <w:tabs>
          <w:tab w:val="left" w:pos="840"/>
        </w:tabs>
        <w:ind w:left="840" w:hanging="840"/>
      </w:pPr>
      <w:rPr>
        <w:rFonts w:hint="eastAsia"/>
      </w:rPr>
    </w:lvl>
    <w:lvl w:ilvl="2" w:tentative="0">
      <w:start w:val="1"/>
      <w:numFmt w:val="decimal"/>
      <w:lvlText w:val="%1．%2.%3"/>
      <w:lvlJc w:val="left"/>
      <w:pPr>
        <w:tabs>
          <w:tab w:val="left" w:pos="840"/>
        </w:tabs>
        <w:ind w:left="840" w:hanging="840"/>
      </w:pPr>
      <w:rPr>
        <w:rFonts w:hint="eastAsia"/>
      </w:rPr>
    </w:lvl>
    <w:lvl w:ilvl="3" w:tentative="0">
      <w:start w:val="1"/>
      <w:numFmt w:val="decimal"/>
      <w:lvlText w:val="%1．%2.%3.%4"/>
      <w:lvlJc w:val="left"/>
      <w:pPr>
        <w:tabs>
          <w:tab w:val="left" w:pos="840"/>
        </w:tabs>
        <w:ind w:left="840" w:hanging="840"/>
      </w:pPr>
      <w:rPr>
        <w:rFonts w:hint="eastAsia"/>
      </w:rPr>
    </w:lvl>
    <w:lvl w:ilvl="4" w:tentative="0">
      <w:start w:val="1"/>
      <w:numFmt w:val="decimal"/>
      <w:lvlText w:val="%1．%2.%3.%4.%5"/>
      <w:lvlJc w:val="left"/>
      <w:pPr>
        <w:tabs>
          <w:tab w:val="left" w:pos="840"/>
        </w:tabs>
        <w:ind w:left="840" w:hanging="840"/>
      </w:pPr>
      <w:rPr>
        <w:rFonts w:hint="eastAsia"/>
      </w:rPr>
    </w:lvl>
    <w:lvl w:ilvl="5" w:tentative="0">
      <w:start w:val="1"/>
      <w:numFmt w:val="decimal"/>
      <w:lvlText w:val="%1．%2.%3.%4.%5.%6"/>
      <w:lvlJc w:val="left"/>
      <w:pPr>
        <w:tabs>
          <w:tab w:val="left" w:pos="840"/>
        </w:tabs>
        <w:ind w:left="840" w:hanging="840"/>
      </w:pPr>
      <w:rPr>
        <w:rFonts w:hint="eastAsia"/>
      </w:rPr>
    </w:lvl>
    <w:lvl w:ilvl="6" w:tentative="0">
      <w:start w:val="1"/>
      <w:numFmt w:val="decimal"/>
      <w:lvlText w:val="%1．%2.%3.%4.%5.%6.%7"/>
      <w:lvlJc w:val="left"/>
      <w:pPr>
        <w:tabs>
          <w:tab w:val="left" w:pos="840"/>
        </w:tabs>
        <w:ind w:left="840" w:hanging="840"/>
      </w:pPr>
      <w:rPr>
        <w:rFonts w:hint="eastAsia"/>
      </w:rPr>
    </w:lvl>
    <w:lvl w:ilvl="7" w:tentative="0">
      <w:start w:val="1"/>
      <w:numFmt w:val="decimal"/>
      <w:lvlText w:val="%1．%2.%3.%4.%5.%6.%7.%8"/>
      <w:lvlJc w:val="left"/>
      <w:pPr>
        <w:tabs>
          <w:tab w:val="left" w:pos="840"/>
        </w:tabs>
        <w:ind w:left="840" w:hanging="840"/>
      </w:pPr>
      <w:rPr>
        <w:rFonts w:hint="eastAsia"/>
      </w:rPr>
    </w:lvl>
    <w:lvl w:ilvl="8" w:tentative="0">
      <w:start w:val="1"/>
      <w:numFmt w:val="decimal"/>
      <w:lvlText w:val="%1．%2.%3.%4.%5.%6.%7.%8.%9"/>
      <w:lvlJc w:val="left"/>
      <w:pPr>
        <w:tabs>
          <w:tab w:val="left" w:pos="840"/>
        </w:tabs>
        <w:ind w:left="840" w:hanging="840"/>
      </w:pPr>
      <w:rPr>
        <w:rFonts w:hint="eastAsia"/>
      </w:rPr>
    </w:lvl>
  </w:abstractNum>
  <w:num w:numId="1">
    <w:abstractNumId w:val="0"/>
  </w:num>
  <w:num w:numId="2">
    <w:abstractNumId w:val="29"/>
  </w:num>
  <w:num w:numId="3">
    <w:abstractNumId w:val="15"/>
  </w:num>
  <w:num w:numId="4">
    <w:abstractNumId w:val="25"/>
  </w:num>
  <w:num w:numId="5">
    <w:abstractNumId w:val="39"/>
  </w:num>
  <w:num w:numId="6">
    <w:abstractNumId w:val="22"/>
  </w:num>
  <w:num w:numId="7">
    <w:abstractNumId w:val="6"/>
  </w:num>
  <w:num w:numId="8">
    <w:abstractNumId w:val="35"/>
  </w:num>
  <w:num w:numId="9">
    <w:abstractNumId w:val="5"/>
  </w:num>
  <w:num w:numId="10">
    <w:abstractNumId w:val="17"/>
  </w:num>
  <w:num w:numId="11">
    <w:abstractNumId w:val="7"/>
  </w:num>
  <w:num w:numId="12">
    <w:abstractNumId w:val="23"/>
  </w:num>
  <w:num w:numId="13">
    <w:abstractNumId w:val="31"/>
  </w:num>
  <w:num w:numId="14">
    <w:abstractNumId w:val="30"/>
  </w:num>
  <w:num w:numId="15">
    <w:abstractNumId w:val="16"/>
  </w:num>
  <w:num w:numId="16">
    <w:abstractNumId w:val="34"/>
  </w:num>
  <w:num w:numId="17">
    <w:abstractNumId w:val="24"/>
  </w:num>
  <w:num w:numId="18">
    <w:abstractNumId w:val="44"/>
  </w:num>
  <w:num w:numId="19">
    <w:abstractNumId w:val="13"/>
  </w:num>
  <w:num w:numId="20">
    <w:abstractNumId w:val="26"/>
  </w:num>
  <w:num w:numId="21">
    <w:abstractNumId w:val="12"/>
  </w:num>
  <w:num w:numId="22">
    <w:abstractNumId w:val="2"/>
  </w:num>
  <w:num w:numId="23">
    <w:abstractNumId w:val="18"/>
  </w:num>
  <w:num w:numId="24">
    <w:abstractNumId w:val="41"/>
  </w:num>
  <w:num w:numId="25">
    <w:abstractNumId w:val="19"/>
  </w:num>
  <w:num w:numId="26">
    <w:abstractNumId w:val="20"/>
  </w:num>
  <w:num w:numId="27">
    <w:abstractNumId w:val="38"/>
  </w:num>
  <w:num w:numId="28">
    <w:abstractNumId w:val="45"/>
  </w:num>
  <w:num w:numId="29">
    <w:abstractNumId w:val="8"/>
  </w:num>
  <w:num w:numId="30">
    <w:abstractNumId w:val="36"/>
  </w:num>
  <w:num w:numId="31">
    <w:abstractNumId w:val="33"/>
  </w:num>
  <w:num w:numId="32">
    <w:abstractNumId w:val="14"/>
  </w:num>
  <w:num w:numId="33">
    <w:abstractNumId w:val="4"/>
  </w:num>
  <w:num w:numId="34">
    <w:abstractNumId w:val="46"/>
  </w:num>
  <w:num w:numId="35">
    <w:abstractNumId w:val="11"/>
  </w:num>
  <w:num w:numId="36">
    <w:abstractNumId w:val="10"/>
  </w:num>
  <w:num w:numId="37">
    <w:abstractNumId w:val="43"/>
  </w:num>
  <w:num w:numId="38">
    <w:abstractNumId w:val="9"/>
  </w:num>
  <w:num w:numId="39">
    <w:abstractNumId w:val="28"/>
  </w:num>
  <w:num w:numId="40">
    <w:abstractNumId w:val="3"/>
  </w:num>
  <w:num w:numId="41">
    <w:abstractNumId w:val="32"/>
  </w:num>
  <w:num w:numId="42">
    <w:abstractNumId w:val="42"/>
  </w:num>
  <w:num w:numId="43">
    <w:abstractNumId w:val="37"/>
  </w:num>
  <w:num w:numId="44">
    <w:abstractNumId w:val="21"/>
  </w:num>
  <w:num w:numId="45">
    <w:abstractNumId w:val="40"/>
  </w:num>
  <w:num w:numId="46">
    <w:abstractNumId w:val="27"/>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hdrShapeDefaults>
    <o:shapelayout v:ext="edit">
      <o:idmap v:ext="edit" data="2"/>
    </o:shapelayout>
  </w:hdrShapeDefaults>
  <w:compat>
    <w:spaceForUL/>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82382"/>
    <w:rsid w:val="0019010A"/>
    <w:rsid w:val="0047535C"/>
    <w:rsid w:val="004F7EBB"/>
    <w:rsid w:val="00745964"/>
    <w:rsid w:val="00780567"/>
    <w:rsid w:val="007A24C0"/>
    <w:rsid w:val="008A6F24"/>
    <w:rsid w:val="00C75DE0"/>
    <w:rsid w:val="00D55BBC"/>
    <w:rsid w:val="00E1647C"/>
    <w:rsid w:val="01065506"/>
    <w:rsid w:val="01D73256"/>
    <w:rsid w:val="02195B5D"/>
    <w:rsid w:val="021C6D15"/>
    <w:rsid w:val="028E72F8"/>
    <w:rsid w:val="03330808"/>
    <w:rsid w:val="036A49A4"/>
    <w:rsid w:val="03792F65"/>
    <w:rsid w:val="048155DC"/>
    <w:rsid w:val="04961697"/>
    <w:rsid w:val="054F0B02"/>
    <w:rsid w:val="05B229C5"/>
    <w:rsid w:val="064356DA"/>
    <w:rsid w:val="06F43F74"/>
    <w:rsid w:val="0778065E"/>
    <w:rsid w:val="083C0684"/>
    <w:rsid w:val="09563267"/>
    <w:rsid w:val="0A2D71F4"/>
    <w:rsid w:val="0AB47FD8"/>
    <w:rsid w:val="0AE06CB6"/>
    <w:rsid w:val="0AE331A7"/>
    <w:rsid w:val="0B155E10"/>
    <w:rsid w:val="0B4B01E9"/>
    <w:rsid w:val="0C0430D8"/>
    <w:rsid w:val="0C51696E"/>
    <w:rsid w:val="0CB43AC6"/>
    <w:rsid w:val="0CE37A67"/>
    <w:rsid w:val="0D881671"/>
    <w:rsid w:val="0F643FCB"/>
    <w:rsid w:val="10CD17F1"/>
    <w:rsid w:val="114505F5"/>
    <w:rsid w:val="11E00D39"/>
    <w:rsid w:val="11E54B6D"/>
    <w:rsid w:val="12070EA7"/>
    <w:rsid w:val="12B72DCD"/>
    <w:rsid w:val="131818AF"/>
    <w:rsid w:val="13AF449D"/>
    <w:rsid w:val="13B00F7E"/>
    <w:rsid w:val="16AE2A9C"/>
    <w:rsid w:val="17290F60"/>
    <w:rsid w:val="17844D31"/>
    <w:rsid w:val="183C061E"/>
    <w:rsid w:val="185944C8"/>
    <w:rsid w:val="19BD19D4"/>
    <w:rsid w:val="19C64387"/>
    <w:rsid w:val="19F9677D"/>
    <w:rsid w:val="1ACF21E1"/>
    <w:rsid w:val="1B392807"/>
    <w:rsid w:val="1C3C3CC8"/>
    <w:rsid w:val="1C5531A3"/>
    <w:rsid w:val="1CBD4916"/>
    <w:rsid w:val="1CD92925"/>
    <w:rsid w:val="1D5F7565"/>
    <w:rsid w:val="1F331BE2"/>
    <w:rsid w:val="1F673DD3"/>
    <w:rsid w:val="20717B70"/>
    <w:rsid w:val="20D35477"/>
    <w:rsid w:val="21037DD7"/>
    <w:rsid w:val="226B4232"/>
    <w:rsid w:val="23054118"/>
    <w:rsid w:val="2323432C"/>
    <w:rsid w:val="24785ED1"/>
    <w:rsid w:val="24BB1019"/>
    <w:rsid w:val="24E93C6E"/>
    <w:rsid w:val="25626B2C"/>
    <w:rsid w:val="25C73587"/>
    <w:rsid w:val="26971F7A"/>
    <w:rsid w:val="27393134"/>
    <w:rsid w:val="27555A33"/>
    <w:rsid w:val="2AEA7AF7"/>
    <w:rsid w:val="2B335774"/>
    <w:rsid w:val="2BE65978"/>
    <w:rsid w:val="2BED0CD6"/>
    <w:rsid w:val="2D1C5FD0"/>
    <w:rsid w:val="2D773890"/>
    <w:rsid w:val="2DB277AE"/>
    <w:rsid w:val="2DCB7B42"/>
    <w:rsid w:val="2DF64015"/>
    <w:rsid w:val="2E28593C"/>
    <w:rsid w:val="2E3D3486"/>
    <w:rsid w:val="2E54353B"/>
    <w:rsid w:val="2E8C32AC"/>
    <w:rsid w:val="2F7A6744"/>
    <w:rsid w:val="2F876325"/>
    <w:rsid w:val="2FE14E89"/>
    <w:rsid w:val="301F5557"/>
    <w:rsid w:val="32090DD3"/>
    <w:rsid w:val="321C6653"/>
    <w:rsid w:val="32915D45"/>
    <w:rsid w:val="33326ADF"/>
    <w:rsid w:val="33862DB3"/>
    <w:rsid w:val="340E3FA7"/>
    <w:rsid w:val="35114B22"/>
    <w:rsid w:val="35261338"/>
    <w:rsid w:val="35FF3D46"/>
    <w:rsid w:val="366923D6"/>
    <w:rsid w:val="37063670"/>
    <w:rsid w:val="37FD52C2"/>
    <w:rsid w:val="38EC366B"/>
    <w:rsid w:val="39291C06"/>
    <w:rsid w:val="39983BBC"/>
    <w:rsid w:val="39F047AD"/>
    <w:rsid w:val="3A022C27"/>
    <w:rsid w:val="3A713466"/>
    <w:rsid w:val="3D47274C"/>
    <w:rsid w:val="3D475C73"/>
    <w:rsid w:val="3D6A00C1"/>
    <w:rsid w:val="3D8F7D34"/>
    <w:rsid w:val="3E42526A"/>
    <w:rsid w:val="402F3061"/>
    <w:rsid w:val="40BB6DB0"/>
    <w:rsid w:val="4135718D"/>
    <w:rsid w:val="41A33B67"/>
    <w:rsid w:val="42DF35CC"/>
    <w:rsid w:val="43CA1F14"/>
    <w:rsid w:val="447F6107"/>
    <w:rsid w:val="44CF2E6A"/>
    <w:rsid w:val="453971E4"/>
    <w:rsid w:val="459D10FA"/>
    <w:rsid w:val="45BD749C"/>
    <w:rsid w:val="46004F72"/>
    <w:rsid w:val="46113393"/>
    <w:rsid w:val="46EF225F"/>
    <w:rsid w:val="474D01E6"/>
    <w:rsid w:val="47D44B44"/>
    <w:rsid w:val="480B2FEA"/>
    <w:rsid w:val="48A70A23"/>
    <w:rsid w:val="48F92326"/>
    <w:rsid w:val="49391454"/>
    <w:rsid w:val="49481770"/>
    <w:rsid w:val="497973A1"/>
    <w:rsid w:val="4B017630"/>
    <w:rsid w:val="4B220602"/>
    <w:rsid w:val="4B3E38F2"/>
    <w:rsid w:val="4B7351B5"/>
    <w:rsid w:val="4C15137D"/>
    <w:rsid w:val="4CAB035B"/>
    <w:rsid w:val="4CF6536A"/>
    <w:rsid w:val="4D153A9C"/>
    <w:rsid w:val="4D694E37"/>
    <w:rsid w:val="4D825491"/>
    <w:rsid w:val="4D98704A"/>
    <w:rsid w:val="4DB37D04"/>
    <w:rsid w:val="4E077D7F"/>
    <w:rsid w:val="4EC675AF"/>
    <w:rsid w:val="4EF00C6E"/>
    <w:rsid w:val="5058621E"/>
    <w:rsid w:val="50E6479C"/>
    <w:rsid w:val="50E670B4"/>
    <w:rsid w:val="51701DB5"/>
    <w:rsid w:val="51965474"/>
    <w:rsid w:val="51AB433E"/>
    <w:rsid w:val="523930A4"/>
    <w:rsid w:val="53E7476F"/>
    <w:rsid w:val="540536D5"/>
    <w:rsid w:val="54BA250C"/>
    <w:rsid w:val="55056CC4"/>
    <w:rsid w:val="55587A88"/>
    <w:rsid w:val="56555769"/>
    <w:rsid w:val="56C63085"/>
    <w:rsid w:val="572A464B"/>
    <w:rsid w:val="581D6DF2"/>
    <w:rsid w:val="582E0D30"/>
    <w:rsid w:val="585E5ED6"/>
    <w:rsid w:val="587B4155"/>
    <w:rsid w:val="591521C8"/>
    <w:rsid w:val="59721D87"/>
    <w:rsid w:val="59804210"/>
    <w:rsid w:val="59871DA0"/>
    <w:rsid w:val="5A04761D"/>
    <w:rsid w:val="5B2838F6"/>
    <w:rsid w:val="5B486CCA"/>
    <w:rsid w:val="5B9315B7"/>
    <w:rsid w:val="5C491535"/>
    <w:rsid w:val="5DAD3874"/>
    <w:rsid w:val="5DE175F9"/>
    <w:rsid w:val="5EDB386F"/>
    <w:rsid w:val="5EFB7281"/>
    <w:rsid w:val="5F016045"/>
    <w:rsid w:val="5F46411A"/>
    <w:rsid w:val="601D5935"/>
    <w:rsid w:val="60AF5C24"/>
    <w:rsid w:val="6155714F"/>
    <w:rsid w:val="61C602F6"/>
    <w:rsid w:val="63405549"/>
    <w:rsid w:val="63DF5FB1"/>
    <w:rsid w:val="64976A5B"/>
    <w:rsid w:val="653643D0"/>
    <w:rsid w:val="65B94618"/>
    <w:rsid w:val="66742BDF"/>
    <w:rsid w:val="66C627B3"/>
    <w:rsid w:val="673B23D4"/>
    <w:rsid w:val="680915A2"/>
    <w:rsid w:val="6809528D"/>
    <w:rsid w:val="68720B9D"/>
    <w:rsid w:val="69097E85"/>
    <w:rsid w:val="693431F3"/>
    <w:rsid w:val="69BE6177"/>
    <w:rsid w:val="69EA2831"/>
    <w:rsid w:val="6A352AA0"/>
    <w:rsid w:val="6ADD741B"/>
    <w:rsid w:val="6C062643"/>
    <w:rsid w:val="6D5A0C16"/>
    <w:rsid w:val="6E6B2CB6"/>
    <w:rsid w:val="6EA2574B"/>
    <w:rsid w:val="6EBE1799"/>
    <w:rsid w:val="6F937B35"/>
    <w:rsid w:val="709459B7"/>
    <w:rsid w:val="70C80B23"/>
    <w:rsid w:val="71233ECE"/>
    <w:rsid w:val="716D4B90"/>
    <w:rsid w:val="7178787C"/>
    <w:rsid w:val="71A64EDE"/>
    <w:rsid w:val="725F61C8"/>
    <w:rsid w:val="72DD3DFE"/>
    <w:rsid w:val="72DF4CB6"/>
    <w:rsid w:val="73B0129A"/>
    <w:rsid w:val="73C453E0"/>
    <w:rsid w:val="73C654D0"/>
    <w:rsid w:val="748C7AED"/>
    <w:rsid w:val="753526BD"/>
    <w:rsid w:val="760545D6"/>
    <w:rsid w:val="764F7EAB"/>
    <w:rsid w:val="76780D05"/>
    <w:rsid w:val="76D736A2"/>
    <w:rsid w:val="781A78D8"/>
    <w:rsid w:val="785A3C0C"/>
    <w:rsid w:val="797056FC"/>
    <w:rsid w:val="79A60EE4"/>
    <w:rsid w:val="7B1F634E"/>
    <w:rsid w:val="7B2C2EAA"/>
    <w:rsid w:val="7B351003"/>
    <w:rsid w:val="7BD85754"/>
    <w:rsid w:val="7BFD6FAC"/>
    <w:rsid w:val="7C3F196D"/>
    <w:rsid w:val="7C8E4DE1"/>
    <w:rsid w:val="7C9100BF"/>
    <w:rsid w:val="7D170B5C"/>
    <w:rsid w:val="7DB06C46"/>
    <w:rsid w:val="7DCE7E36"/>
    <w:rsid w:val="7EB14714"/>
    <w:rsid w:val="7EE57B8D"/>
    <w:rsid w:val="7F08780B"/>
    <w:rsid w:val="7FBD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iPriority="1" w:semiHidden="0" w:name="heading 7"/>
    <w:lsdException w:qFormat="1" w:uiPriority="1" w:semiHidden="0" w:name="heading 8"/>
    <w:lsdException w:qFormat="1"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qFormat="1" w:uiPriority="0"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iPriority="99" w:name="Subtitle"/>
    <w:lsdException w:uiPriority="99" w:name="Salutation"/>
    <w:lsdException w:uiPriority="99"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uiPriority="99" w:name="Body Text 3"/>
    <w:lsdException w:uiPriority="99" w:name="Body Text Indent 2"/>
    <w:lsdException w:qFormat="1"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iPriority="99" w:name="Emphasis"/>
    <w:lsdException w:qFormat="1" w:uiPriority="99" w:name="Document Map"/>
    <w:lsdException w:qFormat="1"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ascii="Calibri" w:hAnsi="Calibri" w:eastAsia="宋体" w:cs="Times New Roman"/>
      <w:sz w:val="24"/>
      <w:lang w:val="en-US" w:eastAsia="zh-CN" w:bidi="ar-SA"/>
    </w:rPr>
  </w:style>
  <w:style w:type="paragraph" w:styleId="3">
    <w:name w:val="heading 1"/>
    <w:basedOn w:val="1"/>
    <w:next w:val="1"/>
    <w:unhideWhenUsed/>
    <w:qFormat/>
    <w:uiPriority w:val="1"/>
    <w:pPr>
      <w:ind w:left="142"/>
      <w:outlineLvl w:val="0"/>
    </w:pPr>
    <w:rPr>
      <w:rFonts w:hint="eastAsia" w:ascii="宋体" w:hAnsi="宋体"/>
      <w:sz w:val="44"/>
    </w:rPr>
  </w:style>
  <w:style w:type="paragraph" w:styleId="4">
    <w:name w:val="heading 2"/>
    <w:basedOn w:val="1"/>
    <w:next w:val="1"/>
    <w:unhideWhenUsed/>
    <w:qFormat/>
    <w:uiPriority w:val="1"/>
    <w:pPr>
      <w:ind w:left="219"/>
      <w:outlineLvl w:val="1"/>
    </w:pPr>
    <w:rPr>
      <w:rFonts w:hint="eastAsia" w:ascii="宋体" w:hAnsi="宋体"/>
      <w:b/>
      <w:sz w:val="32"/>
    </w:rPr>
  </w:style>
  <w:style w:type="paragraph" w:styleId="5">
    <w:name w:val="heading 3"/>
    <w:basedOn w:val="1"/>
    <w:next w:val="6"/>
    <w:unhideWhenUsed/>
    <w:qFormat/>
    <w:uiPriority w:val="1"/>
    <w:pPr>
      <w:ind w:left="119"/>
      <w:outlineLvl w:val="2"/>
    </w:pPr>
    <w:rPr>
      <w:rFonts w:hint="eastAsia" w:ascii="宋体" w:hAnsi="宋体"/>
      <w:sz w:val="32"/>
    </w:rPr>
  </w:style>
  <w:style w:type="paragraph" w:styleId="7">
    <w:name w:val="heading 4"/>
    <w:basedOn w:val="1"/>
    <w:next w:val="1"/>
    <w:unhideWhenUsed/>
    <w:qFormat/>
    <w:uiPriority w:val="1"/>
    <w:pPr>
      <w:ind w:left="3207"/>
      <w:outlineLvl w:val="3"/>
    </w:pPr>
    <w:rPr>
      <w:rFonts w:hint="eastAsia" w:ascii="宋体" w:hAnsi="宋体"/>
      <w:b/>
      <w:sz w:val="28"/>
    </w:rPr>
  </w:style>
  <w:style w:type="paragraph" w:styleId="8">
    <w:name w:val="heading 5"/>
    <w:basedOn w:val="1"/>
    <w:next w:val="1"/>
    <w:unhideWhenUsed/>
    <w:qFormat/>
    <w:uiPriority w:val="1"/>
    <w:pPr>
      <w:ind w:left="256"/>
      <w:outlineLvl w:val="4"/>
    </w:pPr>
    <w:rPr>
      <w:rFonts w:hint="eastAsia" w:ascii="宋体" w:hAnsi="宋体"/>
      <w:sz w:val="28"/>
    </w:rPr>
  </w:style>
  <w:style w:type="paragraph" w:styleId="9">
    <w:name w:val="heading 6"/>
    <w:basedOn w:val="1"/>
    <w:next w:val="1"/>
    <w:unhideWhenUsed/>
    <w:qFormat/>
    <w:uiPriority w:val="1"/>
    <w:pPr>
      <w:ind w:left="118"/>
      <w:outlineLvl w:val="5"/>
    </w:pPr>
    <w:rPr>
      <w:rFonts w:hint="eastAsia" w:ascii="宋体" w:hAnsi="宋体"/>
      <w:b/>
    </w:rPr>
  </w:style>
  <w:style w:type="paragraph" w:styleId="10">
    <w:name w:val="heading 7"/>
    <w:basedOn w:val="1"/>
    <w:next w:val="1"/>
    <w:unhideWhenUsed/>
    <w:qFormat/>
    <w:uiPriority w:val="1"/>
    <w:pPr>
      <w:ind w:left="118"/>
      <w:outlineLvl w:val="6"/>
    </w:pPr>
    <w:rPr>
      <w:rFonts w:hint="eastAsia" w:ascii="宋体" w:hAnsi="宋体"/>
    </w:rPr>
  </w:style>
  <w:style w:type="paragraph" w:styleId="11">
    <w:name w:val="heading 8"/>
    <w:basedOn w:val="1"/>
    <w:next w:val="1"/>
    <w:unhideWhenUsed/>
    <w:qFormat/>
    <w:uiPriority w:val="1"/>
    <w:pPr>
      <w:ind w:left="119"/>
      <w:outlineLvl w:val="7"/>
    </w:pPr>
    <w:rPr>
      <w:rFonts w:hint="eastAsia" w:ascii="宋体" w:hAnsi="宋体"/>
      <w:sz w:val="22"/>
    </w:rPr>
  </w:style>
  <w:style w:type="paragraph" w:styleId="12">
    <w:name w:val="heading 9"/>
    <w:basedOn w:val="1"/>
    <w:next w:val="1"/>
    <w:unhideWhenUsed/>
    <w:qFormat/>
    <w:uiPriority w:val="1"/>
    <w:pPr>
      <w:ind w:left="118"/>
      <w:outlineLvl w:val="8"/>
    </w:pPr>
    <w:rPr>
      <w:rFonts w:hint="eastAsia" w:ascii="微软雅黑" w:hAnsi="微软雅黑" w:eastAsia="微软雅黑"/>
      <w:b/>
      <w:sz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6">
    <w:name w:val="Normal Indent"/>
    <w:basedOn w:val="1"/>
    <w:unhideWhenUsed/>
    <w:qFormat/>
    <w:uiPriority w:val="0"/>
    <w:pPr>
      <w:ind w:firstLine="420"/>
    </w:pPr>
    <w:rPr>
      <w:rFonts w:ascii="Times New Roman" w:hAnsi="Times New Roman"/>
      <w:sz w:val="20"/>
    </w:rPr>
  </w:style>
  <w:style w:type="paragraph" w:styleId="13">
    <w:name w:val="Document Map"/>
    <w:basedOn w:val="1"/>
    <w:link w:val="49"/>
    <w:semiHidden/>
    <w:unhideWhenUsed/>
    <w:qFormat/>
    <w:uiPriority w:val="99"/>
    <w:rPr>
      <w:rFonts w:ascii="宋体"/>
      <w:sz w:val="18"/>
      <w:szCs w:val="18"/>
    </w:rPr>
  </w:style>
  <w:style w:type="paragraph" w:styleId="14">
    <w:name w:val="Body Text"/>
    <w:basedOn w:val="1"/>
    <w:next w:val="15"/>
    <w:unhideWhenUsed/>
    <w:qFormat/>
    <w:uiPriority w:val="1"/>
    <w:pPr>
      <w:ind w:left="119"/>
    </w:pPr>
    <w:rPr>
      <w:rFonts w:hint="eastAsia" w:ascii="宋体" w:hAnsi="宋体"/>
      <w:sz w:val="21"/>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6">
    <w:name w:val="Body Text Indent"/>
    <w:basedOn w:val="1"/>
    <w:next w:val="15"/>
    <w:qFormat/>
    <w:uiPriority w:val="0"/>
    <w:pPr>
      <w:ind w:firstLine="200" w:firstLineChars="200"/>
    </w:pPr>
  </w:style>
  <w:style w:type="paragraph" w:styleId="17">
    <w:name w:val="toc 3"/>
    <w:basedOn w:val="1"/>
    <w:next w:val="1"/>
    <w:unhideWhenUsed/>
    <w:qFormat/>
    <w:uiPriority w:val="0"/>
    <w:pPr>
      <w:jc w:val="center"/>
    </w:pPr>
    <w:rPr>
      <w:rFonts w:ascii="宋体" w:hAnsi="宋体"/>
    </w:rPr>
  </w:style>
  <w:style w:type="paragraph" w:styleId="18">
    <w:name w:val="Plain Text"/>
    <w:basedOn w:val="1"/>
    <w:unhideWhenUsed/>
    <w:qFormat/>
    <w:uiPriority w:val="0"/>
    <w:rPr>
      <w:rFonts w:ascii="宋体" w:hAnsi="Courier New"/>
      <w:sz w:val="20"/>
    </w:rPr>
  </w:style>
  <w:style w:type="paragraph" w:styleId="19">
    <w:name w:val="Balloon Text"/>
    <w:basedOn w:val="1"/>
    <w:link w:val="48"/>
    <w:unhideWhenUsed/>
    <w:qFormat/>
    <w:uiPriority w:val="99"/>
    <w:rPr>
      <w:sz w:val="18"/>
      <w:szCs w:val="18"/>
    </w:rPr>
  </w:style>
  <w:style w:type="paragraph" w:styleId="20">
    <w:name w:val="footer"/>
    <w:basedOn w:val="1"/>
    <w:semiHidden/>
    <w:unhideWhenUsed/>
    <w:qFormat/>
    <w:uiPriority w:val="99"/>
    <w:pPr>
      <w:tabs>
        <w:tab w:val="center" w:pos="4153"/>
        <w:tab w:val="right" w:pos="8306"/>
      </w:tabs>
      <w:snapToGrid w:val="0"/>
    </w:pPr>
    <w:rPr>
      <w:sz w:val="18"/>
    </w:rPr>
  </w:style>
  <w:style w:type="paragraph" w:styleId="21">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2">
    <w:name w:val="Body Text Indent 3"/>
    <w:basedOn w:val="1"/>
    <w:unhideWhenUsed/>
    <w:qFormat/>
    <w:uiPriority w:val="0"/>
    <w:pPr>
      <w:ind w:firstLine="540" w:firstLineChars="225"/>
    </w:pPr>
    <w:rPr>
      <w:rFonts w:ascii="Times New Roman" w:hAnsi="Times New Roman"/>
    </w:rPr>
  </w:style>
  <w:style w:type="paragraph" w:styleId="23">
    <w:name w:val="Body Text 2"/>
    <w:basedOn w:val="1"/>
    <w:unhideWhenUsed/>
    <w:qFormat/>
    <w:uiPriority w:val="0"/>
    <w:pPr>
      <w:spacing w:line="360" w:lineRule="auto"/>
    </w:pPr>
    <w:rPr>
      <w:rFonts w:ascii="Times New Roman" w:hAnsi="Times New Roman"/>
    </w:rPr>
  </w:style>
  <w:style w:type="paragraph" w:styleId="24">
    <w:name w:val="Normal (Web)"/>
    <w:basedOn w:val="1"/>
    <w:unhideWhenUsed/>
    <w:qFormat/>
    <w:uiPriority w:val="99"/>
    <w:pPr>
      <w:widowControl/>
      <w:spacing w:beforeAutospacing="1" w:afterAutospacing="1"/>
    </w:pPr>
    <w:rPr>
      <w:rFonts w:ascii="宋体" w:hAnsi="宋体"/>
    </w:rPr>
  </w:style>
  <w:style w:type="paragraph" w:styleId="25">
    <w:name w:val="Title"/>
    <w:basedOn w:val="1"/>
    <w:qFormat/>
    <w:uiPriority w:val="0"/>
    <w:pPr>
      <w:spacing w:line="420" w:lineRule="atLeast"/>
      <w:jc w:val="center"/>
      <w:textAlignment w:val="baseline"/>
      <w:outlineLvl w:val="0"/>
    </w:pPr>
    <w:rPr>
      <w:rFonts w:ascii="Arial" w:hAnsi="Arial"/>
      <w:b/>
      <w:sz w:val="32"/>
    </w:rPr>
  </w:style>
  <w:style w:type="paragraph" w:styleId="26">
    <w:name w:val="Body Text First Indent"/>
    <w:basedOn w:val="14"/>
    <w:next w:val="27"/>
    <w:unhideWhenUsed/>
    <w:qFormat/>
    <w:uiPriority w:val="0"/>
    <w:pPr>
      <w:ind w:firstLine="420"/>
    </w:pPr>
    <w:rPr>
      <w:rFonts w:eastAsia="楷体_GB2312"/>
      <w:sz w:val="32"/>
    </w:rPr>
  </w:style>
  <w:style w:type="paragraph" w:styleId="27">
    <w:name w:val="Body Text First Indent 2"/>
    <w:basedOn w:val="16"/>
    <w:next w:val="1"/>
    <w:unhideWhenUsed/>
    <w:qFormat/>
    <w:uiPriority w:val="0"/>
    <w:pPr>
      <w:adjustRightInd/>
      <w:spacing w:beforeLines="0" w:after="120" w:afterLines="0"/>
      <w:ind w:left="420" w:leftChars="200" w:firstLine="420" w:firstLineChars="200"/>
      <w:jc w:val="both"/>
    </w:pPr>
    <w:rPr>
      <w:rFonts w:hint="default" w:ascii="Times New Roman" w:eastAsia="宋体"/>
      <w:sz w:val="28"/>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FollowedHyperlink"/>
    <w:basedOn w:val="30"/>
    <w:semiHidden/>
    <w:unhideWhenUsed/>
    <w:qFormat/>
    <w:uiPriority w:val="99"/>
    <w:rPr>
      <w:color w:val="428BCA"/>
      <w:u w:val="none"/>
    </w:rPr>
  </w:style>
  <w:style w:type="character" w:styleId="33">
    <w:name w:val="Emphasis"/>
    <w:basedOn w:val="30"/>
    <w:semiHidden/>
    <w:unhideWhenUsed/>
    <w:qFormat/>
    <w:uiPriority w:val="99"/>
  </w:style>
  <w:style w:type="character" w:styleId="34">
    <w:name w:val="HTML Definition"/>
    <w:basedOn w:val="30"/>
    <w:semiHidden/>
    <w:unhideWhenUsed/>
    <w:qFormat/>
    <w:uiPriority w:val="99"/>
    <w:rPr>
      <w:i/>
    </w:rPr>
  </w:style>
  <w:style w:type="character" w:styleId="35">
    <w:name w:val="HTML Acronym"/>
    <w:basedOn w:val="30"/>
    <w:semiHidden/>
    <w:unhideWhenUsed/>
    <w:qFormat/>
    <w:uiPriority w:val="99"/>
  </w:style>
  <w:style w:type="character" w:styleId="36">
    <w:name w:val="HTML Variable"/>
    <w:basedOn w:val="30"/>
    <w:semiHidden/>
    <w:unhideWhenUsed/>
    <w:qFormat/>
    <w:uiPriority w:val="99"/>
  </w:style>
  <w:style w:type="character" w:styleId="37">
    <w:name w:val="Hyperlink"/>
    <w:basedOn w:val="30"/>
    <w:semiHidden/>
    <w:unhideWhenUsed/>
    <w:qFormat/>
    <w:uiPriority w:val="99"/>
    <w:rPr>
      <w:color w:val="428BCA"/>
      <w:u w:val="none"/>
    </w:rPr>
  </w:style>
  <w:style w:type="character" w:styleId="38">
    <w:name w:val="HTML Code"/>
    <w:basedOn w:val="30"/>
    <w:semiHidden/>
    <w:unhideWhenUsed/>
    <w:qFormat/>
    <w:uiPriority w:val="99"/>
    <w:rPr>
      <w:rFonts w:hint="default" w:ascii="Consolas" w:hAnsi="Consolas" w:eastAsia="Consolas" w:cs="Consolas"/>
      <w:color w:val="C7254E"/>
      <w:sz w:val="21"/>
      <w:szCs w:val="21"/>
      <w:shd w:val="clear" w:fill="F9F2F4"/>
    </w:rPr>
  </w:style>
  <w:style w:type="character" w:styleId="39">
    <w:name w:val="HTML Cite"/>
    <w:basedOn w:val="30"/>
    <w:semiHidden/>
    <w:unhideWhenUsed/>
    <w:qFormat/>
    <w:uiPriority w:val="99"/>
    <w:rPr>
      <w:sz w:val="24"/>
      <w:szCs w:val="24"/>
    </w:rPr>
  </w:style>
  <w:style w:type="character" w:styleId="40">
    <w:name w:val="HTML Keyboard"/>
    <w:basedOn w:val="30"/>
    <w:semiHidden/>
    <w:unhideWhenUsed/>
    <w:qFormat/>
    <w:uiPriority w:val="99"/>
    <w:rPr>
      <w:rFonts w:ascii="Consolas" w:hAnsi="Consolas" w:eastAsia="Consolas" w:cs="Consolas"/>
      <w:sz w:val="21"/>
      <w:szCs w:val="21"/>
    </w:rPr>
  </w:style>
  <w:style w:type="character" w:styleId="41">
    <w:name w:val="HTML Sample"/>
    <w:basedOn w:val="30"/>
    <w:semiHidden/>
    <w:unhideWhenUsed/>
    <w:qFormat/>
    <w:uiPriority w:val="99"/>
    <w:rPr>
      <w:rFonts w:hint="default" w:ascii="Consolas" w:hAnsi="Consolas" w:eastAsia="Consolas" w:cs="Consolas"/>
      <w:sz w:val="21"/>
      <w:szCs w:val="21"/>
    </w:rPr>
  </w:style>
  <w:style w:type="paragraph" w:customStyle="1" w:styleId="42">
    <w:name w:val="UserStyle_0"/>
    <w:basedOn w:val="1"/>
    <w:qFormat/>
    <w:uiPriority w:val="0"/>
    <w:pPr>
      <w:spacing w:line="400" w:lineRule="exact"/>
      <w:jc w:val="both"/>
      <w:textAlignment w:val="baseline"/>
    </w:pPr>
    <w:rPr>
      <w:rFonts w:ascii="Times New Roman" w:hAnsi="Times New Roman" w:eastAsia="宋体"/>
      <w:kern w:val="2"/>
      <w:sz w:val="24"/>
      <w:szCs w:val="24"/>
      <w:lang w:val="en-US" w:eastAsia="zh-CN" w:bidi="ar-SA"/>
    </w:rPr>
  </w:style>
  <w:style w:type="paragraph" w:customStyle="1" w:styleId="43">
    <w:name w:val="首行缩进"/>
    <w:basedOn w:val="1"/>
    <w:qFormat/>
    <w:uiPriority w:val="0"/>
    <w:pPr>
      <w:ind w:firstLine="480" w:firstLineChars="200"/>
    </w:pPr>
    <w:rPr>
      <w:lang w:val="zh-CN"/>
    </w:rPr>
  </w:style>
  <w:style w:type="paragraph" w:styleId="44">
    <w:name w:val="List Paragraph"/>
    <w:basedOn w:val="1"/>
    <w:unhideWhenUsed/>
    <w:qFormat/>
    <w:uiPriority w:val="1"/>
  </w:style>
  <w:style w:type="paragraph" w:customStyle="1" w:styleId="45">
    <w:name w:val="Table Paragraph"/>
    <w:basedOn w:val="1"/>
    <w:unhideWhenUsed/>
    <w:qFormat/>
    <w:uiPriority w:val="1"/>
  </w:style>
  <w:style w:type="character" w:customStyle="1" w:styleId="46">
    <w:name w:val="NormalCharacter"/>
    <w:semiHidden/>
    <w:qFormat/>
    <w:uiPriority w:val="0"/>
  </w:style>
  <w:style w:type="paragraph" w:customStyle="1" w:styleId="47">
    <w:name w:val="正文_13_0"/>
    <w:basedOn w:val="1"/>
    <w:qFormat/>
    <w:uiPriority w:val="0"/>
    <w:pPr>
      <w:jc w:val="both"/>
    </w:pPr>
    <w:rPr>
      <w:rFonts w:ascii="Times New Roman" w:hAnsi="Times New Roman"/>
      <w:kern w:val="2"/>
      <w:sz w:val="21"/>
      <w:szCs w:val="24"/>
    </w:rPr>
  </w:style>
  <w:style w:type="character" w:customStyle="1" w:styleId="48">
    <w:name w:val="批注框文本 Char"/>
    <w:basedOn w:val="30"/>
    <w:link w:val="19"/>
    <w:semiHidden/>
    <w:qFormat/>
    <w:uiPriority w:val="99"/>
    <w:rPr>
      <w:rFonts w:ascii="Calibri" w:hAnsi="Calibri"/>
      <w:sz w:val="18"/>
      <w:szCs w:val="18"/>
    </w:rPr>
  </w:style>
  <w:style w:type="character" w:customStyle="1" w:styleId="49">
    <w:name w:val="文档结构图 Char"/>
    <w:basedOn w:val="30"/>
    <w:link w:val="13"/>
    <w:semiHidden/>
    <w:qFormat/>
    <w:uiPriority w:val="99"/>
    <w:rPr>
      <w:rFonts w:ascii="宋体" w:hAnsi="Calibri"/>
      <w:sz w:val="18"/>
      <w:szCs w:val="18"/>
    </w:rPr>
  </w:style>
  <w:style w:type="table" w:customStyle="1" w:styleId="50">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51">
    <w:name w:val="WPSOffice手动目录 1"/>
    <w:qFormat/>
    <w:uiPriority w:val="0"/>
    <w:pPr>
      <w:ind w:leftChars="0"/>
    </w:pPr>
    <w:rPr>
      <w:rFonts w:ascii="Times New Roman" w:hAnsi="Times New Roman" w:eastAsia="宋体" w:cs="Times New Roman"/>
      <w:sz w:val="20"/>
      <w:szCs w:val="20"/>
    </w:rPr>
  </w:style>
  <w:style w:type="paragraph" w:customStyle="1" w:styleId="52">
    <w:name w:val="WPSOffice手动目录 2"/>
    <w:qFormat/>
    <w:uiPriority w:val="0"/>
    <w:pPr>
      <w:ind w:leftChars="200"/>
    </w:pPr>
    <w:rPr>
      <w:rFonts w:ascii="Times New Roman" w:hAnsi="Times New Roman" w:eastAsia="宋体" w:cs="Times New Roman"/>
      <w:sz w:val="20"/>
      <w:szCs w:val="20"/>
    </w:rPr>
  </w:style>
  <w:style w:type="character" w:customStyle="1" w:styleId="53">
    <w:name w:val="ag-img"/>
    <w:basedOn w:val="30"/>
    <w:qFormat/>
    <w:uiPriority w:val="0"/>
  </w:style>
  <w:style w:type="character" w:customStyle="1" w:styleId="54">
    <w:name w:val="ag-scale"/>
    <w:basedOn w:val="30"/>
    <w:qFormat/>
    <w:uiPriority w:val="0"/>
    <w:rPr>
      <w:color w:val="999999"/>
      <w:bdr w:val="single" w:color="E5E5E5" w:sz="6" w:space="0"/>
    </w:rPr>
  </w:style>
  <w:style w:type="character" w:customStyle="1" w:styleId="55">
    <w:name w:val="info"/>
    <w:basedOn w:val="30"/>
    <w:qFormat/>
    <w:uiPriority w:val="0"/>
    <w:rPr>
      <w:color w:val="999999"/>
      <w:sz w:val="21"/>
      <w:szCs w:val="21"/>
    </w:rPr>
  </w:style>
  <w:style w:type="paragraph" w:customStyle="1" w:styleId="56">
    <w:name w:val="保留正文"/>
    <w:basedOn w:val="14"/>
    <w:qFormat/>
    <w:uiPriority w:val="0"/>
    <w:pPr>
      <w:keepNext/>
      <w:spacing w:after="160"/>
      <w:jc w:val="both"/>
    </w:pPr>
    <w:rPr>
      <w:rFonts w:ascii="Times New Roman" w:hAnsi="Times New Roman" w:eastAsia="宋体"/>
      <w:szCs w:val="20"/>
    </w:rPr>
  </w:style>
  <w:style w:type="paragraph" w:customStyle="1" w:styleId="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58">
    <w:name w:val="列出段落1"/>
    <w:basedOn w:val="1"/>
    <w:qFormat/>
    <w:uiPriority w:val="34"/>
    <w:pPr>
      <w:ind w:firstLine="420" w:firstLineChars="200"/>
    </w:pPr>
  </w:style>
  <w:style w:type="paragraph" w:customStyle="1" w:styleId="59">
    <w:name w:val="BodyText1I2"/>
    <w:basedOn w:val="60"/>
    <w:qFormat/>
    <w:uiPriority w:val="0"/>
    <w:pPr>
      <w:tabs>
        <w:tab w:val="left" w:pos="945"/>
        <w:tab w:val="left" w:pos="1155"/>
      </w:tabs>
      <w:spacing w:line="240" w:lineRule="auto"/>
      <w:ind w:firstLine="420" w:firstLineChars="200"/>
      <w:jc w:val="both"/>
      <w:textAlignment w:val="baseline"/>
    </w:pPr>
    <w:rPr>
      <w:rFonts w:ascii="Times New Roman" w:hAnsi="Times New Roman" w:eastAsia="宋体"/>
      <w:kern w:val="2"/>
      <w:sz w:val="24"/>
      <w:szCs w:val="24"/>
      <w:lang w:val="en-US" w:eastAsia="zh-CN" w:bidi="ar-SA"/>
    </w:rPr>
  </w:style>
  <w:style w:type="paragraph" w:customStyle="1" w:styleId="60">
    <w:name w:val="BodyTextIndent"/>
    <w:basedOn w:val="1"/>
    <w:qFormat/>
    <w:uiPriority w:val="0"/>
    <w:pPr>
      <w:tabs>
        <w:tab w:val="left" w:pos="945"/>
        <w:tab w:val="left" w:pos="1155"/>
      </w:tabs>
      <w:spacing w:line="240" w:lineRule="auto"/>
      <w:ind w:firstLine="435"/>
      <w:jc w:val="both"/>
      <w:textAlignment w:val="baseline"/>
    </w:pPr>
    <w:rPr>
      <w:rFonts w:ascii="宋体" w:hAnsi="Times New Roman" w:eastAsia="宋体"/>
      <w:kern w:val="2"/>
      <w:sz w:val="24"/>
      <w:szCs w:val="24"/>
      <w:lang w:val="en-US" w:eastAsia="zh-CN" w:bidi="ar-SA"/>
    </w:rPr>
  </w:style>
  <w:style w:type="paragraph" w:customStyle="1" w:styleId="61">
    <w:name w:val="UserStyle_1"/>
    <w:next w:val="1"/>
    <w:qFormat/>
    <w:uiPriority w:val="0"/>
    <w:pPr>
      <w:spacing w:line="240" w:lineRule="auto"/>
      <w:textAlignment w:val="baseline"/>
    </w:pPr>
    <w:rPr>
      <w:rFonts w:ascii="黑体" w:hAnsi="Calibri" w:eastAsia="黑体" w:cstheme="minorBidi"/>
      <w:sz w:val="21"/>
      <w:szCs w:val="22"/>
      <w:lang w:val="en-US" w:eastAsia="zh-CN" w:bidi="ar-SA"/>
    </w:rPr>
  </w:style>
  <w:style w:type="paragraph" w:customStyle="1" w:styleId="62">
    <w:name w:val="Char1 Char Char Char Char Char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a76c103-22b9-49ca-a769-340ce6bd3513}"/>
        <w:style w:val=""/>
        <w:category>
          <w:name w:val="常规"/>
          <w:gallery w:val="placeholder"/>
        </w:category>
        <w:types>
          <w:type w:val="bbPlcHdr"/>
        </w:types>
        <w:behaviors>
          <w:behavior w:val="content"/>
        </w:behaviors>
        <w:description w:val=""/>
        <w:guid w:val="{4a76c103-22b9-49ca-a769-340ce6bd3513}"/>
      </w:docPartPr>
      <w:docPartBody>
        <w:p>
          <w:r>
            <w:rPr>
              <w:color w:val="808080"/>
            </w:rPr>
            <w:t>单击此处输入文字。</w:t>
          </w:r>
        </w:p>
      </w:docPartBody>
    </w:docPart>
    <w:docPart>
      <w:docPartPr>
        <w:name w:val="{34d438b4-8faf-4c56-95c5-43439873affb}"/>
        <w:style w:val=""/>
        <w:category>
          <w:name w:val="常规"/>
          <w:gallery w:val="placeholder"/>
        </w:category>
        <w:types>
          <w:type w:val="bbPlcHdr"/>
        </w:types>
        <w:behaviors>
          <w:behavior w:val="content"/>
        </w:behaviors>
        <w:description w:val=""/>
        <w:guid w:val="{34d438b4-8faf-4c56-95c5-43439873affb}"/>
      </w:docPartPr>
      <w:docPartBody>
        <w:p>
          <w:r>
            <w:rPr>
              <w:color w:val="808080"/>
            </w:rPr>
            <w:t>单击此处输入文字。</w:t>
          </w:r>
        </w:p>
      </w:docPartBody>
    </w:docPart>
    <w:docPart>
      <w:docPartPr>
        <w:name w:val="{653f70dd-b3ff-45fc-bd2b-9500903caf75}"/>
        <w:style w:val=""/>
        <w:category>
          <w:name w:val="常规"/>
          <w:gallery w:val="placeholder"/>
        </w:category>
        <w:types>
          <w:type w:val="bbPlcHdr"/>
        </w:types>
        <w:behaviors>
          <w:behavior w:val="content"/>
        </w:behaviors>
        <w:description w:val=""/>
        <w:guid w:val="{653f70dd-b3ff-45fc-bd2b-9500903caf75}"/>
      </w:docPartPr>
      <w:docPartBody>
        <w:p>
          <w:r>
            <w:rPr>
              <w:color w:val="808080"/>
            </w:rPr>
            <w:t>单击此处输入文字。</w:t>
          </w:r>
        </w:p>
      </w:docPartBody>
    </w:docPart>
    <w:docPart>
      <w:docPartPr>
        <w:name w:val="{253cf1ec-bc2e-4a0c-a590-a7750650add5}"/>
        <w:style w:val=""/>
        <w:category>
          <w:name w:val="常规"/>
          <w:gallery w:val="placeholder"/>
        </w:category>
        <w:types>
          <w:type w:val="bbPlcHdr"/>
        </w:types>
        <w:behaviors>
          <w:behavior w:val="content"/>
        </w:behaviors>
        <w:description w:val=""/>
        <w:guid w:val="{253cf1ec-bc2e-4a0c-a590-a7750650add5}"/>
      </w:docPartPr>
      <w:docPartBody>
        <w:p>
          <w:r>
            <w:rPr>
              <w:color w:val="808080"/>
            </w:rPr>
            <w:t>单击此处输入文字。</w:t>
          </w:r>
        </w:p>
      </w:docPartBody>
    </w:docPart>
    <w:docPart>
      <w:docPartPr>
        <w:name w:val="{160ae211-57a8-41b2-b760-c44a95620708}"/>
        <w:style w:val=""/>
        <w:category>
          <w:name w:val="常规"/>
          <w:gallery w:val="placeholder"/>
        </w:category>
        <w:types>
          <w:type w:val="bbPlcHdr"/>
        </w:types>
        <w:behaviors>
          <w:behavior w:val="content"/>
        </w:behaviors>
        <w:description w:val=""/>
        <w:guid w:val="{160ae211-57a8-41b2-b760-c44a95620708}"/>
      </w:docPartPr>
      <w:docPartBody>
        <w:p>
          <w:r>
            <w:rPr>
              <w:color w:val="808080"/>
            </w:rPr>
            <w:t>单击此处输入文字。</w:t>
          </w:r>
        </w:p>
      </w:docPartBody>
    </w:docPart>
    <w:docPart>
      <w:docPartPr>
        <w:name w:val="{6c2f6c7e-57da-4db1-8de5-fd01fd34ae98}"/>
        <w:style w:val=""/>
        <w:category>
          <w:name w:val="常规"/>
          <w:gallery w:val="placeholder"/>
        </w:category>
        <w:types>
          <w:type w:val="bbPlcHdr"/>
        </w:types>
        <w:behaviors>
          <w:behavior w:val="content"/>
        </w:behaviors>
        <w:description w:val=""/>
        <w:guid w:val="{6c2f6c7e-57da-4db1-8de5-fd01fd34ae98}"/>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38116</Words>
  <Characters>40249</Characters>
  <Lines>305</Lines>
  <Paragraphs>86</Paragraphs>
  <TotalTime>59</TotalTime>
  <ScaleCrop>false</ScaleCrop>
  <LinksUpToDate>false</LinksUpToDate>
  <CharactersWithSpaces>42006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2019-09-16T02:31:00Z</dcterms:created>
  <dc:creator>Administrator</dc:creator>
  <cp:lastModifiedBy>⊱放飛夢想￡</cp:lastModifiedBy>
  <cp:lastPrinted>2020-03-26T09:56:00Z</cp:lastPrinted>
  <dcterms:modified xsi:type="dcterms:W3CDTF">2020-03-31T03:22:08Z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