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ind w:left="210" w:leftChars="100" w:firstLine="2880" w:firstLineChars="800"/>
        <w:rPr>
          <w:rFonts w:ascii="宋体" w:hAnsi="宋体"/>
          <w:sz w:val="36"/>
          <w:szCs w:val="36"/>
        </w:rPr>
      </w:pPr>
    </w:p>
    <w:p>
      <w:pPr>
        <w:spacing w:line="276" w:lineRule="auto"/>
        <w:ind w:firstLine="3240" w:firstLineChars="900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编制说明</w:t>
      </w:r>
    </w:p>
    <w:p>
      <w:pPr>
        <w:pStyle w:val="9"/>
        <w:spacing w:line="276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一、工程概况：</w:t>
      </w:r>
    </w:p>
    <w:p>
      <w:pPr>
        <w:ind w:left="-2" w:leftChars="-1" w:right="31" w:rightChars="15"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本工程为信阳师范学院高层次人才周转房室外工程（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南湾校区</w:t>
      </w:r>
      <w:r>
        <w:rPr>
          <w:rFonts w:hint="eastAsia" w:asciiTheme="minorEastAsia" w:hAnsiTheme="minorEastAsia" w:eastAsiaTheme="minorEastAsia"/>
          <w:sz w:val="28"/>
          <w:szCs w:val="28"/>
        </w:rPr>
        <w:t>），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该工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程主要包含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车行道面积为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6610.81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m2，入户沥青道路面积为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1117.17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消防隐形回车场及隐形扑救面面积为2491.96m3，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陶土砖园路面积为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445.01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m2，水洗石园路面积为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241.38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m2，花岗岩面积为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1997.89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m2，防腐木面积为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69.96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m2，非机动车位地面面积为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725.86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m2，机动车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停车位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828.61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m2，硅PU铺地面积为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341.04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m2等。该工程还包括</w:t>
      </w:r>
      <w:r>
        <w:rPr>
          <w:rFonts w:hint="eastAsia" w:asciiTheme="minorEastAsia" w:hAnsiTheme="minorEastAsia" w:eastAsiaTheme="minorEastAsia"/>
          <w:sz w:val="28"/>
          <w:szCs w:val="28"/>
        </w:rPr>
        <w:t>景观、台阶、挡土墙、花池、儿童乐园、消防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给水</w:t>
      </w:r>
      <w:r>
        <w:rPr>
          <w:rFonts w:hint="eastAsia" w:asciiTheme="minorEastAsia" w:hAnsiTheme="minorEastAsia" w:eastAsiaTheme="minorEastAsia"/>
          <w:sz w:val="28"/>
          <w:szCs w:val="28"/>
        </w:rPr>
        <w:t>系统、污水系统、雨水系统、路灯系统、充电设施配电（埋管）等。</w:t>
      </w:r>
    </w:p>
    <w:p>
      <w:pPr>
        <w:pStyle w:val="9"/>
        <w:spacing w:line="276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二、工程量清单编制依据：</w:t>
      </w:r>
    </w:p>
    <w:p>
      <w:pPr>
        <w:pStyle w:val="9"/>
        <w:spacing w:line="276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施工图纸、《建设工程工程量清单计价规范》（GB50858-2013）。</w:t>
      </w:r>
    </w:p>
    <w:p>
      <w:pPr>
        <w:pStyle w:val="9"/>
        <w:spacing w:line="276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清单</w:t>
      </w:r>
      <w:r>
        <w:rPr>
          <w:rFonts w:hint="eastAsia" w:asciiTheme="minorEastAsia" w:hAnsiTheme="minorEastAsia" w:eastAsiaTheme="minorEastAsia"/>
          <w:sz w:val="28"/>
          <w:szCs w:val="28"/>
        </w:rPr>
        <w:t>包括范围：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施工图和编标须知包含的全部内容。</w:t>
      </w:r>
    </w:p>
    <w:p>
      <w:pPr>
        <w:pStyle w:val="9"/>
        <w:spacing w:line="276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四、有关事项说明：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部分工程量及做法严格参照编标须知计取</w:t>
      </w:r>
      <w:r>
        <w:rPr>
          <w:rFonts w:hint="eastAsia" w:asciiTheme="minorEastAsia" w:hAnsiTheme="minorEastAsia" w:eastAsiaTheme="minorEastAsia"/>
          <w:sz w:val="28"/>
          <w:szCs w:val="28"/>
        </w:rPr>
        <w:t>；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2.车库入口玻璃雨棚、围墙、汀步石暂未考虑，非机动车棚只考虑地坪及电源预埋管；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3.弱电、监控、生活给水暂未考虑，充电设施只考虑埋管；</w:t>
      </w:r>
    </w:p>
    <w:p>
      <w:pPr>
        <w:tabs>
          <w:tab w:val="left" w:pos="312"/>
        </w:tabs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4.垃圾桶、健身器材、儿童滑梯、休息桌椅、绿化暂未考虑；</w:t>
      </w:r>
    </w:p>
    <w:p>
      <w:pPr>
        <w:tabs>
          <w:tab w:val="left" w:pos="312"/>
        </w:tabs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5.场地土方按编标须知暂定量考虑；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6.大门配套的设施没有考虑；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.检查井按图集直接按定型井考虑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规格详见清单描述</w:t>
      </w:r>
      <w:r>
        <w:rPr>
          <w:rFonts w:hint="eastAsia" w:asciiTheme="minorEastAsia" w:hAnsiTheme="minorEastAsia" w:eastAsiaTheme="minorEastAsia"/>
          <w:sz w:val="28"/>
          <w:szCs w:val="28"/>
        </w:rPr>
        <w:t>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.路沿石侧边砼护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角</w:t>
      </w:r>
      <w:r>
        <w:rPr>
          <w:rFonts w:hint="eastAsia" w:asciiTheme="minorEastAsia" w:hAnsiTheme="minorEastAsia" w:eastAsiaTheme="minorEastAsia"/>
          <w:sz w:val="28"/>
          <w:szCs w:val="28"/>
        </w:rPr>
        <w:t>按图纸设计考虑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铺装下砼护角未考虑</w:t>
      </w:r>
      <w:r>
        <w:rPr>
          <w:rFonts w:hint="eastAsia" w:asciiTheme="minorEastAsia" w:hAnsiTheme="minorEastAsia" w:eastAsiaTheme="minorEastAsia"/>
          <w:sz w:val="28"/>
          <w:szCs w:val="28"/>
        </w:rPr>
        <w:t>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.化粪池的人工费、机械费及材料费（包含防水）单独列项，汇总在总价中，不在清单范围内，土方在清单范围内；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.硅PU地面及沥青砼路面单独列项，不在清单范围内，汇总在总价中，但基层在清单范围内；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.花岗岩、植草砖、陶土砖、庭院灯、路灯、片石、石屑等市场调查的材料不在清单的单价内，单独列项，汇总在总价中；</w:t>
      </w:r>
    </w:p>
    <w:p>
      <w:pPr>
        <w:pStyle w:val="9"/>
        <w:spacing w:line="276" w:lineRule="auto"/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12.如编制说明未提及内容或不祥处请参照清单描述和编标须知，清单描述不明者，请参照图纸。</w:t>
      </w:r>
    </w:p>
    <w:p>
      <w:pPr>
        <w:tabs>
          <w:tab w:val="left" w:pos="0"/>
        </w:tabs>
        <w:ind w:firstLine="420" w:firstLineChars="200"/>
        <w:jc w:val="left"/>
        <w:rPr>
          <w:rFonts w:hint="default" w:eastAsia="宋体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eastAsia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  <w:rPr>
          <w:rFonts w:hint="default"/>
          <w:lang w:val="en-US" w:eastAsia="zh-CN"/>
        </w:rPr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tabs>
          <w:tab w:val="left" w:pos="0"/>
        </w:tabs>
        <w:ind w:firstLine="420" w:firstLineChars="200"/>
        <w:jc w:val="left"/>
      </w:pPr>
    </w:p>
    <w:p>
      <w:pPr>
        <w:spacing w:line="276" w:lineRule="auto"/>
        <w:ind w:left="210" w:leftChars="100" w:firstLine="2880" w:firstLineChars="800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  <w:lang w:val="en-US" w:eastAsia="zh-CN"/>
        </w:rPr>
        <w:t>编制说明</w:t>
      </w:r>
    </w:p>
    <w:p>
      <w:pPr>
        <w:pStyle w:val="9"/>
        <w:spacing w:line="276" w:lineRule="auto"/>
        <w:ind w:left="561" w:leftChars="267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一、工程概况：</w:t>
      </w:r>
    </w:p>
    <w:p>
      <w:pPr>
        <w:ind w:left="-2" w:leftChars="-1" w:right="31" w:rightChars="15" w:firstLine="560" w:firstLineChars="200"/>
        <w:rPr>
          <w:rFonts w:cs="仿宋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本工程为信阳师范学院高层次人才周转房室外工程（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南湾校区</w:t>
      </w:r>
      <w:r>
        <w:rPr>
          <w:rFonts w:hint="eastAsia" w:asciiTheme="minorEastAsia" w:hAnsiTheme="minorEastAsia" w:eastAsiaTheme="minorEastAsia"/>
          <w:sz w:val="28"/>
          <w:szCs w:val="28"/>
        </w:rPr>
        <w:t>），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该工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程主要包含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车行道面积为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6610.81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m2，入户沥青道路面积为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1117.17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消防隐形回车场及隐形扑救面面积为2491.96m3，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陶土砖园路面积为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445.01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m2，水洗石园路面积为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241.38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m2，花岗岩面积为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1997.89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m2，防腐木面积为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69.96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m2，非机动车位地面面积为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725.86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m2，机动车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停车位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828.61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m2，硅PU铺地面积为</w:t>
      </w:r>
      <w:r>
        <w:rPr>
          <w:rFonts w:hint="eastAsia" w:cs="仿宋" w:asciiTheme="minorEastAsia" w:hAnsiTheme="minorEastAsia" w:eastAsiaTheme="minorEastAsia"/>
          <w:sz w:val="28"/>
          <w:szCs w:val="28"/>
          <w:lang w:val="en-US" w:eastAsia="zh-CN"/>
        </w:rPr>
        <w:t>341.04</w:t>
      </w:r>
      <w:r>
        <w:rPr>
          <w:rFonts w:hint="eastAsia" w:cs="仿宋" w:asciiTheme="minorEastAsia" w:hAnsiTheme="minorEastAsia" w:eastAsiaTheme="minorEastAsia"/>
          <w:sz w:val="28"/>
          <w:szCs w:val="28"/>
        </w:rPr>
        <w:t>m2等。该工程还包括</w:t>
      </w:r>
      <w:r>
        <w:rPr>
          <w:rFonts w:hint="eastAsia" w:asciiTheme="minorEastAsia" w:hAnsiTheme="minorEastAsia" w:eastAsiaTheme="minorEastAsia"/>
          <w:sz w:val="28"/>
          <w:szCs w:val="28"/>
        </w:rPr>
        <w:t>景观、台阶、挡土墙、花池、儿童乐园、消防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给水</w:t>
      </w:r>
      <w:r>
        <w:rPr>
          <w:rFonts w:hint="eastAsia" w:asciiTheme="minorEastAsia" w:hAnsiTheme="minorEastAsia" w:eastAsiaTheme="minorEastAsia"/>
          <w:sz w:val="28"/>
          <w:szCs w:val="28"/>
        </w:rPr>
        <w:t>系统、污水系统、雨水系统、路灯系统、充电设施配电（埋管）等。</w:t>
      </w:r>
    </w:p>
    <w:p>
      <w:pPr>
        <w:pStyle w:val="9"/>
        <w:spacing w:line="276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二、招标控制价编制依据：</w:t>
      </w:r>
    </w:p>
    <w:p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1.施工图纸、编标须知；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Theme="minorEastAsia" w:hAnsiTheme="minorEastAsia" w:eastAsiaTheme="minorEastAsia"/>
          <w:sz w:val="28"/>
          <w:szCs w:val="28"/>
        </w:rPr>
        <w:t>《建设工程工程量清单计价规范》（GB50858-2013）、</w:t>
      </w:r>
      <w:r>
        <w:rPr>
          <w:rFonts w:hint="eastAsia" w:ascii="宋体" w:hAnsi="宋体"/>
          <w:sz w:val="28"/>
          <w:szCs w:val="28"/>
        </w:rPr>
        <w:t>《河南省房屋建筑与装饰工程预算定额》（HA 01-31-2016）、《河南省市政工程预算定额》（HA A1-31-2016）、《河南省通用安装工程预算定额》（HA 02-31-2016）</w:t>
      </w:r>
      <w:r>
        <w:rPr>
          <w:rFonts w:hint="eastAsia" w:asciiTheme="minorEastAsia" w:hAnsiTheme="minorEastAsia" w:eastAsiaTheme="minorEastAsia"/>
          <w:sz w:val="28"/>
          <w:szCs w:val="28"/>
        </w:rPr>
        <w:t>等有关现行的计价管理办法及文件规定；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 w:asciiTheme="minorEastAsia" w:hAnsiTheme="minorEastAsia" w:eastAsiaTheme="minorEastAsia"/>
          <w:sz w:val="28"/>
          <w:szCs w:val="28"/>
        </w:rPr>
        <w:t>材料价格执行《信阳市建设工程造价信息》2019年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期，部分材料市场询价；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人工费指数、机械类指数、管理类指数调差按与建设标定【2019】56号文件进行调整；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5. </w:t>
      </w:r>
      <w:r>
        <w:rPr>
          <w:rFonts w:hint="eastAsia"/>
          <w:sz w:val="28"/>
          <w:szCs w:val="28"/>
        </w:rPr>
        <w:t>安全文明施工措施费按豫建设标【2014】57号及【2016】47号文调整；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 xml:space="preserve"> 税金按建办标函【2019】193号文的相关要求，税率为9%；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 xml:space="preserve"> 规费均足额计取；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 xml:space="preserve"> 夜间施工增加费、二次搬运费、冬雨季施工增加费按照2016</w:t>
      </w:r>
      <w:r>
        <w:rPr>
          <w:rFonts w:hint="eastAsia" w:ascii="宋体" w:hAnsi="宋体" w:cs="宋体"/>
          <w:sz w:val="28"/>
          <w:szCs w:val="28"/>
        </w:rPr>
        <w:t>定额解释说明均计取；</w:t>
      </w:r>
    </w:p>
    <w:p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</w:rPr>
        <w:t>施工现场扬尘污染防治费依据豫建设标【2016】47号文件；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10.社会保障费依据豫建建【2016】62号文。</w:t>
      </w:r>
    </w:p>
    <w:p>
      <w:pPr>
        <w:pStyle w:val="9"/>
        <w:spacing w:line="276" w:lineRule="auto"/>
        <w:ind w:left="561" w:leftChars="267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三、招标控制价包括范围：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施工图和编标须知包含的全部内容。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四、有关事项说明：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部分工程量及做法严格参照编标须知计取</w:t>
      </w:r>
      <w:r>
        <w:rPr>
          <w:rFonts w:hint="eastAsia" w:asciiTheme="minorEastAsia" w:hAnsiTheme="minorEastAsia" w:eastAsiaTheme="minorEastAsia"/>
          <w:sz w:val="28"/>
          <w:szCs w:val="28"/>
        </w:rPr>
        <w:t>；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2.车库入口玻璃雨棚、围墙、汀步石暂未考虑，非机动车棚只考虑地坪及电源预埋管；</w:t>
      </w:r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3.弱电、监控、生活给水暂未考虑，充电设施只考虑埋管；</w:t>
      </w:r>
    </w:p>
    <w:p>
      <w:pPr>
        <w:tabs>
          <w:tab w:val="left" w:pos="312"/>
        </w:tabs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4.垃圾桶、健身器材、儿童滑梯、休息桌椅、绿化暂未考虑；</w:t>
      </w:r>
    </w:p>
    <w:p>
      <w:pPr>
        <w:tabs>
          <w:tab w:val="left" w:pos="312"/>
        </w:tabs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5.场地土方按编标须知暂定量考虑；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6.大门配套的设施没有考虑；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.检查井按图集直接按定型井考虑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规格详见清单描述</w:t>
      </w:r>
      <w:r>
        <w:rPr>
          <w:rFonts w:hint="eastAsia" w:asciiTheme="minorEastAsia" w:hAnsiTheme="minorEastAsia" w:eastAsiaTheme="minorEastAsia"/>
          <w:sz w:val="28"/>
          <w:szCs w:val="28"/>
        </w:rPr>
        <w:t>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.路沿石侧边砼护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角</w:t>
      </w:r>
      <w:r>
        <w:rPr>
          <w:rFonts w:hint="eastAsia" w:asciiTheme="minorEastAsia" w:hAnsiTheme="minorEastAsia" w:eastAsiaTheme="minorEastAsia"/>
          <w:sz w:val="28"/>
          <w:szCs w:val="28"/>
        </w:rPr>
        <w:t>按图纸设计考虑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铺装下砼护角未考虑</w:t>
      </w:r>
      <w:r>
        <w:rPr>
          <w:rFonts w:hint="eastAsia" w:asciiTheme="minorEastAsia" w:hAnsiTheme="minorEastAsia" w:eastAsiaTheme="minorEastAsia"/>
          <w:sz w:val="28"/>
          <w:szCs w:val="28"/>
        </w:rPr>
        <w:t>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.化粪池的人工费、机械费及材料费（包含防水）单独列项，汇总在总价中，不在清单范围内，土方在清单范围内；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.硅PU地面及沥青砼路面单独列项，不在清单范围内，汇总在总价中，但基层在清单范围内；</w:t>
      </w:r>
    </w:p>
    <w:p>
      <w:pPr>
        <w:pStyle w:val="9"/>
        <w:spacing w:line="276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.花岗岩、植草砖、陶土砖、庭院灯、路灯、片石、石屑等市场调查的材料不在清单的单价内，单独列项，汇总在总价中；</w:t>
      </w:r>
    </w:p>
    <w:p>
      <w:pPr>
        <w:pStyle w:val="9"/>
        <w:spacing w:line="276" w:lineRule="auto"/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12.如编制说明未提及内容或不祥处请参照清单描述和编标须知，清单描述不明者，请参照图纸。</w:t>
      </w:r>
      <w:bookmarkStart w:id="0" w:name="_GoBack"/>
      <w:bookmarkEnd w:id="0"/>
    </w:p>
    <w:p>
      <w:pPr>
        <w:pStyle w:val="9"/>
        <w:spacing w:line="276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9"/>
        <w:spacing w:line="276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73015"/>
    <w:rsid w:val="00012E3B"/>
    <w:rsid w:val="00030BCA"/>
    <w:rsid w:val="00047546"/>
    <w:rsid w:val="000827D9"/>
    <w:rsid w:val="0008610F"/>
    <w:rsid w:val="00093115"/>
    <w:rsid w:val="000A0F6C"/>
    <w:rsid w:val="000C3CE9"/>
    <w:rsid w:val="000E2A8E"/>
    <w:rsid w:val="000F2C9A"/>
    <w:rsid w:val="0011591F"/>
    <w:rsid w:val="00127C71"/>
    <w:rsid w:val="00131963"/>
    <w:rsid w:val="00182E29"/>
    <w:rsid w:val="00195B0E"/>
    <w:rsid w:val="001C6ADF"/>
    <w:rsid w:val="001D0310"/>
    <w:rsid w:val="001D31B7"/>
    <w:rsid w:val="002028A9"/>
    <w:rsid w:val="00205834"/>
    <w:rsid w:val="0022381C"/>
    <w:rsid w:val="00225B70"/>
    <w:rsid w:val="0026345E"/>
    <w:rsid w:val="00265A37"/>
    <w:rsid w:val="00282738"/>
    <w:rsid w:val="002919CD"/>
    <w:rsid w:val="002A0D8C"/>
    <w:rsid w:val="002A37D1"/>
    <w:rsid w:val="002A7023"/>
    <w:rsid w:val="002B28B9"/>
    <w:rsid w:val="002C1984"/>
    <w:rsid w:val="002F2A2B"/>
    <w:rsid w:val="002F5C0F"/>
    <w:rsid w:val="0033044C"/>
    <w:rsid w:val="003368DE"/>
    <w:rsid w:val="00337440"/>
    <w:rsid w:val="00344DC0"/>
    <w:rsid w:val="00346D05"/>
    <w:rsid w:val="00371E96"/>
    <w:rsid w:val="003846C6"/>
    <w:rsid w:val="003929BE"/>
    <w:rsid w:val="00394498"/>
    <w:rsid w:val="003B5844"/>
    <w:rsid w:val="003B5DEA"/>
    <w:rsid w:val="003C7A73"/>
    <w:rsid w:val="003F6369"/>
    <w:rsid w:val="00482400"/>
    <w:rsid w:val="004A233E"/>
    <w:rsid w:val="004B2B42"/>
    <w:rsid w:val="004C4334"/>
    <w:rsid w:val="004D6D38"/>
    <w:rsid w:val="004E0207"/>
    <w:rsid w:val="004E5A1D"/>
    <w:rsid w:val="004F7A1A"/>
    <w:rsid w:val="0050434A"/>
    <w:rsid w:val="0051601C"/>
    <w:rsid w:val="00544B85"/>
    <w:rsid w:val="00562391"/>
    <w:rsid w:val="00564322"/>
    <w:rsid w:val="00573015"/>
    <w:rsid w:val="005A43C6"/>
    <w:rsid w:val="005D6267"/>
    <w:rsid w:val="006105E4"/>
    <w:rsid w:val="00614889"/>
    <w:rsid w:val="00634C08"/>
    <w:rsid w:val="00642C86"/>
    <w:rsid w:val="00651F80"/>
    <w:rsid w:val="006553E3"/>
    <w:rsid w:val="0065628C"/>
    <w:rsid w:val="00674117"/>
    <w:rsid w:val="00691530"/>
    <w:rsid w:val="00696FAC"/>
    <w:rsid w:val="006D00E5"/>
    <w:rsid w:val="006E1E1F"/>
    <w:rsid w:val="006E522C"/>
    <w:rsid w:val="007157CB"/>
    <w:rsid w:val="00724D2D"/>
    <w:rsid w:val="0075064E"/>
    <w:rsid w:val="00757804"/>
    <w:rsid w:val="00775ED1"/>
    <w:rsid w:val="007C6914"/>
    <w:rsid w:val="007D4335"/>
    <w:rsid w:val="007E6278"/>
    <w:rsid w:val="00816E0F"/>
    <w:rsid w:val="00824CA9"/>
    <w:rsid w:val="00835D04"/>
    <w:rsid w:val="00852B71"/>
    <w:rsid w:val="00857566"/>
    <w:rsid w:val="0087012D"/>
    <w:rsid w:val="00893A6C"/>
    <w:rsid w:val="00894138"/>
    <w:rsid w:val="008952FF"/>
    <w:rsid w:val="008B5D8B"/>
    <w:rsid w:val="008F2790"/>
    <w:rsid w:val="00911BE8"/>
    <w:rsid w:val="009159F3"/>
    <w:rsid w:val="009B3EEE"/>
    <w:rsid w:val="009F179C"/>
    <w:rsid w:val="009F3D54"/>
    <w:rsid w:val="00A20AE0"/>
    <w:rsid w:val="00A30D6B"/>
    <w:rsid w:val="00A36882"/>
    <w:rsid w:val="00A956E6"/>
    <w:rsid w:val="00A96867"/>
    <w:rsid w:val="00AA6016"/>
    <w:rsid w:val="00AC7001"/>
    <w:rsid w:val="00AD147A"/>
    <w:rsid w:val="00AD2111"/>
    <w:rsid w:val="00AF3FA8"/>
    <w:rsid w:val="00B01DFF"/>
    <w:rsid w:val="00B11CF5"/>
    <w:rsid w:val="00B27B57"/>
    <w:rsid w:val="00B45C7D"/>
    <w:rsid w:val="00B475E6"/>
    <w:rsid w:val="00B55BB2"/>
    <w:rsid w:val="00B62875"/>
    <w:rsid w:val="00B63237"/>
    <w:rsid w:val="00B77F2B"/>
    <w:rsid w:val="00B90416"/>
    <w:rsid w:val="00BB64CD"/>
    <w:rsid w:val="00BC6CEF"/>
    <w:rsid w:val="00C06DD0"/>
    <w:rsid w:val="00C47D2B"/>
    <w:rsid w:val="00C72B63"/>
    <w:rsid w:val="00C75E98"/>
    <w:rsid w:val="00C81D8C"/>
    <w:rsid w:val="00C82E19"/>
    <w:rsid w:val="00CA38C9"/>
    <w:rsid w:val="00CB145F"/>
    <w:rsid w:val="00CD2142"/>
    <w:rsid w:val="00CE2DC6"/>
    <w:rsid w:val="00D0086E"/>
    <w:rsid w:val="00D01098"/>
    <w:rsid w:val="00D01CCD"/>
    <w:rsid w:val="00D03D56"/>
    <w:rsid w:val="00D13D17"/>
    <w:rsid w:val="00D347EC"/>
    <w:rsid w:val="00D521D9"/>
    <w:rsid w:val="00D55C7A"/>
    <w:rsid w:val="00D7263F"/>
    <w:rsid w:val="00D84A58"/>
    <w:rsid w:val="00DA0076"/>
    <w:rsid w:val="00DD6452"/>
    <w:rsid w:val="00DD696D"/>
    <w:rsid w:val="00DF5CB1"/>
    <w:rsid w:val="00E3502A"/>
    <w:rsid w:val="00E362D2"/>
    <w:rsid w:val="00E40116"/>
    <w:rsid w:val="00E7523E"/>
    <w:rsid w:val="00E810AE"/>
    <w:rsid w:val="00ED73AD"/>
    <w:rsid w:val="00F128AD"/>
    <w:rsid w:val="00F25DC3"/>
    <w:rsid w:val="00FD71A1"/>
    <w:rsid w:val="0F624635"/>
    <w:rsid w:val="2ED97291"/>
    <w:rsid w:val="45CC5537"/>
    <w:rsid w:val="53933B13"/>
    <w:rsid w:val="65BD27DE"/>
    <w:rsid w:val="6AE62577"/>
    <w:rsid w:val="6E4D3094"/>
    <w:rsid w:val="729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spacing w:beforeAutospacing="1" w:afterAutospacing="1"/>
      <w:jc w:val="left"/>
    </w:pPr>
    <w:rPr>
      <w:kern w:val="0"/>
      <w:sz w:val="24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</w:rPr>
  </w:style>
  <w:style w:type="character" w:customStyle="1" w:styleId="10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1F60E0-9D02-4A1D-AC43-3989B6417B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5</Pages>
  <Words>318</Words>
  <Characters>1819</Characters>
  <Lines>15</Lines>
  <Paragraphs>4</Paragraphs>
  <TotalTime>0</TotalTime>
  <ScaleCrop>false</ScaleCrop>
  <LinksUpToDate>false</LinksUpToDate>
  <CharactersWithSpaces>2133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2016-03-10T01:00:00Z</dcterms:created>
  <dc:creator>lenovo</dc:creator>
  <cp:lastModifiedBy>Administrator</cp:lastModifiedBy>
  <cp:lastPrinted>2017-07-26T02:44:00Z</cp:lastPrinted>
  <dcterms:modified xsi:type="dcterms:W3CDTF">2019-11-27T08:46:34Z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