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D3" w:rsidRDefault="003C40D3" w:rsidP="003C40D3">
      <w:pPr>
        <w:pStyle w:val="2"/>
        <w:jc w:val="both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包2</w:t>
      </w:r>
      <w:r>
        <w:rPr>
          <w:rFonts w:ascii="仿宋" w:eastAsia="仿宋" w:hAnsi="仿宋" w:hint="eastAsia"/>
          <w:spacing w:val="2"/>
        </w:rPr>
        <w:t>：备</w:t>
      </w:r>
      <w:r>
        <w:rPr>
          <w:rFonts w:ascii="仿宋" w:eastAsia="仿宋" w:hAnsi="仿宋" w:hint="eastAsia"/>
        </w:rPr>
        <w:t>线路</w:t>
      </w:r>
      <w:r>
        <w:rPr>
          <w:rFonts w:ascii="仿宋" w:eastAsia="仿宋" w:hAnsi="仿宋" w:hint="eastAsia"/>
          <w:spacing w:val="1"/>
        </w:rPr>
        <w:t>部</w:t>
      </w:r>
      <w:r>
        <w:rPr>
          <w:rFonts w:ascii="仿宋" w:eastAsia="仿宋" w:hAnsi="仿宋" w:hint="eastAsia"/>
          <w:spacing w:val="-2"/>
        </w:rPr>
        <w:t>分</w:t>
      </w:r>
      <w:r>
        <w:rPr>
          <w:rFonts w:ascii="仿宋" w:eastAsia="仿宋" w:hAnsi="仿宋" w:hint="eastAsia"/>
          <w:spacing w:val="2"/>
        </w:rPr>
        <w:t>项</w:t>
      </w:r>
      <w:r>
        <w:rPr>
          <w:rFonts w:ascii="仿宋" w:eastAsia="仿宋" w:hAnsi="仿宋" w:hint="eastAsia"/>
        </w:rPr>
        <w:t>目</w:t>
      </w:r>
      <w:r>
        <w:rPr>
          <w:rFonts w:ascii="仿宋" w:eastAsia="仿宋" w:hAnsi="仿宋" w:hint="eastAsia"/>
          <w:spacing w:val="2"/>
        </w:rPr>
        <w:t>需</w:t>
      </w:r>
      <w:r>
        <w:rPr>
          <w:rFonts w:ascii="仿宋" w:eastAsia="仿宋" w:hAnsi="仿宋" w:hint="eastAsia"/>
        </w:rPr>
        <w:t>求</w:t>
      </w:r>
      <w:r>
        <w:rPr>
          <w:rFonts w:ascii="仿宋" w:eastAsia="仿宋" w:hAnsi="仿宋" w:hint="eastAsia"/>
          <w:spacing w:val="2"/>
        </w:rPr>
        <w:t>及</w:t>
      </w:r>
      <w:r>
        <w:rPr>
          <w:rFonts w:ascii="仿宋" w:eastAsia="仿宋" w:hAnsi="仿宋" w:hint="eastAsia"/>
        </w:rPr>
        <w:t>技术</w:t>
      </w:r>
      <w:r>
        <w:rPr>
          <w:rFonts w:ascii="仿宋" w:eastAsia="仿宋" w:hAnsi="仿宋" w:hint="eastAsia"/>
          <w:spacing w:val="2"/>
        </w:rPr>
        <w:t>要</w:t>
      </w:r>
      <w:r>
        <w:rPr>
          <w:rFonts w:ascii="仿宋" w:eastAsia="仿宋" w:hAnsi="仿宋" w:hint="eastAsia"/>
        </w:rPr>
        <w:t>求</w:t>
      </w:r>
    </w:p>
    <w:p w:rsidR="003C40D3" w:rsidRDefault="003C40D3" w:rsidP="003C40D3">
      <w:pPr>
        <w:autoSpaceDE w:val="0"/>
        <w:autoSpaceDN w:val="0"/>
        <w:adjustRightInd w:val="0"/>
        <w:spacing w:before="19" w:line="260" w:lineRule="exact"/>
        <w:ind w:right="-20"/>
        <w:jc w:val="left"/>
        <w:rPr>
          <w:rFonts w:ascii="仿宋" w:eastAsia="仿宋" w:hAnsi="仿宋" w:cs="宋体"/>
          <w:kern w:val="0"/>
          <w:sz w:val="26"/>
          <w:szCs w:val="26"/>
        </w:rPr>
      </w:pPr>
    </w:p>
    <w:p w:rsidR="003C40D3" w:rsidRDefault="003C40D3" w:rsidP="003C40D3">
      <w:pPr>
        <w:autoSpaceDE w:val="0"/>
        <w:autoSpaceDN w:val="0"/>
        <w:adjustRightInd w:val="0"/>
        <w:ind w:left="533" w:right="-2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1、项目需求一览表</w:t>
      </w:r>
    </w:p>
    <w:p w:rsidR="003C40D3" w:rsidRDefault="003C40D3" w:rsidP="003C40D3">
      <w:pPr>
        <w:autoSpaceDE w:val="0"/>
        <w:autoSpaceDN w:val="0"/>
        <w:adjustRightInd w:val="0"/>
        <w:spacing w:before="9" w:line="160" w:lineRule="exact"/>
        <w:ind w:right="-20"/>
        <w:jc w:val="left"/>
        <w:rPr>
          <w:rFonts w:ascii="仿宋" w:eastAsia="仿宋" w:hAnsi="仿宋" w:cs="宋体"/>
          <w:kern w:val="0"/>
          <w:sz w:val="16"/>
          <w:szCs w:val="16"/>
        </w:rPr>
      </w:pPr>
    </w:p>
    <w:tbl>
      <w:tblPr>
        <w:tblW w:w="5340" w:type="dxa"/>
        <w:tblInd w:w="1617" w:type="dxa"/>
        <w:tblLook w:val="04A0"/>
      </w:tblPr>
      <w:tblGrid>
        <w:gridCol w:w="759"/>
        <w:gridCol w:w="2942"/>
        <w:gridCol w:w="850"/>
        <w:gridCol w:w="789"/>
      </w:tblGrid>
      <w:tr w:rsidR="003C40D3" w:rsidTr="008A0604">
        <w:trPr>
          <w:trHeight w:val="600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2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           名称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单位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数量</w:t>
            </w:r>
          </w:p>
        </w:tc>
      </w:tr>
      <w:tr w:rsidR="003C40D3" w:rsidTr="008A0604">
        <w:trPr>
          <w:trHeight w:val="436"/>
        </w:trPr>
        <w:tc>
          <w:tcPr>
            <w:tcW w:w="7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MSTP/PTN/UTN 数据专线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条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21</w:t>
            </w:r>
          </w:p>
        </w:tc>
      </w:tr>
      <w:tr w:rsidR="003C40D3" w:rsidTr="008A0604">
        <w:trPr>
          <w:trHeight w:val="415"/>
        </w:trPr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2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MSTP/PTN/UTN 视频专线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条</w:t>
            </w:r>
          </w:p>
        </w:tc>
        <w:tc>
          <w:tcPr>
            <w:tcW w:w="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20</w:t>
            </w:r>
          </w:p>
        </w:tc>
      </w:tr>
      <w:tr w:rsidR="003C40D3" w:rsidTr="008A0604">
        <w:trPr>
          <w:trHeight w:val="407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省院汇聚下联路由器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2</w:t>
            </w:r>
          </w:p>
        </w:tc>
      </w:tr>
      <w:tr w:rsidR="003C40D3" w:rsidTr="008A0604">
        <w:trPr>
          <w:trHeight w:val="399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地市分院上联路由器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4</w:t>
            </w:r>
          </w:p>
        </w:tc>
      </w:tr>
      <w:tr w:rsidR="003C40D3" w:rsidTr="008A0604">
        <w:trPr>
          <w:trHeight w:val="399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地市分院上联路由器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9</w:t>
            </w:r>
          </w:p>
        </w:tc>
      </w:tr>
      <w:tr w:rsidR="003C40D3" w:rsidTr="008A0604">
        <w:trPr>
          <w:trHeight w:val="399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地市分院上联路由器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7</w:t>
            </w:r>
          </w:p>
        </w:tc>
      </w:tr>
      <w:tr w:rsidR="003C40D3" w:rsidTr="008A0604">
        <w:trPr>
          <w:trHeight w:val="404"/>
        </w:trPr>
        <w:tc>
          <w:tcPr>
            <w:tcW w:w="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7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线缆、辅材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1</w:t>
            </w:r>
          </w:p>
        </w:tc>
      </w:tr>
    </w:tbl>
    <w:p w:rsidR="003C40D3" w:rsidRDefault="003C40D3" w:rsidP="003C40D3">
      <w:pPr>
        <w:autoSpaceDE w:val="0"/>
        <w:autoSpaceDN w:val="0"/>
        <w:adjustRightInd w:val="0"/>
        <w:spacing w:before="17" w:line="220" w:lineRule="exact"/>
        <w:ind w:right="-20"/>
        <w:jc w:val="left"/>
        <w:rPr>
          <w:rFonts w:ascii="仿宋" w:eastAsia="仿宋" w:hAnsi="仿宋"/>
          <w:kern w:val="0"/>
          <w:sz w:val="22"/>
        </w:rPr>
      </w:pPr>
    </w:p>
    <w:p w:rsidR="003C40D3" w:rsidRDefault="003C40D3" w:rsidP="003C40D3">
      <w:pPr>
        <w:autoSpaceDE w:val="0"/>
        <w:autoSpaceDN w:val="0"/>
        <w:adjustRightInd w:val="0"/>
        <w:spacing w:line="211" w:lineRule="exact"/>
        <w:ind w:left="533" w:right="-20"/>
        <w:jc w:val="left"/>
        <w:rPr>
          <w:rFonts w:ascii="仿宋" w:eastAsia="仿宋" w:hAnsi="仿宋" w:cs="宋体"/>
          <w:kern w:val="0"/>
          <w:position w:val="-1"/>
          <w:szCs w:val="21"/>
        </w:rPr>
      </w:pPr>
      <w:r>
        <w:rPr>
          <w:rFonts w:ascii="仿宋" w:eastAsia="仿宋" w:hAnsi="仿宋" w:cs="宋体" w:hint="eastAsia"/>
          <w:kern w:val="0"/>
          <w:position w:val="-1"/>
          <w:szCs w:val="21"/>
        </w:rPr>
        <w:t>2</w:t>
      </w:r>
      <w:r>
        <w:rPr>
          <w:rFonts w:ascii="仿宋" w:eastAsia="仿宋" w:hAnsi="仿宋" w:cs="宋体" w:hint="eastAsia"/>
          <w:kern w:val="0"/>
          <w:szCs w:val="21"/>
        </w:rPr>
        <w:t>、技术参数要求</w:t>
      </w:r>
    </w:p>
    <w:p w:rsidR="003C40D3" w:rsidRDefault="003C40D3" w:rsidP="003C40D3">
      <w:pPr>
        <w:autoSpaceDE w:val="0"/>
        <w:autoSpaceDN w:val="0"/>
        <w:adjustRightInd w:val="0"/>
        <w:spacing w:line="211" w:lineRule="exact"/>
        <w:ind w:left="533" w:right="-20"/>
        <w:jc w:val="left"/>
        <w:rPr>
          <w:rFonts w:ascii="仿宋" w:eastAsia="仿宋" w:hAnsi="仿宋" w:cs="宋体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2380"/>
        <w:gridCol w:w="5527"/>
      </w:tblGrid>
      <w:tr w:rsidR="003C40D3" w:rsidTr="008A0604">
        <w:trPr>
          <w:trHeight w:val="132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  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MSTP/PTN/UTN 数据专线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1、线路带宽 200M ；                                                                          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2、带宽占用端到端独占带宽，硬通道；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3、</w:t>
            </w:r>
            <w:r>
              <w:rPr>
                <w:rFonts w:ascii="仿宋" w:eastAsia="仿宋" w:hAnsi="仿宋" w:hint="eastAsia"/>
                <w:color w:val="191F25"/>
                <w:szCs w:val="21"/>
                <w:shd w:val="clear" w:color="auto" w:fill="FFFFFF"/>
              </w:rPr>
              <w:t>省院</w:t>
            </w: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至 18 个市级院、铁检分院、双活数据中心、省检察官学院。</w:t>
            </w:r>
          </w:p>
        </w:tc>
      </w:tr>
      <w:tr w:rsidR="003C40D3" w:rsidTr="008A0604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  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MSTP/PTN/UTN 视频专线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1、线路带宽 50M ；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2、宽占用端到端独占带宽，硬通道；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3、</w:t>
            </w:r>
            <w:r>
              <w:rPr>
                <w:rFonts w:ascii="仿宋" w:eastAsia="仿宋" w:hAnsi="仿宋" w:hint="eastAsia"/>
                <w:color w:val="191F25"/>
                <w:szCs w:val="21"/>
                <w:shd w:val="clear" w:color="auto" w:fill="FFFFFF"/>
              </w:rPr>
              <w:t>省院</w:t>
            </w: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至 18 个市级院、铁检分院、省检察官学院。</w:t>
            </w:r>
          </w:p>
        </w:tc>
      </w:tr>
      <w:tr w:rsidR="003C40D3" w:rsidTr="008A0604">
        <w:trPr>
          <w:trHeight w:val="565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  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省院核心路由器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1.分级交换架构，配置独立的主控板卡≥2，独立的交换板卡≥2,业务 处理卡槽位≥8；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2.交换容量≥3.0Tbps,包转发率≥1100Mpps；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3.配置交流电源模块≥2（支持 2+1/1+1 冗余），含冗余风扇模块；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4.实配支持 OSPF、VRRP、BFD、MPLS VPN、MVPN、IPv6 协议；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5.配置千兆接口≥10((含 5 电、5 光模块))，每槽位须支持千兆或万兆 的纯三层接口；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6.支持 1M 条路由表；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7.与全省现有设备实现良好兼容</w:t>
            </w:r>
            <w:r>
              <w:rPr>
                <w:rFonts w:ascii="仿宋" w:eastAsia="仿宋" w:hAnsi="仿宋" w:hint="eastAsia"/>
                <w:color w:val="FF0000"/>
                <w:kern w:val="0"/>
                <w:szCs w:val="21"/>
                <w:shd w:val="clear" w:color="auto" w:fill="FFFFFF"/>
              </w:rPr>
              <w:t xml:space="preserve">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8.本标段所有路由器同品牌；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FF0000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Cs w:val="21"/>
                <w:shd w:val="clear" w:color="auto" w:fill="FFFFFF"/>
              </w:rPr>
              <w:t>提供设备技术证明文件。</w:t>
            </w:r>
          </w:p>
        </w:tc>
      </w:tr>
      <w:tr w:rsidR="003C40D3" w:rsidTr="008A0604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/>
                <w:kern w:val="0"/>
                <w:sz w:val="24"/>
              </w:rPr>
              <w:t xml:space="preserve">  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地市分院上联路由器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1.实配产品关键部件均采用冗余设计，配置主控引擎≥2、交换板≥2， 电源≥2、风扇≥2，含引擎、板卡、子卡、机箱风扇和电源都支持热插 拔；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2.业务处理卡槽位≥4；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3.交换容量≥1.5Tbps,包转发率≥750Mpps；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4.配置千兆接口≥8(含 4 电、4 光模块)；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5.可实现 OSPF、OSPFv3、BGP、BGP4+、VRRP、BFD、GRE、MPLS VPN、MVPN、 IPv6 协议；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6.每槽位须支持安装千兆或万兆的纯三层接口；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7.提供技术证明材料；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>8.本标段所有路由器同品牌。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3C40D3" w:rsidTr="008A0604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  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pStyle w:val="a6"/>
              <w:jc w:val="both"/>
              <w:rPr>
                <w:rFonts w:ascii="仿宋" w:eastAsia="仿宋" w:hAnsi="仿宋"/>
                <w:color w:val="191F25"/>
                <w:sz w:val="21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pStyle w:val="a6"/>
              <w:jc w:val="both"/>
              <w:rPr>
                <w:rFonts w:ascii="仿宋" w:eastAsia="仿宋" w:hAnsi="仿宋"/>
                <w:color w:val="191F25"/>
                <w:sz w:val="21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pStyle w:val="a6"/>
              <w:jc w:val="both"/>
              <w:rPr>
                <w:rFonts w:ascii="仿宋" w:eastAsia="仿宋" w:hAnsi="仿宋" w:cs="Times New Roman"/>
                <w:color w:val="191F25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sz w:val="21"/>
                <w:szCs w:val="21"/>
                <w:shd w:val="clear" w:color="auto" w:fill="FFFFFF"/>
              </w:rPr>
              <w:t>地市分院上联路由器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1.采用冗余设计，配置主控引擎≥2、交换板≥2，电源≥2，含引擎、 板卡、子卡、机箱风扇和电源都支持热插拔；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2.业务处理卡槽位≥4；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3.交换容量≥0.75Tbps,包转发率≥300Mpps；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4.配置千兆接口≥8(含 4 电、4 光模块)；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5.可实现 OSPF、OSPFv3、BGP、BGP4+、VRRP、BFD、GRE、MPLS VPN、MVPN、 IPv6 协议；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6.每槽位须支持安装千兆或万兆的纯三层接口；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7.提供技术证明材料。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</w:tc>
      </w:tr>
      <w:tr w:rsidR="003C40D3" w:rsidTr="008A0604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 w:val="2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 w:val="2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 w:val="2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 w:val="2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 w:val="2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 w:val="20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 w:val="20"/>
                <w:szCs w:val="21"/>
                <w:shd w:val="clear" w:color="auto" w:fill="FFFFFF"/>
              </w:rPr>
              <w:t xml:space="preserve">  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pStyle w:val="a6"/>
              <w:jc w:val="both"/>
              <w:rPr>
                <w:rFonts w:ascii="仿宋" w:eastAsia="仿宋" w:hAnsi="仿宋"/>
                <w:color w:val="191F25"/>
                <w:sz w:val="21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pStyle w:val="a6"/>
              <w:jc w:val="both"/>
              <w:rPr>
                <w:rFonts w:ascii="仿宋" w:eastAsia="仿宋" w:hAnsi="仿宋"/>
                <w:color w:val="191F25"/>
                <w:sz w:val="21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pStyle w:val="a6"/>
              <w:jc w:val="both"/>
              <w:rPr>
                <w:rFonts w:ascii="仿宋" w:eastAsia="仿宋" w:hAnsi="仿宋"/>
                <w:color w:val="191F25"/>
                <w:sz w:val="21"/>
                <w:szCs w:val="21"/>
                <w:shd w:val="clear" w:color="auto" w:fill="FFFFFF"/>
              </w:rPr>
            </w:pPr>
          </w:p>
          <w:p w:rsidR="003C40D3" w:rsidRDefault="003C40D3" w:rsidP="008A0604">
            <w:pPr>
              <w:pStyle w:val="a6"/>
              <w:jc w:val="both"/>
              <w:rPr>
                <w:rFonts w:ascii="仿宋" w:eastAsia="仿宋" w:hAnsi="仿宋" w:cs="Times New Roman"/>
                <w:color w:val="191F25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sz w:val="21"/>
                <w:szCs w:val="21"/>
                <w:shd w:val="clear" w:color="auto" w:fill="FFFFFF"/>
              </w:rPr>
              <w:t>地市分院上联路由器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1.采用冗余设计，配置主控引擎≥2、电源≥2，交换板≥2，含引擎、 板卡、子卡、机箱风扇和电源都支持热插拔；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2.业务处理卡槽位≥4；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3.交换容量≥0.5Tbps,包转发率≥180Mpps；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4.配置千兆接口≥8(包括相应模块)；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5.可实现 OSPF、OSPFv3、BGP、BGP4+、VRRP、BFD、GRE、MPLS VPN、MVPN、 IPv6 协议；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6.每槽位须支持安装千兆或万兆的纯三层接口；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7.提供技术证明材料；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8.本标段所有路由器同品牌。 </w:t>
            </w:r>
          </w:p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</w:p>
        </w:tc>
      </w:tr>
      <w:tr w:rsidR="003C40D3" w:rsidTr="008A0604">
        <w:trPr>
          <w:trHeight w:val="59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color w:val="191F25"/>
                <w:kern w:val="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kern w:val="0"/>
                <w:szCs w:val="21"/>
                <w:shd w:val="clear" w:color="auto" w:fill="FFFFFF"/>
              </w:rPr>
              <w:t xml:space="preserve">  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pStyle w:val="a6"/>
              <w:jc w:val="both"/>
              <w:rPr>
                <w:rFonts w:ascii="仿宋" w:eastAsia="仿宋" w:hAnsi="仿宋"/>
                <w:color w:val="191F25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sz w:val="21"/>
                <w:szCs w:val="21"/>
                <w:shd w:val="clear" w:color="auto" w:fill="FFFFFF"/>
              </w:rPr>
              <w:t>线缆辅材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3" w:rsidRDefault="003C40D3" w:rsidP="008A0604">
            <w:pPr>
              <w:pStyle w:val="a6"/>
              <w:jc w:val="both"/>
              <w:rPr>
                <w:rFonts w:ascii="仿宋" w:eastAsia="仿宋" w:hAnsi="仿宋"/>
                <w:color w:val="191F25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191F25"/>
                <w:sz w:val="21"/>
                <w:szCs w:val="21"/>
                <w:shd w:val="clear" w:color="auto" w:fill="FFFFFF"/>
              </w:rPr>
              <w:t>根据施工现场定制。</w:t>
            </w:r>
          </w:p>
        </w:tc>
      </w:tr>
    </w:tbl>
    <w:p w:rsidR="003C40D3" w:rsidRDefault="003C40D3" w:rsidP="003C40D3">
      <w:pPr>
        <w:autoSpaceDE w:val="0"/>
        <w:autoSpaceDN w:val="0"/>
        <w:adjustRightInd w:val="0"/>
        <w:spacing w:before="17" w:line="220" w:lineRule="exact"/>
        <w:ind w:right="-20"/>
        <w:jc w:val="left"/>
        <w:rPr>
          <w:rFonts w:ascii="仿宋" w:eastAsia="仿宋" w:hAnsi="仿宋"/>
          <w:kern w:val="0"/>
          <w:sz w:val="22"/>
        </w:rPr>
      </w:pPr>
    </w:p>
    <w:p w:rsidR="003C40D3" w:rsidRDefault="003C40D3" w:rsidP="003C40D3">
      <w:pPr>
        <w:autoSpaceDE w:val="0"/>
        <w:autoSpaceDN w:val="0"/>
        <w:adjustRightInd w:val="0"/>
        <w:spacing w:before="17" w:line="220" w:lineRule="exact"/>
        <w:ind w:right="-20"/>
        <w:jc w:val="left"/>
        <w:rPr>
          <w:rFonts w:ascii="仿宋" w:eastAsia="仿宋" w:hAnsi="仿宋"/>
          <w:kern w:val="0"/>
          <w:sz w:val="22"/>
        </w:rPr>
      </w:pPr>
    </w:p>
    <w:p w:rsidR="003C40D3" w:rsidRDefault="003C40D3" w:rsidP="003C40D3">
      <w:pPr>
        <w:autoSpaceDE w:val="0"/>
        <w:autoSpaceDN w:val="0"/>
        <w:adjustRightInd w:val="0"/>
        <w:spacing w:before="17" w:line="360" w:lineRule="auto"/>
        <w:ind w:right="-20"/>
        <w:jc w:val="left"/>
        <w:rPr>
          <w:rFonts w:ascii="仿宋" w:eastAsia="仿宋" w:hAnsi="仿宋"/>
          <w:kern w:val="0"/>
          <w:sz w:val="22"/>
        </w:rPr>
      </w:pPr>
      <w:r>
        <w:rPr>
          <w:rFonts w:ascii="仿宋" w:eastAsia="仿宋" w:hAnsi="仿宋"/>
          <w:kern w:val="0"/>
          <w:sz w:val="22"/>
        </w:rPr>
        <w:t>3</w:t>
      </w:r>
      <w:r>
        <w:rPr>
          <w:rFonts w:ascii="仿宋" w:eastAsia="仿宋" w:hAnsi="仿宋" w:hint="eastAsia"/>
          <w:kern w:val="0"/>
          <w:sz w:val="22"/>
        </w:rPr>
        <w:t>、其他要求</w:t>
      </w:r>
    </w:p>
    <w:p w:rsidR="003C40D3" w:rsidRDefault="003C40D3" w:rsidP="003C40D3">
      <w:pPr>
        <w:autoSpaceDE w:val="0"/>
        <w:autoSpaceDN w:val="0"/>
        <w:adjustRightInd w:val="0"/>
        <w:spacing w:before="17" w:line="360" w:lineRule="auto"/>
        <w:ind w:right="-20"/>
        <w:jc w:val="left"/>
        <w:rPr>
          <w:rFonts w:ascii="仿宋" w:eastAsia="仿宋" w:hAnsi="仿宋"/>
          <w:kern w:val="0"/>
          <w:sz w:val="22"/>
        </w:rPr>
      </w:pPr>
      <w:r>
        <w:rPr>
          <w:rFonts w:ascii="仿宋" w:eastAsia="仿宋" w:hAnsi="仿宋"/>
          <w:kern w:val="0"/>
          <w:sz w:val="22"/>
        </w:rPr>
        <w:t>3.1</w:t>
      </w:r>
      <w:r>
        <w:rPr>
          <w:rFonts w:ascii="仿宋" w:eastAsia="仿宋" w:hAnsi="仿宋" w:hint="eastAsia"/>
          <w:kern w:val="0"/>
          <w:sz w:val="22"/>
        </w:rPr>
        <w:t>、质保服务</w:t>
      </w:r>
    </w:p>
    <w:p w:rsidR="003C40D3" w:rsidRDefault="003C40D3" w:rsidP="003C40D3">
      <w:pPr>
        <w:autoSpaceDE w:val="0"/>
        <w:autoSpaceDN w:val="0"/>
        <w:adjustRightInd w:val="0"/>
        <w:spacing w:before="17" w:line="360" w:lineRule="auto"/>
        <w:ind w:right="-20"/>
        <w:jc w:val="left"/>
        <w:rPr>
          <w:rFonts w:ascii="仿宋" w:eastAsia="仿宋" w:hAnsi="仿宋"/>
          <w:kern w:val="0"/>
          <w:sz w:val="22"/>
        </w:rPr>
      </w:pPr>
      <w:r>
        <w:rPr>
          <w:rFonts w:ascii="仿宋" w:eastAsia="仿宋" w:hAnsi="仿宋" w:hint="eastAsia"/>
          <w:kern w:val="0"/>
          <w:sz w:val="22"/>
        </w:rPr>
        <w:t>（</w:t>
      </w:r>
      <w:r>
        <w:rPr>
          <w:rFonts w:ascii="仿宋" w:eastAsia="仿宋" w:hAnsi="仿宋"/>
          <w:kern w:val="0"/>
          <w:sz w:val="22"/>
        </w:rPr>
        <w:t>1</w:t>
      </w:r>
      <w:r>
        <w:rPr>
          <w:rFonts w:ascii="仿宋" w:eastAsia="仿宋" w:hAnsi="仿宋" w:hint="eastAsia"/>
          <w:kern w:val="0"/>
          <w:sz w:val="22"/>
        </w:rPr>
        <w:t>）所有相关软</w:t>
      </w:r>
      <w:r>
        <w:rPr>
          <w:rFonts w:ascii="仿宋" w:eastAsia="仿宋" w:hAnsi="仿宋"/>
          <w:kern w:val="0"/>
          <w:sz w:val="22"/>
        </w:rPr>
        <w:t>/</w:t>
      </w:r>
      <w:r>
        <w:rPr>
          <w:rFonts w:ascii="仿宋" w:eastAsia="仿宋" w:hAnsi="仿宋" w:hint="eastAsia"/>
          <w:kern w:val="0"/>
          <w:sz w:val="22"/>
        </w:rPr>
        <w:t>硬件设备质保年限为</w:t>
      </w:r>
      <w:r>
        <w:rPr>
          <w:rFonts w:ascii="仿宋" w:eastAsia="仿宋" w:hAnsi="仿宋"/>
          <w:kern w:val="0"/>
          <w:sz w:val="22"/>
        </w:rPr>
        <w:t>3</w:t>
      </w:r>
      <w:r>
        <w:rPr>
          <w:rFonts w:ascii="仿宋" w:eastAsia="仿宋" w:hAnsi="仿宋" w:hint="eastAsia"/>
          <w:kern w:val="0"/>
          <w:sz w:val="22"/>
        </w:rPr>
        <w:t>年</w:t>
      </w:r>
    </w:p>
    <w:p w:rsidR="003C40D3" w:rsidRDefault="003C40D3" w:rsidP="003C40D3">
      <w:pPr>
        <w:autoSpaceDE w:val="0"/>
        <w:autoSpaceDN w:val="0"/>
        <w:adjustRightInd w:val="0"/>
        <w:spacing w:before="17" w:line="360" w:lineRule="auto"/>
        <w:ind w:right="-20"/>
        <w:jc w:val="left"/>
        <w:rPr>
          <w:rFonts w:ascii="仿宋" w:eastAsia="仿宋" w:hAnsi="仿宋"/>
          <w:kern w:val="0"/>
          <w:sz w:val="22"/>
        </w:rPr>
      </w:pPr>
      <w:r>
        <w:rPr>
          <w:rFonts w:ascii="仿宋" w:eastAsia="仿宋" w:hAnsi="仿宋" w:hint="eastAsia"/>
          <w:kern w:val="0"/>
          <w:sz w:val="22"/>
        </w:rPr>
        <w:t>（</w:t>
      </w:r>
      <w:r>
        <w:rPr>
          <w:rFonts w:ascii="仿宋" w:eastAsia="仿宋" w:hAnsi="仿宋"/>
          <w:kern w:val="0"/>
          <w:sz w:val="22"/>
        </w:rPr>
        <w:t>2</w:t>
      </w:r>
      <w:r>
        <w:rPr>
          <w:rFonts w:ascii="仿宋" w:eastAsia="仿宋" w:hAnsi="仿宋" w:hint="eastAsia"/>
          <w:kern w:val="0"/>
          <w:sz w:val="22"/>
        </w:rPr>
        <w:t>）质保期内，自接到用户报修时起，</w:t>
      </w:r>
      <w:r>
        <w:rPr>
          <w:rFonts w:ascii="仿宋" w:eastAsia="仿宋" w:hAnsi="仿宋"/>
          <w:kern w:val="0"/>
          <w:sz w:val="22"/>
        </w:rPr>
        <w:t>2</w:t>
      </w:r>
      <w:r>
        <w:rPr>
          <w:rFonts w:ascii="仿宋" w:eastAsia="仿宋" w:hAnsi="仿宋" w:hint="eastAsia"/>
          <w:kern w:val="0"/>
          <w:sz w:val="22"/>
        </w:rPr>
        <w:t>个小时内响应，</w:t>
      </w:r>
      <w:r>
        <w:rPr>
          <w:rFonts w:ascii="仿宋" w:eastAsia="仿宋" w:hAnsi="仿宋"/>
          <w:kern w:val="0"/>
          <w:sz w:val="22"/>
        </w:rPr>
        <w:t>24</w:t>
      </w:r>
      <w:r>
        <w:rPr>
          <w:rFonts w:ascii="仿宋" w:eastAsia="仿宋" w:hAnsi="仿宋" w:hint="eastAsia"/>
          <w:kern w:val="0"/>
          <w:sz w:val="22"/>
        </w:rPr>
        <w:t>小时内到达用户现场并解决问题，如不能及时解决问题要提供备机服务、直到原设备修复</w:t>
      </w:r>
    </w:p>
    <w:p w:rsidR="003C40D3" w:rsidRDefault="003C40D3" w:rsidP="003C40D3">
      <w:pPr>
        <w:autoSpaceDE w:val="0"/>
        <w:autoSpaceDN w:val="0"/>
        <w:adjustRightInd w:val="0"/>
        <w:spacing w:before="17" w:line="360" w:lineRule="auto"/>
        <w:ind w:right="-20"/>
        <w:jc w:val="left"/>
        <w:rPr>
          <w:rFonts w:ascii="仿宋" w:eastAsia="仿宋" w:hAnsi="仿宋"/>
          <w:kern w:val="0"/>
          <w:sz w:val="22"/>
        </w:rPr>
      </w:pPr>
      <w:r>
        <w:rPr>
          <w:rFonts w:ascii="仿宋" w:eastAsia="仿宋" w:hAnsi="仿宋" w:hint="eastAsia"/>
          <w:kern w:val="0"/>
          <w:sz w:val="22"/>
        </w:rPr>
        <w:lastRenderedPageBreak/>
        <w:t>（</w:t>
      </w:r>
      <w:r>
        <w:rPr>
          <w:rFonts w:ascii="仿宋" w:eastAsia="仿宋" w:hAnsi="仿宋"/>
          <w:kern w:val="0"/>
          <w:sz w:val="22"/>
        </w:rPr>
        <w:t>3</w:t>
      </w:r>
      <w:r>
        <w:rPr>
          <w:rFonts w:ascii="仿宋" w:eastAsia="仿宋" w:hAnsi="仿宋" w:hint="eastAsia"/>
          <w:kern w:val="0"/>
          <w:sz w:val="22"/>
        </w:rPr>
        <w:t>）提供</w:t>
      </w:r>
      <w:r>
        <w:rPr>
          <w:rFonts w:ascii="仿宋" w:eastAsia="仿宋" w:hAnsi="仿宋"/>
          <w:kern w:val="0"/>
          <w:sz w:val="22"/>
        </w:rPr>
        <w:t>7*24</w:t>
      </w:r>
      <w:r>
        <w:rPr>
          <w:rFonts w:ascii="仿宋" w:eastAsia="仿宋" w:hAnsi="仿宋" w:hint="eastAsia"/>
          <w:kern w:val="0"/>
          <w:sz w:val="22"/>
        </w:rPr>
        <w:t>小时专线电话服务</w:t>
      </w:r>
    </w:p>
    <w:p w:rsidR="003C40D3" w:rsidRDefault="003C40D3" w:rsidP="003C40D3">
      <w:pPr>
        <w:autoSpaceDE w:val="0"/>
        <w:autoSpaceDN w:val="0"/>
        <w:adjustRightInd w:val="0"/>
        <w:spacing w:line="314" w:lineRule="auto"/>
        <w:ind w:right="509" w:firstLineChars="100" w:firstLine="21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 w:hint="eastAsia"/>
          <w:kern w:val="0"/>
          <w:szCs w:val="21"/>
        </w:rPr>
        <w:t>2、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技</w:t>
      </w:r>
      <w:r>
        <w:rPr>
          <w:rFonts w:ascii="仿宋" w:eastAsia="仿宋" w:hAnsi="仿宋" w:cs="宋体" w:hint="eastAsia"/>
          <w:kern w:val="0"/>
          <w:szCs w:val="21"/>
        </w:rPr>
        <w:t>术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培</w:t>
      </w:r>
      <w:r>
        <w:rPr>
          <w:rFonts w:ascii="仿宋" w:eastAsia="仿宋" w:hAnsi="仿宋" w:cs="宋体" w:hint="eastAsia"/>
          <w:kern w:val="0"/>
          <w:szCs w:val="21"/>
        </w:rPr>
        <w:t>训投标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人</w:t>
      </w:r>
      <w:r>
        <w:rPr>
          <w:rFonts w:ascii="仿宋" w:eastAsia="仿宋" w:hAnsi="仿宋" w:cs="宋体" w:hint="eastAsia"/>
          <w:kern w:val="0"/>
          <w:szCs w:val="21"/>
        </w:rPr>
        <w:t>应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免</w:t>
      </w:r>
      <w:r>
        <w:rPr>
          <w:rFonts w:ascii="仿宋" w:eastAsia="仿宋" w:hAnsi="仿宋" w:cs="宋体" w:hint="eastAsia"/>
          <w:kern w:val="0"/>
          <w:szCs w:val="21"/>
        </w:rPr>
        <w:t>费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为</w:t>
      </w:r>
      <w:r>
        <w:rPr>
          <w:rFonts w:ascii="仿宋" w:eastAsia="仿宋" w:hAnsi="仿宋" w:cs="宋体" w:hint="eastAsia"/>
          <w:kern w:val="0"/>
          <w:szCs w:val="21"/>
        </w:rPr>
        <w:t>河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南</w:t>
      </w:r>
      <w:r>
        <w:rPr>
          <w:rFonts w:ascii="仿宋" w:eastAsia="仿宋" w:hAnsi="仿宋" w:cs="宋体" w:hint="eastAsia"/>
          <w:kern w:val="0"/>
          <w:szCs w:val="21"/>
        </w:rPr>
        <w:t>省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人</w:t>
      </w:r>
      <w:r>
        <w:rPr>
          <w:rFonts w:ascii="仿宋" w:eastAsia="仿宋" w:hAnsi="仿宋" w:cs="宋体" w:hint="eastAsia"/>
          <w:kern w:val="0"/>
          <w:szCs w:val="21"/>
        </w:rPr>
        <w:t>民检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察</w:t>
      </w:r>
      <w:r>
        <w:rPr>
          <w:rFonts w:ascii="仿宋" w:eastAsia="仿宋" w:hAnsi="仿宋" w:cs="宋体" w:hint="eastAsia"/>
          <w:kern w:val="0"/>
          <w:szCs w:val="21"/>
        </w:rPr>
        <w:t>院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进</w:t>
      </w:r>
      <w:r>
        <w:rPr>
          <w:rFonts w:ascii="仿宋" w:eastAsia="仿宋" w:hAnsi="仿宋" w:cs="宋体" w:hint="eastAsia"/>
          <w:kern w:val="0"/>
          <w:szCs w:val="21"/>
        </w:rPr>
        <w:t>行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系</w:t>
      </w:r>
      <w:r>
        <w:rPr>
          <w:rFonts w:ascii="仿宋" w:eastAsia="仿宋" w:hAnsi="仿宋" w:cs="宋体" w:hint="eastAsia"/>
          <w:kern w:val="0"/>
          <w:szCs w:val="21"/>
        </w:rPr>
        <w:t>统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操</w:t>
      </w:r>
      <w:r>
        <w:rPr>
          <w:rFonts w:ascii="仿宋" w:eastAsia="仿宋" w:hAnsi="仿宋" w:cs="宋体" w:hint="eastAsia"/>
          <w:kern w:val="0"/>
          <w:szCs w:val="21"/>
        </w:rPr>
        <w:t>作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使</w:t>
      </w:r>
      <w:r>
        <w:rPr>
          <w:rFonts w:ascii="仿宋" w:eastAsia="仿宋" w:hAnsi="仿宋" w:cs="宋体" w:hint="eastAsia"/>
          <w:kern w:val="0"/>
          <w:szCs w:val="21"/>
        </w:rPr>
        <w:t>用和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管</w:t>
      </w:r>
      <w:r>
        <w:rPr>
          <w:rFonts w:ascii="仿宋" w:eastAsia="仿宋" w:hAnsi="仿宋" w:cs="宋体" w:hint="eastAsia"/>
          <w:kern w:val="0"/>
          <w:szCs w:val="21"/>
        </w:rPr>
        <w:t>理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培</w:t>
      </w:r>
      <w:r>
        <w:rPr>
          <w:rFonts w:ascii="仿宋" w:eastAsia="仿宋" w:hAnsi="仿宋" w:cs="宋体" w:hint="eastAsia"/>
          <w:kern w:val="0"/>
          <w:szCs w:val="21"/>
        </w:rPr>
        <w:t>训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，</w:t>
      </w:r>
      <w:r>
        <w:rPr>
          <w:rFonts w:ascii="仿宋" w:eastAsia="仿宋" w:hAnsi="仿宋" w:cs="宋体" w:hint="eastAsia"/>
          <w:kern w:val="0"/>
          <w:szCs w:val="21"/>
        </w:rPr>
        <w:t>并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确</w:t>
      </w:r>
      <w:r>
        <w:rPr>
          <w:rFonts w:ascii="仿宋" w:eastAsia="仿宋" w:hAnsi="仿宋" w:cs="宋体" w:hint="eastAsia"/>
          <w:kern w:val="0"/>
          <w:szCs w:val="21"/>
        </w:rPr>
        <w:t>保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培</w:t>
      </w:r>
      <w:r>
        <w:rPr>
          <w:rFonts w:ascii="仿宋" w:eastAsia="仿宋" w:hAnsi="仿宋" w:cs="宋体" w:hint="eastAsia"/>
          <w:kern w:val="0"/>
          <w:szCs w:val="21"/>
        </w:rPr>
        <w:t>训效</w:t>
      </w:r>
      <w:r>
        <w:rPr>
          <w:rFonts w:ascii="仿宋" w:eastAsia="仿宋" w:hAnsi="仿宋" w:cs="宋体" w:hint="eastAsia"/>
          <w:spacing w:val="-2"/>
          <w:kern w:val="0"/>
          <w:szCs w:val="21"/>
        </w:rPr>
        <w:t>果</w:t>
      </w:r>
      <w:r>
        <w:rPr>
          <w:rFonts w:ascii="仿宋" w:eastAsia="仿宋" w:hAnsi="仿宋" w:cs="宋体" w:hint="eastAsia"/>
          <w:kern w:val="0"/>
          <w:szCs w:val="21"/>
        </w:rPr>
        <w:t>。</w:t>
      </w:r>
    </w:p>
    <w:p w:rsidR="003C40D3" w:rsidRPr="00B810ED" w:rsidRDefault="003C40D3" w:rsidP="003C40D3">
      <w:pPr>
        <w:widowControl/>
        <w:jc w:val="center"/>
        <w:rPr>
          <w:rFonts w:ascii="仿宋" w:eastAsia="仿宋" w:hAnsi="仿宋" w:hint="eastAsia"/>
          <w:b/>
          <w:sz w:val="24"/>
        </w:rPr>
      </w:pPr>
    </w:p>
    <w:p w:rsidR="005F0EBC" w:rsidRPr="003C40D3" w:rsidRDefault="005F0EBC"/>
    <w:sectPr w:rsidR="005F0EBC" w:rsidRPr="003C40D3" w:rsidSect="00CB492A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EBC" w:rsidRDefault="005F0EBC" w:rsidP="003C40D3">
      <w:r>
        <w:separator/>
      </w:r>
    </w:p>
  </w:endnote>
  <w:endnote w:type="continuationSeparator" w:id="1">
    <w:p w:rsidR="005F0EBC" w:rsidRDefault="005F0EBC" w:rsidP="003C4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EBC" w:rsidRDefault="005F0EBC" w:rsidP="003C40D3">
      <w:r>
        <w:separator/>
      </w:r>
    </w:p>
  </w:footnote>
  <w:footnote w:type="continuationSeparator" w:id="1">
    <w:p w:rsidR="005F0EBC" w:rsidRDefault="005F0EBC" w:rsidP="003C4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0D3"/>
    <w:rsid w:val="003C40D3"/>
    <w:rsid w:val="005F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D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0"/>
    <w:link w:val="2Char"/>
    <w:qFormat/>
    <w:rsid w:val="003C40D3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3C4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C40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C4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C40D3"/>
    <w:rPr>
      <w:sz w:val="18"/>
      <w:szCs w:val="18"/>
    </w:rPr>
  </w:style>
  <w:style w:type="character" w:customStyle="1" w:styleId="2Char">
    <w:name w:val="标题 2 Char"/>
    <w:basedOn w:val="a1"/>
    <w:link w:val="2"/>
    <w:rsid w:val="003C40D3"/>
    <w:rPr>
      <w:rFonts w:ascii="Arial" w:eastAsia="黑体" w:hAnsi="Arial" w:cs="Times New Roman"/>
      <w:b/>
      <w:kern w:val="0"/>
      <w:sz w:val="30"/>
      <w:szCs w:val="20"/>
    </w:rPr>
  </w:style>
  <w:style w:type="paragraph" w:styleId="a6">
    <w:name w:val="Normal (Web)"/>
    <w:basedOn w:val="a"/>
    <w:uiPriority w:val="99"/>
    <w:unhideWhenUsed/>
    <w:qFormat/>
    <w:rsid w:val="003C40D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3C40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Company>Lenovo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2020-06-11T08:43:00Z</dcterms:created>
  <dcterms:modified xsi:type="dcterms:W3CDTF">2020-06-11T08:43:00Z</dcterms:modified>
</cp:coreProperties>
</file>