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12" w:lineRule="auto"/>
        <w:jc w:val="center"/>
        <w:rPr>
          <w:rFonts w:ascii="宋体" w:hAnsi="宋体" w:eastAsia="宋体" w:cs="宋体"/>
          <w:b/>
          <w:color w:val="auto"/>
          <w:sz w:val="44"/>
          <w:szCs w:val="44"/>
          <w:highlight w:val="none"/>
        </w:rPr>
      </w:pPr>
    </w:p>
    <w:p>
      <w:pPr>
        <w:pStyle w:val="2"/>
        <w:ind w:firstLine="210"/>
        <w:rPr>
          <w:rFonts w:hint="eastAsia"/>
          <w:color w:val="auto"/>
          <w:highlight w:val="none"/>
        </w:rPr>
      </w:pPr>
    </w:p>
    <w:p>
      <w:pPr>
        <w:spacing w:line="312" w:lineRule="auto"/>
        <w:jc w:val="center"/>
        <w:rPr>
          <w:rFonts w:ascii="宋体" w:hAnsi="宋体" w:eastAsia="宋体" w:cs="宋体"/>
          <w:b/>
          <w:color w:val="auto"/>
          <w:sz w:val="44"/>
          <w:szCs w:val="44"/>
          <w:highlight w:val="none"/>
        </w:rPr>
      </w:pPr>
    </w:p>
    <w:p>
      <w:pPr>
        <w:spacing w:line="312"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鄢陵县公共文化服务体系建设-12乡镇图书馆分馆建设(三次)</w:t>
      </w:r>
    </w:p>
    <w:p>
      <w:pPr>
        <w:spacing w:line="312" w:lineRule="auto"/>
        <w:ind w:firstLine="3072" w:firstLineChars="850"/>
        <w:rPr>
          <w:rFonts w:ascii="黑体" w:hAnsi="黑体" w:eastAsia="黑体" w:cs="黑体"/>
          <w:b/>
          <w:color w:val="auto"/>
          <w:sz w:val="36"/>
          <w:szCs w:val="36"/>
          <w:highlight w:val="none"/>
          <w:shd w:val="clear" w:color="auto" w:fill="FFFFFF"/>
        </w:rPr>
      </w:pPr>
    </w:p>
    <w:p>
      <w:pPr>
        <w:spacing w:line="312" w:lineRule="auto"/>
        <w:rPr>
          <w:rFonts w:ascii="黑体" w:hAnsi="黑体" w:eastAsia="黑体" w:cs="黑体"/>
          <w:b/>
          <w:color w:val="auto"/>
          <w:sz w:val="44"/>
          <w:szCs w:val="44"/>
          <w:highlight w:val="none"/>
          <w:shd w:val="clear" w:color="auto" w:fill="FFFFFF"/>
        </w:rPr>
      </w:pPr>
    </w:p>
    <w:p>
      <w:pPr>
        <w:spacing w:line="312" w:lineRule="auto"/>
        <w:jc w:val="center"/>
        <w:rPr>
          <w:rFonts w:asciiTheme="majorEastAsia" w:hAnsiTheme="majorEastAsia" w:eastAsiaTheme="majorEastAsia" w:cstheme="majorEastAsia"/>
          <w:b/>
          <w:color w:val="auto"/>
          <w:sz w:val="72"/>
          <w:szCs w:val="72"/>
          <w:highlight w:val="none"/>
          <w:shd w:val="clear" w:color="auto" w:fill="FFFFFF"/>
        </w:rPr>
      </w:pPr>
    </w:p>
    <w:p>
      <w:pPr>
        <w:spacing w:line="312" w:lineRule="auto"/>
        <w:jc w:val="center"/>
        <w:rPr>
          <w:rFonts w:ascii="宋体" w:hAnsi="宋体" w:eastAsia="宋体" w:cs="宋体"/>
          <w:b/>
          <w:color w:val="auto"/>
          <w:sz w:val="44"/>
          <w:szCs w:val="44"/>
          <w:highlight w:val="none"/>
        </w:rPr>
      </w:pPr>
      <w:r>
        <w:rPr>
          <w:rFonts w:hint="eastAsia" w:asciiTheme="majorEastAsia" w:hAnsiTheme="majorEastAsia" w:eastAsiaTheme="majorEastAsia" w:cstheme="majorEastAsia"/>
          <w:b/>
          <w:color w:val="auto"/>
          <w:sz w:val="72"/>
          <w:szCs w:val="72"/>
          <w:highlight w:val="none"/>
          <w:shd w:val="clear" w:color="auto" w:fill="FFFFFF"/>
        </w:rPr>
        <w:t>招　标　文　件</w:t>
      </w:r>
      <w:r>
        <w:rPr>
          <w:rFonts w:asciiTheme="majorEastAsia" w:hAnsiTheme="majorEastAsia" w:eastAsiaTheme="majorEastAsia" w:cstheme="majorEastAsia"/>
          <w:b/>
          <w:color w:val="auto"/>
          <w:sz w:val="72"/>
          <w:szCs w:val="72"/>
          <w:highlight w:val="none"/>
          <w:shd w:val="clear" w:color="auto" w:fill="FFFFFF"/>
        </w:rPr>
        <w:br w:type="textWrapping"/>
      </w:r>
    </w:p>
    <w:p>
      <w:pPr>
        <w:spacing w:line="312" w:lineRule="auto"/>
        <w:jc w:val="center"/>
        <w:rPr>
          <w:rFonts w:ascii="黑体" w:hAnsi="黑体" w:eastAsia="黑体" w:cs="仿宋_GB2312"/>
          <w:color w:val="auto"/>
          <w:sz w:val="32"/>
          <w:szCs w:val="32"/>
          <w:highlight w:val="none"/>
        </w:rPr>
      </w:pPr>
      <w:r>
        <w:rPr>
          <w:rFonts w:hint="eastAsia" w:ascii="宋体" w:hAnsi="宋体" w:eastAsia="宋体" w:cs="宋体"/>
          <w:b/>
          <w:color w:val="auto"/>
          <w:sz w:val="44"/>
          <w:szCs w:val="44"/>
          <w:highlight w:val="none"/>
        </w:rPr>
        <w:t>（不见面开标）</w:t>
      </w:r>
    </w:p>
    <w:p>
      <w:pPr>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项目编号：Y2020HZ070</w:t>
      </w:r>
    </w:p>
    <w:p>
      <w:pPr>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招标编号：鄢招公2020061901</w:t>
      </w:r>
    </w:p>
    <w:p>
      <w:pPr>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rPr>
          <w:rFonts w:ascii="宋体" w:hAnsi="宋体" w:eastAsia="宋体" w:cs="宋体"/>
          <w:b/>
          <w:bCs/>
          <w:color w:val="auto"/>
          <w:sz w:val="32"/>
          <w:szCs w:val="32"/>
          <w:highlight w:val="none"/>
        </w:rPr>
      </w:pPr>
    </w:p>
    <w:p>
      <w:pPr>
        <w:rPr>
          <w:rFonts w:ascii="宋体" w:hAnsi="宋体" w:eastAsia="宋体" w:cs="宋体"/>
          <w:b/>
          <w:bCs/>
          <w:color w:val="auto"/>
          <w:sz w:val="32"/>
          <w:szCs w:val="32"/>
          <w:highlight w:val="none"/>
        </w:rPr>
      </w:pPr>
    </w:p>
    <w:p>
      <w:pPr>
        <w:rPr>
          <w:rFonts w:ascii="黑体" w:hAnsi="黑体" w:eastAsia="黑体" w:cs="宋体"/>
          <w:b/>
          <w:bCs/>
          <w:color w:val="auto"/>
          <w:sz w:val="32"/>
          <w:szCs w:val="32"/>
          <w:highlight w:val="none"/>
        </w:rPr>
      </w:pPr>
    </w:p>
    <w:p>
      <w:pPr>
        <w:ind w:firstLine="1920" w:firstLineChars="600"/>
        <w:rPr>
          <w:rFonts w:asciiTheme="minorEastAsia" w:hAnsiTheme="minorEastAsia" w:cstheme="minorEastAsia"/>
          <w:bCs/>
          <w:color w:val="auto"/>
          <w:sz w:val="32"/>
          <w:szCs w:val="32"/>
          <w:highlight w:val="none"/>
        </w:rPr>
      </w:pPr>
      <w:r>
        <w:rPr>
          <w:rFonts w:hint="eastAsia" w:asciiTheme="minorEastAsia" w:hAnsiTheme="minorEastAsia" w:cstheme="minorEastAsia"/>
          <w:bCs/>
          <w:color w:val="auto"/>
          <w:sz w:val="32"/>
          <w:szCs w:val="32"/>
          <w:highlight w:val="none"/>
        </w:rPr>
        <w:t xml:space="preserve">采 购 人：鄢陵县图书馆 </w:t>
      </w:r>
    </w:p>
    <w:p>
      <w:pPr>
        <w:jc w:val="center"/>
        <w:rPr>
          <w:rFonts w:asciiTheme="minorEastAsia" w:hAnsiTheme="minorEastAsia" w:cstheme="minorEastAsia"/>
          <w:bCs/>
          <w:color w:val="auto"/>
          <w:sz w:val="32"/>
          <w:szCs w:val="32"/>
          <w:highlight w:val="none"/>
        </w:rPr>
      </w:pPr>
      <w:r>
        <w:rPr>
          <w:rFonts w:hint="eastAsia" w:asciiTheme="minorEastAsia" w:hAnsiTheme="minorEastAsia" w:cstheme="minorEastAsia"/>
          <w:bCs/>
          <w:color w:val="auto"/>
          <w:sz w:val="32"/>
          <w:szCs w:val="32"/>
          <w:highlight w:val="none"/>
        </w:rPr>
        <w:t xml:space="preserve"> 代理机构：河南招标采购服务有限公司</w:t>
      </w:r>
    </w:p>
    <w:p>
      <w:pPr>
        <w:ind w:firstLine="2560" w:firstLineChars="800"/>
        <w:rPr>
          <w:rFonts w:asciiTheme="minorEastAsia" w:hAnsiTheme="minorEastAsia" w:cstheme="minorEastAsia"/>
          <w:bCs/>
          <w:color w:val="auto"/>
          <w:sz w:val="32"/>
          <w:szCs w:val="32"/>
          <w:highlight w:val="none"/>
        </w:rPr>
      </w:pPr>
      <w:r>
        <w:rPr>
          <w:rFonts w:hint="eastAsia" w:asciiTheme="minorEastAsia" w:hAnsiTheme="minorEastAsia" w:cstheme="minorEastAsia"/>
          <w:bCs/>
          <w:color w:val="auto"/>
          <w:sz w:val="32"/>
          <w:szCs w:val="32"/>
          <w:highlight w:val="none"/>
        </w:rPr>
        <w:t>日期：二〇二〇年七月</w:t>
      </w:r>
    </w:p>
    <w:p>
      <w:pPr>
        <w:jc w:val="center"/>
        <w:rPr>
          <w:rFonts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目     录</w:t>
      </w:r>
    </w:p>
    <w:p>
      <w:pPr>
        <w:autoSpaceDE w:val="0"/>
        <w:autoSpaceDN w:val="0"/>
        <w:adjustRightInd w:val="0"/>
        <w:spacing w:line="700" w:lineRule="exact"/>
        <w:ind w:firstLine="551"/>
        <w:rPr>
          <w:rFonts w:ascii="黑体" w:eastAsia="黑体" w:cs="黑体"/>
          <w:b/>
          <w:bCs/>
          <w:color w:val="auto"/>
          <w:sz w:val="28"/>
          <w:szCs w:val="28"/>
          <w:highlight w:val="none"/>
          <w:lang w:val="zh-CN"/>
        </w:rPr>
      </w:pP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投标邀请</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第二章 </w:t>
      </w:r>
      <w:r>
        <w:rPr>
          <w:rFonts w:hint="eastAsia" w:asciiTheme="majorEastAsia" w:hAnsiTheme="majorEastAsia" w:eastAsiaTheme="majorEastAsia" w:cstheme="majorEastAsia"/>
          <w:b/>
          <w:color w:val="auto"/>
          <w:kern w:val="0"/>
          <w:sz w:val="32"/>
          <w:szCs w:val="32"/>
          <w:highlight w:val="none"/>
        </w:rPr>
        <w:t>投标人须知</w:t>
      </w:r>
    </w:p>
    <w:p>
      <w:pPr>
        <w:autoSpaceDE w:val="0"/>
        <w:autoSpaceDN w:val="0"/>
        <w:adjustRightInd w:val="0"/>
        <w:spacing w:line="700" w:lineRule="exact"/>
        <w:ind w:firstLine="560"/>
        <w:rPr>
          <w:rFonts w:asciiTheme="majorEastAsia" w:hAnsiTheme="majorEastAsia" w:eastAsiaTheme="majorEastAsia" w:cstheme="majorEastAsia"/>
          <w:color w:val="auto"/>
          <w:sz w:val="32"/>
          <w:szCs w:val="32"/>
          <w:highlight w:val="none"/>
          <w:lang w:val="zh-CN"/>
        </w:rPr>
      </w:pPr>
      <w:r>
        <w:rPr>
          <w:rFonts w:hint="eastAsia" w:asciiTheme="majorEastAsia" w:hAnsiTheme="majorEastAsia" w:eastAsiaTheme="majorEastAsia" w:cstheme="majorEastAsia"/>
          <w:color w:val="auto"/>
          <w:sz w:val="32"/>
          <w:szCs w:val="32"/>
          <w:highlight w:val="none"/>
          <w:lang w:val="zh-CN"/>
        </w:rPr>
        <w:t>一、说明</w:t>
      </w:r>
    </w:p>
    <w:p>
      <w:pPr>
        <w:autoSpaceDE w:val="0"/>
        <w:autoSpaceDN w:val="0"/>
        <w:adjustRightInd w:val="0"/>
        <w:spacing w:line="700" w:lineRule="exact"/>
        <w:ind w:firstLine="560"/>
        <w:rPr>
          <w:rFonts w:asciiTheme="majorEastAsia" w:hAnsiTheme="majorEastAsia" w:eastAsiaTheme="majorEastAsia" w:cstheme="majorEastAsia"/>
          <w:color w:val="auto"/>
          <w:sz w:val="32"/>
          <w:szCs w:val="32"/>
          <w:highlight w:val="none"/>
          <w:lang w:val="zh-CN"/>
        </w:rPr>
      </w:pPr>
      <w:r>
        <w:rPr>
          <w:rFonts w:hint="eastAsia" w:asciiTheme="majorEastAsia" w:hAnsiTheme="majorEastAsia" w:eastAsiaTheme="majorEastAsia" w:cstheme="majorEastAsia"/>
          <w:color w:val="auto"/>
          <w:sz w:val="32"/>
          <w:szCs w:val="32"/>
          <w:highlight w:val="none"/>
          <w:lang w:val="zh-CN"/>
        </w:rPr>
        <w:t>二、招标文件</w:t>
      </w:r>
    </w:p>
    <w:p>
      <w:pPr>
        <w:autoSpaceDE w:val="0"/>
        <w:autoSpaceDN w:val="0"/>
        <w:adjustRightInd w:val="0"/>
        <w:spacing w:line="700" w:lineRule="exact"/>
        <w:ind w:firstLine="560"/>
        <w:rPr>
          <w:rFonts w:asciiTheme="majorEastAsia" w:hAnsiTheme="majorEastAsia" w:eastAsiaTheme="majorEastAsia" w:cstheme="majorEastAsia"/>
          <w:color w:val="auto"/>
          <w:sz w:val="32"/>
          <w:szCs w:val="32"/>
          <w:highlight w:val="none"/>
          <w:lang w:val="zh-CN"/>
        </w:rPr>
      </w:pPr>
      <w:r>
        <w:rPr>
          <w:rFonts w:hint="eastAsia" w:asciiTheme="majorEastAsia" w:hAnsiTheme="majorEastAsia" w:eastAsiaTheme="majorEastAsia" w:cstheme="majorEastAsia"/>
          <w:color w:val="auto"/>
          <w:sz w:val="32"/>
          <w:szCs w:val="32"/>
          <w:highlight w:val="none"/>
          <w:lang w:val="zh-CN"/>
        </w:rPr>
        <w:t>三、投标文件</w:t>
      </w:r>
    </w:p>
    <w:p>
      <w:pPr>
        <w:autoSpaceDE w:val="0"/>
        <w:autoSpaceDN w:val="0"/>
        <w:adjustRightInd w:val="0"/>
        <w:spacing w:line="700" w:lineRule="exact"/>
        <w:ind w:firstLine="560"/>
        <w:rPr>
          <w:rFonts w:asciiTheme="majorEastAsia" w:hAnsiTheme="majorEastAsia" w:eastAsiaTheme="majorEastAsia" w:cstheme="majorEastAsia"/>
          <w:color w:val="auto"/>
          <w:sz w:val="32"/>
          <w:szCs w:val="32"/>
          <w:highlight w:val="none"/>
          <w:lang w:val="zh-CN"/>
        </w:rPr>
      </w:pPr>
      <w:r>
        <w:rPr>
          <w:rFonts w:hint="eastAsia" w:asciiTheme="majorEastAsia" w:hAnsiTheme="majorEastAsia" w:eastAsiaTheme="majorEastAsia" w:cstheme="majorEastAsia"/>
          <w:color w:val="auto"/>
          <w:sz w:val="32"/>
          <w:szCs w:val="32"/>
          <w:highlight w:val="none"/>
          <w:lang w:val="zh-CN"/>
        </w:rPr>
        <w:t>四、投标文件的递交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2"/>
          <w:szCs w:val="32"/>
          <w:highlight w:val="none"/>
          <w:lang w:val="zh-CN"/>
        </w:rPr>
      </w:pPr>
      <w:r>
        <w:rPr>
          <w:rFonts w:hint="eastAsia" w:asciiTheme="majorEastAsia" w:hAnsiTheme="majorEastAsia" w:eastAsiaTheme="majorEastAsia" w:cstheme="majorEastAsia"/>
          <w:color w:val="auto"/>
          <w:sz w:val="32"/>
          <w:szCs w:val="32"/>
          <w:highlight w:val="none"/>
          <w:lang w:val="zh-CN"/>
        </w:rPr>
        <w:t>五、开标和评标</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color w:val="auto"/>
          <w:sz w:val="32"/>
          <w:szCs w:val="32"/>
          <w:highlight w:val="none"/>
          <w:lang w:val="zh-CN"/>
        </w:rPr>
        <w:t>六、定标和授予合同</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第三章 项目需求及其他要求</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资格审查与评标办法、评标标准</w:t>
      </w:r>
    </w:p>
    <w:p>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合同条款及格式</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2"/>
          <w:szCs w:val="32"/>
          <w:highlight w:val="none"/>
        </w:rPr>
        <w:t>投标文件有关格式</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pPr>
        <w:rPr>
          <w:rFonts w:asciiTheme="majorEastAsia" w:hAnsiTheme="majorEastAsia" w:eastAsiaTheme="majorEastAsia"/>
          <w:color w:val="auto"/>
          <w:kern w:val="0"/>
          <w:sz w:val="32"/>
          <w:szCs w:val="32"/>
          <w:highlight w:val="none"/>
        </w:rPr>
      </w:pPr>
    </w:p>
    <w:p>
      <w:pPr>
        <w:widowControl/>
        <w:spacing w:line="360" w:lineRule="auto"/>
        <w:jc w:val="left"/>
        <w:rPr>
          <w:rFonts w:hint="eastAsia" w:asciiTheme="majorEastAsia" w:hAnsiTheme="majorEastAsia" w:eastAsiaTheme="majorEastAsia"/>
          <w:color w:val="auto"/>
          <w:kern w:val="0"/>
          <w:sz w:val="32"/>
          <w:szCs w:val="32"/>
          <w:highlight w:val="none"/>
        </w:rPr>
      </w:pPr>
      <w:r>
        <w:rPr>
          <w:rFonts w:asciiTheme="majorEastAsia" w:hAnsiTheme="majorEastAsia" w:eastAsiaTheme="majorEastAsia"/>
          <w:color w:val="auto"/>
          <w:kern w:val="0"/>
          <w:sz w:val="32"/>
          <w:szCs w:val="32"/>
          <w:highlight w:val="none"/>
        </w:rPr>
        <w:br w:type="page"/>
      </w:r>
      <w:r>
        <w:rPr>
          <w:rFonts w:hint="eastAsia" w:asciiTheme="majorEastAsia" w:hAnsiTheme="majorEastAsia" w:eastAsiaTheme="majorEastAsia"/>
          <w:color w:val="auto"/>
          <w:kern w:val="0"/>
          <w:sz w:val="32"/>
          <w:szCs w:val="32"/>
          <w:highlight w:val="none"/>
        </w:rPr>
        <w:t xml:space="preserve">                   </w:t>
      </w:r>
    </w:p>
    <w:p>
      <w:pPr>
        <w:widowControl/>
        <w:spacing w:line="360" w:lineRule="auto"/>
        <w:jc w:val="left"/>
        <w:rPr>
          <w:rFonts w:hint="eastAsia" w:asciiTheme="majorEastAsia" w:hAnsiTheme="majorEastAsia" w:eastAsiaTheme="majorEastAsia"/>
          <w:color w:val="auto"/>
          <w:kern w:val="0"/>
          <w:sz w:val="32"/>
          <w:szCs w:val="32"/>
          <w:highlight w:val="none"/>
        </w:rPr>
      </w:pPr>
    </w:p>
    <w:p>
      <w:pPr>
        <w:widowControl/>
        <w:spacing w:line="360" w:lineRule="auto"/>
        <w:jc w:val="left"/>
        <w:rPr>
          <w:rFonts w:hint="eastAsia" w:asciiTheme="majorEastAsia" w:hAnsiTheme="majorEastAsia" w:eastAsiaTheme="majorEastAsia"/>
          <w:color w:val="auto"/>
          <w:kern w:val="0"/>
          <w:sz w:val="32"/>
          <w:szCs w:val="32"/>
          <w:highlight w:val="none"/>
        </w:rPr>
      </w:pPr>
    </w:p>
    <w:p>
      <w:pPr>
        <w:widowControl/>
        <w:spacing w:line="360" w:lineRule="auto"/>
        <w:jc w:val="left"/>
        <w:rPr>
          <w:rFonts w:hint="eastAsia" w:asciiTheme="majorEastAsia" w:hAnsiTheme="majorEastAsia" w:eastAsiaTheme="majorEastAsia"/>
          <w:color w:val="auto"/>
          <w:kern w:val="0"/>
          <w:sz w:val="32"/>
          <w:szCs w:val="32"/>
          <w:highlight w:val="none"/>
        </w:rPr>
      </w:pPr>
    </w:p>
    <w:p>
      <w:pPr>
        <w:widowControl/>
        <w:spacing w:line="360" w:lineRule="auto"/>
        <w:jc w:val="left"/>
        <w:rPr>
          <w:rFonts w:hint="eastAsia" w:asciiTheme="majorEastAsia" w:hAnsiTheme="majorEastAsia" w:eastAsiaTheme="majorEastAsia"/>
          <w:color w:val="auto"/>
          <w:kern w:val="0"/>
          <w:sz w:val="32"/>
          <w:szCs w:val="32"/>
          <w:highlight w:val="none"/>
        </w:rPr>
      </w:pPr>
    </w:p>
    <w:p>
      <w:pPr>
        <w:widowControl/>
        <w:spacing w:line="360" w:lineRule="auto"/>
        <w:jc w:val="left"/>
        <w:rPr>
          <w:rFonts w:hint="eastAsia" w:asciiTheme="majorEastAsia" w:hAnsiTheme="majorEastAsia" w:eastAsiaTheme="majorEastAsia"/>
          <w:color w:val="auto"/>
          <w:kern w:val="0"/>
          <w:sz w:val="32"/>
          <w:szCs w:val="32"/>
          <w:highlight w:val="none"/>
        </w:rPr>
      </w:pPr>
    </w:p>
    <w:p>
      <w:pPr>
        <w:widowControl/>
        <w:spacing w:line="360" w:lineRule="auto"/>
        <w:jc w:val="left"/>
        <w:rPr>
          <w:rFonts w:hint="eastAsia" w:asciiTheme="majorEastAsia" w:hAnsiTheme="majorEastAsia" w:eastAsiaTheme="majorEastAsia"/>
          <w:color w:val="auto"/>
          <w:kern w:val="0"/>
          <w:sz w:val="32"/>
          <w:szCs w:val="32"/>
          <w:highlight w:val="none"/>
        </w:rPr>
      </w:pPr>
    </w:p>
    <w:p>
      <w:pPr>
        <w:widowControl/>
        <w:spacing w:line="360" w:lineRule="auto"/>
        <w:jc w:val="center"/>
        <w:rPr>
          <w:rFonts w:asciiTheme="majorEastAsia" w:hAnsiTheme="majorEastAsia" w:eastAsiaTheme="majorEastAsia"/>
          <w:color w:val="auto"/>
          <w:kern w:val="0"/>
          <w:sz w:val="32"/>
          <w:szCs w:val="32"/>
          <w:highlight w:val="none"/>
        </w:rPr>
      </w:pPr>
      <w:r>
        <w:rPr>
          <w:rFonts w:hint="eastAsia" w:asciiTheme="majorEastAsia" w:hAnsiTheme="majorEastAsia" w:eastAsiaTheme="majorEastAsia"/>
          <w:color w:val="auto"/>
          <w:kern w:val="0"/>
          <w:sz w:val="32"/>
          <w:szCs w:val="32"/>
          <w:highlight w:val="none"/>
        </w:rPr>
        <w:t>第一章 投标邀请</w:t>
      </w:r>
    </w:p>
    <w:p>
      <w:pPr>
        <w:pStyle w:val="19"/>
        <w:widowControl/>
        <w:shd w:val="clear" w:color="auto" w:fill="FFFFFF"/>
        <w:spacing w:line="360" w:lineRule="auto"/>
        <w:rPr>
          <w:rFonts w:ascii="宋体" w:hAnsi="宋体" w:cs="宋体"/>
          <w:b/>
          <w:bCs/>
          <w:color w:val="auto"/>
          <w:highlight w:val="none"/>
          <w:shd w:val="clear" w:color="auto" w:fill="FFFFFF"/>
        </w:rPr>
      </w:pPr>
    </w:p>
    <w:p>
      <w:pPr>
        <w:pStyle w:val="19"/>
        <w:widowControl/>
        <w:shd w:val="clear" w:color="auto" w:fill="FFFFFF"/>
        <w:spacing w:line="360" w:lineRule="auto"/>
        <w:ind w:left="424" w:leftChars="202" w:firstLine="487" w:firstLineChars="202"/>
        <w:contextualSpacing/>
        <w:jc w:val="left"/>
        <w:rPr>
          <w:color w:val="000000"/>
          <w:sz w:val="24"/>
          <w:szCs w:val="24"/>
          <w:shd w:val="clear" w:color="auto" w:fill="FFFFFF"/>
        </w:rPr>
      </w:pPr>
      <w:r>
        <w:rPr>
          <w:rFonts w:ascii="宋体" w:hAnsi="宋体" w:cs="宋体"/>
          <w:b/>
          <w:bCs/>
          <w:color w:val="auto"/>
          <w:highlight w:val="none"/>
          <w:shd w:val="clear" w:color="auto" w:fill="FFFFFF"/>
        </w:rPr>
        <w:br w:type="page"/>
      </w:r>
      <w:r>
        <w:rPr>
          <w:rFonts w:hint="eastAsia"/>
          <w:color w:val="000000"/>
          <w:sz w:val="24"/>
          <w:szCs w:val="24"/>
          <w:shd w:val="clear" w:color="auto" w:fill="FFFFFF"/>
        </w:rPr>
        <w:t>河南招标采购服务有限公司受鄢陵县图书馆的委托，对“ 鄢陵县公共文化服务体系建设-12乡镇图书馆分馆建设(</w:t>
      </w:r>
      <w:r>
        <w:rPr>
          <w:rFonts w:hint="eastAsia"/>
          <w:color w:val="000000"/>
          <w:sz w:val="24"/>
          <w:szCs w:val="24"/>
          <w:shd w:val="clear" w:color="auto" w:fill="FFFFFF"/>
          <w:lang w:val="en-US" w:eastAsia="zh-CN"/>
        </w:rPr>
        <w:t>三</w:t>
      </w:r>
      <w:r>
        <w:rPr>
          <w:rFonts w:hint="eastAsia"/>
          <w:color w:val="000000"/>
          <w:sz w:val="24"/>
          <w:szCs w:val="24"/>
          <w:shd w:val="clear" w:color="auto" w:fill="FFFFFF"/>
        </w:rPr>
        <w:t>次) ”项目的相关货物和服务进行国内公开招标。现邀请合格投标人前来投标。</w:t>
      </w:r>
    </w:p>
    <w:p>
      <w:pPr>
        <w:pStyle w:val="19"/>
        <w:widowControl/>
        <w:shd w:val="clear" w:color="auto" w:fill="FFFFFF"/>
        <w:spacing w:line="360" w:lineRule="auto"/>
        <w:contextualSpacing/>
        <w:jc w:val="left"/>
        <w:rPr>
          <w:rFonts w:hint="eastAsia" w:cs="黑体" w:asciiTheme="minorEastAsia" w:hAnsiTheme="minorEastAsia" w:eastAsiaTheme="minorEastAsia"/>
          <w:b/>
          <w:bCs/>
          <w:color w:val="000000"/>
          <w:sz w:val="24"/>
          <w:szCs w:val="24"/>
          <w:shd w:val="clear" w:color="auto" w:fill="FFFFFF"/>
        </w:rPr>
      </w:pPr>
      <w:r>
        <w:rPr>
          <w:rFonts w:hint="eastAsia" w:ascii="黑体" w:hAnsi="黑体" w:eastAsia="黑体" w:cs="黑体"/>
          <w:bCs/>
          <w:color w:val="000000"/>
          <w:sz w:val="24"/>
          <w:szCs w:val="24"/>
          <w:shd w:val="clear" w:color="auto" w:fill="FFFFFF"/>
        </w:rPr>
        <w:t xml:space="preserve">    </w:t>
      </w:r>
      <w:r>
        <w:rPr>
          <w:rFonts w:hint="eastAsia" w:cs="黑体" w:asciiTheme="minorEastAsia" w:hAnsiTheme="minorEastAsia" w:eastAsiaTheme="minorEastAsia"/>
          <w:b/>
          <w:bCs/>
          <w:color w:val="000000"/>
          <w:sz w:val="24"/>
          <w:szCs w:val="24"/>
          <w:shd w:val="clear" w:color="auto" w:fill="FFFFFF"/>
        </w:rPr>
        <w:t>一、项目编号：Y2020HZ070</w:t>
      </w:r>
    </w:p>
    <w:p>
      <w:pPr>
        <w:pStyle w:val="19"/>
        <w:widowControl/>
        <w:shd w:val="clear" w:color="auto" w:fill="FFFFFF"/>
        <w:spacing w:line="360" w:lineRule="auto"/>
        <w:ind w:firstLine="482" w:firstLineChars="200"/>
        <w:contextualSpacing/>
        <w:jc w:val="left"/>
        <w:rPr>
          <w:rFonts w:cs="黑体" w:asciiTheme="minorEastAsia" w:hAnsiTheme="minorEastAsia" w:eastAsiaTheme="minorEastAsia"/>
          <w:b/>
          <w:bCs/>
          <w:color w:val="000000"/>
          <w:sz w:val="24"/>
          <w:szCs w:val="24"/>
        </w:rPr>
      </w:pPr>
      <w:r>
        <w:rPr>
          <w:rFonts w:hint="eastAsia" w:cs="黑体" w:asciiTheme="minorEastAsia" w:hAnsiTheme="minorEastAsia" w:eastAsiaTheme="minorEastAsia"/>
          <w:b/>
          <w:bCs/>
          <w:color w:val="000000"/>
          <w:sz w:val="24"/>
          <w:szCs w:val="24"/>
          <w:shd w:val="clear" w:color="auto" w:fill="FFFFFF"/>
        </w:rPr>
        <w:t xml:space="preserve">招标编号：鄢招公2020061901 </w:t>
      </w:r>
    </w:p>
    <w:p>
      <w:pPr>
        <w:pStyle w:val="19"/>
        <w:widowControl/>
        <w:shd w:val="clear" w:color="auto" w:fill="FFFFFF"/>
        <w:spacing w:line="360" w:lineRule="auto"/>
        <w:ind w:firstLine="420"/>
        <w:contextualSpacing/>
        <w:jc w:val="left"/>
        <w:rPr>
          <w:rFonts w:cs="仿宋_GB2312" w:asciiTheme="minorEastAsia" w:hAnsiTheme="minorEastAsia" w:eastAsiaTheme="minorEastAsia"/>
          <w:b/>
          <w:color w:val="000000"/>
          <w:sz w:val="24"/>
          <w:szCs w:val="24"/>
          <w:shd w:val="clear" w:color="auto" w:fill="FFFFFF"/>
        </w:rPr>
      </w:pPr>
      <w:r>
        <w:rPr>
          <w:rFonts w:hint="eastAsia" w:cs="仿宋_GB2312" w:asciiTheme="minorEastAsia" w:hAnsiTheme="minorEastAsia" w:eastAsiaTheme="minorEastAsia"/>
          <w:b/>
          <w:color w:val="000000"/>
          <w:sz w:val="24"/>
          <w:szCs w:val="24"/>
          <w:shd w:val="clear" w:color="auto" w:fill="FFFFFF"/>
        </w:rPr>
        <w:t>二、项目名称：鄢陵县公共文化服务体系建设-12乡镇图书馆分馆建设(</w:t>
      </w:r>
      <w:r>
        <w:rPr>
          <w:rFonts w:hint="eastAsia" w:cs="仿宋_GB2312" w:asciiTheme="minorEastAsia" w:hAnsiTheme="minorEastAsia" w:eastAsiaTheme="minorEastAsia"/>
          <w:b/>
          <w:color w:val="000000"/>
          <w:sz w:val="24"/>
          <w:szCs w:val="24"/>
          <w:shd w:val="clear" w:color="auto" w:fill="FFFFFF"/>
          <w:lang w:val="en-US" w:eastAsia="zh-CN"/>
        </w:rPr>
        <w:t>三</w:t>
      </w:r>
      <w:r>
        <w:rPr>
          <w:rFonts w:hint="eastAsia" w:cs="仿宋_GB2312" w:asciiTheme="minorEastAsia" w:hAnsiTheme="minorEastAsia" w:eastAsiaTheme="minorEastAsia"/>
          <w:b/>
          <w:color w:val="000000"/>
          <w:sz w:val="24"/>
          <w:szCs w:val="24"/>
          <w:shd w:val="clear" w:color="auto" w:fill="FFFFFF"/>
        </w:rPr>
        <w:t xml:space="preserve">次)     </w:t>
      </w:r>
    </w:p>
    <w:p>
      <w:pPr>
        <w:pStyle w:val="19"/>
        <w:widowControl/>
        <w:shd w:val="clear" w:color="auto" w:fill="FFFFFF"/>
        <w:spacing w:line="360" w:lineRule="auto"/>
        <w:ind w:firstLine="420"/>
        <w:contextualSpacing/>
        <w:jc w:val="lef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b/>
          <w:color w:val="000000"/>
          <w:sz w:val="24"/>
          <w:szCs w:val="24"/>
          <w:shd w:val="clear" w:color="auto" w:fill="FFFFFF"/>
        </w:rPr>
        <w:t>三、采购方式：</w:t>
      </w:r>
      <w:r>
        <w:rPr>
          <w:rFonts w:hint="eastAsia" w:cs="仿宋_GB2312" w:asciiTheme="minorEastAsia" w:hAnsiTheme="minorEastAsia" w:eastAsiaTheme="minorEastAsia"/>
          <w:color w:val="000000"/>
          <w:sz w:val="24"/>
          <w:szCs w:val="24"/>
          <w:shd w:val="clear" w:color="auto" w:fill="FFFFFF"/>
        </w:rPr>
        <w:t xml:space="preserve">公开招标                                                                                                                         </w:t>
      </w:r>
    </w:p>
    <w:p>
      <w:pPr>
        <w:pStyle w:val="19"/>
        <w:widowControl/>
        <w:shd w:val="clear" w:color="auto" w:fill="FFFFFF"/>
        <w:spacing w:line="360" w:lineRule="auto"/>
        <w:ind w:firstLine="420"/>
        <w:contextualSpacing/>
        <w:jc w:val="left"/>
        <w:rPr>
          <w:rFonts w:cs="仿宋_GB2312" w:asciiTheme="minorEastAsia" w:hAnsiTheme="minorEastAsia" w:eastAsiaTheme="minorEastAsia"/>
          <w:b/>
          <w:color w:val="000000"/>
          <w:sz w:val="24"/>
          <w:szCs w:val="24"/>
          <w:shd w:val="clear" w:color="auto" w:fill="FFFFFF"/>
        </w:rPr>
      </w:pPr>
      <w:r>
        <w:rPr>
          <w:rFonts w:hint="eastAsia" w:cs="仿宋_GB2312" w:asciiTheme="minorEastAsia" w:hAnsiTheme="minorEastAsia" w:eastAsiaTheme="minorEastAsia"/>
          <w:b/>
          <w:color w:val="000000"/>
          <w:sz w:val="24"/>
          <w:szCs w:val="24"/>
          <w:shd w:val="clear" w:color="auto" w:fill="FFFFFF"/>
        </w:rPr>
        <w:t>四、招标内容</w:t>
      </w:r>
    </w:p>
    <w:p>
      <w:pPr>
        <w:pStyle w:val="19"/>
        <w:widowControl/>
        <w:numPr>
          <w:ilvl w:val="0"/>
          <w:numId w:val="1"/>
        </w:numPr>
        <w:shd w:val="clear" w:color="auto" w:fill="FFFFFF"/>
        <w:spacing w:line="360" w:lineRule="auto"/>
        <w:contextualSpacing/>
        <w:jc w:val="left"/>
        <w:rPr>
          <w:rFonts w:hint="eastAsia"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项目主要内容、数量及要求：</w:t>
      </w:r>
    </w:p>
    <w:p>
      <w:pPr>
        <w:pStyle w:val="1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420" w:leftChars="200" w:firstLine="480" w:firstLineChars="200"/>
        <w:contextualSpacing/>
        <w:jc w:val="left"/>
        <w:textAlignment w:val="auto"/>
        <w:rPr>
          <w:rFonts w:hint="eastAsia" w:ascii="微软雅黑 ! important" w:hAnsi="微软雅黑 ! important" w:eastAsia="微软雅黑 ! important" w:cs="微软雅黑 ! important"/>
          <w:color w:val="444444"/>
          <w:sz w:val="24"/>
          <w:szCs w:val="24"/>
        </w:rPr>
      </w:pPr>
      <w:r>
        <w:rPr>
          <w:rFonts w:hint="eastAsia" w:cs="仿宋_GB2312" w:asciiTheme="minorEastAsia" w:hAnsiTheme="minorEastAsia" w:eastAsiaTheme="minorEastAsia"/>
          <w:color w:val="000000"/>
          <w:sz w:val="24"/>
          <w:szCs w:val="24"/>
          <w:shd w:val="clear" w:color="auto" w:fill="FFFFFF"/>
          <w:lang w:eastAsia="zh-CN"/>
        </w:rPr>
        <w:t>云图书馆平台（云图书馆后台系统</w:t>
      </w:r>
      <w:r>
        <w:rPr>
          <w:rFonts w:hint="eastAsia" w:cs="仿宋_GB2312" w:asciiTheme="minorEastAsia" w:hAnsiTheme="minorEastAsia" w:eastAsiaTheme="minorEastAsia"/>
          <w:color w:val="000000"/>
          <w:sz w:val="24"/>
          <w:szCs w:val="24"/>
          <w:shd w:val="clear" w:color="auto" w:fill="FFFFFF"/>
          <w:lang w:val="en-US" w:eastAsia="zh-CN"/>
        </w:rPr>
        <w:t>1套、</w:t>
      </w:r>
      <w:r>
        <w:rPr>
          <w:rFonts w:hint="eastAsia" w:cs="仿宋_GB2312" w:asciiTheme="minorEastAsia" w:hAnsiTheme="minorEastAsia" w:eastAsiaTheme="minorEastAsia"/>
          <w:color w:val="000000"/>
          <w:sz w:val="24"/>
          <w:szCs w:val="24"/>
          <w:shd w:val="clear" w:color="auto" w:fill="FFFFFF"/>
          <w:lang w:eastAsia="zh-CN"/>
        </w:rPr>
        <w:t>云图书馆门户网站软件</w:t>
      </w:r>
      <w:r>
        <w:rPr>
          <w:rFonts w:hint="eastAsia" w:cs="仿宋_GB2312" w:asciiTheme="minorEastAsia" w:hAnsiTheme="minorEastAsia" w:eastAsiaTheme="minorEastAsia"/>
          <w:color w:val="000000"/>
          <w:sz w:val="24"/>
          <w:szCs w:val="24"/>
          <w:shd w:val="clear" w:color="auto" w:fill="FFFFFF"/>
          <w:lang w:val="en-US" w:eastAsia="zh-CN"/>
        </w:rPr>
        <w:t>1套、</w:t>
      </w:r>
      <w:r>
        <w:rPr>
          <w:rFonts w:hint="eastAsia" w:cs="仿宋_GB2312" w:asciiTheme="minorEastAsia" w:hAnsiTheme="minorEastAsia" w:eastAsiaTheme="minorEastAsia"/>
          <w:color w:val="000000"/>
          <w:sz w:val="24"/>
          <w:szCs w:val="24"/>
          <w:shd w:val="clear" w:color="auto" w:fill="FFFFFF"/>
          <w:lang w:eastAsia="zh-CN"/>
        </w:rPr>
        <w:t>云图书馆管理系统</w:t>
      </w:r>
      <w:r>
        <w:rPr>
          <w:rFonts w:hint="eastAsia" w:cs="仿宋_GB2312" w:asciiTheme="minorEastAsia" w:hAnsiTheme="minorEastAsia" w:eastAsiaTheme="minorEastAsia"/>
          <w:color w:val="000000"/>
          <w:sz w:val="24"/>
          <w:szCs w:val="24"/>
          <w:shd w:val="clear" w:color="auto" w:fill="FFFFFF"/>
          <w:lang w:val="en-US" w:eastAsia="zh-CN"/>
        </w:rPr>
        <w:t>5套、</w:t>
      </w:r>
      <w:r>
        <w:rPr>
          <w:rFonts w:hint="eastAsia" w:cs="仿宋_GB2312" w:asciiTheme="minorEastAsia" w:hAnsiTheme="minorEastAsia" w:eastAsiaTheme="minorEastAsia"/>
          <w:color w:val="000000"/>
          <w:sz w:val="24"/>
          <w:szCs w:val="24"/>
          <w:shd w:val="clear" w:color="auto" w:fill="FFFFFF"/>
          <w:lang w:eastAsia="zh-CN"/>
        </w:rPr>
        <w:t>云图书馆管理系统软件</w:t>
      </w:r>
      <w:r>
        <w:rPr>
          <w:rFonts w:hint="eastAsia" w:cs="仿宋_GB2312" w:asciiTheme="minorEastAsia" w:hAnsiTheme="minorEastAsia" w:eastAsiaTheme="minorEastAsia"/>
          <w:color w:val="000000"/>
          <w:sz w:val="24"/>
          <w:szCs w:val="24"/>
          <w:shd w:val="clear" w:color="auto" w:fill="FFFFFF"/>
          <w:lang w:val="en-US" w:eastAsia="zh-CN"/>
        </w:rPr>
        <w:t>5套、</w:t>
      </w:r>
      <w:r>
        <w:rPr>
          <w:rFonts w:hint="eastAsia" w:cs="仿宋_GB2312" w:asciiTheme="minorEastAsia" w:hAnsiTheme="minorEastAsia" w:eastAsiaTheme="minorEastAsia"/>
          <w:color w:val="000000"/>
          <w:sz w:val="24"/>
          <w:szCs w:val="24"/>
          <w:shd w:val="clear" w:color="auto" w:fill="FFFFFF"/>
          <w:lang w:eastAsia="zh-CN"/>
        </w:rPr>
        <w:t>云图书馆客户端软件</w:t>
      </w:r>
      <w:r>
        <w:rPr>
          <w:rFonts w:hint="eastAsia" w:cs="仿宋_GB2312" w:asciiTheme="minorEastAsia" w:hAnsiTheme="minorEastAsia" w:eastAsiaTheme="minorEastAsia"/>
          <w:color w:val="000000"/>
          <w:sz w:val="24"/>
          <w:szCs w:val="24"/>
          <w:shd w:val="clear" w:color="auto" w:fill="FFFFFF"/>
          <w:lang w:val="en-US" w:eastAsia="zh-CN"/>
        </w:rPr>
        <w:t>1套</w:t>
      </w:r>
      <w:r>
        <w:rPr>
          <w:rFonts w:hint="eastAsia" w:cs="仿宋_GB2312" w:asciiTheme="minorEastAsia" w:hAnsiTheme="minorEastAsia" w:eastAsiaTheme="minorEastAsia"/>
          <w:color w:val="000000"/>
          <w:sz w:val="24"/>
          <w:szCs w:val="24"/>
          <w:shd w:val="clear" w:color="auto" w:fill="FFFFFF"/>
          <w:lang w:eastAsia="zh-CN"/>
        </w:rPr>
        <w:t>），智能设备（空调（5P）</w:t>
      </w:r>
      <w:r>
        <w:rPr>
          <w:rFonts w:hint="eastAsia" w:cs="仿宋_GB2312" w:asciiTheme="minorEastAsia" w:hAnsiTheme="minorEastAsia" w:eastAsiaTheme="minorEastAsia"/>
          <w:color w:val="000000"/>
          <w:sz w:val="24"/>
          <w:szCs w:val="24"/>
          <w:shd w:val="clear" w:color="auto" w:fill="FFFFFF"/>
          <w:lang w:val="en-US" w:eastAsia="zh-CN"/>
        </w:rPr>
        <w:t>5台</w:t>
      </w:r>
      <w:r>
        <w:rPr>
          <w:rFonts w:hint="eastAsia" w:cs="仿宋_GB2312" w:asciiTheme="minorEastAsia" w:hAnsiTheme="minorEastAsia" w:eastAsiaTheme="minorEastAsia"/>
          <w:color w:val="000000"/>
          <w:sz w:val="24"/>
          <w:szCs w:val="24"/>
          <w:shd w:val="clear" w:color="auto" w:fill="FFFFFF"/>
          <w:lang w:eastAsia="zh-CN"/>
        </w:rPr>
        <w:t>、读者注册识别机</w:t>
      </w:r>
      <w:r>
        <w:rPr>
          <w:rFonts w:hint="eastAsia" w:cs="仿宋_GB2312" w:asciiTheme="minorEastAsia" w:hAnsiTheme="minorEastAsia" w:eastAsiaTheme="minorEastAsia"/>
          <w:color w:val="000000"/>
          <w:sz w:val="24"/>
          <w:szCs w:val="24"/>
          <w:shd w:val="clear" w:color="auto" w:fill="FFFFFF"/>
          <w:lang w:val="en-US" w:eastAsia="zh-CN"/>
        </w:rPr>
        <w:t>5台</w:t>
      </w:r>
      <w:r>
        <w:rPr>
          <w:rFonts w:hint="eastAsia" w:cs="仿宋_GB2312" w:asciiTheme="minorEastAsia" w:hAnsiTheme="minorEastAsia" w:eastAsiaTheme="minorEastAsia"/>
          <w:color w:val="000000"/>
          <w:sz w:val="24"/>
          <w:szCs w:val="24"/>
          <w:shd w:val="clear" w:color="auto" w:fill="FFFFFF"/>
          <w:lang w:eastAsia="zh-CN"/>
        </w:rPr>
        <w:t>、图书自</w:t>
      </w:r>
      <w:r>
        <w:rPr>
          <w:rFonts w:hint="eastAsia" w:cs="仿宋_GB2312" w:asciiTheme="minorEastAsia" w:hAnsiTheme="minorEastAsia" w:eastAsiaTheme="minorEastAsia"/>
          <w:color w:val="000000"/>
          <w:sz w:val="24"/>
          <w:szCs w:val="24"/>
          <w:shd w:val="clear" w:color="auto" w:fill="FFFFFF"/>
          <w:lang w:val="en-US" w:eastAsia="zh-CN"/>
        </w:rPr>
        <w:t>助借还机5台、RFID门禁10片、智能空调控制系统5套、灯具、灯具感应器5套、智能监控系统5套），馆藏资源（电子图书25000册），其</w:t>
      </w:r>
      <w:r>
        <w:rPr>
          <w:rFonts w:hint="eastAsia" w:cs="仿宋_GB2312" w:asciiTheme="minorEastAsia" w:hAnsiTheme="minorEastAsia" w:eastAsiaTheme="minorEastAsia"/>
          <w:color w:val="000000"/>
          <w:sz w:val="24"/>
          <w:szCs w:val="24"/>
          <w:shd w:val="clear" w:color="auto" w:fill="FFFFFF"/>
          <w:lang w:eastAsia="zh-CN"/>
        </w:rPr>
        <w:t>他设备（单面书架</w:t>
      </w:r>
      <w:r>
        <w:rPr>
          <w:rFonts w:hint="eastAsia" w:cs="仿宋_GB2312" w:asciiTheme="minorEastAsia" w:hAnsiTheme="minorEastAsia" w:eastAsiaTheme="minorEastAsia"/>
          <w:color w:val="000000"/>
          <w:sz w:val="24"/>
          <w:szCs w:val="24"/>
          <w:shd w:val="clear" w:color="auto" w:fill="FFFFFF"/>
          <w:lang w:val="en-US" w:eastAsia="zh-CN"/>
        </w:rPr>
        <w:t>28组、</w:t>
      </w:r>
      <w:r>
        <w:rPr>
          <w:rFonts w:hint="eastAsia" w:cs="仿宋_GB2312" w:asciiTheme="minorEastAsia" w:hAnsiTheme="minorEastAsia" w:eastAsiaTheme="minorEastAsia"/>
          <w:color w:val="000000"/>
          <w:sz w:val="24"/>
          <w:szCs w:val="24"/>
          <w:shd w:val="clear" w:color="auto" w:fill="FFFFFF"/>
          <w:lang w:eastAsia="zh-CN"/>
        </w:rPr>
        <w:t>阅览桌椅</w:t>
      </w:r>
      <w:r>
        <w:rPr>
          <w:rFonts w:hint="eastAsia" w:cs="仿宋_GB2312" w:asciiTheme="minorEastAsia" w:hAnsiTheme="minorEastAsia" w:eastAsiaTheme="minorEastAsia"/>
          <w:color w:val="000000"/>
          <w:sz w:val="24"/>
          <w:szCs w:val="24"/>
          <w:shd w:val="clear" w:color="auto" w:fill="FFFFFF"/>
          <w:lang w:val="en-US" w:eastAsia="zh-CN"/>
        </w:rPr>
        <w:t>4套、</w:t>
      </w:r>
      <w:r>
        <w:rPr>
          <w:rFonts w:hint="eastAsia" w:cs="仿宋_GB2312" w:asciiTheme="minorEastAsia" w:hAnsiTheme="minorEastAsia" w:eastAsiaTheme="minorEastAsia"/>
          <w:color w:val="000000"/>
          <w:sz w:val="24"/>
          <w:szCs w:val="24"/>
          <w:shd w:val="clear" w:color="auto" w:fill="FFFFFF"/>
          <w:lang w:eastAsia="zh-CN"/>
        </w:rPr>
        <w:t>文化模块制作</w:t>
      </w:r>
      <w:r>
        <w:rPr>
          <w:rFonts w:hint="eastAsia" w:cs="仿宋_GB2312" w:asciiTheme="minorEastAsia" w:hAnsiTheme="minorEastAsia" w:eastAsiaTheme="minorEastAsia"/>
          <w:color w:val="000000"/>
          <w:sz w:val="24"/>
          <w:szCs w:val="24"/>
          <w:shd w:val="clear" w:color="auto" w:fill="FFFFFF"/>
          <w:lang w:val="en-US" w:eastAsia="zh-CN"/>
        </w:rPr>
        <w:t>5套</w:t>
      </w:r>
      <w:r>
        <w:rPr>
          <w:rFonts w:hint="eastAsia" w:cs="仿宋_GB2312" w:asciiTheme="minorEastAsia" w:hAnsiTheme="minorEastAsia" w:eastAsiaTheme="minorEastAsia"/>
          <w:color w:val="000000"/>
          <w:sz w:val="24"/>
          <w:szCs w:val="24"/>
          <w:shd w:val="clear" w:color="auto" w:fill="FFFFFF"/>
          <w:lang w:eastAsia="zh-CN"/>
        </w:rPr>
        <w:t>）</w:t>
      </w:r>
      <w:r>
        <w:rPr>
          <w:rFonts w:hint="eastAsia" w:cs="仿宋_GB2312" w:asciiTheme="minorEastAsia" w:hAnsiTheme="minorEastAsia" w:eastAsiaTheme="minorEastAsia"/>
          <w:color w:val="000000"/>
          <w:sz w:val="24"/>
          <w:szCs w:val="24"/>
          <w:shd w:val="clear" w:color="auto" w:fill="FFFFFF"/>
          <w:lang w:val="en-US" w:eastAsia="zh-CN"/>
        </w:rPr>
        <w:t>，</w:t>
      </w:r>
      <w:r>
        <w:rPr>
          <w:rFonts w:hint="eastAsia" w:cs="仿宋_GB2312" w:asciiTheme="minorEastAsia" w:hAnsiTheme="minorEastAsia" w:eastAsiaTheme="minorEastAsia"/>
          <w:color w:val="000000"/>
          <w:sz w:val="24"/>
          <w:szCs w:val="24"/>
          <w:shd w:val="clear" w:color="auto" w:fill="FFFFFF"/>
          <w:lang w:eastAsia="zh-CN"/>
        </w:rPr>
        <w:t>配套设备安装（电控玻璃门</w:t>
      </w:r>
      <w:r>
        <w:rPr>
          <w:rFonts w:hint="eastAsia" w:cs="仿宋_GB2312" w:asciiTheme="minorEastAsia" w:hAnsiTheme="minorEastAsia" w:eastAsiaTheme="minorEastAsia"/>
          <w:color w:val="000000"/>
          <w:sz w:val="24"/>
          <w:szCs w:val="24"/>
          <w:shd w:val="clear" w:color="auto" w:fill="FFFFFF"/>
          <w:lang w:val="en-US" w:eastAsia="zh-CN"/>
        </w:rPr>
        <w:t>5套、</w:t>
      </w:r>
      <w:r>
        <w:rPr>
          <w:rFonts w:hint="eastAsia" w:cs="仿宋_GB2312" w:asciiTheme="minorEastAsia" w:hAnsiTheme="minorEastAsia" w:eastAsiaTheme="minorEastAsia"/>
          <w:color w:val="000000"/>
          <w:sz w:val="24"/>
          <w:szCs w:val="24"/>
          <w:shd w:val="clear" w:color="auto" w:fill="FFFFFF"/>
          <w:lang w:eastAsia="zh-CN"/>
        </w:rPr>
        <w:t>配套设备安装</w:t>
      </w:r>
      <w:r>
        <w:rPr>
          <w:rFonts w:hint="eastAsia" w:cs="仿宋_GB2312" w:asciiTheme="minorEastAsia" w:hAnsiTheme="minorEastAsia" w:eastAsiaTheme="minorEastAsia"/>
          <w:color w:val="000000"/>
          <w:sz w:val="24"/>
          <w:szCs w:val="24"/>
          <w:shd w:val="clear" w:color="auto" w:fill="FFFFFF"/>
          <w:lang w:val="en-US" w:eastAsia="zh-CN"/>
        </w:rPr>
        <w:t>1批、</w:t>
      </w:r>
      <w:r>
        <w:rPr>
          <w:rFonts w:hint="eastAsia" w:cs="仿宋_GB2312" w:asciiTheme="minorEastAsia" w:hAnsiTheme="minorEastAsia" w:eastAsiaTheme="minorEastAsia"/>
          <w:color w:val="000000"/>
          <w:sz w:val="24"/>
          <w:szCs w:val="24"/>
          <w:shd w:val="clear" w:color="auto" w:fill="FFFFFF"/>
          <w:lang w:eastAsia="zh-CN"/>
        </w:rPr>
        <w:t>宽带</w:t>
      </w:r>
      <w:r>
        <w:rPr>
          <w:rFonts w:hint="eastAsia" w:cs="仿宋_GB2312" w:asciiTheme="minorEastAsia" w:hAnsiTheme="minorEastAsia" w:eastAsiaTheme="minorEastAsia"/>
          <w:color w:val="000000"/>
          <w:sz w:val="24"/>
          <w:szCs w:val="24"/>
          <w:shd w:val="clear" w:color="auto" w:fill="FFFFFF"/>
          <w:lang w:val="en-US" w:eastAsia="zh-CN"/>
        </w:rPr>
        <w:t>3年</w:t>
      </w:r>
      <w:r>
        <w:rPr>
          <w:rFonts w:hint="eastAsia" w:cs="仿宋_GB2312" w:asciiTheme="minorEastAsia" w:hAnsiTheme="minorEastAsia" w:eastAsiaTheme="minorEastAsia"/>
          <w:color w:val="000000"/>
          <w:sz w:val="24"/>
          <w:szCs w:val="24"/>
          <w:shd w:val="clear" w:color="auto" w:fill="FFFFFF"/>
          <w:lang w:eastAsia="zh-CN"/>
        </w:rPr>
        <w:t>）</w:t>
      </w:r>
      <w:r>
        <w:rPr>
          <w:rFonts w:hint="eastAsia" w:cs="仿宋_GB2312" w:asciiTheme="minorEastAsia" w:hAnsiTheme="minorEastAsia" w:eastAsiaTheme="minorEastAsia"/>
          <w:color w:val="000000"/>
          <w:sz w:val="24"/>
          <w:szCs w:val="24"/>
          <w:shd w:val="clear" w:color="auto" w:fill="FFFFFF"/>
          <w:lang w:val="en-US" w:eastAsia="zh-CN"/>
        </w:rPr>
        <w:t>（详见招标文件）</w:t>
      </w:r>
    </w:p>
    <w:p>
      <w:pPr>
        <w:pStyle w:val="19"/>
        <w:widowControl/>
        <w:numPr>
          <w:ilvl w:val="0"/>
          <w:numId w:val="1"/>
        </w:numPr>
        <w:shd w:val="clear" w:color="auto" w:fill="FFFFFF"/>
        <w:spacing w:line="360" w:lineRule="auto"/>
        <w:contextualSpacing/>
        <w:jc w:val="lef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预算金额：</w:t>
      </w:r>
      <w:r>
        <w:rPr>
          <w:rFonts w:hint="eastAsia" w:cs="仿宋_GB2312" w:asciiTheme="minorEastAsia" w:hAnsiTheme="minorEastAsia" w:eastAsiaTheme="minorEastAsia"/>
          <w:color w:val="000000"/>
          <w:sz w:val="24"/>
          <w:szCs w:val="24"/>
          <w:shd w:val="clear" w:color="auto" w:fill="FFFFFF"/>
          <w:lang w:val="en-US" w:eastAsia="zh-CN"/>
        </w:rPr>
        <w:t>56</w:t>
      </w:r>
      <w:r>
        <w:rPr>
          <w:rFonts w:hint="eastAsia" w:cs="仿宋_GB2312" w:asciiTheme="minorEastAsia" w:hAnsiTheme="minorEastAsia" w:eastAsiaTheme="minorEastAsia"/>
          <w:color w:val="000000"/>
          <w:sz w:val="24"/>
          <w:szCs w:val="24"/>
          <w:shd w:val="clear" w:color="auto" w:fill="FFFFFF"/>
        </w:rPr>
        <w:t>万元。</w:t>
      </w:r>
    </w:p>
    <w:p>
      <w:pPr>
        <w:pStyle w:val="19"/>
        <w:widowControl/>
        <w:numPr>
          <w:ilvl w:val="0"/>
          <w:numId w:val="1"/>
        </w:numPr>
        <w:shd w:val="clear" w:color="auto" w:fill="FFFFFF"/>
        <w:spacing w:line="360" w:lineRule="auto"/>
        <w:contextualSpacing/>
        <w:jc w:val="lef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最高限价：</w:t>
      </w:r>
      <w:r>
        <w:rPr>
          <w:rFonts w:hint="eastAsia" w:cs="仿宋_GB2312" w:asciiTheme="minorEastAsia" w:hAnsiTheme="minorEastAsia" w:eastAsiaTheme="minorEastAsia"/>
          <w:color w:val="000000"/>
          <w:sz w:val="24"/>
          <w:szCs w:val="24"/>
          <w:shd w:val="clear" w:color="auto" w:fill="FFFFFF"/>
          <w:lang w:val="en-US" w:eastAsia="zh-CN"/>
        </w:rPr>
        <w:t>56</w:t>
      </w:r>
      <w:r>
        <w:rPr>
          <w:rFonts w:hint="eastAsia" w:cs="仿宋_GB2312" w:asciiTheme="minorEastAsia" w:hAnsiTheme="minorEastAsia" w:eastAsiaTheme="minorEastAsia"/>
          <w:color w:val="000000"/>
          <w:sz w:val="24"/>
          <w:szCs w:val="24"/>
          <w:shd w:val="clear" w:color="auto" w:fill="FFFFFF"/>
        </w:rPr>
        <w:t>万元。</w:t>
      </w:r>
    </w:p>
    <w:p>
      <w:pPr>
        <w:pStyle w:val="19"/>
        <w:widowControl/>
        <w:numPr>
          <w:ilvl w:val="0"/>
          <w:numId w:val="1"/>
        </w:numPr>
        <w:shd w:val="clear" w:color="auto" w:fill="FFFFFF"/>
        <w:spacing w:line="360" w:lineRule="auto"/>
        <w:contextualSpacing/>
        <w:jc w:val="lef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履约时间 ：</w:t>
      </w:r>
      <w:bookmarkStart w:id="0" w:name="交付日期"/>
      <w:r>
        <w:rPr>
          <w:rFonts w:hint="eastAsia" w:cs="仿宋_GB2312" w:asciiTheme="minorEastAsia" w:hAnsiTheme="minorEastAsia" w:eastAsiaTheme="minorEastAsia"/>
          <w:color w:val="000000"/>
          <w:sz w:val="24"/>
          <w:szCs w:val="24"/>
        </w:rPr>
        <w:t>自合同生效之日起</w:t>
      </w:r>
      <w:bookmarkEnd w:id="0"/>
      <w:r>
        <w:rPr>
          <w:rFonts w:hint="eastAsia" w:cs="仿宋_GB2312" w:asciiTheme="minorEastAsia" w:hAnsiTheme="minorEastAsia" w:eastAsiaTheme="minorEastAsia"/>
          <w:color w:val="000000"/>
          <w:sz w:val="24"/>
          <w:szCs w:val="24"/>
        </w:rPr>
        <w:t>30个工作日、完成安装调试并具备验收条件。</w:t>
      </w:r>
    </w:p>
    <w:p>
      <w:pPr>
        <w:pStyle w:val="19"/>
        <w:widowControl/>
        <w:numPr>
          <w:ilvl w:val="0"/>
          <w:numId w:val="1"/>
        </w:numPr>
        <w:shd w:val="clear" w:color="auto" w:fill="FFFFFF"/>
        <w:spacing w:line="360" w:lineRule="auto"/>
        <w:contextualSpacing/>
        <w:jc w:val="lef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履约地点：</w:t>
      </w:r>
      <w:r>
        <w:rPr>
          <w:rFonts w:hint="eastAsia" w:cs="仿宋_GB2312" w:asciiTheme="minorEastAsia" w:hAnsiTheme="minorEastAsia" w:eastAsiaTheme="minorEastAsia"/>
          <w:color w:val="000000"/>
          <w:sz w:val="24"/>
          <w:szCs w:val="24"/>
          <w:shd w:val="clear" w:color="auto" w:fill="FFFFFF"/>
          <w:lang w:val="en-US" w:eastAsia="zh-CN"/>
        </w:rPr>
        <w:t xml:space="preserve"> 大马镇、南坞镇、安陵镇、马坊镇、彭店镇</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z w:val="24"/>
          <w:szCs w:val="24"/>
          <w:shd w:val="clear" w:color="auto" w:fill="FFFFFF"/>
        </w:rPr>
      </w:pPr>
      <w:r>
        <w:rPr>
          <w:rFonts w:hint="eastAsia" w:cs="黑体" w:asciiTheme="minorEastAsia" w:hAnsiTheme="minorEastAsia" w:eastAsiaTheme="minorEastAsia"/>
          <w:b/>
          <w:bCs/>
          <w:color w:val="000000"/>
          <w:sz w:val="24"/>
          <w:szCs w:val="24"/>
          <w:shd w:val="clear" w:color="auto" w:fill="FFFFFF"/>
        </w:rPr>
        <w:t>五、投标人应具备的特殊要求：无特殊要求。</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z w:val="24"/>
          <w:szCs w:val="24"/>
          <w:shd w:val="clear" w:color="auto" w:fill="FFFFFF"/>
        </w:rPr>
      </w:pPr>
      <w:r>
        <w:rPr>
          <w:rFonts w:hint="eastAsia" w:cs="黑体" w:asciiTheme="minorEastAsia" w:hAnsiTheme="minorEastAsia" w:eastAsiaTheme="minorEastAsia"/>
          <w:b/>
          <w:bCs/>
          <w:color w:val="000000"/>
          <w:sz w:val="24"/>
          <w:szCs w:val="24"/>
          <w:shd w:val="clear" w:color="auto" w:fill="FFFFFF"/>
        </w:rPr>
        <w:t>六、招标文件的获取</w:t>
      </w:r>
    </w:p>
    <w:p>
      <w:pPr>
        <w:pStyle w:val="19"/>
        <w:widowControl/>
        <w:shd w:val="clear" w:color="auto" w:fill="FFFFFF"/>
        <w:spacing w:line="360" w:lineRule="auto"/>
        <w:ind w:left="424" w:leftChars="202" w:firstLine="484" w:firstLineChars="202"/>
        <w:contextualSpacing/>
        <w:jc w:val="left"/>
        <w:rPr>
          <w:color w:val="000000"/>
          <w:sz w:val="24"/>
          <w:szCs w:val="24"/>
          <w:shd w:val="clear" w:color="auto" w:fill="FFFFFF"/>
        </w:rPr>
      </w:pPr>
      <w:r>
        <w:rPr>
          <w:rFonts w:hint="eastAsia"/>
          <w:color w:val="000000"/>
          <w:sz w:val="24"/>
          <w:szCs w:val="24"/>
          <w:shd w:val="clear" w:color="auto" w:fill="FFFFFF"/>
        </w:rPr>
        <w:t>即日起至投标截止时间，登录《全国公共资源交易平台（河南省·许昌市）》“投标人/供应商登录”入口（</w:t>
      </w:r>
      <w:r>
        <w:rPr>
          <w:rFonts w:hint="eastAsia"/>
          <w:color w:val="000000"/>
          <w:sz w:val="24"/>
          <w:szCs w:val="24"/>
          <w:shd w:val="clear" w:color="auto" w:fill="FFFFFF"/>
          <w:lang w:eastAsia="zh-CN"/>
        </w:rPr>
        <w:t>http://ggzy.xuchang.gov.cn:8088/ggzy/</w:t>
      </w:r>
      <w:r>
        <w:rPr>
          <w:rFonts w:hint="eastAsia"/>
          <w:color w:val="000000"/>
          <w:sz w:val="24"/>
          <w:szCs w:val="24"/>
          <w:shd w:val="clear" w:color="auto" w:fill="FFFFFF"/>
        </w:rPr>
        <w:t>）自行免费下载招标文件。</w:t>
      </w:r>
    </w:p>
    <w:p>
      <w:pPr>
        <w:pStyle w:val="19"/>
        <w:widowControl/>
        <w:shd w:val="clear" w:color="auto" w:fill="FFFFFF"/>
        <w:spacing w:line="360" w:lineRule="auto"/>
        <w:ind w:left="420"/>
        <w:contextualSpacing/>
        <w:jc w:val="left"/>
        <w:rPr>
          <w:rFonts w:cs="仿宋_GB2312" w:asciiTheme="minorEastAsia" w:hAnsiTheme="minorEastAsia" w:eastAsiaTheme="minorEastAsia"/>
          <w:b/>
          <w:color w:val="000000"/>
          <w:sz w:val="24"/>
          <w:szCs w:val="24"/>
          <w:shd w:val="clear" w:color="auto" w:fill="FFFFFF"/>
        </w:rPr>
      </w:pPr>
      <w:r>
        <w:rPr>
          <w:rFonts w:hint="eastAsia" w:cs="仿宋_GB2312" w:asciiTheme="minorEastAsia" w:hAnsiTheme="minorEastAsia" w:eastAsiaTheme="minorEastAsia"/>
          <w:b/>
          <w:color w:val="000000"/>
          <w:sz w:val="24"/>
          <w:szCs w:val="24"/>
          <w:shd w:val="clear" w:color="auto" w:fill="FFFFFF"/>
        </w:rPr>
        <w:t>七、投标文件的提交方式及注意事项</w:t>
      </w:r>
    </w:p>
    <w:p>
      <w:pPr>
        <w:pStyle w:val="19"/>
        <w:widowControl/>
        <w:shd w:val="clear" w:color="auto" w:fill="FFFFFF"/>
        <w:spacing w:line="360" w:lineRule="auto"/>
        <w:ind w:left="424" w:leftChars="202" w:firstLine="484" w:firstLineChars="202"/>
        <w:contextualSpacing/>
        <w:jc w:val="left"/>
        <w:rPr>
          <w:color w:val="000000"/>
          <w:sz w:val="24"/>
          <w:szCs w:val="24"/>
          <w:shd w:val="clear" w:color="auto" w:fill="FFFFFF"/>
        </w:rPr>
      </w:pPr>
      <w:r>
        <w:rPr>
          <w:rFonts w:hint="eastAsia"/>
          <w:color w:val="000000"/>
          <w:sz w:val="24"/>
          <w:szCs w:val="24"/>
          <w:shd w:val="clear" w:color="auto" w:fill="FFFFFF"/>
        </w:rPr>
        <w:t>本项目为全流程电子化交易项目，投标人必须通过许昌公共资源交易系统下载“许昌投标文件制作系统SEARUN 最新版本”制作并上传加密电子投标文件。截至投标截止时间，交易系统投标通道将关闭，投标人未完成电子投标文件上传的，投标将被拒绝。</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z w:val="24"/>
          <w:szCs w:val="24"/>
          <w:shd w:val="clear" w:color="auto" w:fill="FFFFFF"/>
        </w:rPr>
      </w:pPr>
      <w:r>
        <w:rPr>
          <w:rFonts w:hint="eastAsia" w:cs="黑体" w:asciiTheme="minorEastAsia" w:hAnsiTheme="minorEastAsia" w:eastAsiaTheme="minorEastAsia"/>
          <w:b/>
          <w:bCs/>
          <w:color w:val="000000"/>
          <w:sz w:val="24"/>
          <w:szCs w:val="24"/>
          <w:shd w:val="clear" w:color="auto" w:fill="FFFFFF"/>
        </w:rPr>
        <w:t>八、投标截止时间、开标时间及地点</w:t>
      </w:r>
    </w:p>
    <w:p>
      <w:pPr>
        <w:pStyle w:val="19"/>
        <w:widowControl/>
        <w:numPr>
          <w:ilvl w:val="0"/>
          <w:numId w:val="2"/>
        </w:numPr>
        <w:shd w:val="clear" w:color="auto" w:fill="FFFFFF"/>
        <w:spacing w:line="360" w:lineRule="auto"/>
        <w:contextualSpacing/>
        <w:jc w:val="lef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投标截止及开标时间：2020年8月10日9点</w:t>
      </w:r>
      <w:r>
        <w:rPr>
          <w:rFonts w:hint="eastAsia" w:cs="仿宋_GB2312" w:asciiTheme="minorEastAsia" w:hAnsiTheme="minorEastAsia" w:eastAsiaTheme="minorEastAsia"/>
          <w:color w:val="000000"/>
          <w:sz w:val="24"/>
          <w:szCs w:val="24"/>
          <w:shd w:val="clear" w:color="auto" w:fill="FFFFFF"/>
          <w:lang w:val="en-US" w:eastAsia="zh-CN"/>
        </w:rPr>
        <w:t>3</w:t>
      </w:r>
      <w:r>
        <w:rPr>
          <w:rFonts w:hint="eastAsia" w:cs="仿宋_GB2312" w:asciiTheme="minorEastAsia" w:hAnsiTheme="minorEastAsia" w:eastAsiaTheme="minorEastAsia"/>
          <w:color w:val="000000"/>
          <w:sz w:val="24"/>
          <w:szCs w:val="24"/>
          <w:shd w:val="clear" w:color="auto" w:fill="FFFFFF"/>
        </w:rPr>
        <w:t>0分（北京时间），逾期提交或不符合规定的投标文件不予接受。</w:t>
      </w:r>
    </w:p>
    <w:p>
      <w:pPr>
        <w:pStyle w:val="19"/>
        <w:widowControl/>
        <w:numPr>
          <w:ilvl w:val="0"/>
          <w:numId w:val="2"/>
        </w:numPr>
        <w:shd w:val="clear" w:color="auto" w:fill="FFFFFF"/>
        <w:spacing w:line="360" w:lineRule="auto"/>
        <w:contextualSpacing/>
        <w:jc w:val="left"/>
        <w:rPr>
          <w:rFonts w:cs="仿宋_GB2312" w:asciiTheme="minorEastAsia" w:hAnsiTheme="minorEastAsia" w:eastAsiaTheme="minorEastAsia"/>
          <w:color w:val="auto"/>
          <w:sz w:val="24"/>
          <w:szCs w:val="24"/>
          <w:shd w:val="clear" w:color="auto" w:fill="FFFFFF"/>
        </w:rPr>
      </w:pPr>
      <w:r>
        <w:rPr>
          <w:rFonts w:hint="eastAsia" w:cs="仿宋_GB2312" w:asciiTheme="minorEastAsia" w:hAnsiTheme="minorEastAsia" w:eastAsiaTheme="minorEastAsia"/>
          <w:color w:val="000000"/>
          <w:sz w:val="24"/>
          <w:szCs w:val="24"/>
        </w:rPr>
        <w:t>开标地点：鄢陵县公共资源交易</w:t>
      </w:r>
      <w:r>
        <w:rPr>
          <w:rFonts w:hint="eastAsia" w:cs="仿宋_GB2312" w:asciiTheme="minorEastAsia" w:hAnsiTheme="minorEastAsia" w:eastAsiaTheme="minorEastAsia"/>
          <w:color w:val="auto"/>
          <w:sz w:val="24"/>
          <w:szCs w:val="24"/>
        </w:rPr>
        <w:t>中心</w:t>
      </w:r>
      <w:r>
        <w:rPr>
          <w:rFonts w:hint="eastAsia" w:cs="仿宋_GB2312" w:asciiTheme="minorEastAsia" w:hAnsiTheme="minorEastAsia" w:eastAsiaTheme="minorEastAsia"/>
          <w:color w:val="auto"/>
          <w:sz w:val="24"/>
          <w:szCs w:val="24"/>
          <w:lang w:val="en-US" w:eastAsia="zh-CN"/>
        </w:rPr>
        <w:t>四</w:t>
      </w:r>
      <w:r>
        <w:rPr>
          <w:rFonts w:hint="eastAsia" w:cs="仿宋_GB2312" w:asciiTheme="minorEastAsia" w:hAnsiTheme="minorEastAsia" w:eastAsiaTheme="minorEastAsia"/>
          <w:color w:val="auto"/>
          <w:sz w:val="24"/>
          <w:szCs w:val="24"/>
        </w:rPr>
        <w:t>楼开标</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u w:val="single"/>
          <w:lang w:val="en-US" w:eastAsia="zh-CN"/>
        </w:rPr>
        <w:t>一</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rPr>
        <w:t>室。（</w:t>
      </w:r>
      <w:r>
        <w:rPr>
          <w:rFonts w:hint="eastAsia" w:cs="Arial" w:asciiTheme="minorEastAsia" w:hAnsiTheme="minorEastAsia" w:eastAsiaTheme="minorEastAsia"/>
          <w:b/>
          <w:color w:val="auto"/>
          <w:sz w:val="24"/>
          <w:szCs w:val="24"/>
        </w:rPr>
        <w:t>本项目采用远程不见面开标方式，投标人无须到现场</w:t>
      </w:r>
      <w:r>
        <w:rPr>
          <w:rFonts w:hint="eastAsia" w:cs="Arial"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rPr>
        <w:t>。</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z w:val="24"/>
          <w:szCs w:val="24"/>
          <w:shd w:val="clear" w:color="auto" w:fill="FFFFFF"/>
        </w:rPr>
      </w:pPr>
      <w:r>
        <w:rPr>
          <w:rFonts w:hint="eastAsia" w:cs="黑体" w:asciiTheme="minorEastAsia" w:hAnsiTheme="minorEastAsia" w:eastAsiaTheme="minorEastAsia"/>
          <w:b/>
          <w:bCs/>
          <w:color w:val="000000"/>
          <w:sz w:val="24"/>
          <w:szCs w:val="24"/>
          <w:shd w:val="clear" w:color="auto" w:fill="FFFFFF"/>
        </w:rPr>
        <w:t>九、开标注意事项</w:t>
      </w:r>
    </w:p>
    <w:p>
      <w:pPr>
        <w:pStyle w:val="19"/>
        <w:widowControl/>
        <w:shd w:val="clear" w:color="auto" w:fill="FFFFFF"/>
        <w:spacing w:line="360" w:lineRule="auto"/>
        <w:ind w:left="424" w:leftChars="202" w:firstLine="484" w:firstLineChars="202"/>
        <w:contextualSpacing/>
        <w:jc w:val="left"/>
        <w:rPr>
          <w:color w:val="000000"/>
          <w:sz w:val="24"/>
          <w:szCs w:val="24"/>
          <w:shd w:val="clear" w:color="auto" w:fill="FFFFFF"/>
        </w:rPr>
      </w:pPr>
      <w:r>
        <w:rPr>
          <w:rFonts w:hint="eastAsia"/>
          <w:color w:val="000000"/>
          <w:sz w:val="24"/>
          <w:szCs w:val="24"/>
          <w:shd w:val="clear" w:color="auto" w:fill="FFFFFF"/>
        </w:rPr>
        <w:t>开标时间前，投标人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z w:val="24"/>
          <w:szCs w:val="24"/>
          <w:shd w:val="clear" w:color="auto" w:fill="FFFFFF"/>
        </w:rPr>
      </w:pPr>
      <w:r>
        <w:rPr>
          <w:rFonts w:hint="eastAsia" w:cs="黑体" w:asciiTheme="minorEastAsia" w:hAnsiTheme="minorEastAsia" w:eastAsiaTheme="minorEastAsia"/>
          <w:b/>
          <w:bCs/>
          <w:color w:val="000000"/>
          <w:sz w:val="24"/>
          <w:szCs w:val="24"/>
          <w:shd w:val="clear" w:color="auto" w:fill="FFFFFF"/>
        </w:rPr>
        <w:t>十、本次招标公告同时在《中国政府采购网》、《河南省政府采购网》、《许昌市政府采购网》、《全国公共资源交易平台（河南省·许昌市）》发布。</w:t>
      </w:r>
    </w:p>
    <w:p>
      <w:pPr>
        <w:pStyle w:val="19"/>
        <w:widowControl/>
        <w:shd w:val="clear" w:color="auto" w:fill="FFFFFF"/>
        <w:spacing w:line="360" w:lineRule="auto"/>
        <w:ind w:firstLine="420"/>
        <w:contextualSpacing/>
        <w:jc w:val="left"/>
        <w:rPr>
          <w:rFonts w:cs="黑体" w:asciiTheme="minorEastAsia" w:hAnsiTheme="minorEastAsia" w:eastAsiaTheme="minorEastAsia"/>
          <w:b/>
          <w:bCs/>
          <w:color w:val="000000"/>
          <w:sz w:val="24"/>
          <w:szCs w:val="24"/>
        </w:rPr>
      </w:pPr>
      <w:r>
        <w:rPr>
          <w:rFonts w:hint="eastAsia" w:cs="黑体" w:asciiTheme="minorEastAsia" w:hAnsiTheme="minorEastAsia" w:eastAsiaTheme="minorEastAsia"/>
          <w:b/>
          <w:bCs/>
          <w:color w:val="000000"/>
          <w:sz w:val="24"/>
          <w:szCs w:val="24"/>
        </w:rPr>
        <w:t>十一、联系方式</w:t>
      </w:r>
    </w:p>
    <w:p>
      <w:pPr>
        <w:adjustRightInd w:val="0"/>
        <w:spacing w:line="360" w:lineRule="auto"/>
        <w:ind w:firstLine="964" w:firstLineChars="400"/>
        <w:contextualSpacing/>
        <w:jc w:val="left"/>
        <w:rPr>
          <w:rFonts w:ascii="宋体" w:hAnsi="宋体"/>
          <w:sz w:val="24"/>
          <w:szCs w:val="24"/>
        </w:rPr>
      </w:pPr>
      <w:r>
        <w:rPr>
          <w:rFonts w:hint="eastAsia" w:ascii="宋体" w:hAnsi="宋体"/>
          <w:b/>
          <w:sz w:val="24"/>
          <w:szCs w:val="24"/>
        </w:rPr>
        <w:t>采购人名称</w:t>
      </w:r>
      <w:r>
        <w:rPr>
          <w:rFonts w:hint="eastAsia" w:ascii="宋体" w:hAnsi="宋体"/>
          <w:sz w:val="24"/>
          <w:szCs w:val="24"/>
        </w:rPr>
        <w:t>：鄢陵县图书馆</w:t>
      </w:r>
    </w:p>
    <w:p>
      <w:pPr>
        <w:adjustRightInd w:val="0"/>
        <w:spacing w:line="360" w:lineRule="auto"/>
        <w:ind w:firstLine="960" w:firstLineChars="400"/>
        <w:contextualSpacing/>
        <w:jc w:val="left"/>
        <w:rPr>
          <w:rFonts w:hint="eastAsia" w:ascii="宋体" w:hAnsi="宋体"/>
          <w:sz w:val="24"/>
          <w:szCs w:val="24"/>
        </w:rPr>
      </w:pPr>
      <w:r>
        <w:rPr>
          <w:rFonts w:hint="eastAsia" w:ascii="宋体" w:hAnsi="宋体"/>
          <w:sz w:val="24"/>
          <w:szCs w:val="24"/>
        </w:rPr>
        <w:t>地    址：鄢陵县人民路西段</w:t>
      </w:r>
    </w:p>
    <w:p>
      <w:pPr>
        <w:adjustRightInd w:val="0"/>
        <w:spacing w:line="360" w:lineRule="auto"/>
        <w:ind w:firstLine="960" w:firstLineChars="400"/>
        <w:contextualSpacing/>
        <w:jc w:val="left"/>
        <w:rPr>
          <w:rFonts w:hint="eastAsia" w:ascii="宋体" w:hAnsi="宋体"/>
          <w:sz w:val="24"/>
          <w:szCs w:val="24"/>
        </w:rPr>
      </w:pPr>
      <w:r>
        <w:rPr>
          <w:rFonts w:hint="eastAsia" w:ascii="宋体" w:hAnsi="宋体"/>
          <w:sz w:val="24"/>
          <w:szCs w:val="24"/>
        </w:rPr>
        <w:t>联 系 人：王</w:t>
      </w:r>
      <w:r>
        <w:rPr>
          <w:rFonts w:hint="eastAsia" w:ascii="宋体" w:hAnsi="宋体"/>
          <w:sz w:val="24"/>
          <w:szCs w:val="24"/>
          <w:lang w:val="en-US" w:eastAsia="zh-CN"/>
        </w:rPr>
        <w:t xml:space="preserve">沛沛           </w:t>
      </w:r>
      <w:r>
        <w:rPr>
          <w:rFonts w:hint="eastAsia" w:ascii="宋体" w:hAnsi="宋体"/>
          <w:sz w:val="24"/>
          <w:szCs w:val="24"/>
        </w:rPr>
        <w:t>联系电话：0374-6093076</w:t>
      </w:r>
    </w:p>
    <w:p>
      <w:pPr>
        <w:adjustRightInd w:val="0"/>
        <w:spacing w:line="360" w:lineRule="auto"/>
        <w:ind w:firstLine="964" w:firstLineChars="400"/>
        <w:contextualSpacing/>
        <w:jc w:val="left"/>
        <w:rPr>
          <w:rFonts w:ascii="宋体" w:hAnsi="宋体"/>
          <w:sz w:val="24"/>
          <w:szCs w:val="24"/>
        </w:rPr>
      </w:pPr>
      <w:r>
        <w:rPr>
          <w:rFonts w:hint="eastAsia" w:ascii="宋体" w:hAnsi="宋体"/>
          <w:b/>
          <w:sz w:val="24"/>
          <w:szCs w:val="24"/>
          <w:lang w:val="en-US" w:eastAsia="zh-CN"/>
        </w:rPr>
        <w:t>招标代理</w:t>
      </w:r>
      <w:r>
        <w:rPr>
          <w:rFonts w:hint="eastAsia" w:ascii="宋体" w:hAnsi="宋体"/>
          <w:b/>
          <w:sz w:val="24"/>
          <w:szCs w:val="24"/>
        </w:rPr>
        <w:t>机构</w:t>
      </w:r>
      <w:r>
        <w:rPr>
          <w:rFonts w:hint="eastAsia" w:ascii="宋体" w:hAnsi="宋体"/>
          <w:sz w:val="24"/>
          <w:szCs w:val="24"/>
        </w:rPr>
        <w:t>：河南招标采购服务有限公司</w:t>
      </w:r>
    </w:p>
    <w:p>
      <w:pPr>
        <w:adjustRightInd w:val="0"/>
        <w:snapToGrid w:val="0"/>
        <w:spacing w:line="360" w:lineRule="auto"/>
        <w:ind w:firstLine="960" w:firstLineChars="400"/>
        <w:jc w:val="left"/>
        <w:rPr>
          <w:rFonts w:hint="eastAsia" w:ascii="宋体" w:hAnsi="宋体"/>
          <w:sz w:val="24"/>
          <w:szCs w:val="24"/>
        </w:rPr>
      </w:pPr>
      <w:r>
        <w:rPr>
          <w:rFonts w:hint="eastAsia" w:ascii="宋体" w:hAnsi="宋体"/>
          <w:sz w:val="24"/>
          <w:szCs w:val="24"/>
        </w:rPr>
        <w:t xml:space="preserve">地    址：郑州市纬四路13号 </w:t>
      </w:r>
    </w:p>
    <w:p>
      <w:pPr>
        <w:adjustRightInd w:val="0"/>
        <w:snapToGrid w:val="0"/>
        <w:spacing w:line="360" w:lineRule="auto"/>
        <w:ind w:firstLine="960" w:firstLineChars="400"/>
        <w:jc w:val="left"/>
        <w:rPr>
          <w:rFonts w:ascii="宋体" w:hAnsi="宋体"/>
          <w:sz w:val="24"/>
          <w:szCs w:val="24"/>
        </w:rPr>
      </w:pPr>
      <w:r>
        <w:rPr>
          <w:rFonts w:hint="eastAsia" w:ascii="宋体" w:hAnsi="宋体"/>
          <w:sz w:val="24"/>
          <w:szCs w:val="24"/>
        </w:rPr>
        <w:t>联 系 人：刘</w:t>
      </w:r>
      <w:r>
        <w:rPr>
          <w:rFonts w:hint="eastAsia" w:ascii="宋体" w:hAnsi="宋体"/>
          <w:sz w:val="24"/>
          <w:szCs w:val="24"/>
          <w:lang w:val="en-US" w:eastAsia="zh-CN"/>
        </w:rPr>
        <w:t>宝丰</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联系电话：0374-2219766、18903747336</w:t>
      </w:r>
    </w:p>
    <w:p>
      <w:pPr>
        <w:spacing w:line="360" w:lineRule="auto"/>
        <w:ind w:firstLine="361" w:firstLineChars="150"/>
        <w:rPr>
          <w:rFonts w:hAnsi="宋体"/>
          <w:b/>
          <w:sz w:val="24"/>
          <w:szCs w:val="24"/>
        </w:rPr>
      </w:pPr>
      <w:r>
        <w:rPr>
          <w:rFonts w:hint="eastAsia" w:hAnsi="宋体"/>
          <w:b/>
          <w:sz w:val="24"/>
          <w:szCs w:val="24"/>
        </w:rPr>
        <w:t>温馨提示：本项目为全流程电子化交易项目，请注意以下事项。</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2" w:leftChars="200" w:hanging="482" w:hangingChars="200"/>
        <w:contextualSpacing/>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color w:val="000000"/>
          <w:sz w:val="24"/>
          <w:szCs w:val="24"/>
          <w:lang w:val="en-US" w:eastAsia="zh-CN"/>
        </w:rPr>
        <w:t>1.</w:t>
      </w:r>
      <w:r>
        <w:rPr>
          <w:rFonts w:hint="eastAsia" w:asciiTheme="minorEastAsia" w:hAnsiTheme="minorEastAsia" w:eastAsiaTheme="minorEastAsia" w:cstheme="minorEastAsia"/>
          <w:color w:val="000000"/>
          <w:sz w:val="24"/>
          <w:szCs w:val="24"/>
        </w:rPr>
        <w:t>供应商参</w:t>
      </w:r>
      <w:r>
        <w:rPr>
          <w:rFonts w:hint="eastAsia" w:asciiTheme="minorEastAsia" w:hAnsiTheme="minorEastAsia" w:eastAsiaTheme="minorEastAsia" w:cstheme="minorEastAsia"/>
          <w:color w:val="333333"/>
          <w:sz w:val="24"/>
          <w:szCs w:val="24"/>
        </w:rPr>
        <w:t>加本项目投标，需提前自行联系CA服务机构办理数字认证证书并进行电子签章。</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2" w:leftChars="200" w:hanging="482"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lang w:val="en-US" w:eastAsia="zh-CN"/>
        </w:rPr>
        <w:t>2.</w:t>
      </w:r>
      <w:r>
        <w:rPr>
          <w:rFonts w:hint="eastAsia" w:asciiTheme="minorEastAsia" w:hAnsiTheme="minorEastAsia" w:eastAsiaTheme="minorEastAsia" w:cstheme="minorEastAsia"/>
          <w:color w:val="000000"/>
          <w:sz w:val="24"/>
          <w:szCs w:val="24"/>
        </w:rPr>
        <w:t>招标文件下载、投标文件制作、提交、远程不见面开标（</w:t>
      </w:r>
      <w:r>
        <w:rPr>
          <w:rFonts w:hint="eastAsia" w:asciiTheme="minorEastAsia" w:hAnsiTheme="minorEastAsia" w:eastAsiaTheme="minorEastAsia" w:cstheme="minorEastAsia"/>
          <w:sz w:val="24"/>
          <w:szCs w:val="24"/>
        </w:rPr>
        <w:t>电子投标文件的解密</w:t>
      </w:r>
      <w:r>
        <w:rPr>
          <w:rFonts w:hint="eastAsia" w:asciiTheme="minorEastAsia" w:hAnsiTheme="minorEastAsia" w:eastAsiaTheme="minorEastAsia" w:cstheme="minorEastAsia"/>
          <w:color w:val="000000"/>
          <w:sz w:val="24"/>
          <w:szCs w:val="24"/>
        </w:rPr>
        <w:t>）环节，投标人须使用同一个CA数字证书（证书须在有效期内并可正常使用）。</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2" w:leftChars="200" w:hanging="482" w:hangingChars="200"/>
        <w:contextualSpacing/>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3.</w:t>
      </w:r>
      <w:r>
        <w:rPr>
          <w:rFonts w:hint="eastAsia" w:asciiTheme="minorEastAsia" w:hAnsiTheme="minorEastAsia" w:eastAsiaTheme="minorEastAsia" w:cstheme="minorEastAsia"/>
          <w:b/>
          <w:color w:val="000000"/>
          <w:sz w:val="24"/>
          <w:szCs w:val="24"/>
        </w:rPr>
        <w:t>电子投标文件的制作</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3.1</w:t>
      </w:r>
      <w:r>
        <w:rPr>
          <w:rFonts w:hint="eastAsia" w:asciiTheme="minorEastAsia" w:hAnsiTheme="minorEastAsia" w:eastAsiaTheme="minorEastAsia" w:cstheme="minorEastAsia"/>
          <w:color w:val="000000"/>
          <w:sz w:val="24"/>
          <w:szCs w:val="24"/>
        </w:rPr>
        <w:t>投标人登录《全国公共资源交易平台(河南省▪许昌市)》公共资源交易系统（</w:t>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HYPERLINK "http://221.14.6.70:8088/ggzy/"</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color w:val="000000"/>
          <w:sz w:val="24"/>
          <w:szCs w:val="24"/>
          <w:lang w:eastAsia="zh-CN"/>
        </w:rPr>
        <w:t>http://ggzy.xuchang.gov.cn:8088/ggzy/</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）下载“许昌投标文件制作系统SEARUN 最新版本”，制作投标文件。</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3.2投标人对同一项目多个标段进行投标的，应分别下载所投标段的招标文件，按标段制作投标文件。一个标段对应生成一个文件夹（xxxx项目xx标段）,其中后缀名为“.file”的文件用于投标。</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2" w:leftChars="200" w:hanging="482" w:hangingChars="200"/>
        <w:contextualSpacing/>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4.</w:t>
      </w:r>
      <w:r>
        <w:rPr>
          <w:rFonts w:hint="eastAsia" w:asciiTheme="minorEastAsia" w:hAnsiTheme="minorEastAsia" w:eastAsiaTheme="minorEastAsia" w:cstheme="minorEastAsia"/>
          <w:b/>
          <w:color w:val="000000"/>
          <w:sz w:val="24"/>
          <w:szCs w:val="24"/>
        </w:rPr>
        <w:t>加密电子投标文件的提交</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4.1 </w:t>
      </w:r>
      <w:r>
        <w:rPr>
          <w:rFonts w:hint="eastAsia" w:asciiTheme="minorEastAsia" w:hAnsiTheme="minorEastAsia" w:eastAsiaTheme="minorEastAsia" w:cstheme="minorEastAsia"/>
          <w:color w:val="000000"/>
          <w:sz w:val="24"/>
          <w:szCs w:val="24"/>
        </w:rPr>
        <w:t>投标人对同一项目多个标段进行投标的，加密电子投标文件应按标段分别提交。</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4.2 </w:t>
      </w:r>
      <w:r>
        <w:rPr>
          <w:rFonts w:hint="eastAsia" w:asciiTheme="minorEastAsia" w:hAnsiTheme="minorEastAsia" w:eastAsiaTheme="minorEastAsia" w:cstheme="minorEastAsia"/>
          <w:color w:val="000000"/>
          <w:sz w:val="24"/>
          <w:szCs w:val="24"/>
        </w:rPr>
        <w:t>加密电子投标文件成功提交后，《全国公共资源交易平台(河南省▪许昌市)》公共资源交易系统（</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"http://221.14.6.70:8088/ggzy/" </w:instrText>
      </w:r>
      <w:r>
        <w:rPr>
          <w:rFonts w:hint="eastAsia" w:asciiTheme="minorEastAsia" w:hAnsiTheme="minorEastAsia" w:eastAsiaTheme="minorEastAsia" w:cstheme="minorEastAsia"/>
          <w:sz w:val="24"/>
          <w:szCs w:val="24"/>
        </w:rPr>
        <w:fldChar w:fldCharType="separate"/>
      </w:r>
      <w:r>
        <w:rPr>
          <w:rStyle w:val="26"/>
          <w:rFonts w:hint="eastAsia" w:asciiTheme="minorEastAsia" w:hAnsiTheme="minorEastAsia" w:eastAsiaTheme="minorEastAsia" w:cstheme="minorEastAsia"/>
          <w:sz w:val="24"/>
          <w:szCs w:val="24"/>
          <w:lang w:eastAsia="zh-CN"/>
        </w:rPr>
        <w:t>http://ggzy.xuchang.gov.cn:8088/ggzy/</w:t>
      </w:r>
      <w:r>
        <w:rPr>
          <w:rStyle w:val="26"/>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t>）生成“投标文件提交回执单”。</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2" w:leftChars="200" w:hanging="482" w:hangingChars="200"/>
        <w:contextualSpacing/>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5.</w:t>
      </w:r>
      <w:r>
        <w:rPr>
          <w:rFonts w:hint="eastAsia" w:asciiTheme="minorEastAsia" w:hAnsiTheme="minorEastAsia" w:eastAsiaTheme="minorEastAsia" w:cstheme="minorEastAsia"/>
          <w:b/>
          <w:color w:val="000000"/>
          <w:sz w:val="24"/>
          <w:szCs w:val="24"/>
        </w:rPr>
        <w:t>远程不见面开标（电子投标文件的解密）</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5.1</w:t>
      </w:r>
      <w:r>
        <w:rPr>
          <w:rFonts w:hint="eastAsia" w:asciiTheme="minorEastAsia" w:hAnsiTheme="minorEastAsia" w:eastAsiaTheme="minorEastAsia" w:cstheme="minorEastAsia"/>
          <w:color w:val="000000"/>
          <w:sz w:val="24"/>
          <w:szCs w:val="24"/>
        </w:rPr>
        <w:t>本项目采用远程“不见面”开标方式，投标前请详细阅读全国公共资源交易平台（河南省·许昌市）首页“资料下载”栏目的《许昌市不见面操作手册》。</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5.2</w:t>
      </w:r>
      <w:r>
        <w:rPr>
          <w:rFonts w:hint="eastAsia" w:asciiTheme="minorEastAsia" w:hAnsiTheme="minorEastAsia" w:eastAsiaTheme="minorEastAsia" w:cstheme="minorEastAsia"/>
          <w:color w:val="000000"/>
          <w:sz w:val="24"/>
          <w:szCs w:val="24"/>
        </w:rPr>
        <w:t>投标人提前设置不见面开标浏览器，并于开标时间前登录本项目不见面开标大厅，按照规定的开标时间准时参加网上开标。</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5.3</w:t>
      </w:r>
      <w:r>
        <w:rPr>
          <w:rFonts w:hint="eastAsia" w:asciiTheme="minorEastAsia" w:hAnsiTheme="minorEastAsia" w:eastAsiaTheme="minorEastAsia" w:cstheme="minorEastAsia"/>
          <w:color w:val="000000"/>
          <w:sz w:val="24"/>
          <w:szCs w:val="24"/>
        </w:rPr>
        <w:t>根据采购代理机构在“文字互动”对话框的通知，投标人选择功能栏“解密环节”按钮进行电子投标文件解密（投标人解密应自采购代理机构点击“开标开始”按钮后60分钟内完成）。投标人未解密或因投标人原因解密失败的，其投标将被拒绝。</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5.4</w:t>
      </w:r>
      <w:r>
        <w:rPr>
          <w:rFonts w:hint="eastAsia" w:asciiTheme="minorEastAsia" w:hAnsiTheme="minorEastAsia" w:eastAsiaTheme="minorEastAsia" w:cstheme="minorEastAsia"/>
          <w:color w:val="000000"/>
          <w:sz w:val="24"/>
          <w:szCs w:val="24"/>
        </w:rPr>
        <w:t>开标活动结束时，投标人应在《开标记录表》上进行电子签章。投标人未签章的，视同认可开标结果。</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5.5</w:t>
      </w:r>
      <w:r>
        <w:rPr>
          <w:rFonts w:hint="eastAsia" w:asciiTheme="minorEastAsia" w:hAnsiTheme="minorEastAsia" w:eastAsiaTheme="minorEastAsia" w:cstheme="minorEastAsia"/>
          <w:color w:val="000000"/>
          <w:sz w:val="24"/>
          <w:szCs w:val="24"/>
        </w:rPr>
        <w:t>投标人对开标过程和开标记录如有疑义，可在本项目不见面开标大厅“文字互动”对话框或“新增质疑”处在线提出询问。</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902" w:leftChars="200" w:hanging="482" w:hangingChars="200"/>
        <w:contextualSpacing/>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6.</w:t>
      </w:r>
      <w:r>
        <w:rPr>
          <w:rFonts w:hint="eastAsia" w:asciiTheme="minorEastAsia" w:hAnsiTheme="minorEastAsia" w:eastAsiaTheme="minorEastAsia" w:cstheme="minorEastAsia"/>
          <w:b/>
          <w:color w:val="000000"/>
          <w:sz w:val="24"/>
          <w:szCs w:val="24"/>
        </w:rPr>
        <w:t>评标依据</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6.1</w:t>
      </w:r>
      <w:r>
        <w:rPr>
          <w:rFonts w:hint="eastAsia" w:asciiTheme="minorEastAsia" w:hAnsiTheme="minorEastAsia" w:eastAsiaTheme="minorEastAsia" w:cstheme="minorEastAsia"/>
          <w:color w:val="000000"/>
          <w:sz w:val="24"/>
          <w:szCs w:val="24"/>
        </w:rPr>
        <w:t>全流程电子化交易（不见面开标）项目，评标委员会以成功上传、解密的电子投标文件为依据评审。</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6.2</w:t>
      </w:r>
      <w:r>
        <w:rPr>
          <w:rFonts w:hint="eastAsia" w:asciiTheme="minorEastAsia" w:hAnsiTheme="minorEastAsia" w:eastAsiaTheme="minorEastAsia" w:cstheme="minorEastAsia"/>
          <w:color w:val="000000"/>
          <w:sz w:val="24"/>
          <w:szCs w:val="24"/>
        </w:rPr>
        <w:t>评标期间，投标人应保持通讯手机畅通。评标委员会如要求投标人作出澄清、说明或者补正等，投标人应在评标委员会要求的评标期间合理的时间内通过电子邮件形式提供。</w:t>
      </w:r>
    </w:p>
    <w:p>
      <w:pPr>
        <w:pStyle w:val="34"/>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1320" w:leftChars="400" w:hanging="480" w:hangingChars="200"/>
        <w:contextualSpacing/>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6.3</w:t>
      </w:r>
      <w:r>
        <w:rPr>
          <w:rFonts w:hint="eastAsia" w:asciiTheme="minorEastAsia" w:hAnsiTheme="minorEastAsia" w:eastAsiaTheme="minorEastAsia" w:cstheme="minorEastAsia"/>
          <w:color w:val="000000"/>
          <w:sz w:val="24"/>
          <w:szCs w:val="24"/>
        </w:rPr>
        <w:t>投标人通过电子邮件提供的书面说明或相关证明材料应加盖公章，或者由法定代表人或其授权的代表签字。</w:t>
      </w:r>
    </w:p>
    <w:p>
      <w:pPr>
        <w:rPr>
          <w:rFonts w:hint="eastAsia" w:cs="宋体" w:asciiTheme="majorEastAsia" w:hAnsiTheme="majorEastAsia" w:eastAsiaTheme="majorEastAsia"/>
          <w:b/>
          <w:color w:val="auto"/>
          <w:kern w:val="0"/>
          <w:sz w:val="24"/>
          <w:szCs w:val="24"/>
          <w:highlight w:val="none"/>
        </w:rPr>
      </w:pPr>
    </w:p>
    <w:p>
      <w:pPr>
        <w:rPr>
          <w:rFonts w:hint="eastAsia"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br w:type="page"/>
      </w:r>
    </w:p>
    <w:p>
      <w:pPr>
        <w:autoSpaceDE w:val="0"/>
        <w:autoSpaceDN w:val="0"/>
        <w:adjustRightInd w:val="0"/>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第二章 投标人须知</w:t>
      </w:r>
    </w:p>
    <w:p>
      <w:pPr>
        <w:autoSpaceDE w:val="0"/>
        <w:autoSpaceDN w:val="0"/>
        <w:adjustRightInd w:val="0"/>
        <w:spacing w:line="360" w:lineRule="auto"/>
        <w:ind w:right="-11"/>
        <w:jc w:val="center"/>
        <w:rPr>
          <w:rFonts w:ascii="宋体" w:cs="宋体"/>
          <w:b/>
          <w:color w:val="auto"/>
          <w:sz w:val="28"/>
          <w:szCs w:val="28"/>
          <w:highlight w:val="none"/>
          <w:lang w:val="zh-CN"/>
        </w:rPr>
      </w:pPr>
      <w:r>
        <w:rPr>
          <w:rFonts w:hint="eastAsia" w:ascii="宋体" w:cs="宋体"/>
          <w:b/>
          <w:color w:val="auto"/>
          <w:sz w:val="28"/>
          <w:szCs w:val="28"/>
          <w:highlight w:val="none"/>
          <w:lang w:val="zh-CN"/>
        </w:rPr>
        <w:t>投标人须知前附表</w:t>
      </w:r>
    </w:p>
    <w:tbl>
      <w:tblPr>
        <w:tblStyle w:val="20"/>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360" w:lineRule="auto"/>
              <w:jc w:val="center"/>
              <w:rPr>
                <w:rFonts w:hAnsi="宋体" w:cs="仿宋_GB2312"/>
                <w:b/>
                <w:color w:val="auto"/>
                <w:sz w:val="24"/>
                <w:szCs w:val="24"/>
                <w:highlight w:val="none"/>
              </w:rPr>
            </w:pPr>
            <w:r>
              <w:rPr>
                <w:rFonts w:hint="eastAsia" w:hAnsi="宋体" w:cs="仿宋_GB2312"/>
                <w:b/>
                <w:color w:val="auto"/>
                <w:sz w:val="24"/>
                <w:szCs w:val="24"/>
                <w:highlight w:val="none"/>
              </w:rPr>
              <w:t>序号</w:t>
            </w:r>
          </w:p>
        </w:tc>
        <w:tc>
          <w:tcPr>
            <w:tcW w:w="2268" w:type="dxa"/>
            <w:vAlign w:val="center"/>
          </w:tcPr>
          <w:p>
            <w:pPr>
              <w:autoSpaceDE w:val="0"/>
              <w:autoSpaceDN w:val="0"/>
              <w:adjustRightInd w:val="0"/>
              <w:spacing w:line="360" w:lineRule="auto"/>
              <w:jc w:val="center"/>
              <w:rPr>
                <w:rFonts w:hAnsi="宋体" w:cs="仿宋_GB2312"/>
                <w:b/>
                <w:color w:val="auto"/>
                <w:sz w:val="24"/>
                <w:szCs w:val="24"/>
                <w:highlight w:val="none"/>
              </w:rPr>
            </w:pPr>
            <w:r>
              <w:rPr>
                <w:rFonts w:hint="eastAsia" w:hAnsi="宋体" w:cs="仿宋_GB2312"/>
                <w:b/>
                <w:color w:val="auto"/>
                <w:sz w:val="24"/>
                <w:szCs w:val="24"/>
                <w:highlight w:val="none"/>
              </w:rPr>
              <w:t>条款名称</w:t>
            </w:r>
          </w:p>
        </w:tc>
        <w:tc>
          <w:tcPr>
            <w:tcW w:w="7038" w:type="dxa"/>
            <w:vAlign w:val="center"/>
          </w:tcPr>
          <w:p>
            <w:pPr>
              <w:autoSpaceDE w:val="0"/>
              <w:autoSpaceDN w:val="0"/>
              <w:adjustRightInd w:val="0"/>
              <w:spacing w:line="360" w:lineRule="auto"/>
              <w:jc w:val="center"/>
              <w:rPr>
                <w:rFonts w:hAnsi="宋体" w:cs="仿宋_GB2312"/>
                <w:b/>
                <w:color w:val="auto"/>
                <w:sz w:val="24"/>
                <w:szCs w:val="24"/>
                <w:highlight w:val="none"/>
              </w:rPr>
            </w:pPr>
            <w:r>
              <w:rPr>
                <w:rFonts w:hint="eastAsia" w:hAnsi="宋体" w:cs="仿宋_GB2312"/>
                <w:b/>
                <w:color w:val="auto"/>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w:t>
            </w:r>
          </w:p>
        </w:tc>
        <w:tc>
          <w:tcPr>
            <w:tcW w:w="2268" w:type="dxa"/>
            <w:vAlign w:val="center"/>
          </w:tcPr>
          <w:p>
            <w:pPr>
              <w:autoSpaceDE w:val="0"/>
              <w:autoSpaceDN w:val="0"/>
              <w:adjustRightInd w:val="0"/>
              <w:spacing w:line="360" w:lineRule="auto"/>
              <w:jc w:val="center"/>
              <w:rPr>
                <w:rFonts w:hAnsi="宋体" w:cs="仿宋_GB2312"/>
                <w:color w:val="auto"/>
                <w:sz w:val="24"/>
                <w:szCs w:val="24"/>
                <w:highlight w:val="none"/>
              </w:rPr>
            </w:pPr>
            <w:r>
              <w:rPr>
                <w:rFonts w:hint="eastAsia" w:hAnsi="宋体" w:cs="仿宋_GB2312"/>
                <w:color w:val="auto"/>
                <w:sz w:val="24"/>
                <w:szCs w:val="24"/>
                <w:highlight w:val="none"/>
              </w:rPr>
              <w:t>项目综合说明</w:t>
            </w:r>
          </w:p>
        </w:tc>
        <w:tc>
          <w:tcPr>
            <w:tcW w:w="7038" w:type="dxa"/>
          </w:tcPr>
          <w:p>
            <w:pPr>
              <w:autoSpaceDE w:val="0"/>
              <w:autoSpaceDN w:val="0"/>
              <w:adjustRightInd w:val="0"/>
              <w:spacing w:line="360" w:lineRule="auto"/>
              <w:jc w:val="left"/>
              <w:rPr>
                <w:rFonts w:hAnsi="宋体" w:cs="仿宋_GB2312"/>
                <w:b/>
                <w:bCs/>
                <w:color w:val="auto"/>
                <w:sz w:val="24"/>
                <w:szCs w:val="24"/>
                <w:highlight w:val="none"/>
              </w:rPr>
            </w:pPr>
            <w:r>
              <w:rPr>
                <w:rFonts w:hint="eastAsia" w:hAnsi="宋体" w:cs="仿宋_GB2312"/>
                <w:bCs/>
                <w:color w:val="auto"/>
                <w:sz w:val="24"/>
                <w:szCs w:val="24"/>
                <w:highlight w:val="none"/>
              </w:rPr>
              <w:t>项目名称：鄢陵县公共文化服务体系建设-12乡镇图书馆分馆建设(三次)</w:t>
            </w:r>
          </w:p>
          <w:p>
            <w:pPr>
              <w:autoSpaceDE w:val="0"/>
              <w:autoSpaceDN w:val="0"/>
              <w:adjustRightInd w:val="0"/>
              <w:spacing w:line="360" w:lineRule="auto"/>
              <w:jc w:val="left"/>
              <w:rPr>
                <w:rFonts w:hAnsi="宋体" w:cs="仿宋_GB2312"/>
                <w:bCs/>
                <w:color w:val="auto"/>
                <w:sz w:val="24"/>
                <w:szCs w:val="24"/>
                <w:highlight w:val="none"/>
              </w:rPr>
            </w:pPr>
            <w:r>
              <w:rPr>
                <w:rFonts w:hint="eastAsia" w:cs="仿宋_GB2312" w:asciiTheme="minorEastAsia" w:hAnsiTheme="minorEastAsia"/>
                <w:bCs/>
                <w:color w:val="auto"/>
                <w:sz w:val="24"/>
                <w:szCs w:val="24"/>
                <w:highlight w:val="none"/>
              </w:rPr>
              <w:t xml:space="preserve">项目编号：Y2020HZ070  </w:t>
            </w:r>
            <w:r>
              <w:rPr>
                <w:rFonts w:hint="eastAsia" w:cs="仿宋_GB2312" w:asciiTheme="minorEastAsia" w:hAnsiTheme="minorEastAsia"/>
                <w:bCs/>
                <w:color w:val="auto"/>
                <w:sz w:val="24"/>
                <w:szCs w:val="24"/>
                <w:highlight w:val="none"/>
                <w:lang w:val="en-US" w:eastAsia="zh-CN"/>
              </w:rPr>
              <w:t xml:space="preserve">  </w:t>
            </w:r>
            <w:r>
              <w:rPr>
                <w:rFonts w:hint="eastAsia" w:cs="仿宋_GB2312" w:asciiTheme="minorEastAsia" w:hAnsiTheme="minorEastAsia"/>
                <w:bCs/>
                <w:color w:val="auto"/>
                <w:sz w:val="24"/>
                <w:szCs w:val="24"/>
                <w:highlight w:val="none"/>
              </w:rPr>
              <w:t>招标编号：鄢招公2020061901</w:t>
            </w:r>
            <w:r>
              <w:rPr>
                <w:rFonts w:hint="eastAsia" w:hAnsi="宋体" w:cs="仿宋_GB2312"/>
                <w:bCs/>
                <w:color w:val="auto"/>
                <w:sz w:val="24"/>
                <w:szCs w:val="24"/>
                <w:highlight w:val="none"/>
              </w:rPr>
              <w:t xml:space="preserve"> </w:t>
            </w:r>
          </w:p>
          <w:p>
            <w:pPr>
              <w:autoSpaceDE w:val="0"/>
              <w:autoSpaceDN w:val="0"/>
              <w:adjustRightInd w:val="0"/>
              <w:spacing w:line="360" w:lineRule="auto"/>
              <w:jc w:val="left"/>
              <w:rPr>
                <w:rFonts w:hAnsi="宋体" w:cs="仿宋_GB2312"/>
                <w:color w:val="auto"/>
                <w:sz w:val="24"/>
                <w:szCs w:val="24"/>
                <w:highlight w:val="none"/>
              </w:rPr>
            </w:pPr>
            <w:r>
              <w:rPr>
                <w:rFonts w:hint="eastAsia" w:hAnsi="宋体" w:cs="仿宋_GB2312"/>
                <w:color w:val="auto"/>
                <w:sz w:val="24"/>
                <w:szCs w:val="24"/>
                <w:highlight w:val="none"/>
              </w:rPr>
              <w:t>采购方式：公开招标</w:t>
            </w:r>
          </w:p>
          <w:p>
            <w:pPr>
              <w:autoSpaceDE w:val="0"/>
              <w:autoSpaceDN w:val="0"/>
              <w:adjustRightInd w:val="0"/>
              <w:spacing w:line="360" w:lineRule="auto"/>
              <w:jc w:val="left"/>
              <w:rPr>
                <w:rFonts w:hAnsi="宋体" w:cs="仿宋_GB2312"/>
                <w:bCs/>
                <w:color w:val="auto"/>
                <w:sz w:val="24"/>
                <w:highlight w:val="none"/>
              </w:rPr>
            </w:pPr>
            <w:r>
              <w:rPr>
                <w:rFonts w:hint="eastAsia" w:hAnsi="宋体" w:cs="仿宋_GB2312"/>
                <w:bCs/>
                <w:color w:val="auto"/>
                <w:sz w:val="24"/>
                <w:highlight w:val="none"/>
              </w:rPr>
              <w:t>资金来源：财政资金，已落实</w:t>
            </w:r>
          </w:p>
          <w:p>
            <w:pPr>
              <w:widowControl/>
              <w:shd w:val="clear" w:color="auto" w:fill="FFFFFF"/>
              <w:spacing w:line="360" w:lineRule="auto"/>
              <w:jc w:val="left"/>
              <w:rPr>
                <w:rFonts w:hAnsi="宋体" w:cs="仿宋_GB2312"/>
                <w:color w:val="auto"/>
                <w:sz w:val="24"/>
                <w:szCs w:val="24"/>
                <w:highlight w:val="none"/>
              </w:rPr>
            </w:pPr>
            <w:r>
              <w:rPr>
                <w:rFonts w:hint="eastAsia" w:hAnsi="宋体" w:cs="仿宋_GB2312"/>
                <w:color w:val="auto"/>
                <w:sz w:val="24"/>
                <w:szCs w:val="24"/>
                <w:highlight w:val="none"/>
              </w:rPr>
              <w:t>采购内容：</w:t>
            </w:r>
            <w:r>
              <w:rPr>
                <w:rFonts w:hint="eastAsia" w:hAnsi="宋体" w:cs="仿宋_GB2312"/>
                <w:bCs/>
                <w:color w:val="auto"/>
                <w:sz w:val="24"/>
                <w:szCs w:val="24"/>
                <w:highlight w:val="none"/>
              </w:rPr>
              <w:t>本次招标内容为5个乡镇云图书馆平台建设（大马镇、南坞镇、安陵镇、马坊镇、彭店镇）</w:t>
            </w:r>
            <w:r>
              <w:rPr>
                <w:rFonts w:hint="eastAsia" w:hAnsi="宋体" w:cs="仿宋_GB2312"/>
                <w:color w:val="auto"/>
                <w:sz w:val="24"/>
                <w:szCs w:val="24"/>
                <w:highlight w:val="none"/>
              </w:rPr>
              <w:t>（具体要求详见招标文件第三章）</w:t>
            </w:r>
          </w:p>
          <w:p>
            <w:pPr>
              <w:spacing w:line="360" w:lineRule="auto"/>
              <w:contextualSpacing/>
              <w:jc w:val="left"/>
              <w:rPr>
                <w:rFonts w:hint="eastAsia" w:ascii="宋体" w:cs="宋体"/>
                <w:color w:val="auto"/>
                <w:sz w:val="24"/>
                <w:szCs w:val="24"/>
                <w:highlight w:val="none"/>
                <w:lang w:val="zh-CN"/>
              </w:rPr>
            </w:pPr>
            <w:r>
              <w:rPr>
                <w:rFonts w:hint="eastAsia" w:ascii="宋体" w:cs="宋体"/>
                <w:color w:val="auto"/>
                <w:sz w:val="24"/>
                <w:szCs w:val="24"/>
                <w:highlight w:val="none"/>
                <w:lang w:val="zh-CN"/>
              </w:rPr>
              <w:t>履约时间 ：自合同生效之日起30个工作日、完成安装调试并具备验收条件。</w:t>
            </w:r>
          </w:p>
          <w:p>
            <w:pPr>
              <w:spacing w:line="360" w:lineRule="auto"/>
              <w:contextualSpacing/>
              <w:jc w:val="left"/>
              <w:rPr>
                <w:rFonts w:ascii="宋体" w:cs="宋体"/>
                <w:color w:val="auto"/>
                <w:sz w:val="24"/>
                <w:szCs w:val="24"/>
                <w:highlight w:val="none"/>
                <w:lang w:val="zh-CN"/>
              </w:rPr>
            </w:pPr>
            <w:r>
              <w:rPr>
                <w:rFonts w:hint="eastAsia" w:ascii="宋体" w:cs="宋体"/>
                <w:color w:val="auto"/>
                <w:sz w:val="24"/>
                <w:szCs w:val="24"/>
                <w:highlight w:val="none"/>
                <w:lang w:val="zh-CN"/>
              </w:rPr>
              <w:t>付款方式：</w:t>
            </w:r>
            <w:r>
              <w:rPr>
                <w:rFonts w:hint="eastAsia" w:ascii="宋体" w:cs="宋体"/>
                <w:color w:val="auto"/>
                <w:sz w:val="24"/>
                <w:szCs w:val="24"/>
                <w:highlight w:val="none"/>
              </w:rPr>
              <w:t>合同签订后支付合同价款的50%，</w:t>
            </w:r>
            <w:r>
              <w:rPr>
                <w:rFonts w:hint="eastAsia" w:ascii="宋体" w:cs="宋体"/>
                <w:color w:val="auto"/>
                <w:sz w:val="24"/>
                <w:szCs w:val="24"/>
                <w:highlight w:val="none"/>
                <w:lang w:val="zh-CN"/>
              </w:rPr>
              <w:t>全部设备安装、调试完成并验收通过后，支付合同价款的</w:t>
            </w:r>
            <w:r>
              <w:rPr>
                <w:rFonts w:hint="eastAsia" w:ascii="宋体" w:cs="宋体"/>
                <w:color w:val="auto"/>
                <w:sz w:val="24"/>
                <w:szCs w:val="24"/>
                <w:highlight w:val="none"/>
              </w:rPr>
              <w:t>4</w:t>
            </w:r>
            <w:r>
              <w:rPr>
                <w:rFonts w:hint="eastAsia" w:ascii="宋体" w:cs="宋体"/>
                <w:color w:val="auto"/>
                <w:sz w:val="24"/>
                <w:szCs w:val="24"/>
                <w:highlight w:val="none"/>
                <w:lang w:val="zh-CN"/>
              </w:rPr>
              <w:t>5%，一年后无质量问题，支付合同价款的5%。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360" w:lineRule="auto"/>
              <w:jc w:val="center"/>
              <w:rPr>
                <w:rFonts w:hAnsi="宋体" w:cs="TimesNewRomanPSMT"/>
                <w:color w:val="auto"/>
                <w:sz w:val="24"/>
                <w:szCs w:val="24"/>
                <w:highlight w:val="none"/>
              </w:rPr>
            </w:pPr>
            <w:r>
              <w:rPr>
                <w:rFonts w:hint="eastAsia" w:hAnsi="宋体" w:cs="TimesNewRomanPSMT"/>
                <w:color w:val="auto"/>
                <w:sz w:val="24"/>
                <w:szCs w:val="24"/>
                <w:highlight w:val="none"/>
              </w:rPr>
              <w:t>2</w:t>
            </w:r>
          </w:p>
        </w:tc>
        <w:tc>
          <w:tcPr>
            <w:tcW w:w="2268" w:type="dxa"/>
            <w:vAlign w:val="center"/>
          </w:tcPr>
          <w:p>
            <w:pPr>
              <w:autoSpaceDE w:val="0"/>
              <w:autoSpaceDN w:val="0"/>
              <w:adjustRightInd w:val="0"/>
              <w:spacing w:line="360" w:lineRule="auto"/>
              <w:jc w:val="center"/>
              <w:rPr>
                <w:rFonts w:hAnsi="宋体" w:cs="仿宋_GB2312"/>
                <w:color w:val="auto"/>
                <w:sz w:val="24"/>
                <w:szCs w:val="24"/>
                <w:highlight w:val="none"/>
              </w:rPr>
            </w:pPr>
            <w:r>
              <w:rPr>
                <w:rFonts w:hint="eastAsia" w:hAnsi="宋体" w:cs="仿宋_GB2312"/>
                <w:color w:val="auto"/>
                <w:sz w:val="24"/>
                <w:szCs w:val="24"/>
                <w:highlight w:val="none"/>
              </w:rPr>
              <w:t>采购人</w:t>
            </w:r>
          </w:p>
        </w:tc>
        <w:tc>
          <w:tcPr>
            <w:tcW w:w="7038" w:type="dxa"/>
            <w:vAlign w:val="center"/>
          </w:tcPr>
          <w:p>
            <w:pPr>
              <w:pStyle w:val="19"/>
              <w:widowControl/>
              <w:shd w:val="clear" w:color="auto" w:fill="FFFFFF"/>
              <w:spacing w:line="360" w:lineRule="auto"/>
              <w:rPr>
                <w:rFonts w:hAnsi="宋体" w:cs="仿宋_GB2312"/>
                <w:bCs/>
                <w:color w:val="auto"/>
                <w:highlight w:val="none"/>
              </w:rPr>
            </w:pPr>
            <w:r>
              <w:rPr>
                <w:rFonts w:hint="eastAsia" w:hAnsi="宋体" w:cs="仿宋_GB2312"/>
                <w:bCs/>
                <w:color w:val="auto"/>
                <w:highlight w:val="none"/>
              </w:rPr>
              <w:t>采 购 人：鄢陵县图书馆</w:t>
            </w:r>
          </w:p>
          <w:p>
            <w:pPr>
              <w:pStyle w:val="19"/>
              <w:widowControl/>
              <w:shd w:val="clear" w:color="auto" w:fill="FFFFFF"/>
              <w:spacing w:line="360" w:lineRule="auto"/>
              <w:rPr>
                <w:rFonts w:hint="eastAsia" w:hAnsi="宋体" w:eastAsia="宋体" w:cs="仿宋_GB2312"/>
                <w:bCs/>
                <w:color w:val="auto"/>
                <w:highlight w:val="none"/>
                <w:lang w:eastAsia="zh-CN"/>
              </w:rPr>
            </w:pPr>
            <w:r>
              <w:rPr>
                <w:rFonts w:hint="eastAsia" w:hAnsi="宋体" w:cs="仿宋_GB2312"/>
                <w:bCs/>
                <w:color w:val="auto"/>
                <w:highlight w:val="none"/>
              </w:rPr>
              <w:t>联 系 人：王</w:t>
            </w:r>
            <w:r>
              <w:rPr>
                <w:rFonts w:hint="eastAsia" w:hAnsi="宋体" w:cs="仿宋_GB2312"/>
                <w:bCs/>
                <w:color w:val="auto"/>
                <w:highlight w:val="none"/>
                <w:lang w:val="en-US" w:eastAsia="zh-CN"/>
              </w:rPr>
              <w:t>沛沛</w:t>
            </w:r>
          </w:p>
          <w:p>
            <w:pPr>
              <w:pStyle w:val="19"/>
              <w:widowControl/>
              <w:shd w:val="clear" w:color="auto" w:fill="FFFFFF"/>
              <w:spacing w:line="360" w:lineRule="auto"/>
              <w:rPr>
                <w:rFonts w:hAnsi="宋体" w:cs="仿宋_GB2312"/>
                <w:bCs/>
                <w:color w:val="auto"/>
                <w:highlight w:val="none"/>
              </w:rPr>
            </w:pPr>
            <w:r>
              <w:rPr>
                <w:rFonts w:hint="eastAsia" w:hAnsi="宋体" w:cs="仿宋_GB2312"/>
                <w:bCs/>
                <w:color w:val="auto"/>
                <w:highlight w:val="none"/>
              </w:rPr>
              <w:t>联系电话：0374-6093076</w:t>
            </w:r>
          </w:p>
          <w:p>
            <w:pPr>
              <w:pStyle w:val="19"/>
              <w:widowControl/>
              <w:shd w:val="clear" w:color="auto" w:fill="FFFFFF"/>
              <w:spacing w:line="360" w:lineRule="auto"/>
              <w:rPr>
                <w:rFonts w:hAnsi="宋体" w:cs="仿宋_GB2312"/>
                <w:bCs/>
                <w:color w:val="auto"/>
                <w:highlight w:val="none"/>
              </w:rPr>
            </w:pPr>
            <w:r>
              <w:rPr>
                <w:rFonts w:hint="eastAsia" w:hAnsi="宋体" w:cs="仿宋_GB2312"/>
                <w:bCs/>
                <w:color w:val="auto"/>
                <w:highlight w:val="none"/>
              </w:rPr>
              <w:t>地    址：鄢陵县人民路西段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3</w:t>
            </w:r>
          </w:p>
        </w:tc>
        <w:tc>
          <w:tcPr>
            <w:tcW w:w="2268" w:type="dxa"/>
            <w:vAlign w:val="center"/>
          </w:tcPr>
          <w:p>
            <w:pPr>
              <w:autoSpaceDE w:val="0"/>
              <w:autoSpaceDN w:val="0"/>
              <w:adjustRightInd w:val="0"/>
              <w:spacing w:line="360" w:lineRule="auto"/>
              <w:jc w:val="center"/>
              <w:rPr>
                <w:rFonts w:hAnsi="宋体" w:cs="仿宋_GB2312"/>
                <w:color w:val="auto"/>
                <w:sz w:val="24"/>
                <w:szCs w:val="24"/>
                <w:highlight w:val="none"/>
              </w:rPr>
            </w:pPr>
            <w:r>
              <w:rPr>
                <w:rFonts w:hint="eastAsia" w:hAnsi="宋体" w:cs="仿宋_GB2312"/>
                <w:color w:val="auto"/>
                <w:sz w:val="24"/>
                <w:szCs w:val="24"/>
                <w:highlight w:val="none"/>
              </w:rPr>
              <w:t>代理机构</w:t>
            </w:r>
          </w:p>
        </w:tc>
        <w:tc>
          <w:tcPr>
            <w:tcW w:w="7038" w:type="dxa"/>
            <w:vAlign w:val="center"/>
          </w:tcPr>
          <w:p>
            <w:pPr>
              <w:pStyle w:val="19"/>
              <w:widowControl/>
              <w:shd w:val="clear" w:color="auto" w:fill="FFFFFF"/>
              <w:spacing w:line="360" w:lineRule="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代理机构：河南招标采购服务有限公司</w:t>
            </w:r>
          </w:p>
          <w:p>
            <w:pPr>
              <w:pStyle w:val="19"/>
              <w:widowControl/>
              <w:shd w:val="clear" w:color="auto" w:fill="FFFFFF"/>
              <w:spacing w:line="360" w:lineRule="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地 址：郑州市纬四路13号</w:t>
            </w:r>
          </w:p>
          <w:p>
            <w:pPr>
              <w:pStyle w:val="19"/>
              <w:widowControl/>
              <w:shd w:val="clear" w:color="auto" w:fill="FFFFFF"/>
              <w:spacing w:line="360" w:lineRule="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联系人：刘</w:t>
            </w:r>
            <w:r>
              <w:rPr>
                <w:rFonts w:hint="eastAsia" w:ascii="宋体" w:hAnsi="宋体" w:cs="宋体"/>
                <w:color w:val="auto"/>
                <w:highlight w:val="none"/>
                <w:shd w:val="clear" w:color="auto" w:fill="FFFFFF"/>
                <w:lang w:val="en-US" w:eastAsia="zh-CN"/>
              </w:rPr>
              <w:t>宝丰</w:t>
            </w:r>
            <w:r>
              <w:rPr>
                <w:rFonts w:hint="eastAsia" w:ascii="宋体" w:hAnsi="宋体" w:cs="宋体"/>
                <w:color w:val="auto"/>
                <w:highlight w:val="none"/>
                <w:shd w:val="clear" w:color="auto" w:fill="FFFFFF"/>
              </w:rPr>
              <w:t xml:space="preserve">  </w:t>
            </w:r>
          </w:p>
          <w:p>
            <w:pPr>
              <w:pStyle w:val="19"/>
              <w:widowControl/>
              <w:shd w:val="clear" w:color="auto" w:fill="FFFFFF"/>
              <w:spacing w:line="360" w:lineRule="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电话：0374-2219766、18903747336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4</w:t>
            </w:r>
          </w:p>
        </w:tc>
        <w:tc>
          <w:tcPr>
            <w:tcW w:w="2268" w:type="dxa"/>
            <w:vAlign w:val="center"/>
          </w:tcPr>
          <w:p>
            <w:pPr>
              <w:autoSpaceDE w:val="0"/>
              <w:autoSpaceDN w:val="0"/>
              <w:adjustRightInd w:val="0"/>
              <w:spacing w:line="360" w:lineRule="auto"/>
              <w:jc w:val="center"/>
              <w:rPr>
                <w:rFonts w:hAnsi="宋体" w:cs="仿宋_GB2312"/>
                <w:color w:val="auto"/>
                <w:sz w:val="24"/>
                <w:szCs w:val="24"/>
                <w:highlight w:val="none"/>
              </w:rPr>
            </w:pPr>
            <w:r>
              <w:rPr>
                <w:rFonts w:hint="eastAsia" w:hAnsi="宋体" w:cs="仿宋_GB2312"/>
                <w:color w:val="auto"/>
                <w:sz w:val="24"/>
                <w:szCs w:val="24"/>
                <w:highlight w:val="none"/>
              </w:rPr>
              <w:t>投标人资格要求</w:t>
            </w:r>
          </w:p>
        </w:tc>
        <w:tc>
          <w:tcPr>
            <w:tcW w:w="7038" w:type="dxa"/>
            <w:vAlign w:val="center"/>
          </w:tcPr>
          <w:p>
            <w:pPr>
              <w:autoSpaceDE w:val="0"/>
              <w:autoSpaceDN w:val="0"/>
              <w:adjustRightInd w:val="0"/>
              <w:spacing w:line="360" w:lineRule="auto"/>
              <w:jc w:val="left"/>
              <w:rPr>
                <w:rFonts w:hAnsi="宋体" w:cs="仿宋_GB2312"/>
                <w:bCs/>
                <w:color w:val="auto"/>
                <w:sz w:val="24"/>
                <w:highlight w:val="none"/>
              </w:rPr>
            </w:pPr>
            <w:r>
              <w:rPr>
                <w:rFonts w:hint="eastAsia" w:hAnsi="宋体" w:cs="仿宋_GB2312"/>
                <w:bCs/>
                <w:color w:val="auto"/>
                <w:sz w:val="24"/>
                <w:highlight w:val="none"/>
              </w:rPr>
              <w:t>（一）符合《中华人民共和国政府采购法》第二十二条之规定。</w:t>
            </w:r>
          </w:p>
          <w:p>
            <w:pPr>
              <w:autoSpaceDE w:val="0"/>
              <w:autoSpaceDN w:val="0"/>
              <w:adjustRightInd w:val="0"/>
              <w:spacing w:line="360" w:lineRule="auto"/>
              <w:jc w:val="left"/>
              <w:rPr>
                <w:rFonts w:hAnsi="宋体" w:cs="仿宋_GB2312"/>
                <w:bCs/>
                <w:color w:val="auto"/>
                <w:sz w:val="24"/>
                <w:highlight w:val="none"/>
              </w:rPr>
            </w:pPr>
            <w:r>
              <w:rPr>
                <w:rFonts w:hint="eastAsia" w:hAnsi="宋体" w:cs="仿宋_GB2312"/>
                <w:bCs/>
                <w:color w:val="auto"/>
                <w:sz w:val="24"/>
                <w:highlight w:val="none"/>
              </w:rPr>
              <w:t>（二）未被列入“信用中国”网站(www.creditchina.gov.cn)失信被执行人、重大税收违法</w:t>
            </w:r>
            <w:bookmarkStart w:id="6" w:name="_GoBack"/>
            <w:bookmarkEnd w:id="6"/>
            <w:r>
              <w:rPr>
                <w:rFonts w:hint="eastAsia" w:hAnsi="宋体" w:cs="仿宋_GB2312"/>
                <w:bCs/>
                <w:color w:val="auto"/>
                <w:sz w:val="24"/>
                <w:highlight w:val="none"/>
              </w:rPr>
              <w:t>案件当事人名单的供应商；“中国政府采购网” (www.ccgp.gov.cn)政府采购严重违法失信行为记录名单的供应商；“中国社会组织公共服务平台”网站（www.chinanpo.gov.cn）严重违法失信名单的社会组织；“国家企业信用信息公示系统” （http://www.gsxt.gov.cn/）经营异常名录或严重失信黑名单。</w:t>
            </w:r>
          </w:p>
          <w:p>
            <w:pPr>
              <w:autoSpaceDE w:val="0"/>
              <w:autoSpaceDN w:val="0"/>
              <w:adjustRightInd w:val="0"/>
              <w:spacing w:line="360" w:lineRule="auto"/>
              <w:jc w:val="left"/>
              <w:rPr>
                <w:rFonts w:hAnsi="宋体" w:cs="仿宋_GB2312"/>
                <w:bCs/>
                <w:color w:val="auto"/>
                <w:sz w:val="24"/>
                <w:highlight w:val="none"/>
              </w:rPr>
            </w:pPr>
            <w:r>
              <w:rPr>
                <w:rFonts w:hint="eastAsia" w:hAnsi="宋体" w:cs="仿宋_GB2312"/>
                <w:bCs/>
                <w:color w:val="auto"/>
                <w:sz w:val="24"/>
                <w:highlight w:val="none"/>
              </w:rPr>
              <w:t>（三）本次招标不接受联合体投标。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5</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最高限价</w:t>
            </w:r>
          </w:p>
        </w:tc>
        <w:tc>
          <w:tcPr>
            <w:tcW w:w="7038" w:type="dxa"/>
            <w:vAlign w:val="center"/>
          </w:tcPr>
          <w:p>
            <w:pPr>
              <w:pStyle w:val="31"/>
              <w:spacing w:line="360" w:lineRule="auto"/>
              <w:jc w:val="both"/>
              <w:rPr>
                <w:color w:val="auto"/>
                <w:highlight w:val="none"/>
              </w:rPr>
            </w:pPr>
            <w:r>
              <w:rPr>
                <w:rFonts w:hint="eastAsia"/>
                <w:color w:val="auto"/>
                <w:highlight w:val="none"/>
              </w:rPr>
              <w:t>最高限价：56万元，超出最高限价的投标无效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6</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ascii="宋体" w:cs="宋体"/>
                <w:bCs/>
                <w:color w:val="auto"/>
                <w:sz w:val="24"/>
                <w:szCs w:val="24"/>
                <w:highlight w:val="none"/>
                <w:lang w:val="zh-CN"/>
              </w:rPr>
              <w:t>现场考察</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ascii="宋体" w:cs="宋体"/>
                <w:bCs/>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7</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ascii="宋体" w:cs="宋体"/>
                <w:bCs/>
                <w:color w:val="auto"/>
                <w:sz w:val="24"/>
                <w:szCs w:val="24"/>
                <w:highlight w:val="none"/>
                <w:lang w:val="zh-CN"/>
              </w:rPr>
              <w:t>开标前答疑会</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ascii="宋体" w:cs="宋体"/>
                <w:bCs/>
                <w:color w:val="auto"/>
                <w:sz w:val="24"/>
                <w:szCs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8</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进口产品参与</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ascii="宋体" w:cs="宋体"/>
                <w:bCs/>
                <w:color w:val="auto"/>
                <w:sz w:val="24"/>
                <w:szCs w:val="24"/>
                <w:highlight w:val="none"/>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9</w:t>
            </w:r>
          </w:p>
        </w:tc>
        <w:tc>
          <w:tcPr>
            <w:tcW w:w="2268" w:type="dxa"/>
            <w:vAlign w:val="center"/>
          </w:tcPr>
          <w:p>
            <w:pPr>
              <w:autoSpaceDE w:val="0"/>
              <w:autoSpaceDN w:val="0"/>
              <w:adjustRightInd w:val="0"/>
              <w:spacing w:line="360" w:lineRule="auto"/>
              <w:jc w:val="center"/>
              <w:rPr>
                <w:rFonts w:hAnsi="宋体" w:cs="仿宋_GB2312"/>
                <w:color w:val="auto"/>
                <w:sz w:val="24"/>
                <w:szCs w:val="24"/>
                <w:highlight w:val="none"/>
              </w:rPr>
            </w:pPr>
            <w:r>
              <w:rPr>
                <w:rFonts w:hint="eastAsia" w:hAnsi="宋体" w:cs="仿宋_GB2312"/>
                <w:color w:val="auto"/>
                <w:sz w:val="24"/>
                <w:szCs w:val="24"/>
                <w:highlight w:val="none"/>
              </w:rPr>
              <w:t>投标有效期</w:t>
            </w:r>
          </w:p>
        </w:tc>
        <w:tc>
          <w:tcPr>
            <w:tcW w:w="7038" w:type="dxa"/>
            <w:vAlign w:val="center"/>
          </w:tcPr>
          <w:p>
            <w:pPr>
              <w:autoSpaceDE w:val="0"/>
              <w:autoSpaceDN w:val="0"/>
              <w:adjustRightInd w:val="0"/>
              <w:spacing w:line="360" w:lineRule="auto"/>
              <w:ind w:firstLine="120" w:firstLineChars="50"/>
              <w:rPr>
                <w:rFonts w:hAnsi="宋体" w:cs="仿宋_GB2312"/>
                <w:color w:val="auto"/>
                <w:sz w:val="24"/>
                <w:szCs w:val="24"/>
                <w:highlight w:val="none"/>
              </w:rPr>
            </w:pPr>
            <w:r>
              <w:rPr>
                <w:rFonts w:hint="eastAsia" w:hAnsi="宋体" w:cs="仿宋_GB2312"/>
                <w:color w:val="auto"/>
                <w:sz w:val="24"/>
                <w:szCs w:val="24"/>
                <w:highlight w:val="none"/>
              </w:rPr>
              <w:t>60天（自</w:t>
            </w:r>
            <w:r>
              <w:rPr>
                <w:rFonts w:hint="eastAsia" w:cs="宋体" w:asciiTheme="minorEastAsia" w:hAnsiTheme="minorEastAsia"/>
                <w:color w:val="auto"/>
                <w:kern w:val="0"/>
                <w:sz w:val="24"/>
                <w:szCs w:val="24"/>
                <w:highlight w:val="none"/>
              </w:rPr>
              <w:t>提交投标文件的截止之日起算</w:t>
            </w:r>
            <w:r>
              <w:rPr>
                <w:rFonts w:hint="eastAsia" w:hAnsi="宋体"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10</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ascii="宋体" w:cs="宋体"/>
                <w:bCs/>
                <w:color w:val="auto"/>
                <w:sz w:val="24"/>
                <w:szCs w:val="24"/>
                <w:highlight w:val="none"/>
                <w:lang w:val="zh-CN"/>
              </w:rPr>
              <w:t>中标人将本项目的非主体、非关键性</w:t>
            </w:r>
          </w:p>
          <w:p>
            <w:pPr>
              <w:autoSpaceDE w:val="0"/>
              <w:autoSpaceDN w:val="0"/>
              <w:adjustRightInd w:val="0"/>
              <w:spacing w:line="360" w:lineRule="auto"/>
              <w:jc w:val="center"/>
              <w:rPr>
                <w:rFonts w:hAnsi="宋体" w:cs="仿宋_GB2312"/>
                <w:color w:val="auto"/>
                <w:sz w:val="24"/>
                <w:szCs w:val="24"/>
                <w:highlight w:val="none"/>
              </w:rPr>
            </w:pPr>
            <w:r>
              <w:rPr>
                <w:rFonts w:ascii="宋体" w:cs="宋体"/>
                <w:bCs/>
                <w:color w:val="auto"/>
                <w:sz w:val="24"/>
                <w:szCs w:val="24"/>
                <w:highlight w:val="none"/>
                <w:lang w:val="zh-CN"/>
              </w:rPr>
              <w:t>工作分包</w:t>
            </w:r>
          </w:p>
        </w:tc>
        <w:tc>
          <w:tcPr>
            <w:tcW w:w="7038" w:type="dxa"/>
            <w:vAlign w:val="center"/>
          </w:tcPr>
          <w:p>
            <w:pPr>
              <w:autoSpaceDE w:val="0"/>
              <w:autoSpaceDN w:val="0"/>
              <w:adjustRightInd w:val="0"/>
              <w:spacing w:line="360" w:lineRule="auto"/>
              <w:ind w:firstLine="120" w:firstLineChars="50"/>
              <w:rPr>
                <w:rFonts w:hAnsi="宋体" w:cs="仿宋_GB2312"/>
                <w:color w:val="auto"/>
                <w:sz w:val="24"/>
                <w:szCs w:val="24"/>
                <w:highlight w:val="none"/>
              </w:rPr>
            </w:pPr>
            <w:r>
              <w:rPr>
                <w:rFonts w:hint="eastAsia" w:hAnsi="宋体" w:cs="仿宋_GB2312"/>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11</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hAnsi="宋体" w:cs="黑体"/>
                <w:color w:val="auto"/>
                <w:sz w:val="24"/>
                <w:szCs w:val="24"/>
                <w:highlight w:val="none"/>
              </w:rPr>
              <w:t>电子投标文件递交截止时间及开标时间</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cs="仿宋_GB2312" w:asciiTheme="minorEastAsia" w:hAnsiTheme="minorEastAsia"/>
                <w:bCs/>
                <w:color w:val="auto"/>
                <w:sz w:val="24"/>
                <w:szCs w:val="24"/>
                <w:highlight w:val="none"/>
                <w:lang w:eastAsia="zh-CN"/>
              </w:rPr>
              <w:t>2020年8月10日9时30分</w:t>
            </w:r>
            <w:r>
              <w:rPr>
                <w:rFonts w:hint="eastAsia" w:ascii="宋体" w:cs="宋体"/>
                <w:bCs/>
                <w:color w:val="auto"/>
                <w:sz w:val="24"/>
                <w:szCs w:val="24"/>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12</w:t>
            </w:r>
          </w:p>
        </w:tc>
        <w:tc>
          <w:tcPr>
            <w:tcW w:w="2268"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开标地点</w:t>
            </w:r>
          </w:p>
        </w:tc>
        <w:tc>
          <w:tcPr>
            <w:tcW w:w="7038" w:type="dxa"/>
            <w:vAlign w:val="center"/>
          </w:tcPr>
          <w:p>
            <w:pPr>
              <w:autoSpaceDE w:val="0"/>
              <w:autoSpaceDN w:val="0"/>
              <w:adjustRightInd w:val="0"/>
              <w:spacing w:line="360" w:lineRule="auto"/>
              <w:jc w:val="left"/>
              <w:rPr>
                <w:rFonts w:ascii="宋体" w:cs="宋体"/>
                <w:bCs/>
                <w:color w:val="auto"/>
                <w:sz w:val="24"/>
                <w:szCs w:val="24"/>
                <w:highlight w:val="none"/>
                <w:lang w:val="zh-CN"/>
              </w:rPr>
            </w:pPr>
            <w:r>
              <w:rPr>
                <w:rFonts w:hint="eastAsia" w:hAnsi="宋体" w:cs="黑体"/>
                <w:color w:val="auto"/>
                <w:sz w:val="24"/>
                <w:szCs w:val="24"/>
                <w:highlight w:val="none"/>
              </w:rPr>
              <w:t>鄢陵县公共资源交易中心（</w:t>
            </w:r>
            <w:r>
              <w:rPr>
                <w:rFonts w:hAnsi="宋体" w:cs="黑体"/>
                <w:color w:val="auto"/>
                <w:sz w:val="24"/>
                <w:szCs w:val="24"/>
                <w:highlight w:val="none"/>
              </w:rPr>
              <w:t>S219</w:t>
            </w:r>
            <w:r>
              <w:rPr>
                <w:rFonts w:hint="eastAsia" w:hAnsi="宋体" w:cs="黑体"/>
                <w:color w:val="auto"/>
                <w:sz w:val="24"/>
                <w:szCs w:val="24"/>
                <w:highlight w:val="none"/>
              </w:rPr>
              <w:t>鄢陶路与未来大道交叉口鄢陵创客园院内南楼四楼开标</w:t>
            </w:r>
            <w:r>
              <w:rPr>
                <w:rFonts w:hint="eastAsia" w:hAnsi="宋体" w:cs="黑体"/>
                <w:color w:val="auto"/>
                <w:sz w:val="24"/>
                <w:szCs w:val="24"/>
                <w:highlight w:val="none"/>
                <w:lang w:val="en-US" w:eastAsia="zh-CN"/>
              </w:rPr>
              <w:t>一</w:t>
            </w:r>
            <w:r>
              <w:rPr>
                <w:rFonts w:hint="eastAsia" w:hAnsi="宋体" w:cs="黑体"/>
                <w:color w:val="auto"/>
                <w:sz w:val="24"/>
                <w:szCs w:val="24"/>
                <w:highlight w:val="none"/>
              </w:rPr>
              <w:t>室）</w:t>
            </w:r>
            <w:r>
              <w:rPr>
                <w:rFonts w:hint="eastAsia" w:cs="仿宋_GB2312" w:asciiTheme="minorEastAsia" w:hAnsiTheme="minorEastAsia"/>
                <w:color w:val="auto"/>
                <w:sz w:val="24"/>
                <w:szCs w:val="21"/>
                <w:highlight w:val="none"/>
              </w:rPr>
              <w:t>（</w:t>
            </w:r>
            <w:r>
              <w:rPr>
                <w:rFonts w:hint="eastAsia" w:cs="Arial" w:asciiTheme="minorEastAsia" w:hAnsiTheme="minorEastAsia"/>
                <w:b/>
                <w:color w:val="auto"/>
                <w:sz w:val="24"/>
                <w:szCs w:val="21"/>
                <w:highlight w:val="none"/>
              </w:rPr>
              <w:t>本项目采用远程不见面开标，投标人无须到交易中心现场</w:t>
            </w:r>
            <w:r>
              <w:rPr>
                <w:rFonts w:hint="eastAsia" w:cs="Arial" w:asciiTheme="minorEastAsia" w:hAnsiTheme="minorEastAsia"/>
                <w:color w:val="auto"/>
                <w:sz w:val="24"/>
                <w:szCs w:val="21"/>
                <w:highlight w:val="none"/>
              </w:rPr>
              <w:t>）</w:t>
            </w:r>
            <w:r>
              <w:rPr>
                <w:rFonts w:hint="eastAsia" w:cs="仿宋_GB2312" w:asciiTheme="minorEastAsia" w:hAnsiTheme="minorEastAsia"/>
                <w:color w:val="auto"/>
                <w:sz w:val="2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13</w:t>
            </w:r>
          </w:p>
        </w:tc>
        <w:tc>
          <w:tcPr>
            <w:tcW w:w="2268" w:type="dxa"/>
            <w:vAlign w:val="center"/>
          </w:tcPr>
          <w:p>
            <w:pPr>
              <w:autoSpaceDE w:val="0"/>
              <w:autoSpaceDN w:val="0"/>
              <w:adjustRightInd w:val="0"/>
              <w:spacing w:line="360" w:lineRule="auto"/>
              <w:jc w:val="center"/>
              <w:rPr>
                <w:rFonts w:ascii="宋体" w:cs="宋体"/>
                <w:b/>
                <w:bCs/>
                <w:color w:val="auto"/>
                <w:sz w:val="24"/>
                <w:szCs w:val="24"/>
                <w:highlight w:val="none"/>
                <w:lang w:val="zh-CN"/>
              </w:rPr>
            </w:pPr>
            <w:r>
              <w:rPr>
                <w:rFonts w:hint="eastAsia" w:cs="宋体" w:asciiTheme="minorEastAsia" w:hAnsiTheme="minorEastAsia"/>
                <w:b/>
                <w:bCs/>
                <w:color w:val="auto"/>
                <w:kern w:val="0"/>
                <w:sz w:val="24"/>
                <w:szCs w:val="24"/>
                <w:highlight w:val="none"/>
              </w:rPr>
              <w:t>投标保证金</w:t>
            </w:r>
          </w:p>
        </w:tc>
        <w:tc>
          <w:tcPr>
            <w:tcW w:w="7038" w:type="dxa"/>
            <w:vAlign w:val="center"/>
          </w:tcPr>
          <w:p>
            <w:pPr>
              <w:snapToGrid w:val="0"/>
              <w:spacing w:line="360" w:lineRule="auto"/>
              <w:rPr>
                <w:rFonts w:ascii="宋体" w:cs="宋体"/>
                <w:b/>
                <w:bCs/>
                <w:color w:val="auto"/>
                <w:sz w:val="24"/>
                <w:szCs w:val="24"/>
                <w:highlight w:val="none"/>
                <w:lang w:val="zh-CN"/>
              </w:rPr>
            </w:pPr>
            <w:r>
              <w:rPr>
                <w:rFonts w:hint="eastAsia" w:ascii="宋体" w:cs="宋体"/>
                <w:b/>
                <w:bCs/>
                <w:color w:val="auto"/>
                <w:sz w:val="24"/>
                <w:szCs w:val="24"/>
                <w:highlight w:val="none"/>
                <w:lang w:val="zh-CN"/>
              </w:rPr>
              <w:t>不收取。</w:t>
            </w:r>
          </w:p>
          <w:p>
            <w:pPr>
              <w:snapToGrid w:val="0"/>
              <w:spacing w:line="360" w:lineRule="auto"/>
              <w:rPr>
                <w:b/>
                <w:bCs/>
                <w:color w:val="auto"/>
                <w:highlight w:val="none"/>
              </w:rPr>
            </w:pPr>
            <w:r>
              <w:rPr>
                <w:rFonts w:hint="eastAsia" w:ascii="宋体" w:hAnsi="宋体" w:cs="仿宋_GB2312"/>
                <w:b/>
                <w:bCs/>
                <w:color w:val="auto"/>
                <w:sz w:val="24"/>
                <w:highlight w:val="none"/>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14</w:t>
            </w:r>
          </w:p>
        </w:tc>
        <w:tc>
          <w:tcPr>
            <w:tcW w:w="2268" w:type="dxa"/>
            <w:vAlign w:val="center"/>
          </w:tcPr>
          <w:p>
            <w:pPr>
              <w:spacing w:line="360" w:lineRule="auto"/>
              <w:ind w:left="-50" w:leftChars="-24" w:right="-1031" w:rightChars="-491" w:firstLine="600" w:firstLineChars="2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履约保证金</w:t>
            </w:r>
          </w:p>
          <w:p>
            <w:pPr>
              <w:autoSpaceDE w:val="0"/>
              <w:autoSpaceDN w:val="0"/>
              <w:adjustRightInd w:val="0"/>
              <w:spacing w:line="360" w:lineRule="auto"/>
              <w:jc w:val="center"/>
              <w:rPr>
                <w:rFonts w:cs="宋体" w:asciiTheme="minorEastAsia" w:hAnsiTheme="minorEastAsia"/>
                <w:b/>
                <w:bCs/>
                <w:color w:val="auto"/>
                <w:kern w:val="0"/>
                <w:sz w:val="24"/>
                <w:szCs w:val="24"/>
                <w:highlight w:val="none"/>
              </w:rPr>
            </w:pPr>
            <w:r>
              <w:rPr>
                <w:rFonts w:hint="eastAsia" w:asciiTheme="minorEastAsia" w:hAnsiTheme="minorEastAsia"/>
                <w:color w:val="auto"/>
                <w:sz w:val="24"/>
                <w:szCs w:val="24"/>
                <w:highlight w:val="none"/>
              </w:rPr>
              <w:t>(签</w:t>
            </w:r>
            <w:r>
              <w:rPr>
                <w:rFonts w:hint="eastAsia" w:asciiTheme="minorEastAsia" w:hAnsiTheme="minorEastAsia"/>
                <w:color w:val="auto"/>
                <w:sz w:val="24"/>
                <w:highlight w:val="none"/>
              </w:rPr>
              <w:t>订合同前缴纳)</w:t>
            </w:r>
          </w:p>
        </w:tc>
        <w:tc>
          <w:tcPr>
            <w:tcW w:w="7038" w:type="dxa"/>
            <w:vAlign w:val="center"/>
          </w:tcPr>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缴纳形式：基本户转账或履约保函的形式。</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履约担保金额：中标合同金额的</w:t>
            </w:r>
            <w:r>
              <w:rPr>
                <w:rFonts w:hint="eastAsia" w:ascii="宋体" w:hAnsi="宋体" w:cs="仿宋_GB2312"/>
                <w:b/>
                <w:bCs/>
                <w:color w:val="auto"/>
                <w:sz w:val="24"/>
                <w:highlight w:val="none"/>
              </w:rPr>
              <w:t>3</w:t>
            </w:r>
            <w:r>
              <w:rPr>
                <w:rFonts w:hint="eastAsia" w:ascii="宋体" w:hAnsi="宋体" w:cs="仿宋_GB2312"/>
                <w:b/>
                <w:bCs/>
                <w:color w:val="auto"/>
                <w:sz w:val="24"/>
                <w:highlight w:val="none"/>
                <w:lang w:val="zh-CN"/>
              </w:rPr>
              <w:t>%（百元取整）</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投标人采用基本户转账方式缴纳履约担保的，在中标通知书领取后与招标人签订合同前办理，应缴纳至以下账户（履约担保缴纳时需备注项目名称、编号、标段）：</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 xml:space="preserve">开户行：中原银行鄢陵支行 </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户  名：鄢陵县公共资源交易中心</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账  号：411025010190014701</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注意事项:</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有下列情形之一的履约担保不予退还:</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1、中标人向他人转让中标项目或将中标项目肢解后分别向他人转让；</w:t>
            </w:r>
          </w:p>
          <w:p>
            <w:pPr>
              <w:snapToGri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2、法律法规、规章规定的其它不予退还的情形。</w:t>
            </w:r>
          </w:p>
          <w:p>
            <w:pPr>
              <w:autoSpaceDE w:val="0"/>
              <w:autoSpaceDN w:val="0"/>
              <w:adjustRightInd w:val="0"/>
              <w:spacing w:line="360" w:lineRule="auto"/>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投标人采用联合体投标的，由联合体牵头人负责履约担保或者履约保函的缴纳或提交。投标人因账户开户银行、银行账号发生变化，不能按照来款途径原路返还履约担保的，投标人须提供原账户开户银行相关证明及新开账户开户许可证（鄢陵县公共资源交易管理中心三楼综合股，联系电话：0374—7608880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 xml:space="preserve">15 </w:t>
            </w:r>
          </w:p>
        </w:tc>
        <w:tc>
          <w:tcPr>
            <w:tcW w:w="2268" w:type="dxa"/>
            <w:vAlign w:val="center"/>
          </w:tcPr>
          <w:p>
            <w:pPr>
              <w:autoSpaceDE w:val="0"/>
              <w:autoSpaceDN w:val="0"/>
              <w:adjustRightInd w:val="0"/>
              <w:spacing w:line="360" w:lineRule="auto"/>
              <w:jc w:val="center"/>
              <w:rPr>
                <w:rFonts w:ascii="宋体" w:hAnsi="宋体"/>
                <w:color w:val="auto"/>
                <w:sz w:val="24"/>
                <w:szCs w:val="24"/>
                <w:highlight w:val="none"/>
              </w:rPr>
            </w:pPr>
            <w:r>
              <w:rPr>
                <w:rFonts w:hint="eastAsia" w:ascii="宋体" w:hAnsi="宋体" w:cs="宋体"/>
                <w:bCs/>
                <w:color w:val="auto"/>
                <w:sz w:val="24"/>
                <w:szCs w:val="24"/>
                <w:highlight w:val="none"/>
                <w:lang w:val="zh-CN"/>
              </w:rPr>
              <w:t>代理服务费</w:t>
            </w:r>
          </w:p>
        </w:tc>
        <w:tc>
          <w:tcPr>
            <w:tcW w:w="7038" w:type="dxa"/>
            <w:vAlign w:val="center"/>
          </w:tcPr>
          <w:p>
            <w:pPr>
              <w:autoSpaceDE w:val="0"/>
              <w:autoSpaceDN w:val="0"/>
              <w:spacing w:line="360" w:lineRule="auto"/>
              <w:contextualSpacing/>
              <w:rPr>
                <w:rFonts w:ascii="宋体" w:hAnsi="宋体" w:cs="宋体"/>
                <w:bCs/>
                <w:color w:val="auto"/>
                <w:sz w:val="24"/>
                <w:szCs w:val="24"/>
                <w:highlight w:val="none"/>
                <w:lang w:val="zh-CN"/>
              </w:rPr>
            </w:pPr>
            <w:r>
              <w:rPr>
                <w:rFonts w:ascii="宋体" w:hAnsi="宋体" w:cs="宋体"/>
                <w:b/>
                <w:color w:val="auto"/>
                <w:kern w:val="0"/>
                <w:sz w:val="24"/>
                <w:szCs w:val="24"/>
                <w:highlight w:val="none"/>
                <w:lang w:val="zh-CN"/>
              </w:rPr>
              <w:fldChar w:fldCharType="begin"/>
            </w:r>
            <w:r>
              <w:rPr>
                <w:rFonts w:hint="eastAsia" w:ascii="宋体" w:hAnsi="宋体" w:cs="宋体"/>
                <w:b/>
                <w:color w:val="auto"/>
                <w:kern w:val="0"/>
                <w:sz w:val="24"/>
                <w:szCs w:val="24"/>
                <w:highlight w:val="none"/>
                <w:lang w:val="zh-CN"/>
              </w:rPr>
              <w:instrText xml:space="preserve">eq \o\ac(□)</w:instrText>
            </w:r>
            <w:r>
              <w:rPr>
                <w:rFonts w:ascii="宋体" w:hAnsi="宋体" w:cs="宋体"/>
                <w:b/>
                <w:color w:val="auto"/>
                <w:kern w:val="0"/>
                <w:sz w:val="24"/>
                <w:szCs w:val="24"/>
                <w:highlight w:val="none"/>
                <w:lang w:val="zh-CN"/>
              </w:rPr>
              <w:fldChar w:fldCharType="end"/>
            </w:r>
            <w:r>
              <w:rPr>
                <w:rFonts w:hint="eastAsia" w:ascii="宋体" w:hAnsi="宋体" w:cs="宋体"/>
                <w:bCs/>
                <w:color w:val="auto"/>
                <w:sz w:val="24"/>
                <w:szCs w:val="24"/>
                <w:highlight w:val="none"/>
                <w:lang w:val="zh-CN"/>
              </w:rPr>
              <w:t>不收取</w:t>
            </w:r>
            <w:r>
              <w:rPr>
                <w:rFonts w:ascii="宋体" w:hAnsi="宋体" w:cs="宋体"/>
                <w:b/>
                <w:color w:val="auto"/>
                <w:kern w:val="0"/>
                <w:sz w:val="24"/>
                <w:szCs w:val="24"/>
                <w:highlight w:val="none"/>
                <w:lang w:val="zh-CN"/>
              </w:rPr>
              <w:fldChar w:fldCharType="begin"/>
            </w:r>
            <w:r>
              <w:rPr>
                <w:rFonts w:hint="eastAsia" w:ascii="宋体" w:hAnsi="宋体" w:cs="宋体"/>
                <w:b/>
                <w:color w:val="auto"/>
                <w:kern w:val="0"/>
                <w:sz w:val="24"/>
                <w:szCs w:val="24"/>
                <w:highlight w:val="none"/>
                <w:lang w:val="zh-CN"/>
              </w:rPr>
              <w:instrText xml:space="preserve">eq \o\ac(□,</w:instrText>
            </w:r>
            <w:r>
              <w:rPr>
                <w:rFonts w:hint="eastAsia" w:ascii="宋体" w:hAnsi="宋体" w:cs="宋体"/>
                <w:b/>
                <w:color w:val="auto"/>
                <w:kern w:val="0"/>
                <w:position w:val="2"/>
                <w:sz w:val="16"/>
                <w:szCs w:val="24"/>
                <w:highlight w:val="none"/>
                <w:lang w:val="zh-CN"/>
              </w:rPr>
              <w:instrText xml:space="preserve">√</w:instrText>
            </w:r>
            <w:r>
              <w:rPr>
                <w:rFonts w:hint="eastAsia" w:ascii="宋体" w:hAnsi="宋体" w:cs="宋体"/>
                <w:b/>
                <w:color w:val="auto"/>
                <w:kern w:val="0"/>
                <w:sz w:val="24"/>
                <w:szCs w:val="24"/>
                <w:highlight w:val="none"/>
                <w:lang w:val="zh-CN"/>
              </w:rPr>
              <w:instrText xml:space="preserve">)</w:instrText>
            </w:r>
            <w:r>
              <w:rPr>
                <w:rFonts w:ascii="宋体" w:hAnsi="宋体" w:cs="宋体"/>
                <w:b/>
                <w:color w:val="auto"/>
                <w:kern w:val="0"/>
                <w:sz w:val="24"/>
                <w:szCs w:val="24"/>
                <w:highlight w:val="none"/>
                <w:lang w:val="zh-CN"/>
              </w:rPr>
              <w:fldChar w:fldCharType="end"/>
            </w:r>
            <w:r>
              <w:rPr>
                <w:rFonts w:hint="eastAsia" w:ascii="宋体" w:hAnsi="宋体" w:cs="宋体"/>
                <w:bCs/>
                <w:color w:val="auto"/>
                <w:sz w:val="24"/>
                <w:szCs w:val="24"/>
                <w:highlight w:val="none"/>
                <w:lang w:val="zh-CN"/>
              </w:rPr>
              <w:t>收取中标人</w:t>
            </w:r>
            <w:r>
              <w:rPr>
                <w:rFonts w:hint="eastAsia" w:ascii="宋体" w:hAnsi="宋体" w:cs="宋体"/>
                <w:b/>
                <w:bCs/>
                <w:color w:val="auto"/>
                <w:sz w:val="24"/>
                <w:szCs w:val="24"/>
                <w:highlight w:val="none"/>
                <w:lang w:val="zh-CN"/>
              </w:rPr>
              <w:sym w:font="Wingdings 2" w:char="00A3"/>
            </w:r>
            <w:r>
              <w:rPr>
                <w:rFonts w:hint="eastAsia" w:ascii="宋体" w:hAnsi="宋体" w:cs="宋体"/>
                <w:bCs/>
                <w:color w:val="auto"/>
                <w:sz w:val="24"/>
                <w:szCs w:val="24"/>
                <w:highlight w:val="none"/>
                <w:lang w:val="zh-CN"/>
              </w:rPr>
              <w:t>收取采购人</w:t>
            </w:r>
          </w:p>
          <w:p>
            <w:pPr>
              <w:widowControl/>
              <w:spacing w:line="360" w:lineRule="auto"/>
              <w:jc w:val="left"/>
              <w:rPr>
                <w:rFonts w:ascii="宋体" w:hAnsi="宋体"/>
                <w:color w:val="auto"/>
                <w:sz w:val="24"/>
                <w:szCs w:val="24"/>
                <w:highlight w:val="none"/>
              </w:rPr>
            </w:pPr>
            <w:r>
              <w:rPr>
                <w:rFonts w:ascii="宋体" w:hAnsi="宋体" w:cs="宋体"/>
                <w:color w:val="auto"/>
                <w:sz w:val="24"/>
                <w:szCs w:val="24"/>
                <w:highlight w:val="none"/>
              </w:rPr>
              <w:t>收取标准:</w:t>
            </w:r>
            <w:r>
              <w:rPr>
                <w:rFonts w:hint="eastAsia" w:ascii="宋体" w:hAnsi="宋体" w:cs="宋体"/>
                <w:color w:val="auto"/>
                <w:sz w:val="24"/>
                <w:szCs w:val="24"/>
                <w:highlight w:val="none"/>
              </w:rPr>
              <w:t xml:space="preserve"> 参照国家计委计价格[2002]1980号文、发改价格[2015]299号文、[2011]534号文文件费率标准计算。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16</w:t>
            </w:r>
          </w:p>
        </w:tc>
        <w:tc>
          <w:tcPr>
            <w:tcW w:w="2268"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仿宋_GB2312"/>
                <w:color w:val="auto"/>
                <w:sz w:val="24"/>
                <w:szCs w:val="24"/>
                <w:highlight w:val="none"/>
              </w:rPr>
              <w:t>采购人澄清的时间</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ascii="宋体" w:cs="宋体"/>
                <w:bCs/>
                <w:color w:val="auto"/>
                <w:sz w:val="24"/>
                <w:szCs w:val="24"/>
                <w:highlight w:val="none"/>
                <w:lang w:val="zh-CN"/>
              </w:rPr>
              <w:t>投标截止时间15日前（澄清内容可能影响投标文件编制的）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17</w:t>
            </w:r>
          </w:p>
        </w:tc>
        <w:tc>
          <w:tcPr>
            <w:tcW w:w="2268"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投标人对采购文件质疑的截止时间</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ascii="宋体" w:cs="宋体"/>
                <w:bCs/>
                <w:color w:val="auto"/>
                <w:sz w:val="24"/>
                <w:szCs w:val="24"/>
                <w:highlight w:val="none"/>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18</w:t>
            </w:r>
          </w:p>
        </w:tc>
        <w:tc>
          <w:tcPr>
            <w:tcW w:w="2268"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投标文件份数</w:t>
            </w:r>
          </w:p>
        </w:tc>
        <w:tc>
          <w:tcPr>
            <w:tcW w:w="7038" w:type="dxa"/>
            <w:vAlign w:val="center"/>
          </w:tcPr>
          <w:p>
            <w:pPr>
              <w:autoSpaceDE w:val="0"/>
              <w:autoSpaceDN w:val="0"/>
              <w:adjustRightInd w:val="0"/>
              <w:spacing w:line="276" w:lineRule="auto"/>
              <w:rPr>
                <w:rFonts w:hAnsi="宋体" w:cs="宋体"/>
                <w:color w:val="auto"/>
                <w:sz w:val="24"/>
                <w:szCs w:val="21"/>
                <w:highlight w:val="none"/>
              </w:rPr>
            </w:pPr>
            <w:r>
              <w:rPr>
                <w:rFonts w:hint="eastAsia" w:hAnsi="宋体" w:cs="宋体"/>
                <w:color w:val="auto"/>
                <w:sz w:val="24"/>
                <w:szCs w:val="21"/>
                <w:highlight w:val="none"/>
              </w:rPr>
              <w:t>电子投标文件</w:t>
            </w:r>
          </w:p>
          <w:p>
            <w:pPr>
              <w:autoSpaceDE w:val="0"/>
              <w:autoSpaceDN w:val="0"/>
              <w:adjustRightInd w:val="0"/>
              <w:spacing w:line="276" w:lineRule="auto"/>
              <w:rPr>
                <w:rFonts w:hAnsi="宋体" w:cs="宋体"/>
                <w:color w:val="auto"/>
                <w:sz w:val="24"/>
                <w:szCs w:val="21"/>
                <w:highlight w:val="none"/>
              </w:rPr>
            </w:pPr>
            <w:r>
              <w:rPr>
                <w:rFonts w:hint="eastAsia" w:hAnsi="宋体" w:cs="宋体"/>
                <w:color w:val="auto"/>
                <w:sz w:val="24"/>
                <w:szCs w:val="21"/>
                <w:highlight w:val="none"/>
              </w:rPr>
              <w:t>成功上传至【全国公共资源交易平台（河南省·许昌市）】公共资源交易系统电子投标文件1份（文件格式为：XX公司XXX项目编号.file）。</w:t>
            </w:r>
          </w:p>
          <w:p>
            <w:pPr>
              <w:autoSpaceDE w:val="0"/>
              <w:autoSpaceDN w:val="0"/>
              <w:adjustRightInd w:val="0"/>
              <w:spacing w:line="360" w:lineRule="auto"/>
              <w:rPr>
                <w:rFonts w:ascii="宋体" w:hAnsi="宋体"/>
                <w:bCs/>
                <w:color w:val="auto"/>
                <w:kern w:val="0"/>
                <w:sz w:val="24"/>
                <w:szCs w:val="24"/>
                <w:highlight w:val="none"/>
              </w:rPr>
            </w:pPr>
            <w:r>
              <w:rPr>
                <w:rFonts w:hint="eastAsia" w:hAnsi="宋体" w:cs="宋体"/>
                <w:b/>
                <w:color w:val="auto"/>
                <w:sz w:val="24"/>
                <w:szCs w:val="21"/>
                <w:highlight w:val="none"/>
              </w:rPr>
              <w:t>注:投标人提交的电子投标文件，必须是通过“许昌投标文件制作系统SEARUNV1.1”制作，并经过签章和加密后生成的电子投标文件。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19</w:t>
            </w:r>
          </w:p>
        </w:tc>
        <w:tc>
          <w:tcPr>
            <w:tcW w:w="2268" w:type="dxa"/>
            <w:vAlign w:val="center"/>
          </w:tcPr>
          <w:p>
            <w:pPr>
              <w:autoSpaceDE w:val="0"/>
              <w:autoSpaceDN w:val="0"/>
              <w:adjustRightInd w:val="0"/>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投标文件的</w:t>
            </w:r>
          </w:p>
          <w:p>
            <w:pPr>
              <w:autoSpaceDE w:val="0"/>
              <w:autoSpaceDN w:val="0"/>
              <w:adjustRightInd w:val="0"/>
              <w:spacing w:line="360" w:lineRule="auto"/>
              <w:jc w:val="center"/>
              <w:rPr>
                <w:rFonts w:hAnsi="宋体" w:cs="黑体"/>
                <w:color w:val="auto"/>
                <w:sz w:val="24"/>
                <w:szCs w:val="24"/>
                <w:highlight w:val="none"/>
              </w:rPr>
            </w:pPr>
            <w:r>
              <w:rPr>
                <w:rFonts w:hint="eastAsia" w:ascii="宋体" w:hAnsi="宋体"/>
                <w:color w:val="auto"/>
                <w:kern w:val="0"/>
                <w:sz w:val="24"/>
                <w:szCs w:val="24"/>
                <w:highlight w:val="none"/>
              </w:rPr>
              <w:t>签署盖章</w:t>
            </w:r>
          </w:p>
        </w:tc>
        <w:tc>
          <w:tcPr>
            <w:tcW w:w="7038" w:type="dxa"/>
            <w:vAlign w:val="center"/>
          </w:tcPr>
          <w:p>
            <w:pPr>
              <w:autoSpaceDE w:val="0"/>
              <w:autoSpaceDN w:val="0"/>
              <w:adjustRightInd w:val="0"/>
              <w:spacing w:line="360" w:lineRule="auto"/>
              <w:ind w:right="-491"/>
              <w:rPr>
                <w:rFonts w:hAnsi="宋体" w:cs="黑体"/>
                <w:color w:val="auto"/>
                <w:sz w:val="24"/>
                <w:szCs w:val="24"/>
                <w:highlight w:val="none"/>
              </w:rPr>
            </w:pPr>
            <w:r>
              <w:rPr>
                <w:rFonts w:hint="eastAsia" w:hAnsi="宋体" w:cs="黑体"/>
                <w:color w:val="auto"/>
                <w:sz w:val="24"/>
                <w:szCs w:val="24"/>
                <w:highlight w:val="none"/>
              </w:rPr>
              <w:t>电子投标文件：按招标文件要求加盖电子印章和法人电子印章。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TimesNewRomanPSMT"/>
                <w:color w:val="auto"/>
                <w:sz w:val="24"/>
                <w:szCs w:val="24"/>
                <w:highlight w:val="none"/>
              </w:rPr>
            </w:pPr>
            <w:r>
              <w:rPr>
                <w:rFonts w:hint="eastAsia" w:hAnsi="宋体" w:cs="TimesNewRomanPSMT"/>
                <w:color w:val="auto"/>
                <w:sz w:val="24"/>
                <w:szCs w:val="24"/>
                <w:highlight w:val="none"/>
              </w:rPr>
              <w:t>20</w:t>
            </w:r>
          </w:p>
        </w:tc>
        <w:tc>
          <w:tcPr>
            <w:tcW w:w="2268" w:type="dxa"/>
            <w:vAlign w:val="center"/>
          </w:tcPr>
          <w:p>
            <w:pPr>
              <w:autoSpaceDE w:val="0"/>
              <w:autoSpaceDN w:val="0"/>
              <w:adjustRightInd w:val="0"/>
              <w:spacing w:line="360" w:lineRule="auto"/>
              <w:jc w:val="center"/>
              <w:rPr>
                <w:rFonts w:hAnsi="宋体" w:cs="仿宋_GB2312"/>
                <w:color w:val="auto"/>
                <w:sz w:val="24"/>
                <w:szCs w:val="24"/>
                <w:highlight w:val="none"/>
              </w:rPr>
            </w:pPr>
            <w:r>
              <w:rPr>
                <w:rFonts w:hint="eastAsia" w:hAnsi="宋体" w:cs="黑体"/>
                <w:color w:val="auto"/>
                <w:sz w:val="24"/>
                <w:szCs w:val="24"/>
                <w:highlight w:val="none"/>
              </w:rPr>
              <w:t>评标委员会的组建</w:t>
            </w:r>
          </w:p>
        </w:tc>
        <w:tc>
          <w:tcPr>
            <w:tcW w:w="7038" w:type="dxa"/>
            <w:vAlign w:val="center"/>
          </w:tcPr>
          <w:p>
            <w:pPr>
              <w:autoSpaceDE w:val="0"/>
              <w:autoSpaceDN w:val="0"/>
              <w:adjustRightInd w:val="0"/>
              <w:spacing w:line="360" w:lineRule="auto"/>
              <w:rPr>
                <w:rFonts w:hAnsi="宋体" w:cs="黑体"/>
                <w:color w:val="auto"/>
                <w:sz w:val="24"/>
                <w:szCs w:val="24"/>
                <w:highlight w:val="none"/>
              </w:rPr>
            </w:pPr>
            <w:r>
              <w:rPr>
                <w:rFonts w:hint="eastAsia" w:hAnsi="宋体" w:cs="黑体"/>
                <w:color w:val="auto"/>
                <w:sz w:val="24"/>
                <w:szCs w:val="24"/>
                <w:highlight w:val="none"/>
              </w:rPr>
              <w:t xml:space="preserve">评标委员会组建：由采购人代表1人和评审专4人组成。其中技术专家 </w:t>
            </w:r>
            <w:r>
              <w:rPr>
                <w:rFonts w:hint="eastAsia" w:hAnsi="宋体" w:cs="黑体"/>
                <w:color w:val="auto"/>
                <w:sz w:val="24"/>
                <w:szCs w:val="24"/>
                <w:highlight w:val="none"/>
                <w:u w:val="single"/>
              </w:rPr>
              <w:t xml:space="preserve">  2 </w:t>
            </w:r>
            <w:r>
              <w:rPr>
                <w:rFonts w:hint="eastAsia" w:hAnsi="宋体" w:cs="黑体"/>
                <w:color w:val="auto"/>
                <w:sz w:val="24"/>
                <w:szCs w:val="24"/>
                <w:highlight w:val="none"/>
              </w:rPr>
              <w:t>人，经济专家</w:t>
            </w:r>
            <w:r>
              <w:rPr>
                <w:rFonts w:hint="eastAsia" w:hAnsi="宋体" w:cs="黑体"/>
                <w:color w:val="auto"/>
                <w:sz w:val="24"/>
                <w:szCs w:val="24"/>
                <w:highlight w:val="none"/>
                <w:u w:val="single"/>
              </w:rPr>
              <w:t xml:space="preserve"> 2 </w:t>
            </w:r>
            <w:r>
              <w:rPr>
                <w:rFonts w:hint="eastAsia" w:hAnsi="宋体" w:cs="黑体"/>
                <w:color w:val="auto"/>
                <w:sz w:val="24"/>
                <w:szCs w:val="24"/>
                <w:highlight w:val="none"/>
              </w:rPr>
              <w:t>人。</w:t>
            </w:r>
          </w:p>
          <w:p>
            <w:pPr>
              <w:autoSpaceDE w:val="0"/>
              <w:autoSpaceDN w:val="0"/>
              <w:adjustRightInd w:val="0"/>
              <w:spacing w:line="360" w:lineRule="auto"/>
              <w:jc w:val="left"/>
              <w:rPr>
                <w:rFonts w:ascii="宋体" w:cs="宋体"/>
                <w:bCs/>
                <w:color w:val="auto"/>
                <w:sz w:val="24"/>
                <w:szCs w:val="24"/>
                <w:highlight w:val="none"/>
                <w:lang w:val="zh-CN"/>
              </w:rPr>
            </w:pPr>
            <w:r>
              <w:rPr>
                <w:rFonts w:hint="eastAsia" w:hAnsi="宋体" w:cs="黑体"/>
                <w:color w:val="auto"/>
                <w:sz w:val="24"/>
                <w:szCs w:val="24"/>
                <w:highlight w:val="none"/>
              </w:rPr>
              <w:t>确定方式：评审专家评标前在河南省政府采购评审专家库中随机抽取。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21</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hAnsi="宋体" w:cs="仿宋_GB2312"/>
                <w:color w:val="auto"/>
                <w:sz w:val="24"/>
                <w:szCs w:val="24"/>
                <w:highlight w:val="none"/>
              </w:rPr>
              <w:t>评标方法</w:t>
            </w:r>
          </w:p>
        </w:tc>
        <w:tc>
          <w:tcPr>
            <w:tcW w:w="7038" w:type="dxa"/>
            <w:vAlign w:val="center"/>
          </w:tcPr>
          <w:p>
            <w:pPr>
              <w:autoSpaceDE w:val="0"/>
              <w:autoSpaceDN w:val="0"/>
              <w:adjustRightInd w:val="0"/>
              <w:spacing w:line="360" w:lineRule="auto"/>
              <w:rPr>
                <w:rFonts w:ascii="宋体" w:cs="宋体"/>
                <w:bCs/>
                <w:color w:val="auto"/>
                <w:sz w:val="24"/>
                <w:szCs w:val="24"/>
                <w:highlight w:val="none"/>
                <w:lang w:val="zh-CN"/>
              </w:rPr>
            </w:pPr>
            <w:r>
              <w:rPr>
                <w:rFonts w:hint="eastAsia" w:ascii="宋体" w:cs="宋体"/>
                <w:bCs/>
                <w:color w:val="auto"/>
                <w:sz w:val="24"/>
                <w:szCs w:val="24"/>
                <w:highlight w:val="none"/>
                <w:lang w:val="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22</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中标候选人</w:t>
            </w:r>
          </w:p>
        </w:tc>
        <w:tc>
          <w:tcPr>
            <w:tcW w:w="7038" w:type="dxa"/>
            <w:vAlign w:val="center"/>
          </w:tcPr>
          <w:p>
            <w:pPr>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ascii="宋体" w:hAnsi="宋体"/>
                <w:color w:val="auto"/>
                <w:kern w:val="0"/>
                <w:sz w:val="24"/>
                <w:szCs w:val="24"/>
                <w:highlight w:val="none"/>
              </w:rPr>
              <w:t>由评标委员会推荐3名中标候选人。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23</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中标人需提交的资料</w:t>
            </w:r>
          </w:p>
        </w:tc>
        <w:tc>
          <w:tcPr>
            <w:tcW w:w="7038" w:type="dxa"/>
            <w:vAlign w:val="center"/>
          </w:tcPr>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中标人在接到中标通知时，须向代理机构发送投标报价和主要中标标的的服务要求等电子文档，并同时通知代理机构联系人。邮箱xiaofeng20051115</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126</w:t>
            </w:r>
            <w:r>
              <w:rPr>
                <w:rFonts w:cs="宋体" w:asciiTheme="minorEastAsia" w:hAnsiTheme="minorEastAsia"/>
                <w:color w:val="auto"/>
                <w:kern w:val="0"/>
                <w:sz w:val="24"/>
                <w:szCs w:val="24"/>
                <w:highlight w:val="none"/>
              </w:rPr>
              <w:t>.com</w:t>
            </w:r>
            <w:r>
              <w:rPr>
                <w:rFonts w:hint="eastAsia" w:cs="宋体" w:asciiTheme="minorEastAsia" w:hAnsi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24</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电子化采购模式</w:t>
            </w:r>
          </w:p>
        </w:tc>
        <w:tc>
          <w:tcPr>
            <w:tcW w:w="7038" w:type="dxa"/>
            <w:vAlign w:val="center"/>
          </w:tcPr>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□√是。投标人投标时须提供加密电子投标文件。投标人资质、业绩、荣誉及相关人员证明材料等资料原件开标现场不再提供(参加开标会议投标人代表须提供身份证明原件核验身份)。</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360" w:lineRule="auto"/>
              <w:jc w:val="center"/>
              <w:rPr>
                <w:rFonts w:hAnsi="宋体" w:cs="黑体"/>
                <w:color w:val="auto"/>
                <w:sz w:val="24"/>
                <w:szCs w:val="24"/>
                <w:highlight w:val="none"/>
              </w:rPr>
            </w:pPr>
            <w:r>
              <w:rPr>
                <w:rFonts w:hint="eastAsia" w:hAnsi="宋体" w:cs="黑体"/>
                <w:color w:val="auto"/>
                <w:sz w:val="24"/>
                <w:szCs w:val="24"/>
                <w:highlight w:val="none"/>
              </w:rPr>
              <w:t>25</w:t>
            </w:r>
          </w:p>
        </w:tc>
        <w:tc>
          <w:tcPr>
            <w:tcW w:w="2268" w:type="dxa"/>
            <w:vAlign w:val="center"/>
          </w:tcPr>
          <w:p>
            <w:pPr>
              <w:autoSpaceDE w:val="0"/>
              <w:autoSpaceDN w:val="0"/>
              <w:adjustRightInd w:val="0"/>
              <w:spacing w:line="360" w:lineRule="auto"/>
              <w:jc w:val="center"/>
              <w:rPr>
                <w:rFonts w:ascii="宋体" w:cs="宋体"/>
                <w:bCs/>
                <w:color w:val="auto"/>
                <w:sz w:val="24"/>
                <w:szCs w:val="24"/>
                <w:highlight w:val="none"/>
                <w:lang w:val="zh-CN"/>
              </w:rPr>
            </w:pPr>
            <w:r>
              <w:rPr>
                <w:rFonts w:hint="eastAsia" w:cs="宋体" w:asciiTheme="minorEastAsia" w:hAnsiTheme="minorEastAsia"/>
                <w:color w:val="auto"/>
                <w:kern w:val="0"/>
                <w:sz w:val="24"/>
                <w:szCs w:val="24"/>
                <w:highlight w:val="none"/>
                <w:lang w:val="zh-CN"/>
              </w:rPr>
              <w:t>投标人/供应商注意事项：</w:t>
            </w:r>
          </w:p>
        </w:tc>
        <w:tc>
          <w:tcPr>
            <w:tcW w:w="7038" w:type="dxa"/>
            <w:vAlign w:val="center"/>
          </w:tcPr>
          <w:p>
            <w:pPr>
              <w:autoSpaceDE w:val="0"/>
              <w:autoSpaceDN w:val="0"/>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1、需及时查看CA证书信息是否过期，确保所投项目从文件下载至项目结束整个周期CA证书的信息不能变更（包括不能办理延期、丢失补锁、损坏补锁等）。</w:t>
            </w:r>
          </w:p>
          <w:p>
            <w:pPr>
              <w:autoSpaceDE w:val="0"/>
              <w:autoSpaceDN w:val="0"/>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2、使用电子签章需下载PDF阅读器。</w:t>
            </w:r>
          </w:p>
          <w:p>
            <w:pPr>
              <w:autoSpaceDE w:val="0"/>
              <w:autoSpaceDN w:val="0"/>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3、投标人/供应商需确保CA证书的单位、法人等电子签章有效可用。</w:t>
            </w:r>
          </w:p>
          <w:p>
            <w:pPr>
              <w:autoSpaceDE w:val="0"/>
              <w:autoSpaceDN w:val="0"/>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4、招标文件中“投标文件格式”发生变更的，投标人/供应商需重新下载招标文件（EGP版）并重新制作、上传投标文件。</w:t>
            </w:r>
          </w:p>
          <w:p>
            <w:pPr>
              <w:autoSpaceDE w:val="0"/>
              <w:autoSpaceDN w:val="0"/>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5、按照《关于推进全流程电子化交易和在线监管工作有关问题的通知》（许公管办[2019]3号）规定：</w:t>
            </w:r>
          </w:p>
          <w:p>
            <w:pPr>
              <w:autoSpaceDE w:val="0"/>
              <w:autoSpaceDN w:val="0"/>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不同投标人电子投标文件制作硬件特征码（网卡MAC地址、CPU序号、硬盘序列号）均一致时，视为‘不同投标人的投标文件由同一单位或者个人编制’或‘不同投标人委托同一单位或者个人办理响应事宜’，其投标无效。</w:t>
            </w:r>
          </w:p>
          <w:p>
            <w:pPr>
              <w:autoSpaceDE w:val="0"/>
              <w:autoSpaceDN w:val="0"/>
              <w:spacing w:line="360" w:lineRule="auto"/>
              <w:contextualSpacing/>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评审专家应严格按照要求查看“硬件特征码” 相关信息并进行评审，在评审报告中显示“不同投标人电子投标文件制作硬件特征码”是否雷同的分析及判定结果。</w:t>
            </w:r>
          </w:p>
        </w:tc>
      </w:tr>
    </w:tbl>
    <w:p>
      <w:pPr>
        <w:tabs>
          <w:tab w:val="left" w:pos="1260"/>
        </w:tabs>
        <w:autoSpaceDE w:val="0"/>
        <w:autoSpaceDN w:val="0"/>
        <w:adjustRightInd w:val="0"/>
        <w:spacing w:line="360" w:lineRule="auto"/>
        <w:contextualSpacing/>
        <w:rPr>
          <w:rFonts w:ascii="楷体" w:hAnsi="楷体" w:eastAsia="楷体" w:cs="宋体"/>
          <w:b/>
          <w:color w:val="auto"/>
          <w:kern w:val="0"/>
          <w:sz w:val="36"/>
          <w:szCs w:val="36"/>
          <w:highlight w:val="none"/>
        </w:rPr>
      </w:pPr>
    </w:p>
    <w:p>
      <w:pPr>
        <w:tabs>
          <w:tab w:val="left" w:pos="1260"/>
        </w:tabs>
        <w:autoSpaceDE w:val="0"/>
        <w:autoSpaceDN w:val="0"/>
        <w:adjustRightInd w:val="0"/>
        <w:spacing w:line="360" w:lineRule="auto"/>
        <w:contextualSpacing/>
        <w:jc w:val="center"/>
        <w:rPr>
          <w:rFonts w:ascii="楷体" w:hAnsi="楷体" w:eastAsia="楷体" w:cs="宋体"/>
          <w:b/>
          <w:color w:val="auto"/>
          <w:kern w:val="0"/>
          <w:sz w:val="36"/>
          <w:szCs w:val="36"/>
          <w:highlight w:val="none"/>
        </w:rPr>
      </w:pPr>
      <w:r>
        <w:rPr>
          <w:rFonts w:hint="eastAsia" w:ascii="楷体" w:hAnsi="楷体" w:eastAsia="楷体" w:cs="宋体"/>
          <w:b/>
          <w:color w:val="auto"/>
          <w:kern w:val="0"/>
          <w:sz w:val="36"/>
          <w:szCs w:val="36"/>
          <w:highlight w:val="none"/>
        </w:rPr>
        <w:t>一、说 明</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w:t>
      </w:r>
      <w:r>
        <w:rPr>
          <w:rFonts w:cs="宋体" w:asciiTheme="minorEastAsia" w:hAnsiTheme="minorEastAsia"/>
          <w:b/>
          <w:color w:val="auto"/>
          <w:kern w:val="0"/>
          <w:sz w:val="24"/>
          <w:szCs w:val="24"/>
          <w:highlight w:val="none"/>
        </w:rPr>
        <w:t>.</w:t>
      </w:r>
      <w:r>
        <w:rPr>
          <w:rFonts w:hint="eastAsia" w:cs="宋体" w:asciiTheme="minorEastAsia" w:hAnsiTheme="minorEastAsia"/>
          <w:b/>
          <w:color w:val="auto"/>
          <w:kern w:val="0"/>
          <w:sz w:val="24"/>
          <w:szCs w:val="24"/>
          <w:highlight w:val="none"/>
        </w:rPr>
        <w:t>适用范围</w:t>
      </w:r>
    </w:p>
    <w:p>
      <w:pPr>
        <w:autoSpaceDE w:val="0"/>
        <w:autoSpaceDN w:val="0"/>
        <w:spacing w:line="360" w:lineRule="auto"/>
        <w:contextualSpacing/>
        <w:rPr>
          <w:rFonts w:ascii="宋体" w:hAnsi="宋体"/>
          <w:color w:val="auto"/>
          <w:sz w:val="24"/>
          <w:highlight w:val="none"/>
        </w:rPr>
      </w:pPr>
      <w:r>
        <w:rPr>
          <w:rFonts w:hint="eastAsia" w:cs="宋体" w:asciiTheme="minorEastAsia" w:hAnsiTheme="minorEastAsia"/>
          <w:color w:val="auto"/>
          <w:kern w:val="0"/>
          <w:sz w:val="24"/>
          <w:szCs w:val="24"/>
          <w:highlight w:val="none"/>
        </w:rPr>
        <w:t>1.1</w:t>
      </w:r>
      <w:r>
        <w:rPr>
          <w:rFonts w:hint="eastAsia" w:ascii="宋体" w:hAnsi="宋体"/>
          <w:color w:val="auto"/>
          <w:sz w:val="24"/>
          <w:highlight w:val="none"/>
        </w:rPr>
        <w:t>本招标文件仅适用于本次投标邀请中所述的货物及服务。</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1.2本招标文件解释权属于《投标邀请》所述的采购人。</w:t>
      </w:r>
    </w:p>
    <w:p>
      <w:pPr>
        <w:autoSpaceDE w:val="0"/>
        <w:autoSpaceDN w:val="0"/>
        <w:adjustRightInd w:val="0"/>
        <w:spacing w:line="360" w:lineRule="auto"/>
        <w:rPr>
          <w:rFonts w:ascii="宋体" w:cs="宋体"/>
          <w:b/>
          <w:bCs/>
          <w:color w:val="auto"/>
          <w:sz w:val="24"/>
          <w:highlight w:val="none"/>
          <w:lang w:val="zh-CN"/>
        </w:rPr>
      </w:pPr>
      <w:r>
        <w:rPr>
          <w:rFonts w:ascii="宋体" w:cs="宋体"/>
          <w:b/>
          <w:bCs/>
          <w:color w:val="auto"/>
          <w:sz w:val="24"/>
          <w:highlight w:val="none"/>
          <w:lang w:val="zh-CN"/>
        </w:rPr>
        <w:t>2.</w:t>
      </w:r>
      <w:r>
        <w:rPr>
          <w:rFonts w:hint="eastAsia" w:ascii="宋体" w:cs="宋体"/>
          <w:b/>
          <w:bCs/>
          <w:color w:val="auto"/>
          <w:sz w:val="24"/>
          <w:highlight w:val="none"/>
          <w:lang w:val="zh-CN"/>
        </w:rPr>
        <w:t>定义</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ascii="宋体" w:cs="宋体"/>
          <w:color w:val="auto"/>
          <w:sz w:val="24"/>
          <w:highlight w:val="none"/>
          <w:lang w:val="zh-CN"/>
        </w:rPr>
        <w:t>2.1</w:t>
      </w:r>
      <w:r>
        <w:rPr>
          <w:rFonts w:hint="eastAsia" w:ascii="宋体" w:cs="宋体"/>
          <w:color w:val="auto"/>
          <w:sz w:val="24"/>
          <w:highlight w:val="none"/>
          <w:lang w:val="zh-CN"/>
        </w:rPr>
        <w:t>招标文件中出现的措辞理解：“采购单位”与“采购人”含义相同；“投标人”与“投标单位”“供应商”含义相同；“评标”与“评审”含义相同；“中标人”与“中标单位”“中标供应商”含义相同；“中标公告”与“中标公示”含义相同；“资格要求”与“投标条件”含义相同；“无效投标”与“投标无效”含义相同；“实质性响应”与“明确响应”含义相同；“项目需求”与“采购需求”含义相同;“电子投标文件”与“电子介质存储”含义相同。</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ascii="宋体" w:cs="宋体"/>
          <w:color w:val="auto"/>
          <w:sz w:val="24"/>
          <w:highlight w:val="none"/>
          <w:lang w:val="zh-CN"/>
        </w:rPr>
        <w:t>2.2</w:t>
      </w:r>
      <w:r>
        <w:rPr>
          <w:rFonts w:hint="eastAsia" w:ascii="宋体" w:hAnsi="Times New Roman" w:cs="宋体"/>
          <w:color w:val="auto"/>
          <w:sz w:val="24"/>
          <w:highlight w:val="none"/>
          <w:lang w:val="zh-CN"/>
        </w:rPr>
        <w:t>招标文件所称的“以上”、“以下”、“内”、“以内”，包括本数；所称的“不足”，不包括本数。</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ascii="宋体" w:cs="宋体"/>
          <w:color w:val="auto"/>
          <w:sz w:val="24"/>
          <w:highlight w:val="none"/>
          <w:lang w:val="zh-CN"/>
        </w:rPr>
        <w:t>2.3</w:t>
      </w:r>
      <w:r>
        <w:rPr>
          <w:color w:val="auto"/>
          <w:sz w:val="24"/>
          <w:highlight w:val="none"/>
        </w:rPr>
        <w:t>“</w:t>
      </w:r>
      <w:r>
        <w:rPr>
          <w:rFonts w:hint="eastAsia" w:ascii="宋体" w:cs="宋体"/>
          <w:color w:val="auto"/>
          <w:sz w:val="24"/>
          <w:highlight w:val="none"/>
          <w:lang w:val="zh-CN"/>
        </w:rPr>
        <w:t>招标人</w:t>
      </w:r>
      <w:r>
        <w:rPr>
          <w:color w:val="auto"/>
          <w:sz w:val="24"/>
          <w:highlight w:val="none"/>
        </w:rPr>
        <w:t>”</w:t>
      </w:r>
      <w:r>
        <w:rPr>
          <w:rFonts w:hint="eastAsia" w:ascii="宋体" w:cs="宋体"/>
          <w:color w:val="auto"/>
          <w:sz w:val="24"/>
          <w:highlight w:val="none"/>
          <w:lang w:val="zh-CN"/>
        </w:rPr>
        <w:t>系指组织本次招标的采购单位。</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ascii="宋体" w:cs="宋体"/>
          <w:color w:val="auto"/>
          <w:sz w:val="24"/>
          <w:highlight w:val="none"/>
          <w:lang w:val="zh-CN"/>
        </w:rPr>
        <w:t>2.4</w:t>
      </w:r>
      <w:r>
        <w:rPr>
          <w:color w:val="auto"/>
          <w:sz w:val="24"/>
          <w:highlight w:val="none"/>
        </w:rPr>
        <w:t>“</w:t>
      </w:r>
      <w:r>
        <w:rPr>
          <w:rFonts w:hint="eastAsia" w:ascii="宋体" w:cs="宋体"/>
          <w:color w:val="auto"/>
          <w:sz w:val="24"/>
          <w:highlight w:val="none"/>
          <w:lang w:val="zh-CN"/>
        </w:rPr>
        <w:t>投标人</w:t>
      </w:r>
      <w:r>
        <w:rPr>
          <w:color w:val="auto"/>
          <w:sz w:val="24"/>
          <w:highlight w:val="none"/>
        </w:rPr>
        <w:t>”</w:t>
      </w:r>
      <w:r>
        <w:rPr>
          <w:rFonts w:hint="eastAsia" w:ascii="宋体" w:cs="宋体"/>
          <w:color w:val="auto"/>
          <w:sz w:val="24"/>
          <w:highlight w:val="none"/>
          <w:lang w:val="zh-CN"/>
        </w:rPr>
        <w:t>系指向招标人提交投标文件的供应商（公司或企业）。</w:t>
      </w:r>
    </w:p>
    <w:p>
      <w:pPr>
        <w:wordWrap w:val="0"/>
        <w:topLinePunct/>
        <w:autoSpaceDE w:val="0"/>
        <w:autoSpaceDN w:val="0"/>
        <w:adjustRightInd w:val="0"/>
        <w:snapToGrid w:val="0"/>
        <w:spacing w:line="360" w:lineRule="auto"/>
        <w:rPr>
          <w:color w:val="auto"/>
          <w:highlight w:val="none"/>
          <w:lang w:val="zh-CN"/>
        </w:rPr>
      </w:pPr>
      <w:r>
        <w:rPr>
          <w:rFonts w:ascii="宋体" w:cs="宋体"/>
          <w:color w:val="auto"/>
          <w:sz w:val="24"/>
          <w:highlight w:val="none"/>
          <w:lang w:val="zh-CN"/>
        </w:rPr>
        <w:t>2.5</w:t>
      </w:r>
      <w:r>
        <w:rPr>
          <w:color w:val="auto"/>
          <w:sz w:val="24"/>
          <w:highlight w:val="none"/>
        </w:rPr>
        <w:t>“</w:t>
      </w:r>
      <w:r>
        <w:rPr>
          <w:rFonts w:hint="eastAsia" w:ascii="宋体" w:cs="宋体"/>
          <w:color w:val="auto"/>
          <w:sz w:val="24"/>
          <w:highlight w:val="none"/>
          <w:lang w:val="zh-CN"/>
        </w:rPr>
        <w:t>项目</w:t>
      </w:r>
      <w:r>
        <w:rPr>
          <w:color w:val="auto"/>
          <w:sz w:val="24"/>
          <w:highlight w:val="none"/>
        </w:rPr>
        <w:t>”</w:t>
      </w:r>
      <w:r>
        <w:rPr>
          <w:rFonts w:hint="eastAsia" w:ascii="宋体" w:cs="宋体"/>
          <w:color w:val="auto"/>
          <w:sz w:val="24"/>
          <w:highlight w:val="none"/>
          <w:lang w:val="zh-CN"/>
        </w:rPr>
        <w:t>系指供应商按招标文件规定，须向采购方提供的货物或服务。</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3.合格的投标人</w:t>
      </w:r>
    </w:p>
    <w:p>
      <w:pPr>
        <w:spacing w:line="360" w:lineRule="auto"/>
        <w:contextualSpacing/>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 xml:space="preserve">3.1 </w:t>
      </w:r>
      <w:r>
        <w:rPr>
          <w:rFonts w:hint="eastAsia" w:cs="宋体" w:asciiTheme="minorEastAsia" w:hAnsiTheme="minorEastAsia"/>
          <w:color w:val="auto"/>
          <w:kern w:val="0"/>
          <w:sz w:val="24"/>
          <w:szCs w:val="24"/>
          <w:highlight w:val="none"/>
        </w:rPr>
        <w:t>符合本项目《投标邀请》和《投标人须知》前附表中规定的合格投标人所必须具备的条件。</w:t>
      </w:r>
    </w:p>
    <w:p>
      <w:pPr>
        <w:autoSpaceDE w:val="0"/>
        <w:autoSpaceDN w:val="0"/>
        <w:spacing w:line="360" w:lineRule="auto"/>
        <w:contextualSpacing/>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3.</w:t>
      </w:r>
      <w:r>
        <w:rPr>
          <w:rFonts w:hint="eastAsia" w:cs="宋体" w:asciiTheme="minorEastAsia" w:hAnsiTheme="minorEastAsia"/>
          <w:color w:val="auto"/>
          <w:kern w:val="0"/>
          <w:sz w:val="24"/>
          <w:szCs w:val="24"/>
          <w:highlight w:val="none"/>
        </w:rPr>
        <w:t>2单位负责人为同一人或者存在直接控股、管理关系的不同供应商，不得参加同一合同项下的政府采购活动；</w:t>
      </w:r>
    </w:p>
    <w:p>
      <w:pPr>
        <w:autoSpaceDE w:val="0"/>
        <w:autoSpaceDN w:val="0"/>
        <w:spacing w:line="360" w:lineRule="auto"/>
        <w:contextualSpacing/>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3.</w:t>
      </w:r>
      <w:r>
        <w:rPr>
          <w:rFonts w:hint="eastAsia" w:cs="宋体" w:asciiTheme="minorEastAsia" w:hAnsiTheme="minorEastAsia"/>
          <w:color w:val="auto"/>
          <w:kern w:val="0"/>
          <w:sz w:val="24"/>
          <w:szCs w:val="24"/>
          <w:highlight w:val="none"/>
        </w:rPr>
        <w:t>3除单一来源采购项目外，为采购项目提供整体设计、规范编制或者项目管理、监理、检测等服务的供应商，不得再参加该采购项目的其他采购活动。</w:t>
      </w:r>
    </w:p>
    <w:p>
      <w:pPr>
        <w:autoSpaceDE w:val="0"/>
        <w:autoSpaceDN w:val="0"/>
        <w:adjustRightInd w:val="0"/>
        <w:spacing w:line="360" w:lineRule="auto"/>
        <w:rPr>
          <w:rFonts w:ascii="宋体" w:cs="宋体"/>
          <w:color w:val="auto"/>
          <w:sz w:val="24"/>
          <w:highlight w:val="none"/>
          <w:lang w:val="zh-CN"/>
        </w:rPr>
      </w:pPr>
      <w:r>
        <w:rPr>
          <w:rFonts w:hint="eastAsia" w:ascii="宋体" w:cs="宋体"/>
          <w:color w:val="auto"/>
          <w:sz w:val="24"/>
          <w:highlight w:val="none"/>
          <w:lang w:val="zh-CN"/>
        </w:rPr>
        <w:t>3.4以联合体形式参加投标的供应商应当具备《中华人民共和国政府采购法》之规定。</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3.5 法律、行政法规规定的其他条件。</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4．合格的货物和服务</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34"/>
        <w:numPr>
          <w:ilvl w:val="1"/>
          <w:numId w:val="3"/>
        </w:numPr>
        <w:autoSpaceDE w:val="0"/>
        <w:autoSpaceDN w:val="0"/>
        <w:spacing w:line="360" w:lineRule="auto"/>
        <w:ind w:firstLineChars="0"/>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投标人所提供的服务应当没有侵犯任何第三方的知识产权、技术秘密等合法权利。</w:t>
      </w:r>
    </w:p>
    <w:p>
      <w:pPr>
        <w:wordWrap w:val="0"/>
        <w:topLinePunct/>
        <w:autoSpaceDE w:val="0"/>
        <w:autoSpaceDN w:val="0"/>
        <w:adjustRightInd w:val="0"/>
        <w:spacing w:line="500" w:lineRule="exac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wordWrap w:val="0"/>
        <w:topLinePunct/>
        <w:autoSpaceDE w:val="0"/>
        <w:autoSpaceDN w:val="0"/>
        <w:adjustRightInd w:val="0"/>
        <w:spacing w:line="500" w:lineRule="exact"/>
        <w:rPr>
          <w:rFonts w:cs="宋体" w:asciiTheme="minorEastAsia" w:hAnsiTheme="minorEastAsia"/>
          <w:color w:val="auto"/>
          <w:sz w:val="24"/>
          <w:szCs w:val="24"/>
          <w:highlight w:val="none"/>
          <w:lang w:val="zh-CN"/>
        </w:rPr>
      </w:pPr>
      <w:r>
        <w:rPr>
          <w:rFonts w:hint="eastAsia" w:cs="宋体" w:asciiTheme="minorEastAsia" w:hAnsiTheme="minorEastAsia"/>
          <w:color w:val="auto"/>
          <w:kern w:val="0"/>
          <w:sz w:val="24"/>
          <w:szCs w:val="24"/>
          <w:highlight w:val="none"/>
        </w:rPr>
        <w:t>4.4 根据《强制性产品认证管理规定》（质检总局第117号令）要求，如投标人所投产品被列入</w:t>
      </w:r>
      <w:r>
        <w:rPr>
          <w:rFonts w:cs="宋体" w:asciiTheme="minorEastAsia" w:hAnsiTheme="minorEastAsia"/>
          <w:color w:val="auto"/>
          <w:kern w:val="0"/>
          <w:sz w:val="24"/>
          <w:szCs w:val="24"/>
          <w:highlight w:val="none"/>
        </w:rPr>
        <w:t>《中华人民共和国实施强制性产品认证的产品目录》，</w:t>
      </w:r>
      <w:r>
        <w:rPr>
          <w:rFonts w:hint="eastAsia" w:cs="宋体" w:asciiTheme="minorEastAsia" w:hAnsiTheme="minorEastAsia"/>
          <w:color w:val="auto"/>
          <w:kern w:val="0"/>
          <w:sz w:val="24"/>
          <w:szCs w:val="24"/>
          <w:highlight w:val="none"/>
        </w:rPr>
        <w:t>则该产品应</w:t>
      </w:r>
      <w:r>
        <w:rPr>
          <w:rFonts w:cs="宋体" w:asciiTheme="minorEastAsia" w:hAnsiTheme="minorEastAsia"/>
          <w:color w:val="auto"/>
          <w:kern w:val="0"/>
          <w:sz w:val="24"/>
          <w:szCs w:val="24"/>
          <w:highlight w:val="none"/>
        </w:rPr>
        <w:t>具备国家认监委</w:t>
      </w:r>
      <w:r>
        <w:rPr>
          <w:rFonts w:hint="eastAsia" w:cs="宋体" w:asciiTheme="minorEastAsia" w:hAnsiTheme="minorEastAsia"/>
          <w:color w:val="auto"/>
          <w:kern w:val="0"/>
          <w:sz w:val="24"/>
          <w:szCs w:val="24"/>
          <w:highlight w:val="none"/>
        </w:rPr>
        <w:t>指定强制性产品认证机构</w:t>
      </w:r>
      <w:r>
        <w:rPr>
          <w:rFonts w:cs="宋体" w:asciiTheme="minorEastAsia" w:hAnsiTheme="minorEastAsia"/>
          <w:color w:val="auto"/>
          <w:kern w:val="0"/>
          <w:sz w:val="24"/>
          <w:szCs w:val="24"/>
          <w:highlight w:val="none"/>
        </w:rPr>
        <w:t>颁</w:t>
      </w:r>
      <w:r>
        <w:rPr>
          <w:rFonts w:hint="eastAsia" w:cs="宋体" w:asciiTheme="minorEastAsia" w:hAnsiTheme="minorEastAsia"/>
          <w:color w:val="auto"/>
          <w:kern w:val="0"/>
          <w:sz w:val="24"/>
          <w:szCs w:val="24"/>
          <w:highlight w:val="none"/>
        </w:rPr>
        <w:t>发的</w:t>
      </w:r>
      <w:r>
        <w:rPr>
          <w:rFonts w:cs="宋体" w:asciiTheme="minorEastAsia" w:hAnsiTheme="minorEastAsia"/>
          <w:color w:val="auto"/>
          <w:kern w:val="0"/>
          <w:sz w:val="24"/>
          <w:szCs w:val="24"/>
          <w:highlight w:val="none"/>
        </w:rPr>
        <w:t>《中国</w:t>
      </w:r>
      <w:r>
        <w:rPr>
          <w:rFonts w:hint="eastAsia" w:cs="宋体" w:asciiTheme="minorEastAsia" w:hAnsiTheme="minorEastAsia"/>
          <w:color w:val="auto"/>
          <w:kern w:val="0"/>
          <w:sz w:val="24"/>
          <w:szCs w:val="24"/>
          <w:highlight w:val="none"/>
        </w:rPr>
        <w:t>国家</w:t>
      </w:r>
      <w:r>
        <w:rPr>
          <w:rFonts w:cs="宋体" w:asciiTheme="minorEastAsia" w:hAnsiTheme="minorEastAsia"/>
          <w:color w:val="auto"/>
          <w:kern w:val="0"/>
          <w:sz w:val="24"/>
          <w:szCs w:val="24"/>
          <w:highlight w:val="none"/>
        </w:rPr>
        <w:t>强制</w:t>
      </w:r>
      <w:r>
        <w:rPr>
          <w:rFonts w:hint="eastAsia" w:cs="宋体" w:asciiTheme="minorEastAsia" w:hAnsiTheme="minorEastAsia"/>
          <w:color w:val="auto"/>
          <w:kern w:val="0"/>
          <w:sz w:val="24"/>
          <w:szCs w:val="24"/>
          <w:highlight w:val="none"/>
        </w:rPr>
        <w:t>性产品</w:t>
      </w:r>
      <w:r>
        <w:rPr>
          <w:rFonts w:cs="宋体" w:asciiTheme="minorEastAsia" w:hAnsiTheme="minorEastAsia"/>
          <w:color w:val="auto"/>
          <w:kern w:val="0"/>
          <w:sz w:val="24"/>
          <w:szCs w:val="24"/>
          <w:highlight w:val="none"/>
        </w:rPr>
        <w:t>认证</w:t>
      </w:r>
      <w:r>
        <w:rPr>
          <w:rFonts w:hint="eastAsia" w:cs="宋体" w:asciiTheme="minorEastAsia" w:hAnsiTheme="minorEastAsia"/>
          <w:color w:val="auto"/>
          <w:kern w:val="0"/>
          <w:sz w:val="24"/>
          <w:szCs w:val="24"/>
          <w:highlight w:val="none"/>
        </w:rPr>
        <w:t>证书</w:t>
      </w:r>
      <w:r>
        <w:rPr>
          <w:rFonts w:cs="宋体" w:asciiTheme="minorEastAsia" w:hAnsiTheme="minorEastAsia"/>
          <w:color w:val="auto"/>
          <w:kern w:val="0"/>
          <w:sz w:val="24"/>
          <w:szCs w:val="24"/>
          <w:highlight w:val="none"/>
        </w:rPr>
        <w:t>》（CCC 认证）。</w:t>
      </w:r>
      <w:r>
        <w:rPr>
          <w:rFonts w:hint="eastAsia" w:cs="宋体" w:asciiTheme="minorEastAsia" w:hAnsiTheme="minorEastAsia"/>
          <w:color w:val="auto"/>
          <w:kern w:val="0"/>
          <w:sz w:val="24"/>
          <w:szCs w:val="24"/>
          <w:highlight w:val="none"/>
        </w:rPr>
        <w:t>投标人</w:t>
      </w:r>
      <w:r>
        <w:rPr>
          <w:rFonts w:cs="宋体" w:asciiTheme="minorEastAsia" w:hAnsiTheme="minorEastAsia"/>
          <w:color w:val="auto"/>
          <w:kern w:val="0"/>
          <w:sz w:val="24"/>
          <w:szCs w:val="24"/>
          <w:highlight w:val="none"/>
        </w:rPr>
        <w:t>不能提供超出此目录范畴外的替代品</w:t>
      </w:r>
      <w:r>
        <w:rPr>
          <w:rFonts w:hint="eastAsia" w:cs="宋体" w:asciiTheme="minorEastAsia" w:hAnsiTheme="minorEastAsia"/>
          <w:color w:val="auto"/>
          <w:kern w:val="0"/>
          <w:sz w:val="24"/>
          <w:szCs w:val="24"/>
          <w:highlight w:val="none"/>
        </w:rPr>
        <w:t>并根据招标文件要求提供相关证明。</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4.5 根据财政部、工业和信息化部、国家质检总局、国家认监委联合发布《关于信息安全产品实施政府采购的通知》（财库[2010]48号）要求，投标人所投产品如被列入《信息安全产品强制性认证目录》，则该产品应具备中国信息安全认证中心颁发的《中国国家信息安全产品认证证书》</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投标人</w:t>
      </w:r>
      <w:r>
        <w:rPr>
          <w:rFonts w:cs="宋体" w:asciiTheme="minorEastAsia" w:hAnsiTheme="minorEastAsia"/>
          <w:color w:val="auto"/>
          <w:kern w:val="0"/>
          <w:sz w:val="24"/>
          <w:szCs w:val="24"/>
          <w:highlight w:val="none"/>
        </w:rPr>
        <w:t>不能提供超出此目录范畴外的替代品</w:t>
      </w:r>
      <w:r>
        <w:rPr>
          <w:rFonts w:hint="eastAsia" w:cs="宋体" w:asciiTheme="minorEastAsia" w:hAnsiTheme="minorEastAsia"/>
          <w:color w:val="auto"/>
          <w:kern w:val="0"/>
          <w:sz w:val="24"/>
          <w:szCs w:val="24"/>
          <w:highlight w:val="none"/>
        </w:rPr>
        <w:t>并根据招标文件要求提供相关证明。</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5．投标费用</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不论投标的结果如何，投标人均应自行承担所有与投标有关的全部费用，招标人在任何情况下均无义务和责任承担这些费用。</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6．保密</w:t>
      </w:r>
    </w:p>
    <w:p>
      <w:pPr>
        <w:spacing w:line="360" w:lineRule="auto"/>
        <w:rPr>
          <w:rFonts w:ascii="黑体" w:hAnsi="宋体" w:eastAsia="黑体"/>
          <w:b/>
          <w:bCs/>
          <w:color w:val="auto"/>
          <w:szCs w:val="21"/>
          <w:highlight w:val="none"/>
        </w:rPr>
      </w:pPr>
      <w:r>
        <w:rPr>
          <w:rFonts w:hint="eastAsia" w:hAnsi="宋体"/>
          <w:color w:val="auto"/>
          <w:szCs w:val="21"/>
          <w:highlight w:val="none"/>
        </w:rPr>
        <w:t>参与招标投标活动的各方应对招标文件和投标文件中的商业和技术等秘密保密，违者应对由此造成的后果承担法律责任。</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7.语言文字</w:t>
      </w:r>
    </w:p>
    <w:p>
      <w:pPr>
        <w:spacing w:line="360" w:lineRule="auto"/>
        <w:rPr>
          <w:rFonts w:ascii="宋体" w:hAns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8.计量单位</w:t>
      </w:r>
    </w:p>
    <w:p>
      <w:pPr>
        <w:spacing w:line="360" w:lineRule="auto"/>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pPr>
        <w:tabs>
          <w:tab w:val="left" w:pos="1260"/>
        </w:tabs>
        <w:autoSpaceDE w:val="0"/>
        <w:autoSpaceDN w:val="0"/>
        <w:adjustRightInd w:val="0"/>
        <w:spacing w:line="360" w:lineRule="auto"/>
        <w:contextualSpacing/>
        <w:jc w:val="center"/>
        <w:rPr>
          <w:rFonts w:ascii="楷体" w:hAnsi="楷体" w:eastAsia="楷体" w:cs="宋体"/>
          <w:b/>
          <w:color w:val="auto"/>
          <w:kern w:val="0"/>
          <w:sz w:val="36"/>
          <w:szCs w:val="36"/>
          <w:highlight w:val="none"/>
        </w:rPr>
      </w:pPr>
      <w:r>
        <w:rPr>
          <w:rFonts w:hint="eastAsia" w:ascii="楷体" w:hAnsi="楷体" w:eastAsia="楷体" w:cs="宋体"/>
          <w:b/>
          <w:color w:val="auto"/>
          <w:kern w:val="0"/>
          <w:sz w:val="36"/>
          <w:szCs w:val="36"/>
          <w:highlight w:val="none"/>
        </w:rPr>
        <w:t>二、招标文件</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9．招标文件构成</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9.1 招标文件由以下部分组成：</w:t>
      </w:r>
    </w:p>
    <w:p>
      <w:pPr>
        <w:autoSpaceDE w:val="0"/>
        <w:autoSpaceDN w:val="0"/>
        <w:spacing w:line="360" w:lineRule="auto"/>
        <w:ind w:firstLine="120" w:firstLineChars="50"/>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(1)投标邀请（招标公告）</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（2）投标人须知</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（3）项目需求及其他要求</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（4）政府采购政策功能</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（5）资格审查、评标方法与评标标准</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（6）合同条款及格式</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（7）投标文件有关格式</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根据本章第10款和第11款对招标文件所作的澄清、修改，构成招标文件的组成部分。</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color w:val="auto"/>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10.招标文件的澄清</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10.1</w:t>
      </w:r>
      <w:r>
        <w:rPr>
          <w:rFonts w:cs="宋体" w:asciiTheme="minorEastAsia" w:hAnsiTheme="minorEastAsia"/>
          <w:color w:val="auto"/>
          <w:kern w:val="0"/>
          <w:sz w:val="24"/>
          <w:szCs w:val="24"/>
          <w:highlight w:val="none"/>
        </w:rPr>
        <w:t>投标人应仔细阅读和检查招标文件的全部内容。如发现缺页或附件不全，应及时向招标人提出，以便补齐。如有疑问，应在投标人须知前附表规定的时间前在</w:t>
      </w:r>
      <w:r>
        <w:rPr>
          <w:rFonts w:hint="eastAsia" w:cs="宋体" w:asciiTheme="minorEastAsia" w:hAnsiTheme="minorEastAsia"/>
          <w:color w:val="auto"/>
          <w:kern w:val="0"/>
          <w:sz w:val="24"/>
          <w:szCs w:val="24"/>
          <w:highlight w:val="none"/>
        </w:rPr>
        <w:t>全国公共资源交易平台（河南省·许昌市）</w:t>
      </w:r>
      <w:r>
        <w:rPr>
          <w:rFonts w:cs="宋体" w:asciiTheme="minorEastAsia" w:hAnsiTheme="minorEastAsia"/>
          <w:color w:val="auto"/>
          <w:kern w:val="0"/>
          <w:sz w:val="24"/>
          <w:szCs w:val="24"/>
          <w:highlight w:val="none"/>
        </w:rPr>
        <w:t>平台上发布疑问内容，要求招标人对招标文件予以澄清。</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10.2</w:t>
      </w:r>
      <w:r>
        <w:rPr>
          <w:rFonts w:cs="宋体" w:asciiTheme="minorEastAsia" w:hAnsiTheme="minorEastAsia"/>
          <w:color w:val="auto"/>
          <w:kern w:val="0"/>
          <w:sz w:val="24"/>
          <w:szCs w:val="24"/>
          <w:highlight w:val="none"/>
        </w:rPr>
        <w:t>招标文件的澄清将在投标人须知前附表规定的投标截止时间15天前发布在</w:t>
      </w:r>
      <w:r>
        <w:rPr>
          <w:rFonts w:hint="eastAsia" w:cs="宋体" w:asciiTheme="minorEastAsia" w:hAnsiTheme="minorEastAsia"/>
          <w:color w:val="auto"/>
          <w:kern w:val="0"/>
          <w:sz w:val="24"/>
          <w:szCs w:val="24"/>
          <w:highlight w:val="none"/>
        </w:rPr>
        <w:t>全国公共资源交易平台（河南省·许昌市）</w:t>
      </w:r>
      <w:r>
        <w:rPr>
          <w:rFonts w:cs="宋体" w:asciiTheme="minorEastAsia" w:hAnsiTheme="minorEastAsia"/>
          <w:color w:val="auto"/>
          <w:kern w:val="0"/>
          <w:sz w:val="24"/>
          <w:szCs w:val="24"/>
          <w:highlight w:val="none"/>
        </w:rPr>
        <w:t>平台上，所有下载招标文件的投标人请及时查看。如果澄清发出的时间距投标截止时间不足15天，相应延长投标截止时间。</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11.招标文件的修改</w:t>
      </w:r>
    </w:p>
    <w:p>
      <w:pPr>
        <w:autoSpaceDE w:val="0"/>
        <w:autoSpaceDN w:val="0"/>
        <w:spacing w:line="360" w:lineRule="auto"/>
        <w:contextualSpacing/>
        <w:rPr>
          <w:rFonts w:cs="宋体" w:asciiTheme="minorEastAsia" w:hAnsiTheme="minorEastAsia"/>
          <w:color w:val="auto"/>
          <w:kern w:val="0"/>
          <w:sz w:val="24"/>
          <w:szCs w:val="24"/>
          <w:highlight w:val="none"/>
        </w:rPr>
      </w:pPr>
      <w:bookmarkStart w:id="1" w:name="_Toc256519655"/>
      <w:r>
        <w:rPr>
          <w:rFonts w:hint="eastAsia" w:cs="宋体" w:asciiTheme="minorEastAsia" w:hAnsiTheme="minorEastAsia"/>
          <w:color w:val="auto"/>
          <w:kern w:val="0"/>
          <w:sz w:val="24"/>
          <w:szCs w:val="24"/>
          <w:highlight w:val="none"/>
        </w:rPr>
        <w:t>11.1</w:t>
      </w:r>
      <w:bookmarkEnd w:id="1"/>
      <w:r>
        <w:rPr>
          <w:rFonts w:cs="宋体" w:asciiTheme="minorEastAsia" w:hAnsiTheme="minorEastAsia"/>
          <w:color w:val="auto"/>
          <w:kern w:val="0"/>
          <w:sz w:val="24"/>
          <w:szCs w:val="24"/>
          <w:highlight w:val="none"/>
        </w:rPr>
        <w:t xml:space="preserve"> 在投标截止时间15天前，招标人在</w:t>
      </w:r>
      <w:r>
        <w:rPr>
          <w:rFonts w:hint="eastAsia" w:cs="宋体" w:asciiTheme="minorEastAsia" w:hAnsiTheme="minorEastAsia"/>
          <w:color w:val="auto"/>
          <w:kern w:val="0"/>
          <w:sz w:val="24"/>
          <w:szCs w:val="24"/>
          <w:highlight w:val="none"/>
        </w:rPr>
        <w:t>全国公共资源交易平台（河南省·许昌市）</w:t>
      </w:r>
      <w:r>
        <w:rPr>
          <w:rFonts w:cs="宋体" w:asciiTheme="minorEastAsia" w:hAnsiTheme="minorEastAsia"/>
          <w:color w:val="auto"/>
          <w:kern w:val="0"/>
          <w:sz w:val="24"/>
          <w:szCs w:val="24"/>
          <w:highlight w:val="none"/>
        </w:rPr>
        <w:t>平台上发布修改招标文件，各投标单位请及时查看。如果修改招标文件的时间距投标截止时间不足15天，相应延长投标截止时间。</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11</w:t>
      </w:r>
      <w:r>
        <w:rPr>
          <w:rFonts w:cs="宋体" w:asciiTheme="minorEastAsia" w:hAnsiTheme="minorEastAsia"/>
          <w:color w:val="auto"/>
          <w:kern w:val="0"/>
          <w:sz w:val="24"/>
          <w:szCs w:val="24"/>
          <w:highlight w:val="none"/>
        </w:rPr>
        <w:t xml:space="preserve">.2 </w:t>
      </w:r>
      <w:r>
        <w:rPr>
          <w:rFonts w:hint="eastAsia" w:cs="宋体" w:asciiTheme="minorEastAsia" w:hAnsiTheme="minorEastAsia"/>
          <w:color w:val="auto"/>
          <w:kern w:val="0"/>
          <w:sz w:val="24"/>
          <w:szCs w:val="24"/>
          <w:highlight w:val="none"/>
        </w:rPr>
        <w:t>招标文件澄清和修改作为招标文件的组成部分，前后矛盾时以最后发出的为准。</w:t>
      </w:r>
    </w:p>
    <w:p>
      <w:pPr>
        <w:autoSpaceDE w:val="0"/>
        <w:autoSpaceDN w:val="0"/>
        <w:spacing w:line="360" w:lineRule="auto"/>
        <w:ind w:firstLine="480" w:firstLineChars="200"/>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备注：如果供应商认为本次采购项目存在倾向性或排斥性内容，请在公告期限截止之日起七个工作日内，通过公共资源交易平台提出询问和澄清（并同时电话通知代理项目联系人）或者提出书面形式质疑，如未提出，视为全面接受。不论是招标人根据需要主动对招标文件进行必要的澄清或是根据投标人的要求对招标文件做出澄清，招标文件的澄清在许昌市公共资源交易系统平台发布，供所有潜在的投标人查看，不再另行通知，各投标人要随时浏览相关网站，未及时查阅相关信息造成的后果由投标人自负。</w:t>
      </w:r>
    </w:p>
    <w:p>
      <w:pPr>
        <w:tabs>
          <w:tab w:val="left" w:pos="1260"/>
        </w:tabs>
        <w:autoSpaceDE w:val="0"/>
        <w:autoSpaceDN w:val="0"/>
        <w:adjustRightInd w:val="0"/>
        <w:spacing w:line="360" w:lineRule="auto"/>
        <w:contextualSpacing/>
        <w:rPr>
          <w:rFonts w:ascii="楷体" w:hAnsi="楷体" w:eastAsia="楷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ascii="楷体" w:hAnsi="楷体" w:eastAsia="楷体" w:cs="宋体"/>
          <w:b/>
          <w:color w:val="auto"/>
          <w:kern w:val="0"/>
          <w:sz w:val="36"/>
          <w:szCs w:val="36"/>
          <w:highlight w:val="none"/>
        </w:rPr>
      </w:pPr>
      <w:r>
        <w:rPr>
          <w:rFonts w:hint="eastAsia" w:ascii="楷体" w:hAnsi="楷体" w:eastAsia="楷体" w:cs="宋体"/>
          <w:b/>
          <w:color w:val="auto"/>
          <w:kern w:val="0"/>
          <w:sz w:val="36"/>
          <w:szCs w:val="36"/>
          <w:highlight w:val="none"/>
        </w:rPr>
        <w:t>三、投标文件</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12.投标文件的组成</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12.1 投标文件的构成应符合法律法规及招标文件的要求。</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12.2 投标人应当按照招标文件的要求编制投标文件。投标文件应当对招标文件提出的要求和条件作出明确响应。</w:t>
      </w:r>
    </w:p>
    <w:p>
      <w:pPr>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12.3 投标文件由资格证明材料、符合性证明材料、其它材料等组成。</w:t>
      </w:r>
    </w:p>
    <w:p>
      <w:pPr>
        <w:widowControl/>
        <w:spacing w:line="360" w:lineRule="auto"/>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12.4投标人根据招标文件的规定和采购项目的实际情况，拟在中标后将中标项目的非主体、非关键性工作分包的，应当在投标文件中载明分包承担主体，分包承担主体应当具备相应资质条件且不得再次分包。分包必须同时符合国家相关法律法规的规定。</w:t>
      </w:r>
      <w:r>
        <w:rPr>
          <w:rFonts w:hint="eastAsia" w:cs="宋体" w:asciiTheme="minorEastAsia" w:hAnsiTheme="minorEastAsia"/>
          <w:color w:val="auto"/>
          <w:kern w:val="0"/>
          <w:sz w:val="24"/>
          <w:szCs w:val="24"/>
          <w:highlight w:val="none"/>
        </w:rPr>
        <w:br w:type="textWrapping"/>
      </w:r>
      <w:r>
        <w:rPr>
          <w:rFonts w:hint="eastAsia" w:cs="宋体" w:asciiTheme="minorEastAsia" w:hAnsiTheme="minorEastAsia"/>
          <w:color w:val="auto"/>
          <w:kern w:val="0"/>
          <w:sz w:val="24"/>
          <w:szCs w:val="24"/>
          <w:highlight w:val="none"/>
        </w:rPr>
        <w:t xml:space="preserve">本项目采购单位不允许分包。 </w:t>
      </w:r>
    </w:p>
    <w:p>
      <w:pPr>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12.5 投标人登录许昌公共资源交易系统下载“许昌投标文件制作系统SEARUN V1.0”，按招标文件要求根据所投标段制作电子投标文件。 </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12.6 一个标段对应生成一个文件夹（xxxx项目xx标段）, 其中包含2个文件和1个文件夹。后缀名为“.file”的文件用于电子投标使用。</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电子投标文件制作技术咨询：0374-2961598。</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13.投标报价</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13.1 投标人根据采购人提供的有关资料、招标文件及招标文件补充答疑，结合本项目实际情况和市场行情自主合理报价。</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13.2 本次投标报价采用采购范围内固定总价方式。投标报价应是采购人指定地点的交货价格，包括各种税费、运费、设计费、安装费、装卸费、质量检测费以及伴随的其他服务费总报价（货物交付采购人正常使用前所发生的一切费用。）</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13.3 投标报价为投标人完成采购范围内各项费用的总和。投标人不得以任何理由重复计算相关费用。</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13.4 各投标人单位的投标报价中若出现采购范围内的漏项、错项、未列项时，均视为投标人已综合在报价内，一律不作调整；各投标人的预算书中若出现多计项目时，采购人将有权在货物接收时扣除。</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13.5 成交价结算时除合同约定可调整内容以外，均不作调整。</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13.6投标人所提供的产品必须是符合国家相关质量标准的正规厂家的合格产品。</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14</w:t>
      </w:r>
      <w:r>
        <w:rPr>
          <w:rFonts w:cs="宋体" w:asciiTheme="minorEastAsia" w:hAnsiTheme="minorEastAsia"/>
          <w:b/>
          <w:color w:val="auto"/>
          <w:kern w:val="0"/>
          <w:sz w:val="24"/>
          <w:szCs w:val="24"/>
          <w:highlight w:val="none"/>
        </w:rPr>
        <w:t xml:space="preserve">. </w:t>
      </w:r>
      <w:r>
        <w:rPr>
          <w:rFonts w:hint="eastAsia" w:cs="宋体" w:asciiTheme="minorEastAsia" w:hAnsiTheme="minorEastAsia"/>
          <w:b/>
          <w:color w:val="auto"/>
          <w:kern w:val="0"/>
          <w:sz w:val="24"/>
          <w:szCs w:val="24"/>
          <w:highlight w:val="none"/>
        </w:rPr>
        <w:t>投标货币</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本次招标项目的投标均以</w:t>
      </w:r>
      <w:r>
        <w:rPr>
          <w:rFonts w:hint="eastAsia" w:cs="宋体" w:asciiTheme="minorEastAsia" w:hAnsiTheme="minorEastAsia"/>
          <w:b/>
          <w:color w:val="auto"/>
          <w:kern w:val="0"/>
          <w:sz w:val="24"/>
          <w:szCs w:val="24"/>
          <w:highlight w:val="none"/>
        </w:rPr>
        <w:t>人民币</w:t>
      </w:r>
      <w:r>
        <w:rPr>
          <w:rFonts w:hint="eastAsia" w:cs="宋体" w:asciiTheme="minorEastAsia" w:hAnsiTheme="minorEastAsia"/>
          <w:color w:val="auto"/>
          <w:kern w:val="0"/>
          <w:sz w:val="24"/>
          <w:szCs w:val="24"/>
          <w:highlight w:val="none"/>
        </w:rPr>
        <w:t>报价。</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15．投标有效期</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15.1 投标有效期从提交投标文件的截止之日起算为</w:t>
      </w:r>
      <w:r>
        <w:rPr>
          <w:rFonts w:hint="eastAsia" w:cs="宋体" w:asciiTheme="minorEastAsia" w:hAnsiTheme="minorEastAsia"/>
          <w:b/>
          <w:color w:val="auto"/>
          <w:kern w:val="0"/>
          <w:sz w:val="24"/>
          <w:szCs w:val="24"/>
          <w:highlight w:val="none"/>
        </w:rPr>
        <w:t>60天</w:t>
      </w:r>
      <w:r>
        <w:rPr>
          <w:rFonts w:hint="eastAsia" w:cs="宋体" w:asciiTheme="minorEastAsia" w:hAnsiTheme="minorEastAsia"/>
          <w:color w:val="auto"/>
          <w:kern w:val="0"/>
          <w:sz w:val="24"/>
          <w:szCs w:val="24"/>
          <w:highlight w:val="none"/>
        </w:rPr>
        <w:t>，投标文件中承诺的投标有效期应当不少于《投标人须知》前附表载明的投标有效期。投标有效期比招标文件规定短的属于非实质性响应，将被认定为无效投标。</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15.2 中标人的投标文件作为项目合同的附件，其有效期至中标人全部合同义务履行</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完毕为止。</w:t>
      </w:r>
    </w:p>
    <w:p>
      <w:pPr>
        <w:autoSpaceDE w:val="0"/>
        <w:autoSpaceDN w:val="0"/>
        <w:spacing w:line="360" w:lineRule="auto"/>
        <w:contextualSpacing/>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16.投标文件格式</w:t>
      </w:r>
    </w:p>
    <w:p>
      <w:pPr>
        <w:tabs>
          <w:tab w:val="left" w:pos="1260"/>
        </w:tabs>
        <w:autoSpaceDE w:val="0"/>
        <w:autoSpaceDN w:val="0"/>
        <w:adjustRightInd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16.1投标文件应参照招标文件第七章（投标文件有关格式）的内容要求、编排顺序和格式要求，投标人应按照以上要求将投标文件编上唯一的连贯页码，并在投标文件封面上注明：所投项目名称、项目编号、投标人名称、日期等字样。</w:t>
      </w:r>
    </w:p>
    <w:p>
      <w:pPr>
        <w:tabs>
          <w:tab w:val="left" w:pos="1260"/>
        </w:tabs>
        <w:autoSpaceDE w:val="0"/>
        <w:autoSpaceDN w:val="0"/>
        <w:adjustRightInd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16.2 投标人应按招标文件提供的格式编写投标文件。招标文件未提供标准格式的投标人可自行拟定。</w:t>
      </w:r>
    </w:p>
    <w:p>
      <w:pPr>
        <w:tabs>
          <w:tab w:val="left" w:pos="1260"/>
        </w:tabs>
        <w:autoSpaceDE w:val="0"/>
        <w:autoSpaceDN w:val="0"/>
        <w:adjustRightInd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17. 投标文件的签署</w:t>
      </w:r>
    </w:p>
    <w:p>
      <w:pPr>
        <w:tabs>
          <w:tab w:val="left" w:pos="1260"/>
        </w:tabs>
        <w:autoSpaceDE w:val="0"/>
        <w:autoSpaceDN w:val="0"/>
        <w:adjustRightInd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在招标文件中已明示需盖章及签名之处，电子投标文件按招标文件要求加盖电子印章和法人电子印章。</w:t>
      </w:r>
    </w:p>
    <w:p>
      <w:pPr>
        <w:tabs>
          <w:tab w:val="left" w:pos="1260"/>
        </w:tabs>
        <w:autoSpaceDE w:val="0"/>
        <w:autoSpaceDN w:val="0"/>
        <w:adjustRightInd w:val="0"/>
        <w:spacing w:line="360" w:lineRule="auto"/>
        <w:contextualSpacing/>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lang w:val="zh-CN"/>
        </w:rPr>
        <w:t>18. 备选投标方案</w:t>
      </w:r>
    </w:p>
    <w:p>
      <w:pPr>
        <w:spacing w:line="360" w:lineRule="auto"/>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 不允许递交备选投标方案。</w:t>
      </w:r>
    </w:p>
    <w:p>
      <w:pPr>
        <w:autoSpaceDE w:val="0"/>
        <w:autoSpaceDN w:val="0"/>
        <w:spacing w:line="360" w:lineRule="auto"/>
        <w:contextualSpacing/>
        <w:rPr>
          <w:rFonts w:cs="宋体" w:asciiTheme="minorEastAsia" w:hAnsiTheme="minorEastAsia"/>
          <w:color w:val="auto"/>
          <w:kern w:val="0"/>
          <w:sz w:val="24"/>
          <w:szCs w:val="24"/>
          <w:highlight w:val="none"/>
        </w:rPr>
      </w:pPr>
    </w:p>
    <w:p>
      <w:pPr>
        <w:tabs>
          <w:tab w:val="left" w:pos="1260"/>
        </w:tabs>
        <w:autoSpaceDE w:val="0"/>
        <w:autoSpaceDN w:val="0"/>
        <w:adjustRightInd w:val="0"/>
        <w:spacing w:line="360" w:lineRule="auto"/>
        <w:contextualSpacing/>
        <w:jc w:val="center"/>
        <w:rPr>
          <w:rFonts w:ascii="楷体" w:hAnsi="楷体" w:eastAsia="楷体" w:cs="宋体"/>
          <w:b/>
          <w:color w:val="auto"/>
          <w:kern w:val="0"/>
          <w:sz w:val="36"/>
          <w:szCs w:val="36"/>
          <w:highlight w:val="none"/>
        </w:rPr>
      </w:pPr>
      <w:r>
        <w:rPr>
          <w:rFonts w:hint="eastAsia" w:ascii="楷体" w:hAnsi="楷体" w:eastAsia="楷体" w:cs="宋体"/>
          <w:b/>
          <w:color w:val="auto"/>
          <w:kern w:val="0"/>
          <w:sz w:val="36"/>
          <w:szCs w:val="36"/>
          <w:highlight w:val="none"/>
        </w:rPr>
        <w:t>四、投标文件的递交</w:t>
      </w:r>
    </w:p>
    <w:p>
      <w:pPr>
        <w:tabs>
          <w:tab w:val="left" w:pos="1260"/>
        </w:tabs>
        <w:autoSpaceDE w:val="0"/>
        <w:autoSpaceDN w:val="0"/>
        <w:adjustRightInd w:val="0"/>
        <w:spacing w:line="360" w:lineRule="auto"/>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rPr>
        <w:t>19</w:t>
      </w:r>
      <w:r>
        <w:rPr>
          <w:rFonts w:hint="eastAsia" w:ascii="新宋体" w:hAnsi="新宋体" w:eastAsia="新宋体" w:cs="仿宋_GB2312"/>
          <w:b/>
          <w:color w:val="auto"/>
          <w:sz w:val="24"/>
          <w:szCs w:val="24"/>
          <w:highlight w:val="none"/>
          <w:lang w:val="zh-CN"/>
        </w:rPr>
        <w:t>.投标文件的数量</w:t>
      </w:r>
    </w:p>
    <w:p>
      <w:pPr>
        <w:autoSpaceDE w:val="0"/>
        <w:autoSpaceDN w:val="0"/>
        <w:spacing w:line="360" w:lineRule="auto"/>
        <w:rPr>
          <w:rFonts w:cs="宋体" w:asciiTheme="minorEastAsia" w:hAnsiTheme="minorEastAsia"/>
          <w:color w:val="auto"/>
          <w:kern w:val="0"/>
          <w:sz w:val="24"/>
          <w:szCs w:val="21"/>
          <w:highlight w:val="none"/>
        </w:rPr>
      </w:pPr>
      <w:r>
        <w:rPr>
          <w:rFonts w:hint="eastAsia" w:cs="宋体" w:asciiTheme="minorEastAsia" w:hAnsiTheme="minorEastAsia"/>
          <w:color w:val="auto"/>
          <w:kern w:val="0"/>
          <w:sz w:val="24"/>
          <w:szCs w:val="21"/>
          <w:highlight w:val="none"/>
        </w:rPr>
        <w:t>投标人应提交投标文件份数见“投标人须知前附表”。</w:t>
      </w:r>
    </w:p>
    <w:p>
      <w:pPr>
        <w:tabs>
          <w:tab w:val="left" w:pos="1260"/>
        </w:tabs>
        <w:autoSpaceDE w:val="0"/>
        <w:autoSpaceDN w:val="0"/>
        <w:adjustRightInd w:val="0"/>
        <w:spacing w:line="360" w:lineRule="auto"/>
        <w:rPr>
          <w:rFonts w:ascii="新宋体" w:hAnsi="新宋体" w:eastAsia="新宋体" w:cs="仿宋_GB2312"/>
          <w:b/>
          <w:color w:val="auto"/>
          <w:sz w:val="24"/>
          <w:szCs w:val="24"/>
          <w:highlight w:val="none"/>
        </w:rPr>
      </w:pPr>
      <w:r>
        <w:rPr>
          <w:rFonts w:hint="eastAsia" w:ascii="新宋体" w:hAnsi="新宋体" w:eastAsia="新宋体" w:cs="仿宋_GB2312"/>
          <w:b/>
          <w:color w:val="auto"/>
          <w:sz w:val="24"/>
          <w:szCs w:val="24"/>
          <w:highlight w:val="none"/>
        </w:rPr>
        <w:t>20．投标截止时间</w:t>
      </w:r>
    </w:p>
    <w:p>
      <w:pPr>
        <w:autoSpaceDE w:val="0"/>
        <w:autoSpaceDN w:val="0"/>
        <w:spacing w:line="360" w:lineRule="auto"/>
        <w:rPr>
          <w:rFonts w:cs="宋体" w:asciiTheme="minorEastAsia" w:hAnsiTheme="minorEastAsia"/>
          <w:color w:val="auto"/>
          <w:kern w:val="0"/>
          <w:sz w:val="24"/>
          <w:szCs w:val="21"/>
          <w:highlight w:val="none"/>
        </w:rPr>
      </w:pPr>
      <w:r>
        <w:rPr>
          <w:rFonts w:hint="eastAsia" w:cs="宋体" w:asciiTheme="minorEastAsia" w:hAnsiTheme="minorEastAsia"/>
          <w:color w:val="auto"/>
          <w:kern w:val="0"/>
          <w:sz w:val="24"/>
          <w:szCs w:val="21"/>
          <w:highlight w:val="none"/>
        </w:rPr>
        <w:t>投标人必须在“投标邀请”和“投标人须知前附表”中规定的投标截止时间前，将加密电子投标文件（.file格式）通过《全国公共资源交易平台(河南省</w:t>
      </w:r>
      <w:r>
        <w:rPr>
          <w:rFonts w:hint="eastAsia" w:ascii="MS Mincho" w:hAnsi="MS Mincho" w:eastAsia="MS Mincho" w:cs="MS Mincho"/>
          <w:color w:val="auto"/>
          <w:kern w:val="0"/>
          <w:sz w:val="24"/>
          <w:szCs w:val="21"/>
          <w:highlight w:val="none"/>
        </w:rPr>
        <w:t>▪</w:t>
      </w:r>
      <w:r>
        <w:rPr>
          <w:rFonts w:hint="eastAsia" w:cs="宋体" w:asciiTheme="minorEastAsia" w:hAnsiTheme="minorEastAsia"/>
          <w:color w:val="auto"/>
          <w:kern w:val="0"/>
          <w:sz w:val="24"/>
          <w:szCs w:val="21"/>
          <w:highlight w:val="none"/>
        </w:rPr>
        <w:t>许昌市)》公共资源交易系统成功上传。</w:t>
      </w:r>
    </w:p>
    <w:p>
      <w:pPr>
        <w:tabs>
          <w:tab w:val="left" w:pos="1260"/>
        </w:tabs>
        <w:autoSpaceDE w:val="0"/>
        <w:autoSpaceDN w:val="0"/>
        <w:adjustRightInd w:val="0"/>
        <w:spacing w:line="360" w:lineRule="auto"/>
        <w:rPr>
          <w:rFonts w:ascii="新宋体" w:hAnsi="新宋体" w:eastAsia="新宋体" w:cs="仿宋_GB2312"/>
          <w:b/>
          <w:color w:val="auto"/>
          <w:sz w:val="24"/>
          <w:szCs w:val="24"/>
          <w:highlight w:val="none"/>
        </w:rPr>
      </w:pPr>
      <w:r>
        <w:rPr>
          <w:rFonts w:hint="eastAsia" w:ascii="新宋体" w:hAnsi="新宋体" w:eastAsia="新宋体" w:cs="仿宋_GB2312"/>
          <w:b/>
          <w:color w:val="auto"/>
          <w:sz w:val="24"/>
          <w:szCs w:val="24"/>
          <w:highlight w:val="none"/>
        </w:rPr>
        <w:t>21. 迟交的投标文件</w:t>
      </w:r>
    </w:p>
    <w:p>
      <w:pPr>
        <w:tabs>
          <w:tab w:val="left" w:pos="1260"/>
        </w:tabs>
        <w:autoSpaceDE w:val="0"/>
        <w:autoSpaceDN w:val="0"/>
        <w:adjustRightInd w:val="0"/>
        <w:spacing w:line="360" w:lineRule="auto"/>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投标截止时间之后上传的投标文件，招标人将拒绝接收。</w:t>
      </w:r>
    </w:p>
    <w:p>
      <w:pPr>
        <w:tabs>
          <w:tab w:val="left" w:pos="1260"/>
        </w:tabs>
        <w:autoSpaceDE w:val="0"/>
        <w:autoSpaceDN w:val="0"/>
        <w:adjustRightInd w:val="0"/>
        <w:spacing w:line="360" w:lineRule="auto"/>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lang w:val="zh-CN"/>
        </w:rPr>
        <w:t>2</w:t>
      </w:r>
      <w:r>
        <w:rPr>
          <w:rFonts w:hint="eastAsia" w:ascii="新宋体" w:hAnsi="新宋体" w:eastAsia="新宋体" w:cs="仿宋_GB2312"/>
          <w:b/>
          <w:color w:val="auto"/>
          <w:sz w:val="24"/>
          <w:szCs w:val="24"/>
          <w:highlight w:val="none"/>
        </w:rPr>
        <w:t>2</w:t>
      </w:r>
      <w:r>
        <w:rPr>
          <w:rFonts w:hint="eastAsia" w:ascii="新宋体" w:hAnsi="新宋体" w:eastAsia="新宋体" w:cs="仿宋_GB2312"/>
          <w:b/>
          <w:color w:val="auto"/>
          <w:sz w:val="24"/>
          <w:szCs w:val="24"/>
          <w:highlight w:val="none"/>
          <w:lang w:val="zh-CN"/>
        </w:rPr>
        <w:t>. 投标文件的修改和撤回</w:t>
      </w:r>
    </w:p>
    <w:p>
      <w:pPr>
        <w:tabs>
          <w:tab w:val="left" w:pos="1260"/>
        </w:tabs>
        <w:adjustRightInd w:val="0"/>
        <w:spacing w:line="360" w:lineRule="auto"/>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lang w:val="zh-CN"/>
        </w:rPr>
        <w:t>2</w:t>
      </w:r>
      <w:r>
        <w:rPr>
          <w:rFonts w:hint="eastAsia" w:ascii="新宋体" w:hAnsi="新宋体" w:eastAsia="新宋体" w:cs="仿宋_GB2312"/>
          <w:color w:val="auto"/>
          <w:sz w:val="24"/>
          <w:szCs w:val="24"/>
          <w:highlight w:val="none"/>
        </w:rPr>
        <w:t>2</w:t>
      </w:r>
      <w:r>
        <w:rPr>
          <w:rFonts w:hint="eastAsia" w:ascii="新宋体" w:hAnsi="新宋体" w:eastAsia="新宋体" w:cs="仿宋_GB2312"/>
          <w:color w:val="auto"/>
          <w:sz w:val="24"/>
          <w:szCs w:val="24"/>
          <w:highlight w:val="none"/>
          <w:lang w:val="zh-CN"/>
        </w:rPr>
        <w:t>.1</w:t>
      </w:r>
      <w:r>
        <w:rPr>
          <w:rFonts w:hint="eastAsia" w:ascii="新宋体" w:hAnsi="新宋体" w:eastAsia="新宋体" w:cs="仿宋_GB2312"/>
          <w:color w:val="auto"/>
          <w:sz w:val="24"/>
          <w:szCs w:val="24"/>
          <w:highlight w:val="none"/>
        </w:rPr>
        <w:t>投标人在投标截止时间前，对投标文件进行补充、修改或者撤回的，须书面通知招标人。</w:t>
      </w:r>
    </w:p>
    <w:p>
      <w:pPr>
        <w:tabs>
          <w:tab w:val="left" w:pos="1260"/>
        </w:tabs>
        <w:autoSpaceDE w:val="0"/>
        <w:autoSpaceDN w:val="0"/>
        <w:adjustRightInd w:val="0"/>
        <w:spacing w:line="360" w:lineRule="auto"/>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投标人应当在投标截止时间前完成电子投标文件的提交，可以补充、修改或撤回。投标截止时间前未完成电子投标文件提交的，视为撤回投标文件。</w:t>
      </w:r>
    </w:p>
    <w:p>
      <w:pPr>
        <w:tabs>
          <w:tab w:val="left" w:pos="1260"/>
        </w:tabs>
        <w:adjustRightInd w:val="0"/>
        <w:spacing w:line="360" w:lineRule="auto"/>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22.2投标人补充、修改的内容并作为投标文件的组成部分。补充或修改应当按招标文件要求签署、盖章、提交，并应注明“修改”或“补充”字样。</w:t>
      </w:r>
    </w:p>
    <w:p>
      <w:pPr>
        <w:tabs>
          <w:tab w:val="left" w:pos="1260"/>
        </w:tabs>
        <w:adjustRightInd w:val="0"/>
        <w:spacing w:line="360" w:lineRule="auto"/>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22.3投标人在提交投标文件后，可以撤回其投标，但投标人必须在规定的投标截止时间前以书面形式告知招标人。</w:t>
      </w:r>
    </w:p>
    <w:p>
      <w:pPr>
        <w:tabs>
          <w:tab w:val="left" w:pos="1260"/>
        </w:tabs>
        <w:adjustRightInd w:val="0"/>
        <w:spacing w:line="360" w:lineRule="auto"/>
        <w:rPr>
          <w:rFonts w:ascii="新宋体" w:hAnsi="新宋体" w:eastAsia="新宋体" w:cs="仿宋_GB2312"/>
          <w:color w:val="auto"/>
          <w:sz w:val="24"/>
          <w:szCs w:val="24"/>
          <w:highlight w:val="none"/>
        </w:rPr>
      </w:pPr>
      <w:r>
        <w:rPr>
          <w:rFonts w:hint="eastAsia" w:ascii="新宋体" w:hAnsi="新宋体" w:eastAsia="新宋体" w:cs="仿宋_GB2312"/>
          <w:color w:val="auto"/>
          <w:sz w:val="24"/>
          <w:szCs w:val="24"/>
          <w:highlight w:val="none"/>
        </w:rPr>
        <w:t>22.4投标人不得在投标有效期内撤销投标文件，否则投标人将承担违背投标承诺函的责任追究。</w:t>
      </w:r>
    </w:p>
    <w:p>
      <w:pPr>
        <w:autoSpaceDE w:val="0"/>
        <w:autoSpaceDN w:val="0"/>
        <w:spacing w:line="360" w:lineRule="auto"/>
        <w:jc w:val="center"/>
        <w:rPr>
          <w:rFonts w:ascii="楷体" w:hAnsi="楷体" w:eastAsia="楷体" w:cs="宋体"/>
          <w:b/>
          <w:color w:val="auto"/>
          <w:kern w:val="0"/>
          <w:sz w:val="36"/>
          <w:szCs w:val="36"/>
          <w:highlight w:val="none"/>
        </w:rPr>
      </w:pPr>
      <w:r>
        <w:rPr>
          <w:rFonts w:hint="eastAsia" w:ascii="楷体" w:hAnsi="楷体" w:eastAsia="楷体" w:cs="宋体"/>
          <w:b/>
          <w:color w:val="auto"/>
          <w:kern w:val="0"/>
          <w:sz w:val="36"/>
          <w:szCs w:val="36"/>
          <w:highlight w:val="none"/>
        </w:rPr>
        <w:t>五、开标和评标</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3</w:t>
      </w:r>
      <w:r>
        <w:rPr>
          <w:rFonts w:hint="eastAsia" w:cs="仿宋_GB2312" w:asciiTheme="minorEastAsia" w:hAnsiTheme="minorEastAsia"/>
          <w:b/>
          <w:color w:val="auto"/>
          <w:sz w:val="24"/>
          <w:szCs w:val="24"/>
          <w:highlight w:val="none"/>
          <w:lang w:val="zh-CN"/>
        </w:rPr>
        <w:t>. 开标</w:t>
      </w:r>
    </w:p>
    <w:p>
      <w:pPr>
        <w:tabs>
          <w:tab w:val="left" w:pos="1260"/>
        </w:tabs>
        <w:adjustRightInd w:val="0"/>
        <w:spacing w:line="276" w:lineRule="auto"/>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23.1</w:t>
      </w:r>
      <w:r>
        <w:rPr>
          <w:rFonts w:hint="eastAsia" w:cs="仿宋_GB2312" w:asciiTheme="minorEastAsia" w:hAnsiTheme="minorEastAsia"/>
          <w:color w:val="auto"/>
          <w:sz w:val="24"/>
          <w:szCs w:val="24"/>
          <w:highlight w:val="none"/>
        </w:rPr>
        <w:t>招标人将按招标文件规定的时间和地点组织远程不见面开标。开标由代理机构主持，投标人无须到现场。评标委员会成员不得参加开标活动。</w:t>
      </w:r>
    </w:p>
    <w:p>
      <w:pPr>
        <w:tabs>
          <w:tab w:val="left" w:pos="1260"/>
        </w:tabs>
        <w:autoSpaceDE w:val="0"/>
        <w:autoSpaceDN w:val="0"/>
        <w:adjustRightInd w:val="0"/>
        <w:spacing w:line="276" w:lineRule="auto"/>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3</w:t>
      </w:r>
      <w:r>
        <w:rPr>
          <w:rFonts w:hint="eastAsia" w:cs="仿宋_GB2312" w:asciiTheme="minorEastAsia" w:hAnsiTheme="minorEastAsia"/>
          <w:color w:val="auto"/>
          <w:sz w:val="24"/>
          <w:szCs w:val="24"/>
          <w:highlight w:val="none"/>
          <w:lang w:val="zh-CN"/>
        </w:rPr>
        <w:t>.2 招标人应当对开标、评标现场活动进行全程录音录像。录音录像应当清晰可辨，音像资料作为采购文件一并存档。</w:t>
      </w:r>
    </w:p>
    <w:p>
      <w:pPr>
        <w:tabs>
          <w:tab w:val="left" w:pos="1260"/>
        </w:tabs>
        <w:spacing w:line="276" w:lineRule="auto"/>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23.3</w:t>
      </w:r>
      <w:r>
        <w:rPr>
          <w:rFonts w:hint="eastAsia" w:cs="仿宋_GB2312" w:asciiTheme="minorEastAsia" w:hAnsiTheme="minorEastAsia"/>
          <w:color w:val="auto"/>
          <w:sz w:val="24"/>
          <w:szCs w:val="24"/>
          <w:highlight w:val="none"/>
        </w:rPr>
        <w:t>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pPr>
        <w:tabs>
          <w:tab w:val="left" w:pos="1260"/>
        </w:tabs>
        <w:autoSpaceDE w:val="0"/>
        <w:autoSpaceDN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23.4</w:t>
      </w:r>
      <w:r>
        <w:rPr>
          <w:rFonts w:hint="eastAsia" w:cs="仿宋_GB2312" w:asciiTheme="minorEastAsia" w:hAnsiTheme="minorEastAsia"/>
          <w:color w:val="auto"/>
          <w:sz w:val="24"/>
          <w:szCs w:val="24"/>
          <w:highlight w:val="none"/>
          <w:lang w:val="zh-CN"/>
        </w:rPr>
        <w:t xml:space="preserve"> 电子投标文件的解密</w:t>
      </w:r>
    </w:p>
    <w:p>
      <w:pPr>
        <w:tabs>
          <w:tab w:val="left" w:pos="1260"/>
        </w:tabs>
        <w:autoSpaceDE w:val="0"/>
        <w:autoSpaceDN w:val="0"/>
        <w:spacing w:line="360" w:lineRule="auto"/>
        <w:ind w:firstLine="480" w:firstLineChars="200"/>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全流程电子化交易项目电子投标文件采用双重加密。解密需分标段进行两次解密。</w:t>
      </w:r>
    </w:p>
    <w:p>
      <w:pPr>
        <w:tabs>
          <w:tab w:val="left" w:pos="1260"/>
        </w:tabs>
        <w:autoSpaceDE w:val="0"/>
        <w:autoSpaceDN w:val="0"/>
        <w:spacing w:line="360" w:lineRule="auto"/>
        <w:ind w:firstLine="480" w:firstLineChars="200"/>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（1）投标人解密：</w:t>
      </w:r>
      <w:r>
        <w:rPr>
          <w:rFonts w:hint="eastAsia" w:cs="仿宋_GB2312" w:asciiTheme="minorEastAsia" w:hAnsiTheme="minorEastAsia"/>
          <w:color w:val="auto"/>
          <w:sz w:val="24"/>
          <w:szCs w:val="24"/>
          <w:highlight w:val="none"/>
        </w:rPr>
        <w:t>投标人解密：投标人使用本单位CA数字证书远程进行解密</w:t>
      </w:r>
      <w:r>
        <w:rPr>
          <w:rFonts w:hint="eastAsia" w:cs="仿宋_GB2312" w:asciiTheme="minorEastAsia" w:hAnsiTheme="minorEastAsia"/>
          <w:color w:val="auto"/>
          <w:sz w:val="24"/>
          <w:szCs w:val="24"/>
          <w:highlight w:val="none"/>
          <w:lang w:val="zh-CN"/>
        </w:rPr>
        <w:t>。</w:t>
      </w:r>
    </w:p>
    <w:p>
      <w:pPr>
        <w:tabs>
          <w:tab w:val="left" w:pos="1260"/>
        </w:tabs>
        <w:autoSpaceDE w:val="0"/>
        <w:autoSpaceDN w:val="0"/>
        <w:spacing w:line="360" w:lineRule="auto"/>
        <w:ind w:firstLine="480" w:firstLineChars="200"/>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（2）代理机构解密：代理机构按电子投标文件到达交易系统的先后顺序，使用代理机构CA数字证书进行再次解密。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23.5 电子投标文件解密异常情况处理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因投标人原因电子投标文件解密失败的，其投标将被拒绝。</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23.6 投标人不足3家的，不得开标。</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23.7开标过程由采购代理机构负责记录，《开标记录表》经投标人进行电子签章、由参加开标相关工作人员签字确认后随采购文件一并存档。投标人未电子签章的，视同认可开标结果。</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23.8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23.9 投标人未参加开标的，视同认可开标结果。</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4</w:t>
      </w:r>
      <w:r>
        <w:rPr>
          <w:rFonts w:hint="eastAsia" w:cs="仿宋_GB2312" w:asciiTheme="minorEastAsia" w:hAnsiTheme="minorEastAsia"/>
          <w:b/>
          <w:color w:val="auto"/>
          <w:sz w:val="24"/>
          <w:szCs w:val="24"/>
          <w:highlight w:val="none"/>
          <w:lang w:val="zh-CN"/>
        </w:rPr>
        <w:t>. 资格审查</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asciiTheme="minorEastAsia" w:hAnsiTheme="minorEastAsia"/>
          <w:bCs/>
          <w:color w:val="auto"/>
          <w:sz w:val="24"/>
          <w:szCs w:val="24"/>
          <w:highlight w:val="none"/>
        </w:rPr>
        <w:t>开标结束后，采购人依法对投标人的资格进行审查。</w:t>
      </w:r>
      <w:r>
        <w:rPr>
          <w:rFonts w:hint="eastAsia" w:cs="仿宋_GB2312" w:asciiTheme="minorEastAsia" w:hAnsiTheme="minorEastAsia"/>
          <w:color w:val="auto"/>
          <w:sz w:val="24"/>
          <w:szCs w:val="24"/>
          <w:highlight w:val="none"/>
          <w:lang w:val="zh-CN"/>
        </w:rPr>
        <w:t>合格投标人不足3家的，不得评标。</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5</w:t>
      </w:r>
      <w:r>
        <w:rPr>
          <w:rFonts w:hint="eastAsia" w:cs="仿宋_GB2312" w:asciiTheme="minorEastAsia" w:hAnsiTheme="minorEastAsia"/>
          <w:b/>
          <w:color w:val="auto"/>
          <w:sz w:val="24"/>
          <w:szCs w:val="24"/>
          <w:highlight w:val="none"/>
          <w:lang w:val="zh-CN"/>
        </w:rPr>
        <w:t>.评标委员会的组成</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.1 招标人将依法组建评标委员会，评标委员会由采购人代表和评审专家组成.评标委员会成员人数确定方式见投标人须知前附表。</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.2 评审专家对本单位的采购项目只能作为采购人代表参与评标。采购代理机构工作人员不得参加由本机构代理的政府采购项目的评标。</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.3评标委员会成员有下列情形之一的，应当回避：</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（1）采购人或供应商的主要负责人的近亲属；</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（2）项目主管部门或者行政监督部门的人员；</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（3）与投标人有经济利益关系，可能影响对投标公正评审的；</w:t>
      </w:r>
    </w:p>
    <w:p>
      <w:pPr>
        <w:tabs>
          <w:tab w:val="left" w:pos="1260"/>
        </w:tabs>
        <w:autoSpaceDE w:val="0"/>
        <w:autoSpaceDN w:val="0"/>
        <w:adjustRightInd w:val="0"/>
        <w:spacing w:line="360" w:lineRule="auto"/>
        <w:jc w:val="left"/>
        <w:rPr>
          <w:rFonts w:ascii="宋体" w:hAnsi="宋体" w:cs="仿宋_GB2312"/>
          <w:color w:val="auto"/>
          <w:kern w:val="0"/>
          <w:szCs w:val="21"/>
          <w:highlight w:val="none"/>
        </w:rPr>
      </w:pPr>
      <w:r>
        <w:rPr>
          <w:rFonts w:hint="eastAsia" w:cs="仿宋_GB2312" w:asciiTheme="minorEastAsia" w:hAnsiTheme="minorEastAsia"/>
          <w:color w:val="auto"/>
          <w:sz w:val="24"/>
          <w:szCs w:val="24"/>
          <w:highlight w:val="none"/>
          <w:lang w:val="zh-CN"/>
        </w:rPr>
        <w:t>（4）曾因在招标、评标以及其他与招标投标有关活动中从事违法行为而受过行政处罚或</w:t>
      </w:r>
      <w:r>
        <w:rPr>
          <w:rFonts w:hint="eastAsia" w:ascii="宋体" w:hAnsi="宋体" w:cs="仿宋_GB2312"/>
          <w:color w:val="auto"/>
          <w:kern w:val="0"/>
          <w:szCs w:val="21"/>
          <w:highlight w:val="none"/>
        </w:rPr>
        <w:t>刑事处罚的。</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.4 评审专家发现本人与参加采购活动的供应商有利害关系的,应当主动提出回避。采购人或者代理机构发现评审专家与参加采购活动的供应商有利害关系的,应当要求其回避。</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.5 采购人不得担任评标小组长。</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.6 评标委员会成员名单在评标结果公告前应当保密。</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6</w:t>
      </w:r>
      <w:r>
        <w:rPr>
          <w:rFonts w:hint="eastAsia" w:cs="仿宋_GB2312" w:asciiTheme="minorEastAsia" w:hAnsiTheme="minorEastAsia"/>
          <w:b/>
          <w:color w:val="auto"/>
          <w:sz w:val="24"/>
          <w:szCs w:val="24"/>
          <w:highlight w:val="none"/>
          <w:lang w:val="zh-CN"/>
        </w:rPr>
        <w:t>. 符合性审查</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6</w:t>
      </w:r>
      <w:r>
        <w:rPr>
          <w:rFonts w:hint="eastAsia" w:cs="仿宋_GB2312" w:asciiTheme="minorEastAsia" w:hAnsiTheme="minorEastAsia"/>
          <w:color w:val="auto"/>
          <w:sz w:val="24"/>
          <w:szCs w:val="24"/>
          <w:highlight w:val="none"/>
          <w:lang w:val="zh-CN"/>
        </w:rPr>
        <w:t>.1</w:t>
      </w:r>
      <w:r>
        <w:rPr>
          <w:rFonts w:hint="eastAsia" w:ascii="宋体" w:cs="宋体"/>
          <w:color w:val="auto"/>
          <w:sz w:val="24"/>
          <w:highlight w:val="none"/>
          <w:lang w:val="zh-CN"/>
        </w:rPr>
        <w:t>评标委员会应当对符合资格的投标人的投标文件进行符合性审查，以确定其是否满足招标文件的实质性要求。</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6</w:t>
      </w:r>
      <w:r>
        <w:rPr>
          <w:rFonts w:hint="eastAsia" w:cs="仿宋_GB2312" w:asciiTheme="minorEastAsia" w:hAnsiTheme="minorEastAsia"/>
          <w:color w:val="auto"/>
          <w:sz w:val="24"/>
          <w:szCs w:val="24"/>
          <w:highlight w:val="none"/>
          <w:lang w:val="zh-CN"/>
        </w:rPr>
        <w:t>.2</w:t>
      </w:r>
      <w:r>
        <w:rPr>
          <w:rFonts w:hint="eastAsia" w:ascii="宋体" w:cs="宋体"/>
          <w:color w:val="auto"/>
          <w:sz w:val="24"/>
          <w:highlight w:val="none"/>
          <w:lang w:val="zh-CN"/>
        </w:rPr>
        <w:t>评标委员会将拒绝被确定为非实质性响应的投标，投标人不能通过修正或撤销不符之处而使投标成为实质性响应的投标。</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2</w:t>
      </w:r>
      <w:r>
        <w:rPr>
          <w:rFonts w:hint="eastAsia" w:ascii="宋体" w:cs="宋体"/>
          <w:color w:val="auto"/>
          <w:sz w:val="24"/>
          <w:highlight w:val="none"/>
        </w:rPr>
        <w:t>6</w:t>
      </w:r>
      <w:r>
        <w:rPr>
          <w:rFonts w:hint="eastAsia" w:ascii="宋体" w:cs="宋体"/>
          <w:color w:val="auto"/>
          <w:sz w:val="24"/>
          <w:highlight w:val="none"/>
          <w:lang w:val="zh-CN"/>
        </w:rPr>
        <w:t>.3.对投标文件的评估和比较</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评标委员会将对实质性响应的投标文件进行比较和评价。</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2</w:t>
      </w:r>
      <w:r>
        <w:rPr>
          <w:rFonts w:hint="eastAsia" w:cs="仿宋_GB2312" w:asciiTheme="minorEastAsia" w:hAnsiTheme="minorEastAsia"/>
          <w:b/>
          <w:color w:val="auto"/>
          <w:sz w:val="24"/>
          <w:szCs w:val="24"/>
          <w:highlight w:val="none"/>
        </w:rPr>
        <w:t>7</w:t>
      </w:r>
      <w:r>
        <w:rPr>
          <w:rFonts w:hint="eastAsia" w:cs="仿宋_GB2312" w:asciiTheme="minorEastAsia" w:hAnsiTheme="minorEastAsia"/>
          <w:b/>
          <w:color w:val="auto"/>
          <w:sz w:val="24"/>
          <w:szCs w:val="24"/>
          <w:highlight w:val="none"/>
          <w:lang w:val="zh-CN"/>
        </w:rPr>
        <w:t>. 投标文件的澄清</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7</w:t>
      </w:r>
      <w:r>
        <w:rPr>
          <w:rFonts w:hint="eastAsia" w:cs="仿宋_GB2312" w:asciiTheme="minorEastAsia" w:hAnsiTheme="minorEastAsia"/>
          <w:color w:val="auto"/>
          <w:sz w:val="24"/>
          <w:szCs w:val="24"/>
          <w:highlight w:val="none"/>
          <w:lang w:val="zh-CN"/>
        </w:rPr>
        <w:t>.1 对于投标文件中含义不明确、同类问题表述不一致或者有明显文字和计算错误的内容，评标委员会应当以书面形式要求投标人作出必要的澄清、说明或者补正。</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7</w:t>
      </w:r>
      <w:r>
        <w:rPr>
          <w:rFonts w:hint="eastAsia" w:cs="仿宋_GB2312" w:asciiTheme="minorEastAsia" w:hAnsiTheme="minorEastAsia"/>
          <w:color w:val="auto"/>
          <w:sz w:val="24"/>
          <w:szCs w:val="24"/>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w:t>
      </w:r>
      <w:r>
        <w:rPr>
          <w:rFonts w:hint="eastAsia" w:cs="仿宋_GB2312" w:asciiTheme="minorEastAsia" w:hAnsiTheme="minorEastAsia"/>
          <w:color w:val="auto"/>
          <w:sz w:val="24"/>
          <w:szCs w:val="24"/>
          <w:highlight w:val="none"/>
        </w:rPr>
        <w:t>7</w:t>
      </w:r>
      <w:r>
        <w:rPr>
          <w:rFonts w:hint="eastAsia" w:cs="仿宋_GB2312" w:asciiTheme="minorEastAsia" w:hAnsiTheme="minorEastAsia"/>
          <w:color w:val="auto"/>
          <w:sz w:val="24"/>
          <w:szCs w:val="24"/>
          <w:highlight w:val="none"/>
          <w:lang w:val="zh-CN"/>
        </w:rPr>
        <w:t>.3 投标人的澄清文件是其投标文件的组成部分。</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ascii="宋体" w:cs="宋体"/>
          <w:b/>
          <w:bCs/>
          <w:color w:val="auto"/>
          <w:sz w:val="24"/>
          <w:highlight w:val="none"/>
          <w:lang w:val="zh-CN"/>
        </w:rPr>
        <w:t>2</w:t>
      </w:r>
      <w:r>
        <w:rPr>
          <w:rFonts w:hint="eastAsia" w:ascii="宋体" w:cs="宋体"/>
          <w:b/>
          <w:bCs/>
          <w:color w:val="auto"/>
          <w:sz w:val="24"/>
          <w:highlight w:val="none"/>
        </w:rPr>
        <w:t>8</w:t>
      </w:r>
      <w:r>
        <w:rPr>
          <w:rFonts w:hint="eastAsia" w:ascii="宋体" w:cs="宋体"/>
          <w:b/>
          <w:bCs/>
          <w:color w:val="auto"/>
          <w:sz w:val="24"/>
          <w:highlight w:val="none"/>
          <w:lang w:val="zh-CN"/>
        </w:rPr>
        <w:t>.评标委员会判断投标文件的响应性仅基于投标文件本身而不依靠外部证据。</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rPr>
        <w:t>29</w:t>
      </w:r>
      <w:r>
        <w:rPr>
          <w:rFonts w:hint="eastAsia" w:cs="仿宋_GB2312" w:asciiTheme="minorEastAsia" w:hAnsiTheme="minorEastAsia"/>
          <w:b/>
          <w:color w:val="auto"/>
          <w:sz w:val="24"/>
          <w:szCs w:val="24"/>
          <w:highlight w:val="none"/>
          <w:lang w:val="zh-CN"/>
        </w:rPr>
        <w:t>. 投标文件报价出现前后不一致的修正</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.1 投标文件中开标一览表(报价表)内容与投标文件中相应内容不一致的，以开标一览表(报价表)为准；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.2 大写金额和小写金额不一致的，以大写金额为准；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.3 单价金额小数点或者百分比有明显错位的，以开标一览表的总价为准，并修改单价；</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29</w:t>
      </w:r>
      <w:r>
        <w:rPr>
          <w:rFonts w:hint="eastAsia" w:cs="仿宋_GB2312" w:asciiTheme="minorEastAsia" w:hAnsiTheme="minorEastAsia"/>
          <w:color w:val="auto"/>
          <w:sz w:val="24"/>
          <w:szCs w:val="24"/>
          <w:highlight w:val="none"/>
          <w:lang w:val="zh-CN"/>
        </w:rPr>
        <w:t>.4 总价金额与按单价汇总金额不一致的，以单价金额计算结果为准。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同时出现两种以上不一致的，按照前款规定的顺序修正。修正后的报价按照《投标人须知》2</w:t>
      </w:r>
      <w:r>
        <w:rPr>
          <w:rFonts w:hint="eastAsia" w:cs="仿宋_GB2312" w:asciiTheme="minorEastAsia" w:hAnsiTheme="minorEastAsia"/>
          <w:color w:val="auto"/>
          <w:sz w:val="24"/>
          <w:szCs w:val="24"/>
          <w:highlight w:val="none"/>
        </w:rPr>
        <w:t>8</w:t>
      </w:r>
      <w:r>
        <w:rPr>
          <w:rFonts w:hint="eastAsia" w:cs="仿宋_GB2312" w:asciiTheme="minorEastAsia" w:hAnsiTheme="minorEastAsia"/>
          <w:color w:val="auto"/>
          <w:sz w:val="24"/>
          <w:szCs w:val="24"/>
          <w:highlight w:val="none"/>
          <w:lang w:val="zh-CN"/>
        </w:rPr>
        <w:t>.2规定经投标人确认后产生约束力，投标人不确认的，其投标无效。</w:t>
      </w:r>
    </w:p>
    <w:p>
      <w:pPr>
        <w:autoSpaceDE w:val="0"/>
        <w:autoSpaceDN w:val="0"/>
        <w:adjustRightInd w:val="0"/>
        <w:spacing w:line="360" w:lineRule="auto"/>
        <w:jc w:val="left"/>
        <w:outlineLvl w:val="3"/>
        <w:rPr>
          <w:rFonts w:ascii="黑体" w:hAnsi="新宋体" w:eastAsia="黑体" w:cs="宋体"/>
          <w:color w:val="auto"/>
          <w:kern w:val="0"/>
          <w:sz w:val="24"/>
          <w:szCs w:val="24"/>
          <w:highlight w:val="none"/>
        </w:rPr>
      </w:pPr>
      <w:r>
        <w:rPr>
          <w:rFonts w:hint="eastAsia" w:cs="仿宋_GB2312" w:asciiTheme="minorEastAsia" w:hAnsiTheme="minorEastAsia"/>
          <w:b/>
          <w:color w:val="auto"/>
          <w:sz w:val="24"/>
          <w:szCs w:val="24"/>
          <w:highlight w:val="none"/>
          <w:lang w:val="zh-CN"/>
        </w:rPr>
        <w:t>30.</w:t>
      </w:r>
      <w:r>
        <w:rPr>
          <w:rFonts w:hint="eastAsia" w:ascii="黑体" w:hAnsi="新宋体" w:eastAsia="黑体" w:cs="宋体"/>
          <w:b/>
          <w:bCs/>
          <w:color w:val="auto"/>
          <w:kern w:val="0"/>
          <w:sz w:val="24"/>
          <w:szCs w:val="24"/>
          <w:highlight w:val="none"/>
        </w:rPr>
        <w:t>评标原则</w:t>
      </w:r>
    </w:p>
    <w:p>
      <w:pPr>
        <w:autoSpaceDE w:val="0"/>
        <w:autoSpaceDN w:val="0"/>
        <w:adjustRightInd w:val="0"/>
        <w:spacing w:line="360" w:lineRule="auto"/>
        <w:jc w:val="lef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评标活动遵循公开、公平、公正的原则。</w:t>
      </w:r>
    </w:p>
    <w:p>
      <w:pPr>
        <w:spacing w:line="360" w:lineRule="auto"/>
        <w:ind w:left="5421" w:hanging="5421" w:hangingChars="2250"/>
        <w:jc w:val="left"/>
        <w:rPr>
          <w:b/>
          <w:color w:val="auto"/>
          <w:sz w:val="24"/>
          <w:szCs w:val="24"/>
          <w:highlight w:val="none"/>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1</w:t>
      </w:r>
      <w:r>
        <w:rPr>
          <w:rFonts w:hint="eastAsia" w:cs="仿宋_GB2312" w:asciiTheme="minorEastAsia" w:hAnsiTheme="minorEastAsia"/>
          <w:b/>
          <w:color w:val="auto"/>
          <w:sz w:val="24"/>
          <w:szCs w:val="24"/>
          <w:highlight w:val="none"/>
          <w:lang w:val="zh-CN"/>
        </w:rPr>
        <w:t>.评标方法及评标标准（见</w:t>
      </w:r>
      <w:r>
        <w:rPr>
          <w:rFonts w:hint="eastAsia"/>
          <w:b/>
          <w:color w:val="auto"/>
          <w:sz w:val="24"/>
          <w:szCs w:val="24"/>
          <w:highlight w:val="none"/>
        </w:rPr>
        <w:t>第五章资格审查、评标方法及评标标准）</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2</w:t>
      </w:r>
      <w:r>
        <w:rPr>
          <w:rFonts w:hint="eastAsia" w:cs="仿宋_GB2312" w:asciiTheme="minorEastAsia" w:hAnsiTheme="minorEastAsia"/>
          <w:b/>
          <w:color w:val="auto"/>
          <w:sz w:val="24"/>
          <w:szCs w:val="24"/>
          <w:highlight w:val="none"/>
          <w:lang w:val="zh-CN"/>
        </w:rPr>
        <w:t>.评审意见无效情形</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评标委员会及其成员有下列行为之一的，其评审意见无效：</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.1 确定参与评标至评标结束前私自接触投标人；</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.2 接受投标人提出的与投标文件不一致的澄清或者说明，《投标人须知》2</w:t>
      </w:r>
      <w:r>
        <w:rPr>
          <w:rFonts w:hint="eastAsia" w:cs="仿宋_GB2312" w:asciiTheme="minorEastAsia" w:hAnsiTheme="minorEastAsia"/>
          <w:color w:val="auto"/>
          <w:sz w:val="24"/>
          <w:szCs w:val="24"/>
          <w:highlight w:val="none"/>
        </w:rPr>
        <w:t>8</w:t>
      </w:r>
      <w:r>
        <w:rPr>
          <w:rFonts w:hint="eastAsia" w:cs="仿宋_GB2312" w:asciiTheme="minorEastAsia" w:hAnsiTheme="minorEastAsia"/>
          <w:color w:val="auto"/>
          <w:sz w:val="24"/>
          <w:szCs w:val="24"/>
          <w:highlight w:val="none"/>
          <w:lang w:val="zh-CN"/>
        </w:rPr>
        <w:t>条规定的情形除外；</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.3 违反评标纪律发表倾向性意见或者征询采购人的倾向性意见；</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.4 对需要专业判断的主观评审因素协商评分；</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32.5 在评标过程中擅离职守，影响评标程序正常进行的；</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.6 记录、复制或者带走任何评标资料；</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.7 其他不遵守评标纪律的行为。</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3</w:t>
      </w:r>
      <w:r>
        <w:rPr>
          <w:rFonts w:hint="eastAsia" w:cs="仿宋_GB2312" w:asciiTheme="minorEastAsia" w:hAnsiTheme="minorEastAsia"/>
          <w:b/>
          <w:color w:val="auto"/>
          <w:sz w:val="24"/>
          <w:szCs w:val="24"/>
          <w:highlight w:val="none"/>
          <w:lang w:val="zh-CN"/>
        </w:rPr>
        <w:t>. 保密</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33.1有关投标文件的审查、澄清、评估和比较以及有关授予合同的意向的一切情况都不得透露给任一投标人或与上述评标工作无关的人员。</w:t>
      </w:r>
    </w:p>
    <w:p>
      <w:pPr>
        <w:wordWrap w:val="0"/>
        <w:topLinePunct/>
        <w:autoSpaceDE w:val="0"/>
        <w:autoSpaceDN w:val="0"/>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33.2投标人不得干扰招标人的评标活动，否则将废除其投标。</w:t>
      </w:r>
    </w:p>
    <w:p>
      <w:pPr>
        <w:rPr>
          <w:color w:val="auto"/>
          <w:highlight w:val="none"/>
        </w:rPr>
      </w:pPr>
    </w:p>
    <w:p>
      <w:pPr>
        <w:tabs>
          <w:tab w:val="left" w:pos="1260"/>
        </w:tabs>
        <w:autoSpaceDE w:val="0"/>
        <w:autoSpaceDN w:val="0"/>
        <w:adjustRightInd w:val="0"/>
        <w:spacing w:line="360" w:lineRule="auto"/>
        <w:rPr>
          <w:rFonts w:ascii="楷体" w:hAnsi="楷体" w:eastAsia="楷体" w:cs="宋体"/>
          <w:b/>
          <w:color w:val="auto"/>
          <w:kern w:val="0"/>
          <w:sz w:val="24"/>
          <w:szCs w:val="24"/>
          <w:highlight w:val="none"/>
        </w:rPr>
      </w:pPr>
    </w:p>
    <w:p>
      <w:pPr>
        <w:autoSpaceDE w:val="0"/>
        <w:autoSpaceDN w:val="0"/>
        <w:spacing w:line="360" w:lineRule="auto"/>
        <w:jc w:val="center"/>
        <w:rPr>
          <w:rFonts w:ascii="楷体" w:hAnsi="楷体" w:eastAsia="楷体" w:cs="宋体"/>
          <w:b/>
          <w:color w:val="auto"/>
          <w:kern w:val="0"/>
          <w:sz w:val="36"/>
          <w:szCs w:val="36"/>
          <w:highlight w:val="none"/>
        </w:rPr>
      </w:pPr>
      <w:r>
        <w:rPr>
          <w:rFonts w:hint="eastAsia" w:ascii="楷体" w:hAnsi="楷体" w:eastAsia="楷体" w:cs="宋体"/>
          <w:b/>
          <w:color w:val="auto"/>
          <w:kern w:val="0"/>
          <w:sz w:val="36"/>
          <w:szCs w:val="36"/>
          <w:highlight w:val="none"/>
        </w:rPr>
        <w:t>六、定标和授予合同</w:t>
      </w:r>
    </w:p>
    <w:p>
      <w:pPr>
        <w:tabs>
          <w:tab w:val="left" w:pos="1260"/>
        </w:tabs>
        <w:autoSpaceDE w:val="0"/>
        <w:autoSpaceDN w:val="0"/>
        <w:adjustRightInd w:val="0"/>
        <w:spacing w:line="360" w:lineRule="auto"/>
        <w:rPr>
          <w:rFonts w:ascii="新宋体" w:hAnsi="新宋体" w:eastAsia="新宋体" w:cs="仿宋_GB2312"/>
          <w:b/>
          <w:color w:val="auto"/>
          <w:sz w:val="24"/>
          <w:szCs w:val="24"/>
          <w:highlight w:val="none"/>
          <w:lang w:val="zh-CN"/>
        </w:rPr>
      </w:pPr>
      <w:r>
        <w:rPr>
          <w:rFonts w:hint="eastAsia" w:ascii="新宋体" w:hAnsi="新宋体" w:eastAsia="新宋体" w:cs="仿宋_GB2312"/>
          <w:b/>
          <w:color w:val="auto"/>
          <w:sz w:val="24"/>
          <w:szCs w:val="24"/>
          <w:highlight w:val="none"/>
          <w:lang w:val="zh-CN"/>
        </w:rPr>
        <w:t>3</w:t>
      </w:r>
      <w:r>
        <w:rPr>
          <w:rFonts w:hint="eastAsia" w:ascii="新宋体" w:hAnsi="新宋体" w:eastAsia="新宋体" w:cs="仿宋_GB2312"/>
          <w:b/>
          <w:color w:val="auto"/>
          <w:sz w:val="24"/>
          <w:szCs w:val="24"/>
          <w:highlight w:val="none"/>
        </w:rPr>
        <w:t>4</w:t>
      </w:r>
      <w:r>
        <w:rPr>
          <w:rFonts w:hint="eastAsia" w:ascii="新宋体" w:hAnsi="新宋体" w:eastAsia="新宋体" w:cs="仿宋_GB2312"/>
          <w:b/>
          <w:color w:val="auto"/>
          <w:sz w:val="24"/>
          <w:szCs w:val="24"/>
          <w:highlight w:val="none"/>
          <w:lang w:val="zh-CN"/>
        </w:rPr>
        <w:t>. 确定中标人</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4</w:t>
      </w:r>
      <w:r>
        <w:rPr>
          <w:rFonts w:hint="eastAsia" w:cs="仿宋_GB2312" w:asciiTheme="minorEastAsia" w:hAnsiTheme="minorEastAsia"/>
          <w:color w:val="auto"/>
          <w:sz w:val="24"/>
          <w:szCs w:val="24"/>
          <w:highlight w:val="none"/>
          <w:lang w:val="zh-CN"/>
        </w:rPr>
        <w:t>.1 采购人应当自收到评标报告之日起</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个工作日内，在评标报告确定的中标候选人名单中按顺序确定中标人。中标候选人并列的，由采购人采取随机抽取的方式确定。</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4</w:t>
      </w:r>
      <w:r>
        <w:rPr>
          <w:rFonts w:hint="eastAsia" w:cs="仿宋_GB2312" w:asciiTheme="minorEastAsia" w:hAnsiTheme="minorEastAsia"/>
          <w:color w:val="auto"/>
          <w:sz w:val="24"/>
          <w:szCs w:val="24"/>
          <w:highlight w:val="none"/>
          <w:lang w:val="zh-CN"/>
        </w:rPr>
        <w:t xml:space="preserve">.2 采购人在收到评标报告5个工作日内未按评标报告推荐的中标候选人顺序确定中标人，又不能说明合法理由的，视同按评标报告推荐的顺序确定排名第一的中标候选人为中标人。  </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3</w:t>
      </w:r>
      <w:r>
        <w:rPr>
          <w:rFonts w:hint="eastAsia" w:cs="仿宋_GB2312" w:asciiTheme="minorEastAsia" w:hAnsiTheme="minorEastAsia"/>
          <w:b/>
          <w:color w:val="auto"/>
          <w:sz w:val="24"/>
          <w:szCs w:val="24"/>
          <w:highlight w:val="none"/>
        </w:rPr>
        <w:t>5</w:t>
      </w:r>
      <w:r>
        <w:rPr>
          <w:rFonts w:hint="eastAsia" w:cs="仿宋_GB2312" w:asciiTheme="minorEastAsia" w:hAnsiTheme="minorEastAsia"/>
          <w:b/>
          <w:color w:val="auto"/>
          <w:sz w:val="24"/>
          <w:szCs w:val="24"/>
          <w:highlight w:val="none"/>
          <w:lang w:val="zh-CN"/>
        </w:rPr>
        <w:t>. 中标公告、发出中标通知书</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.1 采购人确认中标人后，招标人在公告中标结果的同时，向中标人发出中标通知书。</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w:t>
      </w: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.2 中标通知书发出后，采购人不得违法改变中标结果，中标人无正当理由不得放弃中标。</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rPr>
        <w:t>36.</w:t>
      </w:r>
      <w:r>
        <w:rPr>
          <w:rFonts w:hint="eastAsia" w:cs="仿宋_GB2312" w:asciiTheme="minorEastAsia" w:hAnsiTheme="minorEastAsia"/>
          <w:b/>
          <w:color w:val="auto"/>
          <w:sz w:val="24"/>
          <w:szCs w:val="24"/>
          <w:highlight w:val="none"/>
          <w:lang w:val="zh-CN"/>
        </w:rPr>
        <w:t>质疑</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36.1 供应商认为采购文件、采购过程和中标、成交结果使自己的权益受到损害的，可以在知道或者应知其权益受到损害之日起七个工作日内，以书面形式向采购人提出质疑。</w:t>
      </w:r>
    </w:p>
    <w:p>
      <w:pPr>
        <w:tabs>
          <w:tab w:val="left" w:pos="1260"/>
        </w:tabs>
        <w:autoSpaceDE w:val="0"/>
        <w:autoSpaceDN w:val="0"/>
        <w:adjustRightInd w:val="0"/>
        <w:spacing w:line="360" w:lineRule="auto"/>
        <w:rPr>
          <w:rFonts w:cs="仿宋_GB2312" w:asciiTheme="minorEastAsia" w:hAnsiTheme="minorEastAsia"/>
          <w:b/>
          <w:bCs/>
          <w:color w:val="auto"/>
          <w:sz w:val="24"/>
          <w:szCs w:val="24"/>
          <w:highlight w:val="none"/>
        </w:rPr>
      </w:pPr>
      <w:r>
        <w:rPr>
          <w:rFonts w:hint="eastAsia" w:cs="仿宋_GB2312" w:asciiTheme="minorEastAsia" w:hAnsiTheme="minorEastAsia"/>
          <w:color w:val="auto"/>
          <w:sz w:val="24"/>
          <w:szCs w:val="24"/>
          <w:highlight w:val="none"/>
        </w:rPr>
        <w:t>36.2 供应商应知其权益受到损害之日，是指：</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color w:val="auto"/>
          <w:sz w:val="24"/>
          <w:szCs w:val="24"/>
          <w:highlight w:val="none"/>
        </w:rPr>
        <w:t>36.2.1 对可以质疑的采购文件提出质疑的，为收到采购文件之日或者采购文件公告期限届满之日；</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color w:val="auto"/>
          <w:sz w:val="24"/>
          <w:szCs w:val="24"/>
          <w:highlight w:val="none"/>
        </w:rPr>
        <w:t>36.2.2 对采购过程提出质疑的，为各采购程序环节结束之日；</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color w:val="auto"/>
          <w:sz w:val="24"/>
          <w:szCs w:val="24"/>
          <w:highlight w:val="none"/>
        </w:rPr>
        <w:t>36.2.3 对中标或者成交结果提出质疑的，为中标或者成交结果公告期限届满之日。</w:t>
      </w:r>
      <w:r>
        <w:rPr>
          <w:rFonts w:hint="eastAsia" w:cs="仿宋_GB2312" w:asciiTheme="minorEastAsia" w:hAnsiTheme="minorEastAsia"/>
          <w:color w:val="auto"/>
          <w:sz w:val="24"/>
          <w:szCs w:val="24"/>
          <w:highlight w:val="none"/>
        </w:rPr>
        <w:br w:type="textWrapping"/>
      </w:r>
      <w:r>
        <w:rPr>
          <w:rFonts w:hint="eastAsia" w:cs="仿宋_GB2312" w:asciiTheme="minorEastAsia" w:hAnsiTheme="minorEastAsia"/>
          <w:b/>
          <w:bCs/>
          <w:color w:val="auto"/>
          <w:sz w:val="24"/>
          <w:szCs w:val="24"/>
          <w:highlight w:val="none"/>
        </w:rPr>
        <w:t>37.档案保存</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招标人及其代理机构需留存项目电子档案时，可在质疑期满后使用CA锁从交易平台自行下载。</w:t>
      </w:r>
    </w:p>
    <w:p>
      <w:pPr>
        <w:tabs>
          <w:tab w:val="left" w:pos="1260"/>
        </w:tabs>
        <w:autoSpaceDE w:val="0"/>
        <w:autoSpaceDN w:val="0"/>
        <w:adjustRightInd w:val="0"/>
        <w:spacing w:line="360" w:lineRule="auto"/>
        <w:rPr>
          <w:rFonts w:cs="仿宋_GB2312" w:asciiTheme="minorEastAsia" w:hAnsiTheme="minorEastAsia"/>
          <w:b/>
          <w:color w:val="auto"/>
          <w:sz w:val="24"/>
          <w:szCs w:val="24"/>
          <w:highlight w:val="none"/>
        </w:rPr>
      </w:pPr>
      <w:r>
        <w:rPr>
          <w:rFonts w:hint="eastAsia" w:cs="仿宋_GB2312" w:asciiTheme="minorEastAsia" w:hAnsiTheme="minorEastAsia"/>
          <w:b/>
          <w:color w:val="auto"/>
          <w:sz w:val="24"/>
          <w:szCs w:val="24"/>
          <w:highlight w:val="none"/>
        </w:rPr>
        <w:t>38.</w:t>
      </w:r>
      <w:r>
        <w:rPr>
          <w:rFonts w:hint="eastAsia" w:cs="仿宋_GB2312" w:asciiTheme="minorEastAsia" w:hAnsiTheme="minorEastAsia"/>
          <w:b/>
          <w:color w:val="auto"/>
          <w:sz w:val="24"/>
          <w:szCs w:val="24"/>
          <w:highlight w:val="none"/>
          <w:lang w:val="zh-CN"/>
        </w:rPr>
        <w:t>签订合同</w:t>
      </w:r>
    </w:p>
    <w:p>
      <w:pPr>
        <w:tabs>
          <w:tab w:val="left" w:pos="1260"/>
        </w:tabs>
        <w:autoSpaceDE w:val="0"/>
        <w:autoSpaceDN w:val="0"/>
        <w:adjustRightInd w:val="0"/>
        <w:spacing w:line="360" w:lineRule="auto"/>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采购人应当自中标通知书发出之日起30日内，按照招标文件和中标人投标文件的规定，与中标人签订书面合同。所签订的合同不得对招标文件确定的事项和中标人投标文件作实质性修改。</w:t>
      </w:r>
    </w:p>
    <w:p>
      <w:pPr>
        <w:autoSpaceDE w:val="0"/>
        <w:autoSpaceDN w:val="0"/>
        <w:adjustRightInd w:val="0"/>
        <w:spacing w:line="360" w:lineRule="auto"/>
        <w:jc w:val="left"/>
        <w:outlineLvl w:val="3"/>
        <w:rPr>
          <w:rFonts w:ascii="黑体" w:hAnsi="新宋体" w:eastAsia="黑体" w:cs="宋体"/>
          <w:b/>
          <w:bCs/>
          <w:color w:val="auto"/>
          <w:kern w:val="0"/>
          <w:sz w:val="24"/>
          <w:szCs w:val="24"/>
          <w:highlight w:val="none"/>
        </w:rPr>
      </w:pPr>
      <w:r>
        <w:rPr>
          <w:rFonts w:hint="eastAsia" w:ascii="黑体" w:hAnsi="新宋体" w:eastAsia="黑体" w:cs="宋体"/>
          <w:b/>
          <w:bCs/>
          <w:color w:val="auto"/>
          <w:kern w:val="0"/>
          <w:sz w:val="24"/>
          <w:szCs w:val="24"/>
          <w:highlight w:val="none"/>
        </w:rPr>
        <w:t>39.重新招标</w:t>
      </w:r>
    </w:p>
    <w:p>
      <w:pPr>
        <w:autoSpaceDE w:val="0"/>
        <w:autoSpaceDN w:val="0"/>
        <w:adjustRightInd w:val="0"/>
        <w:spacing w:line="360" w:lineRule="auto"/>
        <w:jc w:val="lef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 xml:space="preserve">有下列情形之一的，采购人将重新招标： </w:t>
      </w:r>
    </w:p>
    <w:p>
      <w:pPr>
        <w:autoSpaceDE w:val="0"/>
        <w:autoSpaceDN w:val="0"/>
        <w:adjustRightInd w:val="0"/>
        <w:spacing w:line="360" w:lineRule="auto"/>
        <w:jc w:val="left"/>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w:t>
      </w:r>
      <w:r>
        <w:rPr>
          <w:rFonts w:hint="eastAsia" w:ascii="宋体" w:hAnsi="宋体" w:cs="TimesNewRomanPSMT"/>
          <w:color w:val="auto"/>
          <w:kern w:val="0"/>
          <w:sz w:val="24"/>
          <w:szCs w:val="24"/>
          <w:highlight w:val="none"/>
        </w:rPr>
        <w:t>1</w:t>
      </w:r>
      <w:r>
        <w:rPr>
          <w:rFonts w:hint="eastAsia" w:ascii="宋体" w:hAnsi="宋体" w:cs="仿宋_GB2312"/>
          <w:color w:val="auto"/>
          <w:kern w:val="0"/>
          <w:sz w:val="24"/>
          <w:szCs w:val="24"/>
          <w:highlight w:val="none"/>
        </w:rPr>
        <w:t>）投标截止时间止，供应商少于</w:t>
      </w:r>
      <w:r>
        <w:rPr>
          <w:rFonts w:hint="eastAsia" w:ascii="宋体" w:hAnsi="宋体" w:cs="TimesNewRomanPSMT"/>
          <w:color w:val="auto"/>
          <w:kern w:val="0"/>
          <w:sz w:val="24"/>
          <w:szCs w:val="24"/>
          <w:highlight w:val="none"/>
        </w:rPr>
        <w:t>3</w:t>
      </w:r>
      <w:r>
        <w:rPr>
          <w:rFonts w:hint="eastAsia" w:ascii="宋体" w:hAnsi="宋体" w:cs="仿宋_GB2312"/>
          <w:color w:val="auto"/>
          <w:kern w:val="0"/>
          <w:sz w:val="24"/>
          <w:szCs w:val="24"/>
          <w:highlight w:val="none"/>
        </w:rPr>
        <w:t>家的；</w:t>
      </w:r>
    </w:p>
    <w:p>
      <w:pPr>
        <w:autoSpaceDE w:val="0"/>
        <w:autoSpaceDN w:val="0"/>
        <w:adjustRightInd w:val="0"/>
        <w:spacing w:line="360" w:lineRule="auto"/>
        <w:jc w:val="left"/>
        <w:rPr>
          <w:rFonts w:ascii="黑体" w:hAnsi="新宋体" w:eastAsia="黑体" w:cs="黑体"/>
          <w:b/>
          <w:bCs/>
          <w:color w:val="auto"/>
          <w:sz w:val="24"/>
          <w:szCs w:val="24"/>
          <w:highlight w:val="none"/>
        </w:rPr>
      </w:pPr>
      <w:r>
        <w:rPr>
          <w:rFonts w:hint="eastAsia" w:ascii="宋体" w:hAnsi="宋体" w:cs="仿宋_GB2312"/>
          <w:color w:val="auto"/>
          <w:kern w:val="0"/>
          <w:sz w:val="24"/>
          <w:szCs w:val="24"/>
          <w:highlight w:val="none"/>
        </w:rPr>
        <w:t>（</w:t>
      </w:r>
      <w:r>
        <w:rPr>
          <w:rFonts w:hint="eastAsia" w:ascii="宋体" w:hAnsi="宋体" w:cs="TimesNewRomanPSMT"/>
          <w:color w:val="auto"/>
          <w:kern w:val="0"/>
          <w:sz w:val="24"/>
          <w:szCs w:val="24"/>
          <w:highlight w:val="none"/>
        </w:rPr>
        <w:t>2</w:t>
      </w:r>
      <w:r>
        <w:rPr>
          <w:rFonts w:hint="eastAsia" w:ascii="宋体" w:hAnsi="宋体" w:cs="仿宋_GB2312"/>
          <w:color w:val="auto"/>
          <w:kern w:val="0"/>
          <w:sz w:val="24"/>
          <w:szCs w:val="24"/>
          <w:highlight w:val="none"/>
        </w:rPr>
        <w:t>）经评标委员会评审后实质性响应招标文件的供应商不足三家的。</w:t>
      </w:r>
    </w:p>
    <w:p>
      <w:pPr>
        <w:widowControl/>
        <w:jc w:val="center"/>
        <w:rPr>
          <w:rFonts w:cs="宋体" w:asciiTheme="majorEastAsia" w:hAnsiTheme="majorEastAsia" w:eastAsiaTheme="majorEastAsia"/>
          <w:b/>
          <w:color w:val="auto"/>
          <w:kern w:val="0"/>
          <w:sz w:val="36"/>
          <w:szCs w:val="36"/>
          <w:highlight w:val="none"/>
        </w:rPr>
      </w:pPr>
      <w:r>
        <w:rPr>
          <w:rFonts w:cs="宋体" w:asciiTheme="majorEastAsia" w:hAnsiTheme="majorEastAsia" w:eastAsiaTheme="majorEastAsia"/>
          <w:b/>
          <w:color w:val="auto"/>
          <w:kern w:val="0"/>
          <w:sz w:val="36"/>
          <w:szCs w:val="36"/>
          <w:highlight w:val="none"/>
        </w:rPr>
        <w:br w:type="page"/>
      </w:r>
      <w:r>
        <w:rPr>
          <w:rFonts w:hint="eastAsia" w:cs="宋体" w:asciiTheme="majorEastAsia" w:hAnsiTheme="majorEastAsia" w:eastAsiaTheme="majorEastAsia"/>
          <w:b/>
          <w:color w:val="auto"/>
          <w:kern w:val="0"/>
          <w:sz w:val="36"/>
          <w:szCs w:val="36"/>
          <w:highlight w:val="none"/>
        </w:rPr>
        <w:t>第三章   项目需求及其他要求</w:t>
      </w:r>
    </w:p>
    <w:p>
      <w:pPr>
        <w:shd w:val="clear" w:color="auto" w:fill="FFFFFF"/>
        <w:spacing w:line="540" w:lineRule="exact"/>
        <w:contextualSpacing/>
        <w:rPr>
          <w:rFonts w:ascii="仿宋" w:hAnsi="仿宋" w:eastAsia="仿宋" w:cs="宋体"/>
          <w:b/>
          <w:color w:val="auto"/>
          <w:sz w:val="32"/>
          <w:szCs w:val="32"/>
          <w:highlight w:val="none"/>
        </w:rPr>
      </w:pPr>
      <w:r>
        <w:rPr>
          <w:rFonts w:hint="eastAsia" w:ascii="宋体" w:hAnsi="宋体"/>
          <w:b/>
          <w:color w:val="auto"/>
          <w:sz w:val="32"/>
          <w:szCs w:val="32"/>
          <w:highlight w:val="none"/>
        </w:rPr>
        <w:t>一、</w:t>
      </w:r>
      <w:r>
        <w:rPr>
          <w:rFonts w:hint="eastAsia" w:ascii="仿宋" w:hAnsi="仿宋" w:eastAsia="仿宋" w:cs="宋体"/>
          <w:b/>
          <w:color w:val="auto"/>
          <w:sz w:val="32"/>
          <w:szCs w:val="32"/>
          <w:highlight w:val="none"/>
        </w:rPr>
        <w:t>项目需求</w:t>
      </w:r>
    </w:p>
    <w:p>
      <w:pPr>
        <w:widowControl/>
        <w:shd w:val="clear" w:color="auto" w:fill="FFFFFF"/>
        <w:spacing w:line="360" w:lineRule="auto"/>
        <w:jc w:val="left"/>
        <w:rPr>
          <w:rFonts w:ascii="仿宋" w:hAnsi="仿宋" w:eastAsia="仿宋" w:cs="宋体"/>
          <w:b/>
          <w:color w:val="auto"/>
          <w:kern w:val="0"/>
          <w:sz w:val="28"/>
          <w:szCs w:val="28"/>
          <w:highlight w:val="none"/>
        </w:rPr>
      </w:pPr>
      <w:r>
        <w:rPr>
          <w:rFonts w:hint="eastAsia" w:ascii="仿宋" w:hAnsi="仿宋" w:eastAsia="仿宋" w:cs="宋体"/>
          <w:b/>
          <w:color w:val="auto"/>
          <w:kern w:val="0"/>
          <w:sz w:val="28"/>
          <w:szCs w:val="28"/>
          <w:highlight w:val="none"/>
        </w:rPr>
        <w:t>（一）采购清单</w:t>
      </w:r>
    </w:p>
    <w:tbl>
      <w:tblPr>
        <w:tblStyle w:val="20"/>
        <w:tblW w:w="916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8"/>
        <w:gridCol w:w="3838"/>
        <w:gridCol w:w="808"/>
        <w:gridCol w:w="919"/>
        <w:gridCol w:w="1266"/>
        <w:gridCol w:w="16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b/>
                <w:bCs/>
                <w:color w:val="auto"/>
                <w:kern w:val="0"/>
                <w:szCs w:val="21"/>
                <w:highlight w:val="none"/>
              </w:rPr>
            </w:pPr>
            <w:r>
              <w:rPr>
                <w:rFonts w:cs="Arial" w:asciiTheme="majorEastAsia" w:hAnsiTheme="majorEastAsia" w:eastAsiaTheme="majorEastAsia"/>
                <w:b/>
                <w:bCs/>
                <w:color w:val="auto"/>
                <w:kern w:val="0"/>
                <w:szCs w:val="21"/>
                <w:highlight w:val="none"/>
              </w:rPr>
              <w:t>序号</w:t>
            </w:r>
          </w:p>
        </w:tc>
        <w:tc>
          <w:tcPr>
            <w:tcW w:w="3838" w:type="dxa"/>
            <w:shd w:val="clear" w:color="auto" w:fill="auto"/>
            <w:noWrap/>
            <w:vAlign w:val="center"/>
          </w:tcPr>
          <w:p>
            <w:pPr>
              <w:widowControl/>
              <w:jc w:val="center"/>
              <w:rPr>
                <w:rFonts w:cs="Arial" w:asciiTheme="majorEastAsia" w:hAnsiTheme="majorEastAsia" w:eastAsiaTheme="majorEastAsia"/>
                <w:b/>
                <w:bCs/>
                <w:color w:val="auto"/>
                <w:kern w:val="0"/>
                <w:szCs w:val="21"/>
                <w:highlight w:val="none"/>
              </w:rPr>
            </w:pPr>
            <w:r>
              <w:rPr>
                <w:rFonts w:cs="Arial" w:asciiTheme="majorEastAsia" w:hAnsiTheme="majorEastAsia" w:eastAsiaTheme="majorEastAsia"/>
                <w:b/>
                <w:bCs/>
                <w:color w:val="auto"/>
                <w:kern w:val="0"/>
                <w:szCs w:val="21"/>
                <w:highlight w:val="none"/>
              </w:rPr>
              <w:t>产品名称</w:t>
            </w:r>
          </w:p>
        </w:tc>
        <w:tc>
          <w:tcPr>
            <w:tcW w:w="808" w:type="dxa"/>
            <w:shd w:val="clear" w:color="auto" w:fill="auto"/>
            <w:noWrap/>
            <w:vAlign w:val="center"/>
          </w:tcPr>
          <w:p>
            <w:pPr>
              <w:widowControl/>
              <w:jc w:val="center"/>
              <w:rPr>
                <w:rFonts w:cs="Arial" w:asciiTheme="majorEastAsia" w:hAnsiTheme="majorEastAsia" w:eastAsiaTheme="majorEastAsia"/>
                <w:b/>
                <w:bCs/>
                <w:color w:val="auto"/>
                <w:kern w:val="0"/>
                <w:szCs w:val="21"/>
                <w:highlight w:val="none"/>
              </w:rPr>
            </w:pPr>
            <w:r>
              <w:rPr>
                <w:rFonts w:cs="Arial" w:asciiTheme="majorEastAsia" w:hAnsiTheme="majorEastAsia" w:eastAsiaTheme="majorEastAsia"/>
                <w:b/>
                <w:bCs/>
                <w:color w:val="auto"/>
                <w:kern w:val="0"/>
                <w:szCs w:val="21"/>
                <w:highlight w:val="none"/>
              </w:rPr>
              <w:t>单位</w:t>
            </w:r>
          </w:p>
        </w:tc>
        <w:tc>
          <w:tcPr>
            <w:tcW w:w="919" w:type="dxa"/>
            <w:shd w:val="clear" w:color="auto" w:fill="auto"/>
            <w:noWrap/>
            <w:vAlign w:val="center"/>
          </w:tcPr>
          <w:p>
            <w:pPr>
              <w:widowControl/>
              <w:jc w:val="center"/>
              <w:rPr>
                <w:rFonts w:cs="Arial" w:asciiTheme="majorEastAsia" w:hAnsiTheme="majorEastAsia" w:eastAsiaTheme="majorEastAsia"/>
                <w:b/>
                <w:bCs/>
                <w:color w:val="auto"/>
                <w:kern w:val="0"/>
                <w:szCs w:val="21"/>
                <w:highlight w:val="none"/>
              </w:rPr>
            </w:pPr>
            <w:r>
              <w:rPr>
                <w:rFonts w:cs="Arial" w:asciiTheme="majorEastAsia" w:hAnsiTheme="majorEastAsia" w:eastAsiaTheme="majorEastAsia"/>
                <w:b/>
                <w:bCs/>
                <w:color w:val="auto"/>
                <w:kern w:val="0"/>
                <w:szCs w:val="21"/>
                <w:highlight w:val="none"/>
              </w:rPr>
              <w:t>数量</w:t>
            </w:r>
          </w:p>
        </w:tc>
        <w:tc>
          <w:tcPr>
            <w:tcW w:w="1266" w:type="dxa"/>
            <w:shd w:val="clear" w:color="auto" w:fill="auto"/>
            <w:noWrap/>
            <w:vAlign w:val="center"/>
          </w:tcPr>
          <w:p>
            <w:pPr>
              <w:widowControl/>
              <w:jc w:val="center"/>
              <w:rPr>
                <w:rFonts w:cs="Arial" w:asciiTheme="majorEastAsia" w:hAnsiTheme="majorEastAsia" w:eastAsiaTheme="majorEastAsia"/>
                <w:b/>
                <w:bCs/>
                <w:color w:val="auto"/>
                <w:kern w:val="0"/>
                <w:szCs w:val="21"/>
                <w:highlight w:val="none"/>
              </w:rPr>
            </w:pPr>
            <w:r>
              <w:rPr>
                <w:rFonts w:cs="Arial" w:asciiTheme="majorEastAsia" w:hAnsiTheme="majorEastAsia" w:eastAsiaTheme="majorEastAsia"/>
                <w:b/>
                <w:bCs/>
                <w:color w:val="auto"/>
                <w:kern w:val="0"/>
                <w:szCs w:val="21"/>
                <w:highlight w:val="none"/>
              </w:rPr>
              <w:t>备注</w:t>
            </w:r>
          </w:p>
        </w:tc>
        <w:tc>
          <w:tcPr>
            <w:tcW w:w="1692" w:type="dxa"/>
            <w:shd w:val="clear" w:color="auto" w:fill="auto"/>
            <w:noWrap/>
            <w:vAlign w:val="center"/>
          </w:tcPr>
          <w:p>
            <w:pPr>
              <w:widowControl/>
              <w:jc w:val="center"/>
              <w:rPr>
                <w:rFonts w:cs="Arial" w:asciiTheme="majorEastAsia" w:hAnsiTheme="majorEastAsia" w:eastAsiaTheme="majorEastAsia"/>
                <w:b/>
                <w:bCs/>
                <w:color w:val="auto"/>
                <w:kern w:val="0"/>
                <w:szCs w:val="21"/>
                <w:highlight w:val="none"/>
              </w:rPr>
            </w:pPr>
            <w:r>
              <w:rPr>
                <w:rFonts w:hint="eastAsia" w:cs="Arial" w:asciiTheme="majorEastAsia" w:hAnsiTheme="majorEastAsia" w:eastAsiaTheme="majorEastAsia"/>
                <w:b/>
                <w:bCs/>
                <w:color w:val="auto"/>
                <w:kern w:val="0"/>
                <w:szCs w:val="21"/>
                <w:highlight w:val="none"/>
              </w:rPr>
              <w:t>是否为核心产品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9161" w:type="dxa"/>
            <w:gridSpan w:val="6"/>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（一）云图书馆平台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云图书馆</w:t>
            </w:r>
            <w:r>
              <w:rPr>
                <w:rFonts w:cs="Arial" w:asciiTheme="majorEastAsia" w:hAnsiTheme="majorEastAsia" w:eastAsiaTheme="majorEastAsia"/>
                <w:color w:val="auto"/>
                <w:kern w:val="0"/>
                <w:szCs w:val="21"/>
                <w:highlight w:val="none"/>
              </w:rPr>
              <w:t>后台系统</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2</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云图书馆门户</w:t>
            </w:r>
            <w:r>
              <w:rPr>
                <w:rFonts w:cs="Arial" w:asciiTheme="majorEastAsia" w:hAnsiTheme="majorEastAsia" w:eastAsiaTheme="majorEastAsia"/>
                <w:color w:val="auto"/>
                <w:kern w:val="0"/>
                <w:szCs w:val="21"/>
                <w:highlight w:val="none"/>
              </w:rPr>
              <w:t>网站</w:t>
            </w:r>
            <w:r>
              <w:rPr>
                <w:rFonts w:hint="eastAsia" w:cs="Arial" w:asciiTheme="majorEastAsia" w:hAnsiTheme="majorEastAsia" w:eastAsiaTheme="majorEastAsia"/>
                <w:color w:val="auto"/>
                <w:kern w:val="0"/>
                <w:szCs w:val="21"/>
                <w:highlight w:val="none"/>
              </w:rPr>
              <w:t>软件</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3</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云图书馆管理系统</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4</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云图书馆</w:t>
            </w:r>
            <w:r>
              <w:rPr>
                <w:rFonts w:cs="Arial" w:asciiTheme="majorEastAsia" w:hAnsiTheme="majorEastAsia" w:eastAsiaTheme="majorEastAsia"/>
                <w:color w:val="auto"/>
                <w:kern w:val="0"/>
                <w:szCs w:val="21"/>
                <w:highlight w:val="none"/>
              </w:rPr>
              <w:t>管理</w:t>
            </w:r>
            <w:r>
              <w:rPr>
                <w:rFonts w:hint="eastAsia" w:cs="Arial" w:asciiTheme="majorEastAsia" w:hAnsiTheme="majorEastAsia" w:eastAsiaTheme="majorEastAsia"/>
                <w:color w:val="auto"/>
                <w:kern w:val="0"/>
                <w:szCs w:val="21"/>
                <w:highlight w:val="none"/>
              </w:rPr>
              <w:t>系统软件</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云图书馆客户端软件</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w:t>
            </w:r>
          </w:p>
        </w:tc>
        <w:tc>
          <w:tcPr>
            <w:tcW w:w="1266" w:type="dxa"/>
            <w:shd w:val="clear" w:color="auto" w:fill="auto"/>
            <w:noWrap/>
            <w:vAlign w:val="center"/>
          </w:tcPr>
          <w:p>
            <w:pPr>
              <w:widowControl/>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不限用户数</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9161" w:type="dxa"/>
            <w:gridSpan w:val="6"/>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（二）智能设备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6</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空调（5</w:t>
            </w:r>
            <w:r>
              <w:rPr>
                <w:rFonts w:cs="Arial" w:asciiTheme="majorEastAsia" w:hAnsiTheme="majorEastAsia" w:eastAsiaTheme="majorEastAsia"/>
                <w:color w:val="auto"/>
                <w:kern w:val="0"/>
                <w:szCs w:val="21"/>
                <w:highlight w:val="none"/>
              </w:rPr>
              <w:t>P</w:t>
            </w:r>
            <w:r>
              <w:rPr>
                <w:rFonts w:hint="eastAsia" w:cs="Arial" w:asciiTheme="majorEastAsia" w:hAnsiTheme="majorEastAsia" w:eastAsiaTheme="majorEastAsia"/>
                <w:color w:val="auto"/>
                <w:kern w:val="0"/>
                <w:szCs w:val="21"/>
                <w:highlight w:val="none"/>
              </w:rPr>
              <w:t>）</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台</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7</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读者注册识别机</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台</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8</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图书自助借还机</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台</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9</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RFID门禁</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片</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10</w:t>
            </w:r>
          </w:p>
        </w:tc>
        <w:tc>
          <w:tcPr>
            <w:tcW w:w="1266" w:type="dxa"/>
            <w:shd w:val="clear" w:color="auto" w:fill="auto"/>
            <w:noWrap/>
            <w:vAlign w:val="center"/>
          </w:tcPr>
          <w:p>
            <w:pPr>
              <w:widowControl/>
              <w:rPr>
                <w:rFonts w:cs="Arial" w:asciiTheme="majorEastAsia" w:hAnsiTheme="majorEastAsia" w:eastAsiaTheme="majorEastAsia"/>
                <w:color w:val="auto"/>
                <w:kern w:val="0"/>
                <w:szCs w:val="21"/>
                <w:highlight w:val="none"/>
              </w:rPr>
            </w:pP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10</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智能空调控制系统</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1</w:t>
            </w:r>
            <w:r>
              <w:rPr>
                <w:rFonts w:cs="Arial" w:asciiTheme="majorEastAsia" w:hAnsiTheme="majorEastAsia" w:eastAsiaTheme="majorEastAsia"/>
                <w:color w:val="auto"/>
                <w:kern w:val="0"/>
                <w:szCs w:val="21"/>
                <w:highlight w:val="none"/>
              </w:rPr>
              <w:t>1</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灯具、灯具感应器</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1</w:t>
            </w:r>
            <w:r>
              <w:rPr>
                <w:rFonts w:cs="Arial" w:asciiTheme="majorEastAsia" w:hAnsiTheme="majorEastAsia" w:eastAsiaTheme="majorEastAsia"/>
                <w:color w:val="auto"/>
                <w:kern w:val="0"/>
                <w:szCs w:val="21"/>
                <w:highlight w:val="none"/>
              </w:rPr>
              <w:t>2</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智能监控系统</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9161" w:type="dxa"/>
            <w:gridSpan w:val="6"/>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（三）馆藏资源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13</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电子</w:t>
            </w:r>
            <w:r>
              <w:rPr>
                <w:rFonts w:cs="Arial" w:asciiTheme="majorEastAsia" w:hAnsiTheme="majorEastAsia" w:eastAsiaTheme="majorEastAsia"/>
                <w:color w:val="auto"/>
                <w:kern w:val="0"/>
                <w:szCs w:val="21"/>
                <w:highlight w:val="none"/>
              </w:rPr>
              <w:t>图书</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册</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25000</w:t>
            </w:r>
          </w:p>
        </w:tc>
        <w:tc>
          <w:tcPr>
            <w:tcW w:w="1266" w:type="dxa"/>
            <w:shd w:val="clear" w:color="auto" w:fill="auto"/>
            <w:noWrap/>
            <w:vAlign w:val="center"/>
          </w:tcPr>
          <w:p>
            <w:pPr>
              <w:widowControl/>
              <w:rPr>
                <w:rFonts w:cs="Arial" w:asciiTheme="majorEastAsia" w:hAnsiTheme="majorEastAsia" w:eastAsiaTheme="majorEastAsia"/>
                <w:color w:val="auto"/>
                <w:kern w:val="0"/>
                <w:szCs w:val="21"/>
                <w:highlight w:val="none"/>
              </w:rPr>
            </w:pPr>
          </w:p>
        </w:tc>
        <w:tc>
          <w:tcPr>
            <w:tcW w:w="1692"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9161" w:type="dxa"/>
            <w:gridSpan w:val="6"/>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（四）</w:t>
            </w:r>
            <w:r>
              <w:rPr>
                <w:rFonts w:hint="eastAsia" w:cs="Arial" w:asciiTheme="majorEastAsia" w:hAnsiTheme="majorEastAsia" w:eastAsiaTheme="majorEastAsia"/>
                <w:color w:val="auto"/>
                <w:kern w:val="0"/>
                <w:szCs w:val="21"/>
                <w:highlight w:val="none"/>
              </w:rPr>
              <w:t>其他设备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14</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单面书架</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组</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28</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15</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阅览桌椅</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4</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1</w:t>
            </w:r>
            <w:r>
              <w:rPr>
                <w:rFonts w:cs="Arial" w:asciiTheme="majorEastAsia" w:hAnsiTheme="majorEastAsia" w:eastAsiaTheme="majorEastAsia"/>
                <w:color w:val="auto"/>
                <w:kern w:val="0"/>
                <w:szCs w:val="21"/>
                <w:highlight w:val="none"/>
              </w:rPr>
              <w:t>6</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文化模块制作</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9161" w:type="dxa"/>
            <w:gridSpan w:val="6"/>
            <w:vAlign w:val="center"/>
          </w:tcPr>
          <w:p>
            <w:pPr>
              <w:widowControl/>
              <w:jc w:val="left"/>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w:t>
            </w:r>
            <w:r>
              <w:rPr>
                <w:rFonts w:hint="eastAsia" w:cs="Arial" w:asciiTheme="majorEastAsia" w:hAnsiTheme="majorEastAsia" w:eastAsiaTheme="majorEastAsia"/>
                <w:color w:val="auto"/>
                <w:kern w:val="0"/>
                <w:szCs w:val="21"/>
                <w:highlight w:val="none"/>
              </w:rPr>
              <w:t>五</w:t>
            </w:r>
            <w:r>
              <w:rPr>
                <w:rFonts w:cs="Arial" w:asciiTheme="majorEastAsia" w:hAnsiTheme="majorEastAsia" w:eastAsiaTheme="majorEastAsia"/>
                <w:color w:val="auto"/>
                <w:kern w:val="0"/>
                <w:szCs w:val="21"/>
                <w:highlight w:val="none"/>
              </w:rPr>
              <w:t>）</w:t>
            </w:r>
            <w:r>
              <w:rPr>
                <w:rFonts w:hint="eastAsia" w:cs="Arial" w:asciiTheme="majorEastAsia" w:hAnsiTheme="majorEastAsia" w:eastAsiaTheme="majorEastAsia"/>
                <w:color w:val="auto"/>
                <w:kern w:val="0"/>
                <w:szCs w:val="21"/>
                <w:highlight w:val="none"/>
              </w:rPr>
              <w:t>配套设备安装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17</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电控玻璃门</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套</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5</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cs="Arial" w:asciiTheme="majorEastAsia" w:hAnsiTheme="majorEastAsia" w:eastAsiaTheme="majorEastAsia"/>
                <w:color w:val="auto"/>
                <w:kern w:val="0"/>
                <w:szCs w:val="21"/>
                <w:highlight w:val="none"/>
              </w:rPr>
              <w:t>　</w:t>
            </w: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1</w:t>
            </w:r>
            <w:r>
              <w:rPr>
                <w:rFonts w:cs="Arial" w:asciiTheme="majorEastAsia" w:hAnsiTheme="majorEastAsia" w:eastAsiaTheme="majorEastAsia"/>
                <w:color w:val="auto"/>
                <w:kern w:val="0"/>
                <w:szCs w:val="21"/>
                <w:highlight w:val="none"/>
              </w:rPr>
              <w:t>8</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配套设备安装</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批</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1</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63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1</w:t>
            </w:r>
            <w:r>
              <w:rPr>
                <w:rFonts w:cs="Arial" w:asciiTheme="majorEastAsia" w:hAnsiTheme="majorEastAsia" w:eastAsiaTheme="majorEastAsia"/>
                <w:color w:val="auto"/>
                <w:kern w:val="0"/>
                <w:szCs w:val="21"/>
                <w:highlight w:val="none"/>
              </w:rPr>
              <w:t>9</w:t>
            </w:r>
          </w:p>
        </w:tc>
        <w:tc>
          <w:tcPr>
            <w:tcW w:w="3838" w:type="dxa"/>
            <w:shd w:val="clear" w:color="auto" w:fill="auto"/>
            <w:noWrap/>
            <w:vAlign w:val="center"/>
          </w:tcPr>
          <w:p>
            <w:pPr>
              <w:widowControl/>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宽带</w:t>
            </w:r>
          </w:p>
        </w:tc>
        <w:tc>
          <w:tcPr>
            <w:tcW w:w="808"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年</w:t>
            </w:r>
          </w:p>
        </w:tc>
        <w:tc>
          <w:tcPr>
            <w:tcW w:w="919"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3</w:t>
            </w:r>
          </w:p>
        </w:tc>
        <w:tc>
          <w:tcPr>
            <w:tcW w:w="1266" w:type="dxa"/>
            <w:shd w:val="clear" w:color="auto" w:fill="auto"/>
            <w:noWrap/>
            <w:vAlign w:val="center"/>
          </w:tcPr>
          <w:p>
            <w:pPr>
              <w:widowControl/>
              <w:jc w:val="center"/>
              <w:rPr>
                <w:rFonts w:cs="Arial" w:asciiTheme="majorEastAsia" w:hAnsiTheme="majorEastAsia" w:eastAsiaTheme="majorEastAsia"/>
                <w:color w:val="auto"/>
                <w:kern w:val="0"/>
                <w:szCs w:val="21"/>
                <w:highlight w:val="none"/>
              </w:rPr>
            </w:pPr>
          </w:p>
        </w:tc>
        <w:tc>
          <w:tcPr>
            <w:tcW w:w="1692" w:type="dxa"/>
            <w:shd w:val="clear" w:color="auto" w:fill="auto"/>
            <w:noWrap/>
          </w:tcPr>
          <w:p>
            <w:pPr>
              <w:widowControl/>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否</w:t>
            </w:r>
          </w:p>
        </w:tc>
      </w:tr>
    </w:tbl>
    <w:p>
      <w:pPr>
        <w:rPr>
          <w:color w:val="auto"/>
          <w:sz w:val="24"/>
          <w:highlight w:val="none"/>
        </w:rPr>
      </w:pPr>
    </w:p>
    <w:p>
      <w:pPr>
        <w:rPr>
          <w:color w:val="auto"/>
          <w:sz w:val="24"/>
          <w:highlight w:val="none"/>
        </w:rPr>
      </w:pPr>
      <w:r>
        <w:rPr>
          <w:rFonts w:hint="eastAsia"/>
          <w:color w:val="auto"/>
          <w:sz w:val="24"/>
          <w:highlight w:val="none"/>
        </w:rPr>
        <w:t>（二）产品配置及技术参数要求</w:t>
      </w:r>
    </w:p>
    <w:tbl>
      <w:tblPr>
        <w:tblStyle w:val="2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803"/>
        <w:gridCol w:w="7469"/>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9" w:type="dxa"/>
            <w:vAlign w:val="center"/>
          </w:tcPr>
          <w:p>
            <w:pPr>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序号</w:t>
            </w:r>
          </w:p>
        </w:tc>
        <w:tc>
          <w:tcPr>
            <w:tcW w:w="803"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产品名称</w:t>
            </w:r>
          </w:p>
        </w:tc>
        <w:tc>
          <w:tcPr>
            <w:tcW w:w="746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招标参数要求</w:t>
            </w:r>
          </w:p>
        </w:tc>
        <w:tc>
          <w:tcPr>
            <w:tcW w:w="463"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74" w:type="dxa"/>
            <w:gridSpan w:val="4"/>
            <w:vAlign w:val="center"/>
          </w:tcPr>
          <w:p>
            <w:pPr>
              <w:wordWrap w:val="0"/>
              <w:topLinePunct/>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（一）云图书馆平台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云图书馆</w:t>
            </w:r>
            <w:r>
              <w:rPr>
                <w:rFonts w:cs="Arial" w:asciiTheme="minorEastAsia" w:hAnsiTheme="minorEastAsia"/>
                <w:color w:val="auto"/>
                <w:kern w:val="0"/>
                <w:szCs w:val="21"/>
                <w:highlight w:val="none"/>
              </w:rPr>
              <w:t>后台系统</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1.B/S架构，只需浏览器便可在任何时候、任何地点访问运营管理系统，兼容Windows7及以上操作系统，支持IE8以上以及其他当前主流浏览器。</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2.与云图书馆管理系统无鏠对接。</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3.提供客户端模块在本地安装使用，提高本地化应用的效果体验；</w:t>
            </w:r>
          </w:p>
          <w:p>
            <w:pPr>
              <w:pStyle w:val="2"/>
              <w:spacing w:line="276" w:lineRule="auto"/>
              <w:ind w:firstLine="0" w:firstLineChars="0"/>
              <w:rPr>
                <w:rFonts w:asciiTheme="minorEastAsia" w:hAnsiTheme="minorEastAsia"/>
                <w:color w:val="auto"/>
                <w:highlight w:val="none"/>
              </w:rPr>
            </w:pPr>
            <w:r>
              <w:rPr>
                <w:rFonts w:hint="eastAsia" w:asciiTheme="minorEastAsia" w:hAnsiTheme="minorEastAsia"/>
                <w:color w:val="auto"/>
                <w:highlight w:val="none"/>
              </w:rPr>
              <w:t>4.具有用户管理、图书馆管理、馆际流通管理、电子书管理、视频资源管理、财务管理、资讯管理、消息管理、活动管理、排行榜管理、短信管理等功能；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5.具有图书馆大数据统计分析功能；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6.具有智能终端设备管理功能；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7.具有消息接收通知功能。</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云图书馆门户</w:t>
            </w:r>
            <w:r>
              <w:rPr>
                <w:rFonts w:cs="Arial" w:asciiTheme="minorEastAsia" w:hAnsiTheme="minorEastAsia"/>
                <w:color w:val="auto"/>
                <w:kern w:val="0"/>
                <w:szCs w:val="21"/>
                <w:highlight w:val="none"/>
              </w:rPr>
              <w:t>网站</w:t>
            </w:r>
            <w:r>
              <w:rPr>
                <w:rFonts w:hint="eastAsia" w:cs="Arial" w:asciiTheme="minorEastAsia" w:hAnsiTheme="minorEastAsia"/>
                <w:color w:val="auto"/>
                <w:kern w:val="0"/>
                <w:szCs w:val="21"/>
                <w:highlight w:val="none"/>
              </w:rPr>
              <w:t>软件</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1.B/S架构，WEB模式，客户端只需通过浏览器，便可在任何时候、任何地点进行访问，兼容Windows7及以上操作系统，支持IE8</w:t>
            </w:r>
            <w:r>
              <w:rPr>
                <w:rFonts w:hint="eastAsia" w:cs="Arial" w:asciiTheme="minorEastAsia" w:hAnsiTheme="minorEastAsia"/>
                <w:color w:val="auto"/>
                <w:kern w:val="0"/>
                <w:szCs w:val="21"/>
                <w:highlight w:val="none"/>
              </w:rPr>
              <w:t>以上</w:t>
            </w:r>
            <w:r>
              <w:rPr>
                <w:rFonts w:cs="Arial" w:asciiTheme="minorEastAsia" w:hAnsiTheme="minorEastAsia"/>
                <w:color w:val="auto"/>
                <w:kern w:val="0"/>
                <w:szCs w:val="21"/>
                <w:highlight w:val="none"/>
              </w:rPr>
              <w:t>及其他当前主流浏览器。</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2.与云图书馆管理系统无缝对接，数据互通。</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3.读者登录：提供读者在线注册功能、凭账号密码登录功能、找回密码功能；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4.图书馆检索功能：可根据图书馆的名称、馆别、地区等基本信息进行高级查询</w:t>
            </w:r>
            <w:r>
              <w:rPr>
                <w:rFonts w:hint="eastAsia" w:cs="Arial" w:asciiTheme="minorEastAsia" w:hAnsiTheme="minorEastAsia"/>
                <w:color w:val="auto"/>
                <w:kern w:val="0"/>
                <w:szCs w:val="21"/>
                <w:highlight w:val="none"/>
              </w:rPr>
              <w:t>和模糊搜索</w:t>
            </w:r>
            <w:r>
              <w:rPr>
                <w:rFonts w:cs="Arial" w:asciiTheme="minorEastAsia" w:hAnsiTheme="minorEastAsia"/>
                <w:color w:val="auto"/>
                <w:kern w:val="0"/>
                <w:szCs w:val="21"/>
                <w:highlight w:val="none"/>
              </w:rPr>
              <w: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5.图书馆详情展示与导航：包括图书馆的馆藏信息、开放时间、开放模式、借阅规则等，以及图书馆导航功能；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6.图书检索功能：可根据图书的书名、ISBN、类别、作者、出版社等基本信息进行高级查询</w:t>
            </w:r>
            <w:r>
              <w:rPr>
                <w:rFonts w:hint="eastAsia" w:cs="Arial" w:asciiTheme="minorEastAsia" w:hAnsiTheme="minorEastAsia"/>
                <w:color w:val="auto"/>
                <w:kern w:val="0"/>
                <w:szCs w:val="21"/>
                <w:highlight w:val="none"/>
              </w:rPr>
              <w:t>和模糊搜索</w:t>
            </w:r>
            <w:r>
              <w:rPr>
                <w:rFonts w:cs="Arial" w:asciiTheme="minorEastAsia" w:hAnsiTheme="minorEastAsia"/>
                <w:color w:val="auto"/>
                <w:kern w:val="0"/>
                <w:szCs w:val="21"/>
                <w:highlight w:val="none"/>
              </w:rPr>
              <w: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*7.图书详情展示与导航：能够全面展示图书馆藏信息，包括图书排架信息，实现图书精准定位，读者和图书管理员可获取图书具体位置信息；</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8.图书预约功能：读者可在线对图书进行预约和取消预约；</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9.数字资源检索功能：可根据数字资源的书名、ISBN、类别、作者、出版社等基本信息进行高级查询</w:t>
            </w:r>
            <w:r>
              <w:rPr>
                <w:rFonts w:hint="eastAsia" w:cs="Arial" w:asciiTheme="minorEastAsia" w:hAnsiTheme="minorEastAsia"/>
                <w:color w:val="auto"/>
                <w:kern w:val="0"/>
                <w:szCs w:val="21"/>
                <w:highlight w:val="none"/>
              </w:rPr>
              <w:t>和模糊搜索</w:t>
            </w:r>
            <w:r>
              <w:rPr>
                <w:rFonts w:cs="Arial" w:asciiTheme="minorEastAsia" w:hAnsiTheme="minorEastAsia"/>
                <w:color w:val="auto"/>
                <w:kern w:val="0"/>
                <w:szCs w:val="21"/>
                <w:highlight w:val="none"/>
              </w:rPr>
              <w: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10.数字资源在线阅读功能：读者在已登录的情况，可对电子书进行在线阅读，对视频进行在线观看；</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11.资讯的检索、详情查看与留言评论功能；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12.活动的检查、详情查看、在线报名功能；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13.提供借阅、点赞、阅读排行榜等大数展示功能；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14.个人账户管理功能：包括借阅读记录、收藏管理、读书笔记等功能。</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云图书馆管理系统</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1.B/S架构，只需浏览器便可在任何时候、任何地点访问管理系统，兼容Windows7及以上操作系统，支持IE8以上以及其他当前主流浏览器。</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2.提供客户端模块在本地安装使用，提高本地化应用的体验效果。</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3.采访管理：包括供应商新增、维护、图书采访等功能；</w:t>
            </w:r>
          </w:p>
          <w:p>
            <w:pPr>
              <w:pStyle w:val="2"/>
              <w:spacing w:line="276" w:lineRule="auto"/>
              <w:ind w:firstLine="0" w:firstLineChars="0"/>
              <w:rPr>
                <w:rFonts w:asciiTheme="minorEastAsia" w:hAnsiTheme="minorEastAsia"/>
                <w:color w:val="auto"/>
                <w:highlight w:val="none"/>
              </w:rPr>
            </w:pPr>
            <w:r>
              <w:rPr>
                <w:rFonts w:hint="eastAsia" w:asciiTheme="minorEastAsia" w:hAnsiTheme="minorEastAsia"/>
                <w:color w:val="auto"/>
                <w:highlight w:val="none"/>
              </w:rPr>
              <w:t>★4.编目管理：包括智能编目、综合编目、MARC编目、RFID标签关联、RFID标签解绑、库位排架设置、排架维护、编目设备、编目设置、入藏统计等功能；</w:t>
            </w:r>
          </w:p>
          <w:p>
            <w:pPr>
              <w:pStyle w:val="2"/>
              <w:spacing w:line="276" w:lineRule="auto"/>
              <w:ind w:firstLine="0" w:firstLineChars="0"/>
              <w:rPr>
                <w:rFonts w:asciiTheme="minorEastAsia" w:hAnsiTheme="minorEastAsia"/>
                <w:color w:val="auto"/>
                <w:highlight w:val="none"/>
              </w:rPr>
            </w:pPr>
            <w:r>
              <w:rPr>
                <w:rFonts w:hint="eastAsia" w:asciiTheme="minorEastAsia" w:hAnsiTheme="minorEastAsia"/>
                <w:color w:val="auto"/>
                <w:highlight w:val="none"/>
              </w:rPr>
              <w:t>5.典藏管理：包括典藏维护、剔旧管理、剔旧统计、盘点管理、盘亏统计、数据删除、数据删除统计、定价修改统计、库位修改统计、排架修改统计等功能；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6.借还管理：包括借书管理、还书管理、赔书管理、押金管理、开放设置、门禁检查</w:t>
            </w:r>
            <w:r>
              <w:rPr>
                <w:rFonts w:hint="eastAsia" w:cs="Arial" w:asciiTheme="minorEastAsia" w:hAnsiTheme="minorEastAsia"/>
                <w:color w:val="auto"/>
                <w:kern w:val="0"/>
                <w:szCs w:val="21"/>
                <w:highlight w:val="none"/>
              </w:rPr>
              <w:t>、收款统计、免单统计、借阅排行</w:t>
            </w:r>
            <w:r>
              <w:rPr>
                <w:rFonts w:cs="Arial" w:asciiTheme="minorEastAsia" w:hAnsiTheme="minorEastAsia"/>
                <w:color w:val="auto"/>
                <w:kern w:val="0"/>
                <w:szCs w:val="21"/>
                <w:highlight w:val="none"/>
              </w:rPr>
              <w:t>等功能；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7.读者管理：包括对读者账户的新增、维护、注销</w:t>
            </w:r>
            <w:r>
              <w:rPr>
                <w:rFonts w:hint="eastAsia" w:cs="Arial" w:asciiTheme="minorEastAsia" w:hAnsiTheme="minorEastAsia"/>
                <w:color w:val="auto"/>
                <w:kern w:val="0"/>
                <w:szCs w:val="21"/>
                <w:highlight w:val="none"/>
              </w:rPr>
              <w:t>、班级设置、读者统计</w:t>
            </w:r>
            <w:r>
              <w:rPr>
                <w:rFonts w:cs="Arial" w:asciiTheme="minorEastAsia" w:hAnsiTheme="minorEastAsia"/>
                <w:color w:val="auto"/>
                <w:kern w:val="0"/>
                <w:szCs w:val="21"/>
                <w:highlight w:val="none"/>
              </w:rPr>
              <w:t>等管理功能；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*8.馆际流通管理：馆际流出管理、馆际流入管理等；</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9.期刊管理：包括期刊征订、征订审核、期刊登到</w:t>
            </w:r>
            <w:r>
              <w:rPr>
                <w:rFonts w:hint="eastAsia" w:cs="Arial" w:asciiTheme="minorEastAsia" w:hAnsiTheme="minorEastAsia"/>
                <w:color w:val="auto"/>
                <w:kern w:val="0"/>
                <w:szCs w:val="21"/>
                <w:highlight w:val="none"/>
              </w:rPr>
              <w:t>、征订统计、到刊统计、现刊统计</w:t>
            </w:r>
            <w:r>
              <w:rPr>
                <w:rFonts w:cs="Arial" w:asciiTheme="minorEastAsia" w:hAnsiTheme="minorEastAsia"/>
                <w:color w:val="auto"/>
                <w:kern w:val="0"/>
                <w:szCs w:val="21"/>
                <w:highlight w:val="none"/>
              </w:rPr>
              <w:t>等管理功能；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10.检索查询：包括读者、藏书以及各项业务的全面检索和查询功能；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11.系统管理：包括用户权限、角色分配、个人账户</w:t>
            </w:r>
            <w:r>
              <w:rPr>
                <w:rFonts w:hint="eastAsia" w:cs="Arial" w:asciiTheme="minorEastAsia" w:hAnsiTheme="minorEastAsia"/>
                <w:color w:val="auto"/>
                <w:kern w:val="0"/>
                <w:szCs w:val="21"/>
                <w:highlight w:val="none"/>
              </w:rPr>
              <w:t>、系统信息</w:t>
            </w:r>
            <w:r>
              <w:rPr>
                <w:rFonts w:cs="Arial" w:asciiTheme="minorEastAsia" w:hAnsiTheme="minorEastAsia"/>
                <w:color w:val="auto"/>
                <w:kern w:val="0"/>
                <w:szCs w:val="21"/>
                <w:highlight w:val="none"/>
              </w:rPr>
              <w:t>等管理功能；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*12.具备通借通还的流通识别和处理功能；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13.具有消息通知接收功能；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14.具有操作使用帮助提示功能。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15.实现总分馆建设，系统具有馆际流通功能。</w:t>
            </w:r>
          </w:p>
          <w:p>
            <w:pPr>
              <w:pStyle w:val="2"/>
              <w:spacing w:line="276" w:lineRule="auto"/>
              <w:ind w:firstLine="0" w:firstLineChars="0"/>
              <w:rPr>
                <w:rFonts w:asciiTheme="minorEastAsia" w:hAnsiTheme="minorEastAsia"/>
                <w:color w:val="auto"/>
                <w:highlight w:val="none"/>
              </w:rPr>
            </w:pPr>
            <w:r>
              <w:rPr>
                <w:rFonts w:hint="eastAsia" w:asciiTheme="minorEastAsia" w:hAnsiTheme="minorEastAsia"/>
                <w:color w:val="auto"/>
                <w:highlight w:val="none"/>
              </w:rPr>
              <w:t>1</w:t>
            </w:r>
            <w:r>
              <w:rPr>
                <w:rFonts w:asciiTheme="minorEastAsia" w:hAnsiTheme="minorEastAsia"/>
                <w:color w:val="auto"/>
                <w:highlight w:val="none"/>
              </w:rPr>
              <w:t>6.</w:t>
            </w:r>
            <w:r>
              <w:rPr>
                <w:rFonts w:hint="eastAsia" w:asciiTheme="minorEastAsia" w:hAnsiTheme="minorEastAsia"/>
                <w:color w:val="auto"/>
                <w:highlight w:val="none"/>
              </w:rPr>
              <w:t>具有操作使用帮助提示功能</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云图书馆</w:t>
            </w:r>
            <w:r>
              <w:rPr>
                <w:rFonts w:cs="Arial" w:asciiTheme="minorEastAsia" w:hAnsiTheme="minorEastAsia"/>
                <w:color w:val="auto"/>
                <w:kern w:val="0"/>
                <w:szCs w:val="21"/>
                <w:highlight w:val="none"/>
              </w:rPr>
              <w:t>管理</w:t>
            </w:r>
            <w:r>
              <w:rPr>
                <w:rFonts w:hint="eastAsia" w:cs="Arial" w:asciiTheme="minorEastAsia" w:hAnsiTheme="minorEastAsia"/>
                <w:color w:val="auto"/>
                <w:kern w:val="0"/>
                <w:szCs w:val="21"/>
                <w:highlight w:val="none"/>
              </w:rPr>
              <w:t>系统软件</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1.采用IOS和Android原生系统开发。</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2.借书管理、还书管理、赔书管理功能；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*3.押金管理：交押金、退押金管理，以及线上交、退押金功能；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4.馆际流通管理功能；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5.读者注册和管理功能；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6.开放设置、门禁检查功能；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7.检索、查询和全面统计功能；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8.通知、消息管理功能；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9.智能设备终端监控管理功能；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10.备用金管理功能；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11.管理员账户管理等功能。</w:t>
            </w:r>
          </w:p>
          <w:p>
            <w:pPr>
              <w:pStyle w:val="2"/>
              <w:spacing w:line="276" w:lineRule="auto"/>
              <w:ind w:firstLine="0" w:firstLineChars="0"/>
              <w:rPr>
                <w:rFonts w:asciiTheme="minorEastAsia" w:hAnsiTheme="minorEastAsia"/>
                <w:color w:val="auto"/>
                <w:highlight w:val="none"/>
              </w:rPr>
            </w:pPr>
            <w:r>
              <w:rPr>
                <w:rFonts w:hint="eastAsia" w:asciiTheme="minorEastAsia" w:hAnsiTheme="minorEastAsia"/>
                <w:color w:val="auto"/>
                <w:szCs w:val="24"/>
                <w:highlight w:val="none"/>
              </w:rPr>
              <w:t>12.操作使用帮助提示功能。</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云图书馆客户端软件</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1.采用IOS和Android原生系统开发。</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2.与图书馆管理系统无缝对接，数据互通。</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3.读者登录：提供读者在线注册功能、凭账号密码登录功能、找回密码功能；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4.图书馆检索功能：可根据图书馆的名称、馆别、地区等基本信息进行高级查询</w:t>
            </w:r>
            <w:r>
              <w:rPr>
                <w:rFonts w:hint="eastAsia" w:cs="Arial" w:asciiTheme="minorEastAsia" w:hAnsiTheme="minorEastAsia"/>
                <w:color w:val="auto"/>
                <w:kern w:val="0"/>
                <w:szCs w:val="21"/>
                <w:highlight w:val="none"/>
              </w:rPr>
              <w:t>和模糊搜索</w:t>
            </w:r>
            <w:r>
              <w:rPr>
                <w:rFonts w:cs="Arial" w:asciiTheme="minorEastAsia" w:hAnsiTheme="minorEastAsia"/>
                <w:color w:val="auto"/>
                <w:kern w:val="0"/>
                <w:szCs w:val="21"/>
                <w:highlight w:val="none"/>
              </w:rPr>
              <w: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5.图书馆详情展示与导航：包括图书馆的馆藏信息、开放时间、开放模式、借阅规则等，以及图书馆导航功能；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6.图书检索功能：可根据图书的书名、ISBN、类别、作者、出版社等基本信息进行高级查询；</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*7.图书详情展示与导航：能够全面展示图书馆藏信息，包括图书排架信息，实现图书精准定位，读者和图书管理员可获取图书具体位置信息；</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8.图书预约功能：读者可在线对图书进行预约和取消预约；</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9.数字资源检索功能：可根据数字资源的书名、ISBN、类别、作者、出版社等基本信息进行高级查询和模糊搜索；</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*10.数字资源在线阅读功能：读者在已登录的情况，可对电子书进行在线阅读，对视频进行在线观看；</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11.资讯的检索、详情查看与留言评论功能；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12.活动的检查、详情查看、在线报名功能；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13.提供借阅、点赞、阅读排行榜等大数展示功能；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14.个人账户管理功能：包括借阅读记录、收藏管理、读书笔记等功能；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*15.押金管理：押金详细记录、线上交押金、退押金功能。</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74" w:type="dxa"/>
            <w:gridSpan w:val="4"/>
            <w:vAlign w:val="center"/>
          </w:tcPr>
          <w:p>
            <w:pPr>
              <w:wordWrap w:val="0"/>
              <w:topLinePunct/>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（二）智能设备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空调（5</w:t>
            </w:r>
            <w:r>
              <w:rPr>
                <w:rFonts w:cs="Arial" w:asciiTheme="minorEastAsia" w:hAnsiTheme="minorEastAsia"/>
                <w:color w:val="auto"/>
                <w:kern w:val="0"/>
                <w:szCs w:val="21"/>
                <w:highlight w:val="none"/>
              </w:rPr>
              <w:t>P</w:t>
            </w:r>
            <w:r>
              <w:rPr>
                <w:rFonts w:hint="eastAsia" w:cs="Arial" w:asciiTheme="minorEastAsia" w:hAnsiTheme="minorEastAsia"/>
                <w:color w:val="auto"/>
                <w:kern w:val="0"/>
                <w:szCs w:val="21"/>
                <w:highlight w:val="none"/>
              </w:rPr>
              <w:t>）</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类别：柜机；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制冷类型：冷暖；</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匹数：</w:t>
            </w:r>
            <w:r>
              <w:rPr>
                <w:rFonts w:cs="Arial" w:asciiTheme="minorEastAsia" w:hAnsiTheme="minorEastAsia"/>
                <w:color w:val="auto"/>
                <w:kern w:val="0"/>
                <w:szCs w:val="21"/>
                <w:highlight w:val="none"/>
              </w:rPr>
              <w:t>5 匹</w:t>
            </w:r>
            <w:r>
              <w:rPr>
                <w:rFonts w:hint="eastAsia" w:cs="Arial" w:asciiTheme="minorEastAsia" w:hAnsiTheme="minorEastAsia"/>
                <w:color w:val="auto"/>
                <w:kern w:val="0"/>
                <w:szCs w:val="21"/>
                <w:highlight w:val="none"/>
              </w:rPr>
              <w: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适用面积（平方米）：</w:t>
            </w:r>
            <w:r>
              <w:rPr>
                <w:rFonts w:cs="Arial" w:asciiTheme="minorEastAsia" w:hAnsiTheme="minorEastAsia"/>
                <w:color w:val="auto"/>
                <w:kern w:val="0"/>
                <w:szCs w:val="21"/>
                <w:highlight w:val="none"/>
              </w:rPr>
              <w:t>46-70</w:t>
            </w:r>
            <w:r>
              <w:rPr>
                <w:rFonts w:hint="eastAsia" w:cs="Arial" w:asciiTheme="minorEastAsia" w:hAnsiTheme="minorEastAsia"/>
                <w:color w:val="auto"/>
                <w:kern w:val="0"/>
                <w:szCs w:val="21"/>
                <w:highlight w:val="none"/>
              </w:rPr>
              <w:t>；</w:t>
            </w:r>
          </w:p>
          <w:p>
            <w:pPr>
              <w:pStyle w:val="2"/>
              <w:spacing w:line="276" w:lineRule="auto"/>
              <w:ind w:firstLine="0" w:firstLineChars="0"/>
              <w:rPr>
                <w:rFonts w:cs="Arial" w:asciiTheme="minorEastAsia" w:hAnsiTheme="minorEastAsia"/>
                <w:color w:val="auto"/>
                <w:kern w:val="0"/>
                <w:szCs w:val="21"/>
                <w:highlight w:val="none"/>
              </w:rPr>
            </w:pPr>
            <w:r>
              <w:rPr>
                <w:rFonts w:hint="eastAsia" w:asciiTheme="minorEastAsia" w:hAnsiTheme="minorEastAsia"/>
                <w:color w:val="auto"/>
                <w:highlight w:val="none"/>
              </w:rPr>
              <w:t>额定制冷量</w:t>
            </w:r>
            <w:r>
              <w:rPr>
                <w:rFonts w:cs="Arial" w:asciiTheme="minorEastAsia" w:hAnsiTheme="minorEastAsia"/>
                <w:color w:val="auto"/>
                <w:kern w:val="0"/>
                <w:szCs w:val="21"/>
                <w:highlight w:val="none"/>
              </w:rPr>
              <w:t>≥12200W</w:t>
            </w:r>
          </w:p>
          <w:p>
            <w:pPr>
              <w:pStyle w:val="4"/>
              <w:spacing w:line="276" w:lineRule="auto"/>
              <w:ind w:left="0" w:leftChars="0" w:firstLine="0" w:firstLineChars="0"/>
              <w:rPr>
                <w:rFonts w:asciiTheme="minorEastAsia" w:hAnsiTheme="minorEastAsia"/>
                <w:color w:val="auto"/>
                <w:highlight w:val="none"/>
              </w:rPr>
            </w:pPr>
            <w:r>
              <w:rPr>
                <w:rFonts w:hint="eastAsia" w:asciiTheme="minorEastAsia" w:hAnsiTheme="minorEastAsia"/>
                <w:color w:val="auto"/>
                <w:highlight w:val="none"/>
              </w:rPr>
              <w:t>额定制热量</w:t>
            </w:r>
            <w:r>
              <w:rPr>
                <w:rFonts w:cs="Arial" w:asciiTheme="minorEastAsia" w:hAnsiTheme="minorEastAsia"/>
                <w:color w:val="auto"/>
                <w:kern w:val="0"/>
                <w:szCs w:val="21"/>
                <w:highlight w:val="none"/>
              </w:rPr>
              <w:t>≥13000W</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循环风量（</w:t>
            </w:r>
            <w:r>
              <w:rPr>
                <w:rFonts w:cs="Arial" w:asciiTheme="minorEastAsia" w:hAnsiTheme="minorEastAsia"/>
                <w:color w:val="auto"/>
                <w:kern w:val="0"/>
                <w:szCs w:val="21"/>
                <w:highlight w:val="none"/>
              </w:rPr>
              <w:t>m3/h）：2050</w:t>
            </w:r>
            <w:r>
              <w:rPr>
                <w:rFonts w:hint="eastAsia" w:cs="Arial" w:asciiTheme="minorEastAsia" w:hAnsiTheme="minorEastAsia"/>
                <w:color w:val="auto"/>
                <w:kern w:val="0"/>
                <w:szCs w:val="21"/>
                <w:highlight w:val="none"/>
              </w:rPr>
              <w: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电压</w:t>
            </w:r>
            <w:r>
              <w:rPr>
                <w:rFonts w:cs="Arial" w:asciiTheme="minorEastAsia" w:hAnsiTheme="minorEastAsia"/>
                <w:color w:val="auto"/>
                <w:kern w:val="0"/>
                <w:szCs w:val="21"/>
                <w:highlight w:val="none"/>
              </w:rPr>
              <w:t>/频率（V/HZ）： 380/50</w:t>
            </w:r>
            <w:r>
              <w:rPr>
                <w:rFonts w:hint="eastAsia" w:cs="Arial" w:asciiTheme="minorEastAsia" w:hAnsiTheme="minorEastAsia"/>
                <w:color w:val="auto"/>
                <w:kern w:val="0"/>
                <w:szCs w:val="21"/>
                <w:highlight w:val="none"/>
              </w:rPr>
              <w:t>。</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读者注册识别机</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1.工作频率：13.56MHz。</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2.系统：Android/LINUX；</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3.显示屏：工业级液晶触摸屏，≥7英寸；</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4.尺寸：≤280*250*50mm。</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*5.壁挂式，安装简单，占地空间小。</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*6.可以凭二代身份证快速完成读者自助注册；</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Segoe UI Symbol" w:asciiTheme="minorEastAsia" w:hAnsiTheme="minorEastAsia"/>
                <w:color w:val="auto"/>
                <w:kern w:val="0"/>
                <w:szCs w:val="21"/>
                <w:highlight w:val="none"/>
              </w:rPr>
              <w:t>★</w:t>
            </w:r>
            <w:r>
              <w:rPr>
                <w:rFonts w:cs="Arial" w:asciiTheme="minorEastAsia" w:hAnsiTheme="minorEastAsia"/>
                <w:color w:val="auto"/>
                <w:kern w:val="0"/>
                <w:szCs w:val="21"/>
                <w:highlight w:val="none"/>
              </w:rPr>
              <w:t>7.提供扫码（手机二维码）、刷证（二代身份证/读者证）、输入账号密码三种进馆识别方式，以满足不同读者的用户习惯需求；</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*8.与相关翼闸或门禁联动，自动控制其开关；</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9.具备各项数据采集功能，业务数据在后台运营系统实时可查；</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10.工作状态可通过后台运营系统实时监控；</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11.操作简单，人机交互体验好。</w:t>
            </w:r>
          </w:p>
          <w:p>
            <w:pPr>
              <w:spacing w:line="276" w:lineRule="auto"/>
              <w:jc w:val="left"/>
              <w:rPr>
                <w:rFonts w:asciiTheme="minorEastAsia" w:hAnsiTheme="minorEastAsia"/>
                <w:color w:val="auto"/>
                <w:szCs w:val="24"/>
                <w:highlight w:val="none"/>
              </w:rPr>
            </w:pPr>
            <w:r>
              <w:rPr>
                <w:rFonts w:hint="eastAsia" w:asciiTheme="minorEastAsia" w:hAnsiTheme="minorEastAsia"/>
                <w:color w:val="auto"/>
                <w:szCs w:val="24"/>
                <w:highlight w:val="none"/>
              </w:rPr>
              <w:t>12.通信接口：USB、网口。</w:t>
            </w:r>
          </w:p>
          <w:p>
            <w:pPr>
              <w:spacing w:line="276" w:lineRule="auto"/>
              <w:jc w:val="left"/>
              <w:rPr>
                <w:rFonts w:asciiTheme="minorEastAsia" w:hAnsiTheme="minorEastAsia"/>
                <w:color w:val="auto"/>
                <w:szCs w:val="24"/>
                <w:highlight w:val="none"/>
              </w:rPr>
            </w:pPr>
            <w:r>
              <w:rPr>
                <w:rFonts w:hint="eastAsia" w:asciiTheme="minorEastAsia" w:hAnsiTheme="minorEastAsia"/>
                <w:color w:val="auto"/>
                <w:szCs w:val="24"/>
                <w:highlight w:val="none"/>
              </w:rPr>
              <w:t>13.电源：DC 12V/500mA。</w:t>
            </w:r>
          </w:p>
          <w:p>
            <w:pPr>
              <w:spacing w:line="276" w:lineRule="auto"/>
              <w:jc w:val="left"/>
              <w:rPr>
                <w:rFonts w:asciiTheme="minorEastAsia" w:hAnsiTheme="minorEastAsia"/>
                <w:color w:val="auto"/>
                <w:szCs w:val="24"/>
                <w:highlight w:val="none"/>
              </w:rPr>
            </w:pPr>
            <w:r>
              <w:rPr>
                <w:rFonts w:hint="eastAsia" w:asciiTheme="minorEastAsia" w:hAnsiTheme="minorEastAsia"/>
                <w:color w:val="auto"/>
                <w:szCs w:val="24"/>
                <w:highlight w:val="none"/>
              </w:rPr>
              <w:t>14.额定功率：6W。</w:t>
            </w:r>
          </w:p>
          <w:p>
            <w:pPr>
              <w:spacing w:line="276" w:lineRule="auto"/>
              <w:jc w:val="left"/>
              <w:rPr>
                <w:rFonts w:asciiTheme="minorEastAsia" w:hAnsiTheme="minorEastAsia"/>
                <w:color w:val="auto"/>
                <w:szCs w:val="24"/>
                <w:highlight w:val="none"/>
              </w:rPr>
            </w:pPr>
            <w:r>
              <w:rPr>
                <w:rFonts w:hint="eastAsia" w:asciiTheme="minorEastAsia" w:hAnsiTheme="minorEastAsia"/>
                <w:color w:val="auto"/>
                <w:szCs w:val="24"/>
                <w:highlight w:val="none"/>
              </w:rPr>
              <w:t>15.材质：工程塑料/碳钢。</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图书自助借还机</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1.工作频率：13.56MHz。</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2.系统：Android/LINUX；</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3.显示屏：工业级液晶触摸屏，≥8英寸；</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4.通信接口：网口；</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5.尺寸：≤400*300*70mm。</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*6.壁挂式，安装简单，占地空间小。</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Segoe UI Symbol" w:asciiTheme="minorEastAsia" w:hAnsiTheme="minorEastAsia"/>
                <w:color w:val="auto"/>
                <w:kern w:val="0"/>
                <w:szCs w:val="21"/>
                <w:highlight w:val="none"/>
              </w:rPr>
              <w:t>★</w:t>
            </w:r>
            <w:r>
              <w:rPr>
                <w:rFonts w:cs="Arial" w:asciiTheme="minorEastAsia" w:hAnsiTheme="minorEastAsia"/>
                <w:color w:val="auto"/>
                <w:kern w:val="0"/>
                <w:szCs w:val="21"/>
                <w:highlight w:val="none"/>
              </w:rPr>
              <w:t>7.支持读者通过刷证（二代身份证/读者证）和输入账号密码两种方式，快速完成自助借书的功能；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*8.支持快捷自助还书功能；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9.支持借阅记录查询功能；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*10.单次业务处理能力在5册以上；</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11.具备各项数据采集功能，业务数据在后台运营系统实时可查；</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12.工作状态可通过后台运营系统实时监控；</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13.操作简单，人机交互体验好。</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w:t>
            </w:r>
          </w:p>
        </w:tc>
        <w:tc>
          <w:tcPr>
            <w:tcW w:w="803" w:type="dxa"/>
            <w:vAlign w:val="center"/>
          </w:tcPr>
          <w:p>
            <w:pPr>
              <w:wordWrap w:val="0"/>
              <w:topLinePunct/>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RFID门禁</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1.工作频率：13.56MHz；</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2.协议标准：ISO/IEC15693，ISO18000-3。</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*3.响应速度：≥18个/秒标签；</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*4.标签同时识别数量：≥8个。</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5.通信接口：网口。</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6.非接触式快速识别粘贴在流通资料上的RFID电子标签；</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*7.具备批量扫描识别功能，能同时扫描识别10本以内书籍的RFID电子标签；</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8.具有高侦测性能，能够进行三维监测，报警功能无误报、无漏报；</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9.具有故障报警提示功能；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10.与云图书馆管理系统无缝连接，在识别书籍信息后与系统数据进行比对，识别书籍借阅状态，对未办借书籍即时进行报警提示；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*11.与通道、借还机联动，控制通道的开启关闭；</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12.具有断电开闸、来电自动重启等功能，满足消防要求；</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13.具备各项数据采集功能，业务数据在后台运营系统实时可查；</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14.工作状态可通过后台运营系统实时监控。</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w:t>
            </w:r>
            <w:r>
              <w:rPr>
                <w:rFonts w:cs="Arial" w:asciiTheme="minorEastAsia" w:hAnsiTheme="minorEastAsia"/>
                <w:color w:val="auto"/>
                <w:kern w:val="0"/>
                <w:szCs w:val="21"/>
                <w:highlight w:val="none"/>
              </w:rPr>
              <w:t>0</w:t>
            </w:r>
          </w:p>
        </w:tc>
        <w:tc>
          <w:tcPr>
            <w:tcW w:w="803" w:type="dxa"/>
            <w:vAlign w:val="center"/>
          </w:tcPr>
          <w:p>
            <w:pPr>
              <w:wordWrap w:val="0"/>
              <w:topLinePunct/>
              <w:snapToGrid w:val="0"/>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智能空调控制系统</w:t>
            </w:r>
          </w:p>
        </w:tc>
        <w:tc>
          <w:tcPr>
            <w:tcW w:w="7469" w:type="dxa"/>
            <w:vAlign w:val="center"/>
          </w:tcPr>
          <w:p>
            <w:pPr>
              <w:wordWrap w:val="0"/>
              <w:topLinePunct/>
              <w:adjustRightInd w:val="0"/>
              <w:snapToGrid w:val="0"/>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空调根据温度的高低进行自动调节，无论室外温度如何变</w:t>
            </w:r>
          </w:p>
          <w:p>
            <w:pPr>
              <w:wordWrap w:val="0"/>
              <w:topLinePunct/>
              <w:adjustRightInd w:val="0"/>
              <w:snapToGrid w:val="0"/>
              <w:jc w:val="left"/>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化，馆内的温度保持一致。</w:t>
            </w:r>
          </w:p>
        </w:tc>
        <w:tc>
          <w:tcPr>
            <w:tcW w:w="463" w:type="dxa"/>
            <w:vAlign w:val="center"/>
          </w:tcPr>
          <w:p>
            <w:pPr>
              <w:wordWrap w:val="0"/>
              <w:topLinePunct/>
              <w:adjustRightInd w:val="0"/>
              <w:snapToGrid w:val="0"/>
              <w:jc w:val="center"/>
              <w:rPr>
                <w:rFonts w:cs="Arial" w:asciiTheme="majorEastAsia" w:hAnsiTheme="majorEastAsia" w:eastAsiaTheme="majorEastAsia"/>
                <w:color w:val="auto"/>
                <w:kern w:val="0"/>
                <w:szCs w:val="21"/>
                <w:highlight w:val="none"/>
              </w:rPr>
            </w:pPr>
            <w:r>
              <w:rPr>
                <w:rFonts w:hint="eastAsia" w:cs="Arial" w:asciiTheme="majorEastAsia" w:hAnsiTheme="majorEastAsia" w:eastAsiaTheme="majorEastAsia"/>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w:t>
            </w:r>
            <w:r>
              <w:rPr>
                <w:rFonts w:cs="Arial" w:asciiTheme="minorEastAsia" w:hAnsiTheme="minorEastAsia"/>
                <w:color w:val="auto"/>
                <w:kern w:val="0"/>
                <w:szCs w:val="21"/>
                <w:highlight w:val="none"/>
              </w:rPr>
              <w:t>1</w:t>
            </w:r>
          </w:p>
        </w:tc>
        <w:tc>
          <w:tcPr>
            <w:tcW w:w="803" w:type="dxa"/>
            <w:vAlign w:val="center"/>
          </w:tcPr>
          <w:p>
            <w:pPr>
              <w:wordWrap w:val="0"/>
              <w:topLinePunct/>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灯具、灯具感应器</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（每套包含4个灯、4个灯具感应器）</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灯具规格要求：</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灯光：全白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功率：36W</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电压：111V-240V</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照射面积：15M²-30M²</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工艺：吹塑</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灯身主材：ABS+五金底盘</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灯罩主材质：PMMA高透光率灯罩</w:t>
            </w:r>
          </w:p>
          <w:p>
            <w:pPr>
              <w:wordWrap w:val="0"/>
              <w:topLinePunct/>
              <w:adjustRightInd w:val="0"/>
              <w:snapToGrid w:val="0"/>
              <w:spacing w:line="276" w:lineRule="auto"/>
              <w:jc w:val="left"/>
              <w:rPr>
                <w:rFonts w:cs="Arial" w:asciiTheme="minorEastAsia" w:hAnsiTheme="minorEastAsia"/>
                <w:color w:val="auto"/>
                <w:kern w:val="0"/>
                <w:szCs w:val="21"/>
                <w:highlight w:val="none"/>
              </w:rPr>
            </w:pP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灯具感应器规格：</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名称：人体红外感应开关</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材料：ABS环保阻燃外壳</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负载功率：100W</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工作电压：AC175-250V</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感光照度：5-500LUX</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感应角度：墙壁120°、天花板360°</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感应距离：5-8M</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感应模式：人体红外运动</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w:t>
            </w:r>
          </w:p>
        </w:tc>
        <w:tc>
          <w:tcPr>
            <w:tcW w:w="803" w:type="dxa"/>
            <w:vAlign w:val="center"/>
          </w:tcPr>
          <w:p>
            <w:pPr>
              <w:wordWrap w:val="0"/>
              <w:topLinePunct/>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智能监控系统</w:t>
            </w:r>
          </w:p>
        </w:tc>
        <w:tc>
          <w:tcPr>
            <w:tcW w:w="7469" w:type="dxa"/>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智能监控系统能有效进行事前预警、事中处理、事后及时取证，具有全天候、全自动、实时监控、实时互动的特点，对提高自助图书馆安全运行、故障和危机处理，构建了一个安全、便利、快捷的环境。</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1.可实时监控和记录所有的读者和图书及其它流通资料的进出事件，可通过TCP/IP实现远程诊断和监控；</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2.支持PC端、移动终端同时4通道画面监视，P2P全网络支持；</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3.读者在遇到紧急情况或者其他特殊情况时，可通过安全报警呼叫机联系管理人员，与外面取得联系；</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4.与</w:t>
            </w:r>
            <w:r>
              <w:rPr>
                <w:rFonts w:hint="eastAsia" w:cs="Arial" w:asciiTheme="minorEastAsia" w:hAnsiTheme="minorEastAsia"/>
                <w:color w:val="auto"/>
                <w:kern w:val="0"/>
                <w:szCs w:val="21"/>
                <w:highlight w:val="none"/>
              </w:rPr>
              <w:t>云</w:t>
            </w:r>
            <w:r>
              <w:rPr>
                <w:rFonts w:cs="Arial" w:asciiTheme="minorEastAsia" w:hAnsiTheme="minorEastAsia"/>
                <w:color w:val="auto"/>
                <w:kern w:val="0"/>
                <w:szCs w:val="21"/>
                <w:highlight w:val="none"/>
              </w:rPr>
              <w:t>图书馆平台系统无缝对接，实现图书馆云端查看管理功能。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5.系统配置200万像素高清摄像头4个，网络硬盘录像机1台，4TB监控专用硬盘1块，安全报警呼叫机1台，烟雾报警器1个，应急照明灯1台，5kg干粉灭火器1个。</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一、高清摄像头</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1.采用200万像素CMOS图像传感器；</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2.支持H.264/H.265编码格式；</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3.最低照度：≤0.01Lux(彩色模式)；≤0.001Lux(黑白模式)；0Lux（红外灯开启）；</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4.最大红外距离≥30米；</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5.采用逐行扫描方式，具备3D降噪功能，信噪比&gt;56dB；</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6.支持宽动态，具有3D降噪、强光抑制、背光补偿等功能；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7.支持移动检测、视频遮挡、场景变更、网络断开、IP冲突、非法访问等智能报警功能；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8.具有1个10/100M以太网口；</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9.支持内置MIC；</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10.产品能够在-40</w:t>
            </w:r>
            <w:r>
              <w:rPr>
                <w:rFonts w:hint="eastAsia" w:cs="宋体" w:asciiTheme="minorEastAsia" w:hAnsiTheme="minorEastAsia"/>
                <w:color w:val="auto"/>
                <w:kern w:val="0"/>
                <w:szCs w:val="21"/>
                <w:highlight w:val="none"/>
              </w:rPr>
              <w:t>℃</w:t>
            </w:r>
            <w:r>
              <w:rPr>
                <w:rFonts w:cs="Arial" w:asciiTheme="minorEastAsia" w:hAnsiTheme="minorEastAsia"/>
                <w:color w:val="auto"/>
                <w:kern w:val="0"/>
                <w:szCs w:val="21"/>
                <w:highlight w:val="none"/>
              </w:rPr>
              <w:t>~+60</w:t>
            </w:r>
            <w:r>
              <w:rPr>
                <w:rFonts w:hint="eastAsia" w:cs="宋体" w:asciiTheme="minorEastAsia" w:hAnsiTheme="minorEastAsia"/>
                <w:color w:val="auto"/>
                <w:kern w:val="0"/>
                <w:szCs w:val="21"/>
                <w:highlight w:val="none"/>
              </w:rPr>
              <w:t>℃</w:t>
            </w:r>
            <w:r>
              <w:rPr>
                <w:rFonts w:cs="Arial" w:asciiTheme="minorEastAsia" w:hAnsiTheme="minorEastAsia"/>
                <w:color w:val="auto"/>
                <w:kern w:val="0"/>
                <w:szCs w:val="21"/>
                <w:highlight w:val="none"/>
              </w:rPr>
              <w:t>温度，湿度≤95%的环境下稳定工作。</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二、网络硬盘录像机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1.支持WEB、本地GUI界面操作；</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2.支持H.264/H.265视频压缩标准；</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3.可接驳支持ONVIF、RTSP协议的第三方摄像机和主流品牌摄像机；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4.支持IPv4、HTTP、NTP、DNS、ONVIF等网络协议；</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5.支持最大4路网络视频接入，网络性能接入40Mbps，储存32Mbps，转发32Mbps；</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6.支持4K/6M/5M/4M/3M/1080P/1.3M/720P IPC分辨率接入；</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7.支持1×4K/1×6M/1×5M/2×4M/4×1080P/8×720P解码，最大支持4路视频回放；</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8.支持1路VGA，1路HDMI，支持VGA/HDMI视频异源输出；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9.支持1个内置SATA接口，单盘容量支持8T；</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10.支持语音对讲1路输出；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11.支持2个USB接口；</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12.支持4个百兆带POE供电以太网口，1个百兆以太网口；</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13.支持本机硬盘、网络等存储方式，支持外接USB存储设备备份方式；</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14.支持零键添加、一键添加摄像机显示监控画面。</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三、监控专用硬盘</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1.3.5英寸SATA接口；</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2.硬盘容量不小于4TB；</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3.缓存区容量不小于64MB；</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4.硬盘转速不低于5900rpm。</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四、安全报警呼叫机</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1.支持一键SOS紧急报警；</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2.支持发送短信报警功能；</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3.支持语音双向对讲；</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4.支持设置联系人ID；</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5.支持电话白名单接听；</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6.无线标准：315/433MHz；</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7.内置喇叭，不需外接警号；</w:t>
            </w:r>
          </w:p>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8.内置可充电备用电池。</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174" w:type="dxa"/>
            <w:gridSpan w:val="4"/>
            <w:vAlign w:val="center"/>
          </w:tcPr>
          <w:p>
            <w:pPr>
              <w:wordWrap w:val="0"/>
              <w:topLinePunct/>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（三）馆藏资源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移动电子书</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建设2.5万册移动电子图书数据库，</w:t>
            </w:r>
            <w:r>
              <w:rPr>
                <w:rFonts w:hint="eastAsia" w:cs="Arial" w:asciiTheme="minorEastAsia" w:hAnsiTheme="minorEastAsia"/>
                <w:color w:val="auto"/>
                <w:kern w:val="0"/>
                <w:szCs w:val="21"/>
                <w:highlight w:val="none"/>
              </w:rPr>
              <w:t>分配到5个分馆，每个分馆5</w:t>
            </w:r>
            <w:r>
              <w:rPr>
                <w:rFonts w:cs="Arial" w:asciiTheme="minorEastAsia" w:hAnsiTheme="minorEastAsia"/>
                <w:color w:val="auto"/>
                <w:kern w:val="0"/>
                <w:szCs w:val="21"/>
                <w:highlight w:val="none"/>
              </w:rPr>
              <w:t>000</w:t>
            </w:r>
            <w:r>
              <w:rPr>
                <w:rFonts w:hint="eastAsia" w:cs="Arial" w:asciiTheme="minorEastAsia" w:hAnsiTheme="minorEastAsia"/>
                <w:color w:val="auto"/>
                <w:kern w:val="0"/>
                <w:szCs w:val="21"/>
                <w:highlight w:val="none"/>
              </w:rPr>
              <w:t>册。</w:t>
            </w:r>
            <w:r>
              <w:rPr>
                <w:rFonts w:cs="Arial" w:asciiTheme="minorEastAsia" w:hAnsiTheme="minorEastAsia"/>
                <w:color w:val="auto"/>
                <w:kern w:val="0"/>
                <w:szCs w:val="21"/>
                <w:highlight w:val="none"/>
              </w:rPr>
              <w:t>包括中外名著、经典文学、专业图书、畅销图书、流行小说、重要文献等电子图书。Epub文件格式，具有模拟纸书翻页功能，带有夜间模式等多种可调背景。阅读平台与云图书馆平台兼容，读者能够直接通过和PC端网页直接阅读，定期更新。支持下载阅读和在线阅读两种方式。保证绝对知识产权，实现版权无优。</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25000册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74" w:type="dxa"/>
            <w:gridSpan w:val="4"/>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w:t>
            </w:r>
            <w:r>
              <w:rPr>
                <w:rFonts w:hint="eastAsia" w:cs="Arial" w:asciiTheme="minorEastAsia" w:hAnsiTheme="minorEastAsia"/>
                <w:color w:val="auto"/>
                <w:kern w:val="0"/>
                <w:szCs w:val="21"/>
                <w:highlight w:val="none"/>
              </w:rPr>
              <w:t>四</w:t>
            </w:r>
            <w:r>
              <w:rPr>
                <w:rFonts w:cs="Arial" w:asciiTheme="minorEastAsia" w:hAnsiTheme="minorEastAsia"/>
                <w:color w:val="auto"/>
                <w:kern w:val="0"/>
                <w:szCs w:val="21"/>
                <w:highlight w:val="none"/>
              </w:rPr>
              <w:t>）</w:t>
            </w:r>
            <w:r>
              <w:rPr>
                <w:rFonts w:hint="eastAsia" w:cs="Arial" w:asciiTheme="minorEastAsia" w:hAnsiTheme="minorEastAsia"/>
                <w:color w:val="auto"/>
                <w:kern w:val="0"/>
                <w:szCs w:val="21"/>
                <w:highlight w:val="none"/>
              </w:rPr>
              <w:t>其他</w:t>
            </w:r>
            <w:r>
              <w:rPr>
                <w:rFonts w:cs="Arial" w:asciiTheme="minorEastAsia" w:hAnsiTheme="minorEastAsia"/>
                <w:color w:val="auto"/>
                <w:kern w:val="0"/>
                <w:szCs w:val="21"/>
                <w:highlight w:val="none"/>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单面</w:t>
            </w:r>
            <w:r>
              <w:rPr>
                <w:rFonts w:cs="Arial" w:asciiTheme="minorEastAsia" w:hAnsiTheme="minorEastAsia"/>
                <w:color w:val="auto"/>
                <w:kern w:val="0"/>
                <w:szCs w:val="21"/>
                <w:highlight w:val="none"/>
              </w:rPr>
              <w:t>书架</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1.材质外观：钢制单面书架，颜色待定。</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2.高1800mm，宽1000mm，厚260mm，分6层。</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全钢结构，材质为普碳钢冷轧钢板（GB/T11253-2007）型号为：Q235。两侧为全封闭护板，矩形立柱为冷轧钢板模具折弯冲压成形，截面尺寸不低于（45*30）mm，立柱内侧冲压搁板调节孔，可根据出版物规格要求无障碍调节搁板高度，护板和立柱基材厚度不小于1.2mm。顶板、搁板基材厚度不小于1mm，顶板正面外沿高度不低于30mm,端面折弯向下内翻。前后围脚高度不低于80mm，向内折弯宽度不低于20mm，基材厚度不小于1.2mm。挂板宽度不低于110mm、挡条宽度不低于40mm，均为冷轧钢板冲压折弯成形，</w:t>
            </w:r>
            <w:r>
              <w:rPr>
                <w:rFonts w:hint="eastAsia" w:cs="Arial" w:asciiTheme="minorEastAsia" w:hAnsiTheme="minorEastAsia"/>
                <w:color w:val="auto"/>
                <w:kern w:val="0"/>
                <w:szCs w:val="21"/>
                <w:highlight w:val="none"/>
              </w:rPr>
              <w:t>基材厚度不小于</w:t>
            </w:r>
            <w:r>
              <w:rPr>
                <w:rFonts w:cs="Arial" w:asciiTheme="minorEastAsia" w:hAnsiTheme="minorEastAsia"/>
                <w:color w:val="auto"/>
                <w:kern w:val="0"/>
                <w:szCs w:val="21"/>
                <w:highlight w:val="none"/>
              </w:rPr>
              <w:t>1mm。后拉杆为圆钢，采用可调节螺栓链接，成对角线斜拉。</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4.书架应具有占地面积小、拆装方便的特点，并具有防倒设计。各零部件具有互换性，同一型号规格的零部件可以互换。</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5.静电喷塑处理，不生锈，不变色，不变形，符合国家标准GB/T13667.1-2003和环保要求。</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28</w:t>
            </w:r>
            <w:r>
              <w:rPr>
                <w:rFonts w:hint="eastAsia" w:cs="Arial" w:asciiTheme="minorEastAsia" w:hAnsiTheme="minorEastAsia"/>
                <w:color w:val="auto"/>
                <w:kern w:val="0"/>
                <w:szCs w:val="21"/>
                <w:highlight w:val="none"/>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15</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阅览桌椅</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1.规格：2000*1000*780mm（长*宽*高），一张阅览桌配6把椅子。</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材质：钢木结构，桌面采用等级为AA级及以上的优质实木（原木），表面结疤少，平整度、光洁度、硬度高，木材干燥处理至≤7%含水率；桌面板及桌脚板厚40mm，连接板厚度25mm，均须使用指接板整板，不得用指接板粘贴，不变形、不开裂、无虫孔、无死结、无气味。</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3.油漆：环保型油漆，五底三面八道工序，漆膜硬度达2H—3H之间，要求美观、无气味、不变色，光滑耐磨；表面光亮平整、无颗粒。</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4.产品应按相关国家标准和行业标准进行选料和制造，符合《室内装饰装修材料及人造板及其制品中甲醛释放限量》，《室内装饰装修材料木家具中有害物质限量》等国家标准要求。</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5.颜色根据现场环境及风格而定。</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w:t>
            </w:r>
            <w:r>
              <w:rPr>
                <w:rFonts w:hint="eastAsia" w:cs="Arial" w:asciiTheme="minorEastAsia" w:hAnsiTheme="minorEastAsia"/>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16</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文化模块制作</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根据馆内建设风格及采购人需求，定制一批分类标识牌、制度牌等。</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w:t>
            </w:r>
            <w:r>
              <w:rPr>
                <w:rFonts w:hint="eastAsia" w:cs="Arial" w:asciiTheme="minorEastAsia" w:hAnsiTheme="minorEastAsia"/>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74" w:type="dxa"/>
            <w:gridSpan w:val="4"/>
            <w:vAlign w:val="center"/>
          </w:tcPr>
          <w:p>
            <w:pPr>
              <w:wordWrap w:val="0"/>
              <w:topLinePunct/>
              <w:adjustRightInd w:val="0"/>
              <w:snapToGrid w:val="0"/>
              <w:spacing w:line="276" w:lineRule="auto"/>
              <w:jc w:val="left"/>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w:t>
            </w:r>
            <w:r>
              <w:rPr>
                <w:rFonts w:hint="eastAsia" w:cs="Arial" w:asciiTheme="minorEastAsia" w:hAnsiTheme="minorEastAsia"/>
                <w:color w:val="auto"/>
                <w:kern w:val="0"/>
                <w:szCs w:val="21"/>
                <w:highlight w:val="none"/>
              </w:rPr>
              <w:t>五</w:t>
            </w:r>
            <w:r>
              <w:rPr>
                <w:rFonts w:cs="Arial" w:asciiTheme="minorEastAsia" w:hAnsiTheme="minorEastAsia"/>
                <w:color w:val="auto"/>
                <w:kern w:val="0"/>
                <w:szCs w:val="21"/>
                <w:highlight w:val="none"/>
              </w:rPr>
              <w:t>）</w:t>
            </w:r>
            <w:r>
              <w:rPr>
                <w:rFonts w:hint="eastAsia" w:cs="Arial" w:asciiTheme="minorEastAsia" w:hAnsiTheme="minorEastAsia"/>
                <w:color w:val="auto"/>
                <w:kern w:val="0"/>
                <w:szCs w:val="21"/>
                <w:highlight w:val="none"/>
              </w:rPr>
              <w:t>配套设备安装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17</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电控玻璃门</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1.通过改造后，可实现玻璃门与智能设备联动，有效控制读者的出入行为；</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2.在识别外部读者有效身份信息后，磁力锁断开，允许读者进馆；</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3.可自动识别馆内读者的出门行为，若读者已办借或未携带书籍，磁力锁断开，允许读者出馆；</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4.地弹簧随时检测玻璃门的开闭状态，以保证读者离开后，及时回弹关闭玻璃门；</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5.读者携带未办借的书籍出门时，能与门禁系统联动，进出同时锁定；</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6.门禁系统最后一次报警后，进出同时锁定8秒以上，中间无间隔；</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7.所有设备均采用防死机机制，死机后无需人工操作，即可在短时间内恢复运行。</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8.门框尺寸：宽度60-90cm，高度200cm以内；</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9.开门方向：左外开（见下图）：</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drawing>
                <wp:inline distT="0" distB="0" distL="0" distR="0">
                  <wp:extent cx="3674745" cy="2781300"/>
                  <wp:effectExtent l="0" t="0" r="1905" b="0"/>
                  <wp:docPr id="3" name="图片 1" descr="安装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装图(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88652" cy="2791413"/>
                          </a:xfrm>
                          <a:prstGeom prst="rect">
                            <a:avLst/>
                          </a:prstGeom>
                          <a:noFill/>
                          <a:ln>
                            <a:noFill/>
                          </a:ln>
                        </pic:spPr>
                      </pic:pic>
                    </a:graphicData>
                  </a:graphic>
                </wp:inline>
              </w:drawing>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10.磁力锁要求：吸力不小于280kg拉力，无延时、即断即开；</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11.须安装地锁和无定位地弹簧。</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12.设备孔尺寸：230×250mm（长×宽），深度：50～80mm，下边缘距地面1370mm，左边缘距门边框30mm；</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13.线缆预埋：主电源及网络线至设备孔各一根，门禁、磁力锁至设备孔电源线各一根；</w:t>
            </w:r>
          </w:p>
          <w:p>
            <w:pPr>
              <w:wordWrap w:val="0"/>
              <w:topLinePunct/>
              <w:snapToGrid w:val="0"/>
              <w:spacing w:line="276" w:lineRule="auto"/>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14.线缆要求：电源线要求纯铜1.0～1.5平方2芯软护套线，网络线要求纯铜超五类屏蔽网线。</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cs="Arial" w:asciiTheme="minorEastAsia" w:hAnsiTheme="minorEastAsia"/>
                <w:color w:val="auto"/>
                <w:kern w:val="0"/>
                <w:szCs w:val="21"/>
                <w:highlight w:val="none"/>
              </w:rPr>
              <w:t>5</w:t>
            </w:r>
            <w:r>
              <w:rPr>
                <w:rFonts w:hint="eastAsia" w:cs="Arial" w:asciiTheme="minorEastAsia" w:hAnsiTheme="minorEastAsia"/>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w:t>
            </w:r>
            <w:r>
              <w:rPr>
                <w:rFonts w:cs="Arial" w:asciiTheme="minorEastAsia" w:hAnsiTheme="minorEastAsia"/>
                <w:color w:val="auto"/>
                <w:kern w:val="0"/>
                <w:szCs w:val="21"/>
                <w:highlight w:val="none"/>
              </w:rPr>
              <w:t>8</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安装施工费、调试费、技术服务费、运费等</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安装施工费、调试费、技术服务费、运费等 完成安陵镇现有书房的改造，包含：吊顶板材、地砖门禁系统设备安装、软件系统安装的弱电等。</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39" w:type="dxa"/>
            <w:vAlign w:val="center"/>
          </w:tcPr>
          <w:p>
            <w:pPr>
              <w:wordWrap w:val="0"/>
              <w:topLinePunct/>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1</w:t>
            </w:r>
            <w:r>
              <w:rPr>
                <w:rFonts w:cs="Arial" w:asciiTheme="minorEastAsia" w:hAnsiTheme="minorEastAsia"/>
                <w:color w:val="auto"/>
                <w:kern w:val="0"/>
                <w:szCs w:val="21"/>
                <w:highlight w:val="none"/>
              </w:rPr>
              <w:t>9</w:t>
            </w:r>
          </w:p>
        </w:tc>
        <w:tc>
          <w:tcPr>
            <w:tcW w:w="803"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宽带</w:t>
            </w:r>
          </w:p>
        </w:tc>
        <w:tc>
          <w:tcPr>
            <w:tcW w:w="7469" w:type="dxa"/>
            <w:vAlign w:val="center"/>
          </w:tcPr>
          <w:p>
            <w:pPr>
              <w:wordWrap w:val="0"/>
              <w:topLinePunct/>
              <w:snapToGrid w:val="0"/>
              <w:spacing w:line="276" w:lineRule="auto"/>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为五个分馆接入1</w:t>
            </w:r>
            <w:r>
              <w:rPr>
                <w:rFonts w:cs="Arial" w:asciiTheme="minorEastAsia" w:hAnsiTheme="minorEastAsia"/>
                <w:color w:val="auto"/>
                <w:kern w:val="0"/>
                <w:szCs w:val="21"/>
                <w:highlight w:val="none"/>
              </w:rPr>
              <w:t>00M</w:t>
            </w:r>
            <w:r>
              <w:rPr>
                <w:rFonts w:hint="eastAsia" w:cs="Arial" w:asciiTheme="minorEastAsia" w:hAnsiTheme="minorEastAsia"/>
                <w:color w:val="auto"/>
                <w:kern w:val="0"/>
                <w:szCs w:val="21"/>
                <w:highlight w:val="none"/>
              </w:rPr>
              <w:t>以上的专有网络。</w:t>
            </w:r>
          </w:p>
        </w:tc>
        <w:tc>
          <w:tcPr>
            <w:tcW w:w="463" w:type="dxa"/>
            <w:vAlign w:val="center"/>
          </w:tcPr>
          <w:p>
            <w:pPr>
              <w:wordWrap w:val="0"/>
              <w:topLinePunct/>
              <w:adjustRightInd w:val="0"/>
              <w:snapToGrid w:val="0"/>
              <w:spacing w:line="276" w:lineRule="auto"/>
              <w:jc w:val="center"/>
              <w:rPr>
                <w:rFonts w:cs="Arial" w:asciiTheme="minorEastAsia" w:hAnsiTheme="minorEastAsia"/>
                <w:color w:val="auto"/>
                <w:kern w:val="0"/>
                <w:szCs w:val="21"/>
                <w:highlight w:val="none"/>
              </w:rPr>
            </w:pPr>
            <w:r>
              <w:rPr>
                <w:rFonts w:hint="eastAsia" w:cs="Arial" w:asciiTheme="minorEastAsia" w:hAnsiTheme="minorEastAsia"/>
                <w:color w:val="auto"/>
                <w:kern w:val="0"/>
                <w:szCs w:val="21"/>
                <w:highlight w:val="none"/>
              </w:rPr>
              <w:t>3年</w:t>
            </w:r>
          </w:p>
        </w:tc>
      </w:tr>
    </w:tbl>
    <w:p>
      <w:pPr>
        <w:shd w:val="clear" w:color="auto" w:fill="FFFFFF"/>
        <w:spacing w:line="540" w:lineRule="exact"/>
        <w:ind w:firstLine="360" w:firstLineChars="150"/>
        <w:contextualSpacing/>
        <w:rPr>
          <w:rFonts w:cs="宋体" w:asciiTheme="minorEastAsia" w:hAnsiTheme="minorEastAsia"/>
          <w:color w:val="auto"/>
          <w:sz w:val="24"/>
          <w:highlight w:val="none"/>
        </w:rPr>
      </w:pPr>
      <w:r>
        <w:rPr>
          <w:rFonts w:hint="eastAsia" w:cs="宋体" w:asciiTheme="minorEastAsia" w:hAnsiTheme="minorEastAsia"/>
          <w:color w:val="auto"/>
          <w:sz w:val="24"/>
          <w:highlight w:val="none"/>
        </w:rPr>
        <w:t>注：由于本项目涉及系统与智能设备的对接，技术要求高、先进性强，要求中标供应商须在中标后5日内，向采购人提供平台系统及智能设备的实物演示。即能实现单个图书馆的智能借还，又能与县图书馆现有系统无缝对接，馆际互通，实现总分馆建设。</w:t>
      </w:r>
    </w:p>
    <w:p>
      <w:pPr>
        <w:widowControl/>
        <w:shd w:val="clear" w:color="auto" w:fill="FFFFFF"/>
        <w:spacing w:line="360" w:lineRule="auto"/>
        <w:jc w:val="left"/>
        <w:rPr>
          <w:rFonts w:ascii="仿宋" w:hAnsi="仿宋" w:eastAsia="仿宋" w:cs="宋体"/>
          <w:b/>
          <w:color w:val="auto"/>
          <w:kern w:val="0"/>
          <w:sz w:val="28"/>
          <w:szCs w:val="28"/>
          <w:highlight w:val="none"/>
        </w:rPr>
      </w:pPr>
    </w:p>
    <w:p>
      <w:pPr>
        <w:widowControl/>
        <w:shd w:val="clear" w:color="auto" w:fill="FFFFFF"/>
        <w:spacing w:line="360" w:lineRule="auto"/>
        <w:jc w:val="left"/>
        <w:rPr>
          <w:rFonts w:ascii="仿宋" w:hAnsi="仿宋" w:eastAsia="仿宋" w:cs="宋体"/>
          <w:b/>
          <w:color w:val="auto"/>
          <w:kern w:val="0"/>
          <w:sz w:val="28"/>
          <w:szCs w:val="28"/>
          <w:highlight w:val="none"/>
        </w:rPr>
        <w:sectPr>
          <w:footerReference r:id="rId3" w:type="default"/>
          <w:pgSz w:w="11906" w:h="16838"/>
          <w:pgMar w:top="1814" w:right="1474" w:bottom="1814" w:left="1474" w:header="851" w:footer="992" w:gutter="0"/>
          <w:pgNumType w:fmt="decimal" w:start="1"/>
          <w:cols w:space="425" w:num="1"/>
          <w:docGrid w:type="lines" w:linePitch="312" w:charSpace="0"/>
        </w:sectPr>
      </w:pPr>
    </w:p>
    <w:p>
      <w:pPr>
        <w:widowControl/>
        <w:shd w:val="clear" w:color="auto" w:fill="FFFFFF"/>
        <w:spacing w:line="360" w:lineRule="auto"/>
        <w:jc w:val="left"/>
        <w:rPr>
          <w:rFonts w:ascii="宋体" w:hAnsi="宋体" w:cs="仿宋_GB2312"/>
          <w:b/>
          <w:color w:val="auto"/>
          <w:sz w:val="24"/>
          <w:highlight w:val="none"/>
          <w:lang w:val="zh-CN"/>
        </w:rPr>
      </w:pPr>
      <w:r>
        <w:rPr>
          <w:rFonts w:hint="eastAsia" w:ascii="仿宋" w:hAnsi="仿宋" w:eastAsia="仿宋" w:cs="宋体"/>
          <w:b/>
          <w:color w:val="auto"/>
          <w:kern w:val="0"/>
          <w:sz w:val="28"/>
          <w:szCs w:val="28"/>
          <w:highlight w:val="none"/>
        </w:rPr>
        <w:t>二、其他要求：</w:t>
      </w:r>
    </w:p>
    <w:p>
      <w:pPr>
        <w:spacing w:line="360" w:lineRule="auto"/>
        <w:ind w:firstLine="480" w:firstLineChars="200"/>
        <w:contextualSpacing/>
        <w:rPr>
          <w:rFonts w:ascii="宋体" w:hAnsi="宋体" w:cs="仿宋_GB2312"/>
          <w:bCs/>
          <w:color w:val="auto"/>
          <w:sz w:val="24"/>
          <w:highlight w:val="none"/>
          <w:lang w:val="zh-CN"/>
        </w:rPr>
      </w:pPr>
      <w:r>
        <w:rPr>
          <w:rFonts w:hint="eastAsia" w:ascii="宋体" w:hAnsi="宋体" w:cs="仿宋_GB2312"/>
          <w:bCs/>
          <w:color w:val="auto"/>
          <w:sz w:val="24"/>
          <w:highlight w:val="none"/>
        </w:rPr>
        <w:t>1</w:t>
      </w:r>
      <w:r>
        <w:rPr>
          <w:rFonts w:hint="eastAsia" w:ascii="宋体" w:hAnsi="宋体" w:cs="仿宋_GB2312"/>
          <w:bCs/>
          <w:color w:val="auto"/>
          <w:sz w:val="24"/>
          <w:highlight w:val="none"/>
          <w:lang w:val="zh-CN"/>
        </w:rPr>
        <w:t>、投标人须明确投标产品的详细参数，否则为无效投标。</w:t>
      </w:r>
    </w:p>
    <w:p>
      <w:pPr>
        <w:spacing w:line="360" w:lineRule="auto"/>
        <w:ind w:firstLine="480" w:firstLineChars="200"/>
        <w:contextualSpacing/>
        <w:rPr>
          <w:rFonts w:ascii="宋体" w:hAnsi="宋体" w:cs="仿宋_GB2312"/>
          <w:bCs/>
          <w:color w:val="auto"/>
          <w:sz w:val="24"/>
          <w:highlight w:val="none"/>
          <w:lang w:val="zh-CN"/>
        </w:rPr>
      </w:pPr>
      <w:r>
        <w:rPr>
          <w:rFonts w:hint="eastAsia" w:ascii="宋体" w:hAnsi="宋体" w:cs="仿宋_GB2312"/>
          <w:bCs/>
          <w:color w:val="auto"/>
          <w:sz w:val="24"/>
          <w:highlight w:val="none"/>
        </w:rPr>
        <w:t>2、</w:t>
      </w:r>
      <w:r>
        <w:rPr>
          <w:rFonts w:hint="eastAsia" w:ascii="宋体" w:hAnsi="宋体" w:cs="仿宋_GB2312"/>
          <w:bCs/>
          <w:color w:val="auto"/>
          <w:sz w:val="24"/>
          <w:highlight w:val="none"/>
          <w:lang w:val="zh-CN"/>
        </w:rPr>
        <w:t>投标人应就该项目完整投标，否则为无效投标。</w:t>
      </w:r>
    </w:p>
    <w:p>
      <w:pPr>
        <w:spacing w:line="360" w:lineRule="auto"/>
        <w:ind w:firstLine="480" w:firstLineChars="200"/>
        <w:contextualSpacing/>
        <w:rPr>
          <w:rFonts w:ascii="宋体" w:hAnsi="宋体" w:cs="仿宋_GB2312"/>
          <w:bCs/>
          <w:color w:val="auto"/>
          <w:sz w:val="24"/>
          <w:highlight w:val="none"/>
          <w:lang w:val="zh-CN"/>
        </w:rPr>
      </w:pPr>
      <w:r>
        <w:rPr>
          <w:rFonts w:hint="eastAsia" w:ascii="宋体" w:hAnsi="宋体" w:cs="仿宋_GB2312"/>
          <w:bCs/>
          <w:color w:val="auto"/>
          <w:sz w:val="24"/>
          <w:highlight w:val="none"/>
        </w:rPr>
        <w:t>3</w:t>
      </w:r>
      <w:r>
        <w:rPr>
          <w:rFonts w:hint="eastAsia" w:ascii="宋体" w:hAnsi="宋体" w:cs="仿宋_GB2312"/>
          <w:bCs/>
          <w:color w:val="auto"/>
          <w:sz w:val="24"/>
          <w:highlight w:val="none"/>
          <w:lang w:val="zh-CN"/>
        </w:rPr>
        <w:t>、本招标文件所列需求为最低要求，投标产品不得低于最低要求，否则为无效投标。</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4</w:t>
      </w:r>
      <w:r>
        <w:rPr>
          <w:rFonts w:hint="eastAsia" w:ascii="宋体" w:hAnsi="宋体" w:cs="仿宋_GB2312"/>
          <w:color w:val="auto"/>
          <w:sz w:val="24"/>
          <w:highlight w:val="none"/>
          <w:lang w:val="zh-CN"/>
        </w:rPr>
        <w:t>、履约时间 ：自合同生效之日起30个工作日、完成安装调试并具备验收条。</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5</w:t>
      </w:r>
      <w:r>
        <w:rPr>
          <w:rFonts w:hint="eastAsia" w:ascii="宋体" w:hAnsi="宋体" w:cs="仿宋_GB2312"/>
          <w:color w:val="auto"/>
          <w:sz w:val="24"/>
          <w:highlight w:val="none"/>
          <w:lang w:val="zh-CN"/>
        </w:rPr>
        <w:t>、最高限价：</w:t>
      </w:r>
      <w:r>
        <w:rPr>
          <w:rFonts w:hint="eastAsia" w:ascii="宋体" w:hAnsi="宋体" w:cs="仿宋_GB2312"/>
          <w:color w:val="auto"/>
          <w:sz w:val="24"/>
          <w:highlight w:val="none"/>
        </w:rPr>
        <w:t>56万</w:t>
      </w:r>
      <w:r>
        <w:rPr>
          <w:rFonts w:hint="eastAsia" w:ascii="宋体" w:hAnsi="宋体" w:cs="仿宋_GB2312"/>
          <w:color w:val="auto"/>
          <w:sz w:val="24"/>
          <w:highlight w:val="none"/>
          <w:lang w:val="zh-CN"/>
        </w:rPr>
        <w:t>元，超出者为无效投标。</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6</w:t>
      </w:r>
      <w:r>
        <w:rPr>
          <w:rFonts w:hint="eastAsia" w:ascii="宋体" w:hAnsi="宋体" w:cs="仿宋_GB2312"/>
          <w:color w:val="auto"/>
          <w:sz w:val="24"/>
          <w:highlight w:val="none"/>
          <w:lang w:val="zh-CN"/>
        </w:rPr>
        <w:t>、投标人所投产品若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7、</w:t>
      </w:r>
      <w:r>
        <w:rPr>
          <w:rFonts w:hint="eastAsia" w:ascii="宋体" w:hAnsi="宋体" w:cs="仿宋_GB2312"/>
          <w:color w:val="auto"/>
          <w:sz w:val="24"/>
          <w:highlight w:val="none"/>
          <w:lang w:val="zh-CN"/>
        </w:rPr>
        <w:t>专利权：投标人应保证用户在使用该货物或其任何一部分时不受第三方提出侵犯其专利权、商标权和工业设计权等的起诉。(须提供加盖公章的承诺函)</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8</w:t>
      </w:r>
      <w:r>
        <w:rPr>
          <w:rFonts w:hint="eastAsia" w:ascii="宋体" w:hAnsi="宋体" w:cs="仿宋_GB2312"/>
          <w:color w:val="auto"/>
          <w:sz w:val="24"/>
          <w:highlight w:val="none"/>
          <w:lang w:val="zh-CN"/>
        </w:rPr>
        <w:t>、投标人须提供售后服务承诺书（须明确保证产品质量、并承诺承担因产品质量不合格造成的损失。须明确免费保修期，同时应提出故障响应时间，在免费保修期内，同一质量问题连续两次维修仍无法正常使用，投标人必须予以更换同品牌、同型号的全新产品，超过保修期发生故障，用户可自由选择维修单位，如委托给投标人，投标人不得借故推诿，并且维修费不能超过市场平均价格。）。</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9</w:t>
      </w:r>
      <w:r>
        <w:rPr>
          <w:rFonts w:hint="eastAsia" w:ascii="宋体" w:hAnsi="宋体" w:cs="仿宋_GB2312"/>
          <w:color w:val="auto"/>
          <w:sz w:val="24"/>
          <w:highlight w:val="none"/>
          <w:lang w:val="zh-CN"/>
        </w:rPr>
        <w:t>、本项目为交钥匙工程（包括制作、运输、专用工具、特殊工具、保险、安装调试、检测验收、质保、验收等产生的所有费用）。如有招标文件中没有明确，而本项目必须的各种材料、设备、施工器械均应包括在本项目中，采购人不再另行进行支付有关款项。</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10</w:t>
      </w:r>
      <w:r>
        <w:rPr>
          <w:rFonts w:hint="eastAsia" w:ascii="宋体" w:hAnsi="宋体" w:cs="仿宋_GB2312"/>
          <w:color w:val="auto"/>
          <w:sz w:val="24"/>
          <w:highlight w:val="none"/>
          <w:lang w:val="zh-CN"/>
        </w:rPr>
        <w:t>、验收标准</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10.</w:t>
      </w:r>
      <w:r>
        <w:rPr>
          <w:rFonts w:hint="eastAsia" w:ascii="宋体" w:hAnsi="宋体" w:cs="仿宋_GB2312"/>
          <w:color w:val="auto"/>
          <w:sz w:val="24"/>
          <w:highlight w:val="none"/>
          <w:lang w:val="zh-CN"/>
        </w:rPr>
        <w:t>1、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10.</w:t>
      </w:r>
      <w:r>
        <w:rPr>
          <w:rFonts w:hint="eastAsia" w:ascii="宋体" w:hAnsi="宋体" w:cs="仿宋_GB2312"/>
          <w:color w:val="auto"/>
          <w:sz w:val="24"/>
          <w:highlight w:val="none"/>
          <w:lang w:val="zh-CN"/>
        </w:rPr>
        <w:t>2、按照国家相关标准、行业标准、地方标准或者其他标准、规范验收。</w:t>
      </w:r>
    </w:p>
    <w:p>
      <w:pPr>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rPr>
        <w:t>10.</w:t>
      </w:r>
      <w:r>
        <w:rPr>
          <w:rFonts w:hint="eastAsia" w:ascii="宋体" w:hAnsi="宋体" w:cs="仿宋_GB2312"/>
          <w:color w:val="auto"/>
          <w:sz w:val="24"/>
          <w:highlight w:val="none"/>
          <w:lang w:val="zh-CN"/>
        </w:rPr>
        <w:t>3、按照招标文件要求、投标文件响应和承诺验收。</w:t>
      </w:r>
    </w:p>
    <w:p>
      <w:pPr>
        <w:pStyle w:val="2"/>
        <w:ind w:firstLine="0" w:firstLineChars="0"/>
        <w:rPr>
          <w:color w:val="auto"/>
          <w:highlight w:val="none"/>
        </w:rPr>
        <w:sectPr>
          <w:pgSz w:w="11906" w:h="16838"/>
          <w:pgMar w:top="1418" w:right="1474" w:bottom="1418" w:left="1474" w:header="851" w:footer="992" w:gutter="0"/>
          <w:pgNumType w:fmt="decimal"/>
          <w:cols w:space="425" w:num="1"/>
          <w:docGrid w:type="linesAndChars" w:linePitch="312" w:charSpace="0"/>
        </w:sectPr>
      </w:pPr>
    </w:p>
    <w:p>
      <w:pPr>
        <w:widowControl/>
        <w:ind w:firstLine="2331" w:firstLineChars="645"/>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第四章 政府采购政策功能</w:t>
      </w:r>
    </w:p>
    <w:p>
      <w:pPr>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根据《中华人民共和国政府采购法》、《中华人民共和国政府采购法实施条例》、《政府采购货物和服务招标投标管理办法》等规定，本项目</w:t>
      </w:r>
      <w:r>
        <w:rPr>
          <w:rFonts w:hint="eastAsia" w:ascii="宋体" w:hAnsi="宋体" w:cs="仿宋_GB2312"/>
          <w:color w:val="auto"/>
          <w:sz w:val="24"/>
          <w:szCs w:val="24"/>
          <w:highlight w:val="none"/>
          <w:lang w:val="zh-CN"/>
        </w:rPr>
        <w:t>落实节约能源、保护环境、</w:t>
      </w:r>
      <w:r>
        <w:rPr>
          <w:rFonts w:hint="eastAsia" w:cs="仿宋_GB2312" w:asciiTheme="minorEastAsia" w:hAnsiTheme="minorEastAsia"/>
          <w:color w:val="auto"/>
          <w:sz w:val="24"/>
          <w:highlight w:val="none"/>
          <w:lang w:val="zh-CN"/>
        </w:rPr>
        <w:t>促进中小企业发展、支持监狱企业发展、促进残疾人就业等政府采购政策。</w:t>
      </w:r>
    </w:p>
    <w:p>
      <w:pPr>
        <w:pStyle w:val="62"/>
        <w:spacing w:line="360" w:lineRule="auto"/>
        <w:ind w:firstLine="482" w:firstLineChars="200"/>
        <w:contextualSpacing/>
        <w:rPr>
          <w:rFonts w:ascii="宋体" w:hAnsi="宋体" w:cs="仿宋_GB2312"/>
          <w:b/>
          <w:color w:val="auto"/>
          <w:szCs w:val="24"/>
          <w:highlight w:val="none"/>
          <w:lang w:val="zh-CN"/>
        </w:rPr>
      </w:pPr>
      <w:r>
        <w:rPr>
          <w:rFonts w:hint="eastAsia" w:ascii="宋体" w:hAnsi="宋体" w:cs="仿宋_GB2312"/>
          <w:b/>
          <w:color w:val="auto"/>
          <w:szCs w:val="24"/>
          <w:highlight w:val="none"/>
          <w:lang w:val="zh-CN"/>
        </w:rPr>
        <w:t>一、节能能源、保护环境</w:t>
      </w:r>
    </w:p>
    <w:p>
      <w:pPr>
        <w:spacing w:line="360" w:lineRule="auto"/>
        <w:ind w:firstLine="470" w:firstLineChars="196"/>
        <w:contextualSpacing/>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360" w:lineRule="auto"/>
        <w:ind w:firstLine="472" w:firstLineChars="196"/>
        <w:contextualSpacing/>
        <w:rPr>
          <w:rFonts w:cs="仿宋_GB2312" w:asciiTheme="minorEastAsia" w:hAnsiTheme="minorEastAsia"/>
          <w:b/>
          <w:color w:val="auto"/>
          <w:sz w:val="24"/>
          <w:highlight w:val="none"/>
          <w:lang w:val="zh-CN"/>
        </w:rPr>
      </w:pPr>
      <w:r>
        <w:rPr>
          <w:rFonts w:hint="eastAsia" w:cs="仿宋_GB2312" w:asciiTheme="minorEastAsia" w:hAnsiTheme="minorEastAsia"/>
          <w:b/>
          <w:color w:val="auto"/>
          <w:sz w:val="24"/>
          <w:highlight w:val="none"/>
          <w:lang w:val="zh-CN"/>
        </w:rPr>
        <w:t>二、促进中小企业发展（不含民办非企业）</w:t>
      </w:r>
    </w:p>
    <w:p>
      <w:pPr>
        <w:spacing w:line="360" w:lineRule="auto"/>
        <w:ind w:firstLine="480" w:firstLineChars="200"/>
        <w:rPr>
          <w:rFonts w:ascii="宋体" w:hAnsi="宋体" w:cs="宋体"/>
          <w:b/>
          <w:color w:val="auto"/>
          <w:sz w:val="24"/>
          <w:szCs w:val="24"/>
          <w:highlight w:val="none"/>
        </w:rPr>
      </w:pPr>
      <w:r>
        <w:rPr>
          <w:rFonts w:hint="eastAsia" w:cs="仿宋_GB2312" w:asciiTheme="minorEastAsia" w:hAnsiTheme="minorEastAsia"/>
          <w:color w:val="auto"/>
          <w:sz w:val="24"/>
          <w:highlight w:val="none"/>
          <w:lang w:val="zh-CN"/>
        </w:rPr>
        <w:t>1、按照财政部、工业和信息化部发布的《政府采购促进中小企业发展暂行办法》（财库[2011]181号）规定，本项目为非专门面向中小企业采购的项目，对小型和微型企业产品的价格给予6%-10%的扣除，用扣除后的价格参与评审。</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3、联合体各方均为小型或微型企业的，联合体视同为小型、微型企业。组成联合体的大中型企业或者其他自然人、法人或其他组织，与小型、微型企业之间不得存在投资关系。</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4、中小企业投标应提供《中小企业声明函》，如为联合投标的，联合体各方需分别填写《中小企业声明函》。</w:t>
      </w:r>
    </w:p>
    <w:p>
      <w:pPr>
        <w:spacing w:line="360" w:lineRule="auto"/>
        <w:ind w:firstLine="482" w:firstLineChars="200"/>
        <w:rPr>
          <w:rFonts w:ascii="宋体" w:hAnsi="宋体" w:cs="宋体"/>
          <w:b/>
          <w:color w:val="auto"/>
          <w:sz w:val="24"/>
          <w:szCs w:val="24"/>
          <w:highlight w:val="none"/>
        </w:rPr>
      </w:pPr>
      <w:r>
        <w:rPr>
          <w:rFonts w:ascii="宋体" w:hAnsi="宋体" w:cs="宋体"/>
          <w:b/>
          <w:color w:val="auto"/>
          <w:sz w:val="24"/>
          <w:highlight w:val="none"/>
        </w:rPr>
        <w:t>本项目的扣除比例为：对小型企业产品的价格给予 6% 的扣除；对微型企业产品的价格给予 6% 的扣除。</w:t>
      </w:r>
    </w:p>
    <w:p>
      <w:pPr>
        <w:topLinePunct/>
        <w:spacing w:line="360" w:lineRule="auto"/>
        <w:ind w:firstLine="482" w:firstLineChars="200"/>
        <w:contextualSpacing/>
        <w:rPr>
          <w:rFonts w:cs="仿宋_GB2312" w:asciiTheme="minorEastAsia" w:hAnsiTheme="minorEastAsia"/>
          <w:b/>
          <w:color w:val="auto"/>
          <w:sz w:val="24"/>
          <w:highlight w:val="none"/>
          <w:lang w:val="zh-CN"/>
        </w:rPr>
      </w:pPr>
      <w:r>
        <w:rPr>
          <w:rFonts w:hint="eastAsia" w:cs="仿宋_GB2312" w:asciiTheme="minorEastAsia" w:hAnsiTheme="minorEastAsia"/>
          <w:b/>
          <w:color w:val="auto"/>
          <w:sz w:val="24"/>
          <w:highlight w:val="none"/>
          <w:lang w:val="zh-CN"/>
        </w:rPr>
        <w:t>三、支持监狱企业发展</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opLinePunct/>
        <w:spacing w:line="360" w:lineRule="auto"/>
        <w:ind w:firstLine="480" w:firstLineChars="200"/>
        <w:contextualSpacing/>
        <w:rPr>
          <w:rFonts w:cs="仿宋_GB2312" w:asciiTheme="minorEastAsia" w:hAnsiTheme="minorEastAsia"/>
          <w:color w:val="auto"/>
          <w:sz w:val="24"/>
          <w:highlight w:val="none"/>
          <w:lang w:val="zh-CN"/>
        </w:rPr>
      </w:pPr>
      <w:r>
        <w:rPr>
          <w:rFonts w:hint="eastAsia" w:cs="仿宋_GB2312" w:asciiTheme="minorEastAsia" w:hAnsiTheme="minorEastAsia"/>
          <w:color w:val="auto"/>
          <w:sz w:val="24"/>
          <w:highlight w:val="none"/>
          <w:lang w:val="zh-CN"/>
        </w:rPr>
        <w:t>3、成交人为残疾人福利性单位的，招标人应当随成交结果同时公告其《残疾人福利性单位声明函》，接受社会监督。</w:t>
      </w:r>
    </w:p>
    <w:p>
      <w:pPr>
        <w:topLinePunct/>
        <w:spacing w:line="360" w:lineRule="auto"/>
        <w:ind w:firstLine="480" w:firstLineChars="200"/>
        <w:contextualSpacing/>
        <w:rPr>
          <w:rFonts w:cs="仿宋_GB2312" w:asciiTheme="minorEastAsia" w:hAnsiTheme="minorEastAsia"/>
          <w:color w:val="auto"/>
          <w:sz w:val="24"/>
          <w:highlight w:val="none"/>
          <w:lang w:val="zh-CN"/>
        </w:rPr>
      </w:pPr>
    </w:p>
    <w:p>
      <w:pPr>
        <w:topLinePunct/>
        <w:spacing w:line="360" w:lineRule="auto"/>
        <w:ind w:firstLine="1320" w:firstLineChars="550"/>
        <w:contextualSpacing/>
        <w:rPr>
          <w:rFonts w:cs="仿宋_GB2312" w:asciiTheme="minorEastAsia" w:hAnsiTheme="minorEastAsia"/>
          <w:color w:val="auto"/>
          <w:sz w:val="36"/>
          <w:szCs w:val="36"/>
          <w:highlight w:val="none"/>
          <w:lang w:val="zh-CN"/>
        </w:rPr>
      </w:pPr>
      <w:r>
        <w:rPr>
          <w:rFonts w:cs="仿宋_GB2312" w:asciiTheme="minorEastAsia" w:hAnsiTheme="minorEastAsia"/>
          <w:color w:val="auto"/>
          <w:sz w:val="24"/>
          <w:highlight w:val="none"/>
          <w:lang w:val="zh-CN"/>
        </w:rPr>
        <w:br w:type="page"/>
      </w:r>
      <w:r>
        <w:rPr>
          <w:rFonts w:hint="eastAsia" w:cs="宋体" w:asciiTheme="majorEastAsia" w:hAnsiTheme="majorEastAsia" w:eastAsiaTheme="majorEastAsia"/>
          <w:b/>
          <w:color w:val="auto"/>
          <w:kern w:val="0"/>
          <w:sz w:val="36"/>
          <w:szCs w:val="36"/>
          <w:highlight w:val="none"/>
        </w:rPr>
        <w:t>第五章 资格审查与评标办法、评标标准</w:t>
      </w:r>
    </w:p>
    <w:p>
      <w:pPr>
        <w:pStyle w:val="12"/>
        <w:spacing w:line="360" w:lineRule="auto"/>
        <w:contextualSpacing/>
        <w:rPr>
          <w:rFonts w:cs="仿宋_GB2312" w:asciiTheme="minorEastAsia" w:hAnsiTheme="minorEastAsia"/>
          <w:b/>
          <w:color w:val="auto"/>
          <w:szCs w:val="24"/>
          <w:highlight w:val="none"/>
          <w:lang w:val="zh-CN"/>
        </w:rPr>
      </w:pPr>
      <w:r>
        <w:rPr>
          <w:rFonts w:cs="仿宋_GB2312" w:asciiTheme="minorEastAsia" w:hAnsiTheme="minorEastAsia"/>
          <w:b/>
          <w:color w:val="auto"/>
          <w:szCs w:val="24"/>
          <w:highlight w:val="none"/>
          <w:lang w:val="zh-CN"/>
        </w:rPr>
        <w:t>一</w:t>
      </w:r>
      <w:r>
        <w:rPr>
          <w:rFonts w:hint="eastAsia" w:cs="仿宋_GB2312" w:asciiTheme="minorEastAsia" w:hAnsiTheme="minorEastAsia"/>
          <w:b/>
          <w:color w:val="auto"/>
          <w:szCs w:val="24"/>
          <w:highlight w:val="none"/>
          <w:lang w:val="zh-CN"/>
        </w:rPr>
        <w:t>、</w:t>
      </w:r>
      <w:r>
        <w:rPr>
          <w:rFonts w:cs="仿宋_GB2312" w:asciiTheme="minorEastAsia" w:hAnsiTheme="minorEastAsia"/>
          <w:b/>
          <w:color w:val="auto"/>
          <w:szCs w:val="24"/>
          <w:highlight w:val="none"/>
          <w:lang w:val="zh-CN"/>
        </w:rPr>
        <w:t>资格审查</w:t>
      </w:r>
    </w:p>
    <w:p>
      <w:pPr>
        <w:pStyle w:val="12"/>
        <w:spacing w:line="420" w:lineRule="exact"/>
        <w:ind w:firstLine="480" w:firstLineChars="200"/>
        <w:contextualSpacing/>
        <w:rPr>
          <w:rFonts w:cs="仿宋_GB2312" w:asciiTheme="minorEastAsia" w:hAnsiTheme="minorEastAsia"/>
          <w:color w:val="auto"/>
          <w:szCs w:val="24"/>
          <w:highlight w:val="none"/>
          <w:lang w:val="zh-CN"/>
        </w:rPr>
      </w:pPr>
      <w:r>
        <w:rPr>
          <w:rFonts w:hint="eastAsia" w:cs="仿宋_GB2312" w:asciiTheme="minorEastAsia" w:hAnsiTheme="minorEastAsia"/>
          <w:color w:val="auto"/>
          <w:szCs w:val="24"/>
          <w:highlight w:val="none"/>
          <w:lang w:val="zh-CN"/>
        </w:rPr>
        <w:t>1、</w:t>
      </w:r>
      <w:r>
        <w:rPr>
          <w:rFonts w:cs="仿宋_GB2312" w:asciiTheme="minorEastAsia" w:hAnsiTheme="minorEastAsia"/>
          <w:color w:val="auto"/>
          <w:szCs w:val="24"/>
          <w:highlight w:val="none"/>
          <w:lang w:val="zh-CN"/>
        </w:rPr>
        <w:t>开标结束后，</w:t>
      </w:r>
      <w:r>
        <w:rPr>
          <w:rFonts w:hint="eastAsia" w:cs="仿宋_GB2312" w:asciiTheme="minorEastAsia" w:hAnsiTheme="minorEastAsia"/>
          <w:color w:val="auto"/>
          <w:szCs w:val="24"/>
          <w:highlight w:val="none"/>
          <w:lang w:val="zh-CN"/>
        </w:rPr>
        <w:t>采购人依法对投标人资格进行审查</w:t>
      </w:r>
      <w:r>
        <w:rPr>
          <w:rFonts w:cs="仿宋_GB2312" w:asciiTheme="minorEastAsia" w:hAnsiTheme="minorEastAsia"/>
          <w:color w:val="auto"/>
          <w:szCs w:val="24"/>
          <w:highlight w:val="none"/>
          <w:lang w:val="zh-CN"/>
        </w:rPr>
        <w:t>。</w:t>
      </w:r>
    </w:p>
    <w:p>
      <w:pPr>
        <w:spacing w:line="420" w:lineRule="exact"/>
        <w:ind w:left="120" w:leftChars="57" w:right="420" w:rightChars="200" w:firstLine="360" w:firstLineChars="150"/>
        <w:contextualSpacing/>
        <w:rPr>
          <w:rFonts w:eastAsia="宋体" w:cs="仿宋_GB2312" w:asciiTheme="minorEastAsia" w:hAnsiTheme="minorEastAsia"/>
          <w:color w:val="auto"/>
          <w:sz w:val="24"/>
          <w:szCs w:val="24"/>
          <w:highlight w:val="none"/>
          <w:lang w:val="zh-CN"/>
        </w:rPr>
      </w:pPr>
      <w:r>
        <w:rPr>
          <w:rFonts w:hint="eastAsia" w:eastAsia="宋体" w:cs="仿宋_GB2312" w:asciiTheme="minorEastAsia" w:hAnsiTheme="minorEastAsia"/>
          <w:color w:val="auto"/>
          <w:sz w:val="24"/>
          <w:szCs w:val="24"/>
          <w:highlight w:val="none"/>
          <w:lang w:val="zh-CN"/>
        </w:rPr>
        <w:t>2、资格证明材料（本栏所列内容为本项目的资格审查条件，如有一项不符合要求，则不能进入下一步评审）。</w:t>
      </w:r>
    </w:p>
    <w:p>
      <w:pPr>
        <w:pStyle w:val="12"/>
        <w:spacing w:line="420" w:lineRule="exact"/>
        <w:ind w:firstLine="480" w:firstLineChars="200"/>
        <w:contextualSpacing/>
        <w:rPr>
          <w:rFonts w:cs="仿宋_GB2312" w:asciiTheme="minorEastAsia" w:hAnsiTheme="minorEastAsia"/>
          <w:color w:val="auto"/>
          <w:szCs w:val="24"/>
          <w:highlight w:val="none"/>
          <w:lang w:val="zh-CN"/>
        </w:rPr>
      </w:pPr>
      <w:r>
        <w:rPr>
          <w:rFonts w:hint="eastAsia" w:cs="仿宋_GB2312" w:asciiTheme="minorEastAsia" w:hAnsiTheme="minorEastAsia"/>
          <w:color w:val="auto"/>
          <w:szCs w:val="24"/>
          <w:highlight w:val="none"/>
          <w:lang w:val="zh-CN"/>
        </w:rPr>
        <w:t>3、资格审查中所涉及到的证书材料，均需在电子投标文件中提供原件扫描件（或图片），否则为无效投标。</w:t>
      </w:r>
    </w:p>
    <w:tbl>
      <w:tblPr>
        <w:tblStyle w:val="2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40" w:type="dxa"/>
            <w:vAlign w:val="center"/>
          </w:tcPr>
          <w:p>
            <w:pPr>
              <w:snapToGrid w:val="0"/>
              <w:spacing w:line="420" w:lineRule="exact"/>
              <w:jc w:val="center"/>
              <w:rPr>
                <w:rFonts w:ascii="宋体" w:hAnsi="宋体"/>
                <w:b/>
                <w:color w:val="auto"/>
                <w:sz w:val="24"/>
                <w:szCs w:val="24"/>
                <w:highlight w:val="none"/>
              </w:rPr>
            </w:pPr>
            <w:r>
              <w:rPr>
                <w:rFonts w:hint="eastAsia" w:ascii="宋体" w:hAnsi="宋体"/>
                <w:b/>
                <w:color w:val="auto"/>
                <w:sz w:val="24"/>
                <w:szCs w:val="24"/>
                <w:highlight w:val="none"/>
              </w:rPr>
              <w:t>资格审查</w:t>
            </w:r>
            <w:r>
              <w:rPr>
                <w:rFonts w:ascii="宋体" w:hAnsi="宋体"/>
                <w:b/>
                <w:color w:val="auto"/>
                <w:sz w:val="24"/>
                <w:szCs w:val="24"/>
                <w:highlight w:val="none"/>
              </w:rPr>
              <w:t>因素</w:t>
            </w:r>
            <w:r>
              <w:rPr>
                <w:rFonts w:hint="eastAsia" w:ascii="宋体" w:hAnsi="宋体"/>
                <w:b/>
                <w:color w:val="auto"/>
                <w:sz w:val="24"/>
                <w:szCs w:val="24"/>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9040" w:type="dxa"/>
            <w:vAlign w:val="center"/>
          </w:tcPr>
          <w:p>
            <w:pPr>
              <w:spacing w:line="420" w:lineRule="exact"/>
              <w:jc w:val="left"/>
              <w:rPr>
                <w:rFonts w:ascii="宋体" w:hAnsi="宋体"/>
                <w:bCs/>
                <w:color w:val="auto"/>
                <w:sz w:val="24"/>
                <w:szCs w:val="24"/>
                <w:highlight w:val="none"/>
              </w:rPr>
            </w:pPr>
            <w:r>
              <w:rPr>
                <w:rFonts w:hint="eastAsia" w:ascii="宋体" w:hAnsi="宋体"/>
                <w:b/>
                <w:bCs/>
                <w:color w:val="auto"/>
                <w:sz w:val="24"/>
                <w:szCs w:val="24"/>
                <w:highlight w:val="none"/>
              </w:rPr>
              <w:t>一、法人或者其他组织的营业执照等证明文件，自然人的身份证明</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1、企业法人营业执照或营业执照。（企业投标提供）</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2、事业单位法人证书。（事业单位投标提供）</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3、执业许可证。（非专业服务机构投标提供）</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4、个体工商户营业执照。（个体工商户投标提供）</w:t>
            </w:r>
          </w:p>
          <w:p>
            <w:pPr>
              <w:spacing w:line="420" w:lineRule="exact"/>
              <w:jc w:val="left"/>
              <w:rPr>
                <w:rFonts w:ascii="宋体" w:hAnsi="宋体"/>
                <w:b/>
                <w:color w:val="auto"/>
                <w:sz w:val="24"/>
                <w:szCs w:val="24"/>
                <w:highlight w:val="none"/>
              </w:rPr>
            </w:pPr>
            <w:r>
              <w:rPr>
                <w:rFonts w:hint="eastAsia" w:ascii="宋体" w:hAnsi="宋体"/>
                <w:bCs/>
                <w:color w:val="auto"/>
                <w:sz w:val="24"/>
                <w:szCs w:val="24"/>
                <w:highlight w:val="none"/>
              </w:rPr>
              <w:t>5、自然人身份证明。（自然人投标提供）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040" w:type="dxa"/>
            <w:vAlign w:val="center"/>
          </w:tcPr>
          <w:p>
            <w:pPr>
              <w:spacing w:line="420" w:lineRule="exact"/>
              <w:jc w:val="left"/>
              <w:rPr>
                <w:rFonts w:ascii="宋体" w:hAnsi="宋体"/>
                <w:bCs/>
                <w:color w:val="auto"/>
                <w:sz w:val="24"/>
                <w:szCs w:val="24"/>
                <w:highlight w:val="none"/>
              </w:rPr>
            </w:pPr>
            <w:r>
              <w:rPr>
                <w:rFonts w:hint="eastAsia" w:ascii="宋体" w:hAnsi="宋体"/>
                <w:b/>
                <w:bCs/>
                <w:color w:val="auto"/>
                <w:sz w:val="24"/>
                <w:szCs w:val="24"/>
                <w:highlight w:val="none"/>
              </w:rPr>
              <w:t>二、财务状况报告相关材料</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1、2018年度或2019年度经审计的财务报告或基本开户银行出具的资信证明(有效期内)。（法人投标提供。法人包括企业法人、机关法人、事业单位法人和社会团体法人。）</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2、银行出具的资信证明。（其他组织和自然人投标提供）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040" w:type="dxa"/>
            <w:vAlign w:val="center"/>
          </w:tcPr>
          <w:p>
            <w:pPr>
              <w:spacing w:line="420" w:lineRule="exact"/>
              <w:jc w:val="left"/>
              <w:rPr>
                <w:rFonts w:ascii="宋体" w:hAnsi="宋体"/>
                <w:bCs/>
                <w:color w:val="auto"/>
                <w:sz w:val="24"/>
                <w:szCs w:val="24"/>
                <w:highlight w:val="none"/>
              </w:rPr>
            </w:pPr>
            <w:r>
              <w:rPr>
                <w:rFonts w:hint="eastAsia" w:ascii="宋体" w:hAnsi="宋体"/>
                <w:b/>
                <w:bCs/>
                <w:color w:val="auto"/>
                <w:sz w:val="24"/>
                <w:szCs w:val="24"/>
                <w:highlight w:val="none"/>
              </w:rPr>
              <w:t>三、依法缴纳税收相关材料</w:t>
            </w:r>
          </w:p>
          <w:p>
            <w:pPr>
              <w:spacing w:line="420" w:lineRule="exact"/>
              <w:jc w:val="left"/>
              <w:rPr>
                <w:rFonts w:ascii="宋体" w:hAnsi="宋体"/>
                <w:b/>
                <w:color w:val="auto"/>
                <w:sz w:val="24"/>
                <w:szCs w:val="24"/>
                <w:highlight w:val="none"/>
              </w:rPr>
            </w:pPr>
            <w:r>
              <w:rPr>
                <w:rFonts w:hint="eastAsia" w:ascii="宋体" w:hAnsi="宋体"/>
                <w:bCs/>
                <w:color w:val="auto"/>
                <w:sz w:val="24"/>
                <w:szCs w:val="24"/>
                <w:highlight w:val="none"/>
              </w:rPr>
              <w:t>投标截止时间前六个月内任意一个月缴纳税收凭据。（依法免税的投标人，应提供相应文件证明依法免税）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040" w:type="dxa"/>
            <w:vAlign w:val="center"/>
          </w:tcPr>
          <w:p>
            <w:pPr>
              <w:spacing w:line="420" w:lineRule="exact"/>
              <w:jc w:val="left"/>
              <w:rPr>
                <w:rFonts w:ascii="宋体" w:hAnsi="宋体"/>
                <w:bCs/>
                <w:color w:val="auto"/>
                <w:sz w:val="24"/>
                <w:szCs w:val="24"/>
                <w:highlight w:val="none"/>
              </w:rPr>
            </w:pPr>
            <w:r>
              <w:rPr>
                <w:rFonts w:hint="eastAsia" w:ascii="宋体" w:hAnsi="宋体"/>
                <w:b/>
                <w:bCs/>
                <w:color w:val="auto"/>
                <w:sz w:val="24"/>
                <w:szCs w:val="24"/>
                <w:highlight w:val="none"/>
              </w:rPr>
              <w:t>四、依法缴纳社会保障资金的证明材料</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投标截止时间前六个月内任意一个月投标人缴纳社会保险凭据。（依法不需要缴纳社会保障资金的投标人，应提供相应文件证明依法不需要缴纳社会保障资金）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40" w:type="dxa"/>
            <w:vAlign w:val="center"/>
          </w:tcPr>
          <w:p>
            <w:pPr>
              <w:spacing w:line="420" w:lineRule="exact"/>
              <w:jc w:val="left"/>
              <w:rPr>
                <w:rFonts w:ascii="宋体" w:hAnsi="宋体"/>
                <w:b/>
                <w:bCs/>
                <w:color w:val="auto"/>
                <w:sz w:val="24"/>
                <w:szCs w:val="24"/>
                <w:highlight w:val="none"/>
              </w:rPr>
            </w:pPr>
            <w:r>
              <w:rPr>
                <w:rFonts w:hint="eastAsia" w:ascii="宋体" w:hAnsi="宋体"/>
                <w:b/>
                <w:bCs/>
                <w:color w:val="auto"/>
                <w:sz w:val="24"/>
                <w:szCs w:val="24"/>
                <w:highlight w:val="none"/>
              </w:rPr>
              <w:t>五、参加政府采购活动前3年内在经营活动中没有重大违法记录的书面声明（</w:t>
            </w:r>
            <w:r>
              <w:rPr>
                <w:rFonts w:hint="eastAsia" w:ascii="宋体" w:hAnsi="宋体" w:eastAsia="宋体" w:cs="Times New Roman"/>
                <w:b/>
                <w:bCs/>
                <w:color w:val="auto"/>
                <w:sz w:val="24"/>
                <w:szCs w:val="24"/>
                <w:highlight w:val="none"/>
              </w:rPr>
              <w:t>投标人成立不足三年的，按成立之日计算）</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投标人“参加政府采购活动前3年内在经营活动中没有重大违法记录的书面声明函”。 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0" w:type="dxa"/>
            <w:vAlign w:val="center"/>
          </w:tcPr>
          <w:p>
            <w:pPr>
              <w:spacing w:line="420" w:lineRule="exact"/>
              <w:contextualSpacing/>
              <w:rPr>
                <w:rFonts w:ascii="宋体" w:hAnsi="宋体"/>
                <w:color w:val="auto"/>
                <w:sz w:val="24"/>
                <w:szCs w:val="24"/>
                <w:highlight w:val="none"/>
              </w:rPr>
            </w:pPr>
            <w:r>
              <w:rPr>
                <w:rFonts w:hint="eastAsia" w:ascii="宋体" w:hAnsi="宋体"/>
                <w:b/>
                <w:color w:val="auto"/>
                <w:sz w:val="24"/>
                <w:szCs w:val="24"/>
                <w:highlight w:val="none"/>
              </w:rPr>
              <w:t>六</w:t>
            </w:r>
            <w:r>
              <w:rPr>
                <w:rFonts w:hint="eastAsia" w:ascii="宋体" w:hAnsi="宋体"/>
                <w:color w:val="auto"/>
                <w:sz w:val="24"/>
                <w:szCs w:val="24"/>
                <w:highlight w:val="none"/>
              </w:rPr>
              <w:t>、法定代表人资格证明书或法定代表人授权委托书及被授权人身份证。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9040" w:type="dxa"/>
            <w:vAlign w:val="center"/>
          </w:tcPr>
          <w:p>
            <w:pPr>
              <w:spacing w:line="420" w:lineRule="exact"/>
              <w:contextualSpacing/>
              <w:rPr>
                <w:rFonts w:ascii="宋体" w:hAnsi="宋体"/>
                <w:b/>
                <w:color w:val="auto"/>
                <w:sz w:val="24"/>
                <w:szCs w:val="24"/>
                <w:highlight w:val="none"/>
              </w:rPr>
            </w:pPr>
            <w:r>
              <w:rPr>
                <w:rFonts w:hint="eastAsia" w:ascii="宋体" w:hAnsi="宋体"/>
                <w:b/>
                <w:color w:val="auto"/>
                <w:sz w:val="24"/>
                <w:szCs w:val="24"/>
                <w:highlight w:val="none"/>
              </w:rPr>
              <w:t>七、未被列入“信用中国”网站(www.creditchina.gov.cn)失信被执行人、重大税收违法案件当事人名单；“中国政府采购网” (www.ccgp.gov.cn)政府采购严重违法失信行为记录名单的投标人；“国家企业信用信息公示系统”（</w:t>
            </w:r>
            <w:r>
              <w:rPr>
                <w:rFonts w:hint="eastAsia" w:ascii="宋体" w:hAnsi="宋体"/>
                <w:b/>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宋体" w:hAnsi="宋体"/>
                <w:b/>
                <w:color w:val="auto"/>
                <w:sz w:val="24"/>
                <w:szCs w:val="24"/>
                <w:highlight w:val="none"/>
              </w:rPr>
              <w:t>http://www.gsxt.gov.cn/） 经营异常名录或严重失信黑名单；“中国社会组织公共服务平台”网站（www.chinanpo.gov.cn）严重违法失信名单的社会组织。</w:t>
            </w:r>
          </w:p>
        </w:tc>
      </w:tr>
    </w:tbl>
    <w:p>
      <w:pPr>
        <w:autoSpaceDE w:val="0"/>
        <w:autoSpaceDN w:val="0"/>
        <w:adjustRightInd w:val="0"/>
        <w:spacing w:line="360" w:lineRule="auto"/>
        <w:rPr>
          <w:rFonts w:cs="仿宋_GB2312" w:asciiTheme="minorEastAsia" w:hAnsiTheme="minorEastAsia"/>
          <w:b/>
          <w:color w:val="auto"/>
          <w:highlight w:val="none"/>
        </w:rPr>
      </w:pPr>
      <w:r>
        <w:rPr>
          <w:rFonts w:hint="eastAsia" w:cs="仿宋_GB2312" w:asciiTheme="minorEastAsia" w:hAnsiTheme="minorEastAsia"/>
          <w:b/>
          <w:color w:val="auto"/>
          <w:highlight w:val="none"/>
        </w:rPr>
        <w:t>4、供应商信用信息查询：</w:t>
      </w:r>
    </w:p>
    <w:p>
      <w:pPr>
        <w:autoSpaceDE w:val="0"/>
        <w:autoSpaceDN w:val="0"/>
        <w:adjustRightInd w:val="0"/>
        <w:spacing w:line="360" w:lineRule="auto"/>
        <w:ind w:firstLine="482" w:firstLineChars="200"/>
        <w:rPr>
          <w:rFonts w:ascii="宋体" w:hAnsi="宋体"/>
          <w:b/>
          <w:bCs/>
          <w:color w:val="auto"/>
          <w:sz w:val="24"/>
          <w:szCs w:val="24"/>
          <w:highlight w:val="none"/>
        </w:rPr>
      </w:pPr>
      <w:r>
        <w:rPr>
          <w:rFonts w:hint="eastAsia" w:ascii="宋体" w:hAnsi="宋体"/>
          <w:b/>
          <w:color w:val="auto"/>
          <w:sz w:val="24"/>
          <w:szCs w:val="24"/>
          <w:highlight w:val="none"/>
        </w:rPr>
        <w:t>未被列入“信用中国”网站(www.creditchina.gov.cn)失信被执行人、重大税收违法案件当事人名单；“中国政府采购网” (www.ccgp.gov.cn)政府采购严重违法失信行为记录名单的投标人；“国家企业信用信息公示系统”（</w:t>
      </w:r>
      <w:r>
        <w:rPr>
          <w:rFonts w:hint="eastAsia" w:ascii="宋体" w:hAnsi="宋体"/>
          <w:b/>
          <w:color w:val="auto"/>
          <w:sz w:val="24"/>
          <w:szCs w:val="24"/>
          <w:highlight w:val="none"/>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宋体" w:hAnsi="宋体"/>
          <w:b/>
          <w:color w:val="auto"/>
          <w:sz w:val="24"/>
          <w:szCs w:val="24"/>
          <w:highlight w:val="none"/>
        </w:rPr>
        <w:t>http://www.gsxt.gov.cn/） 经营异常名录或严重失信黑名单；“中国社会组织公共服务平台”网站（www.chinanpo.gov.cn）严重违法失信名单的社会组织。</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注：政府采购活动中查询及使用投标人信用记录的具体要求为：投标人未被列入失信被执行人、重大税收违法案件当事人名单、政府采购严重违法失信行为记录名单（联合体形式投标的，联合体成员存在不良信用记录，视同联合体存在不良信用记录）。</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（1）查询渠道：“信用中国”网站（www.creditchina.gov.cn）、中国政府采购网（www.ccgp.gov.cn）、“国家企业信用信息公示系统”（</w:t>
      </w:r>
      <w:r>
        <w:rPr>
          <w:rFonts w:hint="eastAsia" w:ascii="宋体" w:hAnsi="宋体"/>
          <w:bCs/>
          <w:color w:val="auto"/>
          <w:sz w:val="24"/>
          <w:szCs w:val="24"/>
          <w:highlight w:val="none"/>
        </w:rPr>
        <w:drawing>
          <wp:inline distT="0" distB="0" distL="114300" distR="114300">
            <wp:extent cx="190500" cy="142875"/>
            <wp:effectExtent l="0" t="0" r="0" b="952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sz w:val="24"/>
          <w:szCs w:val="24"/>
          <w:highlight w:val="none"/>
        </w:rPr>
        <w:t>http://www.gsxt.gov.cn/）、“中国社会组织公共服务平台”网站（www.chinanpo.gov.cn）；</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（2）截止时间：</w:t>
      </w:r>
      <w:r>
        <w:rPr>
          <w:rFonts w:hint="eastAsia" w:cs="宋体" w:asciiTheme="minorEastAsia" w:hAnsiTheme="minorEastAsia"/>
          <w:color w:val="auto"/>
          <w:kern w:val="0"/>
          <w:sz w:val="24"/>
          <w:szCs w:val="24"/>
          <w:highlight w:val="none"/>
        </w:rPr>
        <w:t>投标截止时间至资格性审查结束</w:t>
      </w:r>
      <w:r>
        <w:rPr>
          <w:rFonts w:hint="eastAsia" w:ascii="宋体" w:hAnsi="宋体"/>
          <w:bCs/>
          <w:color w:val="auto"/>
          <w:sz w:val="24"/>
          <w:szCs w:val="24"/>
          <w:highlight w:val="none"/>
        </w:rPr>
        <w:t>；</w:t>
      </w:r>
    </w:p>
    <w:p>
      <w:pPr>
        <w:spacing w:line="420" w:lineRule="exact"/>
        <w:jc w:val="left"/>
        <w:rPr>
          <w:rFonts w:ascii="宋体" w:hAnsi="宋体"/>
          <w:bCs/>
          <w:color w:val="auto"/>
          <w:sz w:val="24"/>
          <w:szCs w:val="24"/>
          <w:highlight w:val="none"/>
        </w:rPr>
      </w:pPr>
      <w:r>
        <w:rPr>
          <w:rFonts w:hint="eastAsia" w:ascii="宋体" w:hAnsi="宋体"/>
          <w:bCs/>
          <w:color w:val="auto"/>
          <w:sz w:val="24"/>
          <w:szCs w:val="24"/>
          <w:highlight w:val="none"/>
        </w:rPr>
        <w:t>（3）信用信息查询记录和证据留存具体方式：经采购人确认的查询结果网页截图作为查询记录和证据，与其他采购文件一并保存；</w:t>
      </w:r>
    </w:p>
    <w:p>
      <w:pPr>
        <w:autoSpaceDE w:val="0"/>
        <w:autoSpaceDN w:val="0"/>
        <w:spacing w:line="360" w:lineRule="auto"/>
        <w:contextualSpacing/>
        <w:rPr>
          <w:rFonts w:ascii="宋体" w:hAnsi="宋体"/>
          <w:bCs/>
          <w:color w:val="auto"/>
          <w:sz w:val="24"/>
          <w:szCs w:val="24"/>
          <w:highlight w:val="none"/>
        </w:rPr>
      </w:pPr>
      <w:r>
        <w:rPr>
          <w:rFonts w:hint="eastAsia" w:ascii="宋体" w:hAnsi="宋体"/>
          <w:bCs/>
          <w:color w:val="auto"/>
          <w:sz w:val="24"/>
          <w:szCs w:val="24"/>
          <w:highlight w:val="none"/>
        </w:rPr>
        <w:t>（4）信用信息的使用原则：经采购人认定的被列入失信被执行人、重大税收违法案件当事人名单、政府采购严重违法失信行为记录名单的投标人，将拒绝其参与政府采购活动。</w:t>
      </w:r>
    </w:p>
    <w:p>
      <w:pPr>
        <w:autoSpaceDE w:val="0"/>
        <w:autoSpaceDN w:val="0"/>
        <w:spacing w:line="360" w:lineRule="auto"/>
        <w:contextualSpacing/>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（5）投标人不良信用记录以采购人查询结果为准，采购人查询之后，网站信息发生的任何变更不再作为评审依据，投标人自行提供的与网站信息不一致的其他证明材料亦不作为评审依据。</w:t>
      </w:r>
    </w:p>
    <w:p>
      <w:pPr>
        <w:pStyle w:val="12"/>
        <w:spacing w:line="420" w:lineRule="exact"/>
        <w:contextualSpacing/>
        <w:rPr>
          <w:rFonts w:cs="仿宋_GB2312" w:asciiTheme="minorEastAsia" w:hAnsiTheme="minorEastAsia"/>
          <w:b/>
          <w:color w:val="auto"/>
          <w:szCs w:val="24"/>
          <w:highlight w:val="none"/>
          <w:lang w:val="zh-CN"/>
        </w:rPr>
      </w:pPr>
      <w:r>
        <w:rPr>
          <w:rFonts w:hint="eastAsia" w:ascii="宋体" w:hAnsi="宋体" w:cs="宋体"/>
          <w:b/>
          <w:bCs/>
          <w:color w:val="auto"/>
          <w:szCs w:val="21"/>
          <w:highlight w:val="none"/>
        </w:rPr>
        <w:t>二、评标方法</w:t>
      </w:r>
    </w:p>
    <w:p>
      <w:pPr>
        <w:pStyle w:val="12"/>
        <w:spacing w:line="360" w:lineRule="auto"/>
        <w:ind w:firstLine="48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1、本次评标采用综合评分法，是指投标文件满足招标文件全部实质性要求，且按照评审因素的量化指标评审得分最高的投标人为中标候选人的评标方法。</w:t>
      </w:r>
    </w:p>
    <w:p>
      <w:pPr>
        <w:pStyle w:val="12"/>
        <w:spacing w:line="360" w:lineRule="auto"/>
        <w:ind w:firstLine="48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2、评标过程中，不得去掉报价中的最高报价和最低报价。</w:t>
      </w:r>
    </w:p>
    <w:p>
      <w:pPr>
        <w:pStyle w:val="12"/>
        <w:spacing w:line="360" w:lineRule="auto"/>
        <w:ind w:firstLine="480" w:firstLineChars="200"/>
        <w:contextualSpacing/>
        <w:rPr>
          <w:rFonts w:cs="仿宋_GB2312" w:asciiTheme="minorEastAsia" w:hAnsiTheme="minorEastAsia"/>
          <w:b/>
          <w:color w:val="auto"/>
          <w:highlight w:val="none"/>
          <w:lang w:val="zh-CN"/>
        </w:rPr>
      </w:pPr>
      <w:r>
        <w:rPr>
          <w:rFonts w:hint="eastAsia" w:cs="仿宋_GB2312" w:asciiTheme="minorEastAsia" w:hAnsiTheme="minorEastAsia" w:eastAsiaTheme="minorEastAsia"/>
          <w:color w:val="auto"/>
          <w:szCs w:val="24"/>
          <w:highlight w:val="none"/>
          <w:lang w:val="zh-CN"/>
        </w:rPr>
        <w:t>3、因落实政府采购政策进行价格调整的，以调整后的价格计算评标基准价和投标报价。</w:t>
      </w:r>
    </w:p>
    <w:p>
      <w:pPr>
        <w:pStyle w:val="12"/>
        <w:spacing w:line="420" w:lineRule="exact"/>
        <w:contextualSpacing/>
        <w:rPr>
          <w:rFonts w:cs="仿宋_GB2312" w:asciiTheme="minorEastAsia" w:hAnsiTheme="minorEastAsia"/>
          <w:b/>
          <w:color w:val="auto"/>
          <w:highlight w:val="none"/>
          <w:lang w:val="zh-CN"/>
        </w:rPr>
      </w:pPr>
      <w:r>
        <w:rPr>
          <w:rFonts w:hint="eastAsia" w:cs="仿宋_GB2312" w:asciiTheme="minorEastAsia" w:hAnsiTheme="minorEastAsia"/>
          <w:b/>
          <w:color w:val="auto"/>
          <w:highlight w:val="none"/>
          <w:lang w:val="zh-CN"/>
        </w:rPr>
        <w:t>三、符合性审查</w:t>
      </w:r>
    </w:p>
    <w:p>
      <w:pPr>
        <w:pStyle w:val="12"/>
        <w:spacing w:line="360" w:lineRule="auto"/>
        <w:ind w:firstLine="482" w:firstLineChars="200"/>
        <w:contextualSpacing/>
        <w:rPr>
          <w:rFonts w:ascii="宋体" w:hAnsi="宋体" w:eastAsiaTheme="minorEastAsia"/>
          <w:b/>
          <w:color w:val="auto"/>
          <w:szCs w:val="24"/>
          <w:highlight w:val="none"/>
          <w:lang w:val="zh-CN"/>
        </w:rPr>
      </w:pPr>
      <w:r>
        <w:rPr>
          <w:rFonts w:hint="eastAsia" w:cs="仿宋_GB2312" w:asciiTheme="minorEastAsia" w:hAnsiTheme="minorEastAsia"/>
          <w:b/>
          <w:color w:val="auto"/>
          <w:highlight w:val="none"/>
          <w:lang w:val="zh-CN"/>
        </w:rPr>
        <w:t>符合性审查中所涉及到的证明文件及材料，均需在电子投标文件中提供原件扫描件（或图片），</w:t>
      </w:r>
      <w:r>
        <w:rPr>
          <w:rFonts w:hint="eastAsia" w:ascii="宋体" w:hAnsi="宋体" w:eastAsiaTheme="minorEastAsia"/>
          <w:b/>
          <w:color w:val="auto"/>
          <w:szCs w:val="24"/>
          <w:highlight w:val="none"/>
          <w:lang w:val="zh-CN"/>
        </w:rPr>
        <w:t>否则为无效投标。</w:t>
      </w:r>
    </w:p>
    <w:p>
      <w:pPr>
        <w:pStyle w:val="12"/>
        <w:spacing w:line="360" w:lineRule="auto"/>
        <w:ind w:firstLine="480" w:firstLineChars="200"/>
        <w:contextualSpacing/>
        <w:rPr>
          <w:rFonts w:ascii="宋体" w:hAnsi="宋体" w:cs="宋体"/>
          <w:bCs/>
          <w:color w:val="auto"/>
          <w:szCs w:val="21"/>
          <w:highlight w:val="none"/>
        </w:rPr>
      </w:pPr>
      <w:r>
        <w:rPr>
          <w:rFonts w:hint="eastAsia" w:ascii="宋体" w:hAnsi="宋体" w:eastAsiaTheme="minorEastAsia"/>
          <w:color w:val="auto"/>
          <w:szCs w:val="24"/>
          <w:highlight w:val="none"/>
          <w:lang w:val="zh-CN"/>
        </w:rPr>
        <w:t>评标委员会依据有关法律法规和招标文件的规定，对符合资格的投标人的投标文件进行符合性审查，以确定其是否满足招标文件的实质性要求，</w:t>
      </w:r>
      <w:r>
        <w:rPr>
          <w:rFonts w:hint="eastAsia" w:ascii="宋体" w:hAnsi="宋体" w:cs="宋体"/>
          <w:bCs/>
          <w:color w:val="auto"/>
          <w:szCs w:val="21"/>
          <w:highlight w:val="none"/>
        </w:rPr>
        <w:t>并记录评审结果。</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2</w:t>
      </w:r>
      <w:r>
        <w:rPr>
          <w:rFonts w:hint="eastAsia" w:cs="仿宋_GB2312" w:asciiTheme="minorEastAsia" w:hAnsiTheme="minorEastAsia"/>
          <w:color w:val="auto"/>
          <w:sz w:val="24"/>
          <w:szCs w:val="24"/>
          <w:highlight w:val="none"/>
          <w:lang w:val="zh-CN"/>
        </w:rPr>
        <w:t>、投标文件属下列情况之一的，按照无效投标处理：</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w:t>
      </w:r>
      <w:r>
        <w:rPr>
          <w:rFonts w:hint="eastAsia" w:ascii="宋体" w:hAnsi="宋体" w:cs="宋体"/>
          <w:color w:val="auto"/>
          <w:sz w:val="24"/>
          <w:szCs w:val="24"/>
          <w:highlight w:val="none"/>
        </w:rPr>
        <w:t>未按照招标文件的规定提交投标承诺函的</w:t>
      </w:r>
      <w:r>
        <w:rPr>
          <w:rFonts w:hint="eastAsia" w:cs="仿宋_GB2312" w:asciiTheme="minorEastAsia" w:hAnsiTheme="minorEastAsia"/>
          <w:color w:val="auto"/>
          <w:sz w:val="24"/>
          <w:szCs w:val="24"/>
          <w:highlight w:val="none"/>
          <w:lang w:val="zh-CN"/>
        </w:rPr>
        <w:t>；</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（2）投标文件未按招标文件要求签署、盖章的；</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（3）不具备招标文件中规定的资格要求的；</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（4）</w:t>
      </w:r>
      <w:r>
        <w:rPr>
          <w:rFonts w:cs="仿宋_GB2312" w:asciiTheme="minorEastAsia" w:hAnsiTheme="minorEastAsia"/>
          <w:color w:val="auto"/>
          <w:sz w:val="24"/>
          <w:szCs w:val="24"/>
          <w:highlight w:val="none"/>
          <w:lang w:val="zh-CN"/>
        </w:rPr>
        <w:t>不符合第三章采购项目内容及其他要求的</w:t>
      </w:r>
      <w:r>
        <w:rPr>
          <w:rFonts w:hint="eastAsia" w:cs="仿宋_GB2312" w:asciiTheme="minorEastAsia" w:hAnsiTheme="minorEastAsia"/>
          <w:color w:val="auto"/>
          <w:sz w:val="24"/>
          <w:szCs w:val="24"/>
          <w:highlight w:val="none"/>
          <w:lang w:val="zh-CN"/>
        </w:rPr>
        <w:t>；</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（5）报价超过招标文件中规定的预算金额或者最高限价的；</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（6）</w:t>
      </w:r>
      <w:r>
        <w:rPr>
          <w:rFonts w:cs="仿宋_GB2312" w:asciiTheme="minorEastAsia" w:hAnsiTheme="minorEastAsia"/>
          <w:color w:val="auto"/>
          <w:sz w:val="24"/>
          <w:szCs w:val="24"/>
          <w:highlight w:val="none"/>
          <w:lang w:val="zh-CN"/>
        </w:rPr>
        <w:t>投标文件含有采购人不能接受的附加条件的</w:t>
      </w:r>
      <w:r>
        <w:rPr>
          <w:rFonts w:hint="eastAsia" w:cs="仿宋_GB2312" w:asciiTheme="minorEastAsia" w:hAnsiTheme="minorEastAsia"/>
          <w:color w:val="auto"/>
          <w:sz w:val="24"/>
          <w:szCs w:val="24"/>
          <w:highlight w:val="none"/>
          <w:lang w:val="zh-CN"/>
        </w:rPr>
        <w:t>；</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（7）</w:t>
      </w:r>
      <w:r>
        <w:rPr>
          <w:rFonts w:cs="仿宋_GB2312" w:asciiTheme="minorEastAsia" w:hAnsiTheme="minorEastAsia"/>
          <w:color w:val="auto"/>
          <w:sz w:val="24"/>
          <w:szCs w:val="24"/>
          <w:highlight w:val="none"/>
          <w:lang w:val="zh-CN"/>
        </w:rPr>
        <w:t>法律、法规和招标文件规定的其他无效情形。</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3</w:t>
      </w:r>
      <w:r>
        <w:rPr>
          <w:rFonts w:hint="eastAsia" w:cs="仿宋_GB2312" w:asciiTheme="minorEastAsia" w:hAnsiTheme="minorEastAsia"/>
          <w:color w:val="auto"/>
          <w:sz w:val="24"/>
          <w:szCs w:val="24"/>
          <w:highlight w:val="none"/>
          <w:lang w:val="zh-CN"/>
        </w:rPr>
        <w:t>、有下列情形之一的，视为投标人串通投标，其投标无效：</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（1）不同投标人的投标文件由同一单位或者个人编制；</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（2）不同投标人委托同一单位或者个人办理投标事宜；</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（3）不同投标人的投标文件载明的项目管理成员或者联系人员为同一人；</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（4）不同投标人的投标文件异常一致或者投标报价呈规律性差异；</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（5）不同投标人的投标文件相互混装；</w:t>
      </w:r>
    </w:p>
    <w:p>
      <w:pPr>
        <w:tabs>
          <w:tab w:val="left" w:pos="1260"/>
        </w:tabs>
        <w:autoSpaceDE w:val="0"/>
        <w:autoSpaceDN w:val="0"/>
        <w:adjustRightInd w:val="0"/>
        <w:spacing w:line="360" w:lineRule="auto"/>
        <w:contextualSpacing/>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4、</w:t>
      </w:r>
      <w:r>
        <w:rPr>
          <w:rFonts w:cs="仿宋_GB2312" w:asciiTheme="minorEastAsia" w:hAnsiTheme="minorEastAsia"/>
          <w:b/>
          <w:color w:val="auto"/>
          <w:sz w:val="24"/>
          <w:szCs w:val="24"/>
          <w:highlight w:val="none"/>
          <w:lang w:val="zh-CN"/>
        </w:rPr>
        <w:t>不同投标人电子投标文件制作硬件特征码(网卡MAC地址、CPU序号、硬盘序列号等)雷同时,视为“不同投标人的投标文件由同一单位或者个人编制”或“不同投标人委托同一单位或者个人办理投标事宜”,其投标无效。评标专家应严格按照招标文件要求查看“硬件特征码”相关信息并进行评审,在评标报告中显示“不同投标人电子投标文件制作硬件特征码”是否雷同的分析及判定结果。</w:t>
      </w:r>
    </w:p>
    <w:p>
      <w:pPr>
        <w:tabs>
          <w:tab w:val="left" w:pos="1260"/>
        </w:tabs>
        <w:autoSpaceDE w:val="0"/>
        <w:autoSpaceDN w:val="0"/>
        <w:adjustRightInd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5</w:t>
      </w:r>
      <w:r>
        <w:rPr>
          <w:rFonts w:hint="eastAsia" w:cs="仿宋_GB2312" w:asciiTheme="minorEastAsia" w:hAnsiTheme="minorEastAsia"/>
          <w:color w:val="auto"/>
          <w:sz w:val="24"/>
          <w:szCs w:val="24"/>
          <w:highlight w:val="none"/>
          <w:lang w:val="zh-CN"/>
        </w:rPr>
        <w:t>、细微偏差不影响投标文件的有效性。</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细微偏差是指投标文件在实质上响应招标文件要求，但提供了不完整的技术信息和数据等情况，并且补正后不会对其他投标人造成不公平的结果。如投标文件中大写金额和小写金额不一致的，以大写金额为准；总价金额与单价金额不一致的，以单价金额为准，但单价金额小数点有明显错误的除外。</w:t>
      </w:r>
    </w:p>
    <w:p>
      <w:pPr>
        <w:tabs>
          <w:tab w:val="left" w:pos="1260"/>
        </w:tabs>
        <w:autoSpaceDE w:val="0"/>
        <w:autoSpaceDN w:val="0"/>
        <w:adjustRightInd w:val="0"/>
        <w:spacing w:line="360" w:lineRule="auto"/>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6、相同品牌的认定</w:t>
      </w:r>
    </w:p>
    <w:p>
      <w:pPr>
        <w:tabs>
          <w:tab w:val="left" w:pos="1260"/>
        </w:tabs>
        <w:autoSpaceDE w:val="0"/>
        <w:autoSpaceDN w:val="0"/>
        <w:adjustRightInd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1260"/>
        </w:tabs>
        <w:autoSpaceDE w:val="0"/>
        <w:autoSpaceDN w:val="0"/>
        <w:adjustRightInd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非单一产品采购项目，采购人应当根据采购项目技术构成、产品价格比重等合理确定核心产品，并在招标文件中载明。多家投标人提供的核心产品品牌相同的，按前款规定处理。</w:t>
      </w:r>
    </w:p>
    <w:p>
      <w:pPr>
        <w:tabs>
          <w:tab w:val="left" w:pos="1260"/>
        </w:tabs>
        <w:autoSpaceDE w:val="0"/>
        <w:autoSpaceDN w:val="0"/>
        <w:adjustRightInd w:val="0"/>
        <w:spacing w:line="276" w:lineRule="auto"/>
        <w:contextualSpacing/>
        <w:rPr>
          <w:rFonts w:ascii="宋体" w:hAnsi="宋体" w:eastAsia="宋体" w:cs="仿宋_GB2312"/>
          <w:b/>
          <w:color w:val="auto"/>
          <w:sz w:val="24"/>
          <w:szCs w:val="24"/>
          <w:highlight w:val="none"/>
          <w:lang w:val="zh-CN"/>
        </w:rPr>
      </w:pPr>
      <w:r>
        <w:rPr>
          <w:rFonts w:hint="eastAsia" w:ascii="宋体" w:hAnsi="宋体" w:eastAsia="宋体" w:cs="仿宋_GB2312"/>
          <w:b/>
          <w:color w:val="auto"/>
          <w:sz w:val="24"/>
          <w:szCs w:val="24"/>
          <w:highlight w:val="none"/>
          <w:lang w:val="zh-CN"/>
        </w:rPr>
        <w:t>四、评标标准</w:t>
      </w:r>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3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5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ind w:firstLine="1490" w:firstLineChars="6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价格分值：30 分</w:t>
            </w:r>
          </w:p>
          <w:p>
            <w:pPr>
              <w:widowControl/>
              <w:spacing w:line="276" w:lineRule="auto"/>
              <w:ind w:firstLine="1490" w:firstLineChars="6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商务部分：35 分</w:t>
            </w:r>
          </w:p>
          <w:p>
            <w:pPr>
              <w:widowControl/>
              <w:spacing w:line="276" w:lineRule="auto"/>
              <w:ind w:firstLine="1490" w:firstLineChars="62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技术部分：35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一、价格部分（满分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评标基准价：满足招标文件要求的有效投标报价中，最低的投标报价为评标基准价。</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二、商务部分（满分35分）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所投核心产品厂家具有2017年以来（以合同签订时间为准）类似项目业绩者，每份得1分，满分5分。（以签订合同为准）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1、所投RFID门禁产品厂商通过ISO9001质量管理体系认证、ISO14001环境管理体系认证、</w:t>
            </w:r>
            <w:r>
              <w:rPr>
                <w:rFonts w:ascii="宋体" w:hAnsi="宋体" w:eastAsia="宋体" w:cs="宋体"/>
                <w:color w:val="auto"/>
                <w:sz w:val="24"/>
                <w:szCs w:val="24"/>
                <w:highlight w:val="none"/>
              </w:rPr>
              <w:t>ISO45001</w:t>
            </w:r>
            <w:r>
              <w:rPr>
                <w:rFonts w:hint="eastAsia" w:ascii="宋体" w:hAnsi="宋体" w:eastAsia="宋体" w:cs="宋体"/>
                <w:color w:val="auto"/>
                <w:sz w:val="24"/>
                <w:szCs w:val="24"/>
                <w:highlight w:val="none"/>
              </w:rPr>
              <w:t>职业健康安全管理体系认证，每个认证得2分，满分6分。（以证书为准）</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2、所投RFID门禁产品厂商具有经信用评估机构综合评定企业信用等级为AAA级的，得2分。（以证书为准）</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3、所投云图书馆平台、读者注册识别机、图书自助借还机产品厂商具有高新技术企业证书的得4分 （以证书为准）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产品质量保证</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为保证系统兼容性，云图书馆平台的五个部分应为同一生产厂家。提供的云图书馆后台软件、</w:t>
            </w:r>
            <w:r>
              <w:rPr>
                <w:rFonts w:hint="eastAsia" w:ascii="宋体" w:hAnsi="宋体" w:eastAsia="宋体" w:cs="Arial"/>
                <w:color w:val="auto"/>
                <w:kern w:val="0"/>
                <w:sz w:val="24"/>
                <w:szCs w:val="24"/>
                <w:highlight w:val="none"/>
              </w:rPr>
              <w:t>云图书馆门户</w:t>
            </w:r>
            <w:r>
              <w:rPr>
                <w:rFonts w:ascii="宋体" w:hAnsi="宋体" w:eastAsia="宋体" w:cs="Arial"/>
                <w:color w:val="auto"/>
                <w:kern w:val="0"/>
                <w:sz w:val="24"/>
                <w:szCs w:val="24"/>
                <w:highlight w:val="none"/>
              </w:rPr>
              <w:t>网站系统</w:t>
            </w:r>
            <w:r>
              <w:rPr>
                <w:rFonts w:hint="eastAsia" w:ascii="宋体" w:hAnsi="宋体" w:eastAsia="宋体" w:cs="宋体"/>
                <w:color w:val="auto"/>
                <w:sz w:val="24"/>
                <w:szCs w:val="24"/>
                <w:highlight w:val="none"/>
              </w:rPr>
              <w:t>、云图书馆管理系统、</w:t>
            </w:r>
            <w:r>
              <w:rPr>
                <w:rFonts w:hint="eastAsia" w:ascii="宋体" w:hAnsi="宋体" w:eastAsia="宋体" w:cs="Arial"/>
                <w:color w:val="auto"/>
                <w:kern w:val="0"/>
                <w:sz w:val="24"/>
                <w:szCs w:val="24"/>
                <w:highlight w:val="none"/>
              </w:rPr>
              <w:t>云图书馆</w:t>
            </w:r>
            <w:r>
              <w:rPr>
                <w:rFonts w:ascii="宋体" w:hAnsi="宋体" w:eastAsia="宋体" w:cs="Arial"/>
                <w:color w:val="auto"/>
                <w:kern w:val="0"/>
                <w:sz w:val="24"/>
                <w:szCs w:val="24"/>
                <w:highlight w:val="none"/>
              </w:rPr>
              <w:t>管理</w:t>
            </w:r>
            <w:r>
              <w:rPr>
                <w:rFonts w:hint="eastAsia" w:ascii="宋体" w:hAnsi="宋体" w:eastAsia="宋体" w:cs="Arial"/>
                <w:color w:val="auto"/>
                <w:kern w:val="0"/>
                <w:sz w:val="24"/>
                <w:szCs w:val="24"/>
                <w:highlight w:val="none"/>
              </w:rPr>
              <w:t>系统软件</w:t>
            </w:r>
            <w:r>
              <w:rPr>
                <w:rFonts w:hint="eastAsia" w:ascii="宋体" w:hAnsi="宋体" w:eastAsia="宋体" w:cs="宋体"/>
                <w:color w:val="auto"/>
                <w:sz w:val="24"/>
                <w:szCs w:val="24"/>
                <w:highlight w:val="none"/>
              </w:rPr>
              <w:t>（IOS版和Android版）、</w:t>
            </w:r>
            <w:r>
              <w:rPr>
                <w:rFonts w:hint="eastAsia" w:ascii="宋体" w:hAnsi="宋体" w:eastAsia="宋体" w:cs="Arial"/>
                <w:color w:val="auto"/>
                <w:kern w:val="0"/>
                <w:sz w:val="24"/>
                <w:szCs w:val="24"/>
                <w:highlight w:val="none"/>
              </w:rPr>
              <w:t>云图书馆客户端软件</w:t>
            </w:r>
            <w:r>
              <w:rPr>
                <w:rFonts w:hint="eastAsia" w:ascii="宋体" w:hAnsi="宋体" w:eastAsia="宋体" w:cs="宋体"/>
                <w:color w:val="auto"/>
                <w:sz w:val="24"/>
                <w:szCs w:val="24"/>
                <w:highlight w:val="none"/>
              </w:rPr>
              <w:t>（IOS版和Android版）的软件著作权登记证书为证明材料，每提供一项得2分，满分14分。（以著作权证书为准）</w:t>
            </w:r>
          </w:p>
          <w:p>
            <w:pPr>
              <w:widowControl/>
              <w:spacing w:line="276" w:lineRule="auto"/>
              <w:jc w:val="left"/>
              <w:rPr>
                <w:rFonts w:ascii="宋体" w:hAnsi="宋体" w:eastAsia="宋体"/>
                <w:color w:val="auto"/>
                <w:sz w:val="24"/>
                <w:szCs w:val="24"/>
                <w:highlight w:val="none"/>
              </w:rPr>
            </w:pPr>
            <w:r>
              <w:rPr>
                <w:rFonts w:hint="eastAsia" w:ascii="宋体" w:hAnsi="宋体" w:eastAsia="宋体" w:cs="宋体"/>
                <w:color w:val="auto"/>
                <w:sz w:val="24"/>
                <w:szCs w:val="24"/>
                <w:highlight w:val="none"/>
              </w:rPr>
              <w:t>2、为保障系统运行稳定性，所投产品读者注册识别机、图书自助借还机为同一品牌，提供由省级及以上安全质量监督检验中心出具的检测报告为证明材料，每1项得2分，满分4分。（以检测报告为准）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三、技术部分（满分35分）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配送方案和质保措施</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根据投标人提供的配送方案和质保措施综合评审：</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1、产品配送、安装调试方案内容具体、完整，可操作性强等，优的得7-9分，一般得4-6分，差的得1-3分。</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2、项目实施进度计划时间安排及具体措施清晰、合理、符合项目实际情况，优的得6-8分，一般得3-5分，差的得1-2分。</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3、图书馆财产安全保障、施工安全保证措施方案内容详细、具体、可操作性强、符合项目实际情况，优的得6-8分，一般得3-5分，差的得1-2分。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对各投标人售后服务方案、服务响应时限、售后服务承诺、质保期、培训计划等进行综合评比：</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优：售后服务与培训方案完整合理、可行性强，完全满足或优于采购文件要求，得7-10分；</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良：售后服务与培训方案完整、可行性一般，符合采购文件要求，得4-6分； </w:t>
            </w:r>
          </w:p>
          <w:p>
            <w:pPr>
              <w:widowControl/>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差：售后服务与培训方案基本完整、可行性较差，不符合采购文件要求，得1-3分。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r>
    </w:tbl>
    <w:p>
      <w:pPr>
        <w:tabs>
          <w:tab w:val="left" w:pos="1260"/>
        </w:tabs>
        <w:autoSpaceDE w:val="0"/>
        <w:autoSpaceDN w:val="0"/>
        <w:adjustRightInd w:val="0"/>
        <w:spacing w:line="360" w:lineRule="auto"/>
        <w:contextualSpacing/>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注：1、评标标准中所涉及到的证书及材料，均须在电子投标文件中提供原件扫描件（或图片），否则不得分。</w:t>
      </w:r>
    </w:p>
    <w:p>
      <w:pPr>
        <w:tabs>
          <w:tab w:val="left" w:pos="1260"/>
        </w:tabs>
        <w:autoSpaceDE w:val="0"/>
        <w:autoSpaceDN w:val="0"/>
        <w:adjustRightInd w:val="0"/>
        <w:spacing w:line="360" w:lineRule="auto"/>
        <w:contextualSpacing/>
        <w:rPr>
          <w:rFonts w:cs="仿宋_GB2312" w:asciiTheme="minorEastAsia" w:hAnsiTheme="minorEastAsia"/>
          <w:b/>
          <w:color w:val="auto"/>
          <w:sz w:val="24"/>
          <w:szCs w:val="24"/>
          <w:highlight w:val="none"/>
          <w:lang w:val="zh-CN"/>
        </w:rPr>
      </w:pPr>
    </w:p>
    <w:p>
      <w:pPr>
        <w:tabs>
          <w:tab w:val="left" w:pos="1260"/>
        </w:tabs>
        <w:autoSpaceDE w:val="0"/>
        <w:autoSpaceDN w:val="0"/>
        <w:adjustRightInd w:val="0"/>
        <w:spacing w:line="360" w:lineRule="auto"/>
        <w:contextualSpacing/>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五、评标结果</w:t>
      </w:r>
    </w:p>
    <w:p>
      <w:pPr>
        <w:pStyle w:val="12"/>
        <w:spacing w:line="360" w:lineRule="auto"/>
        <w:contextualSpacing/>
        <w:jc w:val="left"/>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eastAsiaTheme="minorEastAsia"/>
          <w:color w:val="auto"/>
          <w:szCs w:val="24"/>
          <w:highlight w:val="none"/>
          <w:lang w:val="zh-CN"/>
        </w:rPr>
        <w:t xml:space="preserve">    评标委员会按评审后得分由高到低顺序推荐3名中标候选人。得分相同的，按投标报价由低到高顺序排列。得分且投标报价相同的并列。投标文件满足招标文件全部实质性要求，且按照评审因素的量化指标评审得分最高的投标人为排名第一的中标候选人。</w:t>
      </w:r>
    </w:p>
    <w:p>
      <w:pPr>
        <w:pStyle w:val="12"/>
        <w:spacing w:line="360" w:lineRule="auto"/>
        <w:ind w:firstLine="2530" w:firstLineChars="700"/>
        <w:contextualSpacing/>
        <w:rPr>
          <w:rFonts w:cs="宋体" w:asciiTheme="majorEastAsia" w:hAnsiTheme="majorEastAsia" w:eastAsiaTheme="majorEastAsia"/>
          <w:b/>
          <w:color w:val="auto"/>
          <w:kern w:val="0"/>
          <w:sz w:val="36"/>
          <w:szCs w:val="36"/>
          <w:highlight w:val="none"/>
        </w:rPr>
      </w:pPr>
    </w:p>
    <w:p>
      <w:pPr>
        <w:pStyle w:val="12"/>
        <w:spacing w:line="360" w:lineRule="auto"/>
        <w:ind w:firstLine="2530" w:firstLineChars="700"/>
        <w:contextualSpacing/>
        <w:rPr>
          <w:rFonts w:cs="宋体" w:asciiTheme="majorEastAsia" w:hAnsiTheme="majorEastAsia" w:eastAsiaTheme="majorEastAsia"/>
          <w:b/>
          <w:color w:val="auto"/>
          <w:kern w:val="0"/>
          <w:sz w:val="36"/>
          <w:szCs w:val="36"/>
          <w:highlight w:val="none"/>
        </w:rPr>
      </w:pPr>
    </w:p>
    <w:p>
      <w:pP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br w:type="page"/>
      </w:r>
    </w:p>
    <w:p>
      <w:pPr>
        <w:pStyle w:val="12"/>
        <w:spacing w:line="360" w:lineRule="auto"/>
        <w:ind w:firstLine="2530" w:firstLineChars="700"/>
        <w:contextualSpacing/>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第六章合同条款及格式</w:t>
      </w:r>
    </w:p>
    <w:p>
      <w:pPr>
        <w:autoSpaceDE w:val="0"/>
        <w:autoSpaceDN w:val="0"/>
        <w:adjustRightInd w:val="0"/>
        <w:spacing w:line="360" w:lineRule="auto"/>
        <w:jc w:val="center"/>
        <w:outlineLvl w:val="0"/>
        <w:rPr>
          <w:rFonts w:ascii="黑体" w:eastAsia="黑体" w:cs="黑体"/>
          <w:b/>
          <w:bCs/>
          <w:color w:val="auto"/>
          <w:sz w:val="28"/>
          <w:szCs w:val="28"/>
          <w:highlight w:val="none"/>
          <w:lang w:val="zh-CN"/>
        </w:rPr>
      </w:pPr>
      <w:r>
        <w:rPr>
          <w:rFonts w:hint="eastAsia" w:ascii="黑体" w:eastAsia="黑体" w:cs="黑体"/>
          <w:b/>
          <w:bCs/>
          <w:color w:val="auto"/>
          <w:sz w:val="28"/>
          <w:szCs w:val="28"/>
          <w:highlight w:val="none"/>
          <w:lang w:val="zh-CN"/>
        </w:rPr>
        <w:t>一、合同一般条款</w:t>
      </w:r>
    </w:p>
    <w:p>
      <w:pPr>
        <w:autoSpaceDE w:val="0"/>
        <w:autoSpaceDN w:val="0"/>
        <w:adjustRightInd w:val="0"/>
        <w:spacing w:line="360" w:lineRule="auto"/>
        <w:jc w:val="center"/>
        <w:rPr>
          <w:rFonts w:ascii="黑体" w:eastAsia="黑体" w:cs="黑体"/>
          <w:b/>
          <w:bCs/>
          <w:color w:val="auto"/>
          <w:sz w:val="28"/>
          <w:szCs w:val="28"/>
          <w:highlight w:val="none"/>
          <w:lang w:val="zh-CN"/>
        </w:rPr>
      </w:pP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1. </w:t>
      </w:r>
      <w:r>
        <w:rPr>
          <w:rFonts w:hint="eastAsia" w:ascii="宋体" w:cs="宋体"/>
          <w:color w:val="auto"/>
          <w:sz w:val="24"/>
          <w:highlight w:val="none"/>
          <w:lang w:val="zh-CN"/>
        </w:rPr>
        <w:t>定义</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1.1</w:t>
      </w:r>
      <w:r>
        <w:rPr>
          <w:color w:val="auto"/>
          <w:sz w:val="24"/>
          <w:highlight w:val="none"/>
        </w:rPr>
        <w:t>“</w:t>
      </w:r>
      <w:r>
        <w:rPr>
          <w:rFonts w:hint="eastAsia" w:ascii="宋体" w:cs="宋体"/>
          <w:color w:val="auto"/>
          <w:sz w:val="24"/>
          <w:highlight w:val="none"/>
          <w:lang w:val="zh-CN"/>
        </w:rPr>
        <w:t>合同</w:t>
      </w:r>
      <w:r>
        <w:rPr>
          <w:color w:val="auto"/>
          <w:sz w:val="24"/>
          <w:highlight w:val="none"/>
        </w:rPr>
        <w:t>”</w:t>
      </w:r>
      <w:r>
        <w:rPr>
          <w:rFonts w:hint="eastAsia" w:ascii="宋体" w:cs="宋体"/>
          <w:color w:val="auto"/>
          <w:sz w:val="24"/>
          <w:highlight w:val="none"/>
          <w:lang w:val="zh-CN"/>
        </w:rPr>
        <w:t>系指甲方和乙方（简称合同双方）已达成的协议，即由双方签订的合同格式中的文件，包括所有的附件和组成合同部分的所有其他文件。</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1.2</w:t>
      </w:r>
      <w:r>
        <w:rPr>
          <w:color w:val="auto"/>
          <w:sz w:val="24"/>
          <w:highlight w:val="none"/>
        </w:rPr>
        <w:t>“</w:t>
      </w:r>
      <w:r>
        <w:rPr>
          <w:rFonts w:hint="eastAsia" w:ascii="宋体" w:cs="宋体"/>
          <w:color w:val="auto"/>
          <w:sz w:val="24"/>
          <w:highlight w:val="none"/>
          <w:lang w:val="zh-CN"/>
        </w:rPr>
        <w:t>合同价格</w:t>
      </w:r>
      <w:r>
        <w:rPr>
          <w:color w:val="auto"/>
          <w:sz w:val="24"/>
          <w:highlight w:val="none"/>
        </w:rPr>
        <w:t>”</w:t>
      </w:r>
      <w:r>
        <w:rPr>
          <w:rFonts w:hint="eastAsia" w:ascii="宋体" w:cs="宋体"/>
          <w:color w:val="auto"/>
          <w:sz w:val="24"/>
          <w:highlight w:val="none"/>
          <w:lang w:val="zh-CN"/>
        </w:rPr>
        <w:t>系指根据合同规定，在乙方全面正确地履行合同义务时应支付给乙方的款项。</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1.3</w:t>
      </w:r>
      <w:r>
        <w:rPr>
          <w:color w:val="auto"/>
          <w:sz w:val="24"/>
          <w:highlight w:val="none"/>
        </w:rPr>
        <w:t>“</w:t>
      </w:r>
      <w:r>
        <w:rPr>
          <w:rFonts w:hint="eastAsia" w:ascii="宋体" w:cs="宋体"/>
          <w:color w:val="auto"/>
          <w:sz w:val="24"/>
          <w:highlight w:val="none"/>
          <w:lang w:val="zh-CN"/>
        </w:rPr>
        <w:t>甲方</w:t>
      </w:r>
      <w:r>
        <w:rPr>
          <w:color w:val="auto"/>
          <w:sz w:val="24"/>
          <w:highlight w:val="none"/>
        </w:rPr>
        <w:t>”</w:t>
      </w:r>
      <w:r>
        <w:rPr>
          <w:rFonts w:hint="eastAsia" w:ascii="宋体" w:cs="宋体"/>
          <w:color w:val="auto"/>
          <w:sz w:val="24"/>
          <w:highlight w:val="none"/>
          <w:lang w:val="zh-CN"/>
        </w:rPr>
        <w:t>系指通过招标方式，接受合同服务的采购人</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1.4</w:t>
      </w:r>
      <w:r>
        <w:rPr>
          <w:color w:val="auto"/>
          <w:sz w:val="24"/>
          <w:highlight w:val="none"/>
        </w:rPr>
        <w:t>“</w:t>
      </w:r>
      <w:r>
        <w:rPr>
          <w:rFonts w:hint="eastAsia" w:ascii="宋体" w:cs="宋体"/>
          <w:color w:val="auto"/>
          <w:sz w:val="24"/>
          <w:highlight w:val="none"/>
          <w:lang w:val="zh-CN"/>
        </w:rPr>
        <w:t>乙方</w:t>
      </w:r>
      <w:r>
        <w:rPr>
          <w:color w:val="auto"/>
          <w:sz w:val="24"/>
          <w:highlight w:val="none"/>
        </w:rPr>
        <w:t>”</w:t>
      </w:r>
      <w:r>
        <w:rPr>
          <w:rFonts w:hint="eastAsia" w:ascii="宋体" w:cs="宋体"/>
          <w:color w:val="auto"/>
          <w:sz w:val="24"/>
          <w:highlight w:val="none"/>
          <w:lang w:val="zh-CN"/>
        </w:rPr>
        <w:t>系指中标后提供合同服务的</w:t>
      </w:r>
      <w:r>
        <w:rPr>
          <w:rFonts w:hint="eastAsia" w:ascii="宋体" w:cs="宋体"/>
          <w:bCs/>
          <w:color w:val="auto"/>
          <w:sz w:val="24"/>
          <w:highlight w:val="none"/>
          <w:lang w:val="zh-CN"/>
        </w:rPr>
        <w:t>中标方</w:t>
      </w:r>
      <w:r>
        <w:rPr>
          <w:rFonts w:hint="eastAsia" w:ascii="宋体" w:cs="宋体"/>
          <w:color w:val="auto"/>
          <w:sz w:val="24"/>
          <w:highlight w:val="none"/>
          <w:lang w:val="zh-CN"/>
        </w:rPr>
        <w:t>或供应商。</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2.</w:t>
      </w:r>
      <w:r>
        <w:rPr>
          <w:rFonts w:hint="eastAsia" w:ascii="宋体" w:cs="宋体"/>
          <w:color w:val="auto"/>
          <w:sz w:val="24"/>
          <w:highlight w:val="none"/>
          <w:lang w:val="zh-CN"/>
        </w:rPr>
        <w:t>适用范围</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本合同条款仅适用于本次招标活动。</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3.</w:t>
      </w:r>
      <w:r>
        <w:rPr>
          <w:rFonts w:hint="eastAsia" w:ascii="宋体" w:cs="宋体"/>
          <w:color w:val="auto"/>
          <w:sz w:val="24"/>
          <w:highlight w:val="none"/>
          <w:lang w:val="zh-CN"/>
        </w:rPr>
        <w:t>技术规格和标准</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本合同项下所提供服务的技术规格标准应与本招标文件技术规格规定的标准相一致。</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4.</w:t>
      </w:r>
      <w:r>
        <w:rPr>
          <w:rFonts w:hint="eastAsia" w:ascii="宋体" w:cs="宋体"/>
          <w:color w:val="auto"/>
          <w:sz w:val="24"/>
          <w:highlight w:val="none"/>
          <w:lang w:val="zh-CN"/>
        </w:rPr>
        <w:t>合同期限</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即自</w:t>
      </w:r>
      <w:r>
        <w:rPr>
          <w:rFonts w:ascii="宋体" w:cs="宋体"/>
          <w:color w:val="auto"/>
          <w:sz w:val="24"/>
          <w:highlight w:val="none"/>
          <w:lang w:val="zh-CN"/>
        </w:rPr>
        <w:tab/>
      </w:r>
      <w:r>
        <w:rPr>
          <w:rFonts w:hint="eastAsia" w:ascii="宋体" w:cs="宋体"/>
          <w:color w:val="auto"/>
          <w:sz w:val="24"/>
          <w:highlight w:val="none"/>
          <w:lang w:val="zh-CN"/>
        </w:rPr>
        <w:t>年</w:t>
      </w:r>
      <w:r>
        <w:rPr>
          <w:rFonts w:ascii="宋体" w:cs="宋体"/>
          <w:color w:val="auto"/>
          <w:sz w:val="24"/>
          <w:highlight w:val="none"/>
          <w:lang w:val="zh-CN"/>
        </w:rPr>
        <w:tab/>
      </w:r>
      <w:r>
        <w:rPr>
          <w:rFonts w:hint="eastAsia" w:ascii="宋体" w:cs="宋体"/>
          <w:color w:val="auto"/>
          <w:sz w:val="24"/>
          <w:highlight w:val="none"/>
          <w:lang w:val="zh-CN"/>
        </w:rPr>
        <w:t>月</w:t>
      </w:r>
      <w:r>
        <w:rPr>
          <w:rFonts w:ascii="宋体" w:cs="宋体"/>
          <w:color w:val="auto"/>
          <w:sz w:val="24"/>
          <w:highlight w:val="none"/>
          <w:lang w:val="zh-CN"/>
        </w:rPr>
        <w:tab/>
      </w:r>
      <w:r>
        <w:rPr>
          <w:rFonts w:hint="eastAsia" w:ascii="宋体" w:cs="宋体"/>
          <w:color w:val="auto"/>
          <w:sz w:val="24"/>
          <w:highlight w:val="none"/>
          <w:lang w:val="zh-CN"/>
        </w:rPr>
        <w:t>日起至</w:t>
      </w:r>
      <w:r>
        <w:rPr>
          <w:rFonts w:ascii="宋体" w:cs="宋体"/>
          <w:color w:val="auto"/>
          <w:sz w:val="24"/>
          <w:highlight w:val="none"/>
          <w:lang w:val="zh-CN"/>
        </w:rPr>
        <w:tab/>
      </w:r>
      <w:r>
        <w:rPr>
          <w:rFonts w:hint="eastAsia" w:ascii="宋体" w:cs="宋体"/>
          <w:color w:val="auto"/>
          <w:sz w:val="24"/>
          <w:highlight w:val="none"/>
          <w:lang w:val="zh-CN"/>
        </w:rPr>
        <w:t>年</w:t>
      </w:r>
      <w:r>
        <w:rPr>
          <w:rFonts w:ascii="宋体" w:cs="宋体"/>
          <w:color w:val="auto"/>
          <w:sz w:val="24"/>
          <w:highlight w:val="none"/>
          <w:lang w:val="zh-CN"/>
        </w:rPr>
        <w:tab/>
      </w:r>
      <w:r>
        <w:rPr>
          <w:rFonts w:hint="eastAsia" w:ascii="宋体" w:cs="宋体"/>
          <w:color w:val="auto"/>
          <w:sz w:val="24"/>
          <w:highlight w:val="none"/>
          <w:lang w:val="zh-CN"/>
        </w:rPr>
        <w:t>月</w:t>
      </w:r>
      <w:r>
        <w:rPr>
          <w:rFonts w:ascii="宋体" w:cs="宋体"/>
          <w:color w:val="auto"/>
          <w:sz w:val="24"/>
          <w:highlight w:val="none"/>
          <w:lang w:val="zh-CN"/>
        </w:rPr>
        <w:tab/>
      </w:r>
      <w:r>
        <w:rPr>
          <w:rFonts w:hint="eastAsia" w:ascii="宋体" w:cs="宋体"/>
          <w:color w:val="auto"/>
          <w:sz w:val="24"/>
          <w:highlight w:val="none"/>
          <w:lang w:val="zh-CN"/>
        </w:rPr>
        <w:t>日止。</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5.</w:t>
      </w:r>
      <w:r>
        <w:rPr>
          <w:rFonts w:hint="eastAsia" w:ascii="宋体" w:cs="宋体"/>
          <w:color w:val="auto"/>
          <w:sz w:val="24"/>
          <w:highlight w:val="none"/>
          <w:lang w:val="zh-CN"/>
        </w:rPr>
        <w:t>价格</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除非合同中另有规定，乙方为其所提供货物设备和服务而要求甲方支付的金额应与其投标报价一致。</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6.</w:t>
      </w:r>
      <w:r>
        <w:rPr>
          <w:rFonts w:hint="eastAsia" w:ascii="宋体" w:cs="宋体"/>
          <w:color w:val="auto"/>
          <w:sz w:val="24"/>
          <w:highlight w:val="none"/>
          <w:lang w:val="zh-CN"/>
        </w:rPr>
        <w:t>索赔</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6.1</w:t>
      </w:r>
      <w:r>
        <w:rPr>
          <w:rFonts w:hint="eastAsia" w:ascii="宋体" w:cs="宋体"/>
          <w:color w:val="auto"/>
          <w:sz w:val="24"/>
          <w:highlight w:val="none"/>
          <w:lang w:val="zh-CN"/>
        </w:rPr>
        <w:t>乙方对所提供货物设备和服务与合同要求不符负有责任，并且甲方已于合同规定的期限内提出索赔，乙方应按甲方同意的下述一种或多种方法解决索赔事宜。</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6.1.1</w:t>
      </w:r>
      <w:r>
        <w:rPr>
          <w:rFonts w:hint="eastAsia" w:ascii="宋体" w:cs="宋体"/>
          <w:color w:val="auto"/>
          <w:sz w:val="24"/>
          <w:highlight w:val="none"/>
          <w:lang w:val="zh-CN"/>
        </w:rPr>
        <w:t>乙方同意甲方取消其不符合要求的货物设备和服务项目，退还已经收取的该类货物设备的货款。</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6.1.2</w:t>
      </w:r>
      <w:r>
        <w:rPr>
          <w:rFonts w:hint="eastAsia" w:ascii="宋体" w:cs="宋体"/>
          <w:color w:val="auto"/>
          <w:sz w:val="24"/>
          <w:highlight w:val="none"/>
          <w:lang w:val="zh-CN"/>
        </w:rPr>
        <w:t>对于情节严重、造成甲方损失金额巨大的，同意甲方终止全部项目合同，并赔偿甲方因此造成的损失。</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6.2 </w:t>
      </w:r>
      <w:r>
        <w:rPr>
          <w:rFonts w:hint="eastAsia" w:ascii="宋体" w:cs="宋体"/>
          <w:color w:val="auto"/>
          <w:sz w:val="24"/>
          <w:highlight w:val="none"/>
          <w:lang w:val="zh-CN"/>
        </w:rPr>
        <w:t>如果甲方提出索赔通知后</w:t>
      </w:r>
      <w:r>
        <w:rPr>
          <w:rFonts w:ascii="宋体" w:cs="宋体"/>
          <w:color w:val="auto"/>
          <w:sz w:val="24"/>
          <w:highlight w:val="none"/>
          <w:lang w:val="zh-CN"/>
        </w:rPr>
        <w:t xml:space="preserve"> 30</w:t>
      </w:r>
      <w:r>
        <w:rPr>
          <w:rFonts w:hint="eastAsia" w:ascii="宋体" w:cs="宋体"/>
          <w:color w:val="auto"/>
          <w:sz w:val="24"/>
          <w:highlight w:val="none"/>
          <w:lang w:val="zh-CN"/>
        </w:rPr>
        <w:t>天内乙方未能予以签复，该索赔应视为已被乙方接受。若乙方未能在甲方提出索赔通知的</w:t>
      </w:r>
      <w:r>
        <w:rPr>
          <w:rFonts w:ascii="宋体" w:cs="宋体"/>
          <w:color w:val="auto"/>
          <w:sz w:val="24"/>
          <w:highlight w:val="none"/>
          <w:lang w:val="zh-CN"/>
        </w:rPr>
        <w:t xml:space="preserve"> 30</w:t>
      </w:r>
      <w:r>
        <w:rPr>
          <w:rFonts w:hint="eastAsia" w:ascii="宋体" w:cs="宋体"/>
          <w:color w:val="auto"/>
          <w:sz w:val="24"/>
          <w:highlight w:val="none"/>
          <w:lang w:val="zh-CN"/>
        </w:rPr>
        <w:t>天内或甲方同意的更长一些的时间内，按甲方同意的上述任何一种方式处理索赔事宜，甲方将乙方提供的履约保证金中扣回索赔金额，同时保留进一步要求赔偿的权利。</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7.</w:t>
      </w:r>
      <w:r>
        <w:rPr>
          <w:rFonts w:hint="eastAsia" w:ascii="宋体" w:cs="宋体"/>
          <w:color w:val="auto"/>
          <w:sz w:val="24"/>
          <w:highlight w:val="none"/>
          <w:lang w:val="zh-CN"/>
        </w:rPr>
        <w:t>不可抗力</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7.1</w:t>
      </w:r>
      <w:r>
        <w:rPr>
          <w:rFonts w:hint="eastAsia" w:ascii="宋体" w:cs="宋体"/>
          <w:color w:val="auto"/>
          <w:sz w:val="24"/>
          <w:highlight w:val="none"/>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7.2</w:t>
      </w:r>
      <w:r>
        <w:rPr>
          <w:rFonts w:hint="eastAsia" w:ascii="宋体" w:cs="宋体"/>
          <w:color w:val="auto"/>
          <w:sz w:val="24"/>
          <w:highlight w:val="none"/>
          <w:lang w:val="zh-CN"/>
        </w:rPr>
        <w:t>受损一方应在不可抗力事故发生后尽快用电报、传真或电传通知对方，并于事故发生后</w:t>
      </w:r>
      <w:r>
        <w:rPr>
          <w:rFonts w:ascii="宋体" w:cs="宋体"/>
          <w:color w:val="auto"/>
          <w:sz w:val="24"/>
          <w:highlight w:val="none"/>
          <w:lang w:val="zh-CN"/>
        </w:rPr>
        <w:t xml:space="preserve"> 14</w:t>
      </w:r>
      <w:r>
        <w:rPr>
          <w:rFonts w:hint="eastAsia" w:ascii="宋体" w:cs="宋体"/>
          <w:color w:val="auto"/>
          <w:sz w:val="24"/>
          <w:highlight w:val="none"/>
          <w:lang w:val="zh-CN"/>
        </w:rPr>
        <w:t>天内将有关部门出具的证明文件用特快专递或挂号信寄给对方审阅确认。一旦不可抗力事故的影响持续</w:t>
      </w:r>
      <w:r>
        <w:rPr>
          <w:rFonts w:ascii="宋体" w:cs="宋体"/>
          <w:color w:val="auto"/>
          <w:sz w:val="24"/>
          <w:highlight w:val="none"/>
          <w:lang w:val="zh-CN"/>
        </w:rPr>
        <w:t xml:space="preserve"> 60</w:t>
      </w:r>
      <w:r>
        <w:rPr>
          <w:rFonts w:hint="eastAsia" w:ascii="宋体" w:cs="宋体"/>
          <w:color w:val="auto"/>
          <w:sz w:val="24"/>
          <w:highlight w:val="none"/>
          <w:lang w:val="zh-CN"/>
        </w:rPr>
        <w:t>天以上，双方应通过友好协商，在合理的时间内达成进一步履行合同的协议。</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8.</w:t>
      </w:r>
      <w:r>
        <w:rPr>
          <w:rFonts w:hint="eastAsia" w:ascii="宋体" w:cs="宋体"/>
          <w:color w:val="auto"/>
          <w:sz w:val="24"/>
          <w:highlight w:val="none"/>
          <w:lang w:val="zh-CN"/>
        </w:rPr>
        <w:t>履约保证金</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8.1</w:t>
      </w:r>
      <w:r>
        <w:rPr>
          <w:rFonts w:hint="eastAsia" w:ascii="宋体" w:cs="宋体"/>
          <w:color w:val="auto"/>
          <w:sz w:val="24"/>
          <w:highlight w:val="none"/>
          <w:lang w:val="zh-CN"/>
        </w:rPr>
        <w:t>履约保证金的有效期至供货完毕且验收合格。</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8.2</w:t>
      </w:r>
      <w:r>
        <w:rPr>
          <w:rFonts w:hint="eastAsia" w:ascii="宋体" w:cs="宋体"/>
          <w:color w:val="auto"/>
          <w:sz w:val="24"/>
          <w:highlight w:val="none"/>
          <w:lang w:val="zh-CN"/>
        </w:rPr>
        <w:t>乙方提供的履约保证金按规定格式转帐支票、电汇的形式提供，与此有关的费用由乙方负担。</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8.4</w:t>
      </w:r>
      <w:r>
        <w:rPr>
          <w:rFonts w:hint="eastAsia" w:ascii="宋体" w:cs="宋体"/>
          <w:color w:val="auto"/>
          <w:sz w:val="24"/>
          <w:highlight w:val="none"/>
          <w:lang w:val="zh-CN"/>
        </w:rPr>
        <w:t>如果乙方未能按合同规定履行其义务，甲方有权从履约保证金取得补偿。</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9.</w:t>
      </w:r>
      <w:r>
        <w:rPr>
          <w:rFonts w:hint="eastAsia" w:ascii="宋体" w:cs="宋体"/>
          <w:color w:val="auto"/>
          <w:sz w:val="24"/>
          <w:highlight w:val="none"/>
          <w:lang w:val="zh-CN"/>
        </w:rPr>
        <w:t>争议的解决</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9.1</w:t>
      </w:r>
      <w:r>
        <w:rPr>
          <w:rFonts w:hint="eastAsia" w:ascii="宋体" w:cs="宋体"/>
          <w:color w:val="auto"/>
          <w:sz w:val="24"/>
          <w:highlight w:val="none"/>
          <w:lang w:val="zh-CN"/>
        </w:rPr>
        <w:t>在执行合同中发生的与本合同有关的争端，双方应通过友好协商解决，经协商在</w:t>
      </w:r>
      <w:r>
        <w:rPr>
          <w:rFonts w:ascii="宋体" w:cs="宋体"/>
          <w:color w:val="auto"/>
          <w:sz w:val="24"/>
          <w:highlight w:val="none"/>
          <w:lang w:val="zh-CN"/>
        </w:rPr>
        <w:t xml:space="preserve"> 60</w:t>
      </w:r>
      <w:r>
        <w:rPr>
          <w:rFonts w:hint="eastAsia" w:ascii="宋体" w:cs="宋体"/>
          <w:color w:val="auto"/>
          <w:sz w:val="24"/>
          <w:highlight w:val="none"/>
          <w:lang w:val="zh-CN"/>
        </w:rPr>
        <w:t>天内不能达成协议时，应提交仲裁。</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9.2 </w:t>
      </w:r>
      <w:r>
        <w:rPr>
          <w:rFonts w:hint="eastAsia" w:ascii="宋体" w:cs="宋体"/>
          <w:color w:val="auto"/>
          <w:sz w:val="24"/>
          <w:highlight w:val="none"/>
          <w:lang w:val="zh-CN"/>
        </w:rPr>
        <w:t>提交正式仲裁的争端属涉外的，应在北京或中国国内其他地点，由指定的国际经济仲裁委员会根据该委员会的仲裁程序或规则予以最终裁决。</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9.3 </w:t>
      </w:r>
      <w:r>
        <w:rPr>
          <w:rFonts w:hint="eastAsia" w:ascii="宋体" w:cs="宋体"/>
          <w:color w:val="auto"/>
          <w:sz w:val="24"/>
          <w:highlight w:val="none"/>
          <w:lang w:val="zh-CN"/>
        </w:rPr>
        <w:t>合同双方均为国内法人的，其争端的仲裁应由合同发生地许昌市仲裁委员会根据其仲裁程序进行。</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9.4 </w:t>
      </w:r>
      <w:r>
        <w:rPr>
          <w:rFonts w:hint="eastAsia" w:ascii="宋体" w:cs="宋体"/>
          <w:color w:val="auto"/>
          <w:sz w:val="24"/>
          <w:highlight w:val="none"/>
          <w:lang w:val="zh-CN"/>
        </w:rPr>
        <w:t>仲裁裁决应为最终决定，并对双方具有约束力。</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9.5 </w:t>
      </w:r>
      <w:r>
        <w:rPr>
          <w:rFonts w:hint="eastAsia" w:ascii="宋体" w:cs="宋体"/>
          <w:color w:val="auto"/>
          <w:sz w:val="24"/>
          <w:highlight w:val="none"/>
          <w:lang w:val="zh-CN"/>
        </w:rPr>
        <w:t>除另有裁决外，仲裁费应由败诉方负担。</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9.6 </w:t>
      </w:r>
      <w:r>
        <w:rPr>
          <w:rFonts w:hint="eastAsia" w:ascii="宋体" w:cs="宋体"/>
          <w:color w:val="auto"/>
          <w:sz w:val="24"/>
          <w:highlight w:val="none"/>
          <w:lang w:val="zh-CN"/>
        </w:rPr>
        <w:t>在仲裁期间，除正在进行的仲裁部分外，合同其他部分继续执行。</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10.</w:t>
      </w:r>
      <w:r>
        <w:rPr>
          <w:rFonts w:hint="eastAsia" w:ascii="宋体" w:cs="宋体"/>
          <w:color w:val="auto"/>
          <w:sz w:val="24"/>
          <w:highlight w:val="none"/>
          <w:lang w:val="zh-CN"/>
        </w:rPr>
        <w:t>合同终止</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10.1</w:t>
      </w:r>
      <w:r>
        <w:rPr>
          <w:rFonts w:hint="eastAsia" w:ascii="宋体" w:cs="宋体"/>
          <w:color w:val="auto"/>
          <w:sz w:val="24"/>
          <w:highlight w:val="none"/>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10.2 </w:t>
      </w:r>
      <w:r>
        <w:rPr>
          <w:rFonts w:hint="eastAsia" w:ascii="宋体" w:cs="宋体"/>
          <w:color w:val="auto"/>
          <w:sz w:val="24"/>
          <w:highlight w:val="none"/>
          <w:lang w:val="zh-CN"/>
        </w:rPr>
        <w:t>出现下列情况时合同自动终止：</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10.2.1</w:t>
      </w:r>
      <w:r>
        <w:rPr>
          <w:rFonts w:hint="eastAsia" w:ascii="宋体" w:cs="宋体"/>
          <w:color w:val="auto"/>
          <w:sz w:val="24"/>
          <w:highlight w:val="none"/>
          <w:lang w:val="zh-CN"/>
        </w:rPr>
        <w:t>发生不可抗力时。</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10.2.2</w:t>
      </w:r>
      <w:r>
        <w:rPr>
          <w:rFonts w:hint="eastAsia" w:ascii="宋体" w:cs="宋体"/>
          <w:color w:val="auto"/>
          <w:sz w:val="24"/>
          <w:highlight w:val="none"/>
          <w:lang w:val="zh-CN"/>
        </w:rPr>
        <w:t>一方不履行合同条款，造成另一方无法执行合同协议，协商又不能求得解决，合同终止，责任方赔偿损失。</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11.</w:t>
      </w:r>
      <w:r>
        <w:rPr>
          <w:rFonts w:hint="eastAsia" w:ascii="宋体" w:cs="宋体"/>
          <w:color w:val="auto"/>
          <w:sz w:val="24"/>
          <w:highlight w:val="none"/>
          <w:lang w:val="zh-CN"/>
        </w:rPr>
        <w:t>合同修改</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对于合同的未尽事宜，需进行修改、补充和完善的，甲乙双方必须就所修改的内容签订书面的合同修改书，作为合同的补充协议。</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12.</w:t>
      </w:r>
      <w:r>
        <w:rPr>
          <w:rFonts w:hint="eastAsia" w:ascii="宋体" w:cs="宋体"/>
          <w:color w:val="auto"/>
          <w:sz w:val="24"/>
          <w:highlight w:val="none"/>
          <w:lang w:val="zh-CN"/>
        </w:rPr>
        <w:t>适用法律</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本合同应按中华人民共和国的法律解释。</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13.</w:t>
      </w:r>
      <w:r>
        <w:rPr>
          <w:rFonts w:hint="eastAsia" w:ascii="宋体" w:cs="宋体"/>
          <w:color w:val="auto"/>
          <w:sz w:val="24"/>
          <w:highlight w:val="none"/>
          <w:lang w:val="zh-CN"/>
        </w:rPr>
        <w:t>主导语言与计量单位</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13.1 </w:t>
      </w:r>
      <w:r>
        <w:rPr>
          <w:rFonts w:hint="eastAsia" w:ascii="宋体" w:cs="宋体"/>
          <w:color w:val="auto"/>
          <w:sz w:val="24"/>
          <w:highlight w:val="none"/>
          <w:lang w:val="zh-CN"/>
        </w:rPr>
        <w:t>合同书写应用中文书写。</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 xml:space="preserve">13.2 </w:t>
      </w:r>
      <w:r>
        <w:rPr>
          <w:rFonts w:hint="eastAsia" w:ascii="宋体" w:cs="宋体"/>
          <w:color w:val="auto"/>
          <w:sz w:val="24"/>
          <w:highlight w:val="none"/>
          <w:lang w:val="zh-CN"/>
        </w:rPr>
        <w:t>除技术规格另有规定外，计量单位均使用中华人民共和国法定计量单位。</w:t>
      </w:r>
    </w:p>
    <w:p>
      <w:pPr>
        <w:autoSpaceDE w:val="0"/>
        <w:autoSpaceDN w:val="0"/>
        <w:adjustRightInd w:val="0"/>
        <w:spacing w:line="360" w:lineRule="auto"/>
        <w:ind w:firstLine="480"/>
        <w:rPr>
          <w:rFonts w:ascii="宋体" w:cs="宋体"/>
          <w:color w:val="auto"/>
          <w:sz w:val="24"/>
          <w:highlight w:val="none"/>
          <w:lang w:val="zh-CN"/>
        </w:rPr>
      </w:pPr>
      <w:r>
        <w:rPr>
          <w:rFonts w:ascii="宋体" w:cs="宋体"/>
          <w:color w:val="auto"/>
          <w:sz w:val="24"/>
          <w:highlight w:val="none"/>
          <w:lang w:val="zh-CN"/>
        </w:rPr>
        <w:t>14.</w:t>
      </w:r>
      <w:r>
        <w:rPr>
          <w:rFonts w:hint="eastAsia" w:ascii="宋体" w:cs="宋体"/>
          <w:color w:val="auto"/>
          <w:sz w:val="24"/>
          <w:highlight w:val="none"/>
          <w:lang w:val="zh-CN"/>
        </w:rPr>
        <w:t>合同生效</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除非合同中另有说明，本合同经双方签字盖章，并在招标人收到乙方的履约保证金后，即开始生效。</w:t>
      </w:r>
    </w:p>
    <w:p>
      <w:pPr>
        <w:autoSpaceDE w:val="0"/>
        <w:autoSpaceDN w:val="0"/>
        <w:adjustRightInd w:val="0"/>
        <w:spacing w:line="360" w:lineRule="auto"/>
        <w:jc w:val="center"/>
        <w:rPr>
          <w:rFonts w:ascii="黑体" w:eastAsia="黑体" w:cs="黑体"/>
          <w:b/>
          <w:bCs/>
          <w:color w:val="auto"/>
          <w:sz w:val="28"/>
          <w:szCs w:val="28"/>
          <w:highlight w:val="none"/>
          <w:lang w:val="zh-CN"/>
        </w:rPr>
      </w:pPr>
    </w:p>
    <w:p>
      <w:pPr>
        <w:autoSpaceDE w:val="0"/>
        <w:autoSpaceDN w:val="0"/>
        <w:adjustRightInd w:val="0"/>
        <w:spacing w:line="360" w:lineRule="auto"/>
        <w:rPr>
          <w:rFonts w:ascii="黑体" w:eastAsia="黑体" w:cs="黑体"/>
          <w:b/>
          <w:bCs/>
          <w:color w:val="auto"/>
          <w:sz w:val="28"/>
          <w:szCs w:val="28"/>
          <w:highlight w:val="none"/>
          <w:lang w:val="zh-CN"/>
        </w:rPr>
      </w:pPr>
    </w:p>
    <w:p>
      <w:pPr>
        <w:autoSpaceDE w:val="0"/>
        <w:autoSpaceDN w:val="0"/>
        <w:adjustRightInd w:val="0"/>
        <w:spacing w:line="360" w:lineRule="auto"/>
        <w:jc w:val="center"/>
        <w:outlineLvl w:val="0"/>
        <w:rPr>
          <w:rFonts w:ascii="黑体" w:eastAsia="黑体" w:cs="黑体"/>
          <w:b/>
          <w:bCs/>
          <w:color w:val="auto"/>
          <w:sz w:val="28"/>
          <w:szCs w:val="28"/>
          <w:highlight w:val="none"/>
          <w:lang w:val="zh-CN"/>
        </w:rPr>
      </w:pPr>
    </w:p>
    <w:p>
      <w:pPr>
        <w:autoSpaceDE w:val="0"/>
        <w:autoSpaceDN w:val="0"/>
        <w:adjustRightInd w:val="0"/>
        <w:spacing w:line="360" w:lineRule="auto"/>
        <w:jc w:val="center"/>
        <w:outlineLvl w:val="0"/>
        <w:rPr>
          <w:rFonts w:ascii="黑体" w:eastAsia="黑体" w:cs="黑体"/>
          <w:b/>
          <w:bCs/>
          <w:color w:val="auto"/>
          <w:sz w:val="28"/>
          <w:szCs w:val="28"/>
          <w:highlight w:val="none"/>
          <w:lang w:val="zh-CN"/>
        </w:rPr>
      </w:pPr>
    </w:p>
    <w:p>
      <w:pPr>
        <w:widowControl/>
        <w:jc w:val="center"/>
        <w:rPr>
          <w:rFonts w:ascii="黑体" w:eastAsia="黑体" w:cs="黑体"/>
          <w:b/>
          <w:bCs/>
          <w:color w:val="auto"/>
          <w:sz w:val="28"/>
          <w:szCs w:val="28"/>
          <w:highlight w:val="none"/>
          <w:lang w:val="zh-CN"/>
        </w:rPr>
      </w:pPr>
      <w:r>
        <w:rPr>
          <w:rFonts w:hint="eastAsia" w:ascii="黑体" w:eastAsia="黑体" w:cs="黑体"/>
          <w:b/>
          <w:bCs/>
          <w:color w:val="auto"/>
          <w:sz w:val="28"/>
          <w:szCs w:val="28"/>
          <w:highlight w:val="none"/>
          <w:lang w:val="zh-CN"/>
        </w:rPr>
        <w:t>二、合同特殊条款</w:t>
      </w:r>
    </w:p>
    <w:p>
      <w:pPr>
        <w:autoSpaceDE w:val="0"/>
        <w:autoSpaceDN w:val="0"/>
        <w:adjustRightInd w:val="0"/>
        <w:spacing w:line="360" w:lineRule="auto"/>
        <w:jc w:val="center"/>
        <w:rPr>
          <w:rFonts w:ascii="宋体" w:cs="宋体"/>
          <w:b/>
          <w:bCs/>
          <w:color w:val="auto"/>
          <w:sz w:val="30"/>
          <w:szCs w:val="30"/>
          <w:highlight w:val="none"/>
          <w:lang w:val="zh-CN"/>
        </w:rPr>
      </w:pP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（具体条款由甲乙双方根据该项目的特殊性协商约定）略。</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合同特殊条款是合同一般条款的补充和修改。如果两者之间有抵触，应以特殊条款为准。</w:t>
      </w:r>
    </w:p>
    <w:p>
      <w:pPr>
        <w:autoSpaceDE w:val="0"/>
        <w:autoSpaceDN w:val="0"/>
        <w:adjustRightInd w:val="0"/>
        <w:spacing w:line="360" w:lineRule="auto"/>
        <w:ind w:firstLine="480"/>
        <w:rPr>
          <w:rFonts w:ascii="宋体" w:cs="宋体"/>
          <w:color w:val="auto"/>
          <w:sz w:val="24"/>
          <w:highlight w:val="none"/>
          <w:lang w:val="zh-CN"/>
        </w:rPr>
      </w:pPr>
    </w:p>
    <w:p>
      <w:pPr>
        <w:autoSpaceDE w:val="0"/>
        <w:autoSpaceDN w:val="0"/>
        <w:adjustRightInd w:val="0"/>
        <w:spacing w:line="360" w:lineRule="auto"/>
        <w:jc w:val="center"/>
        <w:rPr>
          <w:rFonts w:ascii="黑体" w:eastAsia="黑体" w:cs="黑体"/>
          <w:b/>
          <w:bCs/>
          <w:color w:val="auto"/>
          <w:sz w:val="28"/>
          <w:szCs w:val="28"/>
          <w:highlight w:val="none"/>
          <w:lang w:val="zh-CN"/>
        </w:rPr>
      </w:pPr>
    </w:p>
    <w:p>
      <w:pPr>
        <w:widowControl/>
        <w:jc w:val="left"/>
        <w:rPr>
          <w:color w:val="auto"/>
          <w:highlight w:val="none"/>
        </w:rPr>
      </w:pPr>
      <w:r>
        <w:rPr>
          <w:color w:val="auto"/>
          <w:highlight w:val="none"/>
        </w:rPr>
        <w:br w:type="page"/>
      </w:r>
    </w:p>
    <w:p>
      <w:pPr>
        <w:rPr>
          <w:color w:val="auto"/>
          <w:highlight w:val="none"/>
        </w:rPr>
      </w:pPr>
    </w:p>
    <w:p>
      <w:pPr>
        <w:autoSpaceDE w:val="0"/>
        <w:autoSpaceDN w:val="0"/>
        <w:adjustRightInd w:val="0"/>
        <w:spacing w:line="360" w:lineRule="auto"/>
        <w:jc w:val="center"/>
        <w:outlineLvl w:val="0"/>
        <w:rPr>
          <w:rFonts w:ascii="黑体" w:eastAsia="黑体" w:cs="黑体"/>
          <w:b/>
          <w:bCs/>
          <w:color w:val="auto"/>
          <w:sz w:val="28"/>
          <w:szCs w:val="28"/>
          <w:highlight w:val="none"/>
          <w:lang w:val="zh-CN"/>
        </w:rPr>
      </w:pPr>
      <w:r>
        <w:rPr>
          <w:rFonts w:hint="eastAsia" w:ascii="黑体" w:eastAsia="黑体" w:cs="黑体"/>
          <w:b/>
          <w:bCs/>
          <w:color w:val="auto"/>
          <w:sz w:val="28"/>
          <w:szCs w:val="28"/>
          <w:highlight w:val="none"/>
          <w:lang w:val="zh-CN"/>
        </w:rPr>
        <w:t>三、 合同书</w:t>
      </w:r>
    </w:p>
    <w:p>
      <w:pPr>
        <w:autoSpaceDE w:val="0"/>
        <w:autoSpaceDN w:val="0"/>
        <w:adjustRightInd w:val="0"/>
        <w:spacing w:line="360" w:lineRule="auto"/>
        <w:jc w:val="center"/>
        <w:outlineLvl w:val="0"/>
        <w:rPr>
          <w:rFonts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t>（仅供参考，最终以签订合同为准，最终签订合同的主要条款不能与招标文件有冲突）</w:t>
      </w:r>
    </w:p>
    <w:p>
      <w:pPr>
        <w:autoSpaceDE w:val="0"/>
        <w:autoSpaceDN w:val="0"/>
        <w:adjustRightInd w:val="0"/>
        <w:spacing w:line="360" w:lineRule="auto"/>
        <w:rPr>
          <w:rFonts w:ascii="宋体" w:cs="宋体"/>
          <w:color w:val="auto"/>
          <w:sz w:val="24"/>
          <w:highlight w:val="none"/>
          <w:lang w:val="zh-CN"/>
        </w:rPr>
      </w:pPr>
      <w:r>
        <w:rPr>
          <w:rFonts w:hint="eastAsia" w:ascii="宋体" w:cs="宋体"/>
          <w:color w:val="auto"/>
          <w:sz w:val="24"/>
          <w:highlight w:val="none"/>
          <w:lang w:val="zh-CN"/>
        </w:rPr>
        <w:t>合同编号：</w:t>
      </w:r>
    </w:p>
    <w:p>
      <w:pPr>
        <w:autoSpaceDE w:val="0"/>
        <w:autoSpaceDN w:val="0"/>
        <w:adjustRightInd w:val="0"/>
        <w:spacing w:line="360" w:lineRule="auto"/>
        <w:rPr>
          <w:rFonts w:ascii="宋体" w:cs="宋体"/>
          <w:color w:val="auto"/>
          <w:sz w:val="24"/>
          <w:highlight w:val="none"/>
          <w:lang w:val="zh-CN"/>
        </w:rPr>
      </w:pPr>
      <w:r>
        <w:rPr>
          <w:rFonts w:hint="eastAsia" w:ascii="宋体" w:cs="宋体"/>
          <w:color w:val="auto"/>
          <w:sz w:val="24"/>
          <w:highlight w:val="none"/>
          <w:lang w:val="zh-CN"/>
        </w:rPr>
        <w:t>供方：需方：</w:t>
      </w:r>
    </w:p>
    <w:p>
      <w:pPr>
        <w:autoSpaceDE w:val="0"/>
        <w:autoSpaceDN w:val="0"/>
        <w:adjustRightInd w:val="0"/>
        <w:spacing w:line="360" w:lineRule="auto"/>
        <w:rPr>
          <w:rFonts w:ascii="宋体" w:cs="宋体"/>
          <w:color w:val="auto"/>
          <w:sz w:val="24"/>
          <w:highlight w:val="none"/>
          <w:lang w:val="zh-CN"/>
        </w:rPr>
      </w:pPr>
      <w:r>
        <w:rPr>
          <w:rFonts w:hint="eastAsia" w:ascii="宋体" w:cs="宋体"/>
          <w:color w:val="auto"/>
          <w:sz w:val="24"/>
          <w:highlight w:val="none"/>
          <w:lang w:val="zh-CN"/>
        </w:rPr>
        <w:t>供、需双方根据年月日招标人签发的中标通知书和招投标文件，并经双方协商一致，在平等互利的基础上，达成以下合同条款：</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一、招标文件、投标文件、澄清文件及材料（如果有的话）、中标通知书、合同条款、补充协议（如果有的话）均为合同不可分割的部分。</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二、货物名称、数量、规格、型号、金额及交货期</w:t>
      </w:r>
    </w:p>
    <w:tbl>
      <w:tblPr>
        <w:tblStyle w:val="20"/>
        <w:tblW w:w="9490" w:type="dxa"/>
        <w:tblInd w:w="0" w:type="dxa"/>
        <w:tblLayout w:type="fixed"/>
        <w:tblCellMar>
          <w:top w:w="0" w:type="dxa"/>
          <w:left w:w="108" w:type="dxa"/>
          <w:bottom w:w="0" w:type="dxa"/>
          <w:right w:w="108" w:type="dxa"/>
        </w:tblCellMar>
      </w:tblPr>
      <w:tblGrid>
        <w:gridCol w:w="491"/>
        <w:gridCol w:w="1512"/>
        <w:gridCol w:w="2456"/>
        <w:gridCol w:w="567"/>
        <w:gridCol w:w="567"/>
        <w:gridCol w:w="1323"/>
        <w:gridCol w:w="1323"/>
        <w:gridCol w:w="1251"/>
      </w:tblGrid>
      <w:tr>
        <w:tblPrEx>
          <w:tblCellMar>
            <w:top w:w="0" w:type="dxa"/>
            <w:left w:w="108" w:type="dxa"/>
            <w:bottom w:w="0" w:type="dxa"/>
            <w:right w:w="108" w:type="dxa"/>
          </w:tblCellMar>
        </w:tblPrEx>
        <w:trPr>
          <w:trHeight w:val="1003" w:hRule="atLeast"/>
        </w:trPr>
        <w:tc>
          <w:tcPr>
            <w:tcW w:w="4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序号</w:t>
            </w:r>
          </w:p>
        </w:tc>
        <w:tc>
          <w:tcPr>
            <w:tcW w:w="15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名称</w:t>
            </w:r>
          </w:p>
        </w:tc>
        <w:tc>
          <w:tcPr>
            <w:tcW w:w="24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规格及型号</w:t>
            </w:r>
          </w:p>
        </w:tc>
        <w:tc>
          <w:tcPr>
            <w:tcW w:w="5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单位</w:t>
            </w:r>
          </w:p>
        </w:tc>
        <w:tc>
          <w:tcPr>
            <w:tcW w:w="5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数量</w:t>
            </w:r>
          </w:p>
        </w:tc>
        <w:tc>
          <w:tcPr>
            <w:tcW w:w="13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单价</w:t>
            </w:r>
          </w:p>
        </w:tc>
        <w:tc>
          <w:tcPr>
            <w:tcW w:w="13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20"/>
              <w:rPr>
                <w:color w:val="auto"/>
                <w:sz w:val="24"/>
                <w:highlight w:val="none"/>
              </w:rPr>
            </w:pPr>
            <w:r>
              <w:rPr>
                <w:rFonts w:hint="eastAsia" w:ascii="宋体" w:cs="宋体"/>
                <w:color w:val="auto"/>
                <w:sz w:val="24"/>
                <w:highlight w:val="none"/>
                <w:lang w:val="zh-CN"/>
              </w:rPr>
              <w:t>总价</w:t>
            </w:r>
          </w:p>
        </w:tc>
        <w:tc>
          <w:tcPr>
            <w:tcW w:w="12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20" w:hanging="120"/>
              <w:jc w:val="center"/>
              <w:rPr>
                <w:color w:val="auto"/>
                <w:sz w:val="24"/>
                <w:highlight w:val="none"/>
              </w:rPr>
            </w:pPr>
            <w:r>
              <w:rPr>
                <w:rFonts w:hint="eastAsia" w:ascii="宋体" w:cs="宋体"/>
                <w:color w:val="auto"/>
                <w:sz w:val="24"/>
                <w:highlight w:val="none"/>
                <w:lang w:val="zh-CN"/>
              </w:rPr>
              <w:t>交货期或工期</w:t>
            </w:r>
          </w:p>
        </w:tc>
      </w:tr>
      <w:tr>
        <w:tblPrEx>
          <w:tblCellMar>
            <w:top w:w="0" w:type="dxa"/>
            <w:left w:w="108" w:type="dxa"/>
            <w:bottom w:w="0" w:type="dxa"/>
            <w:right w:w="108" w:type="dxa"/>
          </w:tblCellMar>
        </w:tblPrEx>
        <w:trPr>
          <w:trHeight w:val="430" w:hRule="atLeast"/>
        </w:trPr>
        <w:tc>
          <w:tcPr>
            <w:tcW w:w="4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5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24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2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r>
      <w:tr>
        <w:tblPrEx>
          <w:tblCellMar>
            <w:top w:w="0" w:type="dxa"/>
            <w:left w:w="108" w:type="dxa"/>
            <w:bottom w:w="0" w:type="dxa"/>
            <w:right w:w="108" w:type="dxa"/>
          </w:tblCellMar>
        </w:tblPrEx>
        <w:trPr>
          <w:trHeight w:val="446" w:hRule="atLeast"/>
        </w:trPr>
        <w:tc>
          <w:tcPr>
            <w:tcW w:w="4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5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24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5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32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c>
          <w:tcPr>
            <w:tcW w:w="125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color w:val="auto"/>
                <w:sz w:val="24"/>
                <w:highlight w:val="none"/>
              </w:rPr>
            </w:pPr>
          </w:p>
        </w:tc>
      </w:tr>
      <w:tr>
        <w:tblPrEx>
          <w:tblCellMar>
            <w:top w:w="0" w:type="dxa"/>
            <w:left w:w="108" w:type="dxa"/>
            <w:bottom w:w="0" w:type="dxa"/>
            <w:right w:w="108" w:type="dxa"/>
          </w:tblCellMar>
        </w:tblPrEx>
        <w:trPr>
          <w:trHeight w:val="494" w:hRule="atLeast"/>
        </w:trPr>
        <w:tc>
          <w:tcPr>
            <w:tcW w:w="200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color w:val="auto"/>
                <w:sz w:val="24"/>
                <w:highlight w:val="none"/>
              </w:rPr>
            </w:pPr>
            <w:r>
              <w:rPr>
                <w:rFonts w:hint="eastAsia" w:ascii="宋体" w:cs="宋体"/>
                <w:color w:val="auto"/>
                <w:sz w:val="24"/>
                <w:highlight w:val="none"/>
                <w:lang w:val="zh-CN"/>
              </w:rPr>
              <w:t>合计</w:t>
            </w:r>
          </w:p>
        </w:tc>
        <w:tc>
          <w:tcPr>
            <w:tcW w:w="7487"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cs="宋体"/>
                <w:color w:val="auto"/>
                <w:sz w:val="24"/>
                <w:highlight w:val="none"/>
                <w:lang w:val="zh-CN"/>
              </w:rPr>
            </w:pPr>
            <w:r>
              <w:rPr>
                <w:rFonts w:hint="eastAsia" w:ascii="宋体" w:cs="宋体"/>
                <w:color w:val="auto"/>
                <w:sz w:val="24"/>
                <w:highlight w:val="none"/>
                <w:lang w:val="zh-CN"/>
              </w:rPr>
              <w:t>大写：　　　　　　小写：</w:t>
            </w:r>
          </w:p>
        </w:tc>
      </w:tr>
    </w:tbl>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三、设备质量要求及供方对质量负责的条件和期限</w:t>
      </w:r>
    </w:p>
    <w:p>
      <w:pPr>
        <w:autoSpaceDE w:val="0"/>
        <w:autoSpaceDN w:val="0"/>
        <w:adjustRightInd w:val="0"/>
        <w:spacing w:line="360" w:lineRule="auto"/>
        <w:rPr>
          <w:rFonts w:ascii="宋体" w:cs="宋体"/>
          <w:color w:val="auto"/>
          <w:sz w:val="24"/>
          <w:highlight w:val="none"/>
          <w:lang w:val="zh-CN"/>
        </w:rPr>
      </w:pPr>
      <w:r>
        <w:rPr>
          <w:rFonts w:ascii="宋体" w:cs="宋体"/>
          <w:color w:val="auto"/>
          <w:sz w:val="24"/>
          <w:highlight w:val="none"/>
          <w:lang w:val="zh-CN"/>
        </w:rPr>
        <w:t xml:space="preserve">    1</w:t>
      </w:r>
      <w:r>
        <w:rPr>
          <w:rFonts w:hint="eastAsia" w:ascii="宋体" w:cs="宋体"/>
          <w:color w:val="auto"/>
          <w:sz w:val="24"/>
          <w:highlight w:val="none"/>
          <w:lang w:val="zh-CN"/>
        </w:rPr>
        <w:t>、供方提供的货物须是全新的且保证不是库存或积压品</w:t>
      </w:r>
      <w:r>
        <w:rPr>
          <w:rFonts w:ascii="宋体" w:cs="宋体"/>
          <w:color w:val="auto"/>
          <w:sz w:val="24"/>
          <w:highlight w:val="none"/>
          <w:lang w:val="zh-CN"/>
        </w:rPr>
        <w:t>(</w:t>
      </w:r>
      <w:r>
        <w:rPr>
          <w:rFonts w:hint="eastAsia" w:ascii="宋体" w:cs="宋体"/>
          <w:color w:val="auto"/>
          <w:sz w:val="24"/>
          <w:highlight w:val="none"/>
          <w:lang w:val="zh-CN"/>
        </w:rPr>
        <w:t>包括零部件</w:t>
      </w:r>
      <w:r>
        <w:rPr>
          <w:rFonts w:ascii="宋体" w:cs="宋体"/>
          <w:color w:val="auto"/>
          <w:sz w:val="24"/>
          <w:highlight w:val="none"/>
          <w:lang w:val="zh-CN"/>
        </w:rPr>
        <w:t>)</w:t>
      </w:r>
      <w:r>
        <w:rPr>
          <w:rFonts w:hint="eastAsia" w:ascii="宋体" w:cs="宋体"/>
          <w:color w:val="auto"/>
          <w:sz w:val="24"/>
          <w:highlight w:val="none"/>
          <w:lang w:val="zh-CN"/>
        </w:rPr>
        <w:t>，符合国家、部委或地方相关标准以及该产品的出厂标准。</w:t>
      </w:r>
    </w:p>
    <w:p>
      <w:pPr>
        <w:autoSpaceDE w:val="0"/>
        <w:autoSpaceDN w:val="0"/>
        <w:adjustRightInd w:val="0"/>
        <w:spacing w:line="360" w:lineRule="auto"/>
        <w:ind w:firstLine="480" w:firstLineChars="200"/>
        <w:rPr>
          <w:rFonts w:ascii="宋体" w:cs="宋体"/>
          <w:color w:val="auto"/>
          <w:sz w:val="24"/>
          <w:highlight w:val="none"/>
          <w:lang w:val="zh-CN"/>
        </w:rPr>
      </w:pPr>
      <w:r>
        <w:rPr>
          <w:rFonts w:ascii="宋体" w:cs="宋体"/>
          <w:color w:val="auto"/>
          <w:sz w:val="24"/>
          <w:highlight w:val="none"/>
          <w:lang w:val="zh-CN"/>
        </w:rPr>
        <w:t>2</w:t>
      </w:r>
      <w:r>
        <w:rPr>
          <w:rFonts w:hint="eastAsia" w:ascii="宋体" w:cs="宋体"/>
          <w:color w:val="auto"/>
          <w:sz w:val="24"/>
          <w:highlight w:val="none"/>
          <w:lang w:val="zh-CN"/>
        </w:rPr>
        <w:t>、供方应在产品使用期限内，承担所提供的货物因自身质量原因产生的责任。</w:t>
      </w:r>
    </w:p>
    <w:p>
      <w:pPr>
        <w:autoSpaceDE w:val="0"/>
        <w:autoSpaceDN w:val="0"/>
        <w:adjustRightInd w:val="0"/>
        <w:spacing w:line="360" w:lineRule="auto"/>
        <w:ind w:firstLine="570"/>
        <w:rPr>
          <w:rFonts w:ascii="宋体" w:cs="宋体"/>
          <w:color w:val="auto"/>
          <w:sz w:val="24"/>
          <w:highlight w:val="none"/>
          <w:lang w:val="zh-CN"/>
        </w:rPr>
      </w:pPr>
      <w:r>
        <w:rPr>
          <w:rFonts w:hint="eastAsia" w:ascii="宋体" w:cs="宋体"/>
          <w:color w:val="auto"/>
          <w:sz w:val="24"/>
          <w:highlight w:val="none"/>
          <w:lang w:val="zh-CN"/>
        </w:rPr>
        <w:t>四、交货时间、地点、方式：年月日前，供方负责将货物按需方规定的地点交货、安装、调试完毕，并具备验收条件。</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五、货物标志、包装、运输：按招标文件办理。供方将货物直接运至规定的地点，运费自理。</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六、技术资料及技术服务：供方在交货时应执行招标文件中有关技术资料、技术服务的规定，向需方交付技术资料并进行技术培训。</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七、货物验收：验收标准按招标文件规定执行。需方有权对供方所交货物抽样做试运行实验、实验室检查。</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八、售后服务：按招标文件及投标文件相应条款执行。</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九、结算方式：</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十、法律责任</w:t>
      </w:r>
    </w:p>
    <w:p>
      <w:pPr>
        <w:autoSpaceDE w:val="0"/>
        <w:autoSpaceDN w:val="0"/>
        <w:adjustRightInd w:val="0"/>
        <w:spacing w:line="360" w:lineRule="auto"/>
        <w:rPr>
          <w:rFonts w:ascii="宋体" w:cs="宋体"/>
          <w:color w:val="auto"/>
          <w:sz w:val="24"/>
          <w:highlight w:val="none"/>
          <w:lang w:val="zh-CN"/>
        </w:rPr>
      </w:pPr>
      <w:r>
        <w:rPr>
          <w:rFonts w:ascii="宋体" w:cs="宋体"/>
          <w:color w:val="auto"/>
          <w:sz w:val="24"/>
          <w:highlight w:val="none"/>
          <w:lang w:val="zh-CN"/>
        </w:rPr>
        <w:t xml:space="preserve">    1</w:t>
      </w:r>
      <w:r>
        <w:rPr>
          <w:rFonts w:hint="eastAsia" w:ascii="宋体" w:cs="宋体"/>
          <w:color w:val="auto"/>
          <w:sz w:val="24"/>
          <w:highlight w:val="none"/>
          <w:lang w:val="zh-CN"/>
        </w:rPr>
        <w:t>、供方所交的货物品种、品牌、型号、规格、质量不符合招、投标文件及本合同规定，需方有权拒收，供方应在本合同规定的交货期内负责更换并承担因更换而支付的费用。因更换而造成的逾期交货，则按逾期交货处理。</w:t>
      </w:r>
    </w:p>
    <w:p>
      <w:pPr>
        <w:autoSpaceDE w:val="0"/>
        <w:autoSpaceDN w:val="0"/>
        <w:adjustRightInd w:val="0"/>
        <w:spacing w:line="360" w:lineRule="auto"/>
        <w:rPr>
          <w:rFonts w:ascii="宋体" w:cs="宋体"/>
          <w:color w:val="auto"/>
          <w:sz w:val="24"/>
          <w:highlight w:val="none"/>
          <w:lang w:val="zh-CN"/>
        </w:rPr>
      </w:pPr>
      <w:r>
        <w:rPr>
          <w:rFonts w:ascii="宋体" w:cs="宋体"/>
          <w:color w:val="auto"/>
          <w:sz w:val="24"/>
          <w:highlight w:val="none"/>
          <w:lang w:val="zh-CN"/>
        </w:rPr>
        <w:t xml:space="preserve">    2</w:t>
      </w:r>
      <w:r>
        <w:rPr>
          <w:rFonts w:hint="eastAsia" w:ascii="宋体" w:cs="宋体"/>
          <w:color w:val="auto"/>
          <w:sz w:val="24"/>
          <w:highlight w:val="none"/>
          <w:lang w:val="zh-CN"/>
        </w:rPr>
        <w:t>、供方逾期交付货物，应向需方每日支付逾期交货部分货款总值</w:t>
      </w:r>
      <w:r>
        <w:rPr>
          <w:rFonts w:ascii="宋体" w:cs="宋体"/>
          <w:color w:val="auto"/>
          <w:sz w:val="24"/>
          <w:highlight w:val="none"/>
          <w:lang w:val="zh-CN"/>
        </w:rPr>
        <w:t>5%</w:t>
      </w:r>
      <w:r>
        <w:rPr>
          <w:rFonts w:hint="eastAsia" w:ascii="宋体" w:cs="宋体"/>
          <w:color w:val="auto"/>
          <w:sz w:val="24"/>
          <w:highlight w:val="none"/>
          <w:lang w:val="zh-CN"/>
        </w:rPr>
        <w:t>的违约金；在合同规定的交货期满</w:t>
      </w:r>
      <w:r>
        <w:rPr>
          <w:rFonts w:ascii="宋体" w:cs="宋体"/>
          <w:color w:val="auto"/>
          <w:sz w:val="24"/>
          <w:highlight w:val="none"/>
          <w:lang w:val="zh-CN"/>
        </w:rPr>
        <w:t>15</w:t>
      </w:r>
      <w:r>
        <w:rPr>
          <w:rFonts w:hint="eastAsia" w:ascii="宋体" w:cs="宋体"/>
          <w:color w:val="auto"/>
          <w:sz w:val="24"/>
          <w:highlight w:val="none"/>
          <w:lang w:val="zh-CN"/>
        </w:rPr>
        <w:t>日仍未全部交货，按不能交货处理。仅支付已验收货物的货款，供方应承担由此发生的全部费用。</w:t>
      </w:r>
    </w:p>
    <w:p>
      <w:pPr>
        <w:autoSpaceDE w:val="0"/>
        <w:autoSpaceDN w:val="0"/>
        <w:adjustRightInd w:val="0"/>
        <w:spacing w:line="360" w:lineRule="auto"/>
        <w:rPr>
          <w:rFonts w:ascii="宋体" w:cs="宋体"/>
          <w:color w:val="auto"/>
          <w:sz w:val="24"/>
          <w:highlight w:val="none"/>
          <w:lang w:val="zh-CN"/>
        </w:rPr>
      </w:pPr>
      <w:r>
        <w:rPr>
          <w:rFonts w:ascii="宋体" w:cs="宋体"/>
          <w:color w:val="auto"/>
          <w:sz w:val="24"/>
          <w:highlight w:val="none"/>
          <w:lang w:val="zh-CN"/>
        </w:rPr>
        <w:t xml:space="preserve">    3</w:t>
      </w:r>
      <w:r>
        <w:rPr>
          <w:rFonts w:hint="eastAsia" w:ascii="宋体" w:cs="宋体"/>
          <w:color w:val="auto"/>
          <w:sz w:val="24"/>
          <w:highlight w:val="none"/>
          <w:lang w:val="zh-CN"/>
        </w:rPr>
        <w:t>、供方在本合同规定的交货期内不能交货，应向需方支付全部合同金额</w:t>
      </w:r>
      <w:r>
        <w:rPr>
          <w:rFonts w:ascii="宋体" w:cs="宋体"/>
          <w:color w:val="auto"/>
          <w:sz w:val="24"/>
          <w:highlight w:val="none"/>
          <w:lang w:val="zh-CN"/>
        </w:rPr>
        <w:t>5%</w:t>
      </w:r>
      <w:r>
        <w:rPr>
          <w:rFonts w:hint="eastAsia" w:ascii="宋体" w:cs="宋体"/>
          <w:color w:val="auto"/>
          <w:sz w:val="24"/>
          <w:highlight w:val="none"/>
          <w:lang w:val="zh-CN"/>
        </w:rPr>
        <w:t>的违约金，需方有权终止合同。</w:t>
      </w:r>
    </w:p>
    <w:p>
      <w:pPr>
        <w:autoSpaceDE w:val="0"/>
        <w:autoSpaceDN w:val="0"/>
        <w:adjustRightInd w:val="0"/>
        <w:spacing w:line="360" w:lineRule="auto"/>
        <w:rPr>
          <w:rFonts w:ascii="宋体" w:cs="宋体"/>
          <w:color w:val="auto"/>
          <w:sz w:val="24"/>
          <w:highlight w:val="none"/>
          <w:lang w:val="zh-CN"/>
        </w:rPr>
      </w:pPr>
      <w:r>
        <w:rPr>
          <w:rFonts w:ascii="宋体" w:cs="宋体"/>
          <w:color w:val="auto"/>
          <w:sz w:val="24"/>
          <w:highlight w:val="none"/>
          <w:lang w:val="zh-CN"/>
        </w:rPr>
        <w:t xml:space="preserve">    4</w:t>
      </w:r>
      <w:r>
        <w:rPr>
          <w:rFonts w:hint="eastAsia" w:ascii="宋体" w:cs="宋体"/>
          <w:color w:val="auto"/>
          <w:sz w:val="24"/>
          <w:highlight w:val="none"/>
          <w:lang w:val="zh-CN"/>
        </w:rPr>
        <w:t>、需方无正当理由拒收设备，应向供方支付无正当理由拒收设备金额</w:t>
      </w:r>
      <w:r>
        <w:rPr>
          <w:rFonts w:ascii="宋体" w:cs="宋体"/>
          <w:color w:val="auto"/>
          <w:sz w:val="24"/>
          <w:highlight w:val="none"/>
          <w:lang w:val="zh-CN"/>
        </w:rPr>
        <w:t>5%</w:t>
      </w:r>
      <w:r>
        <w:rPr>
          <w:rFonts w:hint="eastAsia" w:ascii="宋体" w:cs="宋体"/>
          <w:color w:val="auto"/>
          <w:sz w:val="24"/>
          <w:highlight w:val="none"/>
          <w:lang w:val="zh-CN"/>
        </w:rPr>
        <w:t>的违约金。</w:t>
      </w:r>
    </w:p>
    <w:p>
      <w:pPr>
        <w:autoSpaceDE w:val="0"/>
        <w:autoSpaceDN w:val="0"/>
        <w:adjustRightInd w:val="0"/>
        <w:spacing w:line="360" w:lineRule="auto"/>
        <w:rPr>
          <w:rFonts w:ascii="宋体" w:cs="宋体"/>
          <w:color w:val="auto"/>
          <w:sz w:val="24"/>
          <w:highlight w:val="none"/>
          <w:lang w:val="zh-CN"/>
        </w:rPr>
      </w:pPr>
      <w:r>
        <w:rPr>
          <w:rFonts w:ascii="宋体" w:cs="宋体"/>
          <w:color w:val="auto"/>
          <w:sz w:val="24"/>
          <w:highlight w:val="none"/>
          <w:lang w:val="zh-CN"/>
        </w:rPr>
        <w:t xml:space="preserve">    5</w:t>
      </w:r>
      <w:r>
        <w:rPr>
          <w:rFonts w:hint="eastAsia" w:ascii="宋体" w:cs="宋体"/>
          <w:color w:val="auto"/>
          <w:sz w:val="24"/>
          <w:highlight w:val="none"/>
          <w:lang w:val="zh-CN"/>
        </w:rPr>
        <w:t>、因供方原因造成逾期付款，需方不承担责任。</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十一、质量鉴定：因质量问题发生争议，由许昌市技术监督局或其指定的机构进行质量鉴定，该鉴定结论是终局的，供需双方均应当接受鉴定结论。</w:t>
      </w:r>
    </w:p>
    <w:p>
      <w:pPr>
        <w:autoSpaceDE w:val="0"/>
        <w:autoSpaceDN w:val="0"/>
        <w:adjustRightInd w:val="0"/>
        <w:spacing w:line="360" w:lineRule="auto"/>
        <w:ind w:firstLine="360"/>
        <w:rPr>
          <w:rFonts w:ascii="宋体" w:cs="宋体"/>
          <w:color w:val="auto"/>
          <w:sz w:val="24"/>
          <w:highlight w:val="none"/>
          <w:lang w:val="zh-CN"/>
        </w:rPr>
      </w:pPr>
      <w:r>
        <w:rPr>
          <w:rFonts w:hint="eastAsia" w:ascii="宋体" w:cs="宋体"/>
          <w:color w:val="auto"/>
          <w:sz w:val="24"/>
          <w:highlight w:val="none"/>
          <w:lang w:val="zh-CN"/>
        </w:rPr>
        <w:t>十二、合同生效及其它：本合同经双方法定代表人或委托代理人签字并加盖公章后生效。</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供方：                                需方：</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地址：                                 地址：</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法定代表人：                         法定代表人：</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委托代理人：                        委托代理人：</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电话：                                 电话：</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开户银行：                           开户银行：</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帐号：                                 帐号：</w:t>
      </w:r>
    </w:p>
    <w:p>
      <w:pPr>
        <w:autoSpaceDE w:val="0"/>
        <w:autoSpaceDN w:val="0"/>
        <w:adjustRightInd w:val="0"/>
        <w:spacing w:line="360" w:lineRule="auto"/>
        <w:ind w:firstLine="480"/>
        <w:rPr>
          <w:rFonts w:ascii="宋体" w:cs="宋体"/>
          <w:color w:val="auto"/>
          <w:sz w:val="24"/>
          <w:highlight w:val="none"/>
          <w:lang w:val="zh-CN"/>
        </w:rPr>
      </w:pPr>
      <w:r>
        <w:rPr>
          <w:rFonts w:hint="eastAsia" w:ascii="宋体" w:cs="宋体"/>
          <w:color w:val="auto"/>
          <w:sz w:val="24"/>
          <w:highlight w:val="none"/>
          <w:lang w:val="zh-CN"/>
        </w:rPr>
        <w:t>税务登记证号：                         签定时间：</w:t>
      </w:r>
    </w:p>
    <w:p>
      <w:pPr>
        <w:widowControl/>
        <w:jc w:val="left"/>
        <w:rPr>
          <w:rFonts w:cs="宋体" w:asciiTheme="majorEastAsia" w:hAnsiTheme="majorEastAsia" w:eastAsiaTheme="majorEastAsia"/>
          <w:color w:val="auto"/>
          <w:kern w:val="0"/>
          <w:sz w:val="36"/>
          <w:szCs w:val="36"/>
          <w:highlight w:val="none"/>
        </w:rPr>
      </w:pPr>
      <w:r>
        <w:rPr>
          <w:rFonts w:cs="宋体" w:asciiTheme="majorEastAsia" w:hAnsiTheme="majorEastAsia" w:eastAsiaTheme="majorEastAsia"/>
          <w:color w:val="auto"/>
          <w:kern w:val="0"/>
          <w:sz w:val="36"/>
          <w:szCs w:val="36"/>
          <w:highlight w:val="none"/>
        </w:rPr>
        <w:br w:type="page"/>
      </w:r>
    </w:p>
    <w:p>
      <w:pPr>
        <w:pStyle w:val="12"/>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第七章 投标文件有关格式</w:t>
      </w:r>
    </w:p>
    <w:p>
      <w:pPr>
        <w:adjustRightInd w:val="0"/>
        <w:snapToGrid w:val="0"/>
        <w:spacing w:line="360" w:lineRule="auto"/>
        <w:jc w:val="center"/>
        <w:rPr>
          <w:rFonts w:ascii="宋体" w:hAnsi="宋体"/>
          <w:color w:val="auto"/>
          <w:sz w:val="24"/>
          <w:szCs w:val="24"/>
          <w:highlight w:val="none"/>
        </w:rPr>
      </w:pPr>
    </w:p>
    <w:p>
      <w:pPr>
        <w:jc w:val="right"/>
        <w:rPr>
          <w:rStyle w:val="40"/>
          <w:rFonts w:ascii="宋体" w:hAnsi="宋体" w:eastAsia="宋体"/>
          <w:color w:val="auto"/>
          <w:highlight w:val="none"/>
        </w:rPr>
      </w:pPr>
      <w:bookmarkStart w:id="2" w:name="_Toc5131"/>
      <w:bookmarkStart w:id="3" w:name="_Toc12595"/>
      <w:bookmarkStart w:id="4" w:name="_Toc14398"/>
      <w:bookmarkStart w:id="5" w:name="_Toc16238"/>
    </w:p>
    <w:bookmarkEnd w:id="2"/>
    <w:bookmarkEnd w:id="3"/>
    <w:bookmarkEnd w:id="4"/>
    <w:bookmarkEnd w:id="5"/>
    <w:p>
      <w:pPr>
        <w:jc w:val="left"/>
        <w:rPr>
          <w:rStyle w:val="40"/>
          <w:rFonts w:ascii="宋体" w:hAnsi="宋体" w:eastAsia="宋体"/>
          <w:color w:val="auto"/>
          <w:highlight w:val="none"/>
        </w:rPr>
      </w:pPr>
    </w:p>
    <w:p>
      <w:pPr>
        <w:rPr>
          <w:rFonts w:ascii="宋体" w:hAnsi="宋体" w:eastAsia="宋体" w:cs="微软雅黑"/>
          <w:color w:val="auto"/>
          <w:sz w:val="28"/>
          <w:szCs w:val="28"/>
          <w:highlight w:val="none"/>
          <w:u w:val="single"/>
        </w:rPr>
      </w:pPr>
    </w:p>
    <w:p>
      <w:pPr>
        <w:spacing w:line="276" w:lineRule="auto"/>
        <w:jc w:val="center"/>
        <w:rPr>
          <w:rFonts w:ascii="宋体" w:hAnsi="宋体" w:eastAsia="宋体" w:cs="宋体"/>
          <w:b/>
          <w:bCs/>
          <w:color w:val="auto"/>
          <w:sz w:val="40"/>
          <w:szCs w:val="40"/>
          <w:highlight w:val="none"/>
          <w:u w:val="single"/>
        </w:rPr>
      </w:pPr>
      <w:r>
        <w:rPr>
          <w:rFonts w:hint="eastAsia" w:ascii="宋体" w:hAnsi="宋体" w:eastAsia="宋体" w:cs="宋体"/>
          <w:b/>
          <w:bCs/>
          <w:color w:val="auto"/>
          <w:sz w:val="40"/>
          <w:szCs w:val="40"/>
          <w:highlight w:val="none"/>
          <w:u w:val="single"/>
        </w:rPr>
        <w:t xml:space="preserve">  项目名称 </w:t>
      </w:r>
    </w:p>
    <w:p>
      <w:pPr>
        <w:rPr>
          <w:rFonts w:ascii="宋体" w:hAnsi="宋体" w:eastAsia="宋体" w:cs="微软雅黑"/>
          <w:color w:val="auto"/>
          <w:sz w:val="20"/>
          <w:szCs w:val="20"/>
          <w:highlight w:val="none"/>
        </w:rPr>
      </w:pPr>
    </w:p>
    <w:p>
      <w:pPr>
        <w:rPr>
          <w:rFonts w:ascii="宋体" w:hAnsi="宋体" w:eastAsia="宋体" w:cs="微软雅黑"/>
          <w:color w:val="auto"/>
          <w:sz w:val="20"/>
          <w:szCs w:val="20"/>
          <w:highlight w:val="none"/>
        </w:rPr>
      </w:pPr>
    </w:p>
    <w:p>
      <w:pPr>
        <w:jc w:val="center"/>
        <w:rPr>
          <w:rFonts w:ascii="宋体" w:hAnsi="宋体" w:eastAsia="宋体" w:cs="微软雅黑"/>
          <w:color w:val="auto"/>
          <w:sz w:val="72"/>
          <w:szCs w:val="72"/>
          <w:highlight w:val="none"/>
        </w:rPr>
      </w:pPr>
      <w:r>
        <w:rPr>
          <w:rFonts w:hint="eastAsia" w:ascii="宋体" w:hAnsi="宋体" w:eastAsia="宋体" w:cs="微软雅黑"/>
          <w:color w:val="auto"/>
          <w:sz w:val="72"/>
          <w:szCs w:val="72"/>
          <w:highlight w:val="none"/>
        </w:rPr>
        <w:t>投 标 文 件</w:t>
      </w:r>
    </w:p>
    <w:p>
      <w:pPr>
        <w:rPr>
          <w:rFonts w:ascii="宋体" w:hAnsi="宋体" w:eastAsia="宋体" w:cs="微软雅黑"/>
          <w:color w:val="auto"/>
          <w:sz w:val="28"/>
          <w:szCs w:val="28"/>
          <w:highlight w:val="none"/>
        </w:rPr>
      </w:pPr>
    </w:p>
    <w:p>
      <w:pPr>
        <w:ind w:firstLine="3080" w:firstLineChars="1100"/>
        <w:rPr>
          <w:rFonts w:ascii="宋体" w:hAnsi="宋体" w:eastAsia="宋体" w:cs="微软雅黑"/>
          <w:color w:val="auto"/>
          <w:sz w:val="28"/>
          <w:szCs w:val="28"/>
          <w:highlight w:val="none"/>
        </w:rPr>
      </w:pPr>
      <w:r>
        <w:rPr>
          <w:rFonts w:hint="eastAsia" w:ascii="宋体" w:hAnsi="宋体" w:eastAsia="宋体" w:cs="微软雅黑"/>
          <w:color w:val="auto"/>
          <w:sz w:val="28"/>
          <w:szCs w:val="28"/>
          <w:highlight w:val="none"/>
        </w:rPr>
        <w:t>项目编号：</w:t>
      </w:r>
    </w:p>
    <w:p>
      <w:pPr>
        <w:ind w:firstLine="3080" w:firstLineChars="1100"/>
        <w:rPr>
          <w:rFonts w:ascii="宋体" w:hAnsi="宋体" w:eastAsia="宋体" w:cs="微软雅黑"/>
          <w:color w:val="auto"/>
          <w:sz w:val="28"/>
          <w:szCs w:val="28"/>
          <w:highlight w:val="none"/>
        </w:rPr>
      </w:pPr>
      <w:r>
        <w:rPr>
          <w:rFonts w:hint="eastAsia" w:ascii="宋体" w:hAnsi="宋体" w:eastAsia="宋体" w:cs="微软雅黑"/>
          <w:color w:val="auto"/>
          <w:sz w:val="28"/>
          <w:szCs w:val="28"/>
          <w:highlight w:val="none"/>
        </w:rPr>
        <w:t>招标编号:</w:t>
      </w:r>
    </w:p>
    <w:p>
      <w:pPr>
        <w:rPr>
          <w:rFonts w:ascii="宋体" w:hAnsi="宋体" w:eastAsia="宋体" w:cs="微软雅黑"/>
          <w:color w:val="auto"/>
          <w:sz w:val="28"/>
          <w:szCs w:val="28"/>
          <w:highlight w:val="none"/>
        </w:rPr>
      </w:pPr>
    </w:p>
    <w:p>
      <w:pPr>
        <w:rPr>
          <w:rFonts w:ascii="宋体" w:hAnsi="宋体" w:eastAsia="宋体" w:cs="微软雅黑"/>
          <w:color w:val="auto"/>
          <w:sz w:val="28"/>
          <w:szCs w:val="28"/>
          <w:highlight w:val="none"/>
        </w:rPr>
      </w:pPr>
    </w:p>
    <w:p>
      <w:pPr>
        <w:rPr>
          <w:rFonts w:ascii="宋体" w:hAnsi="宋体" w:eastAsia="宋体" w:cs="微软雅黑"/>
          <w:color w:val="auto"/>
          <w:sz w:val="28"/>
          <w:szCs w:val="28"/>
          <w:highlight w:val="none"/>
        </w:rPr>
      </w:pPr>
    </w:p>
    <w:p>
      <w:pPr>
        <w:ind w:left="1079" w:leftChars="514" w:firstLine="700" w:firstLineChars="250"/>
        <w:jc w:val="left"/>
        <w:rPr>
          <w:rFonts w:ascii="宋体" w:hAnsi="宋体" w:eastAsia="宋体" w:cs="微软雅黑"/>
          <w:color w:val="auto"/>
          <w:sz w:val="28"/>
          <w:szCs w:val="28"/>
          <w:highlight w:val="none"/>
          <w:u w:val="single"/>
        </w:rPr>
      </w:pPr>
      <w:r>
        <w:rPr>
          <w:rFonts w:hint="eastAsia" w:ascii="宋体" w:hAnsi="宋体" w:eastAsia="宋体" w:cs="微软雅黑"/>
          <w:color w:val="auto"/>
          <w:sz w:val="28"/>
          <w:szCs w:val="28"/>
          <w:highlight w:val="none"/>
        </w:rPr>
        <w:t>投  标  人：（盖单位章）</w:t>
      </w:r>
    </w:p>
    <w:p>
      <w:pPr>
        <w:ind w:left="1079" w:leftChars="514" w:firstLine="700" w:firstLineChars="250"/>
        <w:jc w:val="left"/>
        <w:rPr>
          <w:rFonts w:ascii="宋体" w:hAnsi="宋体" w:eastAsia="宋体" w:cs="微软雅黑"/>
          <w:color w:val="auto"/>
          <w:sz w:val="28"/>
          <w:szCs w:val="28"/>
          <w:highlight w:val="none"/>
        </w:rPr>
      </w:pPr>
      <w:r>
        <w:rPr>
          <w:rFonts w:hint="eastAsia" w:ascii="宋体" w:hAnsi="宋体" w:eastAsia="宋体" w:cs="微软雅黑"/>
          <w:color w:val="auto"/>
          <w:sz w:val="28"/>
          <w:szCs w:val="28"/>
          <w:highlight w:val="none"/>
        </w:rPr>
        <w:t>法定代表人或其委托代理人：（签字或盖章）</w:t>
      </w:r>
    </w:p>
    <w:p>
      <w:pPr>
        <w:ind w:left="1079" w:leftChars="514" w:firstLine="700" w:firstLineChars="250"/>
        <w:jc w:val="left"/>
        <w:rPr>
          <w:rFonts w:ascii="宋体" w:hAnsi="宋体" w:eastAsia="宋体" w:cs="微软雅黑"/>
          <w:color w:val="auto"/>
          <w:sz w:val="28"/>
          <w:szCs w:val="28"/>
          <w:highlight w:val="none"/>
        </w:rPr>
      </w:pPr>
      <w:r>
        <w:rPr>
          <w:rFonts w:hint="eastAsia" w:ascii="宋体" w:hAnsi="宋体" w:eastAsia="宋体" w:cs="微软雅黑"/>
          <w:color w:val="auto"/>
          <w:sz w:val="28"/>
          <w:szCs w:val="28"/>
          <w:highlight w:val="none"/>
        </w:rPr>
        <w:t>日      期： 年  月  日</w:t>
      </w:r>
    </w:p>
    <w:p>
      <w:pPr>
        <w:pStyle w:val="12"/>
        <w:spacing w:line="360" w:lineRule="auto"/>
        <w:contextualSpacing/>
        <w:rPr>
          <w:rFonts w:cs="宋体" w:asciiTheme="majorEastAsia" w:hAnsiTheme="majorEastAsia" w:eastAsiaTheme="majorEastAsia"/>
          <w:b/>
          <w:color w:val="auto"/>
          <w:kern w:val="0"/>
          <w:sz w:val="44"/>
          <w:szCs w:val="44"/>
          <w:highlight w:val="none"/>
        </w:rPr>
      </w:pPr>
      <w:r>
        <w:rPr>
          <w:rFonts w:ascii="宋体" w:hAnsi="宋体"/>
          <w:color w:val="auto"/>
          <w:szCs w:val="24"/>
          <w:highlight w:val="none"/>
        </w:rPr>
        <w:br w:type="page"/>
      </w:r>
      <w:r>
        <w:rPr>
          <w:rFonts w:hint="eastAsia" w:cs="宋体" w:asciiTheme="majorEastAsia" w:hAnsiTheme="majorEastAsia" w:eastAsiaTheme="majorEastAsia"/>
          <w:b/>
          <w:color w:val="auto"/>
          <w:kern w:val="0"/>
          <w:sz w:val="44"/>
          <w:szCs w:val="44"/>
          <w:highlight w:val="none"/>
        </w:rPr>
        <w:t>目录</w:t>
      </w:r>
    </w:p>
    <w:p>
      <w:pPr>
        <w:pStyle w:val="12"/>
        <w:spacing w:line="360" w:lineRule="auto"/>
        <w:ind w:left="750"/>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一、开标一览表</w:t>
      </w:r>
    </w:p>
    <w:p>
      <w:pPr>
        <w:pStyle w:val="12"/>
        <w:spacing w:line="360" w:lineRule="auto"/>
        <w:ind w:firstLine="790" w:firstLineChars="246"/>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二、资格审查证明材料</w:t>
      </w:r>
    </w:p>
    <w:p>
      <w:pPr>
        <w:spacing w:line="480" w:lineRule="exact"/>
        <w:ind w:firstLine="1430" w:firstLineChars="4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2.1法定代表人资格证明书</w:t>
      </w:r>
    </w:p>
    <w:p>
      <w:pPr>
        <w:spacing w:line="480" w:lineRule="exact"/>
        <w:ind w:firstLine="1430" w:firstLineChars="4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2.2法定代表人授权书</w:t>
      </w:r>
    </w:p>
    <w:p>
      <w:pPr>
        <w:spacing w:line="480" w:lineRule="exact"/>
        <w:ind w:firstLine="1430" w:firstLineChars="4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2.3没有重大违法记录的声明</w:t>
      </w:r>
    </w:p>
    <w:p>
      <w:pPr>
        <w:spacing w:line="480" w:lineRule="exact"/>
        <w:ind w:firstLine="1430" w:firstLineChars="4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2.4其他资格证明文件或材料 </w:t>
      </w:r>
    </w:p>
    <w:p>
      <w:pPr>
        <w:spacing w:line="480" w:lineRule="exact"/>
        <w:ind w:firstLine="790" w:firstLineChars="246"/>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三、符合性审查证明材料</w:t>
      </w:r>
    </w:p>
    <w:p>
      <w:pPr>
        <w:spacing w:line="480" w:lineRule="exact"/>
        <w:ind w:firstLine="1430" w:firstLineChars="4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3.1投 标 函</w:t>
      </w:r>
    </w:p>
    <w:p>
      <w:pPr>
        <w:spacing w:line="480" w:lineRule="exact"/>
        <w:ind w:firstLine="1430" w:firstLineChars="4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3.2投标承诺函</w:t>
      </w:r>
    </w:p>
    <w:p>
      <w:pPr>
        <w:pStyle w:val="12"/>
        <w:spacing w:line="360" w:lineRule="auto"/>
        <w:ind w:left="750" w:leftChars="357" w:firstLine="630" w:firstLineChars="196"/>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3.3投标报价一览表</w:t>
      </w:r>
    </w:p>
    <w:p>
      <w:pPr>
        <w:pStyle w:val="12"/>
        <w:spacing w:line="360" w:lineRule="auto"/>
        <w:ind w:left="750" w:leftChars="357" w:firstLine="630" w:firstLineChars="196"/>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3.4技术规格偏离表</w:t>
      </w:r>
    </w:p>
    <w:p>
      <w:pPr>
        <w:pStyle w:val="12"/>
        <w:spacing w:line="360" w:lineRule="auto"/>
        <w:ind w:left="750" w:leftChars="357" w:firstLine="630" w:firstLineChars="196"/>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3.5服务承诺</w:t>
      </w:r>
    </w:p>
    <w:p>
      <w:pPr>
        <w:pStyle w:val="12"/>
        <w:spacing w:line="360" w:lineRule="auto"/>
        <w:ind w:left="750" w:leftChars="357" w:firstLine="630" w:firstLineChars="196"/>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3.6其他符合性证明文件或材料</w:t>
      </w:r>
    </w:p>
    <w:p>
      <w:pPr>
        <w:pStyle w:val="12"/>
        <w:spacing w:line="360" w:lineRule="auto"/>
        <w:ind w:left="750" w:leftChars="357" w:firstLine="630" w:firstLineChars="196"/>
        <w:contextualSpacing/>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3.7中小企业、监狱企业、残疾人福利性单位声明函</w:t>
      </w:r>
    </w:p>
    <w:p>
      <w:pPr>
        <w:pStyle w:val="12"/>
        <w:spacing w:line="360" w:lineRule="auto"/>
        <w:ind w:left="750"/>
        <w:contextualSpacing/>
        <w:rPr>
          <w:rFonts w:cs="宋体" w:asciiTheme="majorEastAsia" w:hAnsiTheme="majorEastAsia" w:eastAsiaTheme="majorEastAsia"/>
          <w:b/>
          <w:color w:val="auto"/>
          <w:kern w:val="0"/>
          <w:sz w:val="32"/>
          <w:szCs w:val="32"/>
          <w:highlight w:val="none"/>
        </w:rPr>
      </w:pPr>
    </w:p>
    <w:p>
      <w:pPr>
        <w:widowControl/>
        <w:jc w:val="left"/>
        <w:rPr>
          <w:rFonts w:ascii="宋体" w:hAnsi="宋体"/>
          <w:color w:val="auto"/>
          <w:sz w:val="24"/>
          <w:szCs w:val="24"/>
          <w:highlight w:val="none"/>
        </w:rPr>
      </w:pPr>
    </w:p>
    <w:p>
      <w:pPr>
        <w:pStyle w:val="12"/>
        <w:spacing w:line="360" w:lineRule="auto"/>
        <w:jc w:val="center"/>
        <w:rPr>
          <w:rFonts w:hAnsi="宋体"/>
          <w:b/>
          <w:snapToGrid w:val="0"/>
          <w:color w:val="auto"/>
          <w:kern w:val="0"/>
          <w:sz w:val="36"/>
          <w:szCs w:val="36"/>
          <w:highlight w:val="none"/>
        </w:rPr>
      </w:pPr>
    </w:p>
    <w:p>
      <w:pPr>
        <w:pStyle w:val="12"/>
        <w:spacing w:line="360" w:lineRule="auto"/>
        <w:jc w:val="center"/>
        <w:rPr>
          <w:rFonts w:hAnsi="宋体"/>
          <w:b/>
          <w:snapToGrid w:val="0"/>
          <w:color w:val="auto"/>
          <w:kern w:val="0"/>
          <w:sz w:val="32"/>
          <w:szCs w:val="32"/>
          <w:highlight w:val="none"/>
        </w:rPr>
      </w:pPr>
    </w:p>
    <w:p>
      <w:pPr>
        <w:pStyle w:val="12"/>
        <w:spacing w:line="360" w:lineRule="auto"/>
        <w:jc w:val="center"/>
        <w:rPr>
          <w:rFonts w:hAnsi="宋体"/>
          <w:b/>
          <w:snapToGrid w:val="0"/>
          <w:color w:val="auto"/>
          <w:kern w:val="0"/>
          <w:sz w:val="32"/>
          <w:szCs w:val="32"/>
          <w:highlight w:val="none"/>
        </w:rPr>
      </w:pPr>
    </w:p>
    <w:p>
      <w:pPr>
        <w:pStyle w:val="12"/>
        <w:spacing w:line="360" w:lineRule="auto"/>
        <w:jc w:val="center"/>
        <w:rPr>
          <w:rFonts w:hAnsi="宋体"/>
          <w:b/>
          <w:snapToGrid w:val="0"/>
          <w:color w:val="auto"/>
          <w:kern w:val="0"/>
          <w:sz w:val="32"/>
          <w:szCs w:val="32"/>
          <w:highlight w:val="none"/>
        </w:rPr>
      </w:pPr>
    </w:p>
    <w:p>
      <w:pPr>
        <w:pStyle w:val="12"/>
        <w:spacing w:line="360" w:lineRule="auto"/>
        <w:jc w:val="center"/>
        <w:rPr>
          <w:rFonts w:hAnsi="宋体"/>
          <w:b/>
          <w:snapToGrid w:val="0"/>
          <w:color w:val="auto"/>
          <w:kern w:val="0"/>
          <w:sz w:val="32"/>
          <w:szCs w:val="32"/>
          <w:highlight w:val="none"/>
        </w:rPr>
      </w:pPr>
    </w:p>
    <w:p>
      <w:pPr>
        <w:pStyle w:val="12"/>
        <w:spacing w:line="360" w:lineRule="auto"/>
        <w:jc w:val="center"/>
        <w:rPr>
          <w:rFonts w:hAnsi="宋体"/>
          <w:b/>
          <w:snapToGrid w:val="0"/>
          <w:color w:val="auto"/>
          <w:kern w:val="0"/>
          <w:sz w:val="32"/>
          <w:szCs w:val="32"/>
          <w:highlight w:val="none"/>
        </w:rPr>
      </w:pPr>
    </w:p>
    <w:p>
      <w:pPr>
        <w:pStyle w:val="12"/>
        <w:spacing w:line="360" w:lineRule="auto"/>
        <w:jc w:val="center"/>
        <w:rPr>
          <w:rFonts w:hAnsi="宋体"/>
          <w:b/>
          <w:snapToGrid w:val="0"/>
          <w:color w:val="auto"/>
          <w:kern w:val="0"/>
          <w:sz w:val="32"/>
          <w:szCs w:val="32"/>
          <w:highlight w:val="none"/>
        </w:rPr>
      </w:pPr>
      <w:r>
        <w:rPr>
          <w:rFonts w:hint="eastAsia" w:hAnsi="宋体"/>
          <w:b/>
          <w:snapToGrid w:val="0"/>
          <w:color w:val="auto"/>
          <w:kern w:val="0"/>
          <w:sz w:val="32"/>
          <w:szCs w:val="32"/>
          <w:highlight w:val="none"/>
        </w:rPr>
        <w:t>一、开标一览表</w:t>
      </w:r>
    </w:p>
    <w:p>
      <w:pPr>
        <w:pStyle w:val="12"/>
        <w:spacing w:line="360" w:lineRule="auto"/>
        <w:jc w:val="center"/>
        <w:rPr>
          <w:rFonts w:hAnsi="宋体"/>
          <w:b/>
          <w:snapToGrid w:val="0"/>
          <w:color w:val="auto"/>
          <w:kern w:val="0"/>
          <w:sz w:val="36"/>
          <w:szCs w:val="36"/>
          <w:highlight w:val="none"/>
        </w:rPr>
      </w:pPr>
    </w:p>
    <w:tbl>
      <w:tblPr>
        <w:tblStyle w:val="20"/>
        <w:tblpPr w:leftFromText="180" w:rightFromText="180" w:vertAnchor="text" w:horzAnchor="page" w:tblpXSpec="center" w:tblpY="32"/>
        <w:tblOverlap w:val="never"/>
        <w:tblW w:w="8755" w:type="dxa"/>
        <w:tblInd w:w="0" w:type="dxa"/>
        <w:tblLayout w:type="fixed"/>
        <w:tblCellMar>
          <w:top w:w="0" w:type="dxa"/>
          <w:left w:w="108" w:type="dxa"/>
          <w:bottom w:w="0" w:type="dxa"/>
          <w:right w:w="108" w:type="dxa"/>
        </w:tblCellMar>
      </w:tblPr>
      <w:tblGrid>
        <w:gridCol w:w="1310"/>
        <w:gridCol w:w="1492"/>
        <w:gridCol w:w="2409"/>
        <w:gridCol w:w="1560"/>
        <w:gridCol w:w="1984"/>
      </w:tblGrid>
      <w:tr>
        <w:tblPrEx>
          <w:tblCellMar>
            <w:top w:w="0" w:type="dxa"/>
            <w:left w:w="108" w:type="dxa"/>
            <w:bottom w:w="0" w:type="dxa"/>
            <w:right w:w="108" w:type="dxa"/>
          </w:tblCellMar>
        </w:tblPrEx>
        <w:trPr>
          <w:trHeight w:val="486" w:hRule="atLeast"/>
        </w:trPr>
        <w:tc>
          <w:tcPr>
            <w:tcW w:w="131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项目名称</w:t>
            </w:r>
          </w:p>
        </w:tc>
        <w:tc>
          <w:tcPr>
            <w:tcW w:w="149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投标人名称</w:t>
            </w:r>
          </w:p>
        </w:tc>
        <w:tc>
          <w:tcPr>
            <w:tcW w:w="24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投标报价（元）</w:t>
            </w:r>
          </w:p>
        </w:tc>
        <w:tc>
          <w:tcPr>
            <w:tcW w:w="1560" w:type="dxa"/>
            <w:tcBorders>
              <w:top w:val="single" w:color="auto" w:sz="6" w:space="0"/>
              <w:left w:val="single" w:color="auto" w:sz="6" w:space="0"/>
              <w:bottom w:val="single" w:color="auto" w:sz="6" w:space="0"/>
              <w:right w:val="single" w:color="auto" w:sz="6" w:space="0"/>
            </w:tcBorders>
            <w:vAlign w:val="center"/>
          </w:tcPr>
          <w:p>
            <w:pPr>
              <w:spacing w:line="300" w:lineRule="exact"/>
              <w:ind w:left="240" w:leftChars="57" w:hanging="120" w:hangingChars="50"/>
              <w:jc w:val="left"/>
              <w:rPr>
                <w:rFonts w:ascii="宋体" w:hAnsi="宋体"/>
                <w:color w:val="auto"/>
                <w:sz w:val="24"/>
                <w:szCs w:val="24"/>
                <w:highlight w:val="none"/>
                <w:lang w:val="zh-CN"/>
              </w:rPr>
            </w:pPr>
            <w:r>
              <w:rPr>
                <w:rFonts w:hint="eastAsia" w:ascii="宋体" w:hAnsi="宋体"/>
                <w:color w:val="auto"/>
                <w:sz w:val="24"/>
                <w:szCs w:val="24"/>
                <w:highlight w:val="none"/>
                <w:lang w:val="zh-CN"/>
              </w:rPr>
              <w:t>履约时间（天）</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投标有效期（天）</w:t>
            </w:r>
          </w:p>
        </w:tc>
      </w:tr>
      <w:tr>
        <w:tblPrEx>
          <w:tblCellMar>
            <w:top w:w="0" w:type="dxa"/>
            <w:left w:w="108" w:type="dxa"/>
            <w:bottom w:w="0" w:type="dxa"/>
            <w:right w:w="108" w:type="dxa"/>
          </w:tblCellMar>
        </w:tblPrEx>
        <w:trPr>
          <w:trHeight w:val="463" w:hRule="atLeast"/>
        </w:trPr>
        <w:tc>
          <w:tcPr>
            <w:tcW w:w="13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color w:val="auto"/>
                <w:sz w:val="24"/>
                <w:highlight w:val="none"/>
              </w:rPr>
            </w:pPr>
          </w:p>
        </w:tc>
        <w:tc>
          <w:tcPr>
            <w:tcW w:w="14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color w:val="auto"/>
                <w:sz w:val="24"/>
                <w:highlight w:val="none"/>
              </w:rPr>
            </w:pP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cs="宋体"/>
                <w:color w:val="auto"/>
                <w:sz w:val="24"/>
                <w:highlight w:val="none"/>
                <w:lang w:val="zh-CN"/>
              </w:rPr>
            </w:pPr>
            <w:r>
              <w:rPr>
                <w:rFonts w:hint="eastAsia" w:ascii="宋体" w:cs="宋体"/>
                <w:color w:val="auto"/>
                <w:sz w:val="24"/>
                <w:highlight w:val="none"/>
                <w:lang w:val="zh-CN"/>
              </w:rPr>
              <w:t>大写：    小写：</w:t>
            </w:r>
          </w:p>
        </w:tc>
        <w:tc>
          <w:tcPr>
            <w:tcW w:w="1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asci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jc w:val="center"/>
              <w:rPr>
                <w:rFonts w:ascii="宋体" w:cs="宋体"/>
                <w:color w:val="auto"/>
                <w:sz w:val="24"/>
                <w:highlight w:val="none"/>
                <w:lang w:val="zh-CN"/>
              </w:rPr>
            </w:pPr>
          </w:p>
        </w:tc>
      </w:tr>
    </w:tbl>
    <w:p>
      <w:pPr>
        <w:spacing w:line="300" w:lineRule="exact"/>
        <w:rPr>
          <w:rFonts w:ascii="宋体" w:hAnsi="宋体"/>
          <w:color w:val="auto"/>
          <w:sz w:val="24"/>
          <w:szCs w:val="24"/>
          <w:highlight w:val="none"/>
        </w:rPr>
      </w:pPr>
    </w:p>
    <w:p>
      <w:pPr>
        <w:snapToGrid w:val="0"/>
        <w:spacing w:before="50" w:after="156" w:afterLines="50"/>
        <w:jc w:val="left"/>
        <w:rPr>
          <w:rFonts w:ascii="宋体" w:hAnsi="宋体"/>
          <w:color w:val="auto"/>
          <w:sz w:val="24"/>
          <w:szCs w:val="24"/>
          <w:highlight w:val="none"/>
        </w:rPr>
      </w:pPr>
    </w:p>
    <w:p>
      <w:pPr>
        <w:autoSpaceDE w:val="0"/>
        <w:autoSpaceDN w:val="0"/>
        <w:adjustRightInd w:val="0"/>
        <w:spacing w:line="360" w:lineRule="auto"/>
        <w:rPr>
          <w:rFonts w:ascii="宋体" w:cs="宋体"/>
          <w:color w:val="auto"/>
          <w:sz w:val="24"/>
          <w:szCs w:val="24"/>
          <w:highlight w:val="none"/>
        </w:rPr>
      </w:pPr>
      <w:r>
        <w:rPr>
          <w:rFonts w:hint="eastAsia" w:ascii="宋体" w:cs="宋体"/>
          <w:color w:val="auto"/>
          <w:sz w:val="24"/>
          <w:szCs w:val="24"/>
          <w:highlight w:val="none"/>
        </w:rPr>
        <w:t>注：</w:t>
      </w:r>
      <w:r>
        <w:rPr>
          <w:rFonts w:hint="eastAsia" w:ascii="宋体" w:hAnsi="宋体"/>
          <w:color w:val="auto"/>
          <w:sz w:val="24"/>
          <w:szCs w:val="24"/>
          <w:highlight w:val="none"/>
        </w:rPr>
        <w:t>本表为本次招标的所有项目及服务的总报价</w:t>
      </w:r>
      <w:r>
        <w:rPr>
          <w:rFonts w:hint="eastAsia"/>
          <w:color w:val="auto"/>
          <w:sz w:val="24"/>
          <w:szCs w:val="24"/>
          <w:highlight w:val="none"/>
        </w:rPr>
        <w:t>是</w:t>
      </w:r>
      <w:r>
        <w:rPr>
          <w:rFonts w:ascii="宋体" w:hAnsi="宋体"/>
          <w:color w:val="auto"/>
          <w:sz w:val="24"/>
          <w:szCs w:val="24"/>
          <w:highlight w:val="none"/>
          <w:shd w:val="clear" w:color="auto" w:fill="FFFFFF"/>
        </w:rPr>
        <w:t>交付使用前的全部费用，</w:t>
      </w:r>
    </w:p>
    <w:p>
      <w:pPr>
        <w:autoSpaceDE w:val="0"/>
        <w:autoSpaceDN w:val="0"/>
        <w:adjustRightInd w:val="0"/>
        <w:spacing w:line="480" w:lineRule="auto"/>
        <w:rPr>
          <w:rFonts w:ascii="宋体" w:cs="宋体"/>
          <w:color w:val="auto"/>
          <w:sz w:val="24"/>
          <w:szCs w:val="24"/>
          <w:highlight w:val="none"/>
          <w:lang w:val="zh-CN"/>
        </w:rPr>
      </w:pPr>
    </w:p>
    <w:p>
      <w:pPr>
        <w:autoSpaceDE w:val="0"/>
        <w:autoSpaceDN w:val="0"/>
        <w:adjustRightInd w:val="0"/>
        <w:spacing w:line="480" w:lineRule="auto"/>
        <w:ind w:firstLine="4800" w:firstLineChars="2000"/>
        <w:rPr>
          <w:rFonts w:ascii="宋体" w:cs="宋体"/>
          <w:color w:val="auto"/>
          <w:sz w:val="24"/>
          <w:szCs w:val="24"/>
          <w:highlight w:val="none"/>
          <w:lang w:val="zh-CN"/>
        </w:rPr>
      </w:pPr>
      <w:r>
        <w:rPr>
          <w:rFonts w:hint="eastAsia" w:ascii="宋体" w:cs="宋体"/>
          <w:color w:val="auto"/>
          <w:sz w:val="24"/>
          <w:szCs w:val="24"/>
          <w:highlight w:val="none"/>
          <w:lang w:val="zh-CN"/>
        </w:rPr>
        <w:t>投标人</w:t>
      </w:r>
      <w:r>
        <w:rPr>
          <w:rFonts w:hint="eastAsia" w:ascii="宋体" w:cs="宋体"/>
          <w:color w:val="auto"/>
          <w:sz w:val="24"/>
          <w:szCs w:val="24"/>
          <w:highlight w:val="none"/>
          <w:u w:val="single"/>
          <w:lang w:val="zh-CN"/>
        </w:rPr>
        <w:t xml:space="preserve">        (全称)  </w:t>
      </w:r>
      <w:r>
        <w:rPr>
          <w:rFonts w:hint="eastAsia" w:ascii="宋体" w:cs="宋体"/>
          <w:color w:val="auto"/>
          <w:sz w:val="24"/>
          <w:szCs w:val="24"/>
          <w:highlight w:val="none"/>
          <w:lang w:val="zh-CN"/>
        </w:rPr>
        <w:t>（公章）：</w:t>
      </w:r>
    </w:p>
    <w:p>
      <w:pPr>
        <w:autoSpaceDE w:val="0"/>
        <w:autoSpaceDN w:val="0"/>
        <w:adjustRightInd w:val="0"/>
        <w:spacing w:line="480" w:lineRule="auto"/>
        <w:rPr>
          <w:rFonts w:ascii="宋体" w:cs="宋体"/>
          <w:color w:val="auto"/>
          <w:sz w:val="24"/>
          <w:szCs w:val="24"/>
          <w:highlight w:val="none"/>
          <w:lang w:val="zh-CN"/>
        </w:rPr>
      </w:pPr>
      <w:r>
        <w:rPr>
          <w:rFonts w:hint="eastAsia" w:ascii="宋体" w:cs="宋体"/>
          <w:color w:val="auto"/>
          <w:sz w:val="24"/>
          <w:szCs w:val="24"/>
          <w:highlight w:val="none"/>
          <w:lang w:val="zh-CN"/>
        </w:rPr>
        <w:t xml:space="preserve">                              投标人法定代表人或授权代表:(签字或盖章)</w:t>
      </w:r>
    </w:p>
    <w:p>
      <w:pPr>
        <w:autoSpaceDE w:val="0"/>
        <w:autoSpaceDN w:val="0"/>
        <w:adjustRightInd w:val="0"/>
        <w:spacing w:line="480" w:lineRule="auto"/>
        <w:ind w:firstLine="5400" w:firstLineChars="2250"/>
        <w:rPr>
          <w:rFonts w:ascii="宋体" w:cs="宋体"/>
          <w:color w:val="auto"/>
          <w:sz w:val="24"/>
          <w:szCs w:val="24"/>
          <w:highlight w:val="none"/>
          <w:lang w:val="zh-CN"/>
        </w:rPr>
      </w:pPr>
      <w:r>
        <w:rPr>
          <w:rFonts w:hint="eastAsia" w:ascii="宋体" w:cs="宋体"/>
          <w:color w:val="auto"/>
          <w:sz w:val="24"/>
          <w:szCs w:val="24"/>
          <w:highlight w:val="none"/>
          <w:lang w:val="zh-CN"/>
        </w:rPr>
        <w:t>日 期(年  月  日)</w:t>
      </w:r>
    </w:p>
    <w:p>
      <w:pPr>
        <w:widowControl/>
        <w:jc w:val="left"/>
        <w:rPr>
          <w:rFonts w:ascii="宋体" w:hAnsi="宋体" w:eastAsia="宋体" w:cs="宋体"/>
          <w:color w:val="auto"/>
          <w:sz w:val="24"/>
          <w:szCs w:val="24"/>
          <w:highlight w:val="none"/>
          <w:lang w:val="zh-CN"/>
        </w:rPr>
      </w:pPr>
      <w:r>
        <w:rPr>
          <w:rFonts w:ascii="宋体" w:hAnsi="宋体" w:eastAsia="宋体" w:cs="宋体"/>
          <w:color w:val="auto"/>
          <w:sz w:val="24"/>
          <w:szCs w:val="24"/>
          <w:highlight w:val="none"/>
          <w:lang w:val="zh-CN"/>
        </w:rPr>
        <w:br w:type="page"/>
      </w:r>
    </w:p>
    <w:p>
      <w:pPr>
        <w:autoSpaceDE w:val="0"/>
        <w:autoSpaceDN w:val="0"/>
        <w:adjustRightInd w:val="0"/>
        <w:spacing w:line="360" w:lineRule="auto"/>
        <w:ind w:firstLine="1966" w:firstLineChars="445"/>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二、资格审查证明材料</w:t>
      </w:r>
    </w:p>
    <w:p>
      <w:pPr>
        <w:spacing w:line="480" w:lineRule="exact"/>
        <w:jc w:val="center"/>
        <w:rPr>
          <w:rFonts w:ascii="宋体" w:hAnsi="宋体" w:eastAsia="宋体" w:cs="宋体"/>
          <w:b/>
          <w:bCs/>
          <w:color w:val="auto"/>
          <w:sz w:val="32"/>
          <w:szCs w:val="32"/>
          <w:highlight w:val="none"/>
        </w:rPr>
      </w:pPr>
    </w:p>
    <w:p>
      <w:pPr>
        <w:spacing w:line="48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2.1法定代表人资格证明书</w:t>
      </w:r>
    </w:p>
    <w:p>
      <w:pPr>
        <w:autoSpaceDE w:val="0"/>
        <w:autoSpaceDN w:val="0"/>
        <w:adjustRightInd w:val="0"/>
        <w:spacing w:line="480" w:lineRule="auto"/>
        <w:ind w:firstLine="616" w:firstLineChars="257"/>
        <w:rPr>
          <w:rFonts w:ascii="宋体" w:hAnsi="宋体" w:eastAsia="宋体" w:cs="宋体"/>
          <w:color w:val="auto"/>
          <w:sz w:val="24"/>
          <w:szCs w:val="24"/>
          <w:highlight w:val="none"/>
        </w:rPr>
      </w:pPr>
    </w:p>
    <w:p>
      <w:pPr>
        <w:spacing w:line="360" w:lineRule="auto"/>
        <w:ind w:firstLine="510"/>
        <w:rPr>
          <w:color w:val="auto"/>
          <w:sz w:val="24"/>
          <w:szCs w:val="24"/>
          <w:highlight w:val="none"/>
          <w:u w:val="single"/>
        </w:rPr>
      </w:pPr>
      <w:r>
        <w:rPr>
          <w:rFonts w:hint="eastAsia"/>
          <w:color w:val="auto"/>
          <w:sz w:val="24"/>
          <w:szCs w:val="24"/>
          <w:highlight w:val="none"/>
        </w:rPr>
        <w:t>投标人名称：</w:t>
      </w:r>
    </w:p>
    <w:p>
      <w:pPr>
        <w:spacing w:line="360" w:lineRule="auto"/>
        <w:ind w:firstLine="510"/>
        <w:rPr>
          <w:color w:val="auto"/>
          <w:sz w:val="24"/>
          <w:szCs w:val="24"/>
          <w:highlight w:val="none"/>
          <w:u w:val="single"/>
        </w:rPr>
      </w:pPr>
      <w:r>
        <w:rPr>
          <w:rFonts w:hint="eastAsia" w:ascii="宋体" w:hAnsi="宋体"/>
          <w:color w:val="auto"/>
          <w:sz w:val="24"/>
          <w:szCs w:val="24"/>
          <w:highlight w:val="none"/>
        </w:rPr>
        <w:t>单位性质：</w:t>
      </w:r>
    </w:p>
    <w:p>
      <w:pPr>
        <w:spacing w:line="360" w:lineRule="auto"/>
        <w:ind w:firstLine="510"/>
        <w:rPr>
          <w:color w:val="auto"/>
          <w:sz w:val="24"/>
          <w:szCs w:val="24"/>
          <w:highlight w:val="none"/>
          <w:u w:val="single"/>
        </w:rPr>
      </w:pPr>
      <w:r>
        <w:rPr>
          <w:rFonts w:hint="eastAsia" w:ascii="宋体" w:hAnsi="宋体"/>
          <w:color w:val="auto"/>
          <w:sz w:val="24"/>
          <w:szCs w:val="24"/>
          <w:highlight w:val="none"/>
        </w:rPr>
        <w:t>地    址：</w:t>
      </w:r>
    </w:p>
    <w:p>
      <w:pPr>
        <w:spacing w:line="360" w:lineRule="auto"/>
        <w:ind w:firstLine="510"/>
        <w:rPr>
          <w:rFonts w:ascii="宋体" w:hAnsi="宋体"/>
          <w:color w:val="auto"/>
          <w:sz w:val="24"/>
          <w:szCs w:val="24"/>
          <w:highlight w:val="none"/>
        </w:rPr>
      </w:pPr>
      <w:r>
        <w:rPr>
          <w:rFonts w:hint="eastAsia" w:ascii="宋体" w:hAnsi="宋体"/>
          <w:color w:val="auto"/>
          <w:sz w:val="24"/>
          <w:szCs w:val="24"/>
          <w:highlight w:val="none"/>
        </w:rPr>
        <w:t>成立时间：年月日</w:t>
      </w:r>
    </w:p>
    <w:p>
      <w:pPr>
        <w:spacing w:line="360" w:lineRule="auto"/>
        <w:ind w:firstLine="510"/>
        <w:rPr>
          <w:rFonts w:ascii="宋体" w:hAnsi="宋体"/>
          <w:color w:val="auto"/>
          <w:sz w:val="24"/>
          <w:szCs w:val="24"/>
          <w:highlight w:val="none"/>
        </w:rPr>
      </w:pPr>
      <w:r>
        <w:rPr>
          <w:rFonts w:hint="eastAsia" w:ascii="宋体" w:hAnsi="宋体"/>
          <w:color w:val="auto"/>
          <w:sz w:val="24"/>
          <w:szCs w:val="24"/>
          <w:highlight w:val="none"/>
        </w:rPr>
        <w:t>经营期限：</w:t>
      </w:r>
    </w:p>
    <w:p>
      <w:pPr>
        <w:spacing w:line="360" w:lineRule="auto"/>
        <w:ind w:firstLine="491" w:firstLineChars="205"/>
        <w:jc w:val="left"/>
        <w:rPr>
          <w:rFonts w:ascii="宋体" w:hAnsi="宋体"/>
          <w:color w:val="auto"/>
          <w:sz w:val="24"/>
          <w:szCs w:val="24"/>
          <w:highlight w:val="none"/>
        </w:rPr>
      </w:pPr>
      <w:r>
        <w:rPr>
          <w:rFonts w:hint="eastAsia" w:ascii="宋体" w:hAnsi="宋体"/>
          <w:color w:val="auto"/>
          <w:sz w:val="24"/>
          <w:szCs w:val="24"/>
          <w:highlight w:val="none"/>
        </w:rPr>
        <w:t>姓名：性别：年龄 职务</w:t>
      </w:r>
    </w:p>
    <w:p>
      <w:pPr>
        <w:spacing w:line="360" w:lineRule="auto"/>
        <w:ind w:firstLine="491" w:firstLineChars="205"/>
        <w:jc w:val="left"/>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（投标人名称）     </w:t>
      </w:r>
      <w:r>
        <w:rPr>
          <w:rFonts w:hint="eastAsia" w:ascii="宋体" w:hAnsi="宋体"/>
          <w:color w:val="auto"/>
          <w:sz w:val="24"/>
          <w:szCs w:val="24"/>
          <w:highlight w:val="none"/>
        </w:rPr>
        <w:t>的法定代表人。</w:t>
      </w:r>
    </w:p>
    <w:p>
      <w:pPr>
        <w:spacing w:line="360" w:lineRule="auto"/>
        <w:ind w:firstLine="491" w:firstLineChars="205"/>
        <w:jc w:val="left"/>
        <w:rPr>
          <w:rFonts w:ascii="宋体" w:hAnsi="宋体"/>
          <w:color w:val="auto"/>
          <w:sz w:val="24"/>
          <w:szCs w:val="24"/>
          <w:highlight w:val="none"/>
        </w:rPr>
      </w:pPr>
      <w:r>
        <w:rPr>
          <w:rFonts w:hint="eastAsia" w:ascii="宋体" w:hAnsi="宋体"/>
          <w:color w:val="auto"/>
          <w:sz w:val="24"/>
          <w:szCs w:val="24"/>
          <w:highlight w:val="none"/>
        </w:rPr>
        <w:t>特此证明。</w:t>
      </w:r>
    </w:p>
    <w:p>
      <w:pPr>
        <w:spacing w:line="360" w:lineRule="auto"/>
        <w:ind w:firstLine="540" w:firstLineChars="225"/>
        <w:jc w:val="left"/>
        <w:rPr>
          <w:color w:val="auto"/>
          <w:sz w:val="24"/>
          <w:szCs w:val="24"/>
          <w:highlight w:val="none"/>
        </w:rPr>
      </w:pPr>
    </w:p>
    <w:tbl>
      <w:tblPr>
        <w:tblStyle w:val="2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法定代表人身份证（正面）</w:t>
            </w:r>
          </w:p>
        </w:tc>
        <w:tc>
          <w:tcPr>
            <w:tcW w:w="4485" w:type="dxa"/>
            <w:vAlign w:val="center"/>
          </w:tcPr>
          <w:p>
            <w:pPr>
              <w:jc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法定代表人身份证（反面）</w:t>
            </w:r>
          </w:p>
        </w:tc>
      </w:tr>
    </w:tbl>
    <w:p>
      <w:pPr>
        <w:spacing w:line="360" w:lineRule="auto"/>
        <w:jc w:val="left"/>
        <w:rPr>
          <w:rFonts w:ascii="宋体" w:hAnsi="宋体"/>
          <w:color w:val="auto"/>
          <w:sz w:val="24"/>
          <w:szCs w:val="24"/>
          <w:highlight w:val="none"/>
        </w:rPr>
      </w:pPr>
    </w:p>
    <w:p>
      <w:pPr>
        <w:spacing w:line="360" w:lineRule="auto"/>
        <w:ind w:firstLine="5280" w:firstLineChars="2200"/>
        <w:rPr>
          <w:color w:val="auto"/>
          <w:sz w:val="24"/>
          <w:szCs w:val="24"/>
          <w:highlight w:val="none"/>
        </w:rPr>
      </w:pPr>
      <w:r>
        <w:rPr>
          <w:rFonts w:hint="eastAsia"/>
          <w:color w:val="auto"/>
          <w:sz w:val="24"/>
          <w:szCs w:val="24"/>
          <w:highlight w:val="none"/>
        </w:rPr>
        <w:t>投标人（盖章）：</w:t>
      </w:r>
    </w:p>
    <w:p>
      <w:pPr>
        <w:spacing w:line="360" w:lineRule="auto"/>
        <w:ind w:firstLine="5280" w:firstLineChars="2200"/>
        <w:rPr>
          <w:color w:val="auto"/>
          <w:sz w:val="24"/>
          <w:szCs w:val="24"/>
          <w:highlight w:val="none"/>
        </w:rPr>
      </w:pPr>
      <w:r>
        <w:rPr>
          <w:rFonts w:hint="eastAsia"/>
          <w:color w:val="auto"/>
          <w:sz w:val="24"/>
          <w:szCs w:val="24"/>
          <w:highlight w:val="none"/>
        </w:rPr>
        <w:t>法定代表人：（签字或盖章）</w:t>
      </w:r>
    </w:p>
    <w:p>
      <w:pPr>
        <w:spacing w:line="360" w:lineRule="auto"/>
        <w:ind w:right="480" w:firstLine="5400" w:firstLineChars="2250"/>
        <w:rPr>
          <w:color w:val="auto"/>
          <w:sz w:val="24"/>
          <w:szCs w:val="24"/>
          <w:highlight w:val="none"/>
        </w:rPr>
      </w:pPr>
      <w:r>
        <w:rPr>
          <w:rFonts w:hint="eastAsia"/>
          <w:color w:val="auto"/>
          <w:sz w:val="24"/>
          <w:szCs w:val="24"/>
          <w:highlight w:val="none"/>
        </w:rPr>
        <w:t>年     月     日</w:t>
      </w:r>
    </w:p>
    <w:p>
      <w:pPr>
        <w:pStyle w:val="38"/>
        <w:spacing w:line="480" w:lineRule="auto"/>
        <w:rPr>
          <w:rFonts w:ascii="宋体" w:hAnsi="宋体" w:cs="宋体"/>
          <w:color w:val="auto"/>
          <w:szCs w:val="24"/>
          <w:highlight w:val="none"/>
        </w:rPr>
      </w:pPr>
    </w:p>
    <w:p>
      <w:pPr>
        <w:spacing w:line="320" w:lineRule="exact"/>
        <w:ind w:firstLine="420"/>
        <w:rPr>
          <w:rFonts w:ascii="宋体" w:hAnsi="宋体" w:eastAsia="宋体" w:cs="宋体"/>
          <w:bCs/>
          <w:color w:val="auto"/>
          <w:kern w:val="12"/>
          <w:sz w:val="24"/>
          <w:szCs w:val="24"/>
          <w:highlight w:val="none"/>
        </w:rPr>
      </w:pPr>
    </w:p>
    <w:p>
      <w:pPr>
        <w:spacing w:line="320" w:lineRule="exact"/>
        <w:rPr>
          <w:rFonts w:ascii="宋体" w:hAnsi="宋体"/>
          <w:b/>
          <w:bCs/>
          <w:color w:val="auto"/>
          <w:sz w:val="36"/>
          <w:szCs w:val="36"/>
          <w:highlight w:val="none"/>
        </w:rPr>
      </w:pPr>
      <w:r>
        <w:rPr>
          <w:rFonts w:hint="eastAsia" w:asciiTheme="minorEastAsia" w:hAnsiTheme="minorEastAsia"/>
          <w:bCs/>
          <w:color w:val="auto"/>
          <w:kern w:val="12"/>
          <w:sz w:val="24"/>
          <w:szCs w:val="24"/>
          <w:highlight w:val="none"/>
        </w:rPr>
        <w:t>说明：法定代表人</w:t>
      </w:r>
      <w:r>
        <w:rPr>
          <w:rFonts w:asciiTheme="minorEastAsia" w:hAnsiTheme="minorEastAsia"/>
          <w:bCs/>
          <w:color w:val="auto"/>
          <w:kern w:val="12"/>
          <w:sz w:val="24"/>
          <w:szCs w:val="24"/>
          <w:highlight w:val="none"/>
        </w:rPr>
        <w:t>参</w:t>
      </w:r>
      <w:r>
        <w:rPr>
          <w:rFonts w:hint="eastAsia" w:asciiTheme="minorEastAsia" w:hAnsiTheme="minorEastAsia"/>
          <w:bCs/>
          <w:color w:val="auto"/>
          <w:kern w:val="12"/>
          <w:sz w:val="24"/>
          <w:szCs w:val="24"/>
          <w:highlight w:val="none"/>
        </w:rPr>
        <w:t>加本招</w:t>
      </w:r>
      <w:r>
        <w:rPr>
          <w:rFonts w:asciiTheme="minorEastAsia" w:hAnsiTheme="minorEastAsia"/>
          <w:bCs/>
          <w:color w:val="auto"/>
          <w:kern w:val="12"/>
          <w:sz w:val="24"/>
          <w:szCs w:val="24"/>
          <w:highlight w:val="none"/>
        </w:rPr>
        <w:t>标项目</w:t>
      </w:r>
      <w:r>
        <w:rPr>
          <w:rFonts w:hint="eastAsia" w:asciiTheme="minorEastAsia" w:hAnsiTheme="minorEastAsia"/>
          <w:bCs/>
          <w:color w:val="auto"/>
          <w:kern w:val="12"/>
          <w:sz w:val="24"/>
          <w:szCs w:val="24"/>
          <w:highlight w:val="none"/>
        </w:rPr>
        <w:t>投</w:t>
      </w:r>
      <w:r>
        <w:rPr>
          <w:rFonts w:asciiTheme="minorEastAsia" w:hAnsiTheme="minorEastAsia"/>
          <w:bCs/>
          <w:color w:val="auto"/>
          <w:kern w:val="12"/>
          <w:sz w:val="24"/>
          <w:szCs w:val="24"/>
          <w:highlight w:val="none"/>
        </w:rPr>
        <w:t>标</w:t>
      </w:r>
      <w:r>
        <w:rPr>
          <w:rFonts w:hint="eastAsia" w:asciiTheme="minorEastAsia" w:hAnsiTheme="minorEastAsia"/>
          <w:bCs/>
          <w:color w:val="auto"/>
          <w:kern w:val="12"/>
          <w:sz w:val="24"/>
          <w:szCs w:val="24"/>
          <w:highlight w:val="none"/>
        </w:rPr>
        <w:t>的，</w:t>
      </w:r>
      <w:r>
        <w:rPr>
          <w:rFonts w:asciiTheme="minorEastAsia" w:hAnsiTheme="minorEastAsia"/>
          <w:bCs/>
          <w:color w:val="auto"/>
          <w:kern w:val="12"/>
          <w:sz w:val="24"/>
          <w:szCs w:val="24"/>
          <w:highlight w:val="none"/>
        </w:rPr>
        <w:t>仅须</w:t>
      </w:r>
      <w:r>
        <w:rPr>
          <w:rFonts w:hint="eastAsia" w:asciiTheme="minorEastAsia" w:hAnsiTheme="minorEastAsia"/>
          <w:bCs/>
          <w:color w:val="auto"/>
          <w:kern w:val="12"/>
          <w:sz w:val="24"/>
          <w:szCs w:val="24"/>
          <w:highlight w:val="none"/>
        </w:rPr>
        <w:t>出具此</w:t>
      </w:r>
      <w:r>
        <w:rPr>
          <w:rFonts w:asciiTheme="minorEastAsia" w:hAnsiTheme="minorEastAsia"/>
          <w:bCs/>
          <w:color w:val="auto"/>
          <w:kern w:val="12"/>
          <w:sz w:val="24"/>
          <w:szCs w:val="24"/>
          <w:highlight w:val="none"/>
        </w:rPr>
        <w:t>证</w:t>
      </w:r>
      <w:r>
        <w:rPr>
          <w:rFonts w:hint="eastAsia" w:asciiTheme="minorEastAsia" w:hAnsiTheme="minorEastAsia"/>
          <w:bCs/>
          <w:color w:val="auto"/>
          <w:kern w:val="12"/>
          <w:sz w:val="24"/>
          <w:szCs w:val="24"/>
          <w:highlight w:val="none"/>
        </w:rPr>
        <w:t>明</w:t>
      </w:r>
      <w:r>
        <w:rPr>
          <w:rFonts w:asciiTheme="minorEastAsia" w:hAnsiTheme="minorEastAsia"/>
          <w:bCs/>
          <w:color w:val="auto"/>
          <w:kern w:val="12"/>
          <w:sz w:val="24"/>
          <w:szCs w:val="24"/>
          <w:highlight w:val="none"/>
        </w:rPr>
        <w:t>书</w:t>
      </w:r>
      <w:r>
        <w:rPr>
          <w:rFonts w:hint="eastAsia" w:asciiTheme="minorEastAsia" w:hAnsiTheme="minorEastAsia"/>
          <w:bCs/>
          <w:color w:val="auto"/>
          <w:kern w:val="12"/>
          <w:sz w:val="24"/>
          <w:szCs w:val="24"/>
          <w:highlight w:val="none"/>
        </w:rPr>
        <w:t>。</w:t>
      </w:r>
    </w:p>
    <w:p>
      <w:pPr>
        <w:widowControl/>
        <w:jc w:val="left"/>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p>
    <w:p>
      <w:pPr>
        <w:spacing w:line="480" w:lineRule="exact"/>
        <w:ind w:firstLine="2715" w:firstLineChars="845"/>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2.2法定代表人授权书</w:t>
      </w:r>
    </w:p>
    <w:p>
      <w:pPr>
        <w:spacing w:line="480" w:lineRule="exact"/>
        <w:jc w:val="center"/>
        <w:rPr>
          <w:rFonts w:ascii="宋体" w:hAnsi="宋体" w:eastAsia="宋体" w:cs="宋体"/>
          <w:b/>
          <w:bCs/>
          <w:color w:val="auto"/>
          <w:sz w:val="36"/>
          <w:szCs w:val="36"/>
          <w:highlight w:val="none"/>
        </w:rPr>
      </w:pPr>
    </w:p>
    <w:p>
      <w:pPr>
        <w:autoSpaceDE w:val="0"/>
        <w:autoSpaceDN w:val="0"/>
        <w:adjustRightInd w:val="0"/>
        <w:spacing w:line="360" w:lineRule="auto"/>
        <w:ind w:firstLine="48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i/>
          <w:color w:val="auto"/>
          <w:sz w:val="24"/>
          <w:szCs w:val="24"/>
          <w:highlight w:val="none"/>
          <w:u w:val="single"/>
          <w:lang w:val="zh-CN"/>
        </w:rPr>
        <w:t>法人姓名</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w:t>
      </w:r>
      <w:r>
        <w:rPr>
          <w:rFonts w:hint="eastAsia" w:ascii="宋体" w:hAnsi="宋体" w:eastAsia="宋体" w:cs="宋体"/>
          <w:i/>
          <w:color w:val="auto"/>
          <w:sz w:val="24"/>
          <w:szCs w:val="24"/>
          <w:highlight w:val="none"/>
          <w:u w:val="single"/>
          <w:lang w:val="zh-CN"/>
        </w:rPr>
        <w:t>投标人名称</w:t>
      </w:r>
      <w:r>
        <w:rPr>
          <w:rFonts w:hint="eastAsia" w:ascii="宋体" w:hAnsi="宋体" w:eastAsia="宋体" w:cs="宋体"/>
          <w:color w:val="auto"/>
          <w:sz w:val="24"/>
          <w:szCs w:val="24"/>
          <w:highlight w:val="none"/>
          <w:lang w:val="zh-CN"/>
        </w:rPr>
        <w:t>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i/>
          <w:color w:val="auto"/>
          <w:sz w:val="24"/>
          <w:szCs w:val="24"/>
          <w:highlight w:val="none"/>
          <w:u w:val="single"/>
          <w:lang w:val="zh-CN"/>
        </w:rPr>
        <w:t xml:space="preserve">姓名 </w:t>
      </w:r>
      <w:r>
        <w:rPr>
          <w:rFonts w:hint="eastAsia" w:ascii="宋体" w:hAnsi="宋体" w:eastAsia="宋体" w:cs="宋体"/>
          <w:color w:val="auto"/>
          <w:sz w:val="24"/>
          <w:szCs w:val="24"/>
          <w:highlight w:val="none"/>
          <w:lang w:val="zh-CN"/>
        </w:rPr>
        <w:t>为我方代理人。代理人根据授权，以我方名义签署、澄清、说明、补正、递交、撤回、修改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i/>
          <w:color w:val="auto"/>
          <w:sz w:val="24"/>
          <w:szCs w:val="24"/>
          <w:highlight w:val="none"/>
          <w:u w:val="single"/>
          <w:lang w:val="zh-CN"/>
        </w:rPr>
        <w:t>项目名称</w:t>
      </w:r>
      <w:r>
        <w:rPr>
          <w:rFonts w:hint="eastAsia" w:ascii="宋体" w:hAnsi="宋体" w:eastAsia="宋体" w:cs="宋体"/>
          <w:color w:val="auto"/>
          <w:sz w:val="24"/>
          <w:szCs w:val="24"/>
          <w:highlight w:val="none"/>
          <w:lang w:val="zh-CN"/>
        </w:rPr>
        <w:t>投标文件、签订合同和处理有关事宜，其法律后果由我方承担。</w:t>
      </w:r>
    </w:p>
    <w:p>
      <w:pPr>
        <w:autoSpaceDE w:val="0"/>
        <w:autoSpaceDN w:val="0"/>
        <w:adjustRightInd w:val="0"/>
        <w:spacing w:line="360" w:lineRule="auto"/>
        <w:ind w:firstLine="48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本授权书于　  年     月　  日签字生效，特此声明。</w:t>
      </w: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代理人无转委托权。</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p>
    <w:p>
      <w:pPr>
        <w:spacing w:line="360" w:lineRule="auto"/>
        <w:rPr>
          <w:rFonts w:ascii="宋体" w:hAnsi="宋体" w:eastAsia="宋体" w:cs="宋体"/>
          <w:color w:val="auto"/>
          <w:sz w:val="24"/>
          <w:highlight w:val="none"/>
        </w:rPr>
      </w:pPr>
    </w:p>
    <w:tbl>
      <w:tblPr>
        <w:tblStyle w:val="2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法定代表人身份证（正面）</w:t>
            </w:r>
          </w:p>
        </w:tc>
        <w:tc>
          <w:tcPr>
            <w:tcW w:w="4485" w:type="dxa"/>
            <w:vAlign w:val="center"/>
          </w:tcPr>
          <w:p>
            <w:pPr>
              <w:jc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法定代表人身份证（反面）</w:t>
            </w:r>
          </w:p>
        </w:tc>
      </w:tr>
    </w:tbl>
    <w:p>
      <w:pPr>
        <w:jc w:val="center"/>
        <w:rPr>
          <w:rFonts w:ascii="宋体"/>
          <w:color w:val="auto"/>
          <w:highlight w:val="none"/>
        </w:rPr>
      </w:pPr>
    </w:p>
    <w:tbl>
      <w:tblPr>
        <w:tblStyle w:val="2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491"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法定代表人授权代表身份证（正面）</w:t>
            </w:r>
          </w:p>
        </w:tc>
        <w:tc>
          <w:tcPr>
            <w:tcW w:w="4492"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法定代表人授权代表身份证（反面）</w:t>
            </w:r>
          </w:p>
        </w:tc>
      </w:tr>
    </w:tbl>
    <w:p>
      <w:pPr>
        <w:jc w:val="center"/>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widowControl/>
        <w:spacing w:before="100" w:beforeAutospacing="1" w:after="100" w:afterAutospacing="1" w:line="360" w:lineRule="auto"/>
        <w:rPr>
          <w:rFonts w:ascii="宋体" w:hAnsi="宋体"/>
          <w:b/>
          <w:bCs/>
          <w:color w:val="auto"/>
          <w:sz w:val="32"/>
          <w:szCs w:val="32"/>
          <w:highlight w:val="none"/>
        </w:rPr>
      </w:pPr>
    </w:p>
    <w:p>
      <w:pPr>
        <w:widowControl/>
        <w:spacing w:before="100" w:beforeAutospacing="1" w:after="100" w:afterAutospacing="1"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2.3没有重大违法记录的声明</w:t>
      </w:r>
    </w:p>
    <w:p>
      <w:pPr>
        <w:spacing w:before="156" w:beforeLines="50" w:after="156" w:afterLines="50"/>
        <w:jc w:val="center"/>
        <w:rPr>
          <w:rFonts w:ascii="宋体" w:hAnsi="宋体" w:cs="Arial"/>
          <w:color w:val="auto"/>
          <w:kern w:val="0"/>
          <w:sz w:val="32"/>
          <w:szCs w:val="32"/>
          <w:highlight w:val="none"/>
        </w:rPr>
      </w:pPr>
      <w:r>
        <w:rPr>
          <w:rFonts w:hint="eastAsia" w:ascii="宋体" w:hAnsi="宋体" w:cs="Arial"/>
          <w:color w:val="auto"/>
          <w:kern w:val="0"/>
          <w:sz w:val="32"/>
          <w:szCs w:val="32"/>
          <w:highlight w:val="none"/>
        </w:rPr>
        <w:t>声　   明</w:t>
      </w:r>
    </w:p>
    <w:p>
      <w:pPr>
        <w:spacing w:before="156" w:beforeLines="50" w:after="156" w:afterLines="50" w:line="360" w:lineRule="auto"/>
        <w:ind w:firstLine="480" w:firstLineChars="200"/>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156" w:beforeLines="50" w:after="156" w:afterLines="50" w:line="36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特此声明。</w:t>
      </w:r>
    </w:p>
    <w:p>
      <w:pPr>
        <w:spacing w:before="156" w:beforeLines="50" w:after="156" w:afterLines="50" w:line="36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本公司对上述声明的真实性负责。如有虚假，将依法承担相应责任。</w:t>
      </w:r>
    </w:p>
    <w:p>
      <w:pPr>
        <w:spacing w:before="156" w:beforeLines="50" w:after="156" w:afterLines="50" w:line="360" w:lineRule="auto"/>
        <w:ind w:firstLine="566" w:firstLineChars="236"/>
        <w:rPr>
          <w:rFonts w:cs="宋体" w:asciiTheme="minorEastAsia" w:hAnsiTheme="minorEastAsia"/>
          <w:color w:val="auto"/>
          <w:sz w:val="24"/>
          <w:szCs w:val="24"/>
          <w:highlight w:val="none"/>
          <w:lang w:val="zh-CN"/>
        </w:rPr>
      </w:pPr>
    </w:p>
    <w:p>
      <w:pPr>
        <w:spacing w:line="360" w:lineRule="auto"/>
        <w:ind w:firstLine="5280" w:firstLineChars="2200"/>
        <w:rPr>
          <w:color w:val="auto"/>
          <w:sz w:val="24"/>
          <w:szCs w:val="24"/>
          <w:highlight w:val="none"/>
        </w:rPr>
      </w:pPr>
      <w:r>
        <w:rPr>
          <w:rFonts w:hint="eastAsia"/>
          <w:color w:val="auto"/>
          <w:sz w:val="24"/>
          <w:szCs w:val="24"/>
          <w:highlight w:val="none"/>
        </w:rPr>
        <w:t>投标人（盖章）：</w:t>
      </w:r>
    </w:p>
    <w:p>
      <w:pPr>
        <w:spacing w:line="360" w:lineRule="auto"/>
        <w:ind w:firstLine="3720" w:firstLineChars="1550"/>
        <w:rPr>
          <w:color w:val="auto"/>
          <w:sz w:val="24"/>
          <w:szCs w:val="24"/>
          <w:highlight w:val="none"/>
        </w:rPr>
      </w:pPr>
      <w:r>
        <w:rPr>
          <w:rFonts w:hint="eastAsia"/>
          <w:color w:val="auto"/>
          <w:sz w:val="24"/>
          <w:szCs w:val="24"/>
          <w:highlight w:val="none"/>
        </w:rPr>
        <w:t>法定代表人或授权委托人：（签字或盖章）</w:t>
      </w:r>
    </w:p>
    <w:p>
      <w:pPr>
        <w:spacing w:line="360" w:lineRule="auto"/>
        <w:ind w:right="480" w:firstLine="5400" w:firstLineChars="2250"/>
        <w:rPr>
          <w:color w:val="auto"/>
          <w:sz w:val="24"/>
          <w:szCs w:val="24"/>
          <w:highlight w:val="none"/>
        </w:rPr>
      </w:pPr>
      <w:r>
        <w:rPr>
          <w:rFonts w:hint="eastAsia"/>
          <w:color w:val="auto"/>
          <w:sz w:val="24"/>
          <w:szCs w:val="24"/>
          <w:highlight w:val="none"/>
        </w:rPr>
        <w:t>年     月     日</w:t>
      </w:r>
    </w:p>
    <w:p>
      <w:pPr>
        <w:pStyle w:val="38"/>
        <w:spacing w:line="480" w:lineRule="auto"/>
        <w:rPr>
          <w:rFonts w:ascii="宋体" w:hAnsi="宋体" w:cs="宋体"/>
          <w:color w:val="auto"/>
          <w:szCs w:val="24"/>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pPr>
        <w:autoSpaceDE w:val="0"/>
        <w:autoSpaceDN w:val="0"/>
        <w:adjustRightInd w:val="0"/>
        <w:spacing w:line="480" w:lineRule="auto"/>
        <w:rPr>
          <w:rFonts w:ascii="宋体" w:hAnsi="宋体" w:eastAsia="宋体" w:cs="宋体"/>
          <w:color w:val="auto"/>
          <w:sz w:val="24"/>
          <w:szCs w:val="24"/>
          <w:highlight w:val="none"/>
          <w:lang w:val="zh-CN"/>
        </w:rPr>
      </w:pPr>
    </w:p>
    <w:p>
      <w:pPr>
        <w:widowControl/>
        <w:spacing w:before="100" w:beforeAutospacing="1" w:after="100" w:afterAutospacing="1" w:line="360" w:lineRule="auto"/>
        <w:rPr>
          <w:rFonts w:ascii="宋体" w:hAnsi="宋体"/>
          <w:b/>
          <w:bCs/>
          <w:color w:val="auto"/>
          <w:sz w:val="32"/>
          <w:szCs w:val="32"/>
          <w:highlight w:val="none"/>
        </w:rPr>
      </w:pPr>
    </w:p>
    <w:p>
      <w:pPr>
        <w:widowControl/>
        <w:spacing w:before="100" w:beforeAutospacing="1" w:after="100" w:afterAutospacing="1" w:line="360" w:lineRule="auto"/>
        <w:jc w:val="center"/>
        <w:rPr>
          <w:rFonts w:cs="黑体" w:asciiTheme="minorEastAsia" w:hAnsiTheme="minorEastAsia"/>
          <w:b/>
          <w:bCs/>
          <w:color w:val="auto"/>
          <w:sz w:val="32"/>
          <w:szCs w:val="32"/>
          <w:highlight w:val="none"/>
        </w:rPr>
      </w:pPr>
      <w:r>
        <w:rPr>
          <w:rFonts w:hint="eastAsia" w:ascii="宋体" w:hAnsi="宋体"/>
          <w:b/>
          <w:bCs/>
          <w:color w:val="auto"/>
          <w:sz w:val="32"/>
          <w:szCs w:val="32"/>
          <w:highlight w:val="none"/>
        </w:rPr>
        <w:t xml:space="preserve">2.4其他资格证明文件或材料 </w:t>
      </w:r>
    </w:p>
    <w:p>
      <w:pPr>
        <w:widowControl/>
        <w:spacing w:line="360" w:lineRule="auto"/>
        <w:ind w:firstLine="480" w:firstLineChars="200"/>
        <w:jc w:val="left"/>
        <w:rPr>
          <w:rFonts w:ascii="宋体" w:hAnsi="宋体"/>
          <w:bCs/>
          <w:color w:val="auto"/>
          <w:sz w:val="22"/>
          <w:highlight w:val="none"/>
        </w:rPr>
      </w:pPr>
      <w:r>
        <w:rPr>
          <w:rFonts w:hint="eastAsia" w:ascii="宋体" w:hAnsi="宋体"/>
          <w:bCs/>
          <w:color w:val="auto"/>
          <w:sz w:val="24"/>
          <w:szCs w:val="28"/>
          <w:highlight w:val="none"/>
        </w:rPr>
        <w:t>（投标人须按照“第五章 资格审查与评标办法、评标标准”中“资格审查因素表”要求，</w:t>
      </w:r>
      <w:r>
        <w:rPr>
          <w:rFonts w:ascii="宋体" w:hAnsi="宋体"/>
          <w:bCs/>
          <w:color w:val="auto"/>
          <w:sz w:val="24"/>
          <w:szCs w:val="28"/>
          <w:highlight w:val="none"/>
        </w:rPr>
        <w:t>提交</w:t>
      </w:r>
      <w:r>
        <w:rPr>
          <w:rFonts w:hint="eastAsia" w:ascii="宋体" w:hAnsi="宋体"/>
          <w:bCs/>
          <w:color w:val="auto"/>
          <w:sz w:val="24"/>
          <w:szCs w:val="28"/>
          <w:highlight w:val="none"/>
        </w:rPr>
        <w:t>其他资格</w:t>
      </w:r>
      <w:r>
        <w:rPr>
          <w:rFonts w:ascii="宋体" w:hAnsi="宋体"/>
          <w:bCs/>
          <w:color w:val="auto"/>
          <w:sz w:val="24"/>
          <w:szCs w:val="28"/>
          <w:highlight w:val="none"/>
        </w:rPr>
        <w:t>证明</w:t>
      </w:r>
      <w:r>
        <w:rPr>
          <w:rFonts w:hint="eastAsia" w:ascii="宋体" w:hAnsi="宋体"/>
          <w:bCs/>
          <w:color w:val="auto"/>
          <w:sz w:val="24"/>
          <w:szCs w:val="28"/>
          <w:highlight w:val="none"/>
        </w:rPr>
        <w:t>文件</w:t>
      </w:r>
      <w:r>
        <w:rPr>
          <w:rFonts w:ascii="宋体" w:hAnsi="宋体"/>
          <w:bCs/>
          <w:color w:val="auto"/>
          <w:sz w:val="24"/>
          <w:szCs w:val="28"/>
          <w:highlight w:val="none"/>
        </w:rPr>
        <w:t>或</w:t>
      </w:r>
      <w:r>
        <w:rPr>
          <w:rFonts w:hint="eastAsia" w:ascii="宋体" w:hAnsi="宋体"/>
          <w:bCs/>
          <w:color w:val="auto"/>
          <w:sz w:val="24"/>
          <w:szCs w:val="28"/>
          <w:highlight w:val="none"/>
        </w:rPr>
        <w:t>材料，</w:t>
      </w:r>
      <w:r>
        <w:rPr>
          <w:rFonts w:ascii="宋体" w:hAnsi="宋体"/>
          <w:bCs/>
          <w:color w:val="auto"/>
          <w:sz w:val="24"/>
          <w:szCs w:val="28"/>
          <w:highlight w:val="none"/>
        </w:rPr>
        <w:t>加盖投标人的单位公章后在此项下提交。</w:t>
      </w:r>
      <w:r>
        <w:rPr>
          <w:rFonts w:hint="eastAsia" w:ascii="宋体" w:hAnsi="宋体"/>
          <w:bCs/>
          <w:color w:val="auto"/>
          <w:sz w:val="24"/>
          <w:szCs w:val="28"/>
          <w:highlight w:val="none"/>
        </w:rPr>
        <w:t>）</w:t>
      </w:r>
    </w:p>
    <w:p>
      <w:pPr>
        <w:widowControl/>
        <w:jc w:val="left"/>
        <w:rPr>
          <w:rFonts w:ascii="宋体" w:hAnsi="宋体" w:eastAsia="宋体" w:cs="宋体"/>
          <w:color w:val="auto"/>
          <w:sz w:val="28"/>
          <w:szCs w:val="28"/>
          <w:highlight w:val="none"/>
          <w:lang w:val="zh-CN"/>
        </w:rPr>
      </w:pPr>
    </w:p>
    <w:p>
      <w:pPr>
        <w:widowControl/>
        <w:jc w:val="left"/>
        <w:rPr>
          <w:rFonts w:ascii="宋体" w:hAnsi="宋体" w:eastAsia="宋体" w:cs="宋体"/>
          <w:color w:val="auto"/>
          <w:sz w:val="28"/>
          <w:szCs w:val="28"/>
          <w:highlight w:val="none"/>
          <w:lang w:val="zh-CN"/>
        </w:rPr>
      </w:pPr>
    </w:p>
    <w:p>
      <w:pPr>
        <w:widowControl/>
        <w:jc w:val="left"/>
        <w:rPr>
          <w:rFonts w:ascii="宋体" w:hAnsi="宋体" w:eastAsia="宋体" w:cs="宋体"/>
          <w:color w:val="auto"/>
          <w:sz w:val="28"/>
          <w:szCs w:val="28"/>
          <w:highlight w:val="none"/>
          <w:lang w:val="zh-CN"/>
        </w:rPr>
      </w:pPr>
    </w:p>
    <w:p>
      <w:pPr>
        <w:widowControl/>
        <w:jc w:val="left"/>
        <w:rPr>
          <w:rFonts w:ascii="宋体" w:hAnsi="宋体" w:eastAsia="宋体" w:cs="宋体"/>
          <w:color w:val="auto"/>
          <w:sz w:val="28"/>
          <w:szCs w:val="28"/>
          <w:highlight w:val="none"/>
          <w:lang w:val="zh-CN"/>
        </w:rPr>
      </w:pPr>
      <w:r>
        <w:rPr>
          <w:rFonts w:ascii="宋体" w:hAnsi="宋体" w:eastAsia="宋体" w:cs="宋体"/>
          <w:color w:val="auto"/>
          <w:sz w:val="28"/>
          <w:szCs w:val="28"/>
          <w:highlight w:val="none"/>
          <w:lang w:val="zh-CN"/>
        </w:rPr>
        <w:br w:type="page"/>
      </w:r>
    </w:p>
    <w:p>
      <w:pPr>
        <w:pStyle w:val="34"/>
        <w:numPr>
          <w:ilvl w:val="0"/>
          <w:numId w:val="5"/>
        </w:numPr>
        <w:autoSpaceDE w:val="0"/>
        <w:autoSpaceDN w:val="0"/>
        <w:adjustRightInd w:val="0"/>
        <w:spacing w:line="360" w:lineRule="auto"/>
        <w:ind w:firstLineChars="0"/>
        <w:jc w:val="center"/>
        <w:rPr>
          <w:rFonts w:cs="黑体" w:asciiTheme="minorEastAsia" w:hAnsiTheme="minorEastAsia"/>
          <w:b/>
          <w:bCs/>
          <w:color w:val="auto"/>
          <w:sz w:val="32"/>
          <w:szCs w:val="32"/>
          <w:highlight w:val="none"/>
          <w:lang w:val="zh-CN"/>
        </w:rPr>
      </w:pPr>
      <w:r>
        <w:rPr>
          <w:rFonts w:hint="eastAsia" w:cs="黑体" w:asciiTheme="minorEastAsia" w:hAnsiTheme="minorEastAsia"/>
          <w:b/>
          <w:bCs/>
          <w:color w:val="auto"/>
          <w:sz w:val="32"/>
          <w:szCs w:val="32"/>
          <w:highlight w:val="none"/>
          <w:lang w:val="zh-CN"/>
        </w:rPr>
        <w:t>符合性审查证明材料</w:t>
      </w:r>
    </w:p>
    <w:p>
      <w:pPr>
        <w:rPr>
          <w:rFonts w:ascii="宋体" w:hAnsi="宋体" w:eastAsia="宋体" w:cs="宋体"/>
          <w:color w:val="auto"/>
          <w:sz w:val="24"/>
          <w:szCs w:val="24"/>
          <w:highlight w:val="none"/>
        </w:rPr>
      </w:pPr>
    </w:p>
    <w:p>
      <w:pPr>
        <w:pStyle w:val="12"/>
        <w:spacing w:line="360" w:lineRule="auto"/>
        <w:jc w:val="center"/>
        <w:rPr>
          <w:rFonts w:ascii="宋体" w:hAnsi="宋体" w:cs="宋体"/>
          <w:snapToGrid w:val="0"/>
          <w:color w:val="auto"/>
          <w:kern w:val="0"/>
          <w:sz w:val="32"/>
          <w:szCs w:val="32"/>
          <w:highlight w:val="none"/>
        </w:rPr>
      </w:pPr>
      <w:r>
        <w:rPr>
          <w:rFonts w:hint="eastAsia" w:ascii="宋体" w:hAnsi="宋体" w:cs="宋体"/>
          <w:snapToGrid w:val="0"/>
          <w:color w:val="auto"/>
          <w:kern w:val="0"/>
          <w:sz w:val="32"/>
          <w:szCs w:val="32"/>
          <w:highlight w:val="none"/>
        </w:rPr>
        <w:t>3.1投 标 函</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致：（采购人）  </w:t>
      </w:r>
    </w:p>
    <w:p>
      <w:pPr>
        <w:pStyle w:val="12"/>
        <w:spacing w:line="360" w:lineRule="auto"/>
        <w:ind w:firstLine="235" w:firstLineChars="98"/>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我们收到了（项目编号）的招标文件，经详细研究，我们决定参加该项目的投标，我们郑重声明以下诸点并负法律责任。</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1、愿按照招标文件中的条款和要求提供 （项目名称）  的所有采购内容 ，投标总报价为 </w:t>
      </w:r>
      <w:r>
        <w:rPr>
          <w:rFonts w:hint="eastAsia" w:ascii="宋体" w:hAnsi="宋体" w:cs="宋体"/>
          <w:snapToGrid w:val="0"/>
          <w:color w:val="auto"/>
          <w:kern w:val="0"/>
          <w:szCs w:val="24"/>
          <w:highlight w:val="none"/>
          <w:u w:val="single"/>
        </w:rPr>
        <w:t xml:space="preserve"> 大写    小写  </w:t>
      </w:r>
      <w:r>
        <w:rPr>
          <w:rFonts w:hint="eastAsia" w:ascii="宋体" w:hAnsi="宋体" w:cs="宋体"/>
          <w:snapToGrid w:val="0"/>
          <w:color w:val="auto"/>
          <w:kern w:val="0"/>
          <w:szCs w:val="24"/>
          <w:highlight w:val="none"/>
        </w:rPr>
        <w:t>元人民币。详见“开标一览表”。</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2、如果我们的投标文件被接受，我们将履行招标文件中规定的各项要求。</w:t>
      </w:r>
    </w:p>
    <w:p>
      <w:pPr>
        <w:pStyle w:val="12"/>
        <w:spacing w:line="360" w:lineRule="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3、我们同意按招标文件中的规定，本投标文件的有效期为投标截止之日起天。</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如果成交，有效期延长至合同终止日止。</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4、我们愿提供招标文件中要求的所有文件资料。</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5、我们保证在收到中标通知书后，按招标文件的规定提交履约保证金。</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6、投标人同意提供按照贵方可能要求的与其投标有关的一切数据或资料，完全理解贵方不一定接受最低价的投标或收到的任何投标。</w:t>
      </w:r>
    </w:p>
    <w:p>
      <w:pPr>
        <w:pStyle w:val="12"/>
        <w:spacing w:line="360" w:lineRule="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7、如果所提供的货物及服务没有达到采购方所提要求，由投标方负责按实际损失赔偿。</w:t>
      </w:r>
    </w:p>
    <w:p>
      <w:pPr>
        <w:pStyle w:val="12"/>
        <w:spacing w:line="360" w:lineRule="auto"/>
        <w:jc w:val="left"/>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8、我们已经详细审阅了全部招标文件，包括修改、补充的文件（如果有的话）和参考资料及有关附件，我们完全理解并同意放弃对这方面有不明及误解的权利。</w:t>
      </w:r>
    </w:p>
    <w:p>
      <w:pPr>
        <w:pStyle w:val="12"/>
        <w:spacing w:line="360" w:lineRule="auto"/>
        <w:jc w:val="center"/>
        <w:rPr>
          <w:rFonts w:ascii="宋体" w:hAnsi="宋体" w:cs="宋体"/>
          <w:snapToGrid w:val="0"/>
          <w:color w:val="auto"/>
          <w:kern w:val="0"/>
          <w:szCs w:val="24"/>
          <w:highlight w:val="none"/>
        </w:rPr>
      </w:pPr>
    </w:p>
    <w:p>
      <w:pPr>
        <w:pStyle w:val="12"/>
        <w:spacing w:line="360" w:lineRule="auto"/>
        <w:jc w:val="center"/>
        <w:rPr>
          <w:rFonts w:ascii="宋体" w:hAnsi="宋体" w:cs="宋体"/>
          <w:snapToGrid w:val="0"/>
          <w:color w:val="auto"/>
          <w:kern w:val="0"/>
          <w:szCs w:val="24"/>
          <w:highlight w:val="none"/>
        </w:rPr>
      </w:pPr>
    </w:p>
    <w:p>
      <w:pPr>
        <w:pStyle w:val="12"/>
        <w:spacing w:line="360" w:lineRule="auto"/>
        <w:jc w:val="center"/>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投标人：（盖章）</w:t>
      </w:r>
    </w:p>
    <w:p>
      <w:pPr>
        <w:pStyle w:val="12"/>
        <w:spacing w:line="360" w:lineRule="auto"/>
        <w:jc w:val="center"/>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法定代表人或授权委托人：（签字或盖章）                                                               </w:t>
      </w:r>
    </w:p>
    <w:p>
      <w:pPr>
        <w:pStyle w:val="12"/>
        <w:spacing w:line="360" w:lineRule="auto"/>
        <w:jc w:val="center"/>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地     址：            </w:t>
      </w:r>
    </w:p>
    <w:p>
      <w:pPr>
        <w:pStyle w:val="12"/>
        <w:spacing w:line="360" w:lineRule="auto"/>
        <w:jc w:val="center"/>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电     话：                    </w:t>
      </w:r>
    </w:p>
    <w:p>
      <w:pPr>
        <w:pStyle w:val="12"/>
        <w:spacing w:line="360" w:lineRule="auto"/>
        <w:jc w:val="center"/>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传     真：</w:t>
      </w:r>
    </w:p>
    <w:p>
      <w:pPr>
        <w:pStyle w:val="12"/>
        <w:spacing w:line="360" w:lineRule="auto"/>
        <w:jc w:val="center"/>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 xml:space="preserve">               邮     编：</w:t>
      </w:r>
    </w:p>
    <w:p>
      <w:pPr>
        <w:pStyle w:val="12"/>
        <w:spacing w:line="360" w:lineRule="auto"/>
        <w:ind w:firstLine="5160" w:firstLineChars="2150"/>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年    月    日</w:t>
      </w:r>
    </w:p>
    <w:p>
      <w:pPr>
        <w:widowControl/>
        <w:spacing w:before="100" w:beforeAutospacing="1" w:after="100" w:afterAutospacing="1"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3.2投标承诺函</w:t>
      </w:r>
    </w:p>
    <w:p>
      <w:pPr>
        <w:autoSpaceDE w:val="0"/>
        <w:autoSpaceDN w:val="0"/>
        <w:snapToGrid w:val="0"/>
        <w:spacing w:line="360" w:lineRule="auto"/>
        <w:jc w:val="center"/>
        <w:rPr>
          <w:rFonts w:ascii="宋体" w:hAnsi="宋体"/>
          <w:b/>
          <w:bCs/>
          <w:color w:val="auto"/>
          <w:sz w:val="24"/>
          <w:highlight w:val="none"/>
        </w:rPr>
      </w:pPr>
    </w:p>
    <w:p>
      <w:pPr>
        <w:spacing w:before="156" w:beforeLines="50" w:after="156" w:afterLines="50" w:line="360" w:lineRule="auto"/>
        <w:contextualSpacing/>
        <w:rPr>
          <w:rFonts w:ascii="宋体" w:hAnsi="宋体" w:cs="宋体"/>
          <w:color w:val="auto"/>
          <w:sz w:val="24"/>
          <w:highlight w:val="none"/>
          <w:u w:val="single"/>
          <w:lang w:val="zh-CN"/>
        </w:rPr>
      </w:pPr>
      <w:r>
        <w:rPr>
          <w:rFonts w:hint="eastAsia" w:ascii="宋体" w:hAnsi="宋体" w:cs="宋体"/>
          <w:color w:val="auto"/>
          <w:sz w:val="24"/>
          <w:highlight w:val="none"/>
          <w:lang w:val="zh-CN"/>
        </w:rPr>
        <w:t>致采购人</w:t>
      </w:r>
      <w:r>
        <w:rPr>
          <w:rFonts w:ascii="宋体" w:hAnsi="宋体" w:cs="宋体"/>
          <w:color w:val="auto"/>
          <w:sz w:val="24"/>
          <w:highlight w:val="none"/>
          <w:lang w:val="zh-CN"/>
        </w:rPr>
        <w:t>：</w:t>
      </w:r>
    </w:p>
    <w:p>
      <w:pPr>
        <w:spacing w:before="156" w:beforeLines="50" w:after="156" w:afterLines="50" w:line="360" w:lineRule="auto"/>
        <w:ind w:firstLine="480" w:firstLineChars="200"/>
        <w:contextualSpacing/>
        <w:jc w:val="left"/>
        <w:rPr>
          <w:rFonts w:ascii="宋体" w:hAnsi="宋体" w:cs="宋体"/>
          <w:color w:val="auto"/>
          <w:sz w:val="24"/>
          <w:highlight w:val="none"/>
          <w:lang w:val="zh-CN"/>
        </w:rPr>
      </w:pPr>
      <w:r>
        <w:rPr>
          <w:rFonts w:ascii="宋体" w:hAnsi="宋体" w:cs="宋体"/>
          <w:color w:val="auto"/>
          <w:sz w:val="24"/>
          <w:highlight w:val="none"/>
          <w:lang w:val="zh-CN"/>
        </w:rPr>
        <w:t>经研究，我</w:t>
      </w:r>
      <w:r>
        <w:rPr>
          <w:rFonts w:hint="eastAsia" w:ascii="宋体" w:hAnsi="宋体" w:cs="宋体"/>
          <w:color w:val="auto"/>
          <w:sz w:val="24"/>
          <w:highlight w:val="none"/>
          <w:lang w:val="zh-CN"/>
        </w:rPr>
        <w:t>方自愿参与贵方</w:t>
      </w:r>
      <w:r>
        <w:rPr>
          <w:rFonts w:ascii="宋体" w:hAnsi="宋体" w:cs="宋体"/>
          <w:color w:val="auto"/>
          <w:sz w:val="24"/>
          <w:highlight w:val="none"/>
          <w:lang w:val="zh-CN"/>
        </w:rPr>
        <w:t>年月日</w:t>
      </w:r>
      <w:r>
        <w:rPr>
          <w:rFonts w:hint="eastAsia" w:ascii="宋体" w:hAnsi="宋体" w:cs="宋体"/>
          <w:color w:val="auto"/>
          <w:sz w:val="24"/>
          <w:highlight w:val="none"/>
          <w:lang w:val="zh-CN"/>
        </w:rPr>
        <w:t>（招标编号、项目名称）的</w:t>
      </w:r>
      <w:r>
        <w:rPr>
          <w:rFonts w:ascii="宋体" w:hAnsi="宋体" w:cs="宋体"/>
          <w:color w:val="auto"/>
          <w:sz w:val="24"/>
          <w:highlight w:val="none"/>
          <w:lang w:val="zh-CN"/>
        </w:rPr>
        <w:t>投标，</w:t>
      </w:r>
      <w:r>
        <w:rPr>
          <w:rFonts w:hint="eastAsia" w:ascii="宋体" w:hAnsi="宋体" w:cs="宋体"/>
          <w:color w:val="auto"/>
          <w:sz w:val="24"/>
          <w:highlight w:val="none"/>
          <w:lang w:val="zh-CN"/>
        </w:rPr>
        <w:t>将</w:t>
      </w:r>
      <w:r>
        <w:rPr>
          <w:rFonts w:ascii="宋体" w:hAnsi="宋体" w:cs="宋体"/>
          <w:color w:val="auto"/>
          <w:sz w:val="24"/>
          <w:highlight w:val="none"/>
          <w:lang w:val="zh-CN"/>
        </w:rPr>
        <w:t>严格</w:t>
      </w:r>
      <w:r>
        <w:rPr>
          <w:rFonts w:hint="eastAsia" w:ascii="宋体" w:hAnsi="宋体" w:cs="宋体"/>
          <w:color w:val="auto"/>
          <w:sz w:val="24"/>
          <w:highlight w:val="none"/>
          <w:lang w:val="zh-CN"/>
        </w:rPr>
        <w:t>遵守</w:t>
      </w:r>
      <w:r>
        <w:rPr>
          <w:rFonts w:ascii="宋体" w:hAnsi="宋体" w:cs="宋体"/>
          <w:color w:val="auto"/>
          <w:sz w:val="24"/>
          <w:highlight w:val="none"/>
          <w:lang w:val="zh-CN"/>
        </w:rPr>
        <w:t>《</w:t>
      </w:r>
      <w:r>
        <w:rPr>
          <w:rFonts w:hint="eastAsia" w:ascii="宋体" w:hAnsi="宋体" w:cs="宋体"/>
          <w:color w:val="auto"/>
          <w:sz w:val="24"/>
          <w:highlight w:val="none"/>
          <w:lang w:val="zh-CN"/>
        </w:rPr>
        <w:t>中华人民共和国政府采购</w:t>
      </w:r>
      <w:r>
        <w:rPr>
          <w:rFonts w:ascii="宋体" w:hAnsi="宋体" w:cs="宋体"/>
          <w:color w:val="auto"/>
          <w:sz w:val="24"/>
          <w:highlight w:val="none"/>
          <w:lang w:val="zh-CN"/>
        </w:rPr>
        <w:t>法》等</w:t>
      </w:r>
      <w:r>
        <w:rPr>
          <w:rFonts w:hint="eastAsia" w:ascii="宋体" w:hAnsi="宋体" w:cs="宋体"/>
          <w:color w:val="auto"/>
          <w:sz w:val="24"/>
          <w:highlight w:val="none"/>
          <w:lang w:val="zh-CN"/>
        </w:rPr>
        <w:t>相关</w:t>
      </w:r>
      <w:r>
        <w:rPr>
          <w:rFonts w:ascii="宋体" w:hAnsi="宋体" w:cs="宋体"/>
          <w:color w:val="auto"/>
          <w:sz w:val="24"/>
          <w:highlight w:val="none"/>
          <w:lang w:val="zh-CN"/>
        </w:rPr>
        <w:t>法律法规</w:t>
      </w:r>
      <w:r>
        <w:rPr>
          <w:rFonts w:hint="eastAsia" w:ascii="宋体" w:hAnsi="宋体" w:cs="宋体"/>
          <w:color w:val="auto"/>
          <w:sz w:val="24"/>
          <w:highlight w:val="none"/>
          <w:lang w:val="zh-CN"/>
        </w:rPr>
        <w:t>规定</w:t>
      </w:r>
      <w:r>
        <w:rPr>
          <w:rFonts w:ascii="宋体" w:hAnsi="宋体" w:cs="宋体"/>
          <w:color w:val="auto"/>
          <w:sz w:val="24"/>
          <w:highlight w:val="none"/>
          <w:lang w:val="zh-CN"/>
        </w:rPr>
        <w:t>，并无条件地遵守本次采购活动各项规定。我们郑重承诺：</w:t>
      </w:r>
      <w:r>
        <w:rPr>
          <w:rFonts w:hint="eastAsia" w:ascii="宋体" w:hAnsi="宋体" w:cs="宋体"/>
          <w:color w:val="auto"/>
          <w:sz w:val="24"/>
          <w:highlight w:val="none"/>
          <w:lang w:val="zh-CN"/>
        </w:rPr>
        <w:t>我方</w:t>
      </w:r>
      <w:r>
        <w:rPr>
          <w:rFonts w:ascii="宋体" w:hAnsi="宋体" w:cs="宋体"/>
          <w:color w:val="auto"/>
          <w:sz w:val="24"/>
          <w:highlight w:val="none"/>
          <w:lang w:val="zh-CN"/>
        </w:rPr>
        <w:t>如果在本次</w:t>
      </w:r>
      <w:r>
        <w:rPr>
          <w:rFonts w:hint="eastAsia" w:ascii="宋体" w:hAnsi="宋体" w:cs="宋体"/>
          <w:color w:val="auto"/>
          <w:sz w:val="24"/>
          <w:highlight w:val="none"/>
          <w:lang w:val="zh-CN"/>
        </w:rPr>
        <w:t>投标</w:t>
      </w:r>
      <w:r>
        <w:rPr>
          <w:rFonts w:ascii="宋体" w:hAnsi="宋体" w:cs="宋体"/>
          <w:color w:val="auto"/>
          <w:sz w:val="24"/>
          <w:highlight w:val="none"/>
          <w:lang w:val="zh-CN"/>
        </w:rPr>
        <w:t>活动中有</w:t>
      </w:r>
      <w:r>
        <w:rPr>
          <w:rFonts w:hint="eastAsia" w:ascii="宋体" w:hAnsi="宋体" w:cs="宋体"/>
          <w:color w:val="auto"/>
          <w:sz w:val="24"/>
          <w:highlight w:val="none"/>
          <w:lang w:val="zh-CN"/>
        </w:rPr>
        <w:t>下列</w:t>
      </w:r>
      <w:r>
        <w:rPr>
          <w:rFonts w:ascii="宋体" w:hAnsi="宋体" w:cs="宋体"/>
          <w:color w:val="auto"/>
          <w:sz w:val="24"/>
          <w:highlight w:val="none"/>
          <w:lang w:val="zh-CN"/>
        </w:rPr>
        <w:t>情形</w:t>
      </w:r>
      <w:r>
        <w:rPr>
          <w:rFonts w:hint="eastAsia" w:ascii="宋体" w:hAnsi="宋体" w:cs="宋体"/>
          <w:color w:val="auto"/>
          <w:sz w:val="24"/>
          <w:highlight w:val="none"/>
          <w:lang w:val="zh-CN"/>
        </w:rPr>
        <w:t>之一</w:t>
      </w:r>
      <w:r>
        <w:rPr>
          <w:rFonts w:ascii="宋体" w:hAnsi="宋体" w:cs="宋体"/>
          <w:color w:val="auto"/>
          <w:sz w:val="24"/>
          <w:highlight w:val="none"/>
          <w:lang w:val="zh-CN"/>
        </w:rPr>
        <w:t>的，愿接受政府采购</w:t>
      </w:r>
      <w:r>
        <w:rPr>
          <w:rFonts w:hint="eastAsia" w:ascii="宋体" w:hAnsi="宋体" w:cs="宋体"/>
          <w:color w:val="auto"/>
          <w:sz w:val="24"/>
          <w:highlight w:val="none"/>
          <w:lang w:val="zh-CN"/>
        </w:rPr>
        <w:t>监督管理</w:t>
      </w:r>
      <w:r>
        <w:rPr>
          <w:rFonts w:ascii="宋体" w:hAnsi="宋体" w:cs="宋体"/>
          <w:color w:val="auto"/>
          <w:sz w:val="24"/>
          <w:highlight w:val="none"/>
          <w:lang w:val="zh-CN"/>
        </w:rPr>
        <w:t>部门给予相关处罚并</w:t>
      </w:r>
      <w:r>
        <w:rPr>
          <w:rFonts w:hint="eastAsia" w:ascii="宋体" w:hAnsi="宋体" w:cs="宋体"/>
          <w:color w:val="auto"/>
          <w:sz w:val="24"/>
          <w:highlight w:val="none"/>
          <w:lang w:val="zh-CN"/>
        </w:rPr>
        <w:t>承诺依法</w:t>
      </w:r>
      <w:r>
        <w:rPr>
          <w:rFonts w:ascii="宋体" w:hAnsi="宋体" w:cs="宋体"/>
          <w:color w:val="auto"/>
          <w:sz w:val="24"/>
          <w:highlight w:val="none"/>
          <w:lang w:val="zh-CN"/>
        </w:rPr>
        <w:t>承担</w:t>
      </w:r>
      <w:r>
        <w:rPr>
          <w:rFonts w:hint="eastAsia" w:ascii="宋体" w:hAnsi="宋体" w:cs="宋体"/>
          <w:color w:val="auto"/>
          <w:sz w:val="24"/>
          <w:highlight w:val="none"/>
          <w:lang w:val="zh-CN"/>
        </w:rPr>
        <w:t>相关的经济赔偿责任和</w:t>
      </w:r>
      <w:r>
        <w:rPr>
          <w:rFonts w:ascii="宋体" w:hAnsi="宋体" w:cs="宋体"/>
          <w:color w:val="auto"/>
          <w:sz w:val="24"/>
          <w:highlight w:val="none"/>
          <w:lang w:val="zh-CN"/>
        </w:rPr>
        <w:t>法律责任。</w:t>
      </w:r>
    </w:p>
    <w:p>
      <w:pPr>
        <w:spacing w:before="156" w:beforeLines="50" w:after="156" w:afterLines="50" w:line="360" w:lineRule="auto"/>
        <w:ind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一、在投标有效期内撤销投标文件；</w:t>
      </w:r>
    </w:p>
    <w:p>
      <w:pPr>
        <w:spacing w:before="156" w:beforeLines="50" w:after="156" w:afterLines="50" w:line="360" w:lineRule="auto"/>
        <w:ind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二、在投标文件中提供虚假材料；</w:t>
      </w:r>
    </w:p>
    <w:p>
      <w:pPr>
        <w:spacing w:before="156" w:beforeLines="50" w:after="156" w:afterLines="50" w:line="360" w:lineRule="auto"/>
        <w:ind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三、除因不可抗力或招标文件认可的情形以外，中标后不与采购人签订合同；</w:t>
      </w:r>
    </w:p>
    <w:p>
      <w:pPr>
        <w:spacing w:before="156" w:beforeLines="50" w:after="156" w:afterLines="50" w:line="360" w:lineRule="auto"/>
        <w:ind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四、与采购人、其他投标人或者采购代理机构恶意串通；</w:t>
      </w:r>
    </w:p>
    <w:p>
      <w:pPr>
        <w:spacing w:before="156" w:beforeLines="50" w:after="156" w:afterLines="50" w:line="360" w:lineRule="auto"/>
        <w:ind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五、法律法规及本招标文件规定的其他严重违法行为。</w:t>
      </w:r>
    </w:p>
    <w:p>
      <w:pPr>
        <w:rPr>
          <w:color w:val="auto"/>
          <w:sz w:val="24"/>
          <w:highlight w:val="none"/>
          <w:u w:val="single"/>
        </w:rPr>
      </w:pPr>
    </w:p>
    <w:p>
      <w:pPr>
        <w:rPr>
          <w:color w:val="auto"/>
          <w:sz w:val="24"/>
          <w:highlight w:val="none"/>
          <w:u w:val="single"/>
        </w:rPr>
      </w:pPr>
    </w:p>
    <w:p>
      <w:pPr>
        <w:spacing w:line="480" w:lineRule="auto"/>
        <w:ind w:firstLine="4980" w:firstLineChars="2075"/>
        <w:rPr>
          <w:rFonts w:ascii="宋体" w:hAnsi="宋体" w:cs="Arial"/>
          <w:color w:val="auto"/>
          <w:sz w:val="24"/>
          <w:highlight w:val="none"/>
        </w:rPr>
      </w:pPr>
      <w:r>
        <w:rPr>
          <w:rFonts w:hint="eastAsia" w:ascii="宋体" w:hAnsi="宋体" w:cs="Arial"/>
          <w:color w:val="auto"/>
          <w:sz w:val="24"/>
          <w:highlight w:val="none"/>
        </w:rPr>
        <w:t>投标人名称:（盖章）　　　　　　　　　</w:t>
      </w:r>
    </w:p>
    <w:p>
      <w:pPr>
        <w:widowControl/>
        <w:ind w:firstLine="4920" w:firstLineChars="2050"/>
        <w:jc w:val="left"/>
        <w:rPr>
          <w:rFonts w:ascii="宋体" w:hAnsi="宋体" w:cs="Arial"/>
          <w:color w:val="auto"/>
          <w:sz w:val="24"/>
          <w:highlight w:val="none"/>
        </w:rPr>
      </w:pPr>
      <w:r>
        <w:rPr>
          <w:rFonts w:hint="eastAsia" w:ascii="宋体" w:hAnsi="宋体" w:cs="Arial"/>
          <w:color w:val="auto"/>
          <w:sz w:val="24"/>
          <w:highlight w:val="none"/>
        </w:rPr>
        <w:t>日　  期：    年   月    日</w:t>
      </w:r>
    </w:p>
    <w:p>
      <w:pPr>
        <w:widowControl/>
        <w:ind w:firstLine="1554" w:firstLineChars="645"/>
        <w:jc w:val="left"/>
        <w:rPr>
          <w:rFonts w:ascii="宋体" w:hAnsi="宋体"/>
          <w:b/>
          <w:bCs/>
          <w:color w:val="auto"/>
          <w:sz w:val="24"/>
          <w:highlight w:val="none"/>
        </w:rPr>
      </w:pPr>
    </w:p>
    <w:p>
      <w:pPr>
        <w:widowControl/>
        <w:ind w:firstLine="2072" w:firstLineChars="645"/>
        <w:jc w:val="left"/>
        <w:rPr>
          <w:rFonts w:ascii="宋体" w:hAnsi="宋体"/>
          <w:b/>
          <w:bCs/>
          <w:color w:val="auto"/>
          <w:sz w:val="32"/>
          <w:szCs w:val="32"/>
          <w:highlight w:val="none"/>
        </w:rPr>
      </w:pPr>
    </w:p>
    <w:p>
      <w:pPr>
        <w:widowControl/>
        <w:spacing w:before="100" w:beforeAutospacing="1" w:after="100" w:afterAutospacing="1" w:line="360" w:lineRule="auto"/>
        <w:jc w:val="center"/>
        <w:rPr>
          <w:rFonts w:ascii="宋体" w:hAnsi="宋体"/>
          <w:b/>
          <w:bCs/>
          <w:color w:val="auto"/>
          <w:sz w:val="32"/>
          <w:szCs w:val="32"/>
          <w:highlight w:val="none"/>
        </w:rPr>
      </w:pPr>
    </w:p>
    <w:p>
      <w:pPr>
        <w:autoSpaceDE w:val="0"/>
        <w:autoSpaceDN w:val="0"/>
        <w:adjustRightInd w:val="0"/>
        <w:spacing w:line="360" w:lineRule="auto"/>
        <w:rPr>
          <w:rFonts w:ascii="宋体" w:hAnsi="宋体" w:eastAsia="宋体" w:cs="宋体"/>
          <w:color w:val="auto"/>
          <w:sz w:val="28"/>
          <w:szCs w:val="28"/>
          <w:highlight w:val="none"/>
          <w:lang w:val="zh-CN"/>
        </w:rPr>
      </w:pPr>
    </w:p>
    <w:p>
      <w:pPr>
        <w:autoSpaceDE w:val="0"/>
        <w:autoSpaceDN w:val="0"/>
        <w:adjustRightInd w:val="0"/>
        <w:spacing w:line="360" w:lineRule="auto"/>
        <w:jc w:val="center"/>
        <w:outlineLvl w:val="0"/>
        <w:rPr>
          <w:rFonts w:hAnsi="宋体" w:eastAsia="宋体"/>
          <w:b/>
          <w:snapToGrid w:val="0"/>
          <w:color w:val="auto"/>
          <w:kern w:val="0"/>
          <w:sz w:val="32"/>
          <w:szCs w:val="32"/>
          <w:highlight w:val="none"/>
        </w:rPr>
      </w:pPr>
    </w:p>
    <w:p>
      <w:pPr>
        <w:autoSpaceDE w:val="0"/>
        <w:autoSpaceDN w:val="0"/>
        <w:adjustRightInd w:val="0"/>
        <w:spacing w:line="360" w:lineRule="auto"/>
        <w:jc w:val="center"/>
        <w:outlineLvl w:val="0"/>
        <w:rPr>
          <w:rFonts w:hAnsi="宋体" w:eastAsia="宋体"/>
          <w:b/>
          <w:snapToGrid w:val="0"/>
          <w:color w:val="auto"/>
          <w:kern w:val="0"/>
          <w:sz w:val="32"/>
          <w:szCs w:val="32"/>
          <w:highlight w:val="none"/>
        </w:rPr>
      </w:pPr>
    </w:p>
    <w:p>
      <w:pPr>
        <w:autoSpaceDE w:val="0"/>
        <w:autoSpaceDN w:val="0"/>
        <w:adjustRightInd w:val="0"/>
        <w:spacing w:line="360" w:lineRule="auto"/>
        <w:jc w:val="center"/>
        <w:outlineLvl w:val="0"/>
        <w:rPr>
          <w:rFonts w:hAnsi="宋体" w:eastAsia="宋体"/>
          <w:b/>
          <w:snapToGrid w:val="0"/>
          <w:color w:val="auto"/>
          <w:kern w:val="0"/>
          <w:sz w:val="32"/>
          <w:szCs w:val="32"/>
          <w:highlight w:val="none"/>
        </w:rPr>
      </w:pPr>
    </w:p>
    <w:p>
      <w:pPr>
        <w:widowControl/>
        <w:jc w:val="left"/>
        <w:rPr>
          <w:rFonts w:hAnsi="宋体" w:eastAsia="宋体"/>
          <w:b/>
          <w:snapToGrid w:val="0"/>
          <w:color w:val="auto"/>
          <w:kern w:val="0"/>
          <w:sz w:val="32"/>
          <w:szCs w:val="32"/>
          <w:highlight w:val="none"/>
        </w:rPr>
      </w:pPr>
      <w:r>
        <w:rPr>
          <w:rFonts w:hAnsi="宋体" w:eastAsia="宋体"/>
          <w:b/>
          <w:snapToGrid w:val="0"/>
          <w:color w:val="auto"/>
          <w:kern w:val="0"/>
          <w:sz w:val="32"/>
          <w:szCs w:val="32"/>
          <w:highlight w:val="none"/>
        </w:rPr>
        <w:br w:type="page"/>
      </w:r>
    </w:p>
    <w:p>
      <w:pPr>
        <w:autoSpaceDE w:val="0"/>
        <w:autoSpaceDN w:val="0"/>
        <w:adjustRightInd w:val="0"/>
        <w:spacing w:line="360" w:lineRule="auto"/>
        <w:jc w:val="center"/>
        <w:outlineLvl w:val="0"/>
        <w:rPr>
          <w:rFonts w:hAnsi="宋体" w:eastAsia="宋体"/>
          <w:b/>
          <w:snapToGrid w:val="0"/>
          <w:color w:val="auto"/>
          <w:kern w:val="0"/>
          <w:sz w:val="32"/>
          <w:szCs w:val="32"/>
          <w:highlight w:val="none"/>
        </w:rPr>
      </w:pPr>
      <w:r>
        <w:rPr>
          <w:rFonts w:hint="eastAsia" w:hAnsi="宋体" w:eastAsia="宋体"/>
          <w:b/>
          <w:snapToGrid w:val="0"/>
          <w:color w:val="auto"/>
          <w:kern w:val="0"/>
          <w:sz w:val="32"/>
          <w:szCs w:val="32"/>
          <w:highlight w:val="none"/>
        </w:rPr>
        <w:t>3.3投标分项报价一览表</w:t>
      </w:r>
    </w:p>
    <w:p>
      <w:pPr>
        <w:autoSpaceDE w:val="0"/>
        <w:autoSpaceDN w:val="0"/>
        <w:adjustRightInd w:val="0"/>
        <w:spacing w:line="360" w:lineRule="auto"/>
        <w:jc w:val="center"/>
        <w:outlineLvl w:val="0"/>
        <w:rPr>
          <w:rFonts w:hAnsi="宋体"/>
          <w:bCs/>
          <w:snapToGrid w:val="0"/>
          <w:color w:val="auto"/>
          <w:kern w:val="0"/>
          <w:sz w:val="24"/>
          <w:szCs w:val="24"/>
          <w:highlight w:val="none"/>
        </w:rPr>
      </w:pPr>
      <w:r>
        <w:rPr>
          <w:rFonts w:hint="eastAsia" w:hAnsi="宋体"/>
          <w:bCs/>
          <w:snapToGrid w:val="0"/>
          <w:color w:val="auto"/>
          <w:kern w:val="0"/>
          <w:sz w:val="24"/>
          <w:szCs w:val="24"/>
          <w:highlight w:val="none"/>
        </w:rPr>
        <w:t>（投标人根据本项目具体情况自行修改投标分项报价一览表格式）</w:t>
      </w:r>
    </w:p>
    <w:p>
      <w:pPr>
        <w:rPr>
          <w:rFonts w:ascii="宋体" w:hAnsi="宋体" w:eastAsia="宋体" w:cs="宋体"/>
          <w:color w:val="auto"/>
          <w:sz w:val="24"/>
          <w:szCs w:val="24"/>
          <w:highlight w:val="none"/>
        </w:rPr>
      </w:pPr>
    </w:p>
    <w:tbl>
      <w:tblPr>
        <w:tblStyle w:val="20"/>
        <w:tblW w:w="9328" w:type="dxa"/>
        <w:tblInd w:w="0" w:type="dxa"/>
        <w:tblLayout w:type="fixed"/>
        <w:tblCellMar>
          <w:top w:w="0" w:type="dxa"/>
          <w:left w:w="108" w:type="dxa"/>
          <w:bottom w:w="0" w:type="dxa"/>
          <w:right w:w="108" w:type="dxa"/>
        </w:tblCellMar>
      </w:tblPr>
      <w:tblGrid>
        <w:gridCol w:w="418"/>
        <w:gridCol w:w="1416"/>
        <w:gridCol w:w="1195"/>
        <w:gridCol w:w="1195"/>
        <w:gridCol w:w="755"/>
        <w:gridCol w:w="1030"/>
        <w:gridCol w:w="997"/>
        <w:gridCol w:w="1161"/>
        <w:gridCol w:w="1161"/>
      </w:tblGrid>
      <w:tr>
        <w:tblPrEx>
          <w:tblCellMar>
            <w:top w:w="0" w:type="dxa"/>
            <w:left w:w="108" w:type="dxa"/>
            <w:bottom w:w="0" w:type="dxa"/>
            <w:right w:w="108" w:type="dxa"/>
          </w:tblCellMar>
        </w:tblPrEx>
        <w:trPr>
          <w:trHeight w:val="809" w:hRule="atLeast"/>
        </w:trPr>
        <w:tc>
          <w:tcPr>
            <w:tcW w:w="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序号</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名称</w:t>
            </w:r>
          </w:p>
        </w:tc>
        <w:tc>
          <w:tcPr>
            <w:tcW w:w="1195" w:type="dxa"/>
            <w:tcBorders>
              <w:top w:val="single" w:color="auto" w:sz="6" w:space="0"/>
              <w:left w:val="single" w:color="auto" w:sz="6" w:space="0"/>
              <w:bottom w:val="single" w:color="auto" w:sz="6" w:space="0"/>
              <w:right w:val="single" w:color="auto" w:sz="6" w:space="0"/>
            </w:tcBorders>
            <w:shd w:val="clear" w:color="auto" w:fill="F1F1F1" w:themeFill="background1" w:themeFillShade="F2"/>
          </w:tcPr>
          <w:p>
            <w:pPr>
              <w:autoSpaceDE w:val="0"/>
              <w:autoSpaceDN w:val="0"/>
              <w:adjustRightInd w:val="0"/>
              <w:spacing w:line="360" w:lineRule="auto"/>
              <w:ind w:firstLine="120"/>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规格</w:t>
            </w:r>
          </w:p>
          <w:p>
            <w:pPr>
              <w:autoSpaceDE w:val="0"/>
              <w:autoSpaceDN w:val="0"/>
              <w:adjustRightInd w:val="0"/>
              <w:spacing w:line="360" w:lineRule="auto"/>
              <w:ind w:firstLine="120"/>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型号</w:t>
            </w:r>
          </w:p>
        </w:tc>
        <w:tc>
          <w:tcPr>
            <w:tcW w:w="119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技术</w:t>
            </w:r>
          </w:p>
          <w:p>
            <w:pPr>
              <w:autoSpaceDE w:val="0"/>
              <w:autoSpaceDN w:val="0"/>
              <w:adjustRightInd w:val="0"/>
              <w:spacing w:line="360" w:lineRule="auto"/>
              <w:ind w:firstLine="120"/>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参数</w:t>
            </w:r>
          </w:p>
        </w:tc>
        <w:tc>
          <w:tcPr>
            <w:tcW w:w="75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单位</w:t>
            </w:r>
          </w:p>
        </w:tc>
        <w:tc>
          <w:tcPr>
            <w:tcW w:w="103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数量</w:t>
            </w:r>
          </w:p>
        </w:tc>
        <w:tc>
          <w:tcPr>
            <w:tcW w:w="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单价</w:t>
            </w:r>
          </w:p>
        </w:tc>
        <w:tc>
          <w:tcPr>
            <w:tcW w:w="116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leftChars="57"/>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总价</w:t>
            </w:r>
          </w:p>
        </w:tc>
        <w:tc>
          <w:tcPr>
            <w:tcW w:w="1161" w:type="dxa"/>
            <w:tcBorders>
              <w:top w:val="single" w:color="auto" w:sz="6" w:space="0"/>
              <w:left w:val="single" w:color="auto" w:sz="6" w:space="0"/>
              <w:bottom w:val="single" w:color="auto" w:sz="6" w:space="0"/>
              <w:right w:val="single" w:color="auto" w:sz="6" w:space="0"/>
            </w:tcBorders>
            <w:shd w:val="clear" w:color="auto" w:fill="F1F1F1" w:themeFill="background1" w:themeFillShade="F2"/>
          </w:tcPr>
          <w:p>
            <w:pPr>
              <w:autoSpaceDE w:val="0"/>
              <w:autoSpaceDN w:val="0"/>
              <w:adjustRightInd w:val="0"/>
              <w:spacing w:line="360" w:lineRule="auto"/>
              <w:ind w:left="120" w:leftChars="57"/>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品牌/</w:t>
            </w:r>
          </w:p>
          <w:p>
            <w:pPr>
              <w:autoSpaceDE w:val="0"/>
              <w:autoSpaceDN w:val="0"/>
              <w:adjustRightInd w:val="0"/>
              <w:spacing w:line="360" w:lineRule="auto"/>
              <w:ind w:left="120" w:leftChars="57"/>
              <w:rPr>
                <w:rFonts w:cs="宋体" w:asciiTheme="minorEastAsia" w:hAnsiTheme="minorEastAsia"/>
                <w:b/>
                <w:color w:val="auto"/>
                <w:sz w:val="24"/>
                <w:szCs w:val="24"/>
                <w:highlight w:val="none"/>
                <w:lang w:val="zh-CN"/>
              </w:rPr>
            </w:pPr>
            <w:r>
              <w:rPr>
                <w:rFonts w:hint="eastAsia" w:cs="宋体" w:asciiTheme="minorEastAsia" w:hAnsiTheme="minorEastAsia"/>
                <w:b/>
                <w:color w:val="auto"/>
                <w:sz w:val="24"/>
                <w:szCs w:val="24"/>
                <w:highlight w:val="none"/>
                <w:lang w:val="zh-CN"/>
              </w:rPr>
              <w:t>厂家</w:t>
            </w:r>
          </w:p>
        </w:tc>
      </w:tr>
      <w:tr>
        <w:tblPrEx>
          <w:tblCellMar>
            <w:top w:w="0" w:type="dxa"/>
            <w:left w:w="108" w:type="dxa"/>
            <w:bottom w:w="0" w:type="dxa"/>
            <w:right w:w="108" w:type="dxa"/>
          </w:tblCellMar>
        </w:tblPrEx>
        <w:trPr>
          <w:trHeight w:val="809" w:hRule="atLeast"/>
        </w:trPr>
        <w:tc>
          <w:tcPr>
            <w:tcW w:w="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p>
        </w:tc>
        <w:tc>
          <w:tcPr>
            <w:tcW w:w="14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03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r>
      <w:tr>
        <w:tblPrEx>
          <w:tblCellMar>
            <w:top w:w="0" w:type="dxa"/>
            <w:left w:w="108" w:type="dxa"/>
            <w:bottom w:w="0" w:type="dxa"/>
            <w:right w:w="108" w:type="dxa"/>
          </w:tblCellMar>
        </w:tblPrEx>
        <w:trPr>
          <w:trHeight w:val="809" w:hRule="atLeast"/>
        </w:trPr>
        <w:tc>
          <w:tcPr>
            <w:tcW w:w="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w:t>
            </w:r>
          </w:p>
        </w:tc>
        <w:tc>
          <w:tcPr>
            <w:tcW w:w="14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03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99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c>
          <w:tcPr>
            <w:tcW w:w="116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r>
      <w:tr>
        <w:tblPrEx>
          <w:tblCellMar>
            <w:top w:w="0" w:type="dxa"/>
            <w:left w:w="108" w:type="dxa"/>
            <w:bottom w:w="0" w:type="dxa"/>
            <w:right w:w="108" w:type="dxa"/>
          </w:tblCellMar>
        </w:tblPrEx>
        <w:trPr>
          <w:trHeight w:val="809" w:hRule="atLeast"/>
        </w:trPr>
        <w:tc>
          <w:tcPr>
            <w:tcW w:w="183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合计</w:t>
            </w:r>
          </w:p>
        </w:tc>
        <w:tc>
          <w:tcPr>
            <w:tcW w:w="7494"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 w:val="24"/>
                <w:szCs w:val="24"/>
                <w:highlight w:val="none"/>
              </w:rPr>
            </w:pPr>
          </w:p>
        </w:tc>
      </w:tr>
    </w:tbl>
    <w:p>
      <w:pPr>
        <w:autoSpaceDE w:val="0"/>
        <w:autoSpaceDN w:val="0"/>
        <w:adjustRightInd w:val="0"/>
        <w:spacing w:line="480" w:lineRule="auto"/>
        <w:rPr>
          <w:rFonts w:cs="宋体" w:asciiTheme="minorEastAsia" w:hAnsiTheme="minorEastAsia"/>
          <w:color w:val="auto"/>
          <w:sz w:val="24"/>
          <w:szCs w:val="24"/>
          <w:highlight w:val="none"/>
          <w:lang w:val="zh-CN"/>
        </w:rPr>
      </w:pPr>
    </w:p>
    <w:p>
      <w:pPr>
        <w:autoSpaceDE w:val="0"/>
        <w:autoSpaceDN w:val="0"/>
        <w:adjustRightInd w:val="0"/>
        <w:spacing w:line="480" w:lineRule="auto"/>
        <w:ind w:firstLine="6000" w:firstLineChars="2500"/>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投标人（公章）：</w:t>
      </w:r>
    </w:p>
    <w:p>
      <w:pPr>
        <w:autoSpaceDE w:val="0"/>
        <w:autoSpaceDN w:val="0"/>
        <w:adjustRightInd w:val="0"/>
        <w:spacing w:line="48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 xml:space="preserve">                                       法定代表人或授权代表:(签字或盖章)</w:t>
      </w:r>
    </w:p>
    <w:p>
      <w:pPr>
        <w:autoSpaceDE w:val="0"/>
        <w:autoSpaceDN w:val="0"/>
        <w:adjustRightInd w:val="0"/>
        <w:spacing w:line="360" w:lineRule="auto"/>
        <w:jc w:val="center"/>
        <w:outlineLvl w:val="0"/>
        <w:rPr>
          <w:rFonts w:hAnsi="宋体" w:eastAsia="宋体"/>
          <w:b/>
          <w:snapToGrid w:val="0"/>
          <w:color w:val="auto"/>
          <w:kern w:val="0"/>
          <w:sz w:val="32"/>
          <w:szCs w:val="32"/>
          <w:highlight w:val="none"/>
        </w:rPr>
      </w:pPr>
    </w:p>
    <w:p>
      <w:pPr>
        <w:autoSpaceDE w:val="0"/>
        <w:autoSpaceDN w:val="0"/>
        <w:adjustRightInd w:val="0"/>
        <w:spacing w:line="360" w:lineRule="auto"/>
        <w:jc w:val="center"/>
        <w:outlineLvl w:val="0"/>
        <w:rPr>
          <w:rFonts w:hAnsi="宋体" w:eastAsia="宋体"/>
          <w:b/>
          <w:snapToGrid w:val="0"/>
          <w:color w:val="auto"/>
          <w:kern w:val="0"/>
          <w:sz w:val="32"/>
          <w:szCs w:val="32"/>
          <w:highlight w:val="none"/>
        </w:rPr>
      </w:pPr>
      <w:r>
        <w:rPr>
          <w:rFonts w:hint="eastAsia" w:hAnsi="宋体" w:eastAsia="宋体"/>
          <w:b/>
          <w:snapToGrid w:val="0"/>
          <w:color w:val="auto"/>
          <w:kern w:val="0"/>
          <w:sz w:val="32"/>
          <w:szCs w:val="32"/>
          <w:highlight w:val="none"/>
        </w:rPr>
        <w:t>3.4技术规格偏离表</w:t>
      </w:r>
    </w:p>
    <w:p>
      <w:pPr>
        <w:spacing w:line="300" w:lineRule="exact"/>
        <w:rPr>
          <w:rFonts w:asciiTheme="minorEastAsia" w:hAnsiTheme="minorEastAsia"/>
          <w:color w:val="auto"/>
          <w:sz w:val="24"/>
          <w:szCs w:val="24"/>
          <w:highlight w:val="none"/>
        </w:rPr>
      </w:pPr>
    </w:p>
    <w:tbl>
      <w:tblPr>
        <w:tblStyle w:val="20"/>
        <w:tblW w:w="9209" w:type="dxa"/>
        <w:tblInd w:w="0" w:type="dxa"/>
        <w:tblLayout w:type="fixed"/>
        <w:tblCellMar>
          <w:top w:w="0" w:type="dxa"/>
          <w:left w:w="108" w:type="dxa"/>
          <w:bottom w:w="0" w:type="dxa"/>
          <w:right w:w="108" w:type="dxa"/>
        </w:tblCellMar>
      </w:tblPr>
      <w:tblGrid>
        <w:gridCol w:w="964"/>
        <w:gridCol w:w="2305"/>
        <w:gridCol w:w="1980"/>
        <w:gridCol w:w="1815"/>
        <w:gridCol w:w="1156"/>
        <w:gridCol w:w="989"/>
      </w:tblGrid>
      <w:tr>
        <w:tblPrEx>
          <w:tblCellMar>
            <w:top w:w="0" w:type="dxa"/>
            <w:left w:w="108" w:type="dxa"/>
            <w:bottom w:w="0" w:type="dxa"/>
            <w:right w:w="108" w:type="dxa"/>
          </w:tblCellMar>
        </w:tblPrEx>
        <w:trPr>
          <w:trHeight w:val="957" w:hRule="atLeast"/>
        </w:trPr>
        <w:tc>
          <w:tcPr>
            <w:tcW w:w="96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0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9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c>
          <w:tcPr>
            <w:tcW w:w="181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投标技术</w:t>
            </w:r>
          </w:p>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w:t>
            </w:r>
          </w:p>
        </w:tc>
        <w:tc>
          <w:tcPr>
            <w:tcW w:w="115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98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1"/>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tblPrEx>
          <w:tblCellMar>
            <w:top w:w="0" w:type="dxa"/>
            <w:left w:w="108" w:type="dxa"/>
            <w:bottom w:w="0" w:type="dxa"/>
            <w:right w:w="108" w:type="dxa"/>
          </w:tblCellMar>
        </w:tblPrEx>
        <w:trPr>
          <w:trHeight w:val="957" w:hRule="atLeast"/>
        </w:trPr>
        <w:tc>
          <w:tcPr>
            <w:tcW w:w="9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1</w:t>
            </w:r>
          </w:p>
        </w:tc>
        <w:tc>
          <w:tcPr>
            <w:tcW w:w="2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19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1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 w:val="24"/>
                <w:szCs w:val="24"/>
                <w:highlight w:val="none"/>
              </w:rPr>
            </w:pPr>
          </w:p>
        </w:tc>
      </w:tr>
      <w:tr>
        <w:tblPrEx>
          <w:tblCellMar>
            <w:top w:w="0" w:type="dxa"/>
            <w:left w:w="108" w:type="dxa"/>
            <w:bottom w:w="0" w:type="dxa"/>
            <w:right w:w="108" w:type="dxa"/>
          </w:tblCellMar>
        </w:tblPrEx>
        <w:trPr>
          <w:trHeight w:val="957" w:hRule="atLeast"/>
        </w:trPr>
        <w:tc>
          <w:tcPr>
            <w:tcW w:w="9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 w:val="24"/>
                <w:szCs w:val="24"/>
                <w:highlight w:val="none"/>
              </w:rPr>
            </w:pPr>
            <w:r>
              <w:rPr>
                <w:rFonts w:hint="eastAsia" w:asciiTheme="minorEastAsia" w:hAnsiTheme="minorEastAsia"/>
                <w:color w:val="auto"/>
                <w:sz w:val="24"/>
                <w:szCs w:val="24"/>
                <w:highlight w:val="none"/>
              </w:rPr>
              <w:t>…</w:t>
            </w:r>
          </w:p>
        </w:tc>
        <w:tc>
          <w:tcPr>
            <w:tcW w:w="2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19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11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 w:val="24"/>
                <w:szCs w:val="24"/>
                <w:highlight w:val="none"/>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 w:val="24"/>
                <w:szCs w:val="24"/>
                <w:highlight w:val="none"/>
              </w:rPr>
            </w:pPr>
          </w:p>
        </w:tc>
      </w:tr>
    </w:tbl>
    <w:p>
      <w:pPr>
        <w:autoSpaceDE w:val="0"/>
        <w:autoSpaceDN w:val="0"/>
        <w:adjustRightInd w:val="0"/>
        <w:spacing w:line="48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投标人（公章）：</w:t>
      </w:r>
    </w:p>
    <w:p>
      <w:pPr>
        <w:autoSpaceDE w:val="0"/>
        <w:autoSpaceDN w:val="0"/>
        <w:adjustRightInd w:val="0"/>
        <w:spacing w:line="48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法定代表人或授权代表:(签字或盖章)</w:t>
      </w:r>
    </w:p>
    <w:p>
      <w:pPr>
        <w:widowControl/>
        <w:jc w:val="center"/>
        <w:rPr>
          <w:rFonts w:ascii="宋体" w:hAnsi="宋体"/>
          <w:b/>
          <w:bCs/>
          <w:color w:val="auto"/>
          <w:sz w:val="30"/>
          <w:szCs w:val="30"/>
          <w:highlight w:val="none"/>
        </w:rPr>
      </w:pPr>
      <w:r>
        <w:rPr>
          <w:rFonts w:ascii="宋体" w:hAnsi="宋体"/>
          <w:b/>
          <w:bCs/>
          <w:color w:val="auto"/>
          <w:sz w:val="36"/>
          <w:szCs w:val="36"/>
          <w:highlight w:val="none"/>
        </w:rPr>
        <w:br w:type="page"/>
      </w:r>
    </w:p>
    <w:p>
      <w:pPr>
        <w:widowControl/>
        <w:ind w:firstLine="3301" w:firstLineChars="1096"/>
        <w:rPr>
          <w:rFonts w:ascii="宋体" w:hAnsi="宋体"/>
          <w:b/>
          <w:bCs/>
          <w:color w:val="auto"/>
          <w:sz w:val="30"/>
          <w:szCs w:val="30"/>
          <w:highlight w:val="none"/>
        </w:rPr>
      </w:pPr>
      <w:r>
        <w:rPr>
          <w:rFonts w:hint="eastAsia" w:ascii="宋体" w:hAnsi="宋体"/>
          <w:b/>
          <w:bCs/>
          <w:color w:val="auto"/>
          <w:sz w:val="30"/>
          <w:szCs w:val="30"/>
          <w:highlight w:val="none"/>
        </w:rPr>
        <w:t>3.5服务承诺</w:t>
      </w:r>
    </w:p>
    <w:p>
      <w:pPr>
        <w:autoSpaceDE w:val="0"/>
        <w:autoSpaceDN w:val="0"/>
        <w:adjustRightInd w:val="0"/>
        <w:spacing w:line="360" w:lineRule="auto"/>
        <w:jc w:val="center"/>
        <w:rPr>
          <w:rFonts w:cs="宋体" w:asciiTheme="minorEastAsia" w:hAnsiTheme="minorEastAsia"/>
          <w:color w:val="auto"/>
          <w:sz w:val="24"/>
          <w:szCs w:val="24"/>
          <w:highlight w:val="none"/>
          <w:lang w:val="zh-CN"/>
        </w:rPr>
      </w:pPr>
    </w:p>
    <w:p>
      <w:pPr>
        <w:autoSpaceDE w:val="0"/>
        <w:autoSpaceDN w:val="0"/>
        <w:adjustRightInd w:val="0"/>
        <w:spacing w:line="360" w:lineRule="auto"/>
        <w:jc w:val="center"/>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（投标人根据招标文件要求自行编制）</w:t>
      </w:r>
    </w:p>
    <w:p>
      <w:pPr>
        <w:autoSpaceDE w:val="0"/>
        <w:autoSpaceDN w:val="0"/>
        <w:adjustRightInd w:val="0"/>
        <w:spacing w:line="360" w:lineRule="auto"/>
        <w:jc w:val="left"/>
        <w:outlineLvl w:val="0"/>
        <w:rPr>
          <w:rFonts w:ascii="宋体" w:hAnsi="宋体"/>
          <w:b/>
          <w:bCs/>
          <w:color w:val="auto"/>
          <w:sz w:val="24"/>
          <w:highlight w:val="none"/>
        </w:rPr>
      </w:pPr>
    </w:p>
    <w:p>
      <w:pPr>
        <w:autoSpaceDE w:val="0"/>
        <w:autoSpaceDN w:val="0"/>
        <w:adjustRightInd w:val="0"/>
        <w:spacing w:line="360" w:lineRule="auto"/>
        <w:jc w:val="center"/>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rPr>
          <w:rFonts w:cs="黑体" w:asciiTheme="minorEastAsia" w:hAnsiTheme="minorEastAsia"/>
          <w:b/>
          <w:bCs/>
          <w:color w:val="auto"/>
          <w:sz w:val="32"/>
          <w:szCs w:val="32"/>
          <w:highlight w:val="none"/>
          <w:lang w:val="zh-CN"/>
        </w:rPr>
      </w:pPr>
    </w:p>
    <w:p>
      <w:pPr>
        <w:autoSpaceDE w:val="0"/>
        <w:autoSpaceDN w:val="0"/>
        <w:adjustRightInd w:val="0"/>
        <w:spacing w:line="360" w:lineRule="auto"/>
        <w:jc w:val="center"/>
        <w:rPr>
          <w:rFonts w:cs="黑体" w:asciiTheme="minorEastAsia" w:hAnsiTheme="minorEastAsia"/>
          <w:b/>
          <w:bCs/>
          <w:color w:val="auto"/>
          <w:sz w:val="32"/>
          <w:szCs w:val="32"/>
          <w:highlight w:val="none"/>
          <w:lang w:val="zh-CN"/>
        </w:rPr>
      </w:pPr>
      <w:r>
        <w:rPr>
          <w:rFonts w:hint="eastAsia" w:cs="黑体" w:asciiTheme="minorEastAsia" w:hAnsiTheme="minorEastAsia"/>
          <w:b/>
          <w:bCs/>
          <w:color w:val="auto"/>
          <w:sz w:val="32"/>
          <w:szCs w:val="32"/>
          <w:highlight w:val="none"/>
          <w:lang w:val="zh-CN"/>
        </w:rPr>
        <w:t>3.6</w:t>
      </w:r>
      <w:r>
        <w:rPr>
          <w:rFonts w:cs="黑体" w:asciiTheme="minorEastAsia" w:hAnsiTheme="minorEastAsia"/>
          <w:b/>
          <w:color w:val="auto"/>
          <w:sz w:val="32"/>
          <w:szCs w:val="32"/>
          <w:highlight w:val="none"/>
          <w:lang w:val="zh-CN"/>
        </w:rPr>
        <w:t>其他</w:t>
      </w:r>
      <w:r>
        <w:rPr>
          <w:rFonts w:hint="eastAsia" w:cs="黑体" w:asciiTheme="minorEastAsia" w:hAnsiTheme="minorEastAsia"/>
          <w:b/>
          <w:color w:val="auto"/>
          <w:sz w:val="32"/>
          <w:szCs w:val="32"/>
          <w:highlight w:val="none"/>
          <w:lang w:val="zh-CN"/>
        </w:rPr>
        <w:t>符合性证明文件或材料</w:t>
      </w:r>
    </w:p>
    <w:p>
      <w:pPr>
        <w:rPr>
          <w:color w:val="auto"/>
          <w:highlight w:val="none"/>
        </w:rPr>
      </w:pPr>
    </w:p>
    <w:p>
      <w:pPr>
        <w:widowControl/>
        <w:spacing w:line="48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根据招标文件要求或投标人认为需要提交的其他证明文件或材料，加盖投标人的单位公章后应在此项下提交。</w:t>
      </w:r>
    </w:p>
    <w:p>
      <w:pPr>
        <w:widowControl/>
        <w:ind w:firstLine="480" w:firstLineChars="200"/>
        <w:jc w:val="left"/>
        <w:rPr>
          <w:rFonts w:ascii="宋体" w:hAnsi="宋体"/>
          <w:bCs/>
          <w:color w:val="auto"/>
          <w:sz w:val="24"/>
          <w:szCs w:val="24"/>
          <w:highlight w:val="none"/>
        </w:rPr>
      </w:pPr>
    </w:p>
    <w:p>
      <w:pPr>
        <w:widowControl/>
        <w:ind w:firstLine="480" w:firstLineChars="200"/>
        <w:jc w:val="left"/>
        <w:rPr>
          <w:rFonts w:ascii="宋体" w:hAnsi="宋体"/>
          <w:bCs/>
          <w:color w:val="auto"/>
          <w:sz w:val="24"/>
          <w:szCs w:val="24"/>
          <w:highlight w:val="none"/>
        </w:rPr>
      </w:pPr>
    </w:p>
    <w:p>
      <w:pPr>
        <w:widowControl/>
        <w:ind w:firstLine="640" w:firstLineChars="200"/>
        <w:jc w:val="left"/>
        <w:rPr>
          <w:rFonts w:ascii="宋体" w:hAnsi="宋体"/>
          <w:bCs/>
          <w:color w:val="auto"/>
          <w:sz w:val="32"/>
          <w:szCs w:val="32"/>
          <w:highlight w:val="none"/>
        </w:rPr>
      </w:pPr>
      <w:r>
        <w:rPr>
          <w:rFonts w:ascii="宋体" w:hAnsi="宋体"/>
          <w:bCs/>
          <w:color w:val="auto"/>
          <w:sz w:val="32"/>
          <w:szCs w:val="32"/>
          <w:highlight w:val="none"/>
        </w:rPr>
        <w:br w:type="page"/>
      </w:r>
    </w:p>
    <w:p>
      <w:pPr>
        <w:autoSpaceDE w:val="0"/>
        <w:autoSpaceDN w:val="0"/>
        <w:adjustRightInd w:val="0"/>
        <w:spacing w:line="360" w:lineRule="auto"/>
        <w:jc w:val="center"/>
        <w:outlineLvl w:val="0"/>
        <w:rPr>
          <w:rFonts w:ascii="宋体" w:hAnsi="宋体"/>
          <w:b/>
          <w:bCs/>
          <w:color w:val="auto"/>
          <w:sz w:val="32"/>
          <w:szCs w:val="32"/>
          <w:highlight w:val="none"/>
        </w:rPr>
      </w:pPr>
      <w:r>
        <w:rPr>
          <w:rFonts w:hint="eastAsia" w:ascii="宋体" w:hAnsi="宋体"/>
          <w:b/>
          <w:bCs/>
          <w:color w:val="auto"/>
          <w:sz w:val="32"/>
          <w:szCs w:val="32"/>
          <w:highlight w:val="none"/>
        </w:rPr>
        <w:t>3.7中小企业、监狱企业、残疾人福利性单位声明函</w:t>
      </w:r>
    </w:p>
    <w:p>
      <w:pPr>
        <w:pStyle w:val="2"/>
        <w:ind w:firstLine="0" w:firstLineChars="0"/>
        <w:jc w:val="center"/>
        <w:rPr>
          <w:rFonts w:ascii="宋体" w:hAnsi="宋体" w:cs="宋体"/>
          <w:bCs/>
          <w:color w:val="auto"/>
          <w:sz w:val="24"/>
          <w:highlight w:val="none"/>
        </w:rPr>
      </w:pPr>
      <w:r>
        <w:rPr>
          <w:rFonts w:hint="eastAsia" w:ascii="宋体" w:hAnsi="宋体" w:cs="宋体"/>
          <w:bCs/>
          <w:color w:val="auto"/>
          <w:sz w:val="24"/>
          <w:highlight w:val="none"/>
        </w:rPr>
        <w:t>（投标人属于该类型的提供,否则不提供）</w:t>
      </w:r>
    </w:p>
    <w:p>
      <w:pPr>
        <w:pStyle w:val="2"/>
        <w:ind w:firstLine="0" w:firstLineChars="0"/>
        <w:jc w:val="center"/>
        <w:rPr>
          <w:rFonts w:ascii="宋体" w:hAnsi="宋体" w:cs="宋体"/>
          <w:color w:val="auto"/>
          <w:sz w:val="32"/>
          <w:szCs w:val="32"/>
          <w:highlight w:val="none"/>
        </w:rPr>
      </w:pPr>
      <w:r>
        <w:rPr>
          <w:rFonts w:hint="eastAsia" w:ascii="宋体" w:hAnsi="宋体" w:cs="宋体"/>
          <w:b/>
          <w:bCs/>
          <w:color w:val="auto"/>
          <w:sz w:val="32"/>
          <w:szCs w:val="32"/>
          <w:highlight w:val="none"/>
        </w:rPr>
        <w:t>3.7.1中小企业声明函</w:t>
      </w:r>
    </w:p>
    <w:p>
      <w:pPr>
        <w:widowControl/>
        <w:spacing w:after="24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本公司郑重声明，根据《政府采购促进中小企业发展暂行办法》（财库[2011]181号的规定，本公司为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（请填写：中型、小型、微型）企业。即，本公司同时满足以下条件：</w:t>
      </w:r>
    </w:p>
    <w:p>
      <w:pPr>
        <w:widowControl/>
        <w:numPr>
          <w:ilvl w:val="0"/>
          <w:numId w:val="6"/>
        </w:numPr>
        <w:spacing w:after="24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根据《工业和信息化部、国家统计局、国家发展和改革委员会、财政部关于印发中小企业划型标准规定的通知》（工信部联企业[2011]300号）规定的划分标准，本公司为</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（请填写：中型、小型、微型）企业。</w:t>
      </w:r>
    </w:p>
    <w:p>
      <w:pPr>
        <w:widowControl/>
        <w:numPr>
          <w:ilvl w:val="0"/>
          <w:numId w:val="6"/>
        </w:numPr>
        <w:spacing w:after="24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本公司参加</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单位的</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项目采购活动提供本企业制造的货物，由本企业承担工程、提供服务，或者提供其他</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（请填写：中型、小型、微型）企业制造的货物。本条所称货物不包括使用大型企业注册商标的货物。</w:t>
      </w:r>
    </w:p>
    <w:p>
      <w:pPr>
        <w:widowControl/>
        <w:numPr>
          <w:ilvl w:val="0"/>
          <w:numId w:val="6"/>
        </w:numPr>
        <w:spacing w:after="24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本公司对上述声明的真实性负责。如有虚假，将依法承担相应责任。</w:t>
      </w:r>
    </w:p>
    <w:p>
      <w:pPr>
        <w:widowControl/>
        <w:spacing w:after="240" w:line="360" w:lineRule="auto"/>
        <w:ind w:firstLine="4200" w:firstLineChars="1750"/>
        <w:rPr>
          <w:rFonts w:ascii="宋体" w:hAnsi="宋体" w:cs="宋体"/>
          <w:color w:val="auto"/>
          <w:kern w:val="0"/>
          <w:sz w:val="24"/>
          <w:highlight w:val="none"/>
        </w:rPr>
      </w:pPr>
      <w:r>
        <w:rPr>
          <w:rFonts w:hint="eastAsia" w:ascii="宋体" w:hAnsi="宋体" w:cs="宋体"/>
          <w:color w:val="auto"/>
          <w:kern w:val="0"/>
          <w:sz w:val="24"/>
          <w:highlight w:val="none"/>
        </w:rPr>
        <w:t>企业名称（盖章）：   </w:t>
      </w:r>
    </w:p>
    <w:p>
      <w:pPr>
        <w:widowControl/>
        <w:spacing w:after="240" w:line="360" w:lineRule="auto"/>
        <w:ind w:firstLine="4200" w:firstLineChars="1750"/>
        <w:rPr>
          <w:rFonts w:ascii="宋体" w:hAnsi="宋体" w:cs="宋体"/>
          <w:color w:val="auto"/>
          <w:kern w:val="0"/>
          <w:sz w:val="24"/>
          <w:highlight w:val="none"/>
        </w:rPr>
      </w:pPr>
      <w:r>
        <w:rPr>
          <w:rFonts w:hint="eastAsia" w:ascii="宋体" w:hAnsi="宋体" w:cs="宋体"/>
          <w:color w:val="auto"/>
          <w:kern w:val="0"/>
          <w:sz w:val="24"/>
          <w:highlight w:val="none"/>
        </w:rPr>
        <w:t>日  期： </w:t>
      </w:r>
    </w:p>
    <w:p>
      <w:pPr>
        <w:spacing w:line="588" w:lineRule="exact"/>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r>
        <w:rPr>
          <w:rFonts w:hint="eastAsia" w:ascii="宋体" w:hAnsi="宋体" w:cs="宋体"/>
          <w:b/>
          <w:color w:val="auto"/>
          <w:spacing w:val="6"/>
          <w:sz w:val="32"/>
          <w:szCs w:val="32"/>
          <w:highlight w:val="none"/>
        </w:rPr>
        <w:t>3.7.2残疾人福利性单位声明函</w:t>
      </w:r>
    </w:p>
    <w:p>
      <w:pPr>
        <w:spacing w:line="588" w:lineRule="exact"/>
        <w:rPr>
          <w:rFonts w:ascii="宋体" w:hAnsi="宋体" w:cs="宋体"/>
          <w:b/>
          <w:color w:val="auto"/>
          <w:spacing w:val="6"/>
          <w:sz w:val="30"/>
          <w:szCs w:val="30"/>
          <w:highlight w:val="none"/>
        </w:rPr>
      </w:pPr>
    </w:p>
    <w:p>
      <w:pPr>
        <w:spacing w:line="5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588" w:lineRule="exact"/>
        <w:ind w:firstLine="504" w:firstLineChars="200"/>
        <w:rPr>
          <w:rFonts w:ascii="宋体" w:hAnsi="宋体" w:cs="宋体"/>
          <w:color w:val="auto"/>
          <w:spacing w:val="6"/>
          <w:sz w:val="24"/>
          <w:highlight w:val="none"/>
        </w:rPr>
      </w:pPr>
    </w:p>
    <w:p>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pPr>
        <w:spacing w:line="588" w:lineRule="exact"/>
        <w:ind w:firstLine="506" w:firstLineChars="200"/>
        <w:rPr>
          <w:rFonts w:ascii="宋体" w:hAnsi="宋体" w:cs="宋体"/>
          <w:b/>
          <w:color w:val="auto"/>
          <w:spacing w:val="6"/>
          <w:sz w:val="24"/>
          <w:highlight w:val="none"/>
        </w:rPr>
      </w:pPr>
      <w:r>
        <w:rPr>
          <w:rFonts w:hint="eastAsia" w:ascii="宋体" w:hAnsi="宋体" w:cs="宋体"/>
          <w:b/>
          <w:color w:val="auto"/>
          <w:spacing w:val="6"/>
          <w:sz w:val="24"/>
          <w:highlight w:val="none"/>
        </w:rPr>
        <w:t>注：1.供应商符合中小型、微型企业的须填写以上相应声明函；残疾人福利性单位提供残疾人福利性单位声明函，并对声明的真实性负责。</w:t>
      </w:r>
    </w:p>
    <w:p>
      <w:pPr>
        <w:spacing w:line="588" w:lineRule="exact"/>
        <w:ind w:firstLine="506" w:firstLineChars="200"/>
        <w:rPr>
          <w:rFonts w:ascii="宋体" w:hAnsi="宋体" w:cs="宋体"/>
          <w:b/>
          <w:color w:val="auto"/>
          <w:spacing w:val="6"/>
          <w:sz w:val="24"/>
          <w:highlight w:val="none"/>
        </w:rPr>
      </w:pPr>
      <w:r>
        <w:rPr>
          <w:rFonts w:hint="eastAsia" w:ascii="宋体" w:hAnsi="宋体" w:cs="宋体"/>
          <w:b/>
          <w:color w:val="auto"/>
          <w:spacing w:val="6"/>
          <w:sz w:val="24"/>
          <w:highlight w:val="none"/>
        </w:rPr>
        <w:t>2.供应商属于监狱企业的不需填写此声明函，须附由省级及以上监狱管理局、戒毒管理局（含新疆建设兵团）出具的属于监狱企业的证明文件原件扫描件（或图片）。</w:t>
      </w:r>
    </w:p>
    <w:p>
      <w:pPr>
        <w:autoSpaceDE w:val="0"/>
        <w:autoSpaceDN w:val="0"/>
        <w:adjustRightInd w:val="0"/>
        <w:spacing w:line="360" w:lineRule="auto"/>
        <w:outlineLvl w:val="0"/>
        <w:rPr>
          <w:rFonts w:ascii="宋体" w:cs="宋体"/>
          <w:color w:val="auto"/>
          <w:sz w:val="24"/>
          <w:highlight w:val="none"/>
          <w:lang w:val="zh-CN"/>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highlight w:val="none"/>
        </w:rPr>
      </w:pPr>
    </w:p>
    <w:sectPr>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 important">
    <w:altName w:val="黑体"/>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64C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811056437"/>
                  <w:docPartObj>
                    <w:docPartGallery w:val="autotext"/>
                  </w:docPartObj>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B6C"/>
    <w:multiLevelType w:val="singleLevel"/>
    <w:tmpl w:val="06494B6C"/>
    <w:lvl w:ilvl="0" w:tentative="0">
      <w:start w:val="1"/>
      <w:numFmt w:val="decimal"/>
      <w:suff w:val="nothing"/>
      <w:lvlText w:val="%1、"/>
      <w:lvlJc w:val="left"/>
    </w:lvl>
  </w:abstractNum>
  <w:abstractNum w:abstractNumId="1">
    <w:nsid w:val="13097703"/>
    <w:multiLevelType w:val="multilevel"/>
    <w:tmpl w:val="130977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B333ACD"/>
    <w:multiLevelType w:val="multilevel"/>
    <w:tmpl w:val="1B333ACD"/>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24FF4D"/>
    <w:multiLevelType w:val="singleLevel"/>
    <w:tmpl w:val="5524FF4D"/>
    <w:lvl w:ilvl="0" w:tentative="0">
      <w:start w:val="1"/>
      <w:numFmt w:val="decimal"/>
      <w:suff w:val="nothing"/>
      <w:lvlText w:val="%1．"/>
      <w:lvlJc w:val="left"/>
    </w:lvl>
  </w:abstractNum>
  <w:abstractNum w:abstractNumId="4">
    <w:nsid w:val="6EEB6C75"/>
    <w:multiLevelType w:val="multilevel"/>
    <w:tmpl w:val="6EEB6C75"/>
    <w:lvl w:ilvl="0" w:tentative="0">
      <w:start w:val="4"/>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
    <w:nsid w:val="7D242C66"/>
    <w:multiLevelType w:val="multilevel"/>
    <w:tmpl w:val="7D242C6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294F"/>
    <w:rsid w:val="000023BC"/>
    <w:rsid w:val="000034C3"/>
    <w:rsid w:val="000054A3"/>
    <w:rsid w:val="00005C31"/>
    <w:rsid w:val="00005DA3"/>
    <w:rsid w:val="00007349"/>
    <w:rsid w:val="000077DB"/>
    <w:rsid w:val="0000797E"/>
    <w:rsid w:val="00010D62"/>
    <w:rsid w:val="0001170F"/>
    <w:rsid w:val="00011B95"/>
    <w:rsid w:val="000128AE"/>
    <w:rsid w:val="00012EDB"/>
    <w:rsid w:val="00014273"/>
    <w:rsid w:val="000146E9"/>
    <w:rsid w:val="00014B11"/>
    <w:rsid w:val="0001513D"/>
    <w:rsid w:val="00015D3D"/>
    <w:rsid w:val="000160EB"/>
    <w:rsid w:val="00017CCE"/>
    <w:rsid w:val="000201DE"/>
    <w:rsid w:val="00020CE2"/>
    <w:rsid w:val="00021299"/>
    <w:rsid w:val="00021340"/>
    <w:rsid w:val="00021BC6"/>
    <w:rsid w:val="00023E9B"/>
    <w:rsid w:val="0002451A"/>
    <w:rsid w:val="000248F8"/>
    <w:rsid w:val="000249C2"/>
    <w:rsid w:val="00024C0A"/>
    <w:rsid w:val="00024E97"/>
    <w:rsid w:val="00025B38"/>
    <w:rsid w:val="00027659"/>
    <w:rsid w:val="0003064C"/>
    <w:rsid w:val="000306D0"/>
    <w:rsid w:val="0003211A"/>
    <w:rsid w:val="00032396"/>
    <w:rsid w:val="0003546E"/>
    <w:rsid w:val="00035870"/>
    <w:rsid w:val="00035EB3"/>
    <w:rsid w:val="000372C3"/>
    <w:rsid w:val="00040CA4"/>
    <w:rsid w:val="00042053"/>
    <w:rsid w:val="0004218A"/>
    <w:rsid w:val="00042FAA"/>
    <w:rsid w:val="00043245"/>
    <w:rsid w:val="00043839"/>
    <w:rsid w:val="00044A27"/>
    <w:rsid w:val="00045278"/>
    <w:rsid w:val="00046262"/>
    <w:rsid w:val="000465BC"/>
    <w:rsid w:val="0004770C"/>
    <w:rsid w:val="00047EEB"/>
    <w:rsid w:val="00047FE5"/>
    <w:rsid w:val="000508B4"/>
    <w:rsid w:val="00051047"/>
    <w:rsid w:val="00051408"/>
    <w:rsid w:val="00051A41"/>
    <w:rsid w:val="00052F0A"/>
    <w:rsid w:val="000535B9"/>
    <w:rsid w:val="0005513E"/>
    <w:rsid w:val="00056320"/>
    <w:rsid w:val="00057368"/>
    <w:rsid w:val="00057AEE"/>
    <w:rsid w:val="00060BB3"/>
    <w:rsid w:val="00062736"/>
    <w:rsid w:val="00062EF6"/>
    <w:rsid w:val="00063461"/>
    <w:rsid w:val="000640A3"/>
    <w:rsid w:val="0006517F"/>
    <w:rsid w:val="000657F6"/>
    <w:rsid w:val="00065CC2"/>
    <w:rsid w:val="00066B98"/>
    <w:rsid w:val="00067D87"/>
    <w:rsid w:val="0007007C"/>
    <w:rsid w:val="00070941"/>
    <w:rsid w:val="00072732"/>
    <w:rsid w:val="00073254"/>
    <w:rsid w:val="00074D6D"/>
    <w:rsid w:val="00075F48"/>
    <w:rsid w:val="00076B02"/>
    <w:rsid w:val="000770E4"/>
    <w:rsid w:val="00077920"/>
    <w:rsid w:val="000815A8"/>
    <w:rsid w:val="00081873"/>
    <w:rsid w:val="00082078"/>
    <w:rsid w:val="00082130"/>
    <w:rsid w:val="000823A2"/>
    <w:rsid w:val="00083A36"/>
    <w:rsid w:val="00083FB2"/>
    <w:rsid w:val="00084271"/>
    <w:rsid w:val="00085A26"/>
    <w:rsid w:val="000873EB"/>
    <w:rsid w:val="0008784E"/>
    <w:rsid w:val="00087F84"/>
    <w:rsid w:val="00091241"/>
    <w:rsid w:val="000916F7"/>
    <w:rsid w:val="00091AF1"/>
    <w:rsid w:val="0009207D"/>
    <w:rsid w:val="00093141"/>
    <w:rsid w:val="00093244"/>
    <w:rsid w:val="00093E29"/>
    <w:rsid w:val="0009578B"/>
    <w:rsid w:val="00095E6D"/>
    <w:rsid w:val="00096017"/>
    <w:rsid w:val="000A1B81"/>
    <w:rsid w:val="000A2977"/>
    <w:rsid w:val="000A5577"/>
    <w:rsid w:val="000A6067"/>
    <w:rsid w:val="000B024C"/>
    <w:rsid w:val="000B0A67"/>
    <w:rsid w:val="000B274C"/>
    <w:rsid w:val="000B2A34"/>
    <w:rsid w:val="000B2A5E"/>
    <w:rsid w:val="000B6443"/>
    <w:rsid w:val="000B653E"/>
    <w:rsid w:val="000B6866"/>
    <w:rsid w:val="000B7719"/>
    <w:rsid w:val="000C1692"/>
    <w:rsid w:val="000C17F1"/>
    <w:rsid w:val="000C1ADF"/>
    <w:rsid w:val="000C2C1D"/>
    <w:rsid w:val="000C4A86"/>
    <w:rsid w:val="000C6EC7"/>
    <w:rsid w:val="000C7700"/>
    <w:rsid w:val="000D0646"/>
    <w:rsid w:val="000D2601"/>
    <w:rsid w:val="000D2F3A"/>
    <w:rsid w:val="000D3B75"/>
    <w:rsid w:val="000D437E"/>
    <w:rsid w:val="000D5012"/>
    <w:rsid w:val="000D5D5D"/>
    <w:rsid w:val="000D5F83"/>
    <w:rsid w:val="000D7047"/>
    <w:rsid w:val="000E0A53"/>
    <w:rsid w:val="000E1268"/>
    <w:rsid w:val="000E2CF5"/>
    <w:rsid w:val="000E3969"/>
    <w:rsid w:val="000E5D1D"/>
    <w:rsid w:val="000E6A77"/>
    <w:rsid w:val="000E7C6F"/>
    <w:rsid w:val="000F005A"/>
    <w:rsid w:val="000F0219"/>
    <w:rsid w:val="000F1A34"/>
    <w:rsid w:val="000F1F77"/>
    <w:rsid w:val="000F1FC0"/>
    <w:rsid w:val="000F22D9"/>
    <w:rsid w:val="000F3EBD"/>
    <w:rsid w:val="000F3F0F"/>
    <w:rsid w:val="000F4131"/>
    <w:rsid w:val="000F6086"/>
    <w:rsid w:val="000F7721"/>
    <w:rsid w:val="001001AD"/>
    <w:rsid w:val="00100D23"/>
    <w:rsid w:val="00101246"/>
    <w:rsid w:val="001017E6"/>
    <w:rsid w:val="00101CE0"/>
    <w:rsid w:val="0010207D"/>
    <w:rsid w:val="001020E2"/>
    <w:rsid w:val="00102BE6"/>
    <w:rsid w:val="00102F5B"/>
    <w:rsid w:val="00104146"/>
    <w:rsid w:val="00104A87"/>
    <w:rsid w:val="001055DA"/>
    <w:rsid w:val="001067DE"/>
    <w:rsid w:val="00106943"/>
    <w:rsid w:val="00106E69"/>
    <w:rsid w:val="00107BA6"/>
    <w:rsid w:val="00107BDA"/>
    <w:rsid w:val="00107BEA"/>
    <w:rsid w:val="00111269"/>
    <w:rsid w:val="00111637"/>
    <w:rsid w:val="0011335C"/>
    <w:rsid w:val="001135E3"/>
    <w:rsid w:val="00114610"/>
    <w:rsid w:val="001150FC"/>
    <w:rsid w:val="001151E4"/>
    <w:rsid w:val="0011536E"/>
    <w:rsid w:val="00115C1B"/>
    <w:rsid w:val="00117111"/>
    <w:rsid w:val="00117664"/>
    <w:rsid w:val="001176DB"/>
    <w:rsid w:val="001178F1"/>
    <w:rsid w:val="00120EAD"/>
    <w:rsid w:val="001213CC"/>
    <w:rsid w:val="00122212"/>
    <w:rsid w:val="00123DEB"/>
    <w:rsid w:val="00124D45"/>
    <w:rsid w:val="00124FD2"/>
    <w:rsid w:val="00125EE1"/>
    <w:rsid w:val="00126437"/>
    <w:rsid w:val="001266E2"/>
    <w:rsid w:val="00127556"/>
    <w:rsid w:val="0013056A"/>
    <w:rsid w:val="00130AEF"/>
    <w:rsid w:val="00131650"/>
    <w:rsid w:val="00131C98"/>
    <w:rsid w:val="001327C2"/>
    <w:rsid w:val="0013475A"/>
    <w:rsid w:val="00137061"/>
    <w:rsid w:val="00137115"/>
    <w:rsid w:val="00137347"/>
    <w:rsid w:val="00137BC5"/>
    <w:rsid w:val="00137DAE"/>
    <w:rsid w:val="0014169E"/>
    <w:rsid w:val="00142CE3"/>
    <w:rsid w:val="00142F28"/>
    <w:rsid w:val="00143E30"/>
    <w:rsid w:val="001447CF"/>
    <w:rsid w:val="0014484A"/>
    <w:rsid w:val="00144C4C"/>
    <w:rsid w:val="001457A0"/>
    <w:rsid w:val="00145ADD"/>
    <w:rsid w:val="00147379"/>
    <w:rsid w:val="00147618"/>
    <w:rsid w:val="00147C1F"/>
    <w:rsid w:val="00151FF8"/>
    <w:rsid w:val="001540D3"/>
    <w:rsid w:val="00154ADC"/>
    <w:rsid w:val="0015508C"/>
    <w:rsid w:val="00155EAA"/>
    <w:rsid w:val="00157B96"/>
    <w:rsid w:val="00163AC8"/>
    <w:rsid w:val="00163D2C"/>
    <w:rsid w:val="001643D9"/>
    <w:rsid w:val="00165088"/>
    <w:rsid w:val="00165D95"/>
    <w:rsid w:val="00166529"/>
    <w:rsid w:val="0016729C"/>
    <w:rsid w:val="0017020D"/>
    <w:rsid w:val="0017068D"/>
    <w:rsid w:val="00172CD0"/>
    <w:rsid w:val="001733AC"/>
    <w:rsid w:val="001739BA"/>
    <w:rsid w:val="00176211"/>
    <w:rsid w:val="00177A79"/>
    <w:rsid w:val="00180072"/>
    <w:rsid w:val="00180177"/>
    <w:rsid w:val="0018168E"/>
    <w:rsid w:val="00181A58"/>
    <w:rsid w:val="00182950"/>
    <w:rsid w:val="001829EB"/>
    <w:rsid w:val="0018336D"/>
    <w:rsid w:val="0018591D"/>
    <w:rsid w:val="00185E0A"/>
    <w:rsid w:val="0018607D"/>
    <w:rsid w:val="0018664E"/>
    <w:rsid w:val="00187877"/>
    <w:rsid w:val="001878C8"/>
    <w:rsid w:val="001917B6"/>
    <w:rsid w:val="00191DD9"/>
    <w:rsid w:val="00192B52"/>
    <w:rsid w:val="00192D2E"/>
    <w:rsid w:val="001944D7"/>
    <w:rsid w:val="0019514B"/>
    <w:rsid w:val="00195ABD"/>
    <w:rsid w:val="00196659"/>
    <w:rsid w:val="00196C33"/>
    <w:rsid w:val="001979CC"/>
    <w:rsid w:val="00197B0A"/>
    <w:rsid w:val="00197F9B"/>
    <w:rsid w:val="001A0F5A"/>
    <w:rsid w:val="001A169C"/>
    <w:rsid w:val="001A279D"/>
    <w:rsid w:val="001A36E1"/>
    <w:rsid w:val="001A43FB"/>
    <w:rsid w:val="001A471C"/>
    <w:rsid w:val="001A486B"/>
    <w:rsid w:val="001A4DF9"/>
    <w:rsid w:val="001A5D73"/>
    <w:rsid w:val="001A6219"/>
    <w:rsid w:val="001A69C5"/>
    <w:rsid w:val="001A789B"/>
    <w:rsid w:val="001A7C0A"/>
    <w:rsid w:val="001B1B6F"/>
    <w:rsid w:val="001B2577"/>
    <w:rsid w:val="001B25DA"/>
    <w:rsid w:val="001B347A"/>
    <w:rsid w:val="001B3CBE"/>
    <w:rsid w:val="001B597A"/>
    <w:rsid w:val="001B7115"/>
    <w:rsid w:val="001C0F05"/>
    <w:rsid w:val="001C59EE"/>
    <w:rsid w:val="001C5FEB"/>
    <w:rsid w:val="001C660A"/>
    <w:rsid w:val="001C71FB"/>
    <w:rsid w:val="001C7AE8"/>
    <w:rsid w:val="001C7C77"/>
    <w:rsid w:val="001C7D39"/>
    <w:rsid w:val="001D0A9B"/>
    <w:rsid w:val="001D0C2C"/>
    <w:rsid w:val="001D1921"/>
    <w:rsid w:val="001D239E"/>
    <w:rsid w:val="001D24B1"/>
    <w:rsid w:val="001D2661"/>
    <w:rsid w:val="001D2D97"/>
    <w:rsid w:val="001D376F"/>
    <w:rsid w:val="001D4104"/>
    <w:rsid w:val="001D5AAF"/>
    <w:rsid w:val="001D5C92"/>
    <w:rsid w:val="001D607E"/>
    <w:rsid w:val="001D6871"/>
    <w:rsid w:val="001D73C2"/>
    <w:rsid w:val="001D77AD"/>
    <w:rsid w:val="001D7C07"/>
    <w:rsid w:val="001E099C"/>
    <w:rsid w:val="001E1CD7"/>
    <w:rsid w:val="001E2350"/>
    <w:rsid w:val="001E2C27"/>
    <w:rsid w:val="001E4494"/>
    <w:rsid w:val="001E46EE"/>
    <w:rsid w:val="001E7A6A"/>
    <w:rsid w:val="001F02AC"/>
    <w:rsid w:val="001F3176"/>
    <w:rsid w:val="001F3315"/>
    <w:rsid w:val="001F4297"/>
    <w:rsid w:val="001F4850"/>
    <w:rsid w:val="001F48FF"/>
    <w:rsid w:val="001F553C"/>
    <w:rsid w:val="001F7512"/>
    <w:rsid w:val="001F79E0"/>
    <w:rsid w:val="001F7F9B"/>
    <w:rsid w:val="0020043D"/>
    <w:rsid w:val="002011D8"/>
    <w:rsid w:val="00201390"/>
    <w:rsid w:val="002015DC"/>
    <w:rsid w:val="00201B0D"/>
    <w:rsid w:val="00203514"/>
    <w:rsid w:val="00203FFD"/>
    <w:rsid w:val="00204C5C"/>
    <w:rsid w:val="00207616"/>
    <w:rsid w:val="00207BB1"/>
    <w:rsid w:val="00210961"/>
    <w:rsid w:val="0021154C"/>
    <w:rsid w:val="00211B71"/>
    <w:rsid w:val="002133B3"/>
    <w:rsid w:val="002134AC"/>
    <w:rsid w:val="00214059"/>
    <w:rsid w:val="00216612"/>
    <w:rsid w:val="002167A0"/>
    <w:rsid w:val="002177BD"/>
    <w:rsid w:val="002213C9"/>
    <w:rsid w:val="00221714"/>
    <w:rsid w:val="00221F94"/>
    <w:rsid w:val="00224358"/>
    <w:rsid w:val="00224AA9"/>
    <w:rsid w:val="00225085"/>
    <w:rsid w:val="00225E3D"/>
    <w:rsid w:val="00226C97"/>
    <w:rsid w:val="00231807"/>
    <w:rsid w:val="00231AE0"/>
    <w:rsid w:val="00232555"/>
    <w:rsid w:val="00232B09"/>
    <w:rsid w:val="00232C2B"/>
    <w:rsid w:val="00232D8B"/>
    <w:rsid w:val="00233385"/>
    <w:rsid w:val="00237C66"/>
    <w:rsid w:val="002410A8"/>
    <w:rsid w:val="002421B7"/>
    <w:rsid w:val="002425CA"/>
    <w:rsid w:val="00243353"/>
    <w:rsid w:val="00243755"/>
    <w:rsid w:val="002447BE"/>
    <w:rsid w:val="0024578B"/>
    <w:rsid w:val="00245B0A"/>
    <w:rsid w:val="00246235"/>
    <w:rsid w:val="00246B1A"/>
    <w:rsid w:val="00247028"/>
    <w:rsid w:val="00254912"/>
    <w:rsid w:val="00254E25"/>
    <w:rsid w:val="00256366"/>
    <w:rsid w:val="00257C4D"/>
    <w:rsid w:val="002600C3"/>
    <w:rsid w:val="00260FFA"/>
    <w:rsid w:val="00261B60"/>
    <w:rsid w:val="002620C6"/>
    <w:rsid w:val="002633D6"/>
    <w:rsid w:val="0026343F"/>
    <w:rsid w:val="0026362B"/>
    <w:rsid w:val="002636E4"/>
    <w:rsid w:val="00264074"/>
    <w:rsid w:val="00264AAA"/>
    <w:rsid w:val="00267612"/>
    <w:rsid w:val="00267917"/>
    <w:rsid w:val="00270153"/>
    <w:rsid w:val="00270F5D"/>
    <w:rsid w:val="00270FEE"/>
    <w:rsid w:val="00271355"/>
    <w:rsid w:val="0027305F"/>
    <w:rsid w:val="00273F3D"/>
    <w:rsid w:val="00274E88"/>
    <w:rsid w:val="00274F53"/>
    <w:rsid w:val="00275551"/>
    <w:rsid w:val="00280E8C"/>
    <w:rsid w:val="002811C1"/>
    <w:rsid w:val="002819E1"/>
    <w:rsid w:val="00281A5B"/>
    <w:rsid w:val="002820B1"/>
    <w:rsid w:val="0028259D"/>
    <w:rsid w:val="00282805"/>
    <w:rsid w:val="00284282"/>
    <w:rsid w:val="0028448B"/>
    <w:rsid w:val="00285029"/>
    <w:rsid w:val="00285C28"/>
    <w:rsid w:val="0028612F"/>
    <w:rsid w:val="002872CA"/>
    <w:rsid w:val="00287849"/>
    <w:rsid w:val="002929FD"/>
    <w:rsid w:val="00292F7D"/>
    <w:rsid w:val="00295116"/>
    <w:rsid w:val="00295423"/>
    <w:rsid w:val="00296BD9"/>
    <w:rsid w:val="0029773C"/>
    <w:rsid w:val="002979DD"/>
    <w:rsid w:val="00297C76"/>
    <w:rsid w:val="002A0F58"/>
    <w:rsid w:val="002A22DC"/>
    <w:rsid w:val="002A272C"/>
    <w:rsid w:val="002A27A2"/>
    <w:rsid w:val="002A296F"/>
    <w:rsid w:val="002A32E8"/>
    <w:rsid w:val="002A335E"/>
    <w:rsid w:val="002A3AEC"/>
    <w:rsid w:val="002A4A51"/>
    <w:rsid w:val="002A630A"/>
    <w:rsid w:val="002B1BCE"/>
    <w:rsid w:val="002B1E8A"/>
    <w:rsid w:val="002B26D6"/>
    <w:rsid w:val="002B2E51"/>
    <w:rsid w:val="002B32D8"/>
    <w:rsid w:val="002B3AC5"/>
    <w:rsid w:val="002B3D44"/>
    <w:rsid w:val="002B42DE"/>
    <w:rsid w:val="002B690E"/>
    <w:rsid w:val="002B6E24"/>
    <w:rsid w:val="002C1010"/>
    <w:rsid w:val="002C3014"/>
    <w:rsid w:val="002C30BA"/>
    <w:rsid w:val="002C4A33"/>
    <w:rsid w:val="002C4B7A"/>
    <w:rsid w:val="002C5E8B"/>
    <w:rsid w:val="002C5FFF"/>
    <w:rsid w:val="002C647B"/>
    <w:rsid w:val="002C6CF7"/>
    <w:rsid w:val="002D035A"/>
    <w:rsid w:val="002D0AC8"/>
    <w:rsid w:val="002D0F9B"/>
    <w:rsid w:val="002D259C"/>
    <w:rsid w:val="002D29AC"/>
    <w:rsid w:val="002D3216"/>
    <w:rsid w:val="002D406B"/>
    <w:rsid w:val="002D43FB"/>
    <w:rsid w:val="002D4879"/>
    <w:rsid w:val="002D4CB7"/>
    <w:rsid w:val="002D4E81"/>
    <w:rsid w:val="002D570E"/>
    <w:rsid w:val="002D6453"/>
    <w:rsid w:val="002D6DFC"/>
    <w:rsid w:val="002D7111"/>
    <w:rsid w:val="002D74C0"/>
    <w:rsid w:val="002E39D1"/>
    <w:rsid w:val="002E4926"/>
    <w:rsid w:val="002E52DB"/>
    <w:rsid w:val="002E5489"/>
    <w:rsid w:val="002E6C43"/>
    <w:rsid w:val="002E6FDA"/>
    <w:rsid w:val="002E7878"/>
    <w:rsid w:val="002E7D2A"/>
    <w:rsid w:val="002F0657"/>
    <w:rsid w:val="002F1397"/>
    <w:rsid w:val="002F1A9D"/>
    <w:rsid w:val="002F20DC"/>
    <w:rsid w:val="002F367E"/>
    <w:rsid w:val="002F3797"/>
    <w:rsid w:val="002F72CF"/>
    <w:rsid w:val="00300EF8"/>
    <w:rsid w:val="00301513"/>
    <w:rsid w:val="0030333E"/>
    <w:rsid w:val="00303BC7"/>
    <w:rsid w:val="00303FB1"/>
    <w:rsid w:val="003042A2"/>
    <w:rsid w:val="00304496"/>
    <w:rsid w:val="0030457F"/>
    <w:rsid w:val="0030765D"/>
    <w:rsid w:val="00310E42"/>
    <w:rsid w:val="00311368"/>
    <w:rsid w:val="00313420"/>
    <w:rsid w:val="00315190"/>
    <w:rsid w:val="00315215"/>
    <w:rsid w:val="003175CF"/>
    <w:rsid w:val="00320E7C"/>
    <w:rsid w:val="0032221E"/>
    <w:rsid w:val="00322FA3"/>
    <w:rsid w:val="00323E16"/>
    <w:rsid w:val="003240A4"/>
    <w:rsid w:val="0032532C"/>
    <w:rsid w:val="003255AF"/>
    <w:rsid w:val="00325DF1"/>
    <w:rsid w:val="003271AC"/>
    <w:rsid w:val="00330F56"/>
    <w:rsid w:val="00331A77"/>
    <w:rsid w:val="00331AA8"/>
    <w:rsid w:val="003324F5"/>
    <w:rsid w:val="003338F4"/>
    <w:rsid w:val="00333C87"/>
    <w:rsid w:val="00335A90"/>
    <w:rsid w:val="00336ACB"/>
    <w:rsid w:val="00337BEF"/>
    <w:rsid w:val="00340730"/>
    <w:rsid w:val="00340C0A"/>
    <w:rsid w:val="00340EC4"/>
    <w:rsid w:val="00340FE6"/>
    <w:rsid w:val="0034152F"/>
    <w:rsid w:val="00341CE9"/>
    <w:rsid w:val="00341E58"/>
    <w:rsid w:val="00342F94"/>
    <w:rsid w:val="00343759"/>
    <w:rsid w:val="00344561"/>
    <w:rsid w:val="003452C9"/>
    <w:rsid w:val="00345A9E"/>
    <w:rsid w:val="00347054"/>
    <w:rsid w:val="003476D2"/>
    <w:rsid w:val="003478B9"/>
    <w:rsid w:val="00350A07"/>
    <w:rsid w:val="0035290E"/>
    <w:rsid w:val="00352BA5"/>
    <w:rsid w:val="003546B1"/>
    <w:rsid w:val="00354706"/>
    <w:rsid w:val="003557AF"/>
    <w:rsid w:val="003566F3"/>
    <w:rsid w:val="00356A20"/>
    <w:rsid w:val="00356C40"/>
    <w:rsid w:val="00357F9A"/>
    <w:rsid w:val="00357FBF"/>
    <w:rsid w:val="00360798"/>
    <w:rsid w:val="00360D8B"/>
    <w:rsid w:val="00360E26"/>
    <w:rsid w:val="003616B9"/>
    <w:rsid w:val="00362184"/>
    <w:rsid w:val="003632F2"/>
    <w:rsid w:val="00363FF1"/>
    <w:rsid w:val="003650E3"/>
    <w:rsid w:val="0036667F"/>
    <w:rsid w:val="00367D4B"/>
    <w:rsid w:val="00370FF6"/>
    <w:rsid w:val="00372284"/>
    <w:rsid w:val="00373811"/>
    <w:rsid w:val="0037565C"/>
    <w:rsid w:val="00376576"/>
    <w:rsid w:val="00376A15"/>
    <w:rsid w:val="00376B74"/>
    <w:rsid w:val="00377971"/>
    <w:rsid w:val="0038068C"/>
    <w:rsid w:val="00380A86"/>
    <w:rsid w:val="00382182"/>
    <w:rsid w:val="00382507"/>
    <w:rsid w:val="0038308B"/>
    <w:rsid w:val="00383D92"/>
    <w:rsid w:val="00384D7A"/>
    <w:rsid w:val="00385002"/>
    <w:rsid w:val="0038527A"/>
    <w:rsid w:val="00387BFD"/>
    <w:rsid w:val="00387D76"/>
    <w:rsid w:val="00390C95"/>
    <w:rsid w:val="0039112E"/>
    <w:rsid w:val="00394213"/>
    <w:rsid w:val="00394458"/>
    <w:rsid w:val="00394CAA"/>
    <w:rsid w:val="00394D24"/>
    <w:rsid w:val="0039653E"/>
    <w:rsid w:val="003A0CAA"/>
    <w:rsid w:val="003A164E"/>
    <w:rsid w:val="003A1D76"/>
    <w:rsid w:val="003A2B7D"/>
    <w:rsid w:val="003A30FF"/>
    <w:rsid w:val="003A37D2"/>
    <w:rsid w:val="003A4482"/>
    <w:rsid w:val="003A494E"/>
    <w:rsid w:val="003A524D"/>
    <w:rsid w:val="003A5746"/>
    <w:rsid w:val="003A5A44"/>
    <w:rsid w:val="003A68E5"/>
    <w:rsid w:val="003A76AF"/>
    <w:rsid w:val="003B04E3"/>
    <w:rsid w:val="003B1C5E"/>
    <w:rsid w:val="003B2C59"/>
    <w:rsid w:val="003B322E"/>
    <w:rsid w:val="003B5021"/>
    <w:rsid w:val="003B66C8"/>
    <w:rsid w:val="003C0567"/>
    <w:rsid w:val="003C0944"/>
    <w:rsid w:val="003C0B26"/>
    <w:rsid w:val="003C0C00"/>
    <w:rsid w:val="003C2E67"/>
    <w:rsid w:val="003C4723"/>
    <w:rsid w:val="003C504D"/>
    <w:rsid w:val="003C61B4"/>
    <w:rsid w:val="003C6240"/>
    <w:rsid w:val="003C6D6E"/>
    <w:rsid w:val="003C73A5"/>
    <w:rsid w:val="003D0AE4"/>
    <w:rsid w:val="003D0CDD"/>
    <w:rsid w:val="003D184C"/>
    <w:rsid w:val="003D1900"/>
    <w:rsid w:val="003D20A5"/>
    <w:rsid w:val="003D24B0"/>
    <w:rsid w:val="003D4A3B"/>
    <w:rsid w:val="003D4EFE"/>
    <w:rsid w:val="003D5696"/>
    <w:rsid w:val="003D620A"/>
    <w:rsid w:val="003D6667"/>
    <w:rsid w:val="003D7D1A"/>
    <w:rsid w:val="003E3CE1"/>
    <w:rsid w:val="003E402A"/>
    <w:rsid w:val="003E4C27"/>
    <w:rsid w:val="003E55A9"/>
    <w:rsid w:val="003E5C09"/>
    <w:rsid w:val="003E5D33"/>
    <w:rsid w:val="003E7427"/>
    <w:rsid w:val="003E7A1A"/>
    <w:rsid w:val="003F00E5"/>
    <w:rsid w:val="003F093B"/>
    <w:rsid w:val="003F0CE1"/>
    <w:rsid w:val="003F1F62"/>
    <w:rsid w:val="003F29D8"/>
    <w:rsid w:val="003F620C"/>
    <w:rsid w:val="003F6ABE"/>
    <w:rsid w:val="003F6F4A"/>
    <w:rsid w:val="003F7759"/>
    <w:rsid w:val="004005D0"/>
    <w:rsid w:val="0040071F"/>
    <w:rsid w:val="00401833"/>
    <w:rsid w:val="00401D96"/>
    <w:rsid w:val="00402741"/>
    <w:rsid w:val="00402CCF"/>
    <w:rsid w:val="00406A38"/>
    <w:rsid w:val="00406BC0"/>
    <w:rsid w:val="00410349"/>
    <w:rsid w:val="00412518"/>
    <w:rsid w:val="00412961"/>
    <w:rsid w:val="004129F6"/>
    <w:rsid w:val="00413447"/>
    <w:rsid w:val="00413A19"/>
    <w:rsid w:val="00415860"/>
    <w:rsid w:val="00416F49"/>
    <w:rsid w:val="00417252"/>
    <w:rsid w:val="004205B5"/>
    <w:rsid w:val="00420969"/>
    <w:rsid w:val="00420FCE"/>
    <w:rsid w:val="00421B5E"/>
    <w:rsid w:val="00421E4B"/>
    <w:rsid w:val="00422720"/>
    <w:rsid w:val="00422E57"/>
    <w:rsid w:val="00423629"/>
    <w:rsid w:val="00425132"/>
    <w:rsid w:val="00425DD1"/>
    <w:rsid w:val="004272A1"/>
    <w:rsid w:val="004274AC"/>
    <w:rsid w:val="004278B1"/>
    <w:rsid w:val="00430F1F"/>
    <w:rsid w:val="00431AA8"/>
    <w:rsid w:val="00432E91"/>
    <w:rsid w:val="004330EE"/>
    <w:rsid w:val="00434CB7"/>
    <w:rsid w:val="004351FE"/>
    <w:rsid w:val="004356BF"/>
    <w:rsid w:val="0043692A"/>
    <w:rsid w:val="004372DD"/>
    <w:rsid w:val="0043731C"/>
    <w:rsid w:val="00437838"/>
    <w:rsid w:val="00440172"/>
    <w:rsid w:val="00440404"/>
    <w:rsid w:val="00440A1D"/>
    <w:rsid w:val="00442E67"/>
    <w:rsid w:val="00444B28"/>
    <w:rsid w:val="0044772A"/>
    <w:rsid w:val="00447C12"/>
    <w:rsid w:val="004506DF"/>
    <w:rsid w:val="00450F7F"/>
    <w:rsid w:val="00451326"/>
    <w:rsid w:val="00452BE0"/>
    <w:rsid w:val="00454B36"/>
    <w:rsid w:val="00456DEC"/>
    <w:rsid w:val="0045738B"/>
    <w:rsid w:val="00457E42"/>
    <w:rsid w:val="004618A1"/>
    <w:rsid w:val="004623F2"/>
    <w:rsid w:val="004627B4"/>
    <w:rsid w:val="00462934"/>
    <w:rsid w:val="00462CC9"/>
    <w:rsid w:val="00462E19"/>
    <w:rsid w:val="00464D92"/>
    <w:rsid w:val="00465195"/>
    <w:rsid w:val="0046632F"/>
    <w:rsid w:val="0046636B"/>
    <w:rsid w:val="004709F3"/>
    <w:rsid w:val="00470E0D"/>
    <w:rsid w:val="00471690"/>
    <w:rsid w:val="004728EC"/>
    <w:rsid w:val="00472C2F"/>
    <w:rsid w:val="00474335"/>
    <w:rsid w:val="004751B0"/>
    <w:rsid w:val="00475E0C"/>
    <w:rsid w:val="00476D2B"/>
    <w:rsid w:val="004816D2"/>
    <w:rsid w:val="00481D1F"/>
    <w:rsid w:val="00482971"/>
    <w:rsid w:val="0048318C"/>
    <w:rsid w:val="00483B32"/>
    <w:rsid w:val="00483CCB"/>
    <w:rsid w:val="00485680"/>
    <w:rsid w:val="00485E0A"/>
    <w:rsid w:val="004862C2"/>
    <w:rsid w:val="00486B76"/>
    <w:rsid w:val="004877B4"/>
    <w:rsid w:val="00487AAC"/>
    <w:rsid w:val="00487CBC"/>
    <w:rsid w:val="00487D19"/>
    <w:rsid w:val="00492764"/>
    <w:rsid w:val="004929E0"/>
    <w:rsid w:val="00492A05"/>
    <w:rsid w:val="0049329D"/>
    <w:rsid w:val="004933B6"/>
    <w:rsid w:val="00493935"/>
    <w:rsid w:val="00494593"/>
    <w:rsid w:val="00496FB1"/>
    <w:rsid w:val="00497050"/>
    <w:rsid w:val="00497A03"/>
    <w:rsid w:val="004A0A52"/>
    <w:rsid w:val="004A0A88"/>
    <w:rsid w:val="004A16FD"/>
    <w:rsid w:val="004A1E6E"/>
    <w:rsid w:val="004A2AD0"/>
    <w:rsid w:val="004A406B"/>
    <w:rsid w:val="004A4F4F"/>
    <w:rsid w:val="004A71AA"/>
    <w:rsid w:val="004A7DD9"/>
    <w:rsid w:val="004A7E86"/>
    <w:rsid w:val="004B04C2"/>
    <w:rsid w:val="004B0543"/>
    <w:rsid w:val="004B0AA6"/>
    <w:rsid w:val="004B12C7"/>
    <w:rsid w:val="004B18FC"/>
    <w:rsid w:val="004B1C68"/>
    <w:rsid w:val="004B27B3"/>
    <w:rsid w:val="004B2BD0"/>
    <w:rsid w:val="004B3720"/>
    <w:rsid w:val="004B3DF6"/>
    <w:rsid w:val="004B3F94"/>
    <w:rsid w:val="004B4880"/>
    <w:rsid w:val="004B6478"/>
    <w:rsid w:val="004B71A7"/>
    <w:rsid w:val="004B76B8"/>
    <w:rsid w:val="004B7EE7"/>
    <w:rsid w:val="004C0C51"/>
    <w:rsid w:val="004C10A8"/>
    <w:rsid w:val="004C1AF4"/>
    <w:rsid w:val="004C1FAD"/>
    <w:rsid w:val="004C52AB"/>
    <w:rsid w:val="004C52F2"/>
    <w:rsid w:val="004C63EC"/>
    <w:rsid w:val="004C6DA1"/>
    <w:rsid w:val="004C71BE"/>
    <w:rsid w:val="004D176A"/>
    <w:rsid w:val="004D23F7"/>
    <w:rsid w:val="004D2C3E"/>
    <w:rsid w:val="004D3450"/>
    <w:rsid w:val="004D35D1"/>
    <w:rsid w:val="004D3AD3"/>
    <w:rsid w:val="004D3ADD"/>
    <w:rsid w:val="004D5565"/>
    <w:rsid w:val="004D6643"/>
    <w:rsid w:val="004D6C2D"/>
    <w:rsid w:val="004D7B42"/>
    <w:rsid w:val="004E2DF9"/>
    <w:rsid w:val="004E3015"/>
    <w:rsid w:val="004E3962"/>
    <w:rsid w:val="004E3BE3"/>
    <w:rsid w:val="004E4143"/>
    <w:rsid w:val="004E45BD"/>
    <w:rsid w:val="004E5323"/>
    <w:rsid w:val="004E53FC"/>
    <w:rsid w:val="004E58B4"/>
    <w:rsid w:val="004E5B5C"/>
    <w:rsid w:val="004E70D1"/>
    <w:rsid w:val="004E78E3"/>
    <w:rsid w:val="004E7D60"/>
    <w:rsid w:val="004E7D72"/>
    <w:rsid w:val="004F0154"/>
    <w:rsid w:val="004F124C"/>
    <w:rsid w:val="004F275D"/>
    <w:rsid w:val="004F4D8D"/>
    <w:rsid w:val="004F61B4"/>
    <w:rsid w:val="004F6F6E"/>
    <w:rsid w:val="004F7987"/>
    <w:rsid w:val="00500858"/>
    <w:rsid w:val="00501C60"/>
    <w:rsid w:val="005027A7"/>
    <w:rsid w:val="00503793"/>
    <w:rsid w:val="00504354"/>
    <w:rsid w:val="00504544"/>
    <w:rsid w:val="005048D4"/>
    <w:rsid w:val="0050578F"/>
    <w:rsid w:val="005063D9"/>
    <w:rsid w:val="00506A3C"/>
    <w:rsid w:val="00507421"/>
    <w:rsid w:val="00507925"/>
    <w:rsid w:val="00507FA6"/>
    <w:rsid w:val="005109F4"/>
    <w:rsid w:val="00515011"/>
    <w:rsid w:val="005150DC"/>
    <w:rsid w:val="00515163"/>
    <w:rsid w:val="00515282"/>
    <w:rsid w:val="005153F3"/>
    <w:rsid w:val="00515D78"/>
    <w:rsid w:val="005166B5"/>
    <w:rsid w:val="00516702"/>
    <w:rsid w:val="00522943"/>
    <w:rsid w:val="005232D8"/>
    <w:rsid w:val="00524571"/>
    <w:rsid w:val="005252A6"/>
    <w:rsid w:val="00527169"/>
    <w:rsid w:val="005302AE"/>
    <w:rsid w:val="0053069B"/>
    <w:rsid w:val="00530ED2"/>
    <w:rsid w:val="0053168D"/>
    <w:rsid w:val="00531C71"/>
    <w:rsid w:val="0053261F"/>
    <w:rsid w:val="00532A68"/>
    <w:rsid w:val="00532C33"/>
    <w:rsid w:val="00532F65"/>
    <w:rsid w:val="005338F0"/>
    <w:rsid w:val="00534B0F"/>
    <w:rsid w:val="005358FC"/>
    <w:rsid w:val="00540333"/>
    <w:rsid w:val="00540C23"/>
    <w:rsid w:val="00543133"/>
    <w:rsid w:val="00545CF4"/>
    <w:rsid w:val="00545F35"/>
    <w:rsid w:val="00547466"/>
    <w:rsid w:val="005500C5"/>
    <w:rsid w:val="00550998"/>
    <w:rsid w:val="005514B8"/>
    <w:rsid w:val="00551D69"/>
    <w:rsid w:val="005524E0"/>
    <w:rsid w:val="00552D3F"/>
    <w:rsid w:val="005533B4"/>
    <w:rsid w:val="00556926"/>
    <w:rsid w:val="00557192"/>
    <w:rsid w:val="005601CD"/>
    <w:rsid w:val="00561837"/>
    <w:rsid w:val="00562880"/>
    <w:rsid w:val="00562E40"/>
    <w:rsid w:val="00563501"/>
    <w:rsid w:val="0056371E"/>
    <w:rsid w:val="00564C86"/>
    <w:rsid w:val="00565A73"/>
    <w:rsid w:val="00567144"/>
    <w:rsid w:val="0056734A"/>
    <w:rsid w:val="00567C68"/>
    <w:rsid w:val="00570118"/>
    <w:rsid w:val="005703F5"/>
    <w:rsid w:val="005710D1"/>
    <w:rsid w:val="005712E6"/>
    <w:rsid w:val="00571A1C"/>
    <w:rsid w:val="00571EE7"/>
    <w:rsid w:val="005739EA"/>
    <w:rsid w:val="00576FFA"/>
    <w:rsid w:val="00577F1A"/>
    <w:rsid w:val="0058016D"/>
    <w:rsid w:val="00580967"/>
    <w:rsid w:val="005814AD"/>
    <w:rsid w:val="00582298"/>
    <w:rsid w:val="00582D18"/>
    <w:rsid w:val="00582EA6"/>
    <w:rsid w:val="0058401A"/>
    <w:rsid w:val="005844DB"/>
    <w:rsid w:val="00585451"/>
    <w:rsid w:val="00585CD2"/>
    <w:rsid w:val="00587049"/>
    <w:rsid w:val="0059012E"/>
    <w:rsid w:val="00590B69"/>
    <w:rsid w:val="00590D7F"/>
    <w:rsid w:val="0059153B"/>
    <w:rsid w:val="00591DB4"/>
    <w:rsid w:val="0059262D"/>
    <w:rsid w:val="0059271E"/>
    <w:rsid w:val="00592A17"/>
    <w:rsid w:val="005940C7"/>
    <w:rsid w:val="0059414F"/>
    <w:rsid w:val="005945E1"/>
    <w:rsid w:val="005969BE"/>
    <w:rsid w:val="0059705A"/>
    <w:rsid w:val="005974D4"/>
    <w:rsid w:val="005A1471"/>
    <w:rsid w:val="005A1540"/>
    <w:rsid w:val="005A1D2F"/>
    <w:rsid w:val="005A21D0"/>
    <w:rsid w:val="005A2F50"/>
    <w:rsid w:val="005A3DBC"/>
    <w:rsid w:val="005A43DF"/>
    <w:rsid w:val="005A4F32"/>
    <w:rsid w:val="005A5A0B"/>
    <w:rsid w:val="005A62FD"/>
    <w:rsid w:val="005A6A75"/>
    <w:rsid w:val="005A6C6A"/>
    <w:rsid w:val="005A6DF5"/>
    <w:rsid w:val="005B00AF"/>
    <w:rsid w:val="005B05CD"/>
    <w:rsid w:val="005B17CE"/>
    <w:rsid w:val="005B2B3D"/>
    <w:rsid w:val="005B42C2"/>
    <w:rsid w:val="005B621A"/>
    <w:rsid w:val="005B6782"/>
    <w:rsid w:val="005B7191"/>
    <w:rsid w:val="005B79D7"/>
    <w:rsid w:val="005B7FC2"/>
    <w:rsid w:val="005C0C32"/>
    <w:rsid w:val="005C0DFE"/>
    <w:rsid w:val="005C1098"/>
    <w:rsid w:val="005C11DA"/>
    <w:rsid w:val="005C2792"/>
    <w:rsid w:val="005C31D1"/>
    <w:rsid w:val="005C3687"/>
    <w:rsid w:val="005C4054"/>
    <w:rsid w:val="005C7DAA"/>
    <w:rsid w:val="005D0A6C"/>
    <w:rsid w:val="005D2502"/>
    <w:rsid w:val="005D396A"/>
    <w:rsid w:val="005D3996"/>
    <w:rsid w:val="005D3BB8"/>
    <w:rsid w:val="005D4453"/>
    <w:rsid w:val="005D454D"/>
    <w:rsid w:val="005D4C41"/>
    <w:rsid w:val="005D513A"/>
    <w:rsid w:val="005D5D88"/>
    <w:rsid w:val="005E02A0"/>
    <w:rsid w:val="005E0B88"/>
    <w:rsid w:val="005E15DA"/>
    <w:rsid w:val="005E1BB8"/>
    <w:rsid w:val="005E2063"/>
    <w:rsid w:val="005E4080"/>
    <w:rsid w:val="005E43AA"/>
    <w:rsid w:val="005E5F31"/>
    <w:rsid w:val="005E6C2C"/>
    <w:rsid w:val="005E6F05"/>
    <w:rsid w:val="005E7A82"/>
    <w:rsid w:val="005E7AD0"/>
    <w:rsid w:val="005F101A"/>
    <w:rsid w:val="005F13F7"/>
    <w:rsid w:val="005F22C2"/>
    <w:rsid w:val="005F2E5E"/>
    <w:rsid w:val="005F3BD2"/>
    <w:rsid w:val="005F4451"/>
    <w:rsid w:val="005F5022"/>
    <w:rsid w:val="005F54DD"/>
    <w:rsid w:val="005F6F70"/>
    <w:rsid w:val="005F7452"/>
    <w:rsid w:val="00600DD3"/>
    <w:rsid w:val="00600EA4"/>
    <w:rsid w:val="00602076"/>
    <w:rsid w:val="00602740"/>
    <w:rsid w:val="00604549"/>
    <w:rsid w:val="00604FF4"/>
    <w:rsid w:val="00605D3E"/>
    <w:rsid w:val="0060727E"/>
    <w:rsid w:val="00610240"/>
    <w:rsid w:val="00611270"/>
    <w:rsid w:val="00611765"/>
    <w:rsid w:val="00611C4D"/>
    <w:rsid w:val="0061294B"/>
    <w:rsid w:val="00612F1E"/>
    <w:rsid w:val="00613546"/>
    <w:rsid w:val="0061385F"/>
    <w:rsid w:val="00613B7C"/>
    <w:rsid w:val="00615479"/>
    <w:rsid w:val="00617773"/>
    <w:rsid w:val="00617B45"/>
    <w:rsid w:val="00620343"/>
    <w:rsid w:val="00620C84"/>
    <w:rsid w:val="00621AFE"/>
    <w:rsid w:val="006238E9"/>
    <w:rsid w:val="00623DC7"/>
    <w:rsid w:val="00624BCA"/>
    <w:rsid w:val="006252CE"/>
    <w:rsid w:val="00626683"/>
    <w:rsid w:val="00626D2F"/>
    <w:rsid w:val="00630894"/>
    <w:rsid w:val="00630AB2"/>
    <w:rsid w:val="006317FE"/>
    <w:rsid w:val="006329B7"/>
    <w:rsid w:val="0063320F"/>
    <w:rsid w:val="00634537"/>
    <w:rsid w:val="00634590"/>
    <w:rsid w:val="0063515D"/>
    <w:rsid w:val="00636488"/>
    <w:rsid w:val="00636AAD"/>
    <w:rsid w:val="00636D47"/>
    <w:rsid w:val="006422A0"/>
    <w:rsid w:val="00642F9A"/>
    <w:rsid w:val="00643F04"/>
    <w:rsid w:val="00644675"/>
    <w:rsid w:val="006446AE"/>
    <w:rsid w:val="00644879"/>
    <w:rsid w:val="00645516"/>
    <w:rsid w:val="0064567E"/>
    <w:rsid w:val="00645A21"/>
    <w:rsid w:val="0064642C"/>
    <w:rsid w:val="00647524"/>
    <w:rsid w:val="00650B13"/>
    <w:rsid w:val="00655036"/>
    <w:rsid w:val="00655147"/>
    <w:rsid w:val="00660F01"/>
    <w:rsid w:val="006618D4"/>
    <w:rsid w:val="00661FCB"/>
    <w:rsid w:val="006622B3"/>
    <w:rsid w:val="0066301D"/>
    <w:rsid w:val="00663898"/>
    <w:rsid w:val="006644A1"/>
    <w:rsid w:val="00665996"/>
    <w:rsid w:val="00667834"/>
    <w:rsid w:val="00667C84"/>
    <w:rsid w:val="00671A0A"/>
    <w:rsid w:val="00673CDA"/>
    <w:rsid w:val="00676587"/>
    <w:rsid w:val="0067682B"/>
    <w:rsid w:val="00676D0F"/>
    <w:rsid w:val="00680863"/>
    <w:rsid w:val="006808F9"/>
    <w:rsid w:val="006815E1"/>
    <w:rsid w:val="006832AE"/>
    <w:rsid w:val="00684F81"/>
    <w:rsid w:val="00686106"/>
    <w:rsid w:val="00687F87"/>
    <w:rsid w:val="00690889"/>
    <w:rsid w:val="00690BF7"/>
    <w:rsid w:val="006912AE"/>
    <w:rsid w:val="00693411"/>
    <w:rsid w:val="00693780"/>
    <w:rsid w:val="00693D48"/>
    <w:rsid w:val="006946E6"/>
    <w:rsid w:val="0069648D"/>
    <w:rsid w:val="006965B8"/>
    <w:rsid w:val="00697802"/>
    <w:rsid w:val="0069781A"/>
    <w:rsid w:val="006A0378"/>
    <w:rsid w:val="006A09CC"/>
    <w:rsid w:val="006A20A0"/>
    <w:rsid w:val="006A218B"/>
    <w:rsid w:val="006A24DD"/>
    <w:rsid w:val="006A4643"/>
    <w:rsid w:val="006A4B07"/>
    <w:rsid w:val="006A51DF"/>
    <w:rsid w:val="006A5E02"/>
    <w:rsid w:val="006A6572"/>
    <w:rsid w:val="006A76F7"/>
    <w:rsid w:val="006B0B03"/>
    <w:rsid w:val="006B1786"/>
    <w:rsid w:val="006B326D"/>
    <w:rsid w:val="006B4BED"/>
    <w:rsid w:val="006B68DE"/>
    <w:rsid w:val="006B6AD1"/>
    <w:rsid w:val="006B6DC8"/>
    <w:rsid w:val="006B7B8C"/>
    <w:rsid w:val="006B7C55"/>
    <w:rsid w:val="006C2112"/>
    <w:rsid w:val="006C4FA7"/>
    <w:rsid w:val="006C5283"/>
    <w:rsid w:val="006C70AE"/>
    <w:rsid w:val="006C736E"/>
    <w:rsid w:val="006C77AE"/>
    <w:rsid w:val="006C7957"/>
    <w:rsid w:val="006C7E56"/>
    <w:rsid w:val="006D019D"/>
    <w:rsid w:val="006D15A7"/>
    <w:rsid w:val="006D1C61"/>
    <w:rsid w:val="006D2F78"/>
    <w:rsid w:val="006D3302"/>
    <w:rsid w:val="006D3D03"/>
    <w:rsid w:val="006D48C2"/>
    <w:rsid w:val="006D4F35"/>
    <w:rsid w:val="006D5F12"/>
    <w:rsid w:val="006D6762"/>
    <w:rsid w:val="006D6C56"/>
    <w:rsid w:val="006D77ED"/>
    <w:rsid w:val="006E190F"/>
    <w:rsid w:val="006E1A1B"/>
    <w:rsid w:val="006E26B6"/>
    <w:rsid w:val="006E2A5D"/>
    <w:rsid w:val="006E2E93"/>
    <w:rsid w:val="006E375A"/>
    <w:rsid w:val="006E3FA8"/>
    <w:rsid w:val="006E43AE"/>
    <w:rsid w:val="006E5306"/>
    <w:rsid w:val="006E5534"/>
    <w:rsid w:val="006E64F3"/>
    <w:rsid w:val="006E736C"/>
    <w:rsid w:val="006F0E7F"/>
    <w:rsid w:val="006F1229"/>
    <w:rsid w:val="006F4007"/>
    <w:rsid w:val="006F40B3"/>
    <w:rsid w:val="006F59C0"/>
    <w:rsid w:val="006F6F2B"/>
    <w:rsid w:val="006F7AF8"/>
    <w:rsid w:val="00701470"/>
    <w:rsid w:val="007025B0"/>
    <w:rsid w:val="00702B30"/>
    <w:rsid w:val="00703202"/>
    <w:rsid w:val="0070390C"/>
    <w:rsid w:val="00703F61"/>
    <w:rsid w:val="00704579"/>
    <w:rsid w:val="007048B8"/>
    <w:rsid w:val="007057BF"/>
    <w:rsid w:val="00705D45"/>
    <w:rsid w:val="0070602D"/>
    <w:rsid w:val="007074B2"/>
    <w:rsid w:val="007110E2"/>
    <w:rsid w:val="00712913"/>
    <w:rsid w:val="00712BB7"/>
    <w:rsid w:val="00713C01"/>
    <w:rsid w:val="00713FCB"/>
    <w:rsid w:val="00715B86"/>
    <w:rsid w:val="007171BB"/>
    <w:rsid w:val="00721C23"/>
    <w:rsid w:val="00723342"/>
    <w:rsid w:val="007235E6"/>
    <w:rsid w:val="00724855"/>
    <w:rsid w:val="007261CD"/>
    <w:rsid w:val="00726C43"/>
    <w:rsid w:val="00731CB4"/>
    <w:rsid w:val="00732835"/>
    <w:rsid w:val="00732F39"/>
    <w:rsid w:val="0073546E"/>
    <w:rsid w:val="0073609D"/>
    <w:rsid w:val="00740045"/>
    <w:rsid w:val="007406A6"/>
    <w:rsid w:val="00740F6A"/>
    <w:rsid w:val="0074120E"/>
    <w:rsid w:val="007415FE"/>
    <w:rsid w:val="00741927"/>
    <w:rsid w:val="00741C8B"/>
    <w:rsid w:val="00742EDB"/>
    <w:rsid w:val="00743AAA"/>
    <w:rsid w:val="007442DA"/>
    <w:rsid w:val="0074498D"/>
    <w:rsid w:val="0074544B"/>
    <w:rsid w:val="00745C68"/>
    <w:rsid w:val="00745E15"/>
    <w:rsid w:val="00746214"/>
    <w:rsid w:val="00746A83"/>
    <w:rsid w:val="00747B98"/>
    <w:rsid w:val="00750958"/>
    <w:rsid w:val="00753138"/>
    <w:rsid w:val="00753254"/>
    <w:rsid w:val="00753299"/>
    <w:rsid w:val="00753AF9"/>
    <w:rsid w:val="00753BA6"/>
    <w:rsid w:val="007552CF"/>
    <w:rsid w:val="00755AD9"/>
    <w:rsid w:val="00755BCB"/>
    <w:rsid w:val="007567D2"/>
    <w:rsid w:val="00756959"/>
    <w:rsid w:val="007609A0"/>
    <w:rsid w:val="0076139C"/>
    <w:rsid w:val="00762B0D"/>
    <w:rsid w:val="007642C5"/>
    <w:rsid w:val="007658AC"/>
    <w:rsid w:val="00765F57"/>
    <w:rsid w:val="00766FC0"/>
    <w:rsid w:val="00767C6D"/>
    <w:rsid w:val="0077060C"/>
    <w:rsid w:val="00771504"/>
    <w:rsid w:val="00771B9D"/>
    <w:rsid w:val="00772B9E"/>
    <w:rsid w:val="007744E0"/>
    <w:rsid w:val="00775251"/>
    <w:rsid w:val="00775AD2"/>
    <w:rsid w:val="0077647B"/>
    <w:rsid w:val="00777E67"/>
    <w:rsid w:val="007805C4"/>
    <w:rsid w:val="007808C1"/>
    <w:rsid w:val="00780EE2"/>
    <w:rsid w:val="007818A9"/>
    <w:rsid w:val="007818FF"/>
    <w:rsid w:val="00782305"/>
    <w:rsid w:val="0078294F"/>
    <w:rsid w:val="00784C38"/>
    <w:rsid w:val="00784FD4"/>
    <w:rsid w:val="007860EB"/>
    <w:rsid w:val="0078616A"/>
    <w:rsid w:val="00786708"/>
    <w:rsid w:val="00786BBD"/>
    <w:rsid w:val="00787CB7"/>
    <w:rsid w:val="0079145D"/>
    <w:rsid w:val="00791BB3"/>
    <w:rsid w:val="00792D5F"/>
    <w:rsid w:val="00794600"/>
    <w:rsid w:val="00795283"/>
    <w:rsid w:val="00795554"/>
    <w:rsid w:val="007978FC"/>
    <w:rsid w:val="00797FF8"/>
    <w:rsid w:val="007A05EF"/>
    <w:rsid w:val="007A1F7F"/>
    <w:rsid w:val="007A238A"/>
    <w:rsid w:val="007A3E86"/>
    <w:rsid w:val="007A417C"/>
    <w:rsid w:val="007A5A17"/>
    <w:rsid w:val="007A67C8"/>
    <w:rsid w:val="007A7C1D"/>
    <w:rsid w:val="007B0A83"/>
    <w:rsid w:val="007B10AA"/>
    <w:rsid w:val="007B20B0"/>
    <w:rsid w:val="007B2E8C"/>
    <w:rsid w:val="007B4810"/>
    <w:rsid w:val="007B5062"/>
    <w:rsid w:val="007B5BED"/>
    <w:rsid w:val="007B6EF2"/>
    <w:rsid w:val="007B714F"/>
    <w:rsid w:val="007B78A7"/>
    <w:rsid w:val="007C02CB"/>
    <w:rsid w:val="007C1088"/>
    <w:rsid w:val="007C159A"/>
    <w:rsid w:val="007C1615"/>
    <w:rsid w:val="007C1EC7"/>
    <w:rsid w:val="007C28BB"/>
    <w:rsid w:val="007C4EEE"/>
    <w:rsid w:val="007C5327"/>
    <w:rsid w:val="007C5950"/>
    <w:rsid w:val="007C6FE3"/>
    <w:rsid w:val="007C759C"/>
    <w:rsid w:val="007D0DB5"/>
    <w:rsid w:val="007D2921"/>
    <w:rsid w:val="007D2AB1"/>
    <w:rsid w:val="007D307A"/>
    <w:rsid w:val="007D50B1"/>
    <w:rsid w:val="007E05E7"/>
    <w:rsid w:val="007E08B0"/>
    <w:rsid w:val="007E0A38"/>
    <w:rsid w:val="007E0E0C"/>
    <w:rsid w:val="007E1078"/>
    <w:rsid w:val="007E135C"/>
    <w:rsid w:val="007E2128"/>
    <w:rsid w:val="007E28E7"/>
    <w:rsid w:val="007E3027"/>
    <w:rsid w:val="007E4BC0"/>
    <w:rsid w:val="007E530E"/>
    <w:rsid w:val="007E7695"/>
    <w:rsid w:val="007F0E1D"/>
    <w:rsid w:val="007F1024"/>
    <w:rsid w:val="007F279E"/>
    <w:rsid w:val="007F3107"/>
    <w:rsid w:val="007F3323"/>
    <w:rsid w:val="007F49C3"/>
    <w:rsid w:val="007F57BD"/>
    <w:rsid w:val="007F5B75"/>
    <w:rsid w:val="007F71CE"/>
    <w:rsid w:val="007F7E2F"/>
    <w:rsid w:val="008018E8"/>
    <w:rsid w:val="00802897"/>
    <w:rsid w:val="00803205"/>
    <w:rsid w:val="008039A4"/>
    <w:rsid w:val="0080441F"/>
    <w:rsid w:val="00804E3C"/>
    <w:rsid w:val="008063C1"/>
    <w:rsid w:val="00811062"/>
    <w:rsid w:val="008111AB"/>
    <w:rsid w:val="00811B8A"/>
    <w:rsid w:val="00811C2C"/>
    <w:rsid w:val="008132FD"/>
    <w:rsid w:val="008136B1"/>
    <w:rsid w:val="0081398F"/>
    <w:rsid w:val="00813E1E"/>
    <w:rsid w:val="00813F2C"/>
    <w:rsid w:val="00813F83"/>
    <w:rsid w:val="008140DB"/>
    <w:rsid w:val="0081459A"/>
    <w:rsid w:val="00814C76"/>
    <w:rsid w:val="008170FB"/>
    <w:rsid w:val="00821427"/>
    <w:rsid w:val="0082201F"/>
    <w:rsid w:val="00822A5F"/>
    <w:rsid w:val="00822D26"/>
    <w:rsid w:val="008242D0"/>
    <w:rsid w:val="00824FB2"/>
    <w:rsid w:val="00825653"/>
    <w:rsid w:val="00825CD6"/>
    <w:rsid w:val="00827D72"/>
    <w:rsid w:val="00830215"/>
    <w:rsid w:val="00830376"/>
    <w:rsid w:val="0083099E"/>
    <w:rsid w:val="008326C7"/>
    <w:rsid w:val="00833FAD"/>
    <w:rsid w:val="00834B08"/>
    <w:rsid w:val="00835E99"/>
    <w:rsid w:val="00837198"/>
    <w:rsid w:val="0083761D"/>
    <w:rsid w:val="00841E72"/>
    <w:rsid w:val="008424EF"/>
    <w:rsid w:val="00842E8A"/>
    <w:rsid w:val="008431B9"/>
    <w:rsid w:val="00843C22"/>
    <w:rsid w:val="008440B7"/>
    <w:rsid w:val="0084443D"/>
    <w:rsid w:val="00844F01"/>
    <w:rsid w:val="008452B1"/>
    <w:rsid w:val="008452CD"/>
    <w:rsid w:val="00845AC4"/>
    <w:rsid w:val="00846D30"/>
    <w:rsid w:val="00847938"/>
    <w:rsid w:val="008517F1"/>
    <w:rsid w:val="00852BA4"/>
    <w:rsid w:val="00852C5F"/>
    <w:rsid w:val="00853820"/>
    <w:rsid w:val="008538ED"/>
    <w:rsid w:val="00856B5C"/>
    <w:rsid w:val="00856C6E"/>
    <w:rsid w:val="00857244"/>
    <w:rsid w:val="008573C0"/>
    <w:rsid w:val="0086098A"/>
    <w:rsid w:val="00860B84"/>
    <w:rsid w:val="0086131C"/>
    <w:rsid w:val="0086148A"/>
    <w:rsid w:val="00861B48"/>
    <w:rsid w:val="00864F18"/>
    <w:rsid w:val="00865DAB"/>
    <w:rsid w:val="00866EC3"/>
    <w:rsid w:val="00870454"/>
    <w:rsid w:val="0087167C"/>
    <w:rsid w:val="00871A0B"/>
    <w:rsid w:val="00872219"/>
    <w:rsid w:val="00873522"/>
    <w:rsid w:val="008765BA"/>
    <w:rsid w:val="008766F3"/>
    <w:rsid w:val="008777BC"/>
    <w:rsid w:val="00877E3E"/>
    <w:rsid w:val="0088089C"/>
    <w:rsid w:val="00883221"/>
    <w:rsid w:val="0088504D"/>
    <w:rsid w:val="00885A08"/>
    <w:rsid w:val="00885CC1"/>
    <w:rsid w:val="00886109"/>
    <w:rsid w:val="00886C45"/>
    <w:rsid w:val="008879D9"/>
    <w:rsid w:val="00890DC0"/>
    <w:rsid w:val="00891107"/>
    <w:rsid w:val="00892715"/>
    <w:rsid w:val="008932EE"/>
    <w:rsid w:val="0089446C"/>
    <w:rsid w:val="0089490A"/>
    <w:rsid w:val="0089557B"/>
    <w:rsid w:val="008961DF"/>
    <w:rsid w:val="00896334"/>
    <w:rsid w:val="008A00E8"/>
    <w:rsid w:val="008A04FB"/>
    <w:rsid w:val="008A0759"/>
    <w:rsid w:val="008A0CFD"/>
    <w:rsid w:val="008A1FCA"/>
    <w:rsid w:val="008A26E9"/>
    <w:rsid w:val="008A2F57"/>
    <w:rsid w:val="008A436F"/>
    <w:rsid w:val="008A4FD8"/>
    <w:rsid w:val="008B3882"/>
    <w:rsid w:val="008B5BCC"/>
    <w:rsid w:val="008B7060"/>
    <w:rsid w:val="008C16BB"/>
    <w:rsid w:val="008C266C"/>
    <w:rsid w:val="008C2676"/>
    <w:rsid w:val="008C2776"/>
    <w:rsid w:val="008C2E4B"/>
    <w:rsid w:val="008C3130"/>
    <w:rsid w:val="008C465F"/>
    <w:rsid w:val="008C5292"/>
    <w:rsid w:val="008C64E9"/>
    <w:rsid w:val="008C70EF"/>
    <w:rsid w:val="008D59C5"/>
    <w:rsid w:val="008D59F2"/>
    <w:rsid w:val="008D5BF8"/>
    <w:rsid w:val="008D6090"/>
    <w:rsid w:val="008D6C1D"/>
    <w:rsid w:val="008D7D55"/>
    <w:rsid w:val="008E213B"/>
    <w:rsid w:val="008E2261"/>
    <w:rsid w:val="008E292F"/>
    <w:rsid w:val="008E30A6"/>
    <w:rsid w:val="008E339E"/>
    <w:rsid w:val="008E340D"/>
    <w:rsid w:val="008E34FC"/>
    <w:rsid w:val="008E3CEA"/>
    <w:rsid w:val="008E3D56"/>
    <w:rsid w:val="008E3DDE"/>
    <w:rsid w:val="008E4DB2"/>
    <w:rsid w:val="008E502E"/>
    <w:rsid w:val="008E5E3F"/>
    <w:rsid w:val="008E6AA9"/>
    <w:rsid w:val="008E769F"/>
    <w:rsid w:val="008E78FD"/>
    <w:rsid w:val="008E790A"/>
    <w:rsid w:val="008F01DF"/>
    <w:rsid w:val="008F0AB0"/>
    <w:rsid w:val="008F12BA"/>
    <w:rsid w:val="008F1D0F"/>
    <w:rsid w:val="008F1FEE"/>
    <w:rsid w:val="008F237A"/>
    <w:rsid w:val="008F2AB3"/>
    <w:rsid w:val="008F43A1"/>
    <w:rsid w:val="008F4AA1"/>
    <w:rsid w:val="008F608C"/>
    <w:rsid w:val="008F6DDC"/>
    <w:rsid w:val="008F77BF"/>
    <w:rsid w:val="0090051A"/>
    <w:rsid w:val="009007F2"/>
    <w:rsid w:val="0090099E"/>
    <w:rsid w:val="00901DD1"/>
    <w:rsid w:val="00902021"/>
    <w:rsid w:val="00902451"/>
    <w:rsid w:val="009041E3"/>
    <w:rsid w:val="00904FF1"/>
    <w:rsid w:val="009067AE"/>
    <w:rsid w:val="00906CAB"/>
    <w:rsid w:val="00911670"/>
    <w:rsid w:val="00915EE1"/>
    <w:rsid w:val="00916836"/>
    <w:rsid w:val="00916A16"/>
    <w:rsid w:val="00916C3D"/>
    <w:rsid w:val="0091740E"/>
    <w:rsid w:val="009175F5"/>
    <w:rsid w:val="00921744"/>
    <w:rsid w:val="0092179D"/>
    <w:rsid w:val="00921D88"/>
    <w:rsid w:val="00922CCE"/>
    <w:rsid w:val="009244C5"/>
    <w:rsid w:val="009244C6"/>
    <w:rsid w:val="00930628"/>
    <w:rsid w:val="009316A0"/>
    <w:rsid w:val="00933BEC"/>
    <w:rsid w:val="009349E7"/>
    <w:rsid w:val="009352AD"/>
    <w:rsid w:val="00937ADC"/>
    <w:rsid w:val="00937D19"/>
    <w:rsid w:val="009403BD"/>
    <w:rsid w:val="009410C3"/>
    <w:rsid w:val="00941C5D"/>
    <w:rsid w:val="00941D3C"/>
    <w:rsid w:val="00942C25"/>
    <w:rsid w:val="009446A0"/>
    <w:rsid w:val="00946029"/>
    <w:rsid w:val="009469CE"/>
    <w:rsid w:val="009471D8"/>
    <w:rsid w:val="009476E3"/>
    <w:rsid w:val="00950ABF"/>
    <w:rsid w:val="00952917"/>
    <w:rsid w:val="00954817"/>
    <w:rsid w:val="00955736"/>
    <w:rsid w:val="00960B46"/>
    <w:rsid w:val="00960C12"/>
    <w:rsid w:val="00961701"/>
    <w:rsid w:val="00961946"/>
    <w:rsid w:val="009619B3"/>
    <w:rsid w:val="00964784"/>
    <w:rsid w:val="009648A9"/>
    <w:rsid w:val="00965875"/>
    <w:rsid w:val="00965CA0"/>
    <w:rsid w:val="00967108"/>
    <w:rsid w:val="00967128"/>
    <w:rsid w:val="009703BF"/>
    <w:rsid w:val="00970BDE"/>
    <w:rsid w:val="00970FA9"/>
    <w:rsid w:val="00973273"/>
    <w:rsid w:val="009735A1"/>
    <w:rsid w:val="00974136"/>
    <w:rsid w:val="00976546"/>
    <w:rsid w:val="00976BC4"/>
    <w:rsid w:val="00976C3F"/>
    <w:rsid w:val="0097792F"/>
    <w:rsid w:val="0098130A"/>
    <w:rsid w:val="00981442"/>
    <w:rsid w:val="00981864"/>
    <w:rsid w:val="00981DE7"/>
    <w:rsid w:val="00981F15"/>
    <w:rsid w:val="00983432"/>
    <w:rsid w:val="00983F78"/>
    <w:rsid w:val="009851EF"/>
    <w:rsid w:val="009857EB"/>
    <w:rsid w:val="0098791D"/>
    <w:rsid w:val="00987B11"/>
    <w:rsid w:val="00991AB3"/>
    <w:rsid w:val="00991D6A"/>
    <w:rsid w:val="0099210B"/>
    <w:rsid w:val="00993778"/>
    <w:rsid w:val="00994564"/>
    <w:rsid w:val="0099559C"/>
    <w:rsid w:val="0099635C"/>
    <w:rsid w:val="00997111"/>
    <w:rsid w:val="009A01C8"/>
    <w:rsid w:val="009A09B4"/>
    <w:rsid w:val="009A1464"/>
    <w:rsid w:val="009A16F0"/>
    <w:rsid w:val="009A1B50"/>
    <w:rsid w:val="009A27A1"/>
    <w:rsid w:val="009A3AD4"/>
    <w:rsid w:val="009A488A"/>
    <w:rsid w:val="009A58F0"/>
    <w:rsid w:val="009B156F"/>
    <w:rsid w:val="009B313C"/>
    <w:rsid w:val="009B43A0"/>
    <w:rsid w:val="009B6D3A"/>
    <w:rsid w:val="009B7D8C"/>
    <w:rsid w:val="009C0B23"/>
    <w:rsid w:val="009C0B52"/>
    <w:rsid w:val="009C12AB"/>
    <w:rsid w:val="009C2A40"/>
    <w:rsid w:val="009C2AC7"/>
    <w:rsid w:val="009C38FC"/>
    <w:rsid w:val="009C468B"/>
    <w:rsid w:val="009C544B"/>
    <w:rsid w:val="009C69B9"/>
    <w:rsid w:val="009C7A49"/>
    <w:rsid w:val="009C7E79"/>
    <w:rsid w:val="009D0494"/>
    <w:rsid w:val="009D0C2A"/>
    <w:rsid w:val="009D0D20"/>
    <w:rsid w:val="009D1061"/>
    <w:rsid w:val="009D17C6"/>
    <w:rsid w:val="009D2247"/>
    <w:rsid w:val="009D235E"/>
    <w:rsid w:val="009D2AF2"/>
    <w:rsid w:val="009D3208"/>
    <w:rsid w:val="009D3346"/>
    <w:rsid w:val="009D33BC"/>
    <w:rsid w:val="009D379E"/>
    <w:rsid w:val="009D395A"/>
    <w:rsid w:val="009E03FF"/>
    <w:rsid w:val="009E0B4D"/>
    <w:rsid w:val="009E0CA7"/>
    <w:rsid w:val="009E10B9"/>
    <w:rsid w:val="009E256D"/>
    <w:rsid w:val="009E457E"/>
    <w:rsid w:val="009E4CB9"/>
    <w:rsid w:val="009E5968"/>
    <w:rsid w:val="009E641D"/>
    <w:rsid w:val="009E66EB"/>
    <w:rsid w:val="009E7CA1"/>
    <w:rsid w:val="009F03A1"/>
    <w:rsid w:val="009F2AA1"/>
    <w:rsid w:val="009F34F2"/>
    <w:rsid w:val="009F3B33"/>
    <w:rsid w:val="009F74AC"/>
    <w:rsid w:val="009F7BF2"/>
    <w:rsid w:val="00A00577"/>
    <w:rsid w:val="00A00A54"/>
    <w:rsid w:val="00A00ADA"/>
    <w:rsid w:val="00A01E2C"/>
    <w:rsid w:val="00A027EE"/>
    <w:rsid w:val="00A04023"/>
    <w:rsid w:val="00A042DF"/>
    <w:rsid w:val="00A055D6"/>
    <w:rsid w:val="00A0710B"/>
    <w:rsid w:val="00A1019A"/>
    <w:rsid w:val="00A11A89"/>
    <w:rsid w:val="00A11F20"/>
    <w:rsid w:val="00A12625"/>
    <w:rsid w:val="00A12894"/>
    <w:rsid w:val="00A13F2E"/>
    <w:rsid w:val="00A14155"/>
    <w:rsid w:val="00A14758"/>
    <w:rsid w:val="00A160F8"/>
    <w:rsid w:val="00A1695E"/>
    <w:rsid w:val="00A202D6"/>
    <w:rsid w:val="00A20CDC"/>
    <w:rsid w:val="00A22107"/>
    <w:rsid w:val="00A2223F"/>
    <w:rsid w:val="00A22494"/>
    <w:rsid w:val="00A230EB"/>
    <w:rsid w:val="00A23194"/>
    <w:rsid w:val="00A23CF9"/>
    <w:rsid w:val="00A240CE"/>
    <w:rsid w:val="00A24532"/>
    <w:rsid w:val="00A24925"/>
    <w:rsid w:val="00A3021A"/>
    <w:rsid w:val="00A30535"/>
    <w:rsid w:val="00A30EF6"/>
    <w:rsid w:val="00A32779"/>
    <w:rsid w:val="00A32A32"/>
    <w:rsid w:val="00A33F0D"/>
    <w:rsid w:val="00A40F7B"/>
    <w:rsid w:val="00A41136"/>
    <w:rsid w:val="00A41C25"/>
    <w:rsid w:val="00A42C04"/>
    <w:rsid w:val="00A43586"/>
    <w:rsid w:val="00A43AFC"/>
    <w:rsid w:val="00A442C7"/>
    <w:rsid w:val="00A44540"/>
    <w:rsid w:val="00A46421"/>
    <w:rsid w:val="00A4658D"/>
    <w:rsid w:val="00A46DC7"/>
    <w:rsid w:val="00A47742"/>
    <w:rsid w:val="00A47AAD"/>
    <w:rsid w:val="00A50B55"/>
    <w:rsid w:val="00A52DA3"/>
    <w:rsid w:val="00A5381A"/>
    <w:rsid w:val="00A5770D"/>
    <w:rsid w:val="00A61465"/>
    <w:rsid w:val="00A616A5"/>
    <w:rsid w:val="00A619ED"/>
    <w:rsid w:val="00A61C41"/>
    <w:rsid w:val="00A62AC9"/>
    <w:rsid w:val="00A62E52"/>
    <w:rsid w:val="00A648A9"/>
    <w:rsid w:val="00A64933"/>
    <w:rsid w:val="00A6600B"/>
    <w:rsid w:val="00A701BA"/>
    <w:rsid w:val="00A7082E"/>
    <w:rsid w:val="00A71B4F"/>
    <w:rsid w:val="00A73279"/>
    <w:rsid w:val="00A7353F"/>
    <w:rsid w:val="00A742A4"/>
    <w:rsid w:val="00A763E6"/>
    <w:rsid w:val="00A7640A"/>
    <w:rsid w:val="00A81F02"/>
    <w:rsid w:val="00A84554"/>
    <w:rsid w:val="00A848E9"/>
    <w:rsid w:val="00A8498D"/>
    <w:rsid w:val="00A851E9"/>
    <w:rsid w:val="00A85BE0"/>
    <w:rsid w:val="00A87658"/>
    <w:rsid w:val="00A87D93"/>
    <w:rsid w:val="00A90078"/>
    <w:rsid w:val="00A909C8"/>
    <w:rsid w:val="00A90B41"/>
    <w:rsid w:val="00A9152B"/>
    <w:rsid w:val="00A934B4"/>
    <w:rsid w:val="00A9471E"/>
    <w:rsid w:val="00A94FBA"/>
    <w:rsid w:val="00A9519B"/>
    <w:rsid w:val="00A951A8"/>
    <w:rsid w:val="00A9549D"/>
    <w:rsid w:val="00A96390"/>
    <w:rsid w:val="00A96B38"/>
    <w:rsid w:val="00A97525"/>
    <w:rsid w:val="00AA0786"/>
    <w:rsid w:val="00AA0F61"/>
    <w:rsid w:val="00AA10ED"/>
    <w:rsid w:val="00AA124B"/>
    <w:rsid w:val="00AA1567"/>
    <w:rsid w:val="00AA2D15"/>
    <w:rsid w:val="00AA300D"/>
    <w:rsid w:val="00AA3C32"/>
    <w:rsid w:val="00AA407D"/>
    <w:rsid w:val="00AA4138"/>
    <w:rsid w:val="00AA4D5D"/>
    <w:rsid w:val="00AA5164"/>
    <w:rsid w:val="00AA5DA9"/>
    <w:rsid w:val="00AA75D5"/>
    <w:rsid w:val="00AA7E5F"/>
    <w:rsid w:val="00AB024F"/>
    <w:rsid w:val="00AB20B4"/>
    <w:rsid w:val="00AB21A9"/>
    <w:rsid w:val="00AB33D4"/>
    <w:rsid w:val="00AB34A7"/>
    <w:rsid w:val="00AB3711"/>
    <w:rsid w:val="00AB3B6A"/>
    <w:rsid w:val="00AB5004"/>
    <w:rsid w:val="00AB6093"/>
    <w:rsid w:val="00AB7F3E"/>
    <w:rsid w:val="00AC186F"/>
    <w:rsid w:val="00AC25BB"/>
    <w:rsid w:val="00AC3038"/>
    <w:rsid w:val="00AC3834"/>
    <w:rsid w:val="00AC3917"/>
    <w:rsid w:val="00AC3934"/>
    <w:rsid w:val="00AC4779"/>
    <w:rsid w:val="00AC642E"/>
    <w:rsid w:val="00AC6F8D"/>
    <w:rsid w:val="00AC70E7"/>
    <w:rsid w:val="00AC7F61"/>
    <w:rsid w:val="00AD09BE"/>
    <w:rsid w:val="00AD0CFC"/>
    <w:rsid w:val="00AD1088"/>
    <w:rsid w:val="00AD30AE"/>
    <w:rsid w:val="00AD66E3"/>
    <w:rsid w:val="00AD7138"/>
    <w:rsid w:val="00AD7F94"/>
    <w:rsid w:val="00AE05D2"/>
    <w:rsid w:val="00AE0958"/>
    <w:rsid w:val="00AE124C"/>
    <w:rsid w:val="00AE1AEF"/>
    <w:rsid w:val="00AE241E"/>
    <w:rsid w:val="00AE2B00"/>
    <w:rsid w:val="00AE32C2"/>
    <w:rsid w:val="00AE5487"/>
    <w:rsid w:val="00AE56AE"/>
    <w:rsid w:val="00AE681A"/>
    <w:rsid w:val="00AE7485"/>
    <w:rsid w:val="00AE7A1B"/>
    <w:rsid w:val="00AF063E"/>
    <w:rsid w:val="00AF12AE"/>
    <w:rsid w:val="00AF1D5A"/>
    <w:rsid w:val="00AF246B"/>
    <w:rsid w:val="00AF335F"/>
    <w:rsid w:val="00AF36CF"/>
    <w:rsid w:val="00AF40B0"/>
    <w:rsid w:val="00AF4201"/>
    <w:rsid w:val="00AF430C"/>
    <w:rsid w:val="00AF44F8"/>
    <w:rsid w:val="00AF599A"/>
    <w:rsid w:val="00AF5F82"/>
    <w:rsid w:val="00AF7047"/>
    <w:rsid w:val="00B00F45"/>
    <w:rsid w:val="00B0197E"/>
    <w:rsid w:val="00B01C9C"/>
    <w:rsid w:val="00B01CE8"/>
    <w:rsid w:val="00B037B1"/>
    <w:rsid w:val="00B0414B"/>
    <w:rsid w:val="00B049F4"/>
    <w:rsid w:val="00B06350"/>
    <w:rsid w:val="00B06E45"/>
    <w:rsid w:val="00B108D0"/>
    <w:rsid w:val="00B116C9"/>
    <w:rsid w:val="00B11DC7"/>
    <w:rsid w:val="00B12800"/>
    <w:rsid w:val="00B13596"/>
    <w:rsid w:val="00B13FB1"/>
    <w:rsid w:val="00B16B32"/>
    <w:rsid w:val="00B20002"/>
    <w:rsid w:val="00B219DC"/>
    <w:rsid w:val="00B23040"/>
    <w:rsid w:val="00B2317F"/>
    <w:rsid w:val="00B23E7E"/>
    <w:rsid w:val="00B24A04"/>
    <w:rsid w:val="00B27303"/>
    <w:rsid w:val="00B27D29"/>
    <w:rsid w:val="00B32390"/>
    <w:rsid w:val="00B327F1"/>
    <w:rsid w:val="00B33239"/>
    <w:rsid w:val="00B3357F"/>
    <w:rsid w:val="00B340D0"/>
    <w:rsid w:val="00B342A9"/>
    <w:rsid w:val="00B3453F"/>
    <w:rsid w:val="00B366B9"/>
    <w:rsid w:val="00B36A24"/>
    <w:rsid w:val="00B373DE"/>
    <w:rsid w:val="00B403F4"/>
    <w:rsid w:val="00B407F8"/>
    <w:rsid w:val="00B40FB4"/>
    <w:rsid w:val="00B41C12"/>
    <w:rsid w:val="00B43F91"/>
    <w:rsid w:val="00B444A0"/>
    <w:rsid w:val="00B44C7A"/>
    <w:rsid w:val="00B44F07"/>
    <w:rsid w:val="00B45148"/>
    <w:rsid w:val="00B479D4"/>
    <w:rsid w:val="00B52AEA"/>
    <w:rsid w:val="00B52EEE"/>
    <w:rsid w:val="00B56244"/>
    <w:rsid w:val="00B56C9C"/>
    <w:rsid w:val="00B56ECB"/>
    <w:rsid w:val="00B574F5"/>
    <w:rsid w:val="00B60EDD"/>
    <w:rsid w:val="00B61473"/>
    <w:rsid w:val="00B617C4"/>
    <w:rsid w:val="00B61E91"/>
    <w:rsid w:val="00B6215F"/>
    <w:rsid w:val="00B6322E"/>
    <w:rsid w:val="00B63947"/>
    <w:rsid w:val="00B63F5A"/>
    <w:rsid w:val="00B65870"/>
    <w:rsid w:val="00B665D0"/>
    <w:rsid w:val="00B6668B"/>
    <w:rsid w:val="00B66E7F"/>
    <w:rsid w:val="00B7075B"/>
    <w:rsid w:val="00B7282D"/>
    <w:rsid w:val="00B734CD"/>
    <w:rsid w:val="00B736DD"/>
    <w:rsid w:val="00B73DF3"/>
    <w:rsid w:val="00B74219"/>
    <w:rsid w:val="00B74468"/>
    <w:rsid w:val="00B75656"/>
    <w:rsid w:val="00B76031"/>
    <w:rsid w:val="00B763C5"/>
    <w:rsid w:val="00B76483"/>
    <w:rsid w:val="00B76E4D"/>
    <w:rsid w:val="00B804B3"/>
    <w:rsid w:val="00B81B71"/>
    <w:rsid w:val="00B82706"/>
    <w:rsid w:val="00B82782"/>
    <w:rsid w:val="00B83631"/>
    <w:rsid w:val="00B84A3F"/>
    <w:rsid w:val="00B85DCC"/>
    <w:rsid w:val="00B85FEF"/>
    <w:rsid w:val="00B867DA"/>
    <w:rsid w:val="00B87ABE"/>
    <w:rsid w:val="00B90849"/>
    <w:rsid w:val="00B90972"/>
    <w:rsid w:val="00B90CE8"/>
    <w:rsid w:val="00B925D6"/>
    <w:rsid w:val="00B927E7"/>
    <w:rsid w:val="00B9314A"/>
    <w:rsid w:val="00B94615"/>
    <w:rsid w:val="00B94D36"/>
    <w:rsid w:val="00B95E9B"/>
    <w:rsid w:val="00B963BD"/>
    <w:rsid w:val="00B96652"/>
    <w:rsid w:val="00B970D9"/>
    <w:rsid w:val="00BA0AD5"/>
    <w:rsid w:val="00BA0D1A"/>
    <w:rsid w:val="00BA1B86"/>
    <w:rsid w:val="00BA2BE0"/>
    <w:rsid w:val="00BA3463"/>
    <w:rsid w:val="00BA3BF8"/>
    <w:rsid w:val="00BA41B0"/>
    <w:rsid w:val="00BA4E07"/>
    <w:rsid w:val="00BA50B0"/>
    <w:rsid w:val="00BA53FC"/>
    <w:rsid w:val="00BA6AAE"/>
    <w:rsid w:val="00BA6F7F"/>
    <w:rsid w:val="00BA75DE"/>
    <w:rsid w:val="00BB1CA6"/>
    <w:rsid w:val="00BB2D96"/>
    <w:rsid w:val="00BB3582"/>
    <w:rsid w:val="00BB3EEE"/>
    <w:rsid w:val="00BB44CA"/>
    <w:rsid w:val="00BB46D5"/>
    <w:rsid w:val="00BB55B0"/>
    <w:rsid w:val="00BB5AC7"/>
    <w:rsid w:val="00BB5D17"/>
    <w:rsid w:val="00BB6552"/>
    <w:rsid w:val="00BB6F2E"/>
    <w:rsid w:val="00BB7345"/>
    <w:rsid w:val="00BC002C"/>
    <w:rsid w:val="00BC03B7"/>
    <w:rsid w:val="00BC0434"/>
    <w:rsid w:val="00BC06C8"/>
    <w:rsid w:val="00BC0976"/>
    <w:rsid w:val="00BC1D16"/>
    <w:rsid w:val="00BC1FEB"/>
    <w:rsid w:val="00BC2FAD"/>
    <w:rsid w:val="00BC343C"/>
    <w:rsid w:val="00BC3B7C"/>
    <w:rsid w:val="00BC4189"/>
    <w:rsid w:val="00BC43B6"/>
    <w:rsid w:val="00BC59F4"/>
    <w:rsid w:val="00BC61E0"/>
    <w:rsid w:val="00BC7915"/>
    <w:rsid w:val="00BD0ADD"/>
    <w:rsid w:val="00BD32EA"/>
    <w:rsid w:val="00BD4BEE"/>
    <w:rsid w:val="00BD558C"/>
    <w:rsid w:val="00BD7482"/>
    <w:rsid w:val="00BE0B83"/>
    <w:rsid w:val="00BE3EA0"/>
    <w:rsid w:val="00BE5490"/>
    <w:rsid w:val="00BE60D8"/>
    <w:rsid w:val="00BE644B"/>
    <w:rsid w:val="00BE6BCB"/>
    <w:rsid w:val="00BE717D"/>
    <w:rsid w:val="00BE778A"/>
    <w:rsid w:val="00BE7AA4"/>
    <w:rsid w:val="00BE7C2C"/>
    <w:rsid w:val="00BE7FE1"/>
    <w:rsid w:val="00BF07F4"/>
    <w:rsid w:val="00BF0882"/>
    <w:rsid w:val="00BF0FA3"/>
    <w:rsid w:val="00BF1098"/>
    <w:rsid w:val="00BF2E22"/>
    <w:rsid w:val="00BF3BE3"/>
    <w:rsid w:val="00BF3FF3"/>
    <w:rsid w:val="00BF465D"/>
    <w:rsid w:val="00BF536B"/>
    <w:rsid w:val="00BF64A4"/>
    <w:rsid w:val="00C00676"/>
    <w:rsid w:val="00C0122A"/>
    <w:rsid w:val="00C01FBD"/>
    <w:rsid w:val="00C03705"/>
    <w:rsid w:val="00C04419"/>
    <w:rsid w:val="00C052AC"/>
    <w:rsid w:val="00C0542B"/>
    <w:rsid w:val="00C072B6"/>
    <w:rsid w:val="00C07A02"/>
    <w:rsid w:val="00C10454"/>
    <w:rsid w:val="00C109EC"/>
    <w:rsid w:val="00C10AE1"/>
    <w:rsid w:val="00C11B71"/>
    <w:rsid w:val="00C11DF5"/>
    <w:rsid w:val="00C1273C"/>
    <w:rsid w:val="00C13C8A"/>
    <w:rsid w:val="00C14689"/>
    <w:rsid w:val="00C146DF"/>
    <w:rsid w:val="00C16001"/>
    <w:rsid w:val="00C16051"/>
    <w:rsid w:val="00C16650"/>
    <w:rsid w:val="00C16B41"/>
    <w:rsid w:val="00C2028C"/>
    <w:rsid w:val="00C206BC"/>
    <w:rsid w:val="00C20FF9"/>
    <w:rsid w:val="00C2114D"/>
    <w:rsid w:val="00C2229A"/>
    <w:rsid w:val="00C22F30"/>
    <w:rsid w:val="00C23B99"/>
    <w:rsid w:val="00C24029"/>
    <w:rsid w:val="00C24186"/>
    <w:rsid w:val="00C25183"/>
    <w:rsid w:val="00C259F8"/>
    <w:rsid w:val="00C27415"/>
    <w:rsid w:val="00C30628"/>
    <w:rsid w:val="00C31C00"/>
    <w:rsid w:val="00C31D3F"/>
    <w:rsid w:val="00C335D6"/>
    <w:rsid w:val="00C33A1A"/>
    <w:rsid w:val="00C33FC3"/>
    <w:rsid w:val="00C34C3D"/>
    <w:rsid w:val="00C34DB4"/>
    <w:rsid w:val="00C363B8"/>
    <w:rsid w:val="00C37CA7"/>
    <w:rsid w:val="00C408DE"/>
    <w:rsid w:val="00C41CC8"/>
    <w:rsid w:val="00C421E8"/>
    <w:rsid w:val="00C43031"/>
    <w:rsid w:val="00C44935"/>
    <w:rsid w:val="00C44A14"/>
    <w:rsid w:val="00C44CDD"/>
    <w:rsid w:val="00C477F3"/>
    <w:rsid w:val="00C5072C"/>
    <w:rsid w:val="00C51612"/>
    <w:rsid w:val="00C51867"/>
    <w:rsid w:val="00C52337"/>
    <w:rsid w:val="00C52D0B"/>
    <w:rsid w:val="00C52F13"/>
    <w:rsid w:val="00C533B2"/>
    <w:rsid w:val="00C545BE"/>
    <w:rsid w:val="00C54771"/>
    <w:rsid w:val="00C54962"/>
    <w:rsid w:val="00C54B0B"/>
    <w:rsid w:val="00C54CDD"/>
    <w:rsid w:val="00C558AB"/>
    <w:rsid w:val="00C56618"/>
    <w:rsid w:val="00C56C38"/>
    <w:rsid w:val="00C56D49"/>
    <w:rsid w:val="00C57015"/>
    <w:rsid w:val="00C579C3"/>
    <w:rsid w:val="00C60305"/>
    <w:rsid w:val="00C61B31"/>
    <w:rsid w:val="00C62E6D"/>
    <w:rsid w:val="00C64DF5"/>
    <w:rsid w:val="00C64E2F"/>
    <w:rsid w:val="00C657A9"/>
    <w:rsid w:val="00C65982"/>
    <w:rsid w:val="00C663ED"/>
    <w:rsid w:val="00C66C2C"/>
    <w:rsid w:val="00C66D51"/>
    <w:rsid w:val="00C6783B"/>
    <w:rsid w:val="00C736B4"/>
    <w:rsid w:val="00C74683"/>
    <w:rsid w:val="00C76B86"/>
    <w:rsid w:val="00C777D6"/>
    <w:rsid w:val="00C77889"/>
    <w:rsid w:val="00C77BD9"/>
    <w:rsid w:val="00C8471E"/>
    <w:rsid w:val="00C84AD2"/>
    <w:rsid w:val="00C85048"/>
    <w:rsid w:val="00C8548B"/>
    <w:rsid w:val="00C8569A"/>
    <w:rsid w:val="00C858C6"/>
    <w:rsid w:val="00C85A7A"/>
    <w:rsid w:val="00C8601F"/>
    <w:rsid w:val="00C86A6C"/>
    <w:rsid w:val="00C872B6"/>
    <w:rsid w:val="00C9182D"/>
    <w:rsid w:val="00C91B77"/>
    <w:rsid w:val="00C91F6B"/>
    <w:rsid w:val="00C9377A"/>
    <w:rsid w:val="00C954F9"/>
    <w:rsid w:val="00C95D9F"/>
    <w:rsid w:val="00C9618D"/>
    <w:rsid w:val="00C969F6"/>
    <w:rsid w:val="00C969F8"/>
    <w:rsid w:val="00C9794B"/>
    <w:rsid w:val="00CA303A"/>
    <w:rsid w:val="00CA5100"/>
    <w:rsid w:val="00CA568D"/>
    <w:rsid w:val="00CA5BA7"/>
    <w:rsid w:val="00CA69A0"/>
    <w:rsid w:val="00CA71FA"/>
    <w:rsid w:val="00CA721E"/>
    <w:rsid w:val="00CB0762"/>
    <w:rsid w:val="00CB2A79"/>
    <w:rsid w:val="00CB3368"/>
    <w:rsid w:val="00CB368D"/>
    <w:rsid w:val="00CB4DF3"/>
    <w:rsid w:val="00CB5044"/>
    <w:rsid w:val="00CB522A"/>
    <w:rsid w:val="00CB668D"/>
    <w:rsid w:val="00CB6B2F"/>
    <w:rsid w:val="00CB7D8A"/>
    <w:rsid w:val="00CC260E"/>
    <w:rsid w:val="00CC3512"/>
    <w:rsid w:val="00CC3CA5"/>
    <w:rsid w:val="00CC5F2B"/>
    <w:rsid w:val="00CC726F"/>
    <w:rsid w:val="00CD2939"/>
    <w:rsid w:val="00CD2DDA"/>
    <w:rsid w:val="00CD3C80"/>
    <w:rsid w:val="00CD4DA0"/>
    <w:rsid w:val="00CD5403"/>
    <w:rsid w:val="00CD771A"/>
    <w:rsid w:val="00CD7DA6"/>
    <w:rsid w:val="00CE0223"/>
    <w:rsid w:val="00CE0F41"/>
    <w:rsid w:val="00CE1BE3"/>
    <w:rsid w:val="00CE2A18"/>
    <w:rsid w:val="00CE35AD"/>
    <w:rsid w:val="00CE3A74"/>
    <w:rsid w:val="00CE41C3"/>
    <w:rsid w:val="00CE6463"/>
    <w:rsid w:val="00CE7B64"/>
    <w:rsid w:val="00CE7EE2"/>
    <w:rsid w:val="00CF309E"/>
    <w:rsid w:val="00CF3B58"/>
    <w:rsid w:val="00CF56E3"/>
    <w:rsid w:val="00CF595F"/>
    <w:rsid w:val="00CF61AC"/>
    <w:rsid w:val="00CF6B0E"/>
    <w:rsid w:val="00CF6B42"/>
    <w:rsid w:val="00D0018B"/>
    <w:rsid w:val="00D01204"/>
    <w:rsid w:val="00D019EB"/>
    <w:rsid w:val="00D027D5"/>
    <w:rsid w:val="00D02DA6"/>
    <w:rsid w:val="00D02E48"/>
    <w:rsid w:val="00D0322D"/>
    <w:rsid w:val="00D0393B"/>
    <w:rsid w:val="00D03B9A"/>
    <w:rsid w:val="00D04721"/>
    <w:rsid w:val="00D050AA"/>
    <w:rsid w:val="00D051C8"/>
    <w:rsid w:val="00D052AD"/>
    <w:rsid w:val="00D05A0F"/>
    <w:rsid w:val="00D05DFA"/>
    <w:rsid w:val="00D06BB5"/>
    <w:rsid w:val="00D070BD"/>
    <w:rsid w:val="00D07E22"/>
    <w:rsid w:val="00D11542"/>
    <w:rsid w:val="00D12782"/>
    <w:rsid w:val="00D13319"/>
    <w:rsid w:val="00D13A22"/>
    <w:rsid w:val="00D14149"/>
    <w:rsid w:val="00D152F8"/>
    <w:rsid w:val="00D17720"/>
    <w:rsid w:val="00D21BC3"/>
    <w:rsid w:val="00D23AA1"/>
    <w:rsid w:val="00D23CD7"/>
    <w:rsid w:val="00D245D6"/>
    <w:rsid w:val="00D2492B"/>
    <w:rsid w:val="00D24EF3"/>
    <w:rsid w:val="00D265B2"/>
    <w:rsid w:val="00D26EE5"/>
    <w:rsid w:val="00D2780E"/>
    <w:rsid w:val="00D27E5E"/>
    <w:rsid w:val="00D3283A"/>
    <w:rsid w:val="00D32C93"/>
    <w:rsid w:val="00D339D8"/>
    <w:rsid w:val="00D35C88"/>
    <w:rsid w:val="00D35D81"/>
    <w:rsid w:val="00D35E39"/>
    <w:rsid w:val="00D365B9"/>
    <w:rsid w:val="00D37504"/>
    <w:rsid w:val="00D37C8C"/>
    <w:rsid w:val="00D43108"/>
    <w:rsid w:val="00D43535"/>
    <w:rsid w:val="00D43A22"/>
    <w:rsid w:val="00D43CFD"/>
    <w:rsid w:val="00D440E5"/>
    <w:rsid w:val="00D441D5"/>
    <w:rsid w:val="00D44838"/>
    <w:rsid w:val="00D44AE4"/>
    <w:rsid w:val="00D45B58"/>
    <w:rsid w:val="00D46551"/>
    <w:rsid w:val="00D50854"/>
    <w:rsid w:val="00D511A9"/>
    <w:rsid w:val="00D5143D"/>
    <w:rsid w:val="00D51DCD"/>
    <w:rsid w:val="00D544AD"/>
    <w:rsid w:val="00D5497C"/>
    <w:rsid w:val="00D561E4"/>
    <w:rsid w:val="00D60BB4"/>
    <w:rsid w:val="00D60C74"/>
    <w:rsid w:val="00D61374"/>
    <w:rsid w:val="00D61983"/>
    <w:rsid w:val="00D6264F"/>
    <w:rsid w:val="00D62FE6"/>
    <w:rsid w:val="00D6395D"/>
    <w:rsid w:val="00D639E3"/>
    <w:rsid w:val="00D641EF"/>
    <w:rsid w:val="00D648ED"/>
    <w:rsid w:val="00D64AED"/>
    <w:rsid w:val="00D65236"/>
    <w:rsid w:val="00D65DA0"/>
    <w:rsid w:val="00D70B18"/>
    <w:rsid w:val="00D70D90"/>
    <w:rsid w:val="00D7107D"/>
    <w:rsid w:val="00D71764"/>
    <w:rsid w:val="00D71EB7"/>
    <w:rsid w:val="00D724B4"/>
    <w:rsid w:val="00D724FF"/>
    <w:rsid w:val="00D72860"/>
    <w:rsid w:val="00D736EB"/>
    <w:rsid w:val="00D7395B"/>
    <w:rsid w:val="00D7417F"/>
    <w:rsid w:val="00D75772"/>
    <w:rsid w:val="00D75DE8"/>
    <w:rsid w:val="00D80549"/>
    <w:rsid w:val="00D80E09"/>
    <w:rsid w:val="00D816B8"/>
    <w:rsid w:val="00D83B52"/>
    <w:rsid w:val="00D8474B"/>
    <w:rsid w:val="00D84AB6"/>
    <w:rsid w:val="00D84E4A"/>
    <w:rsid w:val="00D853A2"/>
    <w:rsid w:val="00D87614"/>
    <w:rsid w:val="00D877DB"/>
    <w:rsid w:val="00D87B47"/>
    <w:rsid w:val="00D87DE6"/>
    <w:rsid w:val="00D913EB"/>
    <w:rsid w:val="00D92D6F"/>
    <w:rsid w:val="00D93130"/>
    <w:rsid w:val="00D93E99"/>
    <w:rsid w:val="00D94605"/>
    <w:rsid w:val="00D950DF"/>
    <w:rsid w:val="00D955DF"/>
    <w:rsid w:val="00D967AA"/>
    <w:rsid w:val="00D9688B"/>
    <w:rsid w:val="00D97644"/>
    <w:rsid w:val="00DA2A45"/>
    <w:rsid w:val="00DA351B"/>
    <w:rsid w:val="00DA46FD"/>
    <w:rsid w:val="00DA577F"/>
    <w:rsid w:val="00DA5F5B"/>
    <w:rsid w:val="00DA79FA"/>
    <w:rsid w:val="00DB1798"/>
    <w:rsid w:val="00DB41DF"/>
    <w:rsid w:val="00DB46A7"/>
    <w:rsid w:val="00DB515B"/>
    <w:rsid w:val="00DB6C14"/>
    <w:rsid w:val="00DB730A"/>
    <w:rsid w:val="00DB775F"/>
    <w:rsid w:val="00DB7D5D"/>
    <w:rsid w:val="00DB7E0D"/>
    <w:rsid w:val="00DC08EE"/>
    <w:rsid w:val="00DC1B84"/>
    <w:rsid w:val="00DC2891"/>
    <w:rsid w:val="00DC350F"/>
    <w:rsid w:val="00DC44D6"/>
    <w:rsid w:val="00DC4CB1"/>
    <w:rsid w:val="00DC6908"/>
    <w:rsid w:val="00DC6AC0"/>
    <w:rsid w:val="00DC6E41"/>
    <w:rsid w:val="00DC72E7"/>
    <w:rsid w:val="00DD07CF"/>
    <w:rsid w:val="00DD1263"/>
    <w:rsid w:val="00DD1CDE"/>
    <w:rsid w:val="00DD2FCB"/>
    <w:rsid w:val="00DD40BF"/>
    <w:rsid w:val="00DD5539"/>
    <w:rsid w:val="00DD71B0"/>
    <w:rsid w:val="00DE07F9"/>
    <w:rsid w:val="00DE134D"/>
    <w:rsid w:val="00DE1592"/>
    <w:rsid w:val="00DE2330"/>
    <w:rsid w:val="00DE3F9F"/>
    <w:rsid w:val="00DE4E03"/>
    <w:rsid w:val="00DE55CE"/>
    <w:rsid w:val="00DE786C"/>
    <w:rsid w:val="00DE7F36"/>
    <w:rsid w:val="00DF2217"/>
    <w:rsid w:val="00DF2D7E"/>
    <w:rsid w:val="00DF2E5A"/>
    <w:rsid w:val="00DF52B9"/>
    <w:rsid w:val="00DF5F2D"/>
    <w:rsid w:val="00DF70F0"/>
    <w:rsid w:val="00DF7D42"/>
    <w:rsid w:val="00E011D9"/>
    <w:rsid w:val="00E0124B"/>
    <w:rsid w:val="00E01803"/>
    <w:rsid w:val="00E02B95"/>
    <w:rsid w:val="00E04791"/>
    <w:rsid w:val="00E04B68"/>
    <w:rsid w:val="00E057A0"/>
    <w:rsid w:val="00E07009"/>
    <w:rsid w:val="00E1040C"/>
    <w:rsid w:val="00E10E00"/>
    <w:rsid w:val="00E11435"/>
    <w:rsid w:val="00E12417"/>
    <w:rsid w:val="00E1397E"/>
    <w:rsid w:val="00E15874"/>
    <w:rsid w:val="00E16D4A"/>
    <w:rsid w:val="00E176F3"/>
    <w:rsid w:val="00E216A9"/>
    <w:rsid w:val="00E224F4"/>
    <w:rsid w:val="00E24E7C"/>
    <w:rsid w:val="00E2523E"/>
    <w:rsid w:val="00E25372"/>
    <w:rsid w:val="00E25B8D"/>
    <w:rsid w:val="00E260A2"/>
    <w:rsid w:val="00E27605"/>
    <w:rsid w:val="00E278F7"/>
    <w:rsid w:val="00E308B5"/>
    <w:rsid w:val="00E32269"/>
    <w:rsid w:val="00E33FA7"/>
    <w:rsid w:val="00E34414"/>
    <w:rsid w:val="00E352C2"/>
    <w:rsid w:val="00E36F5A"/>
    <w:rsid w:val="00E37629"/>
    <w:rsid w:val="00E37999"/>
    <w:rsid w:val="00E4100F"/>
    <w:rsid w:val="00E4173E"/>
    <w:rsid w:val="00E41D8C"/>
    <w:rsid w:val="00E41EE2"/>
    <w:rsid w:val="00E426CA"/>
    <w:rsid w:val="00E4283B"/>
    <w:rsid w:val="00E42BB6"/>
    <w:rsid w:val="00E46117"/>
    <w:rsid w:val="00E46FF0"/>
    <w:rsid w:val="00E47C2D"/>
    <w:rsid w:val="00E5085F"/>
    <w:rsid w:val="00E510AC"/>
    <w:rsid w:val="00E51CA5"/>
    <w:rsid w:val="00E5324F"/>
    <w:rsid w:val="00E549F1"/>
    <w:rsid w:val="00E549F8"/>
    <w:rsid w:val="00E56C6B"/>
    <w:rsid w:val="00E61889"/>
    <w:rsid w:val="00E6233A"/>
    <w:rsid w:val="00E630AD"/>
    <w:rsid w:val="00E66320"/>
    <w:rsid w:val="00E66549"/>
    <w:rsid w:val="00E66665"/>
    <w:rsid w:val="00E666B9"/>
    <w:rsid w:val="00E66A44"/>
    <w:rsid w:val="00E7038D"/>
    <w:rsid w:val="00E71130"/>
    <w:rsid w:val="00E72D2D"/>
    <w:rsid w:val="00E731CD"/>
    <w:rsid w:val="00E7389C"/>
    <w:rsid w:val="00E73E5B"/>
    <w:rsid w:val="00E75183"/>
    <w:rsid w:val="00E75E02"/>
    <w:rsid w:val="00E75F48"/>
    <w:rsid w:val="00E760A1"/>
    <w:rsid w:val="00E77180"/>
    <w:rsid w:val="00E808FF"/>
    <w:rsid w:val="00E80B29"/>
    <w:rsid w:val="00E822AB"/>
    <w:rsid w:val="00E8397E"/>
    <w:rsid w:val="00E84933"/>
    <w:rsid w:val="00E84A14"/>
    <w:rsid w:val="00E85C3E"/>
    <w:rsid w:val="00E85EE2"/>
    <w:rsid w:val="00E86508"/>
    <w:rsid w:val="00E86755"/>
    <w:rsid w:val="00E87762"/>
    <w:rsid w:val="00E8799C"/>
    <w:rsid w:val="00E87D3D"/>
    <w:rsid w:val="00E904AB"/>
    <w:rsid w:val="00E90F46"/>
    <w:rsid w:val="00E922B0"/>
    <w:rsid w:val="00E93DB4"/>
    <w:rsid w:val="00E9438B"/>
    <w:rsid w:val="00EA2A50"/>
    <w:rsid w:val="00EA2F3B"/>
    <w:rsid w:val="00EA3212"/>
    <w:rsid w:val="00EA3566"/>
    <w:rsid w:val="00EA422C"/>
    <w:rsid w:val="00EA4C6E"/>
    <w:rsid w:val="00EA4EC2"/>
    <w:rsid w:val="00EA5150"/>
    <w:rsid w:val="00EA674F"/>
    <w:rsid w:val="00EA6D92"/>
    <w:rsid w:val="00EB075E"/>
    <w:rsid w:val="00EB407F"/>
    <w:rsid w:val="00EB4BB1"/>
    <w:rsid w:val="00EB53EE"/>
    <w:rsid w:val="00EB6C9D"/>
    <w:rsid w:val="00EB72CD"/>
    <w:rsid w:val="00EB7508"/>
    <w:rsid w:val="00EB77EC"/>
    <w:rsid w:val="00EB7F93"/>
    <w:rsid w:val="00EC079A"/>
    <w:rsid w:val="00EC08B7"/>
    <w:rsid w:val="00EC12FD"/>
    <w:rsid w:val="00EC4191"/>
    <w:rsid w:val="00EC45C2"/>
    <w:rsid w:val="00EC46D6"/>
    <w:rsid w:val="00EC546C"/>
    <w:rsid w:val="00EC5A19"/>
    <w:rsid w:val="00EC60C0"/>
    <w:rsid w:val="00EC6FA2"/>
    <w:rsid w:val="00ED0243"/>
    <w:rsid w:val="00ED03A8"/>
    <w:rsid w:val="00ED0E40"/>
    <w:rsid w:val="00ED176D"/>
    <w:rsid w:val="00ED253B"/>
    <w:rsid w:val="00ED257A"/>
    <w:rsid w:val="00ED38AC"/>
    <w:rsid w:val="00ED5742"/>
    <w:rsid w:val="00ED6045"/>
    <w:rsid w:val="00ED6514"/>
    <w:rsid w:val="00ED6602"/>
    <w:rsid w:val="00ED691B"/>
    <w:rsid w:val="00ED7163"/>
    <w:rsid w:val="00ED71FE"/>
    <w:rsid w:val="00ED76DE"/>
    <w:rsid w:val="00EE2E49"/>
    <w:rsid w:val="00EE2EAF"/>
    <w:rsid w:val="00EE3525"/>
    <w:rsid w:val="00EE3A6D"/>
    <w:rsid w:val="00EE4A76"/>
    <w:rsid w:val="00EE5F26"/>
    <w:rsid w:val="00EF0011"/>
    <w:rsid w:val="00EF00BC"/>
    <w:rsid w:val="00EF1806"/>
    <w:rsid w:val="00EF1A4E"/>
    <w:rsid w:val="00EF30F4"/>
    <w:rsid w:val="00EF3428"/>
    <w:rsid w:val="00EF3512"/>
    <w:rsid w:val="00EF4166"/>
    <w:rsid w:val="00EF4437"/>
    <w:rsid w:val="00EF46AD"/>
    <w:rsid w:val="00EF4839"/>
    <w:rsid w:val="00EF55C2"/>
    <w:rsid w:val="00EF5782"/>
    <w:rsid w:val="00EF620B"/>
    <w:rsid w:val="00EF62E3"/>
    <w:rsid w:val="00EF6953"/>
    <w:rsid w:val="00EF7141"/>
    <w:rsid w:val="00EF72F8"/>
    <w:rsid w:val="00EF75F4"/>
    <w:rsid w:val="00F003F0"/>
    <w:rsid w:val="00F01289"/>
    <w:rsid w:val="00F01B3D"/>
    <w:rsid w:val="00F02C5D"/>
    <w:rsid w:val="00F02D30"/>
    <w:rsid w:val="00F03469"/>
    <w:rsid w:val="00F036B5"/>
    <w:rsid w:val="00F05805"/>
    <w:rsid w:val="00F0634C"/>
    <w:rsid w:val="00F06F99"/>
    <w:rsid w:val="00F0710D"/>
    <w:rsid w:val="00F0728B"/>
    <w:rsid w:val="00F1133F"/>
    <w:rsid w:val="00F1159E"/>
    <w:rsid w:val="00F116A1"/>
    <w:rsid w:val="00F13311"/>
    <w:rsid w:val="00F136AA"/>
    <w:rsid w:val="00F13860"/>
    <w:rsid w:val="00F13A1C"/>
    <w:rsid w:val="00F13E29"/>
    <w:rsid w:val="00F14552"/>
    <w:rsid w:val="00F1569C"/>
    <w:rsid w:val="00F159A7"/>
    <w:rsid w:val="00F15DD3"/>
    <w:rsid w:val="00F162FD"/>
    <w:rsid w:val="00F201C9"/>
    <w:rsid w:val="00F20713"/>
    <w:rsid w:val="00F232B2"/>
    <w:rsid w:val="00F2457A"/>
    <w:rsid w:val="00F24950"/>
    <w:rsid w:val="00F2523A"/>
    <w:rsid w:val="00F27B78"/>
    <w:rsid w:val="00F27EC2"/>
    <w:rsid w:val="00F309F1"/>
    <w:rsid w:val="00F30B6C"/>
    <w:rsid w:val="00F31A78"/>
    <w:rsid w:val="00F33EFA"/>
    <w:rsid w:val="00F35047"/>
    <w:rsid w:val="00F3530B"/>
    <w:rsid w:val="00F35B5F"/>
    <w:rsid w:val="00F37B12"/>
    <w:rsid w:val="00F37B69"/>
    <w:rsid w:val="00F405BE"/>
    <w:rsid w:val="00F40646"/>
    <w:rsid w:val="00F42006"/>
    <w:rsid w:val="00F42F0B"/>
    <w:rsid w:val="00F42FCA"/>
    <w:rsid w:val="00F43E3B"/>
    <w:rsid w:val="00F44994"/>
    <w:rsid w:val="00F4658C"/>
    <w:rsid w:val="00F50AF4"/>
    <w:rsid w:val="00F50F0C"/>
    <w:rsid w:val="00F53059"/>
    <w:rsid w:val="00F53830"/>
    <w:rsid w:val="00F53CFA"/>
    <w:rsid w:val="00F54035"/>
    <w:rsid w:val="00F561EE"/>
    <w:rsid w:val="00F6054C"/>
    <w:rsid w:val="00F628B1"/>
    <w:rsid w:val="00F62E2E"/>
    <w:rsid w:val="00F62F62"/>
    <w:rsid w:val="00F63955"/>
    <w:rsid w:val="00F640AA"/>
    <w:rsid w:val="00F650B6"/>
    <w:rsid w:val="00F654EC"/>
    <w:rsid w:val="00F65791"/>
    <w:rsid w:val="00F659D9"/>
    <w:rsid w:val="00F6658B"/>
    <w:rsid w:val="00F678E8"/>
    <w:rsid w:val="00F67E6F"/>
    <w:rsid w:val="00F70AD1"/>
    <w:rsid w:val="00F7158A"/>
    <w:rsid w:val="00F718A1"/>
    <w:rsid w:val="00F726CC"/>
    <w:rsid w:val="00F72CB4"/>
    <w:rsid w:val="00F7417E"/>
    <w:rsid w:val="00F74862"/>
    <w:rsid w:val="00F74C2D"/>
    <w:rsid w:val="00F755BC"/>
    <w:rsid w:val="00F758DF"/>
    <w:rsid w:val="00F76FE2"/>
    <w:rsid w:val="00F808E8"/>
    <w:rsid w:val="00F80C97"/>
    <w:rsid w:val="00F81ECB"/>
    <w:rsid w:val="00F831A8"/>
    <w:rsid w:val="00F839DC"/>
    <w:rsid w:val="00F8586F"/>
    <w:rsid w:val="00F858E0"/>
    <w:rsid w:val="00F858E8"/>
    <w:rsid w:val="00F86D31"/>
    <w:rsid w:val="00F871F4"/>
    <w:rsid w:val="00F872FA"/>
    <w:rsid w:val="00F901F0"/>
    <w:rsid w:val="00F911F7"/>
    <w:rsid w:val="00F91B74"/>
    <w:rsid w:val="00F92605"/>
    <w:rsid w:val="00F92B0F"/>
    <w:rsid w:val="00F93120"/>
    <w:rsid w:val="00F932A1"/>
    <w:rsid w:val="00F933DC"/>
    <w:rsid w:val="00F93EC1"/>
    <w:rsid w:val="00F94AF6"/>
    <w:rsid w:val="00F95657"/>
    <w:rsid w:val="00F972F2"/>
    <w:rsid w:val="00FA0457"/>
    <w:rsid w:val="00FA0801"/>
    <w:rsid w:val="00FA09CB"/>
    <w:rsid w:val="00FA0FA4"/>
    <w:rsid w:val="00FA1B1E"/>
    <w:rsid w:val="00FA44EB"/>
    <w:rsid w:val="00FA564A"/>
    <w:rsid w:val="00FA57B0"/>
    <w:rsid w:val="00FA6B55"/>
    <w:rsid w:val="00FA7EFF"/>
    <w:rsid w:val="00FB2FDC"/>
    <w:rsid w:val="00FB50F0"/>
    <w:rsid w:val="00FB5975"/>
    <w:rsid w:val="00FB5F14"/>
    <w:rsid w:val="00FB66A1"/>
    <w:rsid w:val="00FB6889"/>
    <w:rsid w:val="00FB741C"/>
    <w:rsid w:val="00FB7A2A"/>
    <w:rsid w:val="00FC0407"/>
    <w:rsid w:val="00FC3871"/>
    <w:rsid w:val="00FC4EBB"/>
    <w:rsid w:val="00FC5C50"/>
    <w:rsid w:val="00FC6A6A"/>
    <w:rsid w:val="00FC6D56"/>
    <w:rsid w:val="00FC704D"/>
    <w:rsid w:val="00FC736A"/>
    <w:rsid w:val="00FC75C8"/>
    <w:rsid w:val="00FD01B8"/>
    <w:rsid w:val="00FD205D"/>
    <w:rsid w:val="00FD2666"/>
    <w:rsid w:val="00FD27BA"/>
    <w:rsid w:val="00FD3FD9"/>
    <w:rsid w:val="00FD42A3"/>
    <w:rsid w:val="00FD505F"/>
    <w:rsid w:val="00FD52C5"/>
    <w:rsid w:val="00FD5396"/>
    <w:rsid w:val="00FD758B"/>
    <w:rsid w:val="00FD7A6E"/>
    <w:rsid w:val="00FD7AE6"/>
    <w:rsid w:val="00FE02CC"/>
    <w:rsid w:val="00FE08F5"/>
    <w:rsid w:val="00FE0C87"/>
    <w:rsid w:val="00FE0E6C"/>
    <w:rsid w:val="00FE29FF"/>
    <w:rsid w:val="00FE2E22"/>
    <w:rsid w:val="00FE399B"/>
    <w:rsid w:val="00FE4D08"/>
    <w:rsid w:val="00FE66D2"/>
    <w:rsid w:val="00FE753B"/>
    <w:rsid w:val="00FF0776"/>
    <w:rsid w:val="00FF0896"/>
    <w:rsid w:val="00FF1EEC"/>
    <w:rsid w:val="00FF2BD7"/>
    <w:rsid w:val="00FF33F5"/>
    <w:rsid w:val="00FF5341"/>
    <w:rsid w:val="01577D7D"/>
    <w:rsid w:val="01DE5F2F"/>
    <w:rsid w:val="01F31849"/>
    <w:rsid w:val="01FE4693"/>
    <w:rsid w:val="02034126"/>
    <w:rsid w:val="0206739D"/>
    <w:rsid w:val="02640881"/>
    <w:rsid w:val="038306E5"/>
    <w:rsid w:val="038D3A30"/>
    <w:rsid w:val="039E40F4"/>
    <w:rsid w:val="03A46AE2"/>
    <w:rsid w:val="03DD2309"/>
    <w:rsid w:val="042B28FA"/>
    <w:rsid w:val="045A19FC"/>
    <w:rsid w:val="056F01A1"/>
    <w:rsid w:val="058D33BB"/>
    <w:rsid w:val="05CF3110"/>
    <w:rsid w:val="05E27D18"/>
    <w:rsid w:val="060D12D6"/>
    <w:rsid w:val="065B005E"/>
    <w:rsid w:val="069616BC"/>
    <w:rsid w:val="06AA407C"/>
    <w:rsid w:val="06CC14E7"/>
    <w:rsid w:val="06DE43C4"/>
    <w:rsid w:val="07343BF6"/>
    <w:rsid w:val="07A4640B"/>
    <w:rsid w:val="07C700DD"/>
    <w:rsid w:val="08C33490"/>
    <w:rsid w:val="08DC200B"/>
    <w:rsid w:val="08E37141"/>
    <w:rsid w:val="090614D5"/>
    <w:rsid w:val="09415A27"/>
    <w:rsid w:val="09640EE2"/>
    <w:rsid w:val="09FB65F5"/>
    <w:rsid w:val="0AAF6FCD"/>
    <w:rsid w:val="0ACC057E"/>
    <w:rsid w:val="0AED6F47"/>
    <w:rsid w:val="0B310B86"/>
    <w:rsid w:val="0B6E440E"/>
    <w:rsid w:val="0BB3152E"/>
    <w:rsid w:val="0C1D51E2"/>
    <w:rsid w:val="0C5473FB"/>
    <w:rsid w:val="0D005FB3"/>
    <w:rsid w:val="0D4058C1"/>
    <w:rsid w:val="0D857434"/>
    <w:rsid w:val="0D8F5E26"/>
    <w:rsid w:val="0DBF4AF8"/>
    <w:rsid w:val="0E790CB7"/>
    <w:rsid w:val="0E7E6790"/>
    <w:rsid w:val="0EFC65A5"/>
    <w:rsid w:val="0F050BE4"/>
    <w:rsid w:val="0F0B45D0"/>
    <w:rsid w:val="0F207970"/>
    <w:rsid w:val="0F58618F"/>
    <w:rsid w:val="0FC7443F"/>
    <w:rsid w:val="100F0259"/>
    <w:rsid w:val="10267CB9"/>
    <w:rsid w:val="10C04182"/>
    <w:rsid w:val="10DA6AAC"/>
    <w:rsid w:val="10DD6E07"/>
    <w:rsid w:val="11542167"/>
    <w:rsid w:val="11E0182A"/>
    <w:rsid w:val="1202240B"/>
    <w:rsid w:val="12087AF7"/>
    <w:rsid w:val="122B51D2"/>
    <w:rsid w:val="12555B49"/>
    <w:rsid w:val="128C6797"/>
    <w:rsid w:val="13361A1F"/>
    <w:rsid w:val="13C87152"/>
    <w:rsid w:val="145E2D56"/>
    <w:rsid w:val="14874759"/>
    <w:rsid w:val="14B64F3B"/>
    <w:rsid w:val="14E25169"/>
    <w:rsid w:val="15467BFB"/>
    <w:rsid w:val="1589170F"/>
    <w:rsid w:val="15FA1003"/>
    <w:rsid w:val="16265C53"/>
    <w:rsid w:val="16573CA3"/>
    <w:rsid w:val="16905D01"/>
    <w:rsid w:val="17392357"/>
    <w:rsid w:val="17574C5F"/>
    <w:rsid w:val="181532CA"/>
    <w:rsid w:val="18AE5386"/>
    <w:rsid w:val="18CB2A08"/>
    <w:rsid w:val="196D0409"/>
    <w:rsid w:val="19A20B33"/>
    <w:rsid w:val="19AB7DDB"/>
    <w:rsid w:val="19BD1092"/>
    <w:rsid w:val="19CB5A07"/>
    <w:rsid w:val="1A8D29D5"/>
    <w:rsid w:val="1AA27925"/>
    <w:rsid w:val="1B053FD8"/>
    <w:rsid w:val="1C1B39DD"/>
    <w:rsid w:val="1C2B0464"/>
    <w:rsid w:val="1C3A70B9"/>
    <w:rsid w:val="1CC00EFB"/>
    <w:rsid w:val="1D3601CD"/>
    <w:rsid w:val="1D527F52"/>
    <w:rsid w:val="1D7F10D4"/>
    <w:rsid w:val="1E2B5829"/>
    <w:rsid w:val="1E6C7468"/>
    <w:rsid w:val="1E8E1861"/>
    <w:rsid w:val="1EE81310"/>
    <w:rsid w:val="1F300578"/>
    <w:rsid w:val="1F4C398F"/>
    <w:rsid w:val="1FD107FD"/>
    <w:rsid w:val="20500784"/>
    <w:rsid w:val="20F51DB6"/>
    <w:rsid w:val="2100086C"/>
    <w:rsid w:val="216C4451"/>
    <w:rsid w:val="21933B59"/>
    <w:rsid w:val="21D524E1"/>
    <w:rsid w:val="22A6431D"/>
    <w:rsid w:val="22C66329"/>
    <w:rsid w:val="2304487D"/>
    <w:rsid w:val="23160353"/>
    <w:rsid w:val="232429E6"/>
    <w:rsid w:val="234771DD"/>
    <w:rsid w:val="237A2F50"/>
    <w:rsid w:val="23A463C7"/>
    <w:rsid w:val="23E64DD4"/>
    <w:rsid w:val="23F330A5"/>
    <w:rsid w:val="24AE3271"/>
    <w:rsid w:val="24DC7436"/>
    <w:rsid w:val="25177823"/>
    <w:rsid w:val="251E695A"/>
    <w:rsid w:val="25373360"/>
    <w:rsid w:val="25D927CA"/>
    <w:rsid w:val="26051F0C"/>
    <w:rsid w:val="263A0AB2"/>
    <w:rsid w:val="27BC641D"/>
    <w:rsid w:val="28331CBB"/>
    <w:rsid w:val="29406139"/>
    <w:rsid w:val="2977538F"/>
    <w:rsid w:val="29894948"/>
    <w:rsid w:val="29AB6728"/>
    <w:rsid w:val="29B27BEC"/>
    <w:rsid w:val="29BA48B9"/>
    <w:rsid w:val="29E20CDA"/>
    <w:rsid w:val="2A167F42"/>
    <w:rsid w:val="2B0955EB"/>
    <w:rsid w:val="2BC01A8A"/>
    <w:rsid w:val="2CA24E45"/>
    <w:rsid w:val="2D9E3E65"/>
    <w:rsid w:val="2E1026D2"/>
    <w:rsid w:val="2E506684"/>
    <w:rsid w:val="2EBF1C56"/>
    <w:rsid w:val="2EDE51A8"/>
    <w:rsid w:val="2EED667E"/>
    <w:rsid w:val="2F4A0569"/>
    <w:rsid w:val="307526CD"/>
    <w:rsid w:val="3108172A"/>
    <w:rsid w:val="311C5B84"/>
    <w:rsid w:val="31456E38"/>
    <w:rsid w:val="32282A32"/>
    <w:rsid w:val="322875E4"/>
    <w:rsid w:val="33190348"/>
    <w:rsid w:val="333D3330"/>
    <w:rsid w:val="33D42F04"/>
    <w:rsid w:val="34472ACC"/>
    <w:rsid w:val="35B22E0B"/>
    <w:rsid w:val="360A6BA0"/>
    <w:rsid w:val="37E2130C"/>
    <w:rsid w:val="38432644"/>
    <w:rsid w:val="393028A9"/>
    <w:rsid w:val="39BF5D27"/>
    <w:rsid w:val="39FE036B"/>
    <w:rsid w:val="3A087AF9"/>
    <w:rsid w:val="3A125BFB"/>
    <w:rsid w:val="3A5148A3"/>
    <w:rsid w:val="3A600617"/>
    <w:rsid w:val="3A603A62"/>
    <w:rsid w:val="3A7B7C41"/>
    <w:rsid w:val="3A8D7D00"/>
    <w:rsid w:val="3B02136A"/>
    <w:rsid w:val="3BA75ED3"/>
    <w:rsid w:val="3BCA0505"/>
    <w:rsid w:val="3BE44603"/>
    <w:rsid w:val="3C264C46"/>
    <w:rsid w:val="3C3A4CC1"/>
    <w:rsid w:val="3D1B7736"/>
    <w:rsid w:val="3D222D9F"/>
    <w:rsid w:val="3D94533B"/>
    <w:rsid w:val="3DE01AAE"/>
    <w:rsid w:val="3E310271"/>
    <w:rsid w:val="3E366118"/>
    <w:rsid w:val="3EB27969"/>
    <w:rsid w:val="3EBA71C9"/>
    <w:rsid w:val="3F015944"/>
    <w:rsid w:val="3F8C6BED"/>
    <w:rsid w:val="3FC37058"/>
    <w:rsid w:val="3FFF7BA9"/>
    <w:rsid w:val="40E979FE"/>
    <w:rsid w:val="40F572CD"/>
    <w:rsid w:val="41576673"/>
    <w:rsid w:val="41632683"/>
    <w:rsid w:val="41866ABE"/>
    <w:rsid w:val="41AC237D"/>
    <w:rsid w:val="4226786D"/>
    <w:rsid w:val="423F15D8"/>
    <w:rsid w:val="42547F08"/>
    <w:rsid w:val="42B9053C"/>
    <w:rsid w:val="42CD5785"/>
    <w:rsid w:val="435E4EE5"/>
    <w:rsid w:val="43DB0665"/>
    <w:rsid w:val="44B41CFC"/>
    <w:rsid w:val="44BB042C"/>
    <w:rsid w:val="44CC067A"/>
    <w:rsid w:val="44D707BA"/>
    <w:rsid w:val="44E43392"/>
    <w:rsid w:val="44F72463"/>
    <w:rsid w:val="45252E57"/>
    <w:rsid w:val="45BF0B33"/>
    <w:rsid w:val="45D0535A"/>
    <w:rsid w:val="45DB5C50"/>
    <w:rsid w:val="45DB6A50"/>
    <w:rsid w:val="45E56936"/>
    <w:rsid w:val="462B3383"/>
    <w:rsid w:val="462D5D3B"/>
    <w:rsid w:val="46322783"/>
    <w:rsid w:val="4736232C"/>
    <w:rsid w:val="475A46F7"/>
    <w:rsid w:val="47710CC8"/>
    <w:rsid w:val="47753B39"/>
    <w:rsid w:val="47796D5F"/>
    <w:rsid w:val="47D779E9"/>
    <w:rsid w:val="48AC7ABA"/>
    <w:rsid w:val="48C32E32"/>
    <w:rsid w:val="497573ED"/>
    <w:rsid w:val="498B7293"/>
    <w:rsid w:val="49B77D0A"/>
    <w:rsid w:val="4A865F76"/>
    <w:rsid w:val="4AA35E5D"/>
    <w:rsid w:val="4AEB2AAD"/>
    <w:rsid w:val="4B045A02"/>
    <w:rsid w:val="4C1B5175"/>
    <w:rsid w:val="4C4A143F"/>
    <w:rsid w:val="4D460E2B"/>
    <w:rsid w:val="4DAD76EF"/>
    <w:rsid w:val="4DCB7DDB"/>
    <w:rsid w:val="4E1C1049"/>
    <w:rsid w:val="4F131574"/>
    <w:rsid w:val="4FF26AE2"/>
    <w:rsid w:val="500015FF"/>
    <w:rsid w:val="500B0E72"/>
    <w:rsid w:val="5013760A"/>
    <w:rsid w:val="503913CB"/>
    <w:rsid w:val="50AA545F"/>
    <w:rsid w:val="51356582"/>
    <w:rsid w:val="5161613B"/>
    <w:rsid w:val="518679EC"/>
    <w:rsid w:val="51D63598"/>
    <w:rsid w:val="52135044"/>
    <w:rsid w:val="52D95499"/>
    <w:rsid w:val="52FE211E"/>
    <w:rsid w:val="53815A5D"/>
    <w:rsid w:val="539E539C"/>
    <w:rsid w:val="53D92F2E"/>
    <w:rsid w:val="53DE7DD1"/>
    <w:rsid w:val="542C1166"/>
    <w:rsid w:val="54DB3954"/>
    <w:rsid w:val="559E024B"/>
    <w:rsid w:val="55CD7732"/>
    <w:rsid w:val="55DD3A62"/>
    <w:rsid w:val="56527811"/>
    <w:rsid w:val="56C75546"/>
    <w:rsid w:val="56EE5E2D"/>
    <w:rsid w:val="56EF72E7"/>
    <w:rsid w:val="57164113"/>
    <w:rsid w:val="5727092E"/>
    <w:rsid w:val="57963469"/>
    <w:rsid w:val="57FE216B"/>
    <w:rsid w:val="58081002"/>
    <w:rsid w:val="581F271F"/>
    <w:rsid w:val="5894771E"/>
    <w:rsid w:val="58ED3F1E"/>
    <w:rsid w:val="59037FBE"/>
    <w:rsid w:val="591D051C"/>
    <w:rsid w:val="591E7CBE"/>
    <w:rsid w:val="59A56B19"/>
    <w:rsid w:val="5A280EEE"/>
    <w:rsid w:val="5A775823"/>
    <w:rsid w:val="5A88144C"/>
    <w:rsid w:val="5B567326"/>
    <w:rsid w:val="5C4330A5"/>
    <w:rsid w:val="5C454E95"/>
    <w:rsid w:val="5C8E42B1"/>
    <w:rsid w:val="5C8F0ACA"/>
    <w:rsid w:val="5CD30DF3"/>
    <w:rsid w:val="5D157E06"/>
    <w:rsid w:val="5D3A570F"/>
    <w:rsid w:val="5DA41321"/>
    <w:rsid w:val="5DAF7CE8"/>
    <w:rsid w:val="5DCE22A5"/>
    <w:rsid w:val="5E3C334A"/>
    <w:rsid w:val="5E511CA3"/>
    <w:rsid w:val="5EA77FAE"/>
    <w:rsid w:val="5ECB24BD"/>
    <w:rsid w:val="5ECC2A4F"/>
    <w:rsid w:val="5EEF0465"/>
    <w:rsid w:val="5F461CEF"/>
    <w:rsid w:val="5F7F42C7"/>
    <w:rsid w:val="5FB528C2"/>
    <w:rsid w:val="5FC0786E"/>
    <w:rsid w:val="602B48EC"/>
    <w:rsid w:val="60A31932"/>
    <w:rsid w:val="61D568A0"/>
    <w:rsid w:val="620C4AC0"/>
    <w:rsid w:val="6249464B"/>
    <w:rsid w:val="629E3A7E"/>
    <w:rsid w:val="62C05D17"/>
    <w:rsid w:val="63211531"/>
    <w:rsid w:val="639871BE"/>
    <w:rsid w:val="64914B33"/>
    <w:rsid w:val="649800FE"/>
    <w:rsid w:val="64C517C3"/>
    <w:rsid w:val="64D678CB"/>
    <w:rsid w:val="6562476C"/>
    <w:rsid w:val="65B038FD"/>
    <w:rsid w:val="65DA3187"/>
    <w:rsid w:val="65DD649C"/>
    <w:rsid w:val="66102AC7"/>
    <w:rsid w:val="665864D0"/>
    <w:rsid w:val="66647260"/>
    <w:rsid w:val="6699236E"/>
    <w:rsid w:val="66D47FE7"/>
    <w:rsid w:val="66E02E28"/>
    <w:rsid w:val="66F321A7"/>
    <w:rsid w:val="670D0BDB"/>
    <w:rsid w:val="6719435C"/>
    <w:rsid w:val="674D4FFB"/>
    <w:rsid w:val="678B4052"/>
    <w:rsid w:val="67DA59D6"/>
    <w:rsid w:val="680A3664"/>
    <w:rsid w:val="680C35A9"/>
    <w:rsid w:val="6876758A"/>
    <w:rsid w:val="689647F3"/>
    <w:rsid w:val="689879DB"/>
    <w:rsid w:val="69662FF3"/>
    <w:rsid w:val="69D0259E"/>
    <w:rsid w:val="6A05379D"/>
    <w:rsid w:val="6A42096D"/>
    <w:rsid w:val="6A430864"/>
    <w:rsid w:val="6A732C70"/>
    <w:rsid w:val="6A8E7BA9"/>
    <w:rsid w:val="6A9C0253"/>
    <w:rsid w:val="6B283AB6"/>
    <w:rsid w:val="6B362CD2"/>
    <w:rsid w:val="6B9F3B9A"/>
    <w:rsid w:val="6C5D40AD"/>
    <w:rsid w:val="6C7F60B9"/>
    <w:rsid w:val="6DB044E3"/>
    <w:rsid w:val="6DBB057B"/>
    <w:rsid w:val="6DD347F7"/>
    <w:rsid w:val="6E67552C"/>
    <w:rsid w:val="6E922CEB"/>
    <w:rsid w:val="6EB34193"/>
    <w:rsid w:val="6EDE6FCD"/>
    <w:rsid w:val="6EE40F00"/>
    <w:rsid w:val="6F2711A9"/>
    <w:rsid w:val="6F472D92"/>
    <w:rsid w:val="6F71476C"/>
    <w:rsid w:val="6FA746B2"/>
    <w:rsid w:val="70144EAD"/>
    <w:rsid w:val="703C5FD3"/>
    <w:rsid w:val="70663A0C"/>
    <w:rsid w:val="70F547D2"/>
    <w:rsid w:val="719C582B"/>
    <w:rsid w:val="722E6668"/>
    <w:rsid w:val="729E517B"/>
    <w:rsid w:val="72FA6E99"/>
    <w:rsid w:val="73392ABC"/>
    <w:rsid w:val="733C0B01"/>
    <w:rsid w:val="733D728C"/>
    <w:rsid w:val="73EA3902"/>
    <w:rsid w:val="7527635A"/>
    <w:rsid w:val="755E7C6D"/>
    <w:rsid w:val="75896E70"/>
    <w:rsid w:val="767B27B0"/>
    <w:rsid w:val="76FD5A80"/>
    <w:rsid w:val="776709A0"/>
    <w:rsid w:val="781A4E11"/>
    <w:rsid w:val="786C53ED"/>
    <w:rsid w:val="78CD0911"/>
    <w:rsid w:val="78E3634C"/>
    <w:rsid w:val="792A27B1"/>
    <w:rsid w:val="799322AC"/>
    <w:rsid w:val="79BE48D7"/>
    <w:rsid w:val="79F91778"/>
    <w:rsid w:val="7A5E7693"/>
    <w:rsid w:val="7A90690F"/>
    <w:rsid w:val="7A9D3C0F"/>
    <w:rsid w:val="7B671583"/>
    <w:rsid w:val="7B6F27CE"/>
    <w:rsid w:val="7B7218F9"/>
    <w:rsid w:val="7C113FAE"/>
    <w:rsid w:val="7DD40E04"/>
    <w:rsid w:val="7E1A3C3F"/>
    <w:rsid w:val="7E211576"/>
    <w:rsid w:val="7E502725"/>
    <w:rsid w:val="7F235320"/>
    <w:rsid w:val="7F640B02"/>
    <w:rsid w:val="7FBB5EA1"/>
    <w:rsid w:val="7FD824D9"/>
    <w:rsid w:val="7FE90212"/>
    <w:rsid w:val="7FFC57CF"/>
    <w:rsid w:val="7FFD1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39"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keepNext/>
      <w:keepLines/>
      <w:spacing w:line="576" w:lineRule="auto"/>
      <w:outlineLvl w:val="0"/>
    </w:pPr>
    <w:rPr>
      <w:b/>
      <w:kern w:val="44"/>
      <w:sz w:val="44"/>
    </w:rPr>
  </w:style>
  <w:style w:type="paragraph" w:styleId="7">
    <w:name w:val="heading 2"/>
    <w:basedOn w:val="1"/>
    <w:next w:val="1"/>
    <w:link w:val="40"/>
    <w:unhideWhenUsed/>
    <w:qFormat/>
    <w:uiPriority w:val="99"/>
    <w:pPr>
      <w:keepNext/>
      <w:keepLines/>
      <w:spacing w:line="413" w:lineRule="auto"/>
      <w:outlineLvl w:val="1"/>
    </w:pPr>
    <w:rPr>
      <w:rFonts w:ascii="Arial" w:hAnsi="Arial" w:eastAsia="微软雅黑" w:cs="Times New Roman"/>
      <w:b/>
      <w:kern w:val="0"/>
      <w:sz w:val="28"/>
      <w:szCs w:val="20"/>
    </w:rPr>
  </w:style>
  <w:style w:type="paragraph" w:styleId="8">
    <w:name w:val="heading 3"/>
    <w:basedOn w:val="1"/>
    <w:next w:val="1"/>
    <w:link w:val="59"/>
    <w:unhideWhenUsed/>
    <w:qFormat/>
    <w:uiPriority w:val="99"/>
    <w:pPr>
      <w:keepNext/>
      <w:keepLines/>
      <w:spacing w:line="413" w:lineRule="auto"/>
      <w:outlineLvl w:val="2"/>
    </w:pPr>
    <w:rPr>
      <w:b/>
      <w:sz w:val="32"/>
    </w:rPr>
  </w:style>
  <w:style w:type="paragraph" w:styleId="9">
    <w:name w:val="heading 4"/>
    <w:basedOn w:val="1"/>
    <w:next w:val="1"/>
    <w:link w:val="5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unhideWhenUsed/>
    <w:qFormat/>
    <w:uiPriority w:val="99"/>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spacing w:after="120"/>
      <w:ind w:left="420" w:leftChars="200"/>
    </w:pPr>
  </w:style>
  <w:style w:type="paragraph" w:styleId="10">
    <w:name w:val="Normal Indent"/>
    <w:basedOn w:val="1"/>
    <w:qFormat/>
    <w:uiPriority w:val="0"/>
    <w:pPr>
      <w:ind w:firstLine="425"/>
    </w:pPr>
    <w:rPr>
      <w:rFonts w:ascii="Times New Roman" w:hAnsi="Times New Roman" w:eastAsia="宋体" w:cs="Times New Roman"/>
      <w:szCs w:val="20"/>
    </w:rPr>
  </w:style>
  <w:style w:type="paragraph" w:styleId="11">
    <w:name w:val="caption"/>
    <w:basedOn w:val="1"/>
    <w:next w:val="1"/>
    <w:qFormat/>
    <w:uiPriority w:val="0"/>
    <w:rPr>
      <w:rFonts w:ascii="Arial" w:hAnsi="Arial" w:eastAsia="黑体" w:cs="Arial"/>
      <w:sz w:val="20"/>
      <w:szCs w:val="20"/>
    </w:rPr>
  </w:style>
  <w:style w:type="paragraph" w:styleId="12">
    <w:name w:val="Plain Text"/>
    <w:basedOn w:val="1"/>
    <w:link w:val="30"/>
    <w:qFormat/>
    <w:uiPriority w:val="0"/>
    <w:rPr>
      <w:rFonts w:eastAsia="宋体"/>
      <w:sz w:val="24"/>
    </w:rPr>
  </w:style>
  <w:style w:type="paragraph" w:styleId="13">
    <w:name w:val="toc 8"/>
    <w:basedOn w:val="1"/>
    <w:next w:val="1"/>
    <w:qFormat/>
    <w:uiPriority w:val="39"/>
    <w:pPr>
      <w:ind w:left="2940" w:leftChars="1400"/>
    </w:pPr>
    <w:rPr>
      <w:rFonts w:ascii="Calibri" w:hAnsi="Calibri" w:eastAsia="宋体" w:cs="Times New Roman"/>
      <w:szCs w:val="24"/>
    </w:rPr>
  </w:style>
  <w:style w:type="paragraph" w:styleId="14">
    <w:name w:val="Date"/>
    <w:basedOn w:val="1"/>
    <w:next w:val="1"/>
    <w:link w:val="33"/>
    <w:unhideWhenUsed/>
    <w:qFormat/>
    <w:uiPriority w:val="99"/>
    <w:pPr>
      <w:ind w:left="100" w:leftChars="2500"/>
    </w:pPr>
  </w:style>
  <w:style w:type="paragraph" w:styleId="15">
    <w:name w:val="Balloon Text"/>
    <w:basedOn w:val="1"/>
    <w:link w:val="52"/>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Message Header"/>
    <w:basedOn w:val="1"/>
    <w:link w:val="4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9">
    <w:name w:val="Normal (Web)"/>
    <w:basedOn w:val="1"/>
    <w:qFormat/>
    <w:uiPriority w:val="99"/>
    <w:rPr>
      <w:rFonts w:ascii="Calibri" w:hAnsi="Calibri" w:eastAsia="宋体" w:cs="Times New Roman"/>
      <w:sz w:val="24"/>
      <w:szCs w:val="24"/>
    </w:rPr>
  </w:style>
  <w:style w:type="table" w:styleId="21">
    <w:name w:val="Table Grid"/>
    <w:basedOn w:val="20"/>
    <w:qFormat/>
    <w:uiPriority w:val="39"/>
    <w:rPr>
      <w:rFonts w:ascii="Calibri" w:hAnsi="Calibri" w:eastAsia="微软雅黑"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unhideWhenUsed/>
    <w:qFormat/>
    <w:uiPriority w:val="99"/>
    <w:rPr>
      <w:color w:val="000000"/>
      <w:u w:val="none"/>
    </w:rPr>
  </w:style>
  <w:style w:type="character" w:styleId="25">
    <w:name w:val="Emphasis"/>
    <w:basedOn w:val="22"/>
    <w:qFormat/>
    <w:uiPriority w:val="20"/>
  </w:style>
  <w:style w:type="character" w:styleId="26">
    <w:name w:val="Hyperlink"/>
    <w:basedOn w:val="22"/>
    <w:unhideWhenUsed/>
    <w:qFormat/>
    <w:uiPriority w:val="99"/>
    <w:rPr>
      <w:color w:val="000000"/>
      <w:u w:val="none"/>
    </w:rPr>
  </w:style>
  <w:style w:type="character" w:customStyle="1" w:styleId="27">
    <w:name w:val="页眉 字符"/>
    <w:basedOn w:val="22"/>
    <w:link w:val="17"/>
    <w:semiHidden/>
    <w:qFormat/>
    <w:uiPriority w:val="99"/>
    <w:rPr>
      <w:sz w:val="18"/>
      <w:szCs w:val="18"/>
    </w:rPr>
  </w:style>
  <w:style w:type="character" w:customStyle="1" w:styleId="28">
    <w:name w:val="页脚 字符"/>
    <w:basedOn w:val="22"/>
    <w:link w:val="16"/>
    <w:qFormat/>
    <w:uiPriority w:val="99"/>
    <w:rPr>
      <w:sz w:val="18"/>
      <w:szCs w:val="18"/>
    </w:rPr>
  </w:style>
  <w:style w:type="character" w:customStyle="1" w:styleId="29">
    <w:name w:val="纯文本 Char1"/>
    <w:qFormat/>
    <w:uiPriority w:val="0"/>
    <w:rPr>
      <w:rFonts w:eastAsia="宋体"/>
      <w:sz w:val="24"/>
    </w:rPr>
  </w:style>
  <w:style w:type="character" w:customStyle="1" w:styleId="30">
    <w:name w:val="纯文本 字符"/>
    <w:basedOn w:val="22"/>
    <w:link w:val="12"/>
    <w:qFormat/>
    <w:uiPriority w:val="0"/>
    <w:rPr>
      <w:rFonts w:ascii="宋体" w:hAnsi="Courier New" w:eastAsia="宋体" w:cs="Courier New"/>
      <w:szCs w:val="21"/>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2">
    <w:name w:val="列出段落1"/>
    <w:basedOn w:val="1"/>
    <w:qFormat/>
    <w:uiPriority w:val="0"/>
    <w:pPr>
      <w:ind w:firstLine="420" w:firstLineChars="200"/>
    </w:pPr>
  </w:style>
  <w:style w:type="character" w:customStyle="1" w:styleId="33">
    <w:name w:val="日期 字符"/>
    <w:basedOn w:val="22"/>
    <w:link w:val="14"/>
    <w:semiHidden/>
    <w:qFormat/>
    <w:uiPriority w:val="99"/>
  </w:style>
  <w:style w:type="paragraph" w:styleId="34">
    <w:name w:val="List Paragraph"/>
    <w:basedOn w:val="1"/>
    <w:unhideWhenUsed/>
    <w:qFormat/>
    <w:uiPriority w:val="34"/>
    <w:pPr>
      <w:ind w:firstLine="420" w:firstLineChars="200"/>
    </w:pPr>
  </w:style>
  <w:style w:type="character" w:customStyle="1" w:styleId="35">
    <w:name w:val="正文文本缩进 Char Char"/>
    <w:link w:val="36"/>
    <w:qFormat/>
    <w:uiPriority w:val="0"/>
    <w:rPr>
      <w:rFonts w:ascii="宋体"/>
      <w:sz w:val="24"/>
    </w:rPr>
  </w:style>
  <w:style w:type="paragraph" w:customStyle="1" w:styleId="36">
    <w:name w:val="正文文本缩进1"/>
    <w:basedOn w:val="1"/>
    <w:link w:val="35"/>
    <w:qFormat/>
    <w:uiPriority w:val="0"/>
    <w:pPr>
      <w:spacing w:line="360" w:lineRule="auto"/>
      <w:ind w:firstLine="480" w:firstLineChars="200"/>
    </w:pPr>
    <w:rPr>
      <w:rFonts w:ascii="宋体" w:hAnsi="Times New Roman" w:eastAsia="宋体" w:cs="Times New Roman"/>
      <w:kern w:val="0"/>
      <w:sz w:val="24"/>
      <w:szCs w:val="20"/>
    </w:rPr>
  </w:style>
  <w:style w:type="character" w:customStyle="1" w:styleId="37">
    <w:name w:val="日期 Char Char"/>
    <w:link w:val="38"/>
    <w:qFormat/>
    <w:uiPriority w:val="0"/>
    <w:rPr>
      <w:sz w:val="24"/>
    </w:rPr>
  </w:style>
  <w:style w:type="paragraph" w:customStyle="1" w:styleId="38">
    <w:name w:val="日期1"/>
    <w:basedOn w:val="1"/>
    <w:next w:val="1"/>
    <w:link w:val="37"/>
    <w:qFormat/>
    <w:uiPriority w:val="0"/>
    <w:rPr>
      <w:rFonts w:ascii="Times New Roman" w:hAnsi="Times New Roman" w:eastAsia="宋体" w:cs="Times New Roman"/>
      <w:kern w:val="0"/>
      <w:sz w:val="24"/>
      <w:szCs w:val="20"/>
    </w:rPr>
  </w:style>
  <w:style w:type="paragraph" w:customStyle="1" w:styleId="3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40">
    <w:name w:val="标题 2 字符"/>
    <w:basedOn w:val="22"/>
    <w:link w:val="7"/>
    <w:qFormat/>
    <w:uiPriority w:val="99"/>
    <w:rPr>
      <w:rFonts w:ascii="Arial" w:hAnsi="Arial" w:eastAsia="微软雅黑" w:cs="Times New Roman"/>
      <w:b/>
      <w:kern w:val="0"/>
      <w:sz w:val="28"/>
      <w:szCs w:val="20"/>
    </w:rPr>
  </w:style>
  <w:style w:type="character" w:customStyle="1" w:styleId="41">
    <w:name w:val="apple-converted-space"/>
    <w:basedOn w:val="22"/>
    <w:qFormat/>
    <w:uiPriority w:val="0"/>
  </w:style>
  <w:style w:type="character" w:customStyle="1" w:styleId="42">
    <w:name w:val="信息标题 字符"/>
    <w:basedOn w:val="22"/>
    <w:link w:val="18"/>
    <w:qFormat/>
    <w:uiPriority w:val="99"/>
    <w:rPr>
      <w:rFonts w:ascii="Arial" w:hAnsi="Arial" w:cs="Arial" w:eastAsiaTheme="minorEastAsia"/>
      <w:kern w:val="2"/>
      <w:sz w:val="24"/>
      <w:szCs w:val="24"/>
      <w:shd w:val="clear" w:color="auto" w:fill="7F7F7F"/>
    </w:rPr>
  </w:style>
  <w:style w:type="character" w:customStyle="1" w:styleId="43">
    <w:name w:val="hover25"/>
    <w:basedOn w:val="22"/>
    <w:qFormat/>
    <w:uiPriority w:val="0"/>
  </w:style>
  <w:style w:type="character" w:customStyle="1" w:styleId="44">
    <w:name w:val="red"/>
    <w:basedOn w:val="22"/>
    <w:qFormat/>
    <w:uiPriority w:val="0"/>
    <w:rPr>
      <w:color w:val="FF0000"/>
      <w:sz w:val="18"/>
      <w:szCs w:val="18"/>
    </w:rPr>
  </w:style>
  <w:style w:type="character" w:customStyle="1" w:styleId="45">
    <w:name w:val="red1"/>
    <w:basedOn w:val="22"/>
    <w:qFormat/>
    <w:uiPriority w:val="0"/>
    <w:rPr>
      <w:color w:val="FF0000"/>
      <w:sz w:val="18"/>
      <w:szCs w:val="18"/>
    </w:rPr>
  </w:style>
  <w:style w:type="character" w:customStyle="1" w:styleId="46">
    <w:name w:val="red2"/>
    <w:basedOn w:val="22"/>
    <w:qFormat/>
    <w:uiPriority w:val="0"/>
    <w:rPr>
      <w:color w:val="FF0000"/>
    </w:rPr>
  </w:style>
  <w:style w:type="character" w:customStyle="1" w:styleId="47">
    <w:name w:val="blue"/>
    <w:basedOn w:val="22"/>
    <w:qFormat/>
    <w:uiPriority w:val="0"/>
    <w:rPr>
      <w:color w:val="0371C6"/>
      <w:sz w:val="21"/>
      <w:szCs w:val="21"/>
    </w:rPr>
  </w:style>
  <w:style w:type="character" w:customStyle="1" w:styleId="48">
    <w:name w:val="green"/>
    <w:basedOn w:val="22"/>
    <w:qFormat/>
    <w:uiPriority w:val="0"/>
    <w:rPr>
      <w:color w:val="66AE00"/>
      <w:sz w:val="18"/>
      <w:szCs w:val="18"/>
    </w:rPr>
  </w:style>
  <w:style w:type="character" w:customStyle="1" w:styleId="49">
    <w:name w:val="green1"/>
    <w:basedOn w:val="22"/>
    <w:qFormat/>
    <w:uiPriority w:val="0"/>
    <w:rPr>
      <w:color w:val="66AE00"/>
      <w:sz w:val="18"/>
      <w:szCs w:val="18"/>
    </w:rPr>
  </w:style>
  <w:style w:type="character" w:customStyle="1" w:styleId="50">
    <w:name w:val="right"/>
    <w:basedOn w:val="22"/>
    <w:qFormat/>
    <w:uiPriority w:val="0"/>
    <w:rPr>
      <w:color w:val="999999"/>
      <w:sz w:val="18"/>
      <w:szCs w:val="18"/>
    </w:rPr>
  </w:style>
  <w:style w:type="character" w:customStyle="1" w:styleId="51">
    <w:name w:val="gb-jt"/>
    <w:basedOn w:val="22"/>
    <w:qFormat/>
    <w:uiPriority w:val="0"/>
  </w:style>
  <w:style w:type="character" w:customStyle="1" w:styleId="52">
    <w:name w:val="批注框文本 字符"/>
    <w:basedOn w:val="22"/>
    <w:link w:val="15"/>
    <w:semiHidden/>
    <w:qFormat/>
    <w:uiPriority w:val="99"/>
    <w:rPr>
      <w:rFonts w:asciiTheme="minorHAnsi" w:hAnsiTheme="minorHAnsi" w:eastAsiaTheme="minorEastAsia" w:cstheme="minorBidi"/>
      <w:kern w:val="2"/>
      <w:sz w:val="18"/>
      <w:szCs w:val="18"/>
    </w:rPr>
  </w:style>
  <w:style w:type="paragraph" w:customStyle="1" w:styleId="53">
    <w:name w:val="普通(网站)1"/>
    <w:basedOn w:val="1"/>
    <w:qFormat/>
    <w:uiPriority w:val="0"/>
    <w:rPr>
      <w:rFonts w:ascii="Calibri" w:hAnsi="Calibri" w:eastAsia="宋体" w:cs="Times New Roman"/>
      <w:sz w:val="24"/>
      <w:szCs w:val="24"/>
    </w:rPr>
  </w:style>
  <w:style w:type="character" w:customStyle="1" w:styleId="54">
    <w:name w:val="标题 4 字符"/>
    <w:basedOn w:val="22"/>
    <w:link w:val="9"/>
    <w:semiHidden/>
    <w:qFormat/>
    <w:uiPriority w:val="9"/>
    <w:rPr>
      <w:rFonts w:asciiTheme="majorHAnsi" w:hAnsiTheme="majorHAnsi" w:eastAsiaTheme="majorEastAsia" w:cstheme="majorBidi"/>
      <w:b/>
      <w:bCs/>
      <w:kern w:val="2"/>
      <w:sz w:val="28"/>
      <w:szCs w:val="28"/>
    </w:rPr>
  </w:style>
  <w:style w:type="paragraph" w:customStyle="1" w:styleId="55">
    <w:name w:val="首行缩进:  0.85 厘米"/>
    <w:basedOn w:val="1"/>
    <w:qFormat/>
    <w:uiPriority w:val="0"/>
    <w:pPr>
      <w:widowControl/>
      <w:spacing w:after="100" w:line="360" w:lineRule="auto"/>
      <w:ind w:firstLine="482"/>
      <w:jc w:val="left"/>
    </w:pPr>
    <w:rPr>
      <w:rFonts w:ascii="Times New Roman" w:hAnsi="Times New Roman" w:eastAsia="宋体" w:cs="宋体"/>
      <w:kern w:val="0"/>
      <w:sz w:val="24"/>
      <w:szCs w:val="20"/>
      <w:lang w:eastAsia="en-US" w:bidi="en-US"/>
    </w:rPr>
  </w:style>
  <w:style w:type="character" w:customStyle="1" w:styleId="56">
    <w:name w:val="red3"/>
    <w:basedOn w:val="22"/>
    <w:qFormat/>
    <w:uiPriority w:val="0"/>
    <w:rPr>
      <w:color w:val="FF0000"/>
    </w:rPr>
  </w:style>
  <w:style w:type="paragraph" w:customStyle="1" w:styleId="57">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Table Text"/>
    <w:basedOn w:val="1"/>
    <w:qFormat/>
    <w:uiPriority w:val="0"/>
    <w:pPr>
      <w:widowControl/>
      <w:tabs>
        <w:tab w:val="decimal" w:pos="0"/>
      </w:tabs>
      <w:autoSpaceDE w:val="0"/>
      <w:autoSpaceDN w:val="0"/>
      <w:adjustRightInd w:val="0"/>
      <w:spacing w:before="80" w:after="80"/>
    </w:pPr>
    <w:rPr>
      <w:rFonts w:ascii="Arial" w:hAnsi="Arial" w:eastAsia="宋体" w:cs="Times New Roman"/>
      <w:sz w:val="18"/>
      <w:szCs w:val="24"/>
    </w:rPr>
  </w:style>
  <w:style w:type="character" w:customStyle="1" w:styleId="59">
    <w:name w:val="标题 3 字符"/>
    <w:basedOn w:val="22"/>
    <w:link w:val="8"/>
    <w:qFormat/>
    <w:uiPriority w:val="99"/>
    <w:rPr>
      <w:rFonts w:asciiTheme="minorHAnsi" w:hAnsiTheme="minorHAnsi" w:eastAsiaTheme="minorEastAsia" w:cstheme="minorBidi"/>
      <w:b/>
      <w:kern w:val="2"/>
      <w:sz w:val="32"/>
      <w:szCs w:val="22"/>
    </w:rPr>
  </w:style>
  <w:style w:type="character" w:customStyle="1" w:styleId="60">
    <w:name w:val="10"/>
    <w:basedOn w:val="22"/>
    <w:qFormat/>
    <w:uiPriority w:val="0"/>
    <w:rPr>
      <w:rFonts w:hint="default" w:ascii="Tahoma" w:hAnsi="Tahoma" w:cs="Tahoma"/>
    </w:rPr>
  </w:style>
  <w:style w:type="character" w:customStyle="1" w:styleId="61">
    <w:name w:val="15"/>
    <w:basedOn w:val="22"/>
    <w:qFormat/>
    <w:uiPriority w:val="0"/>
    <w:rPr>
      <w:rFonts w:hint="default" w:ascii="Tahoma" w:hAnsi="Tahoma" w:cs="Tahoma"/>
      <w:color w:val="0000FF"/>
      <w:u w:val="single"/>
    </w:rPr>
  </w:style>
  <w:style w:type="paragraph" w:customStyle="1" w:styleId="62">
    <w:name w:val="纯文本1"/>
    <w:basedOn w:val="1"/>
    <w:qFormat/>
    <w:uiPriority w:val="0"/>
    <w:rPr>
      <w:rFonts w:ascii="Calibri" w:hAnsi="Calibri" w:eastAsia="宋体" w:cs="黑体"/>
      <w:sz w:val="24"/>
    </w:rPr>
  </w:style>
  <w:style w:type="paragraph" w:customStyle="1" w:styleId="63">
    <w:name w:val="正文缩进5"/>
    <w:basedOn w:val="1"/>
    <w:qFormat/>
    <w:uiPriority w:val="0"/>
    <w:pPr>
      <w:spacing w:after="200" w:line="360" w:lineRule="auto"/>
      <w:ind w:firstLine="540" w:firstLineChars="225"/>
    </w:pPr>
    <w:rPr>
      <w:rFonts w:ascii="Times New Roman" w:hAnsi="Times New Roman" w:eastAsia="宋体" w:cs="Times New Roman"/>
      <w:sz w:val="24"/>
      <w:szCs w:val="24"/>
    </w:rPr>
  </w:style>
  <w:style w:type="character" w:customStyle="1" w:styleId="64">
    <w:name w:val="hover24"/>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217C5-3FCF-42E8-845D-758B64EE8CF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5135</Words>
  <Characters>29273</Characters>
  <Lines>243</Lines>
  <Paragraphs>68</Paragraphs>
  <TotalTime>19</TotalTime>
  <ScaleCrop>false</ScaleCrop>
  <LinksUpToDate>false</LinksUpToDate>
  <CharactersWithSpaces>34340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2019-11-21T05:59:00Z</dcterms:created>
  <dc:creator>许昌市公共资源交易中心:孟莉</dc:creator>
  <cp:lastModifiedBy>河南招标采购服务有限公司:河南招标采购服务有限公司</cp:lastModifiedBy>
  <cp:lastPrinted>2020-06-15T04:55:00Z</cp:lastPrinted>
  <dcterms:modified xsi:type="dcterms:W3CDTF">2020-07-17T09:01:15Z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