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312" w:afterLines="100"/>
        <w:ind w:right="-307" w:rightChars="-146"/>
        <w:jc w:val="both"/>
        <w:rPr>
          <w:rFonts w:hint="eastAsia" w:ascii="宋体" w:hAnsi="宋体" w:cs="宋体"/>
          <w:b/>
          <w:bCs/>
          <w:color w:val="auto"/>
          <w:sz w:val="44"/>
          <w:szCs w:val="44"/>
          <w:highlight w:val="none"/>
        </w:rPr>
      </w:pPr>
    </w:p>
    <w:p>
      <w:pPr>
        <w:spacing w:after="312" w:afterLines="100"/>
        <w:ind w:right="-307" w:rightChars="-146"/>
        <w:jc w:val="center"/>
        <w:rPr>
          <w:rFonts w:hint="eastAsia" w:ascii="宋体" w:hAnsi="宋体" w:cs="宋体"/>
          <w:b/>
          <w:bCs/>
          <w:color w:val="auto"/>
          <w:sz w:val="44"/>
          <w:szCs w:val="44"/>
          <w:highlight w:val="none"/>
          <w:lang w:val="en-US" w:eastAsia="zh-CN"/>
        </w:rPr>
      </w:pPr>
      <w:r>
        <w:rPr>
          <w:rFonts w:hint="eastAsia" w:ascii="宋体" w:hAnsi="宋体" w:cs="宋体"/>
          <w:b/>
          <w:bCs/>
          <w:color w:val="auto"/>
          <w:sz w:val="44"/>
          <w:szCs w:val="44"/>
          <w:highlight w:val="none"/>
        </w:rPr>
        <w:t>河南省新闻出版学校2020-2021学年教材采购项目</w:t>
      </w:r>
    </w:p>
    <w:p>
      <w:pPr>
        <w:pStyle w:val="16"/>
        <w:rPr>
          <w:highlight w:val="none"/>
        </w:rPr>
      </w:pPr>
    </w:p>
    <w:p>
      <w:pPr>
        <w:spacing w:line="360" w:lineRule="auto"/>
        <w:jc w:val="center"/>
        <w:rPr>
          <w:rFonts w:hint="eastAsia" w:ascii="宋体" w:hAnsi="宋体" w:cs="宋体"/>
          <w:b/>
          <w:color w:val="auto"/>
          <w:sz w:val="44"/>
          <w:szCs w:val="44"/>
          <w:highlight w:val="none"/>
        </w:rPr>
      </w:pPr>
    </w:p>
    <w:p>
      <w:pPr>
        <w:spacing w:line="360" w:lineRule="auto"/>
        <w:jc w:val="center"/>
        <w:rPr>
          <w:rFonts w:ascii="宋体" w:hAnsi="宋体" w:cs="宋体"/>
          <w:b/>
          <w:color w:val="auto"/>
          <w:sz w:val="96"/>
          <w:szCs w:val="96"/>
          <w:highlight w:val="none"/>
        </w:rPr>
      </w:pPr>
      <w:r>
        <w:rPr>
          <w:rFonts w:hint="eastAsia" w:ascii="宋体" w:hAnsi="宋体" w:cs="宋体"/>
          <w:b/>
          <w:color w:val="auto"/>
          <w:sz w:val="96"/>
          <w:szCs w:val="96"/>
          <w:highlight w:val="none"/>
        </w:rPr>
        <w:t>招标文件</w:t>
      </w:r>
    </w:p>
    <w:p>
      <w:pPr>
        <w:spacing w:line="360" w:lineRule="auto"/>
        <w:jc w:val="center"/>
        <w:rPr>
          <w:rFonts w:hint="eastAsia" w:ascii="宋体" w:hAnsi="宋体" w:cs="宋体"/>
          <w:b/>
          <w:bCs/>
          <w:color w:val="auto"/>
          <w:sz w:val="24"/>
          <w:highlight w:val="none"/>
        </w:rPr>
      </w:pPr>
    </w:p>
    <w:p>
      <w:pPr>
        <w:spacing w:line="360" w:lineRule="auto"/>
        <w:jc w:val="center"/>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rPr>
        <w:t>项目编号：</w:t>
      </w:r>
      <w:r>
        <w:rPr>
          <w:rFonts w:hint="eastAsia" w:ascii="宋体" w:hAnsi="宋体" w:cs="宋体"/>
          <w:b/>
          <w:bCs/>
          <w:color w:val="auto"/>
          <w:sz w:val="24"/>
          <w:highlight w:val="none"/>
        </w:rPr>
        <w:t xml:space="preserve">豫财招标采购-2020-733 </w:t>
      </w:r>
    </w:p>
    <w:p>
      <w:pPr>
        <w:pStyle w:val="16"/>
        <w:rPr>
          <w:rFonts w:hint="eastAsia" w:ascii="宋体" w:hAnsi="宋体" w:cs="宋体"/>
          <w:b/>
          <w:bCs/>
          <w:color w:val="auto"/>
          <w:sz w:val="24"/>
          <w:highlight w:val="none"/>
          <w:lang w:val="en-US" w:eastAsia="zh-CN"/>
        </w:rPr>
      </w:pPr>
    </w:p>
    <w:p>
      <w:pPr>
        <w:rPr>
          <w:rFonts w:hint="default"/>
          <w:highlight w:val="none"/>
          <w:lang w:val="en-US" w:eastAsia="zh-CN"/>
        </w:rPr>
      </w:pPr>
    </w:p>
    <w:p>
      <w:pPr>
        <w:autoSpaceDE w:val="0"/>
        <w:autoSpaceDN w:val="0"/>
        <w:adjustRightInd w:val="0"/>
        <w:jc w:val="center"/>
        <w:rPr>
          <w:rFonts w:hint="eastAsia" w:ascii="宋体" w:hAnsi="宋体" w:cs="宋体"/>
          <w:color w:val="auto"/>
          <w:highlight w:val="none"/>
        </w:rPr>
      </w:pPr>
      <w:r>
        <w:rPr>
          <w:rFonts w:ascii="宋体" w:hAnsi="宋体" w:cs="宋体"/>
          <w:b/>
          <w:highlight w:val="none"/>
        </w:rPr>
        <w:drawing>
          <wp:inline distT="0" distB="0" distL="114300" distR="114300">
            <wp:extent cx="2642870" cy="1867535"/>
            <wp:effectExtent l="0" t="0" r="5080" b="1841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2"/>
                    <a:stretch>
                      <a:fillRect/>
                    </a:stretch>
                  </pic:blipFill>
                  <pic:spPr>
                    <a:xfrm>
                      <a:off x="0" y="0"/>
                      <a:ext cx="2642870" cy="1867535"/>
                    </a:xfrm>
                    <a:prstGeom prst="rect">
                      <a:avLst/>
                    </a:prstGeom>
                    <a:noFill/>
                    <a:ln>
                      <a:noFill/>
                    </a:ln>
                  </pic:spPr>
                </pic:pic>
              </a:graphicData>
            </a:graphic>
          </wp:inline>
        </w:drawing>
      </w:r>
    </w:p>
    <w:p>
      <w:pPr>
        <w:pStyle w:val="16"/>
        <w:rPr>
          <w:highlight w:val="none"/>
        </w:rPr>
      </w:pPr>
    </w:p>
    <w:p>
      <w:pPr>
        <w:rPr>
          <w:highlight w:val="none"/>
        </w:rPr>
      </w:pPr>
    </w:p>
    <w:p>
      <w:pPr>
        <w:pStyle w:val="16"/>
        <w:rPr>
          <w:highlight w:val="none"/>
        </w:rPr>
      </w:pPr>
    </w:p>
    <w:p>
      <w:pPr>
        <w:rPr>
          <w:highlight w:val="none"/>
        </w:rPr>
      </w:pPr>
    </w:p>
    <w:p>
      <w:pPr>
        <w:rPr>
          <w:highlight w:val="none"/>
        </w:rPr>
      </w:pPr>
    </w:p>
    <w:p>
      <w:pPr>
        <w:pStyle w:val="94"/>
        <w:spacing w:line="360" w:lineRule="auto"/>
        <w:ind w:firstLine="1057" w:firstLineChars="329"/>
        <w:rPr>
          <w:rFonts w:hAnsi="宋体"/>
          <w:b/>
          <w:bCs/>
          <w:color w:val="auto"/>
          <w:sz w:val="32"/>
          <w:szCs w:val="32"/>
          <w:highlight w:val="none"/>
          <w:u w:val="single"/>
        </w:rPr>
      </w:pPr>
      <w:r>
        <w:rPr>
          <w:rFonts w:hint="eastAsia" w:hAnsi="宋体"/>
          <w:b/>
          <w:bCs/>
          <w:color w:val="auto"/>
          <w:sz w:val="32"/>
          <w:szCs w:val="32"/>
          <w:highlight w:val="none"/>
        </w:rPr>
        <w:t>采   购   人：</w:t>
      </w:r>
      <w:r>
        <w:rPr>
          <w:rFonts w:hint="eastAsia" w:hAnsi="宋体"/>
          <w:b/>
          <w:bCs/>
          <w:color w:val="auto"/>
          <w:sz w:val="32"/>
          <w:szCs w:val="32"/>
          <w:highlight w:val="none"/>
          <w:u w:val="single"/>
        </w:rPr>
        <w:t>河南省新闻出版学校</w:t>
      </w:r>
    </w:p>
    <w:p>
      <w:pPr>
        <w:pStyle w:val="94"/>
        <w:spacing w:line="360" w:lineRule="auto"/>
        <w:ind w:firstLine="1057" w:firstLineChars="329"/>
        <w:rPr>
          <w:rFonts w:hAnsi="宋体"/>
          <w:b/>
          <w:bCs/>
          <w:color w:val="auto"/>
          <w:sz w:val="32"/>
          <w:szCs w:val="32"/>
          <w:highlight w:val="none"/>
        </w:rPr>
      </w:pPr>
      <w:r>
        <w:rPr>
          <w:rFonts w:hint="eastAsia" w:hAnsi="宋体"/>
          <w:b/>
          <w:bCs/>
          <w:color w:val="auto"/>
          <w:sz w:val="32"/>
          <w:szCs w:val="32"/>
          <w:highlight w:val="none"/>
        </w:rPr>
        <w:t>采购代理机构：</w:t>
      </w:r>
      <w:r>
        <w:rPr>
          <w:rFonts w:hint="eastAsia" w:hAnsi="宋体"/>
          <w:b/>
          <w:bCs/>
          <w:color w:val="auto"/>
          <w:sz w:val="32"/>
          <w:szCs w:val="32"/>
          <w:highlight w:val="none"/>
          <w:u w:val="single"/>
        </w:rPr>
        <w:t>河南招标采购服务有限公司</w:t>
      </w:r>
    </w:p>
    <w:p>
      <w:pPr>
        <w:pStyle w:val="94"/>
        <w:spacing w:line="360" w:lineRule="auto"/>
        <w:ind w:firstLine="1057" w:firstLineChars="329"/>
        <w:rPr>
          <w:rFonts w:hint="eastAsia" w:hAnsi="宋体" w:eastAsia="宋体"/>
          <w:b/>
          <w:color w:val="auto"/>
          <w:sz w:val="32"/>
          <w:szCs w:val="32"/>
          <w:highlight w:val="none"/>
          <w:lang w:val="en-US" w:eastAsia="zh-CN"/>
        </w:rPr>
      </w:pPr>
      <w:r>
        <w:rPr>
          <w:rFonts w:hint="eastAsia" w:hAnsi="宋体"/>
          <w:b/>
          <w:bCs/>
          <w:color w:val="auto"/>
          <w:sz w:val="32"/>
          <w:szCs w:val="32"/>
          <w:highlight w:val="none"/>
        </w:rPr>
        <w:t>日        期：</w:t>
      </w:r>
      <w:r>
        <w:rPr>
          <w:rFonts w:hint="eastAsia" w:ascii="宋体" w:hAnsi="宋体" w:cs="宋体"/>
          <w:b/>
          <w:sz w:val="32"/>
          <w:szCs w:val="28"/>
          <w:highlight w:val="none"/>
        </w:rPr>
        <w:t>二〇二〇年</w:t>
      </w:r>
      <w:r>
        <w:rPr>
          <w:rFonts w:hint="eastAsia" w:hAnsi="宋体" w:cs="宋体"/>
          <w:b/>
          <w:sz w:val="32"/>
          <w:szCs w:val="28"/>
          <w:highlight w:val="none"/>
          <w:lang w:val="en-US" w:eastAsia="zh-CN"/>
        </w:rPr>
        <w:t>七月</w:t>
      </w:r>
    </w:p>
    <w:p>
      <w:pPr>
        <w:tabs>
          <w:tab w:val="left" w:pos="2367"/>
        </w:tabs>
        <w:jc w:val="left"/>
        <w:rPr>
          <w:rFonts w:ascii="宋体" w:hAnsi="宋体" w:cs="宋体"/>
          <w:color w:val="auto"/>
          <w:highlight w:val="none"/>
        </w:rPr>
        <w:sectPr>
          <w:headerReference r:id="rId5" w:type="first"/>
          <w:headerReference r:id="rId3" w:type="default"/>
          <w:footerReference r:id="rId6" w:type="default"/>
          <w:headerReference r:id="rId4" w:type="even"/>
          <w:footerReference r:id="rId7" w:type="even"/>
          <w:pgSz w:w="11906" w:h="16838"/>
          <w:pgMar w:top="1440" w:right="1797" w:bottom="1440" w:left="1797" w:header="851" w:footer="992" w:gutter="0"/>
          <w:cols w:space="720" w:num="1"/>
          <w:titlePg/>
          <w:docGrid w:type="lines" w:linePitch="312" w:charSpace="0"/>
        </w:sectPr>
      </w:pPr>
    </w:p>
    <w:p>
      <w:pPr>
        <w:spacing w:before="58"/>
        <w:ind w:left="416" w:right="693" w:firstLine="0"/>
        <w:jc w:val="center"/>
        <w:rPr>
          <w:b/>
          <w:sz w:val="30"/>
          <w:highlight w:val="none"/>
        </w:rPr>
      </w:pPr>
      <w:r>
        <w:rPr>
          <w:b/>
          <w:sz w:val="30"/>
          <w:highlight w:val="none"/>
        </w:rPr>
        <w:t>特 别 提 示</w:t>
      </w:r>
    </w:p>
    <w:p>
      <w:pPr>
        <w:spacing w:line="360" w:lineRule="auto"/>
        <w:ind w:firstLine="482" w:firstLineChars="200"/>
        <w:rPr>
          <w:b/>
          <w:bCs/>
          <w:sz w:val="24"/>
          <w:highlight w:val="none"/>
        </w:rPr>
      </w:pPr>
      <w:r>
        <w:rPr>
          <w:b/>
          <w:bCs/>
          <w:sz w:val="24"/>
          <w:highlight w:val="none"/>
        </w:rPr>
        <w:t>1、投标人注册及市场主体信息登记</w:t>
      </w:r>
    </w:p>
    <w:p>
      <w:pPr>
        <w:spacing w:line="360" w:lineRule="auto"/>
        <w:ind w:firstLine="480" w:firstLineChars="200"/>
        <w:rPr>
          <w:sz w:val="24"/>
          <w:highlight w:val="none"/>
        </w:rPr>
      </w:pPr>
      <w:r>
        <w:rPr>
          <w:sz w:val="24"/>
          <w:highlight w:val="none"/>
        </w:rPr>
        <w:t>投标人、供应商（市场主体）需要完成信息登记及CA数字证书办理，才能通过河南省公共资源交易中心平台参与交易活动，具体办理事宜请查阅《河南省公共资源交易中心》网站“办事指南”专区的《河南省公共资源交易平台市场主体信息库登记指南（工程建设、政府采购）》完成注册。</w:t>
      </w:r>
    </w:p>
    <w:p>
      <w:pPr>
        <w:spacing w:line="360" w:lineRule="auto"/>
        <w:ind w:firstLine="482" w:firstLineChars="200"/>
        <w:rPr>
          <w:b/>
          <w:bCs/>
          <w:sz w:val="24"/>
          <w:highlight w:val="none"/>
        </w:rPr>
      </w:pPr>
      <w:r>
        <w:rPr>
          <w:b/>
          <w:bCs/>
          <w:sz w:val="24"/>
          <w:highlight w:val="none"/>
        </w:rPr>
        <w:t>2、投标文件制作</w:t>
      </w:r>
    </w:p>
    <w:p>
      <w:pPr>
        <w:spacing w:line="360" w:lineRule="auto"/>
        <w:ind w:firstLine="482" w:firstLineChars="200"/>
        <w:rPr>
          <w:sz w:val="24"/>
          <w:highlight w:val="none"/>
        </w:rPr>
      </w:pPr>
      <w:r>
        <w:rPr>
          <w:b/>
          <w:bCs/>
          <w:sz w:val="24"/>
          <w:highlight w:val="none"/>
        </w:rPr>
        <w:t>2.1</w:t>
      </w:r>
      <w:r>
        <w:rPr>
          <w:sz w:val="24"/>
          <w:highlight w:val="none"/>
        </w:rPr>
        <w:t>投标人通过“河南省公共资源交易中心（www.hnggzy.com）”网站公共服务（办事指南及下载专区）：下载“投标文件制作工具安装包压缩文件下载”等。</w:t>
      </w:r>
    </w:p>
    <w:p>
      <w:pPr>
        <w:spacing w:line="360" w:lineRule="auto"/>
        <w:ind w:firstLine="482" w:firstLineChars="200"/>
        <w:rPr>
          <w:sz w:val="24"/>
          <w:highlight w:val="none"/>
        </w:rPr>
      </w:pPr>
      <w:r>
        <w:rPr>
          <w:b/>
          <w:bCs/>
          <w:sz w:val="24"/>
          <w:highlight w:val="none"/>
        </w:rPr>
        <w:t>2.2</w:t>
      </w:r>
      <w:r>
        <w:rPr>
          <w:sz w:val="24"/>
          <w:highlight w:val="none"/>
        </w:rPr>
        <w:t>投标人凭CA密钥登陆并按网上提示自行下载每个项目所含格式（.hnzf）的招标文件。</w:t>
      </w:r>
    </w:p>
    <w:p>
      <w:pPr>
        <w:tabs>
          <w:tab w:val="left" w:pos="720"/>
        </w:tabs>
        <w:spacing w:line="360" w:lineRule="auto"/>
        <w:ind w:firstLine="482" w:firstLineChars="200"/>
        <w:rPr>
          <w:sz w:val="24"/>
          <w:highlight w:val="none"/>
        </w:rPr>
      </w:pPr>
      <w:r>
        <w:rPr>
          <w:b/>
          <w:bCs/>
          <w:sz w:val="24"/>
          <w:highlight w:val="none"/>
        </w:rPr>
        <w:t>2.3</w:t>
      </w:r>
      <w:r>
        <w:rPr>
          <w:sz w:val="24"/>
          <w:highlight w:val="none"/>
        </w:rPr>
        <w:t>投标人须在</w:t>
      </w:r>
      <w:r>
        <w:rPr>
          <w:kern w:val="0"/>
          <w:sz w:val="24"/>
          <w:highlight w:val="none"/>
          <w:lang w:val="zh-CN"/>
        </w:rPr>
        <w:t>投标文件递交截止时间</w:t>
      </w:r>
      <w:r>
        <w:rPr>
          <w:sz w:val="24"/>
          <w:highlight w:val="none"/>
        </w:rPr>
        <w:t>前制作并提交：加密的电子投标文件，应在投标文件截止时间前通过“河南省公共资源交易中心（www.hnggzy.com）”电子交易平台内上传。</w:t>
      </w:r>
    </w:p>
    <w:p>
      <w:pPr>
        <w:spacing w:line="360" w:lineRule="auto"/>
        <w:ind w:firstLine="482" w:firstLineChars="200"/>
        <w:rPr>
          <w:sz w:val="24"/>
          <w:highlight w:val="none"/>
        </w:rPr>
      </w:pPr>
      <w:r>
        <w:rPr>
          <w:b/>
          <w:bCs/>
          <w:kern w:val="0"/>
          <w:sz w:val="24"/>
          <w:highlight w:val="none"/>
          <w:lang w:val="zh-CN"/>
        </w:rPr>
        <w:t>2.4</w:t>
      </w:r>
      <w:r>
        <w:rPr>
          <w:sz w:val="24"/>
          <w:highlight w:val="none"/>
        </w:rPr>
        <w:t>加密的电子投标文件为“河南省公共资源交易中心（www.hnggzy.com）” 网站提供的“投标文件制作工具”软件制作生成的加密版投标文件。</w:t>
      </w:r>
    </w:p>
    <w:p>
      <w:pPr>
        <w:spacing w:line="360" w:lineRule="auto"/>
        <w:ind w:firstLine="482" w:firstLineChars="200"/>
        <w:jc w:val="left"/>
        <w:rPr>
          <w:sz w:val="24"/>
          <w:highlight w:val="none"/>
        </w:rPr>
      </w:pPr>
      <w:r>
        <w:rPr>
          <w:b/>
          <w:bCs/>
          <w:sz w:val="24"/>
          <w:highlight w:val="none"/>
        </w:rPr>
        <w:t>2.5</w:t>
      </w:r>
      <w:r>
        <w:rPr>
          <w:sz w:val="24"/>
          <w:highlight w:val="none"/>
        </w:rPr>
        <w:t>投标人编辑电子投标文件时，根据招标文件要求用法定代表人或负责人CA密钥和企业CA密钥进行签章制作；最后一步生成电子投标文件时，只能用本单位的企业CA密钥。</w:t>
      </w:r>
    </w:p>
    <w:p>
      <w:pPr>
        <w:spacing w:line="360" w:lineRule="auto"/>
        <w:ind w:firstLine="496" w:firstLineChars="206"/>
        <w:rPr>
          <w:b/>
          <w:bCs/>
          <w:sz w:val="24"/>
          <w:highlight w:val="none"/>
        </w:rPr>
      </w:pPr>
      <w:r>
        <w:rPr>
          <w:b/>
          <w:bCs/>
          <w:sz w:val="24"/>
          <w:highlight w:val="none"/>
        </w:rPr>
        <w:t>3、澄清与变更</w:t>
      </w:r>
    </w:p>
    <w:p>
      <w:pPr>
        <w:spacing w:line="360" w:lineRule="auto"/>
        <w:ind w:firstLine="494" w:firstLineChars="206"/>
        <w:rPr>
          <w:b/>
          <w:bCs/>
          <w:sz w:val="24"/>
          <w:highlight w:val="none"/>
        </w:rPr>
      </w:pPr>
      <w:r>
        <w:rPr>
          <w:sz w:val="24"/>
          <w:highlight w:val="none"/>
        </w:rPr>
        <w:t>采购人、采购代理购机构对已发出的招标文件进行的澄清、更正或更改，澄清、更正或更改的内容将作为招标文件的组成部分。采购代理购机构将通过网站“变更公告”和系统内部“答疑文件”告知投标人。各投标人须重新下载最新的招标文件和答疑文件，依此编制投标文件。</w:t>
      </w:r>
    </w:p>
    <w:p>
      <w:pPr>
        <w:spacing w:line="360" w:lineRule="auto"/>
        <w:ind w:firstLine="600" w:firstLineChars="250"/>
        <w:jc w:val="left"/>
        <w:rPr>
          <w:bCs/>
          <w:sz w:val="24"/>
          <w:highlight w:val="none"/>
        </w:rPr>
      </w:pPr>
      <w:r>
        <w:rPr>
          <w:bCs/>
          <w:sz w:val="24"/>
          <w:highlight w:val="none"/>
        </w:rPr>
        <w:t>4、河南省公共资源交易中心平台在开标前对投标人信息具有保密性，投标人在投标文件递交截止时间前须自行查看项目进展、变更通知、澄清及回复，因投标人未及时查看而造成的后果由投标人自行承担。</w:t>
      </w:r>
    </w:p>
    <w:p>
      <w:pPr>
        <w:spacing w:line="360" w:lineRule="auto"/>
        <w:ind w:firstLine="600" w:firstLineChars="250"/>
        <w:jc w:val="left"/>
        <w:rPr>
          <w:bCs/>
          <w:sz w:val="24"/>
          <w:highlight w:val="none"/>
        </w:rPr>
      </w:pPr>
      <w:r>
        <w:rPr>
          <w:bCs/>
          <w:sz w:val="24"/>
          <w:highlight w:val="none"/>
        </w:rPr>
        <w:t>5、根据《河南省公共资源交易中心关于推行全程不见面服务的通知》要求，除必须提交样品或现场演示情况外，所有项目均采用不见面开标。投标人无需到省交易中心现场参加开标会议，投标人（供应商）应当在招标（采购）文件确定的投标截止时间前，登录远程开标大厅，在线准时参加开标活动并进行文件解密、答疑澄清、二次报价等。详见《河南省公共资源交易中心》首页-公共服务-办事指南 《河南省公共资源交易平台不见面服务系统使用指南》。</w:t>
      </w:r>
    </w:p>
    <w:p>
      <w:pPr>
        <w:spacing w:line="360" w:lineRule="auto"/>
        <w:ind w:firstLine="600" w:firstLineChars="250"/>
        <w:jc w:val="left"/>
        <w:rPr>
          <w:bCs/>
          <w:sz w:val="24"/>
          <w:highlight w:val="none"/>
        </w:rPr>
      </w:pPr>
      <w:r>
        <w:rPr>
          <w:bCs/>
          <w:sz w:val="24"/>
          <w:highlight w:val="none"/>
        </w:rPr>
        <w:t>按照省交易中心的要求，为了不影响投标，交易主体（投标人、供应商）务必尽快根据自己的实际情况和采购文件（招标文件），在网上添加市场主体类型，完善各供应商主体库中的相应信息包括企业资质、业绩、人员、获奖、证书、纳税、社会保障、财务状况等采购文件（招标文件）中要求的相应资料，并对新增主体类型进行CA证书激活，否则可能影响投标文件/响应文件的制作，添加主体类型并激活证书后，新增主体类型的基本信息需要提交交易中心工作人员验证，验证时间为一个工作日，建议投标人（供应商）提前办理，以免影响报名及投标。市场主体登记的信息在交易中心网站“市场主体库公示”专栏对外公开，接受社会监督，登记的信息必须真实准确、合法有效，如信息填写错误或者未及时更新信息或者弄虚作假的，自行承担相应的后果及责任。</w:t>
      </w:r>
    </w:p>
    <w:p>
      <w:pPr>
        <w:spacing w:line="360" w:lineRule="auto"/>
        <w:ind w:firstLine="494" w:firstLineChars="206"/>
        <w:rPr>
          <w:sz w:val="24"/>
          <w:highlight w:val="none"/>
        </w:rPr>
      </w:pPr>
      <w:r>
        <w:rPr>
          <w:sz w:val="24"/>
          <w:highlight w:val="none"/>
        </w:rPr>
        <w:t>河南省公共资源交易平台不见面服务系统使用指南http://www.hnggzy.com/hnsggzy/infodetail/?infoid=e70f7862-200e-4b0d-973f-bd872e9ab283&amp;categoryNum=003003 包括不见面服务操作手册-主体库信息（企业资质业绩人员等）补充、不见面服务操作手册-投标响应文件制作（投标人）、不见面服务操作手册-远程开标（投标人）、不见面服务操作手册-质疑异议（供应商）等，各投标人一定要仔细研究。</w:t>
      </w:r>
    </w:p>
    <w:p>
      <w:pPr>
        <w:tabs>
          <w:tab w:val="left" w:pos="1080"/>
        </w:tabs>
        <w:spacing w:line="360" w:lineRule="auto"/>
        <w:ind w:firstLine="360" w:firstLineChars="150"/>
        <w:rPr>
          <w:rFonts w:hint="eastAsia" w:asciiTheme="minorEastAsia" w:hAnsiTheme="minorEastAsia" w:eastAsiaTheme="minorEastAsia" w:cstheme="minorEastAsia"/>
          <w:color w:val="auto"/>
          <w:sz w:val="24"/>
          <w:highlight w:val="none"/>
        </w:rPr>
        <w:sectPr>
          <w:footerReference r:id="rId8" w:type="default"/>
          <w:pgSz w:w="11906" w:h="16838"/>
          <w:pgMar w:top="1417" w:right="1278" w:bottom="1134" w:left="1588" w:header="794" w:footer="992" w:gutter="0"/>
          <w:cols w:space="0" w:num="1"/>
          <w:docGrid w:type="lines" w:linePitch="312" w:charSpace="0"/>
        </w:sectPr>
      </w:pPr>
      <w:r>
        <w:rPr>
          <w:sz w:val="24"/>
          <w:highlight w:val="none"/>
        </w:rPr>
        <w:t>文件中“个人电子签章”是指个人的电子签名；“企业电子签章”是指企业的电子章。</w:t>
      </w:r>
    </w:p>
    <w:p>
      <w:pPr>
        <w:pStyle w:val="19"/>
        <w:jc w:val="center"/>
        <w:rPr>
          <w:rFonts w:ascii="宋体" w:hAnsi="宋体" w:eastAsia="宋体" w:cs="宋体"/>
          <w:b/>
          <w:bCs/>
          <w:color w:val="auto"/>
          <w:sz w:val="44"/>
          <w:highlight w:val="none"/>
        </w:rPr>
      </w:pPr>
      <w:r>
        <w:rPr>
          <w:rFonts w:hint="eastAsia" w:ascii="宋体" w:hAnsi="宋体" w:eastAsia="宋体" w:cs="宋体"/>
          <w:b/>
          <w:bCs/>
          <w:color w:val="auto"/>
          <w:sz w:val="44"/>
          <w:highlight w:val="none"/>
        </w:rPr>
        <w:t>目录</w:t>
      </w:r>
    </w:p>
    <w:p>
      <w:pPr>
        <w:pStyle w:val="25"/>
        <w:tabs>
          <w:tab w:val="right" w:leader="dot" w:pos="9043"/>
        </w:tabs>
        <w:rPr>
          <w:highlight w:val="none"/>
        </w:rPr>
      </w:pPr>
      <w:r>
        <w:rPr>
          <w:rFonts w:ascii="宋体" w:hAnsi="宋体" w:cs="宋体"/>
          <w:color w:val="auto"/>
          <w:highlight w:val="none"/>
        </w:rPr>
        <w:fldChar w:fldCharType="begin"/>
      </w:r>
      <w:r>
        <w:rPr>
          <w:rFonts w:ascii="宋体" w:hAnsi="宋体" w:cs="宋体"/>
          <w:color w:val="auto"/>
          <w:highlight w:val="none"/>
        </w:rPr>
        <w:instrText xml:space="preserve">TOC \o "1-1" \h \u </w:instrText>
      </w:r>
      <w:r>
        <w:rPr>
          <w:rFonts w:ascii="宋体" w:hAnsi="宋体" w:cs="宋体"/>
          <w:color w:val="auto"/>
          <w:highlight w:val="none"/>
        </w:rPr>
        <w:fldChar w:fldCharType="separate"/>
      </w:r>
      <w:r>
        <w:rPr>
          <w:rFonts w:ascii="宋体" w:hAnsi="宋体" w:cs="宋体"/>
          <w:color w:val="auto"/>
          <w:highlight w:val="none"/>
        </w:rPr>
        <w:fldChar w:fldCharType="begin"/>
      </w:r>
      <w:r>
        <w:rPr>
          <w:rFonts w:ascii="宋体" w:hAnsi="宋体" w:cs="宋体"/>
          <w:highlight w:val="none"/>
        </w:rPr>
        <w:instrText xml:space="preserve"> HYPERLINK \l _Toc31233 </w:instrText>
      </w:r>
      <w:r>
        <w:rPr>
          <w:rFonts w:ascii="宋体" w:hAnsi="宋体" w:cs="宋体"/>
          <w:highlight w:val="none"/>
        </w:rPr>
        <w:fldChar w:fldCharType="separate"/>
      </w:r>
      <w:r>
        <w:rPr>
          <w:rFonts w:hint="eastAsia" w:ascii="宋体" w:hAnsi="宋体" w:cs="宋体"/>
          <w:highlight w:val="none"/>
        </w:rPr>
        <w:t>第一章  招标公告</w:t>
      </w:r>
      <w:r>
        <w:rPr>
          <w:highlight w:val="none"/>
        </w:rPr>
        <w:tab/>
      </w:r>
      <w:r>
        <w:rPr>
          <w:highlight w:val="none"/>
        </w:rPr>
        <w:fldChar w:fldCharType="begin"/>
      </w:r>
      <w:r>
        <w:rPr>
          <w:highlight w:val="none"/>
        </w:rPr>
        <w:instrText xml:space="preserve"> PAGEREF _Toc31233 </w:instrText>
      </w:r>
      <w:r>
        <w:rPr>
          <w:highlight w:val="none"/>
        </w:rPr>
        <w:fldChar w:fldCharType="separate"/>
      </w:r>
      <w:r>
        <w:rPr>
          <w:highlight w:val="none"/>
        </w:rPr>
        <w:t>5</w:t>
      </w:r>
      <w:r>
        <w:rPr>
          <w:highlight w:val="none"/>
        </w:rPr>
        <w:fldChar w:fldCharType="end"/>
      </w:r>
      <w:r>
        <w:rPr>
          <w:rFonts w:ascii="宋体" w:hAnsi="宋体" w:cs="宋体"/>
          <w:color w:val="auto"/>
          <w:highlight w:val="none"/>
        </w:rPr>
        <w:fldChar w:fldCharType="end"/>
      </w:r>
    </w:p>
    <w:p>
      <w:pPr>
        <w:pStyle w:val="25"/>
        <w:tabs>
          <w:tab w:val="right" w:leader="dot" w:pos="9043"/>
        </w:tabs>
        <w:rPr>
          <w:highlight w:val="none"/>
        </w:rPr>
      </w:pPr>
      <w:r>
        <w:rPr>
          <w:rFonts w:ascii="宋体" w:hAnsi="宋体" w:cs="宋体"/>
          <w:color w:val="auto"/>
          <w:highlight w:val="none"/>
        </w:rPr>
        <w:fldChar w:fldCharType="begin"/>
      </w:r>
      <w:r>
        <w:rPr>
          <w:rFonts w:ascii="宋体" w:hAnsi="宋体" w:cs="宋体"/>
          <w:highlight w:val="none"/>
        </w:rPr>
        <w:instrText xml:space="preserve"> HYPERLINK \l _Toc16204 </w:instrText>
      </w:r>
      <w:r>
        <w:rPr>
          <w:rFonts w:ascii="宋体" w:hAnsi="宋体" w:cs="宋体"/>
          <w:highlight w:val="none"/>
        </w:rPr>
        <w:fldChar w:fldCharType="separate"/>
      </w:r>
      <w:r>
        <w:rPr>
          <w:rFonts w:hint="eastAsia" w:ascii="宋体" w:hAnsi="宋体" w:cs="宋体"/>
          <w:highlight w:val="none"/>
        </w:rPr>
        <w:t>第二章  供应商须知</w:t>
      </w:r>
      <w:r>
        <w:rPr>
          <w:highlight w:val="none"/>
        </w:rPr>
        <w:tab/>
      </w:r>
      <w:r>
        <w:rPr>
          <w:highlight w:val="none"/>
        </w:rPr>
        <w:fldChar w:fldCharType="begin"/>
      </w:r>
      <w:r>
        <w:rPr>
          <w:highlight w:val="none"/>
        </w:rPr>
        <w:instrText xml:space="preserve"> PAGEREF _Toc16204 </w:instrText>
      </w:r>
      <w:r>
        <w:rPr>
          <w:highlight w:val="none"/>
        </w:rPr>
        <w:fldChar w:fldCharType="separate"/>
      </w:r>
      <w:r>
        <w:rPr>
          <w:highlight w:val="none"/>
        </w:rPr>
        <w:t>9</w:t>
      </w:r>
      <w:r>
        <w:rPr>
          <w:highlight w:val="none"/>
        </w:rPr>
        <w:fldChar w:fldCharType="end"/>
      </w:r>
      <w:r>
        <w:rPr>
          <w:rFonts w:ascii="宋体" w:hAnsi="宋体" w:cs="宋体"/>
          <w:color w:val="auto"/>
          <w:highlight w:val="none"/>
        </w:rPr>
        <w:fldChar w:fldCharType="end"/>
      </w:r>
    </w:p>
    <w:p>
      <w:pPr>
        <w:pStyle w:val="25"/>
        <w:tabs>
          <w:tab w:val="right" w:leader="dot" w:pos="9043"/>
        </w:tabs>
        <w:rPr>
          <w:highlight w:val="none"/>
        </w:rPr>
      </w:pPr>
      <w:r>
        <w:rPr>
          <w:rFonts w:ascii="宋体" w:hAnsi="宋体" w:cs="宋体"/>
          <w:color w:val="auto"/>
          <w:highlight w:val="none"/>
        </w:rPr>
        <w:fldChar w:fldCharType="begin"/>
      </w:r>
      <w:r>
        <w:rPr>
          <w:rFonts w:ascii="宋体" w:hAnsi="宋体" w:cs="宋体"/>
          <w:highlight w:val="none"/>
        </w:rPr>
        <w:instrText xml:space="preserve"> HYPERLINK \l _Toc996 </w:instrText>
      </w:r>
      <w:r>
        <w:rPr>
          <w:rFonts w:ascii="宋体" w:hAnsi="宋体" w:cs="宋体"/>
          <w:highlight w:val="none"/>
        </w:rPr>
        <w:fldChar w:fldCharType="separate"/>
      </w:r>
      <w:r>
        <w:rPr>
          <w:rFonts w:hint="eastAsia" w:ascii="宋体" w:hAnsi="宋体" w:cs="宋体"/>
          <w:highlight w:val="none"/>
        </w:rPr>
        <w:t>第三章 采购需求书</w:t>
      </w:r>
      <w:r>
        <w:rPr>
          <w:highlight w:val="none"/>
        </w:rPr>
        <w:tab/>
      </w:r>
      <w:r>
        <w:rPr>
          <w:highlight w:val="none"/>
        </w:rPr>
        <w:fldChar w:fldCharType="begin"/>
      </w:r>
      <w:r>
        <w:rPr>
          <w:highlight w:val="none"/>
        </w:rPr>
        <w:instrText xml:space="preserve"> PAGEREF _Toc996 </w:instrText>
      </w:r>
      <w:r>
        <w:rPr>
          <w:highlight w:val="none"/>
        </w:rPr>
        <w:fldChar w:fldCharType="separate"/>
      </w:r>
      <w:r>
        <w:rPr>
          <w:highlight w:val="none"/>
        </w:rPr>
        <w:t>19</w:t>
      </w:r>
      <w:r>
        <w:rPr>
          <w:highlight w:val="none"/>
        </w:rPr>
        <w:fldChar w:fldCharType="end"/>
      </w:r>
      <w:r>
        <w:rPr>
          <w:rFonts w:ascii="宋体" w:hAnsi="宋体" w:cs="宋体"/>
          <w:color w:val="auto"/>
          <w:highlight w:val="none"/>
        </w:rPr>
        <w:fldChar w:fldCharType="end"/>
      </w:r>
    </w:p>
    <w:p>
      <w:pPr>
        <w:pStyle w:val="25"/>
        <w:tabs>
          <w:tab w:val="right" w:leader="dot" w:pos="9043"/>
        </w:tabs>
        <w:rPr>
          <w:highlight w:val="none"/>
        </w:rPr>
      </w:pPr>
      <w:r>
        <w:rPr>
          <w:rFonts w:ascii="宋体" w:hAnsi="宋体" w:cs="宋体"/>
          <w:color w:val="auto"/>
          <w:highlight w:val="none"/>
        </w:rPr>
        <w:fldChar w:fldCharType="begin"/>
      </w:r>
      <w:r>
        <w:rPr>
          <w:rFonts w:ascii="宋体" w:hAnsi="宋体" w:cs="宋体"/>
          <w:highlight w:val="none"/>
        </w:rPr>
        <w:instrText xml:space="preserve"> HYPERLINK \l _Toc30754 </w:instrText>
      </w:r>
      <w:r>
        <w:rPr>
          <w:rFonts w:ascii="宋体" w:hAnsi="宋体" w:cs="宋体"/>
          <w:highlight w:val="none"/>
        </w:rPr>
        <w:fldChar w:fldCharType="separate"/>
      </w:r>
      <w:r>
        <w:rPr>
          <w:rFonts w:hint="eastAsia" w:ascii="宋体" w:hAnsi="宋体" w:cs="宋体"/>
          <w:highlight w:val="none"/>
        </w:rPr>
        <w:t>第四章  开、评标程序</w:t>
      </w:r>
      <w:r>
        <w:rPr>
          <w:highlight w:val="none"/>
        </w:rPr>
        <w:tab/>
      </w:r>
      <w:r>
        <w:rPr>
          <w:highlight w:val="none"/>
        </w:rPr>
        <w:fldChar w:fldCharType="begin"/>
      </w:r>
      <w:r>
        <w:rPr>
          <w:highlight w:val="none"/>
        </w:rPr>
        <w:instrText xml:space="preserve"> PAGEREF _Toc30754 </w:instrText>
      </w:r>
      <w:r>
        <w:rPr>
          <w:highlight w:val="none"/>
        </w:rPr>
        <w:fldChar w:fldCharType="separate"/>
      </w:r>
      <w:r>
        <w:rPr>
          <w:highlight w:val="none"/>
        </w:rPr>
        <w:t>28</w:t>
      </w:r>
      <w:r>
        <w:rPr>
          <w:highlight w:val="none"/>
        </w:rPr>
        <w:fldChar w:fldCharType="end"/>
      </w:r>
      <w:r>
        <w:rPr>
          <w:rFonts w:ascii="宋体" w:hAnsi="宋体" w:cs="宋体"/>
          <w:color w:val="auto"/>
          <w:highlight w:val="none"/>
        </w:rPr>
        <w:fldChar w:fldCharType="end"/>
      </w:r>
    </w:p>
    <w:p>
      <w:pPr>
        <w:pStyle w:val="25"/>
        <w:tabs>
          <w:tab w:val="right" w:leader="dot" w:pos="9043"/>
        </w:tabs>
        <w:rPr>
          <w:highlight w:val="none"/>
        </w:rPr>
      </w:pPr>
      <w:r>
        <w:rPr>
          <w:rFonts w:ascii="宋体" w:hAnsi="宋体" w:cs="宋体"/>
          <w:color w:val="auto"/>
          <w:highlight w:val="none"/>
        </w:rPr>
        <w:fldChar w:fldCharType="begin"/>
      </w:r>
      <w:r>
        <w:rPr>
          <w:rFonts w:ascii="宋体" w:hAnsi="宋体" w:cs="宋体"/>
          <w:highlight w:val="none"/>
        </w:rPr>
        <w:instrText xml:space="preserve"> HYPERLINK \l _Toc5897 </w:instrText>
      </w:r>
      <w:r>
        <w:rPr>
          <w:rFonts w:ascii="宋体" w:hAnsi="宋体" w:cs="宋体"/>
          <w:highlight w:val="none"/>
        </w:rPr>
        <w:fldChar w:fldCharType="separate"/>
      </w:r>
      <w:r>
        <w:rPr>
          <w:rFonts w:hint="eastAsia" w:ascii="宋体" w:hAnsi="宋体" w:cs="宋体"/>
          <w:highlight w:val="none"/>
        </w:rPr>
        <w:t>第五章  中标程序</w:t>
      </w:r>
      <w:r>
        <w:rPr>
          <w:highlight w:val="none"/>
        </w:rPr>
        <w:tab/>
      </w:r>
      <w:r>
        <w:rPr>
          <w:highlight w:val="none"/>
        </w:rPr>
        <w:fldChar w:fldCharType="begin"/>
      </w:r>
      <w:r>
        <w:rPr>
          <w:highlight w:val="none"/>
        </w:rPr>
        <w:instrText xml:space="preserve"> PAGEREF _Toc5897 </w:instrText>
      </w:r>
      <w:r>
        <w:rPr>
          <w:highlight w:val="none"/>
        </w:rPr>
        <w:fldChar w:fldCharType="separate"/>
      </w:r>
      <w:r>
        <w:rPr>
          <w:highlight w:val="none"/>
        </w:rPr>
        <w:t>38</w:t>
      </w:r>
      <w:r>
        <w:rPr>
          <w:highlight w:val="none"/>
        </w:rPr>
        <w:fldChar w:fldCharType="end"/>
      </w:r>
      <w:r>
        <w:rPr>
          <w:rFonts w:ascii="宋体" w:hAnsi="宋体" w:cs="宋体"/>
          <w:color w:val="auto"/>
          <w:highlight w:val="none"/>
        </w:rPr>
        <w:fldChar w:fldCharType="end"/>
      </w:r>
    </w:p>
    <w:p>
      <w:pPr>
        <w:pStyle w:val="25"/>
        <w:tabs>
          <w:tab w:val="right" w:leader="dot" w:pos="9043"/>
        </w:tabs>
        <w:rPr>
          <w:highlight w:val="none"/>
        </w:rPr>
      </w:pPr>
      <w:r>
        <w:rPr>
          <w:rFonts w:ascii="宋体" w:hAnsi="宋体" w:cs="宋体"/>
          <w:color w:val="auto"/>
          <w:highlight w:val="none"/>
        </w:rPr>
        <w:fldChar w:fldCharType="begin"/>
      </w:r>
      <w:r>
        <w:rPr>
          <w:rFonts w:ascii="宋体" w:hAnsi="宋体" w:cs="宋体"/>
          <w:highlight w:val="none"/>
        </w:rPr>
        <w:instrText xml:space="preserve"> HYPERLINK \l _Toc16989 </w:instrText>
      </w:r>
      <w:r>
        <w:rPr>
          <w:rFonts w:ascii="宋体" w:hAnsi="宋体" w:cs="宋体"/>
          <w:highlight w:val="none"/>
        </w:rPr>
        <w:fldChar w:fldCharType="separate"/>
      </w:r>
      <w:r>
        <w:rPr>
          <w:rFonts w:hint="eastAsia" w:ascii="宋体" w:hAnsi="宋体" w:cs="宋体"/>
          <w:highlight w:val="none"/>
        </w:rPr>
        <w:t>第六章  签订合同</w:t>
      </w:r>
      <w:r>
        <w:rPr>
          <w:highlight w:val="none"/>
        </w:rPr>
        <w:tab/>
      </w:r>
      <w:r>
        <w:rPr>
          <w:highlight w:val="none"/>
        </w:rPr>
        <w:fldChar w:fldCharType="begin"/>
      </w:r>
      <w:r>
        <w:rPr>
          <w:highlight w:val="none"/>
        </w:rPr>
        <w:instrText xml:space="preserve"> PAGEREF _Toc16989 </w:instrText>
      </w:r>
      <w:r>
        <w:rPr>
          <w:highlight w:val="none"/>
        </w:rPr>
        <w:fldChar w:fldCharType="separate"/>
      </w:r>
      <w:r>
        <w:rPr>
          <w:highlight w:val="none"/>
        </w:rPr>
        <w:t>40</w:t>
      </w:r>
      <w:r>
        <w:rPr>
          <w:highlight w:val="none"/>
        </w:rPr>
        <w:fldChar w:fldCharType="end"/>
      </w:r>
      <w:r>
        <w:rPr>
          <w:rFonts w:ascii="宋体" w:hAnsi="宋体" w:cs="宋体"/>
          <w:color w:val="auto"/>
          <w:highlight w:val="none"/>
        </w:rPr>
        <w:fldChar w:fldCharType="end"/>
      </w:r>
    </w:p>
    <w:p>
      <w:pPr>
        <w:pStyle w:val="25"/>
        <w:tabs>
          <w:tab w:val="right" w:leader="dot" w:pos="9043"/>
        </w:tabs>
        <w:rPr>
          <w:highlight w:val="none"/>
        </w:rPr>
      </w:pPr>
      <w:r>
        <w:rPr>
          <w:rFonts w:ascii="宋体" w:hAnsi="宋体" w:cs="宋体"/>
          <w:color w:val="auto"/>
          <w:highlight w:val="none"/>
        </w:rPr>
        <w:fldChar w:fldCharType="begin"/>
      </w:r>
      <w:r>
        <w:rPr>
          <w:rFonts w:ascii="宋体" w:hAnsi="宋体" w:cs="宋体"/>
          <w:highlight w:val="none"/>
        </w:rPr>
        <w:instrText xml:space="preserve"> HYPERLINK \l _Toc30580 </w:instrText>
      </w:r>
      <w:r>
        <w:rPr>
          <w:rFonts w:ascii="宋体" w:hAnsi="宋体" w:cs="宋体"/>
          <w:highlight w:val="none"/>
        </w:rPr>
        <w:fldChar w:fldCharType="separate"/>
      </w:r>
      <w:r>
        <w:rPr>
          <w:rFonts w:hint="eastAsia" w:ascii="宋体" w:hAnsi="宋体" w:cs="宋体"/>
          <w:highlight w:val="none"/>
          <w:lang w:eastAsia="zh-CN"/>
        </w:rPr>
        <w:t>第七章</w:t>
      </w:r>
      <w:r>
        <w:rPr>
          <w:rFonts w:hint="eastAsia" w:ascii="宋体" w:hAnsi="宋体" w:cs="宋体"/>
          <w:highlight w:val="none"/>
          <w:lang w:val="en-US" w:eastAsia="zh-CN"/>
        </w:rPr>
        <w:t xml:space="preserve">  </w:t>
      </w:r>
      <w:r>
        <w:rPr>
          <w:rFonts w:hint="eastAsia" w:ascii="宋体" w:hAnsi="宋体" w:cs="宋体"/>
          <w:highlight w:val="none"/>
          <w:lang w:eastAsia="zh-CN"/>
        </w:rPr>
        <w:t>投标文件</w:t>
      </w:r>
      <w:r>
        <w:rPr>
          <w:rFonts w:hint="eastAsia" w:ascii="宋体" w:hAnsi="宋体" w:cs="宋体"/>
          <w:highlight w:val="none"/>
          <w:lang w:val="en-US" w:eastAsia="zh-CN"/>
        </w:rPr>
        <w:t>格式</w:t>
      </w:r>
      <w:r>
        <w:rPr>
          <w:highlight w:val="none"/>
        </w:rPr>
        <w:tab/>
      </w:r>
      <w:r>
        <w:rPr>
          <w:highlight w:val="none"/>
        </w:rPr>
        <w:fldChar w:fldCharType="begin"/>
      </w:r>
      <w:r>
        <w:rPr>
          <w:highlight w:val="none"/>
        </w:rPr>
        <w:instrText xml:space="preserve"> PAGEREF _Toc30580 </w:instrText>
      </w:r>
      <w:r>
        <w:rPr>
          <w:highlight w:val="none"/>
        </w:rPr>
        <w:fldChar w:fldCharType="separate"/>
      </w:r>
      <w:r>
        <w:rPr>
          <w:highlight w:val="none"/>
        </w:rPr>
        <w:t>44</w:t>
      </w:r>
      <w:r>
        <w:rPr>
          <w:highlight w:val="none"/>
        </w:rPr>
        <w:fldChar w:fldCharType="end"/>
      </w:r>
      <w:r>
        <w:rPr>
          <w:rFonts w:ascii="宋体" w:hAnsi="宋体" w:cs="宋体"/>
          <w:color w:val="auto"/>
          <w:highlight w:val="none"/>
        </w:rPr>
        <w:fldChar w:fldCharType="end"/>
      </w:r>
    </w:p>
    <w:p>
      <w:pPr>
        <w:pStyle w:val="25"/>
        <w:tabs>
          <w:tab w:val="right" w:leader="dot" w:pos="8620"/>
        </w:tabs>
        <w:spacing w:line="360" w:lineRule="auto"/>
        <w:jc w:val="left"/>
        <w:rPr>
          <w:rFonts w:ascii="宋体" w:hAnsi="宋体" w:cs="宋体"/>
          <w:color w:val="auto"/>
          <w:highlight w:val="none"/>
        </w:rPr>
      </w:pPr>
      <w:r>
        <w:rPr>
          <w:rFonts w:ascii="宋体" w:hAnsi="宋体" w:cs="宋体"/>
          <w:color w:val="auto"/>
          <w:highlight w:val="none"/>
        </w:rPr>
        <w:fldChar w:fldCharType="end"/>
      </w: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rPr>
          <w:rFonts w:ascii="宋体" w:hAnsi="宋体" w:cs="宋体"/>
          <w:color w:val="auto"/>
          <w:highlight w:val="none"/>
        </w:rPr>
      </w:pPr>
    </w:p>
    <w:p>
      <w:pPr>
        <w:tabs>
          <w:tab w:val="left" w:pos="5874"/>
        </w:tabs>
        <w:rPr>
          <w:rFonts w:ascii="宋体" w:hAnsi="宋体" w:cs="宋体"/>
          <w:color w:val="auto"/>
          <w:highlight w:val="none"/>
        </w:rPr>
      </w:pPr>
      <w:r>
        <w:rPr>
          <w:rFonts w:hint="eastAsia" w:ascii="宋体" w:hAnsi="宋体" w:cs="宋体"/>
          <w:color w:val="auto"/>
          <w:highlight w:val="none"/>
        </w:rPr>
        <w:tab/>
      </w:r>
    </w:p>
    <w:p>
      <w:pPr>
        <w:pStyle w:val="4"/>
        <w:numPr>
          <w:ilvl w:val="0"/>
          <w:numId w:val="0"/>
        </w:numPr>
        <w:jc w:val="center"/>
        <w:rPr>
          <w:rFonts w:ascii="宋体" w:hAnsi="宋体" w:cs="宋体"/>
          <w:color w:val="auto"/>
          <w:highlight w:val="none"/>
        </w:rPr>
      </w:pPr>
      <w:bookmarkStart w:id="0" w:name="_Toc160186112"/>
      <w:bookmarkStart w:id="1" w:name="_Toc193083539"/>
      <w:bookmarkStart w:id="2" w:name="_Toc192944663"/>
      <w:bookmarkStart w:id="3" w:name="_Toc20822"/>
      <w:bookmarkStart w:id="4" w:name="_Toc192478077"/>
      <w:bookmarkStart w:id="5" w:name="_Toc192643560"/>
      <w:bookmarkStart w:id="6" w:name="_Toc160359564"/>
      <w:bookmarkStart w:id="7" w:name="_Toc430879608"/>
      <w:bookmarkStart w:id="8" w:name="_Toc192992677"/>
      <w:bookmarkStart w:id="9" w:name="_Toc187481101"/>
      <w:bookmarkStart w:id="10" w:name="_Toc192991246"/>
      <w:bookmarkStart w:id="11" w:name="_Toc192990001"/>
      <w:r>
        <w:rPr>
          <w:rFonts w:hint="eastAsia" w:ascii="宋体" w:hAnsi="宋体" w:cs="宋体"/>
          <w:color w:val="auto"/>
          <w:highlight w:val="none"/>
        </w:rPr>
        <w:br w:type="page"/>
      </w:r>
      <w:bookmarkStart w:id="12" w:name="_Toc26433"/>
      <w:bookmarkStart w:id="13" w:name="_Toc2876"/>
      <w:bookmarkStart w:id="14" w:name="_Toc31233"/>
      <w:bookmarkStart w:id="15" w:name="_Toc21310"/>
      <w:r>
        <w:rPr>
          <w:rFonts w:hint="eastAsia" w:ascii="宋体" w:hAnsi="宋体" w:cs="宋体"/>
          <w:color w:val="auto"/>
          <w:highlight w:val="none"/>
        </w:rPr>
        <w:t>第一章  招标公告</w:t>
      </w:r>
      <w:bookmarkEnd w:id="12"/>
      <w:bookmarkEnd w:id="13"/>
      <w:bookmarkEnd w:id="14"/>
      <w:bookmarkEnd w:id="15"/>
    </w:p>
    <w:bookmarkEnd w:id="0"/>
    <w:bookmarkEnd w:id="1"/>
    <w:bookmarkEnd w:id="2"/>
    <w:bookmarkEnd w:id="3"/>
    <w:bookmarkEnd w:id="4"/>
    <w:bookmarkEnd w:id="5"/>
    <w:bookmarkEnd w:id="6"/>
    <w:bookmarkEnd w:id="7"/>
    <w:bookmarkEnd w:id="8"/>
    <w:bookmarkEnd w:id="9"/>
    <w:bookmarkEnd w:id="10"/>
    <w:bookmarkEnd w:id="11"/>
    <w:p>
      <w:pPr>
        <w:spacing w:line="600" w:lineRule="exact"/>
        <w:jc w:val="center"/>
        <w:rPr>
          <w:rFonts w:asciiTheme="minorEastAsia" w:hAnsiTheme="minorEastAsia" w:eastAsiaTheme="minorEastAsia" w:cstheme="minorEastAsia"/>
          <w:b/>
          <w:bCs/>
          <w:color w:val="auto"/>
          <w:sz w:val="28"/>
          <w:szCs w:val="28"/>
          <w:highlight w:val="none"/>
        </w:rPr>
      </w:pPr>
      <w:bookmarkStart w:id="16" w:name="_Toc146071167"/>
      <w:bookmarkStart w:id="17" w:name="_Toc22804073"/>
      <w:bookmarkStart w:id="18" w:name="_Toc146609225"/>
      <w:bookmarkStart w:id="19" w:name="_Toc24802226"/>
      <w:bookmarkStart w:id="20" w:name="_Toc22962876"/>
      <w:bookmarkStart w:id="21" w:name="_Toc158707476"/>
      <w:bookmarkStart w:id="22" w:name="_Toc149722728"/>
      <w:bookmarkStart w:id="23" w:name="_Toc22953395"/>
      <w:bookmarkStart w:id="24" w:name="_Toc158513371"/>
      <w:bookmarkStart w:id="25" w:name="_Toc149465862"/>
      <w:bookmarkStart w:id="26" w:name="_Toc187481102"/>
      <w:bookmarkStart w:id="27" w:name="_Toc192991247"/>
      <w:bookmarkStart w:id="28" w:name="_Toc192643561"/>
      <w:bookmarkStart w:id="29" w:name="_Toc160186114"/>
      <w:bookmarkStart w:id="30" w:name="_Toc192992678"/>
      <w:bookmarkStart w:id="31" w:name="_Toc192478078"/>
      <w:bookmarkStart w:id="32" w:name="_Toc160359566"/>
      <w:bookmarkStart w:id="33" w:name="_Toc193083540"/>
      <w:bookmarkStart w:id="34" w:name="_Toc192990002"/>
      <w:bookmarkStart w:id="35" w:name="_Toc192944664"/>
      <w:r>
        <w:rPr>
          <w:rFonts w:hint="eastAsia" w:asciiTheme="minorEastAsia" w:hAnsiTheme="minorEastAsia" w:eastAsiaTheme="minorEastAsia" w:cstheme="minorEastAsia"/>
          <w:b/>
          <w:bCs/>
          <w:color w:val="auto"/>
          <w:sz w:val="28"/>
          <w:szCs w:val="28"/>
          <w:highlight w:val="none"/>
        </w:rPr>
        <w:t>河南省新闻出版学校2020-2021学年教材采购项目</w:t>
      </w:r>
    </w:p>
    <w:p>
      <w:pPr>
        <w:spacing w:line="600" w:lineRule="exact"/>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lang w:eastAsia="zh-CN"/>
        </w:rPr>
        <w:t>采购</w:t>
      </w:r>
      <w:r>
        <w:rPr>
          <w:rFonts w:hint="eastAsia" w:asciiTheme="minorEastAsia" w:hAnsiTheme="minorEastAsia" w:eastAsiaTheme="minorEastAsia" w:cstheme="minorEastAsia"/>
          <w:b/>
          <w:bCs/>
          <w:color w:val="auto"/>
          <w:sz w:val="28"/>
          <w:szCs w:val="28"/>
          <w:highlight w:val="none"/>
        </w:rPr>
        <w:t>公告</w:t>
      </w:r>
    </w:p>
    <w:p>
      <w:pPr>
        <w:spacing w:line="360" w:lineRule="auto"/>
        <w:jc w:val="center"/>
        <w:rPr>
          <w:rFonts w:hint="default"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rPr>
        <w:t>项目编号：</w:t>
      </w:r>
      <w:r>
        <w:rPr>
          <w:rFonts w:hint="eastAsia" w:asciiTheme="minorEastAsia" w:hAnsiTheme="minorEastAsia" w:eastAsiaTheme="minorEastAsia" w:cstheme="minorEastAsia"/>
          <w:color w:val="auto"/>
          <w:sz w:val="24"/>
          <w:highlight w:val="none"/>
        </w:rPr>
        <w:t xml:space="preserve">豫财招标采购-2020-733 </w:t>
      </w:r>
    </w:p>
    <w:p>
      <w:pPr>
        <w:spacing w:line="336"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河南招标采购服务有限公司受河南省新闻出版学校的委托，就</w:t>
      </w:r>
      <w:r>
        <w:rPr>
          <w:rFonts w:hint="eastAsia" w:asciiTheme="minorEastAsia" w:hAnsiTheme="minorEastAsia" w:eastAsiaTheme="minorEastAsia" w:cstheme="minorEastAsia"/>
          <w:color w:val="auto"/>
          <w:sz w:val="24"/>
          <w:highlight w:val="none"/>
        </w:rPr>
        <w:t>河南省新闻出版学校2020-2021学年教材采购项目</w:t>
      </w:r>
      <w:r>
        <w:rPr>
          <w:rFonts w:hint="eastAsia" w:asciiTheme="minorEastAsia" w:hAnsiTheme="minorEastAsia" w:eastAsiaTheme="minorEastAsia" w:cstheme="minorEastAsia"/>
          <w:color w:val="auto"/>
          <w:sz w:val="24"/>
          <w:highlight w:val="none"/>
        </w:rPr>
        <w:t>进行招标采购，现发布招标公告，欢迎符合相关条件的潜在供应商参加。</w:t>
      </w:r>
    </w:p>
    <w:p>
      <w:pPr>
        <w:pStyle w:val="5"/>
        <w:numPr>
          <w:ilvl w:val="1"/>
          <w:numId w:val="0"/>
        </w:numPr>
        <w:spacing w:before="156" w:beforeLines="50" w:after="156" w:afterLines="50" w:line="360" w:lineRule="auto"/>
        <w:ind w:leftChars="5"/>
        <w:jc w:val="left"/>
        <w:rPr>
          <w:rFonts w:ascii="Times New Roman" w:hAnsi="Times New Roman" w:eastAsia="宋体"/>
          <w:sz w:val="28"/>
          <w:highlight w:val="none"/>
        </w:rPr>
      </w:pPr>
      <w:bookmarkStart w:id="36" w:name="_Toc6698"/>
      <w:bookmarkStart w:id="37" w:name="_Toc20647"/>
      <w:bookmarkStart w:id="38" w:name="_Toc40346575"/>
      <w:r>
        <w:rPr>
          <w:rFonts w:ascii="Times New Roman" w:hAnsi="Times New Roman" w:eastAsia="宋体"/>
          <w:sz w:val="28"/>
          <w:highlight w:val="none"/>
        </w:rPr>
        <w:t>一、采购人及采购代理机构</w:t>
      </w:r>
      <w:bookmarkEnd w:id="36"/>
      <w:bookmarkEnd w:id="37"/>
      <w:bookmarkEnd w:id="38"/>
    </w:p>
    <w:p>
      <w:pPr>
        <w:spacing w:line="360" w:lineRule="auto"/>
        <w:ind w:firstLine="480" w:firstLineChars="200"/>
        <w:rPr>
          <w:rStyle w:val="116"/>
          <w:bCs/>
          <w:iCs/>
          <w:sz w:val="24"/>
          <w:szCs w:val="22"/>
          <w:highlight w:val="none"/>
        </w:rPr>
      </w:pPr>
      <w:r>
        <w:rPr>
          <w:rStyle w:val="116"/>
          <w:bCs/>
          <w:iCs/>
          <w:sz w:val="24"/>
          <w:szCs w:val="22"/>
          <w:highlight w:val="none"/>
        </w:rPr>
        <w:t>采购人：</w:t>
      </w:r>
      <w:r>
        <w:rPr>
          <w:rStyle w:val="116"/>
          <w:rFonts w:hint="eastAsia"/>
          <w:bCs/>
          <w:iCs/>
          <w:sz w:val="24"/>
          <w:szCs w:val="22"/>
          <w:highlight w:val="none"/>
        </w:rPr>
        <w:t>河南省新闻出版学校</w:t>
      </w:r>
    </w:p>
    <w:p>
      <w:pPr>
        <w:spacing w:line="360" w:lineRule="auto"/>
        <w:ind w:firstLine="480" w:firstLineChars="200"/>
        <w:rPr>
          <w:rStyle w:val="116"/>
          <w:bCs/>
          <w:iCs/>
          <w:sz w:val="24"/>
          <w:szCs w:val="22"/>
          <w:highlight w:val="none"/>
        </w:rPr>
      </w:pPr>
      <w:r>
        <w:rPr>
          <w:rStyle w:val="116"/>
          <w:bCs/>
          <w:iCs/>
          <w:sz w:val="24"/>
          <w:szCs w:val="22"/>
          <w:highlight w:val="none"/>
        </w:rPr>
        <w:t>采购代理机构：</w:t>
      </w:r>
      <w:r>
        <w:rPr>
          <w:rFonts w:hint="eastAsia"/>
          <w:sz w:val="24"/>
          <w:highlight w:val="none"/>
        </w:rPr>
        <w:t>河南招标采购服务有限公司</w:t>
      </w:r>
    </w:p>
    <w:p>
      <w:pPr>
        <w:pStyle w:val="5"/>
        <w:numPr>
          <w:ilvl w:val="1"/>
          <w:numId w:val="0"/>
        </w:numPr>
        <w:spacing w:before="156" w:beforeLines="50" w:after="156" w:afterLines="50" w:line="360" w:lineRule="auto"/>
        <w:ind w:leftChars="5"/>
        <w:jc w:val="left"/>
        <w:rPr>
          <w:rFonts w:ascii="Times New Roman" w:hAnsi="Times New Roman" w:eastAsia="宋体"/>
          <w:sz w:val="28"/>
          <w:highlight w:val="none"/>
        </w:rPr>
      </w:pPr>
      <w:bookmarkStart w:id="39" w:name="_Toc9190"/>
      <w:bookmarkStart w:id="40" w:name="_Toc40346576"/>
      <w:bookmarkStart w:id="41" w:name="_Toc1166"/>
      <w:r>
        <w:rPr>
          <w:rFonts w:ascii="Times New Roman" w:hAnsi="Times New Roman" w:eastAsia="宋体"/>
          <w:sz w:val="28"/>
          <w:highlight w:val="none"/>
        </w:rPr>
        <w:t>二、招标项目名称及编号</w:t>
      </w:r>
      <w:bookmarkEnd w:id="39"/>
      <w:bookmarkEnd w:id="40"/>
      <w:bookmarkEnd w:id="41"/>
    </w:p>
    <w:p>
      <w:pPr>
        <w:spacing w:line="360" w:lineRule="auto"/>
        <w:ind w:firstLine="480" w:firstLineChars="200"/>
        <w:rPr>
          <w:rStyle w:val="116"/>
          <w:rFonts w:hint="eastAsia" w:eastAsia="宋体"/>
          <w:bCs/>
          <w:iCs/>
          <w:sz w:val="24"/>
          <w:highlight w:val="none"/>
          <w:lang w:eastAsia="zh-CN"/>
        </w:rPr>
      </w:pPr>
      <w:r>
        <w:rPr>
          <w:rStyle w:val="116"/>
          <w:bCs/>
          <w:iCs/>
          <w:sz w:val="24"/>
          <w:highlight w:val="none"/>
        </w:rPr>
        <w:t>项目名称：</w:t>
      </w:r>
      <w:r>
        <w:rPr>
          <w:rStyle w:val="116"/>
          <w:rFonts w:hint="eastAsia"/>
          <w:bCs/>
          <w:iCs/>
          <w:sz w:val="24"/>
          <w:highlight w:val="none"/>
        </w:rPr>
        <w:t>河南省新闻出版学校2020-2021学年教材采购项目</w:t>
      </w:r>
      <w:r>
        <w:rPr>
          <w:rStyle w:val="116"/>
          <w:rFonts w:hint="eastAsia"/>
          <w:bCs/>
          <w:iCs/>
          <w:sz w:val="24"/>
          <w:szCs w:val="22"/>
          <w:highlight w:val="none"/>
          <w:lang w:val="en-US" w:eastAsia="zh-CN"/>
        </w:rPr>
        <w:t xml:space="preserve"> </w:t>
      </w:r>
    </w:p>
    <w:p>
      <w:pPr>
        <w:spacing w:line="360" w:lineRule="auto"/>
        <w:ind w:firstLine="480" w:firstLineChars="200"/>
        <w:rPr>
          <w:rStyle w:val="116"/>
          <w:rFonts w:hint="eastAsia" w:eastAsia="宋体"/>
          <w:bCs/>
          <w:iCs/>
          <w:sz w:val="24"/>
          <w:szCs w:val="22"/>
          <w:highlight w:val="none"/>
          <w:lang w:eastAsia="zh-CN"/>
        </w:rPr>
      </w:pPr>
      <w:r>
        <w:rPr>
          <w:rStyle w:val="116"/>
          <w:bCs/>
          <w:iCs/>
          <w:sz w:val="24"/>
          <w:szCs w:val="22"/>
          <w:highlight w:val="none"/>
        </w:rPr>
        <w:t>招标项目编号：</w:t>
      </w:r>
      <w:r>
        <w:rPr>
          <w:rStyle w:val="116"/>
          <w:rFonts w:hint="eastAsia"/>
          <w:bCs/>
          <w:iCs/>
          <w:sz w:val="24"/>
          <w:szCs w:val="22"/>
          <w:highlight w:val="none"/>
        </w:rPr>
        <w:t>豫财招标采购-2020-733</w:t>
      </w:r>
      <w:r>
        <w:rPr>
          <w:rStyle w:val="116"/>
          <w:rFonts w:hint="eastAsia"/>
          <w:sz w:val="24"/>
          <w:highlight w:val="none"/>
          <w:lang w:val="en-US" w:eastAsia="zh-CN"/>
        </w:rPr>
        <w:t xml:space="preserve"> </w:t>
      </w:r>
    </w:p>
    <w:p>
      <w:pPr>
        <w:pStyle w:val="5"/>
        <w:numPr>
          <w:ilvl w:val="1"/>
          <w:numId w:val="0"/>
        </w:numPr>
        <w:spacing w:before="156" w:beforeLines="50" w:after="156" w:afterLines="50" w:line="360" w:lineRule="auto"/>
        <w:ind w:leftChars="5"/>
        <w:jc w:val="left"/>
        <w:rPr>
          <w:rFonts w:ascii="Times New Roman" w:hAnsi="Times New Roman" w:eastAsia="宋体"/>
          <w:sz w:val="28"/>
          <w:highlight w:val="none"/>
        </w:rPr>
      </w:pPr>
      <w:bookmarkStart w:id="42" w:name="_Toc29736"/>
      <w:bookmarkStart w:id="43" w:name="_Toc40346577"/>
      <w:bookmarkStart w:id="44" w:name="_Toc8174"/>
      <w:r>
        <w:rPr>
          <w:rFonts w:ascii="Times New Roman" w:hAnsi="Times New Roman" w:eastAsia="宋体"/>
          <w:sz w:val="28"/>
          <w:highlight w:val="none"/>
        </w:rPr>
        <w:t>三、招标项目简要说明、预算金额及最高限价</w:t>
      </w:r>
      <w:bookmarkEnd w:id="42"/>
      <w:bookmarkEnd w:id="43"/>
      <w:bookmarkEnd w:id="44"/>
    </w:p>
    <w:p>
      <w:pPr>
        <w:spacing w:line="360" w:lineRule="auto"/>
        <w:ind w:firstLine="480" w:firstLineChars="200"/>
        <w:rPr>
          <w:rStyle w:val="116"/>
          <w:bCs/>
          <w:iCs/>
          <w:sz w:val="24"/>
          <w:szCs w:val="22"/>
          <w:highlight w:val="none"/>
        </w:rPr>
      </w:pPr>
      <w:r>
        <w:rPr>
          <w:rStyle w:val="116"/>
          <w:bCs/>
          <w:iCs/>
          <w:sz w:val="24"/>
          <w:szCs w:val="22"/>
          <w:highlight w:val="none"/>
        </w:rPr>
        <w:t>1、招标项目简要说明</w:t>
      </w:r>
      <w:r>
        <w:rPr>
          <w:rStyle w:val="116"/>
          <w:rFonts w:hint="eastAsia"/>
          <w:bCs/>
          <w:iCs/>
          <w:sz w:val="24"/>
          <w:szCs w:val="22"/>
          <w:highlight w:val="none"/>
          <w:lang w:eastAsia="zh-CN"/>
        </w:rPr>
        <w:t>：</w:t>
      </w:r>
      <w:r>
        <w:rPr>
          <w:rStyle w:val="116"/>
          <w:rFonts w:hint="eastAsia"/>
          <w:bCs/>
          <w:iCs/>
          <w:sz w:val="24"/>
          <w:szCs w:val="22"/>
          <w:highlight w:val="none"/>
        </w:rPr>
        <w:t>本次采购内容为2020-2021学年教材，具体详见采购需求</w:t>
      </w:r>
      <w:r>
        <w:rPr>
          <w:rStyle w:val="116"/>
          <w:bCs/>
          <w:iCs/>
          <w:sz w:val="24"/>
          <w:szCs w:val="22"/>
          <w:highlight w:val="none"/>
        </w:rPr>
        <w:t>。</w:t>
      </w:r>
    </w:p>
    <w:p>
      <w:pPr>
        <w:spacing w:line="360" w:lineRule="auto"/>
        <w:ind w:firstLine="480" w:firstLineChars="200"/>
        <w:rPr>
          <w:rStyle w:val="116"/>
          <w:rFonts w:hint="eastAsia" w:eastAsiaTheme="minorEastAsia"/>
          <w:bCs/>
          <w:iCs/>
          <w:sz w:val="24"/>
          <w:szCs w:val="22"/>
          <w:highlight w:val="none"/>
          <w:lang w:eastAsia="zh-CN"/>
        </w:rPr>
      </w:pPr>
      <w:r>
        <w:rPr>
          <w:rStyle w:val="116"/>
          <w:bCs/>
          <w:iCs/>
          <w:sz w:val="24"/>
          <w:szCs w:val="22"/>
          <w:highlight w:val="none"/>
        </w:rPr>
        <w:t>2、</w:t>
      </w:r>
      <w:r>
        <w:rPr>
          <w:rFonts w:hint="eastAsia" w:asciiTheme="minorEastAsia" w:hAnsiTheme="minorEastAsia" w:eastAsiaTheme="minorEastAsia" w:cstheme="minorEastAsia"/>
          <w:color w:val="auto"/>
          <w:sz w:val="24"/>
          <w:highlight w:val="none"/>
        </w:rPr>
        <w:t>采购预算：</w:t>
      </w:r>
      <w:r>
        <w:rPr>
          <w:rFonts w:hint="eastAsia" w:asciiTheme="minorEastAsia" w:hAnsiTheme="minorEastAsia" w:eastAsiaTheme="minorEastAsia" w:cstheme="minorEastAsia"/>
          <w:color w:val="auto"/>
          <w:sz w:val="24"/>
          <w:highlight w:val="none"/>
          <w:lang w:val="en-US" w:eastAsia="zh-CN"/>
        </w:rPr>
        <w:t>184</w:t>
      </w:r>
      <w:r>
        <w:rPr>
          <w:rFonts w:hint="eastAsia" w:asciiTheme="minorEastAsia" w:hAnsiTheme="minorEastAsia" w:eastAsiaTheme="minorEastAsia" w:cstheme="minorEastAsia"/>
          <w:color w:val="auto"/>
          <w:sz w:val="24"/>
          <w:highlight w:val="none"/>
        </w:rPr>
        <w:t>万元</w:t>
      </w:r>
      <w:r>
        <w:rPr>
          <w:rFonts w:hint="eastAsia" w:asciiTheme="minorEastAsia" w:hAnsiTheme="minorEastAsia" w:eastAsiaTheme="minorEastAsia" w:cstheme="minorEastAsia"/>
          <w:color w:val="auto"/>
          <w:sz w:val="24"/>
          <w:highlight w:val="none"/>
          <w:lang w:eastAsia="zh-CN"/>
        </w:rPr>
        <w:t>；</w:t>
      </w:r>
    </w:p>
    <w:p>
      <w:pPr>
        <w:spacing w:line="360" w:lineRule="auto"/>
        <w:ind w:firstLine="480" w:firstLineChars="200"/>
        <w:rPr>
          <w:rStyle w:val="116"/>
          <w:bCs/>
          <w:iCs/>
          <w:sz w:val="24"/>
          <w:szCs w:val="22"/>
          <w:highlight w:val="none"/>
        </w:rPr>
      </w:pPr>
      <w:r>
        <w:rPr>
          <w:rStyle w:val="116"/>
          <w:bCs/>
          <w:iCs/>
          <w:sz w:val="24"/>
          <w:szCs w:val="22"/>
          <w:highlight w:val="none"/>
        </w:rPr>
        <w:t>3、</w:t>
      </w:r>
      <w:r>
        <w:rPr>
          <w:rFonts w:hint="eastAsia" w:hAnsi="宋体" w:cs="宋体"/>
          <w:b/>
          <w:bCs/>
          <w:color w:val="auto"/>
          <w:sz w:val="24"/>
          <w:szCs w:val="24"/>
          <w:highlight w:val="none"/>
        </w:rPr>
        <w:t>本次</w:t>
      </w:r>
      <w:r>
        <w:rPr>
          <w:rFonts w:hint="eastAsia" w:hAnsi="宋体" w:cs="宋体"/>
          <w:b/>
          <w:bCs/>
          <w:color w:val="auto"/>
          <w:sz w:val="24"/>
          <w:szCs w:val="24"/>
          <w:highlight w:val="none"/>
          <w:lang w:val="en-US" w:eastAsia="zh-CN"/>
        </w:rPr>
        <w:t>采购</w:t>
      </w:r>
      <w:r>
        <w:rPr>
          <w:rFonts w:hint="eastAsia" w:hAnsi="宋体" w:cs="宋体"/>
          <w:b/>
          <w:bCs/>
          <w:color w:val="auto"/>
          <w:sz w:val="24"/>
          <w:szCs w:val="24"/>
          <w:highlight w:val="none"/>
        </w:rPr>
        <w:t>控制上限</w:t>
      </w:r>
      <w:r>
        <w:rPr>
          <w:rFonts w:hint="eastAsia" w:hAnsi="宋体" w:cs="宋体"/>
          <w:b/>
          <w:bCs/>
          <w:color w:val="auto"/>
          <w:sz w:val="24"/>
          <w:szCs w:val="24"/>
          <w:highlight w:val="none"/>
          <w:lang w:val="en-US" w:eastAsia="zh-CN"/>
        </w:rPr>
        <w:t>综合</w:t>
      </w:r>
      <w:r>
        <w:rPr>
          <w:rFonts w:hint="eastAsia" w:hAnsi="宋体" w:cs="宋体"/>
          <w:b/>
          <w:bCs/>
          <w:color w:val="auto"/>
          <w:sz w:val="24"/>
          <w:szCs w:val="24"/>
          <w:highlight w:val="none"/>
        </w:rPr>
        <w:t>折扣率为100%，超过此上限的均为无效响应文件</w:t>
      </w:r>
      <w:r>
        <w:rPr>
          <w:rStyle w:val="116"/>
          <w:bCs/>
          <w:iCs/>
          <w:sz w:val="24"/>
          <w:szCs w:val="22"/>
          <w:highlight w:val="none"/>
        </w:rPr>
        <w:t>。</w:t>
      </w:r>
    </w:p>
    <w:p>
      <w:pPr>
        <w:pStyle w:val="5"/>
        <w:numPr>
          <w:ilvl w:val="1"/>
          <w:numId w:val="0"/>
        </w:numPr>
        <w:spacing w:before="156" w:beforeLines="50" w:after="156" w:afterLines="50" w:line="360" w:lineRule="auto"/>
        <w:ind w:leftChars="5"/>
        <w:jc w:val="left"/>
        <w:rPr>
          <w:rFonts w:hint="default" w:ascii="Times New Roman" w:hAnsi="Times New Roman" w:eastAsia="宋体"/>
          <w:sz w:val="28"/>
          <w:highlight w:val="none"/>
          <w:lang w:val="en-US" w:eastAsia="zh-CN"/>
        </w:rPr>
      </w:pPr>
      <w:bookmarkStart w:id="45" w:name="_Toc40346578"/>
      <w:bookmarkStart w:id="46" w:name="_Toc15182"/>
      <w:bookmarkStart w:id="47" w:name="_Toc5212"/>
      <w:r>
        <w:rPr>
          <w:rFonts w:ascii="Times New Roman" w:hAnsi="Times New Roman" w:eastAsia="宋体"/>
          <w:sz w:val="28"/>
          <w:highlight w:val="none"/>
        </w:rPr>
        <w:t>四、采购项目</w:t>
      </w:r>
      <w:bookmarkEnd w:id="45"/>
      <w:r>
        <w:rPr>
          <w:rFonts w:hint="eastAsia" w:ascii="Times New Roman" w:hAnsi="Times New Roman"/>
          <w:sz w:val="28"/>
          <w:highlight w:val="none"/>
          <w:lang w:val="en-US" w:eastAsia="zh-CN"/>
        </w:rPr>
        <w:t>标段划分</w:t>
      </w:r>
      <w:bookmarkEnd w:id="46"/>
      <w:bookmarkEnd w:id="47"/>
    </w:p>
    <w:p>
      <w:pPr>
        <w:spacing w:line="360" w:lineRule="auto"/>
        <w:ind w:firstLine="480" w:firstLineChars="200"/>
        <w:rPr>
          <w:rFonts w:hint="default" w:eastAsia="宋体"/>
          <w:sz w:val="24"/>
          <w:highlight w:val="none"/>
          <w:lang w:val="en-US" w:eastAsia="zh-CN"/>
        </w:rPr>
      </w:pPr>
      <w:r>
        <w:rPr>
          <w:rFonts w:hint="eastAsia"/>
          <w:sz w:val="24"/>
          <w:highlight w:val="none"/>
          <w:lang w:val="en-US" w:eastAsia="zh-CN"/>
        </w:rPr>
        <w:t>本项目为一个标段</w:t>
      </w:r>
    </w:p>
    <w:p>
      <w:pPr>
        <w:pStyle w:val="5"/>
        <w:numPr>
          <w:ilvl w:val="1"/>
          <w:numId w:val="0"/>
        </w:numPr>
        <w:spacing w:before="156" w:beforeLines="50" w:after="156" w:afterLines="50" w:line="360" w:lineRule="auto"/>
        <w:ind w:leftChars="5"/>
        <w:jc w:val="left"/>
        <w:rPr>
          <w:rFonts w:ascii="Times New Roman" w:hAnsi="Times New Roman" w:eastAsia="宋体"/>
          <w:sz w:val="28"/>
          <w:highlight w:val="none"/>
        </w:rPr>
      </w:pPr>
      <w:bookmarkStart w:id="48" w:name="_Toc26933"/>
      <w:bookmarkStart w:id="49" w:name="_Toc40346579"/>
      <w:bookmarkStart w:id="50" w:name="_Toc29675"/>
      <w:r>
        <w:rPr>
          <w:rFonts w:ascii="Times New Roman" w:hAnsi="Times New Roman" w:eastAsia="宋体"/>
          <w:sz w:val="28"/>
          <w:highlight w:val="none"/>
        </w:rPr>
        <w:t>五、核查服务要求</w:t>
      </w:r>
      <w:bookmarkEnd w:id="48"/>
      <w:bookmarkEnd w:id="49"/>
      <w:bookmarkEnd w:id="50"/>
    </w:p>
    <w:p>
      <w:pPr>
        <w:spacing w:line="360" w:lineRule="auto"/>
        <w:ind w:firstLine="480" w:firstLineChars="200"/>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5.1</w:t>
      </w:r>
      <w:r>
        <w:rPr>
          <w:rFonts w:hint="eastAsia" w:asciiTheme="minorEastAsia" w:hAnsiTheme="minorEastAsia" w:eastAsiaTheme="minorEastAsia" w:cstheme="minorEastAsia"/>
          <w:color w:val="auto"/>
          <w:sz w:val="24"/>
          <w:highlight w:val="none"/>
        </w:rPr>
        <w:t xml:space="preserve"> 质量</w:t>
      </w:r>
      <w:r>
        <w:rPr>
          <w:rFonts w:hint="eastAsia" w:asciiTheme="minorEastAsia" w:hAnsiTheme="minorEastAsia" w:eastAsiaTheme="minorEastAsia" w:cstheme="minorEastAsia"/>
          <w:color w:val="auto"/>
          <w:sz w:val="24"/>
          <w:highlight w:val="none"/>
          <w:lang w:val="en-US" w:eastAsia="zh-CN"/>
        </w:rPr>
        <w:t>要求</w:t>
      </w:r>
      <w:r>
        <w:rPr>
          <w:rFonts w:hint="eastAsia" w:asciiTheme="minorEastAsia" w:hAnsiTheme="minorEastAsia" w:eastAsiaTheme="minorEastAsia" w:cstheme="minorEastAsia"/>
          <w:color w:val="auto"/>
          <w:sz w:val="24"/>
          <w:highlight w:val="none"/>
        </w:rPr>
        <w:t>：符合采购人技术要求；</w:t>
      </w:r>
    </w:p>
    <w:p>
      <w:pPr>
        <w:spacing w:line="360" w:lineRule="auto"/>
        <w:ind w:firstLine="480" w:firstLineChars="200"/>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 xml:space="preserve">5.2 </w:t>
      </w:r>
      <w:r>
        <w:rPr>
          <w:rFonts w:hint="eastAsia" w:asciiTheme="minorEastAsia" w:hAnsiTheme="minorEastAsia" w:eastAsiaTheme="minorEastAsia" w:cstheme="minorEastAsia"/>
          <w:color w:val="auto"/>
          <w:sz w:val="24"/>
          <w:highlight w:val="none"/>
        </w:rPr>
        <w:t>交货期：合同生效后</w:t>
      </w:r>
      <w:r>
        <w:rPr>
          <w:rFonts w:hint="eastAsia" w:asciiTheme="minorEastAsia" w:hAnsiTheme="minorEastAsia" w:eastAsiaTheme="minorEastAsia" w:cstheme="minorEastAsia"/>
          <w:color w:val="auto"/>
          <w:sz w:val="24"/>
          <w:highlight w:val="none"/>
          <w:lang w:val="en-US" w:eastAsia="zh-CN"/>
        </w:rPr>
        <w:t>10</w:t>
      </w:r>
      <w:r>
        <w:rPr>
          <w:rFonts w:hint="eastAsia" w:asciiTheme="minorEastAsia" w:hAnsiTheme="minorEastAsia" w:eastAsiaTheme="minorEastAsia" w:cstheme="minorEastAsia"/>
          <w:color w:val="auto"/>
          <w:sz w:val="24"/>
          <w:highlight w:val="none"/>
        </w:rPr>
        <w:t>日历天；</w:t>
      </w:r>
    </w:p>
    <w:p>
      <w:pPr>
        <w:pStyle w:val="16"/>
        <w:spacing w:line="360" w:lineRule="auto"/>
        <w:ind w:firstLine="480" w:firstLineChars="200"/>
        <w:rPr>
          <w:rFonts w:hint="default" w:eastAsiaTheme="minorEastAsia"/>
          <w:color w:val="auto"/>
          <w:highlight w:val="none"/>
          <w:lang w:val="en-US" w:eastAsia="zh-CN"/>
        </w:rPr>
      </w:pPr>
      <w:r>
        <w:rPr>
          <w:rFonts w:hint="eastAsia" w:asciiTheme="minorEastAsia" w:hAnsiTheme="minorEastAsia" w:eastAsiaTheme="minorEastAsia" w:cstheme="minorEastAsia"/>
          <w:color w:val="auto"/>
          <w:sz w:val="24"/>
          <w:highlight w:val="none"/>
          <w:lang w:val="en-US" w:eastAsia="zh-CN"/>
        </w:rPr>
        <w:t>5.3 质量保证期：12个月；</w:t>
      </w:r>
    </w:p>
    <w:p>
      <w:pPr>
        <w:spacing w:line="360" w:lineRule="auto"/>
        <w:ind w:firstLine="480" w:firstLineChars="200"/>
        <w:rPr>
          <w:sz w:val="24"/>
          <w:highlight w:val="none"/>
        </w:rPr>
      </w:pPr>
      <w:r>
        <w:rPr>
          <w:rFonts w:hint="eastAsia" w:asciiTheme="minorEastAsia" w:hAnsiTheme="minorEastAsia" w:eastAsiaTheme="minorEastAsia" w:cstheme="minorEastAsia"/>
          <w:color w:val="auto"/>
          <w:sz w:val="24"/>
          <w:highlight w:val="none"/>
          <w:lang w:val="en-US" w:eastAsia="zh-CN"/>
        </w:rPr>
        <w:t>5.4</w:t>
      </w:r>
      <w:r>
        <w:rPr>
          <w:rFonts w:hint="eastAsia" w:asciiTheme="minorEastAsia" w:hAnsiTheme="minorEastAsia" w:eastAsiaTheme="minorEastAsia" w:cstheme="minorEastAsia"/>
          <w:color w:val="auto"/>
          <w:sz w:val="24"/>
          <w:highlight w:val="none"/>
        </w:rPr>
        <w:t xml:space="preserve"> 交货</w:t>
      </w:r>
      <w:r>
        <w:rPr>
          <w:rFonts w:hint="eastAsia" w:asciiTheme="minorEastAsia" w:hAnsiTheme="minorEastAsia" w:eastAsiaTheme="minorEastAsia" w:cstheme="minorEastAsia"/>
          <w:color w:val="auto"/>
          <w:sz w:val="24"/>
          <w:highlight w:val="none"/>
          <w:lang w:eastAsia="zh-CN"/>
        </w:rPr>
        <w:t>地</w:t>
      </w:r>
      <w:r>
        <w:rPr>
          <w:rFonts w:hint="eastAsia" w:asciiTheme="minorEastAsia" w:hAnsiTheme="minorEastAsia" w:eastAsiaTheme="minorEastAsia" w:cstheme="minorEastAsia"/>
          <w:color w:val="auto"/>
          <w:sz w:val="24"/>
          <w:highlight w:val="none"/>
        </w:rPr>
        <w:t>点：</w:t>
      </w:r>
      <w:r>
        <w:rPr>
          <w:rFonts w:hint="eastAsia"/>
          <w:color w:val="auto"/>
          <w:sz w:val="24"/>
          <w:highlight w:val="none"/>
          <w:shd w:val="clear" w:color="auto" w:fill="FFFFFF"/>
        </w:rPr>
        <w:t>采购人指定地点</w:t>
      </w:r>
      <w:r>
        <w:rPr>
          <w:rFonts w:hint="eastAsia"/>
          <w:color w:val="auto"/>
          <w:sz w:val="24"/>
          <w:highlight w:val="none"/>
          <w:shd w:val="clear" w:color="auto" w:fill="FFFFFF"/>
          <w:lang w:eastAsia="zh-CN"/>
        </w:rPr>
        <w:t>；</w:t>
      </w:r>
    </w:p>
    <w:p>
      <w:pPr>
        <w:pStyle w:val="5"/>
        <w:numPr>
          <w:ilvl w:val="1"/>
          <w:numId w:val="0"/>
        </w:numPr>
        <w:spacing w:before="156" w:beforeLines="50" w:after="156" w:afterLines="50" w:line="360" w:lineRule="auto"/>
        <w:ind w:leftChars="5"/>
        <w:jc w:val="left"/>
        <w:rPr>
          <w:rFonts w:ascii="Times New Roman" w:hAnsi="Times New Roman" w:eastAsia="宋体"/>
          <w:sz w:val="28"/>
          <w:highlight w:val="none"/>
        </w:rPr>
      </w:pPr>
      <w:bookmarkStart w:id="51" w:name="_Toc11563"/>
      <w:bookmarkStart w:id="52" w:name="_Toc5152"/>
      <w:bookmarkStart w:id="53" w:name="_Toc40346580"/>
      <w:r>
        <w:rPr>
          <w:rFonts w:ascii="Times New Roman" w:hAnsi="Times New Roman" w:eastAsia="宋体"/>
          <w:sz w:val="28"/>
          <w:highlight w:val="none"/>
        </w:rPr>
        <w:t>六、采购项目需要落实的政府采购政策（详见采购文件）：</w:t>
      </w:r>
      <w:bookmarkEnd w:id="51"/>
      <w:bookmarkEnd w:id="52"/>
      <w:bookmarkEnd w:id="53"/>
    </w:p>
    <w:p>
      <w:pPr>
        <w:spacing w:line="360" w:lineRule="auto"/>
        <w:ind w:firstLine="420" w:firstLineChars="175"/>
        <w:rPr>
          <w:rStyle w:val="116"/>
          <w:rFonts w:hint="eastAsia"/>
          <w:sz w:val="24"/>
          <w:highlight w:val="none"/>
        </w:rPr>
      </w:pPr>
      <w:r>
        <w:rPr>
          <w:rStyle w:val="116"/>
          <w:rFonts w:hint="eastAsia"/>
          <w:sz w:val="24"/>
          <w:highlight w:val="none"/>
        </w:rPr>
        <w:t>（1）执行《政府采购促进中小企业发展暂行办法》（财库[2011]181号）；</w:t>
      </w:r>
    </w:p>
    <w:p>
      <w:pPr>
        <w:spacing w:line="360" w:lineRule="auto"/>
        <w:ind w:firstLine="420" w:firstLineChars="175"/>
        <w:rPr>
          <w:rStyle w:val="116"/>
          <w:rFonts w:hint="eastAsia"/>
          <w:sz w:val="24"/>
          <w:highlight w:val="none"/>
        </w:rPr>
      </w:pPr>
      <w:r>
        <w:rPr>
          <w:rStyle w:val="116"/>
          <w:rFonts w:hint="eastAsia"/>
          <w:sz w:val="24"/>
          <w:highlight w:val="none"/>
        </w:rPr>
        <w:t>（2）执行《财政部、司法部关于政府采购支持监狱企业发展有关问题的通知》（财库[2014]68号）；</w:t>
      </w:r>
    </w:p>
    <w:p>
      <w:pPr>
        <w:spacing w:line="360" w:lineRule="auto"/>
        <w:ind w:firstLine="420" w:firstLineChars="175"/>
        <w:rPr>
          <w:rStyle w:val="116"/>
          <w:sz w:val="24"/>
          <w:highlight w:val="none"/>
        </w:rPr>
      </w:pPr>
      <w:r>
        <w:rPr>
          <w:rStyle w:val="116"/>
          <w:rFonts w:hint="eastAsia"/>
          <w:sz w:val="24"/>
          <w:highlight w:val="none"/>
        </w:rPr>
        <w:t>（3）执行《三部门联合发布关于促进残疾人就业政府采购政策的通知》（财库[2017]141号）。</w:t>
      </w:r>
    </w:p>
    <w:p>
      <w:pPr>
        <w:pStyle w:val="5"/>
        <w:numPr>
          <w:ilvl w:val="1"/>
          <w:numId w:val="0"/>
        </w:numPr>
        <w:spacing w:before="156" w:beforeLines="50" w:after="156" w:afterLines="50" w:line="360" w:lineRule="auto"/>
        <w:ind w:leftChars="5"/>
        <w:jc w:val="left"/>
        <w:rPr>
          <w:rFonts w:ascii="Times New Roman" w:hAnsi="Times New Roman" w:eastAsia="宋体"/>
          <w:sz w:val="28"/>
          <w:highlight w:val="none"/>
        </w:rPr>
      </w:pPr>
      <w:bookmarkStart w:id="54" w:name="_Toc40346581"/>
      <w:bookmarkStart w:id="55" w:name="_Toc5999"/>
      <w:bookmarkStart w:id="56" w:name="_Toc28754"/>
      <w:r>
        <w:rPr>
          <w:rFonts w:ascii="Times New Roman" w:hAnsi="Times New Roman" w:eastAsia="宋体"/>
          <w:sz w:val="28"/>
          <w:highlight w:val="none"/>
        </w:rPr>
        <w:t>七、投标人资格要求</w:t>
      </w:r>
      <w:bookmarkEnd w:id="54"/>
      <w:bookmarkEnd w:id="55"/>
      <w:bookmarkEnd w:id="56"/>
      <w:r>
        <w:rPr>
          <w:rFonts w:ascii="Times New Roman" w:hAnsi="Times New Roman" w:eastAsia="宋体"/>
          <w:sz w:val="28"/>
          <w:highlight w:val="none"/>
        </w:rPr>
        <w:t>　　</w:t>
      </w:r>
    </w:p>
    <w:p>
      <w:pPr>
        <w:spacing w:line="360" w:lineRule="auto"/>
        <w:ind w:firstLine="480" w:firstLineChars="200"/>
        <w:rPr>
          <w:sz w:val="24"/>
          <w:highlight w:val="none"/>
        </w:rPr>
      </w:pPr>
      <w:r>
        <w:rPr>
          <w:sz w:val="24"/>
          <w:highlight w:val="none"/>
        </w:rPr>
        <w:t>本项目投标人须符合政府采购法第二十二条规定的条件，并具备下列条件：</w:t>
      </w:r>
    </w:p>
    <w:p>
      <w:pPr>
        <w:numPr>
          <w:ilvl w:val="0"/>
          <w:numId w:val="4"/>
        </w:numPr>
        <w:spacing w:line="360" w:lineRule="auto"/>
        <w:ind w:firstLine="420" w:firstLineChars="175"/>
        <w:rPr>
          <w:sz w:val="24"/>
          <w:highlight w:val="none"/>
        </w:rPr>
      </w:pPr>
      <w:r>
        <w:rPr>
          <w:sz w:val="24"/>
          <w:highlight w:val="none"/>
        </w:rPr>
        <w:t>具有独立承担民事责任能力的企（事）业单位，提供营业执照或事业单位法人证书等证明文件；</w:t>
      </w:r>
    </w:p>
    <w:p>
      <w:pPr>
        <w:spacing w:line="360" w:lineRule="auto"/>
        <w:ind w:firstLine="420" w:firstLineChars="175"/>
        <w:rPr>
          <w:sz w:val="24"/>
          <w:highlight w:val="none"/>
        </w:rPr>
      </w:pPr>
      <w:r>
        <w:rPr>
          <w:rFonts w:hint="eastAsia"/>
          <w:sz w:val="24"/>
          <w:highlight w:val="none"/>
          <w:lang w:val="en-US" w:eastAsia="zh-CN"/>
        </w:rPr>
        <w:t>2</w:t>
      </w:r>
      <w:r>
        <w:rPr>
          <w:sz w:val="24"/>
          <w:highlight w:val="none"/>
        </w:rPr>
        <w:t>、具有良好的商业信誉和健全的财务会计制度，提供</w:t>
      </w:r>
      <w:r>
        <w:rPr>
          <w:rFonts w:hint="eastAsia"/>
          <w:sz w:val="24"/>
          <w:highlight w:val="none"/>
        </w:rPr>
        <w:t>会计师事务所或审计部门出具的2018或2019年度财务审计报告或银行出具的资信证明或财政部门认可的政府采购专业担保机构出具的投标担保函</w:t>
      </w:r>
      <w:r>
        <w:rPr>
          <w:sz w:val="24"/>
          <w:highlight w:val="none"/>
        </w:rPr>
        <w:t>；</w:t>
      </w:r>
    </w:p>
    <w:p>
      <w:pPr>
        <w:spacing w:line="360" w:lineRule="auto"/>
        <w:ind w:firstLine="420" w:firstLineChars="175"/>
        <w:rPr>
          <w:sz w:val="24"/>
          <w:highlight w:val="none"/>
        </w:rPr>
      </w:pPr>
      <w:r>
        <w:rPr>
          <w:rFonts w:hint="eastAsia"/>
          <w:sz w:val="24"/>
          <w:highlight w:val="none"/>
          <w:lang w:val="en-US" w:eastAsia="zh-CN"/>
        </w:rPr>
        <w:t>3</w:t>
      </w:r>
      <w:r>
        <w:rPr>
          <w:sz w:val="24"/>
          <w:highlight w:val="none"/>
        </w:rPr>
        <w:t>、投标人应具有相关工作经验，具备履行合同所必需的设备和专业技术能力；</w:t>
      </w:r>
    </w:p>
    <w:p>
      <w:pPr>
        <w:spacing w:line="360" w:lineRule="auto"/>
        <w:ind w:firstLine="420" w:firstLineChars="175"/>
        <w:rPr>
          <w:sz w:val="24"/>
          <w:highlight w:val="none"/>
        </w:rPr>
      </w:pPr>
      <w:r>
        <w:rPr>
          <w:rFonts w:hint="eastAsia"/>
          <w:sz w:val="24"/>
          <w:highlight w:val="none"/>
          <w:lang w:val="en-US" w:eastAsia="zh-CN"/>
        </w:rPr>
        <w:t>4</w:t>
      </w:r>
      <w:r>
        <w:rPr>
          <w:sz w:val="24"/>
          <w:highlight w:val="none"/>
        </w:rPr>
        <w:t>、依法缴纳税收和社会保障资金，提供2020年以来</w:t>
      </w:r>
      <w:r>
        <w:rPr>
          <w:rFonts w:hint="eastAsia"/>
          <w:sz w:val="24"/>
          <w:highlight w:val="none"/>
          <w:lang w:val="en-US" w:eastAsia="zh-CN"/>
        </w:rPr>
        <w:t>任意</w:t>
      </w:r>
      <w:r>
        <w:rPr>
          <w:rFonts w:hint="eastAsia"/>
          <w:sz w:val="24"/>
          <w:highlight w:val="none"/>
          <w:lang w:val="en-US" w:eastAsia="zh-CN"/>
        </w:rPr>
        <w:t>三</w:t>
      </w:r>
      <w:r>
        <w:rPr>
          <w:sz w:val="24"/>
          <w:highlight w:val="none"/>
        </w:rPr>
        <w:t>个月依法缴纳税收和社会保障资金的记录；</w:t>
      </w:r>
    </w:p>
    <w:p>
      <w:pPr>
        <w:spacing w:line="360" w:lineRule="auto"/>
        <w:ind w:firstLine="420" w:firstLineChars="175"/>
        <w:rPr>
          <w:sz w:val="24"/>
          <w:highlight w:val="none"/>
        </w:rPr>
      </w:pPr>
      <w:r>
        <w:rPr>
          <w:rFonts w:hint="eastAsia"/>
          <w:sz w:val="24"/>
          <w:highlight w:val="none"/>
          <w:lang w:val="en-US" w:eastAsia="zh-CN"/>
        </w:rPr>
        <w:t>5</w:t>
      </w:r>
      <w:r>
        <w:rPr>
          <w:sz w:val="24"/>
          <w:highlight w:val="none"/>
        </w:rPr>
        <w:t>、参加政府采购活动前三年内，在经营活动中没有重大违法记录；</w:t>
      </w:r>
    </w:p>
    <w:p>
      <w:pPr>
        <w:spacing w:line="360" w:lineRule="auto"/>
        <w:ind w:firstLine="420" w:firstLineChars="175"/>
        <w:rPr>
          <w:sz w:val="24"/>
          <w:highlight w:val="none"/>
        </w:rPr>
      </w:pPr>
      <w:r>
        <w:rPr>
          <w:rFonts w:hint="eastAsia"/>
          <w:sz w:val="24"/>
          <w:highlight w:val="none"/>
          <w:lang w:val="en-US" w:eastAsia="zh-CN"/>
        </w:rPr>
        <w:t>6</w:t>
      </w:r>
      <w:r>
        <w:rPr>
          <w:sz w:val="24"/>
          <w:highlight w:val="none"/>
        </w:rPr>
        <w:t>、投标人单位负责人为同一人或者存在直接控股、管理关系的不同供应商参与本项目投标的，其相关投标均将被认定为</w:t>
      </w:r>
      <w:r>
        <w:rPr>
          <w:bCs/>
          <w:sz w:val="24"/>
          <w:highlight w:val="none"/>
        </w:rPr>
        <w:t>投标无效</w:t>
      </w:r>
      <w:r>
        <w:rPr>
          <w:sz w:val="24"/>
          <w:highlight w:val="none"/>
        </w:rPr>
        <w:t>；</w:t>
      </w:r>
    </w:p>
    <w:p>
      <w:pPr>
        <w:spacing w:line="360" w:lineRule="auto"/>
        <w:ind w:firstLine="420" w:firstLineChars="175"/>
        <w:rPr>
          <w:sz w:val="24"/>
          <w:highlight w:val="none"/>
          <w:lang w:val="zh-CN"/>
        </w:rPr>
      </w:pPr>
      <w:r>
        <w:rPr>
          <w:rFonts w:hint="eastAsia"/>
          <w:sz w:val="24"/>
          <w:highlight w:val="none"/>
          <w:lang w:val="en-US" w:eastAsia="zh-CN"/>
        </w:rPr>
        <w:t>7</w:t>
      </w:r>
      <w:r>
        <w:rPr>
          <w:sz w:val="24"/>
          <w:highlight w:val="none"/>
        </w:rPr>
        <w:t>、本次招标不接受联合体投标；</w:t>
      </w:r>
    </w:p>
    <w:p>
      <w:pPr>
        <w:spacing w:line="360" w:lineRule="auto"/>
        <w:ind w:firstLine="420" w:firstLineChars="175"/>
        <w:rPr>
          <w:sz w:val="24"/>
          <w:highlight w:val="none"/>
        </w:rPr>
      </w:pPr>
      <w:r>
        <w:rPr>
          <w:rFonts w:hint="eastAsia"/>
          <w:sz w:val="24"/>
          <w:highlight w:val="none"/>
          <w:lang w:val="en-US" w:eastAsia="zh-CN"/>
        </w:rPr>
        <w:t>8</w:t>
      </w:r>
      <w:r>
        <w:rPr>
          <w:sz w:val="24"/>
          <w:highlight w:val="none"/>
        </w:rPr>
        <w:t>、</w:t>
      </w:r>
      <w:r>
        <w:rPr>
          <w:rFonts w:hint="eastAsia" w:ascii="宋体" w:hAnsi="宋体" w:cs="宋体"/>
          <w:color w:val="auto"/>
          <w:sz w:val="24"/>
          <w:highlight w:val="none"/>
        </w:rPr>
        <w:t>根据《关于在政府采购活动中查询及使用信用记录有关问题的通知》 (财库[2016]125 号)的规定，对列入失信被执行人、重大税收违法案件当事人名单、政府采购严重违法失信行为记录名单及其他不符合《中华人民共和国政府采购法》第二十二条规定条件的供应商，拒绝参与本项目政府采购活动；【</w:t>
      </w:r>
      <w:r>
        <w:rPr>
          <w:rFonts w:hint="eastAsia" w:ascii="宋体" w:hAnsi="宋体" w:cs="宋体"/>
          <w:color w:val="auto"/>
          <w:sz w:val="24"/>
          <w:highlight w:val="none"/>
          <w:u w:val="none"/>
        </w:rPr>
        <w:fldChar w:fldCharType="begin"/>
      </w:r>
      <w:r>
        <w:rPr>
          <w:rFonts w:hint="eastAsia" w:ascii="宋体" w:hAnsi="宋体" w:cs="宋体"/>
          <w:color w:val="auto"/>
          <w:sz w:val="24"/>
          <w:highlight w:val="none"/>
          <w:u w:val="none"/>
        </w:rPr>
        <w:instrText xml:space="preserve"> HYPERLINK "http://www.ccgp.gov.cn）】" </w:instrText>
      </w:r>
      <w:r>
        <w:rPr>
          <w:rFonts w:hint="eastAsia" w:ascii="宋体" w:hAnsi="宋体" w:cs="宋体"/>
          <w:color w:val="auto"/>
          <w:sz w:val="24"/>
          <w:highlight w:val="none"/>
          <w:u w:val="none"/>
        </w:rPr>
        <w:fldChar w:fldCharType="separate"/>
      </w:r>
      <w:r>
        <w:rPr>
          <w:rFonts w:hint="eastAsia" w:ascii="宋体" w:hAnsi="宋体" w:cs="宋体"/>
          <w:color w:val="auto"/>
          <w:sz w:val="24"/>
          <w:highlight w:val="none"/>
        </w:rPr>
        <w:t>在 “信用中国”网站中（</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"http://www.creditchina.gov.cn/"</w:instrText>
      </w:r>
      <w:r>
        <w:rPr>
          <w:rFonts w:hint="eastAsia" w:ascii="宋体" w:hAnsi="宋体" w:cs="宋体"/>
          <w:color w:val="auto"/>
          <w:sz w:val="24"/>
          <w:highlight w:val="none"/>
        </w:rPr>
        <w:fldChar w:fldCharType="separate"/>
      </w:r>
      <w:r>
        <w:rPr>
          <w:rStyle w:val="37"/>
          <w:rFonts w:hint="eastAsia" w:ascii="宋体" w:hAnsi="宋体" w:eastAsia="宋体" w:cs="宋体"/>
          <w:color w:val="auto"/>
          <w:sz w:val="24"/>
          <w:highlight w:val="none"/>
        </w:rPr>
        <w:t>http://www.creditchina.gov.cn/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）查询“失信被执行人”和 “重大税收违法案件当事人名单”，以及在“中国政府采购网”网站中（</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"http://www.ccgp.gov.cn/"</w:instrText>
      </w:r>
      <w:r>
        <w:rPr>
          <w:rFonts w:hint="eastAsia" w:ascii="宋体" w:hAnsi="宋体" w:cs="宋体"/>
          <w:color w:val="auto"/>
          <w:sz w:val="24"/>
          <w:highlight w:val="none"/>
        </w:rPr>
        <w:fldChar w:fldCharType="separate"/>
      </w:r>
      <w:r>
        <w:rPr>
          <w:rStyle w:val="37"/>
          <w:rFonts w:hint="eastAsia" w:ascii="宋体" w:hAnsi="宋体" w:eastAsia="宋体" w:cs="宋体"/>
          <w:color w:val="auto"/>
          <w:sz w:val="24"/>
          <w:highlight w:val="none"/>
        </w:rPr>
        <w:t>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）查询“政府采购严重违法失信行为记录名单”共3项的查询结果网页截图</w:t>
      </w:r>
      <w:r>
        <w:rPr>
          <w:rStyle w:val="37"/>
          <w:rFonts w:hint="eastAsia" w:ascii="宋体" w:hAnsi="宋体" w:eastAsia="宋体" w:cs="宋体"/>
          <w:color w:val="auto"/>
          <w:sz w:val="24"/>
          <w:highlight w:val="none"/>
          <w:u w:val="none"/>
        </w:rPr>
        <w:t>】</w:t>
      </w:r>
      <w:r>
        <w:rPr>
          <w:rFonts w:hint="eastAsia" w:ascii="宋体" w:hAnsi="宋体" w:cs="宋体"/>
          <w:color w:val="auto"/>
          <w:sz w:val="24"/>
          <w:highlight w:val="none"/>
          <w:u w:val="none"/>
        </w:rPr>
        <w:fldChar w:fldCharType="end"/>
      </w:r>
      <w:r>
        <w:rPr>
          <w:sz w:val="24"/>
          <w:highlight w:val="none"/>
          <w:lang w:val="zh-CN"/>
        </w:rPr>
        <w:t>；</w:t>
      </w:r>
    </w:p>
    <w:p>
      <w:pPr>
        <w:spacing w:line="360" w:lineRule="auto"/>
        <w:ind w:firstLine="420" w:firstLineChars="175"/>
        <w:rPr>
          <w:sz w:val="24"/>
          <w:highlight w:val="none"/>
        </w:rPr>
      </w:pPr>
      <w:r>
        <w:rPr>
          <w:rFonts w:hint="eastAsia"/>
          <w:sz w:val="24"/>
          <w:highlight w:val="none"/>
          <w:lang w:val="en-US" w:eastAsia="zh-CN"/>
        </w:rPr>
        <w:t>9</w:t>
      </w:r>
      <w:r>
        <w:rPr>
          <w:sz w:val="24"/>
          <w:highlight w:val="none"/>
        </w:rPr>
        <w:t>、相关法律、法规规定的其他条件。</w:t>
      </w:r>
    </w:p>
    <w:p>
      <w:pPr>
        <w:pStyle w:val="5"/>
        <w:numPr>
          <w:ilvl w:val="1"/>
          <w:numId w:val="0"/>
        </w:numPr>
        <w:spacing w:before="156" w:beforeLines="50" w:after="156" w:afterLines="50" w:line="360" w:lineRule="auto"/>
        <w:ind w:leftChars="5"/>
        <w:jc w:val="left"/>
        <w:rPr>
          <w:rFonts w:ascii="Times New Roman" w:hAnsi="Times New Roman" w:eastAsia="宋体"/>
          <w:sz w:val="28"/>
          <w:highlight w:val="none"/>
        </w:rPr>
      </w:pPr>
      <w:bookmarkStart w:id="57" w:name="_Toc13850"/>
      <w:bookmarkStart w:id="58" w:name="_Toc23424"/>
      <w:bookmarkStart w:id="59" w:name="_Toc40346582"/>
      <w:r>
        <w:rPr>
          <w:rFonts w:ascii="Times New Roman" w:hAnsi="Times New Roman" w:eastAsia="宋体"/>
          <w:sz w:val="28"/>
          <w:highlight w:val="none"/>
        </w:rPr>
        <w:t>八、是否接受进口产品：否</w:t>
      </w:r>
      <w:bookmarkEnd w:id="57"/>
      <w:bookmarkEnd w:id="58"/>
      <w:bookmarkEnd w:id="59"/>
      <w:r>
        <w:rPr>
          <w:rFonts w:ascii="Times New Roman" w:hAnsi="Times New Roman" w:eastAsia="宋体"/>
          <w:sz w:val="28"/>
          <w:highlight w:val="none"/>
        </w:rPr>
        <w:t xml:space="preserve"> 　</w:t>
      </w:r>
    </w:p>
    <w:p>
      <w:pPr>
        <w:pStyle w:val="5"/>
        <w:numPr>
          <w:ilvl w:val="1"/>
          <w:numId w:val="0"/>
        </w:numPr>
        <w:spacing w:before="156" w:beforeLines="50" w:after="156" w:afterLines="50" w:line="360" w:lineRule="auto"/>
        <w:ind w:leftChars="5"/>
        <w:jc w:val="left"/>
        <w:rPr>
          <w:rFonts w:ascii="Times New Roman" w:hAnsi="Times New Roman" w:eastAsia="宋体"/>
          <w:sz w:val="28"/>
          <w:highlight w:val="none"/>
        </w:rPr>
      </w:pPr>
      <w:bookmarkStart w:id="60" w:name="_Toc40346583"/>
      <w:bookmarkStart w:id="61" w:name="_Toc22211"/>
      <w:bookmarkStart w:id="62" w:name="_Toc25403"/>
      <w:r>
        <w:rPr>
          <w:rFonts w:ascii="Times New Roman" w:hAnsi="Times New Roman" w:eastAsia="宋体"/>
          <w:sz w:val="28"/>
          <w:highlight w:val="none"/>
        </w:rPr>
        <w:t>九、获取招标文件：</w:t>
      </w:r>
      <w:bookmarkEnd w:id="60"/>
      <w:bookmarkEnd w:id="61"/>
      <w:bookmarkEnd w:id="62"/>
    </w:p>
    <w:p>
      <w:pPr>
        <w:spacing w:line="360" w:lineRule="auto"/>
        <w:ind w:firstLine="480" w:firstLineChars="200"/>
        <w:rPr>
          <w:rStyle w:val="116"/>
          <w:bCs/>
          <w:sz w:val="24"/>
          <w:highlight w:val="none"/>
        </w:rPr>
      </w:pPr>
      <w:r>
        <w:rPr>
          <w:rStyle w:val="116"/>
          <w:bCs/>
          <w:sz w:val="24"/>
          <w:highlight w:val="none"/>
        </w:rPr>
        <w:t>1、时间：</w:t>
      </w:r>
      <w:r>
        <w:rPr>
          <w:rStyle w:val="116"/>
          <w:bCs/>
          <w:color w:val="auto"/>
          <w:sz w:val="24"/>
          <w:highlight w:val="none"/>
        </w:rPr>
        <w:t>2020年</w:t>
      </w:r>
      <w:r>
        <w:rPr>
          <w:rStyle w:val="116"/>
          <w:rFonts w:hint="eastAsia"/>
          <w:bCs/>
          <w:color w:val="auto"/>
          <w:sz w:val="24"/>
          <w:highlight w:val="none"/>
          <w:lang w:val="en-US" w:eastAsia="zh-CN"/>
        </w:rPr>
        <w:t>7</w:t>
      </w:r>
      <w:r>
        <w:rPr>
          <w:rStyle w:val="116"/>
          <w:bCs/>
          <w:color w:val="auto"/>
          <w:sz w:val="24"/>
          <w:highlight w:val="none"/>
        </w:rPr>
        <w:t>月</w:t>
      </w:r>
      <w:r>
        <w:rPr>
          <w:rStyle w:val="116"/>
          <w:rFonts w:hint="eastAsia"/>
          <w:bCs/>
          <w:color w:val="auto"/>
          <w:sz w:val="24"/>
          <w:highlight w:val="none"/>
          <w:lang w:val="en-US" w:eastAsia="zh-CN"/>
        </w:rPr>
        <w:t>22</w:t>
      </w:r>
      <w:r>
        <w:rPr>
          <w:rStyle w:val="116"/>
          <w:bCs/>
          <w:color w:val="auto"/>
          <w:sz w:val="24"/>
          <w:highlight w:val="none"/>
        </w:rPr>
        <w:t>日至2020年</w:t>
      </w:r>
      <w:r>
        <w:rPr>
          <w:rStyle w:val="116"/>
          <w:rFonts w:hint="eastAsia"/>
          <w:bCs/>
          <w:color w:val="auto"/>
          <w:sz w:val="24"/>
          <w:highlight w:val="none"/>
          <w:lang w:val="en-US" w:eastAsia="zh-CN"/>
        </w:rPr>
        <w:t>7</w:t>
      </w:r>
      <w:r>
        <w:rPr>
          <w:rStyle w:val="116"/>
          <w:bCs/>
          <w:color w:val="auto"/>
          <w:sz w:val="24"/>
          <w:highlight w:val="none"/>
        </w:rPr>
        <w:t>月</w:t>
      </w:r>
      <w:r>
        <w:rPr>
          <w:rStyle w:val="116"/>
          <w:rFonts w:hint="eastAsia"/>
          <w:bCs/>
          <w:color w:val="auto"/>
          <w:sz w:val="24"/>
          <w:highlight w:val="none"/>
          <w:lang w:val="en-US" w:eastAsia="zh-CN"/>
        </w:rPr>
        <w:t>28</w:t>
      </w:r>
      <w:r>
        <w:rPr>
          <w:rStyle w:val="116"/>
          <w:bCs/>
          <w:color w:val="auto"/>
          <w:sz w:val="24"/>
          <w:highlight w:val="none"/>
        </w:rPr>
        <w:t>日</w:t>
      </w:r>
      <w:r>
        <w:rPr>
          <w:rStyle w:val="116"/>
          <w:rFonts w:hint="eastAsia"/>
          <w:bCs/>
          <w:color w:val="auto"/>
          <w:sz w:val="24"/>
          <w:highlight w:val="none"/>
        </w:rPr>
        <w:t>（北京时间），供应商未按规定在网上下载招标文件的，其投标将被拒绝。</w:t>
      </w:r>
    </w:p>
    <w:p>
      <w:pPr>
        <w:snapToGrid w:val="0"/>
        <w:spacing w:line="360" w:lineRule="auto"/>
        <w:ind w:firstLine="480" w:firstLineChars="200"/>
        <w:rPr>
          <w:sz w:val="24"/>
          <w:highlight w:val="none"/>
        </w:rPr>
      </w:pPr>
      <w:r>
        <w:rPr>
          <w:sz w:val="24"/>
          <w:highlight w:val="none"/>
        </w:rPr>
        <w:t>2、地点：</w:t>
      </w:r>
      <w:r>
        <w:rPr>
          <w:rStyle w:val="116"/>
          <w:bCs/>
          <w:sz w:val="24"/>
          <w:highlight w:val="none"/>
        </w:rPr>
        <w:t>凡有意参加投标者，凭领取的企业身份认证锁（CA密钥）登录“河南省公共资源交易中心（http://www.hnggzy.com）”网，并按网上提示下载招标文件及资料。</w:t>
      </w:r>
    </w:p>
    <w:p>
      <w:pPr>
        <w:spacing w:line="360" w:lineRule="auto"/>
        <w:ind w:firstLine="480" w:firstLineChars="200"/>
        <w:rPr>
          <w:rStyle w:val="116"/>
          <w:bCs/>
          <w:sz w:val="24"/>
          <w:highlight w:val="none"/>
        </w:rPr>
      </w:pPr>
      <w:r>
        <w:rPr>
          <w:rStyle w:val="116"/>
          <w:bCs/>
          <w:sz w:val="24"/>
          <w:szCs w:val="22"/>
          <w:highlight w:val="none"/>
        </w:rPr>
        <w:t>3、方式：</w:t>
      </w:r>
      <w:r>
        <w:rPr>
          <w:rStyle w:val="116"/>
          <w:bCs/>
          <w:sz w:val="24"/>
          <w:highlight w:val="none"/>
        </w:rPr>
        <w:t>市场主体需要完成信息登记及CA数字证书办理，才能通过省公共资源交易平台参与交易活动，具体办理事宜请查阅河南省公共资源交易中心网站“办事指南”专区的《河南省公共资源交易平台市场主体信息库登记指南（工程建设、政府采购）》；获取招标文件后，投标人请到河南省公共资源交易中心网站—公共服务—下载专区栏目下载最新版本的投标文件制作工具安装包，并使用安装后的最新版本投标文件制作工具制作电子投标文件。</w:t>
      </w:r>
    </w:p>
    <w:p>
      <w:pPr>
        <w:pStyle w:val="2"/>
        <w:spacing w:after="0" w:line="360" w:lineRule="auto"/>
        <w:ind w:left="0" w:leftChars="0" w:firstLine="480"/>
        <w:rPr>
          <w:highlight w:val="none"/>
        </w:rPr>
      </w:pPr>
      <w:r>
        <w:rPr>
          <w:rStyle w:val="116"/>
          <w:bCs/>
          <w:sz w:val="24"/>
          <w:highlight w:val="none"/>
        </w:rPr>
        <w:t>4、售价：0元</w:t>
      </w:r>
    </w:p>
    <w:p>
      <w:pPr>
        <w:pStyle w:val="5"/>
        <w:numPr>
          <w:ilvl w:val="1"/>
          <w:numId w:val="0"/>
        </w:numPr>
        <w:spacing w:before="156" w:beforeLines="50" w:after="156" w:afterLines="50" w:line="360" w:lineRule="auto"/>
        <w:ind w:leftChars="5"/>
        <w:jc w:val="left"/>
        <w:rPr>
          <w:rFonts w:ascii="Times New Roman" w:hAnsi="Times New Roman" w:eastAsia="宋体"/>
          <w:sz w:val="28"/>
          <w:highlight w:val="none"/>
        </w:rPr>
      </w:pPr>
      <w:bookmarkStart w:id="63" w:name="_Toc40346584"/>
      <w:bookmarkStart w:id="64" w:name="_Toc19668"/>
      <w:bookmarkStart w:id="65" w:name="_Toc7135"/>
      <w:r>
        <w:rPr>
          <w:rFonts w:ascii="Times New Roman" w:hAnsi="Times New Roman" w:eastAsia="宋体"/>
          <w:sz w:val="28"/>
          <w:highlight w:val="none"/>
        </w:rPr>
        <w:t>十、投标截止时间（投标文件递交截止时间）及地点：</w:t>
      </w:r>
      <w:bookmarkEnd w:id="63"/>
      <w:bookmarkEnd w:id="64"/>
      <w:bookmarkEnd w:id="65"/>
    </w:p>
    <w:p>
      <w:pPr>
        <w:snapToGrid w:val="0"/>
        <w:spacing w:line="360" w:lineRule="auto"/>
        <w:ind w:firstLine="480" w:firstLineChars="200"/>
        <w:rPr>
          <w:sz w:val="24"/>
          <w:highlight w:val="none"/>
        </w:rPr>
      </w:pPr>
      <w:r>
        <w:rPr>
          <w:sz w:val="24"/>
          <w:highlight w:val="none"/>
        </w:rPr>
        <w:t>1、时间：</w:t>
      </w:r>
      <w:r>
        <w:rPr>
          <w:sz w:val="24"/>
          <w:highlight w:val="none"/>
        </w:rPr>
        <w:t>2020年</w:t>
      </w:r>
      <w:r>
        <w:rPr>
          <w:rFonts w:hint="eastAsia"/>
          <w:sz w:val="24"/>
          <w:highlight w:val="none"/>
          <w:lang w:val="en-US" w:eastAsia="zh-CN"/>
        </w:rPr>
        <w:t>8</w:t>
      </w:r>
      <w:r>
        <w:rPr>
          <w:sz w:val="24"/>
          <w:highlight w:val="none"/>
        </w:rPr>
        <w:t>月</w:t>
      </w:r>
      <w:r>
        <w:rPr>
          <w:rFonts w:hint="eastAsia"/>
          <w:sz w:val="24"/>
          <w:highlight w:val="none"/>
          <w:lang w:val="en-US" w:eastAsia="zh-CN"/>
        </w:rPr>
        <w:t>18</w:t>
      </w:r>
      <w:r>
        <w:rPr>
          <w:sz w:val="24"/>
          <w:highlight w:val="none"/>
        </w:rPr>
        <w:t>日09时 00分（北京时间）</w:t>
      </w:r>
    </w:p>
    <w:p>
      <w:pPr>
        <w:spacing w:line="360" w:lineRule="auto"/>
        <w:ind w:firstLine="480" w:firstLineChars="200"/>
        <w:rPr>
          <w:sz w:val="24"/>
          <w:highlight w:val="none"/>
        </w:rPr>
      </w:pPr>
      <w:r>
        <w:rPr>
          <w:sz w:val="24"/>
          <w:highlight w:val="none"/>
        </w:rPr>
        <w:t>2、地点</w:t>
      </w:r>
      <w:r>
        <w:rPr>
          <w:sz w:val="24"/>
          <w:highlight w:val="none"/>
        </w:rPr>
        <w:t>：</w:t>
      </w:r>
      <w:r>
        <w:rPr>
          <w:rStyle w:val="116"/>
          <w:sz w:val="24"/>
          <w:highlight w:val="none"/>
        </w:rPr>
        <w:t>河南省公共资源交易中心（郑州市农业路东41号投资大厦A座）</w:t>
      </w:r>
      <w:r>
        <w:rPr>
          <w:rStyle w:val="116"/>
          <w:sz w:val="24"/>
          <w:highlight w:val="none"/>
        </w:rPr>
        <w:t xml:space="preserve">远程开标室（一）- </w:t>
      </w:r>
      <w:r>
        <w:rPr>
          <w:rStyle w:val="116"/>
          <w:rFonts w:hint="eastAsia"/>
          <w:sz w:val="24"/>
          <w:highlight w:val="none"/>
          <w:lang w:val="en-US" w:eastAsia="zh-CN"/>
        </w:rPr>
        <w:t>2</w:t>
      </w:r>
      <w:r>
        <w:rPr>
          <w:rStyle w:val="116"/>
          <w:rFonts w:hint="eastAsia"/>
          <w:sz w:val="24"/>
          <w:highlight w:val="none"/>
          <w:lang w:eastAsia="zh-CN"/>
        </w:rPr>
        <w:t>（</w:t>
      </w:r>
      <w:r>
        <w:rPr>
          <w:sz w:val="24"/>
          <w:highlight w:val="none"/>
        </w:rPr>
        <w:t>加密电子投标</w:t>
      </w:r>
      <w:bookmarkStart w:id="415" w:name="_GoBack"/>
      <w:bookmarkEnd w:id="415"/>
      <w:r>
        <w:rPr>
          <w:sz w:val="24"/>
          <w:highlight w:val="none"/>
        </w:rPr>
        <w:t>文件须须在投标截止时间前上传至河南省公共资源交易中心交易系统；加密电子投标文件逾期上传，采购人不予受理</w:t>
      </w:r>
      <w:r>
        <w:rPr>
          <w:rStyle w:val="116"/>
          <w:rFonts w:hint="eastAsia"/>
          <w:sz w:val="24"/>
          <w:highlight w:val="none"/>
          <w:lang w:eastAsia="zh-CN"/>
        </w:rPr>
        <w:t>）</w:t>
      </w:r>
      <w:r>
        <w:rPr>
          <w:sz w:val="24"/>
          <w:highlight w:val="none"/>
        </w:rPr>
        <w:t>。</w:t>
      </w:r>
    </w:p>
    <w:p>
      <w:pPr>
        <w:pStyle w:val="5"/>
        <w:numPr>
          <w:ilvl w:val="1"/>
          <w:numId w:val="0"/>
        </w:numPr>
        <w:spacing w:before="156" w:beforeLines="50" w:after="156" w:afterLines="50" w:line="360" w:lineRule="auto"/>
        <w:ind w:leftChars="5"/>
        <w:jc w:val="left"/>
        <w:rPr>
          <w:rFonts w:ascii="Times New Roman" w:hAnsi="Times New Roman" w:eastAsia="宋体"/>
          <w:sz w:val="28"/>
          <w:highlight w:val="none"/>
        </w:rPr>
      </w:pPr>
      <w:bookmarkStart w:id="66" w:name="_Toc16267"/>
      <w:bookmarkStart w:id="67" w:name="_Toc40346585"/>
      <w:bookmarkStart w:id="68" w:name="_Toc26401"/>
      <w:r>
        <w:rPr>
          <w:rFonts w:ascii="Times New Roman" w:hAnsi="Times New Roman" w:eastAsia="宋体"/>
          <w:sz w:val="28"/>
          <w:highlight w:val="none"/>
        </w:rPr>
        <w:t>十一、开标时间及地点：</w:t>
      </w:r>
      <w:bookmarkEnd w:id="66"/>
      <w:bookmarkEnd w:id="67"/>
      <w:bookmarkEnd w:id="68"/>
    </w:p>
    <w:p>
      <w:pPr>
        <w:spacing w:line="360" w:lineRule="auto"/>
        <w:ind w:firstLine="480" w:firstLineChars="200"/>
        <w:rPr>
          <w:rStyle w:val="116"/>
          <w:sz w:val="24"/>
          <w:highlight w:val="none"/>
        </w:rPr>
      </w:pPr>
      <w:r>
        <w:rPr>
          <w:rStyle w:val="116"/>
          <w:sz w:val="24"/>
          <w:highlight w:val="none"/>
        </w:rPr>
        <w:t>1、开标时间：</w:t>
      </w:r>
      <w:r>
        <w:rPr>
          <w:sz w:val="24"/>
          <w:highlight w:val="none"/>
        </w:rPr>
        <w:t>2020年</w:t>
      </w:r>
      <w:r>
        <w:rPr>
          <w:rFonts w:hint="eastAsia"/>
          <w:sz w:val="24"/>
          <w:highlight w:val="none"/>
          <w:lang w:val="en-US" w:eastAsia="zh-CN"/>
        </w:rPr>
        <w:t>8</w:t>
      </w:r>
      <w:r>
        <w:rPr>
          <w:sz w:val="24"/>
          <w:highlight w:val="none"/>
        </w:rPr>
        <w:t>月</w:t>
      </w:r>
      <w:r>
        <w:rPr>
          <w:rFonts w:hint="eastAsia"/>
          <w:sz w:val="24"/>
          <w:highlight w:val="none"/>
          <w:lang w:val="en-US" w:eastAsia="zh-CN"/>
        </w:rPr>
        <w:t>18</w:t>
      </w:r>
      <w:r>
        <w:rPr>
          <w:sz w:val="24"/>
          <w:highlight w:val="none"/>
        </w:rPr>
        <w:t>日09时 00分（北京时间）</w:t>
      </w:r>
    </w:p>
    <w:p>
      <w:pPr>
        <w:spacing w:line="360" w:lineRule="auto"/>
        <w:ind w:firstLine="480" w:firstLineChars="200"/>
        <w:rPr>
          <w:rStyle w:val="116"/>
          <w:sz w:val="24"/>
          <w:highlight w:val="none"/>
        </w:rPr>
      </w:pPr>
      <w:r>
        <w:rPr>
          <w:rStyle w:val="116"/>
          <w:sz w:val="24"/>
          <w:highlight w:val="none"/>
        </w:rPr>
        <w:t>2、开标地点：河南省公共资源交易中心（郑州市农业路东41号投资大厦A座）</w:t>
      </w:r>
      <w:r>
        <w:rPr>
          <w:rStyle w:val="116"/>
          <w:sz w:val="24"/>
          <w:highlight w:val="none"/>
        </w:rPr>
        <w:t xml:space="preserve">远程开标室（一）- </w:t>
      </w:r>
      <w:r>
        <w:rPr>
          <w:rStyle w:val="116"/>
          <w:rFonts w:hint="eastAsia"/>
          <w:sz w:val="24"/>
          <w:highlight w:val="none"/>
          <w:lang w:val="en-US" w:eastAsia="zh-CN"/>
        </w:rPr>
        <w:t>2</w:t>
      </w:r>
      <w:r>
        <w:rPr>
          <w:rStyle w:val="116"/>
          <w:sz w:val="24"/>
          <w:highlight w:val="none"/>
        </w:rPr>
        <w:t>。</w:t>
      </w:r>
    </w:p>
    <w:p>
      <w:pPr>
        <w:spacing w:line="360" w:lineRule="auto"/>
        <w:ind w:firstLine="480" w:firstLineChars="200"/>
        <w:rPr>
          <w:rStyle w:val="116"/>
          <w:sz w:val="24"/>
          <w:highlight w:val="none"/>
        </w:rPr>
      </w:pPr>
      <w:r>
        <w:rPr>
          <w:rStyle w:val="116"/>
          <w:sz w:val="24"/>
          <w:highlight w:val="none"/>
        </w:rPr>
        <w:t>3、其他有关事项：（本项目远程开标：投标人无需到河南省交易中心现场参加开标会议，开标采用“远程不见面”开标方式，开标大厅的网址（www.hnggzyjy.cn）。投标人（供应商）须在招标（采购）文件确定的投标截止时间前，登录远程开标大厅，在线准时参加开标活动，并在规定的时间内进行文件解密、答疑澄清等。具体事宜请查阅河南省公共资源交易中心网站“办事指南”专区的《河南省公共资源交易平台不见面服务系统使用指南》）。</w:t>
      </w:r>
    </w:p>
    <w:p>
      <w:pPr>
        <w:pStyle w:val="5"/>
        <w:numPr>
          <w:ilvl w:val="1"/>
          <w:numId w:val="0"/>
        </w:numPr>
        <w:spacing w:before="156" w:beforeLines="50" w:after="156" w:afterLines="50" w:line="360" w:lineRule="auto"/>
        <w:ind w:leftChars="5"/>
        <w:jc w:val="left"/>
        <w:rPr>
          <w:rFonts w:ascii="Times New Roman" w:hAnsi="Times New Roman" w:eastAsia="宋体"/>
          <w:sz w:val="28"/>
          <w:highlight w:val="none"/>
        </w:rPr>
      </w:pPr>
      <w:bookmarkStart w:id="69" w:name="_Toc18094"/>
      <w:bookmarkStart w:id="70" w:name="_Toc684"/>
      <w:bookmarkStart w:id="71" w:name="_Toc40346586"/>
      <w:r>
        <w:rPr>
          <w:rFonts w:ascii="Times New Roman" w:hAnsi="Times New Roman" w:eastAsia="宋体"/>
          <w:sz w:val="28"/>
          <w:highlight w:val="none"/>
        </w:rPr>
        <w:t>十二、公告发布媒体及公告期限：</w:t>
      </w:r>
      <w:bookmarkEnd w:id="69"/>
      <w:bookmarkEnd w:id="70"/>
      <w:bookmarkEnd w:id="71"/>
    </w:p>
    <w:p>
      <w:pPr>
        <w:spacing w:line="360" w:lineRule="auto"/>
        <w:ind w:firstLine="480" w:firstLineChars="200"/>
        <w:rPr>
          <w:rStyle w:val="116"/>
          <w:sz w:val="24"/>
          <w:highlight w:val="none"/>
        </w:rPr>
      </w:pPr>
      <w:r>
        <w:rPr>
          <w:rStyle w:val="116"/>
          <w:bCs/>
          <w:sz w:val="24"/>
          <w:highlight w:val="none"/>
        </w:rPr>
        <w:t>本次招标公告同时在《河南省政府采购网》</w:t>
      </w:r>
      <w:r>
        <w:rPr>
          <w:rStyle w:val="116"/>
          <w:rFonts w:hint="eastAsia"/>
          <w:bCs/>
          <w:sz w:val="24"/>
          <w:highlight w:val="none"/>
          <w:lang w:eastAsia="zh-CN"/>
        </w:rPr>
        <w:t>、</w:t>
      </w:r>
      <w:r>
        <w:rPr>
          <w:rFonts w:hint="eastAsia" w:asciiTheme="minorEastAsia" w:hAnsiTheme="minorEastAsia" w:eastAsiaTheme="minorEastAsia" w:cstheme="minorEastAsia"/>
          <w:color w:val="auto"/>
          <w:sz w:val="24"/>
          <w:highlight w:val="none"/>
        </w:rPr>
        <w:t>《河南省电子招标投标公共服务平台》、</w:t>
      </w:r>
      <w:r>
        <w:rPr>
          <w:rStyle w:val="116"/>
          <w:bCs/>
          <w:sz w:val="24"/>
          <w:highlight w:val="none"/>
        </w:rPr>
        <w:t>《河南省公共资源交易中心》上发布。公告期限为</w:t>
      </w:r>
      <w:r>
        <w:rPr>
          <w:rStyle w:val="116"/>
          <w:rFonts w:hint="eastAsia"/>
          <w:bCs/>
          <w:sz w:val="24"/>
          <w:highlight w:val="none"/>
          <w:lang w:val="en-US" w:eastAsia="zh-CN"/>
        </w:rPr>
        <w:t>五</w:t>
      </w:r>
      <w:r>
        <w:rPr>
          <w:rStyle w:val="116"/>
          <w:bCs/>
          <w:sz w:val="24"/>
          <w:highlight w:val="none"/>
        </w:rPr>
        <w:t>个工作日。</w:t>
      </w:r>
    </w:p>
    <w:p>
      <w:pPr>
        <w:pStyle w:val="5"/>
        <w:numPr>
          <w:ilvl w:val="1"/>
          <w:numId w:val="0"/>
        </w:numPr>
        <w:spacing w:before="156" w:beforeLines="50" w:after="156" w:afterLines="50" w:line="360" w:lineRule="auto"/>
        <w:ind w:leftChars="5"/>
        <w:jc w:val="left"/>
        <w:rPr>
          <w:rFonts w:ascii="Times New Roman" w:hAnsi="Times New Roman" w:eastAsia="宋体"/>
          <w:sz w:val="28"/>
          <w:highlight w:val="none"/>
        </w:rPr>
      </w:pPr>
      <w:bookmarkStart w:id="72" w:name="_Toc40346587"/>
      <w:bookmarkStart w:id="73" w:name="_Toc10764"/>
      <w:bookmarkStart w:id="74" w:name="_Toc28505"/>
      <w:r>
        <w:rPr>
          <w:rFonts w:ascii="Times New Roman" w:hAnsi="Times New Roman" w:eastAsia="宋体"/>
          <w:sz w:val="28"/>
          <w:highlight w:val="none"/>
        </w:rPr>
        <w:t>十三、本次招标联系事项：</w:t>
      </w:r>
      <w:bookmarkEnd w:id="72"/>
      <w:bookmarkEnd w:id="73"/>
      <w:bookmarkEnd w:id="74"/>
    </w:p>
    <w:p>
      <w:pPr>
        <w:spacing w:line="360" w:lineRule="auto"/>
        <w:ind w:firstLine="480" w:firstLineChars="200"/>
        <w:rPr>
          <w:rStyle w:val="116"/>
          <w:bCs/>
          <w:iCs/>
          <w:sz w:val="24"/>
          <w:highlight w:val="none"/>
        </w:rPr>
      </w:pPr>
      <w:r>
        <w:rPr>
          <w:rStyle w:val="116"/>
          <w:bCs/>
          <w:sz w:val="24"/>
          <w:highlight w:val="none"/>
        </w:rPr>
        <w:t>采购人：</w:t>
      </w:r>
      <w:r>
        <w:rPr>
          <w:rFonts w:hint="eastAsia" w:asciiTheme="minorEastAsia" w:hAnsiTheme="minorEastAsia" w:eastAsiaTheme="minorEastAsia" w:cstheme="minorEastAsia"/>
          <w:color w:val="auto"/>
          <w:sz w:val="24"/>
          <w:highlight w:val="none"/>
        </w:rPr>
        <w:t>河南省新闻出版学校</w:t>
      </w:r>
    </w:p>
    <w:p>
      <w:pPr>
        <w:spacing w:line="360" w:lineRule="auto"/>
        <w:ind w:firstLine="480" w:firstLineChars="200"/>
        <w:rPr>
          <w:rStyle w:val="116"/>
          <w:bCs/>
          <w:sz w:val="24"/>
          <w:highlight w:val="none"/>
        </w:rPr>
      </w:pPr>
      <w:r>
        <w:rPr>
          <w:rStyle w:val="116"/>
          <w:bCs/>
          <w:sz w:val="24"/>
          <w:highlight w:val="none"/>
        </w:rPr>
        <w:t>地址：</w:t>
      </w:r>
      <w:r>
        <w:rPr>
          <w:rFonts w:hint="eastAsia" w:asciiTheme="minorEastAsia" w:hAnsiTheme="minorEastAsia" w:eastAsiaTheme="minorEastAsia" w:cstheme="minorEastAsia"/>
          <w:color w:val="auto"/>
          <w:sz w:val="24"/>
          <w:highlight w:val="none"/>
        </w:rPr>
        <w:t>郑州市惠济区清华园路</w:t>
      </w:r>
      <w:r>
        <w:rPr>
          <w:rFonts w:hint="eastAsia" w:asciiTheme="minorEastAsia" w:hAnsiTheme="minorEastAsia" w:eastAsiaTheme="minorEastAsia" w:cstheme="minorEastAsia"/>
          <w:color w:val="auto"/>
          <w:sz w:val="24"/>
          <w:highlight w:val="none"/>
          <w:lang w:val="en-US" w:eastAsia="zh-CN"/>
        </w:rPr>
        <w:t>28</w:t>
      </w:r>
      <w:r>
        <w:rPr>
          <w:rFonts w:hint="eastAsia" w:asciiTheme="minorEastAsia" w:hAnsiTheme="minorEastAsia" w:eastAsiaTheme="minorEastAsia" w:cstheme="minorEastAsia"/>
          <w:color w:val="auto"/>
          <w:sz w:val="24"/>
          <w:highlight w:val="none"/>
        </w:rPr>
        <w:t>号</w:t>
      </w:r>
    </w:p>
    <w:p>
      <w:pPr>
        <w:spacing w:line="360" w:lineRule="auto"/>
        <w:ind w:firstLine="480" w:firstLineChars="200"/>
        <w:rPr>
          <w:rStyle w:val="116"/>
          <w:bCs/>
          <w:sz w:val="24"/>
          <w:highlight w:val="none"/>
        </w:rPr>
      </w:pPr>
      <w:r>
        <w:rPr>
          <w:rStyle w:val="116"/>
          <w:bCs/>
          <w:sz w:val="24"/>
          <w:highlight w:val="none"/>
        </w:rPr>
        <w:t>联系人：</w:t>
      </w:r>
      <w:r>
        <w:rPr>
          <w:rFonts w:hint="eastAsia" w:asciiTheme="minorEastAsia" w:hAnsiTheme="minorEastAsia" w:eastAsiaTheme="minorEastAsia" w:cstheme="minorEastAsia"/>
          <w:color w:val="auto"/>
          <w:sz w:val="24"/>
          <w:highlight w:val="none"/>
          <w:lang w:eastAsia="zh-CN"/>
        </w:rPr>
        <w:t>赵</w:t>
      </w:r>
      <w:r>
        <w:rPr>
          <w:rFonts w:hint="eastAsia" w:asciiTheme="minorEastAsia" w:hAnsiTheme="minorEastAsia" w:eastAsiaTheme="minorEastAsia" w:cstheme="minorEastAsia"/>
          <w:color w:val="auto"/>
          <w:sz w:val="24"/>
          <w:highlight w:val="none"/>
        </w:rPr>
        <w:t>老师</w:t>
      </w:r>
      <w:r>
        <w:rPr>
          <w:rStyle w:val="116"/>
          <w:bCs/>
          <w:sz w:val="24"/>
          <w:highlight w:val="none"/>
        </w:rPr>
        <w:t xml:space="preserve">          </w:t>
      </w:r>
    </w:p>
    <w:p>
      <w:pPr>
        <w:spacing w:line="360" w:lineRule="auto"/>
        <w:ind w:firstLine="480" w:firstLineChars="200"/>
        <w:rPr>
          <w:rStyle w:val="116"/>
          <w:bCs/>
          <w:sz w:val="24"/>
          <w:highlight w:val="none"/>
        </w:rPr>
      </w:pPr>
      <w:r>
        <w:rPr>
          <w:rStyle w:val="116"/>
          <w:bCs/>
          <w:sz w:val="24"/>
          <w:highlight w:val="none"/>
        </w:rPr>
        <w:t>联系电话：</w:t>
      </w:r>
      <w:r>
        <w:rPr>
          <w:rFonts w:hint="eastAsia" w:asciiTheme="minorEastAsia" w:hAnsiTheme="minorEastAsia" w:eastAsiaTheme="minorEastAsia" w:cstheme="minorEastAsia"/>
          <w:color w:val="auto"/>
          <w:sz w:val="24"/>
          <w:highlight w:val="none"/>
        </w:rPr>
        <w:t>0371-63587915</w:t>
      </w:r>
    </w:p>
    <w:p>
      <w:pPr>
        <w:spacing w:line="360" w:lineRule="auto"/>
        <w:ind w:firstLine="480" w:firstLineChars="200"/>
        <w:rPr>
          <w:rStyle w:val="116"/>
          <w:sz w:val="24"/>
          <w:highlight w:val="none"/>
        </w:rPr>
      </w:pPr>
      <w:r>
        <w:rPr>
          <w:rStyle w:val="116"/>
          <w:sz w:val="24"/>
          <w:highlight w:val="none"/>
        </w:rPr>
        <w:t>代理机构：河南招标采购服务有限公司</w:t>
      </w:r>
    </w:p>
    <w:p>
      <w:pPr>
        <w:spacing w:line="360" w:lineRule="auto"/>
        <w:ind w:firstLine="480" w:firstLineChars="200"/>
        <w:rPr>
          <w:rStyle w:val="116"/>
          <w:sz w:val="24"/>
          <w:highlight w:val="none"/>
        </w:rPr>
      </w:pPr>
      <w:r>
        <w:rPr>
          <w:rStyle w:val="116"/>
          <w:sz w:val="24"/>
          <w:highlight w:val="none"/>
        </w:rPr>
        <w:t>联系地址：郑州市纬四路13号（花园路与纬四路交叉口东50米路北）</w:t>
      </w:r>
    </w:p>
    <w:p>
      <w:pPr>
        <w:spacing w:line="360" w:lineRule="auto"/>
        <w:ind w:firstLine="480" w:firstLineChars="200"/>
        <w:rPr>
          <w:rStyle w:val="116"/>
          <w:rFonts w:hint="default" w:eastAsia="宋体"/>
          <w:sz w:val="24"/>
          <w:highlight w:val="none"/>
          <w:lang w:val="en-US" w:eastAsia="zh-CN"/>
        </w:rPr>
      </w:pPr>
      <w:r>
        <w:rPr>
          <w:rStyle w:val="116"/>
          <w:sz w:val="24"/>
          <w:highlight w:val="none"/>
        </w:rPr>
        <w:t>项目联系人：闫先生</w:t>
      </w:r>
      <w:r>
        <w:rPr>
          <w:rStyle w:val="116"/>
          <w:rFonts w:hint="eastAsia"/>
          <w:sz w:val="24"/>
          <w:highlight w:val="none"/>
          <w:lang w:eastAsia="zh-CN"/>
        </w:rPr>
        <w:t>、</w:t>
      </w:r>
      <w:r>
        <w:rPr>
          <w:rStyle w:val="116"/>
          <w:rFonts w:hint="eastAsia"/>
          <w:sz w:val="24"/>
          <w:highlight w:val="none"/>
          <w:lang w:val="en-US" w:eastAsia="zh-CN"/>
        </w:rPr>
        <w:t>刘先生</w:t>
      </w:r>
    </w:p>
    <w:p>
      <w:pPr>
        <w:spacing w:line="360" w:lineRule="auto"/>
        <w:ind w:firstLine="480" w:firstLineChars="200"/>
        <w:rPr>
          <w:rStyle w:val="116"/>
          <w:sz w:val="24"/>
          <w:highlight w:val="none"/>
        </w:rPr>
      </w:pPr>
      <w:r>
        <w:rPr>
          <w:rStyle w:val="116"/>
          <w:sz w:val="24"/>
          <w:highlight w:val="none"/>
        </w:rPr>
        <w:t>联系电话：0371-6117 5296</w:t>
      </w:r>
    </w:p>
    <w:p>
      <w:pPr>
        <w:spacing w:line="360" w:lineRule="auto"/>
        <w:rPr>
          <w:rStyle w:val="116"/>
          <w:sz w:val="24"/>
          <w:highlight w:val="none"/>
        </w:rPr>
      </w:pPr>
      <w:r>
        <w:rPr>
          <w:rStyle w:val="116"/>
          <w:sz w:val="24"/>
          <w:highlight w:val="none"/>
        </w:rPr>
        <w:t xml:space="preserve">                    </w:t>
      </w:r>
    </w:p>
    <w:p>
      <w:pPr>
        <w:spacing w:line="360" w:lineRule="auto"/>
        <w:rPr>
          <w:rStyle w:val="116"/>
          <w:sz w:val="24"/>
          <w:highlight w:val="none"/>
        </w:rPr>
      </w:pPr>
    </w:p>
    <w:p>
      <w:pPr>
        <w:spacing w:line="360" w:lineRule="auto"/>
        <w:rPr>
          <w:rStyle w:val="116"/>
          <w:sz w:val="24"/>
          <w:highlight w:val="none"/>
        </w:rPr>
      </w:pPr>
      <w:r>
        <w:rPr>
          <w:rStyle w:val="116"/>
          <w:sz w:val="24"/>
          <w:highlight w:val="none"/>
        </w:rPr>
        <w:t xml:space="preserve">      </w:t>
      </w:r>
    </w:p>
    <w:p>
      <w:pPr>
        <w:spacing w:line="360" w:lineRule="auto"/>
        <w:ind w:firstLine="3840" w:firstLineChars="1600"/>
        <w:jc w:val="left"/>
        <w:rPr>
          <w:rStyle w:val="116"/>
          <w:sz w:val="24"/>
          <w:highlight w:val="none"/>
        </w:rPr>
      </w:pPr>
      <w:r>
        <w:rPr>
          <w:rStyle w:val="116"/>
          <w:sz w:val="24"/>
          <w:highlight w:val="none"/>
        </w:rPr>
        <w:t>发布人：河南招标采购服务有限公司</w:t>
      </w:r>
    </w:p>
    <w:p>
      <w:pPr>
        <w:rPr>
          <w:rFonts w:ascii="宋体" w:hAnsi="宋体" w:cs="宋体"/>
          <w:color w:val="auto"/>
          <w:highlight w:val="none"/>
        </w:rPr>
      </w:pPr>
      <w:r>
        <w:rPr>
          <w:rStyle w:val="116"/>
          <w:sz w:val="24"/>
          <w:highlight w:val="none"/>
        </w:rPr>
        <w:t xml:space="preserve">                                日  期：</w:t>
      </w:r>
      <w:r>
        <w:rPr>
          <w:rStyle w:val="116"/>
          <w:sz w:val="24"/>
          <w:highlight w:val="none"/>
        </w:rPr>
        <w:t>2020年</w:t>
      </w:r>
      <w:r>
        <w:rPr>
          <w:rStyle w:val="116"/>
          <w:rFonts w:hint="eastAsia"/>
          <w:sz w:val="24"/>
          <w:highlight w:val="none"/>
          <w:lang w:val="en-US" w:eastAsia="zh-CN"/>
        </w:rPr>
        <w:t>7</w:t>
      </w:r>
      <w:r>
        <w:rPr>
          <w:rStyle w:val="116"/>
          <w:sz w:val="24"/>
          <w:highlight w:val="none"/>
        </w:rPr>
        <w:t>月</w:t>
      </w:r>
      <w:r>
        <w:rPr>
          <w:rStyle w:val="116"/>
          <w:rFonts w:hint="eastAsia"/>
          <w:sz w:val="24"/>
          <w:highlight w:val="none"/>
          <w:lang w:val="en-US" w:eastAsia="zh-CN"/>
        </w:rPr>
        <w:t>21</w:t>
      </w:r>
      <w:r>
        <w:rPr>
          <w:rStyle w:val="116"/>
          <w:sz w:val="24"/>
          <w:highlight w:val="none"/>
        </w:rPr>
        <w:t>日</w:t>
      </w:r>
    </w:p>
    <w:bookmarkEnd w:id="16"/>
    <w:bookmarkEnd w:id="17"/>
    <w:bookmarkEnd w:id="18"/>
    <w:bookmarkEnd w:id="19"/>
    <w:bookmarkEnd w:id="20"/>
    <w:bookmarkEnd w:id="21"/>
    <w:bookmarkEnd w:id="22"/>
    <w:bookmarkEnd w:id="23"/>
    <w:bookmarkEnd w:id="24"/>
    <w:bookmarkEnd w:id="25"/>
    <w:p>
      <w:pPr>
        <w:pStyle w:val="4"/>
        <w:numPr>
          <w:ilvl w:val="0"/>
          <w:numId w:val="0"/>
        </w:numPr>
        <w:jc w:val="center"/>
        <w:rPr>
          <w:rFonts w:ascii="宋体" w:hAnsi="宋体" w:cs="宋体"/>
          <w:color w:val="auto"/>
          <w:highlight w:val="none"/>
        </w:rPr>
      </w:pPr>
      <w:bookmarkStart w:id="75" w:name="_Toc8438"/>
      <w:bookmarkStart w:id="76" w:name="_Toc430879611"/>
      <w:r>
        <w:rPr>
          <w:rFonts w:hint="eastAsia" w:ascii="宋体" w:hAnsi="宋体" w:cs="宋体"/>
          <w:color w:val="auto"/>
          <w:highlight w:val="none"/>
        </w:rPr>
        <w:br w:type="page"/>
      </w:r>
      <w:bookmarkStart w:id="77" w:name="_Toc23587"/>
      <w:bookmarkStart w:id="78" w:name="_Toc28532"/>
      <w:bookmarkStart w:id="79" w:name="_Toc12312"/>
      <w:bookmarkStart w:id="80" w:name="_Toc16204"/>
      <w:r>
        <w:rPr>
          <w:rFonts w:hint="eastAsia" w:ascii="宋体" w:hAnsi="宋体" w:cs="宋体"/>
          <w:color w:val="auto"/>
          <w:highlight w:val="none"/>
        </w:rPr>
        <w:t>第二章  供应商须知</w:t>
      </w:r>
      <w:bookmarkEnd w:id="26"/>
      <w:bookmarkEnd w:id="27"/>
      <w:bookmarkEnd w:id="28"/>
      <w:bookmarkEnd w:id="29"/>
      <w:bookmarkEnd w:id="30"/>
      <w:bookmarkEnd w:id="31"/>
      <w:bookmarkEnd w:id="32"/>
      <w:bookmarkEnd w:id="33"/>
      <w:bookmarkEnd w:id="34"/>
      <w:bookmarkEnd w:id="35"/>
      <w:bookmarkEnd w:id="75"/>
      <w:bookmarkEnd w:id="76"/>
      <w:bookmarkEnd w:id="77"/>
      <w:bookmarkEnd w:id="78"/>
      <w:bookmarkEnd w:id="79"/>
      <w:bookmarkEnd w:id="80"/>
    </w:p>
    <w:p>
      <w:pPr>
        <w:spacing w:line="360" w:lineRule="auto"/>
        <w:jc w:val="center"/>
        <w:rPr>
          <w:rFonts w:ascii="宋体" w:hAnsi="宋体" w:cs="宋体"/>
          <w:b/>
          <w:color w:val="auto"/>
          <w:sz w:val="30"/>
          <w:szCs w:val="30"/>
          <w:highlight w:val="none"/>
        </w:rPr>
      </w:pPr>
      <w:bookmarkStart w:id="81" w:name="_Toc192990003"/>
      <w:bookmarkStart w:id="82" w:name="_Toc200960067"/>
      <w:bookmarkStart w:id="83" w:name="_Toc192992679"/>
      <w:bookmarkStart w:id="84" w:name="_Toc192643562"/>
      <w:bookmarkStart w:id="85" w:name="_Toc193083541"/>
      <w:bookmarkStart w:id="86" w:name="_Toc192944665"/>
      <w:bookmarkStart w:id="87" w:name="_Toc192478079"/>
      <w:bookmarkStart w:id="88" w:name="_Toc192991248"/>
      <w:bookmarkStart w:id="89" w:name="_Toc160359567"/>
      <w:r>
        <w:rPr>
          <w:rFonts w:hint="eastAsia" w:ascii="宋体" w:hAnsi="宋体" w:cs="宋体"/>
          <w:b/>
          <w:color w:val="auto"/>
          <w:sz w:val="30"/>
          <w:szCs w:val="30"/>
          <w:highlight w:val="none"/>
          <w:lang w:val="en-US" w:eastAsia="zh-CN"/>
        </w:rPr>
        <w:t>供应商须知</w:t>
      </w:r>
      <w:r>
        <w:rPr>
          <w:rFonts w:hint="eastAsia" w:ascii="宋体" w:hAnsi="宋体" w:cs="宋体"/>
          <w:b/>
          <w:color w:val="auto"/>
          <w:sz w:val="30"/>
          <w:szCs w:val="30"/>
          <w:highlight w:val="none"/>
        </w:rPr>
        <w:t>前附表</w:t>
      </w:r>
      <w:bookmarkEnd w:id="81"/>
      <w:bookmarkEnd w:id="82"/>
      <w:bookmarkEnd w:id="83"/>
      <w:bookmarkEnd w:id="84"/>
      <w:bookmarkEnd w:id="85"/>
      <w:bookmarkEnd w:id="86"/>
      <w:bookmarkEnd w:id="87"/>
      <w:bookmarkEnd w:id="88"/>
      <w:bookmarkEnd w:id="89"/>
    </w:p>
    <w:tbl>
      <w:tblPr>
        <w:tblStyle w:val="31"/>
        <w:tblW w:w="904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595"/>
        <w:gridCol w:w="1418"/>
        <w:gridCol w:w="703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3" w:hRule="atLeast"/>
          <w:jc w:val="center"/>
        </w:trPr>
        <w:tc>
          <w:tcPr>
            <w:tcW w:w="595" w:type="dxa"/>
            <w:tcBorders>
              <w:top w:val="single" w:color="auto" w:sz="12" w:space="0"/>
            </w:tcBorders>
            <w:vAlign w:val="center"/>
          </w:tcPr>
          <w:p>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序号</w:t>
            </w:r>
          </w:p>
        </w:tc>
        <w:tc>
          <w:tcPr>
            <w:tcW w:w="1418" w:type="dxa"/>
            <w:tcBorders>
              <w:top w:val="single" w:color="auto" w:sz="12" w:space="0"/>
            </w:tcBorders>
            <w:vAlign w:val="center"/>
          </w:tcPr>
          <w:p>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内容</w:t>
            </w:r>
          </w:p>
        </w:tc>
        <w:tc>
          <w:tcPr>
            <w:tcW w:w="7031" w:type="dxa"/>
            <w:tcBorders>
              <w:top w:val="single" w:color="auto" w:sz="12" w:space="0"/>
            </w:tcBorders>
            <w:vAlign w:val="center"/>
          </w:tcPr>
          <w:p>
            <w:pPr>
              <w:spacing w:line="360" w:lineRule="auto"/>
              <w:jc w:val="center"/>
              <w:rPr>
                <w:rFonts w:ascii="宋体" w:hAnsi="宋体" w:cs="宋体"/>
                <w:b/>
                <w:color w:val="auto"/>
                <w:sz w:val="24"/>
                <w:szCs w:val="24"/>
                <w:highlight w:val="none"/>
              </w:rPr>
            </w:pPr>
            <w:r>
              <w:rPr>
                <w:rFonts w:hint="eastAsia" w:ascii="宋体" w:hAnsi="宋体" w:cs="宋体"/>
                <w:b/>
                <w:color w:val="auto"/>
                <w:sz w:val="24"/>
                <w:szCs w:val="24"/>
                <w:highlight w:val="none"/>
              </w:rPr>
              <w:t>说明与要求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3" w:hRule="atLeast"/>
          <w:jc w:val="center"/>
        </w:trPr>
        <w:tc>
          <w:tcPr>
            <w:tcW w:w="595" w:type="dxa"/>
            <w:tcBorders>
              <w:top w:val="single" w:color="auto" w:sz="12" w:space="0"/>
            </w:tcBorders>
            <w:vAlign w:val="center"/>
          </w:tcPr>
          <w:p>
            <w:pPr>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1</w:t>
            </w:r>
          </w:p>
        </w:tc>
        <w:tc>
          <w:tcPr>
            <w:tcW w:w="1418" w:type="dxa"/>
            <w:tcBorders>
              <w:top w:val="single" w:color="auto" w:sz="12" w:space="0"/>
            </w:tcBorders>
            <w:vAlign w:val="center"/>
          </w:tcPr>
          <w:p>
            <w:pPr>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采购人</w:t>
            </w:r>
          </w:p>
        </w:tc>
        <w:tc>
          <w:tcPr>
            <w:tcW w:w="7031" w:type="dxa"/>
            <w:tcBorders>
              <w:top w:val="single" w:color="auto" w:sz="12" w:space="0"/>
            </w:tcBorders>
            <w:vAlign w:val="center"/>
          </w:tcPr>
          <w:p>
            <w:pPr>
              <w:spacing w:line="360" w:lineRule="auto"/>
              <w:ind w:firstLine="480" w:firstLineChars="200"/>
              <w:rPr>
                <w:rStyle w:val="116"/>
                <w:bCs/>
                <w:iCs/>
                <w:sz w:val="24"/>
                <w:highlight w:val="none"/>
              </w:rPr>
            </w:pPr>
            <w:r>
              <w:rPr>
                <w:rStyle w:val="116"/>
                <w:bCs/>
                <w:sz w:val="24"/>
                <w:highlight w:val="none"/>
              </w:rPr>
              <w:t>采购人：</w:t>
            </w:r>
            <w:r>
              <w:rPr>
                <w:rFonts w:hint="eastAsia" w:asciiTheme="minorEastAsia" w:hAnsiTheme="minorEastAsia" w:eastAsiaTheme="minorEastAsia" w:cstheme="minorEastAsia"/>
                <w:color w:val="auto"/>
                <w:sz w:val="24"/>
                <w:highlight w:val="none"/>
              </w:rPr>
              <w:t>河南省新闻出版学校</w:t>
            </w:r>
          </w:p>
          <w:p>
            <w:pPr>
              <w:spacing w:line="360" w:lineRule="auto"/>
              <w:ind w:firstLine="480" w:firstLineChars="200"/>
              <w:rPr>
                <w:rStyle w:val="116"/>
                <w:bCs/>
                <w:sz w:val="24"/>
                <w:highlight w:val="none"/>
              </w:rPr>
            </w:pPr>
            <w:r>
              <w:rPr>
                <w:rStyle w:val="116"/>
                <w:bCs/>
                <w:sz w:val="24"/>
                <w:highlight w:val="none"/>
              </w:rPr>
              <w:t>地址：</w:t>
            </w:r>
            <w:r>
              <w:rPr>
                <w:rFonts w:hint="eastAsia" w:asciiTheme="minorEastAsia" w:hAnsiTheme="minorEastAsia" w:eastAsiaTheme="minorEastAsia" w:cstheme="minorEastAsia"/>
                <w:color w:val="auto"/>
                <w:sz w:val="24"/>
                <w:highlight w:val="none"/>
              </w:rPr>
              <w:t>郑州市惠济区清华园路</w:t>
            </w:r>
            <w:r>
              <w:rPr>
                <w:rFonts w:hint="eastAsia" w:asciiTheme="minorEastAsia" w:hAnsiTheme="minorEastAsia" w:eastAsiaTheme="minorEastAsia" w:cstheme="minorEastAsia"/>
                <w:color w:val="auto"/>
                <w:sz w:val="24"/>
                <w:highlight w:val="none"/>
                <w:lang w:val="en-US" w:eastAsia="zh-CN"/>
              </w:rPr>
              <w:t>28</w:t>
            </w:r>
            <w:r>
              <w:rPr>
                <w:rFonts w:hint="eastAsia" w:asciiTheme="minorEastAsia" w:hAnsiTheme="minorEastAsia" w:eastAsiaTheme="minorEastAsia" w:cstheme="minorEastAsia"/>
                <w:color w:val="auto"/>
                <w:sz w:val="24"/>
                <w:highlight w:val="none"/>
              </w:rPr>
              <w:t>号</w:t>
            </w:r>
          </w:p>
          <w:p>
            <w:pPr>
              <w:spacing w:line="360" w:lineRule="auto"/>
              <w:ind w:firstLine="480" w:firstLineChars="200"/>
              <w:rPr>
                <w:rStyle w:val="116"/>
                <w:bCs/>
                <w:sz w:val="24"/>
                <w:highlight w:val="none"/>
              </w:rPr>
            </w:pPr>
            <w:r>
              <w:rPr>
                <w:rStyle w:val="116"/>
                <w:bCs/>
                <w:sz w:val="24"/>
                <w:highlight w:val="none"/>
              </w:rPr>
              <w:t>联系人：</w:t>
            </w:r>
            <w:r>
              <w:rPr>
                <w:rFonts w:hint="eastAsia" w:asciiTheme="minorEastAsia" w:hAnsiTheme="minorEastAsia" w:eastAsiaTheme="minorEastAsia" w:cstheme="minorEastAsia"/>
                <w:color w:val="auto"/>
                <w:sz w:val="24"/>
                <w:highlight w:val="none"/>
                <w:lang w:eastAsia="zh-CN"/>
              </w:rPr>
              <w:t>赵</w:t>
            </w:r>
            <w:r>
              <w:rPr>
                <w:rFonts w:hint="eastAsia" w:asciiTheme="minorEastAsia" w:hAnsiTheme="minorEastAsia" w:eastAsiaTheme="minorEastAsia" w:cstheme="minorEastAsia"/>
                <w:color w:val="auto"/>
                <w:sz w:val="24"/>
                <w:highlight w:val="none"/>
              </w:rPr>
              <w:t>老师</w:t>
            </w:r>
            <w:r>
              <w:rPr>
                <w:rStyle w:val="116"/>
                <w:bCs/>
                <w:sz w:val="24"/>
                <w:highlight w:val="none"/>
              </w:rPr>
              <w:t xml:space="preserve">          </w:t>
            </w:r>
          </w:p>
          <w:p>
            <w:pPr>
              <w:spacing w:line="360" w:lineRule="auto"/>
              <w:ind w:firstLine="480" w:firstLineChars="200"/>
              <w:jc w:val="both"/>
              <w:rPr>
                <w:rFonts w:hint="eastAsia" w:ascii="宋体" w:hAnsi="宋体" w:cs="宋体"/>
                <w:b/>
                <w:color w:val="auto"/>
                <w:sz w:val="24"/>
                <w:szCs w:val="24"/>
                <w:highlight w:val="none"/>
              </w:rPr>
            </w:pPr>
            <w:r>
              <w:rPr>
                <w:rStyle w:val="116"/>
                <w:bCs/>
                <w:sz w:val="24"/>
                <w:highlight w:val="none"/>
              </w:rPr>
              <w:t>联系电话：</w:t>
            </w:r>
            <w:r>
              <w:rPr>
                <w:rFonts w:hint="eastAsia" w:asciiTheme="minorEastAsia" w:hAnsiTheme="minorEastAsia" w:eastAsiaTheme="minorEastAsia" w:cstheme="minorEastAsia"/>
                <w:color w:val="auto"/>
                <w:sz w:val="24"/>
                <w:highlight w:val="none"/>
              </w:rPr>
              <w:t>0371-63587915</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3" w:hRule="atLeast"/>
          <w:jc w:val="center"/>
        </w:trPr>
        <w:tc>
          <w:tcPr>
            <w:tcW w:w="595" w:type="dxa"/>
            <w:tcBorders>
              <w:top w:val="single" w:color="auto" w:sz="12" w:space="0"/>
            </w:tcBorders>
            <w:vAlign w:val="center"/>
          </w:tcPr>
          <w:p>
            <w:pPr>
              <w:spacing w:line="360" w:lineRule="auto"/>
              <w:jc w:val="center"/>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2</w:t>
            </w:r>
          </w:p>
        </w:tc>
        <w:tc>
          <w:tcPr>
            <w:tcW w:w="1418" w:type="dxa"/>
            <w:tcBorders>
              <w:top w:val="single" w:color="auto" w:sz="12" w:space="0"/>
            </w:tcBorders>
            <w:vAlign w:val="center"/>
          </w:tcPr>
          <w:p>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采购代理机构</w:t>
            </w:r>
          </w:p>
        </w:tc>
        <w:tc>
          <w:tcPr>
            <w:tcW w:w="7031" w:type="dxa"/>
            <w:tcBorders>
              <w:top w:val="single" w:color="auto" w:sz="12" w:space="0"/>
            </w:tcBorders>
            <w:vAlign w:val="center"/>
          </w:tcPr>
          <w:p>
            <w:pPr>
              <w:spacing w:line="360" w:lineRule="auto"/>
              <w:ind w:firstLine="480" w:firstLineChars="200"/>
              <w:rPr>
                <w:rStyle w:val="116"/>
                <w:sz w:val="24"/>
                <w:highlight w:val="none"/>
              </w:rPr>
            </w:pPr>
            <w:r>
              <w:rPr>
                <w:rStyle w:val="116"/>
                <w:sz w:val="24"/>
                <w:highlight w:val="none"/>
              </w:rPr>
              <w:t>代理机构：河南招标采购服务有限公司</w:t>
            </w:r>
          </w:p>
          <w:p>
            <w:pPr>
              <w:spacing w:line="360" w:lineRule="auto"/>
              <w:ind w:firstLine="480" w:firstLineChars="200"/>
              <w:rPr>
                <w:rStyle w:val="116"/>
                <w:sz w:val="24"/>
                <w:highlight w:val="none"/>
              </w:rPr>
            </w:pPr>
            <w:r>
              <w:rPr>
                <w:rStyle w:val="116"/>
                <w:sz w:val="24"/>
                <w:highlight w:val="none"/>
              </w:rPr>
              <w:t>联系地址：郑州市纬四路13号（花园路与纬四路交叉口东50米路北）</w:t>
            </w:r>
          </w:p>
          <w:p>
            <w:pPr>
              <w:spacing w:line="360" w:lineRule="auto"/>
              <w:ind w:firstLine="480" w:firstLineChars="200"/>
              <w:rPr>
                <w:rStyle w:val="116"/>
                <w:rFonts w:hint="default" w:eastAsia="宋体"/>
                <w:sz w:val="24"/>
                <w:highlight w:val="none"/>
                <w:lang w:val="en-US" w:eastAsia="zh-CN"/>
              </w:rPr>
            </w:pPr>
            <w:r>
              <w:rPr>
                <w:rStyle w:val="116"/>
                <w:sz w:val="24"/>
                <w:highlight w:val="none"/>
              </w:rPr>
              <w:t>项目联系人：闫先生</w:t>
            </w:r>
            <w:r>
              <w:rPr>
                <w:rStyle w:val="116"/>
                <w:rFonts w:hint="eastAsia"/>
                <w:sz w:val="24"/>
                <w:highlight w:val="none"/>
                <w:lang w:eastAsia="zh-CN"/>
              </w:rPr>
              <w:t>、</w:t>
            </w:r>
            <w:r>
              <w:rPr>
                <w:rStyle w:val="116"/>
                <w:rFonts w:hint="eastAsia"/>
                <w:sz w:val="24"/>
                <w:highlight w:val="none"/>
                <w:lang w:val="en-US" w:eastAsia="zh-CN"/>
              </w:rPr>
              <w:t>刘先生</w:t>
            </w:r>
          </w:p>
          <w:p>
            <w:pPr>
              <w:spacing w:line="360" w:lineRule="auto"/>
              <w:ind w:firstLine="480" w:firstLineChars="200"/>
              <w:jc w:val="both"/>
              <w:rPr>
                <w:rFonts w:hint="eastAsia" w:ascii="宋体" w:hAnsi="宋体" w:cs="宋体"/>
                <w:b/>
                <w:color w:val="auto"/>
                <w:sz w:val="24"/>
                <w:szCs w:val="24"/>
                <w:highlight w:val="none"/>
              </w:rPr>
            </w:pPr>
            <w:r>
              <w:rPr>
                <w:rStyle w:val="116"/>
                <w:sz w:val="24"/>
                <w:highlight w:val="none"/>
              </w:rPr>
              <w:t>联系电话：0371-6117 5296</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78" w:hRule="atLeast"/>
          <w:jc w:val="center"/>
        </w:trPr>
        <w:tc>
          <w:tcPr>
            <w:tcW w:w="595" w:type="dxa"/>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3</w:t>
            </w:r>
          </w:p>
        </w:tc>
        <w:tc>
          <w:tcPr>
            <w:tcW w:w="1418" w:type="dxa"/>
            <w:vAlign w:val="center"/>
          </w:tcPr>
          <w:p>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项目名称</w:t>
            </w:r>
          </w:p>
        </w:tc>
        <w:tc>
          <w:tcPr>
            <w:tcW w:w="7031" w:type="dxa"/>
            <w:vAlign w:val="center"/>
          </w:tcPr>
          <w:p>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河南省新闻出版学校2020-2021学年教材采购项目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4" w:hRule="atLeast"/>
          <w:jc w:val="center"/>
        </w:trPr>
        <w:tc>
          <w:tcPr>
            <w:tcW w:w="595" w:type="dxa"/>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4</w:t>
            </w:r>
          </w:p>
        </w:tc>
        <w:tc>
          <w:tcPr>
            <w:tcW w:w="1418" w:type="dxa"/>
            <w:vAlign w:val="center"/>
          </w:tcPr>
          <w:p>
            <w:pPr>
              <w:spacing w:line="360" w:lineRule="auto"/>
              <w:jc w:val="center"/>
              <w:rPr>
                <w:rFonts w:ascii="宋体" w:hAnsi="宋体" w:cs="宋体"/>
                <w:b/>
                <w:color w:val="auto"/>
                <w:sz w:val="24"/>
                <w:szCs w:val="24"/>
                <w:highlight w:val="none"/>
              </w:rPr>
            </w:pPr>
            <w:r>
              <w:rPr>
                <w:rFonts w:hint="eastAsia" w:ascii="宋体" w:hAnsi="宋体" w:cs="宋体"/>
                <w:color w:val="auto"/>
                <w:sz w:val="24"/>
                <w:szCs w:val="24"/>
                <w:highlight w:val="none"/>
              </w:rPr>
              <w:t>项目编号</w:t>
            </w:r>
          </w:p>
        </w:tc>
        <w:tc>
          <w:tcPr>
            <w:tcW w:w="7031" w:type="dxa"/>
            <w:vAlign w:val="center"/>
          </w:tcPr>
          <w:p>
            <w:pPr>
              <w:spacing w:line="360" w:lineRule="auto"/>
              <w:ind w:firstLine="240" w:firstLineChars="100"/>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豫财招标采购-2020-733</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4" w:hRule="atLeast"/>
          <w:jc w:val="center"/>
        </w:trPr>
        <w:tc>
          <w:tcPr>
            <w:tcW w:w="595" w:type="dxa"/>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5</w:t>
            </w:r>
          </w:p>
        </w:tc>
        <w:tc>
          <w:tcPr>
            <w:tcW w:w="1418" w:type="dxa"/>
            <w:vAlign w:val="center"/>
          </w:tcPr>
          <w:p>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采购内容</w:t>
            </w:r>
          </w:p>
        </w:tc>
        <w:tc>
          <w:tcPr>
            <w:tcW w:w="7031" w:type="dxa"/>
            <w:vAlign w:val="center"/>
          </w:tcPr>
          <w:p>
            <w:pPr>
              <w:spacing w:line="336" w:lineRule="auto"/>
              <w:ind w:firstLine="240" w:firstLineChars="100"/>
              <w:rPr>
                <w:rFonts w:ascii="宋体" w:hAnsi="宋体" w:cs="宋体"/>
                <w:color w:val="auto"/>
                <w:sz w:val="24"/>
                <w:highlight w:val="none"/>
              </w:rPr>
            </w:pPr>
            <w:r>
              <w:rPr>
                <w:rStyle w:val="116"/>
                <w:rFonts w:hint="eastAsia"/>
                <w:bCs/>
                <w:iCs/>
                <w:sz w:val="24"/>
                <w:szCs w:val="22"/>
                <w:highlight w:val="none"/>
              </w:rPr>
              <w:t>本次采购内容为2020-2021学年教材，具体详见采购需求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84" w:hRule="atLeast"/>
          <w:jc w:val="center"/>
        </w:trPr>
        <w:tc>
          <w:tcPr>
            <w:tcW w:w="595" w:type="dxa"/>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6</w:t>
            </w:r>
          </w:p>
        </w:tc>
        <w:tc>
          <w:tcPr>
            <w:tcW w:w="1418" w:type="dxa"/>
            <w:vAlign w:val="center"/>
          </w:tcPr>
          <w:p>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标段划分</w:t>
            </w:r>
          </w:p>
        </w:tc>
        <w:tc>
          <w:tcPr>
            <w:tcW w:w="7031" w:type="dxa"/>
            <w:vAlign w:val="center"/>
          </w:tcPr>
          <w:p>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本次</w:t>
            </w:r>
            <w:r>
              <w:rPr>
                <w:rFonts w:hint="eastAsia" w:ascii="宋体" w:hAnsi="宋体" w:cs="宋体"/>
                <w:color w:val="auto"/>
                <w:sz w:val="24"/>
                <w:highlight w:val="none"/>
                <w:lang w:val="en-US" w:eastAsia="zh-CN"/>
              </w:rPr>
              <w:t>项目</w:t>
            </w:r>
            <w:r>
              <w:rPr>
                <w:rFonts w:hint="eastAsia" w:ascii="宋体" w:hAnsi="宋体" w:cs="宋体"/>
                <w:color w:val="auto"/>
                <w:sz w:val="24"/>
                <w:highlight w:val="none"/>
              </w:rPr>
              <w:t>为一个标段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0" w:hRule="atLeast"/>
          <w:jc w:val="center"/>
        </w:trPr>
        <w:tc>
          <w:tcPr>
            <w:tcW w:w="595" w:type="dxa"/>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7</w:t>
            </w:r>
          </w:p>
        </w:tc>
        <w:tc>
          <w:tcPr>
            <w:tcW w:w="1418" w:type="dxa"/>
            <w:vAlign w:val="center"/>
          </w:tcPr>
          <w:p>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资金来源</w:t>
            </w:r>
          </w:p>
        </w:tc>
        <w:tc>
          <w:tcPr>
            <w:tcW w:w="7031" w:type="dxa"/>
            <w:vAlign w:val="center"/>
          </w:tcPr>
          <w:p>
            <w:pPr>
              <w:spacing w:line="360" w:lineRule="auto"/>
              <w:ind w:firstLine="240" w:firstLineChars="100"/>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代</w:t>
            </w:r>
            <w:r>
              <w:rPr>
                <w:rFonts w:hint="eastAsia" w:ascii="宋体" w:hAnsi="宋体" w:cs="宋体"/>
                <w:color w:val="auto"/>
                <w:sz w:val="24"/>
                <w:highlight w:val="none"/>
                <w:lang w:eastAsia="zh-CN"/>
              </w:rPr>
              <w:t>收教材款</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0" w:hRule="atLeast"/>
          <w:jc w:val="center"/>
        </w:trPr>
        <w:tc>
          <w:tcPr>
            <w:tcW w:w="595" w:type="dxa"/>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8</w:t>
            </w:r>
          </w:p>
        </w:tc>
        <w:tc>
          <w:tcPr>
            <w:tcW w:w="1418" w:type="dxa"/>
            <w:vAlign w:val="center"/>
          </w:tcPr>
          <w:p>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预算金额</w:t>
            </w:r>
          </w:p>
        </w:tc>
        <w:tc>
          <w:tcPr>
            <w:tcW w:w="7031" w:type="dxa"/>
            <w:vAlign w:val="center"/>
          </w:tcPr>
          <w:p>
            <w:pPr>
              <w:pStyle w:val="20"/>
              <w:spacing w:line="360" w:lineRule="auto"/>
              <w:ind w:right="240" w:firstLine="241" w:firstLineChars="100"/>
              <w:rPr>
                <w:rFonts w:hAnsi="宋体" w:cs="宋体"/>
                <w:color w:val="auto"/>
                <w:sz w:val="24"/>
                <w:szCs w:val="24"/>
                <w:highlight w:val="none"/>
              </w:rPr>
            </w:pPr>
            <w:r>
              <w:rPr>
                <w:rFonts w:hint="eastAsia" w:hAnsi="宋体" w:cs="宋体"/>
                <w:b/>
                <w:bCs/>
                <w:color w:val="auto"/>
                <w:sz w:val="24"/>
                <w:szCs w:val="24"/>
                <w:highlight w:val="none"/>
              </w:rPr>
              <w:t>本项目采购预算为</w:t>
            </w:r>
            <w:r>
              <w:rPr>
                <w:rFonts w:hint="eastAsia" w:hAnsi="宋体" w:cs="宋体"/>
                <w:b/>
                <w:bCs/>
                <w:color w:val="auto"/>
                <w:sz w:val="24"/>
                <w:szCs w:val="24"/>
                <w:highlight w:val="none"/>
                <w:lang w:val="en-US" w:eastAsia="zh-CN"/>
              </w:rPr>
              <w:t>184</w:t>
            </w:r>
            <w:r>
              <w:rPr>
                <w:rFonts w:hint="eastAsia" w:hAnsi="宋体" w:cs="宋体"/>
                <w:b/>
                <w:bCs/>
                <w:color w:val="auto"/>
                <w:sz w:val="24"/>
                <w:szCs w:val="24"/>
                <w:highlight w:val="none"/>
              </w:rPr>
              <w:t>万元，本次</w:t>
            </w:r>
            <w:r>
              <w:rPr>
                <w:rFonts w:hint="eastAsia" w:hAnsi="宋体" w:cs="宋体"/>
                <w:b/>
                <w:bCs/>
                <w:color w:val="auto"/>
                <w:sz w:val="24"/>
                <w:szCs w:val="24"/>
                <w:highlight w:val="none"/>
                <w:lang w:val="en-US" w:eastAsia="zh-CN"/>
              </w:rPr>
              <w:t>采购</w:t>
            </w:r>
            <w:r>
              <w:rPr>
                <w:rFonts w:hint="eastAsia" w:hAnsi="宋体" w:cs="宋体"/>
                <w:b/>
                <w:bCs/>
                <w:color w:val="auto"/>
                <w:sz w:val="24"/>
                <w:szCs w:val="24"/>
                <w:highlight w:val="none"/>
              </w:rPr>
              <w:t>控制上限</w:t>
            </w:r>
            <w:r>
              <w:rPr>
                <w:rFonts w:hint="eastAsia" w:hAnsi="宋体" w:cs="宋体"/>
                <w:b/>
                <w:bCs/>
                <w:color w:val="auto"/>
                <w:sz w:val="24"/>
                <w:szCs w:val="24"/>
                <w:highlight w:val="none"/>
                <w:lang w:val="en-US" w:eastAsia="zh-CN"/>
              </w:rPr>
              <w:t>综合</w:t>
            </w:r>
            <w:r>
              <w:rPr>
                <w:rFonts w:hint="eastAsia" w:hAnsi="宋体" w:cs="宋体"/>
                <w:b/>
                <w:bCs/>
                <w:color w:val="auto"/>
                <w:sz w:val="24"/>
                <w:szCs w:val="24"/>
                <w:highlight w:val="none"/>
              </w:rPr>
              <w:t>折扣率为100%，超过此上限的均为无效响应文件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0" w:hRule="atLeast"/>
          <w:jc w:val="center"/>
        </w:trPr>
        <w:tc>
          <w:tcPr>
            <w:tcW w:w="595" w:type="dxa"/>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9</w:t>
            </w:r>
          </w:p>
        </w:tc>
        <w:tc>
          <w:tcPr>
            <w:tcW w:w="1418" w:type="dxa"/>
            <w:vAlign w:val="center"/>
          </w:tcPr>
          <w:p>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质量</w:t>
            </w:r>
            <w:r>
              <w:rPr>
                <w:rFonts w:hint="eastAsia" w:ascii="宋体" w:hAnsi="宋体" w:cs="宋体"/>
                <w:color w:val="auto"/>
                <w:sz w:val="24"/>
                <w:szCs w:val="24"/>
                <w:highlight w:val="none"/>
                <w:lang w:val="en-US" w:eastAsia="zh-CN"/>
              </w:rPr>
              <w:t>要求</w:t>
            </w:r>
          </w:p>
        </w:tc>
        <w:tc>
          <w:tcPr>
            <w:tcW w:w="7031" w:type="dxa"/>
            <w:vAlign w:val="center"/>
          </w:tcPr>
          <w:p>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符合采购人技术要求</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0" w:hRule="atLeast"/>
          <w:jc w:val="center"/>
        </w:trPr>
        <w:tc>
          <w:tcPr>
            <w:tcW w:w="595" w:type="dxa"/>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1418" w:type="dxa"/>
            <w:vAlign w:val="center"/>
          </w:tcPr>
          <w:p>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交货期</w:t>
            </w:r>
          </w:p>
        </w:tc>
        <w:tc>
          <w:tcPr>
            <w:tcW w:w="7031" w:type="dxa"/>
            <w:vAlign w:val="center"/>
          </w:tcPr>
          <w:p>
            <w:pPr>
              <w:spacing w:line="360" w:lineRule="auto"/>
              <w:ind w:firstLine="240" w:firstLineChars="100"/>
              <w:rPr>
                <w:rFonts w:ascii="宋体" w:hAnsi="宋体" w:cs="宋体"/>
                <w:color w:val="auto"/>
                <w:sz w:val="24"/>
                <w:highlight w:val="none"/>
              </w:rPr>
            </w:pPr>
            <w:r>
              <w:rPr>
                <w:rFonts w:hint="eastAsia" w:ascii="宋体" w:hAnsi="宋体" w:cs="宋体"/>
                <w:color w:val="auto"/>
                <w:sz w:val="24"/>
                <w:highlight w:val="none"/>
              </w:rPr>
              <w:t>合同生效后</w:t>
            </w:r>
            <w:r>
              <w:rPr>
                <w:rFonts w:hint="eastAsia" w:ascii="宋体" w:hAnsi="宋体" w:cs="宋体"/>
                <w:color w:val="auto"/>
                <w:sz w:val="24"/>
                <w:highlight w:val="none"/>
                <w:lang w:val="en-US" w:eastAsia="zh-CN"/>
              </w:rPr>
              <w:t>10</w:t>
            </w:r>
            <w:r>
              <w:rPr>
                <w:rFonts w:hint="eastAsia" w:ascii="宋体" w:hAnsi="宋体" w:cs="宋体"/>
                <w:color w:val="auto"/>
                <w:sz w:val="24"/>
                <w:highlight w:val="none"/>
              </w:rPr>
              <w:t>日历天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0" w:hRule="atLeast"/>
          <w:jc w:val="center"/>
        </w:trPr>
        <w:tc>
          <w:tcPr>
            <w:tcW w:w="595" w:type="dxa"/>
            <w:vAlign w:val="center"/>
          </w:tcPr>
          <w:p>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11</w:t>
            </w:r>
          </w:p>
        </w:tc>
        <w:tc>
          <w:tcPr>
            <w:tcW w:w="1418" w:type="dxa"/>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质量保证期</w:t>
            </w:r>
          </w:p>
        </w:tc>
        <w:tc>
          <w:tcPr>
            <w:tcW w:w="7031" w:type="dxa"/>
            <w:vAlign w:val="center"/>
          </w:tcPr>
          <w:p>
            <w:pPr>
              <w:spacing w:line="360" w:lineRule="auto"/>
              <w:ind w:firstLine="240" w:firstLineChars="100"/>
              <w:rPr>
                <w:rFonts w:hint="eastAsia" w:ascii="宋体" w:hAnsi="宋体" w:cs="宋体"/>
                <w:color w:val="auto"/>
                <w:sz w:val="24"/>
                <w:highlight w:val="none"/>
              </w:rPr>
            </w:pPr>
            <w:r>
              <w:rPr>
                <w:rFonts w:hint="eastAsia" w:asciiTheme="minorEastAsia" w:hAnsiTheme="minorEastAsia" w:eastAsiaTheme="minorEastAsia" w:cstheme="minorEastAsia"/>
                <w:color w:val="auto"/>
                <w:sz w:val="24"/>
                <w:highlight w:val="none"/>
                <w:lang w:val="en-US" w:eastAsia="zh-CN"/>
              </w:rPr>
              <w:t>12个月</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0" w:hRule="atLeast"/>
          <w:jc w:val="center"/>
        </w:trPr>
        <w:tc>
          <w:tcPr>
            <w:tcW w:w="595" w:type="dxa"/>
            <w:vAlign w:val="center"/>
          </w:tcPr>
          <w:p>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12</w:t>
            </w:r>
          </w:p>
        </w:tc>
        <w:tc>
          <w:tcPr>
            <w:tcW w:w="1418" w:type="dxa"/>
            <w:vAlign w:val="center"/>
          </w:tcPr>
          <w:p>
            <w:pPr>
              <w:spacing w:line="360" w:lineRule="auto"/>
              <w:jc w:val="center"/>
              <w:rPr>
                <w:rFonts w:hint="eastAsia" w:ascii="宋体" w:hAnsi="宋体" w:cs="宋体"/>
                <w:color w:val="auto"/>
                <w:sz w:val="24"/>
                <w:szCs w:val="24"/>
                <w:highlight w:val="none"/>
                <w:lang w:val="en-US" w:eastAsia="zh-CN"/>
              </w:rPr>
            </w:pPr>
            <w:r>
              <w:rPr>
                <w:rFonts w:hint="eastAsia" w:asciiTheme="minorEastAsia" w:hAnsiTheme="minorEastAsia" w:eastAsiaTheme="minorEastAsia" w:cstheme="minorEastAsia"/>
                <w:color w:val="auto"/>
                <w:sz w:val="24"/>
                <w:highlight w:val="none"/>
              </w:rPr>
              <w:t>交货</w:t>
            </w:r>
            <w:r>
              <w:rPr>
                <w:rFonts w:hint="eastAsia" w:asciiTheme="minorEastAsia" w:hAnsiTheme="minorEastAsia" w:eastAsiaTheme="minorEastAsia" w:cstheme="minorEastAsia"/>
                <w:color w:val="auto"/>
                <w:sz w:val="24"/>
                <w:highlight w:val="none"/>
                <w:lang w:eastAsia="zh-CN"/>
              </w:rPr>
              <w:t>地</w:t>
            </w:r>
            <w:r>
              <w:rPr>
                <w:rFonts w:hint="eastAsia" w:asciiTheme="minorEastAsia" w:hAnsiTheme="minorEastAsia" w:eastAsiaTheme="minorEastAsia" w:cstheme="minorEastAsia"/>
                <w:color w:val="auto"/>
                <w:sz w:val="24"/>
                <w:highlight w:val="none"/>
              </w:rPr>
              <w:t>点</w:t>
            </w:r>
          </w:p>
        </w:tc>
        <w:tc>
          <w:tcPr>
            <w:tcW w:w="7031" w:type="dxa"/>
            <w:vAlign w:val="center"/>
          </w:tcPr>
          <w:p>
            <w:pPr>
              <w:spacing w:line="360" w:lineRule="auto"/>
              <w:ind w:firstLine="240" w:firstLineChars="100"/>
              <w:rPr>
                <w:rFonts w:hint="eastAsia" w:asciiTheme="minorEastAsia" w:hAnsiTheme="minorEastAsia" w:eastAsiaTheme="minorEastAsia" w:cstheme="minorEastAsia"/>
                <w:color w:val="auto"/>
                <w:sz w:val="24"/>
                <w:highlight w:val="none"/>
                <w:lang w:val="en-US" w:eastAsia="zh-CN"/>
              </w:rPr>
            </w:pPr>
            <w:r>
              <w:rPr>
                <w:rFonts w:hint="eastAsia"/>
                <w:color w:val="auto"/>
                <w:sz w:val="24"/>
                <w:highlight w:val="none"/>
                <w:shd w:val="clear" w:color="auto" w:fill="FFFFFF"/>
              </w:rPr>
              <w:t>采购人指定地点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90" w:hRule="atLeast"/>
          <w:jc w:val="center"/>
        </w:trPr>
        <w:tc>
          <w:tcPr>
            <w:tcW w:w="595" w:type="dxa"/>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13</w:t>
            </w:r>
          </w:p>
        </w:tc>
        <w:tc>
          <w:tcPr>
            <w:tcW w:w="1418" w:type="dxa"/>
            <w:vAlign w:val="center"/>
          </w:tcPr>
          <w:p>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投标人资格要求</w:t>
            </w:r>
          </w:p>
        </w:tc>
        <w:tc>
          <w:tcPr>
            <w:tcW w:w="7031" w:type="dxa"/>
            <w:vAlign w:val="center"/>
          </w:tcPr>
          <w:p>
            <w:pPr>
              <w:spacing w:line="360" w:lineRule="auto"/>
              <w:ind w:firstLine="480" w:firstLineChars="200"/>
              <w:rPr>
                <w:sz w:val="24"/>
                <w:highlight w:val="none"/>
              </w:rPr>
            </w:pPr>
            <w:r>
              <w:rPr>
                <w:sz w:val="24"/>
                <w:highlight w:val="none"/>
              </w:rPr>
              <w:t>本项目投标人须符合政府采购法第二十二条规定的条件，并具备下列条件：</w:t>
            </w:r>
          </w:p>
          <w:p>
            <w:pPr>
              <w:numPr>
                <w:ilvl w:val="0"/>
                <w:numId w:val="4"/>
              </w:numPr>
              <w:spacing w:line="360" w:lineRule="auto"/>
              <w:ind w:firstLine="420" w:firstLineChars="175"/>
              <w:rPr>
                <w:sz w:val="24"/>
                <w:highlight w:val="none"/>
              </w:rPr>
            </w:pPr>
            <w:r>
              <w:rPr>
                <w:sz w:val="24"/>
                <w:highlight w:val="none"/>
              </w:rPr>
              <w:t>具有独立承担民事责任能力的企（事）业单位，提供营业执照或事业单位法人证书等证明文件；</w:t>
            </w:r>
          </w:p>
          <w:p>
            <w:pPr>
              <w:spacing w:line="360" w:lineRule="auto"/>
              <w:ind w:firstLine="420" w:firstLineChars="175"/>
              <w:rPr>
                <w:sz w:val="24"/>
                <w:highlight w:val="none"/>
              </w:rPr>
            </w:pPr>
            <w:r>
              <w:rPr>
                <w:rFonts w:hint="eastAsia"/>
                <w:sz w:val="24"/>
                <w:highlight w:val="none"/>
                <w:lang w:val="en-US" w:eastAsia="zh-CN"/>
              </w:rPr>
              <w:t>2</w:t>
            </w:r>
            <w:r>
              <w:rPr>
                <w:sz w:val="24"/>
                <w:highlight w:val="none"/>
              </w:rPr>
              <w:t>、具有良好的商业信誉和健全的财务会计制度，提供</w:t>
            </w:r>
            <w:r>
              <w:rPr>
                <w:rFonts w:hint="eastAsia"/>
                <w:sz w:val="24"/>
                <w:highlight w:val="none"/>
              </w:rPr>
              <w:t>会计师事务所或审计部门出具的2018或2019年度财务审计报告或银行出具的资信证明或财政部门认可的政府采购专业担保机构出具的投标担保函</w:t>
            </w:r>
            <w:r>
              <w:rPr>
                <w:sz w:val="24"/>
                <w:highlight w:val="none"/>
              </w:rPr>
              <w:t>；</w:t>
            </w:r>
          </w:p>
          <w:p>
            <w:pPr>
              <w:spacing w:line="360" w:lineRule="auto"/>
              <w:ind w:firstLine="420" w:firstLineChars="175"/>
              <w:rPr>
                <w:sz w:val="24"/>
                <w:highlight w:val="none"/>
              </w:rPr>
            </w:pPr>
            <w:r>
              <w:rPr>
                <w:rFonts w:hint="eastAsia"/>
                <w:sz w:val="24"/>
                <w:highlight w:val="none"/>
                <w:lang w:val="en-US" w:eastAsia="zh-CN"/>
              </w:rPr>
              <w:t>3</w:t>
            </w:r>
            <w:r>
              <w:rPr>
                <w:sz w:val="24"/>
                <w:highlight w:val="none"/>
              </w:rPr>
              <w:t>、投标人应具有相关工作经验，具备履行合同所必需的设备和专业技术能力；</w:t>
            </w:r>
          </w:p>
          <w:p>
            <w:pPr>
              <w:spacing w:line="360" w:lineRule="auto"/>
              <w:ind w:firstLine="420" w:firstLineChars="175"/>
              <w:rPr>
                <w:sz w:val="24"/>
                <w:highlight w:val="none"/>
              </w:rPr>
            </w:pPr>
            <w:r>
              <w:rPr>
                <w:rFonts w:hint="eastAsia"/>
                <w:sz w:val="24"/>
                <w:highlight w:val="none"/>
                <w:lang w:val="en-US" w:eastAsia="zh-CN"/>
              </w:rPr>
              <w:t>4</w:t>
            </w:r>
            <w:r>
              <w:rPr>
                <w:sz w:val="24"/>
                <w:highlight w:val="none"/>
              </w:rPr>
              <w:t>、依法缴纳税收和社会保障资金，提供2020年以来</w:t>
            </w:r>
            <w:r>
              <w:rPr>
                <w:rFonts w:hint="eastAsia"/>
                <w:sz w:val="24"/>
                <w:highlight w:val="none"/>
                <w:lang w:val="en-US" w:eastAsia="zh-CN"/>
              </w:rPr>
              <w:t>任意</w:t>
            </w:r>
            <w:r>
              <w:rPr>
                <w:rFonts w:hint="eastAsia"/>
                <w:sz w:val="24"/>
                <w:highlight w:val="none"/>
                <w:lang w:val="en-US" w:eastAsia="zh-CN"/>
              </w:rPr>
              <w:t>三</w:t>
            </w:r>
            <w:r>
              <w:rPr>
                <w:sz w:val="24"/>
                <w:highlight w:val="none"/>
              </w:rPr>
              <w:t>个月依法缴纳税收和社会保障资金的记录；</w:t>
            </w:r>
          </w:p>
          <w:p>
            <w:pPr>
              <w:spacing w:line="360" w:lineRule="auto"/>
              <w:ind w:firstLine="420" w:firstLineChars="175"/>
              <w:rPr>
                <w:sz w:val="24"/>
                <w:highlight w:val="none"/>
              </w:rPr>
            </w:pPr>
            <w:r>
              <w:rPr>
                <w:rFonts w:hint="eastAsia"/>
                <w:sz w:val="24"/>
                <w:highlight w:val="none"/>
                <w:lang w:val="en-US" w:eastAsia="zh-CN"/>
              </w:rPr>
              <w:t>5</w:t>
            </w:r>
            <w:r>
              <w:rPr>
                <w:sz w:val="24"/>
                <w:highlight w:val="none"/>
              </w:rPr>
              <w:t>、参加政府采购活动前三年内，在经营活动中没有重大违法记录；</w:t>
            </w:r>
          </w:p>
          <w:p>
            <w:pPr>
              <w:spacing w:line="360" w:lineRule="auto"/>
              <w:ind w:firstLine="420" w:firstLineChars="175"/>
              <w:rPr>
                <w:sz w:val="24"/>
                <w:highlight w:val="none"/>
              </w:rPr>
            </w:pPr>
            <w:r>
              <w:rPr>
                <w:rFonts w:hint="eastAsia"/>
                <w:sz w:val="24"/>
                <w:highlight w:val="none"/>
                <w:lang w:val="en-US" w:eastAsia="zh-CN"/>
              </w:rPr>
              <w:t>6</w:t>
            </w:r>
            <w:r>
              <w:rPr>
                <w:sz w:val="24"/>
                <w:highlight w:val="none"/>
              </w:rPr>
              <w:t>、投标人单位负责人为同一人或者存在直接控股、管理关系的不同供应商参与本项目投标的，其相关投标均将被认定为</w:t>
            </w:r>
            <w:r>
              <w:rPr>
                <w:bCs/>
                <w:sz w:val="24"/>
                <w:highlight w:val="none"/>
              </w:rPr>
              <w:t>投标无效</w:t>
            </w:r>
            <w:r>
              <w:rPr>
                <w:sz w:val="24"/>
                <w:highlight w:val="none"/>
              </w:rPr>
              <w:t>；</w:t>
            </w:r>
          </w:p>
          <w:p>
            <w:pPr>
              <w:spacing w:line="360" w:lineRule="auto"/>
              <w:ind w:firstLine="420" w:firstLineChars="175"/>
              <w:rPr>
                <w:sz w:val="24"/>
                <w:highlight w:val="none"/>
                <w:lang w:val="zh-CN"/>
              </w:rPr>
            </w:pPr>
            <w:r>
              <w:rPr>
                <w:rFonts w:hint="eastAsia"/>
                <w:sz w:val="24"/>
                <w:highlight w:val="none"/>
                <w:lang w:val="en-US" w:eastAsia="zh-CN"/>
              </w:rPr>
              <w:t>7</w:t>
            </w:r>
            <w:r>
              <w:rPr>
                <w:sz w:val="24"/>
                <w:highlight w:val="none"/>
              </w:rPr>
              <w:t>、本次招标不接受联合体投标；</w:t>
            </w:r>
          </w:p>
          <w:p>
            <w:pPr>
              <w:spacing w:line="360" w:lineRule="auto"/>
              <w:ind w:firstLine="420" w:firstLineChars="175"/>
              <w:rPr>
                <w:sz w:val="24"/>
                <w:highlight w:val="none"/>
              </w:rPr>
            </w:pPr>
            <w:r>
              <w:rPr>
                <w:rFonts w:hint="eastAsia"/>
                <w:sz w:val="24"/>
                <w:highlight w:val="none"/>
                <w:lang w:val="en-US" w:eastAsia="zh-CN"/>
              </w:rPr>
              <w:t>8</w:t>
            </w:r>
            <w:r>
              <w:rPr>
                <w:sz w:val="24"/>
                <w:highlight w:val="none"/>
              </w:rPr>
              <w:t>、</w:t>
            </w:r>
            <w:r>
              <w:rPr>
                <w:rFonts w:hint="eastAsia" w:ascii="宋体" w:hAnsi="宋体" w:cs="宋体"/>
                <w:color w:val="auto"/>
                <w:sz w:val="24"/>
                <w:highlight w:val="none"/>
              </w:rPr>
              <w:t>根据《关于在政府采购活动中查询及使用信用记录有关问题的通知》 (财库[2016]125 号)的规定，对列入失信被执行人、重大税收违法案件当事人名单、政府采购严重违法失信行为记录名单及其他不符合《中华人民共和国政府采购法》第二十二条规定条件的供应商，拒绝参与本项目政府采购活动；【</w:t>
            </w:r>
            <w:r>
              <w:rPr>
                <w:rFonts w:hint="eastAsia" w:ascii="宋体" w:hAnsi="宋体" w:cs="宋体"/>
                <w:color w:val="auto"/>
                <w:sz w:val="24"/>
                <w:highlight w:val="none"/>
                <w:u w:val="none"/>
              </w:rPr>
              <w:fldChar w:fldCharType="begin"/>
            </w:r>
            <w:r>
              <w:rPr>
                <w:rFonts w:hint="eastAsia" w:ascii="宋体" w:hAnsi="宋体" w:cs="宋体"/>
                <w:color w:val="auto"/>
                <w:sz w:val="24"/>
                <w:highlight w:val="none"/>
                <w:u w:val="none"/>
              </w:rPr>
              <w:instrText xml:space="preserve"> HYPERLINK "http://www.ccgp.gov.cn）】" </w:instrText>
            </w:r>
            <w:r>
              <w:rPr>
                <w:rFonts w:hint="eastAsia" w:ascii="宋体" w:hAnsi="宋体" w:cs="宋体"/>
                <w:color w:val="auto"/>
                <w:sz w:val="24"/>
                <w:highlight w:val="none"/>
                <w:u w:val="none"/>
              </w:rPr>
              <w:fldChar w:fldCharType="separate"/>
            </w:r>
            <w:r>
              <w:rPr>
                <w:rFonts w:hint="eastAsia" w:ascii="宋体" w:hAnsi="宋体" w:cs="宋体"/>
                <w:color w:val="auto"/>
                <w:sz w:val="24"/>
                <w:highlight w:val="none"/>
              </w:rPr>
              <w:t>在 “信用中国”网站中（</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"http://www.creditchina.gov.cn/"</w:instrText>
            </w:r>
            <w:r>
              <w:rPr>
                <w:rFonts w:hint="eastAsia" w:ascii="宋体" w:hAnsi="宋体" w:cs="宋体"/>
                <w:color w:val="auto"/>
                <w:sz w:val="24"/>
                <w:highlight w:val="none"/>
              </w:rPr>
              <w:fldChar w:fldCharType="separate"/>
            </w:r>
            <w:r>
              <w:rPr>
                <w:rStyle w:val="37"/>
                <w:rFonts w:hint="eastAsia" w:ascii="宋体" w:hAnsi="宋体" w:eastAsia="宋体" w:cs="宋体"/>
                <w:color w:val="auto"/>
                <w:sz w:val="24"/>
                <w:highlight w:val="none"/>
              </w:rPr>
              <w:t>http://www.creditchina.gov.cn/</w:t>
            </w:r>
            <w:r>
              <w:rPr>
                <w:rFonts w:hint="eastAsia" w:ascii="宋体" w:hAnsi="宋体" w:cs="宋体"/>
                <w:color w:val="auto"/>
                <w:sz w:val="24"/>
                <w:highlight w:val="none"/>
              </w:rPr>
              <w:fldChar w:fldCharType="end"/>
            </w:r>
            <w:r>
              <w:rPr>
                <w:rFonts w:hint="eastAsia" w:ascii="宋体" w:hAnsi="宋体" w:cs="宋体"/>
                <w:color w:val="auto"/>
                <w:sz w:val="24"/>
                <w:highlight w:val="none"/>
              </w:rPr>
              <w:t>）查询“失信被执行人”和 “重大税收违法案件当事人名单”，以及在“中国政府采购网”网站中（</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HYPERLINK "http://www.ccgp.gov.cn/"</w:instrText>
            </w:r>
            <w:r>
              <w:rPr>
                <w:rFonts w:hint="eastAsia" w:ascii="宋体" w:hAnsi="宋体" w:cs="宋体"/>
                <w:color w:val="auto"/>
                <w:sz w:val="24"/>
                <w:highlight w:val="none"/>
              </w:rPr>
              <w:fldChar w:fldCharType="separate"/>
            </w:r>
            <w:r>
              <w:rPr>
                <w:rStyle w:val="37"/>
                <w:rFonts w:hint="eastAsia" w:ascii="宋体" w:hAnsi="宋体" w:eastAsia="宋体" w:cs="宋体"/>
                <w:color w:val="auto"/>
                <w:sz w:val="24"/>
                <w:highlight w:val="none"/>
              </w:rPr>
              <w:t>www.ccgp.gov.cn</w:t>
            </w:r>
            <w:r>
              <w:rPr>
                <w:rFonts w:hint="eastAsia" w:ascii="宋体" w:hAnsi="宋体" w:cs="宋体"/>
                <w:color w:val="auto"/>
                <w:sz w:val="24"/>
                <w:highlight w:val="none"/>
              </w:rPr>
              <w:fldChar w:fldCharType="end"/>
            </w:r>
            <w:r>
              <w:rPr>
                <w:rFonts w:hint="eastAsia" w:ascii="宋体" w:hAnsi="宋体" w:cs="宋体"/>
                <w:color w:val="auto"/>
                <w:sz w:val="24"/>
                <w:highlight w:val="none"/>
              </w:rPr>
              <w:t>）查询“政府采购严重违法失信行为记录名单”共3项的查询结果网页截图</w:t>
            </w:r>
            <w:r>
              <w:rPr>
                <w:rStyle w:val="37"/>
                <w:rFonts w:hint="eastAsia" w:ascii="宋体" w:hAnsi="宋体" w:eastAsia="宋体" w:cs="宋体"/>
                <w:color w:val="auto"/>
                <w:sz w:val="24"/>
                <w:highlight w:val="none"/>
                <w:u w:val="none"/>
              </w:rPr>
              <w:t>】</w:t>
            </w:r>
            <w:r>
              <w:rPr>
                <w:rFonts w:hint="eastAsia" w:ascii="宋体" w:hAnsi="宋体" w:cs="宋体"/>
                <w:color w:val="auto"/>
                <w:sz w:val="24"/>
                <w:highlight w:val="none"/>
                <w:u w:val="none"/>
              </w:rPr>
              <w:fldChar w:fldCharType="end"/>
            </w:r>
            <w:r>
              <w:rPr>
                <w:sz w:val="24"/>
                <w:highlight w:val="none"/>
                <w:lang w:val="zh-CN"/>
              </w:rPr>
              <w:t>；</w:t>
            </w:r>
          </w:p>
          <w:p>
            <w:pPr>
              <w:spacing w:line="360" w:lineRule="auto"/>
              <w:ind w:firstLine="420" w:firstLineChars="175"/>
              <w:rPr>
                <w:rFonts w:asciiTheme="minorEastAsia" w:hAnsiTheme="minorEastAsia" w:eastAsiaTheme="minorEastAsia" w:cstheme="minorEastAsia"/>
                <w:color w:val="auto"/>
                <w:sz w:val="24"/>
                <w:szCs w:val="24"/>
                <w:highlight w:val="none"/>
              </w:rPr>
            </w:pPr>
            <w:r>
              <w:rPr>
                <w:rFonts w:hint="eastAsia"/>
                <w:sz w:val="24"/>
                <w:highlight w:val="none"/>
                <w:lang w:val="en-US" w:eastAsia="zh-CN"/>
              </w:rPr>
              <w:t>9</w:t>
            </w:r>
            <w:r>
              <w:rPr>
                <w:sz w:val="24"/>
                <w:highlight w:val="none"/>
              </w:rPr>
              <w:t>、相关法律、法规规定的其他条件。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5" w:type="dxa"/>
            <w:vAlign w:val="center"/>
          </w:tcPr>
          <w:p>
            <w:pPr>
              <w:widowControl/>
              <w:spacing w:line="360" w:lineRule="auto"/>
              <w:ind w:firstLine="220"/>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rPr>
              <w:t>1</w:t>
            </w:r>
            <w:r>
              <w:rPr>
                <w:rFonts w:hint="eastAsia" w:ascii="宋体" w:hAnsi="宋体" w:cs="宋体"/>
                <w:color w:val="auto"/>
                <w:kern w:val="0"/>
                <w:sz w:val="24"/>
                <w:highlight w:val="none"/>
                <w:lang w:val="en-US" w:eastAsia="zh-CN"/>
              </w:rPr>
              <w:t>4</w:t>
            </w:r>
          </w:p>
        </w:tc>
        <w:tc>
          <w:tcPr>
            <w:tcW w:w="1418" w:type="dxa"/>
            <w:vAlign w:val="center"/>
          </w:tcPr>
          <w:p>
            <w:pPr>
              <w:widowControl/>
              <w:rPr>
                <w:rFonts w:ascii="宋体" w:hAnsi="宋体" w:cs="宋体"/>
                <w:color w:val="auto"/>
                <w:kern w:val="0"/>
                <w:sz w:val="24"/>
                <w:highlight w:val="none"/>
              </w:rPr>
            </w:pPr>
            <w:r>
              <w:rPr>
                <w:rFonts w:hint="eastAsia" w:ascii="宋体" w:hAnsi="宋体" w:cs="宋体"/>
                <w:color w:val="auto"/>
                <w:kern w:val="0"/>
                <w:sz w:val="24"/>
                <w:highlight w:val="none"/>
              </w:rPr>
              <w:t>联合体投标</w:t>
            </w:r>
          </w:p>
        </w:tc>
        <w:tc>
          <w:tcPr>
            <w:tcW w:w="7031" w:type="dxa"/>
            <w:vAlign w:val="center"/>
          </w:tcPr>
          <w:p>
            <w:pPr>
              <w:widowControl/>
              <w:ind w:firstLine="220"/>
              <w:rPr>
                <w:rFonts w:ascii="宋体" w:hAnsi="宋体" w:cs="宋体"/>
                <w:color w:val="auto"/>
                <w:kern w:val="0"/>
                <w:sz w:val="24"/>
                <w:highlight w:val="none"/>
              </w:rPr>
            </w:pPr>
            <w:r>
              <w:rPr>
                <w:rFonts w:hint="eastAsia" w:ascii="宋体" w:hAnsi="宋体" w:cs="宋体"/>
                <w:color w:val="auto"/>
                <w:kern w:val="0"/>
                <w:sz w:val="24"/>
                <w:highlight w:val="none"/>
              </w:rPr>
              <w:t>本项目不接受联合体投标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5" w:type="dxa"/>
            <w:vAlign w:val="center"/>
          </w:tcPr>
          <w:p>
            <w:pPr>
              <w:widowControl/>
              <w:spacing w:line="360" w:lineRule="auto"/>
              <w:ind w:firstLine="220"/>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15</w:t>
            </w:r>
          </w:p>
        </w:tc>
        <w:tc>
          <w:tcPr>
            <w:tcW w:w="1418" w:type="dxa"/>
            <w:vAlign w:val="center"/>
          </w:tcPr>
          <w:p>
            <w:pPr>
              <w:widowControl/>
              <w:rPr>
                <w:rFonts w:hint="eastAsia" w:ascii="宋体" w:hAnsi="宋体" w:cs="宋体"/>
                <w:color w:val="auto"/>
                <w:kern w:val="0"/>
                <w:sz w:val="24"/>
                <w:highlight w:val="none"/>
              </w:rPr>
            </w:pPr>
            <w:r>
              <w:rPr>
                <w:bCs/>
                <w:sz w:val="24"/>
                <w:highlight w:val="none"/>
              </w:rPr>
              <w:t>是否允许采购进口产品</w:t>
            </w:r>
          </w:p>
        </w:tc>
        <w:tc>
          <w:tcPr>
            <w:tcW w:w="7031" w:type="dxa"/>
            <w:vAlign w:val="center"/>
          </w:tcPr>
          <w:p>
            <w:pPr>
              <w:widowControl/>
              <w:ind w:firstLine="220"/>
              <w:rPr>
                <w:rFonts w:hint="eastAsia"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5" w:type="dxa"/>
            <w:vAlign w:val="center"/>
          </w:tcPr>
          <w:p>
            <w:pPr>
              <w:widowControl/>
              <w:spacing w:line="360" w:lineRule="auto"/>
              <w:ind w:firstLine="220"/>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16</w:t>
            </w:r>
          </w:p>
        </w:tc>
        <w:tc>
          <w:tcPr>
            <w:tcW w:w="1418" w:type="dxa"/>
            <w:vAlign w:val="center"/>
          </w:tcPr>
          <w:p>
            <w:pPr>
              <w:widowControl/>
              <w:rPr>
                <w:bCs/>
                <w:sz w:val="24"/>
                <w:highlight w:val="none"/>
              </w:rPr>
            </w:pPr>
            <w:r>
              <w:rPr>
                <w:bCs/>
                <w:sz w:val="24"/>
                <w:highlight w:val="none"/>
              </w:rPr>
              <w:t>是否为专门面向中小企业采购</w:t>
            </w:r>
          </w:p>
        </w:tc>
        <w:tc>
          <w:tcPr>
            <w:tcW w:w="7031" w:type="dxa"/>
            <w:vAlign w:val="center"/>
          </w:tcPr>
          <w:p>
            <w:pPr>
              <w:widowControl/>
              <w:ind w:firstLine="220"/>
              <w:rPr>
                <w:rFonts w:hint="default" w:ascii="宋体" w:hAnsi="宋体" w:cs="宋体"/>
                <w:color w:val="auto"/>
                <w:kern w:val="0"/>
                <w:sz w:val="24"/>
                <w:highlight w:val="none"/>
                <w:lang w:val="en-US" w:eastAsia="zh-CN"/>
              </w:rPr>
            </w:pPr>
            <w:r>
              <w:rPr>
                <w:rFonts w:hint="eastAsia" w:ascii="宋体" w:hAnsi="宋体" w:cs="宋体"/>
                <w:color w:val="auto"/>
                <w:kern w:val="0"/>
                <w:sz w:val="24"/>
                <w:highlight w:val="none"/>
                <w:lang w:val="en-US" w:eastAsia="zh-CN"/>
              </w:rPr>
              <w:t>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5" w:type="dxa"/>
            <w:vAlign w:val="center"/>
          </w:tcPr>
          <w:p>
            <w:pPr>
              <w:widowControl/>
              <w:spacing w:line="360" w:lineRule="auto"/>
              <w:ind w:firstLine="220"/>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lang w:val="en-US" w:eastAsia="zh-CN"/>
              </w:rPr>
              <w:t>17</w:t>
            </w:r>
          </w:p>
        </w:tc>
        <w:tc>
          <w:tcPr>
            <w:tcW w:w="1418" w:type="dxa"/>
            <w:vAlign w:val="center"/>
          </w:tcPr>
          <w:p>
            <w:pPr>
              <w:widowControl/>
              <w:spacing w:line="360" w:lineRule="auto"/>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lang w:val="en-US" w:eastAsia="zh-CN"/>
              </w:rPr>
              <w:t>采购文件答疑澄清</w:t>
            </w:r>
          </w:p>
        </w:tc>
        <w:tc>
          <w:tcPr>
            <w:tcW w:w="7031" w:type="dxa"/>
            <w:vAlign w:val="center"/>
          </w:tcPr>
          <w:p>
            <w:pPr>
              <w:widowControl/>
              <w:spacing w:line="360" w:lineRule="auto"/>
              <w:ind w:firstLine="2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2020年</w:t>
            </w: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lang w:val="en-US" w:eastAsia="zh-CN"/>
              </w:rPr>
              <w:t>31</w:t>
            </w:r>
            <w:r>
              <w:rPr>
                <w:rFonts w:hint="eastAsia" w:asciiTheme="minorEastAsia" w:hAnsiTheme="minorEastAsia" w:eastAsiaTheme="minorEastAsia" w:cstheme="minorEastAsia"/>
                <w:sz w:val="24"/>
                <w:szCs w:val="24"/>
                <w:highlight w:val="none"/>
              </w:rPr>
              <w:t>日17：00时前</w:t>
            </w:r>
            <w:r>
              <w:rPr>
                <w:rFonts w:hint="eastAsia" w:asciiTheme="minorEastAsia" w:hAnsiTheme="minorEastAsia" w:eastAsiaTheme="minorEastAsia" w:cstheme="minorEastAsia"/>
                <w:sz w:val="24"/>
                <w:szCs w:val="24"/>
                <w:highlight w:val="none"/>
              </w:rPr>
              <w:t>，在河南省公共资源交易平台上进行提问（附加盖企业公章的扫描件和Word电子版）</w:t>
            </w:r>
          </w:p>
          <w:p>
            <w:pPr>
              <w:pStyle w:val="2"/>
              <w:numPr>
                <w:ilvl w:val="0"/>
                <w:numId w:val="0"/>
              </w:numPr>
              <w:spacing w:line="360" w:lineRule="auto"/>
              <w:ind w:firstLine="240" w:firstLineChars="1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val="en-US" w:eastAsia="zh-CN"/>
              </w:rPr>
              <w:t>2、采购</w:t>
            </w:r>
            <w:r>
              <w:rPr>
                <w:rFonts w:hint="eastAsia" w:asciiTheme="minorEastAsia" w:hAnsiTheme="minorEastAsia" w:eastAsiaTheme="minorEastAsia" w:cstheme="minorEastAsia"/>
                <w:bCs/>
                <w:sz w:val="24"/>
                <w:szCs w:val="24"/>
                <w:highlight w:val="none"/>
              </w:rPr>
              <w:t>文件的澄清发布时间：投标截止15天前</w:t>
            </w:r>
          </w:p>
          <w:p>
            <w:pPr>
              <w:pStyle w:val="2"/>
              <w:numPr>
                <w:ilvl w:val="0"/>
                <w:numId w:val="0"/>
              </w:numPr>
              <w:spacing w:line="360" w:lineRule="auto"/>
              <w:ind w:firstLine="240" w:firstLineChars="100"/>
              <w:rPr>
                <w:rFonts w:hint="eastAsia" w:asciiTheme="minorEastAsia" w:hAnsiTheme="minorEastAsia" w:eastAsiaTheme="minorEastAsia" w:cstheme="minorEastAsia"/>
                <w:bCs/>
                <w:sz w:val="24"/>
                <w:szCs w:val="24"/>
                <w:highlight w:val="none"/>
              </w:rPr>
            </w:pPr>
            <w:r>
              <w:rPr>
                <w:rFonts w:hint="eastAsia" w:asciiTheme="minorEastAsia" w:hAnsiTheme="minorEastAsia" w:eastAsiaTheme="minorEastAsia" w:cstheme="minorEastAsia"/>
                <w:bCs/>
                <w:sz w:val="24"/>
                <w:szCs w:val="24"/>
                <w:highlight w:val="none"/>
                <w:lang w:val="en-US" w:eastAsia="zh-CN"/>
              </w:rPr>
              <w:t>3、采购</w:t>
            </w:r>
            <w:r>
              <w:rPr>
                <w:rFonts w:hint="eastAsia" w:asciiTheme="minorEastAsia" w:hAnsiTheme="minorEastAsia" w:eastAsiaTheme="minorEastAsia" w:cstheme="minorEastAsia"/>
                <w:bCs/>
                <w:sz w:val="24"/>
                <w:szCs w:val="24"/>
                <w:highlight w:val="none"/>
              </w:rPr>
              <w:t>文件的澄清发布方式：河南省公共资源交易平台上发布</w:t>
            </w:r>
          </w:p>
          <w:p>
            <w:pPr>
              <w:pStyle w:val="2"/>
              <w:numPr>
                <w:ilvl w:val="0"/>
                <w:numId w:val="0"/>
              </w:numPr>
              <w:spacing w:line="360" w:lineRule="auto"/>
              <w:ind w:firstLine="240" w:firstLineChars="100"/>
              <w:rPr>
                <w:rFonts w:hint="eastAsia" w:asciiTheme="minorEastAsia" w:hAnsiTheme="minorEastAsia" w:eastAsiaTheme="minorEastAsia" w:cstheme="minorEastAsia"/>
                <w:bCs/>
                <w:sz w:val="24"/>
                <w:szCs w:val="24"/>
                <w:highlight w:val="none"/>
                <w:lang w:val="en-US" w:eastAsia="zh-CN"/>
              </w:rPr>
            </w:pPr>
            <w:r>
              <w:rPr>
                <w:rFonts w:hint="eastAsia" w:asciiTheme="minorEastAsia" w:hAnsiTheme="minorEastAsia" w:eastAsiaTheme="minorEastAsia" w:cstheme="minorEastAsia"/>
                <w:bCs/>
                <w:sz w:val="24"/>
                <w:szCs w:val="24"/>
                <w:highlight w:val="none"/>
                <w:lang w:val="en-US" w:eastAsia="zh-CN"/>
              </w:rPr>
              <w:t>备注：供应商</w:t>
            </w:r>
            <w:r>
              <w:rPr>
                <w:rFonts w:hint="eastAsia" w:asciiTheme="minorEastAsia" w:hAnsiTheme="minorEastAsia" w:eastAsiaTheme="minorEastAsia" w:cstheme="minorEastAsia"/>
                <w:bCs/>
                <w:sz w:val="24"/>
                <w:szCs w:val="24"/>
                <w:highlight w:val="none"/>
              </w:rPr>
              <w:t>在河南省公共资源交易中心平台自行查看，因</w:t>
            </w:r>
            <w:r>
              <w:rPr>
                <w:rFonts w:hint="eastAsia" w:asciiTheme="minorEastAsia" w:hAnsiTheme="minorEastAsia" w:eastAsiaTheme="minorEastAsia" w:cstheme="minorEastAsia"/>
                <w:bCs/>
                <w:sz w:val="24"/>
                <w:szCs w:val="24"/>
                <w:highlight w:val="none"/>
                <w:lang w:val="en-US" w:eastAsia="zh-CN"/>
              </w:rPr>
              <w:t>供应商</w:t>
            </w:r>
            <w:r>
              <w:rPr>
                <w:rFonts w:hint="eastAsia" w:asciiTheme="minorEastAsia" w:hAnsiTheme="minorEastAsia" w:eastAsiaTheme="minorEastAsia" w:cstheme="minorEastAsia"/>
                <w:bCs/>
                <w:sz w:val="24"/>
                <w:szCs w:val="24"/>
                <w:highlight w:val="none"/>
              </w:rPr>
              <w:t>未及时查看而造成的后果自行承担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54" w:hRule="atLeast"/>
          <w:jc w:val="center"/>
        </w:trPr>
        <w:tc>
          <w:tcPr>
            <w:tcW w:w="595" w:type="dxa"/>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18</w:t>
            </w:r>
          </w:p>
        </w:tc>
        <w:tc>
          <w:tcPr>
            <w:tcW w:w="1418" w:type="dxa"/>
            <w:vAlign w:val="center"/>
          </w:tcPr>
          <w:p>
            <w:pPr>
              <w:pStyle w:val="107"/>
              <w:numPr>
                <w:ilvl w:val="2"/>
                <w:numId w:val="0"/>
              </w:numPr>
              <w:spacing w:line="360" w:lineRule="auto"/>
              <w:jc w:val="center"/>
              <w:rPr>
                <w:rFonts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投标报价</w:t>
            </w:r>
          </w:p>
        </w:tc>
        <w:tc>
          <w:tcPr>
            <w:tcW w:w="7031" w:type="dxa"/>
            <w:vAlign w:val="center"/>
          </w:tcPr>
          <w:p>
            <w:pPr>
              <w:widowControl/>
              <w:shd w:val="clear" w:color="auto" w:fill="auto"/>
              <w:spacing w:line="360" w:lineRule="auto"/>
              <w:ind w:firstLine="220"/>
              <w:rPr>
                <w:rFonts w:ascii="宋体" w:cs="宋体"/>
                <w:color w:val="auto"/>
                <w:kern w:val="0"/>
                <w:sz w:val="24"/>
                <w:highlight w:val="none"/>
              </w:rPr>
            </w:pPr>
            <w:r>
              <w:rPr>
                <w:rFonts w:ascii="宋体" w:hAnsi="宋体" w:cs="宋体"/>
                <w:color w:val="auto"/>
                <w:kern w:val="0"/>
                <w:sz w:val="24"/>
                <w:highlight w:val="none"/>
              </w:rPr>
              <w:t>1.</w:t>
            </w:r>
            <w:r>
              <w:rPr>
                <w:rFonts w:hint="eastAsia" w:ascii="宋体" w:hAnsi="宋体" w:cs="宋体"/>
                <w:color w:val="auto"/>
                <w:kern w:val="0"/>
                <w:sz w:val="24"/>
                <w:highlight w:val="none"/>
              </w:rPr>
              <w:t>投标货币：人民币</w:t>
            </w:r>
          </w:p>
          <w:p>
            <w:pPr>
              <w:widowControl/>
              <w:shd w:val="clear" w:color="auto" w:fill="auto"/>
              <w:spacing w:line="360" w:lineRule="auto"/>
              <w:ind w:firstLine="220"/>
              <w:rPr>
                <w:rFonts w:hint="eastAsia" w:ascii="宋体" w:hAnsi="宋体" w:eastAsia="宋体" w:cs="宋体"/>
                <w:color w:val="auto"/>
                <w:kern w:val="0"/>
                <w:sz w:val="24"/>
                <w:highlight w:val="none"/>
                <w:lang w:eastAsia="zh-CN"/>
              </w:rPr>
            </w:pPr>
            <w:r>
              <w:rPr>
                <w:rFonts w:ascii="宋体" w:hAnsi="宋体" w:cs="宋体"/>
                <w:color w:val="auto"/>
                <w:kern w:val="0"/>
                <w:sz w:val="24"/>
                <w:highlight w:val="none"/>
              </w:rPr>
              <w:t>2.</w:t>
            </w:r>
            <w:r>
              <w:rPr>
                <w:rFonts w:hint="eastAsia" w:ascii="宋体" w:hAnsi="宋体" w:cs="宋体"/>
                <w:color w:val="auto"/>
                <w:kern w:val="0"/>
                <w:sz w:val="24"/>
                <w:highlight w:val="none"/>
              </w:rPr>
              <w:t>投标报价方式：</w:t>
            </w:r>
            <w:r>
              <w:rPr>
                <w:rFonts w:hint="eastAsia" w:ascii="宋体" w:hAnsi="宋体" w:cs="宋体"/>
                <w:color w:val="auto"/>
                <w:kern w:val="0"/>
                <w:sz w:val="24"/>
                <w:highlight w:val="none"/>
                <w:lang w:eastAsia="zh-CN"/>
              </w:rPr>
              <w:t>本项目采用综合折扣率报价</w:t>
            </w:r>
            <w:r>
              <w:rPr>
                <w:rFonts w:hint="eastAsia" w:ascii="宋体" w:hAnsi="宋体" w:cs="宋体"/>
                <w:color w:val="auto"/>
                <w:kern w:val="0"/>
                <w:sz w:val="24"/>
                <w:highlight w:val="none"/>
              </w:rPr>
              <w:t>，实际付款结算价=教材定价×中标综合折扣率</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综合折扣率详见开标一览表备注</w:t>
            </w:r>
            <w:r>
              <w:rPr>
                <w:rFonts w:hint="eastAsia" w:ascii="宋体" w:hAnsi="宋体" w:cs="宋体"/>
                <w:color w:val="auto"/>
                <w:kern w:val="0"/>
                <w:sz w:val="24"/>
                <w:highlight w:val="none"/>
                <w:lang w:eastAsia="zh-CN"/>
              </w:rPr>
              <w:t>）</w:t>
            </w:r>
          </w:p>
          <w:p>
            <w:pPr>
              <w:widowControl/>
              <w:shd w:val="clear" w:color="auto" w:fill="auto"/>
              <w:spacing w:line="360" w:lineRule="auto"/>
              <w:ind w:firstLine="220"/>
              <w:rPr>
                <w:rFonts w:ascii="宋体" w:cs="宋体"/>
                <w:color w:val="auto"/>
                <w:kern w:val="0"/>
                <w:sz w:val="24"/>
                <w:highlight w:val="none"/>
              </w:rPr>
            </w:pPr>
            <w:r>
              <w:rPr>
                <w:rFonts w:ascii="宋体" w:hAnsi="宋体" w:cs="宋体"/>
                <w:color w:val="auto"/>
                <w:kern w:val="0"/>
                <w:sz w:val="24"/>
                <w:highlight w:val="none"/>
              </w:rPr>
              <w:t>3.</w:t>
            </w:r>
            <w:r>
              <w:rPr>
                <w:rFonts w:hint="eastAsia" w:ascii="宋体" w:hAnsi="宋体" w:cs="宋体"/>
                <w:color w:val="auto"/>
                <w:kern w:val="0"/>
                <w:sz w:val="24"/>
                <w:highlight w:val="none"/>
              </w:rPr>
              <w:t>相关费用由中标人承担的费用，包括完成本项目采购内容及服务的全部费用和中标服务费。包含：</w:t>
            </w:r>
          </w:p>
          <w:p>
            <w:pPr>
              <w:widowControl/>
              <w:shd w:val="clear" w:color="auto" w:fill="auto"/>
              <w:spacing w:line="360" w:lineRule="auto"/>
              <w:ind w:firstLine="220"/>
              <w:rPr>
                <w:rFonts w:ascii="宋体" w:cs="宋体"/>
                <w:color w:val="auto"/>
                <w:kern w:val="0"/>
                <w:sz w:val="24"/>
                <w:highlight w:val="none"/>
              </w:rPr>
            </w:pPr>
            <w:r>
              <w:rPr>
                <w:rFonts w:hint="eastAsia" w:ascii="宋体" w:hAnsi="宋体" w:cs="宋体"/>
                <w:color w:val="auto"/>
                <w:kern w:val="0"/>
                <w:sz w:val="24"/>
                <w:highlight w:val="none"/>
              </w:rPr>
              <w:t>（</w:t>
            </w:r>
            <w:r>
              <w:rPr>
                <w:rFonts w:ascii="宋体" w:hAnsi="宋体" w:cs="宋体"/>
                <w:color w:val="auto"/>
                <w:kern w:val="0"/>
                <w:sz w:val="24"/>
                <w:highlight w:val="none"/>
              </w:rPr>
              <w:t>1</w:t>
            </w:r>
            <w:r>
              <w:rPr>
                <w:rFonts w:hint="eastAsia" w:ascii="宋体" w:hAnsi="宋体" w:cs="宋体"/>
                <w:color w:val="auto"/>
                <w:kern w:val="0"/>
                <w:sz w:val="24"/>
                <w:highlight w:val="none"/>
              </w:rPr>
              <w:t>）招标文件要求的相关售后服务费用；</w:t>
            </w:r>
          </w:p>
          <w:p>
            <w:pPr>
              <w:widowControl/>
              <w:shd w:val="clear" w:color="auto" w:fill="auto"/>
              <w:spacing w:line="360" w:lineRule="auto"/>
              <w:ind w:firstLine="220"/>
              <w:rPr>
                <w:rFonts w:ascii="宋体" w:hAnsi="宋体" w:cs="宋体"/>
                <w:color w:val="auto"/>
                <w:sz w:val="24"/>
                <w:szCs w:val="24"/>
                <w:highlight w:val="none"/>
              </w:rPr>
            </w:pPr>
            <w:r>
              <w:rPr>
                <w:rFonts w:hint="eastAsia" w:ascii="宋体" w:hAnsi="宋体" w:cs="宋体"/>
                <w:color w:val="auto"/>
                <w:kern w:val="0"/>
                <w:sz w:val="24"/>
                <w:highlight w:val="none"/>
              </w:rPr>
              <w:t>（</w:t>
            </w:r>
            <w:r>
              <w:rPr>
                <w:rFonts w:ascii="宋体" w:hAnsi="宋体" w:cs="宋体"/>
                <w:color w:val="auto"/>
                <w:kern w:val="0"/>
                <w:sz w:val="24"/>
                <w:highlight w:val="none"/>
              </w:rPr>
              <w:t>2</w:t>
            </w:r>
            <w:r>
              <w:rPr>
                <w:rFonts w:hint="eastAsia" w:ascii="宋体" w:hAnsi="宋体" w:cs="宋体"/>
                <w:color w:val="auto"/>
                <w:kern w:val="0"/>
                <w:sz w:val="24"/>
                <w:highlight w:val="none"/>
              </w:rPr>
              <w:t>）招标文件要求的相关伴随费用等；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8" w:hRule="atLeast"/>
          <w:jc w:val="center"/>
        </w:trPr>
        <w:tc>
          <w:tcPr>
            <w:tcW w:w="595" w:type="dxa"/>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1</w:t>
            </w:r>
            <w:r>
              <w:rPr>
                <w:rFonts w:hint="eastAsia" w:ascii="宋体" w:hAnsi="宋体" w:cs="宋体"/>
                <w:color w:val="auto"/>
                <w:sz w:val="24"/>
                <w:szCs w:val="24"/>
                <w:highlight w:val="none"/>
                <w:lang w:val="en-US" w:eastAsia="zh-CN"/>
              </w:rPr>
              <w:t>9</w:t>
            </w:r>
          </w:p>
        </w:tc>
        <w:tc>
          <w:tcPr>
            <w:tcW w:w="1418" w:type="dxa"/>
            <w:vAlign w:val="center"/>
          </w:tcPr>
          <w:p>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投标有效期</w:t>
            </w:r>
          </w:p>
        </w:tc>
        <w:tc>
          <w:tcPr>
            <w:tcW w:w="7031" w:type="dxa"/>
            <w:vAlign w:val="center"/>
          </w:tcPr>
          <w:p>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从投标文件递交截止之日起90日历天</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8" w:hRule="atLeast"/>
          <w:jc w:val="center"/>
        </w:trPr>
        <w:tc>
          <w:tcPr>
            <w:tcW w:w="595" w:type="dxa"/>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20</w:t>
            </w:r>
          </w:p>
        </w:tc>
        <w:tc>
          <w:tcPr>
            <w:tcW w:w="1418" w:type="dxa"/>
            <w:vAlign w:val="center"/>
          </w:tcPr>
          <w:p>
            <w:pPr>
              <w:spacing w:line="360" w:lineRule="auto"/>
              <w:jc w:val="center"/>
              <w:rPr>
                <w:rFonts w:hint="eastAsia" w:ascii="宋体" w:hAnsi="宋体" w:cs="宋体"/>
                <w:color w:val="auto"/>
                <w:sz w:val="24"/>
                <w:szCs w:val="24"/>
                <w:highlight w:val="none"/>
              </w:rPr>
            </w:pPr>
            <w:r>
              <w:rPr>
                <w:bCs/>
                <w:sz w:val="24"/>
                <w:highlight w:val="none"/>
              </w:rPr>
              <w:t>投标截止时间</w:t>
            </w:r>
          </w:p>
        </w:tc>
        <w:tc>
          <w:tcPr>
            <w:tcW w:w="7031" w:type="dxa"/>
            <w:vAlign w:val="center"/>
          </w:tcPr>
          <w:p>
            <w:pPr>
              <w:spacing w:line="360" w:lineRule="auto"/>
              <w:jc w:val="left"/>
              <w:rPr>
                <w:rFonts w:hint="eastAsia" w:ascii="宋体" w:hAnsi="宋体" w:cs="宋体"/>
                <w:color w:val="auto"/>
                <w:sz w:val="24"/>
                <w:szCs w:val="24"/>
                <w:highlight w:val="none"/>
              </w:rPr>
            </w:pPr>
            <w:r>
              <w:rPr>
                <w:bCs/>
                <w:sz w:val="24"/>
                <w:highlight w:val="none"/>
                <w:u w:val="single"/>
              </w:rPr>
              <w:t>2020年</w:t>
            </w:r>
            <w:r>
              <w:rPr>
                <w:rFonts w:hint="eastAsia"/>
                <w:bCs/>
                <w:sz w:val="24"/>
                <w:highlight w:val="none"/>
                <w:u w:val="single"/>
                <w:lang w:val="en-US" w:eastAsia="zh-CN"/>
              </w:rPr>
              <w:t>8</w:t>
            </w:r>
            <w:r>
              <w:rPr>
                <w:bCs/>
                <w:sz w:val="24"/>
                <w:highlight w:val="none"/>
                <w:u w:val="single"/>
              </w:rPr>
              <w:t>月</w:t>
            </w:r>
            <w:r>
              <w:rPr>
                <w:rFonts w:hint="eastAsia"/>
                <w:bCs/>
                <w:sz w:val="24"/>
                <w:highlight w:val="none"/>
                <w:u w:val="single"/>
                <w:lang w:val="en-US" w:eastAsia="zh-CN"/>
              </w:rPr>
              <w:t>18</w:t>
            </w:r>
            <w:r>
              <w:rPr>
                <w:bCs/>
                <w:sz w:val="24"/>
                <w:highlight w:val="none"/>
                <w:u w:val="single"/>
              </w:rPr>
              <w:t>日09时00分。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8" w:hRule="atLeast"/>
          <w:jc w:val="center"/>
        </w:trPr>
        <w:tc>
          <w:tcPr>
            <w:tcW w:w="595" w:type="dxa"/>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21</w:t>
            </w:r>
          </w:p>
        </w:tc>
        <w:tc>
          <w:tcPr>
            <w:tcW w:w="1418" w:type="dxa"/>
            <w:vAlign w:val="center"/>
          </w:tcPr>
          <w:p>
            <w:pPr>
              <w:spacing w:line="360" w:lineRule="auto"/>
              <w:jc w:val="center"/>
              <w:rPr>
                <w:rFonts w:hint="eastAsia" w:ascii="宋体" w:hAnsi="宋体" w:cs="宋体"/>
                <w:color w:val="auto"/>
                <w:sz w:val="24"/>
                <w:szCs w:val="24"/>
                <w:highlight w:val="none"/>
              </w:rPr>
            </w:pPr>
            <w:r>
              <w:rPr>
                <w:bCs/>
                <w:sz w:val="24"/>
                <w:highlight w:val="none"/>
              </w:rPr>
              <w:t>开标时间</w:t>
            </w:r>
          </w:p>
        </w:tc>
        <w:tc>
          <w:tcPr>
            <w:tcW w:w="7031" w:type="dxa"/>
            <w:vAlign w:val="center"/>
          </w:tcPr>
          <w:p>
            <w:pPr>
              <w:spacing w:line="360" w:lineRule="auto"/>
              <w:jc w:val="left"/>
              <w:rPr>
                <w:rFonts w:hint="eastAsia" w:ascii="宋体" w:hAnsi="宋体" w:cs="宋体"/>
                <w:color w:val="auto"/>
                <w:sz w:val="24"/>
                <w:szCs w:val="24"/>
                <w:highlight w:val="none"/>
              </w:rPr>
            </w:pPr>
            <w:r>
              <w:rPr>
                <w:bCs/>
                <w:sz w:val="24"/>
                <w:highlight w:val="none"/>
              </w:rPr>
              <w:t>同投标截止时间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8" w:hRule="atLeast"/>
          <w:jc w:val="center"/>
        </w:trPr>
        <w:tc>
          <w:tcPr>
            <w:tcW w:w="595" w:type="dxa"/>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22</w:t>
            </w:r>
          </w:p>
        </w:tc>
        <w:tc>
          <w:tcPr>
            <w:tcW w:w="1418" w:type="dxa"/>
            <w:vAlign w:val="center"/>
          </w:tcPr>
          <w:p>
            <w:pPr>
              <w:spacing w:line="360" w:lineRule="auto"/>
              <w:jc w:val="center"/>
              <w:rPr>
                <w:bCs/>
                <w:sz w:val="24"/>
                <w:highlight w:val="none"/>
              </w:rPr>
            </w:pPr>
            <w:r>
              <w:rPr>
                <w:bCs/>
                <w:sz w:val="24"/>
                <w:highlight w:val="none"/>
              </w:rPr>
              <w:t>开标地点</w:t>
            </w:r>
          </w:p>
        </w:tc>
        <w:tc>
          <w:tcPr>
            <w:tcW w:w="7031" w:type="dxa"/>
            <w:vAlign w:val="center"/>
          </w:tcPr>
          <w:p>
            <w:pPr>
              <w:spacing w:line="360" w:lineRule="auto"/>
              <w:jc w:val="left"/>
              <w:rPr>
                <w:rFonts w:hint="default" w:eastAsia="宋体"/>
                <w:bCs/>
                <w:sz w:val="24"/>
                <w:highlight w:val="none"/>
                <w:lang w:val="en-US" w:eastAsia="zh-CN"/>
              </w:rPr>
            </w:pPr>
            <w:r>
              <w:rPr>
                <w:rStyle w:val="116"/>
                <w:sz w:val="24"/>
                <w:highlight w:val="none"/>
              </w:rPr>
              <w:t xml:space="preserve">河南省公共资源交易中心（郑州市农业路东41号投资大厦A座）远程开标室（一）- </w:t>
            </w:r>
            <w:r>
              <w:rPr>
                <w:rStyle w:val="116"/>
                <w:rFonts w:hint="eastAsia"/>
                <w:sz w:val="24"/>
                <w:highlight w:val="none"/>
                <w:lang w:val="en-US" w:eastAsia="zh-CN"/>
              </w:rPr>
              <w:t>2</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18" w:hRule="atLeast"/>
          <w:jc w:val="center"/>
        </w:trPr>
        <w:tc>
          <w:tcPr>
            <w:tcW w:w="595" w:type="dxa"/>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23</w:t>
            </w:r>
          </w:p>
        </w:tc>
        <w:tc>
          <w:tcPr>
            <w:tcW w:w="1418" w:type="dxa"/>
            <w:vAlign w:val="center"/>
          </w:tcPr>
          <w:p>
            <w:pPr>
              <w:spacing w:line="360" w:lineRule="auto"/>
              <w:jc w:val="center"/>
              <w:rPr>
                <w:bCs/>
                <w:sz w:val="24"/>
                <w:highlight w:val="none"/>
              </w:rPr>
            </w:pPr>
            <w:r>
              <w:rPr>
                <w:bCs/>
                <w:sz w:val="24"/>
                <w:highlight w:val="none"/>
              </w:rPr>
              <w:t>加密的电子投标文件解密时间</w:t>
            </w:r>
          </w:p>
        </w:tc>
        <w:tc>
          <w:tcPr>
            <w:tcW w:w="7031" w:type="dxa"/>
            <w:vAlign w:val="center"/>
          </w:tcPr>
          <w:p>
            <w:pPr>
              <w:spacing w:line="360" w:lineRule="auto"/>
              <w:jc w:val="left"/>
              <w:rPr>
                <w:rStyle w:val="116"/>
                <w:sz w:val="24"/>
                <w:highlight w:val="none"/>
              </w:rPr>
            </w:pPr>
            <w:r>
              <w:rPr>
                <w:bCs/>
                <w:sz w:val="24"/>
                <w:highlight w:val="none"/>
              </w:rPr>
              <w:t>投标截止时间后的30分钟内</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95" w:type="dxa"/>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24</w:t>
            </w:r>
          </w:p>
        </w:tc>
        <w:tc>
          <w:tcPr>
            <w:tcW w:w="1418" w:type="dxa"/>
            <w:vAlign w:val="center"/>
          </w:tcPr>
          <w:p>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投标保证金</w:t>
            </w:r>
          </w:p>
        </w:tc>
        <w:tc>
          <w:tcPr>
            <w:tcW w:w="7031" w:type="dxa"/>
            <w:vAlign w:val="center"/>
          </w:tcPr>
          <w:p>
            <w:pPr>
              <w:spacing w:line="360" w:lineRule="auto"/>
              <w:jc w:val="left"/>
              <w:rPr>
                <w:rFonts w:ascii="宋体" w:hAnsi="宋体" w:cs="宋体"/>
                <w:color w:val="auto"/>
                <w:sz w:val="24"/>
                <w:szCs w:val="24"/>
                <w:highlight w:val="none"/>
              </w:rPr>
            </w:pPr>
            <w:r>
              <w:rPr>
                <w:rStyle w:val="116"/>
                <w:bCs/>
                <w:sz w:val="24"/>
                <w:highlight w:val="none"/>
              </w:rPr>
              <w:t>本项目不收取投标保证金。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595" w:type="dxa"/>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25</w:t>
            </w:r>
          </w:p>
        </w:tc>
        <w:tc>
          <w:tcPr>
            <w:tcW w:w="1418" w:type="dxa"/>
            <w:vAlign w:val="center"/>
          </w:tcPr>
          <w:p>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采购代理服务费</w:t>
            </w:r>
          </w:p>
        </w:tc>
        <w:tc>
          <w:tcPr>
            <w:tcW w:w="7031" w:type="dxa"/>
            <w:vAlign w:val="center"/>
          </w:tcPr>
          <w:p>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1.中标人须向采购代理机构交纳采购代理服务费。</w:t>
            </w:r>
          </w:p>
          <w:p>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2.采购代理服务费以</w:t>
            </w:r>
            <w:r>
              <w:rPr>
                <w:rFonts w:hint="eastAsia" w:ascii="宋体" w:hAnsi="宋体" w:cs="宋体"/>
                <w:color w:val="auto"/>
                <w:sz w:val="24"/>
                <w:szCs w:val="24"/>
                <w:highlight w:val="none"/>
                <w:lang w:val="en-US" w:eastAsia="zh-CN"/>
              </w:rPr>
              <w:t>预算</w:t>
            </w:r>
            <w:r>
              <w:rPr>
                <w:rFonts w:hint="eastAsia" w:ascii="宋体" w:hAnsi="宋体" w:cs="宋体"/>
                <w:color w:val="auto"/>
                <w:sz w:val="24"/>
                <w:szCs w:val="24"/>
                <w:highlight w:val="none"/>
              </w:rPr>
              <w:t>金额作为收费的计算基数。</w:t>
            </w:r>
          </w:p>
          <w:p>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3.</w:t>
            </w:r>
            <w:r>
              <w:rPr>
                <w:rFonts w:hint="eastAsia" w:ascii="宋体" w:hAnsi="宋体" w:cs="宋体"/>
                <w:color w:val="auto"/>
                <w:sz w:val="24"/>
                <w:szCs w:val="24"/>
                <w:highlight w:val="none"/>
                <w:lang w:eastAsia="zh-CN"/>
              </w:rPr>
              <w:t>参照</w:t>
            </w:r>
            <w:r>
              <w:rPr>
                <w:rFonts w:hint="eastAsia" w:ascii="宋体" w:hAnsi="宋体" w:cs="宋体"/>
                <w:color w:val="auto"/>
                <w:sz w:val="24"/>
                <w:highlight w:val="none"/>
              </w:rPr>
              <w:t>国家计委计价格【2002】1980号文件和国家发展改革委办公厅发改办价格【2003】857号文件规</w:t>
            </w:r>
            <w:r>
              <w:rPr>
                <w:rFonts w:hint="eastAsia" w:ascii="宋体" w:hAnsi="宋体" w:cs="宋体"/>
                <w:color w:val="auto"/>
                <w:sz w:val="24"/>
                <w:szCs w:val="24"/>
                <w:highlight w:val="none"/>
              </w:rPr>
              <w:t>定的标准向中标人收取采购代理服务费。</w:t>
            </w:r>
          </w:p>
          <w:p>
            <w:pPr>
              <w:spacing w:line="360" w:lineRule="auto"/>
              <w:jc w:val="lef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4.</w:t>
            </w:r>
            <w:r>
              <w:rPr>
                <w:rStyle w:val="116"/>
                <w:bCs/>
                <w:sz w:val="24"/>
                <w:highlight w:val="none"/>
              </w:rPr>
              <w:t>支付形式：</w:t>
            </w:r>
            <w:r>
              <w:rPr>
                <w:rStyle w:val="116"/>
                <w:bCs/>
                <w:sz w:val="24"/>
                <w:highlight w:val="none"/>
                <w:u w:val="single"/>
              </w:rPr>
              <w:t xml:space="preserve"> 转账或现金 </w:t>
            </w:r>
            <w:r>
              <w:rPr>
                <w:rStyle w:val="116"/>
                <w:rFonts w:hint="eastAsia"/>
                <w:bCs/>
                <w:sz w:val="24"/>
                <w:highlight w:val="none"/>
                <w:u w:val="single"/>
                <w:lang w:val="en-US" w:eastAsia="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95" w:type="dxa"/>
            <w:vAlign w:val="center"/>
          </w:tcPr>
          <w:p>
            <w:pPr>
              <w:pStyle w:val="80"/>
              <w:keepNext w:val="0"/>
              <w:keepLines w:val="0"/>
              <w:numPr>
                <w:ilvl w:val="1"/>
                <w:numId w:val="0"/>
              </w:numPr>
              <w:adjustRightInd w:val="0"/>
              <w:spacing w:line="360" w:lineRule="auto"/>
              <w:jc w:val="center"/>
              <w:textAlignment w:val="baseline"/>
              <w:rPr>
                <w:rFonts w:hint="default" w:eastAsia="宋体" w:cs="宋体"/>
                <w:color w:val="auto"/>
                <w:sz w:val="24"/>
                <w:szCs w:val="24"/>
                <w:highlight w:val="none"/>
                <w:lang w:val="en-US" w:eastAsia="zh-CN"/>
              </w:rPr>
            </w:pPr>
            <w:bookmarkStart w:id="90" w:name="_Toc4508"/>
            <w:bookmarkStart w:id="91" w:name="_Toc32284"/>
            <w:r>
              <w:rPr>
                <w:rFonts w:hint="eastAsia" w:cs="宋体"/>
                <w:color w:val="auto"/>
                <w:sz w:val="24"/>
                <w:szCs w:val="24"/>
                <w:highlight w:val="none"/>
                <w:lang w:val="en-US" w:eastAsia="zh-CN"/>
              </w:rPr>
              <w:t>26</w:t>
            </w:r>
            <w:bookmarkEnd w:id="90"/>
            <w:bookmarkEnd w:id="91"/>
          </w:p>
        </w:tc>
        <w:tc>
          <w:tcPr>
            <w:tcW w:w="1418" w:type="dxa"/>
            <w:vAlign w:val="center"/>
          </w:tcPr>
          <w:p>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投标文件</w:t>
            </w:r>
          </w:p>
        </w:tc>
        <w:tc>
          <w:tcPr>
            <w:tcW w:w="7031" w:type="dxa"/>
            <w:vAlign w:val="center"/>
          </w:tcPr>
          <w:p>
            <w:pPr>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在招标文件规定的投标文件递交截止时间前按规定在河南省公共资源交易中心交易系统上传加密的投标文件；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1" w:hRule="atLeast"/>
          <w:jc w:val="center"/>
        </w:trPr>
        <w:tc>
          <w:tcPr>
            <w:tcW w:w="595" w:type="dxa"/>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27</w:t>
            </w:r>
          </w:p>
        </w:tc>
        <w:tc>
          <w:tcPr>
            <w:tcW w:w="1418" w:type="dxa"/>
            <w:vAlign w:val="center"/>
          </w:tcPr>
          <w:p>
            <w:pPr>
              <w:pStyle w:val="80"/>
              <w:keepNext w:val="0"/>
              <w:keepLines w:val="0"/>
              <w:numPr>
                <w:ilvl w:val="1"/>
                <w:numId w:val="0"/>
              </w:numPr>
              <w:adjustRightInd w:val="0"/>
              <w:spacing w:line="360" w:lineRule="auto"/>
              <w:jc w:val="center"/>
              <w:textAlignment w:val="baseline"/>
              <w:rPr>
                <w:rFonts w:cs="宋体"/>
                <w:bCs w:val="0"/>
                <w:color w:val="auto"/>
                <w:sz w:val="24"/>
                <w:szCs w:val="24"/>
                <w:highlight w:val="none"/>
              </w:rPr>
            </w:pPr>
            <w:bookmarkStart w:id="92" w:name="_Toc13706"/>
            <w:bookmarkStart w:id="93" w:name="_Toc25475"/>
            <w:r>
              <w:rPr>
                <w:rFonts w:hint="eastAsia" w:cs="宋体"/>
                <w:bCs w:val="0"/>
                <w:color w:val="auto"/>
                <w:sz w:val="24"/>
                <w:szCs w:val="24"/>
                <w:highlight w:val="none"/>
              </w:rPr>
              <w:t>履约保证金</w:t>
            </w:r>
            <w:bookmarkEnd w:id="92"/>
            <w:bookmarkEnd w:id="93"/>
          </w:p>
        </w:tc>
        <w:tc>
          <w:tcPr>
            <w:tcW w:w="7031" w:type="dxa"/>
            <w:vAlign w:val="center"/>
          </w:tcPr>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是否提交履约保证金：</w:t>
            </w:r>
            <w:r>
              <w:rPr>
                <w:rFonts w:hint="eastAsia" w:ascii="宋体" w:hAnsi="宋体" w:cs="宋体"/>
                <w:color w:val="auto"/>
                <w:sz w:val="24"/>
                <w:highlight w:val="none"/>
                <w:u w:val="single"/>
              </w:rPr>
              <w:t>是</w:t>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履约保证金金额：</w:t>
            </w:r>
            <w:r>
              <w:rPr>
                <w:rFonts w:hint="eastAsia" w:ascii="宋体" w:hAnsi="宋体" w:cs="宋体"/>
                <w:color w:val="auto"/>
                <w:sz w:val="24"/>
                <w:highlight w:val="none"/>
                <w:lang w:eastAsia="zh-CN"/>
              </w:rPr>
              <w:t>合同</w:t>
            </w:r>
            <w:r>
              <w:rPr>
                <w:rFonts w:hint="eastAsia" w:ascii="宋体" w:hAnsi="宋体" w:cs="宋体"/>
                <w:color w:val="auto"/>
                <w:sz w:val="24"/>
                <w:highlight w:val="none"/>
              </w:rPr>
              <w:t>金额的</w:t>
            </w:r>
            <w:r>
              <w:rPr>
                <w:rFonts w:hint="eastAsia" w:ascii="宋体" w:hAnsi="宋体" w:cs="宋体"/>
                <w:color w:val="auto"/>
                <w:sz w:val="24"/>
                <w:highlight w:val="none"/>
                <w:lang w:val="en-US" w:eastAsia="zh-CN"/>
              </w:rPr>
              <w:t>5</w:t>
            </w:r>
            <w:r>
              <w:rPr>
                <w:rFonts w:hint="eastAsia" w:ascii="宋体" w:hAnsi="宋体" w:cs="宋体"/>
                <w:color w:val="auto"/>
                <w:sz w:val="24"/>
                <w:highlight w:val="none"/>
              </w:rPr>
              <w:t>%。</w:t>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履约担保的形式：现金</w:t>
            </w:r>
            <w:r>
              <w:rPr>
                <w:rFonts w:hint="eastAsia" w:ascii="宋体" w:hAnsi="宋体" w:cs="宋体"/>
                <w:color w:val="auto"/>
                <w:sz w:val="24"/>
                <w:highlight w:val="none"/>
                <w:lang w:eastAsia="zh-CN"/>
              </w:rPr>
              <w:t>、</w:t>
            </w:r>
            <w:r>
              <w:rPr>
                <w:rFonts w:hint="eastAsia" w:ascii="宋体" w:hAnsi="宋体" w:cs="宋体"/>
                <w:color w:val="auto"/>
                <w:sz w:val="24"/>
                <w:highlight w:val="none"/>
              </w:rPr>
              <w:t>转账</w:t>
            </w:r>
            <w:r>
              <w:rPr>
                <w:rFonts w:hint="eastAsia" w:ascii="宋体" w:hAnsi="宋体" w:cs="宋体"/>
                <w:color w:val="auto"/>
                <w:sz w:val="24"/>
                <w:highlight w:val="none"/>
                <w:lang w:eastAsia="zh-CN"/>
              </w:rPr>
              <w:t>或保函</w:t>
            </w:r>
            <w:r>
              <w:rPr>
                <w:rFonts w:hint="eastAsia" w:ascii="宋体" w:hAnsi="宋体" w:cs="宋体"/>
                <w:color w:val="auto"/>
                <w:sz w:val="24"/>
                <w:highlight w:val="none"/>
              </w:rPr>
              <w:t>。</w:t>
            </w:r>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履约保证金的交纳方式：中标人在领取中标通知书后、签订合同前向采购人提供。</w:t>
            </w:r>
          </w:p>
          <w:p>
            <w:pPr>
              <w:spacing w:line="360" w:lineRule="auto"/>
              <w:jc w:val="left"/>
              <w:rPr>
                <w:rFonts w:ascii="宋体" w:hAnsi="宋体" w:cs="宋体"/>
                <w:color w:val="auto"/>
                <w:sz w:val="24"/>
                <w:szCs w:val="24"/>
                <w:highlight w:val="none"/>
              </w:rPr>
            </w:pPr>
            <w:r>
              <w:rPr>
                <w:rFonts w:hint="eastAsia" w:ascii="宋体" w:hAnsi="宋体" w:cs="宋体"/>
                <w:color w:val="auto"/>
                <w:sz w:val="24"/>
                <w:highlight w:val="none"/>
              </w:rPr>
              <w:t>履约保证金的退还：所有货物验收合格，资料正式交接完毕，交付采购人使用后，予以退还。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11" w:hRule="atLeast"/>
          <w:jc w:val="center"/>
        </w:trPr>
        <w:tc>
          <w:tcPr>
            <w:tcW w:w="595" w:type="dxa"/>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28</w:t>
            </w:r>
          </w:p>
        </w:tc>
        <w:tc>
          <w:tcPr>
            <w:tcW w:w="1418" w:type="dxa"/>
            <w:vAlign w:val="center"/>
          </w:tcPr>
          <w:p>
            <w:pPr>
              <w:spacing w:line="360" w:lineRule="auto"/>
              <w:jc w:val="center"/>
              <w:rPr>
                <w:rFonts w:ascii="宋体" w:hAnsi="宋体" w:cs="宋体"/>
                <w:color w:val="auto"/>
                <w:sz w:val="24"/>
                <w:szCs w:val="24"/>
                <w:highlight w:val="none"/>
              </w:rPr>
            </w:pPr>
            <w:r>
              <w:rPr>
                <w:bCs/>
                <w:sz w:val="24"/>
                <w:highlight w:val="none"/>
              </w:rPr>
              <w:t>招标人是否委托评标委员会直接确定中标供应商</w:t>
            </w:r>
          </w:p>
        </w:tc>
        <w:tc>
          <w:tcPr>
            <w:tcW w:w="7031" w:type="dxa"/>
            <w:vAlign w:val="center"/>
          </w:tcPr>
          <w:p>
            <w:pPr>
              <w:spacing w:line="400" w:lineRule="exact"/>
              <w:jc w:val="left"/>
              <w:rPr>
                <w:rFonts w:ascii="宋体" w:hAnsi="宋体" w:cs="宋体"/>
                <w:color w:val="auto"/>
                <w:sz w:val="24"/>
                <w:szCs w:val="24"/>
                <w:highlight w:val="none"/>
              </w:rPr>
            </w:pPr>
            <w:r>
              <w:rPr>
                <w:bCs/>
                <w:sz w:val="24"/>
                <w:highlight w:val="none"/>
                <w:u w:val="single"/>
              </w:rPr>
              <w:t xml:space="preserve">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545" w:hRule="atLeast"/>
          <w:jc w:val="center"/>
        </w:trPr>
        <w:tc>
          <w:tcPr>
            <w:tcW w:w="595" w:type="dxa"/>
            <w:vAlign w:val="center"/>
          </w:tcPr>
          <w:p>
            <w:pPr>
              <w:spacing w:line="360" w:lineRule="auto"/>
              <w:jc w:val="center"/>
              <w:rPr>
                <w:rFonts w:hint="default" w:ascii="宋体" w:hAnsi="宋体" w:eastAsia="宋体" w:cs="宋体"/>
                <w:color w:val="auto"/>
                <w:sz w:val="24"/>
                <w:szCs w:val="24"/>
                <w:highlight w:val="none"/>
                <w:lang w:val="en-US" w:eastAsia="zh-CN"/>
              </w:rPr>
            </w:pPr>
            <w:bookmarkStart w:id="94" w:name="_Toc192991249"/>
            <w:bookmarkStart w:id="95" w:name="_Toc192990004"/>
            <w:bookmarkStart w:id="96" w:name="_Toc192992680"/>
            <w:bookmarkStart w:id="97" w:name="_Toc193083542"/>
            <w:bookmarkStart w:id="98" w:name="_Toc192478080"/>
            <w:bookmarkStart w:id="99" w:name="_Toc192643563"/>
            <w:bookmarkStart w:id="100" w:name="_Toc192944666"/>
            <w:bookmarkStart w:id="101" w:name="_Toc200960068"/>
            <w:r>
              <w:rPr>
                <w:rFonts w:hint="eastAsia" w:ascii="宋体" w:hAnsi="宋体" w:cs="宋体"/>
                <w:color w:val="auto"/>
                <w:sz w:val="24"/>
                <w:szCs w:val="24"/>
                <w:highlight w:val="none"/>
                <w:lang w:val="en-US" w:eastAsia="zh-CN"/>
              </w:rPr>
              <w:t>29</w:t>
            </w:r>
          </w:p>
        </w:tc>
        <w:tc>
          <w:tcPr>
            <w:tcW w:w="1418" w:type="dxa"/>
            <w:vAlign w:val="center"/>
          </w:tcPr>
          <w:p>
            <w:pPr>
              <w:spacing w:line="360" w:lineRule="auto"/>
              <w:jc w:val="center"/>
              <w:rPr>
                <w:rFonts w:ascii="宋体" w:hAnsi="宋体" w:cs="宋体"/>
                <w:b/>
                <w:color w:val="auto"/>
                <w:sz w:val="24"/>
                <w:szCs w:val="24"/>
                <w:highlight w:val="none"/>
                <w:lang w:val="zh-CN"/>
              </w:rPr>
            </w:pPr>
            <w:r>
              <w:rPr>
                <w:rFonts w:hint="eastAsia" w:ascii="宋体" w:hAnsi="宋体" w:cs="宋体"/>
                <w:b/>
                <w:bCs/>
                <w:color w:val="auto"/>
                <w:sz w:val="24"/>
                <w:szCs w:val="24"/>
                <w:highlight w:val="none"/>
              </w:rPr>
              <w:t>投标文件注意事项</w:t>
            </w:r>
          </w:p>
        </w:tc>
        <w:tc>
          <w:tcPr>
            <w:tcW w:w="7031" w:type="dxa"/>
            <w:vAlign w:val="center"/>
          </w:tcPr>
          <w:p>
            <w:pPr>
              <w:spacing w:line="400" w:lineRule="exact"/>
              <w:jc w:val="left"/>
              <w:rPr>
                <w:rFonts w:ascii="宋体" w:hAnsi="宋体" w:cs="宋体"/>
                <w:color w:val="auto"/>
                <w:sz w:val="24"/>
                <w:szCs w:val="24"/>
                <w:highlight w:val="none"/>
              </w:rPr>
            </w:pPr>
            <w:r>
              <w:rPr>
                <w:bCs/>
                <w:sz w:val="24"/>
                <w:highlight w:val="none"/>
              </w:rPr>
              <w:t>建议供应商将采购文件格式所要求包含的全部资料应全部制作在电子投标文件的“其它内容”内，并建立有效的目录，以方便评审和电子资料归档</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95" w:type="dxa"/>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30</w:t>
            </w:r>
          </w:p>
        </w:tc>
        <w:tc>
          <w:tcPr>
            <w:tcW w:w="1418" w:type="dxa"/>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评标委员会成员</w:t>
            </w:r>
          </w:p>
        </w:tc>
        <w:tc>
          <w:tcPr>
            <w:tcW w:w="7031" w:type="dxa"/>
            <w:vAlign w:val="center"/>
          </w:tcPr>
          <w:p>
            <w:pPr>
              <w:spacing w:line="400" w:lineRule="exact"/>
              <w:jc w:val="left"/>
              <w:rPr>
                <w:rFonts w:ascii="宋体" w:hAnsi="宋体" w:cs="宋体"/>
                <w:bCs/>
                <w:color w:val="auto"/>
                <w:sz w:val="24"/>
                <w:szCs w:val="24"/>
                <w:highlight w:val="none"/>
              </w:rPr>
            </w:pPr>
            <w:r>
              <w:rPr>
                <w:rFonts w:hint="eastAsia" w:ascii="宋体" w:hAnsi="宋体" w:cs="宋体"/>
                <w:color w:val="auto"/>
                <w:sz w:val="24"/>
                <w:highlight w:val="none"/>
              </w:rPr>
              <w:t>5人</w:t>
            </w:r>
            <w:r>
              <w:rPr>
                <w:rFonts w:hint="eastAsia" w:ascii="宋体" w:hAnsi="宋体" w:cs="宋体"/>
                <w:color w:val="auto"/>
                <w:sz w:val="24"/>
                <w:highlight w:val="none"/>
                <w:lang w:eastAsia="zh-CN"/>
              </w:rPr>
              <w:t>，由经济、技术专家和采购人代表等组成。除采购人代表以外的外聘专家不少于评委会成员所有成员的三分之二，并按政府采购制度的规定从财政部门的政府采购专家库中随机抽取</w:t>
            </w:r>
            <w:r>
              <w:rPr>
                <w:rFonts w:hint="eastAsia" w:ascii="宋体" w:hAnsi="宋体" w:cs="宋体"/>
                <w:color w:val="auto"/>
                <w:sz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95" w:type="dxa"/>
            <w:vAlign w:val="center"/>
          </w:tcPr>
          <w:p>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31</w:t>
            </w:r>
          </w:p>
        </w:tc>
        <w:tc>
          <w:tcPr>
            <w:tcW w:w="1418" w:type="dxa"/>
            <w:vAlign w:val="center"/>
          </w:tcPr>
          <w:p>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评标方法</w:t>
            </w:r>
          </w:p>
        </w:tc>
        <w:tc>
          <w:tcPr>
            <w:tcW w:w="7031" w:type="dxa"/>
            <w:vAlign w:val="center"/>
          </w:tcPr>
          <w:p>
            <w:pPr>
              <w:spacing w:line="400" w:lineRule="exact"/>
              <w:jc w:val="left"/>
              <w:rPr>
                <w:rFonts w:hint="eastAsia" w:ascii="宋体" w:hAnsi="宋体" w:cs="宋体"/>
                <w:color w:val="auto"/>
                <w:sz w:val="24"/>
                <w:highlight w:val="none"/>
              </w:rPr>
            </w:pPr>
            <w:r>
              <w:rPr>
                <w:rFonts w:hint="eastAsia" w:ascii="宋体" w:hAnsi="宋体" w:cs="宋体"/>
                <w:color w:val="auto"/>
                <w:sz w:val="24"/>
                <w:highlight w:val="none"/>
              </w:rPr>
              <w:t>适用</w:t>
            </w:r>
            <w:r>
              <w:rPr>
                <w:rFonts w:hint="eastAsia" w:ascii="宋体" w:hAnsi="宋体" w:cs="宋体"/>
                <w:b/>
                <w:color w:val="auto"/>
                <w:sz w:val="24"/>
                <w:highlight w:val="none"/>
                <w:u w:val="single"/>
              </w:rPr>
              <w:t>综合评分法</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95" w:type="dxa"/>
            <w:vAlign w:val="center"/>
          </w:tcPr>
          <w:p>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32</w:t>
            </w:r>
          </w:p>
        </w:tc>
        <w:tc>
          <w:tcPr>
            <w:tcW w:w="1418" w:type="dxa"/>
            <w:vAlign w:val="center"/>
          </w:tcPr>
          <w:p>
            <w:pPr>
              <w:spacing w:line="360" w:lineRule="auto"/>
              <w:jc w:val="center"/>
              <w:rPr>
                <w:rFonts w:hint="eastAsia" w:ascii="宋体" w:hAnsi="宋体" w:cs="宋体"/>
                <w:color w:val="auto"/>
                <w:sz w:val="24"/>
                <w:szCs w:val="24"/>
                <w:highlight w:val="none"/>
                <w:lang w:val="en-US" w:eastAsia="zh-CN"/>
              </w:rPr>
            </w:pPr>
            <w:r>
              <w:rPr>
                <w:rFonts w:hint="eastAsia" w:ascii="宋体" w:hAnsi="宋体" w:cs="宋体"/>
                <w:color w:val="auto"/>
                <w:sz w:val="24"/>
                <w:highlight w:val="none"/>
                <w:lang w:eastAsia="zh-CN"/>
              </w:rPr>
              <w:t>采购人</w:t>
            </w:r>
            <w:r>
              <w:rPr>
                <w:rFonts w:hint="eastAsia" w:ascii="宋体" w:hAnsi="宋体" w:cs="宋体"/>
                <w:color w:val="auto"/>
                <w:sz w:val="24"/>
                <w:highlight w:val="none"/>
              </w:rPr>
              <w:t>是否委托评标委员会直接确定中标供应商</w:t>
            </w:r>
          </w:p>
        </w:tc>
        <w:tc>
          <w:tcPr>
            <w:tcW w:w="7031" w:type="dxa"/>
            <w:vAlign w:val="center"/>
          </w:tcPr>
          <w:p>
            <w:pPr>
              <w:spacing w:line="400" w:lineRule="exact"/>
              <w:jc w:val="left"/>
              <w:rPr>
                <w:rFonts w:hint="eastAsia" w:ascii="宋体" w:hAnsi="宋体" w:cs="宋体"/>
                <w:color w:val="auto"/>
                <w:sz w:val="24"/>
                <w:highlight w:val="none"/>
              </w:rPr>
            </w:pPr>
            <w:r>
              <w:rPr>
                <w:rFonts w:hint="eastAsia" w:ascii="宋体" w:hAnsi="宋体" w:cs="宋体"/>
                <w:b/>
                <w:color w:val="auto"/>
                <w:sz w:val="24"/>
                <w:highlight w:val="none"/>
                <w:u w:val="single"/>
              </w:rPr>
              <w:t>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jc w:val="center"/>
        </w:trPr>
        <w:tc>
          <w:tcPr>
            <w:tcW w:w="595" w:type="dxa"/>
            <w:vAlign w:val="center"/>
          </w:tcPr>
          <w:p>
            <w:pPr>
              <w:spacing w:line="360" w:lineRule="auto"/>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33</w:t>
            </w:r>
          </w:p>
        </w:tc>
        <w:tc>
          <w:tcPr>
            <w:tcW w:w="1418" w:type="dxa"/>
            <w:vAlign w:val="center"/>
          </w:tcPr>
          <w:p>
            <w:pPr>
              <w:spacing w:line="360" w:lineRule="auto"/>
              <w:jc w:val="center"/>
              <w:rPr>
                <w:rFonts w:hint="eastAsia" w:ascii="宋体" w:hAnsi="宋体" w:cs="宋体"/>
                <w:color w:val="auto"/>
                <w:sz w:val="24"/>
                <w:highlight w:val="none"/>
                <w:lang w:eastAsia="zh-CN"/>
              </w:rPr>
            </w:pPr>
            <w:r>
              <w:rPr>
                <w:rFonts w:hint="eastAsia" w:ascii="宋体" w:hAnsi="宋体" w:cs="宋体"/>
                <w:color w:val="auto"/>
                <w:sz w:val="24"/>
                <w:highlight w:val="none"/>
              </w:rPr>
              <w:t>推荐中标候选人的数量</w:t>
            </w:r>
          </w:p>
        </w:tc>
        <w:tc>
          <w:tcPr>
            <w:tcW w:w="7031" w:type="dxa"/>
            <w:vAlign w:val="center"/>
          </w:tcPr>
          <w:p>
            <w:pPr>
              <w:spacing w:line="400" w:lineRule="exact"/>
              <w:jc w:val="left"/>
              <w:rPr>
                <w:rFonts w:hint="eastAsia" w:ascii="宋体" w:hAnsi="宋体" w:cs="宋体"/>
                <w:b/>
                <w:color w:val="auto"/>
                <w:sz w:val="24"/>
                <w:highlight w:val="none"/>
                <w:u w:val="single"/>
              </w:rPr>
            </w:pPr>
            <w:r>
              <w:rPr>
                <w:rFonts w:hint="eastAsia" w:ascii="宋体" w:hAnsi="宋体" w:cs="宋体"/>
                <w:b/>
                <w:color w:val="auto"/>
                <w:sz w:val="24"/>
                <w:highlight w:val="none"/>
                <w:u w:val="single"/>
              </w:rPr>
              <w:t>3名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9" w:hRule="atLeast"/>
          <w:jc w:val="center"/>
        </w:trPr>
        <w:tc>
          <w:tcPr>
            <w:tcW w:w="595" w:type="dxa"/>
            <w:tcBorders>
              <w:bottom w:val="single" w:color="auto" w:sz="12" w:space="0"/>
            </w:tcBorders>
            <w:vAlign w:val="center"/>
          </w:tcPr>
          <w:p>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34</w:t>
            </w:r>
          </w:p>
        </w:tc>
        <w:tc>
          <w:tcPr>
            <w:tcW w:w="1418" w:type="dxa"/>
            <w:tcBorders>
              <w:bottom w:val="single" w:color="auto" w:sz="12" w:space="0"/>
            </w:tcBorders>
            <w:vAlign w:val="center"/>
          </w:tcPr>
          <w:p>
            <w:pPr>
              <w:spacing w:line="36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其他说明</w:t>
            </w:r>
          </w:p>
        </w:tc>
        <w:tc>
          <w:tcPr>
            <w:tcW w:w="7031" w:type="dxa"/>
            <w:tcBorders>
              <w:bottom w:val="single" w:color="auto" w:sz="12" w:space="0"/>
            </w:tcBorders>
            <w:vAlign w:val="center"/>
          </w:tcPr>
          <w:p>
            <w:pPr>
              <w:spacing w:line="400" w:lineRule="exact"/>
              <w:jc w:val="left"/>
              <w:rPr>
                <w:rFonts w:ascii="宋体" w:hAnsi="宋体" w:cs="宋体"/>
                <w:color w:val="auto"/>
                <w:sz w:val="24"/>
                <w:szCs w:val="24"/>
                <w:highlight w:val="none"/>
              </w:rPr>
            </w:pPr>
            <w:r>
              <w:rPr>
                <w:rFonts w:hint="eastAsia" w:ascii="宋体" w:hAnsi="宋体" w:cs="宋体"/>
                <w:color w:val="auto"/>
                <w:sz w:val="24"/>
                <w:szCs w:val="24"/>
                <w:highlight w:val="none"/>
              </w:rPr>
              <w:t>除第四章资格性和符合性审查规定的资格、响应要求外，其他非实质性偏离不作为否决投标或废标的依据；</w:t>
            </w:r>
          </w:p>
        </w:tc>
      </w:tr>
    </w:tbl>
    <w:p>
      <w:pPr>
        <w:rPr>
          <w:rFonts w:ascii="宋体" w:hAnsi="宋体" w:cs="宋体"/>
          <w:color w:val="auto"/>
          <w:sz w:val="30"/>
          <w:highlight w:val="none"/>
        </w:rPr>
      </w:pPr>
      <w:r>
        <w:rPr>
          <w:rFonts w:hint="eastAsia" w:ascii="宋体" w:hAnsi="宋体" w:cs="宋体"/>
          <w:color w:val="auto"/>
          <w:sz w:val="30"/>
          <w:highlight w:val="none"/>
        </w:rPr>
        <w:br w:type="page"/>
      </w:r>
    </w:p>
    <w:p>
      <w:pPr>
        <w:pStyle w:val="5"/>
        <w:numPr>
          <w:ilvl w:val="0"/>
          <w:numId w:val="5"/>
        </w:numPr>
        <w:tabs>
          <w:tab w:val="left" w:pos="721"/>
        </w:tabs>
        <w:spacing w:line="360" w:lineRule="auto"/>
        <w:jc w:val="left"/>
        <w:rPr>
          <w:rFonts w:ascii="宋体" w:hAnsi="宋体" w:cs="宋体"/>
          <w:color w:val="auto"/>
          <w:sz w:val="24"/>
          <w:szCs w:val="24"/>
          <w:highlight w:val="none"/>
        </w:rPr>
      </w:pPr>
      <w:bookmarkStart w:id="102" w:name="_Toc9477"/>
      <w:bookmarkStart w:id="103" w:name="_Toc9539"/>
      <w:r>
        <w:rPr>
          <w:rFonts w:hint="eastAsia" w:ascii="宋体" w:hAnsi="宋体" w:cs="宋体"/>
          <w:color w:val="auto"/>
          <w:sz w:val="24"/>
          <w:szCs w:val="24"/>
          <w:highlight w:val="none"/>
        </w:rPr>
        <w:t>定义</w:t>
      </w:r>
      <w:bookmarkEnd w:id="94"/>
      <w:bookmarkEnd w:id="95"/>
      <w:bookmarkEnd w:id="96"/>
      <w:bookmarkEnd w:id="97"/>
      <w:bookmarkEnd w:id="98"/>
      <w:bookmarkEnd w:id="99"/>
      <w:bookmarkEnd w:id="100"/>
      <w:bookmarkEnd w:id="101"/>
      <w:bookmarkEnd w:id="102"/>
      <w:bookmarkEnd w:id="103"/>
    </w:p>
    <w:p>
      <w:pPr>
        <w:numPr>
          <w:ilvl w:val="0"/>
          <w:numId w:val="6"/>
        </w:numPr>
        <w:tabs>
          <w:tab w:val="left" w:pos="1185"/>
        </w:tabs>
        <w:spacing w:line="360" w:lineRule="auto"/>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   本招标文件适用于</w:t>
      </w:r>
      <w:r>
        <w:rPr>
          <w:rStyle w:val="116"/>
          <w:rFonts w:hint="eastAsia"/>
          <w:bCs/>
          <w:iCs/>
          <w:sz w:val="24"/>
          <w:highlight w:val="none"/>
        </w:rPr>
        <w:t>河南省新闻出版学校2020-2021学年教材采购项目</w:t>
      </w:r>
      <w:r>
        <w:rPr>
          <w:rFonts w:hint="eastAsia" w:ascii="宋体" w:hAnsi="宋体" w:cs="宋体"/>
          <w:color w:val="auto"/>
          <w:sz w:val="24"/>
          <w:szCs w:val="24"/>
          <w:highlight w:val="none"/>
        </w:rPr>
        <w:t>。</w:t>
      </w:r>
    </w:p>
    <w:p>
      <w:pPr>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2.    采购人：指《第一章招标公告》中所述的、依法进行政府采购的采购单位。</w:t>
      </w:r>
    </w:p>
    <w:p>
      <w:pPr>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3.    采购代理机构：受采购人委托组织招标活动，在招标活动中负有相应义务和责任的</w:t>
      </w:r>
      <w:r>
        <w:rPr>
          <w:rFonts w:hint="eastAsia" w:ascii="宋体" w:hAnsi="宋体" w:cs="宋体"/>
          <w:color w:val="auto"/>
          <w:sz w:val="24"/>
          <w:szCs w:val="24"/>
          <w:highlight w:val="none"/>
          <w:lang w:val="en-US" w:eastAsia="zh-CN"/>
        </w:rPr>
        <w:t>河南招标采购服务有限公司</w:t>
      </w:r>
      <w:r>
        <w:rPr>
          <w:rFonts w:hint="eastAsia" w:ascii="宋体" w:hAnsi="宋体" w:cs="宋体"/>
          <w:color w:val="auto"/>
          <w:sz w:val="24"/>
          <w:szCs w:val="24"/>
          <w:highlight w:val="none"/>
        </w:rPr>
        <w:t>。</w:t>
      </w:r>
    </w:p>
    <w:p>
      <w:pPr>
        <w:tabs>
          <w:tab w:val="left" w:pos="1185"/>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4.    投标人（供应商）：指向采购人提供货物、工程或者服务的法人、其他组织或者自然人。本项目对投标人的具体要求详见《第一章招标公告》。</w:t>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5.    中标人：收到并接受中标通知书，最终被授予合同的投标人。</w:t>
      </w:r>
    </w:p>
    <w:p>
      <w:pPr>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6.    投标文件：指投标单位根据招标文件提交的所有文件（包括澄清及答疑函）。</w:t>
      </w:r>
    </w:p>
    <w:p>
      <w:pPr>
        <w:tabs>
          <w:tab w:val="left" w:pos="1185"/>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7</w:t>
      </w:r>
      <w:r>
        <w:rPr>
          <w:rFonts w:hint="eastAsia" w:ascii="宋体" w:hAnsi="宋体" w:cs="宋体"/>
          <w:color w:val="auto"/>
          <w:sz w:val="24"/>
          <w:szCs w:val="24"/>
          <w:highlight w:val="none"/>
        </w:rPr>
        <w:t>.    投标费用：在投标过程中,投标人应自行承担所有与参加投标有关的全部费用，采购人及采购代理机构在任何情况下均无义务和责任承担上述费用。</w:t>
      </w:r>
    </w:p>
    <w:p>
      <w:pPr>
        <w:pStyle w:val="5"/>
        <w:numPr>
          <w:ilvl w:val="0"/>
          <w:numId w:val="5"/>
        </w:numPr>
        <w:tabs>
          <w:tab w:val="left" w:pos="721"/>
        </w:tabs>
        <w:spacing w:line="360" w:lineRule="auto"/>
        <w:jc w:val="left"/>
        <w:rPr>
          <w:rFonts w:ascii="宋体" w:hAnsi="宋体" w:cs="宋体"/>
          <w:color w:val="auto"/>
          <w:sz w:val="24"/>
          <w:szCs w:val="24"/>
          <w:highlight w:val="none"/>
        </w:rPr>
      </w:pPr>
      <w:bookmarkStart w:id="104" w:name="_Toc22953398"/>
      <w:bookmarkStart w:id="105" w:name="_Toc22568790"/>
      <w:bookmarkStart w:id="106" w:name="_Toc160359569"/>
      <w:bookmarkStart w:id="107" w:name="_Toc187481110"/>
      <w:bookmarkStart w:id="108" w:name="_Toc24802229"/>
      <w:bookmarkStart w:id="109" w:name="_Toc176667615"/>
      <w:bookmarkStart w:id="110" w:name="_Toc160186116"/>
      <w:bookmarkStart w:id="111" w:name="_Toc22723957"/>
      <w:bookmarkStart w:id="112" w:name="_Toc22804076"/>
      <w:bookmarkStart w:id="113" w:name="_Toc22962879"/>
      <w:bookmarkStart w:id="114" w:name="_Toc146071170"/>
      <w:bookmarkStart w:id="115" w:name="_Toc180208004"/>
      <w:bookmarkStart w:id="116" w:name="_Toc22570497"/>
      <w:bookmarkStart w:id="117" w:name="_Toc176721926"/>
      <w:bookmarkStart w:id="118" w:name="_Toc192991250"/>
      <w:bookmarkStart w:id="119" w:name="_Toc192478081"/>
      <w:bookmarkStart w:id="120" w:name="_Toc192643564"/>
      <w:bookmarkStart w:id="121" w:name="_Toc200960069"/>
      <w:bookmarkStart w:id="122" w:name="_Toc192944667"/>
      <w:bookmarkStart w:id="123" w:name="_Toc193083543"/>
      <w:bookmarkStart w:id="124" w:name="_Toc192992681"/>
      <w:bookmarkStart w:id="125" w:name="_Toc31897"/>
      <w:bookmarkStart w:id="126" w:name="_Toc192990005"/>
      <w:bookmarkStart w:id="127" w:name="_Toc26290"/>
      <w:r>
        <w:rPr>
          <w:rFonts w:hint="eastAsia" w:ascii="宋体" w:hAnsi="宋体" w:cs="宋体"/>
          <w:color w:val="auto"/>
          <w:sz w:val="24"/>
          <w:szCs w:val="24"/>
          <w:highlight w:val="none"/>
        </w:rPr>
        <w:t>招标文件</w: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r>
        <w:rPr>
          <w:rFonts w:hint="eastAsia" w:ascii="宋体" w:hAnsi="宋体" w:cs="宋体"/>
          <w:color w:val="auto"/>
          <w:sz w:val="24"/>
          <w:szCs w:val="24"/>
          <w:highlight w:val="none"/>
        </w:rPr>
        <w:t>的获取、澄清与变更</w:t>
      </w:r>
      <w:bookmarkEnd w:id="118"/>
      <w:bookmarkEnd w:id="119"/>
      <w:bookmarkEnd w:id="120"/>
      <w:bookmarkEnd w:id="121"/>
      <w:bookmarkEnd w:id="122"/>
      <w:bookmarkEnd w:id="123"/>
      <w:bookmarkEnd w:id="124"/>
      <w:bookmarkEnd w:id="125"/>
      <w:bookmarkEnd w:id="126"/>
      <w:bookmarkEnd w:id="127"/>
    </w:p>
    <w:p>
      <w:pPr>
        <w:tabs>
          <w:tab w:val="left" w:pos="1185"/>
        </w:tabs>
        <w:spacing w:line="360" w:lineRule="auto"/>
        <w:ind w:left="602" w:hanging="602" w:hangingChars="250"/>
        <w:rPr>
          <w:rFonts w:ascii="宋体" w:hAnsi="宋体" w:cs="宋体"/>
          <w:b/>
          <w:color w:val="auto"/>
          <w:sz w:val="24"/>
          <w:szCs w:val="24"/>
          <w:highlight w:val="none"/>
        </w:rPr>
      </w:pPr>
      <w:r>
        <w:rPr>
          <w:rFonts w:hint="eastAsia" w:ascii="宋体" w:hAnsi="宋体" w:cs="宋体"/>
          <w:b/>
          <w:color w:val="auto"/>
          <w:sz w:val="24"/>
          <w:szCs w:val="24"/>
          <w:highlight w:val="none"/>
        </w:rPr>
        <w:t>1.    招标文件的获取</w:t>
      </w:r>
    </w:p>
    <w:p>
      <w:pPr>
        <w:tabs>
          <w:tab w:val="left" w:pos="1185"/>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1.1   招标文件用以阐明本次招标的货物要求，招标、投标程序和合同条件。</w:t>
      </w:r>
    </w:p>
    <w:p>
      <w:pPr>
        <w:tabs>
          <w:tab w:val="left" w:pos="1185"/>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1.2   招标文件应从采购人指定的合法合规渠道获得。</w:t>
      </w:r>
    </w:p>
    <w:p>
      <w:pPr>
        <w:tabs>
          <w:tab w:val="left" w:pos="1185"/>
        </w:tabs>
        <w:spacing w:line="360" w:lineRule="auto"/>
        <w:ind w:left="602" w:hanging="602" w:hangingChars="250"/>
        <w:rPr>
          <w:rFonts w:ascii="宋体" w:hAnsi="宋体" w:cs="宋体"/>
          <w:b/>
          <w:color w:val="auto"/>
          <w:sz w:val="24"/>
          <w:szCs w:val="24"/>
          <w:highlight w:val="none"/>
        </w:rPr>
      </w:pPr>
      <w:r>
        <w:rPr>
          <w:rFonts w:hint="eastAsia" w:ascii="宋体" w:hAnsi="宋体" w:cs="宋体"/>
          <w:b/>
          <w:color w:val="auto"/>
          <w:sz w:val="24"/>
          <w:szCs w:val="24"/>
          <w:highlight w:val="none"/>
        </w:rPr>
        <w:t>2.    招标文件的疑问</w:t>
      </w:r>
    </w:p>
    <w:p>
      <w:pPr>
        <w:tabs>
          <w:tab w:val="left" w:pos="1185"/>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 xml:space="preserve">2.1   </w:t>
      </w:r>
      <w:r>
        <w:rPr>
          <w:rFonts w:hint="eastAsia" w:ascii="宋体" w:hAnsi="宋体" w:cs="宋体"/>
          <w:color w:val="auto"/>
          <w:sz w:val="24"/>
          <w:highlight w:val="none"/>
        </w:rPr>
        <w:t>报名成功后的供应商凭CA密钥登录系统，自行缴费、下载招标文件，招标文件费用缴纳时间即视为招标文件下载时间</w:t>
      </w:r>
      <w:r>
        <w:rPr>
          <w:rFonts w:hint="eastAsia" w:ascii="宋体" w:hAnsi="宋体" w:cs="宋体"/>
          <w:color w:val="auto"/>
          <w:sz w:val="24"/>
          <w:szCs w:val="24"/>
          <w:highlight w:val="none"/>
        </w:rPr>
        <w:t>，投标人可以对招标文件提出疑问，提出疑问的起止时间</w:t>
      </w:r>
      <w:r>
        <w:rPr>
          <w:rFonts w:hint="eastAsia" w:ascii="宋体" w:hAnsi="宋体" w:cs="宋体"/>
          <w:color w:val="auto"/>
          <w:sz w:val="24"/>
          <w:szCs w:val="24"/>
          <w:highlight w:val="none"/>
          <w:lang w:val="en-US" w:eastAsia="zh-CN"/>
        </w:rPr>
        <w:t>详见供应商须知前附表</w:t>
      </w:r>
      <w:r>
        <w:rPr>
          <w:rFonts w:hint="eastAsia" w:ascii="宋体" w:hAnsi="宋体" w:cs="宋体"/>
          <w:color w:val="auto"/>
          <w:sz w:val="24"/>
          <w:highlight w:val="none"/>
        </w:rPr>
        <w:t>。</w:t>
      </w:r>
    </w:p>
    <w:p>
      <w:pPr>
        <w:tabs>
          <w:tab w:val="left" w:pos="1185"/>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2.2   投标人对招标文件如有疑问，</w:t>
      </w:r>
      <w:r>
        <w:rPr>
          <w:rFonts w:hint="eastAsia" w:ascii="宋体" w:hAnsi="宋体" w:cs="宋体"/>
          <w:color w:val="auto"/>
          <w:sz w:val="24"/>
          <w:szCs w:val="24"/>
          <w:highlight w:val="none"/>
          <w:lang w:val="en-US" w:eastAsia="zh-CN"/>
        </w:rPr>
        <w:t>按照供应商须知前附表规定提交</w:t>
      </w:r>
      <w:r>
        <w:rPr>
          <w:rFonts w:hint="eastAsia" w:ascii="宋体" w:hAnsi="宋体" w:cs="宋体"/>
          <w:color w:val="auto"/>
          <w:sz w:val="24"/>
          <w:szCs w:val="24"/>
          <w:highlight w:val="none"/>
        </w:rPr>
        <w:t>。</w:t>
      </w:r>
    </w:p>
    <w:p>
      <w:pPr>
        <w:tabs>
          <w:tab w:val="left" w:pos="1185"/>
        </w:tabs>
        <w:spacing w:line="360" w:lineRule="auto"/>
        <w:ind w:left="602" w:hanging="602" w:hangingChars="250"/>
        <w:rPr>
          <w:rFonts w:ascii="宋体" w:hAnsi="宋体" w:cs="宋体"/>
          <w:b/>
          <w:color w:val="auto"/>
          <w:sz w:val="24"/>
          <w:szCs w:val="24"/>
          <w:highlight w:val="none"/>
        </w:rPr>
      </w:pPr>
      <w:r>
        <w:rPr>
          <w:rFonts w:hint="eastAsia" w:ascii="宋体" w:hAnsi="宋体" w:cs="宋体"/>
          <w:b/>
          <w:color w:val="auto"/>
          <w:sz w:val="24"/>
          <w:szCs w:val="24"/>
          <w:highlight w:val="none"/>
        </w:rPr>
        <w:t>3.    招标文件的澄清与变更</w:t>
      </w:r>
    </w:p>
    <w:p>
      <w:pPr>
        <w:tabs>
          <w:tab w:val="left" w:pos="1185"/>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3.1   采购人可以委托采购代理机构对已发出的招标文件进行必要的澄清或变更。</w:t>
      </w:r>
    </w:p>
    <w:p>
      <w:pPr>
        <w:tabs>
          <w:tab w:val="left" w:pos="1185"/>
        </w:tabs>
        <w:spacing w:line="360" w:lineRule="auto"/>
        <w:ind w:left="720" w:hanging="720" w:hangingChars="300"/>
        <w:jc w:val="left"/>
        <w:rPr>
          <w:rFonts w:ascii="宋体" w:hAnsi="宋体" w:cs="宋体"/>
          <w:color w:val="auto"/>
          <w:sz w:val="24"/>
          <w:szCs w:val="24"/>
          <w:highlight w:val="none"/>
        </w:rPr>
      </w:pPr>
      <w:r>
        <w:rPr>
          <w:rFonts w:hint="eastAsia" w:ascii="宋体" w:hAnsi="宋体" w:cs="宋体"/>
          <w:color w:val="auto"/>
          <w:sz w:val="24"/>
          <w:szCs w:val="24"/>
          <w:highlight w:val="none"/>
        </w:rPr>
        <w:t>3.2   在投标截止日期十五日前，采购人和采购代理机构可主动或在解答投标人提出的澄清问题时对招标文件进行修改。代理机构将通过</w:t>
      </w:r>
      <w:r>
        <w:rPr>
          <w:rFonts w:hint="eastAsia" w:ascii="宋体" w:hAnsi="宋体" w:cs="宋体"/>
          <w:color w:val="auto"/>
          <w:sz w:val="24"/>
          <w:szCs w:val="24"/>
          <w:highlight w:val="none"/>
          <w:lang w:val="en-US" w:eastAsia="zh-CN"/>
        </w:rPr>
        <w:t>供应商须知前附表17条规定</w:t>
      </w:r>
      <w:r>
        <w:rPr>
          <w:rFonts w:hint="eastAsia" w:ascii="宋体" w:hAnsi="宋体" w:cs="宋体"/>
          <w:color w:val="auto"/>
          <w:sz w:val="24"/>
          <w:szCs w:val="24"/>
          <w:highlight w:val="none"/>
        </w:rPr>
        <w:t>告知投标人，对于各项目中已经成功报名并下载招标文件的投标人，澄清或变更的内容对所有投标人均具有约束力。</w:t>
      </w:r>
    </w:p>
    <w:p>
      <w:pPr>
        <w:tabs>
          <w:tab w:val="left" w:pos="1185"/>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3.3   澄清或变更的内容将构成招标文件的组成部分，因投标人未及时查看“答疑文件或消息”，其后果自行承担。</w:t>
      </w:r>
    </w:p>
    <w:p>
      <w:pPr>
        <w:tabs>
          <w:tab w:val="left" w:pos="1185"/>
          <w:tab w:val="left" w:pos="8820"/>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3.4   因交易中心平台在开标前具有保密性，投标人在投标截止时间前须自行查看项目进展、变更通知、澄清及回复，因投标人未及时查看而造成的后果自负。当招标文件、补充文件、答疑文件内容相互矛盾时，以最后发出的文件为准。</w:t>
      </w:r>
    </w:p>
    <w:p>
      <w:pPr>
        <w:pStyle w:val="5"/>
        <w:numPr>
          <w:ilvl w:val="0"/>
          <w:numId w:val="5"/>
        </w:numPr>
        <w:tabs>
          <w:tab w:val="left" w:pos="721"/>
        </w:tabs>
        <w:spacing w:line="360" w:lineRule="auto"/>
        <w:jc w:val="left"/>
        <w:rPr>
          <w:rFonts w:ascii="宋体" w:hAnsi="宋体" w:cs="宋体"/>
          <w:color w:val="auto"/>
          <w:sz w:val="24"/>
          <w:szCs w:val="24"/>
          <w:highlight w:val="none"/>
        </w:rPr>
      </w:pPr>
      <w:bookmarkStart w:id="128" w:name="_Toc176721927"/>
      <w:bookmarkStart w:id="129" w:name="_Toc22723958"/>
      <w:bookmarkStart w:id="130" w:name="_Toc22570498"/>
      <w:bookmarkStart w:id="131" w:name="_Toc22962880"/>
      <w:bookmarkStart w:id="132" w:name="_Toc187481111"/>
      <w:bookmarkStart w:id="133" w:name="_Toc176667616"/>
      <w:bookmarkStart w:id="134" w:name="_Toc24802230"/>
      <w:bookmarkStart w:id="135" w:name="_Toc22953399"/>
      <w:bookmarkStart w:id="136" w:name="_Toc180208005"/>
      <w:bookmarkStart w:id="137" w:name="_Toc146071171"/>
      <w:bookmarkStart w:id="138" w:name="_Toc22804077"/>
      <w:bookmarkStart w:id="139" w:name="_Toc22568791"/>
      <w:bookmarkStart w:id="140" w:name="_Toc192643565"/>
      <w:bookmarkStart w:id="141" w:name="_Toc192478082"/>
      <w:bookmarkStart w:id="142" w:name="_Toc6153"/>
      <w:bookmarkStart w:id="143" w:name="_Toc192992682"/>
      <w:bookmarkStart w:id="144" w:name="_Toc15613"/>
      <w:bookmarkStart w:id="145" w:name="_Toc160359570"/>
      <w:bookmarkStart w:id="146" w:name="_Toc192944668"/>
      <w:bookmarkStart w:id="147" w:name="_Toc200960070"/>
      <w:bookmarkStart w:id="148" w:name="_Toc192991251"/>
      <w:bookmarkStart w:id="149" w:name="_Toc160186117"/>
      <w:bookmarkStart w:id="150" w:name="_Toc193083544"/>
      <w:bookmarkStart w:id="151" w:name="_Toc192990006"/>
      <w:r>
        <w:rPr>
          <w:rFonts w:hint="eastAsia" w:ascii="宋体" w:hAnsi="宋体" w:cs="宋体"/>
          <w:color w:val="auto"/>
          <w:sz w:val="24"/>
          <w:szCs w:val="24"/>
          <w:highlight w:val="none"/>
        </w:rPr>
        <w:t>投标文件编写</w:t>
      </w:r>
      <w:bookmarkEnd w:id="128"/>
      <w:bookmarkEnd w:id="129"/>
      <w:bookmarkEnd w:id="130"/>
      <w:bookmarkEnd w:id="131"/>
      <w:bookmarkEnd w:id="132"/>
      <w:bookmarkEnd w:id="133"/>
      <w:bookmarkEnd w:id="134"/>
      <w:bookmarkEnd w:id="135"/>
      <w:bookmarkEnd w:id="136"/>
      <w:bookmarkEnd w:id="137"/>
      <w:bookmarkEnd w:id="138"/>
      <w:bookmarkEnd w:id="139"/>
      <w:r>
        <w:rPr>
          <w:rFonts w:hint="eastAsia" w:ascii="宋体" w:hAnsi="宋体" w:cs="宋体"/>
          <w:color w:val="auto"/>
          <w:sz w:val="24"/>
          <w:szCs w:val="24"/>
          <w:highlight w:val="none"/>
        </w:rPr>
        <w:t>要求</w:t>
      </w:r>
      <w:bookmarkEnd w:id="140"/>
      <w:bookmarkEnd w:id="141"/>
      <w:bookmarkEnd w:id="142"/>
      <w:bookmarkEnd w:id="143"/>
      <w:bookmarkEnd w:id="144"/>
      <w:bookmarkEnd w:id="145"/>
      <w:bookmarkEnd w:id="146"/>
      <w:bookmarkEnd w:id="147"/>
      <w:bookmarkEnd w:id="148"/>
      <w:bookmarkEnd w:id="149"/>
      <w:bookmarkEnd w:id="150"/>
      <w:bookmarkEnd w:id="151"/>
    </w:p>
    <w:p>
      <w:pPr>
        <w:tabs>
          <w:tab w:val="left" w:pos="1185"/>
        </w:tabs>
        <w:spacing w:line="360" w:lineRule="auto"/>
        <w:ind w:left="602" w:hanging="602" w:hangingChars="250"/>
        <w:rPr>
          <w:rFonts w:ascii="宋体" w:hAnsi="宋体" w:cs="宋体"/>
          <w:b/>
          <w:color w:val="auto"/>
          <w:sz w:val="24"/>
          <w:szCs w:val="24"/>
          <w:highlight w:val="none"/>
        </w:rPr>
      </w:pPr>
      <w:r>
        <w:rPr>
          <w:rFonts w:hint="eastAsia" w:ascii="宋体" w:hAnsi="宋体" w:cs="宋体"/>
          <w:b/>
          <w:color w:val="auto"/>
          <w:sz w:val="24"/>
          <w:szCs w:val="24"/>
          <w:highlight w:val="none"/>
        </w:rPr>
        <w:t>1.    投标使用的语言</w:t>
      </w:r>
    </w:p>
    <w:p>
      <w:pPr>
        <w:tabs>
          <w:tab w:val="left" w:pos="1185"/>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1.1   投标文件以及投标人、与采购人、采购代理机构就投标来往信息使用中文。投标人提供的外文资料应附有相应的中文译本，并以中文译本为准。</w:t>
      </w:r>
    </w:p>
    <w:p>
      <w:pPr>
        <w:tabs>
          <w:tab w:val="left" w:pos="1185"/>
        </w:tabs>
        <w:spacing w:line="360" w:lineRule="auto"/>
        <w:ind w:left="602" w:hanging="602" w:hangingChars="250"/>
        <w:rPr>
          <w:rFonts w:ascii="宋体" w:hAnsi="宋体" w:cs="宋体"/>
          <w:b/>
          <w:color w:val="auto"/>
          <w:sz w:val="24"/>
          <w:szCs w:val="24"/>
          <w:highlight w:val="none"/>
        </w:rPr>
      </w:pPr>
      <w:r>
        <w:rPr>
          <w:rFonts w:hint="eastAsia" w:ascii="宋体" w:hAnsi="宋体" w:cs="宋体"/>
          <w:b/>
          <w:color w:val="auto"/>
          <w:sz w:val="24"/>
          <w:szCs w:val="24"/>
          <w:highlight w:val="none"/>
        </w:rPr>
        <w:t>2.    投标使用的计量单位</w:t>
      </w:r>
    </w:p>
    <w:p>
      <w:pPr>
        <w:tabs>
          <w:tab w:val="left" w:pos="1185"/>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2.1   除在招标文件的技术文件中另有规定外，计量单位均使用中华人民共和国法定计量单位。</w:t>
      </w:r>
    </w:p>
    <w:p>
      <w:pPr>
        <w:tabs>
          <w:tab w:val="left" w:pos="1185"/>
        </w:tabs>
        <w:spacing w:line="360" w:lineRule="auto"/>
        <w:ind w:left="602" w:hanging="602" w:hangingChars="250"/>
        <w:rPr>
          <w:rFonts w:ascii="宋体" w:hAnsi="宋体" w:cs="宋体"/>
          <w:b/>
          <w:color w:val="auto"/>
          <w:sz w:val="24"/>
          <w:szCs w:val="24"/>
          <w:highlight w:val="none"/>
        </w:rPr>
      </w:pPr>
      <w:r>
        <w:rPr>
          <w:rFonts w:hint="eastAsia" w:ascii="宋体" w:hAnsi="宋体" w:cs="宋体"/>
          <w:b/>
          <w:color w:val="auto"/>
          <w:sz w:val="24"/>
          <w:szCs w:val="24"/>
          <w:highlight w:val="none"/>
        </w:rPr>
        <w:t>3.    投标文件组成及格式</w:t>
      </w:r>
    </w:p>
    <w:p>
      <w:pPr>
        <w:tabs>
          <w:tab w:val="left" w:pos="1185"/>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3.1   投标人应按照招标文件中要求的内容及提供的格式完整地提供和填写，详见</w:t>
      </w:r>
      <w:r>
        <w:rPr>
          <w:rFonts w:hint="eastAsia" w:ascii="宋体" w:hAnsi="宋体" w:cs="宋体"/>
          <w:color w:val="auto"/>
          <w:sz w:val="24"/>
          <w:szCs w:val="24"/>
          <w:highlight w:val="none"/>
          <w:lang w:val="en-US" w:eastAsia="zh-CN"/>
        </w:rPr>
        <w:t>第七章“投标文件格式”</w:t>
      </w:r>
      <w:r>
        <w:rPr>
          <w:rFonts w:hint="eastAsia" w:ascii="宋体" w:hAnsi="宋体" w:cs="宋体"/>
          <w:color w:val="auto"/>
          <w:sz w:val="24"/>
          <w:szCs w:val="24"/>
          <w:highlight w:val="none"/>
        </w:rPr>
        <w:t>。</w:t>
      </w:r>
    </w:p>
    <w:p>
      <w:pPr>
        <w:tabs>
          <w:tab w:val="left" w:pos="1185"/>
        </w:tabs>
        <w:spacing w:line="360" w:lineRule="auto"/>
        <w:ind w:left="602" w:hanging="602" w:hangingChars="250"/>
        <w:rPr>
          <w:rFonts w:ascii="宋体" w:hAnsi="宋体" w:cs="宋体"/>
          <w:b/>
          <w:color w:val="auto"/>
          <w:sz w:val="24"/>
          <w:szCs w:val="24"/>
          <w:highlight w:val="none"/>
        </w:rPr>
      </w:pPr>
      <w:r>
        <w:rPr>
          <w:rFonts w:hint="eastAsia" w:ascii="宋体" w:hAnsi="宋体" w:cs="宋体"/>
          <w:b/>
          <w:color w:val="auto"/>
          <w:sz w:val="24"/>
          <w:szCs w:val="24"/>
          <w:highlight w:val="none"/>
        </w:rPr>
        <w:t>4.    投标报价</w:t>
      </w:r>
    </w:p>
    <w:p>
      <w:pPr>
        <w:tabs>
          <w:tab w:val="left" w:pos="1185"/>
        </w:tabs>
        <w:spacing w:line="360" w:lineRule="auto"/>
        <w:ind w:left="720" w:hanging="720" w:hangingChars="300"/>
        <w:rPr>
          <w:rFonts w:ascii="宋体" w:hAnsi="宋体" w:cs="宋体"/>
          <w:color w:val="auto"/>
          <w:sz w:val="24"/>
          <w:szCs w:val="24"/>
          <w:highlight w:val="none"/>
          <w:lang w:val="hr-HR"/>
        </w:rPr>
      </w:pPr>
      <w:r>
        <w:rPr>
          <w:rFonts w:hint="eastAsia" w:ascii="宋体" w:hAnsi="宋体" w:cs="宋体"/>
          <w:color w:val="auto"/>
          <w:sz w:val="24"/>
          <w:szCs w:val="24"/>
          <w:highlight w:val="none"/>
        </w:rPr>
        <w:t xml:space="preserve">4.1   </w:t>
      </w:r>
      <w:r>
        <w:rPr>
          <w:rFonts w:hint="eastAsia" w:ascii="宋体" w:hAnsi="宋体" w:cs="宋体"/>
          <w:color w:val="auto"/>
          <w:sz w:val="24"/>
          <w:szCs w:val="24"/>
          <w:highlight w:val="none"/>
          <w:lang w:val="hr-HR"/>
        </w:rPr>
        <w:t>本项目为一次性报价；</w:t>
      </w:r>
    </w:p>
    <w:p>
      <w:pPr>
        <w:tabs>
          <w:tab w:val="left" w:pos="1185"/>
        </w:tabs>
        <w:spacing w:line="360" w:lineRule="auto"/>
        <w:ind w:left="720" w:hanging="720" w:hangingChars="300"/>
        <w:rPr>
          <w:rFonts w:ascii="宋体" w:hAnsi="宋体" w:cs="宋体"/>
          <w:color w:val="auto"/>
          <w:sz w:val="24"/>
          <w:szCs w:val="24"/>
          <w:highlight w:val="none"/>
          <w:lang w:val="hr-HR"/>
        </w:rPr>
      </w:pPr>
      <w:r>
        <w:rPr>
          <w:rFonts w:hint="eastAsia" w:ascii="宋体" w:hAnsi="宋体" w:cs="宋体"/>
          <w:color w:val="auto"/>
          <w:sz w:val="24"/>
          <w:szCs w:val="24"/>
          <w:highlight w:val="none"/>
        </w:rPr>
        <w:t xml:space="preserve">4.2   </w:t>
      </w:r>
      <w:r>
        <w:rPr>
          <w:rFonts w:hint="eastAsia" w:ascii="宋体" w:hAnsi="宋体" w:cs="宋体"/>
          <w:color w:val="auto"/>
          <w:sz w:val="24"/>
          <w:szCs w:val="24"/>
          <w:highlight w:val="none"/>
          <w:lang w:val="hr-HR"/>
        </w:rPr>
        <w:t>采购人不接受可选择的报价方案和报价。任何有选择的或可调整的报价方案和报价将被视为非响应招标文件的报价而被拒绝；</w:t>
      </w:r>
    </w:p>
    <w:p>
      <w:pPr>
        <w:tabs>
          <w:tab w:val="left" w:pos="1185"/>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 xml:space="preserve">4.3   </w:t>
      </w:r>
      <w:r>
        <w:rPr>
          <w:rFonts w:hint="eastAsia" w:ascii="宋体" w:hAnsi="宋体" w:cs="宋体"/>
          <w:color w:val="auto"/>
          <w:sz w:val="24"/>
          <w:szCs w:val="24"/>
          <w:highlight w:val="none"/>
          <w:lang w:val="hr-HR"/>
        </w:rPr>
        <w:t>本项目投标报价根据采购人提供的投标文件格式（详见投标函和分项报价表），各供应商根据项目特点及各自经验，在保证质量、交货期及不违背国家有关政策的前提下，认真阅读招标文件：</w:t>
      </w:r>
      <w:r>
        <w:rPr>
          <w:rFonts w:hint="eastAsia" w:ascii="宋体" w:hAnsi="宋体" w:cs="宋体"/>
          <w:color w:val="auto"/>
          <w:sz w:val="24"/>
          <w:szCs w:val="24"/>
          <w:highlight w:val="none"/>
        </w:rPr>
        <w:t>河南省新闻出版学校2020-2021学年教材采购项目</w:t>
      </w:r>
      <w:r>
        <w:rPr>
          <w:rFonts w:hint="eastAsia" w:ascii="宋体" w:hAnsi="宋体" w:cs="宋体"/>
          <w:color w:val="auto"/>
          <w:sz w:val="24"/>
          <w:szCs w:val="24"/>
          <w:highlight w:val="none"/>
          <w:lang w:val="hr-HR"/>
        </w:rPr>
        <w:t>的投标报价中必须包含本次采购范围内的</w:t>
      </w:r>
      <w:r>
        <w:rPr>
          <w:rFonts w:hint="eastAsia" w:ascii="宋体" w:hAnsi="宋体" w:cs="宋体"/>
          <w:color w:val="auto"/>
          <w:sz w:val="24"/>
          <w:szCs w:val="24"/>
          <w:highlight w:val="none"/>
          <w:lang w:val="hr-HR" w:eastAsia="zh-CN"/>
        </w:rPr>
        <w:t>货物</w:t>
      </w:r>
      <w:r>
        <w:rPr>
          <w:rFonts w:hint="eastAsia" w:ascii="宋体" w:hAnsi="宋体" w:cs="宋体"/>
          <w:color w:val="auto"/>
          <w:sz w:val="24"/>
          <w:szCs w:val="24"/>
          <w:highlight w:val="none"/>
          <w:lang w:val="hr-HR"/>
        </w:rPr>
        <w:t>、运输（含保险）、验收、咨询、售后等费用及其它相关服务、代理服务费、全额含税发票、合同实施过程中的应预见和不可预见费用，以及根据采购人实际需求所产生变更的费用、完成合同规定责任和义务、达到合同目的的一切费用及企业利润；</w:t>
      </w:r>
    </w:p>
    <w:p>
      <w:pPr>
        <w:tabs>
          <w:tab w:val="left" w:pos="1185"/>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4.4   投标人不得以任何理由在开标后对投标报价进行修改，报价在投标有效期内是固定的，不因任何原因而改变；</w:t>
      </w:r>
    </w:p>
    <w:p>
      <w:pPr>
        <w:tabs>
          <w:tab w:val="left" w:pos="1185"/>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4.5   投标人报价不得低于成本，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其投标按无效投标处理。</w:t>
      </w:r>
    </w:p>
    <w:p>
      <w:pPr>
        <w:tabs>
          <w:tab w:val="left" w:pos="1185"/>
        </w:tabs>
        <w:spacing w:line="360" w:lineRule="auto"/>
        <w:ind w:left="602" w:hanging="602" w:hangingChars="250"/>
        <w:rPr>
          <w:rFonts w:ascii="宋体" w:hAnsi="宋体" w:cs="宋体"/>
          <w:b/>
          <w:color w:val="auto"/>
          <w:sz w:val="24"/>
          <w:szCs w:val="24"/>
          <w:highlight w:val="none"/>
        </w:rPr>
      </w:pPr>
      <w:r>
        <w:rPr>
          <w:rFonts w:hint="eastAsia" w:ascii="宋体" w:hAnsi="宋体" w:cs="宋体"/>
          <w:b/>
          <w:color w:val="auto"/>
          <w:sz w:val="24"/>
          <w:szCs w:val="24"/>
          <w:highlight w:val="none"/>
        </w:rPr>
        <w:t>5.    投标货币</w:t>
      </w:r>
    </w:p>
    <w:p>
      <w:pPr>
        <w:tabs>
          <w:tab w:val="left" w:pos="1185"/>
        </w:tabs>
        <w:spacing w:line="360" w:lineRule="auto"/>
        <w:ind w:left="600" w:hanging="600" w:hangingChars="250"/>
        <w:rPr>
          <w:rFonts w:ascii="宋体" w:hAnsi="宋体" w:cs="宋体"/>
          <w:color w:val="auto"/>
          <w:sz w:val="24"/>
          <w:szCs w:val="24"/>
          <w:highlight w:val="none"/>
        </w:rPr>
      </w:pPr>
      <w:r>
        <w:rPr>
          <w:rFonts w:hint="eastAsia" w:ascii="宋体" w:hAnsi="宋体" w:cs="宋体"/>
          <w:color w:val="auto"/>
          <w:sz w:val="24"/>
          <w:szCs w:val="24"/>
          <w:highlight w:val="none"/>
        </w:rPr>
        <w:t>5.1   除非另有规定，投标人提供的所有货物和服务用人民币报价。</w:t>
      </w:r>
    </w:p>
    <w:p>
      <w:pPr>
        <w:tabs>
          <w:tab w:val="left" w:pos="1185"/>
        </w:tabs>
        <w:spacing w:line="360" w:lineRule="auto"/>
        <w:ind w:left="602" w:hanging="602" w:hangingChars="250"/>
        <w:rPr>
          <w:rFonts w:ascii="宋体" w:hAnsi="宋体" w:cs="宋体"/>
          <w:b/>
          <w:color w:val="auto"/>
          <w:sz w:val="24"/>
          <w:szCs w:val="24"/>
          <w:highlight w:val="none"/>
        </w:rPr>
      </w:pPr>
      <w:r>
        <w:rPr>
          <w:rFonts w:hint="eastAsia" w:ascii="宋体" w:hAnsi="宋体" w:cs="宋体"/>
          <w:b/>
          <w:color w:val="auto"/>
          <w:sz w:val="24"/>
          <w:szCs w:val="24"/>
          <w:highlight w:val="none"/>
        </w:rPr>
        <w:t>6.    投标人资格证（说）明文件</w:t>
      </w:r>
    </w:p>
    <w:p>
      <w:pPr>
        <w:tabs>
          <w:tab w:val="left" w:pos="1185"/>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6.1   依据第一章《招标公告》、第二章《前附表》、第三章《采购需求书》规定的格式或样式提交相应的资格证明文件，作为投标文件的一部分，以证明投标人有资格进行投标和有能力履行合同。</w:t>
      </w:r>
    </w:p>
    <w:p>
      <w:pPr>
        <w:tabs>
          <w:tab w:val="left" w:pos="1185"/>
        </w:tabs>
        <w:spacing w:line="360" w:lineRule="auto"/>
        <w:ind w:left="602" w:hanging="602" w:hangingChars="250"/>
        <w:rPr>
          <w:rFonts w:ascii="宋体" w:hAnsi="宋体" w:cs="宋体"/>
          <w:b/>
          <w:color w:val="auto"/>
          <w:sz w:val="24"/>
          <w:szCs w:val="24"/>
          <w:highlight w:val="none"/>
        </w:rPr>
      </w:pPr>
      <w:r>
        <w:rPr>
          <w:rFonts w:hint="eastAsia" w:ascii="宋体" w:hAnsi="宋体" w:cs="宋体"/>
          <w:b/>
          <w:color w:val="auto"/>
          <w:sz w:val="24"/>
          <w:szCs w:val="24"/>
          <w:highlight w:val="none"/>
        </w:rPr>
        <w:t>7.    投标技术证（说）明文件</w:t>
      </w:r>
    </w:p>
    <w:p>
      <w:pPr>
        <w:tabs>
          <w:tab w:val="left" w:pos="1185"/>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7.1   投标人交货时出具原产地证明及合格出厂证明或检测报告。</w:t>
      </w:r>
    </w:p>
    <w:p>
      <w:pPr>
        <w:tabs>
          <w:tab w:val="left" w:pos="1185"/>
        </w:tabs>
        <w:spacing w:line="360" w:lineRule="auto"/>
        <w:ind w:left="600" w:hanging="600" w:hangingChars="250"/>
        <w:rPr>
          <w:rFonts w:ascii="宋体" w:hAnsi="宋体" w:cs="宋体"/>
          <w:color w:val="auto"/>
          <w:sz w:val="24"/>
          <w:szCs w:val="24"/>
          <w:highlight w:val="none"/>
        </w:rPr>
      </w:pPr>
      <w:r>
        <w:rPr>
          <w:rFonts w:hint="eastAsia" w:ascii="宋体" w:hAnsi="宋体" w:cs="宋体"/>
          <w:color w:val="auto"/>
          <w:sz w:val="24"/>
          <w:szCs w:val="24"/>
          <w:highlight w:val="none"/>
        </w:rPr>
        <w:t>7.2   证（说）明文件可以是文字资料、图纸和数据，并应提供：</w:t>
      </w:r>
    </w:p>
    <w:p>
      <w:pPr>
        <w:spacing w:line="360" w:lineRule="auto"/>
        <w:ind w:firstLine="720" w:firstLineChars="300"/>
        <w:rPr>
          <w:rFonts w:ascii="宋体" w:hAnsi="宋体" w:cs="宋体"/>
          <w:color w:val="auto"/>
          <w:sz w:val="24"/>
          <w:szCs w:val="24"/>
          <w:highlight w:val="none"/>
        </w:rPr>
      </w:pPr>
      <w:r>
        <w:rPr>
          <w:rFonts w:hint="eastAsia" w:ascii="宋体" w:hAnsi="宋体" w:cs="宋体"/>
          <w:color w:val="auto"/>
          <w:sz w:val="24"/>
          <w:szCs w:val="24"/>
          <w:highlight w:val="none"/>
        </w:rPr>
        <w:t>（1）货物主要技术指标和性能的详细描述。</w:t>
      </w:r>
    </w:p>
    <w:p>
      <w:pPr>
        <w:tabs>
          <w:tab w:val="left" w:pos="1185"/>
        </w:tabs>
        <w:spacing w:line="360" w:lineRule="auto"/>
        <w:ind w:left="718" w:leftChars="342"/>
        <w:rPr>
          <w:rFonts w:ascii="宋体" w:hAnsi="宋体" w:cs="宋体"/>
          <w:color w:val="auto"/>
          <w:sz w:val="24"/>
          <w:szCs w:val="24"/>
          <w:highlight w:val="none"/>
        </w:rPr>
      </w:pPr>
      <w:r>
        <w:rPr>
          <w:rFonts w:hint="eastAsia" w:ascii="宋体" w:hAnsi="宋体" w:cs="宋体"/>
          <w:color w:val="auto"/>
          <w:sz w:val="24"/>
          <w:szCs w:val="24"/>
          <w:highlight w:val="none"/>
        </w:rPr>
        <w:t>（2）投标人应对招标文件技术要求逐条应答，并标明与招标文件条文的偏差和例外。招标文件中有特别要求的，投标人应具体说明。</w:t>
      </w:r>
    </w:p>
    <w:p>
      <w:pPr>
        <w:tabs>
          <w:tab w:val="left" w:pos="1185"/>
        </w:tabs>
        <w:spacing w:line="360" w:lineRule="auto"/>
        <w:ind w:left="602" w:hanging="602" w:hangingChars="250"/>
        <w:rPr>
          <w:rFonts w:ascii="宋体" w:hAnsi="宋体" w:cs="宋体"/>
          <w:b/>
          <w:color w:val="auto"/>
          <w:sz w:val="24"/>
          <w:szCs w:val="24"/>
          <w:highlight w:val="none"/>
        </w:rPr>
      </w:pPr>
      <w:r>
        <w:rPr>
          <w:rFonts w:hint="eastAsia" w:ascii="宋体" w:hAnsi="宋体" w:cs="宋体"/>
          <w:b/>
          <w:color w:val="auto"/>
          <w:sz w:val="24"/>
          <w:szCs w:val="24"/>
          <w:highlight w:val="none"/>
        </w:rPr>
        <w:t>8.    投标保证金</w:t>
      </w:r>
    </w:p>
    <w:p>
      <w:pPr>
        <w:tabs>
          <w:tab w:val="left" w:pos="1185"/>
        </w:tabs>
        <w:spacing w:line="360" w:lineRule="auto"/>
        <w:ind w:left="525" w:leftChars="250" w:firstLine="120" w:firstLineChars="50"/>
        <w:rPr>
          <w:rFonts w:ascii="宋体" w:hAnsi="宋体" w:cs="宋体"/>
          <w:color w:val="auto"/>
          <w:sz w:val="24"/>
          <w:szCs w:val="24"/>
          <w:highlight w:val="none"/>
        </w:rPr>
      </w:pPr>
      <w:r>
        <w:rPr>
          <w:rStyle w:val="116"/>
          <w:bCs/>
          <w:sz w:val="24"/>
          <w:highlight w:val="none"/>
        </w:rPr>
        <w:t>本项目不收取投标保证金</w:t>
      </w:r>
    </w:p>
    <w:p>
      <w:pPr>
        <w:tabs>
          <w:tab w:val="left" w:pos="1185"/>
        </w:tabs>
        <w:spacing w:line="360" w:lineRule="auto"/>
        <w:ind w:left="602" w:hanging="602" w:hangingChars="250"/>
        <w:rPr>
          <w:rFonts w:ascii="宋体" w:hAnsi="宋体" w:cs="宋体"/>
          <w:b/>
          <w:color w:val="auto"/>
          <w:sz w:val="24"/>
          <w:szCs w:val="24"/>
          <w:highlight w:val="none"/>
        </w:rPr>
      </w:pPr>
      <w:r>
        <w:rPr>
          <w:rFonts w:hint="eastAsia" w:ascii="宋体" w:hAnsi="宋体" w:cs="宋体"/>
          <w:b/>
          <w:color w:val="auto"/>
          <w:sz w:val="24"/>
          <w:szCs w:val="24"/>
          <w:highlight w:val="none"/>
        </w:rPr>
        <w:t>9.    投标有效期</w:t>
      </w:r>
    </w:p>
    <w:p>
      <w:pPr>
        <w:tabs>
          <w:tab w:val="left" w:pos="1185"/>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9.1   投标文件应自投标规定的投标文件递交截止之日起，在第二章第一节《前附表》规定的时间内保持有效。投标有效期不足的将被评标委员会拒绝。</w:t>
      </w:r>
    </w:p>
    <w:p>
      <w:pPr>
        <w:tabs>
          <w:tab w:val="left" w:pos="1185"/>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9.2   在特殊情况下，采购人和采购代理机构可征求投标人同意延长投标有效期。投标人如果拒绝，投标保证金将予以退还。投标人如果同意，投标有效期相应延长，投标保证金的规定在投标有效期的延长期内继续有效。</w:t>
      </w:r>
      <w:permStart w:id="0" w:edGrp="everyone"/>
      <w:permEnd w:id="0"/>
    </w:p>
    <w:p>
      <w:pPr>
        <w:tabs>
          <w:tab w:val="left" w:pos="1185"/>
        </w:tabs>
        <w:spacing w:line="360" w:lineRule="auto"/>
        <w:ind w:left="602" w:hanging="602" w:hangingChars="250"/>
        <w:rPr>
          <w:rFonts w:ascii="宋体" w:hAnsi="宋体" w:cs="宋体"/>
          <w:b/>
          <w:color w:val="auto"/>
          <w:sz w:val="24"/>
          <w:szCs w:val="24"/>
          <w:highlight w:val="none"/>
        </w:rPr>
      </w:pPr>
      <w:r>
        <w:rPr>
          <w:rFonts w:hint="eastAsia" w:ascii="宋体" w:hAnsi="宋体" w:cs="宋体"/>
          <w:b/>
          <w:color w:val="auto"/>
          <w:sz w:val="24"/>
          <w:szCs w:val="24"/>
          <w:highlight w:val="none"/>
        </w:rPr>
        <w:t>10.   投标文件的式样</w:t>
      </w:r>
    </w:p>
    <w:p>
      <w:pPr>
        <w:tabs>
          <w:tab w:val="left" w:pos="1185"/>
        </w:tabs>
        <w:spacing w:line="360" w:lineRule="auto"/>
        <w:ind w:left="720" w:hanging="720" w:hangingChars="3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10.1</w:t>
      </w:r>
      <w:r>
        <w:rPr>
          <w:rFonts w:hint="eastAsia" w:ascii="宋体" w:hAnsi="宋体" w:cs="宋体"/>
          <w:color w:val="auto"/>
          <w:sz w:val="24"/>
          <w:szCs w:val="24"/>
          <w:highlight w:val="none"/>
        </w:rPr>
        <w:t>投标人须在</w:t>
      </w:r>
      <w:r>
        <w:rPr>
          <w:rFonts w:hint="eastAsia" w:ascii="宋体" w:hAnsi="宋体" w:cs="宋体"/>
          <w:color w:val="auto"/>
          <w:sz w:val="24"/>
          <w:szCs w:val="24"/>
          <w:highlight w:val="none"/>
          <w:lang w:val="zh-CN"/>
        </w:rPr>
        <w:t>投标截止时间</w:t>
      </w:r>
      <w:r>
        <w:rPr>
          <w:rFonts w:hint="eastAsia" w:ascii="宋体" w:hAnsi="宋体" w:cs="宋体"/>
          <w:color w:val="auto"/>
          <w:sz w:val="24"/>
          <w:szCs w:val="24"/>
          <w:highlight w:val="none"/>
        </w:rPr>
        <w:t>前制作并提交投标文件。加密电子投标文件（.hntf 格式）,应在投标截止时间前通过“河南省公共资源交易中心（www.hnggzy.com）”电子交易平台内上传；</w:t>
      </w:r>
    </w:p>
    <w:p>
      <w:pPr>
        <w:tabs>
          <w:tab w:val="left" w:pos="1185"/>
        </w:tabs>
        <w:spacing w:line="360" w:lineRule="auto"/>
        <w:ind w:left="720" w:hanging="720" w:hangingChars="3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10.2</w:t>
      </w:r>
      <w:r>
        <w:rPr>
          <w:rFonts w:hint="eastAsia" w:ascii="宋体" w:hAnsi="宋体" w:cs="宋体"/>
          <w:color w:val="auto"/>
          <w:sz w:val="24"/>
          <w:szCs w:val="24"/>
          <w:highlight w:val="none"/>
        </w:rPr>
        <w:t>加密的电子投标文件为“河南省公共资源交易中心（</w:t>
      </w: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HYPERLINK "http://www.hnggzy.com"</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www.hnggzy.com</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网站提供的“投标文件制作工具”软件制作生成的加密版投标文件。</w:t>
      </w:r>
    </w:p>
    <w:p>
      <w:pPr>
        <w:tabs>
          <w:tab w:val="left" w:pos="1185"/>
        </w:tabs>
        <w:spacing w:line="360" w:lineRule="auto"/>
        <w:ind w:left="720" w:hanging="720" w:hangingChars="3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10.3</w:t>
      </w:r>
      <w:r>
        <w:rPr>
          <w:rFonts w:hint="eastAsia" w:ascii="宋体" w:hAnsi="宋体" w:cs="宋体"/>
          <w:color w:val="auto"/>
          <w:sz w:val="24"/>
          <w:szCs w:val="24"/>
          <w:highlight w:val="none"/>
        </w:rPr>
        <w:t>投标人在制作电子投标文件时，“投标文件制作工具”左侧栏目“封面”、“投标函”、“开标一览表”制作完成后须加盖电子签章（包括</w:t>
      </w:r>
      <w:r>
        <w:rPr>
          <w:rFonts w:hint="eastAsia" w:ascii="宋体" w:hAnsi="宋体" w:cs="宋体"/>
          <w:color w:val="auto"/>
          <w:sz w:val="24"/>
          <w:szCs w:val="24"/>
          <w:highlight w:val="none"/>
          <w:lang w:eastAsia="zh-CN"/>
        </w:rPr>
        <w:t>企业电子签章</w:t>
      </w:r>
      <w:r>
        <w:rPr>
          <w:rFonts w:hint="eastAsia" w:ascii="宋体" w:hAnsi="宋体" w:cs="宋体"/>
          <w:color w:val="auto"/>
          <w:sz w:val="24"/>
          <w:szCs w:val="24"/>
          <w:highlight w:val="none"/>
        </w:rPr>
        <w:t>和</w:t>
      </w:r>
      <w:r>
        <w:rPr>
          <w:rFonts w:hint="eastAsia" w:ascii="宋体" w:hAnsi="宋体" w:cs="宋体"/>
          <w:color w:val="auto"/>
          <w:sz w:val="24"/>
          <w:szCs w:val="24"/>
          <w:highlight w:val="none"/>
          <w:lang w:eastAsia="zh-CN"/>
        </w:rPr>
        <w:t>个人电子签章</w:t>
      </w:r>
      <w:r>
        <w:rPr>
          <w:rFonts w:hint="eastAsia" w:ascii="宋体" w:hAnsi="宋体" w:cs="宋体"/>
          <w:color w:val="auto"/>
          <w:sz w:val="24"/>
          <w:szCs w:val="24"/>
          <w:highlight w:val="none"/>
        </w:rPr>
        <w:t>）。</w:t>
      </w:r>
    </w:p>
    <w:p>
      <w:pPr>
        <w:tabs>
          <w:tab w:val="left" w:pos="1185"/>
        </w:tabs>
        <w:spacing w:line="360" w:lineRule="auto"/>
        <w:ind w:left="720" w:hanging="720" w:hangingChars="3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10.4</w:t>
      </w:r>
      <w:r>
        <w:rPr>
          <w:rFonts w:hint="eastAsia" w:ascii="宋体" w:hAnsi="宋体" w:cs="宋体"/>
          <w:color w:val="auto"/>
          <w:sz w:val="24"/>
          <w:szCs w:val="24"/>
          <w:highlight w:val="none"/>
        </w:rPr>
        <w:t>投标文件以外的任何资料采购人和采购代理机构将拒收。</w:t>
      </w:r>
    </w:p>
    <w:p>
      <w:pPr>
        <w:tabs>
          <w:tab w:val="left" w:pos="1185"/>
        </w:tabs>
        <w:spacing w:line="360" w:lineRule="auto"/>
        <w:ind w:left="720" w:hanging="720" w:hangingChars="3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10.5</w:t>
      </w:r>
      <w:r>
        <w:rPr>
          <w:rFonts w:hint="eastAsia" w:ascii="宋体" w:hAnsi="宋体" w:cs="宋体"/>
          <w:color w:val="auto"/>
          <w:sz w:val="24"/>
          <w:szCs w:val="24"/>
          <w:highlight w:val="none"/>
        </w:rPr>
        <w:t>其他形式的投标文件一律不接受。</w:t>
      </w:r>
    </w:p>
    <w:p>
      <w:pPr>
        <w:tabs>
          <w:tab w:val="left" w:pos="1185"/>
        </w:tabs>
        <w:spacing w:line="360" w:lineRule="auto"/>
        <w:ind w:left="720" w:hanging="720" w:hangingChars="3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10.6</w:t>
      </w:r>
      <w:r>
        <w:rPr>
          <w:rFonts w:hint="eastAsia" w:ascii="宋体" w:hAnsi="宋体" w:cs="宋体"/>
          <w:color w:val="auto"/>
          <w:sz w:val="24"/>
          <w:szCs w:val="24"/>
          <w:highlight w:val="none"/>
        </w:rPr>
        <w:t>有下列情形之一的，视为投标人串通投标，其投标无效：</w:t>
      </w:r>
    </w:p>
    <w:p>
      <w:pPr>
        <w:keepNext w:val="0"/>
        <w:keepLines w:val="0"/>
        <w:pageBreakBefore w:val="0"/>
        <w:widowControl w:val="0"/>
        <w:tabs>
          <w:tab w:val="left" w:pos="1185"/>
        </w:tabs>
        <w:kinsoku/>
        <w:wordWrap/>
        <w:overflowPunct/>
        <w:topLinePunct w:val="0"/>
        <w:autoSpaceDE/>
        <w:autoSpaceDN/>
        <w:bidi w:val="0"/>
        <w:adjustRightInd/>
        <w:snapToGrid/>
        <w:spacing w:line="360" w:lineRule="auto"/>
        <w:ind w:left="960" w:hanging="960" w:hangingChars="4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（1）不同投标人的投标文件由同一单位或者个人编制；或不同投标人通过同一单位的IP地址上传投标文件；</w:t>
      </w:r>
    </w:p>
    <w:p>
      <w:pPr>
        <w:keepNext w:val="0"/>
        <w:keepLines w:val="0"/>
        <w:pageBreakBefore w:val="0"/>
        <w:widowControl w:val="0"/>
        <w:tabs>
          <w:tab w:val="left" w:pos="1185"/>
        </w:tabs>
        <w:kinsoku/>
        <w:wordWrap/>
        <w:overflowPunct/>
        <w:topLinePunct w:val="0"/>
        <w:autoSpaceDE/>
        <w:autoSpaceDN/>
        <w:bidi w:val="0"/>
        <w:adjustRightInd/>
        <w:snapToGrid/>
        <w:spacing w:line="360" w:lineRule="auto"/>
        <w:ind w:left="960" w:hanging="960" w:hangingChars="4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（2）不同投标人委托同一单位或者个人办理投标事宜；</w:t>
      </w:r>
    </w:p>
    <w:p>
      <w:pPr>
        <w:keepNext w:val="0"/>
        <w:keepLines w:val="0"/>
        <w:pageBreakBefore w:val="0"/>
        <w:widowControl w:val="0"/>
        <w:tabs>
          <w:tab w:val="left" w:pos="1185"/>
        </w:tabs>
        <w:kinsoku/>
        <w:wordWrap/>
        <w:overflowPunct/>
        <w:topLinePunct w:val="0"/>
        <w:autoSpaceDE/>
        <w:autoSpaceDN/>
        <w:bidi w:val="0"/>
        <w:adjustRightInd/>
        <w:snapToGrid/>
        <w:spacing w:line="360" w:lineRule="auto"/>
        <w:ind w:left="960" w:hanging="960" w:hangingChars="4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（3）不同投标人的投标文件载明的项目管理成员或者联系人员为同一人；</w:t>
      </w:r>
    </w:p>
    <w:p>
      <w:pPr>
        <w:keepNext w:val="0"/>
        <w:keepLines w:val="0"/>
        <w:pageBreakBefore w:val="0"/>
        <w:widowControl w:val="0"/>
        <w:tabs>
          <w:tab w:val="left" w:pos="1185"/>
        </w:tabs>
        <w:kinsoku/>
        <w:wordWrap/>
        <w:overflowPunct/>
        <w:topLinePunct w:val="0"/>
        <w:autoSpaceDE/>
        <w:autoSpaceDN/>
        <w:bidi w:val="0"/>
        <w:adjustRightInd/>
        <w:snapToGrid/>
        <w:spacing w:line="360" w:lineRule="auto"/>
        <w:ind w:left="960" w:hanging="960" w:hangingChars="4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（4）不同投标人的投标文件异常一致或者投标报价呈规律性差异；</w:t>
      </w:r>
    </w:p>
    <w:p>
      <w:pPr>
        <w:keepNext w:val="0"/>
        <w:keepLines w:val="0"/>
        <w:pageBreakBefore w:val="0"/>
        <w:widowControl w:val="0"/>
        <w:tabs>
          <w:tab w:val="left" w:pos="1185"/>
        </w:tabs>
        <w:kinsoku/>
        <w:wordWrap/>
        <w:overflowPunct/>
        <w:topLinePunct w:val="0"/>
        <w:autoSpaceDE/>
        <w:autoSpaceDN/>
        <w:bidi w:val="0"/>
        <w:adjustRightInd/>
        <w:snapToGrid/>
        <w:spacing w:line="360" w:lineRule="auto"/>
        <w:ind w:left="960" w:hanging="960" w:hangingChars="4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（5）不同投标人的投标文件相互混装；</w:t>
      </w:r>
    </w:p>
    <w:p>
      <w:pPr>
        <w:keepNext w:val="0"/>
        <w:keepLines w:val="0"/>
        <w:pageBreakBefore w:val="0"/>
        <w:widowControl w:val="0"/>
        <w:tabs>
          <w:tab w:val="left" w:pos="1185"/>
        </w:tabs>
        <w:kinsoku/>
        <w:wordWrap/>
        <w:overflowPunct/>
        <w:topLinePunct w:val="0"/>
        <w:autoSpaceDE/>
        <w:autoSpaceDN/>
        <w:bidi w:val="0"/>
        <w:adjustRightInd/>
        <w:snapToGrid/>
        <w:spacing w:line="360" w:lineRule="auto"/>
        <w:ind w:left="960" w:hanging="960" w:hangingChars="4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（6）不同投标人的投标保证金从同一单位或者个人的账户转出；</w:t>
      </w:r>
    </w:p>
    <w:p>
      <w:pPr>
        <w:keepNext w:val="0"/>
        <w:keepLines w:val="0"/>
        <w:pageBreakBefore w:val="0"/>
        <w:widowControl w:val="0"/>
        <w:tabs>
          <w:tab w:val="left" w:pos="1185"/>
        </w:tabs>
        <w:kinsoku/>
        <w:wordWrap/>
        <w:overflowPunct/>
        <w:topLinePunct w:val="0"/>
        <w:autoSpaceDE/>
        <w:autoSpaceDN/>
        <w:bidi w:val="0"/>
        <w:adjustRightInd/>
        <w:snapToGrid/>
        <w:spacing w:line="360" w:lineRule="auto"/>
        <w:ind w:left="960" w:hanging="960" w:hangingChars="400"/>
        <w:textAlignment w:val="auto"/>
        <w:rPr>
          <w:rFonts w:hint="eastAsia" w:ascii="宋体" w:hAnsi="宋体" w:cs="宋体"/>
          <w:color w:val="auto"/>
          <w:sz w:val="24"/>
          <w:szCs w:val="24"/>
          <w:highlight w:val="none"/>
        </w:rPr>
      </w:pPr>
      <w:r>
        <w:rPr>
          <w:rFonts w:hint="eastAsia" w:ascii="宋体" w:hAnsi="宋体" w:cs="宋体"/>
          <w:color w:val="auto"/>
          <w:sz w:val="24"/>
          <w:szCs w:val="24"/>
          <w:highlight w:val="none"/>
        </w:rPr>
        <w:t>（7）“投标文件制作机器码一致”的投标文件。</w:t>
      </w:r>
    </w:p>
    <w:p>
      <w:pPr>
        <w:tabs>
          <w:tab w:val="left" w:pos="1185"/>
        </w:tabs>
        <w:spacing w:line="360" w:lineRule="auto"/>
        <w:ind w:left="602" w:hanging="602" w:hangingChars="250"/>
        <w:rPr>
          <w:rFonts w:ascii="宋体" w:hAnsi="宋体" w:cs="宋体"/>
          <w:b/>
          <w:color w:val="auto"/>
          <w:sz w:val="24"/>
          <w:szCs w:val="24"/>
          <w:highlight w:val="none"/>
        </w:rPr>
      </w:pPr>
      <w:r>
        <w:rPr>
          <w:rFonts w:hint="eastAsia" w:ascii="宋体" w:hAnsi="宋体" w:cs="宋体"/>
          <w:b/>
          <w:color w:val="auto"/>
          <w:sz w:val="24"/>
          <w:szCs w:val="24"/>
          <w:highlight w:val="none"/>
        </w:rPr>
        <w:t>11.   投标文件的签署</w:t>
      </w:r>
    </w:p>
    <w:p>
      <w:pPr>
        <w:tabs>
          <w:tab w:val="left" w:pos="1185"/>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11.1  投标文件的投标函及投标函附录签章格式应符合招标文件格式要求；</w:t>
      </w:r>
    </w:p>
    <w:p>
      <w:pPr>
        <w:tabs>
          <w:tab w:val="left" w:pos="1185"/>
        </w:tabs>
        <w:spacing w:line="360" w:lineRule="auto"/>
        <w:ind w:left="602" w:hanging="602" w:hangingChars="250"/>
        <w:rPr>
          <w:rFonts w:ascii="宋体" w:hAnsi="宋体" w:cs="宋体"/>
          <w:b/>
          <w:color w:val="auto"/>
          <w:sz w:val="24"/>
          <w:szCs w:val="24"/>
          <w:highlight w:val="none"/>
        </w:rPr>
      </w:pPr>
      <w:r>
        <w:rPr>
          <w:rFonts w:hint="eastAsia" w:ascii="宋体" w:hAnsi="宋体" w:cs="宋体"/>
          <w:b/>
          <w:color w:val="auto"/>
          <w:sz w:val="24"/>
          <w:szCs w:val="24"/>
          <w:highlight w:val="none"/>
        </w:rPr>
        <w:t>12.   投标文件的密封和标记</w:t>
      </w:r>
      <w:bookmarkStart w:id="152" w:name="OLE_LINK18"/>
    </w:p>
    <w:bookmarkEnd w:id="152"/>
    <w:p>
      <w:pPr>
        <w:tabs>
          <w:tab w:val="left" w:pos="1185"/>
        </w:tabs>
        <w:spacing w:line="360" w:lineRule="auto"/>
        <w:ind w:left="720" w:hanging="720" w:hangingChars="3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12.1  </w:t>
      </w:r>
      <w:r>
        <w:rPr>
          <w:rFonts w:hint="eastAsia" w:ascii="宋体" w:hAnsi="宋体" w:cs="宋体"/>
          <w:color w:val="auto"/>
          <w:sz w:val="24"/>
          <w:szCs w:val="24"/>
          <w:highlight w:val="none"/>
        </w:rPr>
        <w:t>按照河南省公共资源交易中心网站要求上传电子投标文件，应使用数字证书认证并</w:t>
      </w:r>
      <w:r>
        <w:rPr>
          <w:rFonts w:hint="eastAsia" w:ascii="宋体" w:hAnsi="宋体" w:cs="宋体"/>
          <w:color w:val="auto"/>
          <w:sz w:val="24"/>
          <w:szCs w:val="24"/>
          <w:highlight w:val="none"/>
          <w:lang w:eastAsia="zh-CN"/>
        </w:rPr>
        <w:t>加</w:t>
      </w:r>
      <w:r>
        <w:rPr>
          <w:rFonts w:hint="eastAsia" w:ascii="宋体" w:hAnsi="宋体" w:cs="宋体"/>
          <w:color w:val="auto"/>
          <w:sz w:val="24"/>
          <w:szCs w:val="24"/>
          <w:highlight w:val="none"/>
        </w:rPr>
        <w:t>密。</w:t>
      </w:r>
    </w:p>
    <w:p>
      <w:pPr>
        <w:tabs>
          <w:tab w:val="left" w:pos="1185"/>
        </w:tabs>
        <w:spacing w:line="360" w:lineRule="auto"/>
        <w:ind w:left="602" w:hanging="602" w:hangingChars="250"/>
        <w:rPr>
          <w:rFonts w:ascii="宋体" w:hAnsi="宋体" w:cs="宋体"/>
          <w:b/>
          <w:color w:val="auto"/>
          <w:sz w:val="24"/>
          <w:szCs w:val="24"/>
          <w:highlight w:val="none"/>
        </w:rPr>
      </w:pPr>
      <w:r>
        <w:rPr>
          <w:rFonts w:hint="eastAsia" w:ascii="宋体" w:hAnsi="宋体" w:cs="宋体"/>
          <w:b/>
          <w:color w:val="auto"/>
          <w:sz w:val="24"/>
          <w:szCs w:val="24"/>
          <w:highlight w:val="none"/>
        </w:rPr>
        <w:t>13.   投标文件的上传和递交</w:t>
      </w:r>
    </w:p>
    <w:p>
      <w:pPr>
        <w:tabs>
          <w:tab w:val="left" w:pos="1185"/>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rPr>
        <w:t>13.1  投标人应在投标截止时间前上传加密的电子投标文件（*.hntf）到</w:t>
      </w:r>
      <w:r>
        <w:rPr>
          <w:rFonts w:hint="eastAsia" w:ascii="宋体" w:hAnsi="宋体" w:cs="宋体"/>
          <w:color w:val="auto"/>
          <w:sz w:val="24"/>
          <w:szCs w:val="24"/>
          <w:highlight w:val="none"/>
        </w:rPr>
        <w:t>系统</w:t>
      </w:r>
      <w:r>
        <w:rPr>
          <w:rFonts w:hint="eastAsia" w:ascii="宋体" w:hAnsi="宋体" w:cs="宋体"/>
          <w:color w:val="auto"/>
          <w:sz w:val="24"/>
          <w:szCs w:val="24"/>
          <w:highlight w:val="none"/>
        </w:rPr>
        <w:t>的指定位</w:t>
      </w:r>
      <w:r>
        <w:rPr>
          <w:rFonts w:hint="eastAsia" w:ascii="宋体" w:hAnsi="宋体" w:cs="宋体"/>
          <w:color w:val="auto"/>
          <w:sz w:val="24"/>
          <w:szCs w:val="24"/>
          <w:highlight w:val="none"/>
          <w:lang w:eastAsia="zh-CN"/>
        </w:rPr>
        <w:t>置</w:t>
      </w:r>
      <w:r>
        <w:rPr>
          <w:rFonts w:hint="eastAsia" w:ascii="宋体" w:hAnsi="宋体" w:cs="宋体"/>
          <w:color w:val="auto"/>
          <w:sz w:val="24"/>
          <w:szCs w:val="24"/>
          <w:highlight w:val="none"/>
        </w:rPr>
        <w:t>。上传时必须得到电脑“上传成功”的确认。请投标人在上传时认真检查上传投标文件是否完整、正确。投标人因交易中心投标系统问题无法上传电子投标文件时，请在工作时间与河南省公共资源交易中心联系，联系电话：0371-86095903。</w:t>
      </w:r>
    </w:p>
    <w:p>
      <w:pPr>
        <w:tabs>
          <w:tab w:val="left" w:pos="1185"/>
        </w:tabs>
        <w:spacing w:line="360" w:lineRule="auto"/>
        <w:ind w:left="720" w:hanging="720" w:hangingChars="300"/>
        <w:rPr>
          <w:rFonts w:hint="eastAsia" w:ascii="宋体" w:hAnsi="宋体" w:cs="宋体"/>
          <w:color w:val="auto"/>
          <w:sz w:val="24"/>
          <w:szCs w:val="24"/>
          <w:highlight w:val="none"/>
        </w:rPr>
      </w:pPr>
      <w:r>
        <w:rPr>
          <w:rFonts w:hint="eastAsia" w:ascii="宋体" w:hAnsi="宋体" w:cs="宋体"/>
          <w:color w:val="auto"/>
          <w:sz w:val="24"/>
          <w:szCs w:val="24"/>
          <w:highlight w:val="none"/>
        </w:rPr>
        <w:t>13.</w:t>
      </w:r>
      <w:r>
        <w:rPr>
          <w:rFonts w:hint="eastAsia" w:ascii="宋体" w:hAnsi="宋体" w:cs="宋体"/>
          <w:color w:val="auto"/>
          <w:sz w:val="24"/>
          <w:szCs w:val="24"/>
          <w:highlight w:val="none"/>
          <w:lang w:val="en-US" w:eastAsia="zh-CN"/>
        </w:rPr>
        <w:t>2</w:t>
      </w:r>
      <w:r>
        <w:rPr>
          <w:rFonts w:hint="eastAsia" w:ascii="宋体" w:hAnsi="宋体" w:cs="宋体"/>
          <w:color w:val="auto"/>
          <w:sz w:val="24"/>
          <w:szCs w:val="24"/>
          <w:highlight w:val="none"/>
        </w:rPr>
        <w:t xml:space="preserve"> 采购人和采购代理机构可以修改招标文件并决定延长投标截止期限。在此情况下，采购人、采购代理机构和投标人所有权利和义务的期限均相应延长。</w:t>
      </w:r>
    </w:p>
    <w:p>
      <w:pPr>
        <w:tabs>
          <w:tab w:val="left" w:pos="1185"/>
        </w:tabs>
        <w:spacing w:line="360" w:lineRule="auto"/>
        <w:ind w:left="720" w:hanging="720" w:hangingChars="3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13.3  </w:t>
      </w:r>
      <w:r>
        <w:rPr>
          <w:rFonts w:hint="eastAsia" w:ascii="宋体" w:hAnsi="宋体" w:cs="宋体"/>
          <w:color w:val="auto"/>
          <w:sz w:val="24"/>
          <w:szCs w:val="24"/>
          <w:highlight w:val="none"/>
        </w:rPr>
        <w:t>投标人在“投标人须知前附表”规定的投标截止时间后递交的投标文件，将被拒绝。</w:t>
      </w:r>
    </w:p>
    <w:p>
      <w:pPr>
        <w:tabs>
          <w:tab w:val="left" w:pos="1185"/>
        </w:tabs>
        <w:spacing w:line="360" w:lineRule="auto"/>
        <w:ind w:left="602" w:hanging="602" w:hangingChars="250"/>
        <w:rPr>
          <w:rFonts w:ascii="宋体" w:hAnsi="宋体" w:cs="宋体"/>
          <w:b/>
          <w:color w:val="auto"/>
          <w:sz w:val="24"/>
          <w:szCs w:val="24"/>
          <w:highlight w:val="none"/>
        </w:rPr>
      </w:pPr>
      <w:r>
        <w:rPr>
          <w:rFonts w:hint="eastAsia" w:ascii="宋体" w:hAnsi="宋体" w:cs="宋体"/>
          <w:b/>
          <w:color w:val="auto"/>
          <w:sz w:val="24"/>
          <w:szCs w:val="24"/>
          <w:highlight w:val="none"/>
        </w:rPr>
        <w:t>14.   投标文件的修改和撤回</w:t>
      </w:r>
    </w:p>
    <w:p>
      <w:pPr>
        <w:tabs>
          <w:tab w:val="left" w:pos="1185"/>
        </w:tabs>
        <w:spacing w:line="360" w:lineRule="auto"/>
        <w:ind w:left="720" w:hanging="720" w:hangingChars="300"/>
        <w:rPr>
          <w:rFonts w:hint="eastAsia" w:ascii="宋体" w:hAnsi="宋体" w:cs="宋体"/>
          <w:color w:val="auto"/>
          <w:sz w:val="24"/>
          <w:szCs w:val="24"/>
          <w:highlight w:val="none"/>
        </w:rPr>
      </w:pPr>
      <w:r>
        <w:rPr>
          <w:rFonts w:hint="eastAsia" w:ascii="宋体" w:hAnsi="宋体" w:cs="宋体"/>
          <w:color w:val="auto"/>
          <w:sz w:val="24"/>
          <w:szCs w:val="24"/>
          <w:highlight w:val="none"/>
        </w:rPr>
        <w:t>14.1  投标人在递交投标文件后，在“投标人须知前附表”规定的投标截止时间前，投标人可以修改或撤回已上传/递交的投标文件。</w:t>
      </w:r>
    </w:p>
    <w:p>
      <w:pPr>
        <w:tabs>
          <w:tab w:val="left" w:pos="1185"/>
        </w:tabs>
        <w:spacing w:line="360" w:lineRule="auto"/>
        <w:ind w:left="720" w:hanging="720" w:hangingChars="300"/>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14.2  </w:t>
      </w:r>
      <w:r>
        <w:rPr>
          <w:rFonts w:hint="eastAsia" w:ascii="宋体" w:hAnsi="宋体" w:cs="宋体"/>
          <w:color w:val="auto"/>
          <w:sz w:val="24"/>
          <w:szCs w:val="24"/>
          <w:highlight w:val="none"/>
        </w:rPr>
        <w:t>在投标截止时间后，投标人不得再要求修改或撤回其投标文件。</w:t>
      </w:r>
    </w:p>
    <w:p>
      <w:pPr>
        <w:tabs>
          <w:tab w:val="left" w:pos="1185"/>
        </w:tabs>
        <w:spacing w:line="360" w:lineRule="auto"/>
        <w:ind w:left="720" w:hanging="720" w:hangingChars="300"/>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14.3  </w:t>
      </w:r>
      <w:r>
        <w:rPr>
          <w:rFonts w:hint="eastAsia" w:ascii="宋体" w:hAnsi="宋体" w:cs="宋体"/>
          <w:color w:val="auto"/>
          <w:sz w:val="24"/>
          <w:szCs w:val="24"/>
          <w:highlight w:val="none"/>
        </w:rPr>
        <w:t>从投标截止期至投标人在投标文件中载明的投标有效期满期间，投标人不得撤回其投标，否则其投标保证金将按照规定不予退还。</w:t>
      </w:r>
    </w:p>
    <w:p>
      <w:pPr>
        <w:pStyle w:val="52"/>
        <w:spacing w:line="360" w:lineRule="auto"/>
        <w:ind w:left="717" w:leftChars="150" w:hanging="402" w:hangingChars="200"/>
        <w:rPr>
          <w:rFonts w:ascii="宋体" w:hAnsi="宋体" w:cs="宋体"/>
          <w:color w:val="auto"/>
          <w:highlight w:val="none"/>
        </w:rPr>
      </w:pPr>
    </w:p>
    <w:p>
      <w:pPr>
        <w:spacing w:line="480" w:lineRule="auto"/>
        <w:ind w:firstLine="435"/>
        <w:jc w:val="right"/>
        <w:rPr>
          <w:rFonts w:ascii="宋体" w:hAnsi="宋体" w:cs="宋体"/>
          <w:color w:val="auto"/>
          <w:szCs w:val="21"/>
          <w:highlight w:val="none"/>
        </w:rPr>
      </w:pPr>
      <w:r>
        <w:rPr>
          <w:rFonts w:hint="eastAsia" w:ascii="宋体" w:hAnsi="宋体" w:cs="宋体"/>
          <w:b/>
          <w:color w:val="auto"/>
          <w:sz w:val="32"/>
          <w:highlight w:val="none"/>
        </w:rPr>
        <w:br w:type="page"/>
      </w:r>
    </w:p>
    <w:p>
      <w:pPr>
        <w:pStyle w:val="4"/>
        <w:numPr>
          <w:ilvl w:val="0"/>
          <w:numId w:val="7"/>
        </w:numPr>
        <w:jc w:val="center"/>
        <w:rPr>
          <w:rFonts w:hint="eastAsia" w:ascii="宋体" w:hAnsi="宋体" w:cs="宋体"/>
          <w:color w:val="auto"/>
          <w:highlight w:val="none"/>
        </w:rPr>
      </w:pPr>
      <w:bookmarkStart w:id="153" w:name="_Toc30184"/>
      <w:bookmarkStart w:id="154" w:name="_Toc17686"/>
      <w:bookmarkStart w:id="155" w:name="_Toc11862"/>
      <w:bookmarkStart w:id="156" w:name="_Toc996"/>
      <w:r>
        <w:rPr>
          <w:rFonts w:hint="eastAsia" w:ascii="宋体" w:hAnsi="宋体" w:cs="宋体"/>
          <w:color w:val="auto"/>
          <w:highlight w:val="none"/>
        </w:rPr>
        <w:t>采购需求书</w:t>
      </w:r>
      <w:bookmarkEnd w:id="153"/>
      <w:bookmarkEnd w:id="154"/>
      <w:bookmarkEnd w:id="155"/>
      <w:bookmarkEnd w:id="156"/>
    </w:p>
    <w:p>
      <w:pPr>
        <w:pStyle w:val="28"/>
        <w:keepNext w:val="0"/>
        <w:keepLines w:val="0"/>
        <w:pageBreakBefore w:val="0"/>
        <w:widowControl/>
        <w:numPr>
          <w:ilvl w:val="0"/>
          <w:numId w:val="8"/>
        </w:numPr>
        <w:kinsoku/>
        <w:wordWrap/>
        <w:overflowPunct/>
        <w:topLinePunct w:val="0"/>
        <w:autoSpaceDE/>
        <w:autoSpaceDN/>
        <w:bidi w:val="0"/>
        <w:adjustRightInd/>
        <w:snapToGrid/>
        <w:spacing w:before="0" w:beforeAutospacing="0" w:after="0" w:afterAutospacing="0" w:line="360" w:lineRule="auto"/>
        <w:ind w:firstLine="561"/>
        <w:textAlignment w:val="auto"/>
        <w:rPr>
          <w:rFonts w:hint="eastAsia"/>
          <w:color w:val="auto"/>
          <w:sz w:val="21"/>
          <w:szCs w:val="21"/>
          <w:highlight w:val="none"/>
          <w:lang w:eastAsia="zh-CN"/>
        </w:rPr>
      </w:pPr>
      <w:r>
        <w:rPr>
          <w:rFonts w:hint="eastAsia"/>
          <w:color w:val="auto"/>
          <w:sz w:val="21"/>
          <w:szCs w:val="21"/>
          <w:highlight w:val="none"/>
          <w:lang w:eastAsia="zh-CN"/>
        </w:rPr>
        <w:t>项目基本情况：</w:t>
      </w:r>
    </w:p>
    <w:p>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1"/>
        <w:textAlignment w:val="auto"/>
        <w:rPr>
          <w:rFonts w:hint="eastAsia"/>
          <w:color w:val="auto"/>
          <w:sz w:val="21"/>
          <w:szCs w:val="21"/>
          <w:highlight w:val="none"/>
        </w:rPr>
      </w:pPr>
      <w:r>
        <w:rPr>
          <w:rFonts w:hint="eastAsia"/>
          <w:color w:val="auto"/>
          <w:sz w:val="21"/>
          <w:szCs w:val="21"/>
          <w:highlight w:val="none"/>
          <w:lang w:val="en-US" w:eastAsia="zh-CN"/>
        </w:rPr>
        <w:t>1、</w:t>
      </w:r>
      <w:r>
        <w:rPr>
          <w:rFonts w:hint="eastAsia"/>
          <w:color w:val="auto"/>
          <w:sz w:val="21"/>
          <w:szCs w:val="21"/>
          <w:highlight w:val="none"/>
        </w:rPr>
        <w:t>项目名称：河南省新闻出版学校2020-2021学年教材采购项目；</w:t>
      </w:r>
    </w:p>
    <w:p>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1"/>
        <w:textAlignment w:val="auto"/>
        <w:rPr>
          <w:rFonts w:hint="eastAsia"/>
          <w:color w:val="auto"/>
          <w:sz w:val="21"/>
          <w:szCs w:val="21"/>
          <w:highlight w:val="none"/>
        </w:rPr>
      </w:pPr>
      <w:r>
        <w:rPr>
          <w:rFonts w:hint="eastAsia"/>
          <w:color w:val="auto"/>
          <w:sz w:val="21"/>
          <w:szCs w:val="21"/>
          <w:highlight w:val="none"/>
          <w:lang w:val="en-US" w:eastAsia="zh-CN"/>
        </w:rPr>
        <w:t>2、</w:t>
      </w:r>
      <w:r>
        <w:rPr>
          <w:rFonts w:hint="eastAsia"/>
          <w:color w:val="auto"/>
          <w:sz w:val="21"/>
          <w:szCs w:val="21"/>
          <w:highlight w:val="none"/>
        </w:rPr>
        <w:t>项目编号：豫财招标采购-2020-733。</w:t>
      </w:r>
    </w:p>
    <w:p>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1"/>
        <w:textAlignment w:val="auto"/>
        <w:rPr>
          <w:rFonts w:hint="eastAsia"/>
          <w:color w:val="auto"/>
          <w:sz w:val="21"/>
          <w:szCs w:val="21"/>
          <w:highlight w:val="none"/>
        </w:rPr>
      </w:pPr>
      <w:r>
        <w:rPr>
          <w:rFonts w:hint="eastAsia"/>
          <w:color w:val="auto"/>
          <w:sz w:val="21"/>
          <w:szCs w:val="21"/>
          <w:highlight w:val="none"/>
          <w:lang w:val="en-US" w:eastAsia="zh-CN"/>
        </w:rPr>
        <w:t>3、</w:t>
      </w:r>
      <w:r>
        <w:rPr>
          <w:rFonts w:hint="eastAsia"/>
          <w:color w:val="auto"/>
          <w:sz w:val="21"/>
          <w:szCs w:val="21"/>
          <w:highlight w:val="none"/>
        </w:rPr>
        <w:t>质量</w:t>
      </w:r>
      <w:r>
        <w:rPr>
          <w:rFonts w:hint="eastAsia"/>
          <w:color w:val="auto"/>
          <w:sz w:val="21"/>
          <w:szCs w:val="21"/>
          <w:highlight w:val="none"/>
          <w:lang w:val="en-US" w:eastAsia="zh-CN"/>
        </w:rPr>
        <w:t>要求</w:t>
      </w:r>
      <w:r>
        <w:rPr>
          <w:rFonts w:hint="eastAsia"/>
          <w:color w:val="auto"/>
          <w:sz w:val="21"/>
          <w:szCs w:val="21"/>
          <w:highlight w:val="none"/>
        </w:rPr>
        <w:t>：符合采购人技术要求；</w:t>
      </w:r>
    </w:p>
    <w:p>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1"/>
        <w:textAlignment w:val="auto"/>
        <w:rPr>
          <w:rFonts w:hint="eastAsia"/>
          <w:color w:val="auto"/>
          <w:sz w:val="21"/>
          <w:szCs w:val="21"/>
          <w:highlight w:val="none"/>
        </w:rPr>
      </w:pPr>
      <w:r>
        <w:rPr>
          <w:rFonts w:hint="eastAsia"/>
          <w:color w:val="auto"/>
          <w:sz w:val="21"/>
          <w:szCs w:val="21"/>
          <w:highlight w:val="none"/>
          <w:lang w:val="en-US" w:eastAsia="zh-CN"/>
        </w:rPr>
        <w:t>4、</w:t>
      </w:r>
      <w:r>
        <w:rPr>
          <w:rFonts w:hint="eastAsia"/>
          <w:color w:val="auto"/>
          <w:sz w:val="21"/>
          <w:szCs w:val="21"/>
          <w:highlight w:val="none"/>
        </w:rPr>
        <w:t>交货期：合同生效后</w:t>
      </w:r>
      <w:r>
        <w:rPr>
          <w:rFonts w:hint="eastAsia"/>
          <w:color w:val="auto"/>
          <w:sz w:val="21"/>
          <w:szCs w:val="21"/>
          <w:highlight w:val="none"/>
          <w:lang w:val="en-US" w:eastAsia="zh-CN"/>
        </w:rPr>
        <w:t>10</w:t>
      </w:r>
      <w:r>
        <w:rPr>
          <w:rFonts w:hint="eastAsia"/>
          <w:color w:val="auto"/>
          <w:sz w:val="21"/>
          <w:szCs w:val="21"/>
          <w:highlight w:val="none"/>
        </w:rPr>
        <w:t>日历天；</w:t>
      </w:r>
    </w:p>
    <w:p>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1"/>
        <w:textAlignment w:val="auto"/>
        <w:rPr>
          <w:rFonts w:hint="eastAsia"/>
          <w:color w:val="auto"/>
          <w:sz w:val="21"/>
          <w:szCs w:val="21"/>
          <w:highlight w:val="none"/>
          <w:lang w:eastAsia="zh-CN"/>
        </w:rPr>
      </w:pPr>
      <w:r>
        <w:rPr>
          <w:rFonts w:hint="eastAsia"/>
          <w:color w:val="auto"/>
          <w:sz w:val="21"/>
          <w:szCs w:val="21"/>
          <w:highlight w:val="none"/>
          <w:lang w:val="en-US" w:eastAsia="zh-CN"/>
        </w:rPr>
        <w:t>5、</w:t>
      </w:r>
      <w:r>
        <w:rPr>
          <w:rFonts w:hint="eastAsia"/>
          <w:color w:val="auto"/>
          <w:sz w:val="21"/>
          <w:szCs w:val="21"/>
          <w:highlight w:val="none"/>
        </w:rPr>
        <w:t>交货</w:t>
      </w:r>
      <w:r>
        <w:rPr>
          <w:rFonts w:hint="eastAsia"/>
          <w:color w:val="auto"/>
          <w:sz w:val="21"/>
          <w:szCs w:val="21"/>
          <w:highlight w:val="none"/>
          <w:lang w:eastAsia="zh-CN"/>
        </w:rPr>
        <w:t>地</w:t>
      </w:r>
      <w:r>
        <w:rPr>
          <w:rFonts w:hint="eastAsia"/>
          <w:color w:val="auto"/>
          <w:sz w:val="21"/>
          <w:szCs w:val="21"/>
          <w:highlight w:val="none"/>
        </w:rPr>
        <w:t>点：采购人指定地点</w:t>
      </w:r>
      <w:r>
        <w:rPr>
          <w:rFonts w:hint="eastAsia"/>
          <w:color w:val="auto"/>
          <w:sz w:val="21"/>
          <w:szCs w:val="21"/>
          <w:highlight w:val="none"/>
          <w:lang w:eastAsia="zh-CN"/>
        </w:rPr>
        <w:t>；</w:t>
      </w:r>
    </w:p>
    <w:p>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1"/>
        <w:textAlignment w:val="auto"/>
        <w:rPr>
          <w:rFonts w:hint="default"/>
          <w:color w:val="auto"/>
          <w:sz w:val="21"/>
          <w:szCs w:val="21"/>
          <w:highlight w:val="none"/>
          <w:lang w:val="en-US" w:eastAsia="zh-CN"/>
        </w:rPr>
      </w:pPr>
      <w:r>
        <w:rPr>
          <w:rFonts w:hint="eastAsia"/>
          <w:color w:val="auto"/>
          <w:sz w:val="21"/>
          <w:szCs w:val="21"/>
          <w:highlight w:val="none"/>
          <w:lang w:val="en-US" w:eastAsia="zh-CN"/>
        </w:rPr>
        <w:t>6、采购内容：本次采购内容为</w:t>
      </w:r>
      <w:r>
        <w:rPr>
          <w:rFonts w:hint="eastAsia"/>
          <w:color w:val="auto"/>
          <w:sz w:val="21"/>
          <w:szCs w:val="21"/>
          <w:highlight w:val="none"/>
        </w:rPr>
        <w:t>2020-2021</w:t>
      </w:r>
      <w:r>
        <w:rPr>
          <w:rFonts w:hint="eastAsia"/>
          <w:color w:val="auto"/>
          <w:sz w:val="21"/>
          <w:szCs w:val="21"/>
          <w:highlight w:val="none"/>
          <w:lang w:val="en-US" w:eastAsia="zh-CN"/>
        </w:rPr>
        <w:t>学年教材，具体详见采购需求</w:t>
      </w:r>
    </w:p>
    <w:p>
      <w:pPr>
        <w:pStyle w:val="28"/>
        <w:keepNext w:val="0"/>
        <w:keepLines w:val="0"/>
        <w:pageBreakBefore w:val="0"/>
        <w:widowControl/>
        <w:numPr>
          <w:ilvl w:val="0"/>
          <w:numId w:val="0"/>
        </w:numPr>
        <w:kinsoku/>
        <w:wordWrap/>
        <w:overflowPunct/>
        <w:topLinePunct w:val="0"/>
        <w:autoSpaceDE/>
        <w:autoSpaceDN/>
        <w:bidi w:val="0"/>
        <w:adjustRightInd/>
        <w:snapToGrid/>
        <w:spacing w:before="0" w:beforeAutospacing="0" w:after="0" w:afterAutospacing="0" w:line="360" w:lineRule="auto"/>
        <w:ind w:firstLine="420" w:firstLineChars="200"/>
        <w:textAlignment w:val="auto"/>
        <w:rPr>
          <w:rFonts w:hint="default"/>
          <w:color w:val="auto"/>
          <w:sz w:val="21"/>
          <w:szCs w:val="21"/>
          <w:highlight w:val="none"/>
          <w:lang w:val="en-US" w:eastAsia="zh-CN"/>
        </w:rPr>
      </w:pPr>
      <w:r>
        <w:rPr>
          <w:rFonts w:hint="eastAsia"/>
          <w:color w:val="auto"/>
          <w:sz w:val="21"/>
          <w:szCs w:val="21"/>
          <w:highlight w:val="none"/>
          <w:lang w:val="en-US" w:eastAsia="zh-CN"/>
        </w:rPr>
        <w:t>二、供货要求：</w:t>
      </w:r>
    </w:p>
    <w:p>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1"/>
        <w:textAlignment w:val="auto"/>
        <w:rPr>
          <w:rFonts w:hint="eastAsia"/>
          <w:color w:val="auto"/>
          <w:sz w:val="21"/>
          <w:szCs w:val="21"/>
          <w:highlight w:val="none"/>
        </w:rPr>
      </w:pPr>
      <w:r>
        <w:rPr>
          <w:rFonts w:hint="eastAsia"/>
          <w:color w:val="auto"/>
          <w:sz w:val="21"/>
          <w:szCs w:val="21"/>
          <w:highlight w:val="none"/>
        </w:rPr>
        <w:t>1. 中标人接到中标通知书后三日内与采购人签订供货合同，并在签订合同之前按采购人指定的银行、账户交纳履约保证金；若不按时签订供货合同或不交纳保证金者，视为自动放弃中标，采购方可依次转于第二中标候选人。</w:t>
      </w:r>
    </w:p>
    <w:p>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1"/>
        <w:textAlignment w:val="auto"/>
        <w:rPr>
          <w:rFonts w:hint="eastAsia"/>
          <w:color w:val="auto"/>
          <w:sz w:val="21"/>
          <w:szCs w:val="21"/>
          <w:highlight w:val="none"/>
        </w:rPr>
      </w:pPr>
      <w:r>
        <w:rPr>
          <w:rFonts w:hint="eastAsia"/>
          <w:color w:val="auto"/>
          <w:sz w:val="21"/>
          <w:szCs w:val="21"/>
          <w:highlight w:val="none"/>
        </w:rPr>
        <w:t>2. 严格按采购方提供的教材征订信息供应教材，在接到采购方提供的教材征订单3 个工作日内将订单所列教材信息反馈给采购方。如果有个别版本出版社无书，提供该出版社联系电话以备采购单位核实。</w:t>
      </w:r>
    </w:p>
    <w:p>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1"/>
        <w:textAlignment w:val="auto"/>
        <w:rPr>
          <w:rFonts w:hint="eastAsia"/>
          <w:color w:val="auto"/>
          <w:sz w:val="21"/>
          <w:szCs w:val="21"/>
          <w:highlight w:val="none"/>
        </w:rPr>
      </w:pPr>
      <w:r>
        <w:rPr>
          <w:rFonts w:hint="eastAsia"/>
          <w:color w:val="auto"/>
          <w:sz w:val="21"/>
          <w:szCs w:val="21"/>
          <w:highlight w:val="none"/>
        </w:rPr>
        <w:t>3. 中标单位接到订单后 7 日内将所订教材按采购方要求、按时、准确无误地送达到采购方指定地点，所发生的一切费用中标单位负担。如果不能按时供货，视为不守信单位，赔偿支付采购方本次所中标教材总码洋的 100％货款，采购方有权解除供货合同。</w:t>
      </w:r>
    </w:p>
    <w:p>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1"/>
        <w:textAlignment w:val="auto"/>
        <w:rPr>
          <w:rFonts w:hint="eastAsia"/>
          <w:color w:val="auto"/>
          <w:sz w:val="21"/>
          <w:szCs w:val="21"/>
          <w:highlight w:val="none"/>
        </w:rPr>
      </w:pPr>
      <w:r>
        <w:rPr>
          <w:rFonts w:hint="eastAsia"/>
          <w:color w:val="auto"/>
          <w:sz w:val="21"/>
          <w:szCs w:val="21"/>
          <w:highlight w:val="none"/>
        </w:rPr>
        <w:t>4. 教材的外包装上均注明教材名称、出版社、价格、数量等信息。凡外包装不注明以上明细的，将按不履行合同为据，扣除其履约保证金 50%作为罚款。所供教材若有残缺、破损或质量等问题，无条件在 3 日内退换。</w:t>
      </w:r>
    </w:p>
    <w:p>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1"/>
        <w:textAlignment w:val="auto"/>
        <w:rPr>
          <w:rFonts w:hint="eastAsia"/>
          <w:color w:val="auto"/>
          <w:sz w:val="21"/>
          <w:szCs w:val="21"/>
          <w:highlight w:val="none"/>
        </w:rPr>
      </w:pPr>
      <w:r>
        <w:rPr>
          <w:rFonts w:hint="eastAsia"/>
          <w:color w:val="auto"/>
          <w:sz w:val="21"/>
          <w:szCs w:val="21"/>
          <w:highlight w:val="none"/>
        </w:rPr>
        <w:t>5. 中标单位保证所供的教材是正规出版社出版的正版合法全新教材，若发现有一本非法盗版教材，经出版社或新闻出版管理部门确认后，采购方有权终止合同并扣留全部书款，由此产生的一切法律和经济责任由中标单位承担。</w:t>
      </w:r>
    </w:p>
    <w:p>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1"/>
        <w:textAlignment w:val="auto"/>
        <w:rPr>
          <w:rFonts w:hint="default"/>
          <w:color w:val="auto"/>
          <w:sz w:val="21"/>
          <w:szCs w:val="21"/>
          <w:highlight w:val="none"/>
          <w:lang w:val="en-US" w:eastAsia="zh-CN"/>
        </w:rPr>
      </w:pPr>
      <w:r>
        <w:rPr>
          <w:rFonts w:hint="eastAsia"/>
          <w:color w:val="auto"/>
          <w:sz w:val="21"/>
          <w:szCs w:val="21"/>
          <w:highlight w:val="none"/>
          <w:lang w:val="en-US" w:eastAsia="zh-CN"/>
        </w:rPr>
        <w:t>6.中标单位所提供的教材应包括教材纸质图书，教材附带光盘等电子资料资源。</w:t>
      </w:r>
    </w:p>
    <w:p>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1"/>
        <w:textAlignment w:val="auto"/>
        <w:rPr>
          <w:rFonts w:hint="eastAsia"/>
          <w:color w:val="auto"/>
          <w:sz w:val="21"/>
          <w:szCs w:val="21"/>
          <w:highlight w:val="none"/>
        </w:rPr>
      </w:pPr>
      <w:r>
        <w:rPr>
          <w:rFonts w:hint="eastAsia"/>
          <w:color w:val="auto"/>
          <w:sz w:val="21"/>
          <w:szCs w:val="21"/>
          <w:highlight w:val="none"/>
          <w:lang w:val="en-US" w:eastAsia="zh-CN"/>
        </w:rPr>
        <w:t>7</w:t>
      </w:r>
      <w:r>
        <w:rPr>
          <w:rFonts w:hint="eastAsia"/>
          <w:color w:val="auto"/>
          <w:sz w:val="21"/>
          <w:szCs w:val="21"/>
          <w:highlight w:val="none"/>
        </w:rPr>
        <w:t>. 鉴于学校有其自身的特殊性，因教材计划变更、新生报到率、转学、转专业等多种因素，出现多订、少订等情况，采购方可随时调整教材计划和教材版本，中标单位须无条件接受采购方提供的追补教材订单。对于临时追加补订的教材，接到订单 1 个工作日内反馈供货信息，并保证在 3 天内送达指定地点，追补教材的折率与中标价的折率一致。</w:t>
      </w:r>
    </w:p>
    <w:p>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1"/>
        <w:textAlignment w:val="auto"/>
        <w:rPr>
          <w:rFonts w:hint="eastAsia"/>
          <w:color w:val="auto"/>
          <w:sz w:val="21"/>
          <w:szCs w:val="21"/>
          <w:highlight w:val="none"/>
        </w:rPr>
      </w:pPr>
      <w:r>
        <w:rPr>
          <w:rFonts w:hint="eastAsia"/>
          <w:color w:val="auto"/>
          <w:sz w:val="21"/>
          <w:szCs w:val="21"/>
          <w:highlight w:val="none"/>
          <w:lang w:val="en-US" w:eastAsia="zh-CN"/>
        </w:rPr>
        <w:t>8</w:t>
      </w:r>
      <w:r>
        <w:rPr>
          <w:rFonts w:hint="eastAsia"/>
          <w:color w:val="auto"/>
          <w:sz w:val="21"/>
          <w:szCs w:val="21"/>
          <w:highlight w:val="none"/>
        </w:rPr>
        <w:t>. 中标单位保证退回所有多余教材，实现学校零库存。</w:t>
      </w:r>
    </w:p>
    <w:p>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1"/>
        <w:textAlignment w:val="auto"/>
        <w:rPr>
          <w:rFonts w:hint="eastAsia"/>
          <w:color w:val="auto"/>
          <w:sz w:val="21"/>
          <w:szCs w:val="21"/>
          <w:highlight w:val="none"/>
        </w:rPr>
      </w:pPr>
      <w:r>
        <w:rPr>
          <w:rFonts w:hint="eastAsia"/>
          <w:color w:val="auto"/>
          <w:sz w:val="21"/>
          <w:szCs w:val="21"/>
          <w:highlight w:val="none"/>
          <w:lang w:val="en-US" w:eastAsia="zh-CN"/>
        </w:rPr>
        <w:t>9. 中标单位应在开学前一周内，按照学校班级名册对教材进行分类整理，按照班级为单位将教材打包好，在外包装标明班级、人数、教材名称等信息，并送至学校，</w:t>
      </w:r>
      <w:r>
        <w:rPr>
          <w:rFonts w:hint="eastAsia"/>
          <w:color w:val="auto"/>
          <w:sz w:val="21"/>
          <w:szCs w:val="21"/>
          <w:highlight w:val="none"/>
        </w:rPr>
        <w:t>派</w:t>
      </w:r>
      <w:r>
        <w:rPr>
          <w:rFonts w:hint="eastAsia"/>
          <w:color w:val="auto"/>
          <w:sz w:val="21"/>
          <w:szCs w:val="21"/>
          <w:highlight w:val="none"/>
          <w:lang w:val="en-US" w:eastAsia="zh-CN"/>
        </w:rPr>
        <w:t>3-5</w:t>
      </w:r>
      <w:r>
        <w:rPr>
          <w:rFonts w:hint="eastAsia"/>
          <w:color w:val="auto"/>
          <w:sz w:val="21"/>
          <w:szCs w:val="21"/>
          <w:highlight w:val="none"/>
        </w:rPr>
        <w:t>人</w:t>
      </w:r>
      <w:r>
        <w:rPr>
          <w:rFonts w:hint="eastAsia"/>
          <w:color w:val="auto"/>
          <w:sz w:val="21"/>
          <w:szCs w:val="21"/>
          <w:highlight w:val="none"/>
          <w:lang w:eastAsia="zh-CN"/>
        </w:rPr>
        <w:t>为学生</w:t>
      </w:r>
      <w:r>
        <w:rPr>
          <w:rFonts w:hint="eastAsia"/>
          <w:color w:val="auto"/>
          <w:sz w:val="21"/>
          <w:szCs w:val="21"/>
          <w:highlight w:val="none"/>
        </w:rPr>
        <w:t>发放教材</w:t>
      </w:r>
      <w:r>
        <w:rPr>
          <w:rFonts w:hint="eastAsia"/>
          <w:color w:val="auto"/>
          <w:sz w:val="21"/>
          <w:szCs w:val="21"/>
          <w:highlight w:val="none"/>
          <w:lang w:eastAsia="zh-CN"/>
        </w:rPr>
        <w:t>，</w:t>
      </w:r>
      <w:r>
        <w:rPr>
          <w:rFonts w:hint="eastAsia"/>
          <w:color w:val="auto"/>
          <w:sz w:val="21"/>
          <w:szCs w:val="21"/>
          <w:highlight w:val="none"/>
          <w:lang w:val="en-US" w:eastAsia="zh-CN"/>
        </w:rPr>
        <w:t>以提高发放效率，并进行登记汇总。</w:t>
      </w:r>
    </w:p>
    <w:p>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1"/>
        <w:textAlignment w:val="auto"/>
        <w:rPr>
          <w:rFonts w:hint="eastAsia"/>
          <w:color w:val="auto"/>
          <w:sz w:val="21"/>
          <w:szCs w:val="21"/>
          <w:highlight w:val="none"/>
          <w:lang w:val="en-US" w:eastAsia="zh-CN"/>
        </w:rPr>
      </w:pPr>
      <w:r>
        <w:rPr>
          <w:rFonts w:hint="eastAsia"/>
          <w:color w:val="auto"/>
          <w:sz w:val="21"/>
          <w:szCs w:val="21"/>
          <w:highlight w:val="none"/>
          <w:lang w:val="en-US" w:eastAsia="zh-CN"/>
        </w:rPr>
        <w:t>10</w:t>
      </w:r>
      <w:r>
        <w:rPr>
          <w:rFonts w:hint="eastAsia"/>
          <w:color w:val="auto"/>
          <w:sz w:val="21"/>
          <w:szCs w:val="21"/>
          <w:highlight w:val="none"/>
        </w:rPr>
        <w:t>. 中标供应商按采购人的实际需要免费提供每种教材的教师</w:t>
      </w:r>
      <w:r>
        <w:rPr>
          <w:rFonts w:hint="eastAsia"/>
          <w:color w:val="auto"/>
          <w:sz w:val="21"/>
          <w:szCs w:val="21"/>
          <w:highlight w:val="none"/>
          <w:lang w:val="en-US" w:eastAsia="zh-CN"/>
        </w:rPr>
        <w:t>辅导</w:t>
      </w:r>
      <w:r>
        <w:rPr>
          <w:rFonts w:hint="eastAsia"/>
          <w:color w:val="auto"/>
          <w:sz w:val="21"/>
          <w:szCs w:val="21"/>
          <w:highlight w:val="none"/>
        </w:rPr>
        <w:t>用书。</w:t>
      </w:r>
      <w:r>
        <w:rPr>
          <w:rFonts w:hint="eastAsia"/>
          <w:color w:val="auto"/>
          <w:sz w:val="21"/>
          <w:szCs w:val="21"/>
          <w:highlight w:val="none"/>
          <w:lang w:val="en-US" w:eastAsia="zh-CN"/>
        </w:rPr>
        <w:t>数量不少于每种教材的2%。</w:t>
      </w:r>
    </w:p>
    <w:p>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1"/>
        <w:textAlignment w:val="auto"/>
        <w:rPr>
          <w:rFonts w:hint="eastAsia"/>
          <w:color w:val="auto"/>
          <w:sz w:val="21"/>
          <w:szCs w:val="21"/>
          <w:highlight w:val="none"/>
          <w:lang w:val="en-US" w:eastAsia="zh-CN"/>
        </w:rPr>
      </w:pPr>
      <w:r>
        <w:rPr>
          <w:rFonts w:hint="eastAsia"/>
          <w:color w:val="auto"/>
          <w:sz w:val="21"/>
          <w:szCs w:val="21"/>
          <w:highlight w:val="none"/>
          <w:lang w:val="en-US" w:eastAsia="zh-CN"/>
        </w:rPr>
        <w:t>11. 中标供应商应提供每学期不少于一次的免费图书展销会（如遇特殊情况可以进行网上图书展），方便教师选择图书，并及时提供主要出版社的征订目录等资源。</w:t>
      </w:r>
    </w:p>
    <w:p>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1"/>
        <w:textAlignment w:val="auto"/>
        <w:rPr>
          <w:rFonts w:hint="default"/>
          <w:color w:val="auto"/>
          <w:sz w:val="21"/>
          <w:szCs w:val="21"/>
          <w:highlight w:val="none"/>
          <w:lang w:val="en-US" w:eastAsia="zh-CN"/>
        </w:rPr>
      </w:pPr>
      <w:r>
        <w:rPr>
          <w:rFonts w:hint="eastAsia"/>
          <w:color w:val="auto"/>
          <w:sz w:val="21"/>
          <w:szCs w:val="21"/>
          <w:highlight w:val="none"/>
          <w:lang w:val="en-US" w:eastAsia="zh-CN"/>
        </w:rPr>
        <w:t>12. 供应商需整理汇总各系部填报的教材订购资料，按照班级目录整理各班发放图书明细，包括人数，科目，教材名称，出版社，定价，实洋等。</w:t>
      </w:r>
    </w:p>
    <w:p>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1"/>
        <w:textAlignment w:val="auto"/>
        <w:rPr>
          <w:rFonts w:hint="eastAsia"/>
          <w:color w:val="auto"/>
          <w:sz w:val="21"/>
          <w:szCs w:val="21"/>
          <w:highlight w:val="none"/>
        </w:rPr>
      </w:pPr>
      <w:r>
        <w:rPr>
          <w:rFonts w:hint="eastAsia"/>
          <w:color w:val="auto"/>
          <w:sz w:val="21"/>
          <w:szCs w:val="21"/>
          <w:highlight w:val="none"/>
          <w:lang w:val="en-US" w:eastAsia="zh-CN"/>
        </w:rPr>
        <w:t>13. 由于学校招生等原因的特殊性，每学期需要按照105%供应所定图书，以保证临时入学学生用书。</w:t>
      </w:r>
    </w:p>
    <w:p>
      <w:pPr>
        <w:pStyle w:val="28"/>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561"/>
        <w:textAlignment w:val="auto"/>
        <w:rPr>
          <w:rFonts w:hint="eastAsia"/>
          <w:color w:val="auto"/>
          <w:sz w:val="21"/>
          <w:szCs w:val="21"/>
          <w:highlight w:val="none"/>
        </w:rPr>
      </w:pPr>
      <w:r>
        <w:rPr>
          <w:rFonts w:hint="eastAsia"/>
          <w:color w:val="auto"/>
          <w:sz w:val="21"/>
          <w:szCs w:val="21"/>
          <w:highlight w:val="none"/>
        </w:rPr>
        <w:t>1</w:t>
      </w:r>
      <w:r>
        <w:rPr>
          <w:rFonts w:hint="eastAsia"/>
          <w:color w:val="auto"/>
          <w:sz w:val="21"/>
          <w:szCs w:val="21"/>
          <w:highlight w:val="none"/>
          <w:lang w:val="en-US" w:eastAsia="zh-CN"/>
        </w:rPr>
        <w:t>4</w:t>
      </w:r>
      <w:r>
        <w:rPr>
          <w:rFonts w:hint="eastAsia"/>
          <w:color w:val="auto"/>
          <w:sz w:val="21"/>
          <w:szCs w:val="21"/>
          <w:highlight w:val="none"/>
        </w:rPr>
        <w:t>.</w:t>
      </w:r>
      <w:r>
        <w:rPr>
          <w:rFonts w:hint="eastAsia"/>
          <w:color w:val="auto"/>
          <w:sz w:val="21"/>
          <w:szCs w:val="21"/>
          <w:highlight w:val="none"/>
          <w:lang w:val="en-US" w:eastAsia="zh-CN"/>
        </w:rPr>
        <w:t xml:space="preserve"> </w:t>
      </w:r>
      <w:r>
        <w:rPr>
          <w:rFonts w:hint="eastAsia"/>
          <w:b/>
          <w:bCs/>
          <w:color w:val="auto"/>
          <w:sz w:val="21"/>
          <w:szCs w:val="21"/>
          <w:highlight w:val="none"/>
        </w:rPr>
        <w:t>本次询价控制上限</w:t>
      </w:r>
      <w:r>
        <w:rPr>
          <w:rFonts w:hint="eastAsia"/>
          <w:b/>
          <w:bCs/>
          <w:color w:val="auto"/>
          <w:sz w:val="21"/>
          <w:szCs w:val="21"/>
          <w:highlight w:val="none"/>
          <w:lang w:val="en-US" w:eastAsia="zh-CN"/>
        </w:rPr>
        <w:t>综合</w:t>
      </w:r>
      <w:r>
        <w:rPr>
          <w:rFonts w:hint="eastAsia"/>
          <w:b/>
          <w:bCs/>
          <w:color w:val="auto"/>
          <w:sz w:val="21"/>
          <w:szCs w:val="21"/>
          <w:highlight w:val="none"/>
        </w:rPr>
        <w:t>折扣率为100%，超过此上限的均为无效响应文件。</w:t>
      </w:r>
    </w:p>
    <w:p>
      <w:pPr>
        <w:rPr>
          <w:rFonts w:hint="default" w:ascii="宋体" w:hAnsi="宋体" w:eastAsia="宋体" w:cs="宋体"/>
          <w:b/>
          <w:bCs/>
          <w:color w:val="auto"/>
          <w:kern w:val="0"/>
          <w:sz w:val="21"/>
          <w:szCs w:val="21"/>
          <w:highlight w:val="none"/>
          <w:lang w:val="en-US" w:eastAsia="zh-CN" w:bidi="ar-SA"/>
        </w:rPr>
      </w:pPr>
      <w:r>
        <w:rPr>
          <w:rFonts w:hint="eastAsia"/>
          <w:sz w:val="32"/>
          <w:szCs w:val="32"/>
          <w:highlight w:val="none"/>
          <w:lang w:val="en-US" w:eastAsia="zh-CN"/>
        </w:rPr>
        <w:t xml:space="preserve">   </w:t>
      </w:r>
      <w:r>
        <w:rPr>
          <w:rFonts w:hint="eastAsia" w:ascii="宋体" w:hAnsi="宋体" w:eastAsia="宋体" w:cs="宋体"/>
          <w:b/>
          <w:bCs/>
          <w:color w:val="auto"/>
          <w:kern w:val="0"/>
          <w:sz w:val="21"/>
          <w:szCs w:val="21"/>
          <w:highlight w:val="none"/>
          <w:lang w:val="en-US" w:eastAsia="zh-CN" w:bidi="ar-SA"/>
        </w:rPr>
        <w:t>15.投标文件中的承诺条款与签订的供货合同具有同等法律效力，标书中的承诺条款与签订供货合同不符的内容，以签订供货合同为准。</w:t>
      </w:r>
    </w:p>
    <w:tbl>
      <w:tblPr>
        <w:tblStyle w:val="31"/>
        <w:tblW w:w="8309" w:type="dxa"/>
        <w:jc w:val="center"/>
        <w:tblLayout w:type="fixed"/>
        <w:tblCellMar>
          <w:top w:w="0" w:type="dxa"/>
          <w:left w:w="0" w:type="dxa"/>
          <w:bottom w:w="0" w:type="dxa"/>
          <w:right w:w="0" w:type="dxa"/>
        </w:tblCellMar>
      </w:tblPr>
      <w:tblGrid>
        <w:gridCol w:w="474"/>
        <w:gridCol w:w="4490"/>
        <w:gridCol w:w="1485"/>
        <w:gridCol w:w="885"/>
        <w:gridCol w:w="975"/>
      </w:tblGrid>
      <w:tr>
        <w:tblPrEx>
          <w:tblCellMar>
            <w:top w:w="0" w:type="dxa"/>
            <w:left w:w="0" w:type="dxa"/>
            <w:bottom w:w="0" w:type="dxa"/>
            <w:right w:w="0" w:type="dxa"/>
          </w:tblCellMar>
        </w:tblPrEx>
        <w:trPr>
          <w:trHeight w:val="420" w:hRule="atLeast"/>
          <w:jc w:val="center"/>
        </w:trPr>
        <w:tc>
          <w:tcPr>
            <w:tcW w:w="8309"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4"/>
                <w:szCs w:val="24"/>
                <w:highlight w:val="none"/>
                <w:u w:val="none"/>
              </w:rPr>
            </w:pPr>
            <w:r>
              <w:rPr>
                <w:rFonts w:hint="eastAsia" w:ascii="宋体" w:hAnsi="宋体" w:eastAsia="宋体" w:cs="宋体"/>
                <w:b/>
                <w:i w:val="0"/>
                <w:color w:val="000000"/>
                <w:kern w:val="0"/>
                <w:sz w:val="28"/>
                <w:szCs w:val="28"/>
                <w:highlight w:val="none"/>
                <w:u w:val="none"/>
                <w:lang w:val="en-US" w:eastAsia="zh-CN" w:bidi="ar"/>
              </w:rPr>
              <w:t>河南省新闻出版学校2020-2021第一学期教材征订表</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序号</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教材名称</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出版社</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定价</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数量</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Adobe InDesign CS6 版式设计与制作案例技能实训</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希望电子</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42</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19</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ADOBE创意大学PHOTOSHOPCS5图像设计师标准实训教材</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印刷工业</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975</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AutoCAD上机指导</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航空工业</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29.8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24</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CoreIDRAWS X6 基础培训教程（第2版）</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639</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Dreamweaver网页制作案例教程</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航空工业</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46</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33</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Photoshop图像处理与创意设计案例教程</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508</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PHP程序设计案例教程</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机械工业</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53</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73</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8</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VI与标志设计手册</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清华大学</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69.8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9</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Windows server2008系统管理与服务器配置</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机械工业</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13</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10</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包装设计与制造</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中国纺织</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11</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财务管理</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上海交大</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32</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47</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12</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城轨交通客服英语口语100例（第二版）</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科学出版社</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256</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13</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城市轨道交通概论 第二版</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电子工业</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77</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14</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城市轨道交通客运服务</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机械工业</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34</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77</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15</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城市轨道交通运营管理</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人民交通</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26</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179</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16</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城市交通运输心理学</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上海交大</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179</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17</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从零开始-Adobe Animate CC中文版基础教程</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49.8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48</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18</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从零开始学素描 石膏几何体</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中国纺织</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762</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19</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电商视觉营销</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电子工业</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278</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20</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电子商务基础</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电子工业</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208</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21</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电子商务与物流配送</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机械工业</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42</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357</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22</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儿歌弹唱教程（第三版）</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复旦大学</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66</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23</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钢琴弹奏与伴奏基础</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中国传媒</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66</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24</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广告实务</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北京大学</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29</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19</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25</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海报招贴设计手册</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清华大学</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26</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行知行业英语-空中乘务</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高等教育</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50</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36</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27</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航空服务口语交际与播音技巧</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四川教育</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163</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28</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河南省中职生对口升学进阶模拟试卷-数学</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哈工大</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24</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13</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29</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河南省中职生对口升学进阶模拟试卷-英语</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哈工大</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53</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30</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河南省中职生对口升学进阶模拟试卷-语文</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哈工大</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13</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31</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河南省中职生对口升学考试总复习指导-数学</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哈工大</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49.8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13</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32</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河南省中职生对口升学考试总复习指导-英语</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哈工大</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53</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33</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河南省中职生对口升学考试总复习指导-语文</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哈工大</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13</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34</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机械基础</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42</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91</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35</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机械制图</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江苏大学</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103</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36</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机械制图习题集（中职）</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江苏大学</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26</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103</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37</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基础会计</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上海交大</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47</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38</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基础会计模拟实训（单项、综合）</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清华大学</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36</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计算机网络技术基础(2版)</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清华大学</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29</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135</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40</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计算机应用基础</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电子科大</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1226</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41</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计算机组装与维护</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29.5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142</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42</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简笔画案例教程</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36</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66</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43</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经济政治与社会</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北京师范</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15.8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1510</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44</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精通CSS+DIV网页样式与布局(无盘）</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49</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182</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45</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客户信息服务案例实训（第二版）</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高等教育</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36</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390</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46</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美术</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人民美术</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400</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47</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民航服务英语口语教程</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人民交通</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49</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195</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48</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民航基础知识</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科学出版</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32</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49</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民航旅客运输(第4版)</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旅游教育</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32</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50</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平板印刷工艺</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劳动社保</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30</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51</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普通话与口语训练</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上海交大</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178</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52</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企业成本核算</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经济管理</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26</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53</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敲门砖绘画基础素描静物美术考前素材大全石膏头像</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重庆出版</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36</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40</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54</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敲门砖绘画基础素描静物美术考前素材大全素描静物</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重庆出版</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36</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66</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55</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三大构成</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华中科技</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598</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56</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色彩静物这样画</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中国纺织</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639</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57</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商务英语</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北师大</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22</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71</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58</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摄像基础项目教程</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48</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摄影及摄像基础</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中国劳动</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12</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84</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60</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市场营销理论与实务</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东北大学</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246</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61</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书籍装帧设计</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清华大学</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43</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19</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62</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数据库应用基础（SQL sever2012）</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电子工业出版社</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20</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63</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数学 基础模块 上册（第三版）</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高等教育</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23.9</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1405</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64</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数学(基础模块) 下册</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高等教育</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24.9</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163</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65</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数学学习与训练 基础模块 下册 第三版</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高等教育</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29</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163</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66</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数学学习与训练（基础模块）（上册）</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高等教育</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29</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1405</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67</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体育与健康</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南开大学</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33.8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1404</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68</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突破平面-电脑数字印前技术深度剖析</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清华大学</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69</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30</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69</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图案二版</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高等教育</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37.1</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70</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图形创意设计与实战</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清华大学</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145</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71</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网店美工</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中国发展</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46.8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413</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72</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网络营销</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中国发展</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39.9</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199</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73</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我们都是排版控</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华南理工</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52</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524</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74</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现代礼仪</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华中科技</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33.8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1369</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75</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现代字体创意设计教程</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华南理工</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52</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572</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76</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销售心理学基础（第2版）</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高等教育</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18.8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246</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77</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销售心理学基础学习指导与练习（附光盘）</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高等教育</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22.5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246</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78</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心理健康教育读本</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上海交大</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26</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53</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79</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演讲与口才教程</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上海交大</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26</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99</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80</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音乐欣赏</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延边大学</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30</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763</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81</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印刷材料</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印刷工业</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32</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14</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82</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印刷概论</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印刷工业</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55</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83</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印刷机结构与调节</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印刷工业</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30</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84</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印刷色彩基础与实务</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中国轻工</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55</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85</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印刷实训指导手册</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印刷工业</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41</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86</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英语 基础模块 上册 彩色版</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语文出版</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19</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1433</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87</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英语 基础模块 下册</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语文出版</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21</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1510</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88</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英语 练习册 基础模块 上册</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语文出版</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8.4</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1433</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89</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英语练习册基础模块下册</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语文出版</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10.8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1510</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90</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营销策划</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华东师范</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19</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91</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应用文写作基础</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上海交通</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72</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92</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幼儿教育学</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中国传媒</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66</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93</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语文（基础模块）上册（第四版）</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高等教育</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31.8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1405</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94</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语文学习指导与能力训练 基础模块 上册</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高等教育</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27.6</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1405</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95</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哲学与人生（四版）</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高等教育</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26.5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82</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96</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职业道德与法律（修订版）</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高等教育</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15.8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186</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97</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职业生涯规划</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高等教育</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27.5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1404</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98</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中国旅游民俗文化</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中国人大</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29</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163</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99</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中文版Illustrator CS6基础培训教程</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45</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514</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100</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中文版maya模型案例高级教程</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中国青年</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49.9</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60</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101</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中文版Premiere Pro CC实用教程</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49.8</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182</w:t>
            </w:r>
          </w:p>
        </w:tc>
      </w:tr>
      <w:tr>
        <w:tblPrEx>
          <w:tblCellMar>
            <w:top w:w="0" w:type="dxa"/>
            <w:left w:w="0" w:type="dxa"/>
            <w:bottom w:w="0" w:type="dxa"/>
            <w:right w:w="0" w:type="dxa"/>
          </w:tblCellMar>
        </w:tblPrEx>
        <w:trPr>
          <w:trHeight w:val="420" w:hRule="atLeast"/>
          <w:jc w:val="center"/>
        </w:trPr>
        <w:tc>
          <w:tcPr>
            <w:tcW w:w="47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102</w:t>
            </w:r>
          </w:p>
        </w:tc>
        <w:tc>
          <w:tcPr>
            <w:tcW w:w="449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中小型网络组建</w:t>
            </w:r>
          </w:p>
        </w:tc>
        <w:tc>
          <w:tcPr>
            <w:tcW w:w="14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中国铁道</w:t>
            </w:r>
          </w:p>
        </w:tc>
        <w:tc>
          <w:tcPr>
            <w:tcW w:w="88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32</w:t>
            </w:r>
          </w:p>
        </w:tc>
        <w:tc>
          <w:tcPr>
            <w:tcW w:w="97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40</w:t>
            </w:r>
          </w:p>
        </w:tc>
      </w:tr>
    </w:tbl>
    <w:p>
      <w:pPr>
        <w:rPr>
          <w:rFonts w:hint="eastAsia"/>
          <w:b/>
          <w:bCs/>
          <w:sz w:val="24"/>
          <w:szCs w:val="24"/>
          <w:highlight w:val="none"/>
          <w:lang w:val="en-US" w:eastAsia="zh-CN"/>
        </w:rPr>
      </w:pPr>
    </w:p>
    <w:p>
      <w:pPr>
        <w:rPr>
          <w:rFonts w:hint="eastAsia" w:eastAsia="宋体"/>
          <w:sz w:val="32"/>
          <w:szCs w:val="32"/>
          <w:highlight w:val="none"/>
          <w:lang w:eastAsia="zh-CN"/>
        </w:rPr>
      </w:pPr>
      <w:r>
        <w:rPr>
          <w:rFonts w:hint="eastAsia"/>
          <w:b/>
          <w:bCs/>
          <w:sz w:val="24"/>
          <w:szCs w:val="24"/>
          <w:highlight w:val="none"/>
          <w:lang w:val="en-US" w:eastAsia="zh-CN"/>
        </w:rPr>
        <w:t>备注：本清单参考上一年度采购清单编制</w:t>
      </w:r>
      <w:r>
        <w:rPr>
          <w:rFonts w:hint="eastAsia"/>
          <w:sz w:val="32"/>
          <w:szCs w:val="32"/>
          <w:highlight w:val="none"/>
          <w:lang w:val="en-US" w:eastAsia="zh-CN"/>
        </w:rPr>
        <w:t>，</w:t>
      </w:r>
      <w:r>
        <w:rPr>
          <w:rFonts w:hint="eastAsia"/>
          <w:b/>
          <w:bCs/>
          <w:sz w:val="24"/>
          <w:szCs w:val="24"/>
          <w:highlight w:val="none"/>
          <w:lang w:val="en-US" w:eastAsia="zh-CN"/>
        </w:rPr>
        <w:t>具体采购内容依据学校提供最新目录为主。</w:t>
      </w:r>
    </w:p>
    <w:p>
      <w:pPr>
        <w:pStyle w:val="2"/>
        <w:rPr>
          <w:highlight w:val="none"/>
        </w:rPr>
      </w:pPr>
    </w:p>
    <w:tbl>
      <w:tblPr>
        <w:tblStyle w:val="31"/>
        <w:tblW w:w="8309" w:type="dxa"/>
        <w:jc w:val="center"/>
        <w:tblLayout w:type="fixed"/>
        <w:tblCellMar>
          <w:top w:w="0" w:type="dxa"/>
          <w:left w:w="0" w:type="dxa"/>
          <w:bottom w:w="0" w:type="dxa"/>
          <w:right w:w="0" w:type="dxa"/>
        </w:tblCellMar>
      </w:tblPr>
      <w:tblGrid>
        <w:gridCol w:w="470"/>
        <w:gridCol w:w="4494"/>
        <w:gridCol w:w="1470"/>
        <w:gridCol w:w="915"/>
        <w:gridCol w:w="960"/>
      </w:tblGrid>
      <w:tr>
        <w:tblPrEx>
          <w:tblCellMar>
            <w:top w:w="0" w:type="dxa"/>
            <w:left w:w="0" w:type="dxa"/>
            <w:bottom w:w="0" w:type="dxa"/>
            <w:right w:w="0" w:type="dxa"/>
          </w:tblCellMar>
        </w:tblPrEx>
        <w:trPr>
          <w:trHeight w:val="480" w:hRule="atLeast"/>
          <w:jc w:val="center"/>
        </w:trPr>
        <w:tc>
          <w:tcPr>
            <w:tcW w:w="8309" w:type="dxa"/>
            <w:gridSpan w:val="5"/>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8"/>
                <w:szCs w:val="28"/>
                <w:highlight w:val="none"/>
                <w:u w:val="none"/>
              </w:rPr>
            </w:pPr>
            <w:r>
              <w:rPr>
                <w:rFonts w:hint="eastAsia" w:ascii="宋体" w:hAnsi="宋体" w:eastAsia="宋体" w:cs="宋体"/>
                <w:b/>
                <w:i w:val="0"/>
                <w:color w:val="000000"/>
                <w:kern w:val="0"/>
                <w:sz w:val="28"/>
                <w:szCs w:val="28"/>
                <w:highlight w:val="none"/>
                <w:u w:val="none"/>
                <w:lang w:val="en-US" w:eastAsia="zh-CN" w:bidi="ar"/>
              </w:rPr>
              <w:t>河南省新闻出版学校2020-2021第二学期教材征订表</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序号</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书名</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版别</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单价</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数量</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JavaScript项目式实例教程</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电子工业出版社</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25</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34</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从零开始-Adobe Animate CC中文版基础教程</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人民邮电出版社</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49.8</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178</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精通CSS+DIV网页样式与布局(无盘）</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人民邮电出版社</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49</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13</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中文版Illustrator CS6基础培训教程</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人民邮电出版社</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45</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625</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消费者行为学</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45</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17</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摄影基础教程</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59.8</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65</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中文版Premiere Pro CC实用教程</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49.8</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69</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8</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机械基础</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人民邮电出版社</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42</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55</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9</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边做边学——CoreIDRAW X4图形设计案例教程</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人民邮电出版社</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38</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55</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10</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我们都是排版控</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华南理工大学出版社</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52</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129</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11</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现代字体创意设计教程</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华南理工</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52</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81</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12</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现场急救处置</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江苏大学出版社</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42.8</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165</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13</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Dreamweaver网页制作案例教程</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航空工业出版社</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46</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161</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14</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书籍装帧设计</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清华大学</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49</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415</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15</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基础会计模拟实训（单项、综合）</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清华大学</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36</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60</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16</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计算机网络技术基础(2版)</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清华大学</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29</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109</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17</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海报招贴设计手册</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清华大学出版社</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59.8</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520</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18</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图形创意设计与实战</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清华大学</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642</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19</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哲学与人生（四版）</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高等教育</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26.5</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1686</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20</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职业道德与法律（第四版）双色</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高等教育</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20.5</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1445</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21</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网络规划与设计（第2版）</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清华大学出版社</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29</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14</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22</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图案（第二版）（配盘）</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高等教育</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37.1</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540</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23</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客户服务基础</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高等教育</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12.9</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230</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24</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三大构成</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华中科技</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680</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25</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幼儿心理学</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北师大</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29</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68</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26</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经济政治与社会</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北京师范</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15.8</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172</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27</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税收基础</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中山大学出版社</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50</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22</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28</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数字书法入门教程</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复旦大学</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24</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67</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29</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民航服务心理学</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中国人大</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35</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31</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30</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色彩静物这样画</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中国纺织</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65</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31</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从零开始学素描 石膏几何体</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中国纺织</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68</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32</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包装设计与制造</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中国纺织</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59.8</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460</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33</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电子商务案例分析</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中国铁道</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52</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162</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34</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Adobe InDesign CS6 版式设计与制作案例技能实训</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希望电子</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42</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604</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35</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中小型网络组建</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中国铁道</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32</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155</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36</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广告实务</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北京大学</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29</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11</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37</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城市轨道交通应急处理</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人民交通</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30</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75</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38</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电商运营</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华东理工</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58</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395</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Windows Server2008系统管理与服务器配置</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机械工业</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163</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40</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PHP程序设计案例教程</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机械工业出版社</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53</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143</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41</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电商视觉营销</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电子工业</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126</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42</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印后加工</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印刷工业出</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35</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31</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43</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印刷品质量检测与控制</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印刷工业出</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32</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31</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44</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平版印刷工艺</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印刷工业</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37</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45</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印刷机结构与调节</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印刷工业</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25</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37</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46</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制版工艺</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印刷工业</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68</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47</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印刷材料</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印刷工业</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49</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55</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48</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After Effects CS6标准培训教程</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59.8</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142</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49</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审计基础与实务</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科学出版社</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40</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23</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50</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客户关系管理</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中国劳动</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15</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525</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51</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航空面试技巧</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化学工业</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27</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341</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52</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乐理视唱练耳</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北京邮电</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31.8</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67</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53</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电工基础（第3版）</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36</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104</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54</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PHP程序设计基础教程</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中国铁道</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40</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23</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55</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PPT设计思维</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电子工业</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69</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155</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56</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机电设备概论</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机械工业</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16</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49</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57</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图解电工识图快速入门</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机械工业</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49.8</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26</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58</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电气控制与PLC应用（第3版）</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44.8</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26</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数字印刷技术</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化学工业</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31</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60</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成本核算实务</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中国劳动</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15</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60</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61</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传感器与检测技术</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清华大学</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27</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62</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印刷色彩基础与实务</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中国轻工</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59.8</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117</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63</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营销策划（第三版）</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清华大学</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39.8</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12</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64</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摄影级摄像基础</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中国劳动</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12</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275</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65</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Android移动开发基础案例教程</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39.8</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162</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66</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AutoCAD 2014机械制图立体化实例教程</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39.8</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49</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67</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Office2010办公高级应用(适用于Office2007\2010\2013版本慕课版)</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人民邮电</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49.8</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173</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68</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机电控制技术(2版)</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电子工业</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36.5</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26</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69</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设计学概论</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重庆大学</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38</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117</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70</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计算机应用基础Windows10+Office(彩色版)</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同济大学</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45</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82</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71</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市场调查与预测</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同济大学</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49</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16</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72</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电子商务物流管理</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同济大学</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42</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160</w:t>
            </w:r>
          </w:p>
        </w:tc>
      </w:tr>
      <w:tr>
        <w:tblPrEx>
          <w:tblCellMar>
            <w:top w:w="0" w:type="dxa"/>
            <w:left w:w="0" w:type="dxa"/>
            <w:bottom w:w="0" w:type="dxa"/>
            <w:right w:w="0" w:type="dxa"/>
          </w:tblCellMar>
        </w:tblPrEx>
        <w:trPr>
          <w:trHeight w:val="340" w:hRule="atLeast"/>
          <w:jc w:val="center"/>
        </w:trPr>
        <w:tc>
          <w:tcPr>
            <w:tcW w:w="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73</w:t>
            </w:r>
          </w:p>
        </w:tc>
        <w:tc>
          <w:tcPr>
            <w:tcW w:w="4494"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left"/>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商品摄影与图像处理</w:t>
            </w:r>
          </w:p>
        </w:tc>
        <w:tc>
          <w:tcPr>
            <w:tcW w:w="147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中国发展</w:t>
            </w:r>
          </w:p>
        </w:tc>
        <w:tc>
          <w:tcPr>
            <w:tcW w:w="915"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39.9</w:t>
            </w:r>
          </w:p>
        </w:tc>
        <w:tc>
          <w:tcPr>
            <w:tcW w:w="960"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22"/>
                <w:szCs w:val="22"/>
                <w:highlight w:val="none"/>
                <w:u w:val="none"/>
              </w:rPr>
            </w:pPr>
            <w:r>
              <w:rPr>
                <w:rFonts w:hint="eastAsia" w:ascii="宋体" w:hAnsi="宋体" w:eastAsia="宋体" w:cs="宋体"/>
                <w:i w:val="0"/>
                <w:color w:val="000000"/>
                <w:kern w:val="0"/>
                <w:sz w:val="22"/>
                <w:szCs w:val="22"/>
                <w:highlight w:val="none"/>
                <w:u w:val="none"/>
                <w:lang w:val="en-US" w:eastAsia="zh-CN" w:bidi="ar"/>
              </w:rPr>
              <w:t>271</w:t>
            </w:r>
          </w:p>
        </w:tc>
      </w:tr>
    </w:tbl>
    <w:p>
      <w:pPr>
        <w:rPr>
          <w:rFonts w:hint="eastAsia"/>
          <w:b/>
          <w:bCs/>
          <w:sz w:val="24"/>
          <w:szCs w:val="24"/>
          <w:highlight w:val="none"/>
          <w:lang w:val="en-US" w:eastAsia="zh-CN"/>
        </w:rPr>
      </w:pPr>
    </w:p>
    <w:p>
      <w:pPr>
        <w:rPr>
          <w:rFonts w:hint="default" w:eastAsia="宋体"/>
          <w:b/>
          <w:bCs/>
          <w:sz w:val="24"/>
          <w:szCs w:val="24"/>
          <w:highlight w:val="none"/>
          <w:lang w:val="en-US" w:eastAsia="zh-CN"/>
        </w:rPr>
      </w:pPr>
      <w:r>
        <w:rPr>
          <w:rFonts w:hint="eastAsia"/>
          <w:b/>
          <w:bCs/>
          <w:sz w:val="24"/>
          <w:szCs w:val="24"/>
          <w:highlight w:val="none"/>
          <w:lang w:val="en-US" w:eastAsia="zh-CN"/>
        </w:rPr>
        <w:t>备注：本清单参考上一年度采购清单编制，具体采购内容依据学校提供最新目录为主。</w:t>
      </w:r>
    </w:p>
    <w:p>
      <w:pPr>
        <w:spacing w:line="360" w:lineRule="auto"/>
        <w:jc w:val="center"/>
        <w:rPr>
          <w:rFonts w:ascii="宋体" w:hAnsi="宋体" w:cs="宋体"/>
          <w:b/>
          <w:color w:val="auto"/>
          <w:sz w:val="24"/>
          <w:szCs w:val="24"/>
          <w:highlight w:val="none"/>
        </w:rPr>
      </w:pPr>
    </w:p>
    <w:p>
      <w:pPr>
        <w:pStyle w:val="16"/>
        <w:rPr>
          <w:rFonts w:ascii="宋体" w:hAnsi="宋体" w:cs="宋体"/>
          <w:b/>
          <w:color w:val="auto"/>
          <w:sz w:val="24"/>
          <w:szCs w:val="24"/>
          <w:highlight w:val="none"/>
        </w:rPr>
      </w:pPr>
    </w:p>
    <w:p>
      <w:pPr>
        <w:rPr>
          <w:highlight w:val="none"/>
        </w:rPr>
        <w:sectPr>
          <w:pgSz w:w="11906" w:h="16838"/>
          <w:pgMar w:top="1417" w:right="1276" w:bottom="1134" w:left="1587" w:header="794" w:footer="992" w:gutter="0"/>
          <w:cols w:space="0" w:num="1"/>
          <w:docGrid w:type="lines" w:linePitch="322" w:charSpace="0"/>
        </w:sectPr>
      </w:pPr>
    </w:p>
    <w:p>
      <w:pPr>
        <w:rPr>
          <w:highlight w:val="none"/>
        </w:rPr>
      </w:pPr>
    </w:p>
    <w:p>
      <w:pPr>
        <w:pStyle w:val="4"/>
        <w:numPr>
          <w:ilvl w:val="0"/>
          <w:numId w:val="0"/>
        </w:numPr>
        <w:jc w:val="center"/>
        <w:rPr>
          <w:rFonts w:ascii="宋体" w:hAnsi="宋体" w:cs="宋体"/>
          <w:color w:val="auto"/>
          <w:highlight w:val="none"/>
        </w:rPr>
      </w:pPr>
      <w:bookmarkStart w:id="157" w:name="_Toc6573"/>
      <w:bookmarkStart w:id="158" w:name="_Toc6684"/>
      <w:bookmarkStart w:id="159" w:name="_Toc13585"/>
      <w:bookmarkStart w:id="160" w:name="_Toc30754"/>
      <w:bookmarkStart w:id="161" w:name="_Toc24630"/>
      <w:r>
        <w:rPr>
          <w:rFonts w:hint="eastAsia" w:ascii="宋体" w:hAnsi="宋体" w:cs="宋体"/>
          <w:color w:val="auto"/>
          <w:highlight w:val="none"/>
        </w:rPr>
        <w:t>第四章  开、评标程序</w:t>
      </w:r>
      <w:bookmarkEnd w:id="157"/>
      <w:bookmarkEnd w:id="158"/>
      <w:bookmarkEnd w:id="159"/>
      <w:bookmarkEnd w:id="160"/>
      <w:bookmarkEnd w:id="161"/>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1.   开标</w:t>
      </w:r>
    </w:p>
    <w:p>
      <w:pPr>
        <w:spacing w:line="360" w:lineRule="auto"/>
        <w:ind w:left="525" w:hanging="525" w:hangingChars="250"/>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.1采购代理机构将按“投标人须知前附表”规定的时间和地点组织公开远程开标。</w:t>
      </w:r>
    </w:p>
    <w:p>
      <w:pPr>
        <w:spacing w:line="360" w:lineRule="auto"/>
        <w:ind w:left="525" w:hanging="525" w:hangingChars="250"/>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.2开标前，采购机构将会同相关人员检查网上招标系统是否正常。开标时，各投标人应在规定时间内对本单位的投标文件远程解密，采购代理机构工作人员在监督员监督下解密所有投标文件。</w:t>
      </w:r>
    </w:p>
    <w:p>
      <w:pPr>
        <w:spacing w:line="360" w:lineRule="auto"/>
        <w:ind w:left="525" w:hanging="525" w:hangingChars="250"/>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.3因加密电子投标文件未能成功上传或误传而导致的解密失败，其投标将被拒绝。</w:t>
      </w:r>
    </w:p>
    <w:p>
      <w:pPr>
        <w:spacing w:line="360" w:lineRule="auto"/>
        <w:ind w:left="525" w:hanging="525" w:hangingChars="250"/>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.4开标时，采购代理机构将通过网上开标系统默认的顺序唱标，唱标内容包括投标人名称、投标价格以及其它有关内容。</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2.   资格性审查</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2.1  依据法律法规和招标文件的规定，在开标结束后，采购人或采购代理机构依据招标文件资格要求对投标文件中的资格证明内容进行审查，以确定投标人是否具备投标资格。</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2.2  资格审查合格的投标人的投标文件将由评标委员会进行依法评审。</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2.3  经资格审查后，合格投标人不足3家的，不得评标。</w:t>
      </w:r>
    </w:p>
    <w:p>
      <w:pPr>
        <w:spacing w:line="360" w:lineRule="auto"/>
        <w:ind w:left="527" w:hanging="525" w:hangingChars="250"/>
        <w:rPr>
          <w:rFonts w:ascii="宋体" w:hAnsi="宋体" w:cs="宋体"/>
          <w:b/>
          <w:color w:val="auto"/>
          <w:szCs w:val="21"/>
          <w:highlight w:val="none"/>
        </w:rPr>
      </w:pPr>
      <w:r>
        <w:rPr>
          <w:rFonts w:hint="eastAsia" w:ascii="宋体" w:hAnsi="宋体" w:cs="宋体"/>
          <w:b/>
          <w:color w:val="auto"/>
          <w:szCs w:val="21"/>
          <w:highlight w:val="none"/>
        </w:rPr>
        <w:t>3.   组建评标委员会</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3.1  评标委员会由采购单位代表及从政府采购专家库中随机抽取的技术、经济专家若干名组成，人数为五人（或以上）单数。</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3.2  评标工作将在评标委员会内部独立进行，评标委员会负责审议所有投标文件并按招标文件的要求确定中标候选人。</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3.3  评标委员会成员要依法独立评审，并对评审意见承担责任。</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3.4  评标委员会负责具体的评标事务，并履行以下职责：</w:t>
      </w:r>
    </w:p>
    <w:p>
      <w:pPr>
        <w:spacing w:line="360" w:lineRule="auto"/>
        <w:ind w:left="787" w:leftChars="300" w:hanging="157" w:hangingChars="75"/>
        <w:rPr>
          <w:rFonts w:ascii="宋体" w:hAnsi="宋体" w:cs="宋体"/>
          <w:color w:val="auto"/>
          <w:szCs w:val="21"/>
          <w:highlight w:val="none"/>
        </w:rPr>
      </w:pPr>
      <w:r>
        <w:rPr>
          <w:rFonts w:hint="eastAsia" w:ascii="宋体" w:hAnsi="宋体" w:cs="宋体"/>
          <w:color w:val="auto"/>
          <w:szCs w:val="21"/>
          <w:highlight w:val="none"/>
        </w:rPr>
        <w:t>3.4.1审查投标人法人代表或被授权人的投标资格及身份核查；</w:t>
      </w:r>
    </w:p>
    <w:p>
      <w:pPr>
        <w:spacing w:line="360" w:lineRule="auto"/>
        <w:ind w:left="787" w:leftChars="300" w:hanging="157" w:hangingChars="75"/>
        <w:rPr>
          <w:rFonts w:ascii="宋体" w:hAnsi="宋体" w:cs="宋体"/>
          <w:color w:val="auto"/>
          <w:szCs w:val="21"/>
          <w:highlight w:val="none"/>
        </w:rPr>
      </w:pPr>
      <w:r>
        <w:rPr>
          <w:rFonts w:hint="eastAsia" w:ascii="宋体" w:hAnsi="宋体" w:cs="宋体"/>
          <w:color w:val="auto"/>
          <w:szCs w:val="21"/>
          <w:highlight w:val="none"/>
        </w:rPr>
        <w:t>3.4.2审查投标文件是否符合招标文件的要求，并作出评价；</w:t>
      </w:r>
    </w:p>
    <w:p>
      <w:pPr>
        <w:spacing w:line="360" w:lineRule="auto"/>
        <w:ind w:left="787" w:leftChars="300" w:hanging="157" w:hangingChars="75"/>
        <w:rPr>
          <w:rFonts w:ascii="宋体" w:hAnsi="宋体" w:cs="宋体"/>
          <w:color w:val="auto"/>
          <w:szCs w:val="21"/>
          <w:highlight w:val="none"/>
        </w:rPr>
      </w:pPr>
      <w:r>
        <w:rPr>
          <w:rFonts w:hint="eastAsia" w:ascii="宋体" w:hAnsi="宋体" w:cs="宋体"/>
          <w:color w:val="auto"/>
          <w:szCs w:val="21"/>
          <w:highlight w:val="none"/>
        </w:rPr>
        <w:t>3.4.3可以要求投标人对投标文件有关事项作出解释或澄清；</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3.5  评标委员会成员应当履行下列义务：</w:t>
      </w:r>
    </w:p>
    <w:p>
      <w:pPr>
        <w:spacing w:line="360" w:lineRule="auto"/>
        <w:ind w:left="1155" w:leftChars="300" w:hanging="525" w:hangingChars="250"/>
        <w:rPr>
          <w:rFonts w:ascii="宋体" w:hAnsi="宋体" w:cs="宋体"/>
          <w:color w:val="auto"/>
          <w:szCs w:val="21"/>
          <w:highlight w:val="none"/>
        </w:rPr>
      </w:pPr>
      <w:r>
        <w:rPr>
          <w:rFonts w:hint="eastAsia" w:ascii="宋体" w:hAnsi="宋体" w:cs="宋体"/>
          <w:color w:val="auto"/>
          <w:szCs w:val="21"/>
          <w:highlight w:val="none"/>
        </w:rPr>
        <w:t>3.5.1 遵纪守法，客观、公正、廉洁地履行职责；</w:t>
      </w:r>
    </w:p>
    <w:p>
      <w:pPr>
        <w:spacing w:line="360" w:lineRule="auto"/>
        <w:ind w:left="1155" w:leftChars="300" w:hanging="525" w:hangingChars="250"/>
        <w:rPr>
          <w:rFonts w:ascii="宋体" w:hAnsi="宋体" w:cs="宋体"/>
          <w:color w:val="auto"/>
          <w:szCs w:val="21"/>
          <w:highlight w:val="none"/>
        </w:rPr>
      </w:pPr>
      <w:r>
        <w:rPr>
          <w:rFonts w:hint="eastAsia" w:ascii="宋体" w:hAnsi="宋体" w:cs="宋体"/>
          <w:color w:val="auto"/>
          <w:szCs w:val="21"/>
          <w:highlight w:val="none"/>
        </w:rPr>
        <w:t>3.5.2依照招标文件规定及评标办法进行评审，评标委员会成员和评审工作有关人员不得干预或者影响其他评委正常评审工作，不得明示或者暗示其倾向性、引导性意见，不得修改或细化招标文件确定的评审程序、评审方法、评审因素和评审标准，不得接受投标人主动提出的澄清和解释，不得征询采购人代表的倾向性意见，不得协商评分，不得记录、复制或带走任何评审资料。</w:t>
      </w:r>
    </w:p>
    <w:p>
      <w:pPr>
        <w:spacing w:line="360" w:lineRule="auto"/>
        <w:ind w:left="1155" w:leftChars="300" w:hanging="525" w:hangingChars="250"/>
        <w:rPr>
          <w:rFonts w:ascii="宋体" w:hAnsi="宋体" w:cs="宋体"/>
          <w:color w:val="auto"/>
          <w:szCs w:val="21"/>
          <w:highlight w:val="none"/>
        </w:rPr>
      </w:pPr>
      <w:r>
        <w:rPr>
          <w:rFonts w:hint="eastAsia" w:ascii="宋体" w:hAnsi="宋体" w:cs="宋体"/>
          <w:color w:val="auto"/>
          <w:szCs w:val="21"/>
          <w:highlight w:val="none"/>
        </w:rPr>
        <w:t>3.5.3 对评标过程和结果，以及投标人的商业秘密进行严格保密。</w:t>
      </w:r>
    </w:p>
    <w:p>
      <w:pPr>
        <w:spacing w:line="360" w:lineRule="auto"/>
        <w:ind w:left="1155" w:leftChars="300" w:hanging="525" w:hangingChars="250"/>
        <w:rPr>
          <w:rFonts w:ascii="宋体" w:hAnsi="宋体" w:cs="宋体"/>
          <w:color w:val="auto"/>
          <w:szCs w:val="21"/>
          <w:highlight w:val="none"/>
        </w:rPr>
      </w:pPr>
      <w:r>
        <w:rPr>
          <w:rFonts w:hint="eastAsia" w:ascii="宋体" w:hAnsi="宋体" w:cs="宋体"/>
          <w:color w:val="auto"/>
          <w:szCs w:val="21"/>
          <w:highlight w:val="none"/>
        </w:rPr>
        <w:t>3.5.4 参与评标报告的起草。</w:t>
      </w:r>
    </w:p>
    <w:p>
      <w:pPr>
        <w:spacing w:line="360" w:lineRule="auto"/>
        <w:ind w:left="1155" w:leftChars="300" w:hanging="525" w:hangingChars="250"/>
        <w:rPr>
          <w:rFonts w:ascii="宋体" w:hAnsi="宋体" w:cs="宋体"/>
          <w:color w:val="auto"/>
          <w:szCs w:val="21"/>
          <w:highlight w:val="none"/>
        </w:rPr>
      </w:pPr>
      <w:r>
        <w:rPr>
          <w:rFonts w:hint="eastAsia" w:ascii="宋体" w:hAnsi="宋体" w:cs="宋体"/>
          <w:color w:val="auto"/>
          <w:szCs w:val="21"/>
          <w:highlight w:val="none"/>
        </w:rPr>
        <w:t>3.5.5 配合本项目相关的质疑及财政部门的投诉处理工作。</w:t>
      </w:r>
    </w:p>
    <w:p>
      <w:pPr>
        <w:spacing w:line="360" w:lineRule="auto"/>
        <w:ind w:left="1155" w:leftChars="300" w:hanging="525" w:hangingChars="250"/>
        <w:rPr>
          <w:rFonts w:ascii="宋体" w:hAnsi="宋体" w:cs="宋体"/>
          <w:color w:val="auto"/>
          <w:szCs w:val="21"/>
          <w:highlight w:val="none"/>
        </w:rPr>
      </w:pPr>
      <w:r>
        <w:rPr>
          <w:rFonts w:hint="eastAsia" w:ascii="宋体" w:hAnsi="宋体" w:cs="宋体"/>
          <w:color w:val="auto"/>
          <w:szCs w:val="21"/>
          <w:highlight w:val="none"/>
        </w:rPr>
        <w:t>3.5.6评标委员会要在采购项目招标失败时，出具招标文件是否存在不合理条款的论证意见，要协助采购人及代理机构、财政部门答复质疑或处理投诉事项。</w:t>
      </w:r>
    </w:p>
    <w:p>
      <w:pPr>
        <w:spacing w:line="360" w:lineRule="auto"/>
        <w:ind w:left="527" w:hanging="525" w:hangingChars="250"/>
        <w:rPr>
          <w:rFonts w:ascii="宋体" w:hAnsi="宋体" w:cs="宋体"/>
          <w:b/>
          <w:bCs/>
          <w:color w:val="auto"/>
          <w:szCs w:val="21"/>
          <w:highlight w:val="none"/>
        </w:rPr>
      </w:pPr>
      <w:r>
        <w:rPr>
          <w:rFonts w:hint="eastAsia" w:ascii="宋体" w:hAnsi="宋体" w:cs="宋体"/>
          <w:b/>
          <w:bCs/>
          <w:color w:val="auto"/>
          <w:szCs w:val="21"/>
          <w:highlight w:val="none"/>
        </w:rPr>
        <w:t>4.   投标文件初审</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4.1   符合性审查：依据招标文件的规定，从投标文件的有效性、完整性和对招标文件的响应程度进行审查，以确定是否对招标文件的实质性要求做出响应。</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4.2  实质上响应的投标是指与招标文件的实质性条款和规格相符，没有重大负偏差。</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4.3  所谓重大负偏差是指投标人所投标的范围、数量和交货期限等明显不能满足招标文件的要求，重大负偏差的认定须经评标委员会三分之二以上同意。</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4.4  出现下述情况之一的评标委员会将视为重大负偏差或非实质上响应，包括但不限于：</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4.4.1 投标报价超过采购预算的；</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4.4.</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投标有效期不足的；</w:t>
      </w:r>
    </w:p>
    <w:p>
      <w:pPr>
        <w:spacing w:line="360" w:lineRule="auto"/>
        <w:ind w:left="525" w:hanging="525" w:hangingChars="250"/>
        <w:rPr>
          <w:rFonts w:hint="eastAsia" w:ascii="宋体" w:hAnsi="宋体" w:cs="宋体"/>
          <w:color w:val="auto"/>
          <w:szCs w:val="21"/>
          <w:highlight w:val="none"/>
        </w:rPr>
      </w:pPr>
      <w:r>
        <w:rPr>
          <w:rFonts w:hint="eastAsia" w:ascii="宋体" w:hAnsi="宋体" w:cs="宋体"/>
          <w:color w:val="auto"/>
          <w:szCs w:val="21"/>
          <w:highlight w:val="none"/>
        </w:rPr>
        <w:t>4.4.</w:t>
      </w:r>
      <w:r>
        <w:rPr>
          <w:rFonts w:hint="eastAsia" w:ascii="宋体" w:hAnsi="宋体" w:cs="宋体"/>
          <w:color w:val="auto"/>
          <w:szCs w:val="21"/>
          <w:highlight w:val="none"/>
          <w:lang w:val="en-US" w:eastAsia="zh-CN"/>
        </w:rPr>
        <w:t>3</w:t>
      </w:r>
      <w:r>
        <w:rPr>
          <w:rFonts w:hint="eastAsia" w:ascii="宋体" w:hAnsi="宋体" w:cs="宋体"/>
          <w:color w:val="auto"/>
          <w:szCs w:val="21"/>
          <w:highlight w:val="none"/>
        </w:rPr>
        <w:t>交货期不满足招标文件要求的；</w:t>
      </w:r>
    </w:p>
    <w:p>
      <w:pPr>
        <w:spacing w:line="360" w:lineRule="auto"/>
        <w:ind w:left="525" w:hanging="525" w:hangingChars="25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4.4.4质量保证期不满足招标文件要求的；</w:t>
      </w:r>
    </w:p>
    <w:p>
      <w:pPr>
        <w:spacing w:line="360" w:lineRule="auto"/>
        <w:ind w:left="525" w:hanging="525" w:hangingChars="250"/>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4.4.5质量要求不满足招标文件要求的；</w:t>
      </w:r>
    </w:p>
    <w:p>
      <w:pPr>
        <w:spacing w:line="360" w:lineRule="auto"/>
        <w:ind w:left="525" w:hanging="525" w:hangingChars="250"/>
        <w:rPr>
          <w:rFonts w:hint="eastAsia" w:ascii="宋体" w:hAnsi="宋体" w:eastAsia="宋体" w:cs="宋体"/>
          <w:color w:val="auto"/>
          <w:szCs w:val="21"/>
          <w:highlight w:val="none"/>
          <w:lang w:eastAsia="zh-CN"/>
        </w:rPr>
      </w:pPr>
      <w:r>
        <w:rPr>
          <w:rFonts w:hint="eastAsia" w:ascii="宋体" w:hAnsi="宋体" w:cs="宋体"/>
          <w:color w:val="auto"/>
          <w:szCs w:val="21"/>
          <w:highlight w:val="none"/>
        </w:rPr>
        <w:t>4.4.</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不符合招标文件中规定的其他实质性要求的</w:t>
      </w:r>
      <w:r>
        <w:rPr>
          <w:rFonts w:hint="eastAsia" w:ascii="宋体" w:hAnsi="宋体" w:cs="宋体"/>
          <w:color w:val="auto"/>
          <w:szCs w:val="21"/>
          <w:highlight w:val="none"/>
          <w:lang w:eastAsia="zh-CN"/>
        </w:rPr>
        <w:t>；</w:t>
      </w:r>
    </w:p>
    <w:p>
      <w:pPr>
        <w:pStyle w:val="16"/>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4.4.8投标文件制作机器码一致的。</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 xml:space="preserve">4.5  审查中，对明显的文字和计算错误按下述原则处理： </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4.5.1投标文件中投标函内容与投标文件中明细表内容不一致的，以投标函为准；</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4.5.2投标文件的大写金额和小写金额不一致的，以大写金额为准；单价金额小数点或者百分比有明显错位的，以投标函附录的总价为准，并修改单价；总价金额与按单价汇总金额不一致的，以单价金额计算结果为准；对不同文字文本投标文件的解释发生异议的，以中文文本为准。</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4.6  评标委员会对投标文件的判定,只依据投标文件内容本身,不依据任何外来证明。</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5.   投标文件的澄清</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5.1  评标委员会有权要求投标人对投标文件中含义不明确、对同类问题表述不一致或者有明显文字和计算错误等内容作必要的澄清、说明或者补正，该要求应当采用书面形式,并由评标委员会全体人员签字。</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5.2  投标人必须按照评标委员会通知的内容和时间做出书面答复，该答复经法定代表人或委托代理人的签字认可，将作为投标文件内容的一部分。澄清、说明或者补正不得超出投标文件的范围或者改变投标文件的实质性内容。</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5.3  并非每个投标人都将被要求做出澄清和答复。</w:t>
      </w:r>
    </w:p>
    <w:p>
      <w:pPr>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5.4  投标人所要澄清的内容应是书面的，并由投标人法定代表或其委托代理人签字。</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6.   投标文件的详细评审及推荐中标候选人</w:t>
      </w:r>
    </w:p>
    <w:p>
      <w:pPr>
        <w:tabs>
          <w:tab w:val="left" w:pos="1200"/>
        </w:tabs>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6.1  评标委员会只对实质上响应招标文件的投标进行评价和比较；评审应严格按照招标文件的要求和条件进行，评分结果按照四舍五入保留2位小数。</w:t>
      </w:r>
    </w:p>
    <w:p>
      <w:pPr>
        <w:tabs>
          <w:tab w:val="left" w:pos="1200"/>
        </w:tabs>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6.2  投标人最终得分为所有评标委员会成员汇总得分的算术平均值，并按照最终的分顺序进行排名。</w:t>
      </w:r>
    </w:p>
    <w:p>
      <w:pPr>
        <w:tabs>
          <w:tab w:val="left" w:pos="1200"/>
        </w:tabs>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6.3  评标委员会成员对需要共同认定的事项存在争议的，应当按照少数服从多数的原则作出结论。持不同意见的评标委员会成员应当在评标报告上签署不同意见及理由，否则视为同意评标报告。</w:t>
      </w:r>
    </w:p>
    <w:p>
      <w:pPr>
        <w:tabs>
          <w:tab w:val="left" w:pos="1200"/>
        </w:tabs>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6.4  评标委员会将根据评标办法及招标文件相关规定要求推荐3名中标候选人。</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7.   废标</w:t>
      </w:r>
    </w:p>
    <w:p>
      <w:pPr>
        <w:tabs>
          <w:tab w:val="left" w:pos="1200"/>
        </w:tabs>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7.1  在评标过程中，出现下列情况之一时，应当予以废标；</w:t>
      </w:r>
    </w:p>
    <w:p>
      <w:pPr>
        <w:spacing w:line="360" w:lineRule="auto"/>
        <w:ind w:left="945" w:leftChars="200" w:hanging="525" w:hangingChars="250"/>
        <w:rPr>
          <w:rFonts w:ascii="宋体" w:hAnsi="宋体" w:cs="宋体"/>
          <w:color w:val="auto"/>
          <w:szCs w:val="21"/>
          <w:highlight w:val="none"/>
        </w:rPr>
      </w:pPr>
      <w:r>
        <w:rPr>
          <w:rFonts w:hint="eastAsia" w:ascii="宋体" w:hAnsi="宋体" w:cs="宋体"/>
          <w:color w:val="auto"/>
          <w:szCs w:val="21"/>
          <w:highlight w:val="none"/>
        </w:rPr>
        <w:t>7.1.1符合专业条件的供应商或者对招标文件作实质响应的供应商不足三家的；</w:t>
      </w:r>
    </w:p>
    <w:p>
      <w:pPr>
        <w:spacing w:line="360" w:lineRule="auto"/>
        <w:ind w:left="945" w:leftChars="200" w:hanging="525" w:hangingChars="250"/>
        <w:rPr>
          <w:rFonts w:ascii="宋体" w:hAnsi="宋体" w:cs="宋体"/>
          <w:color w:val="auto"/>
          <w:szCs w:val="21"/>
          <w:highlight w:val="none"/>
        </w:rPr>
      </w:pPr>
      <w:r>
        <w:rPr>
          <w:rFonts w:hint="eastAsia" w:ascii="宋体" w:hAnsi="宋体" w:cs="宋体"/>
          <w:color w:val="auto"/>
          <w:szCs w:val="21"/>
          <w:highlight w:val="none"/>
        </w:rPr>
        <w:t>7.1.2 出现影响采购公正的违法、违规行为的；</w:t>
      </w:r>
    </w:p>
    <w:p>
      <w:pPr>
        <w:spacing w:line="360" w:lineRule="auto"/>
        <w:ind w:left="945" w:leftChars="200" w:hanging="525" w:hangingChars="250"/>
        <w:rPr>
          <w:rFonts w:ascii="宋体" w:hAnsi="宋体" w:cs="宋体"/>
          <w:color w:val="auto"/>
          <w:szCs w:val="21"/>
          <w:highlight w:val="none"/>
        </w:rPr>
      </w:pPr>
      <w:r>
        <w:rPr>
          <w:rFonts w:hint="eastAsia" w:ascii="宋体" w:hAnsi="宋体" w:cs="宋体"/>
          <w:color w:val="auto"/>
          <w:szCs w:val="21"/>
          <w:highlight w:val="none"/>
        </w:rPr>
        <w:t>7.1.3 投标人的报价均超出采购预算；</w:t>
      </w:r>
    </w:p>
    <w:p>
      <w:pPr>
        <w:spacing w:line="360" w:lineRule="auto"/>
        <w:ind w:left="945" w:leftChars="200" w:hanging="525" w:hangingChars="250"/>
        <w:rPr>
          <w:rFonts w:ascii="宋体" w:hAnsi="宋体" w:cs="宋体"/>
          <w:color w:val="auto"/>
          <w:szCs w:val="21"/>
          <w:highlight w:val="none"/>
        </w:rPr>
      </w:pPr>
      <w:r>
        <w:rPr>
          <w:rFonts w:hint="eastAsia" w:ascii="宋体" w:hAnsi="宋体" w:cs="宋体"/>
          <w:color w:val="auto"/>
          <w:szCs w:val="21"/>
          <w:highlight w:val="none"/>
        </w:rPr>
        <w:t>7.1.4 因重大变故，采购任务取消的。</w:t>
      </w:r>
    </w:p>
    <w:p>
      <w:pPr>
        <w:tabs>
          <w:tab w:val="left" w:pos="1200"/>
        </w:tabs>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7.2  废标后，采购人应当将废标理由通知所有投标人。</w:t>
      </w:r>
    </w:p>
    <w:p>
      <w:pPr>
        <w:tabs>
          <w:tab w:val="left" w:pos="630"/>
        </w:tabs>
        <w:spacing w:line="360" w:lineRule="auto"/>
        <w:rPr>
          <w:rFonts w:ascii="宋体" w:hAnsi="宋体" w:cs="宋体"/>
          <w:b/>
          <w:color w:val="auto"/>
          <w:szCs w:val="21"/>
          <w:highlight w:val="none"/>
        </w:rPr>
      </w:pPr>
      <w:r>
        <w:rPr>
          <w:rFonts w:hint="eastAsia" w:ascii="宋体" w:hAnsi="宋体" w:cs="宋体"/>
          <w:b/>
          <w:color w:val="auto"/>
          <w:szCs w:val="21"/>
          <w:highlight w:val="none"/>
        </w:rPr>
        <w:t>8.   评标过程保密</w:t>
      </w:r>
    </w:p>
    <w:p>
      <w:pPr>
        <w:tabs>
          <w:tab w:val="left" w:pos="1200"/>
        </w:tabs>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8.1  开标之后直到授予投标人合同止，凡是属于审查、澄清、评价和比较投标的有关资料以及授标意向等，均不向投标人或其他与评标无关的人员透露。</w:t>
      </w:r>
    </w:p>
    <w:p>
      <w:pPr>
        <w:tabs>
          <w:tab w:val="left" w:pos="1200"/>
        </w:tabs>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8.2  评标是招标工作的重要环节，评标工作在评委会内独立进行。</w:t>
      </w:r>
    </w:p>
    <w:p>
      <w:pPr>
        <w:tabs>
          <w:tab w:val="left" w:pos="1200"/>
        </w:tabs>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 xml:space="preserve">8.3  评委会将遵照规定的评标方法，公正、平等地对待所有投标人。 </w:t>
      </w:r>
    </w:p>
    <w:p>
      <w:pPr>
        <w:tabs>
          <w:tab w:val="left" w:pos="1200"/>
        </w:tabs>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8.4  在开标、评标期间，投标人不得向评委询问评标情况，不得进行旨在影响评标结果的活动。否则，其投标可能被拒绝。</w:t>
      </w:r>
    </w:p>
    <w:p>
      <w:pPr>
        <w:tabs>
          <w:tab w:val="left" w:pos="1200"/>
        </w:tabs>
        <w:spacing w:line="360" w:lineRule="auto"/>
        <w:ind w:left="525" w:hanging="525" w:hangingChars="250"/>
        <w:rPr>
          <w:rFonts w:ascii="宋体" w:hAnsi="宋体" w:cs="宋体"/>
          <w:color w:val="auto"/>
          <w:szCs w:val="21"/>
          <w:highlight w:val="none"/>
        </w:rPr>
      </w:pPr>
      <w:r>
        <w:rPr>
          <w:rFonts w:hint="eastAsia" w:ascii="宋体" w:hAnsi="宋体" w:cs="宋体"/>
          <w:color w:val="auto"/>
          <w:szCs w:val="21"/>
          <w:highlight w:val="none"/>
        </w:rPr>
        <w:t>8.5  为保证评标的公正性，开标后直至授予投标人合同，评委不得与投标人私下交换意见。</w:t>
      </w:r>
    </w:p>
    <w:p>
      <w:pPr>
        <w:tabs>
          <w:tab w:val="left" w:pos="1200"/>
        </w:tabs>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8.6  在评标工作结束后，凡与评标情况有接触的任何人不得擅自将评标情况扩散出评标人员之外。 </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9.   监督部门</w:t>
      </w:r>
    </w:p>
    <w:p>
      <w:pPr>
        <w:tabs>
          <w:tab w:val="left" w:pos="1200"/>
        </w:tabs>
        <w:spacing w:line="360" w:lineRule="auto"/>
        <w:rPr>
          <w:rFonts w:ascii="宋体" w:hAnsi="宋体" w:cs="宋体"/>
          <w:color w:val="auto"/>
          <w:szCs w:val="21"/>
          <w:highlight w:val="none"/>
        </w:rPr>
      </w:pPr>
      <w:r>
        <w:rPr>
          <w:rFonts w:hint="eastAsia" w:ascii="宋体" w:hAnsi="宋体" w:cs="宋体"/>
          <w:color w:val="auto"/>
          <w:szCs w:val="21"/>
          <w:highlight w:val="none"/>
        </w:rPr>
        <w:t>9.1  河南省财政厅政府采购处是本次招投标活动的管理监督机构。</w:t>
      </w:r>
    </w:p>
    <w:p>
      <w:pPr>
        <w:spacing w:line="360" w:lineRule="auto"/>
        <w:rPr>
          <w:rFonts w:ascii="宋体" w:hAnsi="宋体" w:cs="宋体"/>
          <w:b/>
          <w:color w:val="auto"/>
          <w:szCs w:val="21"/>
          <w:highlight w:val="none"/>
        </w:rPr>
      </w:pPr>
      <w:r>
        <w:rPr>
          <w:rFonts w:hint="eastAsia" w:ascii="宋体" w:hAnsi="宋体" w:cs="宋体"/>
          <w:b/>
          <w:color w:val="auto"/>
          <w:szCs w:val="21"/>
          <w:highlight w:val="none"/>
        </w:rPr>
        <w:t>10.   评分办法</w:t>
      </w:r>
    </w:p>
    <w:p>
      <w:pPr>
        <w:spacing w:line="360" w:lineRule="auto"/>
        <w:jc w:val="center"/>
        <w:rPr>
          <w:rFonts w:hint="default" w:ascii="宋体" w:hAnsi="宋体" w:eastAsia="宋体" w:cs="宋体"/>
          <w:b/>
          <w:color w:val="auto"/>
          <w:szCs w:val="21"/>
          <w:highlight w:val="none"/>
          <w:lang w:val="en-US" w:eastAsia="zh-CN"/>
        </w:rPr>
      </w:pPr>
      <w:bookmarkStart w:id="162" w:name="_Toc193083552"/>
      <w:bookmarkStart w:id="163" w:name="_Toc192992689"/>
      <w:bookmarkStart w:id="164" w:name="_Toc160186125"/>
      <w:bookmarkStart w:id="165" w:name="_Toc160359580"/>
      <w:bookmarkStart w:id="166" w:name="_Toc192991258"/>
      <w:bookmarkStart w:id="167" w:name="_Toc192944675"/>
      <w:bookmarkStart w:id="168" w:name="_Toc192990013"/>
      <w:bookmarkStart w:id="169" w:name="_Toc192478091"/>
      <w:bookmarkStart w:id="170" w:name="_Toc200960078"/>
      <w:bookmarkStart w:id="171" w:name="_Toc192643572"/>
      <w:r>
        <w:rPr>
          <w:rFonts w:hint="eastAsia" w:ascii="宋体" w:hAnsi="宋体" w:cs="宋体"/>
          <w:b/>
          <w:color w:val="auto"/>
          <w:szCs w:val="21"/>
          <w:highlight w:val="none"/>
        </w:rPr>
        <w:t>（1）评分办法</w:t>
      </w:r>
      <w:r>
        <w:rPr>
          <w:rFonts w:hint="eastAsia" w:ascii="宋体" w:hAnsi="宋体" w:cs="宋体"/>
          <w:b/>
          <w:color w:val="auto"/>
          <w:szCs w:val="21"/>
          <w:highlight w:val="none"/>
          <w:lang w:val="en-US" w:eastAsia="zh-CN"/>
        </w:rPr>
        <w:t>和标准</w:t>
      </w:r>
    </w:p>
    <w:p>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一.评标依据</w:t>
      </w:r>
    </w:p>
    <w:p>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1.《中华人民共和国政府采购法》；</w:t>
      </w:r>
    </w:p>
    <w:p>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2.《中华人民共和国政府采购法实施条例》；</w:t>
      </w:r>
    </w:p>
    <w:p>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2.《政府采购货物和服务招标投标管理办法》（财政部第87号令）；</w:t>
      </w:r>
    </w:p>
    <w:p>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3.《财政部关于加强政府采购货物和服务项目价格评审管理的通知》；</w:t>
      </w:r>
    </w:p>
    <w:p>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4．《评标委员和评标方法暂行规定》；</w:t>
      </w:r>
    </w:p>
    <w:p>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5. 法律法规的相关规定</w:t>
      </w:r>
    </w:p>
    <w:p>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6．本项目招标文件。</w:t>
      </w:r>
    </w:p>
    <w:p>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二.评标原则</w:t>
      </w:r>
    </w:p>
    <w:p>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1．公平、公正、科学合理评标；</w:t>
      </w:r>
    </w:p>
    <w:p>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2. 评标委员会由采购人代表和评审专家组成，成员人数为五人以上单数。其中，评审专家不得少于成员总数的三分之二。采购数额在1000万元以上、技术复杂的项目，评标委员会成员人数应当为7人以上单数。评标委员会由招标采购单位从河南省财政厅政府采购专家库中随机抽取后并依法组建，有关人员对所聘任的评标委员会成员名单必须严格保密，与投标有利害关系的人员不得进入评标委员会</w:t>
      </w:r>
    </w:p>
    <w:p>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3．参加评标的人员应严格遵守国家有关保密的法律、法规和规定，并接受有关部门的监督；</w:t>
      </w:r>
    </w:p>
    <w:p>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4．根据法律法规规定，参加评标的有关人员应对整个评标、定标过程保密，不得泄露；</w:t>
      </w:r>
    </w:p>
    <w:p>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5．评标委员会成员（以下简称评委）应按规定的程序评标；</w:t>
      </w:r>
    </w:p>
    <w:p>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6．评委在开始评标前，应首先检查每份投标文件的内容是否完整，是否实质上响应招标文件的要求。对于实质上未响应招标文件规定的投标文件，采购人将予以拒绝。对于报价特别异常的，由评委依法认定。</w:t>
      </w:r>
    </w:p>
    <w:p>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7．评标委员会将对确定为实质上响应招标文件要求的投标文件进行比较评审。</w:t>
      </w:r>
    </w:p>
    <w:p>
      <w:pPr>
        <w:spacing w:line="360" w:lineRule="auto"/>
        <w:ind w:left="0" w:leftChars="0" w:firstLine="0" w:firstLineChars="0"/>
        <w:rPr>
          <w:rFonts w:hint="eastAsia" w:ascii="宋体" w:hAnsi="宋体" w:cs="宋体"/>
          <w:color w:val="auto"/>
          <w:sz w:val="24"/>
          <w:highlight w:val="none"/>
        </w:rPr>
      </w:pPr>
      <w:r>
        <w:rPr>
          <w:rFonts w:hint="eastAsia" w:ascii="宋体" w:hAnsi="宋体" w:cs="宋体"/>
          <w:color w:val="auto"/>
          <w:sz w:val="24"/>
          <w:highlight w:val="none"/>
        </w:rPr>
        <w:t>8．投标人对评委施加影响的任何行为，都将被取消中标资格。</w:t>
      </w:r>
    </w:p>
    <w:p>
      <w:pPr>
        <w:spacing w:line="520" w:lineRule="exact"/>
        <w:jc w:val="left"/>
        <w:rPr>
          <w:rFonts w:hint="eastAsia" w:ascii="宋体" w:hAnsi="宋体" w:cs="宋体"/>
          <w:color w:val="auto"/>
          <w:sz w:val="24"/>
          <w:highlight w:val="none"/>
        </w:rPr>
      </w:pPr>
      <w:r>
        <w:rPr>
          <w:rFonts w:hint="eastAsia" w:ascii="宋体" w:hAnsi="宋体" w:cs="宋体"/>
          <w:color w:val="auto"/>
          <w:sz w:val="24"/>
          <w:highlight w:val="none"/>
        </w:rPr>
        <w:t>三.评审顺序</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1. 资格审查</w:t>
      </w:r>
    </w:p>
    <w:p>
      <w:pPr>
        <w:pStyle w:val="2"/>
        <w:spacing w:line="360" w:lineRule="auto"/>
        <w:ind w:left="0" w:leftChars="0" w:firstLine="480" w:firstLineChars="200"/>
        <w:rPr>
          <w:rFonts w:hint="eastAsia" w:ascii="宋体" w:hAnsi="宋体" w:cs="宋体"/>
          <w:color w:val="auto"/>
          <w:sz w:val="24"/>
          <w:highlight w:val="none"/>
        </w:rPr>
      </w:pPr>
      <w:r>
        <w:rPr>
          <w:rFonts w:hint="eastAsia" w:ascii="宋体" w:hAnsi="宋体" w:cs="宋体"/>
          <w:color w:val="auto"/>
          <w:sz w:val="24"/>
          <w:highlight w:val="none"/>
        </w:rPr>
        <w:t>开标结束后，首先按照《政府采购货物和服务招标投标管理办法》（财政部第87号令）规定由采购人对投标人的资格性进行审查。</w:t>
      </w:r>
    </w:p>
    <w:p>
      <w:pPr>
        <w:pStyle w:val="2"/>
        <w:spacing w:line="360" w:lineRule="auto"/>
        <w:ind w:left="0" w:leftChars="0" w:firstLine="640" w:firstLineChars="200"/>
        <w:jc w:val="center"/>
        <w:rPr>
          <w:kern w:val="0"/>
          <w:sz w:val="32"/>
          <w:szCs w:val="32"/>
          <w:highlight w:val="none"/>
        </w:rPr>
      </w:pPr>
      <w:r>
        <w:rPr>
          <w:kern w:val="0"/>
          <w:sz w:val="32"/>
          <w:szCs w:val="32"/>
          <w:highlight w:val="none"/>
        </w:rPr>
        <w:t>资格审查表</w:t>
      </w:r>
    </w:p>
    <w:tbl>
      <w:tblPr>
        <w:tblStyle w:val="31"/>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91"/>
        <w:gridCol w:w="593"/>
        <w:gridCol w:w="825"/>
        <w:gridCol w:w="655"/>
        <w:gridCol w:w="614"/>
        <w:gridCol w:w="872"/>
        <w:gridCol w:w="724"/>
        <w:gridCol w:w="722"/>
        <w:gridCol w:w="654"/>
        <w:gridCol w:w="894"/>
        <w:gridCol w:w="676"/>
        <w:gridCol w:w="479"/>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79" w:hRule="atLeast"/>
          <w:jc w:val="center"/>
        </w:trPr>
        <w:tc>
          <w:tcPr>
            <w:tcW w:w="1591" w:type="dxa"/>
            <w:vMerge w:val="restart"/>
            <w:noWrap w:val="0"/>
            <w:vAlign w:val="center"/>
          </w:tcPr>
          <w:p>
            <w:pPr>
              <w:widowControl/>
              <w:jc w:val="center"/>
              <w:rPr>
                <w:kern w:val="0"/>
                <w:sz w:val="18"/>
                <w:szCs w:val="18"/>
                <w:highlight w:val="none"/>
              </w:rPr>
            </w:pPr>
            <w:r>
              <w:rPr>
                <w:kern w:val="0"/>
                <w:sz w:val="18"/>
                <w:szCs w:val="18"/>
                <w:highlight w:val="none"/>
              </w:rPr>
              <w:t>投标人名称</w:t>
            </w:r>
          </w:p>
        </w:tc>
        <w:tc>
          <w:tcPr>
            <w:tcW w:w="7229" w:type="dxa"/>
            <w:gridSpan w:val="10"/>
            <w:noWrap w:val="0"/>
            <w:vAlign w:val="center"/>
          </w:tcPr>
          <w:p>
            <w:pPr>
              <w:widowControl/>
              <w:jc w:val="center"/>
              <w:rPr>
                <w:kern w:val="0"/>
                <w:sz w:val="18"/>
                <w:szCs w:val="18"/>
                <w:highlight w:val="none"/>
              </w:rPr>
            </w:pPr>
            <w:r>
              <w:rPr>
                <w:kern w:val="0"/>
                <w:sz w:val="18"/>
                <w:szCs w:val="18"/>
                <w:highlight w:val="none"/>
              </w:rPr>
              <w:t>审查项目</w:t>
            </w:r>
          </w:p>
        </w:tc>
        <w:tc>
          <w:tcPr>
            <w:tcW w:w="479" w:type="dxa"/>
            <w:vMerge w:val="restart"/>
            <w:noWrap w:val="0"/>
            <w:vAlign w:val="center"/>
          </w:tcPr>
          <w:p>
            <w:pPr>
              <w:widowControl/>
              <w:jc w:val="center"/>
              <w:rPr>
                <w:kern w:val="0"/>
                <w:sz w:val="18"/>
                <w:szCs w:val="18"/>
                <w:highlight w:val="none"/>
              </w:rPr>
            </w:pPr>
            <w:r>
              <w:rPr>
                <w:kern w:val="0"/>
                <w:sz w:val="18"/>
                <w:szCs w:val="18"/>
                <w:highlight w:val="none"/>
              </w:rPr>
              <w:t>结论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942" w:hRule="atLeast"/>
          <w:jc w:val="center"/>
        </w:trPr>
        <w:tc>
          <w:tcPr>
            <w:tcW w:w="1591" w:type="dxa"/>
            <w:vMerge w:val="continue"/>
            <w:noWrap w:val="0"/>
            <w:vAlign w:val="center"/>
          </w:tcPr>
          <w:p>
            <w:pPr>
              <w:widowControl/>
              <w:jc w:val="left"/>
              <w:rPr>
                <w:kern w:val="0"/>
                <w:sz w:val="18"/>
                <w:szCs w:val="18"/>
                <w:highlight w:val="none"/>
              </w:rPr>
            </w:pPr>
          </w:p>
        </w:tc>
        <w:tc>
          <w:tcPr>
            <w:tcW w:w="593" w:type="dxa"/>
            <w:noWrap w:val="0"/>
            <w:vAlign w:val="center"/>
          </w:tcPr>
          <w:p>
            <w:pPr>
              <w:widowControl/>
              <w:jc w:val="center"/>
              <w:rPr>
                <w:kern w:val="0"/>
                <w:sz w:val="18"/>
                <w:szCs w:val="18"/>
                <w:highlight w:val="none"/>
              </w:rPr>
            </w:pPr>
            <w:r>
              <w:rPr>
                <w:kern w:val="0"/>
                <w:sz w:val="18"/>
                <w:szCs w:val="18"/>
                <w:highlight w:val="none"/>
              </w:rPr>
              <w:t>营业执照等证明</w:t>
            </w:r>
          </w:p>
        </w:tc>
        <w:tc>
          <w:tcPr>
            <w:tcW w:w="825" w:type="dxa"/>
            <w:noWrap w:val="0"/>
            <w:vAlign w:val="center"/>
          </w:tcPr>
          <w:p>
            <w:pPr>
              <w:widowControl/>
              <w:jc w:val="center"/>
              <w:rPr>
                <w:kern w:val="0"/>
                <w:sz w:val="18"/>
                <w:szCs w:val="18"/>
                <w:highlight w:val="none"/>
              </w:rPr>
            </w:pPr>
            <w:r>
              <w:rPr>
                <w:rFonts w:hint="eastAsia"/>
                <w:kern w:val="0"/>
                <w:sz w:val="18"/>
                <w:szCs w:val="18"/>
                <w:highlight w:val="none"/>
              </w:rPr>
              <w:t>具有良好的商业信誉和健全的财务会计制度</w:t>
            </w:r>
          </w:p>
        </w:tc>
        <w:tc>
          <w:tcPr>
            <w:tcW w:w="655" w:type="dxa"/>
            <w:noWrap w:val="0"/>
            <w:vAlign w:val="center"/>
          </w:tcPr>
          <w:p>
            <w:pPr>
              <w:widowControl/>
              <w:jc w:val="center"/>
              <w:rPr>
                <w:kern w:val="0"/>
                <w:sz w:val="18"/>
                <w:szCs w:val="18"/>
                <w:highlight w:val="none"/>
              </w:rPr>
            </w:pPr>
            <w:r>
              <w:rPr>
                <w:rFonts w:hint="eastAsia"/>
                <w:kern w:val="0"/>
                <w:sz w:val="18"/>
                <w:szCs w:val="18"/>
                <w:highlight w:val="none"/>
              </w:rPr>
              <w:t>具备履行合同所必需的设备和专业技术能力</w:t>
            </w:r>
          </w:p>
        </w:tc>
        <w:tc>
          <w:tcPr>
            <w:tcW w:w="614" w:type="dxa"/>
            <w:noWrap w:val="0"/>
            <w:vAlign w:val="center"/>
          </w:tcPr>
          <w:p>
            <w:pPr>
              <w:widowControl/>
              <w:jc w:val="center"/>
              <w:rPr>
                <w:kern w:val="0"/>
                <w:sz w:val="18"/>
                <w:szCs w:val="18"/>
                <w:highlight w:val="none"/>
              </w:rPr>
            </w:pPr>
            <w:r>
              <w:rPr>
                <w:rFonts w:hint="eastAsia"/>
                <w:kern w:val="0"/>
                <w:sz w:val="18"/>
                <w:szCs w:val="18"/>
                <w:highlight w:val="none"/>
              </w:rPr>
              <w:t>依法缴纳税收和社会保障资金</w:t>
            </w:r>
          </w:p>
        </w:tc>
        <w:tc>
          <w:tcPr>
            <w:tcW w:w="872" w:type="dxa"/>
            <w:noWrap w:val="0"/>
            <w:vAlign w:val="center"/>
          </w:tcPr>
          <w:p>
            <w:pPr>
              <w:widowControl/>
              <w:jc w:val="center"/>
              <w:rPr>
                <w:kern w:val="0"/>
                <w:sz w:val="18"/>
                <w:szCs w:val="18"/>
                <w:highlight w:val="none"/>
              </w:rPr>
            </w:pPr>
            <w:r>
              <w:rPr>
                <w:rFonts w:hint="eastAsia"/>
                <w:kern w:val="0"/>
                <w:sz w:val="18"/>
                <w:szCs w:val="18"/>
                <w:highlight w:val="none"/>
              </w:rPr>
              <w:t>参加政府采购活动前三年内，在经营活动中没有重大违法记录</w:t>
            </w:r>
          </w:p>
        </w:tc>
        <w:tc>
          <w:tcPr>
            <w:tcW w:w="724" w:type="dxa"/>
            <w:noWrap w:val="0"/>
            <w:vAlign w:val="center"/>
          </w:tcPr>
          <w:p>
            <w:pPr>
              <w:widowControl/>
              <w:jc w:val="center"/>
              <w:rPr>
                <w:rFonts w:hint="default" w:eastAsia="宋体"/>
                <w:kern w:val="0"/>
                <w:sz w:val="18"/>
                <w:szCs w:val="18"/>
                <w:highlight w:val="none"/>
                <w:lang w:val="en-US" w:eastAsia="zh-CN"/>
              </w:rPr>
            </w:pPr>
            <w:r>
              <w:rPr>
                <w:rFonts w:hint="eastAsia"/>
                <w:kern w:val="0"/>
                <w:sz w:val="18"/>
                <w:szCs w:val="18"/>
                <w:highlight w:val="none"/>
                <w:lang w:val="en-US" w:eastAsia="zh-CN"/>
              </w:rPr>
              <w:t>本次投标非联合体投标</w:t>
            </w:r>
          </w:p>
        </w:tc>
        <w:tc>
          <w:tcPr>
            <w:tcW w:w="722" w:type="dxa"/>
            <w:noWrap w:val="0"/>
            <w:vAlign w:val="center"/>
          </w:tcPr>
          <w:p>
            <w:pPr>
              <w:widowControl/>
              <w:jc w:val="center"/>
              <w:rPr>
                <w:kern w:val="0"/>
                <w:sz w:val="18"/>
                <w:szCs w:val="18"/>
                <w:highlight w:val="none"/>
              </w:rPr>
            </w:pPr>
            <w:r>
              <w:rPr>
                <w:kern w:val="0"/>
                <w:sz w:val="18"/>
                <w:szCs w:val="18"/>
                <w:highlight w:val="none"/>
              </w:rPr>
              <w:t>信用中国网站查询</w:t>
            </w:r>
          </w:p>
        </w:tc>
        <w:tc>
          <w:tcPr>
            <w:tcW w:w="654" w:type="dxa"/>
            <w:noWrap w:val="0"/>
            <w:vAlign w:val="center"/>
          </w:tcPr>
          <w:p>
            <w:pPr>
              <w:widowControl/>
              <w:jc w:val="center"/>
              <w:rPr>
                <w:kern w:val="0"/>
                <w:sz w:val="18"/>
                <w:szCs w:val="18"/>
                <w:highlight w:val="none"/>
              </w:rPr>
            </w:pPr>
            <w:r>
              <w:rPr>
                <w:kern w:val="0"/>
                <w:sz w:val="18"/>
                <w:szCs w:val="18"/>
                <w:highlight w:val="none"/>
              </w:rPr>
              <w:t>中国政府采购网查询</w:t>
            </w:r>
          </w:p>
        </w:tc>
        <w:tc>
          <w:tcPr>
            <w:tcW w:w="894" w:type="dxa"/>
            <w:noWrap w:val="0"/>
            <w:vAlign w:val="center"/>
          </w:tcPr>
          <w:p>
            <w:pPr>
              <w:widowControl/>
              <w:jc w:val="center"/>
              <w:rPr>
                <w:kern w:val="0"/>
                <w:sz w:val="18"/>
                <w:szCs w:val="18"/>
                <w:highlight w:val="none"/>
              </w:rPr>
            </w:pPr>
            <w:r>
              <w:rPr>
                <w:rFonts w:hint="eastAsia"/>
                <w:kern w:val="0"/>
                <w:sz w:val="18"/>
                <w:szCs w:val="18"/>
                <w:highlight w:val="none"/>
              </w:rPr>
              <w:t>相关法律、法规规定的其他条件</w:t>
            </w:r>
          </w:p>
        </w:tc>
        <w:tc>
          <w:tcPr>
            <w:tcW w:w="676" w:type="dxa"/>
            <w:noWrap w:val="0"/>
            <w:vAlign w:val="center"/>
          </w:tcPr>
          <w:p>
            <w:pPr>
              <w:widowControl/>
              <w:jc w:val="center"/>
              <w:rPr>
                <w:iCs/>
                <w:kern w:val="0"/>
                <w:sz w:val="18"/>
                <w:szCs w:val="18"/>
                <w:highlight w:val="none"/>
              </w:rPr>
            </w:pPr>
            <w:r>
              <w:rPr>
                <w:iCs/>
                <w:kern w:val="0"/>
                <w:sz w:val="18"/>
                <w:szCs w:val="18"/>
                <w:highlight w:val="none"/>
              </w:rPr>
              <w:t>投标须知前附表中要求的其他资格要求</w:t>
            </w:r>
          </w:p>
        </w:tc>
        <w:tc>
          <w:tcPr>
            <w:tcW w:w="479" w:type="dxa"/>
            <w:vMerge w:val="continue"/>
            <w:noWrap w:val="0"/>
            <w:vAlign w:val="center"/>
          </w:tcPr>
          <w:p>
            <w:pPr>
              <w:widowControl/>
              <w:jc w:val="center"/>
              <w:rPr>
                <w:iCs/>
                <w:kern w:val="0"/>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83" w:hRule="atLeast"/>
          <w:jc w:val="center"/>
        </w:trPr>
        <w:tc>
          <w:tcPr>
            <w:tcW w:w="1591" w:type="dxa"/>
            <w:noWrap w:val="0"/>
            <w:vAlign w:val="center"/>
          </w:tcPr>
          <w:p>
            <w:pPr>
              <w:widowControl/>
              <w:spacing w:line="360" w:lineRule="auto"/>
              <w:jc w:val="left"/>
              <w:rPr>
                <w:kern w:val="0"/>
                <w:sz w:val="18"/>
                <w:szCs w:val="18"/>
                <w:highlight w:val="none"/>
              </w:rPr>
            </w:pPr>
          </w:p>
        </w:tc>
        <w:tc>
          <w:tcPr>
            <w:tcW w:w="593" w:type="dxa"/>
            <w:noWrap w:val="0"/>
            <w:vAlign w:val="center"/>
          </w:tcPr>
          <w:p>
            <w:pPr>
              <w:spacing w:line="360" w:lineRule="auto"/>
              <w:ind w:left="151"/>
              <w:jc w:val="left"/>
              <w:rPr>
                <w:kern w:val="0"/>
                <w:sz w:val="18"/>
                <w:szCs w:val="18"/>
                <w:highlight w:val="none"/>
              </w:rPr>
            </w:pPr>
          </w:p>
        </w:tc>
        <w:tc>
          <w:tcPr>
            <w:tcW w:w="825" w:type="dxa"/>
            <w:noWrap w:val="0"/>
            <w:vAlign w:val="center"/>
          </w:tcPr>
          <w:p>
            <w:pPr>
              <w:widowControl/>
              <w:spacing w:line="360" w:lineRule="auto"/>
              <w:jc w:val="left"/>
              <w:rPr>
                <w:kern w:val="0"/>
                <w:sz w:val="18"/>
                <w:szCs w:val="18"/>
                <w:highlight w:val="none"/>
              </w:rPr>
            </w:pPr>
            <w:r>
              <w:rPr>
                <w:kern w:val="0"/>
                <w:sz w:val="18"/>
                <w:szCs w:val="18"/>
                <w:highlight w:val="none"/>
              </w:rPr>
              <w:t>　</w:t>
            </w:r>
          </w:p>
        </w:tc>
        <w:tc>
          <w:tcPr>
            <w:tcW w:w="655" w:type="dxa"/>
            <w:noWrap w:val="0"/>
            <w:vAlign w:val="center"/>
          </w:tcPr>
          <w:p>
            <w:pPr>
              <w:widowControl/>
              <w:spacing w:line="360" w:lineRule="auto"/>
              <w:jc w:val="left"/>
              <w:rPr>
                <w:kern w:val="0"/>
                <w:sz w:val="18"/>
                <w:szCs w:val="18"/>
                <w:highlight w:val="none"/>
              </w:rPr>
            </w:pPr>
            <w:r>
              <w:rPr>
                <w:kern w:val="0"/>
                <w:sz w:val="18"/>
                <w:szCs w:val="18"/>
                <w:highlight w:val="none"/>
              </w:rPr>
              <w:t>　</w:t>
            </w:r>
          </w:p>
        </w:tc>
        <w:tc>
          <w:tcPr>
            <w:tcW w:w="614" w:type="dxa"/>
            <w:noWrap w:val="0"/>
            <w:vAlign w:val="center"/>
          </w:tcPr>
          <w:p>
            <w:pPr>
              <w:widowControl/>
              <w:spacing w:line="360" w:lineRule="auto"/>
              <w:jc w:val="left"/>
              <w:rPr>
                <w:kern w:val="0"/>
                <w:sz w:val="18"/>
                <w:szCs w:val="18"/>
                <w:highlight w:val="none"/>
              </w:rPr>
            </w:pPr>
            <w:r>
              <w:rPr>
                <w:kern w:val="0"/>
                <w:sz w:val="18"/>
                <w:szCs w:val="18"/>
                <w:highlight w:val="none"/>
              </w:rPr>
              <w:t>　</w:t>
            </w:r>
          </w:p>
        </w:tc>
        <w:tc>
          <w:tcPr>
            <w:tcW w:w="872" w:type="dxa"/>
            <w:noWrap w:val="0"/>
            <w:vAlign w:val="center"/>
          </w:tcPr>
          <w:p>
            <w:pPr>
              <w:widowControl/>
              <w:spacing w:line="360" w:lineRule="auto"/>
              <w:jc w:val="left"/>
              <w:rPr>
                <w:kern w:val="0"/>
                <w:sz w:val="18"/>
                <w:szCs w:val="18"/>
                <w:highlight w:val="none"/>
              </w:rPr>
            </w:pPr>
          </w:p>
        </w:tc>
        <w:tc>
          <w:tcPr>
            <w:tcW w:w="724" w:type="dxa"/>
            <w:noWrap w:val="0"/>
            <w:vAlign w:val="center"/>
          </w:tcPr>
          <w:p>
            <w:pPr>
              <w:widowControl/>
              <w:spacing w:line="360" w:lineRule="auto"/>
              <w:jc w:val="left"/>
              <w:rPr>
                <w:kern w:val="0"/>
                <w:sz w:val="18"/>
                <w:szCs w:val="18"/>
                <w:highlight w:val="none"/>
              </w:rPr>
            </w:pPr>
            <w:r>
              <w:rPr>
                <w:kern w:val="0"/>
                <w:sz w:val="18"/>
                <w:szCs w:val="18"/>
                <w:highlight w:val="none"/>
              </w:rPr>
              <w:t>　</w:t>
            </w:r>
          </w:p>
        </w:tc>
        <w:tc>
          <w:tcPr>
            <w:tcW w:w="722" w:type="dxa"/>
            <w:noWrap w:val="0"/>
            <w:vAlign w:val="center"/>
          </w:tcPr>
          <w:p>
            <w:pPr>
              <w:widowControl/>
              <w:spacing w:line="360" w:lineRule="auto"/>
              <w:jc w:val="left"/>
              <w:rPr>
                <w:kern w:val="0"/>
                <w:sz w:val="18"/>
                <w:szCs w:val="18"/>
                <w:highlight w:val="none"/>
              </w:rPr>
            </w:pPr>
            <w:r>
              <w:rPr>
                <w:kern w:val="0"/>
                <w:sz w:val="18"/>
                <w:szCs w:val="18"/>
                <w:highlight w:val="none"/>
              </w:rPr>
              <w:t>　</w:t>
            </w:r>
          </w:p>
        </w:tc>
        <w:tc>
          <w:tcPr>
            <w:tcW w:w="654" w:type="dxa"/>
            <w:noWrap w:val="0"/>
            <w:vAlign w:val="center"/>
          </w:tcPr>
          <w:p>
            <w:pPr>
              <w:widowControl/>
              <w:spacing w:line="360" w:lineRule="auto"/>
              <w:jc w:val="left"/>
              <w:rPr>
                <w:kern w:val="0"/>
                <w:sz w:val="18"/>
                <w:szCs w:val="18"/>
                <w:highlight w:val="none"/>
              </w:rPr>
            </w:pPr>
            <w:r>
              <w:rPr>
                <w:kern w:val="0"/>
                <w:sz w:val="18"/>
                <w:szCs w:val="18"/>
                <w:highlight w:val="none"/>
              </w:rPr>
              <w:t>　</w:t>
            </w:r>
          </w:p>
        </w:tc>
        <w:tc>
          <w:tcPr>
            <w:tcW w:w="894" w:type="dxa"/>
            <w:noWrap w:val="0"/>
            <w:vAlign w:val="center"/>
          </w:tcPr>
          <w:p>
            <w:pPr>
              <w:widowControl/>
              <w:spacing w:line="360" w:lineRule="auto"/>
              <w:jc w:val="left"/>
              <w:rPr>
                <w:kern w:val="0"/>
                <w:sz w:val="18"/>
                <w:szCs w:val="18"/>
                <w:highlight w:val="none"/>
              </w:rPr>
            </w:pPr>
            <w:r>
              <w:rPr>
                <w:kern w:val="0"/>
                <w:sz w:val="18"/>
                <w:szCs w:val="18"/>
                <w:highlight w:val="none"/>
              </w:rPr>
              <w:t>　</w:t>
            </w:r>
          </w:p>
        </w:tc>
        <w:tc>
          <w:tcPr>
            <w:tcW w:w="676" w:type="dxa"/>
            <w:noWrap w:val="0"/>
            <w:vAlign w:val="center"/>
          </w:tcPr>
          <w:p>
            <w:pPr>
              <w:widowControl/>
              <w:spacing w:line="360" w:lineRule="auto"/>
              <w:jc w:val="left"/>
              <w:rPr>
                <w:kern w:val="0"/>
                <w:sz w:val="18"/>
                <w:szCs w:val="18"/>
                <w:highlight w:val="none"/>
              </w:rPr>
            </w:pPr>
            <w:r>
              <w:rPr>
                <w:kern w:val="0"/>
                <w:sz w:val="18"/>
                <w:szCs w:val="18"/>
                <w:highlight w:val="none"/>
              </w:rPr>
              <w:t>　</w:t>
            </w:r>
          </w:p>
        </w:tc>
        <w:tc>
          <w:tcPr>
            <w:tcW w:w="479" w:type="dxa"/>
            <w:noWrap w:val="0"/>
            <w:vAlign w:val="center"/>
          </w:tcPr>
          <w:p>
            <w:pPr>
              <w:widowControl/>
              <w:spacing w:line="360" w:lineRule="auto"/>
              <w:jc w:val="left"/>
              <w:rPr>
                <w:kern w:val="0"/>
                <w:sz w:val="18"/>
                <w:szCs w:val="18"/>
                <w:highlight w:val="none"/>
              </w:rPr>
            </w:pPr>
            <w:r>
              <w:rPr>
                <w:kern w:val="0"/>
                <w:sz w:val="18"/>
                <w:szCs w:val="18"/>
                <w:highlight w:val="none"/>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04" w:hRule="atLeast"/>
          <w:jc w:val="center"/>
        </w:trPr>
        <w:tc>
          <w:tcPr>
            <w:tcW w:w="1591" w:type="dxa"/>
            <w:noWrap w:val="0"/>
            <w:vAlign w:val="center"/>
          </w:tcPr>
          <w:p>
            <w:pPr>
              <w:widowControl/>
              <w:spacing w:line="360" w:lineRule="auto"/>
              <w:jc w:val="left"/>
              <w:rPr>
                <w:kern w:val="0"/>
                <w:sz w:val="18"/>
                <w:szCs w:val="18"/>
                <w:highlight w:val="none"/>
              </w:rPr>
            </w:pPr>
          </w:p>
        </w:tc>
        <w:tc>
          <w:tcPr>
            <w:tcW w:w="593" w:type="dxa"/>
            <w:noWrap w:val="0"/>
            <w:vAlign w:val="center"/>
          </w:tcPr>
          <w:p>
            <w:pPr>
              <w:widowControl/>
              <w:spacing w:line="360" w:lineRule="auto"/>
              <w:jc w:val="left"/>
              <w:rPr>
                <w:kern w:val="0"/>
                <w:sz w:val="18"/>
                <w:szCs w:val="18"/>
                <w:highlight w:val="none"/>
              </w:rPr>
            </w:pPr>
          </w:p>
        </w:tc>
        <w:tc>
          <w:tcPr>
            <w:tcW w:w="825" w:type="dxa"/>
            <w:noWrap w:val="0"/>
            <w:vAlign w:val="center"/>
          </w:tcPr>
          <w:p>
            <w:pPr>
              <w:widowControl/>
              <w:spacing w:line="360" w:lineRule="auto"/>
              <w:jc w:val="left"/>
              <w:rPr>
                <w:kern w:val="0"/>
                <w:sz w:val="18"/>
                <w:szCs w:val="18"/>
                <w:highlight w:val="none"/>
              </w:rPr>
            </w:pPr>
          </w:p>
        </w:tc>
        <w:tc>
          <w:tcPr>
            <w:tcW w:w="655" w:type="dxa"/>
            <w:noWrap w:val="0"/>
            <w:vAlign w:val="center"/>
          </w:tcPr>
          <w:p>
            <w:pPr>
              <w:widowControl/>
              <w:spacing w:line="360" w:lineRule="auto"/>
              <w:jc w:val="left"/>
              <w:rPr>
                <w:kern w:val="0"/>
                <w:sz w:val="18"/>
                <w:szCs w:val="18"/>
                <w:highlight w:val="none"/>
              </w:rPr>
            </w:pPr>
          </w:p>
        </w:tc>
        <w:tc>
          <w:tcPr>
            <w:tcW w:w="614" w:type="dxa"/>
            <w:noWrap w:val="0"/>
            <w:vAlign w:val="center"/>
          </w:tcPr>
          <w:p>
            <w:pPr>
              <w:widowControl/>
              <w:spacing w:line="360" w:lineRule="auto"/>
              <w:jc w:val="left"/>
              <w:rPr>
                <w:kern w:val="0"/>
                <w:sz w:val="18"/>
                <w:szCs w:val="18"/>
                <w:highlight w:val="none"/>
              </w:rPr>
            </w:pPr>
          </w:p>
        </w:tc>
        <w:tc>
          <w:tcPr>
            <w:tcW w:w="872" w:type="dxa"/>
            <w:noWrap w:val="0"/>
            <w:vAlign w:val="center"/>
          </w:tcPr>
          <w:p>
            <w:pPr>
              <w:widowControl/>
              <w:spacing w:line="360" w:lineRule="auto"/>
              <w:jc w:val="left"/>
              <w:rPr>
                <w:kern w:val="0"/>
                <w:sz w:val="18"/>
                <w:szCs w:val="18"/>
                <w:highlight w:val="none"/>
              </w:rPr>
            </w:pPr>
          </w:p>
        </w:tc>
        <w:tc>
          <w:tcPr>
            <w:tcW w:w="724" w:type="dxa"/>
            <w:noWrap w:val="0"/>
            <w:vAlign w:val="center"/>
          </w:tcPr>
          <w:p>
            <w:pPr>
              <w:widowControl/>
              <w:spacing w:line="360" w:lineRule="auto"/>
              <w:jc w:val="left"/>
              <w:rPr>
                <w:kern w:val="0"/>
                <w:sz w:val="18"/>
                <w:szCs w:val="18"/>
                <w:highlight w:val="none"/>
              </w:rPr>
            </w:pPr>
          </w:p>
        </w:tc>
        <w:tc>
          <w:tcPr>
            <w:tcW w:w="722" w:type="dxa"/>
            <w:noWrap w:val="0"/>
            <w:vAlign w:val="center"/>
          </w:tcPr>
          <w:p>
            <w:pPr>
              <w:widowControl/>
              <w:spacing w:line="360" w:lineRule="auto"/>
              <w:jc w:val="left"/>
              <w:rPr>
                <w:kern w:val="0"/>
                <w:sz w:val="18"/>
                <w:szCs w:val="18"/>
                <w:highlight w:val="none"/>
              </w:rPr>
            </w:pPr>
          </w:p>
        </w:tc>
        <w:tc>
          <w:tcPr>
            <w:tcW w:w="654" w:type="dxa"/>
            <w:noWrap w:val="0"/>
            <w:vAlign w:val="center"/>
          </w:tcPr>
          <w:p>
            <w:pPr>
              <w:widowControl/>
              <w:spacing w:line="360" w:lineRule="auto"/>
              <w:jc w:val="left"/>
              <w:rPr>
                <w:kern w:val="0"/>
                <w:sz w:val="18"/>
                <w:szCs w:val="18"/>
                <w:highlight w:val="none"/>
              </w:rPr>
            </w:pPr>
          </w:p>
        </w:tc>
        <w:tc>
          <w:tcPr>
            <w:tcW w:w="894" w:type="dxa"/>
            <w:noWrap w:val="0"/>
            <w:vAlign w:val="center"/>
          </w:tcPr>
          <w:p>
            <w:pPr>
              <w:widowControl/>
              <w:spacing w:line="360" w:lineRule="auto"/>
              <w:jc w:val="left"/>
              <w:rPr>
                <w:kern w:val="0"/>
                <w:sz w:val="18"/>
                <w:szCs w:val="18"/>
                <w:highlight w:val="none"/>
              </w:rPr>
            </w:pPr>
          </w:p>
        </w:tc>
        <w:tc>
          <w:tcPr>
            <w:tcW w:w="676" w:type="dxa"/>
            <w:noWrap w:val="0"/>
            <w:vAlign w:val="center"/>
          </w:tcPr>
          <w:p>
            <w:pPr>
              <w:widowControl/>
              <w:spacing w:line="360" w:lineRule="auto"/>
              <w:jc w:val="left"/>
              <w:rPr>
                <w:kern w:val="0"/>
                <w:sz w:val="18"/>
                <w:szCs w:val="18"/>
                <w:highlight w:val="none"/>
              </w:rPr>
            </w:pPr>
          </w:p>
        </w:tc>
        <w:tc>
          <w:tcPr>
            <w:tcW w:w="479" w:type="dxa"/>
            <w:noWrap w:val="0"/>
            <w:vAlign w:val="center"/>
          </w:tcPr>
          <w:p>
            <w:pPr>
              <w:widowControl/>
              <w:spacing w:line="360" w:lineRule="auto"/>
              <w:jc w:val="left"/>
              <w:rPr>
                <w:kern w:val="0"/>
                <w:sz w:val="18"/>
                <w:szCs w:val="18"/>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6" w:hRule="atLeast"/>
          <w:jc w:val="center"/>
        </w:trPr>
        <w:tc>
          <w:tcPr>
            <w:tcW w:w="1591" w:type="dxa"/>
            <w:noWrap w:val="0"/>
            <w:vAlign w:val="center"/>
          </w:tcPr>
          <w:p>
            <w:pPr>
              <w:widowControl/>
              <w:spacing w:line="360" w:lineRule="auto"/>
              <w:jc w:val="left"/>
              <w:rPr>
                <w:kern w:val="0"/>
                <w:sz w:val="18"/>
                <w:szCs w:val="18"/>
                <w:highlight w:val="none"/>
              </w:rPr>
            </w:pPr>
          </w:p>
        </w:tc>
        <w:tc>
          <w:tcPr>
            <w:tcW w:w="593" w:type="dxa"/>
            <w:noWrap w:val="0"/>
            <w:vAlign w:val="center"/>
          </w:tcPr>
          <w:p>
            <w:pPr>
              <w:spacing w:line="360" w:lineRule="auto"/>
              <w:ind w:left="151"/>
              <w:jc w:val="left"/>
              <w:rPr>
                <w:kern w:val="0"/>
                <w:sz w:val="18"/>
                <w:szCs w:val="18"/>
                <w:highlight w:val="none"/>
              </w:rPr>
            </w:pPr>
          </w:p>
        </w:tc>
        <w:tc>
          <w:tcPr>
            <w:tcW w:w="825" w:type="dxa"/>
            <w:noWrap w:val="0"/>
            <w:vAlign w:val="center"/>
          </w:tcPr>
          <w:p>
            <w:pPr>
              <w:widowControl/>
              <w:spacing w:line="360" w:lineRule="auto"/>
              <w:jc w:val="left"/>
              <w:rPr>
                <w:kern w:val="0"/>
                <w:sz w:val="18"/>
                <w:szCs w:val="18"/>
                <w:highlight w:val="none"/>
              </w:rPr>
            </w:pPr>
            <w:r>
              <w:rPr>
                <w:kern w:val="0"/>
                <w:sz w:val="18"/>
                <w:szCs w:val="18"/>
                <w:highlight w:val="none"/>
              </w:rPr>
              <w:t>　</w:t>
            </w:r>
          </w:p>
        </w:tc>
        <w:tc>
          <w:tcPr>
            <w:tcW w:w="655" w:type="dxa"/>
            <w:noWrap w:val="0"/>
            <w:vAlign w:val="center"/>
          </w:tcPr>
          <w:p>
            <w:pPr>
              <w:widowControl/>
              <w:spacing w:line="360" w:lineRule="auto"/>
              <w:jc w:val="left"/>
              <w:rPr>
                <w:kern w:val="0"/>
                <w:sz w:val="18"/>
                <w:szCs w:val="18"/>
                <w:highlight w:val="none"/>
              </w:rPr>
            </w:pPr>
            <w:r>
              <w:rPr>
                <w:kern w:val="0"/>
                <w:sz w:val="18"/>
                <w:szCs w:val="18"/>
                <w:highlight w:val="none"/>
              </w:rPr>
              <w:t>　</w:t>
            </w:r>
          </w:p>
        </w:tc>
        <w:tc>
          <w:tcPr>
            <w:tcW w:w="614" w:type="dxa"/>
            <w:noWrap w:val="0"/>
            <w:vAlign w:val="center"/>
          </w:tcPr>
          <w:p>
            <w:pPr>
              <w:widowControl/>
              <w:spacing w:line="360" w:lineRule="auto"/>
              <w:jc w:val="left"/>
              <w:rPr>
                <w:kern w:val="0"/>
                <w:sz w:val="18"/>
                <w:szCs w:val="18"/>
                <w:highlight w:val="none"/>
              </w:rPr>
            </w:pPr>
            <w:r>
              <w:rPr>
                <w:kern w:val="0"/>
                <w:sz w:val="18"/>
                <w:szCs w:val="18"/>
                <w:highlight w:val="none"/>
              </w:rPr>
              <w:t>　</w:t>
            </w:r>
          </w:p>
        </w:tc>
        <w:tc>
          <w:tcPr>
            <w:tcW w:w="872" w:type="dxa"/>
            <w:noWrap w:val="0"/>
            <w:vAlign w:val="center"/>
          </w:tcPr>
          <w:p>
            <w:pPr>
              <w:widowControl/>
              <w:spacing w:line="360" w:lineRule="auto"/>
              <w:jc w:val="left"/>
              <w:rPr>
                <w:kern w:val="0"/>
                <w:sz w:val="18"/>
                <w:szCs w:val="18"/>
                <w:highlight w:val="none"/>
              </w:rPr>
            </w:pPr>
          </w:p>
        </w:tc>
        <w:tc>
          <w:tcPr>
            <w:tcW w:w="724" w:type="dxa"/>
            <w:noWrap w:val="0"/>
            <w:vAlign w:val="center"/>
          </w:tcPr>
          <w:p>
            <w:pPr>
              <w:widowControl/>
              <w:spacing w:line="360" w:lineRule="auto"/>
              <w:jc w:val="left"/>
              <w:rPr>
                <w:kern w:val="0"/>
                <w:sz w:val="18"/>
                <w:szCs w:val="18"/>
                <w:highlight w:val="none"/>
              </w:rPr>
            </w:pPr>
            <w:r>
              <w:rPr>
                <w:kern w:val="0"/>
                <w:sz w:val="18"/>
                <w:szCs w:val="18"/>
                <w:highlight w:val="none"/>
              </w:rPr>
              <w:t>　</w:t>
            </w:r>
          </w:p>
        </w:tc>
        <w:tc>
          <w:tcPr>
            <w:tcW w:w="722" w:type="dxa"/>
            <w:noWrap w:val="0"/>
            <w:vAlign w:val="center"/>
          </w:tcPr>
          <w:p>
            <w:pPr>
              <w:widowControl/>
              <w:spacing w:line="360" w:lineRule="auto"/>
              <w:jc w:val="left"/>
              <w:rPr>
                <w:kern w:val="0"/>
                <w:sz w:val="18"/>
                <w:szCs w:val="18"/>
                <w:highlight w:val="none"/>
              </w:rPr>
            </w:pPr>
            <w:r>
              <w:rPr>
                <w:kern w:val="0"/>
                <w:sz w:val="18"/>
                <w:szCs w:val="18"/>
                <w:highlight w:val="none"/>
              </w:rPr>
              <w:t>　</w:t>
            </w:r>
          </w:p>
        </w:tc>
        <w:tc>
          <w:tcPr>
            <w:tcW w:w="654" w:type="dxa"/>
            <w:noWrap w:val="0"/>
            <w:vAlign w:val="center"/>
          </w:tcPr>
          <w:p>
            <w:pPr>
              <w:widowControl/>
              <w:spacing w:line="360" w:lineRule="auto"/>
              <w:jc w:val="left"/>
              <w:rPr>
                <w:kern w:val="0"/>
                <w:sz w:val="18"/>
                <w:szCs w:val="18"/>
                <w:highlight w:val="none"/>
              </w:rPr>
            </w:pPr>
            <w:r>
              <w:rPr>
                <w:kern w:val="0"/>
                <w:sz w:val="18"/>
                <w:szCs w:val="18"/>
                <w:highlight w:val="none"/>
              </w:rPr>
              <w:t>　</w:t>
            </w:r>
          </w:p>
        </w:tc>
        <w:tc>
          <w:tcPr>
            <w:tcW w:w="894" w:type="dxa"/>
            <w:noWrap w:val="0"/>
            <w:vAlign w:val="center"/>
          </w:tcPr>
          <w:p>
            <w:pPr>
              <w:widowControl/>
              <w:spacing w:line="360" w:lineRule="auto"/>
              <w:jc w:val="left"/>
              <w:rPr>
                <w:kern w:val="0"/>
                <w:sz w:val="18"/>
                <w:szCs w:val="18"/>
                <w:highlight w:val="none"/>
              </w:rPr>
            </w:pPr>
            <w:r>
              <w:rPr>
                <w:kern w:val="0"/>
                <w:sz w:val="18"/>
                <w:szCs w:val="18"/>
                <w:highlight w:val="none"/>
              </w:rPr>
              <w:t>　</w:t>
            </w:r>
          </w:p>
        </w:tc>
        <w:tc>
          <w:tcPr>
            <w:tcW w:w="676" w:type="dxa"/>
            <w:noWrap w:val="0"/>
            <w:vAlign w:val="center"/>
          </w:tcPr>
          <w:p>
            <w:pPr>
              <w:widowControl/>
              <w:spacing w:line="360" w:lineRule="auto"/>
              <w:jc w:val="left"/>
              <w:rPr>
                <w:kern w:val="0"/>
                <w:sz w:val="18"/>
                <w:szCs w:val="18"/>
                <w:highlight w:val="none"/>
              </w:rPr>
            </w:pPr>
            <w:r>
              <w:rPr>
                <w:kern w:val="0"/>
                <w:sz w:val="18"/>
                <w:szCs w:val="18"/>
                <w:highlight w:val="none"/>
              </w:rPr>
              <w:t>　</w:t>
            </w:r>
          </w:p>
        </w:tc>
        <w:tc>
          <w:tcPr>
            <w:tcW w:w="479" w:type="dxa"/>
            <w:noWrap w:val="0"/>
            <w:vAlign w:val="center"/>
          </w:tcPr>
          <w:p>
            <w:pPr>
              <w:widowControl/>
              <w:spacing w:line="360" w:lineRule="auto"/>
              <w:jc w:val="left"/>
              <w:rPr>
                <w:kern w:val="0"/>
                <w:sz w:val="18"/>
                <w:szCs w:val="18"/>
                <w:highlight w:val="none"/>
              </w:rPr>
            </w:pPr>
            <w:r>
              <w:rPr>
                <w:kern w:val="0"/>
                <w:sz w:val="18"/>
                <w:szCs w:val="18"/>
                <w:highlight w:val="none"/>
              </w:rPr>
              <w:t>　</w:t>
            </w:r>
          </w:p>
        </w:tc>
      </w:tr>
    </w:tbl>
    <w:p>
      <w:pPr>
        <w:spacing w:line="360" w:lineRule="auto"/>
        <w:rPr>
          <w:highlight w:val="none"/>
        </w:rPr>
      </w:pPr>
      <w:r>
        <w:rPr>
          <w:sz w:val="24"/>
          <w:highlight w:val="none"/>
        </w:rPr>
        <w:t>审核人员签字：</w:t>
      </w:r>
    </w:p>
    <w:p>
      <w:pPr>
        <w:spacing w:line="360" w:lineRule="auto"/>
        <w:ind w:firstLine="960" w:firstLineChars="400"/>
        <w:rPr>
          <w:sz w:val="24"/>
          <w:highlight w:val="none"/>
        </w:rPr>
      </w:pPr>
    </w:p>
    <w:p>
      <w:pPr>
        <w:spacing w:line="360" w:lineRule="auto"/>
        <w:rPr>
          <w:sz w:val="24"/>
          <w:highlight w:val="none"/>
        </w:rPr>
      </w:pPr>
      <w:r>
        <w:rPr>
          <w:sz w:val="24"/>
          <w:highlight w:val="none"/>
        </w:rPr>
        <w:t>注：1.1本表由招标人或招标代理机构核对并如实填写。</w:t>
      </w:r>
    </w:p>
    <w:p>
      <w:pPr>
        <w:spacing w:line="360" w:lineRule="auto"/>
        <w:ind w:firstLine="480" w:firstLineChars="200"/>
        <w:rPr>
          <w:highlight w:val="none"/>
        </w:rPr>
      </w:pPr>
      <w:r>
        <w:rPr>
          <w:sz w:val="24"/>
          <w:highlight w:val="none"/>
        </w:rPr>
        <w:t>1.2审查项目有一项不满足则结论为不合格。</w:t>
      </w:r>
    </w:p>
    <w:p>
      <w:pPr>
        <w:pStyle w:val="117"/>
        <w:spacing w:before="0" w:line="360" w:lineRule="auto"/>
        <w:ind w:firstLine="420" w:firstLineChars="175"/>
        <w:rPr>
          <w:rStyle w:val="116"/>
          <w:rFonts w:ascii="Times New Roman" w:hAnsi="Times New Roman"/>
          <w:bCs/>
          <w:highlight w:val="none"/>
        </w:rPr>
      </w:pPr>
    </w:p>
    <w:p>
      <w:pPr>
        <w:pStyle w:val="117"/>
        <w:spacing w:before="0" w:line="360" w:lineRule="auto"/>
        <w:ind w:firstLine="420" w:firstLineChars="175"/>
        <w:rPr>
          <w:rStyle w:val="116"/>
          <w:rFonts w:ascii="Times New Roman" w:hAnsi="Times New Roman"/>
          <w:bCs/>
          <w:highlight w:val="none"/>
        </w:rPr>
      </w:pPr>
      <w:r>
        <w:rPr>
          <w:rStyle w:val="116"/>
          <w:rFonts w:ascii="Times New Roman" w:hAnsi="Times New Roman"/>
          <w:bCs/>
          <w:highlight w:val="none"/>
        </w:rPr>
        <w:t xml:space="preserve">2.评标准备工作 </w:t>
      </w:r>
    </w:p>
    <w:p>
      <w:pPr>
        <w:pStyle w:val="117"/>
        <w:spacing w:before="0" w:line="360" w:lineRule="auto"/>
        <w:ind w:firstLine="420" w:firstLineChars="175"/>
        <w:rPr>
          <w:rStyle w:val="116"/>
          <w:rFonts w:ascii="Times New Roman" w:hAnsi="Times New Roman"/>
          <w:bCs/>
          <w:highlight w:val="none"/>
        </w:rPr>
      </w:pPr>
      <w:r>
        <w:rPr>
          <w:rStyle w:val="116"/>
          <w:rFonts w:ascii="Times New Roman" w:hAnsi="Times New Roman"/>
          <w:bCs/>
          <w:highlight w:val="none"/>
        </w:rPr>
        <w:t>2.1核对评审专家身份和采购人代表授权函；</w:t>
      </w:r>
    </w:p>
    <w:p>
      <w:pPr>
        <w:pStyle w:val="117"/>
        <w:spacing w:before="0" w:line="360" w:lineRule="auto"/>
        <w:ind w:firstLine="420" w:firstLineChars="175"/>
        <w:rPr>
          <w:rStyle w:val="116"/>
          <w:rFonts w:ascii="Times New Roman" w:hAnsi="Times New Roman"/>
          <w:bCs/>
          <w:highlight w:val="none"/>
        </w:rPr>
      </w:pPr>
      <w:r>
        <w:rPr>
          <w:rStyle w:val="116"/>
          <w:rFonts w:ascii="Times New Roman" w:hAnsi="Times New Roman"/>
          <w:bCs/>
          <w:highlight w:val="none"/>
        </w:rPr>
        <w:t>2.2宣布评标纪律，集中保管通讯工具；</w:t>
      </w:r>
    </w:p>
    <w:p>
      <w:pPr>
        <w:pStyle w:val="117"/>
        <w:spacing w:before="0" w:line="360" w:lineRule="auto"/>
        <w:ind w:firstLine="420" w:firstLineChars="175"/>
        <w:rPr>
          <w:rStyle w:val="116"/>
          <w:rFonts w:ascii="Times New Roman" w:hAnsi="Times New Roman"/>
          <w:bCs/>
          <w:highlight w:val="none"/>
        </w:rPr>
      </w:pPr>
      <w:r>
        <w:rPr>
          <w:rStyle w:val="116"/>
          <w:rFonts w:ascii="Times New Roman" w:hAnsi="Times New Roman"/>
          <w:bCs/>
          <w:highlight w:val="none"/>
        </w:rPr>
        <w:t>2.3公布投标人名单，告知评审专家应当回避的情形；</w:t>
      </w:r>
    </w:p>
    <w:p>
      <w:pPr>
        <w:pStyle w:val="117"/>
        <w:spacing w:before="0" w:line="360" w:lineRule="auto"/>
        <w:ind w:firstLine="420" w:firstLineChars="175"/>
        <w:rPr>
          <w:rStyle w:val="116"/>
          <w:rFonts w:ascii="Times New Roman" w:hAnsi="Times New Roman"/>
          <w:bCs/>
          <w:highlight w:val="none"/>
        </w:rPr>
      </w:pPr>
      <w:r>
        <w:rPr>
          <w:rStyle w:val="116"/>
          <w:rFonts w:ascii="Times New Roman" w:hAnsi="Times New Roman"/>
          <w:bCs/>
          <w:highlight w:val="none"/>
        </w:rPr>
        <w:t>2.4组织评标委员会推选评标组长；</w:t>
      </w:r>
    </w:p>
    <w:p>
      <w:pPr>
        <w:pStyle w:val="117"/>
        <w:spacing w:before="0" w:line="360" w:lineRule="auto"/>
        <w:ind w:firstLine="420" w:firstLineChars="175"/>
        <w:rPr>
          <w:rStyle w:val="116"/>
          <w:rFonts w:ascii="Times New Roman" w:hAnsi="Times New Roman"/>
          <w:bCs/>
          <w:highlight w:val="none"/>
        </w:rPr>
      </w:pPr>
      <w:r>
        <w:rPr>
          <w:rStyle w:val="116"/>
          <w:rFonts w:ascii="Times New Roman" w:hAnsi="Times New Roman"/>
          <w:bCs/>
          <w:highlight w:val="none"/>
        </w:rPr>
        <w:t>3.符合性审查工作</w:t>
      </w:r>
    </w:p>
    <w:p>
      <w:pPr>
        <w:pStyle w:val="117"/>
        <w:spacing w:before="0" w:line="360" w:lineRule="auto"/>
        <w:ind w:firstLine="420" w:firstLineChars="175"/>
        <w:rPr>
          <w:rStyle w:val="116"/>
          <w:rFonts w:ascii="Times New Roman" w:hAnsi="Times New Roman"/>
          <w:bCs/>
          <w:highlight w:val="none"/>
        </w:rPr>
      </w:pPr>
      <w:r>
        <w:rPr>
          <w:rStyle w:val="116"/>
          <w:rFonts w:ascii="Times New Roman" w:hAnsi="Times New Roman"/>
          <w:bCs/>
          <w:highlight w:val="none"/>
        </w:rPr>
        <w:t>符合性审查是指评标委员会依据招标文件的规定，从商务和技术角度对投标文件的有效性和完整性进行审查，以确定是否对招标文件的实质性要求做出响应，填写“符合性审查表”。</w:t>
      </w:r>
    </w:p>
    <w:tbl>
      <w:tblPr>
        <w:tblStyle w:val="31"/>
        <w:tblW w:w="88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1"/>
        <w:gridCol w:w="2449"/>
        <w:gridCol w:w="4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exact"/>
        </w:trPr>
        <w:tc>
          <w:tcPr>
            <w:tcW w:w="4340" w:type="dxa"/>
            <w:gridSpan w:val="2"/>
            <w:tcBorders>
              <w:bottom w:val="single" w:color="auto" w:sz="4" w:space="0"/>
            </w:tcBorders>
            <w:noWrap w:val="0"/>
            <w:tcMar>
              <w:left w:w="57" w:type="dxa"/>
              <w:right w:w="57" w:type="dxa"/>
            </w:tcMar>
            <w:vAlign w:val="center"/>
          </w:tcPr>
          <w:p>
            <w:pPr>
              <w:spacing w:line="520" w:lineRule="exact"/>
              <w:ind w:firstLine="720" w:firstLineChars="300"/>
              <w:rPr>
                <w:rFonts w:hint="eastAsia" w:ascii="宋体" w:hAnsi="宋体"/>
                <w:b/>
                <w:bCs/>
                <w:color w:val="auto"/>
                <w:sz w:val="24"/>
                <w:highlight w:val="none"/>
              </w:rPr>
            </w:pPr>
            <w:r>
              <w:rPr>
                <w:rFonts w:hint="eastAsia" w:ascii="宋体" w:hAnsi="宋体"/>
                <w:b/>
                <w:bCs/>
                <w:color w:val="auto"/>
                <w:sz w:val="24"/>
                <w:highlight w:val="none"/>
              </w:rPr>
              <w:t>评审因素</w:t>
            </w:r>
          </w:p>
        </w:tc>
        <w:tc>
          <w:tcPr>
            <w:tcW w:w="4520" w:type="dxa"/>
            <w:tcBorders>
              <w:bottom w:val="single" w:color="auto" w:sz="4" w:space="0"/>
            </w:tcBorders>
            <w:noWrap w:val="0"/>
            <w:tcMar>
              <w:left w:w="57" w:type="dxa"/>
              <w:right w:w="57" w:type="dxa"/>
            </w:tcMar>
            <w:vAlign w:val="center"/>
          </w:tcPr>
          <w:p>
            <w:pPr>
              <w:spacing w:line="520" w:lineRule="exact"/>
              <w:ind w:firstLine="720" w:firstLineChars="300"/>
              <w:rPr>
                <w:rFonts w:hint="eastAsia" w:ascii="宋体" w:hAnsi="宋体"/>
                <w:b/>
                <w:bCs/>
                <w:color w:val="auto"/>
                <w:sz w:val="24"/>
                <w:highlight w:val="none"/>
              </w:rPr>
            </w:pPr>
            <w:r>
              <w:rPr>
                <w:rFonts w:hint="eastAsia" w:ascii="宋体" w:hAnsi="宋体"/>
                <w:b/>
                <w:bCs/>
                <w:color w:val="auto"/>
                <w:sz w:val="24"/>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exact"/>
        </w:trPr>
        <w:tc>
          <w:tcPr>
            <w:tcW w:w="1891" w:type="dxa"/>
            <w:vMerge w:val="restart"/>
            <w:noWrap w:val="0"/>
            <w:tcMar>
              <w:left w:w="57" w:type="dxa"/>
              <w:right w:w="57" w:type="dxa"/>
            </w:tcMar>
            <w:vAlign w:val="center"/>
          </w:tcPr>
          <w:p>
            <w:pPr>
              <w:spacing w:line="520" w:lineRule="exact"/>
              <w:rPr>
                <w:rFonts w:hint="eastAsia" w:ascii="宋体" w:hAnsi="宋体"/>
                <w:bCs/>
                <w:color w:val="auto"/>
                <w:sz w:val="24"/>
                <w:highlight w:val="none"/>
              </w:rPr>
            </w:pPr>
            <w:r>
              <w:rPr>
                <w:rFonts w:hint="eastAsia" w:ascii="宋体" w:hAnsi="宋体"/>
                <w:bCs/>
                <w:color w:val="auto"/>
                <w:sz w:val="24"/>
                <w:highlight w:val="none"/>
              </w:rPr>
              <w:t>符合性审查</w:t>
            </w:r>
          </w:p>
        </w:tc>
        <w:tc>
          <w:tcPr>
            <w:tcW w:w="2449" w:type="dxa"/>
            <w:noWrap w:val="0"/>
            <w:tcMar>
              <w:left w:w="57" w:type="dxa"/>
              <w:right w:w="57" w:type="dxa"/>
            </w:tcMar>
            <w:vAlign w:val="center"/>
          </w:tcPr>
          <w:p>
            <w:pPr>
              <w:spacing w:line="520" w:lineRule="exact"/>
              <w:rPr>
                <w:rFonts w:hint="eastAsia" w:ascii="宋体" w:hAnsi="宋体"/>
                <w:bCs/>
                <w:color w:val="auto"/>
                <w:sz w:val="24"/>
                <w:highlight w:val="none"/>
              </w:rPr>
            </w:pPr>
            <w:r>
              <w:rPr>
                <w:rFonts w:hint="eastAsia" w:ascii="宋体" w:hAnsi="宋体"/>
                <w:bCs/>
                <w:color w:val="auto"/>
                <w:sz w:val="24"/>
                <w:highlight w:val="none"/>
              </w:rPr>
              <w:t>投标人名称</w:t>
            </w:r>
          </w:p>
        </w:tc>
        <w:tc>
          <w:tcPr>
            <w:tcW w:w="4520" w:type="dxa"/>
            <w:noWrap w:val="0"/>
            <w:tcMar>
              <w:left w:w="57" w:type="dxa"/>
              <w:right w:w="57" w:type="dxa"/>
            </w:tcMar>
            <w:vAlign w:val="center"/>
          </w:tcPr>
          <w:p>
            <w:pPr>
              <w:spacing w:line="520" w:lineRule="exact"/>
              <w:ind w:firstLine="720" w:firstLineChars="300"/>
              <w:rPr>
                <w:rFonts w:hint="eastAsia" w:ascii="宋体" w:hAnsi="宋体"/>
                <w:bCs/>
                <w:color w:val="auto"/>
                <w:sz w:val="24"/>
                <w:highlight w:val="none"/>
              </w:rPr>
            </w:pPr>
            <w:r>
              <w:rPr>
                <w:rFonts w:hint="eastAsia" w:ascii="宋体" w:hAnsi="宋体"/>
                <w:bCs/>
                <w:color w:val="auto"/>
                <w:sz w:val="24"/>
                <w:highlight w:val="none"/>
              </w:rPr>
              <w:t>与营业执照、资质证书一致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exact"/>
        </w:trPr>
        <w:tc>
          <w:tcPr>
            <w:tcW w:w="1891" w:type="dxa"/>
            <w:vMerge w:val="continue"/>
            <w:noWrap w:val="0"/>
            <w:tcMar>
              <w:left w:w="57" w:type="dxa"/>
              <w:right w:w="57" w:type="dxa"/>
            </w:tcMar>
            <w:vAlign w:val="center"/>
          </w:tcPr>
          <w:p>
            <w:pPr>
              <w:spacing w:line="520" w:lineRule="exact"/>
              <w:ind w:firstLine="720" w:firstLineChars="300"/>
              <w:rPr>
                <w:rFonts w:hint="eastAsia" w:ascii="宋体" w:hAnsi="宋体"/>
                <w:bCs/>
                <w:color w:val="auto"/>
                <w:sz w:val="24"/>
                <w:highlight w:val="none"/>
              </w:rPr>
            </w:pPr>
          </w:p>
        </w:tc>
        <w:tc>
          <w:tcPr>
            <w:tcW w:w="2449" w:type="dxa"/>
            <w:noWrap w:val="0"/>
            <w:tcMar>
              <w:left w:w="57" w:type="dxa"/>
              <w:right w:w="57" w:type="dxa"/>
            </w:tcMar>
            <w:vAlign w:val="center"/>
          </w:tcPr>
          <w:p>
            <w:pPr>
              <w:spacing w:line="520" w:lineRule="exact"/>
              <w:rPr>
                <w:rFonts w:hint="eastAsia" w:ascii="宋体" w:hAnsi="宋体"/>
                <w:bCs/>
                <w:color w:val="auto"/>
                <w:sz w:val="24"/>
                <w:highlight w:val="none"/>
              </w:rPr>
            </w:pPr>
            <w:r>
              <w:rPr>
                <w:rFonts w:hint="eastAsia" w:ascii="宋体" w:hAnsi="宋体"/>
                <w:bCs/>
                <w:color w:val="auto"/>
                <w:sz w:val="24"/>
                <w:highlight w:val="none"/>
              </w:rPr>
              <w:t>投标文件电子签章</w:t>
            </w:r>
          </w:p>
        </w:tc>
        <w:tc>
          <w:tcPr>
            <w:tcW w:w="4520" w:type="dxa"/>
            <w:noWrap w:val="0"/>
            <w:tcMar>
              <w:left w:w="57" w:type="dxa"/>
              <w:right w:w="57" w:type="dxa"/>
            </w:tcMar>
            <w:vAlign w:val="center"/>
          </w:tcPr>
          <w:p>
            <w:pPr>
              <w:spacing w:line="520" w:lineRule="exact"/>
              <w:ind w:firstLine="720" w:firstLineChars="300"/>
              <w:rPr>
                <w:rFonts w:hint="eastAsia" w:ascii="宋体" w:hAnsi="宋体"/>
                <w:bCs/>
                <w:color w:val="auto"/>
                <w:sz w:val="24"/>
                <w:highlight w:val="none"/>
              </w:rPr>
            </w:pPr>
            <w:r>
              <w:rPr>
                <w:rFonts w:hint="eastAsia" w:ascii="宋体" w:hAnsi="宋体"/>
                <w:bCs/>
                <w:color w:val="auto"/>
                <w:sz w:val="24"/>
                <w:highlight w:val="none"/>
              </w:rPr>
              <w:t>按招标文件要求格式电子签章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exact"/>
        </w:trPr>
        <w:tc>
          <w:tcPr>
            <w:tcW w:w="1891" w:type="dxa"/>
            <w:vMerge w:val="continue"/>
            <w:noWrap w:val="0"/>
            <w:tcMar>
              <w:left w:w="57" w:type="dxa"/>
              <w:right w:w="57" w:type="dxa"/>
            </w:tcMar>
            <w:vAlign w:val="center"/>
          </w:tcPr>
          <w:p>
            <w:pPr>
              <w:spacing w:line="520" w:lineRule="exact"/>
              <w:ind w:firstLine="720" w:firstLineChars="300"/>
              <w:rPr>
                <w:rFonts w:hint="eastAsia" w:ascii="宋体" w:hAnsi="宋体"/>
                <w:bCs/>
                <w:color w:val="auto"/>
                <w:sz w:val="24"/>
                <w:highlight w:val="none"/>
              </w:rPr>
            </w:pPr>
          </w:p>
        </w:tc>
        <w:tc>
          <w:tcPr>
            <w:tcW w:w="2449" w:type="dxa"/>
            <w:noWrap w:val="0"/>
            <w:tcMar>
              <w:left w:w="57" w:type="dxa"/>
              <w:right w:w="57" w:type="dxa"/>
            </w:tcMar>
            <w:vAlign w:val="center"/>
          </w:tcPr>
          <w:p>
            <w:pPr>
              <w:spacing w:line="520" w:lineRule="exact"/>
              <w:rPr>
                <w:rFonts w:hint="eastAsia" w:ascii="宋体" w:hAnsi="宋体"/>
                <w:bCs/>
                <w:color w:val="auto"/>
                <w:sz w:val="24"/>
                <w:highlight w:val="none"/>
              </w:rPr>
            </w:pPr>
            <w:r>
              <w:rPr>
                <w:rFonts w:hint="eastAsia" w:ascii="宋体" w:hAnsi="宋体"/>
                <w:bCs/>
                <w:color w:val="auto"/>
                <w:sz w:val="24"/>
                <w:highlight w:val="none"/>
              </w:rPr>
              <w:t>报价唯一</w:t>
            </w:r>
          </w:p>
        </w:tc>
        <w:tc>
          <w:tcPr>
            <w:tcW w:w="4520" w:type="dxa"/>
            <w:noWrap w:val="0"/>
            <w:tcMar>
              <w:left w:w="57" w:type="dxa"/>
              <w:right w:w="57" w:type="dxa"/>
            </w:tcMar>
            <w:vAlign w:val="center"/>
          </w:tcPr>
          <w:p>
            <w:pPr>
              <w:spacing w:line="520" w:lineRule="exact"/>
              <w:ind w:firstLine="720" w:firstLineChars="300"/>
              <w:rPr>
                <w:rFonts w:hint="eastAsia" w:ascii="宋体" w:hAnsi="宋体"/>
                <w:bCs/>
                <w:color w:val="auto"/>
                <w:sz w:val="24"/>
                <w:highlight w:val="none"/>
              </w:rPr>
            </w:pPr>
            <w:r>
              <w:rPr>
                <w:rFonts w:hint="eastAsia" w:ascii="宋体" w:hAnsi="宋体"/>
                <w:bCs/>
                <w:color w:val="auto"/>
                <w:sz w:val="24"/>
                <w:highlight w:val="none"/>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exact"/>
        </w:trPr>
        <w:tc>
          <w:tcPr>
            <w:tcW w:w="1891" w:type="dxa"/>
            <w:vMerge w:val="continue"/>
            <w:noWrap w:val="0"/>
            <w:tcMar>
              <w:left w:w="57" w:type="dxa"/>
              <w:right w:w="57" w:type="dxa"/>
            </w:tcMar>
            <w:vAlign w:val="center"/>
          </w:tcPr>
          <w:p>
            <w:pPr>
              <w:spacing w:line="520" w:lineRule="exact"/>
              <w:ind w:firstLine="720" w:firstLineChars="300"/>
              <w:rPr>
                <w:rFonts w:hint="eastAsia" w:ascii="宋体" w:hAnsi="宋体"/>
                <w:bCs/>
                <w:color w:val="auto"/>
                <w:sz w:val="24"/>
                <w:highlight w:val="none"/>
              </w:rPr>
            </w:pPr>
          </w:p>
        </w:tc>
        <w:tc>
          <w:tcPr>
            <w:tcW w:w="2449" w:type="dxa"/>
            <w:noWrap w:val="0"/>
            <w:tcMar>
              <w:left w:w="57" w:type="dxa"/>
              <w:right w:w="57" w:type="dxa"/>
            </w:tcMar>
            <w:vAlign w:val="center"/>
          </w:tcPr>
          <w:p>
            <w:pPr>
              <w:spacing w:line="520" w:lineRule="exact"/>
              <w:rPr>
                <w:rFonts w:hint="eastAsia" w:ascii="宋体" w:hAnsi="宋体"/>
                <w:bCs/>
                <w:color w:val="auto"/>
                <w:sz w:val="24"/>
                <w:highlight w:val="none"/>
              </w:rPr>
            </w:pPr>
            <w:r>
              <w:rPr>
                <w:rFonts w:hint="eastAsia" w:ascii="宋体" w:hAnsi="宋体"/>
                <w:bCs/>
                <w:color w:val="auto"/>
                <w:sz w:val="24"/>
                <w:highlight w:val="none"/>
              </w:rPr>
              <w:t>投标报价</w:t>
            </w:r>
          </w:p>
        </w:tc>
        <w:tc>
          <w:tcPr>
            <w:tcW w:w="4520" w:type="dxa"/>
            <w:noWrap w:val="0"/>
            <w:tcMar>
              <w:left w:w="57" w:type="dxa"/>
              <w:right w:w="57" w:type="dxa"/>
            </w:tcMar>
            <w:vAlign w:val="center"/>
          </w:tcPr>
          <w:p>
            <w:pPr>
              <w:spacing w:line="520" w:lineRule="exact"/>
              <w:ind w:firstLine="720" w:firstLineChars="300"/>
              <w:rPr>
                <w:rFonts w:hint="default" w:ascii="宋体" w:hAnsi="宋体" w:eastAsia="宋体"/>
                <w:bCs/>
                <w:color w:val="auto"/>
                <w:sz w:val="24"/>
                <w:highlight w:val="none"/>
                <w:lang w:val="en-US" w:eastAsia="zh-CN"/>
              </w:rPr>
            </w:pPr>
            <w:r>
              <w:rPr>
                <w:rFonts w:hint="eastAsia" w:ascii="宋体" w:hAnsi="宋体"/>
                <w:bCs/>
                <w:color w:val="auto"/>
                <w:sz w:val="24"/>
                <w:highlight w:val="none"/>
              </w:rPr>
              <w:t>投标报价</w:t>
            </w:r>
            <w:r>
              <w:rPr>
                <w:rFonts w:hint="eastAsia" w:ascii="宋体" w:hAnsi="宋体"/>
                <w:bCs/>
                <w:color w:val="auto"/>
                <w:sz w:val="24"/>
                <w:highlight w:val="none"/>
                <w:lang w:val="en-US" w:eastAsia="zh-CN"/>
              </w:rPr>
              <w:t>未</w:t>
            </w:r>
            <w:r>
              <w:rPr>
                <w:rFonts w:hint="eastAsia" w:ascii="宋体" w:hAnsi="宋体"/>
                <w:bCs/>
                <w:color w:val="auto"/>
                <w:sz w:val="24"/>
                <w:highlight w:val="none"/>
              </w:rPr>
              <w:t>超过</w:t>
            </w:r>
            <w:r>
              <w:rPr>
                <w:rFonts w:hint="eastAsia" w:ascii="宋体" w:hAnsi="宋体"/>
                <w:bCs/>
                <w:color w:val="auto"/>
                <w:sz w:val="24"/>
                <w:highlight w:val="none"/>
                <w:lang w:val="en-US" w:eastAsia="zh-CN"/>
              </w:rPr>
              <w:t>上限综合折扣率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exact"/>
        </w:trPr>
        <w:tc>
          <w:tcPr>
            <w:tcW w:w="1891" w:type="dxa"/>
            <w:vMerge w:val="continue"/>
            <w:noWrap w:val="0"/>
            <w:tcMar>
              <w:left w:w="57" w:type="dxa"/>
              <w:right w:w="57" w:type="dxa"/>
            </w:tcMar>
            <w:vAlign w:val="center"/>
          </w:tcPr>
          <w:p>
            <w:pPr>
              <w:spacing w:line="520" w:lineRule="exact"/>
              <w:ind w:firstLine="720" w:firstLineChars="300"/>
              <w:rPr>
                <w:rFonts w:hint="eastAsia" w:ascii="宋体" w:hAnsi="宋体"/>
                <w:bCs/>
                <w:color w:val="auto"/>
                <w:sz w:val="24"/>
                <w:highlight w:val="none"/>
              </w:rPr>
            </w:pPr>
          </w:p>
        </w:tc>
        <w:tc>
          <w:tcPr>
            <w:tcW w:w="2449" w:type="dxa"/>
            <w:noWrap w:val="0"/>
            <w:tcMar>
              <w:left w:w="57" w:type="dxa"/>
              <w:right w:w="57" w:type="dxa"/>
            </w:tcMar>
            <w:vAlign w:val="center"/>
          </w:tcPr>
          <w:p>
            <w:pPr>
              <w:spacing w:line="520" w:lineRule="exact"/>
              <w:rPr>
                <w:rFonts w:hint="eastAsia" w:ascii="宋体" w:hAnsi="宋体"/>
                <w:bCs/>
                <w:color w:val="auto"/>
                <w:sz w:val="24"/>
                <w:highlight w:val="none"/>
              </w:rPr>
            </w:pPr>
            <w:r>
              <w:rPr>
                <w:rFonts w:hint="eastAsia" w:ascii="宋体" w:hAnsi="宋体"/>
                <w:bCs/>
                <w:color w:val="auto"/>
                <w:sz w:val="24"/>
                <w:highlight w:val="none"/>
              </w:rPr>
              <w:t>投标有效期</w:t>
            </w:r>
          </w:p>
        </w:tc>
        <w:tc>
          <w:tcPr>
            <w:tcW w:w="4520" w:type="dxa"/>
            <w:noWrap w:val="0"/>
            <w:tcMar>
              <w:left w:w="57" w:type="dxa"/>
              <w:right w:w="57" w:type="dxa"/>
            </w:tcMar>
            <w:vAlign w:val="center"/>
          </w:tcPr>
          <w:p>
            <w:pPr>
              <w:spacing w:line="520" w:lineRule="exact"/>
              <w:ind w:firstLine="720" w:firstLineChars="300"/>
              <w:rPr>
                <w:rFonts w:hint="eastAsia" w:ascii="宋体" w:hAnsi="宋体"/>
                <w:bCs/>
                <w:color w:val="auto"/>
                <w:sz w:val="24"/>
                <w:highlight w:val="none"/>
              </w:rPr>
            </w:pPr>
            <w:r>
              <w:rPr>
                <w:rFonts w:hint="eastAsia" w:ascii="宋体" w:hAnsi="宋体"/>
                <w:bCs/>
                <w:color w:val="auto"/>
                <w:sz w:val="24"/>
                <w:highlight w:val="none"/>
              </w:rPr>
              <w:t>符合招标文件要求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exact"/>
        </w:trPr>
        <w:tc>
          <w:tcPr>
            <w:tcW w:w="1891" w:type="dxa"/>
            <w:vMerge w:val="continue"/>
            <w:noWrap w:val="0"/>
            <w:tcMar>
              <w:left w:w="57" w:type="dxa"/>
              <w:right w:w="57" w:type="dxa"/>
            </w:tcMar>
            <w:vAlign w:val="center"/>
          </w:tcPr>
          <w:p>
            <w:pPr>
              <w:spacing w:line="520" w:lineRule="exact"/>
              <w:ind w:firstLine="720" w:firstLineChars="300"/>
              <w:rPr>
                <w:rFonts w:hint="eastAsia" w:ascii="宋体" w:hAnsi="宋体"/>
                <w:bCs/>
                <w:color w:val="auto"/>
                <w:sz w:val="24"/>
                <w:highlight w:val="none"/>
              </w:rPr>
            </w:pPr>
          </w:p>
        </w:tc>
        <w:tc>
          <w:tcPr>
            <w:tcW w:w="2449" w:type="dxa"/>
            <w:noWrap w:val="0"/>
            <w:tcMar>
              <w:left w:w="57" w:type="dxa"/>
              <w:right w:w="57" w:type="dxa"/>
            </w:tcMar>
            <w:vAlign w:val="center"/>
          </w:tcPr>
          <w:p>
            <w:pPr>
              <w:spacing w:line="520" w:lineRule="exact"/>
              <w:rPr>
                <w:rFonts w:hint="eastAsia" w:ascii="宋体" w:hAnsi="宋体"/>
                <w:bCs/>
                <w:color w:val="auto"/>
                <w:sz w:val="24"/>
                <w:highlight w:val="none"/>
              </w:rPr>
            </w:pPr>
            <w:r>
              <w:rPr>
                <w:rFonts w:hint="eastAsia" w:ascii="宋体" w:hAnsi="宋体"/>
                <w:bCs/>
                <w:color w:val="auto"/>
                <w:sz w:val="24"/>
                <w:highlight w:val="none"/>
              </w:rPr>
              <w:t>交货期</w:t>
            </w:r>
          </w:p>
        </w:tc>
        <w:tc>
          <w:tcPr>
            <w:tcW w:w="4520" w:type="dxa"/>
            <w:noWrap w:val="0"/>
            <w:tcMar>
              <w:left w:w="57" w:type="dxa"/>
              <w:right w:w="57" w:type="dxa"/>
            </w:tcMar>
            <w:vAlign w:val="center"/>
          </w:tcPr>
          <w:p>
            <w:pPr>
              <w:spacing w:line="520" w:lineRule="exact"/>
              <w:ind w:firstLine="720" w:firstLineChars="300"/>
              <w:rPr>
                <w:rFonts w:hint="eastAsia" w:ascii="宋体" w:hAnsi="宋体"/>
                <w:bCs/>
                <w:color w:val="auto"/>
                <w:sz w:val="24"/>
                <w:highlight w:val="none"/>
              </w:rPr>
            </w:pPr>
            <w:r>
              <w:rPr>
                <w:rFonts w:hint="eastAsia" w:ascii="宋体" w:hAnsi="宋体"/>
                <w:bCs/>
                <w:color w:val="auto"/>
                <w:sz w:val="24"/>
                <w:highlight w:val="none"/>
              </w:rPr>
              <w:t>交货期</w:t>
            </w:r>
            <w:r>
              <w:rPr>
                <w:rFonts w:hint="eastAsia" w:ascii="宋体" w:hAnsi="宋体"/>
                <w:bCs/>
                <w:color w:val="auto"/>
                <w:sz w:val="24"/>
                <w:highlight w:val="none"/>
                <w:lang w:val="en-US" w:eastAsia="zh-CN"/>
              </w:rPr>
              <w:t>满足招标文件要求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exact"/>
        </w:trPr>
        <w:tc>
          <w:tcPr>
            <w:tcW w:w="1891" w:type="dxa"/>
            <w:vMerge w:val="continue"/>
            <w:noWrap w:val="0"/>
            <w:tcMar>
              <w:left w:w="57" w:type="dxa"/>
              <w:right w:w="57" w:type="dxa"/>
            </w:tcMar>
            <w:vAlign w:val="center"/>
          </w:tcPr>
          <w:p>
            <w:pPr>
              <w:spacing w:line="520" w:lineRule="exact"/>
              <w:ind w:firstLine="720" w:firstLineChars="300"/>
              <w:rPr>
                <w:rFonts w:hint="eastAsia" w:ascii="宋体" w:hAnsi="宋体"/>
                <w:bCs/>
                <w:color w:val="auto"/>
                <w:sz w:val="24"/>
                <w:highlight w:val="none"/>
              </w:rPr>
            </w:pPr>
          </w:p>
        </w:tc>
        <w:tc>
          <w:tcPr>
            <w:tcW w:w="2449" w:type="dxa"/>
            <w:noWrap w:val="0"/>
            <w:tcMar>
              <w:left w:w="57" w:type="dxa"/>
              <w:right w:w="57" w:type="dxa"/>
            </w:tcMar>
            <w:vAlign w:val="center"/>
          </w:tcPr>
          <w:p>
            <w:pPr>
              <w:spacing w:line="520" w:lineRule="exact"/>
              <w:rPr>
                <w:rFonts w:hint="eastAsia" w:ascii="宋体" w:hAnsi="宋体"/>
                <w:bCs/>
                <w:color w:val="auto"/>
                <w:sz w:val="24"/>
                <w:highlight w:val="none"/>
              </w:rPr>
            </w:pPr>
            <w:r>
              <w:rPr>
                <w:rFonts w:hint="eastAsia" w:ascii="宋体" w:hAnsi="宋体"/>
                <w:bCs/>
                <w:color w:val="auto"/>
                <w:sz w:val="24"/>
                <w:highlight w:val="none"/>
              </w:rPr>
              <w:t>质量保证期</w:t>
            </w:r>
          </w:p>
        </w:tc>
        <w:tc>
          <w:tcPr>
            <w:tcW w:w="4520" w:type="dxa"/>
            <w:noWrap w:val="0"/>
            <w:tcMar>
              <w:left w:w="57" w:type="dxa"/>
              <w:right w:w="57" w:type="dxa"/>
            </w:tcMar>
            <w:vAlign w:val="center"/>
          </w:tcPr>
          <w:p>
            <w:pPr>
              <w:spacing w:line="520" w:lineRule="exact"/>
              <w:ind w:firstLine="720" w:firstLineChars="300"/>
              <w:rPr>
                <w:rFonts w:hint="eastAsia" w:ascii="宋体" w:hAnsi="宋体"/>
                <w:bCs/>
                <w:color w:val="auto"/>
                <w:sz w:val="24"/>
                <w:highlight w:val="none"/>
              </w:rPr>
            </w:pPr>
            <w:r>
              <w:rPr>
                <w:rFonts w:hint="eastAsia" w:ascii="宋体" w:hAnsi="宋体"/>
                <w:bCs/>
                <w:color w:val="auto"/>
                <w:sz w:val="24"/>
                <w:highlight w:val="none"/>
              </w:rPr>
              <w:t>质量保证期</w:t>
            </w:r>
            <w:r>
              <w:rPr>
                <w:rFonts w:hint="eastAsia" w:ascii="宋体" w:hAnsi="宋体"/>
                <w:bCs/>
                <w:color w:val="auto"/>
                <w:sz w:val="24"/>
                <w:highlight w:val="none"/>
                <w:lang w:val="en-US" w:eastAsia="zh-CN"/>
              </w:rPr>
              <w:t>满足招标文件要求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exact"/>
        </w:trPr>
        <w:tc>
          <w:tcPr>
            <w:tcW w:w="1891" w:type="dxa"/>
            <w:vMerge w:val="continue"/>
            <w:noWrap w:val="0"/>
            <w:tcMar>
              <w:left w:w="57" w:type="dxa"/>
              <w:right w:w="57" w:type="dxa"/>
            </w:tcMar>
            <w:vAlign w:val="center"/>
          </w:tcPr>
          <w:p>
            <w:pPr>
              <w:spacing w:line="520" w:lineRule="exact"/>
              <w:ind w:firstLine="720" w:firstLineChars="300"/>
              <w:rPr>
                <w:rFonts w:hint="eastAsia" w:ascii="宋体" w:hAnsi="宋体"/>
                <w:bCs/>
                <w:color w:val="auto"/>
                <w:sz w:val="24"/>
                <w:highlight w:val="none"/>
              </w:rPr>
            </w:pPr>
          </w:p>
        </w:tc>
        <w:tc>
          <w:tcPr>
            <w:tcW w:w="2449" w:type="dxa"/>
            <w:noWrap w:val="0"/>
            <w:tcMar>
              <w:left w:w="57" w:type="dxa"/>
              <w:right w:w="57" w:type="dxa"/>
            </w:tcMar>
            <w:vAlign w:val="center"/>
          </w:tcPr>
          <w:p>
            <w:pPr>
              <w:spacing w:line="520" w:lineRule="exact"/>
              <w:rPr>
                <w:rFonts w:hint="eastAsia" w:ascii="宋体" w:hAnsi="宋体"/>
                <w:bCs/>
                <w:color w:val="auto"/>
                <w:sz w:val="24"/>
                <w:highlight w:val="none"/>
              </w:rPr>
            </w:pPr>
            <w:r>
              <w:rPr>
                <w:rFonts w:hint="eastAsia" w:ascii="宋体" w:hAnsi="宋体"/>
                <w:bCs/>
                <w:color w:val="auto"/>
                <w:sz w:val="24"/>
                <w:highlight w:val="none"/>
              </w:rPr>
              <w:t>质量要求</w:t>
            </w:r>
          </w:p>
        </w:tc>
        <w:tc>
          <w:tcPr>
            <w:tcW w:w="4520" w:type="dxa"/>
            <w:noWrap w:val="0"/>
            <w:tcMar>
              <w:left w:w="57" w:type="dxa"/>
              <w:right w:w="57" w:type="dxa"/>
            </w:tcMar>
            <w:vAlign w:val="center"/>
          </w:tcPr>
          <w:p>
            <w:pPr>
              <w:spacing w:line="520" w:lineRule="exact"/>
              <w:ind w:firstLine="720" w:firstLineChars="300"/>
              <w:rPr>
                <w:rFonts w:hint="eastAsia" w:ascii="宋体" w:hAnsi="宋体"/>
                <w:bCs/>
                <w:color w:val="auto"/>
                <w:sz w:val="24"/>
                <w:highlight w:val="none"/>
              </w:rPr>
            </w:pPr>
            <w:r>
              <w:rPr>
                <w:rFonts w:hint="eastAsia" w:ascii="宋体" w:hAnsi="宋体"/>
                <w:bCs/>
                <w:color w:val="auto"/>
                <w:sz w:val="24"/>
                <w:highlight w:val="none"/>
              </w:rPr>
              <w:t>质量要求</w:t>
            </w:r>
            <w:r>
              <w:rPr>
                <w:rFonts w:hint="eastAsia" w:ascii="宋体" w:hAnsi="宋体"/>
                <w:bCs/>
                <w:color w:val="auto"/>
                <w:sz w:val="24"/>
                <w:highlight w:val="none"/>
                <w:lang w:val="en-US" w:eastAsia="zh-CN"/>
              </w:rPr>
              <w:t>满足招标文件要求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exact"/>
        </w:trPr>
        <w:tc>
          <w:tcPr>
            <w:tcW w:w="1891" w:type="dxa"/>
            <w:vMerge w:val="continue"/>
            <w:noWrap w:val="0"/>
            <w:tcMar>
              <w:left w:w="57" w:type="dxa"/>
              <w:right w:w="57" w:type="dxa"/>
            </w:tcMar>
            <w:vAlign w:val="center"/>
          </w:tcPr>
          <w:p>
            <w:pPr>
              <w:spacing w:line="520" w:lineRule="exact"/>
              <w:ind w:firstLine="720" w:firstLineChars="300"/>
              <w:rPr>
                <w:rFonts w:hint="eastAsia" w:ascii="宋体" w:hAnsi="宋体"/>
                <w:bCs/>
                <w:color w:val="auto"/>
                <w:sz w:val="24"/>
                <w:highlight w:val="none"/>
              </w:rPr>
            </w:pPr>
          </w:p>
        </w:tc>
        <w:tc>
          <w:tcPr>
            <w:tcW w:w="2449" w:type="dxa"/>
            <w:noWrap w:val="0"/>
            <w:tcMar>
              <w:left w:w="57" w:type="dxa"/>
              <w:right w:w="57" w:type="dxa"/>
            </w:tcMar>
            <w:vAlign w:val="center"/>
          </w:tcPr>
          <w:p>
            <w:pPr>
              <w:spacing w:line="520" w:lineRule="exact"/>
              <w:rPr>
                <w:rFonts w:hint="eastAsia" w:ascii="宋体" w:hAnsi="宋体"/>
                <w:bCs/>
                <w:color w:val="auto"/>
                <w:sz w:val="24"/>
                <w:highlight w:val="none"/>
              </w:rPr>
            </w:pPr>
            <w:r>
              <w:rPr>
                <w:rFonts w:hint="eastAsia" w:ascii="宋体" w:hAnsi="宋体"/>
                <w:bCs/>
                <w:color w:val="auto"/>
                <w:sz w:val="24"/>
                <w:highlight w:val="none"/>
              </w:rPr>
              <w:t>不同投标人投标文件制作机器码</w:t>
            </w:r>
            <w:r>
              <w:rPr>
                <w:rFonts w:hint="eastAsia" w:ascii="宋体" w:hAnsi="宋体"/>
                <w:bCs/>
                <w:color w:val="auto"/>
                <w:sz w:val="24"/>
                <w:highlight w:val="none"/>
                <w:lang w:eastAsia="zh-CN"/>
              </w:rPr>
              <w:t>是否</w:t>
            </w:r>
            <w:r>
              <w:rPr>
                <w:rFonts w:hint="eastAsia" w:ascii="宋体" w:hAnsi="宋体"/>
                <w:bCs/>
                <w:color w:val="auto"/>
                <w:sz w:val="24"/>
                <w:highlight w:val="none"/>
              </w:rPr>
              <w:t>一致</w:t>
            </w:r>
          </w:p>
        </w:tc>
        <w:tc>
          <w:tcPr>
            <w:tcW w:w="4520" w:type="dxa"/>
            <w:noWrap w:val="0"/>
            <w:tcMar>
              <w:left w:w="57" w:type="dxa"/>
              <w:right w:w="57" w:type="dxa"/>
            </w:tcMar>
            <w:vAlign w:val="center"/>
          </w:tcPr>
          <w:p>
            <w:pPr>
              <w:spacing w:line="520" w:lineRule="exact"/>
              <w:ind w:firstLine="720" w:firstLineChars="300"/>
              <w:rPr>
                <w:rFonts w:hint="eastAsia" w:ascii="宋体" w:hAnsi="宋体" w:eastAsia="宋体"/>
                <w:bCs/>
                <w:color w:val="auto"/>
                <w:sz w:val="24"/>
                <w:highlight w:val="none"/>
                <w:lang w:eastAsia="zh-CN"/>
              </w:rPr>
            </w:pPr>
            <w:r>
              <w:rPr>
                <w:rFonts w:hint="eastAsia" w:ascii="宋体" w:hAnsi="宋体"/>
                <w:bCs/>
                <w:color w:val="auto"/>
                <w:sz w:val="24"/>
                <w:highlight w:val="none"/>
                <w:lang w:eastAsia="zh-CN"/>
              </w:rPr>
              <w:t>一致，则为无效投标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exact"/>
        </w:trPr>
        <w:tc>
          <w:tcPr>
            <w:tcW w:w="1891" w:type="dxa"/>
            <w:vMerge w:val="continue"/>
            <w:tcBorders>
              <w:bottom w:val="single" w:color="auto" w:sz="4" w:space="0"/>
            </w:tcBorders>
            <w:noWrap w:val="0"/>
            <w:tcMar>
              <w:left w:w="57" w:type="dxa"/>
              <w:right w:w="57" w:type="dxa"/>
            </w:tcMar>
            <w:vAlign w:val="center"/>
          </w:tcPr>
          <w:p>
            <w:pPr>
              <w:spacing w:line="520" w:lineRule="exact"/>
              <w:ind w:firstLine="720" w:firstLineChars="300"/>
              <w:rPr>
                <w:rFonts w:hint="eastAsia" w:ascii="宋体" w:hAnsi="宋体"/>
                <w:bCs/>
                <w:color w:val="auto"/>
                <w:sz w:val="24"/>
                <w:highlight w:val="none"/>
              </w:rPr>
            </w:pPr>
          </w:p>
        </w:tc>
        <w:tc>
          <w:tcPr>
            <w:tcW w:w="2449" w:type="dxa"/>
            <w:tcBorders>
              <w:bottom w:val="single" w:color="auto" w:sz="4" w:space="0"/>
            </w:tcBorders>
            <w:noWrap w:val="0"/>
            <w:tcMar>
              <w:left w:w="57" w:type="dxa"/>
              <w:right w:w="57" w:type="dxa"/>
            </w:tcMar>
            <w:vAlign w:val="center"/>
          </w:tcPr>
          <w:p>
            <w:pPr>
              <w:spacing w:line="520" w:lineRule="exact"/>
              <w:rPr>
                <w:rFonts w:hint="eastAsia" w:ascii="宋体" w:hAnsi="宋体"/>
                <w:bCs/>
                <w:color w:val="auto"/>
                <w:sz w:val="24"/>
                <w:highlight w:val="none"/>
              </w:rPr>
            </w:pPr>
            <w:r>
              <w:rPr>
                <w:rFonts w:hint="eastAsia" w:ascii="宋体" w:hAnsi="宋体"/>
                <w:bCs/>
                <w:color w:val="auto"/>
                <w:sz w:val="24"/>
                <w:highlight w:val="none"/>
              </w:rPr>
              <w:t>其他实质性要求</w:t>
            </w:r>
          </w:p>
        </w:tc>
        <w:tc>
          <w:tcPr>
            <w:tcW w:w="4520" w:type="dxa"/>
            <w:tcBorders>
              <w:bottom w:val="single" w:color="auto" w:sz="4" w:space="0"/>
            </w:tcBorders>
            <w:noWrap w:val="0"/>
            <w:tcMar>
              <w:left w:w="57" w:type="dxa"/>
              <w:right w:w="57" w:type="dxa"/>
            </w:tcMar>
            <w:vAlign w:val="center"/>
          </w:tcPr>
          <w:p>
            <w:pPr>
              <w:spacing w:line="520" w:lineRule="exact"/>
              <w:ind w:firstLine="720" w:firstLineChars="300"/>
              <w:rPr>
                <w:rFonts w:hint="eastAsia" w:ascii="宋体" w:hAnsi="宋体"/>
                <w:bCs/>
                <w:color w:val="auto"/>
                <w:sz w:val="24"/>
                <w:highlight w:val="none"/>
              </w:rPr>
            </w:pPr>
            <w:r>
              <w:rPr>
                <w:rFonts w:hint="eastAsia" w:ascii="宋体" w:hAnsi="宋体"/>
                <w:bCs/>
                <w:color w:val="auto"/>
                <w:sz w:val="24"/>
                <w:highlight w:val="none"/>
              </w:rPr>
              <w:t>符合招标文件的其他实质性要求</w:t>
            </w:r>
          </w:p>
        </w:tc>
      </w:tr>
    </w:tbl>
    <w:p>
      <w:pPr>
        <w:rPr>
          <w:highlight w:val="none"/>
        </w:rPr>
      </w:pPr>
    </w:p>
    <w:p>
      <w:pPr>
        <w:pStyle w:val="117"/>
        <w:spacing w:before="0" w:line="360" w:lineRule="auto"/>
        <w:ind w:firstLine="420" w:firstLineChars="175"/>
        <w:rPr>
          <w:rStyle w:val="116"/>
          <w:rFonts w:ascii="Times New Roman" w:hAnsi="Times New Roman"/>
          <w:bCs/>
          <w:highlight w:val="none"/>
        </w:rPr>
      </w:pPr>
      <w:r>
        <w:rPr>
          <w:rStyle w:val="116"/>
          <w:rFonts w:ascii="Times New Roman" w:hAnsi="Times New Roman"/>
          <w:bCs/>
          <w:highlight w:val="none"/>
        </w:rPr>
        <w:t>4.要求投标人对投标文件有关事项作出澄清或者说明</w:t>
      </w:r>
    </w:p>
    <w:p>
      <w:pPr>
        <w:pStyle w:val="117"/>
        <w:spacing w:before="0" w:line="360" w:lineRule="auto"/>
        <w:ind w:firstLine="420" w:firstLineChars="175"/>
        <w:rPr>
          <w:rStyle w:val="116"/>
          <w:rFonts w:ascii="Times New Roman" w:hAnsi="Times New Roman"/>
          <w:bCs/>
          <w:highlight w:val="none"/>
        </w:rPr>
      </w:pPr>
      <w:r>
        <w:rPr>
          <w:rStyle w:val="116"/>
          <w:rFonts w:ascii="Times New Roman" w:hAnsi="Times New Roman"/>
          <w:bCs/>
          <w:highlight w:val="none"/>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17"/>
        <w:spacing w:before="0" w:line="360" w:lineRule="auto"/>
        <w:ind w:firstLine="420" w:firstLineChars="175"/>
        <w:rPr>
          <w:rStyle w:val="116"/>
          <w:rFonts w:ascii="Times New Roman" w:hAnsi="Times New Roman"/>
          <w:bCs/>
          <w:highlight w:val="none"/>
        </w:rPr>
      </w:pPr>
      <w:r>
        <w:rPr>
          <w:rStyle w:val="116"/>
          <w:rFonts w:ascii="Times New Roman" w:hAnsi="Times New Roman"/>
          <w:bCs/>
          <w:highlight w:val="none"/>
        </w:rPr>
        <w:t>5.对投标文件进行比较和评价</w:t>
      </w:r>
    </w:p>
    <w:p>
      <w:pPr>
        <w:pStyle w:val="117"/>
        <w:spacing w:before="0" w:line="360" w:lineRule="auto"/>
        <w:ind w:firstLine="420" w:firstLineChars="175"/>
        <w:rPr>
          <w:rStyle w:val="116"/>
          <w:rFonts w:ascii="Times New Roman" w:hAnsi="Times New Roman"/>
          <w:bCs/>
          <w:highlight w:val="none"/>
        </w:rPr>
      </w:pPr>
      <w:r>
        <w:rPr>
          <w:rStyle w:val="116"/>
          <w:rFonts w:ascii="Times New Roman" w:hAnsi="Times New Roman"/>
          <w:bCs/>
          <w:highlight w:val="none"/>
        </w:rPr>
        <w:t>5.1如本项目评标方法为最低评标价法，评标委员会在审查投标文件满足招标文件全部实质性要求后，按投标报价从低到高顺序确定中标候选人。</w:t>
      </w:r>
    </w:p>
    <w:p>
      <w:pPr>
        <w:pStyle w:val="117"/>
        <w:spacing w:before="0" w:line="360" w:lineRule="auto"/>
        <w:ind w:firstLine="420" w:firstLineChars="175"/>
        <w:rPr>
          <w:rStyle w:val="116"/>
          <w:rFonts w:ascii="Times New Roman" w:hAnsi="Times New Roman"/>
          <w:bCs/>
          <w:highlight w:val="none"/>
        </w:rPr>
      </w:pPr>
      <w:r>
        <w:rPr>
          <w:rStyle w:val="116"/>
          <w:rFonts w:ascii="Times New Roman" w:hAnsi="Times New Roman"/>
          <w:bCs/>
          <w:highlight w:val="none"/>
        </w:rPr>
        <w:t>除了算术修正和落实政府采购政策需进行的价格扣除外，不得对投标人的投标价格进行任何调整。</w:t>
      </w:r>
    </w:p>
    <w:p>
      <w:pPr>
        <w:pStyle w:val="117"/>
        <w:spacing w:before="0" w:line="360" w:lineRule="auto"/>
        <w:ind w:firstLine="420" w:firstLineChars="175"/>
        <w:rPr>
          <w:rStyle w:val="116"/>
          <w:rFonts w:ascii="Times New Roman" w:hAnsi="Times New Roman"/>
          <w:bCs/>
          <w:highlight w:val="none"/>
        </w:rPr>
      </w:pPr>
      <w:r>
        <w:rPr>
          <w:rStyle w:val="116"/>
          <w:rFonts w:ascii="Times New Roman" w:hAnsi="Times New Roman"/>
          <w:bCs/>
          <w:highlight w:val="none"/>
        </w:rPr>
        <w:t>5.2如本项目评标方法为综合评分法，评标委员会对满足招标文件全部实质性要求的投标文件，按照招标文件规定的评审因素的量化指标进行评审打分，以评审得分从高到低顺序确定中标候选人。</w:t>
      </w:r>
    </w:p>
    <w:p>
      <w:pPr>
        <w:pStyle w:val="117"/>
        <w:spacing w:before="0" w:line="360" w:lineRule="auto"/>
        <w:ind w:firstLine="420" w:firstLineChars="175"/>
        <w:rPr>
          <w:rStyle w:val="116"/>
          <w:rFonts w:ascii="Times New Roman" w:hAnsi="Times New Roman"/>
          <w:bCs/>
          <w:highlight w:val="none"/>
        </w:rPr>
      </w:pPr>
      <w:r>
        <w:rPr>
          <w:rStyle w:val="116"/>
          <w:rFonts w:ascii="Times New Roman" w:hAnsi="Times New Roman"/>
          <w:bCs/>
          <w:highlight w:val="none"/>
        </w:rPr>
        <w:t>评标委员会每位成员独立对每个有效投标人的投标文件进行评价、打分；然后汇总每个投标人的得分，计算得分平均值，以平均值由高到低进行排序，按排序顺序推荐中标候选人。分值计算保留小数点后一位，第二位四舍五入。</w:t>
      </w:r>
    </w:p>
    <w:p>
      <w:pPr>
        <w:pStyle w:val="117"/>
        <w:spacing w:before="0" w:line="360" w:lineRule="auto"/>
        <w:ind w:firstLine="420" w:firstLineChars="175"/>
        <w:rPr>
          <w:rStyle w:val="116"/>
          <w:rFonts w:ascii="Times New Roman" w:hAnsi="Times New Roman"/>
          <w:bCs/>
          <w:highlight w:val="none"/>
        </w:rPr>
      </w:pPr>
      <w:r>
        <w:rPr>
          <w:rStyle w:val="116"/>
          <w:rFonts w:ascii="Times New Roman" w:hAnsi="Times New Roman"/>
          <w:bCs/>
          <w:highlight w:val="none"/>
        </w:rPr>
        <w:t>6.确定中标候选人名单。</w:t>
      </w:r>
    </w:p>
    <w:p>
      <w:pPr>
        <w:pStyle w:val="117"/>
        <w:spacing w:before="0" w:line="360" w:lineRule="auto"/>
        <w:ind w:firstLine="420" w:firstLineChars="175"/>
        <w:rPr>
          <w:rStyle w:val="116"/>
          <w:rFonts w:ascii="Times New Roman" w:hAnsi="Times New Roman"/>
          <w:bCs/>
          <w:highlight w:val="none"/>
        </w:rPr>
      </w:pPr>
      <w:r>
        <w:rPr>
          <w:rStyle w:val="116"/>
          <w:rFonts w:ascii="Times New Roman" w:hAnsi="Times New Roman"/>
          <w:bCs/>
          <w:highlight w:val="none"/>
        </w:rPr>
        <w:t>7.核对评标结果。</w:t>
      </w:r>
    </w:p>
    <w:p>
      <w:pPr>
        <w:spacing w:line="520" w:lineRule="exact"/>
        <w:jc w:val="lef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四.评审标准中须考虑下列因素：</w:t>
      </w:r>
    </w:p>
    <w:p>
      <w:pPr>
        <w:spacing w:line="52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1.根据《政府采购促进中小企业发展暂行办法》（财库[2011]181号）、《财政部 司法部关于政府采购支持监狱企业发展有关问题的通知》（财库〔2014〕68号）和《三部门联合发布关于促进残疾人就业政府采购政策的通知》（财库〔2017〕141号）的规定，对满足价格扣除条件且在投标文件中提交了《投标人企业类型声明函》、《残疾人福利性单位声明函》或省级以上监狱管理局、戒毒管理局（含新疆生产建设兵团）出具的属于监狱企业的证明文件的投标人，其投标报价扣除 6 %后参与评审。对于同时属于小微企业、监狱企业或残疾人福利性单位的，不重复进行投标报价扣除。（详见评标标准）。</w:t>
      </w:r>
    </w:p>
    <w:p>
      <w:pPr>
        <w:spacing w:line="520" w:lineRule="exact"/>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3</w:t>
      </w:r>
      <w:r>
        <w:rPr>
          <w:rFonts w:hint="eastAsia" w:ascii="宋体" w:hAnsi="宋体" w:cs="宋体"/>
          <w:color w:val="auto"/>
          <w:sz w:val="24"/>
          <w:highlight w:val="none"/>
        </w:rPr>
        <w:t>.</w:t>
      </w:r>
      <w:r>
        <w:rPr>
          <w:rFonts w:hint="eastAsia" w:ascii="宋体" w:hAnsi="宋体" w:cs="宋体"/>
          <w:color w:val="auto"/>
          <w:sz w:val="24"/>
          <w:highlight w:val="none"/>
          <w:lang w:eastAsia="zh-CN"/>
        </w:rPr>
        <w:t>推选</w:t>
      </w:r>
      <w:r>
        <w:rPr>
          <w:rFonts w:hint="eastAsia" w:ascii="宋体" w:hAnsi="宋体" w:cs="宋体"/>
          <w:color w:val="auto"/>
          <w:sz w:val="24"/>
          <w:highlight w:val="none"/>
        </w:rPr>
        <w:t xml:space="preserve">中标候选人：   </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采用综合评标法，则：根据采购需要、商务、技术均能满足招标文件要求，按评标委员会评出的综合得分，由高到低顺序排列，推荐3名中标候选人（如最得分相同的，按投标报价由低到高顺序排列。得分且投标报价相同的并列。投标文件满足招标文件全部实质性要求，且按照评审因素的量化指标评审得分最高的投标人为排名第一的中标候选人）。</w:t>
      </w:r>
    </w:p>
    <w:p>
      <w:pPr>
        <w:spacing w:line="520" w:lineRule="exact"/>
        <w:jc w:val="left"/>
        <w:rPr>
          <w:rFonts w:hint="eastAsia" w:ascii="宋体" w:hAnsi="宋体" w:cs="宋体"/>
          <w:b/>
          <w:bCs/>
          <w:color w:val="auto"/>
          <w:sz w:val="24"/>
          <w:highlight w:val="none"/>
        </w:rPr>
      </w:pPr>
      <w:r>
        <w:rPr>
          <w:rFonts w:hint="eastAsia" w:ascii="宋体" w:hAnsi="宋体" w:cs="宋体"/>
          <w:b/>
          <w:bCs/>
          <w:color w:val="auto"/>
          <w:sz w:val="24"/>
          <w:highlight w:val="none"/>
        </w:rPr>
        <w:t>五、综合评分标准</w:t>
      </w:r>
    </w:p>
    <w:p>
      <w:pPr>
        <w:pStyle w:val="2"/>
        <w:spacing w:line="360" w:lineRule="auto"/>
        <w:rPr>
          <w:rFonts w:hint="eastAsia" w:ascii="宋体" w:hAnsi="宋体" w:cs="宋体"/>
          <w:color w:val="auto"/>
          <w:sz w:val="24"/>
          <w:highlight w:val="none"/>
        </w:rPr>
      </w:pPr>
      <w:r>
        <w:rPr>
          <w:rFonts w:hint="eastAsia" w:ascii="宋体" w:hAnsi="宋体" w:cs="宋体"/>
          <w:color w:val="auto"/>
          <w:sz w:val="24"/>
          <w:highlight w:val="none"/>
        </w:rPr>
        <w:t>评委将根据评分标准，分别对通过符合性审查、资格性审查的投标人，进行综合评分。具体评分标准如下：</w:t>
      </w:r>
    </w:p>
    <w:p>
      <w:pPr>
        <w:pStyle w:val="2"/>
        <w:spacing w:line="360" w:lineRule="auto"/>
        <w:rPr>
          <w:rFonts w:hint="eastAsia" w:ascii="宋体" w:hAnsi="宋体" w:cs="宋体"/>
          <w:color w:val="auto"/>
          <w:sz w:val="24"/>
          <w:highlight w:val="none"/>
        </w:rPr>
      </w:pPr>
    </w:p>
    <w:p>
      <w:pPr>
        <w:pStyle w:val="2"/>
        <w:spacing w:line="360" w:lineRule="auto"/>
        <w:ind w:left="0" w:leftChars="0" w:firstLine="640" w:firstLineChars="200"/>
        <w:jc w:val="center"/>
        <w:rPr>
          <w:rFonts w:hint="eastAsia"/>
          <w:kern w:val="0"/>
          <w:sz w:val="32"/>
          <w:szCs w:val="32"/>
          <w:highlight w:val="none"/>
        </w:rPr>
      </w:pPr>
    </w:p>
    <w:p>
      <w:pPr>
        <w:spacing w:line="360" w:lineRule="auto"/>
        <w:ind w:left="420"/>
        <w:jc w:val="center"/>
        <w:rPr>
          <w:rFonts w:ascii="宋体" w:hAnsi="宋体" w:cs="宋体"/>
          <w:b/>
          <w:bCs/>
          <w:color w:val="auto"/>
          <w:sz w:val="24"/>
          <w:szCs w:val="24"/>
          <w:highlight w:val="none"/>
        </w:rPr>
      </w:pPr>
      <w:bookmarkStart w:id="172" w:name="_Toc26780"/>
      <w:bookmarkStart w:id="173" w:name="_Toc5301"/>
      <w:r>
        <w:rPr>
          <w:rFonts w:hint="eastAsia" w:ascii="宋体" w:hAnsi="宋体" w:cs="宋体"/>
          <w:bCs/>
          <w:color w:val="auto"/>
          <w:highlight w:val="none"/>
        </w:rPr>
        <w:br w:type="page"/>
      </w:r>
      <w:r>
        <w:rPr>
          <w:rFonts w:ascii="宋体" w:hAnsi="宋体" w:cs="宋体"/>
          <w:b/>
          <w:bCs/>
          <w:color w:val="auto"/>
          <w:sz w:val="24"/>
          <w:szCs w:val="24"/>
          <w:highlight w:val="none"/>
        </w:rPr>
        <w:t xml:space="preserve"> </w:t>
      </w:r>
    </w:p>
    <w:tbl>
      <w:tblPr>
        <w:tblStyle w:val="31"/>
        <w:tblW w:w="9148" w:type="dxa"/>
        <w:tblInd w:w="108" w:type="dxa"/>
        <w:tblLayout w:type="fixed"/>
        <w:tblCellMar>
          <w:top w:w="0" w:type="dxa"/>
          <w:left w:w="108" w:type="dxa"/>
          <w:bottom w:w="0" w:type="dxa"/>
          <w:right w:w="108" w:type="dxa"/>
        </w:tblCellMar>
      </w:tblPr>
      <w:tblGrid>
        <w:gridCol w:w="846"/>
        <w:gridCol w:w="714"/>
        <w:gridCol w:w="1311"/>
        <w:gridCol w:w="759"/>
        <w:gridCol w:w="5518"/>
      </w:tblGrid>
      <w:tr>
        <w:tblPrEx>
          <w:tblCellMar>
            <w:top w:w="0" w:type="dxa"/>
            <w:left w:w="108" w:type="dxa"/>
            <w:bottom w:w="0" w:type="dxa"/>
            <w:right w:w="108" w:type="dxa"/>
          </w:tblCellMar>
        </w:tblPrEx>
        <w:trPr>
          <w:trHeight w:val="300" w:hRule="atLeast"/>
        </w:trPr>
        <w:tc>
          <w:tcPr>
            <w:tcW w:w="9148" w:type="dxa"/>
            <w:gridSpan w:val="5"/>
            <w:tcBorders>
              <w:top w:val="single" w:color="auto" w:sz="8" w:space="0"/>
              <w:left w:val="single" w:color="auto" w:sz="8" w:space="0"/>
              <w:bottom w:val="single" w:color="auto" w:sz="8" w:space="0"/>
              <w:right w:val="single" w:color="000000" w:sz="8" w:space="0"/>
            </w:tcBorders>
            <w:shd w:val="clear" w:color="auto" w:fill="auto"/>
            <w:vAlign w:val="center"/>
          </w:tcPr>
          <w:p>
            <w:pPr>
              <w:widowControl/>
              <w:jc w:val="center"/>
              <w:rPr>
                <w:rFonts w:ascii="宋体" w:hAnsi="宋体"/>
                <w:b/>
                <w:bCs/>
                <w:color w:val="auto"/>
                <w:kern w:val="0"/>
                <w:szCs w:val="21"/>
                <w:highlight w:val="none"/>
              </w:rPr>
            </w:pPr>
            <w:r>
              <w:rPr>
                <w:rFonts w:hint="eastAsia"/>
                <w:b/>
                <w:bCs/>
                <w:color w:val="auto"/>
                <w:szCs w:val="21"/>
                <w:highlight w:val="none"/>
              </w:rPr>
              <w:t>（</w:t>
            </w:r>
            <w:r>
              <w:rPr>
                <w:rFonts w:cs="Calibri"/>
                <w:b/>
                <w:bCs/>
                <w:color w:val="auto"/>
                <w:szCs w:val="21"/>
                <w:highlight w:val="none"/>
              </w:rPr>
              <w:t>2</w:t>
            </w:r>
            <w:r>
              <w:rPr>
                <w:rFonts w:hint="eastAsia"/>
                <w:b/>
                <w:bCs/>
                <w:color w:val="auto"/>
                <w:szCs w:val="21"/>
                <w:highlight w:val="none"/>
              </w:rPr>
              <w:t>）综合评分法详表</w:t>
            </w:r>
          </w:p>
        </w:tc>
      </w:tr>
      <w:tr>
        <w:tblPrEx>
          <w:tblCellMar>
            <w:top w:w="0" w:type="dxa"/>
            <w:left w:w="108" w:type="dxa"/>
            <w:bottom w:w="0" w:type="dxa"/>
            <w:right w:w="108" w:type="dxa"/>
          </w:tblCellMar>
        </w:tblPrEx>
        <w:trPr>
          <w:trHeight w:val="300" w:hRule="atLeast"/>
        </w:trPr>
        <w:tc>
          <w:tcPr>
            <w:tcW w:w="846" w:type="dxa"/>
            <w:tcBorders>
              <w:top w:val="nil"/>
              <w:left w:val="single" w:color="auto" w:sz="8" w:space="0"/>
              <w:bottom w:val="single" w:color="auto" w:sz="8" w:space="0"/>
              <w:right w:val="single" w:color="auto" w:sz="8" w:space="0"/>
            </w:tcBorders>
            <w:shd w:val="clear" w:color="000000" w:fill="E7E6E6"/>
            <w:vAlign w:val="center"/>
          </w:tcPr>
          <w:p>
            <w:pPr>
              <w:jc w:val="center"/>
              <w:rPr>
                <w:color w:val="auto"/>
                <w:szCs w:val="21"/>
                <w:highlight w:val="none"/>
              </w:rPr>
            </w:pPr>
            <w:r>
              <w:rPr>
                <w:rFonts w:hint="eastAsia"/>
                <w:color w:val="auto"/>
                <w:szCs w:val="21"/>
                <w:highlight w:val="none"/>
              </w:rPr>
              <w:t>项目</w:t>
            </w:r>
          </w:p>
        </w:tc>
        <w:tc>
          <w:tcPr>
            <w:tcW w:w="714" w:type="dxa"/>
            <w:tcBorders>
              <w:top w:val="nil"/>
              <w:left w:val="nil"/>
              <w:bottom w:val="single" w:color="auto" w:sz="8" w:space="0"/>
              <w:right w:val="single" w:color="auto" w:sz="8" w:space="0"/>
            </w:tcBorders>
            <w:shd w:val="clear" w:color="000000" w:fill="E7E6E6"/>
            <w:vAlign w:val="center"/>
          </w:tcPr>
          <w:p>
            <w:pPr>
              <w:jc w:val="center"/>
              <w:rPr>
                <w:color w:val="auto"/>
                <w:szCs w:val="21"/>
                <w:highlight w:val="none"/>
              </w:rPr>
            </w:pPr>
            <w:r>
              <w:rPr>
                <w:rFonts w:hint="eastAsia"/>
                <w:color w:val="auto"/>
                <w:szCs w:val="21"/>
                <w:highlight w:val="none"/>
              </w:rPr>
              <w:t>分值</w:t>
            </w:r>
          </w:p>
        </w:tc>
        <w:tc>
          <w:tcPr>
            <w:tcW w:w="1311" w:type="dxa"/>
            <w:tcBorders>
              <w:top w:val="nil"/>
              <w:left w:val="nil"/>
              <w:bottom w:val="single" w:color="auto" w:sz="8" w:space="0"/>
              <w:right w:val="single" w:color="auto" w:sz="8" w:space="0"/>
            </w:tcBorders>
            <w:shd w:val="clear" w:color="000000" w:fill="E7E6E6"/>
            <w:vAlign w:val="center"/>
          </w:tcPr>
          <w:p>
            <w:pPr>
              <w:jc w:val="center"/>
              <w:rPr>
                <w:color w:val="auto"/>
                <w:szCs w:val="21"/>
                <w:highlight w:val="none"/>
              </w:rPr>
            </w:pPr>
            <w:r>
              <w:rPr>
                <w:rFonts w:hint="eastAsia"/>
                <w:color w:val="auto"/>
                <w:szCs w:val="21"/>
                <w:highlight w:val="none"/>
              </w:rPr>
              <w:t>评标分项</w:t>
            </w:r>
          </w:p>
        </w:tc>
        <w:tc>
          <w:tcPr>
            <w:tcW w:w="759" w:type="dxa"/>
            <w:tcBorders>
              <w:top w:val="nil"/>
              <w:left w:val="nil"/>
              <w:bottom w:val="single" w:color="auto" w:sz="8" w:space="0"/>
              <w:right w:val="single" w:color="auto" w:sz="8" w:space="0"/>
            </w:tcBorders>
            <w:shd w:val="clear" w:color="000000" w:fill="E7E6E6"/>
            <w:vAlign w:val="center"/>
          </w:tcPr>
          <w:p>
            <w:pPr>
              <w:jc w:val="center"/>
              <w:rPr>
                <w:color w:val="auto"/>
                <w:szCs w:val="21"/>
                <w:highlight w:val="none"/>
              </w:rPr>
            </w:pPr>
            <w:r>
              <w:rPr>
                <w:rFonts w:hint="eastAsia"/>
                <w:color w:val="auto"/>
                <w:szCs w:val="21"/>
                <w:highlight w:val="none"/>
              </w:rPr>
              <w:t>分值</w:t>
            </w:r>
          </w:p>
        </w:tc>
        <w:tc>
          <w:tcPr>
            <w:tcW w:w="5518" w:type="dxa"/>
            <w:tcBorders>
              <w:top w:val="nil"/>
              <w:left w:val="nil"/>
              <w:bottom w:val="single" w:color="auto" w:sz="8" w:space="0"/>
              <w:right w:val="single" w:color="auto" w:sz="8" w:space="0"/>
            </w:tcBorders>
            <w:shd w:val="clear" w:color="000000" w:fill="E7E6E6"/>
            <w:vAlign w:val="center"/>
          </w:tcPr>
          <w:p>
            <w:pPr>
              <w:jc w:val="center"/>
              <w:rPr>
                <w:color w:val="auto"/>
                <w:szCs w:val="21"/>
                <w:highlight w:val="none"/>
              </w:rPr>
            </w:pPr>
            <w:r>
              <w:rPr>
                <w:rFonts w:hint="eastAsia"/>
                <w:color w:val="auto"/>
                <w:szCs w:val="21"/>
                <w:highlight w:val="none"/>
              </w:rPr>
              <w:t>子项目及分值</w:t>
            </w:r>
          </w:p>
        </w:tc>
      </w:tr>
      <w:tr>
        <w:tblPrEx>
          <w:tblCellMar>
            <w:top w:w="0" w:type="dxa"/>
            <w:left w:w="108" w:type="dxa"/>
            <w:bottom w:w="0" w:type="dxa"/>
            <w:right w:w="108" w:type="dxa"/>
          </w:tblCellMar>
        </w:tblPrEx>
        <w:trPr>
          <w:trHeight w:val="810" w:hRule="atLeast"/>
        </w:trPr>
        <w:tc>
          <w:tcPr>
            <w:tcW w:w="846" w:type="dxa"/>
            <w:vMerge w:val="restart"/>
            <w:tcBorders>
              <w:top w:val="nil"/>
              <w:left w:val="single" w:color="auto" w:sz="8" w:space="0"/>
              <w:bottom w:val="single" w:color="000000" w:sz="8" w:space="0"/>
              <w:right w:val="single" w:color="auto" w:sz="8" w:space="0"/>
            </w:tcBorders>
            <w:shd w:val="clear" w:color="auto" w:fill="auto"/>
            <w:vAlign w:val="center"/>
          </w:tcPr>
          <w:p>
            <w:pPr>
              <w:jc w:val="center"/>
              <w:rPr>
                <w:color w:val="auto"/>
                <w:szCs w:val="21"/>
                <w:highlight w:val="none"/>
              </w:rPr>
            </w:pPr>
            <w:r>
              <w:rPr>
                <w:rFonts w:hint="eastAsia"/>
                <w:color w:val="auto"/>
                <w:szCs w:val="21"/>
                <w:highlight w:val="none"/>
              </w:rPr>
              <w:t>经济标</w:t>
            </w:r>
          </w:p>
        </w:tc>
        <w:tc>
          <w:tcPr>
            <w:tcW w:w="714" w:type="dxa"/>
            <w:vMerge w:val="restart"/>
            <w:tcBorders>
              <w:top w:val="nil"/>
              <w:left w:val="single" w:color="auto" w:sz="8" w:space="0"/>
              <w:bottom w:val="single" w:color="000000" w:sz="8" w:space="0"/>
              <w:right w:val="single" w:color="auto" w:sz="8" w:space="0"/>
            </w:tcBorders>
            <w:shd w:val="clear" w:color="auto" w:fill="auto"/>
            <w:vAlign w:val="center"/>
          </w:tcPr>
          <w:p>
            <w:pPr>
              <w:jc w:val="center"/>
              <w:rPr>
                <w:rFonts w:eastAsia="等线" w:cs="Calibri"/>
                <w:color w:val="auto"/>
                <w:szCs w:val="21"/>
                <w:highlight w:val="none"/>
              </w:rPr>
            </w:pPr>
            <w:r>
              <w:rPr>
                <w:rFonts w:hint="eastAsia" w:eastAsia="等线" w:cs="Calibri"/>
                <w:color w:val="auto"/>
                <w:szCs w:val="21"/>
                <w:highlight w:val="none"/>
                <w:lang w:val="en-US" w:eastAsia="zh-CN"/>
              </w:rPr>
              <w:t>45</w:t>
            </w:r>
            <w:r>
              <w:rPr>
                <w:rFonts w:hint="eastAsia" w:cs="Calibri"/>
                <w:color w:val="auto"/>
                <w:szCs w:val="21"/>
                <w:highlight w:val="none"/>
              </w:rPr>
              <w:t>分</w:t>
            </w:r>
          </w:p>
        </w:tc>
        <w:tc>
          <w:tcPr>
            <w:tcW w:w="1311" w:type="dxa"/>
            <w:vMerge w:val="restart"/>
            <w:tcBorders>
              <w:top w:val="nil"/>
              <w:left w:val="single" w:color="auto" w:sz="8" w:space="0"/>
              <w:bottom w:val="single" w:color="000000" w:sz="8" w:space="0"/>
              <w:right w:val="single" w:color="auto" w:sz="8" w:space="0"/>
            </w:tcBorders>
            <w:shd w:val="clear" w:color="auto" w:fill="auto"/>
            <w:vAlign w:val="center"/>
          </w:tcPr>
          <w:p>
            <w:pPr>
              <w:jc w:val="center"/>
              <w:rPr>
                <w:rFonts w:ascii="宋体" w:hAnsi="宋体" w:cs="宋体"/>
                <w:color w:val="auto"/>
                <w:szCs w:val="21"/>
                <w:highlight w:val="none"/>
              </w:rPr>
            </w:pPr>
            <w:r>
              <w:rPr>
                <w:rFonts w:hint="eastAsia"/>
                <w:color w:val="auto"/>
                <w:szCs w:val="21"/>
                <w:highlight w:val="none"/>
              </w:rPr>
              <w:t>报价得分</w:t>
            </w:r>
          </w:p>
        </w:tc>
        <w:tc>
          <w:tcPr>
            <w:tcW w:w="759" w:type="dxa"/>
            <w:vMerge w:val="restart"/>
            <w:tcBorders>
              <w:top w:val="nil"/>
              <w:left w:val="single" w:color="auto" w:sz="8" w:space="0"/>
              <w:bottom w:val="single" w:color="000000" w:sz="8" w:space="0"/>
              <w:right w:val="single" w:color="auto" w:sz="8" w:space="0"/>
            </w:tcBorders>
            <w:shd w:val="clear" w:color="auto" w:fill="auto"/>
            <w:vAlign w:val="center"/>
          </w:tcPr>
          <w:p>
            <w:pPr>
              <w:jc w:val="center"/>
              <w:rPr>
                <w:rFonts w:eastAsia="等线" w:cs="Calibri"/>
                <w:color w:val="auto"/>
                <w:szCs w:val="21"/>
                <w:highlight w:val="none"/>
              </w:rPr>
            </w:pPr>
            <w:r>
              <w:rPr>
                <w:rFonts w:hint="eastAsia" w:eastAsia="等线" w:cs="Calibri"/>
                <w:color w:val="auto"/>
                <w:szCs w:val="21"/>
                <w:highlight w:val="none"/>
                <w:lang w:val="en-US" w:eastAsia="zh-CN"/>
              </w:rPr>
              <w:t>45</w:t>
            </w:r>
            <w:r>
              <w:rPr>
                <w:rFonts w:hint="eastAsia" w:cs="Calibri"/>
                <w:color w:val="auto"/>
                <w:szCs w:val="21"/>
                <w:highlight w:val="none"/>
              </w:rPr>
              <w:t>分</w:t>
            </w:r>
          </w:p>
        </w:tc>
        <w:tc>
          <w:tcPr>
            <w:tcW w:w="5518" w:type="dxa"/>
            <w:tcBorders>
              <w:top w:val="nil"/>
              <w:left w:val="nil"/>
              <w:bottom w:val="single" w:color="auto" w:sz="8" w:space="0"/>
              <w:right w:val="single" w:color="auto" w:sz="8" w:space="0"/>
            </w:tcBorders>
            <w:shd w:val="clear" w:color="auto" w:fill="auto"/>
            <w:vAlign w:val="center"/>
          </w:tcPr>
          <w:p>
            <w:pPr>
              <w:rPr>
                <w:rFonts w:eastAsia="等线" w:cs="Calibri"/>
                <w:color w:val="auto"/>
                <w:szCs w:val="21"/>
                <w:highlight w:val="none"/>
              </w:rPr>
            </w:pPr>
            <w:r>
              <w:rPr>
                <w:rFonts w:eastAsia="等线" w:cs="Calibri"/>
                <w:color w:val="auto"/>
                <w:szCs w:val="21"/>
                <w:highlight w:val="none"/>
              </w:rPr>
              <w:t>1</w:t>
            </w:r>
            <w:r>
              <w:rPr>
                <w:rFonts w:hint="eastAsia" w:cs="Calibri"/>
                <w:color w:val="auto"/>
                <w:szCs w:val="21"/>
                <w:highlight w:val="none"/>
              </w:rPr>
              <w:t>、评标基准值：满足招标文件要求且评标报价最低的为评标基准价，其价格分为满分。</w:t>
            </w:r>
          </w:p>
        </w:tc>
      </w:tr>
      <w:tr>
        <w:tblPrEx>
          <w:tblCellMar>
            <w:top w:w="0" w:type="dxa"/>
            <w:left w:w="108" w:type="dxa"/>
            <w:bottom w:w="0" w:type="dxa"/>
            <w:right w:w="108" w:type="dxa"/>
          </w:tblCellMar>
        </w:tblPrEx>
        <w:trPr>
          <w:trHeight w:val="585" w:hRule="atLeast"/>
        </w:trPr>
        <w:tc>
          <w:tcPr>
            <w:tcW w:w="846" w:type="dxa"/>
            <w:vMerge w:val="continue"/>
            <w:tcBorders>
              <w:top w:val="nil"/>
              <w:left w:val="single" w:color="auto" w:sz="8" w:space="0"/>
              <w:bottom w:val="single" w:color="000000" w:sz="8" w:space="0"/>
              <w:right w:val="single" w:color="auto" w:sz="8" w:space="0"/>
            </w:tcBorders>
            <w:vAlign w:val="center"/>
          </w:tcPr>
          <w:p>
            <w:pPr>
              <w:rPr>
                <w:rFonts w:ascii="宋体" w:hAnsi="宋体" w:cs="宋体"/>
                <w:color w:val="auto"/>
                <w:szCs w:val="21"/>
                <w:highlight w:val="none"/>
              </w:rPr>
            </w:pPr>
          </w:p>
        </w:tc>
        <w:tc>
          <w:tcPr>
            <w:tcW w:w="714" w:type="dxa"/>
            <w:vMerge w:val="continue"/>
            <w:tcBorders>
              <w:top w:val="nil"/>
              <w:left w:val="single" w:color="auto" w:sz="8" w:space="0"/>
              <w:bottom w:val="single" w:color="000000" w:sz="8" w:space="0"/>
              <w:right w:val="single" w:color="auto" w:sz="8" w:space="0"/>
            </w:tcBorders>
            <w:vAlign w:val="center"/>
          </w:tcPr>
          <w:p>
            <w:pPr>
              <w:rPr>
                <w:rFonts w:eastAsia="等线" w:cs="Calibri"/>
                <w:color w:val="auto"/>
                <w:szCs w:val="21"/>
                <w:highlight w:val="none"/>
              </w:rPr>
            </w:pPr>
          </w:p>
        </w:tc>
        <w:tc>
          <w:tcPr>
            <w:tcW w:w="1311" w:type="dxa"/>
            <w:vMerge w:val="continue"/>
            <w:tcBorders>
              <w:top w:val="nil"/>
              <w:left w:val="single" w:color="auto" w:sz="8" w:space="0"/>
              <w:bottom w:val="single" w:color="000000" w:sz="8" w:space="0"/>
              <w:right w:val="single" w:color="auto" w:sz="8" w:space="0"/>
            </w:tcBorders>
            <w:vAlign w:val="center"/>
          </w:tcPr>
          <w:p>
            <w:pPr>
              <w:rPr>
                <w:rFonts w:ascii="宋体" w:hAnsi="宋体" w:cs="宋体"/>
                <w:color w:val="auto"/>
                <w:szCs w:val="21"/>
                <w:highlight w:val="none"/>
              </w:rPr>
            </w:pPr>
          </w:p>
        </w:tc>
        <w:tc>
          <w:tcPr>
            <w:tcW w:w="759" w:type="dxa"/>
            <w:vMerge w:val="continue"/>
            <w:tcBorders>
              <w:top w:val="nil"/>
              <w:left w:val="single" w:color="auto" w:sz="8" w:space="0"/>
              <w:bottom w:val="single" w:color="000000" w:sz="8" w:space="0"/>
              <w:right w:val="single" w:color="auto" w:sz="8" w:space="0"/>
            </w:tcBorders>
            <w:vAlign w:val="center"/>
          </w:tcPr>
          <w:p>
            <w:pPr>
              <w:rPr>
                <w:rFonts w:eastAsia="等线" w:cs="Calibri"/>
                <w:color w:val="auto"/>
                <w:szCs w:val="21"/>
                <w:highlight w:val="none"/>
              </w:rPr>
            </w:pPr>
          </w:p>
        </w:tc>
        <w:tc>
          <w:tcPr>
            <w:tcW w:w="5518" w:type="dxa"/>
            <w:tcBorders>
              <w:top w:val="nil"/>
              <w:left w:val="nil"/>
              <w:bottom w:val="single" w:color="auto" w:sz="8" w:space="0"/>
              <w:right w:val="single" w:color="auto" w:sz="8" w:space="0"/>
            </w:tcBorders>
            <w:shd w:val="clear" w:color="auto" w:fill="auto"/>
            <w:vAlign w:val="center"/>
          </w:tcPr>
          <w:p>
            <w:pPr>
              <w:tabs>
                <w:tab w:val="left" w:pos="360"/>
              </w:tabs>
              <w:jc w:val="center"/>
              <w:rPr>
                <w:rFonts w:hint="eastAsia" w:eastAsia="等线" w:cs="Calibri"/>
                <w:color w:val="auto"/>
                <w:szCs w:val="21"/>
                <w:highlight w:val="none"/>
                <w:lang w:val="en-US" w:eastAsia="zh-CN"/>
              </w:rPr>
            </w:pPr>
            <w:r>
              <w:rPr>
                <w:rFonts w:eastAsia="等线" w:cs="Calibri"/>
                <w:color w:val="auto"/>
                <w:szCs w:val="21"/>
                <w:highlight w:val="none"/>
              </w:rPr>
              <w:t>2</w:t>
            </w:r>
            <w:r>
              <w:rPr>
                <w:rFonts w:hint="eastAsia" w:cs="Calibri"/>
                <w:color w:val="auto"/>
                <w:szCs w:val="21"/>
                <w:highlight w:val="none"/>
              </w:rPr>
              <w:t>、投标报价得分</w:t>
            </w:r>
            <w:r>
              <w:rPr>
                <w:rFonts w:eastAsia="等线" w:cs="Calibri"/>
                <w:color w:val="auto"/>
                <w:szCs w:val="21"/>
                <w:highlight w:val="none"/>
              </w:rPr>
              <w:t>=</w:t>
            </w:r>
            <w:r>
              <w:rPr>
                <w:rFonts w:hint="eastAsia" w:cs="Calibri"/>
                <w:color w:val="auto"/>
                <w:szCs w:val="21"/>
                <w:highlight w:val="none"/>
              </w:rPr>
              <w:t>（评标基准价</w:t>
            </w:r>
            <w:r>
              <w:rPr>
                <w:rFonts w:eastAsia="等线" w:cs="Calibri"/>
                <w:color w:val="auto"/>
                <w:szCs w:val="21"/>
                <w:highlight w:val="none"/>
              </w:rPr>
              <w:t>/</w:t>
            </w:r>
            <w:r>
              <w:rPr>
                <w:rFonts w:hint="eastAsia" w:cs="Calibri"/>
                <w:color w:val="auto"/>
                <w:szCs w:val="21"/>
                <w:highlight w:val="none"/>
                <w:lang w:val="en-US" w:eastAsia="zh-CN"/>
              </w:rPr>
              <w:t>投标</w:t>
            </w:r>
            <w:r>
              <w:rPr>
                <w:rFonts w:hint="eastAsia" w:cs="Calibri"/>
                <w:color w:val="auto"/>
                <w:szCs w:val="21"/>
                <w:highlight w:val="none"/>
              </w:rPr>
              <w:t>报价）×</w:t>
            </w:r>
            <w:r>
              <w:rPr>
                <w:rFonts w:hint="eastAsia" w:eastAsia="等线" w:cs="Calibri"/>
                <w:color w:val="auto"/>
                <w:szCs w:val="21"/>
                <w:highlight w:val="none"/>
                <w:lang w:val="en-US" w:eastAsia="zh-CN"/>
              </w:rPr>
              <w:t>45</w:t>
            </w:r>
            <w:r>
              <w:rPr>
                <w:rFonts w:hint="eastAsia" w:cs="Calibri"/>
                <w:color w:val="auto"/>
                <w:szCs w:val="21"/>
                <w:highlight w:val="none"/>
              </w:rPr>
              <w:t>×</w:t>
            </w:r>
            <w:r>
              <w:rPr>
                <w:rFonts w:eastAsia="等线" w:cs="Calibri"/>
                <w:color w:val="auto"/>
                <w:szCs w:val="21"/>
                <w:highlight w:val="none"/>
              </w:rPr>
              <w:t>100</w:t>
            </w:r>
            <w:r>
              <w:rPr>
                <w:rFonts w:hint="eastAsia" w:eastAsia="等线" w:cs="Calibri"/>
                <w:color w:val="auto"/>
                <w:szCs w:val="21"/>
                <w:highlight w:val="none"/>
                <w:lang w:val="en-US" w:eastAsia="zh-CN"/>
              </w:rPr>
              <w:t>%</w:t>
            </w:r>
          </w:p>
        </w:tc>
      </w:tr>
      <w:tr>
        <w:tblPrEx>
          <w:tblCellMar>
            <w:top w:w="0" w:type="dxa"/>
            <w:left w:w="108" w:type="dxa"/>
            <w:bottom w:w="0" w:type="dxa"/>
            <w:right w:w="108" w:type="dxa"/>
          </w:tblCellMar>
        </w:tblPrEx>
        <w:trPr>
          <w:trHeight w:val="1182" w:hRule="atLeast"/>
        </w:trPr>
        <w:tc>
          <w:tcPr>
            <w:tcW w:w="846" w:type="dxa"/>
            <w:vMerge w:val="continue"/>
            <w:tcBorders>
              <w:top w:val="nil"/>
              <w:left w:val="single" w:color="auto" w:sz="8" w:space="0"/>
              <w:bottom w:val="single" w:color="000000" w:sz="8" w:space="0"/>
              <w:right w:val="single" w:color="auto" w:sz="8" w:space="0"/>
            </w:tcBorders>
            <w:vAlign w:val="center"/>
          </w:tcPr>
          <w:p>
            <w:pPr>
              <w:rPr>
                <w:rFonts w:ascii="宋体" w:hAnsi="宋体" w:cs="宋体"/>
                <w:color w:val="auto"/>
                <w:szCs w:val="21"/>
                <w:highlight w:val="none"/>
              </w:rPr>
            </w:pPr>
          </w:p>
        </w:tc>
        <w:tc>
          <w:tcPr>
            <w:tcW w:w="714" w:type="dxa"/>
            <w:vMerge w:val="continue"/>
            <w:tcBorders>
              <w:top w:val="nil"/>
              <w:left w:val="single" w:color="auto" w:sz="8" w:space="0"/>
              <w:bottom w:val="single" w:color="000000" w:sz="8" w:space="0"/>
              <w:right w:val="single" w:color="auto" w:sz="8" w:space="0"/>
            </w:tcBorders>
            <w:vAlign w:val="center"/>
          </w:tcPr>
          <w:p>
            <w:pPr>
              <w:rPr>
                <w:rFonts w:eastAsia="等线" w:cs="Calibri"/>
                <w:color w:val="auto"/>
                <w:szCs w:val="21"/>
                <w:highlight w:val="none"/>
              </w:rPr>
            </w:pPr>
          </w:p>
        </w:tc>
        <w:tc>
          <w:tcPr>
            <w:tcW w:w="1311" w:type="dxa"/>
            <w:vMerge w:val="continue"/>
            <w:tcBorders>
              <w:top w:val="nil"/>
              <w:left w:val="single" w:color="auto" w:sz="8" w:space="0"/>
              <w:bottom w:val="single" w:color="000000" w:sz="8" w:space="0"/>
              <w:right w:val="single" w:color="auto" w:sz="8" w:space="0"/>
            </w:tcBorders>
            <w:vAlign w:val="center"/>
          </w:tcPr>
          <w:p>
            <w:pPr>
              <w:rPr>
                <w:rFonts w:ascii="宋体" w:hAnsi="宋体" w:cs="宋体"/>
                <w:color w:val="auto"/>
                <w:szCs w:val="21"/>
                <w:highlight w:val="none"/>
              </w:rPr>
            </w:pPr>
          </w:p>
        </w:tc>
        <w:tc>
          <w:tcPr>
            <w:tcW w:w="759" w:type="dxa"/>
            <w:vMerge w:val="continue"/>
            <w:tcBorders>
              <w:top w:val="nil"/>
              <w:left w:val="single" w:color="auto" w:sz="8" w:space="0"/>
              <w:bottom w:val="single" w:color="000000" w:sz="8" w:space="0"/>
              <w:right w:val="single" w:color="auto" w:sz="8" w:space="0"/>
            </w:tcBorders>
            <w:vAlign w:val="center"/>
          </w:tcPr>
          <w:p>
            <w:pPr>
              <w:rPr>
                <w:rFonts w:eastAsia="等线" w:cs="Calibri"/>
                <w:color w:val="auto"/>
                <w:szCs w:val="21"/>
                <w:highlight w:val="none"/>
              </w:rPr>
            </w:pPr>
          </w:p>
        </w:tc>
        <w:tc>
          <w:tcPr>
            <w:tcW w:w="5518" w:type="dxa"/>
            <w:tcBorders>
              <w:top w:val="nil"/>
              <w:left w:val="nil"/>
              <w:bottom w:val="single" w:color="auto" w:sz="8" w:space="0"/>
              <w:right w:val="single" w:color="auto" w:sz="8" w:space="0"/>
            </w:tcBorders>
            <w:shd w:val="clear" w:color="auto" w:fill="auto"/>
            <w:vAlign w:val="center"/>
          </w:tcPr>
          <w:p>
            <w:pPr>
              <w:tabs>
                <w:tab w:val="left" w:pos="360"/>
              </w:tabs>
              <w:jc w:val="left"/>
              <w:rPr>
                <w:rFonts w:ascii="宋体" w:hAnsi="宋体" w:cs="宋体"/>
                <w:color w:val="auto"/>
                <w:szCs w:val="21"/>
                <w:highlight w:val="none"/>
              </w:rPr>
            </w:pPr>
            <w:r>
              <w:rPr>
                <w:rFonts w:hint="eastAsia"/>
                <w:color w:val="auto"/>
                <w:szCs w:val="21"/>
                <w:highlight w:val="none"/>
              </w:rPr>
              <w:t>注：根据《政府采购促进中小企业发展暂行办法》（财库[2011]181号）、《财政部 司法部关于政府采购支持监狱企业发展有关问题的通知》（财库〔2014〕68号）和《三部门联合发布关于促进残疾人就业政府采购政策的通知》（财库〔2017〕141号）的规定，对满足价格扣除条件且在投标文件中提交了《投标人企业类型声明函》、《残疾人福利性单位声明函》或省级以上监狱管理局、戒毒管理局（含新疆生产建设兵团）出具的属于监狱企业的证明文件的投标人，其投标报价扣除 6 %后参与评审。对于同时属于小微企业、监狱企业或残疾人福利性单位的，不重复进行投标报价扣除。（详见评标标准）。</w:t>
            </w:r>
          </w:p>
        </w:tc>
      </w:tr>
      <w:tr>
        <w:tblPrEx>
          <w:tblCellMar>
            <w:top w:w="0" w:type="dxa"/>
            <w:left w:w="108" w:type="dxa"/>
            <w:bottom w:w="0" w:type="dxa"/>
            <w:right w:w="108" w:type="dxa"/>
          </w:tblCellMar>
        </w:tblPrEx>
        <w:trPr>
          <w:trHeight w:val="2030" w:hRule="atLeast"/>
        </w:trPr>
        <w:tc>
          <w:tcPr>
            <w:tcW w:w="846" w:type="dxa"/>
            <w:vMerge w:val="continue"/>
            <w:tcBorders>
              <w:top w:val="nil"/>
              <w:left w:val="single" w:color="auto" w:sz="8" w:space="0"/>
              <w:bottom w:val="single" w:color="000000" w:sz="8" w:space="0"/>
              <w:right w:val="single" w:color="auto" w:sz="8" w:space="0"/>
            </w:tcBorders>
            <w:vAlign w:val="center"/>
          </w:tcPr>
          <w:p>
            <w:pPr>
              <w:rPr>
                <w:rFonts w:ascii="宋体" w:hAnsi="宋体" w:cs="宋体"/>
                <w:color w:val="auto"/>
                <w:szCs w:val="21"/>
                <w:highlight w:val="none"/>
              </w:rPr>
            </w:pPr>
          </w:p>
        </w:tc>
        <w:tc>
          <w:tcPr>
            <w:tcW w:w="714" w:type="dxa"/>
            <w:vMerge w:val="continue"/>
            <w:tcBorders>
              <w:top w:val="nil"/>
              <w:left w:val="single" w:color="auto" w:sz="8" w:space="0"/>
              <w:bottom w:val="single" w:color="000000" w:sz="8" w:space="0"/>
              <w:right w:val="single" w:color="auto" w:sz="8" w:space="0"/>
            </w:tcBorders>
            <w:vAlign w:val="center"/>
          </w:tcPr>
          <w:p>
            <w:pPr>
              <w:rPr>
                <w:rFonts w:eastAsia="等线" w:cs="Calibri"/>
                <w:color w:val="auto"/>
                <w:szCs w:val="21"/>
                <w:highlight w:val="none"/>
              </w:rPr>
            </w:pPr>
          </w:p>
        </w:tc>
        <w:tc>
          <w:tcPr>
            <w:tcW w:w="1311" w:type="dxa"/>
            <w:vMerge w:val="continue"/>
            <w:tcBorders>
              <w:top w:val="nil"/>
              <w:left w:val="single" w:color="auto" w:sz="8" w:space="0"/>
              <w:bottom w:val="single" w:color="000000" w:sz="8" w:space="0"/>
              <w:right w:val="single" w:color="auto" w:sz="8" w:space="0"/>
            </w:tcBorders>
            <w:vAlign w:val="center"/>
          </w:tcPr>
          <w:p>
            <w:pPr>
              <w:rPr>
                <w:rFonts w:ascii="宋体" w:hAnsi="宋体" w:cs="宋体"/>
                <w:color w:val="auto"/>
                <w:szCs w:val="21"/>
                <w:highlight w:val="none"/>
              </w:rPr>
            </w:pPr>
          </w:p>
        </w:tc>
        <w:tc>
          <w:tcPr>
            <w:tcW w:w="759" w:type="dxa"/>
            <w:vMerge w:val="continue"/>
            <w:tcBorders>
              <w:top w:val="nil"/>
              <w:left w:val="single" w:color="auto" w:sz="8" w:space="0"/>
              <w:bottom w:val="single" w:color="000000" w:sz="8" w:space="0"/>
              <w:right w:val="single" w:color="auto" w:sz="8" w:space="0"/>
            </w:tcBorders>
            <w:vAlign w:val="center"/>
          </w:tcPr>
          <w:p>
            <w:pPr>
              <w:rPr>
                <w:rFonts w:eastAsia="等线" w:cs="Calibri"/>
                <w:color w:val="auto"/>
                <w:szCs w:val="21"/>
                <w:highlight w:val="none"/>
              </w:rPr>
            </w:pPr>
          </w:p>
        </w:tc>
        <w:tc>
          <w:tcPr>
            <w:tcW w:w="5518" w:type="dxa"/>
            <w:tcBorders>
              <w:top w:val="nil"/>
              <w:left w:val="nil"/>
              <w:bottom w:val="nil"/>
              <w:right w:val="single" w:color="auto" w:sz="8" w:space="0"/>
            </w:tcBorders>
            <w:shd w:val="clear" w:color="auto" w:fill="auto"/>
            <w:vAlign w:val="center"/>
          </w:tcPr>
          <w:p>
            <w:pPr>
              <w:rPr>
                <w:color w:val="auto"/>
                <w:szCs w:val="21"/>
                <w:highlight w:val="none"/>
              </w:rPr>
            </w:pPr>
            <w:r>
              <w:rPr>
                <w:rFonts w:hint="eastAsia"/>
                <w:color w:val="auto"/>
                <w:szCs w:val="21"/>
                <w:highlight w:val="none"/>
              </w:rPr>
              <w:t>（2）关于低于成本的认定：如评标委员会一致认为最低报价或某些分项报价明显不合理，有降低质量、不能诚信履约的可能性时，评标委员会有权现场通知投标人进行书面解释。如投标人未能在规定期限内作出解释，或所作解释不合理，经评标委员会取得一致意见后，视为该投标人报价低于成本价，不参与计算</w:t>
            </w:r>
          </w:p>
        </w:tc>
      </w:tr>
      <w:tr>
        <w:tblPrEx>
          <w:tblCellMar>
            <w:top w:w="0" w:type="dxa"/>
            <w:left w:w="108" w:type="dxa"/>
            <w:bottom w:w="0" w:type="dxa"/>
            <w:right w:w="108" w:type="dxa"/>
          </w:tblCellMar>
        </w:tblPrEx>
        <w:trPr>
          <w:trHeight w:val="825" w:hRule="atLeast"/>
        </w:trPr>
        <w:tc>
          <w:tcPr>
            <w:tcW w:w="846" w:type="dxa"/>
            <w:vMerge w:val="restart"/>
            <w:tcBorders>
              <w:top w:val="nil"/>
              <w:left w:val="single" w:color="auto" w:sz="8" w:space="0"/>
              <w:right w:val="single" w:color="auto" w:sz="8" w:space="0"/>
            </w:tcBorders>
            <w:shd w:val="clear" w:color="auto" w:fill="auto"/>
            <w:vAlign w:val="center"/>
          </w:tcPr>
          <w:p>
            <w:pPr>
              <w:jc w:val="center"/>
              <w:rPr>
                <w:color w:val="auto"/>
                <w:szCs w:val="21"/>
                <w:highlight w:val="none"/>
              </w:rPr>
            </w:pPr>
            <w:r>
              <w:rPr>
                <w:rFonts w:hint="eastAsia"/>
                <w:color w:val="auto"/>
                <w:szCs w:val="21"/>
                <w:highlight w:val="none"/>
              </w:rPr>
              <w:t>技术标准</w:t>
            </w:r>
          </w:p>
        </w:tc>
        <w:tc>
          <w:tcPr>
            <w:tcW w:w="714" w:type="dxa"/>
            <w:vMerge w:val="restart"/>
            <w:tcBorders>
              <w:top w:val="nil"/>
              <w:left w:val="single" w:color="auto" w:sz="8" w:space="0"/>
              <w:right w:val="single" w:color="auto" w:sz="8" w:space="0"/>
            </w:tcBorders>
            <w:shd w:val="clear" w:color="auto" w:fill="auto"/>
            <w:vAlign w:val="center"/>
          </w:tcPr>
          <w:p>
            <w:pPr>
              <w:jc w:val="center"/>
              <w:rPr>
                <w:rFonts w:eastAsia="等线" w:cs="Calibri"/>
                <w:color w:val="auto"/>
                <w:szCs w:val="21"/>
                <w:highlight w:val="none"/>
              </w:rPr>
            </w:pPr>
            <w:r>
              <w:rPr>
                <w:rFonts w:hint="eastAsia" w:eastAsia="等线" w:cs="Calibri"/>
                <w:color w:val="auto"/>
                <w:szCs w:val="21"/>
                <w:highlight w:val="none"/>
                <w:lang w:val="en-US" w:eastAsia="zh-CN"/>
              </w:rPr>
              <w:t>15</w:t>
            </w:r>
            <w:r>
              <w:rPr>
                <w:rFonts w:hint="eastAsia" w:cs="Calibri"/>
                <w:color w:val="auto"/>
                <w:szCs w:val="21"/>
                <w:highlight w:val="none"/>
              </w:rPr>
              <w:t>分</w:t>
            </w:r>
          </w:p>
        </w:tc>
        <w:tc>
          <w:tcPr>
            <w:tcW w:w="1311" w:type="dxa"/>
            <w:tcBorders>
              <w:top w:val="nil"/>
              <w:left w:val="single" w:color="auto" w:sz="8" w:space="0"/>
              <w:bottom w:val="single" w:color="auto" w:sz="4" w:space="0"/>
              <w:right w:val="single" w:color="auto" w:sz="8" w:space="0"/>
            </w:tcBorders>
            <w:shd w:val="clear" w:color="auto" w:fill="auto"/>
            <w:vAlign w:val="center"/>
          </w:tcPr>
          <w:p>
            <w:pPr>
              <w:rPr>
                <w:rFonts w:hint="eastAsia" w:ascii="Calibri" w:hAnsi="Calibri"/>
                <w:color w:val="auto"/>
                <w:szCs w:val="21"/>
                <w:highlight w:val="none"/>
              </w:rPr>
            </w:pPr>
            <w:r>
              <w:rPr>
                <w:rFonts w:hint="eastAsia" w:ascii="Calibri" w:hAnsi="Calibri"/>
                <w:color w:val="auto"/>
                <w:szCs w:val="21"/>
                <w:highlight w:val="none"/>
              </w:rPr>
              <w:t>项目供货方案说明</w:t>
            </w:r>
          </w:p>
        </w:tc>
        <w:tc>
          <w:tcPr>
            <w:tcW w:w="759" w:type="dxa"/>
            <w:tcBorders>
              <w:top w:val="nil"/>
              <w:left w:val="single" w:color="auto" w:sz="8" w:space="0"/>
              <w:bottom w:val="single" w:color="auto" w:sz="4" w:space="0"/>
              <w:right w:val="nil"/>
            </w:tcBorders>
            <w:shd w:val="clear" w:color="auto" w:fill="auto"/>
            <w:vAlign w:val="center"/>
          </w:tcPr>
          <w:p>
            <w:pPr>
              <w:jc w:val="center"/>
              <w:rPr>
                <w:rFonts w:hint="eastAsia" w:eastAsia="等线" w:cs="Calibri"/>
                <w:color w:val="auto"/>
                <w:szCs w:val="21"/>
                <w:highlight w:val="none"/>
                <w:lang w:val="en-US" w:eastAsia="zh-CN"/>
              </w:rPr>
            </w:pPr>
            <w:r>
              <w:rPr>
                <w:rFonts w:hint="eastAsia" w:eastAsia="等线" w:cs="Calibri"/>
                <w:color w:val="auto"/>
                <w:szCs w:val="21"/>
                <w:highlight w:val="none"/>
                <w:lang w:val="en-US" w:eastAsia="zh-CN"/>
              </w:rPr>
              <w:t>5分</w:t>
            </w:r>
          </w:p>
        </w:tc>
        <w:tc>
          <w:tcPr>
            <w:tcW w:w="5518" w:type="dxa"/>
            <w:tcBorders>
              <w:top w:val="single" w:color="auto" w:sz="4" w:space="0"/>
              <w:left w:val="single" w:color="auto" w:sz="4" w:space="0"/>
              <w:bottom w:val="single" w:color="auto" w:sz="4" w:space="0"/>
              <w:right w:val="single" w:color="auto" w:sz="4" w:space="0"/>
            </w:tcBorders>
            <w:shd w:val="clear" w:color="auto" w:fill="auto"/>
            <w:vAlign w:val="center"/>
          </w:tcPr>
          <w:p>
            <w:pPr>
              <w:ind w:firstLine="420" w:firstLineChars="200"/>
              <w:rPr>
                <w:rFonts w:hint="eastAsia"/>
                <w:highlight w:val="none"/>
                <w:lang w:eastAsia="zh-CN"/>
              </w:rPr>
            </w:pPr>
            <w:r>
              <w:rPr>
                <w:rFonts w:hint="eastAsia"/>
                <w:highlight w:val="none"/>
              </w:rPr>
              <w:t>评委会根据投标人的项目</w:t>
            </w:r>
            <w:r>
              <w:rPr>
                <w:rFonts w:hint="eastAsia"/>
                <w:highlight w:val="none"/>
                <w:lang w:val="en-US" w:eastAsia="zh-CN"/>
              </w:rPr>
              <w:t>供货方案</w:t>
            </w:r>
            <w:r>
              <w:rPr>
                <w:rFonts w:hint="eastAsia"/>
                <w:highlight w:val="none"/>
              </w:rPr>
              <w:t>情况进行打分。项目实施</w:t>
            </w:r>
            <w:r>
              <w:rPr>
                <w:rFonts w:hint="eastAsia"/>
                <w:highlight w:val="none"/>
                <w:lang w:val="en-US" w:eastAsia="zh-CN"/>
              </w:rPr>
              <w:t>方案</w:t>
            </w:r>
            <w:r>
              <w:rPr>
                <w:rFonts w:hint="eastAsia"/>
                <w:highlight w:val="none"/>
              </w:rPr>
              <w:t>中应包含教材的来源及保证，无条件退补、错发、漏发、增订承诺及项目的实施时间安排、应急事件处置方案、针对未到教材的提醒方案等</w:t>
            </w:r>
            <w:r>
              <w:rPr>
                <w:rFonts w:hint="eastAsia"/>
                <w:highlight w:val="none"/>
                <w:lang w:eastAsia="zh-CN"/>
              </w:rPr>
              <w:t>：</w:t>
            </w:r>
          </w:p>
          <w:p>
            <w:pPr>
              <w:pStyle w:val="2"/>
              <w:ind w:left="0" w:leftChars="0" w:firstLine="0" w:firstLineChars="0"/>
              <w:rPr>
                <w:rFonts w:hint="eastAsia"/>
                <w:highlight w:val="none"/>
                <w:lang w:eastAsia="zh-CN"/>
              </w:rPr>
            </w:pPr>
            <w:r>
              <w:rPr>
                <w:rFonts w:hint="eastAsia"/>
                <w:highlight w:val="none"/>
                <w:lang w:eastAsia="zh-CN"/>
              </w:rPr>
              <w:t>（1）</w:t>
            </w:r>
            <w:r>
              <w:rPr>
                <w:rFonts w:hint="eastAsia"/>
                <w:highlight w:val="none"/>
                <w:lang w:val="en-US" w:eastAsia="zh-CN"/>
              </w:rPr>
              <w:t>供货方案</w:t>
            </w:r>
            <w:r>
              <w:rPr>
                <w:rFonts w:hint="eastAsia"/>
                <w:highlight w:val="none"/>
                <w:lang w:eastAsia="zh-CN"/>
              </w:rPr>
              <w:t>内容完整且详细，可执行性较强，评价最优得</w:t>
            </w:r>
            <w:r>
              <w:rPr>
                <w:rFonts w:hint="eastAsia"/>
                <w:highlight w:val="none"/>
                <w:lang w:val="en-US" w:eastAsia="zh-CN"/>
              </w:rPr>
              <w:t>5</w:t>
            </w:r>
            <w:r>
              <w:rPr>
                <w:rFonts w:hint="eastAsia"/>
                <w:highlight w:val="none"/>
                <w:lang w:eastAsia="zh-CN"/>
              </w:rPr>
              <w:t>分；</w:t>
            </w:r>
          </w:p>
          <w:p>
            <w:pPr>
              <w:pStyle w:val="2"/>
              <w:ind w:left="0" w:leftChars="0" w:firstLine="0" w:firstLineChars="0"/>
              <w:rPr>
                <w:rFonts w:hint="eastAsia"/>
                <w:highlight w:val="none"/>
                <w:lang w:eastAsia="zh-CN"/>
              </w:rPr>
            </w:pPr>
            <w:r>
              <w:rPr>
                <w:rFonts w:hint="eastAsia"/>
                <w:highlight w:val="none"/>
                <w:lang w:eastAsia="zh-CN"/>
              </w:rPr>
              <w:t>（2）</w:t>
            </w:r>
            <w:r>
              <w:rPr>
                <w:rFonts w:hint="eastAsia"/>
                <w:highlight w:val="none"/>
                <w:lang w:val="en-US" w:eastAsia="zh-CN"/>
              </w:rPr>
              <w:t>供货方案</w:t>
            </w:r>
            <w:r>
              <w:rPr>
                <w:rFonts w:hint="eastAsia"/>
                <w:highlight w:val="none"/>
                <w:lang w:eastAsia="zh-CN"/>
              </w:rPr>
              <w:t>内容完整但不详细，可执行性及评价良好得</w:t>
            </w:r>
            <w:r>
              <w:rPr>
                <w:rFonts w:hint="eastAsia"/>
                <w:highlight w:val="none"/>
                <w:lang w:val="en-US" w:eastAsia="zh-CN"/>
              </w:rPr>
              <w:t>4</w:t>
            </w:r>
            <w:r>
              <w:rPr>
                <w:rFonts w:hint="eastAsia"/>
                <w:highlight w:val="none"/>
                <w:lang w:eastAsia="zh-CN"/>
              </w:rPr>
              <w:t>分；</w:t>
            </w:r>
          </w:p>
          <w:p>
            <w:pPr>
              <w:pStyle w:val="2"/>
              <w:ind w:left="0" w:leftChars="0" w:firstLine="0" w:firstLineChars="0"/>
              <w:rPr>
                <w:rFonts w:hint="eastAsia"/>
                <w:highlight w:val="none"/>
                <w:lang w:eastAsia="zh-CN"/>
              </w:rPr>
            </w:pPr>
            <w:r>
              <w:rPr>
                <w:rFonts w:hint="eastAsia"/>
                <w:highlight w:val="none"/>
                <w:lang w:eastAsia="zh-CN"/>
              </w:rPr>
              <w:t>（3）</w:t>
            </w:r>
            <w:r>
              <w:rPr>
                <w:rFonts w:hint="eastAsia"/>
                <w:highlight w:val="none"/>
                <w:lang w:val="en-US" w:eastAsia="zh-CN"/>
              </w:rPr>
              <w:t>供货方案</w:t>
            </w:r>
            <w:r>
              <w:rPr>
                <w:rFonts w:hint="eastAsia"/>
                <w:highlight w:val="none"/>
                <w:lang w:eastAsia="zh-CN"/>
              </w:rPr>
              <w:t>内容不完整不详细，可执行性及评价一般得</w:t>
            </w:r>
            <w:r>
              <w:rPr>
                <w:rFonts w:hint="eastAsia"/>
                <w:highlight w:val="none"/>
                <w:lang w:val="en-US" w:eastAsia="zh-CN"/>
              </w:rPr>
              <w:t>3</w:t>
            </w:r>
            <w:r>
              <w:rPr>
                <w:rFonts w:hint="eastAsia"/>
                <w:highlight w:val="none"/>
                <w:lang w:eastAsia="zh-CN"/>
              </w:rPr>
              <w:t>分；</w:t>
            </w:r>
          </w:p>
          <w:p>
            <w:pPr>
              <w:pStyle w:val="2"/>
              <w:ind w:left="0" w:leftChars="0" w:firstLine="0" w:firstLineChars="0"/>
              <w:rPr>
                <w:rFonts w:hint="eastAsia"/>
                <w:highlight w:val="none"/>
                <w:lang w:eastAsia="zh-CN"/>
              </w:rPr>
            </w:pPr>
            <w:r>
              <w:rPr>
                <w:rFonts w:hint="eastAsia"/>
                <w:highlight w:val="none"/>
                <w:lang w:eastAsia="zh-CN"/>
              </w:rPr>
              <w:t>（4）</w:t>
            </w:r>
            <w:r>
              <w:rPr>
                <w:rFonts w:hint="eastAsia"/>
                <w:highlight w:val="none"/>
                <w:lang w:val="en-US" w:eastAsia="zh-CN"/>
              </w:rPr>
              <w:t>供货方案</w:t>
            </w:r>
            <w:r>
              <w:rPr>
                <w:rFonts w:hint="eastAsia"/>
                <w:highlight w:val="none"/>
                <w:lang w:eastAsia="zh-CN"/>
              </w:rPr>
              <w:t>内容不完整不详细，可执行性及评价差得</w:t>
            </w:r>
            <w:r>
              <w:rPr>
                <w:rFonts w:hint="eastAsia"/>
                <w:highlight w:val="none"/>
                <w:lang w:val="en-US" w:eastAsia="zh-CN"/>
              </w:rPr>
              <w:t>1</w:t>
            </w:r>
            <w:r>
              <w:rPr>
                <w:rFonts w:hint="eastAsia"/>
                <w:highlight w:val="none"/>
                <w:lang w:eastAsia="zh-CN"/>
              </w:rPr>
              <w:t>分；</w:t>
            </w:r>
          </w:p>
          <w:p>
            <w:pPr>
              <w:pStyle w:val="2"/>
              <w:ind w:left="0" w:leftChars="0" w:firstLine="0" w:firstLineChars="0"/>
              <w:rPr>
                <w:rFonts w:hint="eastAsia"/>
                <w:highlight w:val="none"/>
                <w:lang w:eastAsia="zh-CN"/>
              </w:rPr>
            </w:pPr>
            <w:r>
              <w:rPr>
                <w:rFonts w:hint="eastAsia"/>
                <w:highlight w:val="none"/>
                <w:lang w:eastAsia="zh-CN"/>
              </w:rPr>
              <w:t>不提供得0分。</w:t>
            </w:r>
          </w:p>
        </w:tc>
      </w:tr>
      <w:tr>
        <w:tblPrEx>
          <w:tblCellMar>
            <w:top w:w="0" w:type="dxa"/>
            <w:left w:w="108" w:type="dxa"/>
            <w:bottom w:w="0" w:type="dxa"/>
            <w:right w:w="108" w:type="dxa"/>
          </w:tblCellMar>
        </w:tblPrEx>
        <w:trPr>
          <w:trHeight w:val="630" w:hRule="atLeast"/>
        </w:trPr>
        <w:tc>
          <w:tcPr>
            <w:tcW w:w="846" w:type="dxa"/>
            <w:vMerge w:val="continue"/>
            <w:tcBorders>
              <w:left w:val="single" w:color="auto" w:sz="8" w:space="0"/>
              <w:right w:val="single" w:color="auto" w:sz="8" w:space="0"/>
            </w:tcBorders>
            <w:vAlign w:val="center"/>
          </w:tcPr>
          <w:p>
            <w:pPr>
              <w:rPr>
                <w:rFonts w:ascii="宋体" w:hAnsi="宋体" w:cs="宋体"/>
                <w:color w:val="auto"/>
                <w:szCs w:val="21"/>
                <w:highlight w:val="none"/>
              </w:rPr>
            </w:pPr>
          </w:p>
        </w:tc>
        <w:tc>
          <w:tcPr>
            <w:tcW w:w="714" w:type="dxa"/>
            <w:vMerge w:val="continue"/>
            <w:tcBorders>
              <w:left w:val="single" w:color="auto" w:sz="8" w:space="0"/>
              <w:right w:val="single" w:color="auto" w:sz="8" w:space="0"/>
            </w:tcBorders>
            <w:vAlign w:val="center"/>
          </w:tcPr>
          <w:p>
            <w:pPr>
              <w:rPr>
                <w:rFonts w:eastAsia="等线" w:cs="Calibri"/>
                <w:color w:val="auto"/>
                <w:szCs w:val="21"/>
                <w:highlight w:val="none"/>
              </w:rPr>
            </w:pPr>
          </w:p>
        </w:tc>
        <w:tc>
          <w:tcPr>
            <w:tcW w:w="1311" w:type="dxa"/>
            <w:tcBorders>
              <w:top w:val="single" w:color="auto" w:sz="4" w:space="0"/>
              <w:left w:val="single" w:color="auto" w:sz="8" w:space="0"/>
              <w:bottom w:val="single" w:color="auto" w:sz="4" w:space="0"/>
              <w:right w:val="single" w:color="auto" w:sz="8" w:space="0"/>
            </w:tcBorders>
            <w:vAlign w:val="center"/>
          </w:tcPr>
          <w:p>
            <w:pPr>
              <w:rPr>
                <w:rFonts w:hint="default" w:ascii="Calibri" w:hAnsi="Calibri" w:eastAsia="宋体"/>
                <w:color w:val="auto"/>
                <w:szCs w:val="21"/>
                <w:highlight w:val="none"/>
                <w:lang w:val="en-US" w:eastAsia="zh-CN"/>
              </w:rPr>
            </w:pPr>
            <w:r>
              <w:rPr>
                <w:rFonts w:hint="eastAsia" w:ascii="宋体" w:hAnsi="宋体" w:cs="宋体"/>
                <w:color w:val="auto"/>
                <w:sz w:val="24"/>
                <w:szCs w:val="24"/>
                <w:highlight w:val="none"/>
                <w:lang w:val="en-US" w:eastAsia="zh-CN"/>
              </w:rPr>
              <w:t>项目服务方案说明</w:t>
            </w:r>
          </w:p>
        </w:tc>
        <w:tc>
          <w:tcPr>
            <w:tcW w:w="759" w:type="dxa"/>
            <w:tcBorders>
              <w:top w:val="single" w:color="auto" w:sz="4" w:space="0"/>
              <w:left w:val="single" w:color="auto" w:sz="8" w:space="0"/>
              <w:bottom w:val="single" w:color="auto" w:sz="4" w:space="0"/>
              <w:right w:val="nil"/>
            </w:tcBorders>
            <w:vAlign w:val="center"/>
          </w:tcPr>
          <w:p>
            <w:pPr>
              <w:rPr>
                <w:rFonts w:hint="eastAsia" w:eastAsia="等线" w:cs="Calibri"/>
                <w:color w:val="auto"/>
                <w:szCs w:val="21"/>
                <w:highlight w:val="none"/>
                <w:lang w:val="en-US" w:eastAsia="zh-CN"/>
              </w:rPr>
            </w:pPr>
            <w:r>
              <w:rPr>
                <w:rFonts w:hint="eastAsia" w:eastAsia="等线" w:cs="Calibri"/>
                <w:color w:val="auto"/>
                <w:szCs w:val="21"/>
                <w:highlight w:val="none"/>
                <w:lang w:val="en-US" w:eastAsia="zh-CN"/>
              </w:rPr>
              <w:t>5分</w:t>
            </w:r>
          </w:p>
        </w:tc>
        <w:tc>
          <w:tcPr>
            <w:tcW w:w="5518" w:type="dxa"/>
            <w:tcBorders>
              <w:top w:val="single" w:color="auto" w:sz="4" w:space="0"/>
              <w:left w:val="single" w:color="auto" w:sz="4" w:space="0"/>
              <w:bottom w:val="single" w:color="auto" w:sz="4" w:space="0"/>
              <w:right w:val="single" w:color="auto" w:sz="4" w:space="0"/>
            </w:tcBorders>
            <w:shd w:val="clear" w:color="auto" w:fill="auto"/>
            <w:vAlign w:val="center"/>
          </w:tcPr>
          <w:p>
            <w:pPr>
              <w:ind w:firstLine="420" w:firstLineChars="200"/>
              <w:rPr>
                <w:rFonts w:hint="eastAsia"/>
                <w:color w:val="auto"/>
                <w:szCs w:val="21"/>
                <w:highlight w:val="none"/>
              </w:rPr>
            </w:pPr>
            <w:r>
              <w:rPr>
                <w:rFonts w:hint="eastAsia"/>
                <w:color w:val="auto"/>
                <w:szCs w:val="21"/>
                <w:highlight w:val="none"/>
              </w:rPr>
              <w:t>评委会根据投标人提供的</w:t>
            </w:r>
            <w:r>
              <w:rPr>
                <w:rFonts w:hint="eastAsia"/>
                <w:color w:val="auto"/>
                <w:szCs w:val="21"/>
                <w:highlight w:val="none"/>
                <w:lang w:val="en-US" w:eastAsia="zh-CN"/>
              </w:rPr>
              <w:t>项目服务</w:t>
            </w:r>
            <w:r>
              <w:rPr>
                <w:rFonts w:hint="eastAsia"/>
                <w:color w:val="auto"/>
                <w:szCs w:val="21"/>
                <w:highlight w:val="none"/>
              </w:rPr>
              <w:t>方案情况进行打分。</w:t>
            </w:r>
            <w:r>
              <w:rPr>
                <w:rFonts w:hint="eastAsia"/>
                <w:color w:val="auto"/>
                <w:szCs w:val="21"/>
                <w:highlight w:val="none"/>
                <w:lang w:val="en-US" w:eastAsia="zh-CN"/>
              </w:rPr>
              <w:t>项目服务</w:t>
            </w:r>
            <w:r>
              <w:rPr>
                <w:rFonts w:hint="eastAsia"/>
                <w:color w:val="auto"/>
                <w:szCs w:val="21"/>
                <w:highlight w:val="none"/>
              </w:rPr>
              <w:t>方案中应包含人员配置、配送车辆、运输、保管及详细发放送货等详细方案。</w:t>
            </w:r>
          </w:p>
          <w:p>
            <w:pPr>
              <w:rPr>
                <w:rFonts w:hint="eastAsia"/>
                <w:color w:val="auto"/>
                <w:szCs w:val="21"/>
                <w:highlight w:val="none"/>
              </w:rPr>
            </w:pPr>
            <w:r>
              <w:rPr>
                <w:rFonts w:hint="eastAsia"/>
                <w:color w:val="auto"/>
                <w:szCs w:val="21"/>
                <w:highlight w:val="none"/>
              </w:rPr>
              <w:t>（1）配送、发放方案各方面内容齐全且详细，考虑周全且评价最优秀得</w:t>
            </w:r>
            <w:r>
              <w:rPr>
                <w:rFonts w:hint="eastAsia"/>
                <w:color w:val="auto"/>
                <w:szCs w:val="21"/>
                <w:highlight w:val="none"/>
                <w:lang w:val="en-US" w:eastAsia="zh-CN"/>
              </w:rPr>
              <w:t>5</w:t>
            </w:r>
            <w:r>
              <w:rPr>
                <w:rFonts w:hint="eastAsia"/>
                <w:color w:val="auto"/>
                <w:szCs w:val="21"/>
                <w:highlight w:val="none"/>
              </w:rPr>
              <w:t>分；</w:t>
            </w:r>
          </w:p>
          <w:p>
            <w:pPr>
              <w:rPr>
                <w:rFonts w:hint="eastAsia"/>
                <w:color w:val="auto"/>
                <w:szCs w:val="21"/>
                <w:highlight w:val="none"/>
              </w:rPr>
            </w:pPr>
            <w:r>
              <w:rPr>
                <w:rFonts w:hint="eastAsia"/>
                <w:color w:val="auto"/>
                <w:szCs w:val="21"/>
                <w:highlight w:val="none"/>
              </w:rPr>
              <w:t>（2）配送、发放方案各方面内容齐全但不详细，考虑表现一般，评价良好得3分；</w:t>
            </w:r>
          </w:p>
          <w:p>
            <w:pPr>
              <w:rPr>
                <w:rFonts w:hint="eastAsia"/>
                <w:color w:val="auto"/>
                <w:szCs w:val="21"/>
                <w:highlight w:val="none"/>
              </w:rPr>
            </w:pPr>
            <w:r>
              <w:rPr>
                <w:rFonts w:hint="eastAsia"/>
                <w:color w:val="auto"/>
                <w:szCs w:val="21"/>
                <w:highlight w:val="none"/>
              </w:rPr>
              <w:t>（3）配送、发放方案各方面内容不齐全不详细、考虑表现较差、评价差得1分；</w:t>
            </w:r>
          </w:p>
          <w:p>
            <w:pPr>
              <w:rPr>
                <w:color w:val="auto"/>
                <w:szCs w:val="21"/>
                <w:highlight w:val="none"/>
              </w:rPr>
            </w:pPr>
            <w:r>
              <w:rPr>
                <w:rFonts w:hint="eastAsia"/>
                <w:color w:val="auto"/>
                <w:szCs w:val="21"/>
                <w:highlight w:val="none"/>
              </w:rPr>
              <w:t>不提供得0分。</w:t>
            </w:r>
          </w:p>
        </w:tc>
      </w:tr>
      <w:tr>
        <w:tblPrEx>
          <w:tblCellMar>
            <w:top w:w="0" w:type="dxa"/>
            <w:left w:w="108" w:type="dxa"/>
            <w:bottom w:w="0" w:type="dxa"/>
            <w:right w:w="108" w:type="dxa"/>
          </w:tblCellMar>
        </w:tblPrEx>
        <w:trPr>
          <w:trHeight w:val="554" w:hRule="atLeast"/>
        </w:trPr>
        <w:tc>
          <w:tcPr>
            <w:tcW w:w="846" w:type="dxa"/>
            <w:vMerge w:val="continue"/>
            <w:tcBorders>
              <w:left w:val="single" w:color="auto" w:sz="8" w:space="0"/>
              <w:right w:val="single" w:color="auto" w:sz="8" w:space="0"/>
            </w:tcBorders>
            <w:vAlign w:val="center"/>
          </w:tcPr>
          <w:p>
            <w:pPr>
              <w:rPr>
                <w:rFonts w:ascii="宋体" w:hAnsi="宋体" w:cs="宋体"/>
                <w:color w:val="auto"/>
                <w:szCs w:val="21"/>
                <w:highlight w:val="none"/>
              </w:rPr>
            </w:pPr>
          </w:p>
        </w:tc>
        <w:tc>
          <w:tcPr>
            <w:tcW w:w="714" w:type="dxa"/>
            <w:vMerge w:val="continue"/>
            <w:tcBorders>
              <w:left w:val="single" w:color="auto" w:sz="8" w:space="0"/>
              <w:right w:val="single" w:color="auto" w:sz="8" w:space="0"/>
            </w:tcBorders>
            <w:vAlign w:val="center"/>
          </w:tcPr>
          <w:p>
            <w:pPr>
              <w:rPr>
                <w:rFonts w:eastAsia="等线" w:cs="Calibri"/>
                <w:color w:val="auto"/>
                <w:szCs w:val="21"/>
                <w:highlight w:val="none"/>
              </w:rPr>
            </w:pPr>
          </w:p>
        </w:tc>
        <w:tc>
          <w:tcPr>
            <w:tcW w:w="1311" w:type="dxa"/>
            <w:tcBorders>
              <w:top w:val="single" w:color="auto" w:sz="4" w:space="0"/>
              <w:left w:val="single" w:color="auto" w:sz="8" w:space="0"/>
              <w:bottom w:val="single" w:color="auto" w:sz="4" w:space="0"/>
              <w:right w:val="single" w:color="auto" w:sz="8" w:space="0"/>
            </w:tcBorders>
            <w:vAlign w:val="center"/>
          </w:tcPr>
          <w:p>
            <w:pPr>
              <w:rPr>
                <w:rFonts w:hint="eastAsia" w:ascii="Calibri" w:hAnsi="Calibri"/>
                <w:color w:val="auto"/>
                <w:szCs w:val="21"/>
                <w:highlight w:val="none"/>
              </w:rPr>
            </w:pPr>
            <w:r>
              <w:rPr>
                <w:rFonts w:hint="eastAsia" w:ascii="Calibri" w:hAnsi="Calibri"/>
                <w:color w:val="auto"/>
                <w:szCs w:val="21"/>
                <w:highlight w:val="none"/>
              </w:rPr>
              <w:t>合理化建议</w:t>
            </w:r>
          </w:p>
        </w:tc>
        <w:tc>
          <w:tcPr>
            <w:tcW w:w="759" w:type="dxa"/>
            <w:tcBorders>
              <w:top w:val="single" w:color="auto" w:sz="4" w:space="0"/>
              <w:left w:val="single" w:color="auto" w:sz="8" w:space="0"/>
              <w:bottom w:val="single" w:color="auto" w:sz="4" w:space="0"/>
              <w:right w:val="nil"/>
            </w:tcBorders>
            <w:vAlign w:val="center"/>
          </w:tcPr>
          <w:p>
            <w:pPr>
              <w:rPr>
                <w:rFonts w:hint="eastAsia" w:eastAsia="等线" w:cs="Calibri"/>
                <w:color w:val="auto"/>
                <w:szCs w:val="21"/>
                <w:highlight w:val="none"/>
                <w:lang w:val="en-US" w:eastAsia="zh-CN"/>
              </w:rPr>
            </w:pPr>
            <w:r>
              <w:rPr>
                <w:rFonts w:hint="eastAsia" w:eastAsia="等线" w:cs="Calibri"/>
                <w:color w:val="auto"/>
                <w:szCs w:val="21"/>
                <w:highlight w:val="none"/>
                <w:lang w:val="en-US" w:eastAsia="zh-CN"/>
              </w:rPr>
              <w:t>5分</w:t>
            </w:r>
          </w:p>
        </w:tc>
        <w:tc>
          <w:tcPr>
            <w:tcW w:w="5518" w:type="dxa"/>
            <w:tcBorders>
              <w:top w:val="single" w:color="auto" w:sz="4" w:space="0"/>
              <w:left w:val="single" w:color="auto" w:sz="4" w:space="0"/>
              <w:bottom w:val="single" w:color="auto" w:sz="4" w:space="0"/>
              <w:right w:val="single" w:color="auto" w:sz="4" w:space="0"/>
            </w:tcBorders>
            <w:shd w:val="clear" w:color="auto" w:fill="auto"/>
            <w:vAlign w:val="center"/>
          </w:tcPr>
          <w:p>
            <w:pP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建议针对性强、内容合理、实施方便得5分</w:t>
            </w:r>
          </w:p>
          <w:p>
            <w:pPr>
              <w:pStyle w:val="2"/>
              <w:spacing w:line="240" w:lineRule="auto"/>
              <w:ind w:left="0" w:leftChars="0" w:firstLine="0" w:firstLineChars="0"/>
              <w:rPr>
                <w:rFonts w:hint="eastAsia"/>
                <w:highlight w:val="none"/>
                <w:lang w:val="en-US" w:eastAsia="zh-CN"/>
              </w:rPr>
            </w:pPr>
            <w:r>
              <w:rPr>
                <w:rFonts w:hint="eastAsia" w:ascii="宋体" w:hAnsi="宋体" w:cs="宋体"/>
                <w:color w:val="auto"/>
                <w:szCs w:val="21"/>
                <w:highlight w:val="none"/>
                <w:lang w:val="en-US" w:eastAsia="zh-CN"/>
              </w:rPr>
              <w:t>建议针对性一般、内容较合理、实施较方便得3分</w:t>
            </w:r>
          </w:p>
          <w:p>
            <w:pPr>
              <w:spacing w:line="240" w:lineRule="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有此项内容得1分，</w:t>
            </w:r>
          </w:p>
          <w:p>
            <w:pPr>
              <w:spacing w:line="24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没有得0分</w:t>
            </w:r>
          </w:p>
        </w:tc>
      </w:tr>
      <w:tr>
        <w:tblPrEx>
          <w:tblCellMar>
            <w:top w:w="0" w:type="dxa"/>
            <w:left w:w="108" w:type="dxa"/>
            <w:bottom w:w="0" w:type="dxa"/>
            <w:right w:w="108" w:type="dxa"/>
          </w:tblCellMar>
        </w:tblPrEx>
        <w:trPr>
          <w:trHeight w:val="818" w:hRule="atLeast"/>
        </w:trPr>
        <w:tc>
          <w:tcPr>
            <w:tcW w:w="846" w:type="dxa"/>
            <w:vMerge w:val="restart"/>
            <w:tcBorders>
              <w:top w:val="single" w:color="000000" w:sz="4" w:space="0"/>
              <w:left w:val="single" w:color="auto" w:sz="4" w:space="0"/>
              <w:right w:val="single" w:color="auto" w:sz="4" w:space="0"/>
            </w:tcBorders>
            <w:shd w:val="clear" w:color="auto" w:fill="auto"/>
            <w:vAlign w:val="center"/>
          </w:tcPr>
          <w:p>
            <w:pPr>
              <w:jc w:val="center"/>
              <w:rPr>
                <w:color w:val="auto"/>
                <w:szCs w:val="21"/>
                <w:highlight w:val="none"/>
              </w:rPr>
            </w:pPr>
            <w:r>
              <w:rPr>
                <w:rFonts w:hint="eastAsia"/>
                <w:color w:val="auto"/>
                <w:szCs w:val="21"/>
                <w:highlight w:val="none"/>
              </w:rPr>
              <w:t>综合标</w:t>
            </w:r>
          </w:p>
        </w:tc>
        <w:tc>
          <w:tcPr>
            <w:tcW w:w="714" w:type="dxa"/>
            <w:vMerge w:val="restart"/>
            <w:tcBorders>
              <w:top w:val="single" w:color="000000" w:sz="4" w:space="0"/>
              <w:left w:val="single" w:color="auto" w:sz="4" w:space="0"/>
              <w:right w:val="single" w:color="auto" w:sz="4" w:space="0"/>
            </w:tcBorders>
            <w:shd w:val="clear" w:color="auto" w:fill="auto"/>
            <w:vAlign w:val="center"/>
          </w:tcPr>
          <w:p>
            <w:pPr>
              <w:jc w:val="center"/>
              <w:rPr>
                <w:rFonts w:eastAsia="等线" w:cs="Calibri"/>
                <w:color w:val="auto"/>
                <w:szCs w:val="21"/>
                <w:highlight w:val="none"/>
              </w:rPr>
            </w:pPr>
            <w:r>
              <w:rPr>
                <w:rFonts w:hint="eastAsia" w:eastAsia="等线" w:cs="Calibri"/>
                <w:color w:val="auto"/>
                <w:szCs w:val="21"/>
                <w:highlight w:val="none"/>
                <w:lang w:val="en-US" w:eastAsia="zh-CN"/>
              </w:rPr>
              <w:t>40</w:t>
            </w:r>
            <w:r>
              <w:rPr>
                <w:rFonts w:hint="eastAsia" w:cs="Calibri"/>
                <w:color w:val="auto"/>
                <w:szCs w:val="21"/>
                <w:highlight w:val="none"/>
              </w:rPr>
              <w:t>分</w:t>
            </w:r>
          </w:p>
        </w:tc>
        <w:tc>
          <w:tcPr>
            <w:tcW w:w="1311" w:type="dxa"/>
            <w:tcBorders>
              <w:top w:val="single" w:color="000000" w:sz="4" w:space="0"/>
              <w:left w:val="single" w:color="auto" w:sz="4" w:space="0"/>
              <w:bottom w:val="single" w:color="auto" w:sz="4" w:space="0"/>
              <w:right w:val="single" w:color="auto" w:sz="4" w:space="0"/>
            </w:tcBorders>
            <w:shd w:val="clear" w:color="auto" w:fill="auto"/>
            <w:vAlign w:val="center"/>
          </w:tcPr>
          <w:p>
            <w:pPr>
              <w:jc w:val="center"/>
              <w:rPr>
                <w:rFonts w:ascii="宋体" w:hAnsi="宋体" w:cs="宋体"/>
                <w:color w:val="auto"/>
                <w:szCs w:val="21"/>
                <w:highlight w:val="none"/>
              </w:rPr>
            </w:pPr>
            <w:r>
              <w:rPr>
                <w:rFonts w:hint="eastAsia" w:ascii="宋体" w:hAnsi="宋体" w:cs="宋体"/>
                <w:color w:val="auto"/>
                <w:szCs w:val="21"/>
                <w:highlight w:val="none"/>
              </w:rPr>
              <w:t>拟派项目小组成员</w:t>
            </w:r>
          </w:p>
        </w:tc>
        <w:tc>
          <w:tcPr>
            <w:tcW w:w="759" w:type="dxa"/>
            <w:tcBorders>
              <w:top w:val="single" w:color="000000" w:sz="4" w:space="0"/>
              <w:left w:val="single" w:color="auto" w:sz="4" w:space="0"/>
              <w:bottom w:val="single" w:color="auto" w:sz="4" w:space="0"/>
              <w:right w:val="single" w:color="auto" w:sz="4" w:space="0"/>
            </w:tcBorders>
            <w:shd w:val="clear" w:color="auto" w:fill="auto"/>
            <w:vAlign w:val="center"/>
          </w:tcPr>
          <w:p>
            <w:pPr>
              <w:jc w:val="center"/>
              <w:rPr>
                <w:rFonts w:eastAsia="等线" w:cs="Calibri"/>
                <w:color w:val="auto"/>
                <w:szCs w:val="21"/>
                <w:highlight w:val="none"/>
              </w:rPr>
            </w:pPr>
            <w:r>
              <w:rPr>
                <w:rFonts w:hint="eastAsia" w:eastAsia="等线" w:cs="Calibri"/>
                <w:color w:val="auto"/>
                <w:szCs w:val="21"/>
                <w:highlight w:val="none"/>
                <w:lang w:val="en-US" w:eastAsia="zh-CN"/>
              </w:rPr>
              <w:t>4</w:t>
            </w:r>
            <w:r>
              <w:rPr>
                <w:rFonts w:hint="eastAsia" w:eastAsia="等线" w:cs="Calibri"/>
                <w:color w:val="auto"/>
                <w:szCs w:val="21"/>
                <w:highlight w:val="none"/>
              </w:rPr>
              <w:t>分</w:t>
            </w:r>
          </w:p>
        </w:tc>
        <w:tc>
          <w:tcPr>
            <w:tcW w:w="5518" w:type="dxa"/>
            <w:tcBorders>
              <w:top w:val="single" w:color="000000" w:sz="4" w:space="0"/>
              <w:left w:val="nil"/>
              <w:bottom w:val="single" w:color="auto" w:sz="4" w:space="0"/>
              <w:right w:val="single" w:color="auto" w:sz="4" w:space="0"/>
            </w:tcBorders>
            <w:shd w:val="clear" w:color="auto" w:fill="auto"/>
            <w:vAlign w:val="center"/>
          </w:tcPr>
          <w:p>
            <w:pPr>
              <w:tabs>
                <w:tab w:val="left" w:pos="928"/>
              </w:tabs>
              <w:adjustRightInd w:val="0"/>
              <w:snapToGrid w:val="0"/>
              <w:spacing w:line="300" w:lineRule="auto"/>
              <w:rPr>
                <w:rFonts w:hint="eastAsia" w:cs="Calibri"/>
                <w:color w:val="auto"/>
                <w:szCs w:val="21"/>
                <w:highlight w:val="none"/>
              </w:rPr>
            </w:pPr>
            <w:r>
              <w:rPr>
                <w:rFonts w:hint="eastAsia" w:cs="Calibri"/>
                <w:color w:val="auto"/>
                <w:szCs w:val="21"/>
                <w:highlight w:val="none"/>
              </w:rPr>
              <w:t>拟派项目小组成员构成：</w:t>
            </w:r>
          </w:p>
          <w:p>
            <w:pPr>
              <w:tabs>
                <w:tab w:val="left" w:pos="928"/>
              </w:tabs>
              <w:adjustRightInd w:val="0"/>
              <w:snapToGrid w:val="0"/>
              <w:spacing w:line="300" w:lineRule="auto"/>
              <w:rPr>
                <w:rFonts w:hint="eastAsia" w:cs="Calibri"/>
                <w:color w:val="auto"/>
                <w:szCs w:val="21"/>
                <w:highlight w:val="none"/>
              </w:rPr>
            </w:pPr>
            <w:r>
              <w:rPr>
                <w:rFonts w:hint="eastAsia" w:cs="Calibri"/>
                <w:color w:val="auto"/>
                <w:szCs w:val="21"/>
                <w:highlight w:val="none"/>
              </w:rPr>
              <w:t>项目小组成员中</w:t>
            </w:r>
            <w:r>
              <w:rPr>
                <w:rFonts w:hint="eastAsia" w:cs="Calibri"/>
                <w:color w:val="auto"/>
                <w:szCs w:val="21"/>
                <w:highlight w:val="none"/>
                <w:lang w:eastAsia="zh-CN"/>
              </w:rPr>
              <w:t>从事相关图书发行工作三年及以上的人数在</w:t>
            </w:r>
            <w:r>
              <w:rPr>
                <w:rFonts w:hint="eastAsia" w:cs="Calibri"/>
                <w:color w:val="auto"/>
                <w:szCs w:val="21"/>
                <w:highlight w:val="none"/>
                <w:lang w:val="en-US" w:eastAsia="zh-CN"/>
              </w:rPr>
              <w:t>3人以下的不得分，人数</w:t>
            </w:r>
            <w:r>
              <w:rPr>
                <w:rFonts w:hint="eastAsia" w:cs="Calibri"/>
                <w:color w:val="auto"/>
                <w:szCs w:val="21"/>
                <w:highlight w:val="none"/>
                <w:lang w:eastAsia="zh-CN"/>
              </w:rPr>
              <w:t>在</w:t>
            </w:r>
            <w:r>
              <w:rPr>
                <w:rFonts w:hint="eastAsia" w:cs="Calibri"/>
                <w:color w:val="auto"/>
                <w:szCs w:val="21"/>
                <w:highlight w:val="none"/>
                <w:lang w:val="en-US" w:eastAsia="zh-CN"/>
              </w:rPr>
              <w:t>3-4人的得2</w:t>
            </w:r>
            <w:r>
              <w:rPr>
                <w:rFonts w:hint="eastAsia" w:cs="Calibri"/>
                <w:color w:val="auto"/>
                <w:szCs w:val="21"/>
                <w:highlight w:val="none"/>
              </w:rPr>
              <w:t>分，</w:t>
            </w:r>
            <w:r>
              <w:rPr>
                <w:rFonts w:hint="eastAsia" w:cs="Calibri"/>
                <w:color w:val="auto"/>
                <w:szCs w:val="21"/>
                <w:highlight w:val="none"/>
                <w:lang w:eastAsia="zh-CN"/>
              </w:rPr>
              <w:t>人数在</w:t>
            </w:r>
            <w:r>
              <w:rPr>
                <w:rFonts w:hint="eastAsia" w:cs="Calibri"/>
                <w:color w:val="auto"/>
                <w:szCs w:val="21"/>
                <w:highlight w:val="none"/>
                <w:lang w:val="en-US" w:eastAsia="zh-CN"/>
              </w:rPr>
              <w:t>5</w:t>
            </w:r>
            <w:r>
              <w:rPr>
                <w:rFonts w:hint="eastAsia" w:cs="Calibri"/>
                <w:color w:val="auto"/>
                <w:szCs w:val="21"/>
                <w:highlight w:val="none"/>
                <w:lang w:eastAsia="zh-CN"/>
              </w:rPr>
              <w:t>人及以上的得</w:t>
            </w:r>
            <w:r>
              <w:rPr>
                <w:rFonts w:hint="eastAsia" w:cs="Calibri"/>
                <w:color w:val="auto"/>
                <w:szCs w:val="21"/>
                <w:highlight w:val="none"/>
                <w:lang w:val="en-US" w:eastAsia="zh-CN"/>
              </w:rPr>
              <w:t>4分，本项满分4分</w:t>
            </w:r>
            <w:r>
              <w:rPr>
                <w:rFonts w:hint="eastAsia" w:cs="Calibri"/>
                <w:color w:val="auto"/>
                <w:szCs w:val="21"/>
                <w:highlight w:val="none"/>
              </w:rPr>
              <w:t>。</w:t>
            </w:r>
          </w:p>
          <w:p>
            <w:pPr>
              <w:tabs>
                <w:tab w:val="left" w:pos="928"/>
              </w:tabs>
              <w:adjustRightInd w:val="0"/>
              <w:snapToGrid w:val="0"/>
              <w:spacing w:line="300" w:lineRule="auto"/>
              <w:rPr>
                <w:rFonts w:hint="eastAsia" w:eastAsia="宋体" w:cs="Calibri"/>
                <w:color w:val="auto"/>
                <w:szCs w:val="21"/>
                <w:highlight w:val="none"/>
                <w:lang w:eastAsia="zh-CN"/>
              </w:rPr>
            </w:pPr>
            <w:r>
              <w:rPr>
                <w:rFonts w:hint="eastAsia" w:cs="Calibri"/>
                <w:b/>
                <w:bCs/>
                <w:color w:val="auto"/>
                <w:szCs w:val="21"/>
                <w:highlight w:val="none"/>
              </w:rPr>
              <w:t>此部分内容要求以</w:t>
            </w:r>
            <w:r>
              <w:rPr>
                <w:rFonts w:hint="eastAsia" w:cs="Calibri"/>
                <w:b/>
                <w:bCs/>
                <w:color w:val="auto"/>
                <w:szCs w:val="21"/>
                <w:highlight w:val="none"/>
                <w:lang w:val="en-US" w:eastAsia="zh-CN"/>
              </w:rPr>
              <w:t>2018、2019、</w:t>
            </w:r>
            <w:r>
              <w:rPr>
                <w:rFonts w:hint="eastAsia" w:cs="Calibri"/>
                <w:b/>
                <w:bCs/>
                <w:color w:val="auto"/>
                <w:szCs w:val="21"/>
                <w:highlight w:val="none"/>
              </w:rPr>
              <w:t>20</w:t>
            </w:r>
            <w:r>
              <w:rPr>
                <w:rFonts w:hint="eastAsia" w:cs="Calibri"/>
                <w:b/>
                <w:bCs/>
                <w:color w:val="auto"/>
                <w:szCs w:val="21"/>
                <w:highlight w:val="none"/>
                <w:lang w:val="en-US" w:eastAsia="zh-CN"/>
              </w:rPr>
              <w:t>20</w:t>
            </w:r>
            <w:r>
              <w:rPr>
                <w:rFonts w:hint="eastAsia" w:cs="Calibri"/>
                <w:b/>
                <w:bCs/>
                <w:color w:val="auto"/>
                <w:szCs w:val="21"/>
                <w:highlight w:val="none"/>
              </w:rPr>
              <w:t>年</w:t>
            </w:r>
            <w:r>
              <w:rPr>
                <w:rFonts w:hint="eastAsia" w:cs="Calibri"/>
                <w:b/>
                <w:bCs/>
                <w:color w:val="auto"/>
                <w:szCs w:val="21"/>
                <w:highlight w:val="none"/>
                <w:lang w:val="en-US" w:eastAsia="zh-CN"/>
              </w:rPr>
              <w:t>每年</w:t>
            </w:r>
            <w:r>
              <w:rPr>
                <w:rFonts w:hint="eastAsia" w:cs="Calibri"/>
                <w:b/>
                <w:bCs/>
                <w:color w:val="auto"/>
                <w:szCs w:val="21"/>
                <w:highlight w:val="none"/>
              </w:rPr>
              <w:t>任意月份的社保记录为评分依据，要求将依据材料</w:t>
            </w:r>
            <w:r>
              <w:rPr>
                <w:rFonts w:hint="eastAsia" w:cs="Calibri"/>
                <w:b/>
                <w:bCs/>
                <w:color w:val="auto"/>
                <w:szCs w:val="21"/>
                <w:highlight w:val="none"/>
                <w:lang w:eastAsia="zh-CN"/>
              </w:rPr>
              <w:t>扫描件</w:t>
            </w:r>
            <w:r>
              <w:rPr>
                <w:rFonts w:hint="eastAsia" w:cs="Calibri"/>
                <w:b/>
                <w:bCs/>
                <w:color w:val="auto"/>
                <w:szCs w:val="21"/>
                <w:highlight w:val="none"/>
              </w:rPr>
              <w:t>放入</w:t>
            </w:r>
            <w:r>
              <w:rPr>
                <w:rFonts w:hint="eastAsia" w:cs="Calibri"/>
                <w:b/>
                <w:bCs/>
                <w:color w:val="auto"/>
                <w:szCs w:val="21"/>
                <w:highlight w:val="none"/>
                <w:lang w:eastAsia="zh-CN"/>
              </w:rPr>
              <w:t>投标</w:t>
            </w:r>
            <w:r>
              <w:rPr>
                <w:rFonts w:hint="eastAsia" w:cs="Calibri"/>
                <w:b/>
                <w:bCs/>
                <w:color w:val="auto"/>
                <w:szCs w:val="21"/>
                <w:highlight w:val="none"/>
              </w:rPr>
              <w:t>文件中，没有者不得分</w:t>
            </w:r>
            <w:r>
              <w:rPr>
                <w:rFonts w:hint="eastAsia" w:cs="Calibri"/>
                <w:b/>
                <w:bCs/>
                <w:color w:val="auto"/>
                <w:szCs w:val="21"/>
                <w:highlight w:val="none"/>
                <w:lang w:eastAsia="zh-CN"/>
              </w:rPr>
              <w:t>。</w:t>
            </w:r>
          </w:p>
        </w:tc>
      </w:tr>
      <w:tr>
        <w:tblPrEx>
          <w:tblCellMar>
            <w:top w:w="0" w:type="dxa"/>
            <w:left w:w="108" w:type="dxa"/>
            <w:bottom w:w="0" w:type="dxa"/>
            <w:right w:w="108" w:type="dxa"/>
          </w:tblCellMar>
        </w:tblPrEx>
        <w:trPr>
          <w:trHeight w:val="1319" w:hRule="atLeast"/>
        </w:trPr>
        <w:tc>
          <w:tcPr>
            <w:tcW w:w="846" w:type="dxa"/>
            <w:vMerge w:val="continue"/>
            <w:tcBorders>
              <w:left w:val="single" w:color="auto" w:sz="4" w:space="0"/>
              <w:right w:val="single" w:color="auto" w:sz="4" w:space="0"/>
            </w:tcBorders>
            <w:vAlign w:val="center"/>
          </w:tcPr>
          <w:p>
            <w:pPr>
              <w:rPr>
                <w:rFonts w:ascii="宋体" w:hAnsi="宋体" w:cs="宋体"/>
                <w:color w:val="auto"/>
                <w:szCs w:val="21"/>
                <w:highlight w:val="none"/>
              </w:rPr>
            </w:pPr>
          </w:p>
        </w:tc>
        <w:tc>
          <w:tcPr>
            <w:tcW w:w="714" w:type="dxa"/>
            <w:vMerge w:val="continue"/>
            <w:tcBorders>
              <w:left w:val="single" w:color="auto" w:sz="4" w:space="0"/>
              <w:right w:val="single" w:color="auto" w:sz="4" w:space="0"/>
            </w:tcBorders>
            <w:vAlign w:val="center"/>
          </w:tcPr>
          <w:p>
            <w:pPr>
              <w:rPr>
                <w:rFonts w:eastAsia="等线" w:cs="Calibri"/>
                <w:color w:val="auto"/>
                <w:szCs w:val="21"/>
                <w:highlight w:val="none"/>
              </w:rPr>
            </w:pPr>
          </w:p>
        </w:tc>
        <w:tc>
          <w:tcPr>
            <w:tcW w:w="1311" w:type="dxa"/>
            <w:tcBorders>
              <w:top w:val="nil"/>
              <w:left w:val="single" w:color="auto" w:sz="4" w:space="0"/>
              <w:bottom w:val="single" w:color="auto" w:sz="4" w:space="0"/>
              <w:right w:val="single" w:color="auto" w:sz="4" w:space="0"/>
            </w:tcBorders>
            <w:shd w:val="clear" w:color="auto" w:fill="auto"/>
            <w:vAlign w:val="center"/>
          </w:tcPr>
          <w:p>
            <w:pPr>
              <w:jc w:val="center"/>
              <w:rPr>
                <w:color w:val="auto"/>
                <w:szCs w:val="21"/>
                <w:highlight w:val="none"/>
              </w:rPr>
            </w:pPr>
            <w:r>
              <w:rPr>
                <w:rFonts w:hint="eastAsia"/>
                <w:color w:val="auto"/>
                <w:szCs w:val="21"/>
                <w:highlight w:val="none"/>
              </w:rPr>
              <w:t>体系认证证书</w:t>
            </w:r>
          </w:p>
        </w:tc>
        <w:tc>
          <w:tcPr>
            <w:tcW w:w="759" w:type="dxa"/>
            <w:tcBorders>
              <w:top w:val="nil"/>
              <w:left w:val="single" w:color="auto" w:sz="4" w:space="0"/>
              <w:bottom w:val="single" w:color="auto" w:sz="4" w:space="0"/>
              <w:right w:val="single" w:color="auto" w:sz="4" w:space="0"/>
            </w:tcBorders>
            <w:shd w:val="clear" w:color="auto" w:fill="auto"/>
            <w:vAlign w:val="center"/>
          </w:tcPr>
          <w:p>
            <w:pPr>
              <w:jc w:val="center"/>
              <w:rPr>
                <w:rFonts w:eastAsia="等线" w:cs="Calibri"/>
                <w:color w:val="auto"/>
                <w:szCs w:val="21"/>
                <w:highlight w:val="none"/>
              </w:rPr>
            </w:pPr>
            <w:r>
              <w:rPr>
                <w:rFonts w:hint="eastAsia" w:eastAsia="等线" w:cs="Calibri"/>
                <w:color w:val="auto"/>
                <w:szCs w:val="21"/>
                <w:highlight w:val="none"/>
                <w:lang w:val="en-US" w:eastAsia="zh-CN"/>
              </w:rPr>
              <w:t>3</w:t>
            </w:r>
            <w:r>
              <w:rPr>
                <w:rFonts w:hint="eastAsia" w:cs="Calibri"/>
                <w:color w:val="auto"/>
                <w:szCs w:val="21"/>
                <w:highlight w:val="none"/>
              </w:rPr>
              <w:t>分</w:t>
            </w:r>
          </w:p>
        </w:tc>
        <w:tc>
          <w:tcPr>
            <w:tcW w:w="5518" w:type="dxa"/>
            <w:tcBorders>
              <w:top w:val="nil"/>
              <w:left w:val="nil"/>
              <w:bottom w:val="single" w:color="auto" w:sz="4" w:space="0"/>
              <w:right w:val="single" w:color="auto" w:sz="4" w:space="0"/>
            </w:tcBorders>
            <w:shd w:val="clear" w:color="auto" w:fill="auto"/>
            <w:vAlign w:val="center"/>
          </w:tcPr>
          <w:p>
            <w:pPr>
              <w:tabs>
                <w:tab w:val="left" w:pos="360"/>
              </w:tabs>
              <w:jc w:val="left"/>
              <w:rPr>
                <w:rFonts w:hint="eastAsia" w:ascii="Calibri" w:hAnsi="Calibri" w:eastAsia="宋体"/>
                <w:color w:val="auto"/>
                <w:szCs w:val="21"/>
                <w:highlight w:val="none"/>
                <w:lang w:eastAsia="zh-CN"/>
              </w:rPr>
            </w:pPr>
            <w:r>
              <w:rPr>
                <w:rFonts w:hint="eastAsia" w:ascii="Calibri" w:hAnsi="Calibri"/>
                <w:color w:val="auto"/>
                <w:szCs w:val="21"/>
                <w:highlight w:val="none"/>
              </w:rPr>
              <w:t>投标企业（供应商）具有质量管理体系认证证书，环境管理体系认证证书，健康管理体系认证证书，每有一项得1分，最多得3分</w:t>
            </w:r>
            <w:r>
              <w:rPr>
                <w:rFonts w:hint="eastAsia" w:ascii="Calibri" w:hAnsi="Calibri"/>
                <w:color w:val="auto"/>
                <w:szCs w:val="21"/>
                <w:highlight w:val="none"/>
                <w:lang w:eastAsia="zh-CN"/>
              </w:rPr>
              <w:t>，</w:t>
            </w:r>
            <w:r>
              <w:rPr>
                <w:rFonts w:hint="eastAsia" w:ascii="Calibri" w:hAnsi="Calibri"/>
                <w:b/>
                <w:bCs/>
                <w:color w:val="auto"/>
                <w:szCs w:val="21"/>
                <w:highlight w:val="none"/>
                <w:lang w:eastAsia="zh-CN"/>
              </w:rPr>
              <w:t>需提供证书扫描件，没有不得分</w:t>
            </w:r>
            <w:r>
              <w:rPr>
                <w:rFonts w:hint="eastAsia" w:ascii="Calibri" w:hAnsi="Calibri"/>
                <w:color w:val="auto"/>
                <w:szCs w:val="21"/>
                <w:highlight w:val="none"/>
                <w:lang w:eastAsia="zh-CN"/>
              </w:rPr>
              <w:t>。</w:t>
            </w:r>
          </w:p>
        </w:tc>
      </w:tr>
      <w:tr>
        <w:tblPrEx>
          <w:tblCellMar>
            <w:top w:w="0" w:type="dxa"/>
            <w:left w:w="108" w:type="dxa"/>
            <w:bottom w:w="0" w:type="dxa"/>
            <w:right w:w="108" w:type="dxa"/>
          </w:tblCellMar>
        </w:tblPrEx>
        <w:trPr>
          <w:trHeight w:val="1210" w:hRule="atLeast"/>
        </w:trPr>
        <w:tc>
          <w:tcPr>
            <w:tcW w:w="846" w:type="dxa"/>
            <w:vMerge w:val="continue"/>
            <w:tcBorders>
              <w:left w:val="single" w:color="auto" w:sz="4" w:space="0"/>
              <w:right w:val="single" w:color="auto" w:sz="4" w:space="0"/>
            </w:tcBorders>
            <w:vAlign w:val="center"/>
          </w:tcPr>
          <w:p>
            <w:pPr>
              <w:rPr>
                <w:rFonts w:ascii="宋体" w:hAnsi="宋体" w:cs="宋体"/>
                <w:color w:val="auto"/>
                <w:szCs w:val="21"/>
                <w:highlight w:val="none"/>
              </w:rPr>
            </w:pPr>
          </w:p>
        </w:tc>
        <w:tc>
          <w:tcPr>
            <w:tcW w:w="714" w:type="dxa"/>
            <w:vMerge w:val="continue"/>
            <w:tcBorders>
              <w:left w:val="single" w:color="auto" w:sz="4" w:space="0"/>
              <w:right w:val="single" w:color="auto" w:sz="4" w:space="0"/>
            </w:tcBorders>
            <w:vAlign w:val="center"/>
          </w:tcPr>
          <w:p>
            <w:pPr>
              <w:rPr>
                <w:rFonts w:eastAsia="等线" w:cs="Calibri"/>
                <w:color w:val="auto"/>
                <w:szCs w:val="21"/>
                <w:highlight w:val="none"/>
              </w:rPr>
            </w:pPr>
          </w:p>
        </w:tc>
        <w:tc>
          <w:tcPr>
            <w:tcW w:w="1311" w:type="dxa"/>
            <w:tcBorders>
              <w:top w:val="nil"/>
              <w:left w:val="nil"/>
              <w:bottom w:val="single" w:color="auto" w:sz="4" w:space="0"/>
              <w:right w:val="single" w:color="auto" w:sz="4" w:space="0"/>
            </w:tcBorders>
            <w:shd w:val="clear" w:color="auto" w:fill="auto"/>
            <w:vAlign w:val="center"/>
          </w:tcPr>
          <w:p>
            <w:pPr>
              <w:jc w:val="center"/>
              <w:rPr>
                <w:color w:val="auto"/>
                <w:szCs w:val="21"/>
                <w:highlight w:val="none"/>
              </w:rPr>
            </w:pPr>
            <w:r>
              <w:rPr>
                <w:rFonts w:hint="eastAsia"/>
                <w:color w:val="auto"/>
                <w:szCs w:val="21"/>
                <w:highlight w:val="none"/>
              </w:rPr>
              <w:t>信用等级证书</w:t>
            </w:r>
          </w:p>
        </w:tc>
        <w:tc>
          <w:tcPr>
            <w:tcW w:w="759" w:type="dxa"/>
            <w:tcBorders>
              <w:top w:val="nil"/>
              <w:left w:val="nil"/>
              <w:bottom w:val="single" w:color="000000" w:sz="4" w:space="0"/>
              <w:right w:val="single" w:color="auto" w:sz="4" w:space="0"/>
            </w:tcBorders>
            <w:shd w:val="clear" w:color="auto" w:fill="auto"/>
            <w:vAlign w:val="center"/>
          </w:tcPr>
          <w:p>
            <w:pPr>
              <w:jc w:val="center"/>
              <w:rPr>
                <w:rFonts w:eastAsia="等线" w:cs="Calibri"/>
                <w:color w:val="auto"/>
                <w:szCs w:val="21"/>
                <w:highlight w:val="none"/>
              </w:rPr>
            </w:pPr>
            <w:r>
              <w:rPr>
                <w:rFonts w:hint="eastAsia"/>
                <w:color w:val="auto"/>
                <w:szCs w:val="21"/>
                <w:highlight w:val="none"/>
                <w:lang w:val="en-US" w:eastAsia="zh-CN"/>
              </w:rPr>
              <w:t>2</w:t>
            </w:r>
            <w:r>
              <w:rPr>
                <w:rFonts w:hint="eastAsia"/>
                <w:color w:val="auto"/>
                <w:szCs w:val="21"/>
                <w:highlight w:val="none"/>
              </w:rPr>
              <w:t>分</w:t>
            </w:r>
          </w:p>
        </w:tc>
        <w:tc>
          <w:tcPr>
            <w:tcW w:w="5518" w:type="dxa"/>
            <w:tcBorders>
              <w:top w:val="nil"/>
              <w:left w:val="nil"/>
              <w:bottom w:val="single" w:color="000000" w:sz="4" w:space="0"/>
              <w:right w:val="single" w:color="auto" w:sz="4" w:space="0"/>
            </w:tcBorders>
            <w:shd w:val="clear" w:color="auto" w:fill="auto"/>
            <w:vAlign w:val="center"/>
          </w:tcPr>
          <w:p>
            <w:pPr>
              <w:tabs>
                <w:tab w:val="left" w:pos="360"/>
              </w:tabs>
              <w:jc w:val="left"/>
              <w:rPr>
                <w:rFonts w:hint="eastAsia" w:ascii="Calibri" w:hAnsi="Calibri"/>
                <w:color w:val="auto"/>
                <w:szCs w:val="21"/>
                <w:highlight w:val="none"/>
              </w:rPr>
            </w:pPr>
            <w:r>
              <w:rPr>
                <w:rFonts w:hint="eastAsia" w:ascii="Calibri" w:hAnsi="Calibri"/>
                <w:color w:val="auto"/>
                <w:szCs w:val="21"/>
                <w:highlight w:val="none"/>
              </w:rPr>
              <w:t>投标人具有AAA级信用等级者得</w:t>
            </w:r>
            <w:r>
              <w:rPr>
                <w:rFonts w:hint="eastAsia"/>
                <w:color w:val="auto"/>
                <w:szCs w:val="21"/>
                <w:highlight w:val="none"/>
                <w:lang w:val="en-US" w:eastAsia="zh-CN"/>
              </w:rPr>
              <w:t>2</w:t>
            </w:r>
            <w:r>
              <w:rPr>
                <w:rFonts w:hint="eastAsia" w:ascii="Calibri" w:hAnsi="Calibri"/>
                <w:color w:val="auto"/>
                <w:szCs w:val="21"/>
                <w:highlight w:val="none"/>
              </w:rPr>
              <w:t>分。</w:t>
            </w:r>
            <w:r>
              <w:rPr>
                <w:rFonts w:hint="eastAsia" w:ascii="Calibri" w:hAnsi="Calibri"/>
                <w:b/>
                <w:bCs/>
                <w:color w:val="auto"/>
                <w:szCs w:val="21"/>
                <w:highlight w:val="none"/>
                <w:lang w:eastAsia="zh-CN"/>
              </w:rPr>
              <w:t>提供</w:t>
            </w:r>
            <w:r>
              <w:rPr>
                <w:rFonts w:hint="eastAsia" w:ascii="Calibri" w:hAnsi="Calibri"/>
                <w:b/>
                <w:bCs/>
                <w:color w:val="auto"/>
                <w:szCs w:val="21"/>
                <w:highlight w:val="none"/>
              </w:rPr>
              <w:t>在有效期内的AAA信用等级证书</w:t>
            </w:r>
            <w:r>
              <w:rPr>
                <w:rFonts w:hint="eastAsia" w:ascii="Calibri" w:hAnsi="Calibri"/>
                <w:b/>
                <w:bCs/>
                <w:color w:val="auto"/>
                <w:szCs w:val="21"/>
                <w:highlight w:val="none"/>
                <w:lang w:eastAsia="zh-CN"/>
              </w:rPr>
              <w:t>扫描件</w:t>
            </w:r>
            <w:r>
              <w:rPr>
                <w:rFonts w:hint="eastAsia" w:ascii="Calibri" w:hAnsi="Calibri"/>
                <w:b/>
                <w:bCs/>
                <w:color w:val="auto"/>
                <w:szCs w:val="21"/>
                <w:highlight w:val="none"/>
              </w:rPr>
              <w:t>或信用报告</w:t>
            </w:r>
            <w:r>
              <w:rPr>
                <w:rFonts w:hint="eastAsia" w:ascii="Calibri" w:hAnsi="Calibri"/>
                <w:b/>
                <w:bCs/>
                <w:color w:val="auto"/>
                <w:szCs w:val="21"/>
                <w:highlight w:val="none"/>
                <w:lang w:eastAsia="zh-CN"/>
              </w:rPr>
              <w:t>扫描件</w:t>
            </w:r>
            <w:r>
              <w:rPr>
                <w:rFonts w:hint="eastAsia" w:ascii="Calibri" w:hAnsi="Calibri"/>
                <w:b/>
                <w:bCs/>
                <w:color w:val="auto"/>
                <w:szCs w:val="21"/>
                <w:highlight w:val="none"/>
              </w:rPr>
              <w:t>或网上公告</w:t>
            </w:r>
            <w:r>
              <w:rPr>
                <w:rFonts w:hint="eastAsia" w:ascii="Calibri" w:hAnsi="Calibri"/>
                <w:b/>
                <w:bCs/>
                <w:color w:val="auto"/>
                <w:szCs w:val="21"/>
                <w:highlight w:val="none"/>
                <w:lang w:eastAsia="zh-CN"/>
              </w:rPr>
              <w:t>截图，没有不得分</w:t>
            </w:r>
            <w:r>
              <w:rPr>
                <w:rFonts w:hint="eastAsia" w:ascii="Calibri" w:hAnsi="Calibri"/>
                <w:b/>
                <w:bCs/>
                <w:color w:val="auto"/>
                <w:szCs w:val="21"/>
                <w:highlight w:val="none"/>
              </w:rPr>
              <w:t>。</w:t>
            </w:r>
          </w:p>
        </w:tc>
      </w:tr>
      <w:tr>
        <w:tblPrEx>
          <w:tblCellMar>
            <w:top w:w="0" w:type="dxa"/>
            <w:left w:w="108" w:type="dxa"/>
            <w:bottom w:w="0" w:type="dxa"/>
            <w:right w:w="108" w:type="dxa"/>
          </w:tblCellMar>
        </w:tblPrEx>
        <w:trPr>
          <w:trHeight w:val="1216" w:hRule="atLeast"/>
        </w:trPr>
        <w:tc>
          <w:tcPr>
            <w:tcW w:w="846" w:type="dxa"/>
            <w:vMerge w:val="continue"/>
            <w:tcBorders>
              <w:left w:val="single" w:color="auto" w:sz="4" w:space="0"/>
              <w:right w:val="single" w:color="auto" w:sz="4" w:space="0"/>
            </w:tcBorders>
            <w:vAlign w:val="center"/>
          </w:tcPr>
          <w:p>
            <w:pPr>
              <w:rPr>
                <w:rFonts w:ascii="宋体" w:hAnsi="宋体" w:cs="宋体"/>
                <w:color w:val="auto"/>
                <w:szCs w:val="21"/>
                <w:highlight w:val="none"/>
              </w:rPr>
            </w:pPr>
          </w:p>
        </w:tc>
        <w:tc>
          <w:tcPr>
            <w:tcW w:w="714" w:type="dxa"/>
            <w:vMerge w:val="continue"/>
            <w:tcBorders>
              <w:left w:val="single" w:color="auto" w:sz="4" w:space="0"/>
              <w:right w:val="single" w:color="auto" w:sz="4" w:space="0"/>
            </w:tcBorders>
            <w:vAlign w:val="center"/>
          </w:tcPr>
          <w:p>
            <w:pPr>
              <w:rPr>
                <w:rFonts w:eastAsia="等线" w:cs="Calibri"/>
                <w:color w:val="auto"/>
                <w:szCs w:val="21"/>
                <w:highlight w:val="none"/>
              </w:rPr>
            </w:pPr>
          </w:p>
        </w:tc>
        <w:tc>
          <w:tcPr>
            <w:tcW w:w="1311" w:type="dxa"/>
            <w:tcBorders>
              <w:top w:val="single" w:color="auto" w:sz="4" w:space="0"/>
              <w:left w:val="nil"/>
              <w:bottom w:val="single" w:color="auto" w:sz="4" w:space="0"/>
              <w:right w:val="single" w:color="auto" w:sz="4" w:space="0"/>
            </w:tcBorders>
            <w:shd w:val="clear" w:color="auto" w:fill="auto"/>
            <w:vAlign w:val="center"/>
          </w:tcPr>
          <w:p>
            <w:pPr>
              <w:jc w:val="center"/>
              <w:rPr>
                <w:rFonts w:hint="default" w:eastAsia="宋体"/>
                <w:color w:val="auto"/>
                <w:szCs w:val="21"/>
                <w:highlight w:val="none"/>
                <w:lang w:val="en-US" w:eastAsia="zh-CN"/>
              </w:rPr>
            </w:pPr>
            <w:r>
              <w:rPr>
                <w:rFonts w:hint="eastAsia"/>
                <w:color w:val="auto"/>
                <w:szCs w:val="21"/>
                <w:highlight w:val="none"/>
                <w:lang w:val="en-US" w:eastAsia="zh-CN"/>
              </w:rPr>
              <w:t>出版社授权书</w:t>
            </w:r>
          </w:p>
        </w:tc>
        <w:tc>
          <w:tcPr>
            <w:tcW w:w="759" w:type="dxa"/>
            <w:tcBorders>
              <w:top w:val="single" w:color="000000" w:sz="4" w:space="0"/>
              <w:left w:val="nil"/>
              <w:bottom w:val="single" w:color="000000" w:sz="4" w:space="0"/>
              <w:right w:val="single" w:color="auto" w:sz="4" w:space="0"/>
            </w:tcBorders>
            <w:shd w:val="clear" w:color="auto" w:fill="auto"/>
            <w:vAlign w:val="center"/>
          </w:tcPr>
          <w:p>
            <w:pPr>
              <w:jc w:val="center"/>
              <w:rPr>
                <w:color w:val="auto"/>
                <w:szCs w:val="21"/>
                <w:highlight w:val="none"/>
              </w:rPr>
            </w:pPr>
            <w:r>
              <w:rPr>
                <w:rFonts w:hint="eastAsia"/>
                <w:color w:val="auto"/>
                <w:szCs w:val="21"/>
                <w:highlight w:val="none"/>
                <w:lang w:val="en-US" w:eastAsia="zh-CN"/>
              </w:rPr>
              <w:t>4</w:t>
            </w:r>
            <w:r>
              <w:rPr>
                <w:rFonts w:hint="eastAsia"/>
                <w:color w:val="auto"/>
                <w:szCs w:val="21"/>
                <w:highlight w:val="none"/>
              </w:rPr>
              <w:t>分</w:t>
            </w:r>
          </w:p>
        </w:tc>
        <w:tc>
          <w:tcPr>
            <w:tcW w:w="5518" w:type="dxa"/>
            <w:tcBorders>
              <w:top w:val="single" w:color="000000" w:sz="4" w:space="0"/>
              <w:left w:val="nil"/>
              <w:bottom w:val="single" w:color="000000" w:sz="4" w:space="0"/>
              <w:right w:val="single" w:color="auto" w:sz="4" w:space="0"/>
            </w:tcBorders>
            <w:shd w:val="clear" w:color="auto" w:fill="auto"/>
            <w:vAlign w:val="center"/>
          </w:tcPr>
          <w:p>
            <w:pPr>
              <w:tabs>
                <w:tab w:val="left" w:pos="360"/>
              </w:tabs>
              <w:jc w:val="left"/>
              <w:rPr>
                <w:rFonts w:hint="eastAsia" w:ascii="Calibri" w:hAnsi="Calibri" w:eastAsia="宋体"/>
                <w:color w:val="auto"/>
                <w:szCs w:val="21"/>
                <w:highlight w:val="none"/>
                <w:lang w:eastAsia="zh-CN"/>
              </w:rPr>
            </w:pPr>
            <w:r>
              <w:rPr>
                <w:rFonts w:hint="eastAsia" w:ascii="Calibri" w:hAnsi="Calibri"/>
                <w:color w:val="auto"/>
                <w:szCs w:val="21"/>
                <w:highlight w:val="none"/>
                <w:lang w:val="en-US" w:eastAsia="zh-CN"/>
              </w:rPr>
              <w:t>投标人有一定的供货能力，有正规的进货渠道，与各出版社有长期交易经验，招标方根据学校专业设置和重点学科建设列出本次采购的重点出版社，每列出一项得1分，</w:t>
            </w:r>
            <w:r>
              <w:rPr>
                <w:rFonts w:hint="eastAsia"/>
                <w:b/>
                <w:bCs/>
                <w:color w:val="auto"/>
                <w:szCs w:val="21"/>
                <w:highlight w:val="none"/>
                <w:lang w:val="en-US" w:eastAsia="zh-CN"/>
              </w:rPr>
              <w:t>需提供授权书扫描件，</w:t>
            </w:r>
            <w:r>
              <w:rPr>
                <w:rFonts w:hint="eastAsia" w:ascii="Calibri" w:hAnsi="Calibri"/>
                <w:b/>
                <w:bCs/>
                <w:color w:val="auto"/>
                <w:szCs w:val="21"/>
                <w:highlight w:val="none"/>
                <w:lang w:eastAsia="zh-CN"/>
              </w:rPr>
              <w:t>没有不得分。</w:t>
            </w:r>
          </w:p>
        </w:tc>
      </w:tr>
      <w:tr>
        <w:tblPrEx>
          <w:tblCellMar>
            <w:top w:w="0" w:type="dxa"/>
            <w:left w:w="108" w:type="dxa"/>
            <w:bottom w:w="0" w:type="dxa"/>
            <w:right w:w="108" w:type="dxa"/>
          </w:tblCellMar>
        </w:tblPrEx>
        <w:trPr>
          <w:trHeight w:val="1216" w:hRule="atLeast"/>
        </w:trPr>
        <w:tc>
          <w:tcPr>
            <w:tcW w:w="846" w:type="dxa"/>
            <w:vMerge w:val="continue"/>
            <w:tcBorders>
              <w:left w:val="single" w:color="auto" w:sz="4" w:space="0"/>
              <w:right w:val="single" w:color="auto" w:sz="4" w:space="0"/>
            </w:tcBorders>
            <w:vAlign w:val="center"/>
          </w:tcPr>
          <w:p>
            <w:pPr>
              <w:rPr>
                <w:rFonts w:ascii="宋体" w:hAnsi="宋体" w:cs="宋体"/>
                <w:color w:val="auto"/>
                <w:szCs w:val="21"/>
                <w:highlight w:val="none"/>
              </w:rPr>
            </w:pPr>
          </w:p>
        </w:tc>
        <w:tc>
          <w:tcPr>
            <w:tcW w:w="714" w:type="dxa"/>
            <w:vMerge w:val="continue"/>
            <w:tcBorders>
              <w:left w:val="single" w:color="auto" w:sz="4" w:space="0"/>
              <w:right w:val="single" w:color="auto" w:sz="4" w:space="0"/>
            </w:tcBorders>
            <w:vAlign w:val="center"/>
          </w:tcPr>
          <w:p>
            <w:pPr>
              <w:rPr>
                <w:rFonts w:eastAsia="等线" w:cs="Calibri"/>
                <w:color w:val="auto"/>
                <w:szCs w:val="21"/>
                <w:highlight w:val="none"/>
              </w:rPr>
            </w:pPr>
          </w:p>
        </w:tc>
        <w:tc>
          <w:tcPr>
            <w:tcW w:w="1311" w:type="dxa"/>
            <w:tcBorders>
              <w:top w:val="single" w:color="auto" w:sz="4" w:space="0"/>
              <w:left w:val="nil"/>
              <w:bottom w:val="single" w:color="auto" w:sz="4" w:space="0"/>
              <w:right w:val="single" w:color="auto" w:sz="4" w:space="0"/>
            </w:tcBorders>
            <w:shd w:val="clear" w:color="auto" w:fill="auto"/>
            <w:vAlign w:val="center"/>
          </w:tcPr>
          <w:p>
            <w:pPr>
              <w:jc w:val="center"/>
              <w:rPr>
                <w:rFonts w:hint="eastAsia"/>
                <w:color w:val="auto"/>
                <w:szCs w:val="21"/>
                <w:highlight w:val="none"/>
              </w:rPr>
            </w:pPr>
            <w:r>
              <w:rPr>
                <w:rFonts w:hint="eastAsia"/>
                <w:color w:val="auto"/>
                <w:szCs w:val="21"/>
                <w:highlight w:val="none"/>
              </w:rPr>
              <w:t>供应商业绩</w:t>
            </w:r>
          </w:p>
        </w:tc>
        <w:tc>
          <w:tcPr>
            <w:tcW w:w="759" w:type="dxa"/>
            <w:tcBorders>
              <w:top w:val="single" w:color="000000" w:sz="4" w:space="0"/>
              <w:left w:val="nil"/>
              <w:bottom w:val="single" w:color="000000" w:sz="4" w:space="0"/>
              <w:right w:val="single" w:color="auto" w:sz="4" w:space="0"/>
            </w:tcBorders>
            <w:shd w:val="clear" w:color="auto" w:fill="auto"/>
            <w:vAlign w:val="center"/>
          </w:tcPr>
          <w:p>
            <w:pPr>
              <w:jc w:val="both"/>
              <w:rPr>
                <w:rFonts w:hint="eastAsia"/>
                <w:color w:val="auto"/>
                <w:szCs w:val="21"/>
                <w:highlight w:val="none"/>
                <w:lang w:val="en-US" w:eastAsia="zh-CN"/>
              </w:rPr>
            </w:pPr>
            <w:r>
              <w:rPr>
                <w:rFonts w:hint="eastAsia"/>
                <w:color w:val="auto"/>
                <w:szCs w:val="21"/>
                <w:highlight w:val="none"/>
                <w:lang w:val="en-US" w:eastAsia="zh-CN"/>
              </w:rPr>
              <w:t>12分</w:t>
            </w:r>
          </w:p>
        </w:tc>
        <w:tc>
          <w:tcPr>
            <w:tcW w:w="5518" w:type="dxa"/>
            <w:tcBorders>
              <w:top w:val="single" w:color="000000" w:sz="4" w:space="0"/>
              <w:left w:val="nil"/>
              <w:bottom w:val="single" w:color="000000" w:sz="4" w:space="0"/>
              <w:right w:val="single" w:color="auto" w:sz="4" w:space="0"/>
            </w:tcBorders>
            <w:shd w:val="clear" w:color="auto" w:fill="auto"/>
            <w:vAlign w:val="center"/>
          </w:tcPr>
          <w:p>
            <w:pPr>
              <w:tabs>
                <w:tab w:val="left" w:pos="360"/>
              </w:tabs>
              <w:jc w:val="left"/>
              <w:rPr>
                <w:rFonts w:hint="eastAsia" w:ascii="Calibri" w:hAnsi="Calibri"/>
                <w:color w:val="auto"/>
                <w:szCs w:val="21"/>
                <w:highlight w:val="none"/>
              </w:rPr>
            </w:pPr>
            <w:r>
              <w:rPr>
                <w:rFonts w:hint="eastAsia" w:ascii="Calibri" w:hAnsi="Calibri"/>
                <w:color w:val="auto"/>
                <w:szCs w:val="21"/>
                <w:highlight w:val="none"/>
              </w:rPr>
              <w:t>供应商201</w:t>
            </w:r>
            <w:r>
              <w:rPr>
                <w:rFonts w:hint="eastAsia"/>
                <w:color w:val="auto"/>
                <w:szCs w:val="21"/>
                <w:highlight w:val="none"/>
                <w:lang w:val="en-US" w:eastAsia="zh-CN"/>
              </w:rPr>
              <w:t>8</w:t>
            </w:r>
            <w:r>
              <w:rPr>
                <w:rFonts w:hint="eastAsia" w:ascii="Calibri" w:hAnsi="Calibri"/>
                <w:color w:val="auto"/>
                <w:szCs w:val="21"/>
                <w:highlight w:val="none"/>
              </w:rPr>
              <w:t>年1月1日以来承揽过图书供应类项目业绩者，每有一份业绩得2分，最多得</w:t>
            </w:r>
            <w:r>
              <w:rPr>
                <w:rFonts w:hint="eastAsia"/>
                <w:color w:val="auto"/>
                <w:szCs w:val="21"/>
                <w:highlight w:val="none"/>
                <w:lang w:val="en-US" w:eastAsia="zh-CN"/>
              </w:rPr>
              <w:t>12</w:t>
            </w:r>
            <w:r>
              <w:rPr>
                <w:rFonts w:hint="eastAsia" w:ascii="Calibri" w:hAnsi="Calibri"/>
                <w:color w:val="auto"/>
                <w:szCs w:val="21"/>
                <w:highlight w:val="none"/>
              </w:rPr>
              <w:t>分，</w:t>
            </w:r>
            <w:r>
              <w:rPr>
                <w:rFonts w:hint="eastAsia" w:ascii="Calibri" w:hAnsi="Calibri"/>
                <w:b/>
                <w:bCs/>
                <w:color w:val="auto"/>
                <w:szCs w:val="21"/>
                <w:highlight w:val="none"/>
              </w:rPr>
              <w:t>需要提供合同书或协议书</w:t>
            </w:r>
            <w:r>
              <w:rPr>
                <w:rFonts w:hint="eastAsia" w:ascii="Calibri" w:hAnsi="Calibri"/>
                <w:b/>
                <w:bCs/>
                <w:color w:val="auto"/>
                <w:szCs w:val="21"/>
                <w:highlight w:val="none"/>
                <w:lang w:eastAsia="zh-CN"/>
              </w:rPr>
              <w:t>扫描件，没有不得分</w:t>
            </w:r>
            <w:r>
              <w:rPr>
                <w:rFonts w:hint="eastAsia" w:ascii="Calibri" w:hAnsi="Calibri"/>
                <w:color w:val="auto"/>
                <w:szCs w:val="21"/>
                <w:highlight w:val="none"/>
              </w:rPr>
              <w:t>。</w:t>
            </w:r>
          </w:p>
        </w:tc>
      </w:tr>
      <w:tr>
        <w:tblPrEx>
          <w:tblCellMar>
            <w:top w:w="0" w:type="dxa"/>
            <w:left w:w="108" w:type="dxa"/>
            <w:bottom w:w="0" w:type="dxa"/>
            <w:right w:w="108" w:type="dxa"/>
          </w:tblCellMar>
        </w:tblPrEx>
        <w:trPr>
          <w:trHeight w:val="1294" w:hRule="atLeast"/>
        </w:trPr>
        <w:tc>
          <w:tcPr>
            <w:tcW w:w="846" w:type="dxa"/>
            <w:vMerge w:val="continue"/>
            <w:tcBorders>
              <w:left w:val="single" w:color="auto" w:sz="4" w:space="0"/>
              <w:right w:val="single" w:color="auto" w:sz="4" w:space="0"/>
            </w:tcBorders>
            <w:vAlign w:val="center"/>
          </w:tcPr>
          <w:p>
            <w:pPr>
              <w:rPr>
                <w:rFonts w:ascii="宋体" w:hAnsi="宋体" w:cs="宋体"/>
                <w:color w:val="auto"/>
                <w:szCs w:val="21"/>
                <w:highlight w:val="none"/>
              </w:rPr>
            </w:pPr>
          </w:p>
        </w:tc>
        <w:tc>
          <w:tcPr>
            <w:tcW w:w="714" w:type="dxa"/>
            <w:vMerge w:val="continue"/>
            <w:tcBorders>
              <w:left w:val="single" w:color="auto" w:sz="4" w:space="0"/>
              <w:right w:val="single" w:color="auto" w:sz="4" w:space="0"/>
            </w:tcBorders>
            <w:vAlign w:val="center"/>
          </w:tcPr>
          <w:p>
            <w:pPr>
              <w:rPr>
                <w:rFonts w:eastAsia="等线" w:cs="Calibri"/>
                <w:color w:val="auto"/>
                <w:szCs w:val="21"/>
                <w:highlight w:val="none"/>
              </w:rPr>
            </w:pPr>
          </w:p>
        </w:tc>
        <w:tc>
          <w:tcPr>
            <w:tcW w:w="1311" w:type="dxa"/>
            <w:vMerge w:val="restart"/>
            <w:tcBorders>
              <w:top w:val="single" w:color="auto" w:sz="4" w:space="0"/>
              <w:left w:val="nil"/>
              <w:right w:val="single" w:color="auto" w:sz="4" w:space="0"/>
            </w:tcBorders>
            <w:shd w:val="clear" w:color="auto" w:fill="auto"/>
            <w:vAlign w:val="center"/>
          </w:tcPr>
          <w:p>
            <w:pPr>
              <w:jc w:val="center"/>
              <w:rPr>
                <w:rFonts w:hint="eastAsia"/>
                <w:color w:val="auto"/>
                <w:szCs w:val="21"/>
                <w:highlight w:val="none"/>
              </w:rPr>
            </w:pPr>
            <w:r>
              <w:rPr>
                <w:rFonts w:hint="eastAsia"/>
                <w:color w:val="auto"/>
                <w:szCs w:val="21"/>
                <w:highlight w:val="none"/>
              </w:rPr>
              <w:t>服务承诺</w:t>
            </w:r>
          </w:p>
        </w:tc>
        <w:tc>
          <w:tcPr>
            <w:tcW w:w="759" w:type="dxa"/>
            <w:vMerge w:val="restart"/>
            <w:tcBorders>
              <w:top w:val="single" w:color="000000" w:sz="4" w:space="0"/>
              <w:left w:val="nil"/>
              <w:right w:val="single" w:color="auto" w:sz="4" w:space="0"/>
            </w:tcBorders>
            <w:shd w:val="clear" w:color="auto" w:fill="auto"/>
            <w:vAlign w:val="center"/>
          </w:tcPr>
          <w:p>
            <w:pPr>
              <w:jc w:val="both"/>
              <w:rPr>
                <w:rFonts w:hint="default"/>
                <w:color w:val="auto"/>
                <w:szCs w:val="21"/>
                <w:highlight w:val="none"/>
                <w:lang w:val="en-US" w:eastAsia="zh-CN"/>
              </w:rPr>
            </w:pPr>
            <w:r>
              <w:rPr>
                <w:rFonts w:hint="eastAsia"/>
                <w:color w:val="auto"/>
                <w:szCs w:val="21"/>
                <w:highlight w:val="none"/>
                <w:lang w:val="en-US" w:eastAsia="zh-CN"/>
              </w:rPr>
              <w:t>15分</w:t>
            </w:r>
          </w:p>
        </w:tc>
        <w:tc>
          <w:tcPr>
            <w:tcW w:w="5518" w:type="dxa"/>
            <w:tcBorders>
              <w:top w:val="single" w:color="000000" w:sz="4" w:space="0"/>
              <w:left w:val="nil"/>
              <w:bottom w:val="single" w:color="000000" w:sz="4" w:space="0"/>
              <w:right w:val="single" w:color="auto" w:sz="4" w:space="0"/>
            </w:tcBorders>
            <w:shd w:val="clear" w:color="auto" w:fill="auto"/>
            <w:vAlign w:val="center"/>
          </w:tcPr>
          <w:p>
            <w:pPr>
              <w:tabs>
                <w:tab w:val="left" w:pos="360"/>
              </w:tabs>
              <w:jc w:val="left"/>
              <w:rPr>
                <w:rFonts w:hint="eastAsia" w:ascii="Calibri" w:hAnsi="Calibri" w:eastAsia="宋体"/>
                <w:color w:val="auto"/>
                <w:szCs w:val="21"/>
                <w:highlight w:val="none"/>
                <w:lang w:eastAsia="zh-CN"/>
              </w:rPr>
            </w:pPr>
            <w:r>
              <w:rPr>
                <w:rFonts w:hint="eastAsia" w:ascii="Calibri" w:hAnsi="Calibri"/>
                <w:color w:val="auto"/>
                <w:szCs w:val="21"/>
                <w:highlight w:val="none"/>
              </w:rPr>
              <w:t>1、投标人</w:t>
            </w:r>
            <w:r>
              <w:rPr>
                <w:rFonts w:hint="eastAsia"/>
                <w:color w:val="auto"/>
                <w:szCs w:val="21"/>
                <w:highlight w:val="none"/>
                <w:lang w:val="en-US" w:eastAsia="zh-CN"/>
              </w:rPr>
              <w:t>在必须承诺履行的服务条款之外，能提供其他实质性增值服务或优惠条件，每提供一条得2分，</w:t>
            </w:r>
            <w:r>
              <w:rPr>
                <w:rFonts w:hint="eastAsia" w:ascii="Calibri" w:hAnsi="Calibri"/>
                <w:color w:val="auto"/>
                <w:szCs w:val="21"/>
                <w:highlight w:val="none"/>
              </w:rPr>
              <w:t>满分6分</w:t>
            </w:r>
            <w:r>
              <w:rPr>
                <w:rFonts w:hint="eastAsia"/>
                <w:color w:val="auto"/>
                <w:szCs w:val="21"/>
                <w:highlight w:val="none"/>
                <w:lang w:eastAsia="zh-CN"/>
              </w:rPr>
              <w:t>。</w:t>
            </w:r>
          </w:p>
        </w:tc>
      </w:tr>
      <w:tr>
        <w:tblPrEx>
          <w:tblCellMar>
            <w:top w:w="0" w:type="dxa"/>
            <w:left w:w="108" w:type="dxa"/>
            <w:bottom w:w="0" w:type="dxa"/>
            <w:right w:w="108" w:type="dxa"/>
          </w:tblCellMar>
        </w:tblPrEx>
        <w:trPr>
          <w:trHeight w:val="567" w:hRule="atLeast"/>
        </w:trPr>
        <w:tc>
          <w:tcPr>
            <w:tcW w:w="846" w:type="dxa"/>
            <w:vMerge w:val="continue"/>
            <w:tcBorders>
              <w:left w:val="single" w:color="auto" w:sz="4" w:space="0"/>
              <w:right w:val="single" w:color="auto" w:sz="4" w:space="0"/>
            </w:tcBorders>
            <w:vAlign w:val="center"/>
          </w:tcPr>
          <w:p>
            <w:pPr>
              <w:rPr>
                <w:rFonts w:ascii="宋体" w:hAnsi="宋体" w:cs="宋体"/>
                <w:color w:val="auto"/>
                <w:szCs w:val="21"/>
                <w:highlight w:val="none"/>
              </w:rPr>
            </w:pPr>
          </w:p>
        </w:tc>
        <w:tc>
          <w:tcPr>
            <w:tcW w:w="714" w:type="dxa"/>
            <w:vMerge w:val="continue"/>
            <w:tcBorders>
              <w:left w:val="single" w:color="auto" w:sz="4" w:space="0"/>
              <w:right w:val="single" w:color="auto" w:sz="4" w:space="0"/>
            </w:tcBorders>
            <w:vAlign w:val="center"/>
          </w:tcPr>
          <w:p>
            <w:pPr>
              <w:rPr>
                <w:rFonts w:eastAsia="等线" w:cs="Calibri"/>
                <w:color w:val="auto"/>
                <w:szCs w:val="21"/>
                <w:highlight w:val="none"/>
              </w:rPr>
            </w:pPr>
          </w:p>
        </w:tc>
        <w:tc>
          <w:tcPr>
            <w:tcW w:w="1311" w:type="dxa"/>
            <w:vMerge w:val="continue"/>
            <w:tcBorders>
              <w:left w:val="nil"/>
              <w:right w:val="single" w:color="auto" w:sz="4" w:space="0"/>
            </w:tcBorders>
            <w:shd w:val="clear" w:color="auto" w:fill="auto"/>
            <w:vAlign w:val="center"/>
          </w:tcPr>
          <w:p>
            <w:pPr>
              <w:jc w:val="center"/>
              <w:rPr>
                <w:rFonts w:hint="eastAsia"/>
                <w:color w:val="auto"/>
                <w:szCs w:val="21"/>
                <w:highlight w:val="none"/>
              </w:rPr>
            </w:pPr>
          </w:p>
        </w:tc>
        <w:tc>
          <w:tcPr>
            <w:tcW w:w="759" w:type="dxa"/>
            <w:vMerge w:val="continue"/>
            <w:tcBorders>
              <w:left w:val="nil"/>
              <w:right w:val="single" w:color="auto" w:sz="4" w:space="0"/>
            </w:tcBorders>
            <w:shd w:val="clear" w:color="auto" w:fill="auto"/>
            <w:vAlign w:val="center"/>
          </w:tcPr>
          <w:p>
            <w:pPr>
              <w:jc w:val="both"/>
              <w:rPr>
                <w:rFonts w:hint="eastAsia"/>
                <w:color w:val="auto"/>
                <w:szCs w:val="21"/>
                <w:highlight w:val="none"/>
                <w:lang w:val="en-US" w:eastAsia="zh-CN"/>
              </w:rPr>
            </w:pPr>
          </w:p>
        </w:tc>
        <w:tc>
          <w:tcPr>
            <w:tcW w:w="5518" w:type="dxa"/>
            <w:tcBorders>
              <w:top w:val="single" w:color="000000" w:sz="4" w:space="0"/>
              <w:left w:val="nil"/>
              <w:bottom w:val="single" w:color="auto" w:sz="4" w:space="0"/>
              <w:right w:val="single" w:color="auto" w:sz="4" w:space="0"/>
            </w:tcBorders>
            <w:shd w:val="clear" w:color="auto" w:fill="auto"/>
            <w:vAlign w:val="center"/>
          </w:tcPr>
          <w:p>
            <w:pPr>
              <w:tabs>
                <w:tab w:val="left" w:pos="360"/>
              </w:tabs>
              <w:jc w:val="left"/>
              <w:rPr>
                <w:rFonts w:hint="eastAsia" w:ascii="Calibri" w:hAnsi="Calibri"/>
                <w:color w:val="auto"/>
                <w:szCs w:val="21"/>
                <w:highlight w:val="none"/>
              </w:rPr>
            </w:pPr>
            <w:r>
              <w:rPr>
                <w:rFonts w:hint="eastAsia"/>
                <w:color w:val="auto"/>
                <w:szCs w:val="21"/>
                <w:highlight w:val="none"/>
                <w:lang w:val="en-US" w:eastAsia="zh-CN"/>
              </w:rPr>
              <w:t>2</w:t>
            </w:r>
            <w:r>
              <w:rPr>
                <w:rFonts w:hint="eastAsia" w:ascii="Calibri" w:hAnsi="Calibri"/>
                <w:color w:val="auto"/>
                <w:szCs w:val="21"/>
                <w:highlight w:val="none"/>
              </w:rPr>
              <w:t>、投标人能协助整理学校原有相关库存图书，并进行发放的</w:t>
            </w:r>
            <w:r>
              <w:rPr>
                <w:rFonts w:hint="eastAsia"/>
                <w:color w:val="auto"/>
                <w:szCs w:val="21"/>
                <w:highlight w:val="none"/>
                <w:lang w:val="en-US" w:eastAsia="zh-CN"/>
              </w:rPr>
              <w:t>得5</w:t>
            </w:r>
            <w:r>
              <w:rPr>
                <w:rFonts w:hint="eastAsia" w:ascii="Calibri" w:hAnsi="Calibri"/>
                <w:color w:val="auto"/>
                <w:szCs w:val="21"/>
                <w:highlight w:val="none"/>
              </w:rPr>
              <w:t>分</w:t>
            </w:r>
          </w:p>
        </w:tc>
      </w:tr>
      <w:tr>
        <w:tblPrEx>
          <w:tblCellMar>
            <w:top w:w="0" w:type="dxa"/>
            <w:left w:w="108" w:type="dxa"/>
            <w:bottom w:w="0" w:type="dxa"/>
            <w:right w:w="108" w:type="dxa"/>
          </w:tblCellMar>
        </w:tblPrEx>
        <w:trPr>
          <w:trHeight w:val="669" w:hRule="atLeast"/>
        </w:trPr>
        <w:tc>
          <w:tcPr>
            <w:tcW w:w="846" w:type="dxa"/>
            <w:vMerge w:val="continue"/>
            <w:tcBorders>
              <w:left w:val="single" w:color="auto" w:sz="4" w:space="0"/>
              <w:bottom w:val="single" w:color="auto" w:sz="4" w:space="0"/>
              <w:right w:val="single" w:color="auto" w:sz="4" w:space="0"/>
            </w:tcBorders>
            <w:vAlign w:val="center"/>
          </w:tcPr>
          <w:p>
            <w:pPr>
              <w:rPr>
                <w:rFonts w:ascii="宋体" w:hAnsi="宋体" w:cs="宋体"/>
                <w:color w:val="auto"/>
                <w:szCs w:val="21"/>
                <w:highlight w:val="none"/>
              </w:rPr>
            </w:pPr>
          </w:p>
        </w:tc>
        <w:tc>
          <w:tcPr>
            <w:tcW w:w="714" w:type="dxa"/>
            <w:vMerge w:val="continue"/>
            <w:tcBorders>
              <w:left w:val="single" w:color="auto" w:sz="4" w:space="0"/>
              <w:bottom w:val="single" w:color="auto" w:sz="4" w:space="0"/>
              <w:right w:val="single" w:color="auto" w:sz="4" w:space="0"/>
            </w:tcBorders>
            <w:vAlign w:val="center"/>
          </w:tcPr>
          <w:p>
            <w:pPr>
              <w:rPr>
                <w:rFonts w:eastAsia="等线" w:cs="Calibri"/>
                <w:color w:val="auto"/>
                <w:szCs w:val="21"/>
                <w:highlight w:val="none"/>
              </w:rPr>
            </w:pPr>
          </w:p>
        </w:tc>
        <w:tc>
          <w:tcPr>
            <w:tcW w:w="1311" w:type="dxa"/>
            <w:vMerge w:val="continue"/>
            <w:tcBorders>
              <w:left w:val="nil"/>
              <w:bottom w:val="single" w:color="auto" w:sz="4" w:space="0"/>
              <w:right w:val="single" w:color="auto" w:sz="4" w:space="0"/>
            </w:tcBorders>
            <w:shd w:val="clear" w:color="auto" w:fill="auto"/>
            <w:vAlign w:val="center"/>
          </w:tcPr>
          <w:p>
            <w:pPr>
              <w:jc w:val="center"/>
              <w:rPr>
                <w:rFonts w:hint="eastAsia"/>
                <w:color w:val="auto"/>
                <w:szCs w:val="21"/>
                <w:highlight w:val="none"/>
              </w:rPr>
            </w:pPr>
          </w:p>
        </w:tc>
        <w:tc>
          <w:tcPr>
            <w:tcW w:w="759" w:type="dxa"/>
            <w:vMerge w:val="continue"/>
            <w:tcBorders>
              <w:left w:val="nil"/>
              <w:bottom w:val="single" w:color="auto" w:sz="4" w:space="0"/>
              <w:right w:val="single" w:color="auto" w:sz="4" w:space="0"/>
            </w:tcBorders>
            <w:shd w:val="clear" w:color="auto" w:fill="auto"/>
            <w:vAlign w:val="center"/>
          </w:tcPr>
          <w:p>
            <w:pPr>
              <w:jc w:val="both"/>
              <w:rPr>
                <w:rFonts w:hint="eastAsia"/>
                <w:color w:val="auto"/>
                <w:szCs w:val="21"/>
                <w:highlight w:val="none"/>
                <w:lang w:val="en-US" w:eastAsia="zh-CN"/>
              </w:rPr>
            </w:pPr>
          </w:p>
        </w:tc>
        <w:tc>
          <w:tcPr>
            <w:tcW w:w="5518" w:type="dxa"/>
            <w:tcBorders>
              <w:top w:val="single" w:color="auto" w:sz="4" w:space="0"/>
              <w:left w:val="nil"/>
              <w:bottom w:val="single" w:color="auto" w:sz="4" w:space="0"/>
              <w:right w:val="single" w:color="auto" w:sz="4" w:space="0"/>
            </w:tcBorders>
            <w:shd w:val="clear" w:color="auto" w:fill="auto"/>
            <w:vAlign w:val="center"/>
          </w:tcPr>
          <w:p>
            <w:pPr>
              <w:tabs>
                <w:tab w:val="left" w:pos="360"/>
              </w:tabs>
              <w:jc w:val="left"/>
              <w:rPr>
                <w:rFonts w:hint="eastAsia" w:ascii="Calibri" w:hAnsi="Calibri"/>
                <w:color w:val="auto"/>
                <w:szCs w:val="21"/>
                <w:highlight w:val="none"/>
                <w:lang w:val="en-US" w:eastAsia="zh-CN"/>
              </w:rPr>
            </w:pPr>
            <w:r>
              <w:rPr>
                <w:rFonts w:hint="eastAsia"/>
                <w:color w:val="auto"/>
                <w:szCs w:val="21"/>
                <w:highlight w:val="none"/>
                <w:lang w:val="en-US" w:eastAsia="zh-CN"/>
              </w:rPr>
              <w:t>3</w:t>
            </w:r>
            <w:r>
              <w:rPr>
                <w:rFonts w:hint="eastAsia" w:ascii="Calibri" w:hAnsi="Calibri"/>
                <w:color w:val="auto"/>
                <w:szCs w:val="21"/>
                <w:highlight w:val="none"/>
                <w:lang w:val="en-US" w:eastAsia="zh-CN"/>
              </w:rPr>
              <w:t>、由评委根据各投标企业售后服务保障措施、响应时间等内容进行打分。</w:t>
            </w:r>
          </w:p>
          <w:p>
            <w:pPr>
              <w:tabs>
                <w:tab w:val="left" w:pos="360"/>
              </w:tabs>
              <w:jc w:val="left"/>
              <w:rPr>
                <w:rFonts w:hint="eastAsia" w:ascii="Calibri" w:hAnsi="Calibri"/>
                <w:color w:val="auto"/>
                <w:szCs w:val="21"/>
                <w:highlight w:val="none"/>
                <w:lang w:val="en-US" w:eastAsia="zh-CN"/>
              </w:rPr>
            </w:pPr>
            <w:r>
              <w:rPr>
                <w:rFonts w:hint="eastAsia" w:ascii="Calibri" w:hAnsi="Calibri"/>
                <w:color w:val="auto"/>
                <w:szCs w:val="21"/>
                <w:highlight w:val="none"/>
                <w:lang w:val="en-US" w:eastAsia="zh-CN"/>
              </w:rPr>
              <w:t>（1）售后服务方案承诺完整，安排详细，可执行性较强，评价最优得</w:t>
            </w:r>
            <w:r>
              <w:rPr>
                <w:rFonts w:hint="eastAsia"/>
                <w:color w:val="auto"/>
                <w:szCs w:val="21"/>
                <w:highlight w:val="none"/>
                <w:lang w:val="en-US" w:eastAsia="zh-CN"/>
              </w:rPr>
              <w:t>4</w:t>
            </w:r>
            <w:r>
              <w:rPr>
                <w:rFonts w:hint="eastAsia" w:ascii="Calibri" w:hAnsi="Calibri"/>
                <w:color w:val="auto"/>
                <w:szCs w:val="21"/>
                <w:highlight w:val="none"/>
                <w:lang w:val="en-US" w:eastAsia="zh-CN"/>
              </w:rPr>
              <w:t>分；</w:t>
            </w:r>
          </w:p>
          <w:p>
            <w:pPr>
              <w:tabs>
                <w:tab w:val="left" w:pos="360"/>
              </w:tabs>
              <w:jc w:val="left"/>
              <w:rPr>
                <w:rFonts w:hint="eastAsia" w:ascii="Calibri" w:hAnsi="Calibri"/>
                <w:color w:val="auto"/>
                <w:szCs w:val="21"/>
                <w:highlight w:val="none"/>
                <w:lang w:val="en-US" w:eastAsia="zh-CN"/>
              </w:rPr>
            </w:pPr>
            <w:r>
              <w:rPr>
                <w:rFonts w:hint="eastAsia" w:ascii="Calibri" w:hAnsi="Calibri"/>
                <w:color w:val="auto"/>
                <w:szCs w:val="21"/>
                <w:highlight w:val="none"/>
                <w:lang w:val="en-US" w:eastAsia="zh-CN"/>
              </w:rPr>
              <w:t>（2）售后服务方案承诺完整，安排不详细，可执行性及评价良好得</w:t>
            </w:r>
            <w:r>
              <w:rPr>
                <w:rFonts w:hint="eastAsia"/>
                <w:color w:val="auto"/>
                <w:szCs w:val="21"/>
                <w:highlight w:val="none"/>
                <w:lang w:val="en-US" w:eastAsia="zh-CN"/>
              </w:rPr>
              <w:t>2</w:t>
            </w:r>
            <w:r>
              <w:rPr>
                <w:rFonts w:hint="eastAsia" w:ascii="Calibri" w:hAnsi="Calibri"/>
                <w:color w:val="auto"/>
                <w:szCs w:val="21"/>
                <w:highlight w:val="none"/>
                <w:lang w:val="en-US" w:eastAsia="zh-CN"/>
              </w:rPr>
              <w:t>分；</w:t>
            </w:r>
          </w:p>
          <w:p>
            <w:pPr>
              <w:tabs>
                <w:tab w:val="left" w:pos="360"/>
              </w:tabs>
              <w:jc w:val="left"/>
              <w:rPr>
                <w:rFonts w:hint="eastAsia" w:ascii="Calibri" w:hAnsi="Calibri"/>
                <w:color w:val="auto"/>
                <w:szCs w:val="21"/>
                <w:highlight w:val="none"/>
                <w:lang w:val="en-US" w:eastAsia="zh-CN"/>
              </w:rPr>
            </w:pPr>
            <w:r>
              <w:rPr>
                <w:rFonts w:hint="eastAsia" w:ascii="Calibri" w:hAnsi="Calibri"/>
                <w:color w:val="auto"/>
                <w:szCs w:val="21"/>
                <w:highlight w:val="none"/>
                <w:lang w:val="en-US" w:eastAsia="zh-CN"/>
              </w:rPr>
              <w:t>（3）售后服务方案承诺不完整，安排不详细，可执行性及评价一般得</w:t>
            </w:r>
            <w:r>
              <w:rPr>
                <w:rFonts w:hint="eastAsia"/>
                <w:color w:val="auto"/>
                <w:szCs w:val="21"/>
                <w:highlight w:val="none"/>
                <w:lang w:val="en-US" w:eastAsia="zh-CN"/>
              </w:rPr>
              <w:t>1</w:t>
            </w:r>
            <w:r>
              <w:rPr>
                <w:rFonts w:hint="eastAsia" w:ascii="Calibri" w:hAnsi="Calibri"/>
                <w:color w:val="auto"/>
                <w:szCs w:val="21"/>
                <w:highlight w:val="none"/>
                <w:lang w:val="en-US" w:eastAsia="zh-CN"/>
              </w:rPr>
              <w:t>分；</w:t>
            </w:r>
          </w:p>
          <w:p>
            <w:pPr>
              <w:tabs>
                <w:tab w:val="left" w:pos="360"/>
              </w:tabs>
              <w:jc w:val="left"/>
              <w:rPr>
                <w:rFonts w:hint="eastAsia" w:ascii="Calibri" w:hAnsi="Calibri"/>
                <w:color w:val="auto"/>
                <w:szCs w:val="21"/>
                <w:highlight w:val="none"/>
              </w:rPr>
            </w:pPr>
            <w:r>
              <w:rPr>
                <w:rFonts w:hint="eastAsia" w:ascii="Calibri" w:hAnsi="Calibri"/>
                <w:color w:val="auto"/>
                <w:szCs w:val="21"/>
                <w:highlight w:val="none"/>
                <w:lang w:val="en-US" w:eastAsia="zh-CN"/>
              </w:rPr>
              <w:t>不提供得0分。</w:t>
            </w:r>
          </w:p>
        </w:tc>
      </w:tr>
      <w:bookmarkEnd w:id="162"/>
      <w:bookmarkEnd w:id="163"/>
      <w:bookmarkEnd w:id="164"/>
      <w:bookmarkEnd w:id="165"/>
      <w:bookmarkEnd w:id="166"/>
      <w:bookmarkEnd w:id="167"/>
      <w:bookmarkEnd w:id="168"/>
      <w:bookmarkEnd w:id="169"/>
      <w:bookmarkEnd w:id="170"/>
      <w:bookmarkEnd w:id="171"/>
      <w:bookmarkEnd w:id="172"/>
      <w:bookmarkEnd w:id="173"/>
    </w:tbl>
    <w:p>
      <w:pPr>
        <w:pStyle w:val="4"/>
        <w:numPr>
          <w:ilvl w:val="0"/>
          <w:numId w:val="0"/>
        </w:numPr>
        <w:jc w:val="center"/>
        <w:rPr>
          <w:rFonts w:ascii="宋体" w:hAnsi="宋体" w:cs="宋体"/>
          <w:color w:val="auto"/>
          <w:highlight w:val="none"/>
        </w:rPr>
      </w:pPr>
      <w:bookmarkStart w:id="174" w:name="_Toc192991259"/>
      <w:bookmarkStart w:id="175" w:name="_Toc192992690"/>
      <w:bookmarkStart w:id="176" w:name="_Toc192944676"/>
      <w:bookmarkStart w:id="177" w:name="_Toc192990014"/>
      <w:bookmarkStart w:id="178" w:name="_Toc193083553"/>
      <w:bookmarkStart w:id="179" w:name="_Toc192643573"/>
      <w:bookmarkStart w:id="180" w:name="_Toc430879629"/>
      <w:bookmarkStart w:id="181" w:name="_Toc29488"/>
      <w:r>
        <w:rPr>
          <w:rFonts w:hint="eastAsia" w:ascii="宋体" w:hAnsi="宋体" w:cs="宋体"/>
          <w:color w:val="auto"/>
          <w:highlight w:val="none"/>
        </w:rPr>
        <w:br w:type="page"/>
      </w:r>
      <w:bookmarkStart w:id="182" w:name="_Toc4286"/>
      <w:bookmarkStart w:id="183" w:name="_Toc21537"/>
      <w:bookmarkStart w:id="184" w:name="_Toc24625"/>
      <w:bookmarkStart w:id="185" w:name="_Toc5897"/>
      <w:r>
        <w:rPr>
          <w:rFonts w:hint="eastAsia" w:ascii="宋体" w:hAnsi="宋体" w:cs="宋体"/>
          <w:color w:val="auto"/>
          <w:highlight w:val="none"/>
        </w:rPr>
        <w:t>第五章</w:t>
      </w:r>
      <w:bookmarkEnd w:id="174"/>
      <w:bookmarkEnd w:id="175"/>
      <w:bookmarkEnd w:id="176"/>
      <w:bookmarkEnd w:id="177"/>
      <w:bookmarkEnd w:id="178"/>
      <w:bookmarkEnd w:id="179"/>
      <w:r>
        <w:rPr>
          <w:rFonts w:hint="eastAsia" w:ascii="宋体" w:hAnsi="宋体" w:cs="宋体"/>
          <w:color w:val="auto"/>
          <w:highlight w:val="none"/>
        </w:rPr>
        <w:t xml:space="preserve">  中标程序</w:t>
      </w:r>
      <w:bookmarkEnd w:id="180"/>
      <w:bookmarkEnd w:id="181"/>
      <w:bookmarkEnd w:id="182"/>
      <w:bookmarkEnd w:id="183"/>
      <w:bookmarkEnd w:id="184"/>
      <w:bookmarkEnd w:id="185"/>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1.   中标人的确定</w:t>
      </w:r>
    </w:p>
    <w:p>
      <w:pPr>
        <w:tabs>
          <w:tab w:val="left" w:pos="720"/>
        </w:tabs>
        <w:spacing w:line="360" w:lineRule="auto"/>
        <w:ind w:left="600" w:hanging="600" w:hangingChars="250"/>
        <w:rPr>
          <w:rFonts w:ascii="宋体" w:hAnsi="宋体" w:cs="宋体"/>
          <w:color w:val="auto"/>
          <w:sz w:val="24"/>
          <w:szCs w:val="24"/>
          <w:highlight w:val="none"/>
        </w:rPr>
      </w:pPr>
      <w:r>
        <w:rPr>
          <w:rFonts w:hint="eastAsia" w:ascii="宋体" w:hAnsi="宋体" w:cs="宋体"/>
          <w:color w:val="auto"/>
          <w:sz w:val="24"/>
          <w:szCs w:val="24"/>
          <w:highlight w:val="none"/>
        </w:rPr>
        <w:t xml:space="preserve">1.1  评标委员会对满足招标文件实质性要求的投标文件，按照评分标准进行打分，并按得分由高到低顺序推荐3名中标候选人。 </w:t>
      </w:r>
    </w:p>
    <w:p>
      <w:pPr>
        <w:tabs>
          <w:tab w:val="left" w:pos="720"/>
        </w:tabs>
        <w:spacing w:line="360" w:lineRule="auto"/>
        <w:ind w:left="600" w:hanging="600" w:hangingChars="250"/>
        <w:rPr>
          <w:rFonts w:ascii="宋体" w:hAnsi="宋体" w:cs="宋体"/>
          <w:color w:val="auto"/>
          <w:sz w:val="24"/>
          <w:szCs w:val="24"/>
          <w:highlight w:val="none"/>
        </w:rPr>
      </w:pPr>
      <w:r>
        <w:rPr>
          <w:rFonts w:hint="eastAsia" w:ascii="宋体" w:hAnsi="宋体" w:cs="宋体"/>
          <w:color w:val="auto"/>
          <w:sz w:val="24"/>
          <w:szCs w:val="24"/>
          <w:highlight w:val="none"/>
        </w:rPr>
        <w:t>1.2  采购代理机构自评审结束之日起2个工作日内将评审报告送交采购人。采购人应当自收到评审报告之日起5个工作日内在评审报告推荐的中标候选人中按顺序确定中标人。</w:t>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2.   发布中标公告</w:t>
      </w:r>
    </w:p>
    <w:p>
      <w:pPr>
        <w:tabs>
          <w:tab w:val="left" w:pos="720"/>
        </w:tabs>
        <w:spacing w:line="360" w:lineRule="auto"/>
        <w:ind w:left="600" w:hanging="600" w:hangingChars="250"/>
        <w:rPr>
          <w:rFonts w:ascii="宋体" w:hAnsi="宋体" w:cs="宋体"/>
          <w:color w:val="auto"/>
          <w:sz w:val="24"/>
          <w:szCs w:val="24"/>
          <w:highlight w:val="none"/>
        </w:rPr>
      </w:pPr>
      <w:r>
        <w:rPr>
          <w:rFonts w:hint="eastAsia" w:ascii="宋体" w:hAnsi="宋体" w:cs="宋体"/>
          <w:color w:val="auto"/>
          <w:sz w:val="24"/>
          <w:szCs w:val="24"/>
          <w:highlight w:val="none"/>
        </w:rPr>
        <w:t>2.1  自中标人确定之日起2个工作日内，采购代理机构在省级以上人民政府财政部门指定的媒体上公告中标公告。</w:t>
      </w:r>
    </w:p>
    <w:p>
      <w:pPr>
        <w:tabs>
          <w:tab w:val="left" w:pos="720"/>
        </w:tabs>
        <w:spacing w:line="360" w:lineRule="auto"/>
        <w:ind w:left="600" w:hanging="600" w:hangingChars="250"/>
        <w:rPr>
          <w:rFonts w:ascii="宋体" w:hAnsi="宋体" w:cs="宋体"/>
          <w:color w:val="auto"/>
          <w:sz w:val="24"/>
          <w:szCs w:val="24"/>
          <w:highlight w:val="none"/>
        </w:rPr>
      </w:pPr>
      <w:r>
        <w:rPr>
          <w:rFonts w:hint="eastAsia" w:ascii="宋体" w:hAnsi="宋体" w:cs="宋体"/>
          <w:color w:val="auto"/>
          <w:sz w:val="24"/>
          <w:szCs w:val="24"/>
          <w:highlight w:val="none"/>
        </w:rPr>
        <w:t>2.2  中标公告在</w:t>
      </w:r>
      <w:r>
        <w:rPr>
          <w:rStyle w:val="116"/>
          <w:bCs/>
          <w:sz w:val="24"/>
          <w:highlight w:val="none"/>
        </w:rPr>
        <w:t>《河南省政府采购网》</w:t>
      </w:r>
      <w:r>
        <w:rPr>
          <w:rStyle w:val="116"/>
          <w:rFonts w:hint="eastAsia"/>
          <w:bCs/>
          <w:sz w:val="24"/>
          <w:highlight w:val="none"/>
          <w:lang w:eastAsia="zh-CN"/>
        </w:rPr>
        <w:t>、</w:t>
      </w:r>
      <w:r>
        <w:rPr>
          <w:rFonts w:hint="eastAsia" w:asciiTheme="minorEastAsia" w:hAnsiTheme="minorEastAsia" w:eastAsiaTheme="minorEastAsia" w:cstheme="minorEastAsia"/>
          <w:color w:val="auto"/>
          <w:sz w:val="24"/>
          <w:highlight w:val="none"/>
        </w:rPr>
        <w:t>《河南省电子招标投标公共服务平台》、</w:t>
      </w:r>
      <w:r>
        <w:rPr>
          <w:rStyle w:val="116"/>
          <w:bCs/>
          <w:sz w:val="24"/>
          <w:highlight w:val="none"/>
        </w:rPr>
        <w:t>《河南省公共资源交易中心》</w:t>
      </w:r>
      <w:r>
        <w:rPr>
          <w:rFonts w:hint="eastAsia" w:ascii="宋体" w:hAnsi="宋体" w:cs="宋体"/>
          <w:color w:val="auto"/>
          <w:sz w:val="24"/>
          <w:szCs w:val="24"/>
          <w:highlight w:val="none"/>
        </w:rPr>
        <w:t>等网站上发布。</w:t>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3.   中标通知书</w:t>
      </w:r>
    </w:p>
    <w:p>
      <w:pPr>
        <w:tabs>
          <w:tab w:val="left" w:pos="720"/>
        </w:tabs>
        <w:spacing w:line="360" w:lineRule="auto"/>
        <w:ind w:left="600" w:hanging="600" w:hangingChars="250"/>
        <w:rPr>
          <w:rFonts w:ascii="宋体" w:hAnsi="宋体" w:cs="宋体"/>
          <w:color w:val="auto"/>
          <w:sz w:val="24"/>
          <w:szCs w:val="24"/>
          <w:highlight w:val="none"/>
        </w:rPr>
      </w:pPr>
      <w:r>
        <w:rPr>
          <w:rFonts w:hint="eastAsia" w:ascii="宋体" w:hAnsi="宋体" w:cs="宋体"/>
          <w:color w:val="auto"/>
          <w:sz w:val="24"/>
          <w:szCs w:val="24"/>
          <w:highlight w:val="none"/>
        </w:rPr>
        <w:t>3.1  中标公告发布的同时，采购代理机构将以书面形式向中标人发出《中标通知书》。</w:t>
      </w:r>
    </w:p>
    <w:p>
      <w:pPr>
        <w:tabs>
          <w:tab w:val="left" w:pos="720"/>
        </w:tabs>
        <w:spacing w:line="360" w:lineRule="auto"/>
        <w:ind w:left="600" w:hanging="600" w:hangingChars="250"/>
        <w:rPr>
          <w:rFonts w:ascii="宋体" w:hAnsi="宋体" w:cs="宋体"/>
          <w:color w:val="auto"/>
          <w:sz w:val="24"/>
          <w:szCs w:val="24"/>
          <w:highlight w:val="none"/>
        </w:rPr>
      </w:pPr>
      <w:r>
        <w:rPr>
          <w:rFonts w:hint="eastAsia" w:ascii="宋体" w:hAnsi="宋体" w:cs="宋体"/>
          <w:color w:val="auto"/>
          <w:sz w:val="24"/>
          <w:szCs w:val="24"/>
          <w:highlight w:val="none"/>
        </w:rPr>
        <w:t>3.2 《中标通知书》将作为双方签订合同的依据。</w:t>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4、  签订合同</w:t>
      </w:r>
    </w:p>
    <w:p>
      <w:pPr>
        <w:widowControl/>
        <w:spacing w:line="360" w:lineRule="auto"/>
        <w:ind w:left="600" w:hanging="600" w:hangingChars="250"/>
        <w:rPr>
          <w:rFonts w:ascii="宋体" w:hAnsi="宋体" w:cs="宋体"/>
          <w:color w:val="auto"/>
          <w:sz w:val="24"/>
          <w:szCs w:val="24"/>
          <w:highlight w:val="none"/>
        </w:rPr>
      </w:pPr>
      <w:r>
        <w:rPr>
          <w:rFonts w:hint="eastAsia" w:ascii="宋体" w:hAnsi="宋体" w:cs="宋体"/>
          <w:color w:val="auto"/>
          <w:sz w:val="24"/>
          <w:szCs w:val="24"/>
          <w:highlight w:val="none"/>
        </w:rPr>
        <w:t>4.1  中标人在收到《中标通知书》后30日内与采购人签订合同。否则其投标保证金将不予退还，给采购人和采购代理机构造成损失的，投标人还应承担赔偿责任。</w:t>
      </w:r>
    </w:p>
    <w:p>
      <w:pPr>
        <w:widowControl/>
        <w:spacing w:line="360" w:lineRule="auto"/>
        <w:ind w:left="600" w:hanging="600" w:hangingChars="250"/>
        <w:rPr>
          <w:rFonts w:ascii="宋体" w:hAnsi="宋体" w:cs="宋体"/>
          <w:color w:val="auto"/>
          <w:sz w:val="24"/>
          <w:szCs w:val="24"/>
          <w:highlight w:val="none"/>
        </w:rPr>
      </w:pPr>
      <w:r>
        <w:rPr>
          <w:rFonts w:hint="eastAsia" w:ascii="宋体" w:hAnsi="宋体" w:cs="宋体"/>
          <w:color w:val="auto"/>
          <w:sz w:val="24"/>
          <w:szCs w:val="24"/>
          <w:highlight w:val="none"/>
        </w:rPr>
        <w:t>4.2  中标人应按照招标文件、投标文件及评标过程中的有关澄清、说明或者补正文件的内容与采购人签订合同，中标人不得再与采购人签订背离合同实质性内容的其它协议或声明。</w:t>
      </w:r>
    </w:p>
    <w:p>
      <w:pPr>
        <w:widowControl/>
        <w:spacing w:line="360" w:lineRule="auto"/>
        <w:ind w:left="600" w:hanging="600" w:hangingChars="250"/>
        <w:rPr>
          <w:rFonts w:ascii="宋体" w:hAnsi="宋体" w:cs="宋体"/>
          <w:color w:val="auto"/>
          <w:sz w:val="24"/>
          <w:szCs w:val="24"/>
          <w:highlight w:val="none"/>
        </w:rPr>
      </w:pPr>
      <w:r>
        <w:rPr>
          <w:rFonts w:hint="eastAsia" w:ascii="宋体" w:hAnsi="宋体" w:cs="宋体"/>
          <w:color w:val="auto"/>
          <w:sz w:val="24"/>
          <w:szCs w:val="24"/>
          <w:highlight w:val="none"/>
        </w:rPr>
        <w:t>4.3  在合同履行中，采购人需追加与合同标的相同的货物或者服务的，在不改变合同其他条款的前提下，可以与中标人协商签订补充合同，但所有补充合同的采购金额不得超过原合同采购金额的百分之十。</w:t>
      </w:r>
    </w:p>
    <w:p>
      <w:pPr>
        <w:widowControl/>
        <w:spacing w:line="360" w:lineRule="auto"/>
        <w:ind w:left="600" w:hanging="600" w:hangingChars="250"/>
        <w:rPr>
          <w:rFonts w:ascii="宋体" w:hAnsi="宋体" w:cs="宋体"/>
          <w:color w:val="auto"/>
          <w:sz w:val="24"/>
          <w:szCs w:val="24"/>
          <w:highlight w:val="none"/>
        </w:rPr>
      </w:pPr>
      <w:r>
        <w:rPr>
          <w:rFonts w:hint="eastAsia" w:ascii="宋体" w:hAnsi="宋体" w:cs="宋体"/>
          <w:color w:val="auto"/>
          <w:sz w:val="24"/>
          <w:szCs w:val="24"/>
          <w:highlight w:val="none"/>
        </w:rPr>
        <w:t>4.4  中标人不按约定签定或履行合同，采购人将报请河南省财政厅政府采购处取消其中标资格，并没收其投标保证金，在此情况下，采购人按序顺延，或重新招标。给对方造成损失的，责任方应承担赔偿责任。</w:t>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5.   付款</w:t>
      </w:r>
    </w:p>
    <w:p>
      <w:pPr>
        <w:widowControl/>
        <w:spacing w:line="360" w:lineRule="auto"/>
        <w:ind w:left="600" w:hanging="600" w:hangingChars="250"/>
        <w:rPr>
          <w:rFonts w:ascii="宋体" w:hAnsi="宋体" w:cs="宋体"/>
          <w:color w:val="auto"/>
          <w:sz w:val="24"/>
          <w:szCs w:val="24"/>
          <w:highlight w:val="none"/>
        </w:rPr>
      </w:pPr>
      <w:r>
        <w:rPr>
          <w:rFonts w:hint="eastAsia" w:ascii="宋体" w:hAnsi="宋体" w:cs="宋体"/>
          <w:color w:val="auto"/>
          <w:sz w:val="24"/>
          <w:szCs w:val="24"/>
          <w:highlight w:val="none"/>
        </w:rPr>
        <w:t>5.1  投标人须提交</w:t>
      </w:r>
      <w:r>
        <w:rPr>
          <w:rFonts w:hint="eastAsia" w:ascii="宋体" w:hAnsi="宋体" w:cs="宋体"/>
          <w:color w:val="auto"/>
          <w:sz w:val="24"/>
          <w:szCs w:val="24"/>
          <w:highlight w:val="none"/>
          <w:lang w:eastAsia="zh-CN"/>
        </w:rPr>
        <w:t>以</w:t>
      </w:r>
      <w:r>
        <w:rPr>
          <w:rFonts w:hint="eastAsia" w:ascii="宋体" w:hAnsi="宋体" w:cs="宋体"/>
          <w:color w:val="auto"/>
          <w:sz w:val="24"/>
          <w:szCs w:val="24"/>
          <w:highlight w:val="none"/>
        </w:rPr>
        <w:t>下文件：合同、由需方签字的验收报告或第三方验收或由第三方验收检验报告及购销发票。</w:t>
      </w:r>
      <w:bookmarkStart w:id="186" w:name="_Toc167004291"/>
      <w:bookmarkStart w:id="187" w:name="_Toc192991261"/>
      <w:bookmarkStart w:id="188" w:name="_Toc159388747"/>
      <w:bookmarkStart w:id="189" w:name="_Toc22962922"/>
      <w:bookmarkStart w:id="190" w:name="_Toc22724000"/>
      <w:bookmarkStart w:id="191" w:name="_Toc22570540"/>
      <w:bookmarkStart w:id="192" w:name="_Toc22953441"/>
      <w:bookmarkStart w:id="193" w:name="_Toc160359583"/>
      <w:bookmarkStart w:id="194" w:name="_Toc149722774"/>
      <w:bookmarkStart w:id="195" w:name="_Toc192990016"/>
      <w:bookmarkStart w:id="196" w:name="_Toc146609271"/>
      <w:bookmarkStart w:id="197" w:name="_Toc158513417"/>
      <w:bookmarkStart w:id="198" w:name="_Toc159388203"/>
      <w:bookmarkStart w:id="199" w:name="_Toc22804119"/>
      <w:bookmarkStart w:id="200" w:name="_Toc192944678"/>
      <w:bookmarkStart w:id="201" w:name="_Toc22568833"/>
      <w:bookmarkStart w:id="202" w:name="_Toc146071213"/>
      <w:bookmarkStart w:id="203" w:name="_Toc158707522"/>
      <w:bookmarkStart w:id="204" w:name="_Toc24802272"/>
      <w:bookmarkStart w:id="205" w:name="_Toc192478094"/>
      <w:bookmarkStart w:id="206" w:name="_Toc149465908"/>
      <w:bookmarkStart w:id="207" w:name="_Toc192643575"/>
    </w:p>
    <w:p>
      <w:pPr>
        <w:widowControl/>
        <w:spacing w:line="360" w:lineRule="auto"/>
        <w:ind w:left="600" w:hanging="600" w:hangingChars="250"/>
        <w:rPr>
          <w:rFonts w:ascii="宋体" w:hAnsi="宋体" w:cs="宋体"/>
          <w:color w:val="auto"/>
          <w:sz w:val="24"/>
          <w:szCs w:val="24"/>
          <w:highlight w:val="none"/>
        </w:rPr>
      </w:pPr>
      <w:r>
        <w:rPr>
          <w:rFonts w:hint="eastAsia" w:ascii="宋体" w:hAnsi="宋体" w:cs="宋体"/>
          <w:color w:val="auto"/>
          <w:sz w:val="24"/>
          <w:szCs w:val="24"/>
          <w:highlight w:val="none"/>
        </w:rPr>
        <w:t>5.2  付款方式：见第六章合同条款。</w:t>
      </w:r>
    </w:p>
    <w:p>
      <w:pPr>
        <w:spacing w:line="360" w:lineRule="auto"/>
        <w:rPr>
          <w:rFonts w:ascii="宋体" w:hAnsi="宋体" w:cs="宋体"/>
          <w:b/>
          <w:color w:val="auto"/>
          <w:sz w:val="24"/>
          <w:szCs w:val="24"/>
          <w:highlight w:val="none"/>
        </w:rPr>
      </w:pPr>
      <w:r>
        <w:rPr>
          <w:rFonts w:hint="eastAsia" w:ascii="宋体" w:hAnsi="宋体" w:cs="宋体"/>
          <w:b/>
          <w:color w:val="auto"/>
          <w:sz w:val="24"/>
          <w:szCs w:val="24"/>
          <w:highlight w:val="none"/>
        </w:rPr>
        <w:t>6.   采购代理服务费</w:t>
      </w:r>
    </w:p>
    <w:p>
      <w:pPr>
        <w:widowControl/>
        <w:spacing w:line="360" w:lineRule="auto"/>
        <w:ind w:left="600" w:hanging="600" w:hangingChars="250"/>
        <w:rPr>
          <w:rFonts w:ascii="宋体" w:hAnsi="宋体" w:cs="宋体"/>
          <w:color w:val="auto"/>
          <w:sz w:val="24"/>
          <w:szCs w:val="24"/>
          <w:highlight w:val="none"/>
        </w:rPr>
      </w:pPr>
      <w:r>
        <w:rPr>
          <w:rFonts w:hint="eastAsia" w:ascii="宋体" w:hAnsi="宋体" w:cs="宋体"/>
          <w:color w:val="auto"/>
          <w:sz w:val="24"/>
          <w:szCs w:val="24"/>
          <w:highlight w:val="none"/>
        </w:rPr>
        <w:t>6.1  采购代理机构按照约定向中标人收取采购代理服务费，采购代理服务费收费标准详见“第二章前附表。”</w:t>
      </w:r>
    </w:p>
    <w:p>
      <w:pPr>
        <w:tabs>
          <w:tab w:val="left" w:pos="720"/>
        </w:tabs>
        <w:spacing w:line="360" w:lineRule="auto"/>
        <w:rPr>
          <w:rFonts w:ascii="宋体" w:hAnsi="宋体" w:cs="宋体"/>
          <w:color w:val="auto"/>
          <w:szCs w:val="21"/>
          <w:highlight w:val="none"/>
        </w:rPr>
      </w:pPr>
    </w:p>
    <w:p>
      <w:pPr>
        <w:tabs>
          <w:tab w:val="left" w:pos="720"/>
        </w:tabs>
        <w:spacing w:line="360" w:lineRule="auto"/>
        <w:rPr>
          <w:rFonts w:ascii="宋体" w:hAnsi="宋体" w:cs="宋体"/>
          <w:color w:val="auto"/>
          <w:szCs w:val="21"/>
          <w:highlight w:val="none"/>
        </w:rPr>
      </w:pPr>
    </w:p>
    <w:p>
      <w:pPr>
        <w:tabs>
          <w:tab w:val="left" w:pos="720"/>
        </w:tabs>
        <w:spacing w:line="360" w:lineRule="auto"/>
        <w:rPr>
          <w:rFonts w:ascii="宋体" w:hAnsi="宋体" w:cs="宋体"/>
          <w:color w:val="auto"/>
          <w:szCs w:val="21"/>
          <w:highlight w:val="none"/>
        </w:rPr>
      </w:pPr>
    </w:p>
    <w:p>
      <w:pPr>
        <w:tabs>
          <w:tab w:val="left" w:pos="720"/>
        </w:tabs>
        <w:spacing w:line="360" w:lineRule="auto"/>
        <w:rPr>
          <w:rFonts w:ascii="宋体" w:hAnsi="宋体" w:cs="宋体"/>
          <w:color w:val="auto"/>
          <w:szCs w:val="21"/>
          <w:highlight w:val="none"/>
        </w:rPr>
      </w:pPr>
    </w:p>
    <w:p>
      <w:pPr>
        <w:tabs>
          <w:tab w:val="left" w:pos="720"/>
        </w:tabs>
        <w:spacing w:line="360" w:lineRule="auto"/>
        <w:rPr>
          <w:rFonts w:ascii="宋体" w:hAnsi="宋体" w:cs="宋体"/>
          <w:color w:val="auto"/>
          <w:szCs w:val="21"/>
          <w:highlight w:val="none"/>
        </w:rPr>
      </w:pPr>
    </w:p>
    <w:p>
      <w:pPr>
        <w:tabs>
          <w:tab w:val="left" w:pos="720"/>
        </w:tabs>
        <w:spacing w:line="360" w:lineRule="auto"/>
        <w:rPr>
          <w:rFonts w:ascii="宋体" w:hAnsi="宋体" w:cs="宋体"/>
          <w:color w:val="auto"/>
          <w:szCs w:val="21"/>
          <w:highlight w:val="none"/>
        </w:rPr>
      </w:pPr>
    </w:p>
    <w:p>
      <w:pPr>
        <w:tabs>
          <w:tab w:val="left" w:pos="720"/>
        </w:tabs>
        <w:spacing w:line="360" w:lineRule="auto"/>
        <w:rPr>
          <w:rFonts w:ascii="宋体" w:hAnsi="宋体" w:cs="宋体"/>
          <w:color w:val="auto"/>
          <w:szCs w:val="21"/>
          <w:highlight w:val="none"/>
        </w:rPr>
      </w:pPr>
    </w:p>
    <w:p>
      <w:pPr>
        <w:tabs>
          <w:tab w:val="left" w:pos="720"/>
        </w:tabs>
        <w:spacing w:line="360" w:lineRule="auto"/>
        <w:rPr>
          <w:rFonts w:ascii="宋体" w:hAnsi="宋体" w:cs="宋体"/>
          <w:color w:val="auto"/>
          <w:szCs w:val="21"/>
          <w:highlight w:val="none"/>
        </w:rPr>
      </w:pPr>
    </w:p>
    <w:p>
      <w:pPr>
        <w:tabs>
          <w:tab w:val="left" w:pos="720"/>
        </w:tabs>
        <w:spacing w:line="360" w:lineRule="auto"/>
        <w:rPr>
          <w:rFonts w:ascii="宋体" w:hAnsi="宋体" w:cs="宋体"/>
          <w:color w:val="auto"/>
          <w:szCs w:val="21"/>
          <w:highlight w:val="none"/>
        </w:rPr>
      </w:pPr>
    </w:p>
    <w:p>
      <w:pPr>
        <w:tabs>
          <w:tab w:val="left" w:pos="720"/>
        </w:tabs>
        <w:spacing w:line="360" w:lineRule="auto"/>
        <w:rPr>
          <w:rFonts w:ascii="宋体" w:hAnsi="宋体" w:cs="宋体"/>
          <w:color w:val="auto"/>
          <w:szCs w:val="21"/>
          <w:highlight w:val="none"/>
        </w:rPr>
      </w:pPr>
    </w:p>
    <w:p>
      <w:pPr>
        <w:tabs>
          <w:tab w:val="left" w:pos="720"/>
        </w:tabs>
        <w:spacing w:line="360" w:lineRule="auto"/>
        <w:rPr>
          <w:rFonts w:ascii="宋体" w:hAnsi="宋体" w:cs="宋体"/>
          <w:color w:val="auto"/>
          <w:szCs w:val="21"/>
          <w:highlight w:val="none"/>
        </w:rPr>
      </w:pPr>
    </w:p>
    <w:p>
      <w:pPr>
        <w:tabs>
          <w:tab w:val="left" w:pos="720"/>
        </w:tabs>
        <w:spacing w:line="360" w:lineRule="auto"/>
        <w:rPr>
          <w:rFonts w:ascii="宋体" w:hAnsi="宋体" w:cs="宋体"/>
          <w:color w:val="auto"/>
          <w:szCs w:val="21"/>
          <w:highlight w:val="none"/>
        </w:rPr>
      </w:pPr>
    </w:p>
    <w:p>
      <w:pPr>
        <w:pStyle w:val="4"/>
        <w:numPr>
          <w:ilvl w:val="0"/>
          <w:numId w:val="0"/>
        </w:numPr>
        <w:jc w:val="center"/>
        <w:rPr>
          <w:rFonts w:ascii="宋体" w:hAnsi="宋体" w:cs="宋体"/>
          <w:color w:val="auto"/>
          <w:highlight w:val="none"/>
        </w:rPr>
      </w:pPr>
      <w:bookmarkStart w:id="208" w:name="_Toc18311"/>
      <w:bookmarkStart w:id="209" w:name="_Toc430879630"/>
      <w:r>
        <w:rPr>
          <w:rFonts w:hint="eastAsia" w:ascii="宋体" w:hAnsi="宋体" w:cs="宋体"/>
          <w:color w:val="auto"/>
          <w:highlight w:val="none"/>
        </w:rPr>
        <w:br w:type="page"/>
      </w:r>
      <w:bookmarkStart w:id="210" w:name="_Toc161"/>
      <w:bookmarkStart w:id="211" w:name="_Toc15324"/>
      <w:bookmarkStart w:id="212" w:name="_Toc28047"/>
      <w:bookmarkStart w:id="213" w:name="_Toc16989"/>
      <w:r>
        <w:rPr>
          <w:rFonts w:hint="eastAsia" w:ascii="宋体" w:hAnsi="宋体" w:cs="宋体"/>
          <w:color w:val="auto"/>
          <w:highlight w:val="none"/>
        </w:rPr>
        <w:t>第六章  签订合同</w:t>
      </w:r>
      <w:bookmarkEnd w:id="208"/>
      <w:bookmarkEnd w:id="209"/>
      <w:bookmarkEnd w:id="210"/>
      <w:bookmarkEnd w:id="211"/>
      <w:bookmarkEnd w:id="212"/>
      <w:bookmarkEnd w:id="213"/>
    </w:p>
    <w:p>
      <w:pPr>
        <w:numPr>
          <w:ilvl w:val="0"/>
          <w:numId w:val="9"/>
        </w:numPr>
        <w:tabs>
          <w:tab w:val="left" w:pos="720"/>
          <w:tab w:val="left" w:pos="1980"/>
          <w:tab w:val="left" w:pos="3600"/>
          <w:tab w:val="clear" w:pos="2880"/>
        </w:tabs>
        <w:autoSpaceDE w:val="0"/>
        <w:autoSpaceDN w:val="0"/>
        <w:spacing w:line="500" w:lineRule="exact"/>
        <w:ind w:left="4140" w:hanging="4416"/>
        <w:jc w:val="center"/>
        <w:rPr>
          <w:rFonts w:ascii="宋体" w:hAnsi="宋体" w:cs="宋体"/>
          <w:b/>
          <w:color w:val="auto"/>
          <w:sz w:val="30"/>
          <w:szCs w:val="30"/>
          <w:highlight w:val="none"/>
        </w:rPr>
      </w:pPr>
      <w:r>
        <w:rPr>
          <w:rFonts w:hint="eastAsia" w:ascii="宋体" w:hAnsi="宋体" w:cs="宋体"/>
          <w:b/>
          <w:color w:val="auto"/>
          <w:sz w:val="30"/>
          <w:szCs w:val="30"/>
          <w:highlight w:val="none"/>
        </w:rPr>
        <w:t>政府采购合同（样式）</w:t>
      </w:r>
    </w:p>
    <w:p>
      <w:pPr>
        <w:autoSpaceDE w:val="0"/>
        <w:autoSpaceDN w:val="0"/>
        <w:spacing w:line="440" w:lineRule="exact"/>
        <w:jc w:val="center"/>
        <w:rPr>
          <w:rFonts w:ascii="宋体" w:hAnsi="宋体" w:cs="宋体"/>
          <w:color w:val="auto"/>
          <w:szCs w:val="21"/>
          <w:highlight w:val="none"/>
          <w:u w:val="single"/>
          <w:lang w:val="zh-CN"/>
        </w:rPr>
      </w:pPr>
      <w:r>
        <w:rPr>
          <w:rFonts w:hint="eastAsia" w:ascii="宋体" w:hAnsi="宋体" w:cs="宋体"/>
          <w:color w:val="auto"/>
          <w:szCs w:val="21"/>
          <w:highlight w:val="none"/>
          <w:lang w:val="zh-CN"/>
        </w:rPr>
        <w:t>合同编号：</w:t>
      </w:r>
    </w:p>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Pr>
        <w:shd w:val="clear" w:color="auto" w:fill="auto"/>
        <w:autoSpaceDE w:val="0"/>
        <w:autoSpaceDN w:val="0"/>
        <w:spacing w:line="360" w:lineRule="auto"/>
        <w:rPr>
          <w:rFonts w:ascii="宋体" w:cs="宋体"/>
          <w:color w:val="auto"/>
          <w:sz w:val="24"/>
          <w:szCs w:val="24"/>
          <w:highlight w:val="none"/>
          <w:u w:val="single"/>
          <w:lang w:val="zh-CN"/>
        </w:rPr>
      </w:pPr>
      <w:r>
        <w:rPr>
          <w:rFonts w:hint="eastAsia" w:ascii="宋体" w:hAnsi="宋体" w:cs="宋体"/>
          <w:color w:val="auto"/>
          <w:sz w:val="24"/>
          <w:szCs w:val="24"/>
          <w:highlight w:val="none"/>
          <w:lang w:val="zh-CN"/>
        </w:rPr>
        <w:t>供方（中标人全称）：</w:t>
      </w:r>
    </w:p>
    <w:p>
      <w:pPr>
        <w:shd w:val="clear" w:color="auto" w:fill="auto"/>
        <w:autoSpaceDE w:val="0"/>
        <w:autoSpaceDN w:val="0"/>
        <w:spacing w:line="360" w:lineRule="auto"/>
        <w:rPr>
          <w:rFonts w:ascii="宋体" w:cs="宋体"/>
          <w:color w:val="auto"/>
          <w:sz w:val="24"/>
          <w:szCs w:val="24"/>
          <w:highlight w:val="none"/>
          <w:u w:val="single"/>
          <w:lang w:val="zh-CN"/>
        </w:rPr>
      </w:pPr>
      <w:r>
        <w:rPr>
          <w:rFonts w:hint="eastAsia" w:ascii="宋体" w:hAnsi="宋体" w:cs="宋体"/>
          <w:color w:val="auto"/>
          <w:sz w:val="24"/>
          <w:szCs w:val="24"/>
          <w:highlight w:val="none"/>
          <w:lang w:val="zh-CN"/>
        </w:rPr>
        <w:t>需方（采购人全称）：</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hint="eastAsia" w:ascii="宋体" w:hAnsi="宋体" w:cs="宋体"/>
          <w:color w:val="auto"/>
          <w:sz w:val="24"/>
          <w:szCs w:val="24"/>
          <w:highlight w:val="none"/>
          <w:lang w:val="zh-CN"/>
        </w:rPr>
        <w:t>供方持签发的中标通知书，根据招标文件、投标文件等文件</w:t>
      </w:r>
      <w:r>
        <w:rPr>
          <w:rFonts w:ascii="宋体" w:hAnsi="宋体" w:cs="宋体"/>
          <w:color w:val="auto"/>
          <w:sz w:val="24"/>
          <w:szCs w:val="24"/>
          <w:highlight w:val="none"/>
          <w:lang w:val="zh-CN"/>
        </w:rPr>
        <w:t>[</w:t>
      </w:r>
      <w:r>
        <w:rPr>
          <w:rFonts w:hint="eastAsia" w:ascii="宋体" w:hAnsi="宋体" w:cs="宋体"/>
          <w:color w:val="auto"/>
          <w:sz w:val="24"/>
          <w:szCs w:val="24"/>
          <w:highlight w:val="none"/>
          <w:lang w:val="zh-CN"/>
        </w:rPr>
        <w:t>项目名称：</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zh-CN"/>
        </w:rPr>
        <w:t>采购编号：</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zh-CN"/>
        </w:rPr>
        <w:t>，按照《政府采购法》、《政府采购实施条例》、《合同法》等有关法律、法规，供需双方经协商一致，达成以下合同条款：</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hint="eastAsia" w:ascii="宋体" w:hAnsi="宋体" w:cs="宋体"/>
          <w:color w:val="auto"/>
          <w:sz w:val="24"/>
          <w:szCs w:val="24"/>
          <w:highlight w:val="none"/>
          <w:lang w:val="zh-CN"/>
        </w:rPr>
        <w:t>一、本合同名称：</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hint="eastAsia" w:ascii="宋体" w:hAnsi="宋体" w:cs="宋体"/>
          <w:color w:val="auto"/>
          <w:sz w:val="24"/>
          <w:szCs w:val="24"/>
          <w:highlight w:val="none"/>
          <w:lang w:val="zh-CN"/>
        </w:rPr>
        <w:t>二、本合同总价为人民币元（大写</w:t>
      </w:r>
      <w:r>
        <w:rPr>
          <w:rFonts w:hint="eastAsia" w:ascii="宋体" w:hAnsi="宋体" w:cs="宋体"/>
          <w:color w:val="auto"/>
          <w:sz w:val="24"/>
          <w:szCs w:val="24"/>
          <w:highlight w:val="none"/>
          <w:u w:val="none"/>
          <w:lang w:val="zh-CN"/>
        </w:rPr>
        <w:t>：</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lang w:val="zh-CN"/>
        </w:rPr>
        <w:t>）。</w:t>
      </w:r>
    </w:p>
    <w:p>
      <w:pPr>
        <w:shd w:val="clear" w:color="auto" w:fill="auto"/>
        <w:autoSpaceDE w:val="0"/>
        <w:autoSpaceDN w:val="0"/>
        <w:spacing w:line="360" w:lineRule="auto"/>
        <w:rPr>
          <w:rFonts w:ascii="宋体" w:cs="宋体"/>
          <w:color w:val="auto"/>
          <w:sz w:val="24"/>
          <w:szCs w:val="24"/>
          <w:highlight w:val="none"/>
          <w:lang w:val="zh-CN"/>
        </w:rPr>
      </w:pPr>
      <w:r>
        <w:rPr>
          <w:rFonts w:hint="eastAsia" w:ascii="宋体" w:hAnsi="宋体" w:cs="宋体"/>
          <w:color w:val="auto"/>
          <w:sz w:val="24"/>
          <w:szCs w:val="24"/>
          <w:highlight w:val="none"/>
          <w:lang w:val="zh-CN"/>
        </w:rPr>
        <w:t>供货范围、技术规格、及分项价格如下：</w:t>
      </w:r>
      <w:r>
        <w:rPr>
          <w:rFonts w:ascii="宋体" w:hAnsi="宋体" w:cs="宋体"/>
          <w:color w:val="auto"/>
          <w:sz w:val="24"/>
          <w:szCs w:val="24"/>
          <w:highlight w:val="none"/>
          <w:lang w:val="zh-CN"/>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单位：人民币元</w:t>
      </w:r>
    </w:p>
    <w:tbl>
      <w:tblPr>
        <w:tblStyle w:val="31"/>
        <w:tblW w:w="9342" w:type="dxa"/>
        <w:jc w:val="center"/>
        <w:tblLayout w:type="fixed"/>
        <w:tblCellMar>
          <w:top w:w="0" w:type="dxa"/>
          <w:left w:w="108" w:type="dxa"/>
          <w:bottom w:w="0" w:type="dxa"/>
          <w:right w:w="108" w:type="dxa"/>
        </w:tblCellMar>
      </w:tblPr>
      <w:tblGrid>
        <w:gridCol w:w="894"/>
        <w:gridCol w:w="1467"/>
        <w:gridCol w:w="1545"/>
        <w:gridCol w:w="1230"/>
        <w:gridCol w:w="1305"/>
        <w:gridCol w:w="960"/>
        <w:gridCol w:w="825"/>
        <w:gridCol w:w="1116"/>
      </w:tblGrid>
      <w:tr>
        <w:tblPrEx>
          <w:tblCellMar>
            <w:top w:w="0" w:type="dxa"/>
            <w:left w:w="108" w:type="dxa"/>
            <w:bottom w:w="0" w:type="dxa"/>
            <w:right w:w="108" w:type="dxa"/>
          </w:tblCellMar>
        </w:tblPrEx>
        <w:trPr>
          <w:jc w:val="center"/>
        </w:trPr>
        <w:tc>
          <w:tcPr>
            <w:tcW w:w="894"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lang w:val="zh-CN"/>
              </w:rPr>
            </w:pPr>
            <w:r>
              <w:rPr>
                <w:rFonts w:hint="eastAsia" w:ascii="宋体" w:hAnsi="宋体" w:cs="宋体"/>
                <w:color w:val="auto"/>
                <w:sz w:val="24"/>
                <w:szCs w:val="24"/>
                <w:highlight w:val="none"/>
                <w:lang w:val="zh-CN"/>
              </w:rPr>
              <w:t>名称</w:t>
            </w:r>
          </w:p>
        </w:tc>
        <w:tc>
          <w:tcPr>
            <w:tcW w:w="1467"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lang w:val="zh-CN"/>
              </w:rPr>
            </w:pPr>
            <w:r>
              <w:rPr>
                <w:rFonts w:hint="eastAsia" w:ascii="宋体" w:hAnsi="宋体" w:cs="宋体"/>
                <w:color w:val="auto"/>
                <w:sz w:val="24"/>
                <w:szCs w:val="24"/>
                <w:highlight w:val="none"/>
                <w:lang w:val="zh-CN"/>
              </w:rPr>
              <w:t>书号（</w:t>
            </w:r>
            <w:r>
              <w:rPr>
                <w:rFonts w:ascii="宋体" w:hAnsi="宋体" w:cs="宋体"/>
                <w:color w:val="auto"/>
                <w:sz w:val="24"/>
                <w:szCs w:val="24"/>
                <w:highlight w:val="none"/>
                <w:lang w:val="zh-CN"/>
              </w:rPr>
              <w:t>ISBN</w:t>
            </w:r>
            <w:r>
              <w:rPr>
                <w:rFonts w:hint="eastAsia" w:ascii="宋体" w:hAnsi="宋体" w:cs="宋体"/>
                <w:color w:val="auto"/>
                <w:sz w:val="24"/>
                <w:szCs w:val="24"/>
                <w:highlight w:val="none"/>
                <w:lang w:val="zh-CN"/>
              </w:rPr>
              <w:t>）</w:t>
            </w:r>
          </w:p>
        </w:tc>
        <w:tc>
          <w:tcPr>
            <w:tcW w:w="1545"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lang w:val="zh-CN"/>
              </w:rPr>
            </w:pPr>
            <w:r>
              <w:rPr>
                <w:rFonts w:hint="eastAsia" w:ascii="宋体" w:hAnsi="宋体" w:cs="宋体"/>
                <w:color w:val="auto"/>
                <w:sz w:val="24"/>
                <w:szCs w:val="24"/>
                <w:highlight w:val="none"/>
                <w:lang w:val="zh-CN"/>
              </w:rPr>
              <w:t>出版单位</w:t>
            </w:r>
          </w:p>
        </w:tc>
        <w:tc>
          <w:tcPr>
            <w:tcW w:w="1230"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lang w:val="zh-CN"/>
              </w:rPr>
            </w:pPr>
            <w:r>
              <w:rPr>
                <w:rFonts w:hint="eastAsia" w:ascii="宋体" w:hAnsi="宋体" w:cs="宋体"/>
                <w:color w:val="auto"/>
                <w:sz w:val="24"/>
                <w:szCs w:val="24"/>
                <w:highlight w:val="none"/>
                <w:lang w:val="zh-CN"/>
              </w:rPr>
              <w:t>码洋</w:t>
            </w:r>
          </w:p>
        </w:tc>
        <w:tc>
          <w:tcPr>
            <w:tcW w:w="1305"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lang w:val="zh-CN"/>
              </w:rPr>
            </w:pPr>
            <w:r>
              <w:rPr>
                <w:rFonts w:hint="eastAsia" w:ascii="宋体" w:hAnsi="宋体" w:cs="宋体"/>
                <w:color w:val="auto"/>
                <w:sz w:val="24"/>
                <w:szCs w:val="24"/>
                <w:highlight w:val="none"/>
                <w:lang w:val="zh-CN"/>
              </w:rPr>
              <w:t>中标费率</w:t>
            </w:r>
          </w:p>
        </w:tc>
        <w:tc>
          <w:tcPr>
            <w:tcW w:w="960"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lang w:val="zh-CN"/>
              </w:rPr>
            </w:pPr>
            <w:r>
              <w:rPr>
                <w:rFonts w:hint="eastAsia" w:ascii="宋体" w:hAnsi="宋体" w:cs="宋体"/>
                <w:color w:val="auto"/>
                <w:sz w:val="24"/>
                <w:szCs w:val="24"/>
                <w:highlight w:val="none"/>
                <w:lang w:val="zh-CN"/>
              </w:rPr>
              <w:t>实洋</w:t>
            </w:r>
          </w:p>
        </w:tc>
        <w:tc>
          <w:tcPr>
            <w:tcW w:w="825"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lang w:val="zh-CN"/>
              </w:rPr>
            </w:pPr>
            <w:r>
              <w:rPr>
                <w:rFonts w:hint="eastAsia" w:ascii="宋体" w:hAnsi="宋体" w:cs="宋体"/>
                <w:color w:val="auto"/>
                <w:sz w:val="24"/>
                <w:szCs w:val="24"/>
                <w:highlight w:val="none"/>
                <w:lang w:val="zh-CN"/>
              </w:rPr>
              <w:t>数量</w:t>
            </w:r>
          </w:p>
        </w:tc>
        <w:tc>
          <w:tcPr>
            <w:tcW w:w="1116"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lang w:val="zh-CN"/>
              </w:rPr>
            </w:pPr>
            <w:r>
              <w:rPr>
                <w:rFonts w:hint="eastAsia" w:ascii="宋体" w:hAnsi="宋体" w:cs="宋体"/>
                <w:color w:val="auto"/>
                <w:sz w:val="24"/>
                <w:szCs w:val="24"/>
                <w:highlight w:val="none"/>
                <w:lang w:val="zh-CN"/>
              </w:rPr>
              <w:t>合计</w:t>
            </w:r>
          </w:p>
        </w:tc>
      </w:tr>
      <w:tr>
        <w:tblPrEx>
          <w:tblCellMar>
            <w:top w:w="0" w:type="dxa"/>
            <w:left w:w="108" w:type="dxa"/>
            <w:bottom w:w="0" w:type="dxa"/>
            <w:right w:w="108" w:type="dxa"/>
          </w:tblCellMar>
        </w:tblPrEx>
        <w:trPr>
          <w:jc w:val="center"/>
        </w:trPr>
        <w:tc>
          <w:tcPr>
            <w:tcW w:w="894"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1467"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1545"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1230"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1305"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960"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825"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1116"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r>
      <w:tr>
        <w:tblPrEx>
          <w:tblCellMar>
            <w:top w:w="0" w:type="dxa"/>
            <w:left w:w="108" w:type="dxa"/>
            <w:bottom w:w="0" w:type="dxa"/>
            <w:right w:w="108" w:type="dxa"/>
          </w:tblCellMar>
        </w:tblPrEx>
        <w:trPr>
          <w:jc w:val="center"/>
        </w:trPr>
        <w:tc>
          <w:tcPr>
            <w:tcW w:w="894"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1467"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1545"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1230"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1305"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960"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825"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1116"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r>
      <w:tr>
        <w:tblPrEx>
          <w:tblCellMar>
            <w:top w:w="0" w:type="dxa"/>
            <w:left w:w="108" w:type="dxa"/>
            <w:bottom w:w="0" w:type="dxa"/>
            <w:right w:w="108" w:type="dxa"/>
          </w:tblCellMar>
        </w:tblPrEx>
        <w:trPr>
          <w:jc w:val="center"/>
        </w:trPr>
        <w:tc>
          <w:tcPr>
            <w:tcW w:w="894"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1467"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1545"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1230"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1305"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960"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825"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1116" w:type="dxa"/>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r>
      <w:tr>
        <w:tblPrEx>
          <w:tblCellMar>
            <w:top w:w="0" w:type="dxa"/>
            <w:left w:w="108" w:type="dxa"/>
            <w:bottom w:w="0" w:type="dxa"/>
            <w:right w:w="108" w:type="dxa"/>
          </w:tblCellMar>
        </w:tblPrEx>
        <w:trPr>
          <w:trHeight w:val="352" w:hRule="atLeast"/>
          <w:jc w:val="center"/>
        </w:trPr>
        <w:tc>
          <w:tcPr>
            <w:tcW w:w="894" w:type="dxa"/>
            <w:vMerge w:val="restart"/>
            <w:tcBorders>
              <w:top w:val="single" w:color="auto" w:sz="6" w:space="0"/>
              <w:left w:val="single" w:color="auto" w:sz="6" w:space="0"/>
              <w:bottom w:val="single" w:color="auto" w:sz="6" w:space="0"/>
              <w:right w:val="single" w:color="auto" w:sz="6" w:space="0"/>
            </w:tcBorders>
            <w:noWrap w:val="0"/>
            <w:vAlign w:val="center"/>
          </w:tcPr>
          <w:p>
            <w:pPr>
              <w:shd w:val="clear" w:color="auto" w:fill="auto"/>
              <w:autoSpaceDE w:val="0"/>
              <w:autoSpaceDN w:val="0"/>
              <w:spacing w:line="360" w:lineRule="auto"/>
              <w:jc w:val="center"/>
              <w:rPr>
                <w:rFonts w:ascii="宋体" w:cs="宋体"/>
                <w:color w:val="auto"/>
                <w:sz w:val="24"/>
                <w:szCs w:val="24"/>
                <w:highlight w:val="none"/>
                <w:lang w:val="zh-CN"/>
              </w:rPr>
            </w:pPr>
            <w:r>
              <w:rPr>
                <w:rFonts w:hint="eastAsia" w:ascii="宋体" w:hAnsi="宋体" w:cs="宋体"/>
                <w:color w:val="auto"/>
                <w:sz w:val="24"/>
                <w:szCs w:val="24"/>
                <w:highlight w:val="none"/>
                <w:lang w:val="zh-CN"/>
              </w:rPr>
              <w:t>总价</w:t>
            </w:r>
          </w:p>
        </w:tc>
        <w:tc>
          <w:tcPr>
            <w:tcW w:w="8448" w:type="dxa"/>
            <w:gridSpan w:val="7"/>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rPr>
                <w:rFonts w:ascii="宋体" w:cs="宋体"/>
                <w:color w:val="auto"/>
                <w:sz w:val="24"/>
                <w:szCs w:val="24"/>
                <w:highlight w:val="none"/>
                <w:lang w:val="zh-CN"/>
              </w:rPr>
            </w:pPr>
            <w:r>
              <w:rPr>
                <w:rFonts w:hint="eastAsia" w:ascii="宋体" w:hAnsi="宋体" w:cs="宋体"/>
                <w:color w:val="auto"/>
                <w:sz w:val="24"/>
                <w:szCs w:val="24"/>
                <w:highlight w:val="none"/>
                <w:lang w:val="zh-CN"/>
              </w:rPr>
              <w:t>小写：</w:t>
            </w:r>
          </w:p>
        </w:tc>
      </w:tr>
      <w:tr>
        <w:tblPrEx>
          <w:tblCellMar>
            <w:top w:w="0" w:type="dxa"/>
            <w:left w:w="108" w:type="dxa"/>
            <w:bottom w:w="0" w:type="dxa"/>
            <w:right w:w="108" w:type="dxa"/>
          </w:tblCellMar>
        </w:tblPrEx>
        <w:trPr>
          <w:trHeight w:val="432" w:hRule="atLeast"/>
          <w:jc w:val="center"/>
        </w:trPr>
        <w:tc>
          <w:tcPr>
            <w:tcW w:w="894" w:type="dxa"/>
            <w:vMerge w:val="continue"/>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jc w:val="center"/>
              <w:rPr>
                <w:rFonts w:ascii="宋体" w:cs="宋体"/>
                <w:color w:val="auto"/>
                <w:sz w:val="24"/>
                <w:szCs w:val="24"/>
                <w:highlight w:val="none"/>
              </w:rPr>
            </w:pPr>
          </w:p>
        </w:tc>
        <w:tc>
          <w:tcPr>
            <w:tcW w:w="8448" w:type="dxa"/>
            <w:gridSpan w:val="7"/>
            <w:tcBorders>
              <w:top w:val="single" w:color="auto" w:sz="6" w:space="0"/>
              <w:left w:val="single" w:color="auto" w:sz="6" w:space="0"/>
              <w:bottom w:val="single" w:color="auto" w:sz="6" w:space="0"/>
              <w:right w:val="single" w:color="auto" w:sz="6" w:space="0"/>
            </w:tcBorders>
            <w:noWrap w:val="0"/>
            <w:vAlign w:val="top"/>
          </w:tcPr>
          <w:p>
            <w:pPr>
              <w:shd w:val="clear" w:color="auto" w:fill="auto"/>
              <w:autoSpaceDE w:val="0"/>
              <w:autoSpaceDN w:val="0"/>
              <w:spacing w:line="360" w:lineRule="auto"/>
              <w:rPr>
                <w:rFonts w:ascii="宋体" w:cs="宋体"/>
                <w:color w:val="auto"/>
                <w:sz w:val="24"/>
                <w:szCs w:val="24"/>
                <w:highlight w:val="none"/>
              </w:rPr>
            </w:pPr>
            <w:r>
              <w:rPr>
                <w:rFonts w:hint="eastAsia" w:ascii="宋体" w:hAnsi="宋体" w:cs="宋体"/>
                <w:color w:val="auto"/>
                <w:sz w:val="24"/>
                <w:szCs w:val="24"/>
                <w:highlight w:val="none"/>
                <w:lang w:val="zh-CN"/>
              </w:rPr>
              <w:t>大写：</w:t>
            </w:r>
          </w:p>
        </w:tc>
      </w:tr>
    </w:tbl>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hint="eastAsia" w:ascii="宋体" w:hAnsi="宋体" w:cs="宋体"/>
          <w:color w:val="auto"/>
          <w:sz w:val="24"/>
          <w:szCs w:val="24"/>
          <w:highlight w:val="none"/>
          <w:lang w:val="zh-CN"/>
        </w:rPr>
        <w:t>三、质量要求及供方对质量负责条件和期限：</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ascii="宋体" w:hAnsi="宋体" w:cs="宋体"/>
          <w:color w:val="auto"/>
          <w:sz w:val="24"/>
          <w:szCs w:val="24"/>
          <w:highlight w:val="none"/>
        </w:rPr>
        <w:t>1</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供应商应提供满足技术要求的全新教材，供应商必须承诺所经销的出版物均为正版，严禁盗版出版物。如在项目执行或供货过程中发现盗版出版物，则由供应商承担由此引起的一切法律和经济责任，采购人有权立即终止合同并拒付全部货款。</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ascii="宋体" w:hAnsi="宋体" w:cs="宋体"/>
          <w:color w:val="auto"/>
          <w:sz w:val="24"/>
          <w:szCs w:val="24"/>
          <w:highlight w:val="none"/>
        </w:rPr>
        <w:t>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供方保证全部按照合同规定的时间和方式向需方提供货物和服务，并负责可能的弥补缺陷。需方对货物有异议的应在收到货物后</w:t>
      </w:r>
      <w:r>
        <w:rPr>
          <w:rFonts w:ascii="宋体" w:hAnsi="宋体" w:cs="宋体"/>
          <w:color w:val="auto"/>
          <w:sz w:val="24"/>
          <w:szCs w:val="24"/>
          <w:highlight w:val="none"/>
          <w:u w:val="single"/>
          <w:lang w:val="zh-CN"/>
        </w:rPr>
        <w:t xml:space="preserve">  </w:t>
      </w:r>
      <w:r>
        <w:rPr>
          <w:rFonts w:ascii="宋体" w:hAnsi="宋体" w:cs="宋体"/>
          <w:color w:val="auto"/>
          <w:sz w:val="24"/>
          <w:szCs w:val="24"/>
          <w:highlight w:val="none"/>
          <w:u w:val="single"/>
        </w:rPr>
        <w:t xml:space="preserve">15 </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日内以书面形式向供方提出。</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ascii="宋体" w:hAnsi="宋体" w:cs="宋体"/>
          <w:color w:val="auto"/>
          <w:sz w:val="24"/>
          <w:szCs w:val="24"/>
          <w:highlight w:val="none"/>
        </w:rPr>
        <w:t>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出版物分拣和打包要准确，并确保无褶皱、无污损。否则，投标人应在</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日内无条件调换到位。</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ascii="宋体" w:hAnsi="宋体" w:cs="宋体"/>
          <w:color w:val="auto"/>
          <w:sz w:val="24"/>
          <w:szCs w:val="24"/>
          <w:highlight w:val="none"/>
          <w:lang w:val="zh-CN"/>
        </w:rPr>
        <w:t>4</w:t>
      </w:r>
      <w:r>
        <w:rPr>
          <w:rFonts w:hint="eastAsia" w:ascii="宋体" w:hAnsi="宋体" w:cs="宋体"/>
          <w:color w:val="auto"/>
          <w:sz w:val="24"/>
          <w:szCs w:val="24"/>
          <w:highlight w:val="none"/>
          <w:lang w:val="zh-CN"/>
        </w:rPr>
        <w:t>、</w:t>
      </w:r>
      <w:r>
        <w:rPr>
          <w:rFonts w:ascii="宋体" w:hAnsi="宋体" w:cs="宋体"/>
          <w:color w:val="auto"/>
          <w:sz w:val="24"/>
          <w:szCs w:val="24"/>
          <w:highlight w:val="none"/>
          <w:lang w:val="zh-CN"/>
        </w:rPr>
        <w:t xml:space="preserve"> </w:t>
      </w:r>
      <w:r>
        <w:rPr>
          <w:rFonts w:hint="eastAsia" w:ascii="宋体" w:hAnsi="宋体" w:cs="宋体"/>
          <w:color w:val="auto"/>
          <w:sz w:val="24"/>
          <w:szCs w:val="24"/>
          <w:highlight w:val="none"/>
          <w:lang w:val="zh-CN"/>
        </w:rPr>
        <w:t>中标人在配送出版物时</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zh-CN"/>
        </w:rPr>
        <w:t>日内无条件退补错发、漏发与《书目》不符的教材。</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ascii="宋体" w:hAnsi="宋体" w:cs="宋体"/>
          <w:color w:val="auto"/>
          <w:sz w:val="24"/>
          <w:szCs w:val="24"/>
          <w:highlight w:val="none"/>
          <w:lang w:val="zh-CN"/>
        </w:rPr>
        <w:t>5</w:t>
      </w:r>
      <w:r>
        <w:rPr>
          <w:rFonts w:hint="eastAsia" w:ascii="宋体" w:hAnsi="宋体" w:cs="宋体"/>
          <w:color w:val="auto"/>
          <w:sz w:val="24"/>
          <w:szCs w:val="24"/>
          <w:highlight w:val="none"/>
          <w:lang w:val="zh-CN"/>
        </w:rPr>
        <w:t>、发货单与签收单内容必须一致，并签章备据。</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hint="eastAsia" w:ascii="宋体" w:hAnsi="宋体" w:cs="宋体"/>
          <w:color w:val="auto"/>
          <w:sz w:val="24"/>
          <w:szCs w:val="24"/>
          <w:highlight w:val="none"/>
          <w:lang w:val="zh-CN"/>
        </w:rPr>
        <w:t>四、售后服务承诺：</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ascii="宋体" w:hAnsi="宋体" w:cs="宋体"/>
          <w:color w:val="auto"/>
          <w:sz w:val="24"/>
          <w:szCs w:val="24"/>
          <w:highlight w:val="none"/>
        </w:rPr>
        <w:t>1</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售后服务响应时间：</w:t>
      </w:r>
    </w:p>
    <w:p>
      <w:pPr>
        <w:shd w:val="clear" w:color="auto" w:fill="auto"/>
        <w:autoSpaceDE w:val="0"/>
        <w:autoSpaceDN w:val="0"/>
        <w:spacing w:line="360" w:lineRule="auto"/>
        <w:rPr>
          <w:rFonts w:ascii="宋体" w:cs="宋体"/>
          <w:color w:val="auto"/>
          <w:sz w:val="24"/>
          <w:szCs w:val="24"/>
          <w:highlight w:val="none"/>
          <w:lang w:val="zh-CN"/>
        </w:rPr>
      </w:pPr>
      <w:r>
        <w:rPr>
          <w:rFonts w:ascii="宋体" w:hAnsi="宋体" w:cs="宋体"/>
          <w:color w:val="auto"/>
          <w:sz w:val="24"/>
          <w:szCs w:val="24"/>
          <w:highlight w:val="none"/>
        </w:rPr>
        <w:t xml:space="preserve">    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解决问题时间：</w:t>
      </w:r>
    </w:p>
    <w:p>
      <w:pPr>
        <w:shd w:val="clear" w:color="auto" w:fill="auto"/>
        <w:autoSpaceDE w:val="0"/>
        <w:autoSpaceDN w:val="0"/>
        <w:spacing w:line="360" w:lineRule="auto"/>
        <w:rPr>
          <w:rFonts w:ascii="宋体" w:cs="宋体"/>
          <w:color w:val="auto"/>
          <w:sz w:val="24"/>
          <w:szCs w:val="24"/>
          <w:highlight w:val="none"/>
          <w:lang w:val="zh-CN"/>
        </w:rPr>
      </w:pPr>
      <w:r>
        <w:rPr>
          <w:rFonts w:ascii="宋体" w:hAnsi="宋体" w:cs="宋体"/>
          <w:color w:val="auto"/>
          <w:sz w:val="24"/>
          <w:szCs w:val="24"/>
          <w:highlight w:val="none"/>
        </w:rPr>
        <w:t xml:space="preserve">    3</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售后服务机构名称、地址及联系方式：</w:t>
      </w:r>
    </w:p>
    <w:p>
      <w:pPr>
        <w:numPr>
          <w:ilvl w:val="0"/>
          <w:numId w:val="10"/>
        </w:numPr>
        <w:shd w:val="clear" w:color="auto" w:fill="auto"/>
        <w:autoSpaceDE w:val="0"/>
        <w:autoSpaceDN w:val="0"/>
        <w:adjustRightInd w:val="0"/>
        <w:spacing w:line="360" w:lineRule="auto"/>
        <w:ind w:firstLine="480" w:firstLineChars="200"/>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合同履行地点及进度：</w:t>
      </w:r>
    </w:p>
    <w:p>
      <w:pPr>
        <w:numPr>
          <w:ilvl w:val="0"/>
          <w:numId w:val="0"/>
        </w:numPr>
        <w:shd w:val="clear" w:color="auto" w:fill="auto"/>
        <w:autoSpaceDE w:val="0"/>
        <w:autoSpaceDN w:val="0"/>
        <w:adjustRightInd w:val="0"/>
        <w:spacing w:line="360" w:lineRule="auto"/>
        <w:ind w:firstLine="480" w:firstLineChars="200"/>
        <w:rPr>
          <w:rFonts w:ascii="宋体" w:cs="宋体"/>
          <w:color w:val="auto"/>
          <w:sz w:val="24"/>
          <w:szCs w:val="24"/>
          <w:highlight w:val="none"/>
          <w:lang w:val="zh-CN"/>
        </w:rPr>
      </w:pPr>
      <w:r>
        <w:rPr>
          <w:rFonts w:hint="eastAsia" w:ascii="宋体" w:hAnsi="宋体" w:cs="宋体"/>
          <w:color w:val="auto"/>
          <w:sz w:val="24"/>
          <w:szCs w:val="24"/>
          <w:highlight w:val="none"/>
          <w:lang w:val="zh-CN"/>
        </w:rPr>
        <w:t>合同生效后，供方应于年月日前按需方要求在</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none"/>
          <w:lang w:val="zh-CN"/>
        </w:rPr>
        <w:t>（</w:t>
      </w:r>
      <w:r>
        <w:rPr>
          <w:rFonts w:hint="eastAsia" w:ascii="宋体" w:hAnsi="宋体" w:cs="宋体"/>
          <w:color w:val="auto"/>
          <w:sz w:val="24"/>
          <w:szCs w:val="24"/>
          <w:highlight w:val="none"/>
          <w:lang w:val="zh-CN"/>
        </w:rPr>
        <w:t>需方指定的地点）完成本项目的配送。货物运送的费用由供方负责。需方应在货物到达指定地点后，提供符合安装条件的环境等。</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hint="eastAsia" w:ascii="宋体" w:hAnsi="宋体" w:cs="宋体"/>
          <w:color w:val="auto"/>
          <w:sz w:val="24"/>
          <w:szCs w:val="24"/>
          <w:highlight w:val="none"/>
          <w:lang w:val="zh-CN"/>
        </w:rPr>
        <w:t>六、供方在交付货物时应向需方提供货物的使用说明、合格证书及其它相关资料，否则按不能交货对待。</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hint="eastAsia" w:ascii="宋体" w:hAnsi="宋体" w:cs="宋体"/>
          <w:color w:val="auto"/>
          <w:sz w:val="24"/>
          <w:szCs w:val="24"/>
          <w:highlight w:val="none"/>
          <w:lang w:val="zh-CN"/>
        </w:rPr>
        <w:t>七、人员培训：供方免费对需方人员进行技术培训，直到需方人员熟练操作或掌握为准。</w:t>
      </w:r>
    </w:p>
    <w:p>
      <w:pPr>
        <w:shd w:val="clear" w:color="auto" w:fill="auto"/>
        <w:autoSpaceDE w:val="0"/>
        <w:autoSpaceDN w:val="0"/>
        <w:spacing w:line="360" w:lineRule="auto"/>
        <w:ind w:firstLine="480" w:firstLineChars="200"/>
        <w:rPr>
          <w:rFonts w:ascii="宋体" w:cs="宋体"/>
          <w:color w:val="auto"/>
          <w:sz w:val="24"/>
          <w:szCs w:val="24"/>
          <w:highlight w:val="none"/>
          <w:u w:val="single"/>
          <w:lang w:val="zh-CN"/>
        </w:rPr>
      </w:pPr>
      <w:r>
        <w:rPr>
          <w:rFonts w:hint="eastAsia" w:ascii="宋体" w:hAnsi="宋体" w:cs="宋体"/>
          <w:color w:val="auto"/>
          <w:sz w:val="24"/>
          <w:szCs w:val="24"/>
          <w:highlight w:val="none"/>
          <w:lang w:val="zh-CN"/>
        </w:rPr>
        <w:t>培训地点：</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；培训时间：</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；培训人数：</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zh-CN"/>
        </w:rPr>
        <w:t>；</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hint="eastAsia" w:ascii="宋体" w:hAnsi="宋体" w:cs="宋体"/>
          <w:color w:val="auto"/>
          <w:sz w:val="24"/>
          <w:szCs w:val="24"/>
          <w:highlight w:val="none"/>
          <w:lang w:val="zh-CN"/>
        </w:rPr>
        <w:t>培训方式：</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hint="eastAsia" w:ascii="宋体" w:hAnsi="宋体" w:cs="宋体"/>
          <w:color w:val="auto"/>
          <w:sz w:val="24"/>
          <w:szCs w:val="24"/>
          <w:highlight w:val="none"/>
          <w:lang w:val="zh-CN"/>
        </w:rPr>
        <w:t>八、验收要求。</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ascii="宋体" w:hAnsi="宋体" w:cs="宋体"/>
          <w:color w:val="auto"/>
          <w:sz w:val="24"/>
          <w:szCs w:val="24"/>
          <w:highlight w:val="none"/>
        </w:rPr>
        <w:t>1</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供货完毕后，由需方根据合同、招标文件和投标文件进行验收，验收合格后签署货物验收单。</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ascii="宋体" w:hAnsi="宋体" w:cs="宋体"/>
          <w:color w:val="auto"/>
          <w:sz w:val="24"/>
          <w:szCs w:val="24"/>
          <w:highlight w:val="none"/>
        </w:rPr>
        <w:t>2</w:t>
      </w:r>
      <w:r>
        <w:rPr>
          <w:rFonts w:hint="eastAsia" w:ascii="宋体" w:hAnsi="宋体" w:cs="宋体"/>
          <w:color w:val="auto"/>
          <w:sz w:val="24"/>
          <w:szCs w:val="24"/>
          <w:highlight w:val="none"/>
        </w:rPr>
        <w:t>、</w:t>
      </w:r>
      <w:r>
        <w:rPr>
          <w:rFonts w:hint="eastAsia" w:ascii="宋体" w:hAnsi="宋体" w:cs="宋体"/>
          <w:color w:val="auto"/>
          <w:sz w:val="24"/>
          <w:szCs w:val="24"/>
          <w:highlight w:val="none"/>
          <w:lang w:val="zh-CN"/>
        </w:rPr>
        <w:t>验收条件：由中标人提供各类教材的出版社的供货证明材料原件，同时提供发行单、签收单证明材料原件。</w:t>
      </w:r>
    </w:p>
    <w:p>
      <w:pPr>
        <w:numPr>
          <w:ilvl w:val="0"/>
          <w:numId w:val="11"/>
        </w:num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hint="eastAsia" w:ascii="宋体" w:hAnsi="宋体" w:cs="宋体"/>
          <w:color w:val="auto"/>
          <w:sz w:val="24"/>
          <w:szCs w:val="24"/>
          <w:highlight w:val="none"/>
          <w:lang w:val="zh-CN"/>
        </w:rPr>
        <w:t>付款程序及期限：</w:t>
      </w:r>
    </w:p>
    <w:p>
      <w:pPr>
        <w:shd w:val="clear" w:color="auto" w:fill="auto"/>
        <w:autoSpaceDE w:val="0"/>
        <w:autoSpaceDN w:val="0"/>
        <w:spacing w:line="360" w:lineRule="auto"/>
        <w:ind w:firstLine="480" w:firstLineChars="200"/>
        <w:rPr>
          <w:rFonts w:ascii="宋体" w:cs="宋体"/>
          <w:color w:val="auto"/>
          <w:sz w:val="24"/>
          <w:szCs w:val="24"/>
          <w:highlight w:val="none"/>
        </w:rPr>
      </w:pPr>
      <w:r>
        <w:rPr>
          <w:rFonts w:ascii="宋体" w:hAnsi="宋体" w:cs="宋体"/>
          <w:color w:val="auto"/>
          <w:sz w:val="24"/>
          <w:szCs w:val="24"/>
          <w:highlight w:val="none"/>
        </w:rPr>
        <w:t>1</w:t>
      </w:r>
      <w:r>
        <w:rPr>
          <w:rFonts w:hint="eastAsia" w:ascii="宋体" w:hAnsi="宋体" w:cs="宋体"/>
          <w:color w:val="auto"/>
          <w:sz w:val="24"/>
          <w:szCs w:val="24"/>
          <w:highlight w:val="none"/>
        </w:rPr>
        <w:t>、</w:t>
      </w:r>
      <w:r>
        <w:rPr>
          <w:rFonts w:hint="eastAsia" w:ascii="宋体" w:hAnsi="宋体" w:cs="宋体"/>
          <w:color w:val="auto"/>
          <w:sz w:val="24"/>
          <w:szCs w:val="24"/>
          <w:highlight w:val="none"/>
          <w:lang w:eastAsia="zh-CN"/>
        </w:rPr>
        <w:t>供应商</w:t>
      </w:r>
      <w:r>
        <w:rPr>
          <w:rFonts w:hint="eastAsia" w:ascii="宋体" w:hAnsi="宋体" w:cs="宋体"/>
          <w:color w:val="auto"/>
          <w:sz w:val="24"/>
          <w:szCs w:val="24"/>
          <w:highlight w:val="none"/>
        </w:rPr>
        <w:t>须提交</w:t>
      </w:r>
      <w:r>
        <w:rPr>
          <w:rFonts w:hint="eastAsia" w:ascii="宋体" w:hAnsi="宋体" w:cs="宋体"/>
          <w:color w:val="auto"/>
          <w:sz w:val="24"/>
          <w:szCs w:val="24"/>
          <w:highlight w:val="none"/>
          <w:lang w:eastAsia="zh-CN"/>
        </w:rPr>
        <w:t>以下</w:t>
      </w:r>
      <w:r>
        <w:rPr>
          <w:rFonts w:hint="eastAsia" w:ascii="宋体" w:hAnsi="宋体" w:cs="宋体"/>
          <w:color w:val="auto"/>
          <w:sz w:val="24"/>
          <w:szCs w:val="24"/>
          <w:highlight w:val="none"/>
        </w:rPr>
        <w:t>文件：合同、由需方签字的验收报告或第三方验收或由第三方验收检验报告及购销发票。</w:t>
      </w:r>
    </w:p>
    <w:p>
      <w:pPr>
        <w:shd w:val="clear" w:color="auto" w:fill="auto"/>
        <w:autoSpaceDE w:val="0"/>
        <w:autoSpaceDN w:val="0"/>
        <w:spacing w:line="360" w:lineRule="auto"/>
        <w:ind w:firstLine="480" w:firstLineChars="200"/>
        <w:rPr>
          <w:rFonts w:ascii="宋体" w:cs="宋体"/>
          <w:color w:val="auto"/>
          <w:sz w:val="24"/>
          <w:szCs w:val="24"/>
          <w:highlight w:val="none"/>
        </w:rPr>
      </w:pPr>
      <w:r>
        <w:rPr>
          <w:rFonts w:ascii="宋体" w:hAnsi="宋体" w:cs="宋体"/>
          <w:color w:val="auto"/>
          <w:sz w:val="24"/>
          <w:szCs w:val="24"/>
          <w:highlight w:val="none"/>
        </w:rPr>
        <w:t>2</w:t>
      </w:r>
      <w:r>
        <w:rPr>
          <w:rFonts w:hint="eastAsia" w:ascii="宋体" w:hAnsi="宋体" w:cs="宋体"/>
          <w:color w:val="auto"/>
          <w:sz w:val="24"/>
          <w:szCs w:val="24"/>
          <w:highlight w:val="none"/>
        </w:rPr>
        <w:t>、付款方式：</w:t>
      </w:r>
      <w:r>
        <w:rPr>
          <w:rFonts w:hint="eastAsia" w:ascii="宋体" w:hAnsi="宋体" w:cs="宋体"/>
          <w:color w:val="auto"/>
          <w:sz w:val="24"/>
          <w:szCs w:val="24"/>
          <w:highlight w:val="none"/>
          <w:lang w:val="en-US" w:eastAsia="zh-CN"/>
        </w:rPr>
        <w:t>2020-2021年</w:t>
      </w:r>
      <w:r>
        <w:rPr>
          <w:rFonts w:hint="eastAsia" w:ascii="宋体" w:hAnsi="宋体" w:cs="宋体"/>
          <w:color w:val="auto"/>
          <w:sz w:val="24"/>
          <w:szCs w:val="24"/>
          <w:highlight w:val="none"/>
          <w:lang w:eastAsia="zh-CN"/>
        </w:rPr>
        <w:t>秋季和春季教材费用分别结算，待当学年季度全部供书结束后，一次性付清</w:t>
      </w:r>
      <w:r>
        <w:rPr>
          <w:rFonts w:hint="eastAsia" w:ascii="宋体" w:hAnsi="宋体" w:cs="宋体"/>
          <w:color w:val="auto"/>
          <w:sz w:val="24"/>
          <w:szCs w:val="24"/>
          <w:highlight w:val="none"/>
        </w:rPr>
        <w:t>。</w:t>
      </w:r>
    </w:p>
    <w:p>
      <w:pPr>
        <w:shd w:val="clear" w:color="auto" w:fill="auto"/>
        <w:autoSpaceDE w:val="0"/>
        <w:autoSpaceDN w:val="0"/>
        <w:spacing w:line="360" w:lineRule="auto"/>
        <w:rPr>
          <w:rFonts w:ascii="宋体" w:cs="宋体"/>
          <w:color w:val="auto"/>
          <w:sz w:val="24"/>
          <w:szCs w:val="24"/>
          <w:highlight w:val="none"/>
          <w:lang w:val="zh-CN"/>
        </w:rPr>
      </w:pPr>
      <w:r>
        <w:rPr>
          <w:rFonts w:hint="eastAsia" w:ascii="宋体" w:hAnsi="宋体" w:cs="宋体"/>
          <w:color w:val="auto"/>
          <w:sz w:val="24"/>
          <w:szCs w:val="24"/>
          <w:highlight w:val="none"/>
        </w:rPr>
        <w:t>注：每次付款前，供货方应按按采购方要求提供满足要求的付款申请及增值税发票。</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hint="eastAsia" w:ascii="宋体" w:hAnsi="宋体" w:cs="宋体"/>
          <w:color w:val="auto"/>
          <w:sz w:val="24"/>
          <w:szCs w:val="24"/>
          <w:highlight w:val="none"/>
          <w:lang w:val="zh-CN"/>
        </w:rPr>
        <w:t>十、违约责任：</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hint="eastAsia" w:ascii="宋体" w:hAnsi="宋体" w:cs="宋体"/>
          <w:color w:val="auto"/>
          <w:sz w:val="24"/>
          <w:szCs w:val="24"/>
          <w:highlight w:val="none"/>
          <w:lang w:val="zh-CN"/>
        </w:rPr>
        <w:t>供方所交付的货物品种、型号、规格、质量不符合招标文件和投标文件的，或者供方不能交付货物或完成系统安装、调试的，供方应向需方支付合同金额总值</w:t>
      </w:r>
      <w:r>
        <w:rPr>
          <w:rFonts w:ascii="宋体" w:hAnsi="宋体" w:cs="宋体"/>
          <w:color w:val="auto"/>
          <w:sz w:val="24"/>
          <w:szCs w:val="24"/>
          <w:highlight w:val="none"/>
          <w:u w:val="single"/>
        </w:rPr>
        <w:t>30</w:t>
      </w:r>
      <w:r>
        <w:rPr>
          <w:rFonts w:ascii="宋体" w:hAnsi="宋体" w:cs="宋体"/>
          <w:color w:val="auto"/>
          <w:sz w:val="24"/>
          <w:szCs w:val="24"/>
          <w:highlight w:val="none"/>
          <w:lang w:val="zh-CN"/>
        </w:rPr>
        <w:t>%</w:t>
      </w:r>
      <w:r>
        <w:rPr>
          <w:rFonts w:hint="eastAsia" w:ascii="宋体" w:hAnsi="宋体" w:cs="宋体"/>
          <w:color w:val="auto"/>
          <w:sz w:val="24"/>
          <w:szCs w:val="24"/>
          <w:highlight w:val="none"/>
          <w:lang w:val="zh-CN"/>
        </w:rPr>
        <w:t>的违约金，需方有权解除合同，并要求赔偿损失。供方如逾期完成的，每逾期一日供方应向需方支付合同金额的</w:t>
      </w:r>
      <w:r>
        <w:rPr>
          <w:rFonts w:ascii="宋体" w:hAnsi="宋体" w:cs="宋体"/>
          <w:color w:val="auto"/>
          <w:sz w:val="24"/>
          <w:szCs w:val="24"/>
          <w:highlight w:val="none"/>
          <w:u w:val="single"/>
        </w:rPr>
        <w:t>0.1</w:t>
      </w:r>
      <w:r>
        <w:rPr>
          <w:rFonts w:ascii="宋体" w:hAnsi="宋体" w:cs="宋体"/>
          <w:color w:val="auto"/>
          <w:sz w:val="24"/>
          <w:szCs w:val="24"/>
          <w:highlight w:val="none"/>
          <w:lang w:val="zh-CN"/>
        </w:rPr>
        <w:t>%</w:t>
      </w:r>
      <w:r>
        <w:rPr>
          <w:rFonts w:hint="eastAsia" w:ascii="宋体" w:hAnsi="宋体" w:cs="宋体"/>
          <w:color w:val="auto"/>
          <w:sz w:val="24"/>
          <w:szCs w:val="24"/>
          <w:highlight w:val="none"/>
          <w:lang w:val="zh-CN"/>
        </w:rPr>
        <w:t>违约金。</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hint="eastAsia" w:ascii="宋体" w:hAnsi="宋体" w:cs="宋体"/>
          <w:color w:val="auto"/>
          <w:sz w:val="24"/>
          <w:szCs w:val="24"/>
          <w:highlight w:val="none"/>
          <w:lang w:val="zh-CN"/>
        </w:rPr>
        <w:t>十一、因货物的质量问题发生争议的，由</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zh-CN"/>
        </w:rPr>
        <w:t>河南省或郑州市</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质量检测机构进行质量检测或鉴定。</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hint="eastAsia" w:ascii="宋体" w:hAnsi="宋体" w:cs="宋体"/>
          <w:color w:val="auto"/>
          <w:sz w:val="24"/>
          <w:szCs w:val="24"/>
          <w:highlight w:val="none"/>
          <w:lang w:val="zh-CN"/>
        </w:rPr>
        <w:t>十二、本合同签订和履行适用中华人民共和国法律，因履行合同发生的争议，由供需双方友好协商解决，如协商不成的，任何一方均可在</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zh-CN"/>
        </w:rPr>
        <w:t>采购方所在地</w:t>
      </w:r>
      <w:r>
        <w:rPr>
          <w:rFonts w:ascii="宋体" w:hAnsi="宋体" w:cs="宋体"/>
          <w:color w:val="auto"/>
          <w:sz w:val="24"/>
          <w:szCs w:val="24"/>
          <w:highlight w:val="none"/>
          <w:u w:val="single"/>
          <w:lang w:val="zh-CN"/>
        </w:rPr>
        <w:t xml:space="preserve"> </w:t>
      </w:r>
      <w:r>
        <w:rPr>
          <w:rFonts w:hint="eastAsia" w:ascii="宋体" w:hAnsi="宋体" w:cs="宋体"/>
          <w:color w:val="auto"/>
          <w:sz w:val="24"/>
          <w:szCs w:val="24"/>
          <w:highlight w:val="none"/>
          <w:lang w:val="zh-CN"/>
        </w:rPr>
        <w:t>人民法院提起诉讼。</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hint="eastAsia" w:ascii="宋体" w:hAnsi="宋体" w:cs="宋体"/>
          <w:color w:val="auto"/>
          <w:sz w:val="24"/>
          <w:szCs w:val="24"/>
          <w:highlight w:val="none"/>
          <w:lang w:val="zh-CN"/>
        </w:rPr>
        <w:t>十三、本合同未尽事宜，供需双方可签订补充协议，与本合同具有同等法律效力，但不能违反招标文件及供方的投标文件的内容。</w:t>
      </w:r>
    </w:p>
    <w:p>
      <w:pPr>
        <w:shd w:val="clear" w:color="auto" w:fill="auto"/>
        <w:spacing w:line="360" w:lineRule="auto"/>
        <w:ind w:firstLine="480" w:firstLineChars="200"/>
        <w:rPr>
          <w:rFonts w:ascii="宋体" w:cs="宋体"/>
          <w:color w:val="auto"/>
          <w:sz w:val="24"/>
          <w:szCs w:val="24"/>
          <w:highlight w:val="none"/>
        </w:rPr>
      </w:pPr>
      <w:r>
        <w:rPr>
          <w:rFonts w:hint="eastAsia" w:ascii="宋体" w:hAnsi="宋体" w:cs="宋体"/>
          <w:color w:val="auto"/>
          <w:sz w:val="24"/>
          <w:szCs w:val="24"/>
          <w:highlight w:val="none"/>
        </w:rPr>
        <w:t>十四、知识产权：</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hint="eastAsia" w:ascii="宋体" w:hAnsi="宋体" w:cs="宋体"/>
          <w:color w:val="auto"/>
          <w:sz w:val="24"/>
          <w:szCs w:val="24"/>
          <w:highlight w:val="none"/>
        </w:rPr>
        <w:t>供方须保障需方在使用该项目或其任何一部分时不受到第三方关于侵犯专利权、商标权或工业设计</w:t>
      </w:r>
      <w:r>
        <w:rPr>
          <w:rFonts w:hint="eastAsia" w:ascii="宋体" w:hAnsi="宋体" w:cs="宋体"/>
          <w:color w:val="auto"/>
          <w:sz w:val="24"/>
          <w:szCs w:val="24"/>
          <w:highlight w:val="none"/>
          <w:lang w:val="zh-CN"/>
        </w:rPr>
        <w:t>权的指控，如果任何第三方提出侵权指控，供方须与第三方交涉并承担可能发生的一切费用，如需方因此而遭致损失的，供方应赔偿该损失。</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hint="eastAsia" w:ascii="宋体" w:hAnsi="宋体" w:cs="宋体"/>
          <w:color w:val="auto"/>
          <w:sz w:val="24"/>
          <w:szCs w:val="24"/>
          <w:highlight w:val="none"/>
          <w:lang w:val="zh-CN"/>
        </w:rPr>
        <w:t>十五、招标文件及其修改和澄清、供方的投标文件及其在投标中的有关承诺及声明均为本合同的组成部分。</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hint="eastAsia" w:ascii="宋体" w:hAnsi="宋体" w:cs="宋体"/>
          <w:color w:val="auto"/>
          <w:sz w:val="24"/>
          <w:szCs w:val="24"/>
          <w:highlight w:val="none"/>
          <w:lang w:val="zh-CN"/>
        </w:rPr>
        <w:t>十六、合同生效</w:t>
      </w:r>
    </w:p>
    <w:p>
      <w:pPr>
        <w:shd w:val="clear" w:color="auto" w:fill="auto"/>
        <w:autoSpaceDE w:val="0"/>
        <w:autoSpaceDN w:val="0"/>
        <w:spacing w:line="360" w:lineRule="auto"/>
        <w:ind w:firstLine="480" w:firstLineChars="200"/>
        <w:rPr>
          <w:rFonts w:ascii="宋体" w:cs="宋体"/>
          <w:color w:val="auto"/>
          <w:sz w:val="24"/>
          <w:szCs w:val="24"/>
          <w:highlight w:val="none"/>
          <w:lang w:val="zh-CN"/>
        </w:rPr>
      </w:pPr>
      <w:r>
        <w:rPr>
          <w:rFonts w:ascii="宋体" w:hAnsi="宋体" w:cs="宋体"/>
          <w:color w:val="auto"/>
          <w:sz w:val="24"/>
          <w:szCs w:val="24"/>
          <w:highlight w:val="none"/>
          <w:lang w:val="zh-CN"/>
        </w:rPr>
        <w:t>1</w:t>
      </w:r>
      <w:r>
        <w:rPr>
          <w:rFonts w:hint="eastAsia" w:ascii="宋体" w:hAnsi="宋体" w:cs="宋体"/>
          <w:color w:val="auto"/>
          <w:sz w:val="24"/>
          <w:szCs w:val="24"/>
          <w:highlight w:val="none"/>
          <w:lang w:val="zh-CN"/>
        </w:rPr>
        <w:t>、本合同经双方代表签字并加盖公章后生效。</w:t>
      </w:r>
    </w:p>
    <w:p>
      <w:pPr>
        <w:shd w:val="clear" w:color="auto" w:fill="auto"/>
        <w:autoSpaceDE w:val="0"/>
        <w:autoSpaceDN w:val="0"/>
        <w:spacing w:line="360" w:lineRule="auto"/>
        <w:ind w:firstLine="480" w:firstLineChars="200"/>
        <w:rPr>
          <w:rFonts w:ascii="宋体" w:cs="宋体"/>
          <w:color w:val="auto"/>
          <w:sz w:val="24"/>
          <w:szCs w:val="24"/>
          <w:highlight w:val="none"/>
        </w:rPr>
      </w:pPr>
      <w:r>
        <w:rPr>
          <w:rFonts w:ascii="宋体" w:hAnsi="宋体" w:cs="宋体"/>
          <w:color w:val="auto"/>
          <w:sz w:val="24"/>
          <w:szCs w:val="24"/>
          <w:highlight w:val="none"/>
          <w:lang w:val="zh-CN"/>
        </w:rPr>
        <w:t>2</w:t>
      </w:r>
      <w:r>
        <w:rPr>
          <w:rFonts w:hint="eastAsia" w:ascii="宋体" w:hAnsi="宋体" w:cs="宋体"/>
          <w:color w:val="auto"/>
          <w:sz w:val="24"/>
          <w:szCs w:val="24"/>
          <w:highlight w:val="none"/>
          <w:lang w:val="zh-CN"/>
        </w:rPr>
        <w:t>、本合同一式肆份，供方</w:t>
      </w:r>
      <w:r>
        <w:rPr>
          <w:rFonts w:hint="eastAsia" w:ascii="宋体" w:hAnsi="宋体" w:cs="宋体"/>
          <w:color w:val="auto"/>
          <w:sz w:val="24"/>
          <w:szCs w:val="24"/>
          <w:highlight w:val="none"/>
        </w:rPr>
        <w:t>贰</w:t>
      </w:r>
      <w:r>
        <w:rPr>
          <w:rFonts w:hint="eastAsia" w:ascii="宋体" w:hAnsi="宋体" w:cs="宋体"/>
          <w:color w:val="auto"/>
          <w:sz w:val="24"/>
          <w:szCs w:val="24"/>
          <w:highlight w:val="none"/>
          <w:lang w:val="zh-CN"/>
        </w:rPr>
        <w:t>份，需方贰份，</w:t>
      </w:r>
    </w:p>
    <w:p>
      <w:pPr>
        <w:pStyle w:val="27"/>
        <w:shd w:val="clear" w:color="auto" w:fill="auto"/>
        <w:spacing w:line="360" w:lineRule="auto"/>
        <w:ind w:firstLine="480" w:firstLineChars="200"/>
        <w:rPr>
          <w:rFonts w:ascii="宋体" w:hAnsi="宋体" w:eastAsia="宋体" w:cs="宋体"/>
          <w:color w:val="auto"/>
          <w:sz w:val="24"/>
          <w:szCs w:val="24"/>
          <w:highlight w:val="none"/>
        </w:rPr>
      </w:pPr>
    </w:p>
    <w:p>
      <w:pPr>
        <w:shd w:val="clear" w:color="auto" w:fill="auto"/>
        <w:spacing w:line="360" w:lineRule="auto"/>
        <w:rPr>
          <w:rFonts w:ascii="宋体" w:cs="宋体"/>
          <w:color w:val="auto"/>
          <w:sz w:val="24"/>
          <w:szCs w:val="24"/>
          <w:highlight w:val="none"/>
          <w:u w:val="single"/>
        </w:rPr>
      </w:pPr>
      <w:r>
        <w:rPr>
          <w:rFonts w:hint="eastAsia" w:ascii="宋体" w:hAnsi="宋体" w:cs="宋体"/>
          <w:color w:val="auto"/>
          <w:sz w:val="24"/>
          <w:szCs w:val="24"/>
          <w:highlight w:val="none"/>
        </w:rPr>
        <w:t>供方（公章）：</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需方（公章）：</w:t>
      </w:r>
      <w:r>
        <w:rPr>
          <w:rFonts w:ascii="宋体" w:hAnsi="宋体" w:cs="宋体"/>
          <w:color w:val="auto"/>
          <w:sz w:val="24"/>
          <w:szCs w:val="24"/>
          <w:highlight w:val="none"/>
          <w:u w:val="single"/>
        </w:rPr>
        <w:t xml:space="preserve">                      </w:t>
      </w:r>
    </w:p>
    <w:p>
      <w:pPr>
        <w:shd w:val="clear" w:color="auto" w:fill="auto"/>
        <w:spacing w:line="360" w:lineRule="auto"/>
        <w:rPr>
          <w:rFonts w:ascii="宋体" w:cs="宋体"/>
          <w:color w:val="auto"/>
          <w:sz w:val="24"/>
          <w:szCs w:val="24"/>
          <w:highlight w:val="none"/>
          <w:u w:val="single"/>
        </w:rPr>
      </w:pPr>
      <w:r>
        <w:rPr>
          <w:rFonts w:hint="eastAsia" w:ascii="宋体" w:hAnsi="宋体" w:cs="宋体"/>
          <w:color w:val="auto"/>
          <w:sz w:val="24"/>
          <w:szCs w:val="24"/>
          <w:highlight w:val="none"/>
        </w:rPr>
        <w:t>地址：</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地址：</w:t>
      </w:r>
      <w:r>
        <w:rPr>
          <w:rFonts w:ascii="宋体" w:hAnsi="宋体" w:cs="宋体"/>
          <w:color w:val="auto"/>
          <w:sz w:val="24"/>
          <w:szCs w:val="24"/>
          <w:highlight w:val="none"/>
          <w:u w:val="single"/>
        </w:rPr>
        <w:t xml:space="preserve">                             </w:t>
      </w:r>
    </w:p>
    <w:p>
      <w:pPr>
        <w:shd w:val="clear" w:color="auto" w:fill="auto"/>
        <w:spacing w:line="360" w:lineRule="auto"/>
        <w:rPr>
          <w:rFonts w:ascii="宋体" w:cs="宋体"/>
          <w:color w:val="auto"/>
          <w:sz w:val="24"/>
          <w:szCs w:val="24"/>
          <w:highlight w:val="none"/>
          <w:u w:val="single"/>
        </w:rPr>
      </w:pPr>
      <w:r>
        <w:rPr>
          <w:rFonts w:hint="eastAsia" w:ascii="宋体" w:hAnsi="宋体" w:cs="宋体"/>
          <w:color w:val="auto"/>
          <w:sz w:val="24"/>
          <w:szCs w:val="24"/>
          <w:highlight w:val="none"/>
        </w:rPr>
        <w:t>法定代表人或被授权人（签字）：</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法定代表人或被授权人（签字）：</w:t>
      </w:r>
      <w:r>
        <w:rPr>
          <w:rFonts w:ascii="宋体" w:hAnsi="宋体" w:cs="宋体"/>
          <w:color w:val="auto"/>
          <w:sz w:val="24"/>
          <w:szCs w:val="24"/>
          <w:highlight w:val="none"/>
          <w:u w:val="single"/>
        </w:rPr>
        <w:t xml:space="preserve">      </w:t>
      </w:r>
    </w:p>
    <w:p>
      <w:pPr>
        <w:shd w:val="clear" w:color="auto" w:fill="auto"/>
        <w:spacing w:line="360" w:lineRule="auto"/>
        <w:rPr>
          <w:rFonts w:ascii="宋体" w:cs="宋体"/>
          <w:color w:val="auto"/>
          <w:sz w:val="24"/>
          <w:szCs w:val="24"/>
          <w:highlight w:val="none"/>
          <w:u w:val="single"/>
        </w:rPr>
      </w:pPr>
      <w:r>
        <w:rPr>
          <w:rFonts w:hint="eastAsia" w:ascii="宋体" w:hAnsi="宋体" w:cs="宋体"/>
          <w:color w:val="auto"/>
          <w:sz w:val="24"/>
          <w:szCs w:val="24"/>
          <w:highlight w:val="none"/>
        </w:rPr>
        <w:t>电话：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电话：</w:t>
      </w:r>
      <w:r>
        <w:rPr>
          <w:rFonts w:ascii="宋体" w:hAnsi="宋体" w:cs="宋体"/>
          <w:color w:val="auto"/>
          <w:sz w:val="24"/>
          <w:szCs w:val="24"/>
          <w:highlight w:val="none"/>
          <w:u w:val="single"/>
        </w:rPr>
        <w:t xml:space="preserve">                             </w:t>
      </w:r>
    </w:p>
    <w:p>
      <w:pPr>
        <w:shd w:val="clear" w:color="auto" w:fill="auto"/>
        <w:spacing w:line="360" w:lineRule="auto"/>
        <w:rPr>
          <w:rFonts w:ascii="宋体" w:cs="宋体"/>
          <w:color w:val="auto"/>
          <w:sz w:val="24"/>
          <w:szCs w:val="24"/>
          <w:highlight w:val="none"/>
          <w:u w:val="single"/>
        </w:rPr>
      </w:pPr>
      <w:r>
        <w:rPr>
          <w:rFonts w:hint="eastAsia" w:ascii="宋体" w:hAnsi="宋体" w:cs="宋体"/>
          <w:color w:val="auto"/>
          <w:sz w:val="24"/>
          <w:szCs w:val="24"/>
          <w:highlight w:val="none"/>
        </w:rPr>
        <w:t>开户银行：</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开户银行：</w:t>
      </w:r>
      <w:r>
        <w:rPr>
          <w:rFonts w:ascii="宋体" w:hAnsi="宋体" w:cs="宋体"/>
          <w:color w:val="auto"/>
          <w:sz w:val="24"/>
          <w:szCs w:val="24"/>
          <w:highlight w:val="none"/>
          <w:u w:val="single"/>
        </w:rPr>
        <w:t xml:space="preserve">                         </w:t>
      </w:r>
    </w:p>
    <w:p>
      <w:pPr>
        <w:shd w:val="clear" w:color="auto" w:fill="auto"/>
        <w:spacing w:line="360" w:lineRule="auto"/>
        <w:rPr>
          <w:rFonts w:ascii="宋体" w:cs="宋体"/>
          <w:color w:val="auto"/>
          <w:sz w:val="24"/>
          <w:szCs w:val="24"/>
          <w:highlight w:val="none"/>
          <w:u w:val="single"/>
        </w:rPr>
      </w:pPr>
      <w:r>
        <w:rPr>
          <w:rFonts w:hint="eastAsia" w:ascii="宋体" w:hAnsi="宋体" w:cs="宋体"/>
          <w:color w:val="auto"/>
          <w:sz w:val="24"/>
          <w:szCs w:val="24"/>
          <w:highlight w:val="none"/>
        </w:rPr>
        <w:t>账号：</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账号</w:t>
      </w:r>
      <w:r>
        <w:rPr>
          <w:rFonts w:ascii="宋体" w:hAnsi="宋体" w:cs="宋体"/>
          <w:color w:val="auto"/>
          <w:sz w:val="24"/>
          <w:szCs w:val="24"/>
          <w:highlight w:val="none"/>
        </w:rPr>
        <w:t>:</w:t>
      </w:r>
      <w:r>
        <w:rPr>
          <w:rFonts w:ascii="宋体" w:hAnsi="宋体" w:cs="宋体"/>
          <w:color w:val="auto"/>
          <w:sz w:val="24"/>
          <w:szCs w:val="24"/>
          <w:highlight w:val="none"/>
          <w:u w:val="single"/>
        </w:rPr>
        <w:t xml:space="preserve">                              </w:t>
      </w:r>
    </w:p>
    <w:p>
      <w:pPr>
        <w:shd w:val="clear" w:color="auto" w:fill="auto"/>
        <w:spacing w:line="360" w:lineRule="auto"/>
        <w:rPr>
          <w:rFonts w:ascii="宋体" w:cs="宋体"/>
          <w:color w:val="auto"/>
          <w:sz w:val="24"/>
          <w:szCs w:val="24"/>
          <w:highlight w:val="none"/>
        </w:rPr>
      </w:pPr>
    </w:p>
    <w:p>
      <w:pPr>
        <w:shd w:val="clear" w:color="auto" w:fill="auto"/>
        <w:spacing w:line="360" w:lineRule="auto"/>
        <w:rPr>
          <w:rFonts w:ascii="宋体" w:cs="宋体"/>
          <w:color w:val="auto"/>
          <w:sz w:val="24"/>
          <w:szCs w:val="24"/>
          <w:highlight w:val="none"/>
        </w:rPr>
      </w:pPr>
      <w:r>
        <w:rPr>
          <w:rFonts w:hint="eastAsia" w:ascii="宋体" w:hAnsi="宋体" w:cs="宋体"/>
          <w:color w:val="auto"/>
          <w:sz w:val="24"/>
          <w:szCs w:val="24"/>
          <w:highlight w:val="none"/>
        </w:rPr>
        <w:t>签约时间：</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年</w:t>
      </w:r>
      <w:r>
        <w:rPr>
          <w:rFonts w:ascii="宋体" w:hAnsi="宋体" w:cs="宋体"/>
          <w:color w:val="auto"/>
          <w:sz w:val="24"/>
          <w:szCs w:val="24"/>
          <w:highlight w:val="none"/>
        </w:rPr>
        <w:t xml:space="preserve"> </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ascii="宋体" w:hAnsi="宋体" w:cs="宋体"/>
          <w:color w:val="auto"/>
          <w:sz w:val="24"/>
          <w:szCs w:val="24"/>
          <w:highlight w:val="none"/>
          <w:u w:val="single"/>
        </w:rPr>
        <w:t xml:space="preserve">    </w:t>
      </w:r>
      <w:r>
        <w:rPr>
          <w:rFonts w:hint="eastAsia" w:ascii="宋体" w:hAnsi="宋体" w:cs="宋体"/>
          <w:color w:val="auto"/>
          <w:sz w:val="24"/>
          <w:szCs w:val="24"/>
          <w:highlight w:val="none"/>
        </w:rPr>
        <w:t>日</w:t>
      </w:r>
    </w:p>
    <w:p>
      <w:pPr>
        <w:shd w:val="clear" w:color="auto" w:fill="auto"/>
        <w:spacing w:line="360" w:lineRule="auto"/>
        <w:rPr>
          <w:color w:val="auto"/>
          <w:sz w:val="24"/>
          <w:szCs w:val="24"/>
          <w:highlight w:val="none"/>
        </w:rPr>
      </w:pPr>
      <w:r>
        <w:rPr>
          <w:rFonts w:hint="eastAsia" w:ascii="宋体" w:hAnsi="宋体" w:cs="宋体"/>
          <w:color w:val="auto"/>
          <w:sz w:val="24"/>
          <w:szCs w:val="24"/>
          <w:highlight w:val="none"/>
        </w:rPr>
        <w:t>签约地址：</w:t>
      </w:r>
      <w:r>
        <w:rPr>
          <w:rFonts w:ascii="宋体" w:hAnsi="宋体" w:cs="宋体"/>
          <w:color w:val="auto"/>
          <w:sz w:val="24"/>
          <w:szCs w:val="24"/>
          <w:highlight w:val="none"/>
          <w:u w:val="single"/>
        </w:rPr>
        <w:t xml:space="preserve">                      </w:t>
      </w:r>
    </w:p>
    <w:p>
      <w:pPr>
        <w:rPr>
          <w:rFonts w:ascii="宋体" w:hAnsi="宋体" w:cs="宋体"/>
          <w:color w:val="auto"/>
          <w:sz w:val="24"/>
          <w:szCs w:val="24"/>
          <w:highlight w:val="none"/>
        </w:rPr>
      </w:pPr>
      <w:r>
        <w:rPr>
          <w:rFonts w:ascii="宋体" w:hAnsi="宋体" w:cs="宋体"/>
          <w:color w:val="auto"/>
          <w:sz w:val="24"/>
          <w:szCs w:val="24"/>
          <w:highlight w:val="none"/>
        </w:rPr>
        <w:br w:type="page"/>
      </w:r>
    </w:p>
    <w:p>
      <w:pPr>
        <w:pStyle w:val="2"/>
        <w:rPr>
          <w:highlight w:val="none"/>
        </w:rPr>
      </w:pPr>
    </w:p>
    <w:p>
      <w:pPr>
        <w:pStyle w:val="4"/>
        <w:numPr>
          <w:ilvl w:val="0"/>
          <w:numId w:val="0"/>
        </w:numPr>
        <w:jc w:val="center"/>
        <w:rPr>
          <w:rFonts w:hint="eastAsia" w:ascii="宋体" w:hAnsi="宋体" w:cs="宋体"/>
          <w:color w:val="auto"/>
          <w:highlight w:val="none"/>
          <w:lang w:eastAsia="zh-CN"/>
        </w:rPr>
      </w:pPr>
      <w:bookmarkStart w:id="214" w:name="_Toc28543"/>
      <w:bookmarkStart w:id="215" w:name="_Toc185"/>
      <w:bookmarkStart w:id="216" w:name="_Toc16425"/>
      <w:bookmarkStart w:id="217" w:name="_Toc30580"/>
      <w:r>
        <w:rPr>
          <w:rFonts w:hint="eastAsia" w:ascii="宋体" w:hAnsi="宋体" w:cs="宋体"/>
          <w:color w:val="auto"/>
          <w:highlight w:val="none"/>
          <w:lang w:eastAsia="zh-CN"/>
        </w:rPr>
        <w:t>第七章</w:t>
      </w:r>
      <w:r>
        <w:rPr>
          <w:rFonts w:hint="eastAsia" w:ascii="宋体" w:hAnsi="宋体" w:cs="宋体"/>
          <w:color w:val="auto"/>
          <w:highlight w:val="none"/>
          <w:lang w:val="en-US" w:eastAsia="zh-CN"/>
        </w:rPr>
        <w:t xml:space="preserve">  </w:t>
      </w:r>
      <w:r>
        <w:rPr>
          <w:rFonts w:hint="eastAsia" w:ascii="宋体" w:hAnsi="宋体" w:cs="宋体"/>
          <w:color w:val="auto"/>
          <w:highlight w:val="none"/>
          <w:lang w:eastAsia="zh-CN"/>
        </w:rPr>
        <w:t>投标文件</w:t>
      </w:r>
      <w:r>
        <w:rPr>
          <w:rFonts w:hint="eastAsia" w:ascii="宋体" w:hAnsi="宋体" w:cs="宋体"/>
          <w:color w:val="auto"/>
          <w:highlight w:val="none"/>
          <w:lang w:val="en-US" w:eastAsia="zh-CN"/>
        </w:rPr>
        <w:t>格式</w:t>
      </w:r>
      <w:bookmarkEnd w:id="214"/>
      <w:bookmarkEnd w:id="215"/>
      <w:bookmarkEnd w:id="216"/>
      <w:bookmarkEnd w:id="217"/>
    </w:p>
    <w:p>
      <w:pPr>
        <w:spacing w:line="520" w:lineRule="exact"/>
        <w:rPr>
          <w:rFonts w:hint="eastAsia" w:ascii="宋体" w:hAnsi="宋体" w:cs="宋体"/>
          <w:color w:val="auto"/>
          <w:sz w:val="24"/>
          <w:highlight w:val="none"/>
        </w:rPr>
      </w:pPr>
      <w:r>
        <w:rPr>
          <w:rFonts w:hint="eastAsia" w:ascii="宋体" w:hAnsi="宋体" w:cs="宋体"/>
          <w:color w:val="auto"/>
          <w:sz w:val="24"/>
          <w:highlight w:val="none"/>
        </w:rPr>
        <w:t>投标文件封面</w:t>
      </w:r>
    </w:p>
    <w:p>
      <w:pPr>
        <w:tabs>
          <w:tab w:val="left" w:pos="360"/>
        </w:tabs>
        <w:jc w:val="both"/>
        <w:rPr>
          <w:rFonts w:hint="eastAsia" w:ascii="宋体" w:hAnsi="宋体" w:cs="宋体"/>
          <w:b/>
          <w:sz w:val="44"/>
          <w:szCs w:val="44"/>
          <w:highlight w:val="none"/>
          <w:u w:val="single"/>
        </w:rPr>
      </w:pPr>
      <w:r>
        <w:rPr>
          <w:rFonts w:hint="eastAsia" w:ascii="宋体" w:hAnsi="宋体" w:cs="宋体"/>
          <w:color w:val="auto"/>
          <w:sz w:val="24"/>
          <w:highlight w:val="none"/>
        </w:rPr>
        <w:t>格式可由投标人自拟</w:t>
      </w:r>
    </w:p>
    <w:p>
      <w:pPr>
        <w:tabs>
          <w:tab w:val="left" w:pos="360"/>
        </w:tabs>
        <w:jc w:val="center"/>
        <w:rPr>
          <w:rFonts w:hint="eastAsia" w:ascii="宋体" w:hAnsi="宋体" w:cs="宋体"/>
          <w:b/>
          <w:sz w:val="44"/>
          <w:szCs w:val="44"/>
          <w:highlight w:val="none"/>
        </w:rPr>
      </w:pPr>
      <w:r>
        <w:rPr>
          <w:rFonts w:hint="eastAsia" w:ascii="宋体" w:hAnsi="宋体" w:cs="宋体"/>
          <w:b/>
          <w:sz w:val="44"/>
          <w:szCs w:val="44"/>
          <w:highlight w:val="none"/>
          <w:u w:val="single"/>
        </w:rPr>
        <w:t xml:space="preserve">            </w:t>
      </w:r>
      <w:r>
        <w:rPr>
          <w:rFonts w:hint="eastAsia" w:ascii="宋体" w:hAnsi="宋体" w:cs="宋体"/>
          <w:b/>
          <w:sz w:val="44"/>
          <w:szCs w:val="44"/>
          <w:highlight w:val="none"/>
        </w:rPr>
        <w:t>项目</w:t>
      </w:r>
    </w:p>
    <w:p>
      <w:pPr>
        <w:tabs>
          <w:tab w:val="left" w:pos="55"/>
        </w:tabs>
        <w:jc w:val="left"/>
        <w:rPr>
          <w:rFonts w:hint="eastAsia" w:ascii="宋体" w:hAnsi="宋体" w:cs="宋体"/>
          <w:b/>
          <w:w w:val="150"/>
          <w:sz w:val="48"/>
          <w:szCs w:val="48"/>
          <w:highlight w:val="none"/>
        </w:rPr>
      </w:pPr>
      <w:r>
        <w:rPr>
          <w:rFonts w:hint="eastAsia" w:ascii="宋体" w:hAnsi="宋体" w:cs="宋体"/>
          <w:b/>
          <w:w w:val="150"/>
          <w:sz w:val="84"/>
          <w:highlight w:val="none"/>
        </w:rPr>
        <w:tab/>
      </w:r>
    </w:p>
    <w:p>
      <w:pPr>
        <w:tabs>
          <w:tab w:val="left" w:pos="1950"/>
        </w:tabs>
        <w:jc w:val="left"/>
        <w:rPr>
          <w:rFonts w:hint="eastAsia" w:ascii="宋体" w:hAnsi="宋体" w:cs="宋体"/>
          <w:b/>
          <w:w w:val="150"/>
          <w:sz w:val="48"/>
          <w:szCs w:val="48"/>
          <w:highlight w:val="none"/>
        </w:rPr>
      </w:pPr>
    </w:p>
    <w:p>
      <w:pPr>
        <w:tabs>
          <w:tab w:val="left" w:pos="1950"/>
        </w:tabs>
        <w:jc w:val="left"/>
        <w:rPr>
          <w:rFonts w:hint="eastAsia" w:ascii="宋体" w:hAnsi="宋体" w:cs="宋体"/>
          <w:b/>
          <w:w w:val="150"/>
          <w:sz w:val="48"/>
          <w:szCs w:val="48"/>
          <w:highlight w:val="none"/>
        </w:rPr>
      </w:pPr>
    </w:p>
    <w:p>
      <w:pPr>
        <w:jc w:val="center"/>
        <w:rPr>
          <w:rFonts w:hint="eastAsia" w:ascii="宋体" w:hAnsi="宋体" w:cs="宋体"/>
          <w:b/>
          <w:sz w:val="84"/>
          <w:szCs w:val="84"/>
          <w:highlight w:val="none"/>
        </w:rPr>
      </w:pPr>
      <w:r>
        <w:rPr>
          <w:rFonts w:hint="eastAsia" w:ascii="宋体" w:hAnsi="宋体" w:cs="宋体"/>
          <w:b/>
          <w:sz w:val="84"/>
          <w:szCs w:val="84"/>
          <w:highlight w:val="none"/>
        </w:rPr>
        <w:t>投标文件</w:t>
      </w:r>
    </w:p>
    <w:p>
      <w:pPr>
        <w:spacing w:line="360" w:lineRule="auto"/>
        <w:jc w:val="center"/>
        <w:rPr>
          <w:rFonts w:hint="eastAsia" w:ascii="宋体" w:hAnsi="宋体" w:cs="宋体"/>
          <w:b/>
          <w:bCs/>
          <w:sz w:val="30"/>
          <w:szCs w:val="30"/>
          <w:highlight w:val="none"/>
        </w:rPr>
      </w:pPr>
      <w:r>
        <w:rPr>
          <w:rFonts w:hint="eastAsia" w:ascii="宋体" w:hAnsi="宋体" w:cs="宋体"/>
          <w:b/>
          <w:bCs/>
          <w:sz w:val="30"/>
          <w:szCs w:val="30"/>
          <w:highlight w:val="none"/>
          <w:lang w:eastAsia="zh-CN"/>
        </w:rPr>
        <w:t>采购</w:t>
      </w:r>
      <w:r>
        <w:rPr>
          <w:rFonts w:hint="eastAsia" w:ascii="宋体" w:hAnsi="宋体" w:cs="宋体"/>
          <w:b/>
          <w:bCs/>
          <w:sz w:val="30"/>
          <w:szCs w:val="30"/>
          <w:highlight w:val="none"/>
        </w:rPr>
        <w:t xml:space="preserve">编号：   </w:t>
      </w:r>
    </w:p>
    <w:p>
      <w:pPr>
        <w:spacing w:line="360" w:lineRule="auto"/>
        <w:jc w:val="center"/>
        <w:rPr>
          <w:rFonts w:hint="eastAsia" w:ascii="宋体" w:hAnsi="宋体" w:cs="宋体"/>
          <w:b/>
          <w:bCs/>
          <w:szCs w:val="21"/>
          <w:highlight w:val="none"/>
        </w:rPr>
      </w:pPr>
    </w:p>
    <w:p>
      <w:pPr>
        <w:spacing w:line="360" w:lineRule="auto"/>
        <w:jc w:val="center"/>
        <w:rPr>
          <w:rFonts w:hint="eastAsia" w:ascii="宋体" w:hAnsi="宋体" w:cs="宋体"/>
          <w:b/>
          <w:sz w:val="32"/>
          <w:highlight w:val="none"/>
        </w:rPr>
      </w:pPr>
    </w:p>
    <w:p>
      <w:pPr>
        <w:spacing w:line="360" w:lineRule="auto"/>
        <w:jc w:val="center"/>
        <w:rPr>
          <w:rFonts w:hint="eastAsia" w:ascii="宋体" w:hAnsi="宋体" w:cs="宋体"/>
          <w:b/>
          <w:sz w:val="32"/>
          <w:highlight w:val="none"/>
        </w:rPr>
      </w:pPr>
    </w:p>
    <w:p>
      <w:pPr>
        <w:spacing w:line="360" w:lineRule="auto"/>
        <w:rPr>
          <w:rFonts w:hint="eastAsia" w:ascii="宋体" w:hAnsi="宋体" w:cs="宋体"/>
          <w:b/>
          <w:sz w:val="32"/>
          <w:highlight w:val="none"/>
        </w:rPr>
      </w:pPr>
    </w:p>
    <w:p>
      <w:pPr>
        <w:rPr>
          <w:rFonts w:hint="eastAsia" w:ascii="宋体" w:hAnsi="宋体" w:cs="宋体"/>
          <w:b/>
          <w:sz w:val="32"/>
          <w:highlight w:val="none"/>
        </w:rPr>
      </w:pPr>
    </w:p>
    <w:p>
      <w:pPr>
        <w:spacing w:line="700" w:lineRule="exact"/>
        <w:ind w:firstLine="750" w:firstLineChars="250"/>
        <w:rPr>
          <w:rFonts w:hint="eastAsia" w:ascii="宋体" w:hAnsi="宋体" w:cs="宋体"/>
          <w:b/>
          <w:sz w:val="30"/>
          <w:szCs w:val="30"/>
          <w:highlight w:val="none"/>
        </w:rPr>
      </w:pPr>
      <w:r>
        <w:rPr>
          <w:rFonts w:hint="eastAsia" w:ascii="宋体" w:hAnsi="宋体" w:cs="宋体"/>
          <w:b/>
          <w:sz w:val="30"/>
          <w:szCs w:val="30"/>
          <w:highlight w:val="none"/>
        </w:rPr>
        <w:t>投标人</w:t>
      </w:r>
      <w:r>
        <w:rPr>
          <w:rFonts w:hint="eastAsia" w:ascii="宋体" w:hAnsi="宋体" w:cs="宋体"/>
          <w:b/>
          <w:color w:val="auto"/>
          <w:sz w:val="28"/>
          <w:szCs w:val="28"/>
          <w:highlight w:val="none"/>
        </w:rPr>
        <w:t>（企业电子签章）</w:t>
      </w:r>
      <w:r>
        <w:rPr>
          <w:rFonts w:hint="eastAsia" w:ascii="宋体" w:hAnsi="宋体" w:cs="宋体"/>
          <w:b/>
          <w:sz w:val="30"/>
          <w:szCs w:val="30"/>
          <w:highlight w:val="none"/>
        </w:rPr>
        <w:t>：</w:t>
      </w:r>
    </w:p>
    <w:p>
      <w:pPr>
        <w:spacing w:line="700" w:lineRule="exact"/>
        <w:ind w:firstLine="700" w:firstLineChars="250"/>
        <w:rPr>
          <w:rFonts w:hint="eastAsia" w:ascii="宋体" w:hAnsi="宋体" w:cs="宋体"/>
          <w:b/>
          <w:sz w:val="30"/>
          <w:szCs w:val="30"/>
          <w:highlight w:val="none"/>
        </w:rPr>
      </w:pPr>
      <w:r>
        <w:rPr>
          <w:rFonts w:hint="eastAsia" w:ascii="宋体" w:hAnsi="宋体" w:cs="宋体"/>
          <w:b/>
          <w:color w:val="auto"/>
          <w:sz w:val="28"/>
          <w:szCs w:val="28"/>
          <w:highlight w:val="none"/>
        </w:rPr>
        <w:t>法定代表人或负责人（个人电子签章）：</w:t>
      </w:r>
    </w:p>
    <w:p>
      <w:pPr>
        <w:jc w:val="center"/>
        <w:rPr>
          <w:rFonts w:hint="eastAsia" w:ascii="宋体" w:hAnsi="宋体" w:cs="宋体"/>
          <w:b/>
          <w:sz w:val="30"/>
          <w:szCs w:val="30"/>
          <w:highlight w:val="none"/>
          <w:lang w:val="en-US" w:eastAsia="zh-CN"/>
        </w:rPr>
      </w:pPr>
      <w:r>
        <w:rPr>
          <w:rFonts w:hint="eastAsia" w:ascii="宋体" w:hAnsi="宋体" w:cs="宋体"/>
          <w:b/>
          <w:sz w:val="30"/>
          <w:szCs w:val="30"/>
          <w:highlight w:val="none"/>
        </w:rPr>
        <w:t>20</w:t>
      </w:r>
      <w:r>
        <w:rPr>
          <w:rFonts w:hint="eastAsia" w:ascii="宋体" w:hAnsi="宋体" w:cs="宋体"/>
          <w:b/>
          <w:sz w:val="30"/>
          <w:szCs w:val="30"/>
          <w:highlight w:val="none"/>
          <w:lang w:val="en-US" w:eastAsia="zh-CN"/>
        </w:rPr>
        <w:t>20</w:t>
      </w:r>
      <w:r>
        <w:rPr>
          <w:rFonts w:hint="eastAsia" w:ascii="宋体" w:hAnsi="宋体" w:cs="宋体"/>
          <w:b/>
          <w:sz w:val="30"/>
          <w:szCs w:val="30"/>
          <w:highlight w:val="none"/>
        </w:rPr>
        <w:t>年  月</w:t>
      </w:r>
      <w:r>
        <w:rPr>
          <w:rFonts w:hint="eastAsia" w:ascii="宋体" w:hAnsi="宋体" w:cs="宋体"/>
          <w:b/>
          <w:sz w:val="30"/>
          <w:szCs w:val="30"/>
          <w:highlight w:val="none"/>
          <w:lang w:val="en-US" w:eastAsia="zh-CN"/>
        </w:rPr>
        <w:t xml:space="preserve">  日</w:t>
      </w:r>
    </w:p>
    <w:p>
      <w:pPr>
        <w:rPr>
          <w:rFonts w:hint="eastAsia" w:ascii="宋体" w:hAnsi="宋体" w:cs="宋体"/>
          <w:b/>
          <w:sz w:val="30"/>
          <w:szCs w:val="30"/>
          <w:highlight w:val="none"/>
          <w:lang w:val="en-US" w:eastAsia="zh-CN"/>
        </w:rPr>
      </w:pPr>
      <w:r>
        <w:rPr>
          <w:rFonts w:hint="eastAsia" w:ascii="宋体" w:hAnsi="宋体" w:cs="宋体"/>
          <w:b/>
          <w:sz w:val="30"/>
          <w:szCs w:val="30"/>
          <w:highlight w:val="none"/>
          <w:lang w:val="en-US" w:eastAsia="zh-CN"/>
        </w:rPr>
        <w:br w:type="page"/>
      </w:r>
    </w:p>
    <w:p>
      <w:pPr>
        <w:pStyle w:val="5"/>
        <w:widowControl/>
        <w:numPr>
          <w:ilvl w:val="1"/>
          <w:numId w:val="0"/>
        </w:numPr>
        <w:spacing w:line="520" w:lineRule="exact"/>
        <w:ind w:leftChars="0"/>
        <w:jc w:val="center"/>
        <w:rPr>
          <w:rFonts w:hint="eastAsia" w:ascii="宋体" w:hAnsi="宋体" w:eastAsia="宋体" w:cs="宋体"/>
          <w:color w:val="auto"/>
          <w:sz w:val="30"/>
          <w:szCs w:val="30"/>
          <w:highlight w:val="none"/>
        </w:rPr>
      </w:pPr>
      <w:bookmarkStart w:id="218" w:name="_Toc10418"/>
      <w:bookmarkStart w:id="219" w:name="_Toc532473494"/>
      <w:bookmarkStart w:id="220" w:name="_Toc18694"/>
      <w:bookmarkStart w:id="221" w:name="_Toc30937"/>
      <w:bookmarkStart w:id="222" w:name="_Toc515647803"/>
      <w:bookmarkStart w:id="223" w:name="_Toc18974"/>
      <w:bookmarkStart w:id="224" w:name="_Toc17219"/>
      <w:bookmarkStart w:id="225" w:name="_Toc15048334"/>
      <w:r>
        <w:rPr>
          <w:rFonts w:hint="eastAsia" w:ascii="宋体" w:hAnsi="宋体" w:eastAsia="宋体" w:cs="宋体"/>
          <w:color w:val="auto"/>
          <w:kern w:val="0"/>
          <w:sz w:val="30"/>
          <w:szCs w:val="30"/>
          <w:highlight w:val="none"/>
        </w:rPr>
        <w:t>第一部分  开标一览表及资格证明文件</w:t>
      </w:r>
      <w:bookmarkEnd w:id="218"/>
      <w:bookmarkEnd w:id="219"/>
      <w:bookmarkEnd w:id="220"/>
      <w:bookmarkEnd w:id="221"/>
      <w:bookmarkEnd w:id="222"/>
      <w:bookmarkEnd w:id="223"/>
      <w:bookmarkEnd w:id="224"/>
      <w:bookmarkEnd w:id="225"/>
    </w:p>
    <w:p>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目   录</w:t>
      </w:r>
    </w:p>
    <w:p>
      <w:pPr>
        <w:tabs>
          <w:tab w:val="left" w:pos="5580"/>
        </w:tabs>
        <w:spacing w:line="360" w:lineRule="auto"/>
        <w:ind w:firstLine="424" w:firstLineChars="177"/>
        <w:rPr>
          <w:rFonts w:hint="eastAsia" w:ascii="宋体" w:hAnsi="宋体" w:cs="宋体"/>
          <w:color w:val="auto"/>
          <w:sz w:val="24"/>
          <w:highlight w:val="none"/>
        </w:rPr>
      </w:pPr>
      <w:bookmarkStart w:id="226" w:name="_Toc22570550"/>
      <w:bookmarkStart w:id="227" w:name="_Toc22804131"/>
      <w:bookmarkStart w:id="228" w:name="_Toc22962934"/>
      <w:bookmarkStart w:id="229" w:name="_Toc22724011"/>
      <w:bookmarkStart w:id="230" w:name="_Toc22953453"/>
      <w:bookmarkStart w:id="231" w:name="_Toc22568843"/>
      <w:r>
        <w:rPr>
          <w:rFonts w:hint="eastAsia" w:ascii="宋体" w:hAnsi="宋体" w:cs="宋体"/>
          <w:color w:val="auto"/>
          <w:sz w:val="24"/>
          <w:highlight w:val="none"/>
        </w:rPr>
        <w:t xml:space="preserve"> 1.开标一览表（投标文件格式一）</w:t>
      </w:r>
    </w:p>
    <w:p>
      <w:pPr>
        <w:tabs>
          <w:tab w:val="left" w:pos="5580"/>
        </w:tabs>
        <w:spacing w:line="360" w:lineRule="auto"/>
        <w:ind w:left="1" w:firstLine="564" w:firstLineChars="235"/>
        <w:rPr>
          <w:rFonts w:hint="eastAsia" w:ascii="宋体" w:hAnsi="宋体" w:cs="宋体"/>
          <w:color w:val="auto"/>
          <w:sz w:val="24"/>
          <w:highlight w:val="none"/>
        </w:rPr>
      </w:pPr>
      <w:r>
        <w:rPr>
          <w:rFonts w:hint="eastAsia" w:ascii="宋体" w:hAnsi="宋体" w:cs="宋体"/>
          <w:color w:val="auto"/>
          <w:sz w:val="24"/>
          <w:highlight w:val="none"/>
        </w:rPr>
        <w:t>2.法人或者非法人组织的营业执照</w:t>
      </w:r>
      <w:r>
        <w:rPr>
          <w:rFonts w:hint="eastAsia" w:ascii="宋体" w:hAnsi="宋体" w:cs="宋体"/>
          <w:color w:val="auto"/>
          <w:sz w:val="24"/>
          <w:highlight w:val="none"/>
          <w:lang w:eastAsia="zh-CN"/>
        </w:rPr>
        <w:t>、《出版物经营许可证》</w:t>
      </w:r>
      <w:r>
        <w:rPr>
          <w:rFonts w:hint="eastAsia" w:ascii="宋体" w:hAnsi="宋体" w:cs="宋体"/>
          <w:color w:val="auto"/>
          <w:sz w:val="24"/>
          <w:highlight w:val="none"/>
        </w:rPr>
        <w:t>等证明文件复印件（须盖章）或自然人的身份证明复印件</w:t>
      </w:r>
    </w:p>
    <w:p>
      <w:pPr>
        <w:tabs>
          <w:tab w:val="left" w:pos="5580"/>
        </w:tabs>
        <w:spacing w:line="360" w:lineRule="auto"/>
        <w:ind w:left="1" w:firstLine="564" w:firstLineChars="235"/>
        <w:rPr>
          <w:rFonts w:hint="eastAsia" w:ascii="宋体" w:hAnsi="宋体" w:cs="宋体"/>
          <w:color w:val="auto"/>
          <w:sz w:val="24"/>
          <w:highlight w:val="none"/>
        </w:rPr>
      </w:pPr>
      <w:r>
        <w:rPr>
          <w:rFonts w:hint="eastAsia" w:ascii="宋体" w:hAnsi="宋体" w:cs="宋体"/>
          <w:color w:val="auto"/>
          <w:sz w:val="24"/>
          <w:highlight w:val="none"/>
        </w:rPr>
        <w:t>3.法定代表人（或负责人）身份证明书（投标文件格式二）</w:t>
      </w:r>
    </w:p>
    <w:p>
      <w:pPr>
        <w:tabs>
          <w:tab w:val="left" w:pos="5580"/>
        </w:tabs>
        <w:spacing w:line="360" w:lineRule="auto"/>
        <w:ind w:left="1" w:firstLine="564" w:firstLineChars="235"/>
        <w:rPr>
          <w:rFonts w:hint="eastAsia" w:ascii="宋体" w:hAnsi="宋体" w:cs="宋体"/>
          <w:color w:val="auto"/>
          <w:sz w:val="24"/>
          <w:highlight w:val="none"/>
        </w:rPr>
      </w:pPr>
      <w:r>
        <w:rPr>
          <w:rFonts w:hint="eastAsia" w:ascii="宋体" w:hAnsi="宋体" w:cs="宋体"/>
          <w:color w:val="auto"/>
          <w:sz w:val="24"/>
          <w:highlight w:val="none"/>
        </w:rPr>
        <w:t>4.法定代表人（或负责人）授权委托书（投标文件格式三）</w:t>
      </w:r>
    </w:p>
    <w:p>
      <w:pPr>
        <w:tabs>
          <w:tab w:val="left" w:pos="5580"/>
        </w:tabs>
        <w:spacing w:line="360" w:lineRule="auto"/>
        <w:ind w:left="1" w:firstLine="564" w:firstLineChars="235"/>
        <w:rPr>
          <w:rFonts w:hint="eastAsia" w:ascii="宋体" w:hAnsi="宋体" w:cs="宋体"/>
          <w:color w:val="auto"/>
          <w:sz w:val="24"/>
          <w:highlight w:val="none"/>
        </w:rPr>
      </w:pPr>
      <w:r>
        <w:rPr>
          <w:rFonts w:hint="eastAsia" w:ascii="宋体" w:hAnsi="宋体" w:cs="宋体"/>
          <w:color w:val="auto"/>
          <w:sz w:val="24"/>
          <w:highlight w:val="none"/>
        </w:rPr>
        <w:t>5.投标保证承诺书（投标文件格式四）</w:t>
      </w:r>
    </w:p>
    <w:p>
      <w:pPr>
        <w:tabs>
          <w:tab w:val="left" w:pos="5580"/>
        </w:tabs>
        <w:spacing w:line="360" w:lineRule="auto"/>
        <w:ind w:left="1" w:firstLine="564" w:firstLineChars="235"/>
        <w:rPr>
          <w:rFonts w:hint="eastAsia" w:ascii="宋体" w:hAnsi="宋体" w:cs="宋体"/>
          <w:color w:val="auto"/>
          <w:sz w:val="24"/>
          <w:highlight w:val="none"/>
        </w:rPr>
      </w:pPr>
      <w:r>
        <w:rPr>
          <w:rFonts w:hint="eastAsia" w:ascii="宋体" w:hAnsi="宋体" w:cs="宋体"/>
          <w:color w:val="auto"/>
          <w:sz w:val="24"/>
          <w:highlight w:val="none"/>
        </w:rPr>
        <w:t>6.具有良好的商业信誉和健全的财务会计制度的承诺书</w:t>
      </w:r>
    </w:p>
    <w:p>
      <w:pPr>
        <w:tabs>
          <w:tab w:val="left" w:pos="5580"/>
        </w:tabs>
        <w:spacing w:line="360" w:lineRule="auto"/>
        <w:ind w:left="1" w:firstLine="564" w:firstLineChars="235"/>
        <w:rPr>
          <w:rFonts w:hint="eastAsia" w:ascii="宋体" w:hAnsi="宋体" w:cs="宋体"/>
          <w:color w:val="auto"/>
          <w:sz w:val="24"/>
          <w:highlight w:val="none"/>
        </w:rPr>
      </w:pPr>
      <w:r>
        <w:rPr>
          <w:rFonts w:hint="eastAsia" w:ascii="宋体" w:hAnsi="宋体" w:cs="宋体"/>
          <w:color w:val="auto"/>
          <w:sz w:val="24"/>
          <w:highlight w:val="none"/>
        </w:rPr>
        <w:t>7.具备履行合同所必需的设备和专业技术能力的证明材料</w:t>
      </w:r>
    </w:p>
    <w:p>
      <w:pPr>
        <w:tabs>
          <w:tab w:val="left" w:pos="5580"/>
        </w:tabs>
        <w:spacing w:line="360" w:lineRule="auto"/>
        <w:ind w:left="1" w:firstLine="564" w:firstLineChars="235"/>
        <w:rPr>
          <w:rFonts w:hint="eastAsia" w:ascii="宋体" w:hAnsi="宋体" w:cs="宋体"/>
          <w:color w:val="auto"/>
          <w:sz w:val="24"/>
          <w:highlight w:val="none"/>
        </w:rPr>
      </w:pPr>
      <w:r>
        <w:rPr>
          <w:rFonts w:hint="eastAsia" w:ascii="宋体" w:hAnsi="宋体" w:cs="宋体"/>
          <w:color w:val="auto"/>
          <w:sz w:val="24"/>
          <w:highlight w:val="none"/>
        </w:rPr>
        <w:t>8.参加政府采购活动前3年内在经营活动中没有重大违法记录和反商业贿赂承诺书的承诺书（投标文件格式五、六）</w:t>
      </w:r>
    </w:p>
    <w:p>
      <w:pPr>
        <w:tabs>
          <w:tab w:val="left" w:pos="5580"/>
        </w:tabs>
        <w:spacing w:line="360" w:lineRule="auto"/>
        <w:ind w:left="1" w:firstLine="564" w:firstLineChars="235"/>
        <w:rPr>
          <w:rFonts w:hint="eastAsia" w:ascii="宋体" w:hAnsi="宋体" w:cs="宋体"/>
          <w:color w:val="auto"/>
          <w:sz w:val="24"/>
          <w:highlight w:val="none"/>
        </w:rPr>
      </w:pPr>
      <w:r>
        <w:rPr>
          <w:rFonts w:hint="eastAsia" w:ascii="宋体" w:hAnsi="宋体" w:cs="宋体"/>
          <w:color w:val="auto"/>
          <w:sz w:val="24"/>
          <w:highlight w:val="none"/>
        </w:rPr>
        <w:t>9.信用查询</w:t>
      </w:r>
    </w:p>
    <w:p>
      <w:pPr>
        <w:tabs>
          <w:tab w:val="left" w:pos="5580"/>
        </w:tabs>
        <w:spacing w:line="360" w:lineRule="auto"/>
        <w:ind w:left="1" w:firstLine="564" w:firstLineChars="235"/>
        <w:rPr>
          <w:rFonts w:hint="eastAsia" w:ascii="宋体" w:hAnsi="宋体" w:cs="宋体"/>
          <w:color w:val="auto"/>
          <w:sz w:val="24"/>
          <w:highlight w:val="none"/>
        </w:rPr>
      </w:pPr>
      <w:r>
        <w:rPr>
          <w:rFonts w:hint="eastAsia" w:ascii="宋体" w:hAnsi="宋体" w:cs="宋体"/>
          <w:color w:val="auto"/>
          <w:sz w:val="24"/>
          <w:highlight w:val="none"/>
        </w:rPr>
        <w:t>10.</w:t>
      </w:r>
      <w:r>
        <w:rPr>
          <w:rFonts w:hint="eastAsia" w:ascii="宋体" w:hAnsi="宋体" w:cs="宋体"/>
          <w:color w:val="auto"/>
          <w:sz w:val="24"/>
          <w:highlight w:val="none"/>
          <w:u w:val="single"/>
        </w:rPr>
        <w:t>投标须知前附表</w:t>
      </w:r>
      <w:r>
        <w:rPr>
          <w:rFonts w:hint="eastAsia" w:ascii="宋体" w:hAnsi="宋体" w:cs="宋体"/>
          <w:color w:val="auto"/>
          <w:sz w:val="24"/>
          <w:highlight w:val="none"/>
        </w:rPr>
        <w:t>要求的其他资格证明文件</w:t>
      </w:r>
    </w:p>
    <w:p>
      <w:pPr>
        <w:tabs>
          <w:tab w:val="left" w:pos="5580"/>
        </w:tabs>
        <w:spacing w:line="360" w:lineRule="auto"/>
        <w:ind w:left="1" w:firstLine="564" w:firstLineChars="235"/>
        <w:rPr>
          <w:rFonts w:hint="eastAsia" w:ascii="宋体" w:hAnsi="宋体" w:cs="宋体"/>
          <w:color w:val="auto"/>
          <w:sz w:val="24"/>
          <w:highlight w:val="none"/>
        </w:rPr>
      </w:pPr>
    </w:p>
    <w:p>
      <w:pPr>
        <w:tabs>
          <w:tab w:val="left" w:pos="5580"/>
        </w:tabs>
        <w:spacing w:line="360" w:lineRule="auto"/>
        <w:ind w:left="1" w:firstLine="564" w:firstLineChars="235"/>
        <w:rPr>
          <w:rFonts w:hint="eastAsia" w:ascii="宋体" w:hAnsi="宋体" w:cs="宋体"/>
          <w:color w:val="auto"/>
          <w:sz w:val="24"/>
          <w:highlight w:val="none"/>
        </w:rPr>
      </w:pPr>
    </w:p>
    <w:p>
      <w:pPr>
        <w:tabs>
          <w:tab w:val="left" w:pos="5580"/>
        </w:tabs>
        <w:spacing w:line="360" w:lineRule="auto"/>
        <w:ind w:left="1" w:firstLine="564" w:firstLineChars="235"/>
        <w:rPr>
          <w:rFonts w:hint="eastAsia" w:ascii="宋体" w:hAnsi="宋体" w:cs="宋体"/>
          <w:color w:val="auto"/>
          <w:sz w:val="24"/>
          <w:highlight w:val="none"/>
        </w:rPr>
      </w:pPr>
    </w:p>
    <w:p>
      <w:pPr>
        <w:tabs>
          <w:tab w:val="left" w:pos="5580"/>
        </w:tabs>
        <w:spacing w:line="360" w:lineRule="auto"/>
        <w:ind w:left="1" w:firstLine="564" w:firstLineChars="235"/>
        <w:rPr>
          <w:rFonts w:hint="eastAsia" w:ascii="宋体" w:hAnsi="宋体" w:cs="宋体"/>
          <w:color w:val="auto"/>
          <w:sz w:val="24"/>
          <w:highlight w:val="none"/>
        </w:rPr>
      </w:pPr>
    </w:p>
    <w:p>
      <w:pPr>
        <w:tabs>
          <w:tab w:val="left" w:pos="5580"/>
        </w:tabs>
        <w:spacing w:line="360" w:lineRule="auto"/>
        <w:ind w:left="1" w:firstLine="564" w:firstLineChars="235"/>
        <w:rPr>
          <w:rFonts w:hint="eastAsia" w:ascii="宋体" w:hAnsi="宋体" w:cs="宋体"/>
          <w:color w:val="auto"/>
          <w:sz w:val="24"/>
          <w:highlight w:val="none"/>
        </w:rPr>
      </w:pPr>
    </w:p>
    <w:p>
      <w:pPr>
        <w:tabs>
          <w:tab w:val="left" w:pos="5580"/>
        </w:tabs>
        <w:spacing w:line="360" w:lineRule="auto"/>
        <w:ind w:left="1" w:firstLine="564" w:firstLineChars="235"/>
        <w:rPr>
          <w:rFonts w:hint="eastAsia" w:ascii="宋体" w:hAnsi="宋体" w:cs="宋体"/>
          <w:color w:val="auto"/>
          <w:sz w:val="24"/>
          <w:highlight w:val="none"/>
        </w:rPr>
      </w:pPr>
    </w:p>
    <w:p>
      <w:pPr>
        <w:tabs>
          <w:tab w:val="left" w:pos="5580"/>
        </w:tabs>
        <w:spacing w:line="360" w:lineRule="auto"/>
        <w:ind w:left="1" w:firstLine="564" w:firstLineChars="235"/>
        <w:rPr>
          <w:rFonts w:hint="eastAsia" w:ascii="宋体" w:hAnsi="宋体" w:cs="宋体"/>
          <w:color w:val="auto"/>
          <w:sz w:val="24"/>
          <w:highlight w:val="none"/>
        </w:rPr>
      </w:pPr>
    </w:p>
    <w:p>
      <w:pPr>
        <w:tabs>
          <w:tab w:val="left" w:pos="5580"/>
        </w:tabs>
        <w:spacing w:line="360" w:lineRule="auto"/>
        <w:ind w:left="1" w:firstLine="564" w:firstLineChars="235"/>
        <w:rPr>
          <w:rFonts w:hint="eastAsia" w:ascii="宋体" w:hAnsi="宋体" w:cs="宋体"/>
          <w:color w:val="auto"/>
          <w:sz w:val="24"/>
          <w:highlight w:val="none"/>
        </w:rPr>
      </w:pPr>
    </w:p>
    <w:p>
      <w:pPr>
        <w:tabs>
          <w:tab w:val="left" w:pos="5580"/>
        </w:tabs>
        <w:spacing w:line="360" w:lineRule="auto"/>
        <w:ind w:left="1" w:firstLine="564" w:firstLineChars="235"/>
        <w:rPr>
          <w:rFonts w:hint="eastAsia" w:ascii="宋体" w:hAnsi="宋体" w:cs="宋体"/>
          <w:color w:val="auto"/>
          <w:sz w:val="24"/>
          <w:highlight w:val="none"/>
        </w:rPr>
      </w:pPr>
    </w:p>
    <w:p>
      <w:pPr>
        <w:tabs>
          <w:tab w:val="left" w:pos="5580"/>
        </w:tabs>
        <w:spacing w:line="360" w:lineRule="auto"/>
        <w:ind w:left="1" w:firstLine="564" w:firstLineChars="235"/>
        <w:jc w:val="center"/>
        <w:rPr>
          <w:rFonts w:hint="eastAsia" w:ascii="宋体" w:hAnsi="宋体" w:cs="宋体"/>
          <w:color w:val="auto"/>
          <w:sz w:val="24"/>
          <w:highlight w:val="none"/>
        </w:rPr>
      </w:pPr>
      <w:r>
        <w:rPr>
          <w:rFonts w:hint="eastAsia" w:ascii="宋体" w:hAnsi="宋体" w:cs="宋体"/>
          <w:color w:val="auto"/>
          <w:sz w:val="24"/>
          <w:highlight w:val="none"/>
        </w:rPr>
        <w:br w:type="page"/>
      </w:r>
    </w:p>
    <w:p>
      <w:pPr>
        <w:pStyle w:val="5"/>
        <w:numPr>
          <w:ilvl w:val="0"/>
          <w:numId w:val="12"/>
        </w:numPr>
        <w:spacing w:before="0" w:line="360" w:lineRule="auto"/>
        <w:jc w:val="center"/>
        <w:rPr>
          <w:rFonts w:hint="eastAsia" w:ascii="宋体" w:hAnsi="宋体" w:eastAsia="宋体" w:cs="宋体"/>
          <w:color w:val="auto"/>
          <w:sz w:val="24"/>
          <w:highlight w:val="none"/>
        </w:rPr>
      </w:pPr>
      <w:bookmarkStart w:id="232" w:name="_Toc14934301"/>
      <w:bookmarkStart w:id="233" w:name="_Toc4574"/>
      <w:bookmarkStart w:id="234" w:name="_Toc26498"/>
      <w:bookmarkStart w:id="235" w:name="_Toc1520"/>
      <w:bookmarkStart w:id="236" w:name="_Toc515647804"/>
      <w:bookmarkStart w:id="237" w:name="_Toc30524"/>
      <w:bookmarkStart w:id="238" w:name="_Toc16568"/>
      <w:bookmarkStart w:id="239" w:name="_Toc532473495"/>
      <w:r>
        <w:rPr>
          <w:rFonts w:hint="eastAsia" w:ascii="宋体" w:hAnsi="宋体" w:eastAsia="宋体" w:cs="宋体"/>
          <w:color w:val="auto"/>
          <w:sz w:val="24"/>
          <w:highlight w:val="none"/>
        </w:rPr>
        <w:t>开标一览表</w:t>
      </w:r>
      <w:bookmarkEnd w:id="232"/>
      <w:bookmarkEnd w:id="233"/>
      <w:bookmarkEnd w:id="234"/>
      <w:bookmarkEnd w:id="235"/>
    </w:p>
    <w:bookmarkEnd w:id="236"/>
    <w:bookmarkEnd w:id="237"/>
    <w:bookmarkEnd w:id="238"/>
    <w:bookmarkEnd w:id="239"/>
    <w:p>
      <w:pPr>
        <w:bidi w:val="0"/>
        <w:jc w:val="right"/>
        <w:rPr>
          <w:rFonts w:hint="eastAsia" w:ascii="宋体" w:hAnsi="宋体" w:eastAsia="宋体" w:cs="宋体"/>
          <w:color w:val="auto"/>
          <w:sz w:val="24"/>
          <w:highlight w:val="none"/>
        </w:rPr>
      </w:pPr>
      <w:bookmarkStart w:id="240" w:name="_Hlt520356241"/>
      <w:bookmarkEnd w:id="240"/>
      <w:bookmarkStart w:id="241" w:name="_Toc480942349"/>
      <w:bookmarkStart w:id="242" w:name="_Ref467988698"/>
      <w:bookmarkStart w:id="243" w:name="_Toc520356217"/>
      <w:bookmarkStart w:id="244" w:name="_Toc216582813"/>
      <w:r>
        <w:rPr>
          <w:rFonts w:hint="eastAsia" w:ascii="宋体" w:hAnsi="宋体" w:eastAsia="宋体" w:cs="宋体"/>
          <w:b/>
          <w:color w:val="auto"/>
          <w:sz w:val="24"/>
          <w:highlight w:val="none"/>
        </w:rPr>
        <w:t>金额单位：折扣率</w:t>
      </w:r>
    </w:p>
    <w:tbl>
      <w:tblPr>
        <w:tblStyle w:val="31"/>
        <w:tblW w:w="8790"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1437"/>
        <w:gridCol w:w="7353"/>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PrEx>
        <w:trPr>
          <w:trHeight w:val="850" w:hRule="atLeast"/>
          <w:jc w:val="center"/>
        </w:trPr>
        <w:tc>
          <w:tcPr>
            <w:tcW w:w="1437" w:type="dxa"/>
            <w:noWrap w:val="0"/>
            <w:vAlign w:val="center"/>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 项目名称</w:t>
            </w:r>
          </w:p>
        </w:tc>
        <w:tc>
          <w:tcPr>
            <w:tcW w:w="7353" w:type="dxa"/>
            <w:noWrap w:val="0"/>
            <w:vAlign w:val="center"/>
          </w:tcPr>
          <w:p>
            <w:pPr>
              <w:ind w:firstLine="120" w:firstLineChars="50"/>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1437" w:type="dxa"/>
            <w:noWrap w:val="0"/>
            <w:vAlign w:val="center"/>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投标人名称</w:t>
            </w:r>
          </w:p>
        </w:tc>
        <w:tc>
          <w:tcPr>
            <w:tcW w:w="7353" w:type="dxa"/>
            <w:noWrap w:val="0"/>
            <w:vAlign w:val="center"/>
          </w:tcPr>
          <w:p>
            <w:pPr>
              <w:spacing w:line="480" w:lineRule="auto"/>
              <w:ind w:firstLine="240" w:firstLineChars="100"/>
              <w:rPr>
                <w:rFonts w:hint="eastAsia" w:ascii="宋体" w:hAnsi="宋体" w:eastAsia="宋体" w:cs="宋体"/>
                <w:color w:val="auto"/>
                <w:sz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1437" w:type="dxa"/>
            <w:vMerge w:val="restart"/>
            <w:noWrap w:val="0"/>
            <w:vAlign w:val="center"/>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投标总报价</w:t>
            </w:r>
          </w:p>
        </w:tc>
        <w:tc>
          <w:tcPr>
            <w:tcW w:w="7353" w:type="dxa"/>
            <w:noWrap w:val="0"/>
            <w:vAlign w:val="center"/>
          </w:tcPr>
          <w:p>
            <w:pPr>
              <w:spacing w:line="48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1437" w:type="dxa"/>
            <w:vMerge w:val="continue"/>
            <w:noWrap w:val="0"/>
            <w:vAlign w:val="center"/>
          </w:tcPr>
          <w:p>
            <w:pPr>
              <w:jc w:val="center"/>
              <w:rPr>
                <w:rFonts w:hint="eastAsia" w:ascii="宋体" w:hAnsi="宋体" w:eastAsia="宋体" w:cs="宋体"/>
                <w:b/>
                <w:color w:val="auto"/>
                <w:sz w:val="24"/>
                <w:highlight w:val="none"/>
              </w:rPr>
            </w:pPr>
          </w:p>
        </w:tc>
        <w:tc>
          <w:tcPr>
            <w:tcW w:w="7353" w:type="dxa"/>
            <w:noWrap w:val="0"/>
            <w:vAlign w:val="center"/>
          </w:tcPr>
          <w:p>
            <w:pPr>
              <w:spacing w:line="480" w:lineRule="auto"/>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小写：</w:t>
            </w:r>
            <w:r>
              <w:rPr>
                <w:rFonts w:hint="eastAsia" w:ascii="宋体" w:hAnsi="宋体" w:eastAsia="宋体" w:cs="宋体"/>
                <w:color w:val="auto"/>
                <w:sz w:val="24"/>
                <w:highlight w:val="none"/>
                <w:u w:val="single"/>
              </w:rPr>
              <w:t xml:space="preserve">                     </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1437" w:type="dxa"/>
            <w:noWrap w:val="0"/>
            <w:vAlign w:val="center"/>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交货期</w:t>
            </w:r>
          </w:p>
        </w:tc>
        <w:tc>
          <w:tcPr>
            <w:tcW w:w="7353" w:type="dxa"/>
            <w:noWrap w:val="0"/>
            <w:vAlign w:val="center"/>
          </w:tcPr>
          <w:p>
            <w:pPr>
              <w:ind w:firstLine="120" w:firstLineChars="50"/>
              <w:jc w:val="center"/>
              <w:rPr>
                <w:rFonts w:hint="eastAsia" w:ascii="宋体" w:hAnsi="宋体" w:eastAsia="宋体" w:cs="宋体"/>
                <w:color w:val="auto"/>
                <w:sz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1437" w:type="dxa"/>
            <w:noWrap w:val="0"/>
            <w:vAlign w:val="center"/>
          </w:tcPr>
          <w:p>
            <w:pPr>
              <w:jc w:val="center"/>
              <w:rPr>
                <w:rFonts w:hint="default"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质量要求</w:t>
            </w:r>
          </w:p>
        </w:tc>
        <w:tc>
          <w:tcPr>
            <w:tcW w:w="7353" w:type="dxa"/>
            <w:noWrap w:val="0"/>
            <w:vAlign w:val="center"/>
          </w:tcPr>
          <w:p>
            <w:pPr>
              <w:ind w:firstLine="120" w:firstLineChars="50"/>
              <w:jc w:val="center"/>
              <w:rPr>
                <w:rFonts w:hint="eastAsia" w:ascii="宋体" w:hAnsi="宋体" w:eastAsia="宋体" w:cs="宋体"/>
                <w:color w:val="auto"/>
                <w:sz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1437" w:type="dxa"/>
            <w:noWrap w:val="0"/>
            <w:vAlign w:val="center"/>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质量保证期</w:t>
            </w:r>
          </w:p>
        </w:tc>
        <w:tc>
          <w:tcPr>
            <w:tcW w:w="7353" w:type="dxa"/>
            <w:noWrap w:val="0"/>
            <w:vAlign w:val="center"/>
          </w:tcPr>
          <w:p>
            <w:pPr>
              <w:ind w:firstLine="3000" w:firstLineChars="1250"/>
              <w:rPr>
                <w:rFonts w:hint="eastAsia" w:ascii="宋体" w:hAnsi="宋体" w:eastAsia="宋体" w:cs="宋体"/>
                <w:color w:val="auto"/>
                <w:sz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1437" w:type="dxa"/>
            <w:noWrap w:val="0"/>
            <w:vAlign w:val="center"/>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投标保证金</w:t>
            </w:r>
          </w:p>
        </w:tc>
        <w:tc>
          <w:tcPr>
            <w:tcW w:w="7353" w:type="dxa"/>
            <w:noWrap w:val="0"/>
            <w:vAlign w:val="center"/>
          </w:tcPr>
          <w:p>
            <w:pPr>
              <w:jc w:val="both"/>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无</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1437" w:type="dxa"/>
            <w:noWrap w:val="0"/>
            <w:vAlign w:val="center"/>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投标有效期</w:t>
            </w:r>
          </w:p>
        </w:tc>
        <w:tc>
          <w:tcPr>
            <w:tcW w:w="7353" w:type="dxa"/>
            <w:noWrap w:val="0"/>
            <w:vAlign w:val="center"/>
          </w:tcPr>
          <w:p>
            <w:pPr>
              <w:jc w:val="center"/>
              <w:rPr>
                <w:rFonts w:hint="eastAsia" w:ascii="宋体" w:hAnsi="宋体" w:eastAsia="宋体" w:cs="宋体"/>
                <w:color w:val="auto"/>
                <w:sz w:val="24"/>
                <w:highlight w:val="none"/>
              </w:rPr>
            </w:pP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50" w:hRule="atLeast"/>
          <w:jc w:val="center"/>
        </w:trPr>
        <w:tc>
          <w:tcPr>
            <w:tcW w:w="1437" w:type="dxa"/>
            <w:noWrap w:val="0"/>
            <w:vAlign w:val="center"/>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其他声明</w:t>
            </w:r>
          </w:p>
        </w:tc>
        <w:tc>
          <w:tcPr>
            <w:tcW w:w="7353" w:type="dxa"/>
            <w:noWrap w:val="0"/>
            <w:vAlign w:val="center"/>
          </w:tcPr>
          <w:p>
            <w:pP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（填写“</w:t>
            </w:r>
            <w:r>
              <w:rPr>
                <w:rFonts w:hint="eastAsia" w:ascii="宋体" w:hAnsi="宋体" w:eastAsia="宋体" w:cs="宋体"/>
                <w:color w:val="auto"/>
                <w:sz w:val="24"/>
                <w:highlight w:val="none"/>
                <w:u w:val="single"/>
              </w:rPr>
              <w:t>响应</w:t>
            </w:r>
            <w:r>
              <w:rPr>
                <w:rFonts w:hint="eastAsia" w:ascii="宋体" w:hAnsi="宋体" w:eastAsia="宋体" w:cs="宋体"/>
                <w:color w:val="auto"/>
                <w:sz w:val="24"/>
                <w:highlight w:val="none"/>
              </w:rPr>
              <w:t>或</w:t>
            </w:r>
            <w:r>
              <w:rPr>
                <w:rFonts w:hint="eastAsia" w:ascii="宋体" w:hAnsi="宋体" w:eastAsia="宋体" w:cs="宋体"/>
                <w:color w:val="auto"/>
                <w:sz w:val="24"/>
                <w:highlight w:val="none"/>
                <w:u w:val="single"/>
              </w:rPr>
              <w:t>不响应</w:t>
            </w:r>
            <w:r>
              <w:rPr>
                <w:rFonts w:hint="eastAsia" w:ascii="宋体" w:hAnsi="宋体" w:eastAsia="宋体" w:cs="宋体"/>
                <w:color w:val="auto"/>
                <w:sz w:val="24"/>
                <w:highlight w:val="none"/>
              </w:rPr>
              <w:t>”）招标文件规定的付款方式</w:t>
            </w:r>
            <w:r>
              <w:rPr>
                <w:rFonts w:hint="eastAsia" w:ascii="宋体" w:hAnsi="宋体" w:cs="宋体"/>
                <w:color w:val="auto"/>
                <w:sz w:val="24"/>
                <w:highlight w:val="none"/>
                <w:lang w:val="en-US" w:eastAsia="zh-CN"/>
              </w:rPr>
              <w:t>及采购需求书中内容</w:t>
            </w:r>
          </w:p>
        </w:tc>
      </w:tr>
    </w:tbl>
    <w:p>
      <w:pPr>
        <w:spacing w:line="360" w:lineRule="auto"/>
        <w:ind w:firstLine="480" w:firstLineChars="200"/>
        <w:rPr>
          <w:rFonts w:hint="eastAsia" w:ascii="宋体" w:hAnsi="宋体"/>
          <w:b/>
          <w:bCs w:val="0"/>
          <w:color w:val="auto"/>
          <w:sz w:val="28"/>
          <w:szCs w:val="28"/>
          <w:highlight w:val="none"/>
        </w:rPr>
      </w:pPr>
      <w:r>
        <w:rPr>
          <w:rFonts w:hint="eastAsia" w:ascii="宋体" w:hAnsi="宋体"/>
          <w:bCs/>
          <w:color w:val="auto"/>
          <w:sz w:val="24"/>
          <w:highlight w:val="none"/>
          <w:lang w:val="en-US" w:eastAsia="zh-CN"/>
        </w:rPr>
        <w:t>备</w:t>
      </w:r>
      <w:r>
        <w:rPr>
          <w:rFonts w:hint="eastAsia" w:ascii="宋体" w:hAnsi="宋体"/>
          <w:bCs/>
          <w:color w:val="auto"/>
          <w:sz w:val="24"/>
          <w:highlight w:val="none"/>
        </w:rPr>
        <w:t>注：投标总报价填写</w:t>
      </w:r>
      <w:r>
        <w:rPr>
          <w:rFonts w:hint="eastAsia" w:ascii="宋体" w:hAnsi="宋体"/>
          <w:bCs/>
          <w:color w:val="auto"/>
          <w:sz w:val="24"/>
          <w:highlight w:val="none"/>
          <w:lang w:eastAsia="zh-CN"/>
        </w:rPr>
        <w:t>教材</w:t>
      </w:r>
      <w:r>
        <w:rPr>
          <w:rFonts w:hint="eastAsia" w:ascii="宋体" w:hAnsi="宋体"/>
          <w:bCs/>
          <w:color w:val="auto"/>
          <w:sz w:val="24"/>
          <w:highlight w:val="none"/>
        </w:rPr>
        <w:t>综合折扣：即该项目各类</w:t>
      </w:r>
      <w:r>
        <w:rPr>
          <w:rFonts w:hint="eastAsia" w:ascii="宋体" w:hAnsi="宋体"/>
          <w:bCs/>
          <w:color w:val="auto"/>
          <w:sz w:val="24"/>
          <w:highlight w:val="none"/>
          <w:lang w:eastAsia="zh-CN"/>
        </w:rPr>
        <w:t>教材</w:t>
      </w:r>
      <w:r>
        <w:rPr>
          <w:rFonts w:hint="eastAsia" w:ascii="宋体" w:hAnsi="宋体"/>
          <w:bCs/>
          <w:color w:val="auto"/>
          <w:sz w:val="24"/>
          <w:highlight w:val="none"/>
        </w:rPr>
        <w:t>最终实际供货折扣。</w:t>
      </w:r>
      <w:r>
        <w:rPr>
          <w:rFonts w:hint="eastAsia" w:ascii="宋体" w:hAnsi="宋体"/>
          <w:b/>
          <w:bCs w:val="0"/>
          <w:color w:val="auto"/>
          <w:sz w:val="28"/>
          <w:szCs w:val="28"/>
          <w:highlight w:val="none"/>
        </w:rPr>
        <w:t>例如：一本书</w:t>
      </w:r>
      <w:r>
        <w:rPr>
          <w:rFonts w:hint="eastAsia" w:ascii="宋体" w:hAnsi="宋体"/>
          <w:b/>
          <w:bCs w:val="0"/>
          <w:color w:val="auto"/>
          <w:sz w:val="28"/>
          <w:szCs w:val="28"/>
          <w:highlight w:val="none"/>
          <w:lang w:eastAsia="zh-CN"/>
        </w:rPr>
        <w:t>的折扣</w:t>
      </w:r>
      <w:r>
        <w:rPr>
          <w:rFonts w:hint="eastAsia" w:ascii="宋体" w:hAnsi="宋体"/>
          <w:b/>
          <w:bCs w:val="0"/>
          <w:color w:val="auto"/>
          <w:sz w:val="28"/>
          <w:szCs w:val="28"/>
          <w:highlight w:val="none"/>
        </w:rPr>
        <w:t>为7</w:t>
      </w:r>
      <w:r>
        <w:rPr>
          <w:rFonts w:hint="eastAsia" w:ascii="宋体" w:hAnsi="宋体"/>
          <w:b/>
          <w:bCs w:val="0"/>
          <w:color w:val="auto"/>
          <w:sz w:val="28"/>
          <w:szCs w:val="28"/>
          <w:highlight w:val="none"/>
          <w:lang w:val="en-US" w:eastAsia="zh-CN"/>
        </w:rPr>
        <w:t>.</w:t>
      </w:r>
      <w:r>
        <w:rPr>
          <w:rFonts w:hint="eastAsia" w:ascii="宋体" w:hAnsi="宋体"/>
          <w:b/>
          <w:bCs w:val="0"/>
          <w:color w:val="auto"/>
          <w:sz w:val="28"/>
          <w:szCs w:val="28"/>
          <w:highlight w:val="none"/>
        </w:rPr>
        <w:t>5折，即综合折扣</w:t>
      </w:r>
      <w:r>
        <w:rPr>
          <w:rFonts w:hint="eastAsia" w:ascii="宋体" w:hAnsi="宋体"/>
          <w:b/>
          <w:bCs w:val="0"/>
          <w:color w:val="auto"/>
          <w:sz w:val="28"/>
          <w:szCs w:val="28"/>
          <w:highlight w:val="none"/>
          <w:lang w:eastAsia="zh-CN"/>
        </w:rPr>
        <w:t>率</w:t>
      </w:r>
      <w:r>
        <w:rPr>
          <w:rFonts w:hint="eastAsia" w:ascii="宋体" w:hAnsi="宋体"/>
          <w:b/>
          <w:bCs w:val="0"/>
          <w:color w:val="auto"/>
          <w:sz w:val="28"/>
          <w:szCs w:val="28"/>
          <w:highlight w:val="none"/>
        </w:rPr>
        <w:t>为75%(投标总报价大写填写为</w:t>
      </w:r>
      <w:r>
        <w:rPr>
          <w:rFonts w:hint="eastAsia" w:ascii="宋体" w:hAnsi="宋体"/>
          <w:b/>
          <w:bCs w:val="0"/>
          <w:color w:val="auto"/>
          <w:sz w:val="28"/>
          <w:szCs w:val="28"/>
          <w:highlight w:val="none"/>
          <w:lang w:eastAsia="zh-CN"/>
        </w:rPr>
        <w:t>柒拾伍</w:t>
      </w:r>
      <w:r>
        <w:rPr>
          <w:rFonts w:hint="eastAsia" w:ascii="宋体" w:hAnsi="宋体"/>
          <w:b/>
          <w:bCs w:val="0"/>
          <w:color w:val="auto"/>
          <w:sz w:val="28"/>
          <w:szCs w:val="28"/>
          <w:highlight w:val="none"/>
        </w:rPr>
        <w:t>，小写填写为</w:t>
      </w:r>
      <w:r>
        <w:rPr>
          <w:rFonts w:hint="eastAsia" w:ascii="宋体" w:hAnsi="宋体"/>
          <w:b/>
          <w:bCs w:val="0"/>
          <w:color w:val="auto"/>
          <w:sz w:val="28"/>
          <w:szCs w:val="28"/>
          <w:highlight w:val="none"/>
          <w:lang w:val="en-US" w:eastAsia="zh-CN"/>
        </w:rPr>
        <w:t>75</w:t>
      </w:r>
      <w:r>
        <w:rPr>
          <w:rFonts w:hint="eastAsia" w:ascii="宋体" w:hAnsi="宋体"/>
          <w:b/>
          <w:bCs w:val="0"/>
          <w:color w:val="auto"/>
          <w:sz w:val="28"/>
          <w:szCs w:val="28"/>
          <w:highlight w:val="none"/>
        </w:rPr>
        <w:t>)。</w:t>
      </w:r>
    </w:p>
    <w:p>
      <w:pPr>
        <w:autoSpaceDE w:val="0"/>
        <w:autoSpaceDN w:val="0"/>
        <w:adjustRightInd w:val="0"/>
        <w:spacing w:line="520" w:lineRule="exact"/>
        <w:ind w:firstLine="240" w:firstLineChars="100"/>
        <w:rPr>
          <w:rFonts w:hint="eastAsia" w:ascii="宋体" w:hAnsi="宋体"/>
          <w:color w:val="auto"/>
          <w:sz w:val="24"/>
          <w:highlight w:val="none"/>
        </w:rPr>
      </w:pPr>
      <w:r>
        <w:rPr>
          <w:rFonts w:hint="eastAsia" w:ascii="宋体" w:hAnsi="宋体"/>
          <w:color w:val="auto"/>
          <w:sz w:val="24"/>
          <w:highlight w:val="none"/>
        </w:rPr>
        <w:t>投标人（企业电子签章）：</w:t>
      </w:r>
    </w:p>
    <w:p>
      <w:pPr>
        <w:bidi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w:t>
      </w:r>
      <w:r>
        <w:rPr>
          <w:rFonts w:hint="eastAsia" w:ascii="宋体" w:hAnsi="宋体"/>
          <w:color w:val="auto"/>
          <w:sz w:val="24"/>
          <w:highlight w:val="none"/>
        </w:rPr>
        <w:t>（个人电子签章）：</w:t>
      </w:r>
    </w:p>
    <w:p>
      <w:pPr>
        <w:bidi w:val="0"/>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bookmarkStart w:id="245" w:name="_Toc29899"/>
      <w:bookmarkStart w:id="246" w:name="_Toc17577"/>
      <w:bookmarkStart w:id="247" w:name="_Toc532473496"/>
      <w:bookmarkStart w:id="248" w:name="_Toc14153"/>
      <w:bookmarkStart w:id="249" w:name="_Toc515647805"/>
      <w:r>
        <w:rPr>
          <w:rFonts w:hint="eastAsia" w:ascii="宋体" w:hAnsi="宋体" w:eastAsia="宋体" w:cs="宋体"/>
          <w:b/>
          <w:bCs/>
          <w:color w:val="auto"/>
          <w:kern w:val="2"/>
          <w:sz w:val="24"/>
          <w:szCs w:val="32"/>
          <w:highlight w:val="none"/>
          <w:lang w:val="en-US" w:eastAsia="zh-CN" w:bidi="ar-SA"/>
        </w:rPr>
        <w:t>2、</w:t>
      </w:r>
      <w:bookmarkEnd w:id="245"/>
      <w:bookmarkEnd w:id="246"/>
      <w:bookmarkEnd w:id="247"/>
      <w:bookmarkEnd w:id="248"/>
      <w:bookmarkEnd w:id="249"/>
      <w:r>
        <w:rPr>
          <w:rFonts w:hint="eastAsia" w:ascii="宋体" w:hAnsi="宋体" w:eastAsia="宋体" w:cs="宋体"/>
          <w:b/>
          <w:bCs/>
          <w:color w:val="auto"/>
          <w:kern w:val="2"/>
          <w:sz w:val="24"/>
          <w:szCs w:val="32"/>
          <w:highlight w:val="none"/>
          <w:lang w:val="en-US" w:eastAsia="zh-CN" w:bidi="ar-SA"/>
        </w:rPr>
        <w:t>具有独立承担民事责任能力的企（事）业单位，提供营业执照或事业单位法人证书等证明文件</w:t>
      </w:r>
    </w:p>
    <w:p>
      <w:pPr>
        <w:pStyle w:val="20"/>
        <w:tabs>
          <w:tab w:val="left" w:pos="5580"/>
        </w:tabs>
        <w:spacing w:line="360" w:lineRule="auto"/>
        <w:ind w:left="1079" w:leftChars="257" w:hanging="540"/>
        <w:jc w:val="center"/>
        <w:rPr>
          <w:rFonts w:hint="eastAsia" w:hAnsi="宋体" w:cs="宋体"/>
          <w:b/>
          <w:color w:val="auto"/>
          <w:sz w:val="24"/>
          <w:highlight w:val="none"/>
        </w:rPr>
      </w:pPr>
    </w:p>
    <w:p>
      <w:pPr>
        <w:pStyle w:val="20"/>
        <w:tabs>
          <w:tab w:val="left" w:pos="5580"/>
        </w:tabs>
        <w:spacing w:line="360" w:lineRule="auto"/>
        <w:ind w:left="1079" w:leftChars="257" w:hanging="540"/>
        <w:rPr>
          <w:rFonts w:hint="eastAsia" w:hAnsi="宋体" w:cs="宋体"/>
          <w:b/>
          <w:color w:val="auto"/>
          <w:sz w:val="24"/>
          <w:highlight w:val="none"/>
        </w:rPr>
      </w:pPr>
    </w:p>
    <w:p>
      <w:pPr>
        <w:pStyle w:val="20"/>
        <w:tabs>
          <w:tab w:val="left" w:pos="5580"/>
        </w:tabs>
        <w:spacing w:line="360" w:lineRule="auto"/>
        <w:ind w:left="1079" w:leftChars="257" w:hanging="540"/>
        <w:rPr>
          <w:rFonts w:hint="eastAsia" w:hAnsi="宋体" w:cs="宋体"/>
          <w:b/>
          <w:color w:val="auto"/>
          <w:sz w:val="24"/>
          <w:highlight w:val="none"/>
        </w:rPr>
      </w:pPr>
      <w:r>
        <w:rPr>
          <w:rFonts w:hint="eastAsia" w:hAnsi="宋体" w:cs="宋体"/>
          <w:b/>
          <w:color w:val="auto"/>
          <w:sz w:val="24"/>
          <w:highlight w:val="none"/>
        </w:rPr>
        <w:t>投标人应提供资料：</w:t>
      </w:r>
    </w:p>
    <w:p>
      <w:pPr>
        <w:pStyle w:val="20"/>
        <w:tabs>
          <w:tab w:val="left" w:pos="5580"/>
        </w:tabs>
        <w:spacing w:line="360" w:lineRule="auto"/>
        <w:ind w:left="1079" w:leftChars="257" w:hanging="540"/>
        <w:rPr>
          <w:rFonts w:hint="eastAsia" w:hAnsi="宋体" w:cs="宋体"/>
          <w:color w:val="auto"/>
          <w:sz w:val="24"/>
          <w:highlight w:val="none"/>
        </w:rPr>
      </w:pPr>
      <w:r>
        <w:rPr>
          <w:rFonts w:hint="eastAsia" w:hAnsi="宋体" w:cs="宋体"/>
          <w:color w:val="auto"/>
          <w:sz w:val="24"/>
          <w:highlight w:val="none"/>
        </w:rPr>
        <w:t>说明：提供营业执照或事业单位法人证书等证明文件。</w:t>
      </w:r>
    </w:p>
    <w:p>
      <w:pPr>
        <w:pStyle w:val="20"/>
        <w:tabs>
          <w:tab w:val="left" w:pos="5580"/>
        </w:tabs>
        <w:spacing w:line="360" w:lineRule="auto"/>
        <w:ind w:left="1079" w:leftChars="257" w:hanging="540"/>
        <w:rPr>
          <w:rFonts w:hint="eastAsia" w:hAnsi="宋体" w:cs="宋体"/>
          <w:color w:val="auto"/>
          <w:sz w:val="24"/>
          <w:highlight w:val="none"/>
        </w:rPr>
      </w:pPr>
    </w:p>
    <w:p>
      <w:pPr>
        <w:pStyle w:val="20"/>
        <w:tabs>
          <w:tab w:val="left" w:pos="5580"/>
        </w:tabs>
        <w:spacing w:line="360" w:lineRule="auto"/>
        <w:ind w:left="1079" w:leftChars="257" w:hanging="540"/>
        <w:jc w:val="center"/>
        <w:rPr>
          <w:rFonts w:hint="eastAsia" w:hAnsi="宋体" w:cs="宋体"/>
          <w:color w:val="auto"/>
          <w:sz w:val="24"/>
          <w:highlight w:val="none"/>
        </w:rPr>
      </w:pPr>
      <w:r>
        <w:rPr>
          <w:rFonts w:hint="eastAsia" w:hAnsi="宋体" w:cs="宋体"/>
          <w:color w:val="auto"/>
          <w:sz w:val="24"/>
          <w:highlight w:val="none"/>
        </w:rPr>
        <w:br w:type="page"/>
      </w:r>
      <w:bookmarkStart w:id="250" w:name="_Toc532473497"/>
      <w:bookmarkStart w:id="251" w:name="_Toc1083"/>
      <w:bookmarkStart w:id="252" w:name="_Toc515647807"/>
      <w:bookmarkStart w:id="253" w:name="_Toc22472"/>
    </w:p>
    <w:p>
      <w:pPr>
        <w:pStyle w:val="5"/>
        <w:numPr>
          <w:ilvl w:val="1"/>
          <w:numId w:val="0"/>
        </w:numPr>
        <w:spacing w:before="0" w:line="360" w:lineRule="auto"/>
        <w:ind w:left="-575" w:leftChars="0"/>
        <w:jc w:val="center"/>
        <w:rPr>
          <w:rFonts w:hint="eastAsia" w:ascii="宋体" w:hAnsi="宋体" w:eastAsia="宋体" w:cs="宋体"/>
          <w:color w:val="auto"/>
          <w:sz w:val="24"/>
          <w:highlight w:val="none"/>
        </w:rPr>
      </w:pPr>
      <w:bookmarkStart w:id="254" w:name="_Toc14934302"/>
      <w:bookmarkStart w:id="255" w:name="_Toc13709"/>
      <w:bookmarkStart w:id="256" w:name="_Toc19112"/>
      <w:bookmarkStart w:id="257" w:name="_Toc15440"/>
      <w:r>
        <w:rPr>
          <w:rFonts w:hint="eastAsia" w:ascii="宋体" w:hAnsi="宋体" w:eastAsia="宋体" w:cs="宋体"/>
          <w:color w:val="auto"/>
          <w:sz w:val="24"/>
          <w:highlight w:val="none"/>
        </w:rPr>
        <w:t>3  法定代表人（或负责人）身份证明书</w:t>
      </w:r>
      <w:bookmarkEnd w:id="254"/>
      <w:bookmarkEnd w:id="255"/>
      <w:bookmarkEnd w:id="256"/>
      <w:bookmarkEnd w:id="257"/>
    </w:p>
    <w:bookmarkEnd w:id="250"/>
    <w:p>
      <w:pPr>
        <w:spacing w:line="360" w:lineRule="auto"/>
        <w:jc w:val="center"/>
        <w:rPr>
          <w:rFonts w:hint="eastAsia" w:ascii="宋体" w:hAnsi="宋体" w:cs="宋体"/>
          <w:color w:val="auto"/>
          <w:sz w:val="24"/>
          <w:highlight w:val="none"/>
          <w:u w:val="single"/>
        </w:rPr>
      </w:pPr>
      <w:r>
        <w:rPr>
          <w:rFonts w:hint="eastAsia" w:ascii="宋体" w:hAnsi="宋体" w:cs="宋体"/>
          <w:color w:val="auto"/>
          <w:sz w:val="24"/>
          <w:highlight w:val="none"/>
          <w:u w:val="single"/>
        </w:rPr>
        <w:t>（投标文件格式二）</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投标人名称：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单位性质：</w:t>
      </w:r>
      <w:r>
        <w:rPr>
          <w:rFonts w:hint="eastAsia" w:ascii="宋体" w:hAnsi="宋体" w:cs="宋体"/>
          <w:color w:val="auto"/>
          <w:sz w:val="24"/>
          <w:highlight w:val="none"/>
          <w:u w:val="single"/>
        </w:rPr>
        <w:t xml:space="preserve">          </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u w:val="single"/>
        </w:rPr>
        <w:t xml:space="preserve">                                 </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成立时间：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   经营期限：</w:t>
      </w:r>
      <w:r>
        <w:rPr>
          <w:rFonts w:hint="eastAsia" w:ascii="宋体" w:hAnsi="宋体" w:cs="宋体"/>
          <w:color w:val="auto"/>
          <w:sz w:val="24"/>
          <w:highlight w:val="none"/>
          <w:u w:val="single"/>
        </w:rPr>
        <w:t xml:space="preserve">                       </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性别：</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年龄：</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职务：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系</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（投标人名称）的法定代表人（或负责人）。</w:t>
      </w:r>
    </w:p>
    <w:p>
      <w:pPr>
        <w:spacing w:line="360" w:lineRule="auto"/>
        <w:ind w:firstLine="1080" w:firstLineChars="450"/>
        <w:rPr>
          <w:rFonts w:hint="eastAsia" w:ascii="宋体" w:hAnsi="宋体" w:cs="宋体"/>
          <w:b/>
          <w:color w:val="auto"/>
          <w:sz w:val="24"/>
          <w:highlight w:val="none"/>
        </w:rPr>
      </w:pPr>
      <w:r>
        <w:rPr>
          <w:rFonts w:hint="eastAsia" w:ascii="宋体" w:hAnsi="宋体" w:cs="宋体"/>
          <w:b/>
          <w:color w:val="auto"/>
          <w:sz w:val="24"/>
          <w:highlight w:val="none"/>
        </w:rPr>
        <w:t>特此证明。</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投标人：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（企业电子签章）</w:t>
      </w:r>
    </w:p>
    <w:p>
      <w:pPr>
        <w:pStyle w:val="20"/>
        <w:tabs>
          <w:tab w:val="left" w:pos="5580"/>
        </w:tabs>
        <w:spacing w:line="360" w:lineRule="auto"/>
        <w:ind w:firstLine="480" w:firstLineChars="200"/>
        <w:rPr>
          <w:rFonts w:hint="eastAsia" w:hAnsi="宋体" w:cs="宋体"/>
          <w:color w:val="auto"/>
          <w:sz w:val="24"/>
          <w:szCs w:val="24"/>
          <w:highlight w:val="none"/>
        </w:rPr>
      </w:pPr>
      <w:r>
        <w:rPr>
          <w:rFonts w:hint="eastAsia" w:hAnsi="宋体" w:cs="宋体"/>
          <w:color w:val="auto"/>
          <w:sz w:val="24"/>
          <w:szCs w:val="24"/>
          <w:highlight w:val="none"/>
        </w:rPr>
        <w:t>详细通讯地址：</w:t>
      </w:r>
      <w:r>
        <w:rPr>
          <w:rFonts w:hint="eastAsia" w:hAnsi="宋体" w:cs="宋体"/>
          <w:color w:val="auto"/>
          <w:sz w:val="24"/>
          <w:highlight w:val="none"/>
          <w:u w:val="single"/>
        </w:rPr>
        <w:t xml:space="preserve">             </w:t>
      </w:r>
      <w:r>
        <w:rPr>
          <w:rFonts w:hint="eastAsia" w:hAnsi="宋体" w:cs="宋体"/>
          <w:color w:val="auto"/>
          <w:sz w:val="24"/>
          <w:highlight w:val="none"/>
        </w:rPr>
        <w:t xml:space="preserve">     </w:t>
      </w:r>
      <w:r>
        <w:rPr>
          <w:rFonts w:hint="eastAsia" w:hAnsi="宋体" w:cs="宋体"/>
          <w:color w:val="auto"/>
          <w:sz w:val="24"/>
          <w:szCs w:val="24"/>
          <w:highlight w:val="none"/>
        </w:rPr>
        <w:t>邮 政 编 码 ：</w:t>
      </w:r>
      <w:r>
        <w:rPr>
          <w:rFonts w:hint="eastAsia" w:hAnsi="宋体" w:cs="宋体"/>
          <w:color w:val="auto"/>
          <w:sz w:val="24"/>
          <w:szCs w:val="24"/>
          <w:highlight w:val="none"/>
          <w:u w:val="single"/>
        </w:rPr>
        <w:t xml:space="preserve">                </w:t>
      </w:r>
    </w:p>
    <w:p>
      <w:pPr>
        <w:pStyle w:val="20"/>
        <w:tabs>
          <w:tab w:val="left" w:pos="5580"/>
        </w:tabs>
        <w:spacing w:line="360" w:lineRule="auto"/>
        <w:ind w:firstLine="480" w:firstLineChars="200"/>
        <w:jc w:val="left"/>
        <w:rPr>
          <w:rFonts w:hint="eastAsia" w:hAnsi="宋体" w:cs="宋体"/>
          <w:color w:val="auto"/>
          <w:spacing w:val="38"/>
          <w:sz w:val="24"/>
          <w:szCs w:val="24"/>
          <w:highlight w:val="none"/>
          <w:u w:val="single"/>
        </w:rPr>
      </w:pPr>
      <w:r>
        <w:rPr>
          <w:rFonts w:hint="eastAsia" w:hAnsi="宋体" w:cs="宋体"/>
          <w:color w:val="auto"/>
          <w:sz w:val="24"/>
          <w:szCs w:val="24"/>
          <w:highlight w:val="none"/>
        </w:rPr>
        <w:t>电　　　　话：</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     </w:t>
      </w:r>
      <w:r>
        <w:rPr>
          <w:rFonts w:hint="eastAsia" w:hAnsi="宋体" w:cs="宋体"/>
          <w:color w:val="auto"/>
          <w:spacing w:val="38"/>
          <w:sz w:val="24"/>
          <w:szCs w:val="24"/>
          <w:highlight w:val="none"/>
        </w:rPr>
        <w:t>电子邮箱：</w:t>
      </w:r>
      <w:r>
        <w:rPr>
          <w:rFonts w:hint="eastAsia" w:hAnsi="宋体" w:cs="宋体"/>
          <w:color w:val="auto"/>
          <w:spacing w:val="38"/>
          <w:sz w:val="24"/>
          <w:szCs w:val="24"/>
          <w:highlight w:val="none"/>
          <w:u w:val="single"/>
        </w:rPr>
        <w:t>　　　　　　</w:t>
      </w:r>
    </w:p>
    <w:p>
      <w:pPr>
        <w:spacing w:line="360" w:lineRule="auto"/>
        <w:ind w:right="880" w:firstLine="480" w:firstLineChars="200"/>
        <w:rPr>
          <w:rFonts w:hint="eastAsia" w:ascii="宋体" w:hAnsi="宋体" w:cs="宋体"/>
          <w:color w:val="auto"/>
          <w:sz w:val="24"/>
          <w:highlight w:val="none"/>
        </w:rPr>
      </w:pPr>
      <w:r>
        <w:rPr>
          <w:rFonts w:hint="eastAsia" w:ascii="宋体" w:hAnsi="宋体" w:cs="宋体"/>
          <w:color w:val="auto"/>
          <w:sz w:val="24"/>
          <w:highlight w:val="none"/>
        </w:rPr>
        <w:t>日    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日</w:t>
      </w:r>
    </w:p>
    <w:p>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注：自然人投标的无需提供</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（下面应附法定代表人或负责人身份证扫描件正反面）</w:t>
      </w:r>
    </w:p>
    <w:p>
      <w:pPr>
        <w:spacing w:line="360" w:lineRule="auto"/>
        <w:ind w:firstLine="480"/>
        <w:rPr>
          <w:rFonts w:hint="eastAsia" w:ascii="宋体" w:hAnsi="宋体" w:cs="宋体"/>
          <w:color w:val="auto"/>
          <w:sz w:val="24"/>
          <w:highlight w:val="none"/>
        </w:rPr>
      </w:pPr>
    </w:p>
    <w:p>
      <w:pPr>
        <w:pStyle w:val="20"/>
        <w:tabs>
          <w:tab w:val="left" w:pos="5580"/>
        </w:tabs>
        <w:spacing w:line="360" w:lineRule="auto"/>
        <w:ind w:left="-539" w:leftChars="-257" w:firstLine="900" w:firstLineChars="375"/>
        <w:rPr>
          <w:rFonts w:hint="eastAsia" w:hAnsi="宋体" w:cs="宋体"/>
          <w:color w:val="auto"/>
          <w:sz w:val="24"/>
          <w:highlight w:val="none"/>
        </w:rPr>
      </w:pPr>
      <w:r>
        <w:rPr>
          <w:rFonts w:hint="eastAsia" w:hAnsi="宋体" w:cs="宋体"/>
          <w:color w:val="auto"/>
          <w:sz w:val="24"/>
          <w:highlight w:val="none"/>
        </w:rPr>
        <w:t>投标人（企业电子签章）：</w:t>
      </w:r>
      <w:r>
        <w:rPr>
          <w:rFonts w:hint="eastAsia" w:hAnsi="宋体" w:cs="宋体"/>
          <w:color w:val="auto"/>
          <w:sz w:val="24"/>
          <w:highlight w:val="none"/>
          <w:u w:val="single"/>
        </w:rPr>
        <w:t xml:space="preserve">                      </w:t>
      </w:r>
    </w:p>
    <w:p>
      <w:pPr>
        <w:pStyle w:val="20"/>
        <w:tabs>
          <w:tab w:val="left" w:pos="5580"/>
        </w:tabs>
        <w:spacing w:line="360" w:lineRule="auto"/>
        <w:ind w:left="268" w:leftChars="128" w:firstLine="120" w:firstLineChars="50"/>
        <w:rPr>
          <w:rFonts w:hint="eastAsia" w:hAnsi="宋体" w:cs="宋体"/>
          <w:color w:val="auto"/>
          <w:sz w:val="24"/>
          <w:highlight w:val="none"/>
        </w:rPr>
      </w:pPr>
      <w:r>
        <w:rPr>
          <w:rFonts w:hint="eastAsia" w:hAnsi="宋体" w:cs="宋体"/>
          <w:color w:val="auto"/>
          <w:sz w:val="24"/>
          <w:highlight w:val="none"/>
        </w:rPr>
        <w:t>详细通讯地址：</w:t>
      </w:r>
      <w:r>
        <w:rPr>
          <w:rFonts w:hint="eastAsia" w:hAnsi="宋体" w:cs="宋体"/>
          <w:color w:val="auto"/>
          <w:sz w:val="24"/>
          <w:highlight w:val="none"/>
          <w:u w:val="single"/>
        </w:rPr>
        <w:t xml:space="preserve">                                </w:t>
      </w:r>
    </w:p>
    <w:p>
      <w:pPr>
        <w:pStyle w:val="20"/>
        <w:tabs>
          <w:tab w:val="left" w:pos="5580"/>
        </w:tabs>
        <w:spacing w:line="360" w:lineRule="auto"/>
        <w:ind w:firstLine="360" w:firstLineChars="150"/>
        <w:rPr>
          <w:rFonts w:hint="eastAsia" w:hAnsi="宋体" w:cs="宋体"/>
          <w:color w:val="auto"/>
          <w:sz w:val="24"/>
          <w:highlight w:val="none"/>
        </w:rPr>
      </w:pPr>
      <w:r>
        <w:rPr>
          <w:rFonts w:hint="eastAsia" w:hAnsi="宋体" w:cs="宋体"/>
          <w:color w:val="auto"/>
          <w:sz w:val="24"/>
          <w:highlight w:val="none"/>
        </w:rPr>
        <w:t>邮 政 编 码 ：</w:t>
      </w:r>
      <w:r>
        <w:rPr>
          <w:rFonts w:hint="eastAsia" w:hAnsi="宋体" w:cs="宋体"/>
          <w:color w:val="auto"/>
          <w:sz w:val="24"/>
          <w:highlight w:val="none"/>
          <w:u w:val="single"/>
        </w:rPr>
        <w:t xml:space="preserve">                                </w:t>
      </w:r>
    </w:p>
    <w:p>
      <w:pPr>
        <w:pStyle w:val="20"/>
        <w:tabs>
          <w:tab w:val="left" w:pos="5580"/>
        </w:tabs>
        <w:spacing w:line="360" w:lineRule="auto"/>
        <w:ind w:firstLine="360" w:firstLineChars="150"/>
        <w:rPr>
          <w:rFonts w:hint="eastAsia" w:hAnsi="宋体" w:cs="宋体"/>
          <w:color w:val="auto"/>
          <w:sz w:val="24"/>
          <w:highlight w:val="none"/>
        </w:rPr>
      </w:pPr>
      <w:r>
        <w:rPr>
          <w:rFonts w:hint="eastAsia" w:hAnsi="宋体" w:cs="宋体"/>
          <w:color w:val="auto"/>
          <w:sz w:val="24"/>
          <w:highlight w:val="none"/>
        </w:rPr>
        <w:t>电　　　　话：</w:t>
      </w:r>
      <w:r>
        <w:rPr>
          <w:rFonts w:hint="eastAsia" w:hAnsi="宋体" w:cs="宋体"/>
          <w:color w:val="auto"/>
          <w:sz w:val="24"/>
          <w:highlight w:val="none"/>
          <w:u w:val="single"/>
        </w:rPr>
        <w:t xml:space="preserve">                                </w:t>
      </w:r>
    </w:p>
    <w:p>
      <w:pPr>
        <w:spacing w:line="360" w:lineRule="auto"/>
        <w:ind w:firstLine="480"/>
        <w:rPr>
          <w:rFonts w:hint="eastAsia" w:ascii="宋体" w:hAnsi="宋体" w:cs="宋体"/>
          <w:color w:val="auto"/>
          <w:sz w:val="24"/>
          <w:highlight w:val="none"/>
        </w:rPr>
      </w:pPr>
    </w:p>
    <w:p>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注：自然人投标的无需提供</w:t>
      </w:r>
    </w:p>
    <w:tbl>
      <w:tblPr>
        <w:tblStyle w:val="31"/>
        <w:tblW w:w="89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4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6" w:hRule="atLeast"/>
          <w:jc w:val="center"/>
        </w:trPr>
        <w:tc>
          <w:tcPr>
            <w:tcW w:w="4484" w:type="dxa"/>
            <w:noWrap w:val="0"/>
            <w:vAlign w:val="center"/>
          </w:tcPr>
          <w:p>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法定代表人（或负责人）身份证（正面）</w:t>
            </w:r>
          </w:p>
        </w:tc>
        <w:tc>
          <w:tcPr>
            <w:tcW w:w="4485" w:type="dxa"/>
            <w:noWrap w:val="0"/>
            <w:vAlign w:val="center"/>
          </w:tcPr>
          <w:p>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法定代表人（或负责人）身份证（反面）</w:t>
            </w:r>
          </w:p>
        </w:tc>
      </w:tr>
    </w:tbl>
    <w:p>
      <w:pPr>
        <w:spacing w:line="360" w:lineRule="auto"/>
        <w:ind w:firstLine="480"/>
        <w:rPr>
          <w:rFonts w:hint="eastAsia" w:ascii="宋体" w:hAnsi="宋体" w:cs="宋体"/>
          <w:color w:val="auto"/>
          <w:sz w:val="24"/>
          <w:highlight w:val="none"/>
        </w:rPr>
      </w:pPr>
    </w:p>
    <w:p>
      <w:pPr>
        <w:pStyle w:val="5"/>
        <w:numPr>
          <w:ilvl w:val="1"/>
          <w:numId w:val="0"/>
        </w:numPr>
        <w:spacing w:before="0" w:line="360" w:lineRule="auto"/>
        <w:ind w:left="-575" w:leftChars="0"/>
        <w:jc w:val="center"/>
        <w:rPr>
          <w:rFonts w:hint="eastAsia" w:ascii="宋体" w:hAnsi="宋体" w:eastAsia="宋体" w:cs="宋体"/>
          <w:color w:val="auto"/>
          <w:sz w:val="24"/>
          <w:highlight w:val="none"/>
        </w:rPr>
      </w:pPr>
      <w:r>
        <w:rPr>
          <w:rFonts w:hint="eastAsia" w:ascii="宋体" w:hAnsi="宋体" w:eastAsia="宋体" w:cs="宋体"/>
          <w:color w:val="auto"/>
          <w:highlight w:val="none"/>
        </w:rPr>
        <w:br w:type="page"/>
      </w:r>
      <w:bookmarkEnd w:id="251"/>
      <w:bookmarkEnd w:id="252"/>
      <w:bookmarkEnd w:id="253"/>
      <w:bookmarkStart w:id="258" w:name="_Toc25901"/>
      <w:bookmarkStart w:id="259" w:name="_Toc3814"/>
      <w:bookmarkStart w:id="260" w:name="_Toc15048338"/>
      <w:bookmarkStart w:id="261" w:name="_Toc16581646"/>
      <w:bookmarkStart w:id="262" w:name="_Toc4728"/>
      <w:bookmarkStart w:id="263" w:name="_Toc532473498"/>
      <w:bookmarkStart w:id="264" w:name="_Toc14934303"/>
      <w:bookmarkStart w:id="265" w:name="_Toc515647808"/>
      <w:bookmarkStart w:id="266" w:name="_Toc32520"/>
      <w:bookmarkStart w:id="267" w:name="_Toc532473499"/>
      <w:bookmarkStart w:id="268" w:name="_Toc7039"/>
      <w:r>
        <w:rPr>
          <w:rFonts w:hint="eastAsia" w:ascii="宋体" w:hAnsi="宋体" w:eastAsia="宋体" w:cs="宋体"/>
          <w:color w:val="auto"/>
          <w:sz w:val="24"/>
          <w:highlight w:val="none"/>
        </w:rPr>
        <w:t>4、法定代表人（或负责人）授权委托书</w:t>
      </w:r>
      <w:bookmarkEnd w:id="258"/>
      <w:bookmarkEnd w:id="259"/>
      <w:bookmarkEnd w:id="260"/>
      <w:bookmarkEnd w:id="261"/>
      <w:bookmarkEnd w:id="262"/>
    </w:p>
    <w:p>
      <w:pPr>
        <w:pStyle w:val="20"/>
        <w:tabs>
          <w:tab w:val="left" w:pos="5580"/>
        </w:tabs>
        <w:spacing w:line="360" w:lineRule="auto"/>
        <w:jc w:val="center"/>
        <w:rPr>
          <w:rFonts w:hint="eastAsia" w:hAnsi="宋体" w:cs="宋体"/>
          <w:color w:val="auto"/>
          <w:sz w:val="24"/>
          <w:highlight w:val="none"/>
        </w:rPr>
      </w:pPr>
      <w:r>
        <w:rPr>
          <w:rFonts w:hint="eastAsia" w:hAnsi="宋体" w:cs="宋体"/>
          <w:color w:val="auto"/>
          <w:sz w:val="24"/>
          <w:highlight w:val="none"/>
        </w:rPr>
        <w:t>(投标文件格式三)</w:t>
      </w:r>
      <w:bookmarkEnd w:id="263"/>
    </w:p>
    <w:p>
      <w:pPr>
        <w:pStyle w:val="20"/>
        <w:tabs>
          <w:tab w:val="left" w:pos="5580"/>
        </w:tabs>
        <w:spacing w:line="360" w:lineRule="auto"/>
        <w:ind w:left="-539" w:leftChars="-257" w:firstLine="787" w:firstLineChars="375"/>
        <w:jc w:val="center"/>
        <w:rPr>
          <w:rFonts w:hint="eastAsia" w:hAnsi="宋体" w:cs="宋体"/>
          <w:color w:val="auto"/>
          <w:highlight w:val="none"/>
        </w:rPr>
      </w:pP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本人</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（姓名）系</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（投标人名称）的法定代表人（或负责人），现委托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（姓名）为我单位的合法代理人。代理人根据授权，就（</w:t>
      </w:r>
      <w:r>
        <w:rPr>
          <w:rFonts w:hint="eastAsia" w:ascii="宋体" w:hAnsi="宋体" w:cs="宋体"/>
          <w:i/>
          <w:color w:val="auto"/>
          <w:sz w:val="24"/>
          <w:highlight w:val="none"/>
          <w:u w:val="single"/>
        </w:rPr>
        <w:t>项目名称</w:t>
      </w:r>
      <w:r>
        <w:rPr>
          <w:rFonts w:hint="eastAsia" w:ascii="宋体" w:hAnsi="宋体" w:cs="宋体"/>
          <w:color w:val="auto"/>
          <w:sz w:val="24"/>
          <w:highlight w:val="none"/>
        </w:rPr>
        <w:t>）投标，以我单位名义处理一切与之有关的事务，其法律后果由我单位承担。</w:t>
      </w:r>
    </w:p>
    <w:p>
      <w:pPr>
        <w:spacing w:line="360" w:lineRule="auto"/>
        <w:ind w:left="359" w:leftChars="171" w:firstLine="120" w:firstLineChars="50"/>
        <w:rPr>
          <w:rFonts w:hint="eastAsia" w:ascii="宋体" w:hAnsi="宋体" w:cs="宋体"/>
          <w:color w:val="auto"/>
          <w:sz w:val="24"/>
          <w:highlight w:val="none"/>
        </w:rPr>
      </w:pPr>
      <w:r>
        <w:rPr>
          <w:rFonts w:hint="eastAsia" w:ascii="宋体" w:hAnsi="宋体" w:cs="宋体"/>
          <w:color w:val="auto"/>
          <w:sz w:val="24"/>
          <w:highlight w:val="none"/>
        </w:rPr>
        <w:t>委托期限：</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20 **年**月**日至20**年**月**日(填写具体日期) </w:t>
      </w:r>
      <w:r>
        <w:rPr>
          <w:rFonts w:hint="eastAsia" w:ascii="宋体" w:hAnsi="宋体" w:cs="宋体"/>
          <w:color w:val="auto"/>
          <w:sz w:val="24"/>
          <w:highlight w:val="none"/>
        </w:rPr>
        <w:t>。</w:t>
      </w:r>
    </w:p>
    <w:p>
      <w:pPr>
        <w:pStyle w:val="20"/>
        <w:tabs>
          <w:tab w:val="left" w:pos="5580"/>
        </w:tabs>
        <w:spacing w:line="360" w:lineRule="auto"/>
        <w:ind w:left="-539" w:leftChars="-257" w:firstLine="900" w:firstLineChars="375"/>
        <w:rPr>
          <w:rFonts w:hint="eastAsia" w:hAnsi="宋体" w:cs="宋体"/>
          <w:color w:val="auto"/>
          <w:sz w:val="24"/>
          <w:highlight w:val="none"/>
        </w:rPr>
      </w:pPr>
    </w:p>
    <w:p>
      <w:pPr>
        <w:pStyle w:val="20"/>
        <w:tabs>
          <w:tab w:val="left" w:pos="5580"/>
        </w:tabs>
        <w:spacing w:line="360" w:lineRule="auto"/>
        <w:ind w:firstLine="480" w:firstLineChars="200"/>
        <w:rPr>
          <w:rFonts w:hint="eastAsia" w:hAnsi="宋体" w:cs="宋体"/>
          <w:color w:val="auto"/>
          <w:sz w:val="24"/>
          <w:highlight w:val="none"/>
          <w:u w:val="single"/>
        </w:rPr>
      </w:pPr>
      <w:r>
        <w:rPr>
          <w:rFonts w:hint="eastAsia" w:hAnsi="宋体" w:cs="宋体"/>
          <w:color w:val="auto"/>
          <w:sz w:val="24"/>
          <w:highlight w:val="none"/>
          <w:u w:val="single" w:color="FFFFFF"/>
        </w:rPr>
        <w:t>投标</w:t>
      </w:r>
      <w:r>
        <w:rPr>
          <w:rFonts w:hint="eastAsia" w:hAnsi="宋体" w:cs="宋体"/>
          <w:color w:val="auto"/>
          <w:sz w:val="24"/>
          <w:highlight w:val="none"/>
        </w:rPr>
        <w:t>人：</w:t>
      </w:r>
      <w:r>
        <w:rPr>
          <w:rFonts w:hint="eastAsia" w:hAnsi="宋体" w:cs="宋体"/>
          <w:color w:val="auto"/>
          <w:sz w:val="24"/>
          <w:highlight w:val="none"/>
          <w:u w:val="single"/>
        </w:rPr>
        <w:t xml:space="preserve">                              </w:t>
      </w:r>
      <w:r>
        <w:rPr>
          <w:rFonts w:hint="eastAsia" w:hAnsi="宋体" w:cs="宋体"/>
          <w:color w:val="auto"/>
          <w:sz w:val="24"/>
          <w:highlight w:val="none"/>
        </w:rPr>
        <w:t>（企业电子签章）</w:t>
      </w:r>
    </w:p>
    <w:p>
      <w:pPr>
        <w:pStyle w:val="20"/>
        <w:tabs>
          <w:tab w:val="left" w:pos="5580"/>
        </w:tabs>
        <w:spacing w:line="360" w:lineRule="auto"/>
        <w:ind w:firstLine="480" w:firstLineChars="200"/>
        <w:rPr>
          <w:rFonts w:hint="eastAsia" w:hAnsi="宋体" w:cs="宋体"/>
          <w:color w:val="auto"/>
          <w:sz w:val="24"/>
          <w:highlight w:val="none"/>
        </w:rPr>
      </w:pPr>
      <w:r>
        <w:rPr>
          <w:rFonts w:hint="eastAsia" w:hAnsi="宋体" w:cs="宋体"/>
          <w:color w:val="auto"/>
          <w:sz w:val="24"/>
          <w:highlight w:val="none"/>
          <w:u w:val="single" w:color="FFFFFF"/>
        </w:rPr>
        <w:t>法定代表人或负责人（签字或签章）</w:t>
      </w:r>
      <w:r>
        <w:rPr>
          <w:rFonts w:hint="eastAsia" w:hAnsi="宋体" w:cs="宋体"/>
          <w:color w:val="auto"/>
          <w:sz w:val="24"/>
          <w:highlight w:val="none"/>
        </w:rPr>
        <w:t>：</w:t>
      </w:r>
      <w:r>
        <w:rPr>
          <w:rFonts w:hint="eastAsia" w:hAnsi="宋体" w:cs="宋体"/>
          <w:color w:val="auto"/>
          <w:sz w:val="24"/>
          <w:highlight w:val="none"/>
          <w:u w:val="single"/>
        </w:rPr>
        <w:t xml:space="preserve">                      </w:t>
      </w:r>
    </w:p>
    <w:p>
      <w:pPr>
        <w:pStyle w:val="20"/>
        <w:tabs>
          <w:tab w:val="left" w:pos="5580"/>
        </w:tabs>
        <w:spacing w:line="360" w:lineRule="auto"/>
        <w:ind w:firstLine="480" w:firstLineChars="200"/>
        <w:rPr>
          <w:rFonts w:hint="eastAsia" w:hAnsi="宋体" w:cs="宋体"/>
          <w:color w:val="auto"/>
          <w:sz w:val="24"/>
          <w:highlight w:val="none"/>
        </w:rPr>
      </w:pPr>
      <w:r>
        <w:rPr>
          <w:rFonts w:hint="eastAsia" w:hAnsi="宋体" w:cs="宋体"/>
          <w:color w:val="auto"/>
          <w:sz w:val="24"/>
          <w:highlight w:val="none"/>
          <w:u w:val="single" w:color="FFFFFF"/>
        </w:rPr>
        <w:t>详细通讯地址</w:t>
      </w:r>
      <w:r>
        <w:rPr>
          <w:rFonts w:hint="eastAsia" w:hAnsi="宋体" w:cs="宋体"/>
          <w:color w:val="auto"/>
          <w:sz w:val="24"/>
          <w:highlight w:val="none"/>
        </w:rPr>
        <w:t>：</w:t>
      </w:r>
      <w:r>
        <w:rPr>
          <w:rFonts w:hint="eastAsia" w:hAnsi="宋体" w:cs="宋体"/>
          <w:color w:val="auto"/>
          <w:sz w:val="24"/>
          <w:highlight w:val="none"/>
          <w:u w:val="single"/>
        </w:rPr>
        <w:t xml:space="preserve">                                 </w:t>
      </w:r>
    </w:p>
    <w:p>
      <w:pPr>
        <w:pStyle w:val="20"/>
        <w:tabs>
          <w:tab w:val="left" w:pos="5580"/>
        </w:tabs>
        <w:spacing w:line="360" w:lineRule="auto"/>
        <w:ind w:firstLine="480" w:firstLineChars="200"/>
        <w:rPr>
          <w:rFonts w:hint="eastAsia" w:hAnsi="宋体" w:cs="宋体"/>
          <w:color w:val="auto"/>
          <w:sz w:val="24"/>
          <w:highlight w:val="none"/>
        </w:rPr>
      </w:pPr>
      <w:r>
        <w:rPr>
          <w:rFonts w:hint="eastAsia" w:hAnsi="宋体" w:cs="宋体"/>
          <w:color w:val="auto"/>
          <w:sz w:val="24"/>
          <w:highlight w:val="none"/>
          <w:u w:val="single" w:color="FFFFFF"/>
        </w:rPr>
        <w:t xml:space="preserve">邮 政 编 码 </w:t>
      </w:r>
      <w:r>
        <w:rPr>
          <w:rFonts w:hint="eastAsia" w:hAnsi="宋体" w:cs="宋体"/>
          <w:color w:val="auto"/>
          <w:sz w:val="24"/>
          <w:highlight w:val="none"/>
        </w:rPr>
        <w:t>：</w:t>
      </w:r>
      <w:r>
        <w:rPr>
          <w:rFonts w:hint="eastAsia" w:hAnsi="宋体" w:cs="宋体"/>
          <w:color w:val="auto"/>
          <w:sz w:val="24"/>
          <w:highlight w:val="none"/>
          <w:u w:val="single"/>
        </w:rPr>
        <w:t xml:space="preserve">                                 </w:t>
      </w:r>
    </w:p>
    <w:p>
      <w:pPr>
        <w:pStyle w:val="20"/>
        <w:tabs>
          <w:tab w:val="left" w:pos="5580"/>
        </w:tabs>
        <w:spacing w:line="360" w:lineRule="auto"/>
        <w:ind w:firstLine="480" w:firstLineChars="200"/>
        <w:rPr>
          <w:rFonts w:hint="eastAsia" w:hAnsi="宋体" w:cs="宋体"/>
          <w:color w:val="auto"/>
          <w:sz w:val="24"/>
          <w:highlight w:val="none"/>
          <w:u w:val="single"/>
        </w:rPr>
      </w:pPr>
      <w:r>
        <w:rPr>
          <w:rFonts w:hint="eastAsia" w:hAnsi="宋体" w:cs="宋体"/>
          <w:color w:val="auto"/>
          <w:sz w:val="24"/>
          <w:highlight w:val="none"/>
          <w:u w:val="single" w:color="FFFFFF"/>
        </w:rPr>
        <w:t>电　　　　话</w:t>
      </w:r>
      <w:r>
        <w:rPr>
          <w:rFonts w:hint="eastAsia" w:hAnsi="宋体" w:cs="宋体"/>
          <w:color w:val="auto"/>
          <w:sz w:val="24"/>
          <w:highlight w:val="none"/>
        </w:rPr>
        <w:t>：</w:t>
      </w:r>
      <w:r>
        <w:rPr>
          <w:rFonts w:hint="eastAsia" w:hAnsi="宋体" w:cs="宋体"/>
          <w:color w:val="auto"/>
          <w:sz w:val="24"/>
          <w:highlight w:val="none"/>
          <w:u w:val="single"/>
        </w:rPr>
        <w:t xml:space="preserve">                                 </w:t>
      </w:r>
    </w:p>
    <w:p>
      <w:pPr>
        <w:pStyle w:val="20"/>
        <w:tabs>
          <w:tab w:val="left" w:pos="5580"/>
        </w:tabs>
        <w:spacing w:line="360" w:lineRule="auto"/>
        <w:ind w:firstLine="489" w:firstLineChars="155"/>
        <w:rPr>
          <w:rFonts w:hint="eastAsia" w:hAnsi="宋体" w:cs="宋体"/>
          <w:color w:val="auto"/>
          <w:spacing w:val="38"/>
          <w:sz w:val="24"/>
          <w:szCs w:val="24"/>
          <w:highlight w:val="none"/>
          <w:u w:val="single"/>
        </w:rPr>
      </w:pPr>
      <w:r>
        <w:rPr>
          <w:rFonts w:hint="eastAsia" w:hAnsi="宋体" w:cs="宋体"/>
          <w:color w:val="auto"/>
          <w:spacing w:val="38"/>
          <w:sz w:val="24"/>
          <w:szCs w:val="24"/>
          <w:highlight w:val="none"/>
        </w:rPr>
        <w:t>电子邮箱：</w:t>
      </w:r>
      <w:r>
        <w:rPr>
          <w:rFonts w:hint="eastAsia" w:hAnsi="宋体" w:cs="宋体"/>
          <w:color w:val="auto"/>
          <w:spacing w:val="38"/>
          <w:sz w:val="24"/>
          <w:szCs w:val="24"/>
          <w:highlight w:val="none"/>
          <w:u w:val="single"/>
        </w:rPr>
        <w:t>　　　　　　　　　　　　　</w:t>
      </w:r>
    </w:p>
    <w:p>
      <w:pPr>
        <w:pStyle w:val="20"/>
        <w:tabs>
          <w:tab w:val="left" w:pos="5580"/>
        </w:tabs>
        <w:spacing w:line="360" w:lineRule="auto"/>
        <w:ind w:firstLine="491" w:firstLineChars="205"/>
        <w:rPr>
          <w:rFonts w:hint="eastAsia" w:hAnsi="宋体" w:cs="宋体"/>
          <w:color w:val="auto"/>
          <w:sz w:val="24"/>
          <w:highlight w:val="none"/>
          <w:u w:val="single"/>
        </w:rPr>
      </w:pPr>
      <w:r>
        <w:rPr>
          <w:rFonts w:hint="eastAsia" w:hAnsi="宋体" w:cs="宋体"/>
          <w:color w:val="auto"/>
          <w:sz w:val="24"/>
          <w:highlight w:val="none"/>
        </w:rPr>
        <w:t>日    期：</w:t>
      </w:r>
      <w:r>
        <w:rPr>
          <w:rFonts w:hint="eastAsia" w:hAnsi="宋体" w:cs="宋体"/>
          <w:color w:val="auto"/>
          <w:sz w:val="24"/>
          <w:highlight w:val="none"/>
          <w:u w:val="single"/>
        </w:rPr>
        <w:t xml:space="preserve">       </w:t>
      </w:r>
      <w:r>
        <w:rPr>
          <w:rFonts w:hint="eastAsia" w:hAnsi="宋体" w:cs="宋体"/>
          <w:color w:val="auto"/>
          <w:sz w:val="24"/>
          <w:highlight w:val="none"/>
        </w:rPr>
        <w:t>年</w:t>
      </w:r>
      <w:r>
        <w:rPr>
          <w:rFonts w:hint="eastAsia" w:hAnsi="宋体" w:cs="宋体"/>
          <w:color w:val="auto"/>
          <w:sz w:val="24"/>
          <w:highlight w:val="none"/>
          <w:u w:val="single"/>
        </w:rPr>
        <w:t xml:space="preserve">      </w:t>
      </w:r>
      <w:r>
        <w:rPr>
          <w:rFonts w:hint="eastAsia" w:hAnsi="宋体" w:cs="宋体"/>
          <w:color w:val="auto"/>
          <w:sz w:val="24"/>
          <w:highlight w:val="none"/>
        </w:rPr>
        <w:t>月</w:t>
      </w:r>
      <w:r>
        <w:rPr>
          <w:rFonts w:hint="eastAsia" w:hAnsi="宋体" w:cs="宋体"/>
          <w:color w:val="auto"/>
          <w:sz w:val="24"/>
          <w:highlight w:val="none"/>
          <w:u w:val="single"/>
        </w:rPr>
        <w:t xml:space="preserve">      </w:t>
      </w:r>
      <w:r>
        <w:rPr>
          <w:rFonts w:hint="eastAsia" w:hAnsi="宋体" w:cs="宋体"/>
          <w:color w:val="auto"/>
          <w:sz w:val="24"/>
          <w:highlight w:val="none"/>
        </w:rPr>
        <w:t>日</w:t>
      </w:r>
    </w:p>
    <w:p>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注：自然人投标的或法定代表人或负责人投标的无需提供</w:t>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（下面应附代理人身份证扫描件正反面）</w:t>
      </w:r>
    </w:p>
    <w:tbl>
      <w:tblPr>
        <w:tblStyle w:val="31"/>
        <w:tblW w:w="89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4"/>
        <w:gridCol w:w="4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6" w:hRule="atLeast"/>
          <w:jc w:val="center"/>
        </w:trPr>
        <w:tc>
          <w:tcPr>
            <w:tcW w:w="4484" w:type="dxa"/>
            <w:noWrap w:val="0"/>
            <w:vAlign w:val="center"/>
          </w:tcPr>
          <w:p>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被委托人身份证（正面）</w:t>
            </w:r>
          </w:p>
        </w:tc>
        <w:tc>
          <w:tcPr>
            <w:tcW w:w="4485" w:type="dxa"/>
            <w:noWrap w:val="0"/>
            <w:vAlign w:val="center"/>
          </w:tcPr>
          <w:p>
            <w:pPr>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被委托人身份证（反面）</w:t>
            </w:r>
          </w:p>
        </w:tc>
      </w:tr>
    </w:tbl>
    <w:p>
      <w:pPr>
        <w:spacing w:line="360" w:lineRule="auto"/>
        <w:rPr>
          <w:rFonts w:hint="eastAsia" w:ascii="宋体" w:hAnsi="宋体" w:cs="宋体"/>
          <w:color w:val="auto"/>
          <w:sz w:val="24"/>
          <w:highlight w:val="none"/>
        </w:rPr>
      </w:pPr>
    </w:p>
    <w:p>
      <w:pPr>
        <w:spacing w:line="360" w:lineRule="auto"/>
        <w:rPr>
          <w:rFonts w:hint="eastAsia" w:ascii="宋体" w:hAnsi="宋体" w:cs="宋体"/>
          <w:color w:val="auto"/>
          <w:highlight w:val="none"/>
        </w:rPr>
      </w:pPr>
      <w:r>
        <w:rPr>
          <w:rFonts w:hint="eastAsia" w:ascii="宋体" w:hAnsi="宋体" w:cs="宋体"/>
          <w:color w:val="auto"/>
          <w:sz w:val="24"/>
          <w:highlight w:val="none"/>
        </w:rPr>
        <w:br w:type="page"/>
      </w:r>
    </w:p>
    <w:p>
      <w:pPr>
        <w:pStyle w:val="5"/>
        <w:numPr>
          <w:ilvl w:val="1"/>
          <w:numId w:val="0"/>
        </w:numPr>
        <w:spacing w:before="0" w:line="360" w:lineRule="auto"/>
        <w:ind w:leftChars="257"/>
        <w:jc w:val="center"/>
        <w:rPr>
          <w:rFonts w:hint="eastAsia" w:ascii="宋体" w:hAnsi="宋体" w:eastAsia="宋体" w:cs="宋体"/>
          <w:color w:val="auto"/>
          <w:sz w:val="24"/>
          <w:szCs w:val="24"/>
          <w:highlight w:val="none"/>
        </w:rPr>
      </w:pPr>
      <w:bookmarkStart w:id="269" w:name="_Toc20376"/>
      <w:bookmarkStart w:id="270" w:name="_Toc3834"/>
      <w:bookmarkStart w:id="271" w:name="_Toc5537"/>
      <w:r>
        <w:rPr>
          <w:rFonts w:hint="eastAsia" w:ascii="宋体" w:hAnsi="宋体" w:eastAsia="宋体" w:cs="宋体"/>
          <w:color w:val="auto"/>
          <w:sz w:val="24"/>
          <w:szCs w:val="24"/>
          <w:highlight w:val="none"/>
        </w:rPr>
        <w:t>5  投标保证承诺书</w:t>
      </w:r>
      <w:bookmarkEnd w:id="264"/>
      <w:bookmarkEnd w:id="269"/>
      <w:bookmarkEnd w:id="270"/>
      <w:bookmarkEnd w:id="271"/>
    </w:p>
    <w:p>
      <w:pPr>
        <w:tabs>
          <w:tab w:val="left" w:pos="1800"/>
          <w:tab w:val="left" w:pos="5580"/>
        </w:tabs>
        <w:spacing w:line="360" w:lineRule="auto"/>
        <w:ind w:right="-867" w:rightChars="-413" w:firstLine="3283" w:firstLineChars="1368"/>
        <w:rPr>
          <w:rFonts w:hint="eastAsia" w:ascii="宋体" w:hAnsi="宋体" w:cs="宋体"/>
          <w:color w:val="auto"/>
          <w:sz w:val="24"/>
          <w:highlight w:val="none"/>
        </w:rPr>
      </w:pPr>
      <w:r>
        <w:rPr>
          <w:rFonts w:hint="eastAsia" w:ascii="宋体" w:hAnsi="宋体" w:cs="宋体"/>
          <w:color w:val="auto"/>
          <w:sz w:val="24"/>
          <w:highlight w:val="none"/>
        </w:rPr>
        <w:t>（投标文件格式四）</w:t>
      </w:r>
    </w:p>
    <w:p>
      <w:pPr>
        <w:spacing w:line="360" w:lineRule="auto"/>
        <w:jc w:val="center"/>
        <w:rPr>
          <w:rFonts w:hint="eastAsia" w:ascii="宋体" w:hAnsi="宋体" w:cs="宋体"/>
          <w:b/>
          <w:color w:val="auto"/>
          <w:sz w:val="24"/>
          <w:highlight w:val="none"/>
        </w:rPr>
      </w:pPr>
      <w:bookmarkStart w:id="272" w:name="_Toc13835407"/>
      <w:r>
        <w:rPr>
          <w:rFonts w:hint="eastAsia" w:ascii="宋体" w:hAnsi="宋体" w:cs="宋体"/>
          <w:b/>
          <w:color w:val="auto"/>
          <w:sz w:val="24"/>
          <w:highlight w:val="none"/>
        </w:rPr>
        <w:t>5.1投标保证承诺书</w:t>
      </w:r>
      <w:bookmarkEnd w:id="272"/>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致（采购人及采购代理机构）：</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我公司作为本次采购项目的投标人，根据招标文件要求，现郑重承诺如下：</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一、具备《中华人民共和国政府采购法》第二十二条第一款和本项目规定的条件：</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（一）具有独立承担民事责任的能力； 　　</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（二）具有良好的商业信誉和健全的财务会计制度； 　</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（三）具有履行合同所必需的设备和专业技术能力； 　　</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（四）有依法缴纳税收和社会保障资金的良好记录； 　　</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（五）参加政府采购活动前三年内，在经营活动中没有重大违法记录；</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（六）法律、行政法规规定的其他条件；</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（七）根据采购项目提出的特殊条件。</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二、完全接受和满足本项目招标文件中规定的实质性要求，如对招标文件有异议，已经在投标截止时间届满前依法进行维权救济，不存在对招标文件有异议的同时又参加投标以求侥幸中标或者为实现其他非法目的的行为。</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三、参加本次招标采购活动，不存在与单位负责人为同一人或者存在直接控股、管理关系的其他供应商参与同一合同项下的政府采购活动的行为。    </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四、参加本次招标采购活动，不存在为采购项目提供整体设计、规范编制或者项目管理、监理、检测等服务的行为。</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五、参加本次招标采购活动，不存在和其他供应商在同一合同项下的采购项目中，同时委托同一个自然人、同一家庭的人员、同一单位的人员作为代理人的行为。</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六、投标人参加本次政府采购活动要求在近三年内投标人和其法定代表人没有行贿犯罪行为。</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七、投标文件中提供的能够给予我公司带来优惠、好处的任何材料资料和技术、服务、商务等响应承诺情况都是真实的、有效的、合法的。</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八、如本项目评标过程中需要提供样品，则我公司提供的样品即为中标后将要提供的中标产品，我公司对提供样品的性能和质量负责，因样品存在缺陷或者不符合招标文件要求导致未能中标的，我公司愿意承担相应不利后果。（如提供样品）    </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 九、存在以下行为之一的愿意接受相关部门的处理：</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   （一）投标有效期内撤销投标文件的；</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   （二）在采购人确定中标人以前放弃中标候选资格的；</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   （三）由于中标人的原因未能按照招标文件的规定与采购人签订合同；</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   （四）由于中标人的原因未能按照招标文件的规定交纳履约保证金；</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   （五）在投标文件中提供虚假材料谋取中标；</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   （六）与采购人、其他供应商或者采购代理机构恶意串通的；</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   （七）投标有效期内，投标人在政府采购活动中有违法、违规、违纪行为。</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 如果发生任何一项以上行为，将在该行为发生的10个工作日内，向贵方</w:t>
      </w:r>
      <w:r>
        <w:rPr>
          <w:rFonts w:hint="eastAsia" w:ascii="宋体" w:hAnsi="宋体" w:cs="宋体"/>
          <w:color w:val="auto"/>
          <w:sz w:val="24"/>
          <w:highlight w:val="none"/>
          <w:u w:val="single"/>
        </w:rPr>
        <w:t>（或采购人）</w:t>
      </w:r>
      <w:r>
        <w:rPr>
          <w:rFonts w:hint="eastAsia" w:ascii="宋体" w:hAnsi="宋体" w:cs="宋体"/>
          <w:color w:val="auto"/>
          <w:sz w:val="24"/>
          <w:highlight w:val="none"/>
        </w:rPr>
        <w:t>支付本招标文件公布的预算金额或最高限价（如无预算金额或最高限价的话，以我单位的投标报价为基准）的2%作为违约赔偿金。</w:t>
      </w:r>
    </w:p>
    <w:p>
      <w:pPr>
        <w:spacing w:line="360" w:lineRule="auto"/>
        <w:ind w:firstLine="600" w:firstLineChars="250"/>
        <w:jc w:val="left"/>
        <w:rPr>
          <w:rFonts w:hint="eastAsia" w:ascii="宋体" w:hAnsi="宋体" w:cs="宋体"/>
          <w:color w:val="auto"/>
          <w:sz w:val="24"/>
          <w:highlight w:val="none"/>
        </w:rPr>
      </w:pPr>
      <w:r>
        <w:rPr>
          <w:rFonts w:hint="eastAsia" w:ascii="宋体" w:hAnsi="宋体" w:cs="宋体"/>
          <w:color w:val="auto"/>
          <w:sz w:val="24"/>
          <w:highlight w:val="none"/>
        </w:rPr>
        <w:t>承认本承诺书作为贵方</w:t>
      </w:r>
      <w:r>
        <w:rPr>
          <w:rFonts w:hint="eastAsia" w:ascii="宋体" w:hAnsi="宋体" w:cs="宋体"/>
          <w:color w:val="auto"/>
          <w:sz w:val="24"/>
          <w:highlight w:val="none"/>
          <w:u w:val="single"/>
        </w:rPr>
        <w:t>（或采购人）</w:t>
      </w:r>
      <w:r>
        <w:rPr>
          <w:rFonts w:hint="eastAsia" w:ascii="宋体" w:hAnsi="宋体" w:cs="宋体"/>
          <w:color w:val="auto"/>
          <w:sz w:val="24"/>
          <w:highlight w:val="none"/>
        </w:rPr>
        <w:t>要求我单位履行违约赔偿义务的依据作用。</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由此产生的一切法律后果和责任由我公司承担。我公司声明放弃对此提出任何异议和追索的权利。</w:t>
      </w:r>
    </w:p>
    <w:p>
      <w:pPr>
        <w:spacing w:line="360" w:lineRule="auto"/>
        <w:jc w:val="left"/>
        <w:rPr>
          <w:rFonts w:hint="eastAsia" w:ascii="宋体" w:hAnsi="宋体" w:cs="宋体"/>
          <w:color w:val="auto"/>
          <w:sz w:val="24"/>
          <w:highlight w:val="none"/>
        </w:rPr>
      </w:pP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本公司对上述承诺的内容事项真实性负责。如经查实上述承诺的内容事项存在虚假，我公司愿意接受以提供虚假材料谋取中标追究法律责任。</w:t>
      </w:r>
    </w:p>
    <w:p>
      <w:pPr>
        <w:spacing w:line="360" w:lineRule="auto"/>
        <w:jc w:val="left"/>
        <w:rPr>
          <w:rFonts w:hint="eastAsia" w:ascii="宋体" w:hAnsi="宋体" w:cs="宋体"/>
          <w:color w:val="auto"/>
          <w:sz w:val="24"/>
          <w:highlight w:val="none"/>
        </w:rPr>
      </w:pPr>
    </w:p>
    <w:p>
      <w:pPr>
        <w:spacing w:line="360" w:lineRule="auto"/>
        <w:jc w:val="left"/>
        <w:rPr>
          <w:rFonts w:hint="eastAsia" w:ascii="宋体" w:hAnsi="宋体" w:cs="宋体"/>
          <w:color w:val="auto"/>
          <w:sz w:val="24"/>
          <w:highlight w:val="none"/>
        </w:rPr>
      </w:pP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投标人（企业电子签章）：</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法定代表人（个人电子签章）：</w:t>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ab/>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地址：</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电话：</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传真：</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电子邮件：</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rPr>
        <w:tab/>
      </w:r>
      <w:r>
        <w:rPr>
          <w:rFonts w:hint="eastAsia" w:ascii="宋体" w:hAnsi="宋体" w:cs="宋体"/>
          <w:color w:val="auto"/>
          <w:sz w:val="24"/>
          <w:highlight w:val="none"/>
        </w:rPr>
        <w:tab/>
      </w:r>
      <w:r>
        <w:rPr>
          <w:rFonts w:hint="eastAsia" w:ascii="宋体" w:hAnsi="宋体" w:cs="宋体"/>
          <w:color w:val="auto"/>
          <w:sz w:val="24"/>
          <w:highlight w:val="none"/>
        </w:rPr>
        <w:t>邮编：</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pPr>
        <w:spacing w:line="360" w:lineRule="auto"/>
        <w:jc w:val="left"/>
        <w:rPr>
          <w:rFonts w:hint="eastAsia" w:ascii="宋体" w:hAnsi="宋体" w:cs="宋体"/>
          <w:color w:val="auto"/>
          <w:sz w:val="24"/>
          <w:highlight w:val="none"/>
        </w:rPr>
      </w:pPr>
    </w:p>
    <w:p>
      <w:pPr>
        <w:spacing w:line="360" w:lineRule="auto"/>
        <w:jc w:val="left"/>
        <w:rPr>
          <w:rFonts w:hint="eastAsia" w:ascii="宋体" w:hAnsi="宋体" w:cs="宋体"/>
          <w:color w:val="auto"/>
          <w:sz w:val="24"/>
          <w:highlight w:val="none"/>
          <w:u w:val="single"/>
        </w:rPr>
      </w:pPr>
      <w:r>
        <w:rPr>
          <w:rFonts w:hint="eastAsia" w:ascii="宋体" w:hAnsi="宋体" w:cs="宋体"/>
          <w:color w:val="auto"/>
          <w:sz w:val="24"/>
          <w:highlight w:val="none"/>
        </w:rPr>
        <w:t>日期：</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p>
    <w:p>
      <w:pPr>
        <w:spacing w:line="360" w:lineRule="auto"/>
        <w:jc w:val="left"/>
        <w:rPr>
          <w:rFonts w:hint="eastAsia" w:ascii="宋体" w:hAnsi="宋体" w:cs="宋体"/>
          <w:color w:val="auto"/>
          <w:sz w:val="24"/>
          <w:highlight w:val="none"/>
          <w:u w:val="single"/>
        </w:rPr>
      </w:pPr>
    </w:p>
    <w:p>
      <w:pPr>
        <w:spacing w:line="360" w:lineRule="auto"/>
        <w:jc w:val="center"/>
        <w:rPr>
          <w:rFonts w:hint="eastAsia" w:ascii="宋体" w:hAnsi="宋体" w:cs="宋体"/>
          <w:color w:val="auto"/>
          <w:sz w:val="24"/>
          <w:highlight w:val="none"/>
        </w:rPr>
      </w:pPr>
      <w:r>
        <w:rPr>
          <w:rFonts w:hint="eastAsia" w:ascii="宋体" w:hAnsi="宋体" w:cs="宋体"/>
          <w:color w:val="auto"/>
          <w:sz w:val="24"/>
          <w:highlight w:val="none"/>
        </w:rPr>
        <w:t>5.2</w:t>
      </w:r>
      <w:r>
        <w:rPr>
          <w:rFonts w:hint="eastAsia" w:ascii="宋体" w:hAnsi="宋体" w:cs="宋体"/>
          <w:b/>
          <w:bCs/>
          <w:color w:val="auto"/>
          <w:sz w:val="24"/>
          <w:highlight w:val="none"/>
        </w:rPr>
        <w:t>招标代理服务费承诺函</w:t>
      </w:r>
    </w:p>
    <w:p>
      <w:pPr>
        <w:spacing w:line="360" w:lineRule="auto"/>
        <w:jc w:val="center"/>
        <w:rPr>
          <w:rFonts w:hint="eastAsia" w:ascii="宋体" w:hAnsi="宋体" w:cs="宋体"/>
          <w:color w:val="auto"/>
          <w:sz w:val="24"/>
          <w:highlight w:val="none"/>
          <w:u w:val="single"/>
        </w:rPr>
      </w:pPr>
    </w:p>
    <w:p>
      <w:pPr>
        <w:spacing w:line="360" w:lineRule="auto"/>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致（采购人及采购代理机构） ：</w:t>
      </w: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我们在贵公司组织的（项目名称：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，采购代理编号：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）招标中若获中标，我们保证在中标公告发布后5个工作日内，按招标文件的规定，以银行转账</w:t>
      </w:r>
      <w:r>
        <w:rPr>
          <w:rFonts w:hint="eastAsia" w:ascii="宋体" w:hAnsi="宋体" w:cs="宋体"/>
          <w:color w:val="auto"/>
          <w:sz w:val="24"/>
          <w:highlight w:val="none"/>
          <w:lang w:val="en-US" w:eastAsia="zh-CN"/>
        </w:rPr>
        <w:t>或</w:t>
      </w:r>
      <w:r>
        <w:rPr>
          <w:rFonts w:hint="eastAsia" w:ascii="宋体" w:hAnsi="宋体" w:cs="宋体"/>
          <w:color w:val="auto"/>
          <w:sz w:val="24"/>
          <w:highlight w:val="none"/>
        </w:rPr>
        <w:t>现金，向贵公司一次性支付招标代理服务费用。否则，由此产生的一切法律后果和责任由我公司承担。</w:t>
      </w:r>
    </w:p>
    <w:p>
      <w:pPr>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承认本承诺书作为贵方要求我单位履行违约赔偿义务的依据作用。</w:t>
      </w:r>
    </w:p>
    <w:p>
      <w:pPr>
        <w:spacing w:line="360" w:lineRule="auto"/>
        <w:ind w:firstLine="360" w:firstLineChars="150"/>
        <w:jc w:val="left"/>
        <w:rPr>
          <w:rFonts w:hint="eastAsia" w:ascii="宋体" w:hAnsi="宋体" w:cs="宋体"/>
          <w:color w:val="auto"/>
          <w:sz w:val="24"/>
          <w:highlight w:val="none"/>
        </w:rPr>
      </w:pPr>
      <w:r>
        <w:rPr>
          <w:rFonts w:hint="eastAsia" w:ascii="宋体" w:hAnsi="宋体" w:cs="宋体"/>
          <w:color w:val="auto"/>
          <w:sz w:val="24"/>
          <w:highlight w:val="none"/>
        </w:rPr>
        <w:t>我公司声明放弃对此提出任何异议和追索的权利。</w:t>
      </w:r>
    </w:p>
    <w:p>
      <w:pPr>
        <w:spacing w:line="360" w:lineRule="auto"/>
        <w:jc w:val="left"/>
        <w:rPr>
          <w:rFonts w:hint="eastAsia" w:ascii="宋体" w:hAnsi="宋体" w:cs="宋体"/>
          <w:color w:val="auto"/>
          <w:sz w:val="24"/>
          <w:highlight w:val="none"/>
        </w:rPr>
      </w:pP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特此承诺。</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 </w:t>
      </w:r>
    </w:p>
    <w:p>
      <w:pPr>
        <w:spacing w:line="360" w:lineRule="auto"/>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投标人（企业电子签章）：</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pPr>
        <w:spacing w:line="360" w:lineRule="auto"/>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法定代表人（个人电子签章）：</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pPr>
        <w:spacing w:line="360" w:lineRule="auto"/>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地址：</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pPr>
        <w:spacing w:line="360" w:lineRule="auto"/>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电话：</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传真：</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pPr>
        <w:spacing w:line="360" w:lineRule="auto"/>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电子邮件：</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邮编：</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p>
    <w:p>
      <w:pPr>
        <w:spacing w:line="360" w:lineRule="auto"/>
        <w:jc w:val="left"/>
        <w:rPr>
          <w:rFonts w:hint="eastAsia" w:ascii="宋体" w:hAnsi="宋体" w:cs="宋体"/>
          <w:color w:val="auto"/>
          <w:sz w:val="24"/>
          <w:highlight w:val="none"/>
          <w:u w:val="single"/>
        </w:rPr>
      </w:pPr>
    </w:p>
    <w:p>
      <w:pPr>
        <w:spacing w:line="360" w:lineRule="auto"/>
        <w:jc w:val="left"/>
        <w:rPr>
          <w:rFonts w:hint="eastAsia" w:ascii="宋体" w:hAnsi="宋体" w:cs="宋体"/>
          <w:color w:val="auto"/>
          <w:sz w:val="24"/>
          <w:highlight w:val="none"/>
          <w:u w:val="single"/>
        </w:rPr>
      </w:pPr>
      <w:r>
        <w:rPr>
          <w:rFonts w:hint="eastAsia" w:ascii="宋体" w:hAnsi="宋体" w:cs="宋体"/>
          <w:color w:val="auto"/>
          <w:sz w:val="24"/>
          <w:highlight w:val="none"/>
          <w:u w:val="single"/>
        </w:rPr>
        <w:t>日期：</w:t>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ab/>
      </w:r>
      <w:r>
        <w:rPr>
          <w:rFonts w:hint="eastAsia" w:ascii="宋体" w:hAnsi="宋体" w:cs="宋体"/>
          <w:color w:val="auto"/>
          <w:sz w:val="24"/>
          <w:highlight w:val="none"/>
          <w:u w:val="single"/>
        </w:rPr>
        <w:t xml:space="preserve">                      </w:t>
      </w:r>
    </w:p>
    <w:p>
      <w:pPr>
        <w:spacing w:line="360" w:lineRule="auto"/>
        <w:jc w:val="left"/>
        <w:rPr>
          <w:rFonts w:hint="eastAsia" w:ascii="宋体" w:hAnsi="宋体" w:cs="宋体"/>
          <w:color w:val="auto"/>
          <w:highlight w:val="none"/>
        </w:rPr>
      </w:pPr>
      <w:r>
        <w:rPr>
          <w:rFonts w:hint="eastAsia" w:ascii="宋体" w:hAnsi="宋体" w:cs="宋体"/>
          <w:color w:val="auto"/>
          <w:sz w:val="24"/>
          <w:highlight w:val="none"/>
        </w:rPr>
        <w:br w:type="page"/>
      </w:r>
    </w:p>
    <w:bookmarkEnd w:id="265"/>
    <w:bookmarkEnd w:id="266"/>
    <w:bookmarkEnd w:id="267"/>
    <w:bookmarkEnd w:id="268"/>
    <w:p>
      <w:pPr>
        <w:pStyle w:val="5"/>
        <w:numPr>
          <w:ilvl w:val="1"/>
          <w:numId w:val="0"/>
        </w:numPr>
        <w:spacing w:before="0" w:line="360" w:lineRule="auto"/>
        <w:ind w:leftChars="257"/>
        <w:rPr>
          <w:rFonts w:hint="eastAsia" w:ascii="宋体" w:hAnsi="宋体" w:eastAsia="宋体" w:cs="宋体"/>
          <w:color w:val="auto"/>
          <w:sz w:val="24"/>
          <w:highlight w:val="none"/>
        </w:rPr>
      </w:pPr>
      <w:bookmarkStart w:id="273" w:name="_Toc22568"/>
      <w:bookmarkStart w:id="274" w:name="_Toc20591"/>
      <w:bookmarkStart w:id="275" w:name="_Toc8640"/>
      <w:bookmarkStart w:id="276" w:name="_Toc14934304"/>
      <w:r>
        <w:rPr>
          <w:rFonts w:hint="eastAsia" w:ascii="宋体" w:hAnsi="宋体" w:eastAsia="宋体" w:cs="宋体"/>
          <w:color w:val="auto"/>
          <w:sz w:val="24"/>
          <w:highlight w:val="none"/>
        </w:rPr>
        <w:t>6.具有良好的商业信誉和健全的财务会计制度的承诺书</w:t>
      </w:r>
      <w:bookmarkEnd w:id="273"/>
      <w:bookmarkEnd w:id="274"/>
      <w:bookmarkEnd w:id="275"/>
      <w:bookmarkEnd w:id="276"/>
    </w:p>
    <w:p>
      <w:pPr>
        <w:tabs>
          <w:tab w:val="left" w:pos="5580"/>
        </w:tabs>
        <w:spacing w:line="360" w:lineRule="auto"/>
        <w:ind w:left="1079" w:leftChars="257" w:hanging="540"/>
        <w:jc w:val="center"/>
        <w:rPr>
          <w:rFonts w:hint="eastAsia" w:ascii="宋体" w:hAnsi="宋体" w:cs="宋体"/>
          <w:b/>
          <w:color w:val="auto"/>
          <w:sz w:val="24"/>
          <w:highlight w:val="none"/>
        </w:rPr>
      </w:pPr>
    </w:p>
    <w:p>
      <w:pPr>
        <w:tabs>
          <w:tab w:val="left" w:pos="5580"/>
        </w:tabs>
        <w:spacing w:line="360" w:lineRule="auto"/>
        <w:ind w:left="1079" w:leftChars="257" w:hanging="540"/>
        <w:rPr>
          <w:rFonts w:hint="eastAsia" w:ascii="宋体" w:hAnsi="宋体" w:cs="宋体"/>
          <w:color w:val="auto"/>
          <w:sz w:val="24"/>
          <w:highlight w:val="none"/>
        </w:rPr>
      </w:pPr>
      <w:r>
        <w:rPr>
          <w:rFonts w:hint="eastAsia" w:ascii="宋体" w:hAnsi="宋体" w:cs="宋体"/>
          <w:color w:val="auto"/>
          <w:sz w:val="24"/>
          <w:highlight w:val="none"/>
        </w:rPr>
        <w:t>说明：</w:t>
      </w:r>
    </w:p>
    <w:p>
      <w:pPr>
        <w:tabs>
          <w:tab w:val="left" w:pos="5580"/>
        </w:tabs>
        <w:spacing w:line="360" w:lineRule="auto"/>
        <w:ind w:left="540"/>
        <w:rPr>
          <w:rFonts w:hint="eastAsia" w:ascii="宋体" w:hAnsi="宋体" w:cs="宋体"/>
          <w:color w:val="auto"/>
          <w:sz w:val="24"/>
          <w:highlight w:val="none"/>
        </w:rPr>
      </w:pPr>
      <w:r>
        <w:rPr>
          <w:rFonts w:hint="eastAsia" w:ascii="宋体" w:hAnsi="宋体" w:cs="宋体"/>
          <w:color w:val="auto"/>
          <w:sz w:val="24"/>
          <w:highlight w:val="none"/>
        </w:rPr>
        <w:t>1. 投标人承诺本单位具有良好的商业信誉和健全的财务会计制度（格式自拟）。</w:t>
      </w:r>
    </w:p>
    <w:p>
      <w:pPr>
        <w:tabs>
          <w:tab w:val="left" w:pos="5580"/>
        </w:tabs>
        <w:spacing w:line="360" w:lineRule="auto"/>
        <w:ind w:left="1079" w:leftChars="257" w:hanging="540"/>
        <w:rPr>
          <w:rFonts w:hint="eastAsia" w:ascii="宋体" w:hAnsi="宋体" w:cs="宋体"/>
          <w:color w:val="auto"/>
          <w:sz w:val="24"/>
          <w:highlight w:val="none"/>
        </w:rPr>
      </w:pPr>
    </w:p>
    <w:p>
      <w:pPr>
        <w:bidi w:val="0"/>
        <w:rPr>
          <w:rFonts w:hint="eastAsia"/>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bCs/>
          <w:color w:val="auto"/>
          <w:highlight w:val="none"/>
        </w:rPr>
      </w:pPr>
      <w:r>
        <w:rPr>
          <w:rFonts w:hint="eastAsia" w:ascii="宋体" w:hAnsi="宋体" w:cs="宋体"/>
          <w:bCs/>
          <w:color w:val="auto"/>
          <w:highlight w:val="none"/>
        </w:rPr>
        <w:t>投标人（企业电子签章）：</w:t>
      </w:r>
    </w:p>
    <w:p>
      <w:pPr>
        <w:pStyle w:val="6"/>
        <w:rPr>
          <w:rFonts w:hint="eastAsia" w:ascii="宋体" w:hAnsi="宋体" w:cs="宋体"/>
          <w:bCs/>
          <w:color w:val="auto"/>
          <w:highlight w:val="none"/>
        </w:rPr>
      </w:pPr>
    </w:p>
    <w:p>
      <w:pPr>
        <w:pStyle w:val="6"/>
        <w:rPr>
          <w:rFonts w:hint="eastAsia" w:ascii="宋体" w:hAnsi="宋体" w:cs="宋体"/>
          <w:bCs/>
          <w:color w:val="auto"/>
          <w:highlight w:val="none"/>
        </w:rPr>
      </w:pPr>
      <w:r>
        <w:rPr>
          <w:rFonts w:hint="eastAsia" w:ascii="宋体" w:hAnsi="宋体" w:cs="宋体"/>
          <w:bCs/>
          <w:color w:val="auto"/>
          <w:highlight w:val="none"/>
        </w:rPr>
        <w:t>法定代表人（个人电子签章）：</w:t>
      </w:r>
    </w:p>
    <w:p>
      <w:pPr>
        <w:pStyle w:val="6"/>
        <w:rPr>
          <w:rFonts w:hint="eastAsia" w:ascii="宋体" w:hAnsi="宋体" w:cs="宋体"/>
          <w:bCs/>
          <w:color w:val="auto"/>
          <w:highlight w:val="none"/>
        </w:rPr>
      </w:pPr>
    </w:p>
    <w:p>
      <w:pPr>
        <w:pStyle w:val="6"/>
        <w:rPr>
          <w:rFonts w:hint="eastAsia" w:ascii="宋体" w:hAnsi="宋体" w:cs="宋体"/>
          <w:color w:val="auto"/>
          <w:highlight w:val="none"/>
        </w:rPr>
        <w:sectPr>
          <w:footerReference r:id="rId9" w:type="default"/>
          <w:pgSz w:w="11906" w:h="16838"/>
          <w:pgMar w:top="1440" w:right="1558" w:bottom="1440" w:left="1797" w:header="851" w:footer="992" w:gutter="0"/>
          <w:pgNumType w:fmt="decimal"/>
          <w:cols w:space="720" w:num="1"/>
          <w:docGrid w:type="linesAndChars" w:linePitch="312" w:charSpace="0"/>
        </w:sectPr>
      </w:pPr>
      <w:r>
        <w:rPr>
          <w:rFonts w:hint="eastAsia" w:ascii="宋体" w:hAnsi="宋体" w:cs="宋体"/>
          <w:bCs/>
          <w:color w:val="auto"/>
          <w:highlight w:val="none"/>
        </w:rPr>
        <w:t>年  月  日</w:t>
      </w:r>
    </w:p>
    <w:p>
      <w:pPr>
        <w:spacing w:line="360" w:lineRule="auto"/>
        <w:rPr>
          <w:rFonts w:hint="eastAsia" w:ascii="宋体" w:hAnsi="宋体" w:cs="宋体"/>
          <w:color w:val="auto"/>
          <w:highlight w:val="none"/>
        </w:rPr>
      </w:pPr>
    </w:p>
    <w:p>
      <w:pPr>
        <w:pStyle w:val="5"/>
        <w:numPr>
          <w:ilvl w:val="1"/>
          <w:numId w:val="0"/>
        </w:numPr>
        <w:spacing w:before="0" w:line="360" w:lineRule="auto"/>
        <w:ind w:leftChars="257"/>
        <w:rPr>
          <w:rFonts w:hint="eastAsia" w:ascii="宋体" w:hAnsi="宋体" w:eastAsia="宋体" w:cs="宋体"/>
          <w:color w:val="auto"/>
          <w:sz w:val="24"/>
          <w:highlight w:val="none"/>
        </w:rPr>
      </w:pPr>
      <w:bookmarkStart w:id="277" w:name="_Toc16192"/>
      <w:bookmarkStart w:id="278" w:name="_Toc14934305"/>
      <w:bookmarkStart w:id="279" w:name="_Toc22810"/>
      <w:bookmarkStart w:id="280" w:name="_Toc2894"/>
      <w:bookmarkStart w:id="281" w:name="_Toc532473500"/>
      <w:bookmarkStart w:id="282" w:name="_Toc515647810"/>
      <w:bookmarkStart w:id="283" w:name="_Toc5710"/>
      <w:bookmarkStart w:id="284" w:name="_Toc18754"/>
      <w:r>
        <w:rPr>
          <w:rFonts w:hint="eastAsia" w:ascii="宋体" w:hAnsi="宋体" w:eastAsia="宋体" w:cs="宋体"/>
          <w:color w:val="auto"/>
          <w:sz w:val="24"/>
          <w:highlight w:val="none"/>
        </w:rPr>
        <w:t>6.1 财务状况报告</w:t>
      </w:r>
      <w:bookmarkEnd w:id="277"/>
      <w:bookmarkEnd w:id="278"/>
      <w:bookmarkEnd w:id="279"/>
      <w:bookmarkEnd w:id="280"/>
    </w:p>
    <w:p>
      <w:pPr>
        <w:pStyle w:val="6"/>
        <w:spacing w:line="360" w:lineRule="auto"/>
        <w:ind w:firstLine="997" w:firstLineChars="475"/>
        <w:rPr>
          <w:rFonts w:hint="eastAsia" w:ascii="宋体" w:hAnsi="宋体" w:cs="宋体"/>
          <w:color w:val="auto"/>
          <w:sz w:val="24"/>
          <w:highlight w:val="none"/>
        </w:rPr>
      </w:pPr>
      <w:r>
        <w:rPr>
          <w:rFonts w:hint="eastAsia" w:ascii="宋体" w:hAnsi="宋体" w:cs="宋体"/>
          <w:color w:val="auto"/>
          <w:highlight w:val="none"/>
        </w:rPr>
        <w:t xml:space="preserve">说明：1. </w:t>
      </w:r>
      <w:r>
        <w:rPr>
          <w:rFonts w:hint="eastAsia" w:ascii="宋体" w:hAnsi="宋体" w:cs="宋体"/>
          <w:color w:val="auto"/>
          <w:sz w:val="24"/>
          <w:highlight w:val="none"/>
        </w:rPr>
        <w:t>会计师事务所或审计部门出具的</w:t>
      </w:r>
      <w:r>
        <w:rPr>
          <w:sz w:val="24"/>
          <w:highlight w:val="none"/>
        </w:rPr>
        <w:t>2018年度或2019年度财务审计报告，或基本开户银行出具的资信证明，或本企业财务状况良好且没有处于被接管、冻结、破产状态的承诺函（承诺函格式自拟，要求加盖单位电子印章）</w:t>
      </w:r>
      <w:r>
        <w:rPr>
          <w:rFonts w:hint="eastAsia" w:ascii="宋体" w:hAnsi="宋体" w:cs="宋体"/>
          <w:color w:val="auto"/>
          <w:sz w:val="24"/>
          <w:highlight w:val="none"/>
        </w:rPr>
        <w:t>。</w:t>
      </w:r>
    </w:p>
    <w:p>
      <w:pPr>
        <w:pStyle w:val="6"/>
        <w:spacing w:line="360" w:lineRule="auto"/>
        <w:ind w:firstLine="1140" w:firstLineChars="475"/>
        <w:rPr>
          <w:rFonts w:hint="eastAsia" w:ascii="宋体" w:hAnsi="宋体" w:cs="宋体"/>
          <w:color w:val="auto"/>
          <w:sz w:val="24"/>
          <w:highlight w:val="none"/>
        </w:rPr>
      </w:pPr>
      <w:r>
        <w:rPr>
          <w:rFonts w:hint="eastAsia" w:ascii="宋体" w:hAnsi="宋体" w:cs="宋体"/>
          <w:color w:val="auto"/>
          <w:sz w:val="24"/>
          <w:highlight w:val="none"/>
        </w:rPr>
        <w:t>如提供财务审计报告应提供完整的财务审计报告。</w:t>
      </w:r>
    </w:p>
    <w:p>
      <w:pPr>
        <w:pStyle w:val="6"/>
        <w:spacing w:line="360" w:lineRule="auto"/>
        <w:ind w:firstLine="1140" w:firstLineChars="475"/>
        <w:rPr>
          <w:rFonts w:hint="eastAsia" w:ascii="宋体" w:hAnsi="宋体" w:cs="宋体"/>
          <w:color w:val="auto"/>
          <w:sz w:val="24"/>
          <w:highlight w:val="none"/>
        </w:rPr>
      </w:pPr>
      <w:r>
        <w:rPr>
          <w:rFonts w:hint="eastAsia" w:ascii="宋体" w:hAnsi="宋体" w:cs="宋体"/>
          <w:color w:val="auto"/>
          <w:sz w:val="24"/>
          <w:highlight w:val="none"/>
        </w:rPr>
        <w:t>注：参考《财政部关于注册会计师在审计报告上签名盖章有关问题的通知》（财会【2001】1035号）规定，审计报告应当由两名具备相关业务资格的注册会计师签名盖章并经会计师事务所盖章方为有效。</w:t>
      </w: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5"/>
        <w:numPr>
          <w:ilvl w:val="1"/>
          <w:numId w:val="0"/>
        </w:numPr>
        <w:spacing w:before="0" w:line="360" w:lineRule="auto"/>
        <w:ind w:leftChars="257"/>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p>
    <w:p>
      <w:pPr>
        <w:pStyle w:val="5"/>
        <w:numPr>
          <w:ilvl w:val="1"/>
          <w:numId w:val="0"/>
        </w:numPr>
        <w:spacing w:before="0" w:line="360" w:lineRule="auto"/>
        <w:ind w:leftChars="257"/>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bookmarkStart w:id="285" w:name="_Toc28707"/>
      <w:bookmarkStart w:id="286" w:name="_Toc30912"/>
      <w:bookmarkStart w:id="287" w:name="_Toc12392"/>
      <w:bookmarkStart w:id="288" w:name="_Toc14934306"/>
      <w:r>
        <w:rPr>
          <w:rFonts w:hint="eastAsia" w:ascii="宋体" w:hAnsi="宋体" w:eastAsia="宋体" w:cs="宋体"/>
          <w:color w:val="auto"/>
          <w:sz w:val="24"/>
          <w:highlight w:val="none"/>
        </w:rPr>
        <w:t>6.2依法缴纳社会保障资金</w:t>
      </w:r>
      <w:bookmarkEnd w:id="281"/>
      <w:bookmarkEnd w:id="282"/>
      <w:bookmarkEnd w:id="283"/>
      <w:bookmarkEnd w:id="284"/>
      <w:r>
        <w:rPr>
          <w:rFonts w:hint="eastAsia" w:ascii="宋体" w:hAnsi="宋体" w:eastAsia="宋体" w:cs="宋体"/>
          <w:color w:val="auto"/>
          <w:sz w:val="24"/>
          <w:highlight w:val="none"/>
        </w:rPr>
        <w:t>和税收的证明材料</w:t>
      </w:r>
      <w:bookmarkEnd w:id="285"/>
      <w:bookmarkEnd w:id="286"/>
      <w:bookmarkEnd w:id="287"/>
      <w:bookmarkEnd w:id="288"/>
    </w:p>
    <w:p>
      <w:pPr>
        <w:pStyle w:val="20"/>
        <w:tabs>
          <w:tab w:val="left" w:pos="5580"/>
        </w:tabs>
        <w:spacing w:line="360" w:lineRule="auto"/>
        <w:ind w:left="1079" w:leftChars="257" w:hanging="540"/>
        <w:jc w:val="center"/>
        <w:rPr>
          <w:rFonts w:hint="eastAsia" w:hAnsi="宋体" w:cs="宋体"/>
          <w:b/>
          <w:color w:val="auto"/>
          <w:sz w:val="24"/>
          <w:highlight w:val="none"/>
        </w:rPr>
      </w:pPr>
    </w:p>
    <w:p>
      <w:pPr>
        <w:pStyle w:val="20"/>
        <w:tabs>
          <w:tab w:val="left" w:pos="5580"/>
        </w:tabs>
        <w:spacing w:line="360" w:lineRule="auto"/>
        <w:ind w:left="540"/>
        <w:rPr>
          <w:rFonts w:hint="eastAsia" w:hAnsi="宋体" w:cs="宋体"/>
          <w:b/>
          <w:color w:val="auto"/>
          <w:sz w:val="24"/>
          <w:highlight w:val="none"/>
        </w:rPr>
      </w:pPr>
    </w:p>
    <w:p>
      <w:pPr>
        <w:tabs>
          <w:tab w:val="left" w:pos="5580"/>
        </w:tabs>
        <w:spacing w:line="360" w:lineRule="auto"/>
        <w:ind w:left="540"/>
        <w:rPr>
          <w:rFonts w:hint="eastAsia" w:ascii="宋体" w:hAnsi="宋体" w:cs="宋体"/>
          <w:color w:val="auto"/>
          <w:sz w:val="24"/>
          <w:highlight w:val="none"/>
        </w:rPr>
      </w:pPr>
      <w:r>
        <w:rPr>
          <w:rFonts w:hint="eastAsia" w:ascii="宋体" w:hAnsi="宋体" w:cs="宋体"/>
          <w:color w:val="auto"/>
          <w:sz w:val="24"/>
          <w:highlight w:val="none"/>
        </w:rPr>
        <w:t>说明：</w:t>
      </w:r>
    </w:p>
    <w:p>
      <w:pPr>
        <w:tabs>
          <w:tab w:val="left" w:pos="5580"/>
        </w:tabs>
        <w:spacing w:line="360" w:lineRule="auto"/>
        <w:ind w:left="540"/>
        <w:rPr>
          <w:rFonts w:hint="eastAsia" w:ascii="宋体" w:hAnsi="宋体" w:cs="宋体"/>
          <w:color w:val="auto"/>
          <w:sz w:val="24"/>
          <w:highlight w:val="none"/>
        </w:rPr>
      </w:pPr>
      <w:r>
        <w:rPr>
          <w:sz w:val="24"/>
          <w:highlight w:val="none"/>
        </w:rPr>
        <w:t>提供2020年以来</w:t>
      </w:r>
      <w:r>
        <w:rPr>
          <w:rFonts w:hint="eastAsia"/>
          <w:sz w:val="24"/>
          <w:highlight w:val="none"/>
          <w:lang w:val="en-US" w:eastAsia="zh-CN"/>
        </w:rPr>
        <w:t>任意三</w:t>
      </w:r>
      <w:r>
        <w:rPr>
          <w:sz w:val="24"/>
          <w:highlight w:val="none"/>
        </w:rPr>
        <w:t>个月依法缴纳税收和社会保障资金的记录</w:t>
      </w:r>
      <w:r>
        <w:rPr>
          <w:rFonts w:hint="eastAsia" w:ascii="宋体" w:hAnsi="宋体" w:cs="宋体"/>
          <w:color w:val="auto"/>
          <w:sz w:val="24"/>
          <w:highlight w:val="none"/>
        </w:rPr>
        <w:t>。</w:t>
      </w:r>
    </w:p>
    <w:p>
      <w:pPr>
        <w:tabs>
          <w:tab w:val="left" w:pos="5580"/>
        </w:tabs>
        <w:spacing w:line="360" w:lineRule="auto"/>
        <w:ind w:left="1079" w:leftChars="257" w:hanging="540"/>
        <w:rPr>
          <w:rFonts w:hint="eastAsia" w:ascii="宋体" w:hAnsi="宋体" w:cs="宋体"/>
          <w:color w:val="auto"/>
          <w:sz w:val="24"/>
          <w:highlight w:val="none"/>
        </w:rPr>
      </w:pPr>
      <w:bookmarkStart w:id="289" w:name="_Toc32670"/>
      <w:bookmarkStart w:id="290" w:name="_Toc515647811"/>
      <w:bookmarkStart w:id="291" w:name="_Toc532473501"/>
      <w:bookmarkStart w:id="292" w:name="_Toc24428"/>
    </w:p>
    <w:p>
      <w:pPr>
        <w:tabs>
          <w:tab w:val="left" w:pos="5580"/>
        </w:tabs>
        <w:spacing w:line="360" w:lineRule="auto"/>
        <w:ind w:left="1079" w:leftChars="257" w:hanging="540"/>
        <w:rPr>
          <w:rFonts w:hint="eastAsia" w:ascii="宋体" w:hAnsi="宋体" w:cs="宋体"/>
          <w:color w:val="auto"/>
          <w:sz w:val="24"/>
          <w:highlight w:val="none"/>
        </w:rPr>
      </w:pPr>
    </w:p>
    <w:p>
      <w:pPr>
        <w:tabs>
          <w:tab w:val="left" w:pos="5580"/>
        </w:tabs>
        <w:spacing w:line="360" w:lineRule="auto"/>
        <w:ind w:left="1079" w:leftChars="257" w:hanging="540"/>
        <w:rPr>
          <w:rFonts w:hint="eastAsia" w:ascii="宋体" w:hAnsi="宋体" w:cs="宋体"/>
          <w:color w:val="auto"/>
          <w:sz w:val="24"/>
          <w:highlight w:val="none"/>
        </w:rPr>
      </w:pPr>
    </w:p>
    <w:p>
      <w:pPr>
        <w:tabs>
          <w:tab w:val="left" w:pos="5580"/>
        </w:tabs>
        <w:spacing w:line="360" w:lineRule="auto"/>
        <w:ind w:left="1079" w:leftChars="257" w:hanging="540"/>
        <w:rPr>
          <w:rFonts w:hint="eastAsia" w:ascii="宋体" w:hAnsi="宋体" w:cs="宋体"/>
          <w:color w:val="auto"/>
          <w:sz w:val="24"/>
          <w:highlight w:val="none"/>
        </w:rPr>
      </w:pPr>
    </w:p>
    <w:p>
      <w:pPr>
        <w:tabs>
          <w:tab w:val="left" w:pos="5580"/>
        </w:tabs>
        <w:spacing w:line="360" w:lineRule="auto"/>
        <w:ind w:left="1079" w:leftChars="257" w:hanging="540"/>
        <w:rPr>
          <w:rFonts w:hint="eastAsia" w:ascii="宋体" w:hAnsi="宋体" w:cs="宋体"/>
          <w:color w:val="auto"/>
          <w:sz w:val="24"/>
          <w:highlight w:val="none"/>
        </w:rPr>
      </w:pPr>
    </w:p>
    <w:p>
      <w:pPr>
        <w:tabs>
          <w:tab w:val="left" w:pos="5580"/>
        </w:tabs>
        <w:spacing w:line="360" w:lineRule="auto"/>
        <w:ind w:left="1079" w:leftChars="257" w:hanging="540"/>
        <w:rPr>
          <w:rFonts w:hint="eastAsia" w:ascii="宋体" w:hAnsi="宋体" w:cs="宋体"/>
          <w:color w:val="auto"/>
          <w:sz w:val="24"/>
          <w:highlight w:val="none"/>
        </w:rPr>
      </w:pPr>
    </w:p>
    <w:p>
      <w:pPr>
        <w:tabs>
          <w:tab w:val="left" w:pos="5580"/>
        </w:tabs>
        <w:spacing w:line="360" w:lineRule="auto"/>
        <w:ind w:left="1079" w:leftChars="257" w:hanging="540"/>
        <w:rPr>
          <w:rFonts w:hint="eastAsia" w:ascii="宋体" w:hAnsi="宋体" w:cs="宋体"/>
          <w:color w:val="auto"/>
          <w:sz w:val="24"/>
          <w:highlight w:val="none"/>
        </w:rPr>
      </w:pPr>
    </w:p>
    <w:p>
      <w:pPr>
        <w:tabs>
          <w:tab w:val="left" w:pos="5580"/>
        </w:tabs>
        <w:spacing w:line="360" w:lineRule="auto"/>
        <w:ind w:left="1079" w:leftChars="257" w:hanging="540"/>
        <w:rPr>
          <w:rFonts w:hint="eastAsia" w:ascii="宋体" w:hAnsi="宋体" w:cs="宋体"/>
          <w:color w:val="auto"/>
          <w:sz w:val="24"/>
          <w:highlight w:val="none"/>
        </w:rPr>
      </w:pPr>
    </w:p>
    <w:p>
      <w:pPr>
        <w:tabs>
          <w:tab w:val="left" w:pos="5580"/>
        </w:tabs>
        <w:spacing w:line="360" w:lineRule="auto"/>
        <w:ind w:left="1079" w:leftChars="257" w:hanging="540"/>
        <w:rPr>
          <w:rFonts w:hint="eastAsia" w:ascii="宋体" w:hAnsi="宋体" w:cs="宋体"/>
          <w:color w:val="auto"/>
          <w:sz w:val="24"/>
          <w:highlight w:val="none"/>
        </w:rPr>
      </w:pPr>
    </w:p>
    <w:p>
      <w:pPr>
        <w:tabs>
          <w:tab w:val="left" w:pos="5580"/>
        </w:tabs>
        <w:spacing w:line="360" w:lineRule="auto"/>
        <w:ind w:left="1079" w:leftChars="257" w:hanging="540"/>
        <w:rPr>
          <w:rFonts w:hint="eastAsia" w:ascii="宋体" w:hAnsi="宋体" w:cs="宋体"/>
          <w:color w:val="auto"/>
          <w:sz w:val="24"/>
          <w:highlight w:val="none"/>
        </w:rPr>
      </w:pPr>
    </w:p>
    <w:p>
      <w:pPr>
        <w:tabs>
          <w:tab w:val="left" w:pos="5580"/>
        </w:tabs>
        <w:spacing w:line="360" w:lineRule="auto"/>
        <w:ind w:left="1079" w:leftChars="257" w:hanging="540"/>
        <w:rPr>
          <w:rFonts w:hint="eastAsia" w:ascii="宋体" w:hAnsi="宋体" w:cs="宋体"/>
          <w:color w:val="auto"/>
          <w:sz w:val="24"/>
          <w:highlight w:val="none"/>
        </w:rPr>
      </w:pPr>
    </w:p>
    <w:p>
      <w:pPr>
        <w:tabs>
          <w:tab w:val="left" w:pos="5580"/>
        </w:tabs>
        <w:spacing w:line="360" w:lineRule="auto"/>
        <w:ind w:left="1079" w:leftChars="257" w:hanging="540"/>
        <w:rPr>
          <w:rFonts w:hint="eastAsia" w:ascii="宋体" w:hAnsi="宋体" w:cs="宋体"/>
          <w:color w:val="auto"/>
          <w:sz w:val="24"/>
          <w:highlight w:val="none"/>
        </w:rPr>
      </w:pPr>
    </w:p>
    <w:p>
      <w:pPr>
        <w:tabs>
          <w:tab w:val="left" w:pos="5580"/>
        </w:tabs>
        <w:spacing w:line="360" w:lineRule="auto"/>
        <w:ind w:left="1079" w:leftChars="257" w:hanging="540"/>
        <w:rPr>
          <w:rFonts w:hint="eastAsia" w:ascii="宋体" w:hAnsi="宋体" w:cs="宋体"/>
          <w:color w:val="auto"/>
          <w:sz w:val="24"/>
          <w:highlight w:val="none"/>
        </w:rPr>
      </w:pPr>
    </w:p>
    <w:p>
      <w:pPr>
        <w:rPr>
          <w:rFonts w:hint="eastAsia" w:ascii="宋体" w:hAnsi="宋体" w:eastAsia="宋体" w:cs="宋体"/>
          <w:color w:val="auto"/>
          <w:sz w:val="24"/>
          <w:highlight w:val="none"/>
        </w:rPr>
      </w:pPr>
      <w:bookmarkStart w:id="293" w:name="_Toc1450"/>
      <w:r>
        <w:rPr>
          <w:rFonts w:hint="eastAsia" w:ascii="宋体" w:hAnsi="宋体" w:eastAsia="宋体" w:cs="宋体"/>
          <w:color w:val="auto"/>
          <w:sz w:val="24"/>
          <w:highlight w:val="none"/>
        </w:rPr>
        <w:br w:type="page"/>
      </w:r>
    </w:p>
    <w:p>
      <w:pPr>
        <w:pStyle w:val="5"/>
        <w:numPr>
          <w:ilvl w:val="1"/>
          <w:numId w:val="0"/>
        </w:numPr>
        <w:spacing w:before="0" w:line="360" w:lineRule="auto"/>
        <w:ind w:leftChars="257"/>
        <w:rPr>
          <w:rFonts w:hint="eastAsia" w:ascii="宋体" w:hAnsi="宋体" w:eastAsia="宋体" w:cs="宋体"/>
          <w:color w:val="auto"/>
          <w:sz w:val="24"/>
          <w:highlight w:val="none"/>
          <w:lang w:eastAsia="zh-CN"/>
        </w:rPr>
      </w:pPr>
      <w:bookmarkStart w:id="294" w:name="_Toc17183"/>
      <w:bookmarkStart w:id="295" w:name="_Toc27762"/>
      <w:r>
        <w:rPr>
          <w:rFonts w:hint="eastAsia" w:ascii="宋体" w:hAnsi="宋体" w:eastAsia="宋体" w:cs="宋体"/>
          <w:color w:val="auto"/>
          <w:sz w:val="24"/>
          <w:highlight w:val="none"/>
        </w:rPr>
        <w:t>7.具备履行合同所必需的设备和专业技术能力的</w:t>
      </w:r>
      <w:r>
        <w:rPr>
          <w:rFonts w:hint="eastAsia" w:ascii="宋体" w:hAnsi="宋体" w:eastAsia="宋体" w:cs="宋体"/>
          <w:color w:val="auto"/>
          <w:sz w:val="24"/>
          <w:highlight w:val="none"/>
          <w:lang w:eastAsia="zh-CN"/>
        </w:rPr>
        <w:t>书面承诺（格式自拟）</w:t>
      </w:r>
      <w:bookmarkEnd w:id="293"/>
      <w:bookmarkEnd w:id="294"/>
      <w:bookmarkEnd w:id="295"/>
    </w:p>
    <w:p>
      <w:pPr>
        <w:tabs>
          <w:tab w:val="left" w:pos="5580"/>
        </w:tabs>
        <w:spacing w:line="360" w:lineRule="auto"/>
        <w:ind w:left="965" w:leftChars="460" w:firstLine="2040" w:firstLineChars="850"/>
        <w:rPr>
          <w:rFonts w:hint="eastAsia" w:ascii="宋体" w:hAnsi="宋体" w:cs="宋体"/>
          <w:b/>
          <w:color w:val="auto"/>
          <w:sz w:val="24"/>
          <w:highlight w:val="none"/>
        </w:rPr>
      </w:pPr>
    </w:p>
    <w:p>
      <w:pPr>
        <w:tabs>
          <w:tab w:val="left" w:pos="5580"/>
        </w:tabs>
        <w:spacing w:line="360" w:lineRule="auto"/>
        <w:jc w:val="left"/>
        <w:rPr>
          <w:rFonts w:hint="eastAsia" w:ascii="宋体" w:hAnsi="宋体" w:cs="宋体"/>
          <w:b/>
          <w:color w:val="auto"/>
          <w:sz w:val="24"/>
          <w:highlight w:val="none"/>
        </w:rPr>
      </w:pPr>
      <w:r>
        <w:rPr>
          <w:rFonts w:hint="eastAsia" w:ascii="宋体" w:hAnsi="宋体" w:cs="宋体"/>
          <w:b/>
          <w:color w:val="auto"/>
          <w:sz w:val="24"/>
          <w:highlight w:val="none"/>
        </w:rPr>
        <w:t xml:space="preserve">     </w:t>
      </w:r>
    </w:p>
    <w:p>
      <w:pPr>
        <w:tabs>
          <w:tab w:val="left" w:pos="5580"/>
        </w:tabs>
        <w:spacing w:line="360" w:lineRule="auto"/>
        <w:ind w:left="965" w:leftChars="460" w:firstLine="2040" w:firstLineChars="850"/>
        <w:rPr>
          <w:rFonts w:hint="eastAsia" w:ascii="宋体" w:hAnsi="宋体" w:cs="宋体"/>
          <w:b/>
          <w:color w:val="auto"/>
          <w:sz w:val="24"/>
          <w:highlight w:val="none"/>
        </w:rPr>
      </w:pPr>
    </w:p>
    <w:p>
      <w:pPr>
        <w:tabs>
          <w:tab w:val="left" w:pos="5580"/>
        </w:tabs>
        <w:spacing w:line="360" w:lineRule="auto"/>
        <w:ind w:left="965" w:leftChars="460" w:firstLine="2040" w:firstLineChars="850"/>
        <w:rPr>
          <w:rFonts w:hint="eastAsia" w:ascii="宋体" w:hAnsi="宋体" w:cs="宋体"/>
          <w:b/>
          <w:color w:val="auto"/>
          <w:sz w:val="24"/>
          <w:highlight w:val="none"/>
        </w:rPr>
      </w:pPr>
    </w:p>
    <w:p>
      <w:pPr>
        <w:tabs>
          <w:tab w:val="left" w:pos="5580"/>
        </w:tabs>
        <w:spacing w:line="360" w:lineRule="auto"/>
        <w:ind w:left="965" w:leftChars="460" w:firstLine="2040" w:firstLineChars="850"/>
        <w:rPr>
          <w:rFonts w:hint="eastAsia" w:ascii="宋体" w:hAnsi="宋体" w:cs="宋体"/>
          <w:b/>
          <w:color w:val="auto"/>
          <w:sz w:val="24"/>
          <w:highlight w:val="none"/>
        </w:rPr>
      </w:pPr>
    </w:p>
    <w:p>
      <w:pPr>
        <w:tabs>
          <w:tab w:val="left" w:pos="5580"/>
        </w:tabs>
        <w:spacing w:line="360" w:lineRule="auto"/>
        <w:rPr>
          <w:rFonts w:hint="eastAsia" w:ascii="宋体" w:hAnsi="宋体" w:cs="宋体"/>
          <w:b/>
          <w:color w:val="auto"/>
          <w:sz w:val="24"/>
          <w:highlight w:val="none"/>
        </w:rPr>
      </w:pPr>
    </w:p>
    <w:p>
      <w:pPr>
        <w:tabs>
          <w:tab w:val="left" w:pos="5580"/>
        </w:tabs>
        <w:spacing w:line="360" w:lineRule="auto"/>
        <w:rPr>
          <w:rFonts w:hint="eastAsia" w:ascii="宋体" w:hAnsi="宋体" w:cs="宋体"/>
          <w:b/>
          <w:bCs/>
          <w:color w:val="auto"/>
          <w:sz w:val="24"/>
          <w:highlight w:val="none"/>
        </w:rPr>
      </w:pPr>
    </w:p>
    <w:p>
      <w:pPr>
        <w:tabs>
          <w:tab w:val="left" w:pos="5580"/>
        </w:tabs>
        <w:spacing w:line="360" w:lineRule="auto"/>
        <w:rPr>
          <w:rFonts w:hint="eastAsia" w:ascii="宋体" w:hAnsi="宋体" w:cs="宋体"/>
          <w:b/>
          <w:bCs/>
          <w:color w:val="auto"/>
          <w:sz w:val="24"/>
          <w:highlight w:val="none"/>
        </w:rPr>
      </w:pPr>
    </w:p>
    <w:p>
      <w:pPr>
        <w:tabs>
          <w:tab w:val="left" w:pos="5580"/>
        </w:tabs>
        <w:spacing w:line="360" w:lineRule="auto"/>
        <w:rPr>
          <w:rFonts w:hint="eastAsia" w:ascii="宋体" w:hAnsi="宋体" w:cs="宋体"/>
          <w:b/>
          <w:bCs/>
          <w:color w:val="auto"/>
          <w:sz w:val="24"/>
          <w:highlight w:val="none"/>
        </w:rPr>
      </w:pPr>
    </w:p>
    <w:p>
      <w:pPr>
        <w:tabs>
          <w:tab w:val="left" w:pos="5580"/>
        </w:tabs>
        <w:spacing w:line="360" w:lineRule="auto"/>
        <w:rPr>
          <w:rFonts w:hint="eastAsia" w:ascii="宋体" w:hAnsi="宋体" w:cs="宋体"/>
          <w:b/>
          <w:bCs/>
          <w:color w:val="auto"/>
          <w:sz w:val="24"/>
          <w:highlight w:val="none"/>
        </w:rPr>
      </w:pPr>
    </w:p>
    <w:p>
      <w:pPr>
        <w:tabs>
          <w:tab w:val="left" w:pos="5580"/>
        </w:tabs>
        <w:spacing w:line="360" w:lineRule="auto"/>
        <w:rPr>
          <w:rFonts w:hint="eastAsia" w:ascii="宋体" w:hAnsi="宋体" w:cs="宋体"/>
          <w:b/>
          <w:bCs/>
          <w:color w:val="auto"/>
          <w:sz w:val="24"/>
          <w:highlight w:val="none"/>
        </w:rPr>
      </w:pPr>
    </w:p>
    <w:p>
      <w:pPr>
        <w:tabs>
          <w:tab w:val="left" w:pos="5580"/>
        </w:tabs>
        <w:spacing w:line="360" w:lineRule="auto"/>
        <w:rPr>
          <w:rFonts w:hint="eastAsia" w:ascii="宋体" w:hAnsi="宋体" w:cs="宋体"/>
          <w:b/>
          <w:bCs/>
          <w:color w:val="auto"/>
          <w:sz w:val="24"/>
          <w:highlight w:val="none"/>
        </w:rPr>
      </w:pPr>
    </w:p>
    <w:p>
      <w:pPr>
        <w:tabs>
          <w:tab w:val="left" w:pos="5580"/>
        </w:tabs>
        <w:spacing w:line="360" w:lineRule="auto"/>
        <w:rPr>
          <w:rFonts w:hint="eastAsia" w:ascii="宋体" w:hAnsi="宋体" w:cs="宋体"/>
          <w:b/>
          <w:bCs/>
          <w:color w:val="auto"/>
          <w:sz w:val="24"/>
          <w:highlight w:val="none"/>
        </w:rPr>
      </w:pPr>
    </w:p>
    <w:p>
      <w:pPr>
        <w:tabs>
          <w:tab w:val="left" w:pos="5580"/>
        </w:tabs>
        <w:spacing w:line="360" w:lineRule="auto"/>
        <w:rPr>
          <w:rFonts w:hint="eastAsia" w:ascii="宋体" w:hAnsi="宋体" w:cs="宋体"/>
          <w:b/>
          <w:bCs/>
          <w:color w:val="auto"/>
          <w:sz w:val="24"/>
          <w:highlight w:val="none"/>
        </w:rPr>
      </w:pPr>
    </w:p>
    <w:p>
      <w:pPr>
        <w:tabs>
          <w:tab w:val="left" w:pos="5580"/>
        </w:tabs>
        <w:spacing w:line="360" w:lineRule="auto"/>
        <w:rPr>
          <w:rFonts w:hint="eastAsia" w:ascii="宋体" w:hAnsi="宋体" w:cs="宋体"/>
          <w:b/>
          <w:bCs/>
          <w:color w:val="auto"/>
          <w:sz w:val="24"/>
          <w:highlight w:val="none"/>
        </w:rPr>
      </w:pPr>
    </w:p>
    <w:p>
      <w:pPr>
        <w:tabs>
          <w:tab w:val="left" w:pos="5580"/>
        </w:tabs>
        <w:spacing w:line="360" w:lineRule="auto"/>
        <w:rPr>
          <w:rFonts w:hint="eastAsia" w:ascii="宋体" w:hAnsi="宋体" w:cs="宋体"/>
          <w:b/>
          <w:bCs/>
          <w:color w:val="auto"/>
          <w:sz w:val="24"/>
          <w:highlight w:val="none"/>
        </w:rPr>
      </w:pPr>
    </w:p>
    <w:p>
      <w:pPr>
        <w:tabs>
          <w:tab w:val="left" w:pos="5580"/>
        </w:tabs>
        <w:spacing w:line="360" w:lineRule="auto"/>
        <w:rPr>
          <w:rFonts w:hint="eastAsia" w:ascii="宋体" w:hAnsi="宋体" w:cs="宋体"/>
          <w:b/>
          <w:bCs/>
          <w:color w:val="auto"/>
          <w:sz w:val="24"/>
          <w:highlight w:val="none"/>
        </w:rPr>
      </w:pPr>
    </w:p>
    <w:p>
      <w:pPr>
        <w:tabs>
          <w:tab w:val="left" w:pos="5580"/>
        </w:tabs>
        <w:spacing w:line="360" w:lineRule="auto"/>
        <w:rPr>
          <w:rFonts w:hint="eastAsia" w:ascii="宋体" w:hAnsi="宋体" w:cs="宋体"/>
          <w:b/>
          <w:bCs/>
          <w:color w:val="auto"/>
          <w:sz w:val="24"/>
          <w:highlight w:val="none"/>
        </w:rPr>
      </w:pPr>
    </w:p>
    <w:p>
      <w:pPr>
        <w:tabs>
          <w:tab w:val="left" w:pos="5580"/>
        </w:tabs>
        <w:spacing w:line="360" w:lineRule="auto"/>
        <w:rPr>
          <w:rFonts w:hint="eastAsia" w:ascii="宋体" w:hAnsi="宋体" w:cs="宋体"/>
          <w:b/>
          <w:bCs/>
          <w:color w:val="auto"/>
          <w:sz w:val="24"/>
          <w:highlight w:val="none"/>
        </w:rPr>
      </w:pPr>
    </w:p>
    <w:p>
      <w:pPr>
        <w:tabs>
          <w:tab w:val="left" w:pos="5580"/>
        </w:tabs>
        <w:spacing w:line="360" w:lineRule="auto"/>
        <w:rPr>
          <w:rFonts w:hint="eastAsia" w:ascii="宋体" w:hAnsi="宋体" w:cs="宋体"/>
          <w:b/>
          <w:bCs/>
          <w:color w:val="auto"/>
          <w:sz w:val="24"/>
          <w:highlight w:val="none"/>
        </w:rPr>
      </w:pPr>
    </w:p>
    <w:p>
      <w:pPr>
        <w:tabs>
          <w:tab w:val="left" w:pos="5580"/>
        </w:tabs>
        <w:spacing w:line="360" w:lineRule="auto"/>
        <w:rPr>
          <w:rFonts w:hint="eastAsia" w:ascii="宋体" w:hAnsi="宋体" w:cs="宋体"/>
          <w:b/>
          <w:bCs/>
          <w:color w:val="auto"/>
          <w:sz w:val="24"/>
          <w:highlight w:val="none"/>
        </w:rPr>
      </w:pPr>
    </w:p>
    <w:p>
      <w:pPr>
        <w:tabs>
          <w:tab w:val="left" w:pos="5580"/>
        </w:tabs>
        <w:spacing w:line="360" w:lineRule="auto"/>
        <w:rPr>
          <w:rFonts w:hint="eastAsia" w:ascii="宋体" w:hAnsi="宋体" w:cs="宋体"/>
          <w:b/>
          <w:bCs/>
          <w:color w:val="auto"/>
          <w:sz w:val="24"/>
          <w:highlight w:val="none"/>
        </w:rPr>
      </w:pPr>
    </w:p>
    <w:p>
      <w:pPr>
        <w:tabs>
          <w:tab w:val="left" w:pos="5580"/>
        </w:tabs>
        <w:spacing w:line="360" w:lineRule="auto"/>
        <w:rPr>
          <w:rFonts w:hint="eastAsia" w:ascii="宋体" w:hAnsi="宋体" w:cs="宋体"/>
          <w:b/>
          <w:bCs/>
          <w:color w:val="auto"/>
          <w:sz w:val="24"/>
          <w:highlight w:val="none"/>
        </w:rPr>
      </w:pPr>
    </w:p>
    <w:p>
      <w:pPr>
        <w:tabs>
          <w:tab w:val="left" w:pos="5580"/>
        </w:tabs>
        <w:spacing w:line="360" w:lineRule="auto"/>
        <w:rPr>
          <w:rFonts w:hint="eastAsia" w:ascii="宋体" w:hAnsi="宋体" w:cs="宋体"/>
          <w:b/>
          <w:bCs/>
          <w:color w:val="auto"/>
          <w:sz w:val="24"/>
          <w:highlight w:val="none"/>
        </w:rPr>
      </w:pPr>
    </w:p>
    <w:p>
      <w:pPr>
        <w:tabs>
          <w:tab w:val="left" w:pos="5580"/>
        </w:tabs>
        <w:spacing w:line="360" w:lineRule="auto"/>
        <w:rPr>
          <w:rFonts w:hint="eastAsia" w:ascii="宋体" w:hAnsi="宋体" w:cs="宋体"/>
          <w:b/>
          <w:bCs/>
          <w:color w:val="auto"/>
          <w:sz w:val="24"/>
          <w:highlight w:val="none"/>
        </w:rPr>
      </w:pPr>
    </w:p>
    <w:p>
      <w:pPr>
        <w:tabs>
          <w:tab w:val="left" w:pos="5580"/>
        </w:tabs>
        <w:spacing w:line="360" w:lineRule="auto"/>
        <w:rPr>
          <w:rFonts w:hint="eastAsia" w:ascii="宋体" w:hAnsi="宋体" w:cs="宋体"/>
          <w:b/>
          <w:bCs/>
          <w:color w:val="auto"/>
          <w:sz w:val="24"/>
          <w:highlight w:val="none"/>
        </w:rPr>
      </w:pPr>
    </w:p>
    <w:p>
      <w:pPr>
        <w:tabs>
          <w:tab w:val="left" w:pos="5580"/>
        </w:tabs>
        <w:spacing w:line="360" w:lineRule="auto"/>
        <w:rPr>
          <w:rFonts w:hint="eastAsia" w:ascii="宋体" w:hAnsi="宋体" w:cs="宋体"/>
          <w:b/>
          <w:bCs/>
          <w:color w:val="auto"/>
          <w:sz w:val="24"/>
          <w:highlight w:val="none"/>
        </w:rPr>
      </w:pPr>
    </w:p>
    <w:p>
      <w:pPr>
        <w:tabs>
          <w:tab w:val="left" w:pos="5580"/>
        </w:tabs>
        <w:spacing w:line="360" w:lineRule="auto"/>
        <w:rPr>
          <w:rFonts w:hint="eastAsia" w:ascii="宋体" w:hAnsi="宋体" w:cs="宋体"/>
          <w:b/>
          <w:bCs/>
          <w:color w:val="auto"/>
          <w:sz w:val="24"/>
          <w:highlight w:val="none"/>
        </w:rPr>
      </w:pPr>
    </w:p>
    <w:p>
      <w:pPr>
        <w:pStyle w:val="5"/>
        <w:numPr>
          <w:ilvl w:val="1"/>
          <w:numId w:val="0"/>
        </w:numPr>
        <w:spacing w:before="0" w:line="360" w:lineRule="auto"/>
        <w:ind w:leftChars="257"/>
        <w:rPr>
          <w:rFonts w:hint="eastAsia" w:ascii="宋体" w:hAnsi="宋体" w:eastAsia="宋体" w:cs="宋体"/>
          <w:color w:val="auto"/>
          <w:sz w:val="24"/>
          <w:highlight w:val="none"/>
        </w:rPr>
      </w:pPr>
      <w:bookmarkStart w:id="296" w:name="_Toc4308"/>
      <w:bookmarkStart w:id="297" w:name="_Toc10022"/>
      <w:bookmarkStart w:id="298" w:name="_Toc28220"/>
      <w:r>
        <w:rPr>
          <w:rFonts w:hint="eastAsia" w:ascii="宋体" w:hAnsi="宋体" w:eastAsia="宋体" w:cs="宋体"/>
          <w:color w:val="auto"/>
          <w:sz w:val="24"/>
          <w:highlight w:val="none"/>
        </w:rPr>
        <w:t>8.参加政府采购活动前3年内在经营活动中没有重大违法记录和反商业贿赂的承诺书（投标文件格式五、六）</w:t>
      </w:r>
      <w:bookmarkEnd w:id="296"/>
      <w:bookmarkEnd w:id="297"/>
      <w:bookmarkEnd w:id="298"/>
    </w:p>
    <w:p>
      <w:pPr>
        <w:tabs>
          <w:tab w:val="left" w:pos="5580"/>
        </w:tabs>
        <w:spacing w:line="360" w:lineRule="auto"/>
        <w:ind w:left="965" w:leftChars="460" w:firstLine="2040" w:firstLineChars="850"/>
        <w:rPr>
          <w:rFonts w:hint="eastAsia" w:ascii="宋体" w:hAnsi="宋体" w:cs="宋体"/>
          <w:b/>
          <w:color w:val="auto"/>
          <w:sz w:val="24"/>
          <w:highlight w:val="none"/>
        </w:rPr>
      </w:pPr>
    </w:p>
    <w:p>
      <w:pPr>
        <w:tabs>
          <w:tab w:val="left" w:pos="5580"/>
        </w:tabs>
        <w:spacing w:line="360" w:lineRule="auto"/>
        <w:ind w:left="1079" w:leftChars="257" w:hanging="540"/>
        <w:rPr>
          <w:rFonts w:hint="eastAsia" w:ascii="宋体" w:hAnsi="宋体" w:cs="宋体"/>
          <w:b/>
          <w:color w:val="auto"/>
          <w:sz w:val="24"/>
          <w:highlight w:val="none"/>
        </w:rPr>
      </w:pPr>
      <w:r>
        <w:rPr>
          <w:rFonts w:hint="eastAsia" w:ascii="宋体" w:hAnsi="宋体" w:cs="宋体"/>
          <w:b/>
          <w:color w:val="auto"/>
          <w:sz w:val="24"/>
          <w:highlight w:val="none"/>
        </w:rPr>
        <w:t>8.1 参加政府采购活动前3年内</w:t>
      </w:r>
      <w:bookmarkStart w:id="299" w:name="_Toc515647812"/>
      <w:bookmarkStart w:id="300" w:name="_Toc6008"/>
      <w:bookmarkStart w:id="301" w:name="_Toc1137"/>
      <w:r>
        <w:rPr>
          <w:rFonts w:hint="eastAsia" w:ascii="宋体" w:hAnsi="宋体" w:cs="宋体"/>
          <w:b/>
          <w:color w:val="auto"/>
          <w:sz w:val="24"/>
          <w:highlight w:val="none"/>
        </w:rPr>
        <w:t>在经营活动中没有重大违法记录的</w:t>
      </w:r>
      <w:bookmarkEnd w:id="299"/>
      <w:bookmarkEnd w:id="300"/>
      <w:bookmarkEnd w:id="301"/>
      <w:r>
        <w:rPr>
          <w:rFonts w:hint="eastAsia" w:ascii="宋体" w:hAnsi="宋体" w:cs="宋体"/>
          <w:b/>
          <w:color w:val="auto"/>
          <w:sz w:val="24"/>
          <w:highlight w:val="none"/>
        </w:rPr>
        <w:t>承诺书</w:t>
      </w:r>
    </w:p>
    <w:p>
      <w:pPr>
        <w:pStyle w:val="20"/>
        <w:tabs>
          <w:tab w:val="left" w:pos="5580"/>
        </w:tabs>
        <w:spacing w:line="360" w:lineRule="auto"/>
        <w:ind w:left="1079" w:leftChars="257" w:hanging="540"/>
        <w:jc w:val="center"/>
        <w:rPr>
          <w:rFonts w:hint="eastAsia" w:hAnsi="宋体" w:cs="宋体"/>
          <w:b/>
          <w:color w:val="auto"/>
          <w:sz w:val="24"/>
          <w:highlight w:val="none"/>
        </w:rPr>
      </w:pP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我公司承诺：</w:t>
      </w:r>
    </w:p>
    <w:p>
      <w:pPr>
        <w:spacing w:line="360" w:lineRule="auto"/>
        <w:ind w:firstLine="600" w:firstLineChars="250"/>
        <w:jc w:val="left"/>
        <w:rPr>
          <w:rFonts w:hint="eastAsia" w:ascii="宋体" w:hAnsi="宋体" w:cs="宋体"/>
          <w:color w:val="auto"/>
          <w:sz w:val="24"/>
          <w:highlight w:val="none"/>
        </w:rPr>
      </w:pPr>
      <w:r>
        <w:rPr>
          <w:rFonts w:hint="eastAsia" w:ascii="宋体" w:hAnsi="宋体" w:cs="宋体"/>
          <w:color w:val="auto"/>
          <w:sz w:val="24"/>
          <w:highlight w:val="none"/>
        </w:rPr>
        <w:t>我公司近三年内在中华人民共和国境内经营活动中没有重大违法记录，具有良好的商业信誉和完善的售后服务体系，并能承担招标项目供货能力和服务的企业。</w:t>
      </w:r>
    </w:p>
    <w:p>
      <w:pPr>
        <w:spacing w:line="360" w:lineRule="auto"/>
        <w:jc w:val="left"/>
        <w:rPr>
          <w:rFonts w:hint="eastAsia" w:ascii="宋体" w:hAnsi="宋体" w:cs="宋体"/>
          <w:color w:val="auto"/>
          <w:sz w:val="24"/>
          <w:highlight w:val="none"/>
        </w:rPr>
      </w:pPr>
      <w:r>
        <w:rPr>
          <w:rFonts w:hint="eastAsia" w:ascii="宋体" w:hAnsi="宋体" w:cs="宋体"/>
          <w:color w:val="auto"/>
          <w:sz w:val="24"/>
          <w:highlight w:val="none"/>
        </w:rPr>
        <w:t>若我公司承诺不属实，同意取消本项目参加资格，并将承担相关法律责任，接受处理。</w:t>
      </w:r>
    </w:p>
    <w:p>
      <w:pPr>
        <w:pStyle w:val="20"/>
        <w:tabs>
          <w:tab w:val="left" w:pos="5580"/>
        </w:tabs>
        <w:spacing w:line="360" w:lineRule="auto"/>
        <w:ind w:left="1079" w:leftChars="257" w:hanging="540"/>
        <w:rPr>
          <w:rFonts w:hint="eastAsia" w:hAnsi="宋体" w:cs="宋体"/>
          <w:color w:val="auto"/>
          <w:sz w:val="24"/>
          <w:highlight w:val="none"/>
        </w:rPr>
      </w:pPr>
    </w:p>
    <w:p>
      <w:pPr>
        <w:pStyle w:val="20"/>
        <w:tabs>
          <w:tab w:val="left" w:pos="5580"/>
        </w:tabs>
        <w:spacing w:line="360" w:lineRule="auto"/>
        <w:ind w:left="1079" w:leftChars="257" w:hanging="540"/>
        <w:rPr>
          <w:rFonts w:hint="eastAsia" w:hAnsi="宋体" w:cs="宋体"/>
          <w:color w:val="auto"/>
          <w:sz w:val="24"/>
          <w:highlight w:val="none"/>
        </w:rPr>
      </w:pPr>
      <w:r>
        <w:rPr>
          <w:rFonts w:hint="eastAsia" w:hAnsi="宋体" w:cs="宋体"/>
          <w:color w:val="auto"/>
          <w:sz w:val="24"/>
          <w:highlight w:val="none"/>
        </w:rPr>
        <w:t>说明：投标人应按照相关法规规定如实作出说明。</w:t>
      </w:r>
    </w:p>
    <w:p>
      <w:pPr>
        <w:pStyle w:val="20"/>
        <w:tabs>
          <w:tab w:val="left" w:pos="5580"/>
        </w:tabs>
        <w:spacing w:line="360" w:lineRule="auto"/>
        <w:ind w:left="1079" w:leftChars="257" w:hanging="540"/>
        <w:rPr>
          <w:rFonts w:hint="eastAsia" w:hAnsi="宋体" w:cs="宋体"/>
          <w:color w:val="auto"/>
          <w:sz w:val="24"/>
          <w:highlight w:val="none"/>
        </w:rPr>
      </w:pPr>
    </w:p>
    <w:p>
      <w:pPr>
        <w:pStyle w:val="20"/>
        <w:tabs>
          <w:tab w:val="left" w:pos="5580"/>
        </w:tabs>
        <w:spacing w:line="360" w:lineRule="auto"/>
        <w:ind w:left="1079" w:leftChars="257" w:hanging="540"/>
        <w:rPr>
          <w:rFonts w:hint="eastAsia" w:hAnsi="宋体" w:cs="宋体"/>
          <w:color w:val="auto"/>
          <w:sz w:val="24"/>
          <w:highlight w:val="none"/>
        </w:rPr>
      </w:pPr>
    </w:p>
    <w:p>
      <w:pPr>
        <w:pStyle w:val="20"/>
        <w:rPr>
          <w:rFonts w:hint="eastAsia" w:hAnsi="宋体" w:cs="宋体"/>
          <w:bCs/>
          <w:color w:val="auto"/>
          <w:sz w:val="24"/>
          <w:highlight w:val="none"/>
        </w:rPr>
      </w:pPr>
      <w:r>
        <w:rPr>
          <w:rFonts w:hint="eastAsia" w:hAnsi="宋体" w:cs="宋体"/>
          <w:bCs/>
          <w:color w:val="auto"/>
          <w:sz w:val="24"/>
          <w:highlight w:val="none"/>
        </w:rPr>
        <w:t>投标人（企业电子签章）：</w:t>
      </w:r>
    </w:p>
    <w:p>
      <w:pPr>
        <w:pStyle w:val="20"/>
        <w:rPr>
          <w:rFonts w:hint="eastAsia" w:hAnsi="宋体" w:cs="宋体"/>
          <w:bCs/>
          <w:color w:val="auto"/>
          <w:sz w:val="24"/>
          <w:highlight w:val="none"/>
        </w:rPr>
      </w:pPr>
    </w:p>
    <w:p>
      <w:pPr>
        <w:pStyle w:val="20"/>
        <w:rPr>
          <w:rFonts w:hint="eastAsia" w:hAnsi="宋体" w:cs="宋体"/>
          <w:bCs/>
          <w:color w:val="auto"/>
          <w:sz w:val="24"/>
          <w:highlight w:val="none"/>
        </w:rPr>
      </w:pPr>
      <w:r>
        <w:rPr>
          <w:rFonts w:hint="eastAsia" w:hAnsi="宋体" w:cs="宋体"/>
          <w:bCs/>
          <w:color w:val="auto"/>
          <w:sz w:val="24"/>
          <w:highlight w:val="none"/>
        </w:rPr>
        <w:t>法定代表人（个人电子签章）：</w:t>
      </w:r>
    </w:p>
    <w:p>
      <w:pPr>
        <w:pStyle w:val="20"/>
        <w:rPr>
          <w:rFonts w:hint="eastAsia" w:hAnsi="宋体" w:cs="宋体"/>
          <w:bCs/>
          <w:color w:val="auto"/>
          <w:sz w:val="24"/>
          <w:highlight w:val="none"/>
        </w:rPr>
      </w:pPr>
    </w:p>
    <w:p>
      <w:pPr>
        <w:pStyle w:val="20"/>
        <w:rPr>
          <w:rFonts w:hint="eastAsia" w:hAnsi="宋体" w:cs="宋体"/>
          <w:bCs/>
          <w:color w:val="auto"/>
          <w:sz w:val="24"/>
          <w:highlight w:val="none"/>
        </w:rPr>
      </w:pPr>
      <w:r>
        <w:rPr>
          <w:rFonts w:hint="eastAsia" w:hAnsi="宋体" w:cs="宋体"/>
          <w:bCs/>
          <w:color w:val="auto"/>
          <w:sz w:val="24"/>
          <w:highlight w:val="none"/>
        </w:rPr>
        <w:t>年  月  日</w:t>
      </w:r>
    </w:p>
    <w:p>
      <w:pPr>
        <w:tabs>
          <w:tab w:val="left" w:pos="5580"/>
        </w:tabs>
        <w:spacing w:line="360" w:lineRule="auto"/>
        <w:ind w:left="965" w:leftChars="460" w:firstLine="2040" w:firstLineChars="850"/>
        <w:rPr>
          <w:rFonts w:hint="eastAsia" w:ascii="宋体" w:hAnsi="宋体" w:cs="宋体"/>
          <w:b/>
          <w:color w:val="auto"/>
          <w:sz w:val="24"/>
          <w:highlight w:val="none"/>
        </w:rPr>
      </w:pPr>
    </w:p>
    <w:p>
      <w:pPr>
        <w:tabs>
          <w:tab w:val="left" w:pos="5580"/>
        </w:tabs>
        <w:spacing w:line="360" w:lineRule="auto"/>
        <w:ind w:left="965" w:leftChars="460" w:firstLine="2040" w:firstLineChars="850"/>
        <w:rPr>
          <w:rFonts w:hint="eastAsia" w:ascii="宋体" w:hAnsi="宋体" w:cs="宋体"/>
          <w:b/>
          <w:color w:val="auto"/>
          <w:sz w:val="24"/>
          <w:highlight w:val="none"/>
        </w:rPr>
      </w:pPr>
    </w:p>
    <w:p>
      <w:pPr>
        <w:tabs>
          <w:tab w:val="left" w:pos="5580"/>
        </w:tabs>
        <w:spacing w:line="360" w:lineRule="auto"/>
        <w:ind w:left="965" w:leftChars="460" w:firstLine="2040" w:firstLineChars="850"/>
        <w:rPr>
          <w:rFonts w:hint="eastAsia" w:ascii="宋体" w:hAnsi="宋体" w:cs="宋体"/>
          <w:b/>
          <w:color w:val="auto"/>
          <w:sz w:val="24"/>
          <w:highlight w:val="none"/>
        </w:rPr>
      </w:pPr>
    </w:p>
    <w:p>
      <w:pPr>
        <w:tabs>
          <w:tab w:val="left" w:pos="5580"/>
        </w:tabs>
        <w:spacing w:line="360" w:lineRule="auto"/>
        <w:ind w:left="965" w:leftChars="460" w:firstLine="2040" w:firstLineChars="850"/>
        <w:rPr>
          <w:rFonts w:hint="eastAsia" w:ascii="宋体" w:hAnsi="宋体" w:cs="宋体"/>
          <w:b/>
          <w:color w:val="auto"/>
          <w:sz w:val="24"/>
          <w:highlight w:val="none"/>
        </w:rPr>
      </w:pPr>
    </w:p>
    <w:p>
      <w:pPr>
        <w:tabs>
          <w:tab w:val="left" w:pos="5580"/>
        </w:tabs>
        <w:spacing w:line="360" w:lineRule="auto"/>
        <w:ind w:left="965" w:leftChars="460" w:firstLine="2040" w:firstLineChars="850"/>
        <w:rPr>
          <w:rFonts w:hint="eastAsia" w:ascii="宋体" w:hAnsi="宋体" w:cs="宋体"/>
          <w:b/>
          <w:color w:val="auto"/>
          <w:sz w:val="24"/>
          <w:highlight w:val="none"/>
        </w:rPr>
      </w:pPr>
    </w:p>
    <w:p>
      <w:pPr>
        <w:tabs>
          <w:tab w:val="left" w:pos="5580"/>
        </w:tabs>
        <w:spacing w:line="360" w:lineRule="auto"/>
        <w:ind w:left="965" w:leftChars="460" w:firstLine="2040" w:firstLineChars="850"/>
        <w:rPr>
          <w:rFonts w:hint="eastAsia" w:ascii="宋体" w:hAnsi="宋体" w:cs="宋体"/>
          <w:b/>
          <w:color w:val="auto"/>
          <w:sz w:val="24"/>
          <w:highlight w:val="none"/>
        </w:rPr>
      </w:pPr>
    </w:p>
    <w:p>
      <w:pPr>
        <w:tabs>
          <w:tab w:val="left" w:pos="5580"/>
        </w:tabs>
        <w:spacing w:line="360" w:lineRule="auto"/>
        <w:ind w:left="965" w:leftChars="460" w:firstLine="2040" w:firstLineChars="850"/>
        <w:rPr>
          <w:rFonts w:hint="eastAsia" w:ascii="宋体" w:hAnsi="宋体" w:cs="宋体"/>
          <w:b/>
          <w:color w:val="auto"/>
          <w:sz w:val="24"/>
          <w:highlight w:val="none"/>
        </w:rPr>
      </w:pPr>
    </w:p>
    <w:p>
      <w:pPr>
        <w:tabs>
          <w:tab w:val="left" w:pos="5580"/>
        </w:tabs>
        <w:spacing w:line="360" w:lineRule="auto"/>
        <w:ind w:left="965" w:leftChars="460" w:firstLine="2040" w:firstLineChars="850"/>
        <w:rPr>
          <w:rFonts w:hint="eastAsia" w:ascii="宋体" w:hAnsi="宋体" w:cs="宋体"/>
          <w:b/>
          <w:color w:val="auto"/>
          <w:sz w:val="24"/>
          <w:highlight w:val="none"/>
        </w:rPr>
      </w:pPr>
    </w:p>
    <w:p>
      <w:pPr>
        <w:tabs>
          <w:tab w:val="left" w:pos="5580"/>
        </w:tabs>
        <w:spacing w:line="360" w:lineRule="auto"/>
        <w:ind w:left="965" w:leftChars="460" w:firstLine="2040" w:firstLineChars="850"/>
        <w:rPr>
          <w:rFonts w:hint="eastAsia" w:ascii="宋体" w:hAnsi="宋体" w:cs="宋体"/>
          <w:b/>
          <w:color w:val="auto"/>
          <w:sz w:val="24"/>
          <w:highlight w:val="none"/>
        </w:rPr>
      </w:pPr>
    </w:p>
    <w:p>
      <w:pPr>
        <w:tabs>
          <w:tab w:val="left" w:pos="5580"/>
        </w:tabs>
        <w:spacing w:line="360" w:lineRule="auto"/>
        <w:ind w:left="965" w:leftChars="460" w:firstLine="2040" w:firstLineChars="850"/>
        <w:rPr>
          <w:rFonts w:hint="eastAsia" w:ascii="宋体" w:hAnsi="宋体" w:cs="宋体"/>
          <w:b/>
          <w:color w:val="auto"/>
          <w:sz w:val="24"/>
          <w:highlight w:val="none"/>
        </w:rPr>
      </w:pPr>
    </w:p>
    <w:p>
      <w:pPr>
        <w:rPr>
          <w:rFonts w:hint="eastAsia" w:ascii="宋体" w:hAnsi="宋体" w:cs="宋体"/>
          <w:b/>
          <w:color w:val="auto"/>
          <w:sz w:val="24"/>
          <w:highlight w:val="none"/>
        </w:rPr>
      </w:pPr>
      <w:r>
        <w:rPr>
          <w:rFonts w:hint="eastAsia" w:ascii="宋体" w:hAnsi="宋体" w:cs="宋体"/>
          <w:b/>
          <w:color w:val="auto"/>
          <w:sz w:val="24"/>
          <w:highlight w:val="none"/>
        </w:rPr>
        <w:br w:type="page"/>
      </w:r>
    </w:p>
    <w:p>
      <w:pPr>
        <w:tabs>
          <w:tab w:val="left" w:pos="5580"/>
        </w:tabs>
        <w:spacing w:line="360" w:lineRule="auto"/>
        <w:ind w:left="965" w:leftChars="460" w:firstLine="2040" w:firstLineChars="850"/>
        <w:rPr>
          <w:rFonts w:hint="eastAsia" w:ascii="宋体" w:hAnsi="宋体" w:cs="宋体"/>
          <w:color w:val="auto"/>
          <w:sz w:val="24"/>
          <w:highlight w:val="none"/>
        </w:rPr>
      </w:pPr>
      <w:r>
        <w:rPr>
          <w:rFonts w:hint="eastAsia" w:ascii="宋体" w:hAnsi="宋体" w:cs="宋体"/>
          <w:b/>
          <w:color w:val="auto"/>
          <w:sz w:val="24"/>
          <w:highlight w:val="none"/>
        </w:rPr>
        <w:t>8.2反商业贿赂承诺书</w:t>
      </w:r>
    </w:p>
    <w:p>
      <w:pPr>
        <w:tabs>
          <w:tab w:val="left" w:pos="5580"/>
        </w:tabs>
        <w:spacing w:line="360" w:lineRule="auto"/>
        <w:ind w:left="1079" w:leftChars="257" w:hanging="540"/>
        <w:rPr>
          <w:rFonts w:hint="eastAsia" w:ascii="宋体" w:hAnsi="宋体" w:cs="宋体"/>
          <w:color w:val="auto"/>
          <w:sz w:val="24"/>
          <w:highlight w:val="none"/>
        </w:rPr>
      </w:pPr>
      <w:r>
        <w:rPr>
          <w:rFonts w:hint="eastAsia" w:ascii="宋体" w:hAnsi="宋体" w:cs="宋体"/>
          <w:color w:val="auto"/>
          <w:sz w:val="24"/>
          <w:highlight w:val="none"/>
        </w:rPr>
        <w:t xml:space="preserve"> </w:t>
      </w:r>
    </w:p>
    <w:p>
      <w:pPr>
        <w:tabs>
          <w:tab w:val="left" w:pos="5580"/>
        </w:tabs>
        <w:spacing w:line="360" w:lineRule="auto"/>
        <w:ind w:left="1079" w:leftChars="257" w:hanging="540"/>
        <w:rPr>
          <w:rFonts w:hint="eastAsia" w:ascii="宋体" w:hAnsi="宋体" w:cs="宋体"/>
          <w:bCs/>
          <w:color w:val="auto"/>
          <w:sz w:val="24"/>
          <w:highlight w:val="none"/>
        </w:rPr>
      </w:pPr>
      <w:r>
        <w:rPr>
          <w:rFonts w:hint="eastAsia" w:ascii="宋体" w:hAnsi="宋体" w:cs="宋体"/>
          <w:bCs/>
          <w:color w:val="auto"/>
          <w:sz w:val="24"/>
          <w:highlight w:val="none"/>
        </w:rPr>
        <w:t>我单位承诺：</w:t>
      </w:r>
    </w:p>
    <w:p>
      <w:pPr>
        <w:tabs>
          <w:tab w:val="left" w:pos="5580"/>
        </w:tabs>
        <w:spacing w:line="360" w:lineRule="auto"/>
        <w:ind w:left="1079" w:leftChars="257" w:hanging="540"/>
        <w:rPr>
          <w:rFonts w:hint="eastAsia" w:ascii="宋体" w:hAnsi="宋体" w:cs="宋体"/>
          <w:bCs/>
          <w:color w:val="auto"/>
          <w:sz w:val="24"/>
          <w:highlight w:val="none"/>
        </w:rPr>
      </w:pPr>
      <w:r>
        <w:rPr>
          <w:rFonts w:hint="eastAsia" w:ascii="宋体" w:hAnsi="宋体" w:cs="宋体"/>
          <w:bCs/>
          <w:color w:val="auto"/>
          <w:sz w:val="24"/>
          <w:highlight w:val="none"/>
        </w:rPr>
        <w:t>在</w:t>
      </w:r>
      <w:r>
        <w:rPr>
          <w:rFonts w:hint="eastAsia" w:ascii="宋体" w:hAnsi="宋体" w:cs="宋体"/>
          <w:bCs/>
          <w:color w:val="auto"/>
          <w:sz w:val="24"/>
          <w:highlight w:val="none"/>
          <w:u w:val="single"/>
        </w:rPr>
        <w:t xml:space="preserve"> （投标项目名称）</w:t>
      </w:r>
      <w:r>
        <w:rPr>
          <w:rFonts w:hint="eastAsia" w:ascii="宋体" w:hAnsi="宋体" w:cs="宋体"/>
          <w:bCs/>
          <w:color w:val="auto"/>
          <w:sz w:val="24"/>
          <w:highlight w:val="none"/>
        </w:rPr>
        <w:t>招标活动中，我公司保证做到：</w:t>
      </w:r>
    </w:p>
    <w:p>
      <w:pPr>
        <w:tabs>
          <w:tab w:val="left" w:pos="5580"/>
        </w:tabs>
        <w:spacing w:line="360" w:lineRule="auto"/>
        <w:ind w:left="1079" w:leftChars="257" w:hanging="540"/>
        <w:rPr>
          <w:rFonts w:hint="eastAsia" w:ascii="宋体" w:hAnsi="宋体" w:cs="宋体"/>
          <w:bCs/>
          <w:color w:val="auto"/>
          <w:sz w:val="24"/>
          <w:highlight w:val="none"/>
        </w:rPr>
      </w:pPr>
      <w:r>
        <w:rPr>
          <w:rFonts w:hint="eastAsia" w:ascii="宋体" w:hAnsi="宋体" w:cs="宋体"/>
          <w:bCs/>
          <w:color w:val="auto"/>
          <w:sz w:val="24"/>
          <w:highlight w:val="none"/>
        </w:rPr>
        <w:t>一、公平竞争参加本次招标活动。</w:t>
      </w:r>
    </w:p>
    <w:p>
      <w:pPr>
        <w:tabs>
          <w:tab w:val="left" w:pos="5580"/>
        </w:tabs>
        <w:spacing w:line="360" w:lineRule="auto"/>
        <w:ind w:left="1079" w:leftChars="257" w:hanging="540"/>
        <w:rPr>
          <w:rFonts w:hint="eastAsia" w:ascii="宋体" w:hAnsi="宋体" w:cs="宋体"/>
          <w:bCs/>
          <w:color w:val="auto"/>
          <w:sz w:val="24"/>
          <w:highlight w:val="none"/>
        </w:rPr>
      </w:pPr>
      <w:r>
        <w:rPr>
          <w:rFonts w:hint="eastAsia" w:ascii="宋体" w:hAnsi="宋体" w:cs="宋体"/>
          <w:bCs/>
          <w:color w:val="auto"/>
          <w:sz w:val="24"/>
          <w:highlight w:val="none"/>
        </w:rPr>
        <w:t>二、杜绝任何形式的商业贿赂行为。不向国家工作人员、政府采购代理机构工作人员、评审专家及其亲属提供礼品礼金、有价证券、购物券、回扣、佣金、咨询费、劳务费、赞助费、宣传费、宴请；不为其报销各种消费凭证，不支付其旅游、娱乐等费用。</w:t>
      </w:r>
    </w:p>
    <w:p>
      <w:pPr>
        <w:tabs>
          <w:tab w:val="left" w:pos="5580"/>
        </w:tabs>
        <w:spacing w:line="360" w:lineRule="auto"/>
        <w:ind w:left="1079" w:leftChars="257" w:hanging="540"/>
        <w:rPr>
          <w:rFonts w:hint="eastAsia" w:ascii="宋体" w:hAnsi="宋体" w:cs="宋体"/>
          <w:bCs/>
          <w:color w:val="auto"/>
          <w:sz w:val="24"/>
          <w:highlight w:val="none"/>
        </w:rPr>
      </w:pPr>
      <w:r>
        <w:rPr>
          <w:rFonts w:hint="eastAsia" w:ascii="宋体" w:hAnsi="宋体" w:cs="宋体"/>
          <w:bCs/>
          <w:color w:val="auto"/>
          <w:sz w:val="24"/>
          <w:highlight w:val="none"/>
        </w:rPr>
        <w:t>三、若出现上述行为，我公司及参与投标的工作人员愿意接受按照国家法律法规等有关规定给予的处罚。</w:t>
      </w:r>
    </w:p>
    <w:p>
      <w:pPr>
        <w:tabs>
          <w:tab w:val="left" w:pos="5580"/>
        </w:tabs>
        <w:spacing w:line="360" w:lineRule="auto"/>
        <w:ind w:left="1079" w:leftChars="257" w:hanging="540"/>
        <w:rPr>
          <w:rFonts w:hint="eastAsia" w:ascii="宋体" w:hAnsi="宋体" w:cs="宋体"/>
          <w:bCs/>
          <w:color w:val="auto"/>
          <w:sz w:val="24"/>
          <w:highlight w:val="none"/>
        </w:rPr>
      </w:pPr>
    </w:p>
    <w:p>
      <w:pPr>
        <w:tabs>
          <w:tab w:val="left" w:pos="5580"/>
        </w:tabs>
        <w:spacing w:line="360" w:lineRule="auto"/>
        <w:ind w:left="1079" w:leftChars="257" w:hanging="540"/>
        <w:rPr>
          <w:rFonts w:hint="eastAsia" w:ascii="宋体" w:hAnsi="宋体" w:cs="宋体"/>
          <w:bCs/>
          <w:color w:val="auto"/>
          <w:sz w:val="24"/>
          <w:highlight w:val="none"/>
        </w:rPr>
      </w:pPr>
    </w:p>
    <w:p>
      <w:pPr>
        <w:tabs>
          <w:tab w:val="left" w:pos="5580"/>
        </w:tabs>
        <w:spacing w:line="360" w:lineRule="auto"/>
        <w:ind w:left="1079" w:leftChars="257" w:hanging="540"/>
        <w:rPr>
          <w:rFonts w:hint="eastAsia" w:ascii="宋体" w:hAnsi="宋体" w:cs="宋体"/>
          <w:bCs/>
          <w:color w:val="auto"/>
          <w:sz w:val="24"/>
          <w:highlight w:val="none"/>
        </w:rPr>
      </w:pPr>
    </w:p>
    <w:p>
      <w:pPr>
        <w:tabs>
          <w:tab w:val="left" w:pos="5580"/>
        </w:tabs>
        <w:spacing w:line="360" w:lineRule="auto"/>
        <w:ind w:left="1079" w:leftChars="257" w:hanging="540"/>
        <w:rPr>
          <w:rFonts w:hint="eastAsia" w:ascii="宋体" w:hAnsi="宋体" w:cs="宋体"/>
          <w:bCs/>
          <w:color w:val="auto"/>
          <w:sz w:val="24"/>
          <w:highlight w:val="none"/>
        </w:rPr>
      </w:pPr>
    </w:p>
    <w:p>
      <w:pPr>
        <w:tabs>
          <w:tab w:val="left" w:pos="5580"/>
        </w:tabs>
        <w:spacing w:line="360" w:lineRule="auto"/>
        <w:ind w:left="1079" w:leftChars="257" w:hanging="540"/>
        <w:rPr>
          <w:rFonts w:hint="eastAsia" w:ascii="宋体" w:hAnsi="宋体" w:cs="宋体"/>
          <w:bCs/>
          <w:color w:val="auto"/>
          <w:sz w:val="24"/>
          <w:highlight w:val="none"/>
        </w:rPr>
      </w:pPr>
      <w:r>
        <w:rPr>
          <w:rFonts w:hint="eastAsia" w:ascii="宋体" w:hAnsi="宋体" w:cs="宋体"/>
          <w:bCs/>
          <w:color w:val="auto"/>
          <w:sz w:val="24"/>
          <w:highlight w:val="none"/>
        </w:rPr>
        <w:t>投标人（企业电子签章）：</w:t>
      </w:r>
    </w:p>
    <w:p>
      <w:pPr>
        <w:tabs>
          <w:tab w:val="left" w:pos="5580"/>
        </w:tabs>
        <w:spacing w:line="360" w:lineRule="auto"/>
        <w:ind w:left="1079" w:leftChars="257" w:hanging="540"/>
        <w:rPr>
          <w:rFonts w:hint="eastAsia" w:ascii="宋体" w:hAnsi="宋体" w:cs="宋体"/>
          <w:bCs/>
          <w:color w:val="auto"/>
          <w:sz w:val="24"/>
          <w:highlight w:val="none"/>
        </w:rPr>
      </w:pPr>
    </w:p>
    <w:p>
      <w:pPr>
        <w:tabs>
          <w:tab w:val="left" w:pos="5580"/>
        </w:tabs>
        <w:spacing w:line="360" w:lineRule="auto"/>
        <w:ind w:left="1079" w:leftChars="257" w:hanging="540"/>
        <w:rPr>
          <w:rFonts w:hint="eastAsia" w:ascii="宋体" w:hAnsi="宋体" w:cs="宋体"/>
          <w:bCs/>
          <w:color w:val="auto"/>
          <w:sz w:val="24"/>
          <w:highlight w:val="none"/>
        </w:rPr>
      </w:pPr>
      <w:r>
        <w:rPr>
          <w:rFonts w:hint="eastAsia" w:ascii="宋体" w:hAnsi="宋体" w:cs="宋体"/>
          <w:bCs/>
          <w:color w:val="auto"/>
          <w:sz w:val="24"/>
          <w:highlight w:val="none"/>
        </w:rPr>
        <w:t>法定代表人（个人电子签章）：</w:t>
      </w:r>
    </w:p>
    <w:p>
      <w:pPr>
        <w:tabs>
          <w:tab w:val="left" w:pos="5580"/>
        </w:tabs>
        <w:spacing w:line="360" w:lineRule="auto"/>
        <w:ind w:left="1079" w:leftChars="257" w:hanging="540"/>
        <w:rPr>
          <w:rFonts w:hint="eastAsia" w:ascii="宋体" w:hAnsi="宋体" w:cs="宋体"/>
          <w:bCs/>
          <w:color w:val="auto"/>
          <w:sz w:val="24"/>
          <w:highlight w:val="none"/>
        </w:rPr>
      </w:pPr>
    </w:p>
    <w:p>
      <w:pPr>
        <w:tabs>
          <w:tab w:val="left" w:pos="5580"/>
        </w:tabs>
        <w:spacing w:line="360" w:lineRule="auto"/>
        <w:ind w:left="1079" w:leftChars="257" w:hanging="540"/>
        <w:rPr>
          <w:rFonts w:hint="eastAsia" w:ascii="宋体" w:hAnsi="宋体" w:cs="宋体"/>
          <w:bCs/>
          <w:color w:val="auto"/>
          <w:sz w:val="24"/>
          <w:highlight w:val="none"/>
        </w:rPr>
      </w:pPr>
      <w:r>
        <w:rPr>
          <w:rFonts w:hint="eastAsia" w:ascii="宋体" w:hAnsi="宋体" w:cs="宋体"/>
          <w:bCs/>
          <w:color w:val="auto"/>
          <w:sz w:val="24"/>
          <w:highlight w:val="none"/>
        </w:rPr>
        <w:t>年  月  日</w:t>
      </w:r>
    </w:p>
    <w:p>
      <w:pPr>
        <w:tabs>
          <w:tab w:val="left" w:pos="5580"/>
        </w:tabs>
        <w:spacing w:line="360" w:lineRule="auto"/>
        <w:ind w:left="1079" w:leftChars="257" w:hanging="540"/>
        <w:rPr>
          <w:rFonts w:hint="eastAsia" w:ascii="宋体" w:hAnsi="宋体" w:cs="宋体"/>
          <w:color w:val="auto"/>
          <w:sz w:val="24"/>
          <w:highlight w:val="none"/>
        </w:rPr>
      </w:pPr>
    </w:p>
    <w:p>
      <w:pPr>
        <w:tabs>
          <w:tab w:val="left" w:pos="5580"/>
        </w:tabs>
        <w:spacing w:line="360" w:lineRule="auto"/>
        <w:ind w:left="1079" w:leftChars="257" w:hanging="540"/>
        <w:rPr>
          <w:rFonts w:hint="eastAsia" w:ascii="宋体" w:hAnsi="宋体" w:cs="宋体"/>
          <w:color w:val="auto"/>
          <w:sz w:val="24"/>
          <w:highlight w:val="none"/>
        </w:rPr>
      </w:pPr>
    </w:p>
    <w:p>
      <w:pPr>
        <w:tabs>
          <w:tab w:val="left" w:pos="5580"/>
        </w:tabs>
        <w:spacing w:line="360" w:lineRule="auto"/>
        <w:ind w:left="1079" w:leftChars="257" w:hanging="540"/>
        <w:rPr>
          <w:rFonts w:hint="eastAsia" w:ascii="宋体" w:hAnsi="宋体" w:cs="宋体"/>
          <w:color w:val="auto"/>
          <w:sz w:val="24"/>
          <w:highlight w:val="none"/>
        </w:rPr>
      </w:pPr>
    </w:p>
    <w:p>
      <w:pPr>
        <w:tabs>
          <w:tab w:val="left" w:pos="5580"/>
        </w:tabs>
        <w:spacing w:line="360" w:lineRule="auto"/>
        <w:ind w:left="1079" w:leftChars="257" w:hanging="540"/>
        <w:rPr>
          <w:rFonts w:hint="eastAsia" w:ascii="宋体" w:hAnsi="宋体" w:cs="宋体"/>
          <w:color w:val="auto"/>
          <w:sz w:val="24"/>
          <w:highlight w:val="none"/>
        </w:rPr>
      </w:pPr>
    </w:p>
    <w:p>
      <w:pPr>
        <w:tabs>
          <w:tab w:val="left" w:pos="5580"/>
        </w:tabs>
        <w:spacing w:line="360" w:lineRule="auto"/>
        <w:ind w:left="1079" w:leftChars="257" w:hanging="540"/>
        <w:rPr>
          <w:rFonts w:hint="eastAsia" w:ascii="宋体" w:hAnsi="宋体" w:cs="宋体"/>
          <w:color w:val="auto"/>
          <w:sz w:val="24"/>
          <w:highlight w:val="none"/>
        </w:rPr>
      </w:pPr>
      <w:r>
        <w:rPr>
          <w:rFonts w:hint="eastAsia" w:ascii="宋体" w:hAnsi="宋体" w:cs="宋体"/>
          <w:color w:val="auto"/>
          <w:sz w:val="24"/>
          <w:highlight w:val="none"/>
        </w:rPr>
        <w:br w:type="page"/>
      </w:r>
      <w:bookmarkEnd w:id="289"/>
      <w:bookmarkEnd w:id="290"/>
      <w:bookmarkEnd w:id="291"/>
      <w:bookmarkEnd w:id="292"/>
    </w:p>
    <w:p>
      <w:pPr>
        <w:pStyle w:val="5"/>
        <w:numPr>
          <w:ilvl w:val="1"/>
          <w:numId w:val="0"/>
        </w:numPr>
        <w:spacing w:before="0" w:line="360" w:lineRule="auto"/>
        <w:ind w:leftChars="257"/>
        <w:jc w:val="center"/>
        <w:rPr>
          <w:rFonts w:hint="eastAsia" w:ascii="宋体" w:hAnsi="宋体" w:eastAsia="宋体" w:cs="宋体"/>
          <w:color w:val="auto"/>
          <w:sz w:val="24"/>
          <w:highlight w:val="none"/>
        </w:rPr>
      </w:pPr>
      <w:bookmarkStart w:id="302" w:name="_Toc21018"/>
      <w:bookmarkStart w:id="303" w:name="_Toc26340"/>
      <w:bookmarkStart w:id="304" w:name="_Toc23027"/>
      <w:r>
        <w:rPr>
          <w:rFonts w:hint="eastAsia" w:ascii="宋体" w:hAnsi="宋体" w:eastAsia="宋体" w:cs="宋体"/>
          <w:color w:val="auto"/>
          <w:sz w:val="24"/>
          <w:highlight w:val="none"/>
        </w:rPr>
        <w:t>9 信用查询</w:t>
      </w:r>
      <w:bookmarkEnd w:id="302"/>
      <w:bookmarkEnd w:id="303"/>
      <w:bookmarkEnd w:id="304"/>
    </w:p>
    <w:p>
      <w:pPr>
        <w:spacing w:line="360" w:lineRule="auto"/>
        <w:jc w:val="center"/>
        <w:rPr>
          <w:rFonts w:hint="eastAsia" w:ascii="宋体" w:hAnsi="宋体" w:cs="宋体"/>
          <w:color w:val="auto"/>
          <w:sz w:val="24"/>
          <w:highlight w:val="none"/>
        </w:rPr>
      </w:pPr>
    </w:p>
    <w:p>
      <w:pPr>
        <w:spacing w:line="36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根据《关于在政府采购活动中查询及使用信用记录有关问题的通知》 (财库[2016]125 号)的规定，对列入失信被执行人、重大税收违法案件当事人名单、政府采购严重违法失信行为记录名单及其他不符合《中华人民共和国政府采购法》第二十二条规定条件的供应商，拒绝参与本项目政府采购活动；【查询渠道：“信用中国”网站（www.creditchina.gov.cn）、中国政府采购网（</w:t>
      </w:r>
      <w:r>
        <w:rPr>
          <w:rFonts w:hint="eastAsia" w:ascii="宋体" w:hAnsi="宋体" w:cs="宋体"/>
          <w:color w:val="auto"/>
          <w:sz w:val="24"/>
          <w:highlight w:val="none"/>
          <w:u w:val="none"/>
        </w:rPr>
        <w:fldChar w:fldCharType="begin"/>
      </w:r>
      <w:r>
        <w:rPr>
          <w:rFonts w:hint="eastAsia" w:ascii="宋体" w:hAnsi="宋体" w:cs="宋体"/>
          <w:color w:val="auto"/>
          <w:sz w:val="24"/>
          <w:highlight w:val="none"/>
          <w:u w:val="none"/>
        </w:rPr>
        <w:instrText xml:space="preserve"> HYPERLINK "http://www.ccgp.gov.cn）】" </w:instrText>
      </w:r>
      <w:r>
        <w:rPr>
          <w:rFonts w:hint="eastAsia" w:ascii="宋体" w:hAnsi="宋体" w:cs="宋体"/>
          <w:color w:val="auto"/>
          <w:sz w:val="24"/>
          <w:highlight w:val="none"/>
          <w:u w:val="none"/>
        </w:rPr>
        <w:fldChar w:fldCharType="separate"/>
      </w:r>
      <w:r>
        <w:rPr>
          <w:rStyle w:val="37"/>
          <w:rFonts w:hint="eastAsia" w:ascii="宋体" w:hAnsi="宋体" w:eastAsia="宋体" w:cs="宋体"/>
          <w:color w:val="auto"/>
          <w:sz w:val="24"/>
          <w:highlight w:val="none"/>
          <w:u w:val="none"/>
        </w:rPr>
        <w:t>www.ccgp.gov.cn）】</w:t>
      </w:r>
      <w:r>
        <w:rPr>
          <w:rFonts w:hint="eastAsia" w:ascii="宋体" w:hAnsi="宋体" w:cs="宋体"/>
          <w:color w:val="auto"/>
          <w:sz w:val="24"/>
          <w:highlight w:val="none"/>
          <w:u w:val="none"/>
        </w:rPr>
        <w:fldChar w:fldCharType="end"/>
      </w:r>
      <w:r>
        <w:rPr>
          <w:rFonts w:hint="eastAsia" w:ascii="宋体" w:hAnsi="宋体" w:cs="宋体"/>
          <w:color w:val="auto"/>
          <w:sz w:val="24"/>
          <w:highlight w:val="none"/>
          <w:u w:val="none"/>
          <w:lang w:eastAsia="zh-CN"/>
        </w:rPr>
        <w:t>；</w:t>
      </w:r>
      <w:r>
        <w:rPr>
          <w:rFonts w:hint="eastAsia" w:ascii="宋体" w:hAnsi="宋体" w:cs="宋体"/>
          <w:color w:val="auto"/>
          <w:sz w:val="24"/>
          <w:highlight w:val="none"/>
        </w:rPr>
        <w:t>共3项的查询结果网页截图。</w:t>
      </w:r>
    </w:p>
    <w:p>
      <w:pPr>
        <w:spacing w:line="360" w:lineRule="auto"/>
        <w:jc w:val="center"/>
        <w:rPr>
          <w:rFonts w:hint="eastAsia" w:ascii="宋体" w:hAnsi="宋体" w:cs="宋体"/>
          <w:color w:val="auto"/>
          <w:sz w:val="24"/>
          <w:highlight w:val="none"/>
        </w:rPr>
      </w:pPr>
    </w:p>
    <w:p>
      <w:pPr>
        <w:spacing w:line="360" w:lineRule="auto"/>
        <w:jc w:val="center"/>
        <w:rPr>
          <w:rFonts w:hint="eastAsia" w:ascii="宋体" w:hAnsi="宋体" w:cs="宋体"/>
          <w:color w:val="auto"/>
          <w:sz w:val="24"/>
          <w:highlight w:val="none"/>
        </w:rPr>
      </w:pPr>
    </w:p>
    <w:p>
      <w:pPr>
        <w:spacing w:line="360" w:lineRule="auto"/>
        <w:jc w:val="center"/>
        <w:rPr>
          <w:rFonts w:hint="eastAsia" w:ascii="宋体" w:hAnsi="宋体" w:cs="宋体"/>
          <w:color w:val="auto"/>
          <w:sz w:val="24"/>
          <w:highlight w:val="none"/>
        </w:rPr>
      </w:pPr>
    </w:p>
    <w:p>
      <w:pPr>
        <w:spacing w:line="360" w:lineRule="auto"/>
        <w:jc w:val="center"/>
        <w:rPr>
          <w:rFonts w:hint="eastAsia" w:ascii="宋体" w:hAnsi="宋体" w:cs="宋体"/>
          <w:color w:val="auto"/>
          <w:sz w:val="24"/>
          <w:highlight w:val="none"/>
        </w:rPr>
      </w:pPr>
    </w:p>
    <w:p>
      <w:pPr>
        <w:spacing w:line="360" w:lineRule="auto"/>
        <w:jc w:val="center"/>
        <w:rPr>
          <w:rFonts w:hint="eastAsia" w:ascii="宋体" w:hAnsi="宋体" w:cs="宋体"/>
          <w:color w:val="auto"/>
          <w:sz w:val="24"/>
          <w:highlight w:val="none"/>
        </w:rPr>
      </w:pPr>
    </w:p>
    <w:p>
      <w:pPr>
        <w:spacing w:line="360" w:lineRule="auto"/>
        <w:jc w:val="center"/>
        <w:rPr>
          <w:rFonts w:hint="eastAsia" w:ascii="宋体" w:hAnsi="宋体" w:cs="宋体"/>
          <w:color w:val="auto"/>
          <w:sz w:val="24"/>
          <w:highlight w:val="none"/>
        </w:rPr>
      </w:pPr>
    </w:p>
    <w:p>
      <w:pPr>
        <w:spacing w:line="360" w:lineRule="auto"/>
        <w:jc w:val="center"/>
        <w:rPr>
          <w:rFonts w:hint="eastAsia" w:ascii="宋体" w:hAnsi="宋体" w:cs="宋体"/>
          <w:color w:val="auto"/>
          <w:sz w:val="24"/>
          <w:highlight w:val="none"/>
        </w:rPr>
      </w:pPr>
    </w:p>
    <w:p>
      <w:pPr>
        <w:spacing w:line="360" w:lineRule="auto"/>
        <w:jc w:val="center"/>
        <w:rPr>
          <w:rFonts w:hint="eastAsia" w:ascii="宋体" w:hAnsi="宋体" w:cs="宋体"/>
          <w:color w:val="auto"/>
          <w:sz w:val="24"/>
          <w:highlight w:val="none"/>
        </w:rPr>
      </w:pPr>
    </w:p>
    <w:p>
      <w:pPr>
        <w:spacing w:line="360" w:lineRule="auto"/>
        <w:jc w:val="center"/>
        <w:rPr>
          <w:rFonts w:hint="eastAsia" w:ascii="宋体" w:hAnsi="宋体" w:cs="宋体"/>
          <w:color w:val="auto"/>
          <w:sz w:val="24"/>
          <w:highlight w:val="none"/>
        </w:rPr>
      </w:pPr>
    </w:p>
    <w:p>
      <w:pPr>
        <w:spacing w:line="360" w:lineRule="auto"/>
        <w:jc w:val="center"/>
        <w:rPr>
          <w:rFonts w:hint="eastAsia" w:ascii="宋体" w:hAnsi="宋体" w:cs="宋体"/>
          <w:color w:val="auto"/>
          <w:sz w:val="24"/>
          <w:highlight w:val="none"/>
        </w:rPr>
      </w:pPr>
    </w:p>
    <w:p>
      <w:pPr>
        <w:spacing w:line="360" w:lineRule="auto"/>
        <w:jc w:val="center"/>
        <w:rPr>
          <w:rFonts w:hint="eastAsia" w:ascii="宋体" w:hAnsi="宋体" w:cs="宋体"/>
          <w:color w:val="auto"/>
          <w:sz w:val="24"/>
          <w:highlight w:val="none"/>
        </w:rPr>
      </w:pPr>
    </w:p>
    <w:p>
      <w:pPr>
        <w:spacing w:line="360" w:lineRule="auto"/>
        <w:jc w:val="center"/>
        <w:rPr>
          <w:rFonts w:hint="eastAsia" w:ascii="宋体" w:hAnsi="宋体" w:cs="宋体"/>
          <w:color w:val="auto"/>
          <w:sz w:val="24"/>
          <w:highlight w:val="none"/>
        </w:rPr>
      </w:pPr>
    </w:p>
    <w:p>
      <w:pPr>
        <w:spacing w:line="360" w:lineRule="auto"/>
        <w:jc w:val="center"/>
        <w:rPr>
          <w:rFonts w:hint="eastAsia" w:ascii="宋体" w:hAnsi="宋体" w:cs="宋体"/>
          <w:color w:val="auto"/>
          <w:sz w:val="24"/>
          <w:highlight w:val="none"/>
        </w:rPr>
      </w:pPr>
    </w:p>
    <w:p>
      <w:pPr>
        <w:spacing w:line="360" w:lineRule="auto"/>
        <w:jc w:val="center"/>
        <w:rPr>
          <w:rFonts w:hint="eastAsia" w:ascii="宋体" w:hAnsi="宋体" w:cs="宋体"/>
          <w:color w:val="auto"/>
          <w:sz w:val="24"/>
          <w:highlight w:val="none"/>
        </w:rPr>
      </w:pPr>
    </w:p>
    <w:p>
      <w:pPr>
        <w:spacing w:line="360" w:lineRule="auto"/>
        <w:jc w:val="center"/>
        <w:rPr>
          <w:rFonts w:hint="eastAsia" w:ascii="宋体" w:hAnsi="宋体" w:cs="宋体"/>
          <w:color w:val="auto"/>
          <w:sz w:val="24"/>
          <w:highlight w:val="none"/>
        </w:rPr>
      </w:pPr>
    </w:p>
    <w:p>
      <w:pPr>
        <w:spacing w:line="360" w:lineRule="auto"/>
        <w:jc w:val="center"/>
        <w:rPr>
          <w:rFonts w:hint="eastAsia" w:ascii="宋体" w:hAnsi="宋体" w:cs="宋体"/>
          <w:color w:val="auto"/>
          <w:sz w:val="24"/>
          <w:highlight w:val="none"/>
        </w:rPr>
      </w:pPr>
    </w:p>
    <w:p>
      <w:pPr>
        <w:spacing w:line="360" w:lineRule="auto"/>
        <w:jc w:val="center"/>
        <w:rPr>
          <w:rFonts w:hint="eastAsia" w:ascii="宋体" w:hAnsi="宋体" w:cs="宋体"/>
          <w:color w:val="auto"/>
          <w:sz w:val="24"/>
          <w:highlight w:val="none"/>
        </w:rPr>
      </w:pPr>
    </w:p>
    <w:p>
      <w:pPr>
        <w:spacing w:line="360" w:lineRule="auto"/>
        <w:jc w:val="center"/>
        <w:rPr>
          <w:rFonts w:hint="eastAsia" w:ascii="宋体" w:hAnsi="宋体" w:cs="宋体"/>
          <w:color w:val="auto"/>
          <w:sz w:val="24"/>
          <w:highlight w:val="none"/>
        </w:rPr>
      </w:pPr>
    </w:p>
    <w:p>
      <w:pPr>
        <w:spacing w:line="360" w:lineRule="auto"/>
        <w:jc w:val="center"/>
        <w:rPr>
          <w:rFonts w:hint="eastAsia" w:ascii="宋体" w:hAnsi="宋体" w:cs="宋体"/>
          <w:color w:val="auto"/>
          <w:sz w:val="24"/>
          <w:highlight w:val="none"/>
        </w:rPr>
      </w:pPr>
    </w:p>
    <w:p>
      <w:pPr>
        <w:pStyle w:val="5"/>
        <w:numPr>
          <w:ilvl w:val="1"/>
          <w:numId w:val="0"/>
        </w:numPr>
        <w:spacing w:before="0" w:line="360" w:lineRule="auto"/>
        <w:ind w:leftChars="257"/>
        <w:jc w:val="center"/>
        <w:rPr>
          <w:rFonts w:hint="eastAsia" w:ascii="宋体" w:hAnsi="宋体" w:eastAsia="宋体" w:cs="宋体"/>
          <w:color w:val="auto"/>
          <w:sz w:val="24"/>
          <w:highlight w:val="none"/>
        </w:rPr>
      </w:pPr>
      <w:bookmarkStart w:id="305" w:name="_Toc11671"/>
      <w:bookmarkStart w:id="306" w:name="_Toc515647813"/>
      <w:bookmarkStart w:id="307" w:name="_Toc2425"/>
      <w:bookmarkStart w:id="308" w:name="_Toc14934307"/>
      <w:bookmarkStart w:id="309" w:name="_Toc17207"/>
      <w:bookmarkStart w:id="310" w:name="_Toc532473502"/>
      <w:bookmarkStart w:id="311" w:name="_Toc27772"/>
      <w:bookmarkStart w:id="312" w:name="_Toc29703"/>
      <w:r>
        <w:rPr>
          <w:rFonts w:hint="eastAsia" w:ascii="宋体" w:hAnsi="宋体" w:eastAsia="宋体" w:cs="宋体"/>
          <w:color w:val="auto"/>
          <w:sz w:val="24"/>
          <w:highlight w:val="none"/>
        </w:rPr>
        <w:t>10 投标须知前附表要求的其他资格证明文件</w:t>
      </w:r>
      <w:bookmarkEnd w:id="305"/>
      <w:bookmarkEnd w:id="306"/>
      <w:bookmarkEnd w:id="307"/>
      <w:bookmarkEnd w:id="308"/>
      <w:bookmarkEnd w:id="309"/>
      <w:bookmarkEnd w:id="310"/>
      <w:bookmarkEnd w:id="311"/>
      <w:bookmarkEnd w:id="312"/>
    </w:p>
    <w:p>
      <w:pPr>
        <w:spacing w:line="360" w:lineRule="auto"/>
        <w:ind w:left="1079" w:leftChars="257" w:hanging="540"/>
        <w:jc w:val="center"/>
        <w:rPr>
          <w:rFonts w:hint="eastAsia" w:ascii="宋体" w:hAnsi="宋体" w:cs="宋体"/>
          <w:b/>
          <w:bCs/>
          <w:color w:val="auto"/>
          <w:sz w:val="24"/>
          <w:highlight w:val="none"/>
        </w:rPr>
      </w:pPr>
    </w:p>
    <w:p>
      <w:pPr>
        <w:spacing w:line="360" w:lineRule="auto"/>
        <w:ind w:left="1079" w:leftChars="257" w:hanging="540"/>
        <w:jc w:val="center"/>
        <w:rPr>
          <w:rFonts w:hint="eastAsia" w:ascii="宋体" w:hAnsi="宋体" w:cs="宋体"/>
          <w:b/>
          <w:bCs/>
          <w:color w:val="auto"/>
          <w:sz w:val="24"/>
          <w:highlight w:val="none"/>
        </w:rPr>
      </w:pPr>
    </w:p>
    <w:p>
      <w:pPr>
        <w:spacing w:line="360" w:lineRule="auto"/>
        <w:ind w:left="1079" w:leftChars="257" w:hanging="540"/>
        <w:jc w:val="center"/>
        <w:rPr>
          <w:rFonts w:hint="eastAsia" w:ascii="宋体" w:hAnsi="宋体" w:cs="宋体"/>
          <w:b/>
          <w:bCs/>
          <w:color w:val="auto"/>
          <w:sz w:val="24"/>
          <w:highlight w:val="none"/>
        </w:rPr>
      </w:pPr>
    </w:p>
    <w:p>
      <w:pPr>
        <w:pStyle w:val="20"/>
        <w:tabs>
          <w:tab w:val="left" w:pos="5580"/>
        </w:tabs>
        <w:spacing w:line="360" w:lineRule="auto"/>
        <w:ind w:left="1079" w:leftChars="257" w:hanging="540"/>
        <w:rPr>
          <w:rFonts w:hint="eastAsia" w:hAnsi="宋体" w:cs="宋体"/>
          <w:color w:val="auto"/>
          <w:sz w:val="24"/>
          <w:highlight w:val="none"/>
        </w:rPr>
      </w:pPr>
      <w:r>
        <w:rPr>
          <w:rFonts w:hint="eastAsia" w:hAnsi="宋体" w:cs="宋体"/>
          <w:color w:val="auto"/>
          <w:sz w:val="24"/>
          <w:highlight w:val="none"/>
        </w:rPr>
        <w:t>说明：应提供</w:t>
      </w:r>
      <w:r>
        <w:rPr>
          <w:rFonts w:hint="eastAsia" w:hAnsi="宋体" w:cs="宋体"/>
          <w:color w:val="auto"/>
          <w:sz w:val="24"/>
          <w:highlight w:val="none"/>
          <w:u w:val="single"/>
        </w:rPr>
        <w:t>投标须知前附表</w:t>
      </w:r>
      <w:r>
        <w:rPr>
          <w:rFonts w:hint="eastAsia" w:hAnsi="宋体" w:cs="宋体"/>
          <w:color w:val="auto"/>
          <w:sz w:val="24"/>
          <w:highlight w:val="none"/>
        </w:rPr>
        <w:t>要求的其他资格证明文件。</w:t>
      </w:r>
    </w:p>
    <w:p>
      <w:pPr>
        <w:pStyle w:val="20"/>
        <w:tabs>
          <w:tab w:val="left" w:pos="5580"/>
        </w:tabs>
        <w:spacing w:line="360" w:lineRule="auto"/>
        <w:ind w:left="1079" w:leftChars="257" w:hanging="540"/>
        <w:rPr>
          <w:rFonts w:hint="eastAsia" w:hAnsi="宋体" w:cs="宋体"/>
          <w:color w:val="auto"/>
          <w:sz w:val="24"/>
          <w:highlight w:val="none"/>
        </w:rPr>
      </w:pPr>
      <w:r>
        <w:rPr>
          <w:rFonts w:hint="eastAsia" w:hAnsi="宋体" w:cs="宋体"/>
          <w:color w:val="auto"/>
          <w:sz w:val="24"/>
          <w:highlight w:val="none"/>
        </w:rPr>
        <w:t xml:space="preserve">     </w:t>
      </w:r>
    </w:p>
    <w:p>
      <w:pPr>
        <w:pStyle w:val="20"/>
        <w:tabs>
          <w:tab w:val="left" w:pos="5580"/>
        </w:tabs>
        <w:spacing w:line="360" w:lineRule="auto"/>
        <w:ind w:left="1079" w:leftChars="257" w:hanging="540"/>
        <w:rPr>
          <w:rFonts w:hint="eastAsia" w:hAnsi="宋体" w:cs="宋体"/>
          <w:color w:val="auto"/>
          <w:sz w:val="24"/>
          <w:highlight w:val="none"/>
        </w:rPr>
      </w:pPr>
      <w:r>
        <w:rPr>
          <w:rFonts w:hint="eastAsia" w:hAnsi="宋体" w:cs="宋体"/>
          <w:color w:val="auto"/>
          <w:sz w:val="24"/>
          <w:highlight w:val="none"/>
        </w:rPr>
        <w:br w:type="page"/>
      </w:r>
    </w:p>
    <w:p>
      <w:pPr>
        <w:pStyle w:val="5"/>
        <w:numPr>
          <w:ilvl w:val="1"/>
          <w:numId w:val="0"/>
        </w:numPr>
        <w:spacing w:before="0" w:line="360" w:lineRule="auto"/>
        <w:ind w:leftChars="257"/>
        <w:jc w:val="center"/>
        <w:rPr>
          <w:rFonts w:hint="eastAsia" w:ascii="宋体" w:hAnsi="宋体" w:eastAsia="宋体" w:cs="宋体"/>
          <w:color w:val="auto"/>
          <w:sz w:val="24"/>
          <w:highlight w:val="none"/>
        </w:rPr>
      </w:pPr>
      <w:bookmarkStart w:id="313" w:name="_Toc515647816"/>
      <w:bookmarkStart w:id="314" w:name="_Toc30980"/>
      <w:bookmarkStart w:id="315" w:name="_Toc18265"/>
      <w:bookmarkStart w:id="316" w:name="_Toc22967"/>
      <w:bookmarkStart w:id="317" w:name="_Toc532473504"/>
      <w:bookmarkStart w:id="318" w:name="_Toc11140"/>
      <w:bookmarkStart w:id="319" w:name="_Toc14934309"/>
      <w:bookmarkStart w:id="320" w:name="_Toc11180"/>
      <w:r>
        <w:rPr>
          <w:rFonts w:hint="eastAsia" w:ascii="宋体" w:hAnsi="宋体" w:eastAsia="宋体" w:cs="宋体"/>
          <w:color w:val="auto"/>
          <w:sz w:val="24"/>
          <w:highlight w:val="none"/>
        </w:rPr>
        <w:t>第二部分  商务及技术文件</w:t>
      </w:r>
      <w:bookmarkEnd w:id="313"/>
      <w:bookmarkEnd w:id="314"/>
      <w:bookmarkEnd w:id="315"/>
      <w:bookmarkEnd w:id="316"/>
      <w:bookmarkEnd w:id="317"/>
      <w:bookmarkEnd w:id="318"/>
      <w:bookmarkEnd w:id="319"/>
      <w:bookmarkEnd w:id="320"/>
    </w:p>
    <w:p>
      <w:pPr>
        <w:pStyle w:val="20"/>
        <w:spacing w:line="360" w:lineRule="auto"/>
        <w:ind w:left="1079" w:leftChars="257" w:hanging="540"/>
        <w:rPr>
          <w:rFonts w:hint="eastAsia" w:hAnsi="宋体" w:cs="宋体"/>
          <w:color w:val="auto"/>
          <w:sz w:val="24"/>
          <w:highlight w:val="none"/>
        </w:rPr>
      </w:pPr>
      <w:r>
        <w:rPr>
          <w:rFonts w:hint="eastAsia" w:hAnsi="宋体" w:cs="宋体"/>
          <w:color w:val="auto"/>
          <w:sz w:val="24"/>
          <w:highlight w:val="none"/>
        </w:rPr>
        <w:t>1.投标函</w:t>
      </w:r>
    </w:p>
    <w:p>
      <w:pPr>
        <w:pStyle w:val="20"/>
        <w:spacing w:line="360" w:lineRule="auto"/>
        <w:ind w:left="1079" w:leftChars="257" w:hanging="540"/>
        <w:rPr>
          <w:rFonts w:hint="eastAsia" w:hAnsi="宋体" w:cs="宋体"/>
          <w:color w:val="auto"/>
          <w:sz w:val="24"/>
          <w:highlight w:val="none"/>
        </w:rPr>
      </w:pPr>
      <w:r>
        <w:rPr>
          <w:rFonts w:hint="eastAsia" w:hAnsi="宋体" w:cs="宋体"/>
          <w:color w:val="auto"/>
          <w:sz w:val="24"/>
          <w:highlight w:val="none"/>
          <w:lang w:val="en-US" w:eastAsia="zh-CN"/>
        </w:rPr>
        <w:t>2</w:t>
      </w:r>
      <w:r>
        <w:rPr>
          <w:rFonts w:hint="eastAsia" w:hAnsi="宋体" w:cs="宋体"/>
          <w:color w:val="auto"/>
          <w:sz w:val="24"/>
          <w:highlight w:val="none"/>
        </w:rPr>
        <w:t>.商务条款偏离表</w:t>
      </w:r>
    </w:p>
    <w:p>
      <w:pPr>
        <w:pStyle w:val="20"/>
        <w:spacing w:line="360" w:lineRule="auto"/>
        <w:ind w:left="1079" w:leftChars="257" w:hanging="540"/>
        <w:rPr>
          <w:rFonts w:hint="eastAsia" w:hAnsi="宋体" w:cs="宋体"/>
          <w:color w:val="auto"/>
          <w:sz w:val="24"/>
          <w:highlight w:val="none"/>
        </w:rPr>
      </w:pPr>
      <w:r>
        <w:rPr>
          <w:rFonts w:hint="eastAsia" w:hAnsi="宋体" w:cs="宋体"/>
          <w:color w:val="auto"/>
          <w:sz w:val="24"/>
          <w:highlight w:val="none"/>
          <w:lang w:val="en-US" w:eastAsia="zh-CN"/>
        </w:rPr>
        <w:t>3</w:t>
      </w:r>
      <w:r>
        <w:rPr>
          <w:rFonts w:hint="eastAsia" w:hAnsi="宋体" w:cs="宋体"/>
          <w:color w:val="auto"/>
          <w:sz w:val="24"/>
          <w:highlight w:val="none"/>
        </w:rPr>
        <w:t>.符合《政府采购促进中小企业发展暂行办法》、《关于政府采购支持监狱企业发展有关问题的通知》和《三部门联合发布关于促进残疾人就业政府采购政策的通知》价格扣减条件的投标人须提交资料</w:t>
      </w:r>
    </w:p>
    <w:p>
      <w:pPr>
        <w:pStyle w:val="20"/>
        <w:spacing w:line="360" w:lineRule="auto"/>
        <w:ind w:left="310" w:leftChars="148" w:firstLine="228"/>
        <w:rPr>
          <w:rFonts w:hint="eastAsia" w:hAnsi="宋体" w:cs="宋体"/>
          <w:color w:val="auto"/>
          <w:sz w:val="24"/>
          <w:highlight w:val="none"/>
        </w:rPr>
      </w:pPr>
      <w:r>
        <w:rPr>
          <w:rFonts w:hint="eastAsia" w:hAnsi="宋体" w:cs="宋体"/>
          <w:color w:val="auto"/>
          <w:sz w:val="24"/>
          <w:highlight w:val="none"/>
          <w:lang w:val="en-US" w:eastAsia="zh-CN"/>
        </w:rPr>
        <w:t>3</w:t>
      </w:r>
      <w:r>
        <w:rPr>
          <w:rFonts w:hint="eastAsia" w:hAnsi="宋体" w:cs="宋体"/>
          <w:color w:val="auto"/>
          <w:sz w:val="24"/>
          <w:highlight w:val="none"/>
        </w:rPr>
        <w:t>-1《投标人为中小企业（单位）声明函》</w:t>
      </w:r>
    </w:p>
    <w:p>
      <w:pPr>
        <w:pStyle w:val="20"/>
        <w:spacing w:line="360" w:lineRule="auto"/>
        <w:ind w:left="310" w:leftChars="148" w:firstLine="228"/>
        <w:rPr>
          <w:rFonts w:hint="eastAsia" w:hAnsi="宋体" w:cs="宋体"/>
          <w:color w:val="auto"/>
          <w:sz w:val="24"/>
          <w:highlight w:val="none"/>
        </w:rPr>
      </w:pPr>
      <w:r>
        <w:rPr>
          <w:rFonts w:hint="eastAsia" w:hAnsi="宋体" w:cs="宋体"/>
          <w:color w:val="auto"/>
          <w:sz w:val="24"/>
          <w:highlight w:val="none"/>
          <w:lang w:val="en-US" w:eastAsia="zh-CN"/>
        </w:rPr>
        <w:t>3</w:t>
      </w:r>
      <w:r>
        <w:rPr>
          <w:rFonts w:hint="eastAsia" w:hAnsi="宋体" w:cs="宋体"/>
          <w:color w:val="auto"/>
          <w:sz w:val="24"/>
          <w:highlight w:val="none"/>
        </w:rPr>
        <w:t>-2《投标人监狱企业声明函》</w:t>
      </w:r>
    </w:p>
    <w:p>
      <w:pPr>
        <w:pStyle w:val="20"/>
        <w:spacing w:line="360" w:lineRule="auto"/>
        <w:ind w:left="310" w:leftChars="148" w:firstLine="228"/>
        <w:rPr>
          <w:rFonts w:hint="eastAsia" w:hAnsi="宋体" w:cs="宋体"/>
          <w:color w:val="auto"/>
          <w:sz w:val="24"/>
          <w:highlight w:val="none"/>
        </w:rPr>
      </w:pPr>
      <w:r>
        <w:rPr>
          <w:rFonts w:hint="eastAsia" w:hAnsi="宋体" w:cs="宋体"/>
          <w:color w:val="auto"/>
          <w:sz w:val="24"/>
          <w:highlight w:val="none"/>
          <w:lang w:val="en-US" w:eastAsia="zh-CN"/>
        </w:rPr>
        <w:t>3</w:t>
      </w:r>
      <w:r>
        <w:rPr>
          <w:rFonts w:hint="eastAsia" w:hAnsi="宋体" w:cs="宋体"/>
          <w:color w:val="auto"/>
          <w:sz w:val="24"/>
          <w:highlight w:val="none"/>
        </w:rPr>
        <w:t>-3《残疾人福利性单位声明函》</w:t>
      </w:r>
    </w:p>
    <w:p>
      <w:pPr>
        <w:pStyle w:val="20"/>
        <w:spacing w:line="360" w:lineRule="auto"/>
        <w:ind w:left="310" w:leftChars="148" w:firstLine="228"/>
        <w:rPr>
          <w:rFonts w:hint="eastAsia" w:hAnsi="宋体" w:cs="宋体"/>
          <w:color w:val="auto"/>
          <w:sz w:val="24"/>
          <w:highlight w:val="none"/>
        </w:rPr>
      </w:pPr>
      <w:r>
        <w:rPr>
          <w:rFonts w:hint="eastAsia" w:hAnsi="宋体" w:cs="宋体"/>
          <w:color w:val="auto"/>
          <w:sz w:val="24"/>
          <w:highlight w:val="none"/>
          <w:lang w:val="en-US" w:eastAsia="zh-CN"/>
        </w:rPr>
        <w:t>3</w:t>
      </w:r>
      <w:r>
        <w:rPr>
          <w:rFonts w:hint="eastAsia" w:hAnsi="宋体" w:cs="宋体"/>
          <w:color w:val="auto"/>
          <w:sz w:val="24"/>
          <w:highlight w:val="none"/>
        </w:rPr>
        <w:t>-4《制造商投标人企业（单位）类型声明函》</w:t>
      </w:r>
    </w:p>
    <w:p>
      <w:pPr>
        <w:pStyle w:val="20"/>
        <w:spacing w:line="360" w:lineRule="auto"/>
        <w:ind w:left="310" w:leftChars="148" w:firstLine="228"/>
        <w:rPr>
          <w:rFonts w:hint="eastAsia" w:hAnsi="宋体" w:cs="宋体"/>
          <w:color w:val="auto"/>
          <w:sz w:val="24"/>
          <w:highlight w:val="none"/>
        </w:rPr>
      </w:pPr>
      <w:r>
        <w:rPr>
          <w:rFonts w:hint="eastAsia" w:hAnsi="宋体" w:cs="宋体"/>
          <w:color w:val="auto"/>
          <w:sz w:val="24"/>
          <w:highlight w:val="none"/>
          <w:lang w:val="en-US" w:eastAsia="zh-CN"/>
        </w:rPr>
        <w:t>4</w:t>
      </w:r>
      <w:r>
        <w:rPr>
          <w:rFonts w:hint="eastAsia" w:hAnsi="宋体" w:cs="宋体"/>
          <w:color w:val="auto"/>
          <w:sz w:val="24"/>
          <w:highlight w:val="none"/>
        </w:rPr>
        <w:t>.投标人关联单位的说明（格式自拟）</w:t>
      </w:r>
    </w:p>
    <w:p>
      <w:pPr>
        <w:pStyle w:val="20"/>
        <w:spacing w:line="360" w:lineRule="auto"/>
        <w:ind w:left="1079" w:leftChars="257" w:hanging="540"/>
        <w:rPr>
          <w:rFonts w:hint="eastAsia" w:hAnsi="宋体" w:cs="宋体"/>
          <w:color w:val="auto"/>
          <w:sz w:val="24"/>
          <w:highlight w:val="none"/>
        </w:rPr>
      </w:pPr>
      <w:r>
        <w:rPr>
          <w:rFonts w:hint="eastAsia" w:hAnsi="宋体" w:cs="宋体"/>
          <w:color w:val="auto"/>
          <w:sz w:val="24"/>
          <w:highlight w:val="none"/>
        </w:rPr>
        <w:t>8. 投标人及投标产品简介</w:t>
      </w:r>
    </w:p>
    <w:p>
      <w:pPr>
        <w:pStyle w:val="20"/>
        <w:spacing w:line="360" w:lineRule="auto"/>
        <w:ind w:left="1079" w:leftChars="257" w:hanging="540"/>
        <w:rPr>
          <w:rFonts w:hint="eastAsia" w:hAnsi="宋体" w:cs="宋体"/>
          <w:color w:val="auto"/>
          <w:sz w:val="24"/>
          <w:highlight w:val="none"/>
        </w:rPr>
      </w:pPr>
      <w:r>
        <w:rPr>
          <w:rFonts w:hint="eastAsia" w:hAnsi="宋体" w:cs="宋体"/>
          <w:color w:val="auto"/>
          <w:sz w:val="24"/>
          <w:highlight w:val="none"/>
        </w:rPr>
        <w:t>9.</w:t>
      </w:r>
      <w:r>
        <w:rPr>
          <w:rFonts w:hint="eastAsia" w:hAnsi="宋体" w:cs="宋体"/>
          <w:bCs/>
          <w:color w:val="auto"/>
          <w:sz w:val="24"/>
          <w:highlight w:val="none"/>
        </w:rPr>
        <w:t xml:space="preserve"> 售后服务计划</w:t>
      </w:r>
    </w:p>
    <w:p>
      <w:pPr>
        <w:pStyle w:val="20"/>
        <w:spacing w:line="360" w:lineRule="auto"/>
        <w:ind w:left="1079" w:leftChars="257" w:hanging="540"/>
        <w:rPr>
          <w:rFonts w:hint="eastAsia" w:hAnsi="宋体" w:cs="宋体"/>
          <w:color w:val="auto"/>
          <w:sz w:val="24"/>
          <w:highlight w:val="none"/>
        </w:rPr>
      </w:pPr>
      <w:r>
        <w:rPr>
          <w:rFonts w:hint="eastAsia" w:hAnsi="宋体" w:cs="宋体"/>
          <w:color w:val="auto"/>
          <w:sz w:val="24"/>
          <w:highlight w:val="none"/>
        </w:rPr>
        <w:t>12.</w:t>
      </w:r>
      <w:r>
        <w:rPr>
          <w:rFonts w:hint="eastAsia" w:hAnsi="宋体" w:cs="宋体"/>
          <w:color w:val="auto"/>
          <w:sz w:val="24"/>
          <w:highlight w:val="none"/>
          <w:u w:val="single"/>
        </w:rPr>
        <w:t>投标须知前附表</w:t>
      </w:r>
      <w:r>
        <w:rPr>
          <w:rFonts w:hint="eastAsia" w:hAnsi="宋体" w:cs="宋体"/>
          <w:color w:val="auto"/>
          <w:sz w:val="24"/>
          <w:highlight w:val="none"/>
          <w:u w:val="single"/>
          <w:lang w:eastAsia="zh-CN"/>
        </w:rPr>
        <w:t>及评分标准中</w:t>
      </w:r>
      <w:r>
        <w:rPr>
          <w:rFonts w:hint="eastAsia" w:hAnsi="宋体" w:cs="宋体"/>
          <w:color w:val="auto"/>
          <w:sz w:val="24"/>
          <w:highlight w:val="none"/>
        </w:rPr>
        <w:t>要求的其他文件</w:t>
      </w:r>
    </w:p>
    <w:p>
      <w:pPr>
        <w:pStyle w:val="20"/>
        <w:spacing w:line="360" w:lineRule="auto"/>
        <w:ind w:left="1079" w:leftChars="257" w:hanging="540"/>
        <w:rPr>
          <w:rFonts w:hint="eastAsia" w:hAnsi="宋体" w:cs="宋体"/>
          <w:color w:val="auto"/>
          <w:sz w:val="24"/>
          <w:highlight w:val="none"/>
        </w:rPr>
      </w:pPr>
    </w:p>
    <w:p>
      <w:pPr>
        <w:pStyle w:val="20"/>
        <w:spacing w:line="360" w:lineRule="auto"/>
        <w:ind w:left="1079" w:leftChars="257" w:hanging="540"/>
        <w:rPr>
          <w:rFonts w:hint="eastAsia" w:hAnsi="宋体" w:cs="宋体"/>
          <w:color w:val="auto"/>
          <w:sz w:val="24"/>
          <w:highlight w:val="none"/>
        </w:rPr>
      </w:pPr>
    </w:p>
    <w:p>
      <w:pPr>
        <w:pStyle w:val="20"/>
        <w:tabs>
          <w:tab w:val="left" w:pos="5580"/>
        </w:tabs>
        <w:spacing w:line="360" w:lineRule="auto"/>
        <w:ind w:left="1079" w:leftChars="257" w:hanging="540"/>
        <w:rPr>
          <w:rFonts w:hint="eastAsia" w:hAnsi="宋体" w:cs="宋体"/>
          <w:color w:val="auto"/>
          <w:sz w:val="24"/>
          <w:highlight w:val="none"/>
        </w:rPr>
      </w:pPr>
      <w:r>
        <w:rPr>
          <w:rFonts w:hint="eastAsia" w:hAnsi="宋体" w:cs="宋体"/>
          <w:color w:val="auto"/>
          <w:sz w:val="24"/>
          <w:highlight w:val="none"/>
        </w:rPr>
        <w:br w:type="page"/>
      </w:r>
    </w:p>
    <w:p>
      <w:pPr>
        <w:pStyle w:val="5"/>
        <w:numPr>
          <w:ilvl w:val="0"/>
          <w:numId w:val="13"/>
        </w:numPr>
        <w:spacing w:before="0" w:line="360" w:lineRule="auto"/>
        <w:jc w:val="center"/>
        <w:rPr>
          <w:rFonts w:hint="eastAsia" w:ascii="宋体" w:hAnsi="宋体" w:eastAsia="宋体" w:cs="宋体"/>
          <w:color w:val="auto"/>
          <w:sz w:val="24"/>
          <w:highlight w:val="none"/>
        </w:rPr>
      </w:pPr>
      <w:bookmarkStart w:id="321" w:name="_Hlt520355504"/>
      <w:bookmarkEnd w:id="321"/>
      <w:bookmarkStart w:id="322" w:name="_Toc14934310"/>
      <w:bookmarkStart w:id="323" w:name="_Toc30108"/>
      <w:bookmarkStart w:id="324" w:name="_Toc31662"/>
      <w:bookmarkStart w:id="325" w:name="_Toc30584"/>
      <w:bookmarkStart w:id="326" w:name="_Toc2041"/>
      <w:bookmarkStart w:id="327" w:name="_Toc515647817"/>
      <w:bookmarkStart w:id="328" w:name="_Toc532473505"/>
      <w:bookmarkStart w:id="329" w:name="_Toc14915"/>
      <w:r>
        <w:rPr>
          <w:rFonts w:hint="eastAsia" w:ascii="宋体" w:hAnsi="宋体" w:eastAsia="宋体" w:cs="宋体"/>
          <w:color w:val="auto"/>
          <w:sz w:val="24"/>
          <w:highlight w:val="none"/>
        </w:rPr>
        <w:t>投标</w:t>
      </w:r>
      <w:bookmarkEnd w:id="241"/>
      <w:bookmarkEnd w:id="242"/>
      <w:bookmarkEnd w:id="243"/>
      <w:bookmarkEnd w:id="322"/>
      <w:r>
        <w:rPr>
          <w:rFonts w:hint="eastAsia" w:ascii="宋体" w:hAnsi="宋体" w:eastAsia="宋体" w:cs="宋体"/>
          <w:color w:val="auto"/>
          <w:sz w:val="24"/>
          <w:highlight w:val="none"/>
        </w:rPr>
        <w:t>函</w:t>
      </w:r>
      <w:bookmarkEnd w:id="323"/>
      <w:bookmarkEnd w:id="324"/>
      <w:bookmarkEnd w:id="325"/>
    </w:p>
    <w:p>
      <w:pPr>
        <w:tabs>
          <w:tab w:val="left" w:pos="5580"/>
        </w:tabs>
        <w:spacing w:line="360" w:lineRule="auto"/>
        <w:ind w:left="1080" w:hanging="1080"/>
        <w:jc w:val="center"/>
        <w:rPr>
          <w:rFonts w:hint="eastAsia" w:ascii="宋体" w:hAnsi="宋体" w:cs="宋体"/>
          <w:color w:val="auto"/>
          <w:sz w:val="24"/>
          <w:highlight w:val="none"/>
        </w:rPr>
      </w:pPr>
      <w:r>
        <w:rPr>
          <w:rFonts w:hint="eastAsia" w:ascii="宋体" w:hAnsi="宋体" w:cs="宋体"/>
          <w:color w:val="auto"/>
          <w:sz w:val="24"/>
          <w:highlight w:val="none"/>
        </w:rPr>
        <w:t xml:space="preserve">  （投标文件格式七）</w:t>
      </w:r>
      <w:bookmarkEnd w:id="244"/>
      <w:bookmarkEnd w:id="326"/>
      <w:bookmarkEnd w:id="327"/>
      <w:bookmarkEnd w:id="328"/>
      <w:bookmarkEnd w:id="329"/>
    </w:p>
    <w:p>
      <w:pPr>
        <w:tabs>
          <w:tab w:val="left" w:pos="5580"/>
        </w:tabs>
        <w:spacing w:line="360" w:lineRule="auto"/>
        <w:ind w:left="1080" w:hanging="1080"/>
        <w:rPr>
          <w:rFonts w:hint="eastAsia" w:ascii="宋体" w:hAnsi="宋体" w:cs="宋体"/>
          <w:color w:val="auto"/>
          <w:sz w:val="24"/>
          <w:highlight w:val="none"/>
        </w:rPr>
      </w:pPr>
    </w:p>
    <w:p>
      <w:pPr>
        <w:tabs>
          <w:tab w:val="left" w:pos="5580"/>
        </w:tabs>
        <w:spacing w:line="360" w:lineRule="auto"/>
        <w:ind w:left="1080" w:hanging="1080"/>
        <w:rPr>
          <w:rFonts w:hint="eastAsia"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color w:val="auto"/>
          <w:sz w:val="24"/>
          <w:highlight w:val="none"/>
          <w:u w:val="single"/>
        </w:rPr>
        <w:t xml:space="preserve">   （采购代理机构名称）      </w:t>
      </w:r>
    </w:p>
    <w:p>
      <w:pPr>
        <w:pStyle w:val="20"/>
        <w:tabs>
          <w:tab w:val="left" w:pos="5580"/>
        </w:tabs>
        <w:spacing w:line="360" w:lineRule="auto"/>
        <w:ind w:firstLine="566" w:firstLineChars="236"/>
        <w:jc w:val="left"/>
        <w:rPr>
          <w:rFonts w:hint="eastAsia" w:hAnsi="宋体" w:cs="宋体"/>
          <w:color w:val="auto"/>
          <w:sz w:val="24"/>
          <w:highlight w:val="none"/>
        </w:rPr>
      </w:pPr>
      <w:r>
        <w:rPr>
          <w:rFonts w:hint="eastAsia" w:hAnsi="宋体" w:cs="宋体"/>
          <w:color w:val="auto"/>
          <w:sz w:val="24"/>
          <w:highlight w:val="none"/>
        </w:rPr>
        <w:t>我们获取了采购编号为</w:t>
      </w:r>
      <w:r>
        <w:rPr>
          <w:rFonts w:hint="eastAsia" w:hAnsi="宋体" w:cs="宋体"/>
          <w:color w:val="auto"/>
          <w:sz w:val="24"/>
          <w:highlight w:val="none"/>
          <w:u w:val="single"/>
        </w:rPr>
        <w:t xml:space="preserve">         </w:t>
      </w:r>
      <w:r>
        <w:rPr>
          <w:rFonts w:hint="eastAsia" w:hAnsi="宋体" w:cs="宋体"/>
          <w:color w:val="auto"/>
          <w:sz w:val="24"/>
          <w:highlight w:val="none"/>
        </w:rPr>
        <w:t>的</w:t>
      </w:r>
      <w:r>
        <w:rPr>
          <w:rFonts w:hint="eastAsia" w:hAnsi="宋体" w:cs="宋体"/>
          <w:color w:val="auto"/>
          <w:sz w:val="24"/>
          <w:highlight w:val="none"/>
          <w:u w:val="single"/>
        </w:rPr>
        <w:t xml:space="preserve">    （项目名称）  </w:t>
      </w:r>
      <w:r>
        <w:rPr>
          <w:rFonts w:hint="eastAsia" w:hAnsi="宋体" w:cs="宋体"/>
          <w:color w:val="auto"/>
          <w:sz w:val="24"/>
          <w:highlight w:val="none"/>
        </w:rPr>
        <w:t>采购文件，经详细研究，我们决定参加该项目的投标活动并按要求提交投标文件。我们郑重声明以下诸点并负法律责任:</w:t>
      </w:r>
    </w:p>
    <w:p>
      <w:pPr>
        <w:pStyle w:val="20"/>
        <w:tabs>
          <w:tab w:val="left" w:pos="5580"/>
        </w:tabs>
        <w:spacing w:line="360" w:lineRule="auto"/>
        <w:ind w:left="2" w:leftChars="1" w:firstLine="480" w:firstLineChars="200"/>
        <w:rPr>
          <w:rFonts w:hint="eastAsia" w:hAnsi="宋体" w:cs="宋体"/>
          <w:color w:val="auto"/>
          <w:sz w:val="24"/>
          <w:highlight w:val="none"/>
        </w:rPr>
      </w:pPr>
      <w:r>
        <w:rPr>
          <w:rFonts w:hint="eastAsia" w:hAnsi="宋体" w:cs="宋体"/>
          <w:color w:val="auto"/>
          <w:sz w:val="24"/>
          <w:highlight w:val="none"/>
        </w:rPr>
        <w:t>根据贵方(</w:t>
      </w:r>
      <w:r>
        <w:rPr>
          <w:rFonts w:hint="eastAsia" w:hAnsi="宋体" w:cs="宋体"/>
          <w:i/>
          <w:color w:val="auto"/>
          <w:sz w:val="24"/>
          <w:highlight w:val="none"/>
          <w:u w:val="single"/>
        </w:rPr>
        <w:t>项目名称</w:t>
      </w:r>
      <w:r>
        <w:rPr>
          <w:rFonts w:hint="eastAsia" w:hAnsi="宋体" w:cs="宋体"/>
          <w:color w:val="auto"/>
          <w:sz w:val="24"/>
          <w:highlight w:val="none"/>
        </w:rPr>
        <w:t>)项目的投标邀请(</w:t>
      </w:r>
      <w:r>
        <w:rPr>
          <w:rFonts w:hint="eastAsia" w:hAnsi="宋体" w:cs="宋体"/>
          <w:i/>
          <w:color w:val="auto"/>
          <w:sz w:val="24"/>
          <w:highlight w:val="none"/>
          <w:u w:val="single"/>
        </w:rPr>
        <w:t>招标编号</w:t>
      </w:r>
      <w:r>
        <w:rPr>
          <w:rFonts w:hint="eastAsia" w:hAnsi="宋体" w:cs="宋体"/>
          <w:color w:val="auto"/>
          <w:sz w:val="24"/>
          <w:highlight w:val="none"/>
        </w:rPr>
        <w:t>),签字代表(</w:t>
      </w:r>
      <w:r>
        <w:rPr>
          <w:rFonts w:hint="eastAsia" w:hAnsi="宋体" w:cs="宋体"/>
          <w:i/>
          <w:color w:val="auto"/>
          <w:sz w:val="24"/>
          <w:highlight w:val="none"/>
          <w:u w:val="single"/>
        </w:rPr>
        <w:t>姓名、职务</w:t>
      </w:r>
      <w:r>
        <w:rPr>
          <w:rFonts w:hint="eastAsia" w:hAnsi="宋体" w:cs="宋体"/>
          <w:color w:val="auto"/>
          <w:sz w:val="24"/>
          <w:highlight w:val="none"/>
        </w:rPr>
        <w:t>)经正式授权并代表投标人（</w:t>
      </w:r>
      <w:r>
        <w:rPr>
          <w:rFonts w:hint="eastAsia" w:hAnsi="宋体" w:cs="宋体"/>
          <w:i/>
          <w:color w:val="auto"/>
          <w:sz w:val="24"/>
          <w:highlight w:val="none"/>
          <w:u w:val="single"/>
        </w:rPr>
        <w:t>名称、地址</w:t>
      </w:r>
      <w:r>
        <w:rPr>
          <w:rFonts w:hint="eastAsia" w:hAnsi="宋体" w:cs="宋体"/>
          <w:color w:val="auto"/>
          <w:sz w:val="24"/>
          <w:highlight w:val="none"/>
        </w:rPr>
        <w:t>）提交投标文件。</w:t>
      </w:r>
    </w:p>
    <w:p>
      <w:pPr>
        <w:pStyle w:val="20"/>
        <w:tabs>
          <w:tab w:val="left" w:pos="5580"/>
        </w:tabs>
        <w:spacing w:line="360" w:lineRule="auto"/>
        <w:ind w:left="1079" w:leftChars="257" w:hanging="540"/>
        <w:rPr>
          <w:rFonts w:hint="eastAsia" w:hAnsi="宋体" w:cs="宋体"/>
          <w:color w:val="auto"/>
          <w:sz w:val="24"/>
          <w:highlight w:val="none"/>
        </w:rPr>
      </w:pPr>
      <w:r>
        <w:rPr>
          <w:rFonts w:hint="eastAsia" w:hAnsi="宋体" w:cs="宋体"/>
          <w:color w:val="auto"/>
          <w:sz w:val="24"/>
          <w:highlight w:val="none"/>
        </w:rPr>
        <w:t>据此，签字代表宣布同意如下：</w:t>
      </w:r>
    </w:p>
    <w:p>
      <w:pPr>
        <w:pStyle w:val="20"/>
        <w:tabs>
          <w:tab w:val="left" w:pos="720"/>
          <w:tab w:val="left" w:pos="900"/>
        </w:tabs>
        <w:spacing w:line="360" w:lineRule="auto"/>
        <w:ind w:left="768" w:leftChars="257" w:hanging="229"/>
        <w:jc w:val="left"/>
        <w:rPr>
          <w:rFonts w:hint="eastAsia" w:hAnsi="宋体" w:cs="宋体"/>
          <w:color w:val="auto"/>
          <w:sz w:val="24"/>
          <w:highlight w:val="none"/>
          <w:u w:val="single"/>
        </w:rPr>
      </w:pPr>
      <w:r>
        <w:rPr>
          <w:rFonts w:hint="eastAsia" w:hAnsi="宋体" w:cs="宋体"/>
          <w:color w:val="auto"/>
          <w:sz w:val="24"/>
          <w:highlight w:val="none"/>
        </w:rPr>
        <w:t>（1）愿按照采购文件中规定的条款和要求，提供完成采购文件规定的全部工作，</w:t>
      </w:r>
      <w:r>
        <w:rPr>
          <w:rFonts w:hint="eastAsia" w:hAnsi="宋体" w:cs="宋体"/>
          <w:color w:val="auto"/>
          <w:sz w:val="24"/>
          <w:highlight w:val="none"/>
          <w:lang w:eastAsia="zh-CN"/>
        </w:rPr>
        <w:t>教材</w:t>
      </w:r>
      <w:r>
        <w:rPr>
          <w:rFonts w:hint="eastAsia" w:hAnsi="宋体" w:cs="宋体"/>
          <w:color w:val="auto"/>
          <w:sz w:val="24"/>
          <w:highlight w:val="none"/>
        </w:rPr>
        <w:t>的综合折扣率为           （文字表示：             ）。</w:t>
      </w:r>
    </w:p>
    <w:p>
      <w:pPr>
        <w:pStyle w:val="20"/>
        <w:tabs>
          <w:tab w:val="left" w:pos="5580"/>
        </w:tabs>
        <w:spacing w:line="360" w:lineRule="auto"/>
        <w:ind w:left="1079" w:leftChars="257" w:hanging="540"/>
        <w:rPr>
          <w:rFonts w:hint="eastAsia" w:hAnsi="宋体" w:cs="宋体"/>
          <w:color w:val="auto"/>
          <w:sz w:val="24"/>
          <w:highlight w:val="none"/>
          <w:lang w:eastAsia="zh-CN"/>
        </w:rPr>
      </w:pPr>
      <w:r>
        <w:rPr>
          <w:rFonts w:hint="eastAsia" w:hAnsi="宋体" w:cs="宋体"/>
          <w:color w:val="auto"/>
          <w:sz w:val="24"/>
          <w:highlight w:val="none"/>
        </w:rPr>
        <w:t>（2）本投标有效期为自投标截止之日起</w:t>
      </w:r>
      <w:r>
        <w:rPr>
          <w:rFonts w:hint="eastAsia" w:hAnsi="宋体" w:cs="宋体"/>
          <w:color w:val="auto"/>
          <w:sz w:val="24"/>
          <w:highlight w:val="none"/>
          <w:u w:val="single"/>
        </w:rPr>
        <w:t xml:space="preserve">          </w:t>
      </w:r>
      <w:r>
        <w:rPr>
          <w:rFonts w:hint="eastAsia" w:hAnsi="宋体" w:cs="宋体"/>
          <w:color w:val="auto"/>
          <w:sz w:val="24"/>
          <w:highlight w:val="none"/>
        </w:rPr>
        <w:t>个日历日</w:t>
      </w:r>
      <w:r>
        <w:rPr>
          <w:rFonts w:hint="eastAsia" w:hAnsi="宋体" w:cs="宋体"/>
          <w:color w:val="auto"/>
          <w:sz w:val="24"/>
          <w:highlight w:val="none"/>
          <w:lang w:eastAsia="zh-CN"/>
        </w:rPr>
        <w:t>。</w:t>
      </w:r>
    </w:p>
    <w:p>
      <w:pPr>
        <w:pStyle w:val="20"/>
        <w:tabs>
          <w:tab w:val="left" w:pos="5580"/>
        </w:tabs>
        <w:spacing w:line="360" w:lineRule="auto"/>
        <w:ind w:left="1079" w:leftChars="257" w:hanging="540"/>
        <w:rPr>
          <w:rFonts w:hint="eastAsia" w:hAnsi="宋体" w:cs="宋体"/>
          <w:color w:val="auto"/>
          <w:sz w:val="24"/>
          <w:highlight w:val="none"/>
        </w:rPr>
      </w:pPr>
      <w:r>
        <w:rPr>
          <w:rFonts w:hint="eastAsia" w:hAnsi="宋体" w:cs="宋体"/>
          <w:color w:val="auto"/>
          <w:sz w:val="24"/>
          <w:highlight w:val="none"/>
        </w:rPr>
        <w:t>（</w:t>
      </w:r>
      <w:r>
        <w:rPr>
          <w:rFonts w:hint="eastAsia" w:hAnsi="宋体" w:cs="宋体"/>
          <w:color w:val="auto"/>
          <w:sz w:val="24"/>
          <w:highlight w:val="none"/>
          <w:lang w:val="en-US" w:eastAsia="zh-CN"/>
        </w:rPr>
        <w:t>3</w:t>
      </w:r>
      <w:r>
        <w:rPr>
          <w:rFonts w:hint="eastAsia" w:hAnsi="宋体" w:cs="宋体"/>
          <w:color w:val="auto"/>
          <w:sz w:val="24"/>
          <w:highlight w:val="none"/>
        </w:rPr>
        <w:t>）已详细审查全部招标文件，包括所有补充通知（如果有的话），完全理解并同意放弃对这方面有不明、误解的权利。</w:t>
      </w:r>
    </w:p>
    <w:p>
      <w:pPr>
        <w:pStyle w:val="20"/>
        <w:tabs>
          <w:tab w:val="left" w:pos="5580"/>
        </w:tabs>
        <w:spacing w:line="360" w:lineRule="auto"/>
        <w:ind w:left="1079" w:leftChars="257" w:hanging="540"/>
        <w:rPr>
          <w:rFonts w:hint="eastAsia" w:hAnsi="宋体" w:cs="宋体"/>
          <w:color w:val="auto"/>
          <w:sz w:val="24"/>
          <w:highlight w:val="none"/>
        </w:rPr>
      </w:pPr>
      <w:r>
        <w:rPr>
          <w:rFonts w:hint="eastAsia" w:hAnsi="宋体" w:cs="宋体"/>
          <w:color w:val="auto"/>
          <w:sz w:val="24"/>
          <w:highlight w:val="none"/>
        </w:rPr>
        <w:t>（</w:t>
      </w:r>
      <w:r>
        <w:rPr>
          <w:rFonts w:hint="eastAsia" w:hAnsi="宋体" w:cs="宋体"/>
          <w:color w:val="auto"/>
          <w:sz w:val="24"/>
          <w:highlight w:val="none"/>
          <w:lang w:val="en-US" w:eastAsia="zh-CN"/>
        </w:rPr>
        <w:t>4</w:t>
      </w:r>
      <w:r>
        <w:rPr>
          <w:rFonts w:hint="eastAsia" w:hAnsi="宋体" w:cs="宋体"/>
          <w:color w:val="auto"/>
          <w:sz w:val="24"/>
          <w:highlight w:val="none"/>
        </w:rPr>
        <w:t>）我方不是为本项目提供整体设计、规范编制或者项目管理、监理、检测等服务的供应商，我方不是采购代理机构的附属机构。</w:t>
      </w:r>
    </w:p>
    <w:p>
      <w:pPr>
        <w:pStyle w:val="20"/>
        <w:tabs>
          <w:tab w:val="left" w:pos="5580"/>
        </w:tabs>
        <w:spacing w:line="360" w:lineRule="auto"/>
        <w:ind w:left="1079" w:leftChars="257" w:hanging="540"/>
        <w:rPr>
          <w:rFonts w:hint="eastAsia" w:hAnsi="宋体" w:cs="宋体"/>
          <w:color w:val="auto"/>
          <w:sz w:val="24"/>
          <w:highlight w:val="none"/>
        </w:rPr>
      </w:pPr>
      <w:r>
        <w:rPr>
          <w:rFonts w:hint="eastAsia" w:hAnsi="宋体" w:cs="宋体"/>
          <w:color w:val="auto"/>
          <w:sz w:val="24"/>
          <w:highlight w:val="none"/>
        </w:rPr>
        <w:t>（</w:t>
      </w:r>
      <w:r>
        <w:rPr>
          <w:rFonts w:hint="eastAsia" w:hAnsi="宋体" w:cs="宋体"/>
          <w:color w:val="auto"/>
          <w:sz w:val="24"/>
          <w:highlight w:val="none"/>
          <w:lang w:val="en-US" w:eastAsia="zh-CN"/>
        </w:rPr>
        <w:t>5</w:t>
      </w:r>
      <w:r>
        <w:rPr>
          <w:rFonts w:hint="eastAsia" w:hAnsi="宋体" w:cs="宋体"/>
          <w:color w:val="auto"/>
          <w:sz w:val="24"/>
          <w:highlight w:val="none"/>
        </w:rPr>
        <w:t>）按照招标文件的规定，在中标后向贵方一次性支付招标代理费。</w:t>
      </w:r>
    </w:p>
    <w:p>
      <w:pPr>
        <w:pStyle w:val="20"/>
        <w:tabs>
          <w:tab w:val="left" w:pos="5580"/>
        </w:tabs>
        <w:spacing w:line="360" w:lineRule="auto"/>
        <w:ind w:left="1079" w:leftChars="257" w:hanging="540"/>
        <w:rPr>
          <w:rFonts w:hint="eastAsia" w:hAnsi="宋体" w:cs="宋体"/>
          <w:color w:val="auto"/>
          <w:sz w:val="24"/>
          <w:highlight w:val="none"/>
        </w:rPr>
      </w:pPr>
      <w:r>
        <w:rPr>
          <w:rFonts w:hint="eastAsia" w:hAnsi="宋体" w:cs="宋体"/>
          <w:color w:val="auto"/>
          <w:sz w:val="24"/>
          <w:highlight w:val="none"/>
        </w:rPr>
        <w:t>（</w:t>
      </w:r>
      <w:r>
        <w:rPr>
          <w:rFonts w:hint="eastAsia" w:hAnsi="宋体" w:cs="宋体"/>
          <w:color w:val="auto"/>
          <w:sz w:val="24"/>
          <w:highlight w:val="none"/>
          <w:lang w:val="en-US" w:eastAsia="zh-CN"/>
        </w:rPr>
        <w:t>6</w:t>
      </w:r>
      <w:r>
        <w:rPr>
          <w:rFonts w:hint="eastAsia" w:hAnsi="宋体" w:cs="宋体"/>
          <w:color w:val="auto"/>
          <w:sz w:val="24"/>
          <w:highlight w:val="none"/>
        </w:rPr>
        <w:t>）按照贵方可能的要求，提供与投标有关的一切数据或资料，完全理解贵方不一定接受最低价的投标或收到的任何投标。</w:t>
      </w:r>
    </w:p>
    <w:p>
      <w:pPr>
        <w:pStyle w:val="20"/>
        <w:tabs>
          <w:tab w:val="left" w:pos="5580"/>
        </w:tabs>
        <w:spacing w:line="360" w:lineRule="auto"/>
        <w:ind w:left="1079" w:leftChars="257" w:hanging="540"/>
        <w:rPr>
          <w:rFonts w:hint="eastAsia" w:hAnsi="宋体" w:cs="宋体"/>
          <w:color w:val="auto"/>
          <w:sz w:val="24"/>
          <w:highlight w:val="none"/>
        </w:rPr>
      </w:pPr>
      <w:r>
        <w:rPr>
          <w:rFonts w:hint="eastAsia" w:hAnsi="宋体" w:cs="宋体"/>
          <w:color w:val="auto"/>
          <w:sz w:val="24"/>
          <w:highlight w:val="none"/>
        </w:rPr>
        <w:t>（</w:t>
      </w:r>
      <w:r>
        <w:rPr>
          <w:rFonts w:hint="eastAsia" w:hAnsi="宋体" w:cs="宋体"/>
          <w:color w:val="auto"/>
          <w:sz w:val="24"/>
          <w:highlight w:val="none"/>
          <w:lang w:val="en-US" w:eastAsia="zh-CN"/>
        </w:rPr>
        <w:t>7</w:t>
      </w:r>
      <w:r>
        <w:rPr>
          <w:rFonts w:hint="eastAsia" w:hAnsi="宋体" w:cs="宋体"/>
          <w:color w:val="auto"/>
          <w:sz w:val="24"/>
          <w:highlight w:val="none"/>
        </w:rPr>
        <w:t>）按照招标文件的规定履行合同责任和义务。</w:t>
      </w:r>
    </w:p>
    <w:p>
      <w:pPr>
        <w:pStyle w:val="20"/>
        <w:tabs>
          <w:tab w:val="left" w:pos="5580"/>
        </w:tabs>
        <w:spacing w:line="360" w:lineRule="auto"/>
        <w:ind w:left="1079" w:leftChars="257" w:hanging="540"/>
        <w:rPr>
          <w:rFonts w:hint="eastAsia" w:hAnsi="宋体" w:cs="宋体"/>
          <w:color w:val="auto"/>
          <w:sz w:val="24"/>
          <w:highlight w:val="none"/>
        </w:rPr>
      </w:pPr>
      <w:r>
        <w:rPr>
          <w:rFonts w:hint="eastAsia" w:hAnsi="宋体" w:cs="宋体"/>
          <w:color w:val="auto"/>
          <w:sz w:val="24"/>
          <w:highlight w:val="none"/>
        </w:rPr>
        <w:t>（</w:t>
      </w:r>
      <w:r>
        <w:rPr>
          <w:rFonts w:hint="eastAsia" w:hAnsi="宋体" w:cs="宋体"/>
          <w:color w:val="auto"/>
          <w:sz w:val="24"/>
          <w:highlight w:val="none"/>
          <w:lang w:val="en-US" w:eastAsia="zh-CN"/>
        </w:rPr>
        <w:t>8</w:t>
      </w:r>
      <w:r>
        <w:rPr>
          <w:rFonts w:hint="eastAsia" w:hAnsi="宋体" w:cs="宋体"/>
          <w:color w:val="auto"/>
          <w:sz w:val="24"/>
          <w:highlight w:val="none"/>
        </w:rPr>
        <w:t>）完全理解并无条件承担中标后不依法与采购人签订合同的法律后果。</w:t>
      </w:r>
    </w:p>
    <w:p>
      <w:pPr>
        <w:pStyle w:val="20"/>
        <w:tabs>
          <w:tab w:val="left" w:pos="5580"/>
        </w:tabs>
        <w:spacing w:line="360" w:lineRule="auto"/>
        <w:ind w:left="358" w:leftChars="68" w:hanging="216" w:hangingChars="90"/>
        <w:rPr>
          <w:rFonts w:hint="eastAsia" w:hAnsi="宋体" w:cs="宋体"/>
          <w:color w:val="auto"/>
          <w:sz w:val="24"/>
          <w:highlight w:val="none"/>
        </w:rPr>
      </w:pPr>
      <w:r>
        <w:rPr>
          <w:rFonts w:hint="eastAsia" w:hAnsi="宋体" w:cs="宋体"/>
          <w:color w:val="auto"/>
          <w:sz w:val="24"/>
          <w:highlight w:val="none"/>
        </w:rPr>
        <w:t xml:space="preserve">  与本投标有关的一切正式往来信函请寄：</w:t>
      </w:r>
    </w:p>
    <w:p>
      <w:pPr>
        <w:pStyle w:val="20"/>
        <w:tabs>
          <w:tab w:val="left" w:pos="5580"/>
        </w:tabs>
        <w:spacing w:line="360" w:lineRule="auto"/>
        <w:ind w:left="1079" w:leftChars="257" w:hanging="540"/>
        <w:rPr>
          <w:rFonts w:hint="eastAsia" w:hAnsi="宋体" w:cs="宋体"/>
          <w:color w:val="auto"/>
          <w:sz w:val="24"/>
          <w:highlight w:val="none"/>
          <w:u w:val="single"/>
        </w:rPr>
      </w:pPr>
      <w:r>
        <w:rPr>
          <w:rFonts w:hint="eastAsia" w:hAnsi="宋体" w:cs="宋体"/>
          <w:color w:val="auto"/>
          <w:sz w:val="24"/>
          <w:highlight w:val="none"/>
        </w:rPr>
        <w:t>地址：</w:t>
      </w:r>
      <w:r>
        <w:rPr>
          <w:rFonts w:hint="eastAsia" w:hAnsi="宋体" w:cs="宋体"/>
          <w:color w:val="auto"/>
          <w:sz w:val="24"/>
          <w:highlight w:val="none"/>
          <w:u w:val="single"/>
        </w:rPr>
        <w:t xml:space="preserve">                         </w:t>
      </w:r>
      <w:r>
        <w:rPr>
          <w:rFonts w:hint="eastAsia" w:hAnsi="宋体" w:cs="宋体"/>
          <w:color w:val="auto"/>
          <w:sz w:val="24"/>
          <w:highlight w:val="none"/>
        </w:rPr>
        <w:t xml:space="preserve">     传真：</w:t>
      </w:r>
      <w:r>
        <w:rPr>
          <w:rFonts w:hint="eastAsia" w:hAnsi="宋体" w:cs="宋体"/>
          <w:color w:val="auto"/>
          <w:sz w:val="24"/>
          <w:highlight w:val="none"/>
          <w:u w:val="single"/>
        </w:rPr>
        <w:t xml:space="preserve">                          </w:t>
      </w:r>
    </w:p>
    <w:p>
      <w:pPr>
        <w:pStyle w:val="20"/>
        <w:tabs>
          <w:tab w:val="left" w:pos="5580"/>
        </w:tabs>
        <w:spacing w:line="360" w:lineRule="auto"/>
        <w:ind w:left="1079" w:leftChars="257" w:hanging="540"/>
        <w:rPr>
          <w:rFonts w:hint="eastAsia" w:hAnsi="宋体" w:cs="宋体"/>
          <w:color w:val="auto"/>
          <w:sz w:val="24"/>
          <w:highlight w:val="none"/>
          <w:u w:val="single"/>
        </w:rPr>
      </w:pPr>
      <w:r>
        <w:rPr>
          <w:rFonts w:hint="eastAsia" w:hAnsi="宋体" w:cs="宋体"/>
          <w:color w:val="auto"/>
          <w:sz w:val="24"/>
          <w:highlight w:val="none"/>
        </w:rPr>
        <w:t>固定电话：</w:t>
      </w:r>
      <w:r>
        <w:rPr>
          <w:rFonts w:hint="eastAsia" w:hAnsi="宋体" w:cs="宋体"/>
          <w:color w:val="auto"/>
          <w:sz w:val="24"/>
          <w:highlight w:val="none"/>
          <w:u w:val="single"/>
        </w:rPr>
        <w:t xml:space="preserve">                         </w:t>
      </w:r>
      <w:r>
        <w:rPr>
          <w:rFonts w:hint="eastAsia" w:hAnsi="宋体" w:cs="宋体"/>
          <w:color w:val="auto"/>
          <w:sz w:val="24"/>
          <w:highlight w:val="none"/>
        </w:rPr>
        <w:t xml:space="preserve">  授权代表移动电话：</w:t>
      </w:r>
      <w:r>
        <w:rPr>
          <w:rFonts w:hint="eastAsia" w:hAnsi="宋体" w:cs="宋体"/>
          <w:color w:val="auto"/>
          <w:sz w:val="24"/>
          <w:highlight w:val="none"/>
          <w:u w:val="single"/>
        </w:rPr>
        <w:t xml:space="preserve">              </w:t>
      </w:r>
    </w:p>
    <w:p>
      <w:pPr>
        <w:pStyle w:val="20"/>
        <w:tabs>
          <w:tab w:val="left" w:pos="5580"/>
        </w:tabs>
        <w:spacing w:line="360" w:lineRule="auto"/>
        <w:ind w:left="1079" w:leftChars="257" w:hanging="540"/>
        <w:rPr>
          <w:rFonts w:hint="eastAsia" w:hAnsi="宋体" w:cs="宋体"/>
          <w:b/>
          <w:color w:val="auto"/>
          <w:sz w:val="24"/>
          <w:highlight w:val="none"/>
        </w:rPr>
      </w:pPr>
      <w:r>
        <w:rPr>
          <w:rFonts w:hint="eastAsia" w:hAnsi="宋体" w:cs="宋体"/>
          <w:color w:val="auto"/>
          <w:sz w:val="24"/>
          <w:highlight w:val="none"/>
        </w:rPr>
        <w:t>电子邮箱：</w:t>
      </w:r>
      <w:r>
        <w:rPr>
          <w:rFonts w:hint="eastAsia" w:hAnsi="宋体" w:cs="宋体"/>
          <w:color w:val="auto"/>
          <w:sz w:val="24"/>
          <w:highlight w:val="none"/>
          <w:u w:val="single"/>
        </w:rPr>
        <w:t xml:space="preserve">                         </w:t>
      </w:r>
    </w:p>
    <w:p>
      <w:pPr>
        <w:pStyle w:val="20"/>
        <w:tabs>
          <w:tab w:val="left" w:pos="5580"/>
        </w:tabs>
        <w:spacing w:line="360" w:lineRule="auto"/>
        <w:ind w:left="1079" w:leftChars="257" w:hanging="540"/>
        <w:rPr>
          <w:rFonts w:hint="eastAsia" w:hAnsi="宋体" w:cs="宋体"/>
          <w:color w:val="auto"/>
          <w:sz w:val="24"/>
          <w:highlight w:val="none"/>
        </w:rPr>
      </w:pPr>
    </w:p>
    <w:p>
      <w:pPr>
        <w:pStyle w:val="20"/>
        <w:tabs>
          <w:tab w:val="left" w:pos="5580"/>
        </w:tabs>
        <w:spacing w:line="360" w:lineRule="auto"/>
        <w:ind w:left="1079" w:leftChars="257" w:hanging="540"/>
        <w:jc w:val="left"/>
        <w:rPr>
          <w:rFonts w:hint="eastAsia" w:hAnsi="宋体" w:cs="宋体"/>
          <w:color w:val="auto"/>
          <w:sz w:val="24"/>
          <w:highlight w:val="none"/>
        </w:rPr>
      </w:pPr>
      <w:r>
        <w:rPr>
          <w:rFonts w:hint="eastAsia" w:hAnsi="宋体" w:cs="宋体"/>
          <w:color w:val="auto"/>
          <w:sz w:val="24"/>
          <w:highlight w:val="none"/>
        </w:rPr>
        <w:t>投标人（企业电子签章）：</w:t>
      </w:r>
      <w:r>
        <w:rPr>
          <w:rFonts w:hint="eastAsia" w:hAnsi="宋体" w:cs="宋体"/>
          <w:color w:val="auto"/>
          <w:sz w:val="24"/>
          <w:highlight w:val="none"/>
          <w:u w:val="single"/>
        </w:rPr>
        <w:t xml:space="preserve">                         </w:t>
      </w:r>
    </w:p>
    <w:p>
      <w:pPr>
        <w:pStyle w:val="20"/>
        <w:tabs>
          <w:tab w:val="left" w:pos="5580"/>
        </w:tabs>
        <w:spacing w:line="360" w:lineRule="auto"/>
        <w:ind w:left="1079" w:leftChars="257" w:hanging="540"/>
        <w:jc w:val="left"/>
        <w:rPr>
          <w:rFonts w:hint="eastAsia" w:hAnsi="宋体" w:cs="宋体"/>
          <w:color w:val="auto"/>
          <w:sz w:val="24"/>
          <w:highlight w:val="none"/>
        </w:rPr>
      </w:pPr>
      <w:r>
        <w:rPr>
          <w:rFonts w:hint="eastAsia" w:hAnsi="宋体" w:cs="宋体"/>
          <w:color w:val="auto"/>
          <w:sz w:val="24"/>
          <w:highlight w:val="none"/>
        </w:rPr>
        <w:t>法定代表人（个人电子签章）：</w:t>
      </w:r>
      <w:r>
        <w:rPr>
          <w:rFonts w:hint="eastAsia" w:hAnsi="宋体" w:cs="宋体"/>
          <w:color w:val="auto"/>
          <w:sz w:val="24"/>
          <w:highlight w:val="none"/>
          <w:u w:val="single"/>
        </w:rPr>
        <w:t xml:space="preserve">                         </w:t>
      </w:r>
    </w:p>
    <w:p>
      <w:pPr>
        <w:pStyle w:val="20"/>
        <w:tabs>
          <w:tab w:val="left" w:pos="5580"/>
        </w:tabs>
        <w:spacing w:line="360" w:lineRule="auto"/>
        <w:ind w:left="1079" w:leftChars="257" w:hanging="540"/>
        <w:jc w:val="left"/>
        <w:rPr>
          <w:rFonts w:hint="eastAsia" w:hAnsi="宋体" w:cs="宋体"/>
          <w:color w:val="auto"/>
          <w:sz w:val="24"/>
          <w:highlight w:val="none"/>
        </w:rPr>
      </w:pPr>
      <w:r>
        <w:rPr>
          <w:rFonts w:hint="eastAsia" w:hAnsi="宋体" w:cs="宋体"/>
          <w:color w:val="auto"/>
          <w:sz w:val="24"/>
          <w:highlight w:val="none"/>
        </w:rPr>
        <w:t>投标人开户银行（全称）：</w:t>
      </w:r>
      <w:r>
        <w:rPr>
          <w:rFonts w:hint="eastAsia" w:hAnsi="宋体" w:cs="宋体"/>
          <w:color w:val="auto"/>
          <w:sz w:val="24"/>
          <w:highlight w:val="none"/>
          <w:u w:val="single"/>
        </w:rPr>
        <w:t xml:space="preserve">                 </w:t>
      </w:r>
    </w:p>
    <w:p>
      <w:pPr>
        <w:pStyle w:val="20"/>
        <w:tabs>
          <w:tab w:val="left" w:pos="5580"/>
        </w:tabs>
        <w:spacing w:line="360" w:lineRule="auto"/>
        <w:ind w:left="1079" w:leftChars="257" w:hanging="540"/>
        <w:jc w:val="left"/>
        <w:rPr>
          <w:rFonts w:hint="eastAsia" w:hAnsi="宋体" w:cs="宋体"/>
          <w:color w:val="auto"/>
          <w:sz w:val="24"/>
          <w:highlight w:val="none"/>
        </w:rPr>
      </w:pPr>
      <w:r>
        <w:rPr>
          <w:rFonts w:hint="eastAsia" w:hAnsi="宋体" w:cs="宋体"/>
          <w:color w:val="auto"/>
          <w:sz w:val="24"/>
          <w:highlight w:val="none"/>
        </w:rPr>
        <w:t>投标人银行帐号：</w:t>
      </w:r>
      <w:r>
        <w:rPr>
          <w:rFonts w:hint="eastAsia" w:hAnsi="宋体" w:cs="宋体"/>
          <w:color w:val="auto"/>
          <w:sz w:val="24"/>
          <w:highlight w:val="none"/>
          <w:u w:val="single"/>
        </w:rPr>
        <w:t xml:space="preserve">                 </w:t>
      </w:r>
    </w:p>
    <w:p>
      <w:pPr>
        <w:pStyle w:val="20"/>
        <w:spacing w:line="360" w:lineRule="auto"/>
        <w:ind w:firstLine="480" w:firstLineChars="200"/>
        <w:jc w:val="left"/>
        <w:rPr>
          <w:rFonts w:hint="eastAsia" w:hAnsi="宋体" w:cs="宋体"/>
          <w:color w:val="auto"/>
          <w:sz w:val="24"/>
          <w:highlight w:val="none"/>
        </w:rPr>
        <w:sectPr>
          <w:footerReference r:id="rId10" w:type="default"/>
          <w:pgSz w:w="11906" w:h="16838"/>
          <w:pgMar w:top="1440" w:right="1416" w:bottom="1440" w:left="1797" w:header="851" w:footer="992" w:gutter="0"/>
          <w:pgNumType w:fmt="decimal"/>
          <w:cols w:space="720" w:num="1"/>
          <w:docGrid w:type="linesAndChars" w:linePitch="312" w:charSpace="0"/>
        </w:sectPr>
      </w:pPr>
      <w:r>
        <w:rPr>
          <w:rFonts w:hint="eastAsia" w:hAnsi="宋体" w:cs="宋体"/>
          <w:color w:val="auto"/>
          <w:sz w:val="24"/>
          <w:highlight w:val="none"/>
        </w:rPr>
        <w:t>日期：</w:t>
      </w:r>
      <w:r>
        <w:rPr>
          <w:rFonts w:hint="eastAsia" w:hAnsi="宋体" w:cs="宋体"/>
          <w:color w:val="auto"/>
          <w:sz w:val="24"/>
          <w:highlight w:val="none"/>
          <w:u w:val="single"/>
        </w:rPr>
        <w:t xml:space="preserve">                 </w:t>
      </w:r>
      <w:r>
        <w:rPr>
          <w:rFonts w:hint="eastAsia" w:hAnsi="宋体" w:cs="宋体"/>
          <w:color w:val="auto"/>
          <w:sz w:val="24"/>
          <w:highlight w:val="none"/>
        </w:rPr>
        <w:t xml:space="preserve"> </w:t>
      </w:r>
      <w:bookmarkStart w:id="330" w:name="_Toc532473506"/>
      <w:bookmarkStart w:id="331" w:name="_Toc1266"/>
      <w:bookmarkStart w:id="332" w:name="_Toc23473"/>
      <w:r>
        <w:rPr>
          <w:rFonts w:hint="eastAsia" w:hAnsi="宋体" w:cs="宋体"/>
          <w:color w:val="auto"/>
          <w:sz w:val="24"/>
          <w:highlight w:val="none"/>
        </w:rPr>
        <w:t xml:space="preserve"> </w:t>
      </w:r>
      <w:bookmarkEnd w:id="330"/>
      <w:bookmarkEnd w:id="331"/>
      <w:bookmarkEnd w:id="332"/>
      <w:bookmarkStart w:id="333" w:name="_Hlt520356243"/>
      <w:bookmarkEnd w:id="333"/>
      <w:bookmarkStart w:id="334" w:name="_Hlt520355938"/>
      <w:bookmarkEnd w:id="334"/>
    </w:p>
    <w:p>
      <w:pPr>
        <w:pStyle w:val="5"/>
        <w:numPr>
          <w:ilvl w:val="0"/>
          <w:numId w:val="13"/>
        </w:numPr>
        <w:spacing w:before="0" w:line="360" w:lineRule="auto"/>
        <w:jc w:val="center"/>
        <w:rPr>
          <w:rFonts w:hint="eastAsia" w:ascii="宋体" w:hAnsi="宋体" w:eastAsia="宋体" w:cs="宋体"/>
          <w:b/>
          <w:bCs/>
          <w:color w:val="auto"/>
          <w:sz w:val="24"/>
          <w:highlight w:val="none"/>
        </w:rPr>
      </w:pPr>
      <w:bookmarkStart w:id="335" w:name="_Toc24040"/>
      <w:bookmarkStart w:id="336" w:name="_Toc32423"/>
      <w:bookmarkStart w:id="337" w:name="_Toc216582818"/>
      <w:bookmarkStart w:id="338" w:name="_Toc14934314"/>
      <w:bookmarkStart w:id="339" w:name="_Toc1787"/>
      <w:bookmarkStart w:id="340" w:name="_Toc532473510"/>
      <w:bookmarkStart w:id="341" w:name="_Toc1980"/>
      <w:bookmarkStart w:id="342" w:name="_Toc23"/>
      <w:bookmarkStart w:id="343" w:name="_Toc515647821"/>
      <w:r>
        <w:rPr>
          <w:rFonts w:hint="eastAsia" w:ascii="宋体" w:hAnsi="宋体" w:eastAsia="宋体" w:cs="宋体"/>
          <w:b/>
          <w:bCs/>
          <w:color w:val="auto"/>
          <w:sz w:val="24"/>
          <w:highlight w:val="none"/>
        </w:rPr>
        <w:t>商务条款偏离表</w:t>
      </w:r>
      <w:bookmarkEnd w:id="335"/>
      <w:bookmarkEnd w:id="336"/>
      <w:bookmarkEnd w:id="337"/>
      <w:bookmarkEnd w:id="338"/>
      <w:bookmarkEnd w:id="339"/>
    </w:p>
    <w:bookmarkEnd w:id="340"/>
    <w:bookmarkEnd w:id="341"/>
    <w:bookmarkEnd w:id="342"/>
    <w:bookmarkEnd w:id="343"/>
    <w:p>
      <w:pPr>
        <w:pStyle w:val="20"/>
        <w:spacing w:line="360" w:lineRule="auto"/>
        <w:ind w:left="1080" w:leftChars="257" w:hanging="540"/>
        <w:rPr>
          <w:rFonts w:hint="eastAsia" w:hAnsi="宋体" w:cs="宋体"/>
          <w:color w:val="auto"/>
          <w:sz w:val="24"/>
          <w:highlight w:val="none"/>
        </w:rPr>
      </w:pPr>
      <w:r>
        <w:rPr>
          <w:rFonts w:hint="eastAsia" w:hAnsi="宋体" w:cs="宋体"/>
          <w:color w:val="auto"/>
          <w:sz w:val="24"/>
          <w:highlight w:val="none"/>
        </w:rPr>
        <w:t>项目名称:                      招标编号:             包号:</w:t>
      </w:r>
    </w:p>
    <w:tbl>
      <w:tblPr>
        <w:tblStyle w:val="31"/>
        <w:tblW w:w="89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8"/>
        <w:gridCol w:w="2040"/>
        <w:gridCol w:w="2520"/>
        <w:gridCol w:w="25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top"/>
          </w:tcPr>
          <w:p>
            <w:pPr>
              <w:pStyle w:val="20"/>
              <w:spacing w:line="360" w:lineRule="auto"/>
              <w:jc w:val="center"/>
              <w:rPr>
                <w:rFonts w:hint="eastAsia" w:hAnsi="宋体" w:cs="宋体"/>
                <w:color w:val="auto"/>
                <w:sz w:val="24"/>
                <w:highlight w:val="none"/>
              </w:rPr>
            </w:pPr>
            <w:r>
              <w:rPr>
                <w:rFonts w:hint="eastAsia" w:hAnsi="宋体" w:cs="宋体"/>
                <w:color w:val="auto"/>
                <w:sz w:val="24"/>
                <w:highlight w:val="none"/>
              </w:rPr>
              <w:t>序号</w:t>
            </w:r>
          </w:p>
        </w:tc>
        <w:tc>
          <w:tcPr>
            <w:tcW w:w="2040" w:type="dxa"/>
            <w:noWrap w:val="0"/>
            <w:vAlign w:val="top"/>
          </w:tcPr>
          <w:p>
            <w:pPr>
              <w:pStyle w:val="20"/>
              <w:spacing w:line="360" w:lineRule="auto"/>
              <w:jc w:val="center"/>
              <w:rPr>
                <w:rFonts w:hint="eastAsia" w:hAnsi="宋体" w:cs="宋体"/>
                <w:color w:val="auto"/>
                <w:sz w:val="24"/>
                <w:highlight w:val="none"/>
              </w:rPr>
            </w:pPr>
            <w:r>
              <w:rPr>
                <w:rFonts w:hint="eastAsia" w:hAnsi="宋体" w:cs="宋体"/>
                <w:color w:val="auto"/>
                <w:sz w:val="24"/>
                <w:highlight w:val="none"/>
              </w:rPr>
              <w:t>招标文件条款号</w:t>
            </w:r>
          </w:p>
        </w:tc>
        <w:tc>
          <w:tcPr>
            <w:tcW w:w="2520" w:type="dxa"/>
            <w:noWrap w:val="0"/>
            <w:vAlign w:val="top"/>
          </w:tcPr>
          <w:p>
            <w:pPr>
              <w:pStyle w:val="20"/>
              <w:spacing w:line="360" w:lineRule="auto"/>
              <w:jc w:val="center"/>
              <w:rPr>
                <w:rFonts w:hint="eastAsia" w:hAnsi="宋体" w:cs="宋体"/>
                <w:color w:val="auto"/>
                <w:sz w:val="24"/>
                <w:highlight w:val="none"/>
              </w:rPr>
            </w:pPr>
            <w:r>
              <w:rPr>
                <w:rFonts w:hint="eastAsia" w:hAnsi="宋体" w:cs="宋体"/>
                <w:color w:val="auto"/>
                <w:sz w:val="24"/>
                <w:highlight w:val="none"/>
              </w:rPr>
              <w:t>招标文件的商务条款</w:t>
            </w:r>
          </w:p>
        </w:tc>
        <w:tc>
          <w:tcPr>
            <w:tcW w:w="2520" w:type="dxa"/>
            <w:noWrap w:val="0"/>
            <w:vAlign w:val="top"/>
          </w:tcPr>
          <w:p>
            <w:pPr>
              <w:pStyle w:val="20"/>
              <w:spacing w:line="360" w:lineRule="auto"/>
              <w:jc w:val="center"/>
              <w:rPr>
                <w:rFonts w:hint="eastAsia" w:hAnsi="宋体" w:cs="宋体"/>
                <w:color w:val="auto"/>
                <w:sz w:val="24"/>
                <w:highlight w:val="none"/>
              </w:rPr>
            </w:pPr>
            <w:r>
              <w:rPr>
                <w:rFonts w:hint="eastAsia" w:hAnsi="宋体" w:cs="宋体"/>
                <w:color w:val="auto"/>
                <w:sz w:val="24"/>
                <w:highlight w:val="none"/>
              </w:rPr>
              <w:t>投标文件的商务条款</w:t>
            </w:r>
          </w:p>
        </w:tc>
        <w:tc>
          <w:tcPr>
            <w:tcW w:w="900" w:type="dxa"/>
            <w:noWrap w:val="0"/>
            <w:vAlign w:val="top"/>
          </w:tcPr>
          <w:p>
            <w:pPr>
              <w:pStyle w:val="20"/>
              <w:spacing w:line="360" w:lineRule="auto"/>
              <w:jc w:val="center"/>
              <w:rPr>
                <w:rFonts w:hint="eastAsia" w:hAnsi="宋体" w:cs="宋体"/>
                <w:color w:val="auto"/>
                <w:sz w:val="24"/>
                <w:highlight w:val="none"/>
              </w:rPr>
            </w:pPr>
            <w:r>
              <w:rPr>
                <w:rFonts w:hint="eastAsia" w:hAnsi="宋体" w:cs="宋体"/>
                <w:color w:val="auto"/>
                <w:sz w:val="24"/>
                <w:highlight w:val="none"/>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1</w:t>
            </w:r>
          </w:p>
        </w:tc>
        <w:tc>
          <w:tcPr>
            <w:tcW w:w="2040" w:type="dxa"/>
            <w:noWrap w:val="0"/>
            <w:vAlign w:val="center"/>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交货期</w:t>
            </w:r>
          </w:p>
        </w:tc>
        <w:tc>
          <w:tcPr>
            <w:tcW w:w="2520" w:type="dxa"/>
            <w:noWrap w:val="0"/>
            <w:vAlign w:val="top"/>
          </w:tcPr>
          <w:p>
            <w:pPr>
              <w:pStyle w:val="20"/>
              <w:spacing w:line="360" w:lineRule="auto"/>
              <w:ind w:left="1080" w:leftChars="257" w:hanging="540"/>
              <w:jc w:val="center"/>
              <w:rPr>
                <w:rFonts w:hint="eastAsia" w:hAnsi="宋体" w:cs="宋体"/>
                <w:color w:val="auto"/>
                <w:sz w:val="24"/>
                <w:highlight w:val="none"/>
              </w:rPr>
            </w:pPr>
          </w:p>
        </w:tc>
        <w:tc>
          <w:tcPr>
            <w:tcW w:w="2520" w:type="dxa"/>
            <w:noWrap w:val="0"/>
            <w:vAlign w:val="top"/>
          </w:tcPr>
          <w:p>
            <w:pPr>
              <w:pStyle w:val="20"/>
              <w:spacing w:line="360" w:lineRule="auto"/>
              <w:ind w:left="1080" w:leftChars="257" w:hanging="540"/>
              <w:jc w:val="center"/>
              <w:rPr>
                <w:rFonts w:hint="eastAsia" w:hAnsi="宋体" w:cs="宋体"/>
                <w:color w:val="auto"/>
                <w:sz w:val="24"/>
                <w:highlight w:val="none"/>
              </w:rPr>
            </w:pPr>
          </w:p>
        </w:tc>
        <w:tc>
          <w:tcPr>
            <w:tcW w:w="900" w:type="dxa"/>
            <w:noWrap w:val="0"/>
            <w:vAlign w:val="top"/>
          </w:tcPr>
          <w:p>
            <w:pPr>
              <w:pStyle w:val="20"/>
              <w:spacing w:line="360" w:lineRule="auto"/>
              <w:ind w:left="1080" w:leftChars="257" w:hanging="540"/>
              <w:rPr>
                <w:rFonts w:hint="eastAsia"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2</w:t>
            </w:r>
          </w:p>
        </w:tc>
        <w:tc>
          <w:tcPr>
            <w:tcW w:w="2040" w:type="dxa"/>
            <w:noWrap w:val="0"/>
            <w:vAlign w:val="center"/>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付款方式</w:t>
            </w: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900" w:type="dxa"/>
            <w:noWrap w:val="0"/>
            <w:vAlign w:val="top"/>
          </w:tcPr>
          <w:p>
            <w:pPr>
              <w:pStyle w:val="20"/>
              <w:spacing w:line="360" w:lineRule="auto"/>
              <w:ind w:left="1080" w:leftChars="257" w:hanging="540"/>
              <w:rPr>
                <w:rFonts w:hint="eastAsia"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3</w:t>
            </w:r>
          </w:p>
        </w:tc>
        <w:tc>
          <w:tcPr>
            <w:tcW w:w="2040" w:type="dxa"/>
            <w:noWrap w:val="0"/>
            <w:vAlign w:val="center"/>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质保期</w:t>
            </w: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900" w:type="dxa"/>
            <w:noWrap w:val="0"/>
            <w:vAlign w:val="top"/>
          </w:tcPr>
          <w:p>
            <w:pPr>
              <w:pStyle w:val="20"/>
              <w:spacing w:line="360" w:lineRule="auto"/>
              <w:ind w:left="1080" w:leftChars="257" w:hanging="540"/>
              <w:rPr>
                <w:rFonts w:hint="eastAsia"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4</w:t>
            </w:r>
          </w:p>
        </w:tc>
        <w:tc>
          <w:tcPr>
            <w:tcW w:w="2040" w:type="dxa"/>
            <w:noWrap w:val="0"/>
            <w:vAlign w:val="center"/>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投标有效期</w:t>
            </w: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900" w:type="dxa"/>
            <w:noWrap w:val="0"/>
            <w:vAlign w:val="top"/>
          </w:tcPr>
          <w:p>
            <w:pPr>
              <w:pStyle w:val="20"/>
              <w:spacing w:line="360" w:lineRule="auto"/>
              <w:ind w:left="1080" w:leftChars="257" w:hanging="540"/>
              <w:rPr>
                <w:rFonts w:hint="eastAsia"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pPr>
              <w:spacing w:line="360" w:lineRule="auto"/>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5</w:t>
            </w:r>
          </w:p>
        </w:tc>
        <w:tc>
          <w:tcPr>
            <w:tcW w:w="2040" w:type="dxa"/>
            <w:noWrap w:val="0"/>
            <w:vAlign w:val="center"/>
          </w:tcPr>
          <w:p>
            <w:pPr>
              <w:spacing w:line="360" w:lineRule="auto"/>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质量要求</w:t>
            </w: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900" w:type="dxa"/>
            <w:noWrap w:val="0"/>
            <w:vAlign w:val="top"/>
          </w:tcPr>
          <w:p>
            <w:pPr>
              <w:pStyle w:val="20"/>
              <w:spacing w:line="360" w:lineRule="auto"/>
              <w:ind w:left="1080" w:leftChars="257" w:hanging="540"/>
              <w:rPr>
                <w:rFonts w:hint="eastAsia"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pPr>
              <w:spacing w:line="360" w:lineRule="auto"/>
              <w:rPr>
                <w:rFonts w:hint="eastAsia" w:ascii="宋体" w:hAnsi="宋体" w:eastAsia="宋体" w:cs="宋体"/>
                <w:bCs/>
                <w:color w:val="auto"/>
                <w:sz w:val="24"/>
                <w:highlight w:val="none"/>
                <w:lang w:eastAsia="zh-CN"/>
              </w:rPr>
            </w:pPr>
            <w:r>
              <w:rPr>
                <w:rFonts w:hint="eastAsia" w:ascii="宋体" w:hAnsi="宋体" w:cs="宋体"/>
                <w:bCs/>
                <w:color w:val="auto"/>
                <w:sz w:val="24"/>
                <w:highlight w:val="none"/>
                <w:lang w:val="en-US" w:eastAsia="zh-CN"/>
              </w:rPr>
              <w:t>6</w:t>
            </w:r>
          </w:p>
        </w:tc>
        <w:tc>
          <w:tcPr>
            <w:tcW w:w="2040" w:type="dxa"/>
            <w:noWrap w:val="0"/>
            <w:vAlign w:val="center"/>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w:t>
            </w: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900" w:type="dxa"/>
            <w:noWrap w:val="0"/>
            <w:vAlign w:val="top"/>
          </w:tcPr>
          <w:p>
            <w:pPr>
              <w:pStyle w:val="20"/>
              <w:spacing w:line="360" w:lineRule="auto"/>
              <w:ind w:left="1080" w:leftChars="257" w:hanging="540"/>
              <w:rPr>
                <w:rFonts w:hint="eastAsia"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pPr>
              <w:spacing w:line="360" w:lineRule="auto"/>
              <w:rPr>
                <w:rFonts w:hint="eastAsia" w:ascii="宋体" w:hAnsi="宋体" w:cs="宋体"/>
                <w:bCs/>
                <w:color w:val="auto"/>
                <w:sz w:val="24"/>
                <w:highlight w:val="none"/>
              </w:rPr>
            </w:pPr>
          </w:p>
        </w:tc>
        <w:tc>
          <w:tcPr>
            <w:tcW w:w="2040" w:type="dxa"/>
            <w:noWrap w:val="0"/>
            <w:vAlign w:val="center"/>
          </w:tcPr>
          <w:p>
            <w:pPr>
              <w:spacing w:line="360" w:lineRule="auto"/>
              <w:rPr>
                <w:rFonts w:hint="eastAsia" w:ascii="宋体" w:hAnsi="宋体" w:cs="宋体"/>
                <w:bCs/>
                <w:color w:val="auto"/>
                <w:sz w:val="24"/>
                <w:highlight w:val="none"/>
              </w:rPr>
            </w:pPr>
            <w:r>
              <w:rPr>
                <w:rFonts w:hint="eastAsia" w:ascii="宋体" w:hAnsi="宋体" w:cs="宋体"/>
                <w:bCs/>
                <w:color w:val="auto"/>
                <w:sz w:val="24"/>
                <w:highlight w:val="none"/>
              </w:rPr>
              <w:t>其他</w:t>
            </w: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900" w:type="dxa"/>
            <w:noWrap w:val="0"/>
            <w:vAlign w:val="top"/>
          </w:tcPr>
          <w:p>
            <w:pPr>
              <w:pStyle w:val="20"/>
              <w:spacing w:line="360" w:lineRule="auto"/>
              <w:ind w:left="1080" w:leftChars="257" w:hanging="540"/>
              <w:rPr>
                <w:rFonts w:hint="eastAsia"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center"/>
          </w:tcPr>
          <w:p>
            <w:pPr>
              <w:spacing w:line="360" w:lineRule="auto"/>
              <w:rPr>
                <w:rFonts w:hint="eastAsia" w:ascii="宋体" w:hAnsi="宋体" w:cs="宋体"/>
                <w:bCs/>
                <w:color w:val="auto"/>
                <w:sz w:val="24"/>
                <w:highlight w:val="none"/>
              </w:rPr>
            </w:pPr>
          </w:p>
        </w:tc>
        <w:tc>
          <w:tcPr>
            <w:tcW w:w="2040" w:type="dxa"/>
            <w:noWrap w:val="0"/>
            <w:vAlign w:val="center"/>
          </w:tcPr>
          <w:p>
            <w:pPr>
              <w:spacing w:line="360" w:lineRule="auto"/>
              <w:rPr>
                <w:rFonts w:hint="eastAsia" w:ascii="宋体" w:hAnsi="宋体" w:cs="宋体"/>
                <w:bCs/>
                <w:color w:val="auto"/>
                <w:sz w:val="24"/>
                <w:highlight w:val="none"/>
              </w:rPr>
            </w:pP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900" w:type="dxa"/>
            <w:noWrap w:val="0"/>
            <w:vAlign w:val="top"/>
          </w:tcPr>
          <w:p>
            <w:pPr>
              <w:pStyle w:val="20"/>
              <w:spacing w:line="360" w:lineRule="auto"/>
              <w:ind w:left="1080" w:leftChars="257" w:hanging="540"/>
              <w:rPr>
                <w:rFonts w:hint="eastAsia"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top"/>
          </w:tcPr>
          <w:p>
            <w:pPr>
              <w:pStyle w:val="20"/>
              <w:spacing w:line="360" w:lineRule="auto"/>
              <w:ind w:left="1080" w:leftChars="257" w:hanging="540"/>
              <w:rPr>
                <w:rFonts w:hint="eastAsia" w:hAnsi="宋体" w:cs="宋体"/>
                <w:color w:val="auto"/>
                <w:sz w:val="24"/>
                <w:highlight w:val="none"/>
              </w:rPr>
            </w:pPr>
          </w:p>
        </w:tc>
        <w:tc>
          <w:tcPr>
            <w:tcW w:w="2040" w:type="dxa"/>
            <w:noWrap w:val="0"/>
            <w:vAlign w:val="top"/>
          </w:tcPr>
          <w:p>
            <w:pPr>
              <w:pStyle w:val="20"/>
              <w:spacing w:line="360" w:lineRule="auto"/>
              <w:ind w:left="1080" w:leftChars="257" w:hanging="540"/>
              <w:rPr>
                <w:rFonts w:hint="eastAsia" w:hAnsi="宋体" w:cs="宋体"/>
                <w:color w:val="auto"/>
                <w:sz w:val="24"/>
                <w:highlight w:val="none"/>
              </w:rPr>
            </w:pP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900" w:type="dxa"/>
            <w:noWrap w:val="0"/>
            <w:vAlign w:val="top"/>
          </w:tcPr>
          <w:p>
            <w:pPr>
              <w:pStyle w:val="20"/>
              <w:spacing w:line="360" w:lineRule="auto"/>
              <w:ind w:left="1080" w:leftChars="257" w:hanging="540"/>
              <w:rPr>
                <w:rFonts w:hint="eastAsia"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top"/>
          </w:tcPr>
          <w:p>
            <w:pPr>
              <w:pStyle w:val="20"/>
              <w:spacing w:line="360" w:lineRule="auto"/>
              <w:ind w:left="1080" w:leftChars="257" w:hanging="540"/>
              <w:rPr>
                <w:rFonts w:hint="eastAsia" w:hAnsi="宋体" w:cs="宋体"/>
                <w:color w:val="auto"/>
                <w:sz w:val="24"/>
                <w:highlight w:val="none"/>
              </w:rPr>
            </w:pPr>
          </w:p>
        </w:tc>
        <w:tc>
          <w:tcPr>
            <w:tcW w:w="2040" w:type="dxa"/>
            <w:noWrap w:val="0"/>
            <w:vAlign w:val="top"/>
          </w:tcPr>
          <w:p>
            <w:pPr>
              <w:pStyle w:val="20"/>
              <w:spacing w:line="360" w:lineRule="auto"/>
              <w:ind w:left="1080" w:leftChars="257" w:hanging="540"/>
              <w:rPr>
                <w:rFonts w:hint="eastAsia" w:hAnsi="宋体" w:cs="宋体"/>
                <w:color w:val="auto"/>
                <w:sz w:val="24"/>
                <w:highlight w:val="none"/>
              </w:rPr>
            </w:pP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900" w:type="dxa"/>
            <w:noWrap w:val="0"/>
            <w:vAlign w:val="top"/>
          </w:tcPr>
          <w:p>
            <w:pPr>
              <w:pStyle w:val="20"/>
              <w:spacing w:line="360" w:lineRule="auto"/>
              <w:ind w:left="1080" w:leftChars="257" w:hanging="540"/>
              <w:rPr>
                <w:rFonts w:hint="eastAsia"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top"/>
          </w:tcPr>
          <w:p>
            <w:pPr>
              <w:pStyle w:val="20"/>
              <w:spacing w:line="360" w:lineRule="auto"/>
              <w:ind w:left="1080" w:leftChars="257" w:hanging="540"/>
              <w:rPr>
                <w:rFonts w:hint="eastAsia" w:hAnsi="宋体" w:cs="宋体"/>
                <w:color w:val="auto"/>
                <w:sz w:val="24"/>
                <w:highlight w:val="none"/>
              </w:rPr>
            </w:pPr>
          </w:p>
        </w:tc>
        <w:tc>
          <w:tcPr>
            <w:tcW w:w="2040" w:type="dxa"/>
            <w:noWrap w:val="0"/>
            <w:vAlign w:val="top"/>
          </w:tcPr>
          <w:p>
            <w:pPr>
              <w:pStyle w:val="20"/>
              <w:spacing w:line="360" w:lineRule="auto"/>
              <w:ind w:left="1080" w:leftChars="257" w:hanging="540"/>
              <w:rPr>
                <w:rFonts w:hint="eastAsia" w:hAnsi="宋体" w:cs="宋体"/>
                <w:color w:val="auto"/>
                <w:sz w:val="24"/>
                <w:highlight w:val="none"/>
              </w:rPr>
            </w:pP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900" w:type="dxa"/>
            <w:noWrap w:val="0"/>
            <w:vAlign w:val="top"/>
          </w:tcPr>
          <w:p>
            <w:pPr>
              <w:pStyle w:val="20"/>
              <w:spacing w:line="360" w:lineRule="auto"/>
              <w:ind w:left="1080" w:leftChars="257" w:hanging="540"/>
              <w:rPr>
                <w:rFonts w:hint="eastAsia"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top"/>
          </w:tcPr>
          <w:p>
            <w:pPr>
              <w:pStyle w:val="20"/>
              <w:spacing w:line="360" w:lineRule="auto"/>
              <w:ind w:left="1080" w:leftChars="257" w:hanging="540"/>
              <w:rPr>
                <w:rFonts w:hint="eastAsia" w:hAnsi="宋体" w:cs="宋体"/>
                <w:color w:val="auto"/>
                <w:sz w:val="24"/>
                <w:highlight w:val="none"/>
              </w:rPr>
            </w:pPr>
          </w:p>
        </w:tc>
        <w:tc>
          <w:tcPr>
            <w:tcW w:w="2040" w:type="dxa"/>
            <w:noWrap w:val="0"/>
            <w:vAlign w:val="top"/>
          </w:tcPr>
          <w:p>
            <w:pPr>
              <w:pStyle w:val="20"/>
              <w:spacing w:line="360" w:lineRule="auto"/>
              <w:ind w:left="1080" w:leftChars="257" w:hanging="540"/>
              <w:rPr>
                <w:rFonts w:hint="eastAsia" w:hAnsi="宋体" w:cs="宋体"/>
                <w:color w:val="auto"/>
                <w:sz w:val="24"/>
                <w:highlight w:val="none"/>
              </w:rPr>
            </w:pP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900" w:type="dxa"/>
            <w:noWrap w:val="0"/>
            <w:vAlign w:val="top"/>
          </w:tcPr>
          <w:p>
            <w:pPr>
              <w:pStyle w:val="20"/>
              <w:spacing w:line="360" w:lineRule="auto"/>
              <w:ind w:left="1080" w:leftChars="257" w:hanging="540"/>
              <w:rPr>
                <w:rFonts w:hint="eastAsia" w:hAnsi="宋体" w:cs="宋体"/>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48" w:type="dxa"/>
            <w:noWrap w:val="0"/>
            <w:vAlign w:val="top"/>
          </w:tcPr>
          <w:p>
            <w:pPr>
              <w:pStyle w:val="20"/>
              <w:spacing w:line="360" w:lineRule="auto"/>
              <w:ind w:left="1080" w:leftChars="257" w:hanging="540"/>
              <w:rPr>
                <w:rFonts w:hint="eastAsia" w:hAnsi="宋体" w:cs="宋体"/>
                <w:color w:val="auto"/>
                <w:sz w:val="24"/>
                <w:highlight w:val="none"/>
              </w:rPr>
            </w:pPr>
          </w:p>
        </w:tc>
        <w:tc>
          <w:tcPr>
            <w:tcW w:w="2040" w:type="dxa"/>
            <w:noWrap w:val="0"/>
            <w:vAlign w:val="top"/>
          </w:tcPr>
          <w:p>
            <w:pPr>
              <w:pStyle w:val="20"/>
              <w:spacing w:line="360" w:lineRule="auto"/>
              <w:ind w:left="1080" w:leftChars="257" w:hanging="540"/>
              <w:rPr>
                <w:rFonts w:hint="eastAsia" w:hAnsi="宋体" w:cs="宋体"/>
                <w:color w:val="auto"/>
                <w:sz w:val="24"/>
                <w:highlight w:val="none"/>
              </w:rPr>
            </w:pP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2520" w:type="dxa"/>
            <w:noWrap w:val="0"/>
            <w:vAlign w:val="top"/>
          </w:tcPr>
          <w:p>
            <w:pPr>
              <w:pStyle w:val="20"/>
              <w:spacing w:line="360" w:lineRule="auto"/>
              <w:ind w:left="1080" w:leftChars="257" w:hanging="540"/>
              <w:rPr>
                <w:rFonts w:hint="eastAsia" w:hAnsi="宋体" w:cs="宋体"/>
                <w:color w:val="auto"/>
                <w:sz w:val="24"/>
                <w:highlight w:val="none"/>
              </w:rPr>
            </w:pPr>
          </w:p>
        </w:tc>
        <w:tc>
          <w:tcPr>
            <w:tcW w:w="900" w:type="dxa"/>
            <w:noWrap w:val="0"/>
            <w:vAlign w:val="top"/>
          </w:tcPr>
          <w:p>
            <w:pPr>
              <w:pStyle w:val="20"/>
              <w:spacing w:line="360" w:lineRule="auto"/>
              <w:ind w:left="1080" w:leftChars="257" w:hanging="540"/>
              <w:rPr>
                <w:rFonts w:hint="eastAsia" w:hAnsi="宋体" w:cs="宋体"/>
                <w:color w:val="auto"/>
                <w:sz w:val="24"/>
                <w:highlight w:val="none"/>
              </w:rPr>
            </w:pPr>
          </w:p>
        </w:tc>
      </w:tr>
    </w:tbl>
    <w:p>
      <w:pPr>
        <w:pStyle w:val="20"/>
        <w:spacing w:line="360" w:lineRule="auto"/>
        <w:ind w:left="1080" w:leftChars="257" w:hanging="540"/>
        <w:rPr>
          <w:rFonts w:hint="eastAsia" w:hAnsi="宋体" w:cs="宋体"/>
          <w:color w:val="auto"/>
          <w:sz w:val="24"/>
          <w:highlight w:val="none"/>
        </w:rPr>
      </w:pPr>
    </w:p>
    <w:p>
      <w:pPr>
        <w:pStyle w:val="20"/>
        <w:ind w:left="1080" w:leftChars="257" w:hanging="540"/>
        <w:rPr>
          <w:rFonts w:hint="eastAsia" w:hAnsi="宋体" w:cs="宋体"/>
          <w:bCs/>
          <w:color w:val="auto"/>
          <w:sz w:val="24"/>
          <w:highlight w:val="none"/>
        </w:rPr>
      </w:pPr>
      <w:r>
        <w:rPr>
          <w:rFonts w:hint="eastAsia" w:hAnsi="宋体" w:cs="宋体"/>
          <w:bCs/>
          <w:color w:val="auto"/>
          <w:sz w:val="24"/>
          <w:highlight w:val="none"/>
        </w:rPr>
        <w:t>投标人（企业电子签章）：</w:t>
      </w:r>
    </w:p>
    <w:p>
      <w:pPr>
        <w:pStyle w:val="20"/>
        <w:ind w:left="1080" w:leftChars="257" w:hanging="540"/>
        <w:rPr>
          <w:rFonts w:hint="eastAsia" w:hAnsi="宋体" w:cs="宋体"/>
          <w:bCs/>
          <w:color w:val="auto"/>
          <w:sz w:val="24"/>
          <w:highlight w:val="none"/>
        </w:rPr>
      </w:pPr>
    </w:p>
    <w:p>
      <w:pPr>
        <w:pStyle w:val="20"/>
        <w:ind w:left="1080" w:leftChars="257" w:hanging="540"/>
        <w:rPr>
          <w:rFonts w:hint="eastAsia" w:hAnsi="宋体" w:cs="宋体"/>
          <w:bCs/>
          <w:color w:val="auto"/>
          <w:sz w:val="24"/>
          <w:highlight w:val="none"/>
        </w:rPr>
      </w:pPr>
      <w:r>
        <w:rPr>
          <w:rFonts w:hint="eastAsia" w:hAnsi="宋体" w:cs="宋体"/>
          <w:bCs/>
          <w:color w:val="auto"/>
          <w:sz w:val="24"/>
          <w:highlight w:val="none"/>
        </w:rPr>
        <w:t>法定代表人（个人电子签章）：</w:t>
      </w:r>
    </w:p>
    <w:p>
      <w:pPr>
        <w:pStyle w:val="20"/>
        <w:spacing w:line="360" w:lineRule="auto"/>
        <w:ind w:left="1080" w:leftChars="257" w:hanging="540"/>
        <w:rPr>
          <w:rFonts w:hint="eastAsia" w:hAnsi="宋体" w:cs="宋体"/>
          <w:color w:val="auto"/>
          <w:sz w:val="24"/>
          <w:highlight w:val="none"/>
        </w:rPr>
      </w:pPr>
    </w:p>
    <w:p>
      <w:pPr>
        <w:pStyle w:val="20"/>
        <w:spacing w:line="360" w:lineRule="auto"/>
        <w:rPr>
          <w:rFonts w:hint="eastAsia" w:hAnsi="宋体" w:cs="宋体"/>
          <w:color w:val="auto"/>
          <w:sz w:val="24"/>
          <w:highlight w:val="none"/>
          <w:u w:val="single"/>
        </w:rPr>
      </w:pPr>
    </w:p>
    <w:p>
      <w:pPr>
        <w:pStyle w:val="20"/>
        <w:spacing w:line="360" w:lineRule="auto"/>
        <w:rPr>
          <w:rFonts w:hint="eastAsia" w:hAnsi="宋体" w:cs="宋体"/>
          <w:color w:val="auto"/>
          <w:sz w:val="24"/>
          <w:highlight w:val="none"/>
          <w:u w:val="single"/>
        </w:rPr>
      </w:pPr>
    </w:p>
    <w:p>
      <w:pPr>
        <w:pStyle w:val="20"/>
        <w:spacing w:line="360" w:lineRule="auto"/>
        <w:rPr>
          <w:rFonts w:hint="eastAsia" w:hAnsi="宋体" w:cs="宋体"/>
          <w:color w:val="auto"/>
          <w:sz w:val="24"/>
          <w:highlight w:val="none"/>
        </w:rPr>
      </w:pPr>
    </w:p>
    <w:p>
      <w:pPr>
        <w:pStyle w:val="20"/>
        <w:spacing w:line="360" w:lineRule="auto"/>
        <w:rPr>
          <w:rFonts w:hint="eastAsia" w:hAnsi="宋体" w:cs="宋体"/>
          <w:color w:val="auto"/>
          <w:sz w:val="24"/>
          <w:highlight w:val="none"/>
        </w:rPr>
      </w:pPr>
    </w:p>
    <w:p>
      <w:pPr>
        <w:pStyle w:val="20"/>
        <w:spacing w:line="360" w:lineRule="auto"/>
        <w:rPr>
          <w:rFonts w:hint="eastAsia" w:hAnsi="宋体" w:cs="宋体"/>
          <w:color w:val="auto"/>
          <w:sz w:val="24"/>
          <w:highlight w:val="none"/>
        </w:rPr>
      </w:pPr>
    </w:p>
    <w:p>
      <w:pPr>
        <w:pStyle w:val="20"/>
        <w:spacing w:line="360" w:lineRule="auto"/>
        <w:rPr>
          <w:rFonts w:hint="eastAsia" w:hAnsi="宋体" w:cs="宋体"/>
          <w:color w:val="auto"/>
          <w:sz w:val="24"/>
          <w:highlight w:val="none"/>
        </w:rPr>
      </w:pPr>
    </w:p>
    <w:p>
      <w:pPr>
        <w:pStyle w:val="20"/>
        <w:spacing w:line="360" w:lineRule="auto"/>
        <w:rPr>
          <w:rFonts w:hint="eastAsia" w:hAnsi="宋体" w:cs="宋体"/>
          <w:color w:val="auto"/>
          <w:sz w:val="24"/>
          <w:highlight w:val="none"/>
        </w:rPr>
      </w:pPr>
    </w:p>
    <w:p>
      <w:pPr>
        <w:pStyle w:val="20"/>
        <w:spacing w:line="360" w:lineRule="auto"/>
        <w:rPr>
          <w:rFonts w:hint="eastAsia" w:hAnsi="宋体" w:cs="宋体"/>
          <w:color w:val="auto"/>
          <w:sz w:val="24"/>
          <w:highlight w:val="none"/>
        </w:rPr>
      </w:pPr>
    </w:p>
    <w:p>
      <w:pPr>
        <w:pStyle w:val="20"/>
        <w:spacing w:line="360" w:lineRule="auto"/>
        <w:rPr>
          <w:rFonts w:hint="eastAsia" w:hAnsi="宋体" w:cs="宋体"/>
          <w:color w:val="auto"/>
          <w:sz w:val="24"/>
          <w:highlight w:val="none"/>
        </w:rPr>
      </w:pPr>
    </w:p>
    <w:p>
      <w:pPr>
        <w:pStyle w:val="20"/>
        <w:jc w:val="left"/>
        <w:rPr>
          <w:rFonts w:hint="eastAsia" w:hAnsi="宋体" w:cs="宋体"/>
          <w:b/>
          <w:color w:val="auto"/>
          <w:sz w:val="24"/>
          <w:highlight w:val="none"/>
        </w:rPr>
      </w:pPr>
    </w:p>
    <w:p>
      <w:pPr>
        <w:pStyle w:val="5"/>
        <w:numPr>
          <w:ilvl w:val="1"/>
          <w:numId w:val="0"/>
        </w:numPr>
        <w:spacing w:before="0" w:line="360" w:lineRule="auto"/>
        <w:ind w:leftChars="0"/>
        <w:rPr>
          <w:rFonts w:hint="eastAsia" w:ascii="宋体" w:hAnsi="宋体" w:eastAsia="宋体" w:cs="宋体"/>
          <w:b w:val="0"/>
          <w:color w:val="auto"/>
          <w:sz w:val="24"/>
          <w:highlight w:val="none"/>
        </w:rPr>
      </w:pPr>
      <w:bookmarkStart w:id="344" w:name="_Toc21923"/>
      <w:bookmarkStart w:id="345" w:name="_Toc23226"/>
      <w:bookmarkStart w:id="346" w:name="_Toc21861"/>
      <w:r>
        <w:rPr>
          <w:rFonts w:hint="eastAsia" w:ascii="宋体" w:hAnsi="宋体" w:cs="宋体"/>
          <w:b w:val="0"/>
          <w:color w:val="auto"/>
          <w:sz w:val="24"/>
          <w:highlight w:val="none"/>
          <w:lang w:val="en-US" w:eastAsia="zh-CN"/>
        </w:rPr>
        <w:t>3、</w:t>
      </w:r>
      <w:r>
        <w:rPr>
          <w:rFonts w:hint="eastAsia" w:ascii="宋体" w:hAnsi="宋体" w:eastAsia="宋体" w:cs="宋体"/>
          <w:b w:val="0"/>
          <w:color w:val="auto"/>
          <w:sz w:val="24"/>
          <w:highlight w:val="none"/>
        </w:rPr>
        <w:t>符合《政府采购促进中小企业发展暂行办法》、《关于政府采购支持监狱企业发展有关问题的通知》和《三部门联合发布关于促进残疾人就业政府采购政策的通知》价格扣减条件的投标人须提交资料</w:t>
      </w:r>
      <w:bookmarkEnd w:id="344"/>
      <w:bookmarkEnd w:id="345"/>
      <w:bookmarkEnd w:id="346"/>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6"/>
        <w:rPr>
          <w:rFonts w:hint="eastAsia" w:ascii="宋体" w:hAnsi="宋体" w:cs="宋体"/>
          <w:color w:val="auto"/>
          <w:highlight w:val="none"/>
        </w:rPr>
      </w:pPr>
    </w:p>
    <w:p>
      <w:pPr>
        <w:pStyle w:val="5"/>
        <w:numPr>
          <w:ilvl w:val="1"/>
          <w:numId w:val="0"/>
        </w:numPr>
        <w:spacing w:before="0" w:line="360" w:lineRule="auto"/>
        <w:ind w:leftChars="0"/>
        <w:jc w:val="center"/>
        <w:rPr>
          <w:rFonts w:hint="eastAsia" w:ascii="宋体" w:hAnsi="宋体" w:eastAsia="宋体" w:cs="宋体"/>
          <w:color w:val="auto"/>
          <w:sz w:val="24"/>
          <w:highlight w:val="none"/>
        </w:rPr>
      </w:pPr>
      <w:bookmarkStart w:id="347" w:name="_Toc28793"/>
      <w:bookmarkStart w:id="348" w:name="_Toc26324"/>
      <w:bookmarkStart w:id="349" w:name="_Toc14934315"/>
      <w:bookmarkStart w:id="350" w:name="_Toc7092"/>
      <w:bookmarkStart w:id="351" w:name="_Toc515647823"/>
      <w:bookmarkStart w:id="352" w:name="_Toc21312"/>
      <w:bookmarkStart w:id="353" w:name="_Toc10725"/>
      <w:bookmarkStart w:id="354" w:name="_Toc532473511"/>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 xml:space="preserve">-1 </w:t>
      </w:r>
      <w:r>
        <w:rPr>
          <w:rFonts w:hint="eastAsia" w:ascii="宋体" w:hAnsi="宋体" w:eastAsia="宋体" w:cs="宋体"/>
          <w:b w:val="0"/>
          <w:color w:val="auto"/>
          <w:sz w:val="24"/>
          <w:highlight w:val="none"/>
        </w:rPr>
        <w:t xml:space="preserve"> </w:t>
      </w:r>
      <w:r>
        <w:rPr>
          <w:rFonts w:hint="eastAsia" w:ascii="宋体" w:hAnsi="宋体" w:eastAsia="宋体" w:cs="宋体"/>
          <w:color w:val="auto"/>
          <w:sz w:val="24"/>
          <w:highlight w:val="none"/>
        </w:rPr>
        <w:t>投标人企业（单位）类型声明函</w:t>
      </w:r>
      <w:bookmarkEnd w:id="347"/>
      <w:bookmarkEnd w:id="348"/>
      <w:bookmarkEnd w:id="349"/>
      <w:bookmarkEnd w:id="350"/>
    </w:p>
    <w:bookmarkEnd w:id="351"/>
    <w:bookmarkEnd w:id="352"/>
    <w:bookmarkEnd w:id="353"/>
    <w:bookmarkEnd w:id="354"/>
    <w:p>
      <w:pPr>
        <w:widowControl/>
        <w:spacing w:before="100" w:beforeAutospacing="1" w:after="100" w:afterAutospacing="1" w:line="360" w:lineRule="auto"/>
        <w:ind w:firstLine="480" w:firstLineChars="200"/>
        <w:jc w:val="center"/>
        <w:rPr>
          <w:rFonts w:hint="eastAsia" w:ascii="宋体" w:hAnsi="宋体" w:cs="宋体"/>
          <w:color w:val="auto"/>
          <w:kern w:val="0"/>
          <w:sz w:val="24"/>
          <w:highlight w:val="none"/>
        </w:rPr>
      </w:pPr>
    </w:p>
    <w:p>
      <w:pPr>
        <w:spacing w:line="360" w:lineRule="auto"/>
        <w:ind w:left="1080" w:leftChars="257" w:hanging="540"/>
        <w:jc w:val="center"/>
        <w:rPr>
          <w:rFonts w:hint="eastAsia" w:ascii="宋体" w:hAnsi="宋体" w:cs="宋体"/>
          <w:b/>
          <w:color w:val="auto"/>
          <w:kern w:val="0"/>
          <w:sz w:val="24"/>
          <w:szCs w:val="20"/>
          <w:highlight w:val="none"/>
        </w:rPr>
      </w:pPr>
    </w:p>
    <w:p>
      <w:pPr>
        <w:widowControl/>
        <w:spacing w:before="100" w:beforeAutospacing="1" w:after="100" w:afterAutospacing="1"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本企业（单位）郑重声明下列事项（按照实际情况勾选或填空）：</w:t>
      </w:r>
    </w:p>
    <w:p>
      <w:pPr>
        <w:widowControl/>
        <w:spacing w:before="100" w:beforeAutospacing="1" w:after="100" w:afterAutospacing="1"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1、</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本企业（单位）为直接投标人，提供本企业（单位）制造的货物。</w:t>
      </w:r>
    </w:p>
    <w:p>
      <w:pPr>
        <w:widowControl/>
        <w:spacing w:before="100" w:beforeAutospacing="1" w:after="100" w:afterAutospacing="1" w:line="360" w:lineRule="auto"/>
        <w:ind w:firstLine="360" w:firstLineChars="150"/>
        <w:jc w:val="left"/>
        <w:rPr>
          <w:rFonts w:hint="eastAsia" w:ascii="宋体" w:hAnsi="宋体" w:cs="宋体"/>
          <w:color w:val="auto"/>
          <w:kern w:val="0"/>
          <w:sz w:val="24"/>
          <w:highlight w:val="none"/>
        </w:rPr>
      </w:pPr>
      <w:r>
        <w:rPr>
          <w:rFonts w:hint="eastAsia" w:ascii="宋体" w:hAnsi="宋体" w:cs="宋体"/>
          <w:color w:val="auto"/>
          <w:kern w:val="0"/>
          <w:sz w:val="24"/>
          <w:highlight w:val="none"/>
        </w:rPr>
        <w:t>（1）根据《工业和信息化部、国家统计局、国家发展和改革委员会、财政部关于印发中小企业划型标准规定的通知》（工信部联企业[2011]300号）规定的划分标准，本企业为______（请填写：大型、中型、小型、微型）企业。</w:t>
      </w:r>
    </w:p>
    <w:p>
      <w:pPr>
        <w:widowControl/>
        <w:spacing w:before="100" w:beforeAutospacing="1" w:after="100" w:afterAutospacing="1"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（2）本企业（单位）为联合体一方，提供本企业（单位）制造的货物，由本企业（单位）承担工程、提供服务。本企业（单位）提供协议合同金额占到共同投标协议合同总金额的比例为</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w:t>
      </w:r>
    </w:p>
    <w:p>
      <w:pPr>
        <w:widowControl/>
        <w:spacing w:before="100" w:beforeAutospacing="1" w:after="100" w:afterAutospacing="1"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本企业（单位）为代理商，提供其他______（请填写：大型、中型、小型、微型）企业、监狱企业或残疾人福利性单位制造的货物。本条所称货物不包括使用大型企业注册商标的货物。（后附制造商企业（单位）类型声明函）</w:t>
      </w:r>
    </w:p>
    <w:p>
      <w:pPr>
        <w:widowControl/>
        <w:spacing w:before="100" w:beforeAutospacing="1" w:after="100" w:afterAutospacing="1" w:line="360" w:lineRule="auto"/>
        <w:ind w:firstLine="475"/>
        <w:jc w:val="left"/>
        <w:rPr>
          <w:rFonts w:hint="eastAsia" w:ascii="宋体" w:hAnsi="宋体" w:cs="宋体"/>
          <w:color w:val="auto"/>
          <w:kern w:val="0"/>
          <w:sz w:val="24"/>
          <w:highlight w:val="none"/>
        </w:rPr>
      </w:pPr>
      <w:r>
        <w:rPr>
          <w:rFonts w:hint="eastAsia" w:ascii="宋体" w:hAnsi="宋体" w:cs="宋体"/>
          <w:color w:val="auto"/>
          <w:kern w:val="0"/>
          <w:sz w:val="24"/>
          <w:highlight w:val="none"/>
        </w:rPr>
        <w:t>本企业（单位）对上述声明的真实性负责。如有虚假，将依法承担相应责任。</w:t>
      </w:r>
    </w:p>
    <w:p>
      <w:pPr>
        <w:widowControl/>
        <w:spacing w:before="100" w:beforeAutospacing="1" w:after="100" w:afterAutospacing="1" w:line="360" w:lineRule="auto"/>
        <w:jc w:val="left"/>
        <w:rPr>
          <w:rFonts w:hint="eastAsia" w:ascii="宋体" w:hAnsi="宋体" w:cs="宋体"/>
          <w:color w:val="auto"/>
          <w:kern w:val="0"/>
          <w:sz w:val="24"/>
          <w:highlight w:val="none"/>
        </w:rPr>
      </w:pPr>
      <w:r>
        <w:rPr>
          <w:rFonts w:hint="eastAsia" w:ascii="宋体" w:hAnsi="宋体" w:cs="宋体"/>
          <w:color w:val="auto"/>
          <w:kern w:val="0"/>
          <w:sz w:val="24"/>
          <w:highlight w:val="none"/>
        </w:rPr>
        <w:t>　　</w:t>
      </w:r>
    </w:p>
    <w:p>
      <w:pPr>
        <w:widowControl/>
        <w:spacing w:before="100" w:beforeAutospacing="1" w:after="100" w:afterAutospacing="1" w:line="360" w:lineRule="auto"/>
        <w:ind w:firstLine="3960" w:firstLineChars="1650"/>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rPr>
        <w:t>投标人（企业电子签章）：</w:t>
      </w:r>
    </w:p>
    <w:p>
      <w:pPr>
        <w:widowControl/>
        <w:spacing w:before="100" w:beforeAutospacing="1" w:after="100" w:afterAutospacing="1" w:line="360" w:lineRule="auto"/>
        <w:ind w:firstLine="3120" w:firstLineChars="1300"/>
        <w:jc w:val="left"/>
        <w:rPr>
          <w:rFonts w:hint="eastAsia" w:ascii="宋体" w:hAnsi="宋体" w:cs="宋体"/>
          <w:b/>
          <w:color w:val="auto"/>
          <w:kern w:val="0"/>
          <w:sz w:val="24"/>
          <w:szCs w:val="20"/>
          <w:highlight w:val="none"/>
        </w:rPr>
      </w:pPr>
      <w:r>
        <w:rPr>
          <w:rFonts w:hint="eastAsia" w:ascii="宋体" w:hAnsi="宋体" w:cs="宋体"/>
          <w:color w:val="auto"/>
          <w:kern w:val="0"/>
          <w:sz w:val="24"/>
          <w:highlight w:val="none"/>
        </w:rPr>
        <w:t xml:space="preserve">       日　期：____________      </w:t>
      </w:r>
      <w:r>
        <w:rPr>
          <w:rFonts w:hint="eastAsia" w:ascii="宋体" w:hAnsi="宋体" w:cs="宋体"/>
          <w:b/>
          <w:color w:val="auto"/>
          <w:kern w:val="0"/>
          <w:sz w:val="24"/>
          <w:szCs w:val="20"/>
          <w:highlight w:val="none"/>
        </w:rPr>
        <w:t>　</w:t>
      </w:r>
    </w:p>
    <w:p>
      <w:pPr>
        <w:widowControl/>
        <w:spacing w:before="100" w:beforeAutospacing="1" w:after="100" w:afterAutospacing="1" w:line="360" w:lineRule="auto"/>
        <w:ind w:firstLine="3132" w:firstLineChars="1300"/>
        <w:jc w:val="left"/>
        <w:rPr>
          <w:rFonts w:hint="eastAsia" w:ascii="宋体" w:hAnsi="宋体" w:cs="宋体"/>
          <w:b/>
          <w:color w:val="auto"/>
          <w:kern w:val="0"/>
          <w:sz w:val="24"/>
          <w:szCs w:val="20"/>
          <w:highlight w:val="none"/>
        </w:rPr>
      </w:pPr>
    </w:p>
    <w:p>
      <w:pPr>
        <w:pStyle w:val="5"/>
        <w:numPr>
          <w:ilvl w:val="1"/>
          <w:numId w:val="0"/>
        </w:numPr>
        <w:spacing w:before="0" w:line="360" w:lineRule="auto"/>
        <w:ind w:leftChars="0"/>
        <w:jc w:val="center"/>
        <w:rPr>
          <w:rFonts w:hint="eastAsia" w:ascii="宋体" w:hAnsi="宋体" w:eastAsia="宋体" w:cs="宋体"/>
          <w:color w:val="auto"/>
          <w:sz w:val="24"/>
          <w:highlight w:val="none"/>
        </w:rPr>
      </w:pPr>
      <w:r>
        <w:rPr>
          <w:rFonts w:hint="eastAsia" w:ascii="宋体" w:hAnsi="宋体" w:eastAsia="宋体" w:cs="宋体"/>
          <w:b w:val="0"/>
          <w:color w:val="auto"/>
          <w:sz w:val="24"/>
          <w:highlight w:val="none"/>
        </w:rPr>
        <w:br w:type="page"/>
      </w:r>
      <w:bookmarkStart w:id="355" w:name="_Toc4036"/>
      <w:bookmarkStart w:id="356" w:name="_Toc26710"/>
      <w:bookmarkStart w:id="357" w:name="_Toc21698"/>
      <w:bookmarkStart w:id="358" w:name="_Toc14934316"/>
      <w:bookmarkStart w:id="359" w:name="_Toc532473512"/>
      <w:bookmarkStart w:id="360" w:name="_Toc10977"/>
      <w:bookmarkStart w:id="361" w:name="_Toc11803"/>
      <w:bookmarkStart w:id="362" w:name="_Toc515647824"/>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-2   投标人监狱企业声明函</w:t>
      </w:r>
      <w:bookmarkEnd w:id="355"/>
      <w:bookmarkEnd w:id="356"/>
      <w:bookmarkEnd w:id="357"/>
      <w:bookmarkEnd w:id="358"/>
    </w:p>
    <w:bookmarkEnd w:id="359"/>
    <w:p>
      <w:pPr>
        <w:spacing w:line="360" w:lineRule="auto"/>
        <w:ind w:left="1080" w:leftChars="257" w:hanging="540"/>
        <w:jc w:val="center"/>
        <w:rPr>
          <w:rFonts w:hint="eastAsia" w:ascii="宋体" w:hAnsi="宋体" w:cs="宋体"/>
          <w:b/>
          <w:color w:val="auto"/>
          <w:kern w:val="0"/>
          <w:sz w:val="24"/>
          <w:szCs w:val="20"/>
          <w:highlight w:val="none"/>
        </w:rPr>
      </w:pPr>
    </w:p>
    <w:p>
      <w:pPr>
        <w:widowControl/>
        <w:spacing w:before="100" w:beforeAutospacing="1" w:after="100" w:afterAutospacing="1"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本企业（单位）郑重声明下列事项（按照实际情况勾选或填空）：</w:t>
      </w:r>
    </w:p>
    <w:p>
      <w:pPr>
        <w:widowControl/>
        <w:spacing w:before="100" w:beforeAutospacing="1" w:after="100" w:afterAutospacing="1" w:line="360" w:lineRule="auto"/>
        <w:ind w:firstLine="480" w:firstLineChars="20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本企业（单位）为直接投标人提供本企业（单位）制造的货物。</w:t>
      </w:r>
    </w:p>
    <w:p>
      <w:pPr>
        <w:widowControl/>
        <w:spacing w:before="100" w:beforeAutospacing="1" w:after="100" w:afterAutospacing="1" w:line="360" w:lineRule="auto"/>
        <w:ind w:firstLine="360" w:firstLineChars="150"/>
        <w:jc w:val="left"/>
        <w:rPr>
          <w:rFonts w:hint="eastAsia" w:ascii="宋体" w:hAnsi="宋体" w:cs="宋体"/>
          <w:color w:val="auto"/>
          <w:kern w:val="0"/>
          <w:sz w:val="24"/>
          <w:highlight w:val="none"/>
        </w:rPr>
      </w:pPr>
      <w:r>
        <w:rPr>
          <w:rFonts w:hint="eastAsia" w:ascii="宋体" w:hAnsi="宋体" w:cs="宋体"/>
          <w:color w:val="auto"/>
          <w:kern w:val="0"/>
          <w:sz w:val="24"/>
          <w:highlight w:val="none"/>
        </w:rPr>
        <w:t>（1）本企业（单位）</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（请填写：是、不是）监狱企业。后附省级以上监狱管理局、戒毒管理局（含新疆生产建设兵团）出具的属于监狱企业的证明文件。</w:t>
      </w:r>
    </w:p>
    <w:p>
      <w:pPr>
        <w:widowControl/>
        <w:spacing w:before="100" w:beforeAutospacing="1" w:after="100" w:afterAutospacing="1"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（2）本企业（单位）</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（请填写：是、不是）为联合体一方，提供本企业（单位）制造的货物，由本企业（单位）承担工程、提供服务。本企业（单位）提供协议合同金额占到共同投标协议合同总金额的比例为</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w:t>
      </w:r>
    </w:p>
    <w:p>
      <w:pPr>
        <w:widowControl/>
        <w:spacing w:before="100" w:beforeAutospacing="1" w:after="100" w:afterAutospacing="1" w:line="360" w:lineRule="auto"/>
        <w:ind w:firstLine="475"/>
        <w:jc w:val="left"/>
        <w:rPr>
          <w:rFonts w:hint="eastAsia" w:ascii="宋体" w:hAnsi="宋体" w:cs="宋体"/>
          <w:color w:val="auto"/>
          <w:kern w:val="0"/>
          <w:sz w:val="24"/>
          <w:highlight w:val="none"/>
        </w:rPr>
      </w:pPr>
      <w:r>
        <w:rPr>
          <w:rFonts w:hint="eastAsia" w:ascii="宋体" w:hAnsi="宋体" w:cs="宋体"/>
          <w:color w:val="auto"/>
          <w:kern w:val="0"/>
          <w:sz w:val="24"/>
          <w:highlight w:val="none"/>
        </w:rPr>
        <w:t>本企业（单位）对上述声明的真实性负责。如有虚假，将依法承担相应责任。</w:t>
      </w:r>
    </w:p>
    <w:p>
      <w:pPr>
        <w:widowControl/>
        <w:spacing w:before="100" w:beforeAutospacing="1" w:after="100" w:afterAutospacing="1" w:line="360" w:lineRule="auto"/>
        <w:jc w:val="left"/>
        <w:rPr>
          <w:rFonts w:hint="eastAsia" w:ascii="宋体" w:hAnsi="宋体" w:cs="宋体"/>
          <w:color w:val="auto"/>
          <w:kern w:val="0"/>
          <w:sz w:val="24"/>
          <w:highlight w:val="none"/>
        </w:rPr>
      </w:pPr>
      <w:r>
        <w:rPr>
          <w:rFonts w:hint="eastAsia" w:ascii="宋体" w:hAnsi="宋体" w:cs="宋体"/>
          <w:color w:val="auto"/>
          <w:kern w:val="0"/>
          <w:sz w:val="24"/>
          <w:highlight w:val="none"/>
        </w:rPr>
        <w:t>　　</w:t>
      </w:r>
    </w:p>
    <w:p>
      <w:pPr>
        <w:widowControl/>
        <w:spacing w:before="100" w:beforeAutospacing="1" w:after="100" w:afterAutospacing="1" w:line="360" w:lineRule="auto"/>
        <w:jc w:val="left"/>
        <w:rPr>
          <w:rFonts w:hint="eastAsia" w:ascii="宋体" w:hAnsi="宋体" w:cs="宋体"/>
          <w:color w:val="auto"/>
          <w:kern w:val="0"/>
          <w:sz w:val="24"/>
          <w:highlight w:val="none"/>
        </w:rPr>
      </w:pPr>
    </w:p>
    <w:p>
      <w:pPr>
        <w:widowControl/>
        <w:spacing w:before="100" w:beforeAutospacing="1" w:after="100" w:afterAutospacing="1" w:line="360" w:lineRule="auto"/>
        <w:jc w:val="left"/>
        <w:rPr>
          <w:rFonts w:hint="eastAsia" w:ascii="宋体" w:hAnsi="宋体" w:cs="宋体"/>
          <w:color w:val="auto"/>
          <w:kern w:val="0"/>
          <w:sz w:val="24"/>
          <w:highlight w:val="none"/>
        </w:rPr>
      </w:pPr>
    </w:p>
    <w:p>
      <w:pPr>
        <w:spacing w:line="360" w:lineRule="auto"/>
        <w:ind w:left="1080" w:leftChars="257" w:hanging="540"/>
        <w:jc w:val="center"/>
        <w:rPr>
          <w:rFonts w:hint="eastAsia" w:ascii="宋体" w:hAnsi="宋体" w:cs="宋体"/>
          <w:b/>
          <w:color w:val="auto"/>
          <w:kern w:val="0"/>
          <w:sz w:val="24"/>
          <w:szCs w:val="20"/>
          <w:highlight w:val="none"/>
        </w:rPr>
      </w:pPr>
      <w:r>
        <w:rPr>
          <w:rFonts w:hint="eastAsia" w:ascii="宋体" w:hAnsi="宋体" w:cs="宋体"/>
          <w:b/>
          <w:color w:val="auto"/>
          <w:kern w:val="0"/>
          <w:sz w:val="24"/>
          <w:szCs w:val="20"/>
          <w:highlight w:val="none"/>
        </w:rPr>
        <w:t>　</w:t>
      </w:r>
    </w:p>
    <w:p>
      <w:pPr>
        <w:spacing w:line="360" w:lineRule="auto"/>
        <w:rPr>
          <w:rFonts w:hint="eastAsia" w:ascii="宋体" w:hAnsi="宋体" w:cs="宋体"/>
          <w:b/>
          <w:color w:val="auto"/>
          <w:sz w:val="24"/>
          <w:highlight w:val="none"/>
        </w:rPr>
      </w:pPr>
    </w:p>
    <w:p>
      <w:pPr>
        <w:widowControl/>
        <w:spacing w:before="100" w:beforeAutospacing="1" w:after="100" w:afterAutospacing="1" w:line="360" w:lineRule="auto"/>
        <w:ind w:firstLine="3960" w:firstLineChars="1650"/>
        <w:jc w:val="left"/>
        <w:rPr>
          <w:rFonts w:hint="eastAsia" w:ascii="宋体" w:hAnsi="宋体" w:cs="宋体"/>
          <w:bCs/>
          <w:color w:val="auto"/>
          <w:kern w:val="0"/>
          <w:sz w:val="24"/>
          <w:highlight w:val="none"/>
        </w:rPr>
      </w:pPr>
      <w:r>
        <w:rPr>
          <w:rFonts w:hint="eastAsia" w:ascii="宋体" w:hAnsi="宋体" w:cs="宋体"/>
          <w:bCs/>
          <w:color w:val="auto"/>
          <w:kern w:val="0"/>
          <w:sz w:val="24"/>
          <w:highlight w:val="none"/>
        </w:rPr>
        <w:t>投标人（企业电子签章）：</w:t>
      </w:r>
    </w:p>
    <w:p>
      <w:pPr>
        <w:widowControl/>
        <w:spacing w:before="100" w:beforeAutospacing="1" w:after="100" w:afterAutospacing="1" w:line="360" w:lineRule="auto"/>
        <w:ind w:firstLine="3720" w:firstLineChars="1550"/>
        <w:jc w:val="left"/>
        <w:rPr>
          <w:rFonts w:hint="eastAsia" w:ascii="宋体" w:hAnsi="宋体" w:cs="宋体"/>
          <w:color w:val="auto"/>
          <w:kern w:val="0"/>
          <w:sz w:val="24"/>
          <w:highlight w:val="none"/>
          <w:u w:val="single"/>
        </w:rPr>
      </w:pPr>
      <w:r>
        <w:rPr>
          <w:rFonts w:hint="eastAsia" w:ascii="宋体" w:hAnsi="宋体" w:cs="宋体"/>
          <w:color w:val="auto"/>
          <w:kern w:val="0"/>
          <w:sz w:val="24"/>
          <w:highlight w:val="none"/>
        </w:rPr>
        <w:t>　日　期：</w:t>
      </w:r>
      <w:r>
        <w:rPr>
          <w:rFonts w:hint="eastAsia" w:ascii="宋体" w:hAnsi="宋体" w:cs="宋体"/>
          <w:color w:val="auto"/>
          <w:kern w:val="0"/>
          <w:sz w:val="24"/>
          <w:highlight w:val="none"/>
          <w:u w:val="single"/>
        </w:rPr>
        <w:t xml:space="preserve">             </w:t>
      </w:r>
    </w:p>
    <w:p>
      <w:pPr>
        <w:pStyle w:val="5"/>
        <w:numPr>
          <w:ilvl w:val="1"/>
          <w:numId w:val="0"/>
        </w:numPr>
        <w:spacing w:before="0" w:line="360" w:lineRule="auto"/>
        <w:ind w:leftChars="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bookmarkStart w:id="363" w:name="_Toc14934317"/>
      <w:bookmarkStart w:id="364" w:name="_Toc28265"/>
      <w:bookmarkStart w:id="365" w:name="_Toc3336"/>
      <w:bookmarkStart w:id="366" w:name="_Toc18206"/>
      <w:bookmarkStart w:id="367" w:name="_Toc532473513"/>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-3  残疾人福利性单位声明函</w:t>
      </w:r>
      <w:bookmarkEnd w:id="363"/>
      <w:bookmarkEnd w:id="364"/>
      <w:bookmarkEnd w:id="365"/>
      <w:bookmarkEnd w:id="366"/>
    </w:p>
    <w:bookmarkEnd w:id="367"/>
    <w:p>
      <w:pPr>
        <w:spacing w:line="360" w:lineRule="auto"/>
        <w:ind w:firstLine="567"/>
        <w:jc w:val="center"/>
        <w:rPr>
          <w:rFonts w:hint="eastAsia" w:ascii="宋体" w:hAnsi="宋体" w:cs="宋体"/>
          <w:color w:val="auto"/>
          <w:kern w:val="0"/>
          <w:sz w:val="24"/>
          <w:szCs w:val="20"/>
          <w:highlight w:val="none"/>
        </w:rPr>
      </w:pPr>
      <w:r>
        <w:rPr>
          <w:rFonts w:hint="eastAsia" w:ascii="宋体" w:hAnsi="宋体" w:cs="宋体"/>
          <w:color w:val="auto"/>
          <w:kern w:val="0"/>
          <w:sz w:val="24"/>
          <w:szCs w:val="20"/>
          <w:highlight w:val="none"/>
        </w:rPr>
        <w:t xml:space="preserve"> </w:t>
      </w:r>
    </w:p>
    <w:p>
      <w:pPr>
        <w:spacing w:line="360" w:lineRule="auto"/>
        <w:ind w:left="1080" w:leftChars="257" w:hanging="540"/>
        <w:jc w:val="center"/>
        <w:rPr>
          <w:rFonts w:hint="eastAsia" w:ascii="宋体" w:hAnsi="宋体" w:cs="宋体"/>
          <w:color w:val="auto"/>
          <w:kern w:val="0"/>
          <w:sz w:val="24"/>
          <w:szCs w:val="20"/>
          <w:highlight w:val="none"/>
        </w:rPr>
      </w:pPr>
    </w:p>
    <w:p>
      <w:pPr>
        <w:spacing w:line="360" w:lineRule="auto"/>
        <w:ind w:firstLine="567"/>
        <w:rPr>
          <w:rFonts w:hint="eastAsia" w:ascii="宋体" w:hAnsi="宋体" w:cs="宋体"/>
          <w:color w:val="auto"/>
          <w:kern w:val="0"/>
          <w:sz w:val="24"/>
          <w:szCs w:val="20"/>
          <w:highlight w:val="none"/>
        </w:rPr>
      </w:pPr>
      <w:r>
        <w:rPr>
          <w:rFonts w:hint="eastAsia" w:ascii="宋体" w:hAnsi="宋体" w:cs="宋体"/>
          <w:color w:val="auto"/>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w:t>
      </w:r>
      <w:r>
        <w:rPr>
          <w:rFonts w:hint="eastAsia" w:ascii="宋体" w:hAnsi="宋体" w:cs="宋体"/>
          <w:color w:val="auto"/>
          <w:kern w:val="0"/>
          <w:sz w:val="24"/>
          <w:highlight w:val="none"/>
        </w:rPr>
        <w:t>（由本单位承担工程/提供服务）</w:t>
      </w:r>
      <w:r>
        <w:rPr>
          <w:rFonts w:hint="eastAsia" w:ascii="宋体" w:hAnsi="宋体" w:cs="宋体"/>
          <w:color w:val="auto"/>
          <w:kern w:val="0"/>
          <w:sz w:val="24"/>
          <w:szCs w:val="20"/>
          <w:highlight w:val="none"/>
        </w:rPr>
        <w:t>，或者提供其他残疾人福利性单位制造的货物（不包括使用非残疾人福利性单位注册商标的货物）。</w:t>
      </w:r>
    </w:p>
    <w:p>
      <w:pPr>
        <w:spacing w:line="360" w:lineRule="auto"/>
        <w:ind w:left="1080" w:leftChars="257" w:hanging="540"/>
        <w:rPr>
          <w:rFonts w:hint="eastAsia" w:ascii="宋体" w:hAnsi="宋体" w:cs="宋体"/>
          <w:color w:val="auto"/>
          <w:kern w:val="0"/>
          <w:sz w:val="24"/>
          <w:szCs w:val="20"/>
          <w:highlight w:val="none"/>
        </w:rPr>
      </w:pPr>
      <w:r>
        <w:rPr>
          <w:rFonts w:hint="eastAsia" w:ascii="宋体" w:hAnsi="宋体" w:cs="宋体"/>
          <w:color w:val="auto"/>
          <w:kern w:val="0"/>
          <w:sz w:val="24"/>
          <w:szCs w:val="20"/>
          <w:highlight w:val="none"/>
        </w:rPr>
        <w:t>本单位对上述声明的真实性负责。如有虚假，将依法承担相应责任。</w:t>
      </w:r>
    </w:p>
    <w:p>
      <w:pPr>
        <w:spacing w:line="360" w:lineRule="auto"/>
        <w:ind w:left="1080" w:leftChars="257" w:hanging="540"/>
        <w:jc w:val="center"/>
        <w:rPr>
          <w:rFonts w:hint="eastAsia" w:ascii="宋体" w:hAnsi="宋体" w:cs="宋体"/>
          <w:color w:val="auto"/>
          <w:kern w:val="0"/>
          <w:sz w:val="24"/>
          <w:szCs w:val="20"/>
          <w:highlight w:val="none"/>
        </w:rPr>
      </w:pPr>
    </w:p>
    <w:p>
      <w:pPr>
        <w:spacing w:line="360" w:lineRule="auto"/>
        <w:ind w:left="1080" w:leftChars="257" w:hanging="540"/>
        <w:jc w:val="center"/>
        <w:rPr>
          <w:rFonts w:hint="eastAsia" w:ascii="宋体" w:hAnsi="宋体" w:cs="宋体"/>
          <w:color w:val="auto"/>
          <w:kern w:val="0"/>
          <w:sz w:val="24"/>
          <w:szCs w:val="20"/>
          <w:highlight w:val="none"/>
        </w:rPr>
      </w:pPr>
    </w:p>
    <w:p>
      <w:pPr>
        <w:spacing w:line="360" w:lineRule="auto"/>
        <w:jc w:val="center"/>
        <w:rPr>
          <w:rFonts w:hint="eastAsia" w:ascii="宋体" w:hAnsi="宋体" w:cs="宋体"/>
          <w:bCs/>
          <w:color w:val="auto"/>
          <w:kern w:val="0"/>
          <w:sz w:val="24"/>
          <w:highlight w:val="none"/>
        </w:rPr>
      </w:pPr>
      <w:r>
        <w:rPr>
          <w:rFonts w:hint="eastAsia" w:ascii="宋体" w:hAnsi="宋体" w:cs="宋体"/>
          <w:color w:val="auto"/>
          <w:kern w:val="0"/>
          <w:sz w:val="24"/>
          <w:szCs w:val="20"/>
          <w:highlight w:val="none"/>
        </w:rPr>
        <w:t xml:space="preserve">              </w:t>
      </w:r>
      <w:r>
        <w:rPr>
          <w:rFonts w:hint="eastAsia" w:ascii="宋体" w:hAnsi="宋体" w:cs="宋体"/>
          <w:bCs/>
          <w:color w:val="auto"/>
          <w:kern w:val="0"/>
          <w:sz w:val="24"/>
          <w:highlight w:val="none"/>
        </w:rPr>
        <w:t>投标人（企业电子签章）：</w:t>
      </w:r>
    </w:p>
    <w:p>
      <w:pPr>
        <w:spacing w:line="360" w:lineRule="auto"/>
        <w:ind w:left="1080" w:leftChars="257" w:hanging="540"/>
        <w:jc w:val="center"/>
        <w:rPr>
          <w:rFonts w:hint="eastAsia" w:ascii="宋体" w:hAnsi="宋体" w:cs="宋体"/>
          <w:color w:val="auto"/>
          <w:kern w:val="0"/>
          <w:sz w:val="24"/>
          <w:szCs w:val="20"/>
          <w:highlight w:val="none"/>
        </w:rPr>
      </w:pPr>
      <w:r>
        <w:rPr>
          <w:rFonts w:hint="eastAsia" w:ascii="宋体" w:hAnsi="宋体" w:cs="宋体"/>
          <w:color w:val="auto"/>
          <w:kern w:val="0"/>
          <w:sz w:val="24"/>
          <w:szCs w:val="20"/>
          <w:highlight w:val="none"/>
        </w:rPr>
        <w:t xml:space="preserve">       </w:t>
      </w:r>
    </w:p>
    <w:p>
      <w:pPr>
        <w:spacing w:line="360" w:lineRule="auto"/>
        <w:ind w:left="645" w:leftChars="307" w:firstLine="3000" w:firstLineChars="1250"/>
        <w:rPr>
          <w:rFonts w:hint="eastAsia" w:ascii="宋体" w:hAnsi="宋体" w:cs="宋体"/>
          <w:color w:val="auto"/>
          <w:kern w:val="0"/>
          <w:sz w:val="24"/>
          <w:szCs w:val="20"/>
          <w:highlight w:val="none"/>
          <w:u w:val="single"/>
        </w:rPr>
      </w:pPr>
      <w:r>
        <w:rPr>
          <w:rFonts w:hint="eastAsia" w:ascii="宋体" w:hAnsi="宋体" w:cs="宋体"/>
          <w:color w:val="auto"/>
          <w:kern w:val="0"/>
          <w:sz w:val="24"/>
          <w:szCs w:val="20"/>
          <w:highlight w:val="none"/>
        </w:rPr>
        <w:t>日  期：</w:t>
      </w:r>
      <w:r>
        <w:rPr>
          <w:rFonts w:hint="eastAsia" w:ascii="宋体" w:hAnsi="宋体" w:cs="宋体"/>
          <w:color w:val="auto"/>
          <w:kern w:val="0"/>
          <w:sz w:val="24"/>
          <w:szCs w:val="20"/>
          <w:highlight w:val="none"/>
          <w:u w:val="single"/>
        </w:rPr>
        <w:t xml:space="preserve">                       </w:t>
      </w:r>
    </w:p>
    <w:p>
      <w:pPr>
        <w:pStyle w:val="5"/>
        <w:numPr>
          <w:ilvl w:val="1"/>
          <w:numId w:val="0"/>
        </w:numPr>
        <w:spacing w:before="0" w:line="360" w:lineRule="auto"/>
        <w:ind w:leftChars="900"/>
        <w:jc w:val="center"/>
        <w:rPr>
          <w:rFonts w:hint="eastAsia" w:ascii="宋体" w:hAnsi="宋体" w:eastAsia="宋体" w:cs="宋体"/>
          <w:color w:val="auto"/>
          <w:sz w:val="24"/>
          <w:highlight w:val="none"/>
        </w:rPr>
      </w:pPr>
      <w:r>
        <w:rPr>
          <w:rFonts w:hint="eastAsia" w:ascii="宋体" w:hAnsi="宋体" w:eastAsia="宋体" w:cs="宋体"/>
          <w:b w:val="0"/>
          <w:color w:val="auto"/>
          <w:sz w:val="24"/>
          <w:highlight w:val="none"/>
        </w:rPr>
        <w:br w:type="page"/>
      </w:r>
      <w:bookmarkStart w:id="368" w:name="_Toc17037"/>
      <w:bookmarkStart w:id="369" w:name="_Toc25545"/>
      <w:bookmarkStart w:id="370" w:name="_Toc14934318"/>
      <w:bookmarkStart w:id="371" w:name="_Toc14639"/>
      <w:bookmarkStart w:id="372" w:name="_Toc532473514"/>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-4  制造商企业（单位）类型声明函（如需要）</w:t>
      </w:r>
      <w:bookmarkEnd w:id="368"/>
      <w:bookmarkEnd w:id="369"/>
      <w:bookmarkEnd w:id="370"/>
      <w:bookmarkEnd w:id="371"/>
    </w:p>
    <w:bookmarkEnd w:id="360"/>
    <w:bookmarkEnd w:id="361"/>
    <w:bookmarkEnd w:id="362"/>
    <w:bookmarkEnd w:id="372"/>
    <w:p>
      <w:pPr>
        <w:widowControl/>
        <w:spacing w:before="100" w:beforeAutospacing="1" w:after="100" w:afterAutospacing="1"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本企业（单位）作为______单位的______ 项目</w:t>
      </w:r>
      <w:r>
        <w:rPr>
          <w:rFonts w:hint="eastAsia" w:ascii="宋体" w:hAnsi="宋体" w:cs="宋体"/>
          <w:color w:val="auto"/>
          <w:kern w:val="0"/>
          <w:sz w:val="24"/>
          <w:highlight w:val="none"/>
          <w:u w:val="single"/>
        </w:rPr>
        <w:t>（投标人名称）</w:t>
      </w:r>
      <w:r>
        <w:rPr>
          <w:rFonts w:hint="eastAsia" w:ascii="宋体" w:hAnsi="宋体" w:cs="宋体"/>
          <w:color w:val="auto"/>
          <w:kern w:val="0"/>
          <w:sz w:val="24"/>
          <w:highlight w:val="none"/>
        </w:rPr>
        <w:t>所投设备的制造商，参加政府采购活动。根据《政府采购促进中小企业发展暂行办法》（财库[2011]181号），《工业和信息化部、国家统计局、国家发展和改革委员会、财政部关于印发中小企业划型标准规定的通知》（工信部联企业[2011]300号）、《财政部、司法部关于政府采购支持监狱企业发展有关问题的通知》（财库〔2014〕68号）以及《关于促进残疾人就业政府采购政策的通知》（财库〔2017〕141号）的有关规定，作出如下声明：</w:t>
      </w:r>
    </w:p>
    <w:p>
      <w:pPr>
        <w:widowControl/>
        <w:spacing w:before="100" w:beforeAutospacing="1" w:after="100" w:afterAutospacing="1"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本企业为______（请填写：大型、中型、小型、微型）企业。</w:t>
      </w:r>
    </w:p>
    <w:p>
      <w:pPr>
        <w:widowControl/>
        <w:spacing w:before="100" w:beforeAutospacing="1" w:after="100" w:afterAutospacing="1"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本企业</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（请填写：是、不是）监狱企业。后附省级以上监狱管理局、戒毒管理局（含新疆生产建设兵团）出具的属于监狱企业的证明文件。</w:t>
      </w:r>
    </w:p>
    <w:p>
      <w:pPr>
        <w:widowControl/>
        <w:spacing w:before="100" w:beforeAutospacing="1" w:after="100" w:afterAutospacing="1"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本单位</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（请填写：是、不是）残疾人福利性单位。</w:t>
      </w:r>
    </w:p>
    <w:p>
      <w:pPr>
        <w:widowControl/>
        <w:spacing w:before="100" w:beforeAutospacing="1" w:after="100" w:afterAutospacing="1"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本企业（单位）提供本企业（单位）制造的货物。</w:t>
      </w:r>
    </w:p>
    <w:p>
      <w:pPr>
        <w:widowControl/>
        <w:spacing w:before="100" w:beforeAutospacing="1" w:after="100" w:afterAutospacing="1"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本企业（单位）对上述声明的真实性负责。如有虚假，将依法承担相应责任。</w:t>
      </w:r>
    </w:p>
    <w:p>
      <w:pPr>
        <w:widowControl/>
        <w:spacing w:before="100" w:beforeAutospacing="1" w:after="100" w:afterAutospacing="1" w:line="360" w:lineRule="auto"/>
        <w:ind w:firstLine="420"/>
        <w:jc w:val="left"/>
        <w:rPr>
          <w:rFonts w:hint="eastAsia" w:ascii="宋体" w:hAnsi="宋体" w:cs="宋体"/>
          <w:color w:val="auto"/>
          <w:kern w:val="0"/>
          <w:sz w:val="24"/>
          <w:highlight w:val="none"/>
        </w:rPr>
      </w:pPr>
      <w:r>
        <w:rPr>
          <w:rFonts w:hint="eastAsia" w:ascii="宋体" w:hAnsi="宋体" w:cs="宋体"/>
          <w:color w:val="auto"/>
          <w:kern w:val="0"/>
          <w:sz w:val="24"/>
          <w:highlight w:val="none"/>
          <w:u w:val="single" w:color="FFFFFF"/>
        </w:rPr>
        <w:t>本声明函经制造商和投标人共同盖公章生效。</w:t>
      </w:r>
    </w:p>
    <w:p>
      <w:pPr>
        <w:widowControl/>
        <w:spacing w:before="100" w:beforeAutospacing="1" w:after="100" w:afterAutospacing="1" w:line="360" w:lineRule="auto"/>
        <w:ind w:firstLine="3960" w:firstLineChars="1650"/>
        <w:jc w:val="left"/>
        <w:rPr>
          <w:rFonts w:hint="eastAsia" w:ascii="宋体" w:hAnsi="宋体" w:cs="宋体"/>
          <w:color w:val="auto"/>
          <w:kern w:val="0"/>
          <w:sz w:val="24"/>
          <w:highlight w:val="none"/>
          <w:u w:val="single"/>
        </w:rPr>
      </w:pPr>
      <w:r>
        <w:rPr>
          <w:rFonts w:hint="eastAsia" w:ascii="宋体" w:hAnsi="宋体" w:cs="宋体"/>
          <w:color w:val="auto"/>
          <w:kern w:val="0"/>
          <w:sz w:val="24"/>
          <w:highlight w:val="none"/>
        </w:rPr>
        <w:t>制造商（盖章）：</w:t>
      </w:r>
      <w:r>
        <w:rPr>
          <w:rFonts w:hint="eastAsia" w:ascii="宋体" w:hAnsi="宋体" w:cs="宋体"/>
          <w:color w:val="auto"/>
          <w:kern w:val="0"/>
          <w:sz w:val="24"/>
          <w:highlight w:val="none"/>
          <w:u w:val="single"/>
        </w:rPr>
        <w:t xml:space="preserve">             </w:t>
      </w:r>
    </w:p>
    <w:p>
      <w:pPr>
        <w:widowControl/>
        <w:spacing w:before="100" w:beforeAutospacing="1" w:after="100" w:afterAutospacing="1" w:line="360" w:lineRule="auto"/>
        <w:ind w:firstLine="3960" w:firstLineChars="1650"/>
        <w:jc w:val="left"/>
        <w:rPr>
          <w:rFonts w:hint="eastAsia" w:ascii="宋体" w:hAnsi="宋体" w:cs="宋体"/>
          <w:color w:val="auto"/>
          <w:kern w:val="0"/>
          <w:sz w:val="24"/>
          <w:highlight w:val="none"/>
        </w:rPr>
      </w:pPr>
      <w:r>
        <w:rPr>
          <w:rFonts w:hint="eastAsia" w:ascii="宋体" w:hAnsi="宋体" w:cs="宋体"/>
          <w:color w:val="auto"/>
          <w:kern w:val="0"/>
          <w:sz w:val="24"/>
          <w:highlight w:val="none"/>
        </w:rPr>
        <w:t>投标人（盖章）：</w:t>
      </w:r>
      <w:r>
        <w:rPr>
          <w:rFonts w:hint="eastAsia" w:ascii="宋体" w:hAnsi="宋体" w:cs="宋体"/>
          <w:color w:val="auto"/>
          <w:kern w:val="0"/>
          <w:sz w:val="24"/>
          <w:highlight w:val="none"/>
          <w:u w:val="single"/>
        </w:rPr>
        <w:t xml:space="preserve">             </w:t>
      </w:r>
    </w:p>
    <w:p>
      <w:pPr>
        <w:widowControl/>
        <w:spacing w:before="100" w:beforeAutospacing="1" w:after="100" w:afterAutospacing="1" w:line="360" w:lineRule="auto"/>
        <w:ind w:firstLine="3960" w:firstLineChars="1650"/>
        <w:jc w:val="left"/>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日　期：____________  </w:t>
      </w:r>
    </w:p>
    <w:p>
      <w:pPr>
        <w:widowControl/>
        <w:spacing w:before="100" w:beforeAutospacing="1" w:after="100" w:afterAutospacing="1" w:line="360" w:lineRule="auto"/>
        <w:ind w:firstLine="420"/>
        <w:jc w:val="left"/>
        <w:rPr>
          <w:rFonts w:hint="eastAsia" w:ascii="宋体" w:hAnsi="宋体" w:cs="宋体"/>
          <w:color w:val="auto"/>
          <w:kern w:val="0"/>
          <w:szCs w:val="21"/>
          <w:highlight w:val="none"/>
        </w:rPr>
      </w:pPr>
    </w:p>
    <w:p>
      <w:pPr>
        <w:spacing w:line="360" w:lineRule="auto"/>
        <w:rPr>
          <w:rFonts w:hint="eastAsia" w:ascii="宋体" w:hAnsi="宋体" w:cs="宋体"/>
          <w:color w:val="auto"/>
          <w:highlight w:val="none"/>
        </w:rPr>
      </w:pPr>
    </w:p>
    <w:p>
      <w:pPr>
        <w:widowControl/>
        <w:spacing w:before="100" w:beforeAutospacing="1" w:after="100" w:afterAutospacing="1" w:line="360" w:lineRule="auto"/>
        <w:jc w:val="left"/>
        <w:rPr>
          <w:rFonts w:hint="eastAsia" w:ascii="宋体" w:hAnsi="宋体" w:cs="宋体"/>
          <w:color w:val="auto"/>
          <w:sz w:val="24"/>
          <w:highlight w:val="none"/>
        </w:rPr>
      </w:pPr>
      <w:r>
        <w:rPr>
          <w:rFonts w:hint="eastAsia" w:ascii="宋体" w:hAnsi="宋体" w:cs="宋体"/>
          <w:color w:val="auto"/>
          <w:sz w:val="24"/>
          <w:highlight w:val="none"/>
        </w:rPr>
        <w:t>注：投标人所投产品均为自己制造，可不提供此声明函。</w:t>
      </w:r>
    </w:p>
    <w:p>
      <w:pPr>
        <w:pStyle w:val="6"/>
        <w:rPr>
          <w:rFonts w:hint="eastAsia" w:ascii="宋体" w:hAnsi="宋体" w:cs="宋体"/>
          <w:color w:val="auto"/>
          <w:highlight w:val="none"/>
        </w:rPr>
      </w:pPr>
    </w:p>
    <w:p>
      <w:pPr>
        <w:pStyle w:val="5"/>
        <w:numPr>
          <w:ilvl w:val="1"/>
          <w:numId w:val="0"/>
        </w:numPr>
        <w:spacing w:before="0" w:line="360" w:lineRule="auto"/>
        <w:ind w:left="692" w:leftChars="0"/>
        <w:jc w:val="center"/>
        <w:rPr>
          <w:rFonts w:hint="eastAsia" w:ascii="宋体" w:hAnsi="宋体" w:eastAsia="宋体" w:cs="宋体"/>
          <w:color w:val="auto"/>
          <w:sz w:val="24"/>
          <w:highlight w:val="none"/>
        </w:rPr>
      </w:pPr>
      <w:bookmarkStart w:id="373" w:name="_Toc25197"/>
      <w:bookmarkStart w:id="374" w:name="_Toc30795"/>
      <w:bookmarkStart w:id="375" w:name="_Toc28099"/>
      <w:bookmarkStart w:id="376" w:name="_Toc14934319"/>
      <w:bookmarkStart w:id="377" w:name="_Toc515647827"/>
      <w:bookmarkStart w:id="378" w:name="_Toc5115"/>
      <w:bookmarkStart w:id="379" w:name="_Toc16538"/>
      <w:bookmarkStart w:id="380" w:name="_Toc532473515"/>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rPr>
        <w:t xml:space="preserve"> 投标人关联单位的说明</w:t>
      </w:r>
      <w:bookmarkEnd w:id="373"/>
      <w:bookmarkEnd w:id="374"/>
      <w:bookmarkEnd w:id="375"/>
      <w:bookmarkEnd w:id="376"/>
      <w:bookmarkEnd w:id="377"/>
      <w:bookmarkEnd w:id="378"/>
      <w:bookmarkEnd w:id="379"/>
    </w:p>
    <w:p>
      <w:pPr>
        <w:pStyle w:val="6"/>
        <w:spacing w:line="360" w:lineRule="auto"/>
        <w:ind w:firstLine="480"/>
        <w:jc w:val="center"/>
        <w:rPr>
          <w:rFonts w:hint="eastAsia" w:ascii="宋体" w:hAnsi="宋体" w:cs="宋体"/>
          <w:color w:val="auto"/>
          <w:sz w:val="24"/>
          <w:highlight w:val="none"/>
        </w:rPr>
      </w:pPr>
      <w:r>
        <w:rPr>
          <w:rFonts w:hint="eastAsia" w:ascii="宋体" w:hAnsi="宋体" w:cs="宋体"/>
          <w:color w:val="auto"/>
          <w:sz w:val="24"/>
          <w:highlight w:val="none"/>
        </w:rPr>
        <w:t>（格式自拟）</w:t>
      </w:r>
      <w:bookmarkEnd w:id="380"/>
    </w:p>
    <w:p>
      <w:pPr>
        <w:pStyle w:val="6"/>
        <w:spacing w:line="360" w:lineRule="auto"/>
        <w:ind w:firstLine="480"/>
        <w:jc w:val="center"/>
        <w:rPr>
          <w:rFonts w:hint="eastAsia" w:ascii="宋体" w:hAnsi="宋体" w:cs="宋体"/>
          <w:color w:val="auto"/>
          <w:sz w:val="24"/>
          <w:highlight w:val="none"/>
        </w:rPr>
      </w:pPr>
    </w:p>
    <w:p>
      <w:pPr>
        <w:pStyle w:val="6"/>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说明：投标人应当如实披露与本单位存在下列关联关系的单位名称：</w:t>
      </w:r>
    </w:p>
    <w:p>
      <w:pPr>
        <w:pStyle w:val="6"/>
        <w:spacing w:line="360" w:lineRule="auto"/>
        <w:ind w:firstLine="480"/>
        <w:rPr>
          <w:rFonts w:hint="eastAsia" w:ascii="宋体" w:hAnsi="宋体" w:cs="宋体"/>
          <w:color w:val="auto"/>
          <w:sz w:val="24"/>
          <w:highlight w:val="none"/>
        </w:rPr>
      </w:pPr>
      <w:r>
        <w:rPr>
          <w:rFonts w:hint="eastAsia" w:ascii="宋体" w:hAnsi="宋体" w:cs="宋体"/>
          <w:color w:val="auto"/>
          <w:sz w:val="24"/>
          <w:highlight w:val="none"/>
        </w:rPr>
        <w:t>（1）与投标人单位负责人为同一人的其他单位；</w:t>
      </w:r>
      <w:r>
        <w:rPr>
          <w:rFonts w:hint="eastAsia" w:ascii="宋体" w:hAnsi="宋体" w:cs="宋体"/>
          <w:color w:val="auto"/>
          <w:sz w:val="24"/>
          <w:highlight w:val="none"/>
        </w:rPr>
        <w:br w:type="textWrapping"/>
      </w:r>
      <w:r>
        <w:rPr>
          <w:rFonts w:hint="eastAsia" w:ascii="宋体" w:hAnsi="宋体" w:cs="宋体"/>
          <w:color w:val="auto"/>
          <w:sz w:val="24"/>
          <w:highlight w:val="none"/>
        </w:rPr>
        <w:t xml:space="preserve">    （2）与投标人存在直接控股、管理关系的其他单位。</w:t>
      </w: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jc w:val="center"/>
        <w:rPr>
          <w:rFonts w:hint="eastAsia" w:hAnsi="宋体" w:cs="宋体"/>
          <w:b/>
          <w:color w:val="auto"/>
          <w:sz w:val="24"/>
          <w:highlight w:val="none"/>
        </w:rPr>
      </w:pPr>
    </w:p>
    <w:p>
      <w:pPr>
        <w:pStyle w:val="20"/>
        <w:spacing w:line="360" w:lineRule="auto"/>
        <w:jc w:val="left"/>
        <w:rPr>
          <w:rFonts w:hint="eastAsia" w:hAnsi="宋体" w:cs="宋体"/>
          <w:color w:val="auto"/>
          <w:sz w:val="24"/>
          <w:highlight w:val="none"/>
        </w:rPr>
      </w:pPr>
      <w:r>
        <w:rPr>
          <w:rFonts w:hint="eastAsia" w:hAnsi="宋体" w:cs="宋体"/>
          <w:color w:val="auto"/>
          <w:sz w:val="24"/>
          <w:highlight w:val="none"/>
        </w:rPr>
        <w:t xml:space="preserve">　　　　　　　　　　　          </w:t>
      </w:r>
    </w:p>
    <w:p>
      <w:pPr>
        <w:pStyle w:val="5"/>
        <w:numPr>
          <w:ilvl w:val="1"/>
          <w:numId w:val="0"/>
        </w:numPr>
        <w:spacing w:before="0" w:line="360" w:lineRule="auto"/>
        <w:ind w:left="692" w:leftChars="0"/>
        <w:jc w:val="center"/>
        <w:rPr>
          <w:rFonts w:hint="eastAsia" w:ascii="宋体" w:hAnsi="宋体" w:eastAsia="宋体" w:cs="宋体"/>
          <w:b/>
          <w:bCs/>
          <w:color w:val="auto"/>
          <w:sz w:val="24"/>
          <w:highlight w:val="none"/>
          <w:lang w:val="en-US" w:eastAsia="zh-CN"/>
        </w:rPr>
      </w:pPr>
      <w:bookmarkStart w:id="381" w:name="_Hlt520273973"/>
      <w:bookmarkEnd w:id="381"/>
      <w:bookmarkStart w:id="382" w:name="_Toc515647828"/>
      <w:bookmarkEnd w:id="382"/>
      <w:bookmarkStart w:id="383" w:name="_Toc17333"/>
      <w:bookmarkEnd w:id="383"/>
      <w:bookmarkStart w:id="384" w:name="_Hlt520343392"/>
      <w:bookmarkEnd w:id="384"/>
      <w:bookmarkStart w:id="385" w:name="_Hlt520274407"/>
      <w:bookmarkEnd w:id="385"/>
      <w:bookmarkStart w:id="386" w:name="_Hlt520350918"/>
      <w:bookmarkEnd w:id="386"/>
      <w:bookmarkStart w:id="387" w:name="_Toc7414"/>
      <w:bookmarkEnd w:id="387"/>
      <w:bookmarkStart w:id="388" w:name="_Hlt520273711"/>
      <w:bookmarkEnd w:id="388"/>
      <w:bookmarkStart w:id="389" w:name="_Hlt520274911"/>
      <w:bookmarkEnd w:id="389"/>
      <w:bookmarkStart w:id="390" w:name="_Hlt520274065"/>
      <w:bookmarkEnd w:id="390"/>
      <w:bookmarkStart w:id="391" w:name="_Hlt520343000"/>
      <w:bookmarkEnd w:id="391"/>
      <w:bookmarkStart w:id="392" w:name="_Hlt520350957"/>
      <w:bookmarkEnd w:id="392"/>
      <w:bookmarkStart w:id="393" w:name="_Hlt520274393"/>
      <w:bookmarkEnd w:id="393"/>
      <w:bookmarkStart w:id="394" w:name="_Hlt520271212"/>
      <w:bookmarkEnd w:id="394"/>
      <w:bookmarkStart w:id="395" w:name="_Toc14077"/>
      <w:bookmarkStart w:id="396" w:name="_Toc10324"/>
      <w:bookmarkStart w:id="397" w:name="_Toc3184"/>
      <w:bookmarkStart w:id="398" w:name="_Toc395181599"/>
      <w:bookmarkStart w:id="399" w:name="_Toc99423354"/>
      <w:bookmarkStart w:id="400" w:name="_Toc451931391"/>
      <w:bookmarkStart w:id="401" w:name="_Toc532473518"/>
      <w:bookmarkStart w:id="402" w:name="_Toc14934321"/>
      <w:bookmarkStart w:id="403" w:name="_Toc14934322"/>
      <w:r>
        <w:rPr>
          <w:rFonts w:hint="eastAsia" w:ascii="宋体" w:hAnsi="宋体" w:eastAsia="宋体" w:cs="宋体"/>
          <w:b/>
          <w:bCs/>
          <w:color w:val="auto"/>
          <w:sz w:val="24"/>
          <w:highlight w:val="none"/>
          <w:lang w:val="en-US" w:eastAsia="zh-CN"/>
        </w:rPr>
        <w:t>5 201</w:t>
      </w:r>
      <w:r>
        <w:rPr>
          <w:rFonts w:hint="eastAsia" w:ascii="宋体" w:hAnsi="宋体" w:cs="宋体"/>
          <w:b/>
          <w:bCs/>
          <w:color w:val="auto"/>
          <w:sz w:val="24"/>
          <w:highlight w:val="none"/>
          <w:lang w:val="en-US" w:eastAsia="zh-CN"/>
        </w:rPr>
        <w:t>8</w:t>
      </w:r>
      <w:r>
        <w:rPr>
          <w:rFonts w:hint="eastAsia" w:ascii="宋体" w:hAnsi="宋体" w:eastAsia="宋体" w:cs="宋体"/>
          <w:b/>
          <w:bCs/>
          <w:color w:val="auto"/>
          <w:sz w:val="24"/>
          <w:highlight w:val="none"/>
          <w:lang w:val="en-US" w:eastAsia="zh-CN"/>
        </w:rPr>
        <w:t>年以来完成的类似项目业绩一览表</w:t>
      </w:r>
      <w:bookmarkEnd w:id="395"/>
      <w:bookmarkEnd w:id="396"/>
      <w:bookmarkEnd w:id="397"/>
    </w:p>
    <w:tbl>
      <w:tblPr>
        <w:tblStyle w:val="32"/>
        <w:tblW w:w="90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0"/>
        <w:gridCol w:w="1436"/>
        <w:gridCol w:w="1785"/>
        <w:gridCol w:w="1350"/>
        <w:gridCol w:w="1248"/>
        <w:gridCol w:w="24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noWrap w:val="0"/>
            <w:vAlign w:val="center"/>
          </w:tcPr>
          <w:p>
            <w:pPr>
              <w:pStyle w:val="6"/>
              <w:ind w:left="0" w:leftChars="0" w:firstLine="0" w:firstLine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436" w:type="dxa"/>
            <w:noWrap w:val="0"/>
            <w:vAlign w:val="center"/>
          </w:tcPr>
          <w:p>
            <w:pPr>
              <w:pStyle w:val="6"/>
              <w:ind w:left="0" w:leftChars="0" w:firstLine="0" w:firstLine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1785" w:type="dxa"/>
            <w:noWrap w:val="0"/>
            <w:vAlign w:val="center"/>
          </w:tcPr>
          <w:p>
            <w:pPr>
              <w:pStyle w:val="6"/>
              <w:ind w:left="0" w:leftChars="0" w:firstLine="0" w:firstLine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主要图书类型</w:t>
            </w:r>
          </w:p>
        </w:tc>
        <w:tc>
          <w:tcPr>
            <w:tcW w:w="1350" w:type="dxa"/>
            <w:noWrap w:val="0"/>
            <w:vAlign w:val="center"/>
          </w:tcPr>
          <w:p>
            <w:pPr>
              <w:pStyle w:val="6"/>
              <w:ind w:left="0" w:leftChars="0" w:firstLine="0" w:firstLine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合同金额</w:t>
            </w:r>
          </w:p>
        </w:tc>
        <w:tc>
          <w:tcPr>
            <w:tcW w:w="1248" w:type="dxa"/>
            <w:noWrap w:val="0"/>
            <w:vAlign w:val="center"/>
          </w:tcPr>
          <w:p>
            <w:pPr>
              <w:pStyle w:val="6"/>
              <w:ind w:left="0" w:leftChars="0" w:firstLine="0" w:firstLine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完成时间</w:t>
            </w:r>
          </w:p>
        </w:tc>
        <w:tc>
          <w:tcPr>
            <w:tcW w:w="2416" w:type="dxa"/>
            <w:noWrap w:val="0"/>
            <w:vAlign w:val="center"/>
          </w:tcPr>
          <w:p>
            <w:pPr>
              <w:pStyle w:val="6"/>
              <w:ind w:left="0" w:leftChars="0" w:firstLine="0" w:firstLineChars="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项目单位联系人电话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noWrap w:val="0"/>
            <w:vAlign w:val="center"/>
          </w:tcPr>
          <w:p>
            <w:pPr>
              <w:pStyle w:val="6"/>
              <w:jc w:val="center"/>
              <w:rPr>
                <w:rFonts w:hint="eastAsia" w:ascii="宋体" w:hAnsi="宋体" w:eastAsia="宋体" w:cs="宋体"/>
                <w:color w:val="auto"/>
                <w:sz w:val="24"/>
                <w:szCs w:val="24"/>
                <w:highlight w:val="none"/>
              </w:rPr>
            </w:pPr>
          </w:p>
        </w:tc>
        <w:tc>
          <w:tcPr>
            <w:tcW w:w="1436" w:type="dxa"/>
            <w:noWrap w:val="0"/>
            <w:vAlign w:val="center"/>
          </w:tcPr>
          <w:p>
            <w:pPr>
              <w:pStyle w:val="6"/>
              <w:jc w:val="center"/>
              <w:rPr>
                <w:rFonts w:hint="eastAsia" w:ascii="宋体" w:hAnsi="宋体" w:eastAsia="宋体" w:cs="宋体"/>
                <w:color w:val="auto"/>
                <w:sz w:val="24"/>
                <w:szCs w:val="24"/>
                <w:highlight w:val="none"/>
              </w:rPr>
            </w:pPr>
          </w:p>
        </w:tc>
        <w:tc>
          <w:tcPr>
            <w:tcW w:w="1785" w:type="dxa"/>
            <w:noWrap w:val="0"/>
            <w:vAlign w:val="center"/>
          </w:tcPr>
          <w:p>
            <w:pPr>
              <w:pStyle w:val="6"/>
              <w:jc w:val="center"/>
              <w:rPr>
                <w:rFonts w:hint="eastAsia" w:ascii="宋体" w:hAnsi="宋体" w:eastAsia="宋体" w:cs="宋体"/>
                <w:color w:val="auto"/>
                <w:sz w:val="24"/>
                <w:szCs w:val="24"/>
                <w:highlight w:val="none"/>
              </w:rPr>
            </w:pPr>
          </w:p>
        </w:tc>
        <w:tc>
          <w:tcPr>
            <w:tcW w:w="1350" w:type="dxa"/>
            <w:noWrap w:val="0"/>
            <w:vAlign w:val="center"/>
          </w:tcPr>
          <w:p>
            <w:pPr>
              <w:pStyle w:val="6"/>
              <w:jc w:val="center"/>
              <w:rPr>
                <w:rFonts w:hint="eastAsia" w:ascii="宋体" w:hAnsi="宋体" w:eastAsia="宋体" w:cs="宋体"/>
                <w:color w:val="auto"/>
                <w:sz w:val="24"/>
                <w:szCs w:val="24"/>
                <w:highlight w:val="none"/>
              </w:rPr>
            </w:pPr>
          </w:p>
        </w:tc>
        <w:tc>
          <w:tcPr>
            <w:tcW w:w="1248" w:type="dxa"/>
            <w:noWrap w:val="0"/>
            <w:vAlign w:val="center"/>
          </w:tcPr>
          <w:p>
            <w:pPr>
              <w:pStyle w:val="6"/>
              <w:jc w:val="center"/>
              <w:rPr>
                <w:rFonts w:hint="eastAsia" w:ascii="宋体" w:hAnsi="宋体" w:eastAsia="宋体" w:cs="宋体"/>
                <w:color w:val="auto"/>
                <w:sz w:val="24"/>
                <w:szCs w:val="24"/>
                <w:highlight w:val="none"/>
              </w:rPr>
            </w:pPr>
          </w:p>
        </w:tc>
        <w:tc>
          <w:tcPr>
            <w:tcW w:w="2416" w:type="dxa"/>
            <w:noWrap w:val="0"/>
            <w:vAlign w:val="center"/>
          </w:tcPr>
          <w:p>
            <w:pPr>
              <w:pStyle w:val="6"/>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noWrap w:val="0"/>
            <w:vAlign w:val="center"/>
          </w:tcPr>
          <w:p>
            <w:pPr>
              <w:pStyle w:val="6"/>
              <w:jc w:val="center"/>
              <w:rPr>
                <w:rFonts w:hint="eastAsia" w:ascii="宋体" w:hAnsi="宋体" w:eastAsia="宋体" w:cs="宋体"/>
                <w:color w:val="auto"/>
                <w:sz w:val="24"/>
                <w:szCs w:val="24"/>
                <w:highlight w:val="none"/>
              </w:rPr>
            </w:pPr>
          </w:p>
        </w:tc>
        <w:tc>
          <w:tcPr>
            <w:tcW w:w="1436" w:type="dxa"/>
            <w:noWrap w:val="0"/>
            <w:vAlign w:val="center"/>
          </w:tcPr>
          <w:p>
            <w:pPr>
              <w:pStyle w:val="6"/>
              <w:jc w:val="center"/>
              <w:rPr>
                <w:rFonts w:hint="eastAsia" w:ascii="宋体" w:hAnsi="宋体" w:eastAsia="宋体" w:cs="宋体"/>
                <w:color w:val="auto"/>
                <w:sz w:val="24"/>
                <w:szCs w:val="24"/>
                <w:highlight w:val="none"/>
              </w:rPr>
            </w:pPr>
          </w:p>
        </w:tc>
        <w:tc>
          <w:tcPr>
            <w:tcW w:w="1785" w:type="dxa"/>
            <w:noWrap w:val="0"/>
            <w:vAlign w:val="center"/>
          </w:tcPr>
          <w:p>
            <w:pPr>
              <w:pStyle w:val="6"/>
              <w:jc w:val="center"/>
              <w:rPr>
                <w:rFonts w:hint="eastAsia" w:ascii="宋体" w:hAnsi="宋体" w:eastAsia="宋体" w:cs="宋体"/>
                <w:color w:val="auto"/>
                <w:sz w:val="24"/>
                <w:szCs w:val="24"/>
                <w:highlight w:val="none"/>
              </w:rPr>
            </w:pPr>
          </w:p>
        </w:tc>
        <w:tc>
          <w:tcPr>
            <w:tcW w:w="1350" w:type="dxa"/>
            <w:noWrap w:val="0"/>
            <w:vAlign w:val="center"/>
          </w:tcPr>
          <w:p>
            <w:pPr>
              <w:pStyle w:val="6"/>
              <w:jc w:val="center"/>
              <w:rPr>
                <w:rFonts w:hint="eastAsia" w:ascii="宋体" w:hAnsi="宋体" w:eastAsia="宋体" w:cs="宋体"/>
                <w:color w:val="auto"/>
                <w:sz w:val="24"/>
                <w:szCs w:val="24"/>
                <w:highlight w:val="none"/>
              </w:rPr>
            </w:pPr>
          </w:p>
        </w:tc>
        <w:tc>
          <w:tcPr>
            <w:tcW w:w="1248" w:type="dxa"/>
            <w:noWrap w:val="0"/>
            <w:vAlign w:val="center"/>
          </w:tcPr>
          <w:p>
            <w:pPr>
              <w:pStyle w:val="6"/>
              <w:jc w:val="center"/>
              <w:rPr>
                <w:rFonts w:hint="eastAsia" w:ascii="宋体" w:hAnsi="宋体" w:eastAsia="宋体" w:cs="宋体"/>
                <w:color w:val="auto"/>
                <w:sz w:val="24"/>
                <w:szCs w:val="24"/>
                <w:highlight w:val="none"/>
              </w:rPr>
            </w:pPr>
          </w:p>
        </w:tc>
        <w:tc>
          <w:tcPr>
            <w:tcW w:w="2416" w:type="dxa"/>
            <w:noWrap w:val="0"/>
            <w:vAlign w:val="center"/>
          </w:tcPr>
          <w:p>
            <w:pPr>
              <w:pStyle w:val="6"/>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noWrap w:val="0"/>
            <w:vAlign w:val="center"/>
          </w:tcPr>
          <w:p>
            <w:pPr>
              <w:pStyle w:val="6"/>
              <w:jc w:val="center"/>
              <w:rPr>
                <w:rFonts w:hint="eastAsia" w:ascii="宋体" w:hAnsi="宋体" w:eastAsia="宋体" w:cs="宋体"/>
                <w:color w:val="auto"/>
                <w:sz w:val="24"/>
                <w:szCs w:val="24"/>
                <w:highlight w:val="none"/>
              </w:rPr>
            </w:pPr>
          </w:p>
        </w:tc>
        <w:tc>
          <w:tcPr>
            <w:tcW w:w="1436" w:type="dxa"/>
            <w:noWrap w:val="0"/>
            <w:vAlign w:val="center"/>
          </w:tcPr>
          <w:p>
            <w:pPr>
              <w:pStyle w:val="6"/>
              <w:jc w:val="center"/>
              <w:rPr>
                <w:rFonts w:hint="eastAsia" w:ascii="宋体" w:hAnsi="宋体" w:eastAsia="宋体" w:cs="宋体"/>
                <w:color w:val="auto"/>
                <w:sz w:val="24"/>
                <w:szCs w:val="24"/>
                <w:highlight w:val="none"/>
              </w:rPr>
            </w:pPr>
          </w:p>
        </w:tc>
        <w:tc>
          <w:tcPr>
            <w:tcW w:w="1785" w:type="dxa"/>
            <w:noWrap w:val="0"/>
            <w:vAlign w:val="center"/>
          </w:tcPr>
          <w:p>
            <w:pPr>
              <w:pStyle w:val="6"/>
              <w:jc w:val="center"/>
              <w:rPr>
                <w:rFonts w:hint="eastAsia" w:ascii="宋体" w:hAnsi="宋体" w:eastAsia="宋体" w:cs="宋体"/>
                <w:color w:val="auto"/>
                <w:sz w:val="24"/>
                <w:szCs w:val="24"/>
                <w:highlight w:val="none"/>
              </w:rPr>
            </w:pPr>
          </w:p>
        </w:tc>
        <w:tc>
          <w:tcPr>
            <w:tcW w:w="1350" w:type="dxa"/>
            <w:noWrap w:val="0"/>
            <w:vAlign w:val="center"/>
          </w:tcPr>
          <w:p>
            <w:pPr>
              <w:pStyle w:val="6"/>
              <w:jc w:val="center"/>
              <w:rPr>
                <w:rFonts w:hint="eastAsia" w:ascii="宋体" w:hAnsi="宋体" w:eastAsia="宋体" w:cs="宋体"/>
                <w:color w:val="auto"/>
                <w:sz w:val="24"/>
                <w:szCs w:val="24"/>
                <w:highlight w:val="none"/>
              </w:rPr>
            </w:pPr>
          </w:p>
        </w:tc>
        <w:tc>
          <w:tcPr>
            <w:tcW w:w="1248" w:type="dxa"/>
            <w:noWrap w:val="0"/>
            <w:vAlign w:val="center"/>
          </w:tcPr>
          <w:p>
            <w:pPr>
              <w:pStyle w:val="6"/>
              <w:jc w:val="center"/>
              <w:rPr>
                <w:rFonts w:hint="eastAsia" w:ascii="宋体" w:hAnsi="宋体" w:eastAsia="宋体" w:cs="宋体"/>
                <w:color w:val="auto"/>
                <w:sz w:val="24"/>
                <w:szCs w:val="24"/>
                <w:highlight w:val="none"/>
              </w:rPr>
            </w:pPr>
          </w:p>
        </w:tc>
        <w:tc>
          <w:tcPr>
            <w:tcW w:w="2416" w:type="dxa"/>
            <w:noWrap w:val="0"/>
            <w:vAlign w:val="center"/>
          </w:tcPr>
          <w:p>
            <w:pPr>
              <w:pStyle w:val="6"/>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noWrap w:val="0"/>
            <w:vAlign w:val="center"/>
          </w:tcPr>
          <w:p>
            <w:pPr>
              <w:pStyle w:val="6"/>
              <w:jc w:val="center"/>
              <w:rPr>
                <w:rFonts w:hint="eastAsia" w:ascii="宋体" w:hAnsi="宋体" w:eastAsia="宋体" w:cs="宋体"/>
                <w:color w:val="auto"/>
                <w:sz w:val="24"/>
                <w:szCs w:val="24"/>
                <w:highlight w:val="none"/>
              </w:rPr>
            </w:pPr>
          </w:p>
        </w:tc>
        <w:tc>
          <w:tcPr>
            <w:tcW w:w="1436" w:type="dxa"/>
            <w:noWrap w:val="0"/>
            <w:vAlign w:val="center"/>
          </w:tcPr>
          <w:p>
            <w:pPr>
              <w:pStyle w:val="6"/>
              <w:jc w:val="center"/>
              <w:rPr>
                <w:rFonts w:hint="eastAsia" w:ascii="宋体" w:hAnsi="宋体" w:eastAsia="宋体" w:cs="宋体"/>
                <w:color w:val="auto"/>
                <w:sz w:val="24"/>
                <w:szCs w:val="24"/>
                <w:highlight w:val="none"/>
              </w:rPr>
            </w:pPr>
          </w:p>
        </w:tc>
        <w:tc>
          <w:tcPr>
            <w:tcW w:w="1785" w:type="dxa"/>
            <w:noWrap w:val="0"/>
            <w:vAlign w:val="center"/>
          </w:tcPr>
          <w:p>
            <w:pPr>
              <w:pStyle w:val="6"/>
              <w:jc w:val="center"/>
              <w:rPr>
                <w:rFonts w:hint="eastAsia" w:ascii="宋体" w:hAnsi="宋体" w:eastAsia="宋体" w:cs="宋体"/>
                <w:color w:val="auto"/>
                <w:sz w:val="24"/>
                <w:szCs w:val="24"/>
                <w:highlight w:val="none"/>
              </w:rPr>
            </w:pPr>
          </w:p>
        </w:tc>
        <w:tc>
          <w:tcPr>
            <w:tcW w:w="1350" w:type="dxa"/>
            <w:noWrap w:val="0"/>
            <w:vAlign w:val="center"/>
          </w:tcPr>
          <w:p>
            <w:pPr>
              <w:pStyle w:val="6"/>
              <w:jc w:val="center"/>
              <w:rPr>
                <w:rFonts w:hint="eastAsia" w:ascii="宋体" w:hAnsi="宋体" w:eastAsia="宋体" w:cs="宋体"/>
                <w:color w:val="auto"/>
                <w:sz w:val="24"/>
                <w:szCs w:val="24"/>
                <w:highlight w:val="none"/>
              </w:rPr>
            </w:pPr>
          </w:p>
        </w:tc>
        <w:tc>
          <w:tcPr>
            <w:tcW w:w="1248" w:type="dxa"/>
            <w:noWrap w:val="0"/>
            <w:vAlign w:val="center"/>
          </w:tcPr>
          <w:p>
            <w:pPr>
              <w:pStyle w:val="6"/>
              <w:jc w:val="center"/>
              <w:rPr>
                <w:rFonts w:hint="eastAsia" w:ascii="宋体" w:hAnsi="宋体" w:eastAsia="宋体" w:cs="宋体"/>
                <w:color w:val="auto"/>
                <w:sz w:val="24"/>
                <w:szCs w:val="24"/>
                <w:highlight w:val="none"/>
              </w:rPr>
            </w:pPr>
          </w:p>
        </w:tc>
        <w:tc>
          <w:tcPr>
            <w:tcW w:w="2416" w:type="dxa"/>
            <w:noWrap w:val="0"/>
            <w:vAlign w:val="center"/>
          </w:tcPr>
          <w:p>
            <w:pPr>
              <w:pStyle w:val="6"/>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noWrap w:val="0"/>
            <w:vAlign w:val="center"/>
          </w:tcPr>
          <w:p>
            <w:pPr>
              <w:pStyle w:val="6"/>
              <w:jc w:val="center"/>
              <w:rPr>
                <w:rFonts w:hint="eastAsia" w:ascii="宋体" w:hAnsi="宋体" w:eastAsia="宋体" w:cs="宋体"/>
                <w:color w:val="auto"/>
                <w:sz w:val="24"/>
                <w:szCs w:val="24"/>
                <w:highlight w:val="none"/>
              </w:rPr>
            </w:pPr>
          </w:p>
        </w:tc>
        <w:tc>
          <w:tcPr>
            <w:tcW w:w="1436" w:type="dxa"/>
            <w:noWrap w:val="0"/>
            <w:vAlign w:val="center"/>
          </w:tcPr>
          <w:p>
            <w:pPr>
              <w:pStyle w:val="6"/>
              <w:jc w:val="center"/>
              <w:rPr>
                <w:rFonts w:hint="eastAsia" w:ascii="宋体" w:hAnsi="宋体" w:eastAsia="宋体" w:cs="宋体"/>
                <w:color w:val="auto"/>
                <w:sz w:val="24"/>
                <w:szCs w:val="24"/>
                <w:highlight w:val="none"/>
              </w:rPr>
            </w:pPr>
          </w:p>
        </w:tc>
        <w:tc>
          <w:tcPr>
            <w:tcW w:w="1785" w:type="dxa"/>
            <w:noWrap w:val="0"/>
            <w:vAlign w:val="center"/>
          </w:tcPr>
          <w:p>
            <w:pPr>
              <w:pStyle w:val="6"/>
              <w:jc w:val="center"/>
              <w:rPr>
                <w:rFonts w:hint="eastAsia" w:ascii="宋体" w:hAnsi="宋体" w:eastAsia="宋体" w:cs="宋体"/>
                <w:color w:val="auto"/>
                <w:sz w:val="24"/>
                <w:szCs w:val="24"/>
                <w:highlight w:val="none"/>
              </w:rPr>
            </w:pPr>
          </w:p>
        </w:tc>
        <w:tc>
          <w:tcPr>
            <w:tcW w:w="1350" w:type="dxa"/>
            <w:noWrap w:val="0"/>
            <w:vAlign w:val="center"/>
          </w:tcPr>
          <w:p>
            <w:pPr>
              <w:pStyle w:val="6"/>
              <w:jc w:val="center"/>
              <w:rPr>
                <w:rFonts w:hint="eastAsia" w:ascii="宋体" w:hAnsi="宋体" w:eastAsia="宋体" w:cs="宋体"/>
                <w:color w:val="auto"/>
                <w:sz w:val="24"/>
                <w:szCs w:val="24"/>
                <w:highlight w:val="none"/>
              </w:rPr>
            </w:pPr>
          </w:p>
        </w:tc>
        <w:tc>
          <w:tcPr>
            <w:tcW w:w="1248" w:type="dxa"/>
            <w:noWrap w:val="0"/>
            <w:vAlign w:val="center"/>
          </w:tcPr>
          <w:p>
            <w:pPr>
              <w:pStyle w:val="6"/>
              <w:jc w:val="center"/>
              <w:rPr>
                <w:rFonts w:hint="eastAsia" w:ascii="宋体" w:hAnsi="宋体" w:eastAsia="宋体" w:cs="宋体"/>
                <w:color w:val="auto"/>
                <w:sz w:val="24"/>
                <w:szCs w:val="24"/>
                <w:highlight w:val="none"/>
              </w:rPr>
            </w:pPr>
          </w:p>
        </w:tc>
        <w:tc>
          <w:tcPr>
            <w:tcW w:w="2416" w:type="dxa"/>
            <w:noWrap w:val="0"/>
            <w:vAlign w:val="center"/>
          </w:tcPr>
          <w:p>
            <w:pPr>
              <w:pStyle w:val="6"/>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50" w:type="dxa"/>
            <w:noWrap w:val="0"/>
            <w:vAlign w:val="center"/>
          </w:tcPr>
          <w:p>
            <w:pPr>
              <w:pStyle w:val="6"/>
              <w:jc w:val="center"/>
              <w:rPr>
                <w:rFonts w:hint="eastAsia" w:ascii="宋体" w:hAnsi="宋体" w:eastAsia="宋体" w:cs="宋体"/>
                <w:color w:val="auto"/>
                <w:sz w:val="24"/>
                <w:szCs w:val="24"/>
                <w:highlight w:val="none"/>
              </w:rPr>
            </w:pPr>
          </w:p>
        </w:tc>
        <w:tc>
          <w:tcPr>
            <w:tcW w:w="1436" w:type="dxa"/>
            <w:noWrap w:val="0"/>
            <w:vAlign w:val="center"/>
          </w:tcPr>
          <w:p>
            <w:pPr>
              <w:pStyle w:val="6"/>
              <w:jc w:val="center"/>
              <w:rPr>
                <w:rFonts w:hint="eastAsia" w:ascii="宋体" w:hAnsi="宋体" w:eastAsia="宋体" w:cs="宋体"/>
                <w:color w:val="auto"/>
                <w:sz w:val="24"/>
                <w:szCs w:val="24"/>
                <w:highlight w:val="none"/>
              </w:rPr>
            </w:pPr>
          </w:p>
        </w:tc>
        <w:tc>
          <w:tcPr>
            <w:tcW w:w="1785" w:type="dxa"/>
            <w:noWrap w:val="0"/>
            <w:vAlign w:val="center"/>
          </w:tcPr>
          <w:p>
            <w:pPr>
              <w:pStyle w:val="6"/>
              <w:jc w:val="center"/>
              <w:rPr>
                <w:rFonts w:hint="eastAsia" w:ascii="宋体" w:hAnsi="宋体" w:eastAsia="宋体" w:cs="宋体"/>
                <w:color w:val="auto"/>
                <w:sz w:val="24"/>
                <w:szCs w:val="24"/>
                <w:highlight w:val="none"/>
              </w:rPr>
            </w:pPr>
          </w:p>
        </w:tc>
        <w:tc>
          <w:tcPr>
            <w:tcW w:w="1350" w:type="dxa"/>
            <w:noWrap w:val="0"/>
            <w:vAlign w:val="center"/>
          </w:tcPr>
          <w:p>
            <w:pPr>
              <w:pStyle w:val="6"/>
              <w:jc w:val="center"/>
              <w:rPr>
                <w:rFonts w:hint="eastAsia" w:ascii="宋体" w:hAnsi="宋体" w:eastAsia="宋体" w:cs="宋体"/>
                <w:color w:val="auto"/>
                <w:sz w:val="24"/>
                <w:szCs w:val="24"/>
                <w:highlight w:val="none"/>
              </w:rPr>
            </w:pPr>
          </w:p>
        </w:tc>
        <w:tc>
          <w:tcPr>
            <w:tcW w:w="1248" w:type="dxa"/>
            <w:noWrap w:val="0"/>
            <w:vAlign w:val="center"/>
          </w:tcPr>
          <w:p>
            <w:pPr>
              <w:pStyle w:val="6"/>
              <w:jc w:val="center"/>
              <w:rPr>
                <w:rFonts w:hint="eastAsia" w:ascii="宋体" w:hAnsi="宋体" w:eastAsia="宋体" w:cs="宋体"/>
                <w:color w:val="auto"/>
                <w:sz w:val="24"/>
                <w:szCs w:val="24"/>
                <w:highlight w:val="none"/>
              </w:rPr>
            </w:pPr>
          </w:p>
        </w:tc>
        <w:tc>
          <w:tcPr>
            <w:tcW w:w="2416" w:type="dxa"/>
            <w:noWrap w:val="0"/>
            <w:vAlign w:val="center"/>
          </w:tcPr>
          <w:p>
            <w:pPr>
              <w:pStyle w:val="6"/>
              <w:jc w:val="center"/>
              <w:rPr>
                <w:rFonts w:hint="eastAsia" w:ascii="宋体" w:hAnsi="宋体" w:eastAsia="宋体" w:cs="宋体"/>
                <w:color w:val="auto"/>
                <w:sz w:val="24"/>
                <w:szCs w:val="24"/>
                <w:highlight w:val="none"/>
              </w:rPr>
            </w:pPr>
          </w:p>
        </w:tc>
      </w:tr>
    </w:tbl>
    <w:p>
      <w:pPr>
        <w:pStyle w:val="6"/>
        <w:rPr>
          <w:rFonts w:hint="eastAsia" w:ascii="宋体" w:hAnsi="宋体" w:eastAsia="宋体" w:cs="宋体"/>
          <w:color w:val="auto"/>
          <w:highlight w:val="none"/>
        </w:rPr>
      </w:pPr>
    </w:p>
    <w:p>
      <w:pPr>
        <w:spacing w:line="360" w:lineRule="auto"/>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注：</w:t>
      </w:r>
      <w:r>
        <w:rPr>
          <w:rFonts w:hint="eastAsia" w:ascii="宋体" w:hAnsi="宋体" w:eastAsia="宋体" w:cs="宋体"/>
          <w:color w:val="auto"/>
          <w:sz w:val="24"/>
          <w:highlight w:val="none"/>
        </w:rPr>
        <w:t>投标人需附需要提供合同书或协议书扫描件，并加盖</w:t>
      </w:r>
      <w:r>
        <w:rPr>
          <w:rFonts w:hint="eastAsia" w:ascii="宋体" w:hAnsi="宋体" w:eastAsia="宋体" w:cs="宋体"/>
          <w:color w:val="auto"/>
          <w:sz w:val="24"/>
          <w:highlight w:val="none"/>
          <w:lang w:eastAsia="zh-CN"/>
        </w:rPr>
        <w:t>电子签章。</w:t>
      </w:r>
    </w:p>
    <w:p>
      <w:pPr>
        <w:spacing w:line="36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（此表可延长）</w:t>
      </w:r>
      <w:bookmarkEnd w:id="398"/>
      <w:bookmarkEnd w:id="399"/>
      <w:bookmarkEnd w:id="400"/>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投标人(企业电子签章)：</w:t>
      </w:r>
    </w:p>
    <w:p>
      <w:pPr>
        <w:pStyle w:val="21"/>
        <w:adjustRightInd/>
        <w:spacing w:line="240" w:lineRule="auto"/>
        <w:rPr>
          <w:rFonts w:hint="eastAsia" w:ascii="宋体" w:hAnsi="宋体" w:eastAsia="宋体" w:cs="宋体"/>
          <w:color w:val="auto"/>
          <w:sz w:val="24"/>
          <w:szCs w:val="24"/>
          <w:highlight w:val="none"/>
        </w:rPr>
      </w:pPr>
    </w:p>
    <w:p>
      <w:pPr>
        <w:pStyle w:val="21"/>
        <w:adjustRightInd/>
        <w:spacing w:line="24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法定代表人(个人电子签章)：</w:t>
      </w:r>
    </w:p>
    <w:p>
      <w:pPr>
        <w:rPr>
          <w:rFonts w:hint="eastAsia" w:ascii="宋体" w:hAnsi="宋体" w:eastAsia="宋体" w:cs="宋体"/>
          <w:color w:val="auto"/>
          <w:sz w:val="24"/>
          <w:highlight w:val="none"/>
        </w:rPr>
      </w:pPr>
    </w:p>
    <w:p>
      <w:pPr>
        <w:pStyle w:val="18"/>
        <w:spacing w:line="520" w:lineRule="exact"/>
        <w:jc w:val="right"/>
        <w:rPr>
          <w:rFonts w:hint="eastAsia" w:ascii="宋体" w:hAnsi="宋体" w:cs="宋体"/>
          <w:color w:val="auto"/>
          <w:highlight w:val="none"/>
        </w:rPr>
      </w:pPr>
      <w:r>
        <w:rPr>
          <w:rFonts w:hint="eastAsia" w:ascii="宋体" w:hAnsi="宋体" w:eastAsia="宋体" w:cs="宋体"/>
          <w:color w:val="auto"/>
          <w:sz w:val="24"/>
          <w:highlight w:val="none"/>
        </w:rPr>
        <w:t>日  期：</w:t>
      </w:r>
    </w:p>
    <w:p>
      <w:pPr>
        <w:pStyle w:val="7"/>
        <w:numPr>
          <w:ilvl w:val="2"/>
          <w:numId w:val="0"/>
        </w:numPr>
        <w:spacing w:line="520" w:lineRule="exact"/>
        <w:ind w:leftChars="0"/>
        <w:jc w:val="center"/>
        <w:rPr>
          <w:rFonts w:hint="eastAsia" w:ascii="宋体" w:hAnsi="宋体" w:cs="宋体"/>
          <w:bCs/>
          <w:color w:val="auto"/>
          <w:sz w:val="28"/>
          <w:szCs w:val="28"/>
          <w:highlight w:val="none"/>
        </w:rPr>
      </w:pPr>
      <w:r>
        <w:rPr>
          <w:rFonts w:hint="eastAsia" w:ascii="宋体" w:hAnsi="宋体" w:cs="宋体"/>
          <w:color w:val="auto"/>
          <w:sz w:val="28"/>
          <w:szCs w:val="28"/>
          <w:highlight w:val="none"/>
        </w:rPr>
        <w:br w:type="page"/>
      </w:r>
      <w:bookmarkStart w:id="404" w:name="_Toc4585"/>
      <w:r>
        <w:rPr>
          <w:rFonts w:hint="eastAsia" w:ascii="宋体" w:hAnsi="宋体" w:eastAsia="宋体" w:cs="宋体"/>
          <w:b/>
          <w:bCs/>
          <w:color w:val="auto"/>
          <w:kern w:val="2"/>
          <w:sz w:val="24"/>
          <w:szCs w:val="32"/>
          <w:highlight w:val="none"/>
          <w:lang w:val="en-US" w:eastAsia="zh-CN" w:bidi="ar-SA"/>
        </w:rPr>
        <w:t>6 项目实施计划</w:t>
      </w:r>
      <w:bookmarkEnd w:id="404"/>
    </w:p>
    <w:p>
      <w:pPr>
        <w:autoSpaceDE w:val="0"/>
        <w:autoSpaceDN w:val="0"/>
        <w:adjustRightInd w:val="0"/>
        <w:spacing w:line="520" w:lineRule="exact"/>
        <w:jc w:val="center"/>
        <w:rPr>
          <w:rFonts w:hint="eastAsia" w:ascii="宋体" w:hAnsi="宋体" w:cs="宋体"/>
          <w:b/>
          <w:color w:val="auto"/>
          <w:spacing w:val="10"/>
          <w:kern w:val="0"/>
          <w:sz w:val="28"/>
          <w:szCs w:val="28"/>
          <w:highlight w:val="none"/>
        </w:rPr>
      </w:pPr>
    </w:p>
    <w:p>
      <w:pPr>
        <w:tabs>
          <w:tab w:val="left" w:pos="840"/>
        </w:tabs>
        <w:autoSpaceDE w:val="0"/>
        <w:autoSpaceDN w:val="0"/>
        <w:adjustRightInd w:val="0"/>
        <w:spacing w:line="520" w:lineRule="exact"/>
        <w:ind w:firstLine="520" w:firstLineChars="200"/>
        <w:jc w:val="left"/>
        <w:rPr>
          <w:rFonts w:hint="eastAsia" w:ascii="宋体" w:hAnsi="宋体" w:cs="宋体"/>
          <w:color w:val="auto"/>
          <w:spacing w:val="10"/>
          <w:kern w:val="0"/>
          <w:sz w:val="24"/>
          <w:highlight w:val="none"/>
        </w:rPr>
      </w:pPr>
      <w:r>
        <w:rPr>
          <w:rFonts w:hint="eastAsia" w:ascii="宋体" w:hAnsi="宋体" w:cs="宋体"/>
          <w:color w:val="auto"/>
          <w:spacing w:val="10"/>
          <w:kern w:val="0"/>
          <w:sz w:val="24"/>
          <w:highlight w:val="none"/>
          <w:lang w:val="en-US" w:eastAsia="zh-CN"/>
        </w:rPr>
        <w:t>6</w:t>
      </w:r>
      <w:r>
        <w:rPr>
          <w:rFonts w:hint="eastAsia" w:ascii="宋体" w:hAnsi="宋体" w:cs="宋体"/>
          <w:color w:val="auto"/>
          <w:spacing w:val="10"/>
          <w:kern w:val="0"/>
          <w:sz w:val="24"/>
          <w:highlight w:val="none"/>
        </w:rPr>
        <w:t xml:space="preserve">.1 </w:t>
      </w:r>
      <w:r>
        <w:rPr>
          <w:rFonts w:hint="eastAsia" w:ascii="宋体" w:hAnsi="宋体" w:cs="宋体"/>
          <w:color w:val="auto"/>
          <w:spacing w:val="10"/>
          <w:kern w:val="0"/>
          <w:sz w:val="24"/>
          <w:highlight w:val="none"/>
          <w:lang w:eastAsia="zh-CN"/>
        </w:rPr>
        <w:t>项目实施</w:t>
      </w:r>
      <w:r>
        <w:rPr>
          <w:rFonts w:hint="eastAsia" w:ascii="宋体" w:hAnsi="宋体" w:cs="宋体"/>
          <w:color w:val="auto"/>
          <w:spacing w:val="10"/>
          <w:kern w:val="0"/>
          <w:sz w:val="24"/>
          <w:highlight w:val="none"/>
        </w:rPr>
        <w:t>计划包括教材的来源及保证、供应计划、项目组织、</w:t>
      </w:r>
      <w:r>
        <w:rPr>
          <w:rFonts w:hint="eastAsia" w:ascii="宋体" w:hAnsi="宋体" w:cs="宋体"/>
          <w:color w:val="auto"/>
          <w:spacing w:val="10"/>
          <w:kern w:val="0"/>
          <w:sz w:val="24"/>
          <w:highlight w:val="none"/>
          <w:lang w:eastAsia="zh-CN"/>
        </w:rPr>
        <w:t>实施时间安排、应急事件处置方案、针对未到教材的提醒方案</w:t>
      </w:r>
      <w:r>
        <w:rPr>
          <w:rFonts w:hint="eastAsia" w:ascii="宋体" w:hAnsi="宋体" w:cs="宋体"/>
          <w:color w:val="auto"/>
          <w:spacing w:val="10"/>
          <w:kern w:val="0"/>
          <w:sz w:val="24"/>
          <w:highlight w:val="none"/>
        </w:rPr>
        <w:t>等。</w:t>
      </w:r>
    </w:p>
    <w:p>
      <w:pPr>
        <w:tabs>
          <w:tab w:val="left" w:pos="840"/>
        </w:tabs>
        <w:autoSpaceDE w:val="0"/>
        <w:autoSpaceDN w:val="0"/>
        <w:adjustRightInd w:val="0"/>
        <w:spacing w:line="520" w:lineRule="exact"/>
        <w:ind w:firstLine="520" w:firstLineChars="200"/>
        <w:jc w:val="left"/>
        <w:rPr>
          <w:rFonts w:hint="eastAsia" w:ascii="宋体" w:hAnsi="宋体" w:cs="宋体"/>
          <w:color w:val="auto"/>
          <w:spacing w:val="10"/>
          <w:kern w:val="0"/>
          <w:sz w:val="24"/>
          <w:highlight w:val="none"/>
        </w:rPr>
      </w:pPr>
    </w:p>
    <w:p>
      <w:pPr>
        <w:tabs>
          <w:tab w:val="left" w:pos="840"/>
        </w:tabs>
        <w:autoSpaceDE w:val="0"/>
        <w:autoSpaceDN w:val="0"/>
        <w:adjustRightInd w:val="0"/>
        <w:spacing w:line="520" w:lineRule="exact"/>
        <w:ind w:firstLine="520" w:firstLineChars="200"/>
        <w:jc w:val="left"/>
        <w:rPr>
          <w:rFonts w:hint="eastAsia" w:ascii="宋体" w:hAnsi="宋体" w:cs="宋体"/>
          <w:color w:val="auto"/>
          <w:spacing w:val="10"/>
          <w:kern w:val="0"/>
          <w:sz w:val="24"/>
          <w:highlight w:val="none"/>
        </w:rPr>
      </w:pPr>
      <w:r>
        <w:rPr>
          <w:rFonts w:hint="eastAsia" w:ascii="宋体" w:hAnsi="宋体" w:cs="宋体"/>
          <w:color w:val="auto"/>
          <w:spacing w:val="10"/>
          <w:kern w:val="0"/>
          <w:sz w:val="24"/>
          <w:highlight w:val="none"/>
          <w:lang w:val="en-US" w:eastAsia="zh-CN"/>
        </w:rPr>
        <w:t>6</w:t>
      </w:r>
      <w:r>
        <w:rPr>
          <w:rFonts w:hint="eastAsia" w:ascii="宋体" w:hAnsi="宋体" w:cs="宋体"/>
          <w:color w:val="auto"/>
          <w:spacing w:val="10"/>
          <w:kern w:val="0"/>
          <w:sz w:val="24"/>
          <w:highlight w:val="none"/>
        </w:rPr>
        <w:t>.2供应商为采购人作出的其他承诺</w:t>
      </w:r>
    </w:p>
    <w:p>
      <w:pPr>
        <w:tabs>
          <w:tab w:val="left" w:pos="840"/>
        </w:tabs>
        <w:autoSpaceDE w:val="0"/>
        <w:autoSpaceDN w:val="0"/>
        <w:adjustRightInd w:val="0"/>
        <w:spacing w:line="520" w:lineRule="exact"/>
        <w:jc w:val="left"/>
        <w:rPr>
          <w:rFonts w:hint="eastAsia" w:ascii="宋体" w:hAnsi="宋体" w:cs="宋体"/>
          <w:color w:val="auto"/>
          <w:spacing w:val="10"/>
          <w:kern w:val="0"/>
          <w:sz w:val="24"/>
          <w:highlight w:val="none"/>
        </w:rPr>
      </w:pPr>
    </w:p>
    <w:p>
      <w:pPr>
        <w:tabs>
          <w:tab w:val="left" w:pos="840"/>
        </w:tabs>
        <w:autoSpaceDE w:val="0"/>
        <w:autoSpaceDN w:val="0"/>
        <w:adjustRightInd w:val="0"/>
        <w:spacing w:line="520" w:lineRule="exact"/>
        <w:jc w:val="left"/>
        <w:rPr>
          <w:rFonts w:hint="eastAsia" w:ascii="宋体" w:hAnsi="宋体" w:cs="宋体"/>
          <w:color w:val="auto"/>
          <w:spacing w:val="10"/>
          <w:kern w:val="0"/>
          <w:sz w:val="24"/>
          <w:highlight w:val="none"/>
        </w:rPr>
      </w:pPr>
    </w:p>
    <w:p>
      <w:pPr>
        <w:tabs>
          <w:tab w:val="left" w:pos="840"/>
        </w:tabs>
        <w:autoSpaceDE w:val="0"/>
        <w:autoSpaceDN w:val="0"/>
        <w:adjustRightInd w:val="0"/>
        <w:spacing w:line="520" w:lineRule="exact"/>
        <w:jc w:val="left"/>
        <w:rPr>
          <w:rFonts w:hint="eastAsia" w:ascii="宋体" w:hAnsi="宋体" w:cs="宋体"/>
          <w:color w:val="auto"/>
          <w:spacing w:val="10"/>
          <w:kern w:val="0"/>
          <w:sz w:val="24"/>
          <w:highlight w:val="none"/>
        </w:rPr>
      </w:pPr>
    </w:p>
    <w:p>
      <w:pPr>
        <w:tabs>
          <w:tab w:val="left" w:pos="840"/>
        </w:tabs>
        <w:autoSpaceDE w:val="0"/>
        <w:autoSpaceDN w:val="0"/>
        <w:adjustRightInd w:val="0"/>
        <w:spacing w:line="520" w:lineRule="exact"/>
        <w:jc w:val="left"/>
        <w:rPr>
          <w:rFonts w:hint="eastAsia" w:ascii="宋体" w:hAnsi="宋体" w:cs="宋体"/>
          <w:color w:val="auto"/>
          <w:spacing w:val="10"/>
          <w:kern w:val="0"/>
          <w:sz w:val="24"/>
          <w:highlight w:val="none"/>
        </w:rPr>
      </w:pPr>
    </w:p>
    <w:p>
      <w:pPr>
        <w:tabs>
          <w:tab w:val="left" w:pos="840"/>
        </w:tabs>
        <w:autoSpaceDE w:val="0"/>
        <w:autoSpaceDN w:val="0"/>
        <w:adjustRightInd w:val="0"/>
        <w:spacing w:line="520" w:lineRule="exact"/>
        <w:jc w:val="left"/>
        <w:rPr>
          <w:rFonts w:hint="eastAsia" w:ascii="宋体" w:hAnsi="宋体" w:cs="宋体"/>
          <w:color w:val="auto"/>
          <w:spacing w:val="10"/>
          <w:kern w:val="0"/>
          <w:sz w:val="24"/>
          <w:highlight w:val="none"/>
        </w:rPr>
      </w:pPr>
    </w:p>
    <w:p>
      <w:pPr>
        <w:autoSpaceDE w:val="0"/>
        <w:autoSpaceDN w:val="0"/>
        <w:adjustRightInd w:val="0"/>
        <w:spacing w:line="520" w:lineRule="exact"/>
        <w:jc w:val="left"/>
        <w:rPr>
          <w:rFonts w:hint="eastAsia" w:ascii="宋体" w:hAnsi="宋体" w:cs="宋体"/>
          <w:color w:val="auto"/>
          <w:spacing w:val="10"/>
          <w:kern w:val="0"/>
          <w:sz w:val="24"/>
          <w:highlight w:val="none"/>
        </w:rPr>
      </w:pPr>
      <w:r>
        <w:rPr>
          <w:rFonts w:hint="eastAsia" w:ascii="宋体" w:hAnsi="宋体"/>
          <w:color w:val="auto"/>
          <w:sz w:val="24"/>
          <w:highlight w:val="none"/>
        </w:rPr>
        <w:t>投标人（企业电子签章）</w:t>
      </w:r>
      <w:r>
        <w:rPr>
          <w:rFonts w:hint="eastAsia" w:ascii="宋体" w:hAnsi="宋体" w:cs="宋体"/>
          <w:color w:val="auto"/>
          <w:spacing w:val="10"/>
          <w:kern w:val="0"/>
          <w:sz w:val="24"/>
          <w:highlight w:val="none"/>
        </w:rPr>
        <w:t xml:space="preserve">：             </w:t>
      </w:r>
      <w:r>
        <w:rPr>
          <w:rFonts w:hint="eastAsia" w:ascii="宋体" w:hAnsi="宋体" w:eastAsia="宋体" w:cs="宋体"/>
          <w:color w:val="auto"/>
          <w:sz w:val="24"/>
          <w:szCs w:val="24"/>
          <w:highlight w:val="none"/>
        </w:rPr>
        <w:t>法定代表人(个人电子签章)</w:t>
      </w:r>
      <w:r>
        <w:rPr>
          <w:rFonts w:hint="eastAsia" w:ascii="宋体" w:hAnsi="宋体" w:cs="宋体"/>
          <w:color w:val="auto"/>
          <w:spacing w:val="10"/>
          <w:kern w:val="0"/>
          <w:sz w:val="24"/>
          <w:highlight w:val="none"/>
        </w:rPr>
        <w:t xml:space="preserve">：                </w:t>
      </w:r>
    </w:p>
    <w:p>
      <w:pPr>
        <w:tabs>
          <w:tab w:val="left" w:pos="840"/>
        </w:tabs>
        <w:autoSpaceDE w:val="0"/>
        <w:autoSpaceDN w:val="0"/>
        <w:adjustRightInd w:val="0"/>
        <w:spacing w:line="520" w:lineRule="exact"/>
        <w:jc w:val="left"/>
        <w:rPr>
          <w:rFonts w:hint="eastAsia" w:ascii="宋体" w:hAnsi="宋体" w:cs="宋体"/>
          <w:color w:val="auto"/>
          <w:spacing w:val="10"/>
          <w:kern w:val="0"/>
          <w:sz w:val="28"/>
          <w:szCs w:val="28"/>
          <w:highlight w:val="none"/>
        </w:rPr>
      </w:pPr>
      <w:r>
        <w:rPr>
          <w:rFonts w:hint="eastAsia" w:ascii="宋体" w:hAnsi="宋体" w:cs="宋体"/>
          <w:color w:val="auto"/>
          <w:spacing w:val="10"/>
          <w:kern w:val="0"/>
          <w:sz w:val="24"/>
          <w:highlight w:val="none"/>
        </w:rPr>
        <w:t xml:space="preserve">      </w:t>
      </w:r>
      <w:r>
        <w:rPr>
          <w:rFonts w:hint="eastAsia" w:ascii="宋体" w:hAnsi="宋体" w:cs="宋体"/>
          <w:color w:val="auto"/>
          <w:spacing w:val="10"/>
          <w:kern w:val="0"/>
          <w:sz w:val="28"/>
          <w:szCs w:val="28"/>
          <w:highlight w:val="none"/>
        </w:rPr>
        <w:t xml:space="preserve">                   </w:t>
      </w:r>
    </w:p>
    <w:p>
      <w:pPr>
        <w:tabs>
          <w:tab w:val="left" w:pos="840"/>
        </w:tabs>
        <w:autoSpaceDE w:val="0"/>
        <w:autoSpaceDN w:val="0"/>
        <w:adjustRightInd w:val="0"/>
        <w:spacing w:line="520" w:lineRule="exact"/>
        <w:jc w:val="left"/>
        <w:rPr>
          <w:rFonts w:hint="eastAsia" w:ascii="宋体" w:hAnsi="宋体" w:cs="宋体"/>
          <w:color w:val="auto"/>
          <w:spacing w:val="10"/>
          <w:kern w:val="0"/>
          <w:sz w:val="28"/>
          <w:szCs w:val="28"/>
          <w:highlight w:val="none"/>
        </w:rPr>
      </w:pPr>
    </w:p>
    <w:p>
      <w:pPr>
        <w:autoSpaceDE w:val="0"/>
        <w:autoSpaceDN w:val="0"/>
        <w:adjustRightInd w:val="0"/>
        <w:spacing w:line="520" w:lineRule="exact"/>
        <w:jc w:val="left"/>
        <w:rPr>
          <w:rFonts w:hint="eastAsia" w:ascii="宋体" w:hAnsi="宋体" w:cs="宋体"/>
          <w:color w:val="auto"/>
          <w:spacing w:val="10"/>
          <w:kern w:val="0"/>
          <w:sz w:val="24"/>
          <w:highlight w:val="none"/>
        </w:rPr>
      </w:pPr>
    </w:p>
    <w:p>
      <w:pPr>
        <w:pStyle w:val="7"/>
        <w:numPr>
          <w:ilvl w:val="2"/>
          <w:numId w:val="0"/>
        </w:numPr>
        <w:spacing w:line="520" w:lineRule="exact"/>
        <w:ind w:leftChars="990"/>
        <w:rPr>
          <w:rFonts w:hint="eastAsia" w:ascii="宋体" w:hAnsi="宋体"/>
          <w:color w:val="auto"/>
          <w:sz w:val="28"/>
          <w:szCs w:val="28"/>
          <w:highlight w:val="none"/>
        </w:rPr>
      </w:pPr>
      <w:r>
        <w:rPr>
          <w:rFonts w:hint="eastAsia" w:ascii="宋体" w:hAnsi="宋体"/>
          <w:color w:val="auto"/>
          <w:sz w:val="24"/>
          <w:szCs w:val="24"/>
          <w:highlight w:val="none"/>
        </w:rPr>
        <w:br w:type="page"/>
      </w:r>
      <w:bookmarkStart w:id="405" w:name="_Toc25278"/>
      <w:r>
        <w:rPr>
          <w:rFonts w:hint="eastAsia" w:ascii="宋体" w:hAnsi="宋体" w:eastAsia="宋体" w:cs="宋体"/>
          <w:b/>
          <w:bCs/>
          <w:color w:val="auto"/>
          <w:kern w:val="2"/>
          <w:sz w:val="24"/>
          <w:szCs w:val="32"/>
          <w:highlight w:val="none"/>
          <w:lang w:val="en-US" w:eastAsia="zh-CN" w:bidi="ar-SA"/>
        </w:rPr>
        <w:t>7 配送、发放方案</w:t>
      </w:r>
      <w:bookmarkEnd w:id="405"/>
    </w:p>
    <w:p>
      <w:pPr>
        <w:pStyle w:val="7"/>
        <w:numPr>
          <w:ilvl w:val="2"/>
          <w:numId w:val="0"/>
        </w:numPr>
        <w:spacing w:line="520" w:lineRule="exact"/>
        <w:ind w:leftChars="0"/>
        <w:jc w:val="both"/>
        <w:rPr>
          <w:rFonts w:hint="eastAsia" w:ascii="宋体" w:hAnsi="宋体"/>
          <w:color w:val="auto"/>
          <w:sz w:val="28"/>
          <w:szCs w:val="28"/>
          <w:highlight w:val="none"/>
        </w:rPr>
      </w:pPr>
      <w:bookmarkStart w:id="406" w:name="_Toc395181602"/>
      <w:bookmarkStart w:id="407" w:name="_Toc451931393"/>
      <w:bookmarkStart w:id="408" w:name="_Toc18737"/>
      <w:r>
        <w:rPr>
          <w:rFonts w:hint="eastAsia" w:ascii="宋体" w:hAnsi="宋体"/>
          <w:color w:val="auto"/>
          <w:sz w:val="28"/>
          <w:szCs w:val="28"/>
          <w:highlight w:val="none"/>
        </w:rPr>
        <w:t>（格式</w:t>
      </w:r>
      <w:r>
        <w:rPr>
          <w:rFonts w:hint="eastAsia" w:ascii="宋体" w:hAnsi="宋体"/>
          <w:color w:val="auto"/>
          <w:sz w:val="28"/>
          <w:szCs w:val="28"/>
          <w:highlight w:val="none"/>
          <w:lang w:eastAsia="zh-CN"/>
        </w:rPr>
        <w:t>自拟</w:t>
      </w:r>
      <w:r>
        <w:rPr>
          <w:rFonts w:hint="eastAsia" w:ascii="宋体" w:hAnsi="宋体"/>
          <w:color w:val="auto"/>
          <w:sz w:val="28"/>
          <w:szCs w:val="28"/>
          <w:highlight w:val="none"/>
        </w:rPr>
        <w:t>）</w:t>
      </w:r>
      <w:bookmarkEnd w:id="406"/>
      <w:bookmarkEnd w:id="407"/>
      <w:bookmarkEnd w:id="408"/>
    </w:p>
    <w:p>
      <w:pPr>
        <w:spacing w:line="520" w:lineRule="exact"/>
        <w:ind w:firstLine="540"/>
        <w:rPr>
          <w:rFonts w:hint="eastAsia" w:ascii="宋体" w:hAnsi="宋体"/>
          <w:color w:val="auto"/>
          <w:sz w:val="24"/>
          <w:highlight w:val="none"/>
        </w:rPr>
      </w:pPr>
    </w:p>
    <w:p>
      <w:pPr>
        <w:spacing w:line="520" w:lineRule="exact"/>
        <w:rPr>
          <w:rFonts w:hint="eastAsia" w:ascii="宋体" w:hAnsi="宋体"/>
          <w:color w:val="auto"/>
          <w:sz w:val="24"/>
          <w:highlight w:val="none"/>
        </w:rPr>
      </w:pPr>
    </w:p>
    <w:p>
      <w:pPr>
        <w:spacing w:line="520" w:lineRule="exact"/>
        <w:rPr>
          <w:rFonts w:hint="eastAsia" w:ascii="宋体" w:hAnsi="宋体"/>
          <w:color w:val="auto"/>
          <w:sz w:val="24"/>
          <w:highlight w:val="none"/>
        </w:rPr>
      </w:pPr>
    </w:p>
    <w:p>
      <w:pPr>
        <w:spacing w:line="520" w:lineRule="exact"/>
        <w:rPr>
          <w:rFonts w:hint="eastAsia" w:ascii="宋体" w:hAnsi="宋体"/>
          <w:color w:val="auto"/>
          <w:sz w:val="24"/>
          <w:highlight w:val="none"/>
        </w:rPr>
      </w:pPr>
    </w:p>
    <w:p>
      <w:pPr>
        <w:spacing w:line="520" w:lineRule="exact"/>
        <w:rPr>
          <w:rFonts w:hint="eastAsia" w:ascii="宋体" w:hAnsi="宋体"/>
          <w:color w:val="auto"/>
          <w:sz w:val="24"/>
          <w:highlight w:val="none"/>
        </w:rPr>
      </w:pPr>
    </w:p>
    <w:p>
      <w:pPr>
        <w:spacing w:line="520" w:lineRule="exact"/>
        <w:rPr>
          <w:rFonts w:hint="eastAsia" w:ascii="宋体" w:hAnsi="宋体"/>
          <w:bCs/>
          <w:color w:val="auto"/>
          <w:sz w:val="24"/>
          <w:highlight w:val="none"/>
        </w:rPr>
      </w:pPr>
      <w:r>
        <w:rPr>
          <w:rFonts w:hint="eastAsia" w:ascii="宋体" w:hAnsi="宋体"/>
          <w:bCs/>
          <w:color w:val="auto"/>
          <w:sz w:val="24"/>
          <w:highlight w:val="none"/>
        </w:rPr>
        <w:t>投标人（企业电子签章）：</w:t>
      </w: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r>
        <w:rPr>
          <w:rFonts w:hint="eastAsia" w:ascii="宋体" w:hAnsi="宋体"/>
          <w:color w:val="auto"/>
          <w:sz w:val="24"/>
          <w:highlight w:val="none"/>
          <w:lang w:eastAsia="zh-CN"/>
        </w:rPr>
        <w:t>法定代表人或被授权人</w:t>
      </w:r>
      <w:r>
        <w:rPr>
          <w:rFonts w:hint="eastAsia" w:ascii="宋体" w:hAnsi="宋体"/>
          <w:color w:val="auto"/>
          <w:sz w:val="24"/>
          <w:highlight w:val="none"/>
        </w:rPr>
        <w:t>（个人电子签章）</w:t>
      </w:r>
      <w:r>
        <w:rPr>
          <w:rFonts w:hint="eastAsia" w:ascii="宋体" w:hAnsi="宋体"/>
          <w:b/>
          <w:color w:val="auto"/>
          <w:sz w:val="24"/>
          <w:highlight w:val="none"/>
        </w:rPr>
        <w:t>：</w:t>
      </w:r>
    </w:p>
    <w:p>
      <w:pPr>
        <w:pStyle w:val="6"/>
        <w:spacing w:line="520" w:lineRule="exact"/>
        <w:ind w:left="1079" w:leftChars="514" w:firstLine="57" w:firstLineChars="24"/>
        <w:rPr>
          <w:rFonts w:hint="eastAsia" w:ascii="宋体" w:hAnsi="宋体"/>
          <w:color w:val="auto"/>
          <w:sz w:val="24"/>
          <w:szCs w:val="24"/>
          <w:highlight w:val="none"/>
          <w:lang w:eastAsia="zh-CN"/>
        </w:rPr>
      </w:pPr>
      <w:r>
        <w:rPr>
          <w:rFonts w:hint="eastAsia" w:ascii="宋体" w:hAnsi="宋体"/>
          <w:color w:val="auto"/>
          <w:sz w:val="24"/>
          <w:szCs w:val="24"/>
          <w:highlight w:val="none"/>
        </w:rPr>
        <w:t>　　　　　　　　　　　</w:t>
      </w:r>
      <w:r>
        <w:rPr>
          <w:rFonts w:hint="eastAsia" w:ascii="宋体" w:hAnsi="宋体"/>
          <w:color w:val="auto"/>
          <w:sz w:val="24"/>
          <w:szCs w:val="24"/>
          <w:highlight w:val="none"/>
          <w:lang w:eastAsia="zh-CN"/>
        </w:rPr>
        <w:t xml:space="preserve">      </w:t>
      </w:r>
    </w:p>
    <w:p>
      <w:pPr>
        <w:pStyle w:val="6"/>
        <w:spacing w:line="520" w:lineRule="exact"/>
        <w:ind w:left="1079" w:leftChars="514" w:firstLine="3892" w:firstLineChars="1622"/>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  </w:t>
      </w:r>
      <w:r>
        <w:rPr>
          <w:rFonts w:hint="eastAsia" w:ascii="宋体" w:hAnsi="宋体"/>
          <w:color w:val="auto"/>
          <w:sz w:val="24"/>
          <w:szCs w:val="24"/>
          <w:highlight w:val="none"/>
        </w:rPr>
        <w:t>日期：</w:t>
      </w:r>
    </w:p>
    <w:p>
      <w:pPr>
        <w:pStyle w:val="6"/>
        <w:spacing w:line="520" w:lineRule="exact"/>
        <w:ind w:left="1079" w:leftChars="514" w:firstLine="57" w:firstLineChars="24"/>
        <w:rPr>
          <w:rFonts w:hint="eastAsia" w:ascii="宋体" w:hAnsi="宋体"/>
          <w:color w:val="auto"/>
          <w:sz w:val="24"/>
          <w:szCs w:val="24"/>
          <w:highlight w:val="none"/>
        </w:rPr>
      </w:pPr>
    </w:p>
    <w:p>
      <w:pPr>
        <w:pStyle w:val="6"/>
        <w:spacing w:line="520" w:lineRule="exact"/>
        <w:ind w:left="1079" w:leftChars="514" w:firstLine="57" w:firstLineChars="24"/>
        <w:rPr>
          <w:rFonts w:hint="eastAsia" w:ascii="宋体" w:hAnsi="宋体"/>
          <w:color w:val="auto"/>
          <w:sz w:val="24"/>
          <w:szCs w:val="24"/>
          <w:highlight w:val="none"/>
        </w:rPr>
        <w:sectPr>
          <w:pgSz w:w="11906" w:h="16838"/>
          <w:pgMar w:top="1440" w:right="1800" w:bottom="1440" w:left="1800" w:header="851" w:footer="992" w:gutter="0"/>
          <w:pgNumType w:fmt="decimal"/>
          <w:cols w:space="720" w:num="1"/>
          <w:docGrid w:type="lines" w:linePitch="312" w:charSpace="0"/>
        </w:sectPr>
      </w:pPr>
    </w:p>
    <w:p>
      <w:pPr>
        <w:pStyle w:val="5"/>
        <w:numPr>
          <w:ilvl w:val="1"/>
          <w:numId w:val="0"/>
        </w:numPr>
        <w:spacing w:before="0" w:line="360" w:lineRule="auto"/>
        <w:ind w:left="692" w:leftChars="0"/>
        <w:jc w:val="center"/>
        <w:rPr>
          <w:rFonts w:hint="eastAsia" w:ascii="宋体" w:hAnsi="宋体" w:eastAsia="宋体" w:cs="宋体"/>
          <w:b/>
          <w:bCs/>
          <w:color w:val="auto"/>
          <w:sz w:val="24"/>
          <w:highlight w:val="none"/>
          <w:lang w:val="en-US" w:eastAsia="zh-CN"/>
        </w:rPr>
      </w:pPr>
      <w:bookmarkStart w:id="409" w:name="_Toc8805"/>
      <w:bookmarkStart w:id="410" w:name="_Toc21663"/>
      <w:bookmarkStart w:id="411" w:name="_Toc17908"/>
      <w:r>
        <w:rPr>
          <w:rFonts w:hint="eastAsia" w:ascii="宋体" w:hAnsi="宋体" w:eastAsia="宋体" w:cs="宋体"/>
          <w:b/>
          <w:bCs/>
          <w:color w:val="auto"/>
          <w:sz w:val="24"/>
          <w:highlight w:val="none"/>
          <w:lang w:val="en-US" w:eastAsia="zh-CN"/>
        </w:rPr>
        <w:t>8 售后服务方案</w:t>
      </w:r>
      <w:bookmarkEnd w:id="409"/>
      <w:bookmarkEnd w:id="410"/>
      <w:bookmarkEnd w:id="411"/>
    </w:p>
    <w:p>
      <w:pPr>
        <w:pStyle w:val="6"/>
        <w:jc w:val="center"/>
        <w:rPr>
          <w:rFonts w:hint="eastAsia"/>
          <w:color w:val="auto"/>
          <w:highlight w:val="none"/>
        </w:rPr>
      </w:pPr>
      <w:r>
        <w:rPr>
          <w:rFonts w:hint="eastAsia" w:ascii="宋体" w:hAnsi="宋体"/>
          <w:color w:val="auto"/>
          <w:sz w:val="28"/>
          <w:szCs w:val="28"/>
          <w:highlight w:val="none"/>
        </w:rPr>
        <w:t>(质保承诺及售后服务)（格式</w:t>
      </w:r>
      <w:r>
        <w:rPr>
          <w:rFonts w:hint="eastAsia" w:ascii="宋体" w:hAnsi="宋体"/>
          <w:color w:val="auto"/>
          <w:sz w:val="28"/>
          <w:szCs w:val="28"/>
          <w:highlight w:val="none"/>
          <w:lang w:eastAsia="zh-CN"/>
        </w:rPr>
        <w:t>自拟</w:t>
      </w:r>
      <w:r>
        <w:rPr>
          <w:rFonts w:hint="eastAsia" w:ascii="宋体" w:hAnsi="宋体"/>
          <w:color w:val="auto"/>
          <w:sz w:val="28"/>
          <w:szCs w:val="28"/>
          <w:highlight w:val="none"/>
        </w:rPr>
        <w:t>）</w:t>
      </w:r>
    </w:p>
    <w:p>
      <w:pPr>
        <w:pStyle w:val="6"/>
        <w:spacing w:line="520" w:lineRule="exact"/>
        <w:ind w:left="1079" w:leftChars="514" w:firstLine="57" w:firstLineChars="24"/>
        <w:rPr>
          <w:rFonts w:hint="eastAsia" w:ascii="宋体" w:hAnsi="宋体"/>
          <w:color w:val="auto"/>
          <w:sz w:val="24"/>
          <w:szCs w:val="24"/>
          <w:highlight w:val="none"/>
        </w:rPr>
      </w:pPr>
    </w:p>
    <w:p>
      <w:pPr>
        <w:pStyle w:val="6"/>
        <w:spacing w:line="520" w:lineRule="exact"/>
        <w:ind w:left="1079" w:leftChars="514" w:firstLine="57" w:firstLineChars="24"/>
        <w:rPr>
          <w:rFonts w:hint="eastAsia" w:ascii="宋体" w:hAnsi="宋体"/>
          <w:color w:val="auto"/>
          <w:sz w:val="24"/>
          <w:szCs w:val="24"/>
          <w:highlight w:val="none"/>
        </w:rPr>
      </w:pPr>
    </w:p>
    <w:p>
      <w:pPr>
        <w:pStyle w:val="6"/>
        <w:spacing w:line="520" w:lineRule="exact"/>
        <w:ind w:left="1079" w:leftChars="514" w:firstLine="57" w:firstLineChars="24"/>
        <w:rPr>
          <w:rFonts w:hint="eastAsia" w:ascii="宋体" w:hAnsi="宋体"/>
          <w:color w:val="auto"/>
          <w:sz w:val="24"/>
          <w:szCs w:val="24"/>
          <w:highlight w:val="none"/>
        </w:rPr>
      </w:pPr>
    </w:p>
    <w:p>
      <w:pPr>
        <w:pStyle w:val="6"/>
        <w:spacing w:line="520" w:lineRule="exact"/>
        <w:ind w:left="1079" w:leftChars="514" w:firstLine="57" w:firstLineChars="24"/>
        <w:rPr>
          <w:rFonts w:hint="eastAsia" w:ascii="宋体" w:hAnsi="宋体"/>
          <w:color w:val="auto"/>
          <w:sz w:val="24"/>
          <w:szCs w:val="24"/>
          <w:highlight w:val="none"/>
        </w:rPr>
      </w:pPr>
    </w:p>
    <w:p>
      <w:pPr>
        <w:pStyle w:val="6"/>
        <w:spacing w:line="520" w:lineRule="exact"/>
        <w:ind w:left="1079" w:leftChars="514" w:firstLine="57" w:firstLineChars="24"/>
        <w:rPr>
          <w:rFonts w:hint="eastAsia" w:ascii="宋体" w:hAnsi="宋体"/>
          <w:color w:val="auto"/>
          <w:sz w:val="24"/>
          <w:szCs w:val="24"/>
          <w:highlight w:val="none"/>
        </w:rPr>
      </w:pPr>
    </w:p>
    <w:p>
      <w:pPr>
        <w:pStyle w:val="6"/>
        <w:spacing w:line="520" w:lineRule="exact"/>
        <w:ind w:left="1079" w:leftChars="514" w:firstLine="57" w:firstLineChars="24"/>
        <w:rPr>
          <w:rFonts w:hint="eastAsia" w:ascii="宋体" w:hAnsi="宋体"/>
          <w:color w:val="auto"/>
          <w:sz w:val="24"/>
          <w:szCs w:val="24"/>
          <w:highlight w:val="none"/>
        </w:rPr>
      </w:pPr>
    </w:p>
    <w:p>
      <w:pPr>
        <w:pStyle w:val="6"/>
        <w:spacing w:line="520" w:lineRule="exact"/>
        <w:ind w:left="1079" w:leftChars="514" w:firstLine="57" w:firstLineChars="24"/>
        <w:rPr>
          <w:rFonts w:hint="eastAsia" w:ascii="宋体" w:hAnsi="宋体"/>
          <w:color w:val="auto"/>
          <w:sz w:val="24"/>
          <w:szCs w:val="24"/>
          <w:highlight w:val="none"/>
        </w:rPr>
      </w:pPr>
    </w:p>
    <w:p>
      <w:pPr>
        <w:spacing w:line="520" w:lineRule="exact"/>
        <w:rPr>
          <w:rFonts w:hint="eastAsia" w:ascii="宋体" w:hAnsi="宋体"/>
          <w:bCs/>
          <w:color w:val="auto"/>
          <w:sz w:val="24"/>
          <w:highlight w:val="none"/>
        </w:rPr>
      </w:pPr>
      <w:r>
        <w:rPr>
          <w:rFonts w:hint="eastAsia" w:ascii="宋体" w:hAnsi="宋体"/>
          <w:bCs/>
          <w:color w:val="auto"/>
          <w:sz w:val="24"/>
          <w:highlight w:val="none"/>
        </w:rPr>
        <w:t>投标人（企业电子签章）：</w:t>
      </w:r>
    </w:p>
    <w:p>
      <w:pPr>
        <w:spacing w:line="520" w:lineRule="exact"/>
        <w:rPr>
          <w:rFonts w:hint="eastAsia" w:ascii="宋体" w:hAnsi="宋体"/>
          <w:b/>
          <w:color w:val="auto"/>
          <w:sz w:val="24"/>
          <w:highlight w:val="none"/>
        </w:rPr>
      </w:pPr>
    </w:p>
    <w:p>
      <w:pPr>
        <w:spacing w:line="520" w:lineRule="exact"/>
        <w:rPr>
          <w:rFonts w:hint="eastAsia" w:ascii="宋体" w:hAnsi="宋体"/>
          <w:b/>
          <w:color w:val="auto"/>
          <w:sz w:val="24"/>
          <w:highlight w:val="none"/>
        </w:rPr>
      </w:pPr>
      <w:r>
        <w:rPr>
          <w:rFonts w:hint="eastAsia" w:ascii="宋体" w:hAnsi="宋体"/>
          <w:color w:val="auto"/>
          <w:sz w:val="24"/>
          <w:highlight w:val="none"/>
          <w:lang w:eastAsia="zh-CN"/>
        </w:rPr>
        <w:t>法定代表人或被授权人</w:t>
      </w:r>
      <w:r>
        <w:rPr>
          <w:rFonts w:hint="eastAsia" w:ascii="宋体" w:hAnsi="宋体"/>
          <w:color w:val="auto"/>
          <w:sz w:val="24"/>
          <w:highlight w:val="none"/>
        </w:rPr>
        <w:t>（个人电子签章）</w:t>
      </w:r>
      <w:r>
        <w:rPr>
          <w:rFonts w:hint="eastAsia" w:ascii="宋体" w:hAnsi="宋体"/>
          <w:b/>
          <w:color w:val="auto"/>
          <w:sz w:val="24"/>
          <w:highlight w:val="none"/>
        </w:rPr>
        <w:t>：</w:t>
      </w:r>
    </w:p>
    <w:p>
      <w:pPr>
        <w:pStyle w:val="6"/>
        <w:spacing w:line="520" w:lineRule="exact"/>
        <w:ind w:left="1079" w:leftChars="514" w:firstLine="57" w:firstLineChars="24"/>
        <w:rPr>
          <w:rFonts w:hint="eastAsia" w:ascii="宋体" w:hAnsi="宋体"/>
          <w:color w:val="auto"/>
          <w:sz w:val="24"/>
          <w:szCs w:val="24"/>
          <w:highlight w:val="none"/>
          <w:lang w:eastAsia="zh-CN"/>
        </w:rPr>
      </w:pPr>
      <w:r>
        <w:rPr>
          <w:rFonts w:hint="eastAsia" w:ascii="宋体" w:hAnsi="宋体"/>
          <w:color w:val="auto"/>
          <w:sz w:val="24"/>
          <w:szCs w:val="24"/>
          <w:highlight w:val="none"/>
        </w:rPr>
        <w:t>　　　　　　　　　　　</w:t>
      </w:r>
      <w:r>
        <w:rPr>
          <w:rFonts w:hint="eastAsia" w:ascii="宋体" w:hAnsi="宋体"/>
          <w:color w:val="auto"/>
          <w:sz w:val="24"/>
          <w:szCs w:val="24"/>
          <w:highlight w:val="none"/>
          <w:lang w:eastAsia="zh-CN"/>
        </w:rPr>
        <w:t xml:space="preserve">      </w:t>
      </w:r>
    </w:p>
    <w:p>
      <w:pPr>
        <w:pStyle w:val="6"/>
        <w:spacing w:line="520" w:lineRule="exact"/>
        <w:ind w:left="1079" w:leftChars="514" w:firstLine="3892" w:firstLineChars="1622"/>
        <w:rPr>
          <w:rFonts w:hint="eastAsia" w:ascii="宋体" w:hAnsi="宋体"/>
          <w:color w:val="auto"/>
          <w:sz w:val="24"/>
          <w:szCs w:val="24"/>
          <w:highlight w:val="none"/>
        </w:rPr>
      </w:pPr>
      <w:r>
        <w:rPr>
          <w:rFonts w:hint="eastAsia" w:ascii="宋体" w:hAnsi="宋体"/>
          <w:color w:val="auto"/>
          <w:sz w:val="24"/>
          <w:szCs w:val="24"/>
          <w:highlight w:val="none"/>
          <w:lang w:eastAsia="zh-CN"/>
        </w:rPr>
        <w:t xml:space="preserve">  </w:t>
      </w:r>
      <w:r>
        <w:rPr>
          <w:rFonts w:hint="eastAsia" w:ascii="宋体" w:hAnsi="宋体"/>
          <w:color w:val="auto"/>
          <w:sz w:val="24"/>
          <w:szCs w:val="24"/>
          <w:highlight w:val="none"/>
        </w:rPr>
        <w:t>日期：</w:t>
      </w:r>
    </w:p>
    <w:p>
      <w:pPr>
        <w:pStyle w:val="6"/>
        <w:spacing w:line="520" w:lineRule="exact"/>
        <w:ind w:left="1079" w:leftChars="514" w:firstLine="57" w:firstLineChars="24"/>
        <w:rPr>
          <w:rFonts w:hint="eastAsia" w:ascii="宋体" w:hAnsi="宋体"/>
          <w:color w:val="auto"/>
          <w:sz w:val="24"/>
          <w:szCs w:val="24"/>
          <w:highlight w:val="none"/>
        </w:rPr>
      </w:pPr>
    </w:p>
    <w:p>
      <w:pPr>
        <w:pStyle w:val="6"/>
        <w:spacing w:line="520" w:lineRule="exact"/>
        <w:ind w:left="1079" w:leftChars="514" w:firstLine="57" w:firstLineChars="24"/>
        <w:rPr>
          <w:rFonts w:hint="eastAsia" w:ascii="宋体" w:hAnsi="宋体"/>
          <w:color w:val="auto"/>
          <w:sz w:val="24"/>
          <w:szCs w:val="24"/>
          <w:highlight w:val="none"/>
        </w:rPr>
      </w:pPr>
    </w:p>
    <w:p>
      <w:pPr>
        <w:pStyle w:val="6"/>
        <w:spacing w:line="520" w:lineRule="exact"/>
        <w:ind w:left="1079" w:leftChars="514" w:firstLine="57" w:firstLineChars="24"/>
        <w:rPr>
          <w:rFonts w:hint="eastAsia" w:ascii="宋体" w:hAnsi="宋体"/>
          <w:color w:val="auto"/>
          <w:sz w:val="24"/>
          <w:szCs w:val="24"/>
          <w:highlight w:val="none"/>
        </w:rPr>
        <w:sectPr>
          <w:pgSz w:w="11906" w:h="16838"/>
          <w:pgMar w:top="1440" w:right="1800" w:bottom="1440" w:left="1800" w:header="851" w:footer="992" w:gutter="0"/>
          <w:pgNumType w:fmt="decimal"/>
          <w:cols w:space="720" w:num="1"/>
          <w:docGrid w:type="lines" w:linePitch="312" w:charSpace="0"/>
        </w:sectPr>
      </w:pPr>
    </w:p>
    <w:p>
      <w:pPr>
        <w:pStyle w:val="5"/>
        <w:numPr>
          <w:ilvl w:val="1"/>
          <w:numId w:val="0"/>
        </w:numPr>
        <w:spacing w:before="0" w:line="360" w:lineRule="auto"/>
        <w:ind w:left="692" w:leftChars="0"/>
        <w:jc w:val="center"/>
        <w:rPr>
          <w:rFonts w:hint="eastAsia" w:ascii="宋体" w:hAnsi="宋体" w:eastAsia="宋体" w:cs="宋体"/>
          <w:b/>
          <w:bCs/>
          <w:color w:val="auto"/>
          <w:sz w:val="24"/>
          <w:highlight w:val="none"/>
          <w:lang w:val="en-US" w:eastAsia="zh-CN"/>
        </w:rPr>
      </w:pPr>
      <w:bookmarkStart w:id="412" w:name="_Toc20108"/>
      <w:bookmarkStart w:id="413" w:name="_Toc16731"/>
      <w:bookmarkStart w:id="414" w:name="_Toc21480"/>
      <w:r>
        <w:rPr>
          <w:rFonts w:hint="eastAsia" w:ascii="宋体" w:hAnsi="宋体" w:eastAsia="宋体" w:cs="宋体"/>
          <w:b/>
          <w:bCs/>
          <w:color w:val="auto"/>
          <w:sz w:val="24"/>
          <w:highlight w:val="none"/>
          <w:lang w:val="en-US" w:eastAsia="zh-CN"/>
        </w:rPr>
        <w:t>9  投标须知前附表及评分标准中要求的其他文件</w:t>
      </w:r>
      <w:bookmarkEnd w:id="401"/>
      <w:bookmarkEnd w:id="402"/>
      <w:bookmarkEnd w:id="403"/>
      <w:bookmarkEnd w:id="412"/>
      <w:bookmarkEnd w:id="413"/>
      <w:bookmarkEnd w:id="414"/>
    </w:p>
    <w:p>
      <w:pPr>
        <w:pStyle w:val="6"/>
        <w:spacing w:line="360" w:lineRule="auto"/>
        <w:rPr>
          <w:rFonts w:hint="eastAsia" w:ascii="宋体" w:hAnsi="宋体" w:cs="宋体"/>
          <w:color w:val="auto"/>
          <w:highlight w:val="none"/>
        </w:rPr>
      </w:pPr>
    </w:p>
    <w:p>
      <w:pPr>
        <w:spacing w:line="360" w:lineRule="auto"/>
        <w:rPr>
          <w:rFonts w:hint="eastAsia" w:ascii="宋体" w:hAnsi="宋体" w:cs="宋体"/>
          <w:b/>
          <w:color w:val="auto"/>
          <w:sz w:val="24"/>
          <w:highlight w:val="none"/>
        </w:rPr>
      </w:pPr>
    </w:p>
    <w:bookmarkEnd w:id="226"/>
    <w:bookmarkEnd w:id="227"/>
    <w:bookmarkEnd w:id="228"/>
    <w:bookmarkEnd w:id="229"/>
    <w:bookmarkEnd w:id="230"/>
    <w:bookmarkEnd w:id="231"/>
    <w:p>
      <w:pPr>
        <w:spacing w:line="520" w:lineRule="exact"/>
        <w:rPr>
          <w:rFonts w:hint="eastAsia" w:ascii="宋体" w:hAnsi="宋体" w:cs="宋体"/>
          <w:color w:val="auto"/>
          <w:sz w:val="24"/>
          <w:highlight w:val="none"/>
        </w:rPr>
      </w:pPr>
    </w:p>
    <w:p>
      <w:pPr>
        <w:pStyle w:val="28"/>
        <w:spacing w:before="0" w:beforeAutospacing="0" w:after="0" w:afterAutospacing="0" w:line="480" w:lineRule="auto"/>
        <w:ind w:firstLine="560"/>
        <w:jc w:val="right"/>
        <w:rPr>
          <w:rFonts w:hint="eastAsia"/>
          <w:color w:val="auto"/>
          <w:sz w:val="21"/>
          <w:szCs w:val="21"/>
          <w:highlight w:val="none"/>
        </w:rPr>
      </w:pPr>
    </w:p>
    <w:sectPr>
      <w:pgSz w:w="11906" w:h="16838"/>
      <w:pgMar w:top="1417" w:right="1276" w:bottom="1134" w:left="1587" w:header="794" w:footer="992" w:gutter="0"/>
      <w:cols w:space="0" w:num="1"/>
      <w:docGrid w:type="lines" w:linePitch="32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_GB2312">
    <w:altName w:val="Courier New"/>
    <w:panose1 w:val="00000000000000000000"/>
    <w:charset w:val="00"/>
    <w:family w:val="auto"/>
    <w:pitch w:val="default"/>
    <w:sig w:usb0="00000000" w:usb1="00000000" w:usb2="00000000" w:usb3="00000000" w:csb0="00000001" w:csb1="00000000"/>
  </w:font>
  <w:font w:name="FZZZHONGJW--GB1-0">
    <w:altName w:val="Times New Roman"/>
    <w:panose1 w:val="00000000000000000000"/>
    <w:charset w:val="00"/>
    <w:family w:val="roman"/>
    <w:pitch w:val="default"/>
    <w:sig w:usb0="00000000" w:usb1="00000000" w:usb2="00000000" w:usb3="00000000" w:csb0="00000001" w:csb1="00000000"/>
  </w:font>
  <w:font w:name="??">
    <w:altName w:val="Times New Roman"/>
    <w:panose1 w:val="00000000000000000000"/>
    <w:charset w:val="00"/>
    <w:family w:val="roman"/>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新宋体">
    <w:panose1 w:val="02010609030101010101"/>
    <w:charset w:val="86"/>
    <w:family w:val="auto"/>
    <w:pitch w:val="default"/>
    <w:sig w:usb0="00000003" w:usb1="288F0000" w:usb2="00000006" w:usb3="00000000" w:csb0="00040001" w:csb1="00000000"/>
  </w:font>
  <w:font w:name="Verdana">
    <w:panose1 w:val="020B0604030504040204"/>
    <w:charset w:val="00"/>
    <w:family w:val="auto"/>
    <w:pitch w:val="default"/>
    <w:sig w:usb0="A10006FF" w:usb1="4000205B" w:usb2="00000010" w:usb3="00000000" w:csb0="2000019F" w:csb1="00000000"/>
  </w:font>
  <w:font w:name="Gulim">
    <w:panose1 w:val="020B0600000101010101"/>
    <w:charset w:val="81"/>
    <w:family w:val="swiss"/>
    <w:pitch w:val="default"/>
    <w:sig w:usb0="B00002AF" w:usb1="69D77CFB" w:usb2="00000030" w:usb3="00000000" w:csb0="4008009F" w:csb1="DFD70000"/>
  </w:font>
  <w:font w:name="等线">
    <w:altName w:val="Arial Unicode MS"/>
    <w:panose1 w:val="02010600030101010101"/>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Text Box 1"/>
              <wp:cNvGraphicFramePr/>
              <a:graphic xmlns:a="http://schemas.openxmlformats.org/drawingml/2006/main">
                <a:graphicData uri="http://schemas.microsoft.com/office/word/2010/wordprocessingShape">
                  <wps:wsp>
                    <wps:cNvSpPr txBox="1">
                      <a:spLocks noChangeArrowheads="1"/>
                    </wps:cNvSpPr>
                    <wps:spPr bwMode="auto">
                      <a:xfrm>
                        <a:off x="0" y="0"/>
                        <a:ext cx="1828800" cy="1828800"/>
                      </a:xfrm>
                      <a:prstGeom prst="rect">
                        <a:avLst/>
                      </a:prstGeom>
                      <a:noFill/>
                      <a:ln>
                        <a:noFill/>
                      </a:ln>
                    </wps:spPr>
                    <wps:txbx>
                      <w:txbxContent>
                        <w:p>
                          <w:pPr>
                            <w:pStyle w:val="23"/>
                          </w:pPr>
                          <w:r>
                            <w:fldChar w:fldCharType="begin"/>
                          </w:r>
                          <w:r>
                            <w:instrText xml:space="preserve"> PAGE  \* MERGEFORMAT </w:instrText>
                          </w:r>
                          <w:r>
                            <w:fldChar w:fldCharType="separate"/>
                          </w:r>
                          <w:r>
                            <w:rPr>
                              <w:rFonts w:ascii="Gulim" w:hAnsi="Gulim" w:eastAsia="Gulim" w:cs="Gulim"/>
                            </w:rPr>
                            <w:t>34</w:t>
                          </w:r>
                          <w:r>
                            <w:rPr>
                              <w:rFonts w:ascii="Gulim" w:hAnsi="Gulim" w:eastAsia="Gulim" w:cs="Gulim"/>
                            </w:rPr>
                            <w:fldChar w:fldCharType="end"/>
                          </w:r>
                        </w:p>
                      </w:txbxContent>
                    </wps:txbx>
                    <wps:bodyPr rot="0" vert="horz" wrap="none" lIns="0" tIns="0" rIns="0" bIns="0" anchor="t" anchorCtr="0" upright="1">
                      <a:spAutoFit/>
                    </wps:bodyPr>
                  </wps:wsp>
                </a:graphicData>
              </a:graphic>
            </wp:anchor>
          </w:drawing>
        </mc:Choice>
        <mc:Fallback>
          <w:pict>
            <v:shape id="Text Box 1"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OqXm5zwAAAAUBAAAPAAAAAAAAAAEAIAAAACIA&#10;AABkcnMvZG93bnJldi54bWxQSwECFAAUAAAACACHTuJAYIIoXdkBAAC1AwAADgAAAAAAAAABACAA&#10;AAAeAQAAZHJzL2Uyb0RvYy54bWxQSwUGAAAAAAYABgBZAQAAaQUAAAAA&#10;">
              <v:fill on="f" focussize="0,0"/>
              <v:stroke on="f"/>
              <v:imagedata o:title=""/>
              <o:lock v:ext="edit" aspectratio="f"/>
              <v:textbox inset="0mm,0mm,0mm,0mm" style="mso-fit-shape-to-text:t;">
                <w:txbxContent>
                  <w:p>
                    <w:pPr>
                      <w:pStyle w:val="23"/>
                    </w:pPr>
                    <w:r>
                      <w:fldChar w:fldCharType="begin"/>
                    </w:r>
                    <w:r>
                      <w:instrText xml:space="preserve"> PAGE  \* MERGEFORMAT </w:instrText>
                    </w:r>
                    <w:r>
                      <w:fldChar w:fldCharType="separate"/>
                    </w:r>
                    <w:r>
                      <w:rPr>
                        <w:rFonts w:ascii="Gulim" w:hAnsi="Gulim" w:eastAsia="Gulim" w:cs="Gulim"/>
                      </w:rPr>
                      <w:t>34</w:t>
                    </w:r>
                    <w:r>
                      <w:rPr>
                        <w:rFonts w:ascii="Gulim" w:hAnsi="Gulim" w:eastAsia="Gulim" w:cs="Gulim"/>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mc:AlternateContent>
        <mc:Choice Requires="wps">
          <w:drawing>
            <wp:anchor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53035" cy="175260"/>
              <wp:effectExtent l="0" t="0" r="0" b="0"/>
              <wp:wrapNone/>
              <wp:docPr id="2" name="Text Box 2"/>
              <wp:cNvGraphicFramePr/>
              <a:graphic xmlns:a="http://schemas.openxmlformats.org/drawingml/2006/main">
                <a:graphicData uri="http://schemas.microsoft.com/office/word/2010/wordprocessingShape">
                  <wps:wsp>
                    <wps:cNvSpPr txBox="1">
                      <a:spLocks noChangeArrowheads="1"/>
                    </wps:cNvSpPr>
                    <wps:spPr bwMode="auto">
                      <a:xfrm>
                        <a:off x="0" y="0"/>
                        <a:ext cx="153035" cy="175260"/>
                      </a:xfrm>
                      <a:prstGeom prst="rect">
                        <a:avLst/>
                      </a:prstGeom>
                      <a:noFill/>
                      <a:ln>
                        <a:noFill/>
                      </a:ln>
                    </wps:spPr>
                    <wps:txbx>
                      <w:txbxContent>
                        <w:p>
                          <w:pPr>
                            <w:pStyle w:val="23"/>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6</w:t>
                          </w:r>
                          <w:r>
                            <w:rPr>
                              <w:sz w:val="24"/>
                              <w:szCs w:val="24"/>
                            </w:rPr>
                            <w:fldChar w:fldCharType="end"/>
                          </w:r>
                        </w:p>
                      </w:txbxContent>
                    </wps:txbx>
                    <wps:bodyPr rot="0" vert="horz" wrap="none" lIns="0" tIns="0" rIns="0" bIns="0" anchor="t" anchorCtr="0" upright="1">
                      <a:spAutoFit/>
                    </wps:bodyPr>
                  </wps:wsp>
                </a:graphicData>
              </a:graphic>
            </wp:anchor>
          </w:drawing>
        </mc:Choice>
        <mc:Fallback>
          <w:pict>
            <v:shape id="Text Box 2" o:spid="_x0000_s1026" o:spt="202" type="#_x0000_t202" style="position:absolute;left:0pt;margin-top:0pt;height:13.8pt;width:12.05pt;mso-position-horizontal:center;mso-position-horizontal-relative:margin;mso-wrap-style:none;z-index:251657216;mso-width-relative:page;mso-height-relative:page;" filled="f" stroked="f" coordsize="21600,21600" o:gfxdata="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Hi0qNHRAAAAAwEAAA8AAAAAAAAA&#10;AQAgAAAAIgAAAGRycy9kb3ducmV2LnhtbFBLAQIUABQAAAAIAIdO4kCQwgtQ3wEAALMDAAAOAAAA&#10;AAAAAAEAIAAAACABAABkcnMvZTJvRG9jLnhtbFBLBQYAAAAABgAGAFkBAABxBQAAAAA=&#10;">
              <v:fill on="f" focussize="0,0"/>
              <v:stroke on="f"/>
              <v:imagedata o:title=""/>
              <o:lock v:ext="edit" aspectratio="f"/>
              <v:textbox inset="0mm,0mm,0mm,0mm" style="mso-fit-shape-to-text:t;">
                <w:txbxContent>
                  <w:p>
                    <w:pPr>
                      <w:pStyle w:val="23"/>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6</w:t>
                    </w:r>
                    <w:r>
                      <w:rPr>
                        <w:sz w:val="24"/>
                        <w:szCs w:val="24"/>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DxZ+TlrgEAAEsD&#10;AAAOAAAAAAAAAAEAIAAAAB4BAABkcnMvZTJvRG9jLnhtbFBLBQYAAAAABgAGAFkBAAA+BQAAAAA=&#10;">
              <v:fill on="f" focussize="0,0"/>
              <v:stroke on="f"/>
              <v:imagedata o:title=""/>
              <o:lock v:ext="edit" aspectratio="f"/>
              <v:textbox inset="0mm,0mm,0mm,0mm" style="mso-fit-shape-to-text:t;">
                <w:txbxContent>
                  <w:p>
                    <w:pPr>
                      <w:pStyle w:val="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36</w:t>
                          </w:r>
                          <w:r>
                            <w:rPr>
                              <w:rFonts w:hint="eastAsia"/>
                              <w:lang w:eastAsia="zh-CN"/>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">
              <v:fill on="f" focussize="0,0"/>
              <v:stroke on="f"/>
              <v:imagedata o:title=""/>
              <o:lock v:ext="edit" aspectratio="f"/>
              <v:textbox inset="0mm,0mm,0mm,0mm" style="mso-fit-shape-to-text:t;">
                <w:txbxContent>
                  <w:p>
                    <w:pPr>
                      <w:pStyle w:val="2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36</w:t>
                    </w:r>
                    <w:r>
                      <w:rPr>
                        <w:rFonts w:hint="eastAsia"/>
                        <w:lang w:eastAsia="zh-CN"/>
                      </w:rPr>
                      <w:fldChar w:fldCharType="end"/>
                    </w:r>
                  </w:p>
                </w:txbxContent>
              </v:textbox>
            </v:shape>
          </w:pict>
        </mc:Fallback>
      </mc:AlternateContent>
    </w:r>
  </w:p>
  <w:p>
    <w:pPr>
      <w:pStyle w:val="23"/>
      <w:ind w:right="360"/>
      <w:jc w:val="right"/>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top w:val="none" w:color="auto" w:sz="0" w:space="1"/>
        <w:left w:val="none" w:color="auto" w:sz="0" w:space="4"/>
        <w:bottom w:val="thinThickSmallGap" w:color="auto" w:sz="24" w:space="1"/>
        <w:right w:val="none" w:color="auto" w:sz="0" w:space="4"/>
      </w:pBdr>
      <w:rPr>
        <w:sz w:val="18"/>
        <w:szCs w:val="18"/>
      </w:rPr>
    </w:pPr>
    <w:r>
      <w:rPr>
        <w:rFonts w:hint="eastAsia"/>
        <w:sz w:val="18"/>
        <w:szCs w:val="18"/>
        <w:highlight w:val="none"/>
      </w:rPr>
      <w:t>河南省新闻出版学校2020-2021学年教材采购项目</w:t>
    </w:r>
    <w:r>
      <w:rPr>
        <w:rFonts w:hint="eastAsia"/>
        <w:sz w:val="18"/>
        <w:szCs w:val="18"/>
      </w:rPr>
      <w:t xml:space="preserve">                                    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Bdr>
        <w:top w:val="none" w:color="auto" w:sz="0" w:space="1"/>
        <w:left w:val="none" w:color="auto" w:sz="0" w:space="4"/>
        <w:bottom w:val="none" w:color="auto" w:sz="0" w:space="1"/>
        <w:right w:val="none" w:color="auto" w:sz="0" w:space="4"/>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4F77986"/>
    <w:multiLevelType w:val="singleLevel"/>
    <w:tmpl w:val="94F77986"/>
    <w:lvl w:ilvl="0" w:tentative="0">
      <w:start w:val="1"/>
      <w:numFmt w:val="chineseCounting"/>
      <w:suff w:val="nothing"/>
      <w:lvlText w:val="%1、"/>
      <w:lvlJc w:val="left"/>
      <w:rPr>
        <w:rFonts w:hint="eastAsia"/>
      </w:rPr>
    </w:lvl>
  </w:abstractNum>
  <w:abstractNum w:abstractNumId="1">
    <w:nsid w:val="A4648595"/>
    <w:multiLevelType w:val="singleLevel"/>
    <w:tmpl w:val="A4648595"/>
    <w:lvl w:ilvl="0" w:tentative="0">
      <w:start w:val="3"/>
      <w:numFmt w:val="chineseCounting"/>
      <w:suff w:val="space"/>
      <w:lvlText w:val="第%1章"/>
      <w:lvlJc w:val="left"/>
      <w:rPr>
        <w:rFonts w:hint="eastAsia"/>
      </w:rPr>
    </w:lvl>
  </w:abstractNum>
  <w:abstractNum w:abstractNumId="2">
    <w:nsid w:val="D9FB140F"/>
    <w:multiLevelType w:val="singleLevel"/>
    <w:tmpl w:val="D9FB140F"/>
    <w:lvl w:ilvl="0" w:tentative="0">
      <w:start w:val="1"/>
      <w:numFmt w:val="decimal"/>
      <w:suff w:val="nothing"/>
      <w:lvlText w:val="%1、"/>
      <w:lvlJc w:val="left"/>
    </w:lvl>
  </w:abstractNum>
  <w:abstractNum w:abstractNumId="3">
    <w:nsid w:val="00000009"/>
    <w:multiLevelType w:val="multilevel"/>
    <w:tmpl w:val="00000009"/>
    <w:lvl w:ilvl="0" w:tentative="0">
      <w:start w:val="1"/>
      <w:numFmt w:val="decimal"/>
      <w:pStyle w:val="101"/>
      <w:lvlText w:val="%1."/>
      <w:lvlJc w:val="left"/>
      <w:pPr>
        <w:tabs>
          <w:tab w:val="left" w:pos="360"/>
        </w:tabs>
        <w:ind w:left="360" w:hanging="360"/>
      </w:pPr>
      <w:rPr>
        <w:rFonts w:hint="default" w:ascii="Times New Roman" w:hAnsi="Times New Roman"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119F28B8"/>
    <w:multiLevelType w:val="multilevel"/>
    <w:tmpl w:val="119F28B8"/>
    <w:lvl w:ilvl="0" w:tentative="0">
      <w:start w:val="1"/>
      <w:numFmt w:val="japaneseCounting"/>
      <w:lvlText w:val="%1、"/>
      <w:lvlJc w:val="left"/>
      <w:pPr>
        <w:ind w:left="720" w:hanging="720"/>
      </w:pPr>
      <w:rPr>
        <w:rFonts w:hint="default" w:cs="Times New Roman"/>
      </w:rPr>
    </w:lvl>
    <w:lvl w:ilvl="1" w:tentative="0">
      <w:start w:val="1"/>
      <w:numFmt w:val="lowerLetter"/>
      <w:lvlText w:val="%2)"/>
      <w:lvlJc w:val="left"/>
      <w:pPr>
        <w:ind w:left="840" w:hanging="420"/>
      </w:pPr>
      <w:rPr>
        <w:rFonts w:cs="Times New Roman"/>
      </w:rPr>
    </w:lvl>
    <w:lvl w:ilvl="2" w:tentative="0">
      <w:start w:val="1"/>
      <w:numFmt w:val="lowerRoman"/>
      <w:lvlText w:val="%3."/>
      <w:lvlJc w:val="right"/>
      <w:pPr>
        <w:ind w:left="1260" w:hanging="420"/>
      </w:pPr>
      <w:rPr>
        <w:rFonts w:cs="Times New Roman"/>
      </w:rPr>
    </w:lvl>
    <w:lvl w:ilvl="3" w:tentative="0">
      <w:start w:val="1"/>
      <w:numFmt w:val="decimal"/>
      <w:lvlText w:val="%4."/>
      <w:lvlJc w:val="left"/>
      <w:pPr>
        <w:ind w:left="1680" w:hanging="420"/>
      </w:pPr>
      <w:rPr>
        <w:rFonts w:cs="Times New Roman"/>
      </w:rPr>
    </w:lvl>
    <w:lvl w:ilvl="4" w:tentative="0">
      <w:start w:val="1"/>
      <w:numFmt w:val="lowerLetter"/>
      <w:lvlText w:val="%5)"/>
      <w:lvlJc w:val="left"/>
      <w:pPr>
        <w:ind w:left="2100" w:hanging="420"/>
      </w:pPr>
      <w:rPr>
        <w:rFonts w:cs="Times New Roman"/>
      </w:rPr>
    </w:lvl>
    <w:lvl w:ilvl="5" w:tentative="0">
      <w:start w:val="1"/>
      <w:numFmt w:val="lowerRoman"/>
      <w:lvlText w:val="%6."/>
      <w:lvlJc w:val="right"/>
      <w:pPr>
        <w:ind w:left="2520" w:hanging="420"/>
      </w:pPr>
      <w:rPr>
        <w:rFonts w:cs="Times New Roman"/>
      </w:rPr>
    </w:lvl>
    <w:lvl w:ilvl="6" w:tentative="0">
      <w:start w:val="1"/>
      <w:numFmt w:val="decimal"/>
      <w:lvlText w:val="%7."/>
      <w:lvlJc w:val="left"/>
      <w:pPr>
        <w:ind w:left="2940" w:hanging="420"/>
      </w:pPr>
      <w:rPr>
        <w:rFonts w:cs="Times New Roman"/>
      </w:rPr>
    </w:lvl>
    <w:lvl w:ilvl="7" w:tentative="0">
      <w:start w:val="1"/>
      <w:numFmt w:val="lowerLetter"/>
      <w:lvlText w:val="%8)"/>
      <w:lvlJc w:val="left"/>
      <w:pPr>
        <w:ind w:left="3360" w:hanging="420"/>
      </w:pPr>
      <w:rPr>
        <w:rFonts w:cs="Times New Roman"/>
      </w:rPr>
    </w:lvl>
    <w:lvl w:ilvl="8" w:tentative="0">
      <w:start w:val="1"/>
      <w:numFmt w:val="lowerRoman"/>
      <w:lvlText w:val="%9."/>
      <w:lvlJc w:val="right"/>
      <w:pPr>
        <w:ind w:left="3780" w:hanging="420"/>
      </w:pPr>
      <w:rPr>
        <w:rFonts w:cs="Times New Roman"/>
      </w:rPr>
    </w:lvl>
  </w:abstractNum>
  <w:abstractNum w:abstractNumId="5">
    <w:nsid w:val="13B6674F"/>
    <w:multiLevelType w:val="multilevel"/>
    <w:tmpl w:val="13B6674F"/>
    <w:lvl w:ilvl="0" w:tentative="0">
      <w:start w:val="1"/>
      <w:numFmt w:val="decimal"/>
      <w:lvlText w:val="%1"/>
      <w:lvlJc w:val="left"/>
      <w:pPr>
        <w:ind w:left="908" w:hanging="368"/>
      </w:pPr>
      <w:rPr>
        <w:rFonts w:hint="default"/>
      </w:rPr>
    </w:lvl>
    <w:lvl w:ilvl="1" w:tentative="0">
      <w:start w:val="1"/>
      <w:numFmt w:val="lowerLetter"/>
      <w:lvlText w:val="%2)"/>
      <w:lvlJc w:val="left"/>
      <w:pPr>
        <w:ind w:left="1380" w:hanging="420"/>
      </w:pPr>
    </w:lvl>
    <w:lvl w:ilvl="2" w:tentative="0">
      <w:start w:val="1"/>
      <w:numFmt w:val="lowerRoman"/>
      <w:lvlText w:val="%3."/>
      <w:lvlJc w:val="right"/>
      <w:pPr>
        <w:ind w:left="1800" w:hanging="420"/>
      </w:pPr>
    </w:lvl>
    <w:lvl w:ilvl="3" w:tentative="0">
      <w:start w:val="1"/>
      <w:numFmt w:val="decimal"/>
      <w:lvlText w:val="%4."/>
      <w:lvlJc w:val="left"/>
      <w:pPr>
        <w:ind w:left="2220" w:hanging="420"/>
      </w:pPr>
    </w:lvl>
    <w:lvl w:ilvl="4" w:tentative="0">
      <w:start w:val="1"/>
      <w:numFmt w:val="lowerLetter"/>
      <w:lvlText w:val="%5)"/>
      <w:lvlJc w:val="left"/>
      <w:pPr>
        <w:ind w:left="2640" w:hanging="420"/>
      </w:pPr>
    </w:lvl>
    <w:lvl w:ilvl="5" w:tentative="0">
      <w:start w:val="1"/>
      <w:numFmt w:val="lowerRoman"/>
      <w:lvlText w:val="%6."/>
      <w:lvlJc w:val="right"/>
      <w:pPr>
        <w:ind w:left="3060" w:hanging="420"/>
      </w:pPr>
    </w:lvl>
    <w:lvl w:ilvl="6" w:tentative="0">
      <w:start w:val="1"/>
      <w:numFmt w:val="decimal"/>
      <w:lvlText w:val="%7."/>
      <w:lvlJc w:val="left"/>
      <w:pPr>
        <w:ind w:left="3480" w:hanging="420"/>
      </w:pPr>
    </w:lvl>
    <w:lvl w:ilvl="7" w:tentative="0">
      <w:start w:val="1"/>
      <w:numFmt w:val="lowerLetter"/>
      <w:lvlText w:val="%8)"/>
      <w:lvlJc w:val="left"/>
      <w:pPr>
        <w:ind w:left="3900" w:hanging="420"/>
      </w:pPr>
    </w:lvl>
    <w:lvl w:ilvl="8" w:tentative="0">
      <w:start w:val="1"/>
      <w:numFmt w:val="lowerRoman"/>
      <w:lvlText w:val="%9."/>
      <w:lvlJc w:val="right"/>
      <w:pPr>
        <w:ind w:left="4320" w:hanging="420"/>
      </w:pPr>
    </w:lvl>
  </w:abstractNum>
  <w:abstractNum w:abstractNumId="6">
    <w:nsid w:val="1C523C57"/>
    <w:multiLevelType w:val="multilevel"/>
    <w:tmpl w:val="1C523C57"/>
    <w:lvl w:ilvl="0" w:tentative="0">
      <w:start w:val="1"/>
      <w:numFmt w:val="lowerLetter"/>
      <w:lvlText w:val="%1)"/>
      <w:lvlJc w:val="left"/>
      <w:pPr>
        <w:tabs>
          <w:tab w:val="left" w:pos="1200"/>
        </w:tabs>
        <w:ind w:left="1200" w:hanging="36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pStyle w:val="100"/>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2BB27B3F"/>
    <w:multiLevelType w:val="multilevel"/>
    <w:tmpl w:val="2BB27B3F"/>
    <w:lvl w:ilvl="0" w:tentative="0">
      <w:start w:val="1"/>
      <w:numFmt w:val="japaneseCounting"/>
      <w:lvlText w:val="%1、"/>
      <w:lvlJc w:val="left"/>
      <w:pPr>
        <w:tabs>
          <w:tab w:val="left" w:pos="2880"/>
        </w:tabs>
        <w:ind w:left="2880" w:hanging="720"/>
      </w:pPr>
      <w:rPr>
        <w:rFonts w:hint="default" w:cs="Times New Roman"/>
      </w:rPr>
    </w:lvl>
    <w:lvl w:ilvl="1" w:tentative="0">
      <w:start w:val="1"/>
      <w:numFmt w:val="lowerLetter"/>
      <w:lvlText w:val="%2)"/>
      <w:lvlJc w:val="left"/>
      <w:pPr>
        <w:tabs>
          <w:tab w:val="left" w:pos="4536"/>
        </w:tabs>
        <w:ind w:left="4536" w:hanging="420"/>
      </w:pPr>
      <w:rPr>
        <w:rFonts w:cs="Times New Roman"/>
      </w:rPr>
    </w:lvl>
    <w:lvl w:ilvl="2" w:tentative="0">
      <w:start w:val="1"/>
      <w:numFmt w:val="lowerRoman"/>
      <w:lvlText w:val="%3."/>
      <w:lvlJc w:val="right"/>
      <w:pPr>
        <w:tabs>
          <w:tab w:val="left" w:pos="4956"/>
        </w:tabs>
        <w:ind w:left="4956" w:hanging="420"/>
      </w:pPr>
      <w:rPr>
        <w:rFonts w:cs="Times New Roman"/>
      </w:rPr>
    </w:lvl>
    <w:lvl w:ilvl="3" w:tentative="0">
      <w:start w:val="1"/>
      <w:numFmt w:val="decimal"/>
      <w:lvlText w:val="%4."/>
      <w:lvlJc w:val="left"/>
      <w:pPr>
        <w:tabs>
          <w:tab w:val="left" w:pos="5376"/>
        </w:tabs>
        <w:ind w:left="5376" w:hanging="420"/>
      </w:pPr>
      <w:rPr>
        <w:rFonts w:cs="Times New Roman"/>
      </w:rPr>
    </w:lvl>
    <w:lvl w:ilvl="4" w:tentative="0">
      <w:start w:val="1"/>
      <w:numFmt w:val="lowerLetter"/>
      <w:lvlText w:val="%5)"/>
      <w:lvlJc w:val="left"/>
      <w:pPr>
        <w:tabs>
          <w:tab w:val="left" w:pos="5796"/>
        </w:tabs>
        <w:ind w:left="5796" w:hanging="420"/>
      </w:pPr>
      <w:rPr>
        <w:rFonts w:cs="Times New Roman"/>
      </w:rPr>
    </w:lvl>
    <w:lvl w:ilvl="5" w:tentative="0">
      <w:start w:val="1"/>
      <w:numFmt w:val="lowerRoman"/>
      <w:lvlText w:val="%6."/>
      <w:lvlJc w:val="right"/>
      <w:pPr>
        <w:tabs>
          <w:tab w:val="left" w:pos="6216"/>
        </w:tabs>
        <w:ind w:left="6216" w:hanging="420"/>
      </w:pPr>
      <w:rPr>
        <w:rFonts w:cs="Times New Roman"/>
      </w:rPr>
    </w:lvl>
    <w:lvl w:ilvl="6" w:tentative="0">
      <w:start w:val="1"/>
      <w:numFmt w:val="decimal"/>
      <w:lvlText w:val="%7."/>
      <w:lvlJc w:val="left"/>
      <w:pPr>
        <w:tabs>
          <w:tab w:val="left" w:pos="6636"/>
        </w:tabs>
        <w:ind w:left="6636" w:hanging="420"/>
      </w:pPr>
      <w:rPr>
        <w:rFonts w:cs="Times New Roman"/>
      </w:rPr>
    </w:lvl>
    <w:lvl w:ilvl="7" w:tentative="0">
      <w:start w:val="1"/>
      <w:numFmt w:val="lowerLetter"/>
      <w:lvlText w:val="%8)"/>
      <w:lvlJc w:val="left"/>
      <w:pPr>
        <w:tabs>
          <w:tab w:val="left" w:pos="7056"/>
        </w:tabs>
        <w:ind w:left="7056" w:hanging="420"/>
      </w:pPr>
      <w:rPr>
        <w:rFonts w:cs="Times New Roman"/>
      </w:rPr>
    </w:lvl>
    <w:lvl w:ilvl="8" w:tentative="0">
      <w:start w:val="1"/>
      <w:numFmt w:val="lowerRoman"/>
      <w:lvlText w:val="%9."/>
      <w:lvlJc w:val="right"/>
      <w:pPr>
        <w:tabs>
          <w:tab w:val="left" w:pos="7476"/>
        </w:tabs>
        <w:ind w:left="7476" w:hanging="420"/>
      </w:pPr>
      <w:rPr>
        <w:rFonts w:cs="Times New Roman"/>
      </w:rPr>
    </w:lvl>
  </w:abstractNum>
  <w:abstractNum w:abstractNumId="8">
    <w:nsid w:val="534002EF"/>
    <w:multiLevelType w:val="multilevel"/>
    <w:tmpl w:val="534002EF"/>
    <w:lvl w:ilvl="0" w:tentative="0">
      <w:start w:val="1"/>
      <w:numFmt w:val="decimal"/>
      <w:lvlText w:val="%1"/>
      <w:lvlJc w:val="left"/>
      <w:pPr>
        <w:ind w:left="1020" w:hanging="480"/>
      </w:pPr>
      <w:rPr>
        <w:rFonts w:hint="default"/>
      </w:rPr>
    </w:lvl>
    <w:lvl w:ilvl="1" w:tentative="0">
      <w:start w:val="1"/>
      <w:numFmt w:val="lowerLetter"/>
      <w:lvlText w:val="%2)"/>
      <w:lvlJc w:val="left"/>
      <w:pPr>
        <w:ind w:left="1380" w:hanging="420"/>
      </w:pPr>
    </w:lvl>
    <w:lvl w:ilvl="2" w:tentative="0">
      <w:start w:val="1"/>
      <w:numFmt w:val="lowerRoman"/>
      <w:lvlText w:val="%3."/>
      <w:lvlJc w:val="right"/>
      <w:pPr>
        <w:ind w:left="1800" w:hanging="420"/>
      </w:pPr>
    </w:lvl>
    <w:lvl w:ilvl="3" w:tentative="0">
      <w:start w:val="1"/>
      <w:numFmt w:val="decimal"/>
      <w:lvlText w:val="%4."/>
      <w:lvlJc w:val="left"/>
      <w:pPr>
        <w:ind w:left="2220" w:hanging="420"/>
      </w:pPr>
    </w:lvl>
    <w:lvl w:ilvl="4" w:tentative="0">
      <w:start w:val="1"/>
      <w:numFmt w:val="lowerLetter"/>
      <w:lvlText w:val="%5)"/>
      <w:lvlJc w:val="left"/>
      <w:pPr>
        <w:ind w:left="2640" w:hanging="420"/>
      </w:pPr>
    </w:lvl>
    <w:lvl w:ilvl="5" w:tentative="0">
      <w:start w:val="1"/>
      <w:numFmt w:val="lowerRoman"/>
      <w:lvlText w:val="%6."/>
      <w:lvlJc w:val="right"/>
      <w:pPr>
        <w:ind w:left="3060" w:hanging="420"/>
      </w:pPr>
    </w:lvl>
    <w:lvl w:ilvl="6" w:tentative="0">
      <w:start w:val="1"/>
      <w:numFmt w:val="decimal"/>
      <w:lvlText w:val="%7."/>
      <w:lvlJc w:val="left"/>
      <w:pPr>
        <w:ind w:left="3480" w:hanging="420"/>
      </w:pPr>
    </w:lvl>
    <w:lvl w:ilvl="7" w:tentative="0">
      <w:start w:val="1"/>
      <w:numFmt w:val="lowerLetter"/>
      <w:lvlText w:val="%8)"/>
      <w:lvlJc w:val="left"/>
      <w:pPr>
        <w:ind w:left="3900" w:hanging="420"/>
      </w:pPr>
    </w:lvl>
    <w:lvl w:ilvl="8" w:tentative="0">
      <w:start w:val="1"/>
      <w:numFmt w:val="lowerRoman"/>
      <w:lvlText w:val="%9."/>
      <w:lvlJc w:val="right"/>
      <w:pPr>
        <w:ind w:left="4320" w:hanging="420"/>
      </w:pPr>
    </w:lvl>
  </w:abstractNum>
  <w:abstractNum w:abstractNumId="9">
    <w:nsid w:val="55AF59B9"/>
    <w:multiLevelType w:val="singleLevel"/>
    <w:tmpl w:val="55AF59B9"/>
    <w:lvl w:ilvl="0" w:tentative="0">
      <w:start w:val="1"/>
      <w:numFmt w:val="decimal"/>
      <w:suff w:val="space"/>
      <w:lvlText w:val="%1."/>
      <w:lvlJc w:val="left"/>
      <w:rPr>
        <w:rFonts w:cs="Times New Roman"/>
      </w:rPr>
    </w:lvl>
  </w:abstractNum>
  <w:abstractNum w:abstractNumId="10">
    <w:nsid w:val="59F92E84"/>
    <w:multiLevelType w:val="singleLevel"/>
    <w:tmpl w:val="59F92E84"/>
    <w:lvl w:ilvl="0" w:tentative="0">
      <w:start w:val="9"/>
      <w:numFmt w:val="chineseCounting"/>
      <w:suff w:val="nothing"/>
      <w:lvlText w:val="%1、"/>
      <w:lvlJc w:val="left"/>
      <w:rPr>
        <w:rFonts w:cs="Times New Roman"/>
      </w:rPr>
    </w:lvl>
  </w:abstractNum>
  <w:abstractNum w:abstractNumId="11">
    <w:nsid w:val="59FA80EB"/>
    <w:multiLevelType w:val="singleLevel"/>
    <w:tmpl w:val="59FA80EB"/>
    <w:lvl w:ilvl="0" w:tentative="0">
      <w:start w:val="5"/>
      <w:numFmt w:val="chineseCounting"/>
      <w:suff w:val="nothing"/>
      <w:lvlText w:val="%1、"/>
      <w:lvlJc w:val="left"/>
    </w:lvl>
  </w:abstractNum>
  <w:abstractNum w:abstractNumId="12">
    <w:nsid w:val="62BD32D5"/>
    <w:multiLevelType w:val="multilevel"/>
    <w:tmpl w:val="62BD32D5"/>
    <w:lvl w:ilvl="0" w:tentative="0">
      <w:start w:val="1"/>
      <w:numFmt w:val="decimal"/>
      <w:pStyle w:val="4"/>
      <w:lvlText w:val="%1"/>
      <w:lvlJc w:val="left"/>
      <w:pPr>
        <w:ind w:left="432" w:hanging="432"/>
      </w:pPr>
      <w:rPr>
        <w:rFonts w:cs="Times New Roman"/>
      </w:rPr>
    </w:lvl>
    <w:lvl w:ilvl="1" w:tentative="0">
      <w:start w:val="1"/>
      <w:numFmt w:val="decimal"/>
      <w:pStyle w:val="5"/>
      <w:lvlText w:val="%1.%2"/>
      <w:lvlJc w:val="left"/>
      <w:pPr>
        <w:ind w:left="576" w:hanging="576"/>
      </w:pPr>
      <w:rPr>
        <w:rFonts w:cs="Times New Roman"/>
      </w:rPr>
    </w:lvl>
    <w:lvl w:ilvl="2" w:tentative="0">
      <w:start w:val="1"/>
      <w:numFmt w:val="decimal"/>
      <w:pStyle w:val="7"/>
      <w:lvlText w:val="%1.%2.%3"/>
      <w:lvlJc w:val="left"/>
      <w:pPr>
        <w:ind w:left="720" w:hanging="720"/>
      </w:pPr>
      <w:rPr>
        <w:rFonts w:cs="Times New Roman"/>
      </w:rPr>
    </w:lvl>
    <w:lvl w:ilvl="3" w:tentative="0">
      <w:start w:val="1"/>
      <w:numFmt w:val="decimal"/>
      <w:pStyle w:val="8"/>
      <w:lvlText w:val="%1.%2.%3.%4"/>
      <w:lvlJc w:val="left"/>
      <w:pPr>
        <w:ind w:left="864" w:hanging="864"/>
      </w:pPr>
      <w:rPr>
        <w:rFonts w:cs="Times New Roman"/>
      </w:rPr>
    </w:lvl>
    <w:lvl w:ilvl="4" w:tentative="0">
      <w:start w:val="1"/>
      <w:numFmt w:val="decimal"/>
      <w:pStyle w:val="9"/>
      <w:lvlText w:val="%1.%2.%3.%4.%5"/>
      <w:lvlJc w:val="left"/>
      <w:pPr>
        <w:ind w:left="1008" w:hanging="1008"/>
      </w:pPr>
      <w:rPr>
        <w:rFonts w:cs="Times New Roman"/>
      </w:rPr>
    </w:lvl>
    <w:lvl w:ilvl="5" w:tentative="0">
      <w:start w:val="1"/>
      <w:numFmt w:val="decimal"/>
      <w:pStyle w:val="10"/>
      <w:lvlText w:val="%1.%2.%3.%4.%5.%6"/>
      <w:lvlJc w:val="left"/>
      <w:pPr>
        <w:ind w:left="1152" w:hanging="1152"/>
      </w:pPr>
      <w:rPr>
        <w:rFonts w:cs="Times New Roman"/>
      </w:rPr>
    </w:lvl>
    <w:lvl w:ilvl="6" w:tentative="0">
      <w:start w:val="1"/>
      <w:numFmt w:val="decimal"/>
      <w:pStyle w:val="11"/>
      <w:lvlText w:val="%1.%2.%3.%4.%5.%6.%7"/>
      <w:lvlJc w:val="left"/>
      <w:pPr>
        <w:ind w:left="1296" w:hanging="1296"/>
      </w:pPr>
      <w:rPr>
        <w:rFonts w:cs="Times New Roman"/>
      </w:rPr>
    </w:lvl>
    <w:lvl w:ilvl="7" w:tentative="0">
      <w:start w:val="1"/>
      <w:numFmt w:val="decimal"/>
      <w:pStyle w:val="12"/>
      <w:lvlText w:val="%1.%2.%3.%4.%5.%6.%7.%8"/>
      <w:lvlJc w:val="left"/>
      <w:pPr>
        <w:ind w:left="1440" w:hanging="1440"/>
      </w:pPr>
      <w:rPr>
        <w:rFonts w:cs="Times New Roman"/>
      </w:rPr>
    </w:lvl>
    <w:lvl w:ilvl="8" w:tentative="0">
      <w:start w:val="1"/>
      <w:numFmt w:val="decimal"/>
      <w:pStyle w:val="13"/>
      <w:lvlText w:val="%1.%2.%3.%4.%5.%6.%7.%8.%9"/>
      <w:lvlJc w:val="left"/>
      <w:pPr>
        <w:ind w:left="1584" w:hanging="1584"/>
      </w:pPr>
      <w:rPr>
        <w:rFonts w:cs="Times New Roman"/>
      </w:rPr>
    </w:lvl>
  </w:abstractNum>
  <w:num w:numId="1">
    <w:abstractNumId w:val="12"/>
  </w:num>
  <w:num w:numId="2">
    <w:abstractNumId w:val="6"/>
  </w:num>
  <w:num w:numId="3">
    <w:abstractNumId w:val="3"/>
  </w:num>
  <w:num w:numId="4">
    <w:abstractNumId w:val="2"/>
  </w:num>
  <w:num w:numId="5">
    <w:abstractNumId w:val="4"/>
  </w:num>
  <w:num w:numId="6">
    <w:abstractNumId w:val="9"/>
  </w:num>
  <w:num w:numId="7">
    <w:abstractNumId w:val="1"/>
  </w:num>
  <w:num w:numId="8">
    <w:abstractNumId w:val="0"/>
  </w:num>
  <w:num w:numId="9">
    <w:abstractNumId w:val="7"/>
  </w:num>
  <w:num w:numId="10">
    <w:abstractNumId w:val="11"/>
  </w:num>
  <w:num w:numId="11">
    <w:abstractNumId w:val="10"/>
  </w:num>
  <w:num w:numId="12">
    <w:abstractNumId w:val="5"/>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bordersDoNotSurroundHeader w:val="0"/>
  <w:bordersDoNotSurroundFooter w:val="0"/>
  <w:hideSpellingErrors/>
  <w:documentProtection w:enforcement="0"/>
  <w:defaultTabStop w:val="420"/>
  <w:drawingGridHorizontalSpacing w:val="105"/>
  <w:drawingGridVerticalSpacing w:val="161"/>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7AA2"/>
    <w:rsid w:val="000008E5"/>
    <w:rsid w:val="00000C45"/>
    <w:rsid w:val="0000174F"/>
    <w:rsid w:val="00004E97"/>
    <w:rsid w:val="000140E7"/>
    <w:rsid w:val="00014B82"/>
    <w:rsid w:val="00016DB8"/>
    <w:rsid w:val="000179EC"/>
    <w:rsid w:val="00020A39"/>
    <w:rsid w:val="00023EFB"/>
    <w:rsid w:val="0002464E"/>
    <w:rsid w:val="0002489F"/>
    <w:rsid w:val="00024F19"/>
    <w:rsid w:val="000271A5"/>
    <w:rsid w:val="0003042C"/>
    <w:rsid w:val="00032578"/>
    <w:rsid w:val="0003291A"/>
    <w:rsid w:val="00032F0C"/>
    <w:rsid w:val="00033A1A"/>
    <w:rsid w:val="00034701"/>
    <w:rsid w:val="0003614E"/>
    <w:rsid w:val="00036AC8"/>
    <w:rsid w:val="0003732E"/>
    <w:rsid w:val="000374E1"/>
    <w:rsid w:val="000418E1"/>
    <w:rsid w:val="000440BD"/>
    <w:rsid w:val="00044D23"/>
    <w:rsid w:val="0004569D"/>
    <w:rsid w:val="00047093"/>
    <w:rsid w:val="00047803"/>
    <w:rsid w:val="00050B79"/>
    <w:rsid w:val="00052727"/>
    <w:rsid w:val="0005532E"/>
    <w:rsid w:val="00055753"/>
    <w:rsid w:val="00056736"/>
    <w:rsid w:val="00056FE4"/>
    <w:rsid w:val="00057B01"/>
    <w:rsid w:val="00057F24"/>
    <w:rsid w:val="0006186F"/>
    <w:rsid w:val="000619DD"/>
    <w:rsid w:val="00061BB0"/>
    <w:rsid w:val="00062914"/>
    <w:rsid w:val="0006293C"/>
    <w:rsid w:val="00064283"/>
    <w:rsid w:val="00064C56"/>
    <w:rsid w:val="00065434"/>
    <w:rsid w:val="00067862"/>
    <w:rsid w:val="00071151"/>
    <w:rsid w:val="000716CC"/>
    <w:rsid w:val="00073731"/>
    <w:rsid w:val="0007568A"/>
    <w:rsid w:val="00075ED2"/>
    <w:rsid w:val="00076D7B"/>
    <w:rsid w:val="00082E57"/>
    <w:rsid w:val="0008513B"/>
    <w:rsid w:val="00090776"/>
    <w:rsid w:val="00093C37"/>
    <w:rsid w:val="00093FEC"/>
    <w:rsid w:val="000A0C35"/>
    <w:rsid w:val="000A0D17"/>
    <w:rsid w:val="000A2051"/>
    <w:rsid w:val="000A2E03"/>
    <w:rsid w:val="000A4252"/>
    <w:rsid w:val="000A48F6"/>
    <w:rsid w:val="000A5B6B"/>
    <w:rsid w:val="000A5DB0"/>
    <w:rsid w:val="000A63B5"/>
    <w:rsid w:val="000A6565"/>
    <w:rsid w:val="000A69A2"/>
    <w:rsid w:val="000A6E9E"/>
    <w:rsid w:val="000A795E"/>
    <w:rsid w:val="000B099D"/>
    <w:rsid w:val="000B1D9B"/>
    <w:rsid w:val="000B3579"/>
    <w:rsid w:val="000B35CE"/>
    <w:rsid w:val="000B41BD"/>
    <w:rsid w:val="000B578B"/>
    <w:rsid w:val="000B6037"/>
    <w:rsid w:val="000B6151"/>
    <w:rsid w:val="000B6E12"/>
    <w:rsid w:val="000B7AAC"/>
    <w:rsid w:val="000B7C10"/>
    <w:rsid w:val="000C1FC0"/>
    <w:rsid w:val="000C3156"/>
    <w:rsid w:val="000C5937"/>
    <w:rsid w:val="000D04A1"/>
    <w:rsid w:val="000D11CB"/>
    <w:rsid w:val="000D70E2"/>
    <w:rsid w:val="000E1704"/>
    <w:rsid w:val="000E239E"/>
    <w:rsid w:val="000E3130"/>
    <w:rsid w:val="000E4E32"/>
    <w:rsid w:val="000E60AB"/>
    <w:rsid w:val="000E6801"/>
    <w:rsid w:val="000F283D"/>
    <w:rsid w:val="000F32C4"/>
    <w:rsid w:val="000F349A"/>
    <w:rsid w:val="000F4DB0"/>
    <w:rsid w:val="000F53B0"/>
    <w:rsid w:val="000F584B"/>
    <w:rsid w:val="000F6D83"/>
    <w:rsid w:val="000F7D46"/>
    <w:rsid w:val="00100FFB"/>
    <w:rsid w:val="00101AC6"/>
    <w:rsid w:val="00101B38"/>
    <w:rsid w:val="0010441D"/>
    <w:rsid w:val="00105595"/>
    <w:rsid w:val="00105DA1"/>
    <w:rsid w:val="00105F91"/>
    <w:rsid w:val="00106729"/>
    <w:rsid w:val="001068F4"/>
    <w:rsid w:val="001113A8"/>
    <w:rsid w:val="001116A3"/>
    <w:rsid w:val="001116F7"/>
    <w:rsid w:val="00111B5A"/>
    <w:rsid w:val="00112F79"/>
    <w:rsid w:val="00113658"/>
    <w:rsid w:val="00121658"/>
    <w:rsid w:val="00123126"/>
    <w:rsid w:val="00123D8C"/>
    <w:rsid w:val="001242BC"/>
    <w:rsid w:val="00124640"/>
    <w:rsid w:val="00125226"/>
    <w:rsid w:val="00125457"/>
    <w:rsid w:val="00125A7D"/>
    <w:rsid w:val="001260CB"/>
    <w:rsid w:val="0012710C"/>
    <w:rsid w:val="00132C1E"/>
    <w:rsid w:val="001335A4"/>
    <w:rsid w:val="00133ADE"/>
    <w:rsid w:val="00133BAF"/>
    <w:rsid w:val="00136B34"/>
    <w:rsid w:val="00137179"/>
    <w:rsid w:val="00140E68"/>
    <w:rsid w:val="0014234E"/>
    <w:rsid w:val="001435E0"/>
    <w:rsid w:val="001443D5"/>
    <w:rsid w:val="001452A8"/>
    <w:rsid w:val="001458E7"/>
    <w:rsid w:val="00145CB2"/>
    <w:rsid w:val="00146D7C"/>
    <w:rsid w:val="001508BD"/>
    <w:rsid w:val="001555CC"/>
    <w:rsid w:val="0015602F"/>
    <w:rsid w:val="00156085"/>
    <w:rsid w:val="001620E6"/>
    <w:rsid w:val="00162587"/>
    <w:rsid w:val="00164C7F"/>
    <w:rsid w:val="0016590C"/>
    <w:rsid w:val="001661DA"/>
    <w:rsid w:val="00166640"/>
    <w:rsid w:val="0016688F"/>
    <w:rsid w:val="00167D65"/>
    <w:rsid w:val="00170935"/>
    <w:rsid w:val="001720E8"/>
    <w:rsid w:val="0017372B"/>
    <w:rsid w:val="0017394A"/>
    <w:rsid w:val="00174BAF"/>
    <w:rsid w:val="0018007D"/>
    <w:rsid w:val="001806ED"/>
    <w:rsid w:val="00183EF9"/>
    <w:rsid w:val="00184353"/>
    <w:rsid w:val="00185627"/>
    <w:rsid w:val="00185B4D"/>
    <w:rsid w:val="00186C60"/>
    <w:rsid w:val="00190061"/>
    <w:rsid w:val="00191A6A"/>
    <w:rsid w:val="00191BDA"/>
    <w:rsid w:val="00191E68"/>
    <w:rsid w:val="00193CBC"/>
    <w:rsid w:val="0019401D"/>
    <w:rsid w:val="00194B74"/>
    <w:rsid w:val="00194C07"/>
    <w:rsid w:val="00197547"/>
    <w:rsid w:val="001A142F"/>
    <w:rsid w:val="001A1A2D"/>
    <w:rsid w:val="001A1C3A"/>
    <w:rsid w:val="001A2134"/>
    <w:rsid w:val="001A2166"/>
    <w:rsid w:val="001A2784"/>
    <w:rsid w:val="001A2EF1"/>
    <w:rsid w:val="001A2F1F"/>
    <w:rsid w:val="001A3CCC"/>
    <w:rsid w:val="001B0658"/>
    <w:rsid w:val="001B0788"/>
    <w:rsid w:val="001B0A7C"/>
    <w:rsid w:val="001B15CC"/>
    <w:rsid w:val="001B2CB5"/>
    <w:rsid w:val="001B43C8"/>
    <w:rsid w:val="001B516E"/>
    <w:rsid w:val="001B728B"/>
    <w:rsid w:val="001C0455"/>
    <w:rsid w:val="001C1399"/>
    <w:rsid w:val="001C29F7"/>
    <w:rsid w:val="001C3053"/>
    <w:rsid w:val="001C39B4"/>
    <w:rsid w:val="001C4454"/>
    <w:rsid w:val="001C571C"/>
    <w:rsid w:val="001C5CC0"/>
    <w:rsid w:val="001C665E"/>
    <w:rsid w:val="001C6D9B"/>
    <w:rsid w:val="001C7FB9"/>
    <w:rsid w:val="001D083D"/>
    <w:rsid w:val="001D288C"/>
    <w:rsid w:val="001D49E0"/>
    <w:rsid w:val="001D5591"/>
    <w:rsid w:val="001E17DF"/>
    <w:rsid w:val="001E20BE"/>
    <w:rsid w:val="001E2493"/>
    <w:rsid w:val="001E2F27"/>
    <w:rsid w:val="001E456A"/>
    <w:rsid w:val="001E5CFB"/>
    <w:rsid w:val="001E6A6F"/>
    <w:rsid w:val="001E7896"/>
    <w:rsid w:val="001F05DF"/>
    <w:rsid w:val="001F08BF"/>
    <w:rsid w:val="001F3418"/>
    <w:rsid w:val="001F441B"/>
    <w:rsid w:val="001F5F13"/>
    <w:rsid w:val="001F6A28"/>
    <w:rsid w:val="001F6D3C"/>
    <w:rsid w:val="00200AB5"/>
    <w:rsid w:val="002018F3"/>
    <w:rsid w:val="00203E65"/>
    <w:rsid w:val="00204ED4"/>
    <w:rsid w:val="00207732"/>
    <w:rsid w:val="00210293"/>
    <w:rsid w:val="002111AE"/>
    <w:rsid w:val="002115F6"/>
    <w:rsid w:val="00211881"/>
    <w:rsid w:val="002123BB"/>
    <w:rsid w:val="00212620"/>
    <w:rsid w:val="00214009"/>
    <w:rsid w:val="00215647"/>
    <w:rsid w:val="00217F9A"/>
    <w:rsid w:val="00222F30"/>
    <w:rsid w:val="00223569"/>
    <w:rsid w:val="002236CA"/>
    <w:rsid w:val="002246F1"/>
    <w:rsid w:val="002248E5"/>
    <w:rsid w:val="002261AD"/>
    <w:rsid w:val="0022638A"/>
    <w:rsid w:val="00230495"/>
    <w:rsid w:val="00231892"/>
    <w:rsid w:val="002322A1"/>
    <w:rsid w:val="0023524A"/>
    <w:rsid w:val="002362F2"/>
    <w:rsid w:val="00236D22"/>
    <w:rsid w:val="00237930"/>
    <w:rsid w:val="002429D0"/>
    <w:rsid w:val="00242FEE"/>
    <w:rsid w:val="00245985"/>
    <w:rsid w:val="002459EA"/>
    <w:rsid w:val="00245AFA"/>
    <w:rsid w:val="00246312"/>
    <w:rsid w:val="00246589"/>
    <w:rsid w:val="00247DC0"/>
    <w:rsid w:val="00250EA8"/>
    <w:rsid w:val="00252593"/>
    <w:rsid w:val="0025313B"/>
    <w:rsid w:val="00253B99"/>
    <w:rsid w:val="00253D02"/>
    <w:rsid w:val="00254BA1"/>
    <w:rsid w:val="00254E4E"/>
    <w:rsid w:val="00256D34"/>
    <w:rsid w:val="00257E4B"/>
    <w:rsid w:val="00261785"/>
    <w:rsid w:val="002623F7"/>
    <w:rsid w:val="0026287F"/>
    <w:rsid w:val="00263DCE"/>
    <w:rsid w:val="002645E4"/>
    <w:rsid w:val="002646DE"/>
    <w:rsid w:val="002648E4"/>
    <w:rsid w:val="00264B66"/>
    <w:rsid w:val="0026526D"/>
    <w:rsid w:val="00272F2E"/>
    <w:rsid w:val="002754A2"/>
    <w:rsid w:val="00275E0B"/>
    <w:rsid w:val="0027643A"/>
    <w:rsid w:val="0027698F"/>
    <w:rsid w:val="00276BF3"/>
    <w:rsid w:val="002800E7"/>
    <w:rsid w:val="00281140"/>
    <w:rsid w:val="0028116B"/>
    <w:rsid w:val="002829FF"/>
    <w:rsid w:val="00284F2A"/>
    <w:rsid w:val="00286D85"/>
    <w:rsid w:val="00286DF1"/>
    <w:rsid w:val="00290D35"/>
    <w:rsid w:val="00292C24"/>
    <w:rsid w:val="00296CA6"/>
    <w:rsid w:val="00297835"/>
    <w:rsid w:val="002A0950"/>
    <w:rsid w:val="002A1AE5"/>
    <w:rsid w:val="002A252B"/>
    <w:rsid w:val="002A5872"/>
    <w:rsid w:val="002A7190"/>
    <w:rsid w:val="002A7822"/>
    <w:rsid w:val="002B1F22"/>
    <w:rsid w:val="002B2081"/>
    <w:rsid w:val="002B2293"/>
    <w:rsid w:val="002B2AE5"/>
    <w:rsid w:val="002B2C93"/>
    <w:rsid w:val="002B3192"/>
    <w:rsid w:val="002B3643"/>
    <w:rsid w:val="002B60C5"/>
    <w:rsid w:val="002C0A6E"/>
    <w:rsid w:val="002C1321"/>
    <w:rsid w:val="002C17AD"/>
    <w:rsid w:val="002C1DF3"/>
    <w:rsid w:val="002C2187"/>
    <w:rsid w:val="002C2422"/>
    <w:rsid w:val="002C2DE4"/>
    <w:rsid w:val="002C3E4A"/>
    <w:rsid w:val="002C51FB"/>
    <w:rsid w:val="002C5807"/>
    <w:rsid w:val="002C5DB8"/>
    <w:rsid w:val="002C7F34"/>
    <w:rsid w:val="002D1CCC"/>
    <w:rsid w:val="002D284D"/>
    <w:rsid w:val="002D4689"/>
    <w:rsid w:val="002D4D44"/>
    <w:rsid w:val="002D52A7"/>
    <w:rsid w:val="002D5BDD"/>
    <w:rsid w:val="002D73A6"/>
    <w:rsid w:val="002E04D3"/>
    <w:rsid w:val="002E065B"/>
    <w:rsid w:val="002E5E30"/>
    <w:rsid w:val="002E5F4B"/>
    <w:rsid w:val="002E65C4"/>
    <w:rsid w:val="002E7240"/>
    <w:rsid w:val="002E7C2E"/>
    <w:rsid w:val="002E7CAD"/>
    <w:rsid w:val="002F086A"/>
    <w:rsid w:val="002F0C4B"/>
    <w:rsid w:val="002F1D04"/>
    <w:rsid w:val="002F24B9"/>
    <w:rsid w:val="002F2E38"/>
    <w:rsid w:val="002F307D"/>
    <w:rsid w:val="002F4099"/>
    <w:rsid w:val="002F651A"/>
    <w:rsid w:val="0030071C"/>
    <w:rsid w:val="0030119F"/>
    <w:rsid w:val="00302CDE"/>
    <w:rsid w:val="00306946"/>
    <w:rsid w:val="003072E9"/>
    <w:rsid w:val="00307CBD"/>
    <w:rsid w:val="00310532"/>
    <w:rsid w:val="003116C2"/>
    <w:rsid w:val="00312578"/>
    <w:rsid w:val="00313F9A"/>
    <w:rsid w:val="003142AD"/>
    <w:rsid w:val="00316D89"/>
    <w:rsid w:val="00316F26"/>
    <w:rsid w:val="00317E47"/>
    <w:rsid w:val="00321154"/>
    <w:rsid w:val="00322414"/>
    <w:rsid w:val="00323022"/>
    <w:rsid w:val="00325EFC"/>
    <w:rsid w:val="0032608A"/>
    <w:rsid w:val="00327A32"/>
    <w:rsid w:val="00331256"/>
    <w:rsid w:val="00331FB8"/>
    <w:rsid w:val="003324FA"/>
    <w:rsid w:val="0033421B"/>
    <w:rsid w:val="003357BA"/>
    <w:rsid w:val="0033591B"/>
    <w:rsid w:val="00336CDB"/>
    <w:rsid w:val="003403C1"/>
    <w:rsid w:val="00340672"/>
    <w:rsid w:val="00340EDB"/>
    <w:rsid w:val="003417DD"/>
    <w:rsid w:val="00341D34"/>
    <w:rsid w:val="00343E8B"/>
    <w:rsid w:val="0034438E"/>
    <w:rsid w:val="0034441D"/>
    <w:rsid w:val="0034739D"/>
    <w:rsid w:val="00350446"/>
    <w:rsid w:val="003507CB"/>
    <w:rsid w:val="00351FA8"/>
    <w:rsid w:val="003527D4"/>
    <w:rsid w:val="003528BD"/>
    <w:rsid w:val="0035435D"/>
    <w:rsid w:val="003549BE"/>
    <w:rsid w:val="00357EFE"/>
    <w:rsid w:val="00357FDC"/>
    <w:rsid w:val="003609BC"/>
    <w:rsid w:val="00361AF1"/>
    <w:rsid w:val="00361FF7"/>
    <w:rsid w:val="003625BB"/>
    <w:rsid w:val="00362A6B"/>
    <w:rsid w:val="00362ED6"/>
    <w:rsid w:val="003630F5"/>
    <w:rsid w:val="00363D04"/>
    <w:rsid w:val="00363F72"/>
    <w:rsid w:val="003644BA"/>
    <w:rsid w:val="003646EB"/>
    <w:rsid w:val="00364C0F"/>
    <w:rsid w:val="00364F2E"/>
    <w:rsid w:val="003664BD"/>
    <w:rsid w:val="00366614"/>
    <w:rsid w:val="003671FE"/>
    <w:rsid w:val="00370279"/>
    <w:rsid w:val="0037136F"/>
    <w:rsid w:val="00371629"/>
    <w:rsid w:val="003719E9"/>
    <w:rsid w:val="00372DE7"/>
    <w:rsid w:val="00375291"/>
    <w:rsid w:val="00375880"/>
    <w:rsid w:val="00376203"/>
    <w:rsid w:val="00376989"/>
    <w:rsid w:val="003778F2"/>
    <w:rsid w:val="0038114F"/>
    <w:rsid w:val="00384818"/>
    <w:rsid w:val="00384907"/>
    <w:rsid w:val="00384FAD"/>
    <w:rsid w:val="0038552E"/>
    <w:rsid w:val="0038701D"/>
    <w:rsid w:val="00387F05"/>
    <w:rsid w:val="0039391A"/>
    <w:rsid w:val="003945AF"/>
    <w:rsid w:val="003965B9"/>
    <w:rsid w:val="00397671"/>
    <w:rsid w:val="003A436A"/>
    <w:rsid w:val="003A52C6"/>
    <w:rsid w:val="003B0DD3"/>
    <w:rsid w:val="003B3385"/>
    <w:rsid w:val="003B372D"/>
    <w:rsid w:val="003B3E9F"/>
    <w:rsid w:val="003B4403"/>
    <w:rsid w:val="003B4C5C"/>
    <w:rsid w:val="003B56B9"/>
    <w:rsid w:val="003B5E20"/>
    <w:rsid w:val="003B6C7D"/>
    <w:rsid w:val="003B7F5E"/>
    <w:rsid w:val="003C0D6D"/>
    <w:rsid w:val="003C1614"/>
    <w:rsid w:val="003C1DE7"/>
    <w:rsid w:val="003C236F"/>
    <w:rsid w:val="003C45B9"/>
    <w:rsid w:val="003C6294"/>
    <w:rsid w:val="003C67BF"/>
    <w:rsid w:val="003C6802"/>
    <w:rsid w:val="003C7A4E"/>
    <w:rsid w:val="003D03B1"/>
    <w:rsid w:val="003D1520"/>
    <w:rsid w:val="003D31E4"/>
    <w:rsid w:val="003D39BE"/>
    <w:rsid w:val="003D54F7"/>
    <w:rsid w:val="003D699C"/>
    <w:rsid w:val="003D6CBB"/>
    <w:rsid w:val="003D797F"/>
    <w:rsid w:val="003E43FB"/>
    <w:rsid w:val="003E5AF2"/>
    <w:rsid w:val="003E5BB7"/>
    <w:rsid w:val="003E7878"/>
    <w:rsid w:val="003F1D42"/>
    <w:rsid w:val="003F2DD5"/>
    <w:rsid w:val="003F3D59"/>
    <w:rsid w:val="003F3EC9"/>
    <w:rsid w:val="003F4B64"/>
    <w:rsid w:val="003F527B"/>
    <w:rsid w:val="003F5400"/>
    <w:rsid w:val="003F59BF"/>
    <w:rsid w:val="003F75ED"/>
    <w:rsid w:val="00402BF6"/>
    <w:rsid w:val="00403B4E"/>
    <w:rsid w:val="004045FD"/>
    <w:rsid w:val="004047DE"/>
    <w:rsid w:val="00404B45"/>
    <w:rsid w:val="0040670A"/>
    <w:rsid w:val="004117C0"/>
    <w:rsid w:val="004124AF"/>
    <w:rsid w:val="00413264"/>
    <w:rsid w:val="00413B9C"/>
    <w:rsid w:val="004164AB"/>
    <w:rsid w:val="00417F1A"/>
    <w:rsid w:val="00421AF9"/>
    <w:rsid w:val="00422618"/>
    <w:rsid w:val="00422EEE"/>
    <w:rsid w:val="00423DB8"/>
    <w:rsid w:val="00424552"/>
    <w:rsid w:val="0042534A"/>
    <w:rsid w:val="004261E0"/>
    <w:rsid w:val="00426DC8"/>
    <w:rsid w:val="004271F4"/>
    <w:rsid w:val="00430634"/>
    <w:rsid w:val="004338E1"/>
    <w:rsid w:val="00434B2B"/>
    <w:rsid w:val="00434D19"/>
    <w:rsid w:val="00435FDF"/>
    <w:rsid w:val="00436EDD"/>
    <w:rsid w:val="00441250"/>
    <w:rsid w:val="0044176E"/>
    <w:rsid w:val="004418B0"/>
    <w:rsid w:val="0044251F"/>
    <w:rsid w:val="00443CE3"/>
    <w:rsid w:val="00443EE5"/>
    <w:rsid w:val="004442E3"/>
    <w:rsid w:val="0044574F"/>
    <w:rsid w:val="00446A72"/>
    <w:rsid w:val="00447AEF"/>
    <w:rsid w:val="00447E06"/>
    <w:rsid w:val="0045032B"/>
    <w:rsid w:val="00452356"/>
    <w:rsid w:val="00452872"/>
    <w:rsid w:val="00453FAE"/>
    <w:rsid w:val="00454099"/>
    <w:rsid w:val="00456E42"/>
    <w:rsid w:val="0046479D"/>
    <w:rsid w:val="0046499C"/>
    <w:rsid w:val="0046575E"/>
    <w:rsid w:val="004709B1"/>
    <w:rsid w:val="0047372E"/>
    <w:rsid w:val="00475A13"/>
    <w:rsid w:val="0048038D"/>
    <w:rsid w:val="00482A7F"/>
    <w:rsid w:val="00486BE7"/>
    <w:rsid w:val="00490073"/>
    <w:rsid w:val="00492408"/>
    <w:rsid w:val="00492F0F"/>
    <w:rsid w:val="004938C6"/>
    <w:rsid w:val="00494114"/>
    <w:rsid w:val="00495F6E"/>
    <w:rsid w:val="00495FF1"/>
    <w:rsid w:val="00497AAF"/>
    <w:rsid w:val="004A15B4"/>
    <w:rsid w:val="004A19B1"/>
    <w:rsid w:val="004A2323"/>
    <w:rsid w:val="004A2C63"/>
    <w:rsid w:val="004A4D9A"/>
    <w:rsid w:val="004B03B6"/>
    <w:rsid w:val="004B050E"/>
    <w:rsid w:val="004B0648"/>
    <w:rsid w:val="004B0BC6"/>
    <w:rsid w:val="004B2DA3"/>
    <w:rsid w:val="004B4E5D"/>
    <w:rsid w:val="004B5136"/>
    <w:rsid w:val="004B53F8"/>
    <w:rsid w:val="004B659C"/>
    <w:rsid w:val="004B7AED"/>
    <w:rsid w:val="004C08BE"/>
    <w:rsid w:val="004C1ECA"/>
    <w:rsid w:val="004C2425"/>
    <w:rsid w:val="004C253F"/>
    <w:rsid w:val="004C3544"/>
    <w:rsid w:val="004C3DE2"/>
    <w:rsid w:val="004C48FB"/>
    <w:rsid w:val="004C5441"/>
    <w:rsid w:val="004C5935"/>
    <w:rsid w:val="004C5B8D"/>
    <w:rsid w:val="004D111B"/>
    <w:rsid w:val="004D1F5F"/>
    <w:rsid w:val="004D22B5"/>
    <w:rsid w:val="004D33B8"/>
    <w:rsid w:val="004D3CBC"/>
    <w:rsid w:val="004D400B"/>
    <w:rsid w:val="004D41D6"/>
    <w:rsid w:val="004D527D"/>
    <w:rsid w:val="004E110F"/>
    <w:rsid w:val="004E2A01"/>
    <w:rsid w:val="004E6FB1"/>
    <w:rsid w:val="004F0879"/>
    <w:rsid w:val="004F0FD8"/>
    <w:rsid w:val="004F173B"/>
    <w:rsid w:val="004F2CA6"/>
    <w:rsid w:val="004F46B4"/>
    <w:rsid w:val="004F5BF0"/>
    <w:rsid w:val="004F5C95"/>
    <w:rsid w:val="00500DF1"/>
    <w:rsid w:val="00503CDA"/>
    <w:rsid w:val="0050576A"/>
    <w:rsid w:val="005065E4"/>
    <w:rsid w:val="0051008E"/>
    <w:rsid w:val="005121E8"/>
    <w:rsid w:val="005124B4"/>
    <w:rsid w:val="00512CA5"/>
    <w:rsid w:val="0051478E"/>
    <w:rsid w:val="00516491"/>
    <w:rsid w:val="005201A1"/>
    <w:rsid w:val="0052030F"/>
    <w:rsid w:val="00520B32"/>
    <w:rsid w:val="00520F2B"/>
    <w:rsid w:val="005217CA"/>
    <w:rsid w:val="00522617"/>
    <w:rsid w:val="00523C07"/>
    <w:rsid w:val="00527840"/>
    <w:rsid w:val="005278FF"/>
    <w:rsid w:val="0053060A"/>
    <w:rsid w:val="005353A2"/>
    <w:rsid w:val="0053546F"/>
    <w:rsid w:val="00541774"/>
    <w:rsid w:val="00541D7F"/>
    <w:rsid w:val="00543CA1"/>
    <w:rsid w:val="00544187"/>
    <w:rsid w:val="00547D6F"/>
    <w:rsid w:val="0055116B"/>
    <w:rsid w:val="005525D6"/>
    <w:rsid w:val="005535B2"/>
    <w:rsid w:val="00555A47"/>
    <w:rsid w:val="00560B9A"/>
    <w:rsid w:val="00561AB1"/>
    <w:rsid w:val="00564C32"/>
    <w:rsid w:val="00564E2B"/>
    <w:rsid w:val="0056611D"/>
    <w:rsid w:val="00567486"/>
    <w:rsid w:val="005678E3"/>
    <w:rsid w:val="00571D5C"/>
    <w:rsid w:val="00574739"/>
    <w:rsid w:val="00575A92"/>
    <w:rsid w:val="00581579"/>
    <w:rsid w:val="005820EE"/>
    <w:rsid w:val="005836AF"/>
    <w:rsid w:val="0058469B"/>
    <w:rsid w:val="0058536C"/>
    <w:rsid w:val="0058547E"/>
    <w:rsid w:val="00585656"/>
    <w:rsid w:val="00585992"/>
    <w:rsid w:val="0058658F"/>
    <w:rsid w:val="00586C81"/>
    <w:rsid w:val="005909B3"/>
    <w:rsid w:val="00592761"/>
    <w:rsid w:val="00592E38"/>
    <w:rsid w:val="005A1CDC"/>
    <w:rsid w:val="005A415C"/>
    <w:rsid w:val="005A4216"/>
    <w:rsid w:val="005A4362"/>
    <w:rsid w:val="005A5A70"/>
    <w:rsid w:val="005A6918"/>
    <w:rsid w:val="005A6FE4"/>
    <w:rsid w:val="005A7D6E"/>
    <w:rsid w:val="005A7E47"/>
    <w:rsid w:val="005A7F54"/>
    <w:rsid w:val="005B1959"/>
    <w:rsid w:val="005B3C86"/>
    <w:rsid w:val="005B52E2"/>
    <w:rsid w:val="005B5D30"/>
    <w:rsid w:val="005C1607"/>
    <w:rsid w:val="005C302E"/>
    <w:rsid w:val="005C4506"/>
    <w:rsid w:val="005C54E0"/>
    <w:rsid w:val="005C66C2"/>
    <w:rsid w:val="005C78DB"/>
    <w:rsid w:val="005D0958"/>
    <w:rsid w:val="005D0C47"/>
    <w:rsid w:val="005D25B0"/>
    <w:rsid w:val="005D294B"/>
    <w:rsid w:val="005D34D0"/>
    <w:rsid w:val="005D4636"/>
    <w:rsid w:val="005D4A4F"/>
    <w:rsid w:val="005E340C"/>
    <w:rsid w:val="005E4145"/>
    <w:rsid w:val="005E600C"/>
    <w:rsid w:val="005E73A0"/>
    <w:rsid w:val="005F261C"/>
    <w:rsid w:val="005F2C7F"/>
    <w:rsid w:val="005F3478"/>
    <w:rsid w:val="005F3A09"/>
    <w:rsid w:val="005F690C"/>
    <w:rsid w:val="005F7912"/>
    <w:rsid w:val="005F7C54"/>
    <w:rsid w:val="00600431"/>
    <w:rsid w:val="00601C8F"/>
    <w:rsid w:val="00602009"/>
    <w:rsid w:val="00603D69"/>
    <w:rsid w:val="00606CA4"/>
    <w:rsid w:val="006109CE"/>
    <w:rsid w:val="00610D53"/>
    <w:rsid w:val="006156CA"/>
    <w:rsid w:val="00617620"/>
    <w:rsid w:val="006176C2"/>
    <w:rsid w:val="006201E6"/>
    <w:rsid w:val="006205AE"/>
    <w:rsid w:val="006210B7"/>
    <w:rsid w:val="0062221D"/>
    <w:rsid w:val="00623A92"/>
    <w:rsid w:val="00630F70"/>
    <w:rsid w:val="006319E5"/>
    <w:rsid w:val="00632AFA"/>
    <w:rsid w:val="00633250"/>
    <w:rsid w:val="00633E91"/>
    <w:rsid w:val="0063672C"/>
    <w:rsid w:val="0064135E"/>
    <w:rsid w:val="00641A4C"/>
    <w:rsid w:val="00643787"/>
    <w:rsid w:val="00643AE7"/>
    <w:rsid w:val="006450D0"/>
    <w:rsid w:val="0064630D"/>
    <w:rsid w:val="00646EF5"/>
    <w:rsid w:val="00647806"/>
    <w:rsid w:val="00650290"/>
    <w:rsid w:val="00651266"/>
    <w:rsid w:val="006514C8"/>
    <w:rsid w:val="00655DFC"/>
    <w:rsid w:val="00657864"/>
    <w:rsid w:val="00663016"/>
    <w:rsid w:val="0066601B"/>
    <w:rsid w:val="006700B5"/>
    <w:rsid w:val="0067182C"/>
    <w:rsid w:val="00672019"/>
    <w:rsid w:val="00672D4B"/>
    <w:rsid w:val="00676550"/>
    <w:rsid w:val="00676658"/>
    <w:rsid w:val="006816F0"/>
    <w:rsid w:val="006821E6"/>
    <w:rsid w:val="006828D2"/>
    <w:rsid w:val="00684545"/>
    <w:rsid w:val="006846ED"/>
    <w:rsid w:val="00684C74"/>
    <w:rsid w:val="00686064"/>
    <w:rsid w:val="0068695E"/>
    <w:rsid w:val="006877AD"/>
    <w:rsid w:val="00687ABC"/>
    <w:rsid w:val="00690F03"/>
    <w:rsid w:val="00691042"/>
    <w:rsid w:val="00693035"/>
    <w:rsid w:val="00695803"/>
    <w:rsid w:val="00696586"/>
    <w:rsid w:val="00696885"/>
    <w:rsid w:val="00696EEA"/>
    <w:rsid w:val="00696F1E"/>
    <w:rsid w:val="00697D48"/>
    <w:rsid w:val="006A138F"/>
    <w:rsid w:val="006A1F5C"/>
    <w:rsid w:val="006A3654"/>
    <w:rsid w:val="006A49BF"/>
    <w:rsid w:val="006A4B98"/>
    <w:rsid w:val="006B11F3"/>
    <w:rsid w:val="006B1B02"/>
    <w:rsid w:val="006B2599"/>
    <w:rsid w:val="006B39BB"/>
    <w:rsid w:val="006C23AD"/>
    <w:rsid w:val="006C3F12"/>
    <w:rsid w:val="006C43F2"/>
    <w:rsid w:val="006C525C"/>
    <w:rsid w:val="006C688F"/>
    <w:rsid w:val="006D3422"/>
    <w:rsid w:val="006D558F"/>
    <w:rsid w:val="006D63E4"/>
    <w:rsid w:val="006E10C2"/>
    <w:rsid w:val="006E36CE"/>
    <w:rsid w:val="006E4824"/>
    <w:rsid w:val="006E71DA"/>
    <w:rsid w:val="006F2EFF"/>
    <w:rsid w:val="006F31B9"/>
    <w:rsid w:val="006F4B0C"/>
    <w:rsid w:val="006F732E"/>
    <w:rsid w:val="006F7740"/>
    <w:rsid w:val="00700C2F"/>
    <w:rsid w:val="00700E2F"/>
    <w:rsid w:val="0070177B"/>
    <w:rsid w:val="0070467E"/>
    <w:rsid w:val="007048D0"/>
    <w:rsid w:val="00704AA8"/>
    <w:rsid w:val="00706E6D"/>
    <w:rsid w:val="00713145"/>
    <w:rsid w:val="00713EBD"/>
    <w:rsid w:val="00714899"/>
    <w:rsid w:val="00714E0C"/>
    <w:rsid w:val="007172C3"/>
    <w:rsid w:val="00722A3B"/>
    <w:rsid w:val="00722DB4"/>
    <w:rsid w:val="00723046"/>
    <w:rsid w:val="00724FD2"/>
    <w:rsid w:val="00725E1A"/>
    <w:rsid w:val="00726858"/>
    <w:rsid w:val="00726887"/>
    <w:rsid w:val="007330C7"/>
    <w:rsid w:val="00735F39"/>
    <w:rsid w:val="0073649F"/>
    <w:rsid w:val="00737B12"/>
    <w:rsid w:val="00740C2F"/>
    <w:rsid w:val="00741463"/>
    <w:rsid w:val="007417B2"/>
    <w:rsid w:val="00744677"/>
    <w:rsid w:val="007458C1"/>
    <w:rsid w:val="00747A21"/>
    <w:rsid w:val="00747D36"/>
    <w:rsid w:val="007507B9"/>
    <w:rsid w:val="007532E4"/>
    <w:rsid w:val="0075388B"/>
    <w:rsid w:val="007545D7"/>
    <w:rsid w:val="007549CF"/>
    <w:rsid w:val="00760C56"/>
    <w:rsid w:val="007613FA"/>
    <w:rsid w:val="007623BB"/>
    <w:rsid w:val="007636AA"/>
    <w:rsid w:val="00766E37"/>
    <w:rsid w:val="007704E1"/>
    <w:rsid w:val="0077051F"/>
    <w:rsid w:val="00771394"/>
    <w:rsid w:val="00772205"/>
    <w:rsid w:val="0077465C"/>
    <w:rsid w:val="00774AAE"/>
    <w:rsid w:val="00776212"/>
    <w:rsid w:val="00777877"/>
    <w:rsid w:val="00780E0E"/>
    <w:rsid w:val="00782D19"/>
    <w:rsid w:val="00783150"/>
    <w:rsid w:val="00787A4D"/>
    <w:rsid w:val="007909ED"/>
    <w:rsid w:val="00792668"/>
    <w:rsid w:val="00792AE6"/>
    <w:rsid w:val="00792CBB"/>
    <w:rsid w:val="00793856"/>
    <w:rsid w:val="00793F3C"/>
    <w:rsid w:val="00794B7E"/>
    <w:rsid w:val="0079595B"/>
    <w:rsid w:val="00795FA1"/>
    <w:rsid w:val="007967FA"/>
    <w:rsid w:val="00797182"/>
    <w:rsid w:val="007977B8"/>
    <w:rsid w:val="0079794D"/>
    <w:rsid w:val="007A0494"/>
    <w:rsid w:val="007A0943"/>
    <w:rsid w:val="007A0CE2"/>
    <w:rsid w:val="007A0F3B"/>
    <w:rsid w:val="007A3120"/>
    <w:rsid w:val="007A350B"/>
    <w:rsid w:val="007A7608"/>
    <w:rsid w:val="007B030B"/>
    <w:rsid w:val="007B1B43"/>
    <w:rsid w:val="007B2EBC"/>
    <w:rsid w:val="007B4C71"/>
    <w:rsid w:val="007B5961"/>
    <w:rsid w:val="007B5D2D"/>
    <w:rsid w:val="007C3523"/>
    <w:rsid w:val="007C365B"/>
    <w:rsid w:val="007C5153"/>
    <w:rsid w:val="007D272F"/>
    <w:rsid w:val="007D3038"/>
    <w:rsid w:val="007D31FC"/>
    <w:rsid w:val="007D45B0"/>
    <w:rsid w:val="007D64F8"/>
    <w:rsid w:val="007D6D7A"/>
    <w:rsid w:val="007E12DF"/>
    <w:rsid w:val="007E2C05"/>
    <w:rsid w:val="007E2EC0"/>
    <w:rsid w:val="007E5679"/>
    <w:rsid w:val="007E5D71"/>
    <w:rsid w:val="007E6547"/>
    <w:rsid w:val="007E72F0"/>
    <w:rsid w:val="007F3E22"/>
    <w:rsid w:val="007F4F8A"/>
    <w:rsid w:val="007F6CB9"/>
    <w:rsid w:val="00801B53"/>
    <w:rsid w:val="00801EEB"/>
    <w:rsid w:val="00802D56"/>
    <w:rsid w:val="008035E4"/>
    <w:rsid w:val="00805259"/>
    <w:rsid w:val="00806509"/>
    <w:rsid w:val="0080665F"/>
    <w:rsid w:val="00807E61"/>
    <w:rsid w:val="0081117D"/>
    <w:rsid w:val="008121BD"/>
    <w:rsid w:val="00813BCF"/>
    <w:rsid w:val="00815028"/>
    <w:rsid w:val="00815773"/>
    <w:rsid w:val="00815A9A"/>
    <w:rsid w:val="00816F68"/>
    <w:rsid w:val="00817158"/>
    <w:rsid w:val="00817E7A"/>
    <w:rsid w:val="0082053D"/>
    <w:rsid w:val="00821473"/>
    <w:rsid w:val="00825F16"/>
    <w:rsid w:val="00826A78"/>
    <w:rsid w:val="00827F9C"/>
    <w:rsid w:val="00832535"/>
    <w:rsid w:val="00833E37"/>
    <w:rsid w:val="008364DE"/>
    <w:rsid w:val="0084006F"/>
    <w:rsid w:val="00840D56"/>
    <w:rsid w:val="00842ACC"/>
    <w:rsid w:val="00842BA4"/>
    <w:rsid w:val="00842EEA"/>
    <w:rsid w:val="00843FE0"/>
    <w:rsid w:val="008448C0"/>
    <w:rsid w:val="00846625"/>
    <w:rsid w:val="00846656"/>
    <w:rsid w:val="00850905"/>
    <w:rsid w:val="00851577"/>
    <w:rsid w:val="00853ACC"/>
    <w:rsid w:val="00855B03"/>
    <w:rsid w:val="00856954"/>
    <w:rsid w:val="00860A71"/>
    <w:rsid w:val="00863D7A"/>
    <w:rsid w:val="00864848"/>
    <w:rsid w:val="00866986"/>
    <w:rsid w:val="0086746C"/>
    <w:rsid w:val="00867CAB"/>
    <w:rsid w:val="00867F68"/>
    <w:rsid w:val="008702B3"/>
    <w:rsid w:val="0087092D"/>
    <w:rsid w:val="00870F80"/>
    <w:rsid w:val="008717D6"/>
    <w:rsid w:val="00872146"/>
    <w:rsid w:val="00873774"/>
    <w:rsid w:val="00873A08"/>
    <w:rsid w:val="00874557"/>
    <w:rsid w:val="008756B9"/>
    <w:rsid w:val="0087620B"/>
    <w:rsid w:val="00877319"/>
    <w:rsid w:val="00877A64"/>
    <w:rsid w:val="00880C22"/>
    <w:rsid w:val="008815FF"/>
    <w:rsid w:val="00882021"/>
    <w:rsid w:val="00882F15"/>
    <w:rsid w:val="00884E8A"/>
    <w:rsid w:val="0088551C"/>
    <w:rsid w:val="00885CF3"/>
    <w:rsid w:val="00886F7E"/>
    <w:rsid w:val="00886FC5"/>
    <w:rsid w:val="00886FCF"/>
    <w:rsid w:val="008933AA"/>
    <w:rsid w:val="0089365A"/>
    <w:rsid w:val="00895126"/>
    <w:rsid w:val="00895975"/>
    <w:rsid w:val="00896618"/>
    <w:rsid w:val="008966DB"/>
    <w:rsid w:val="008967D1"/>
    <w:rsid w:val="00897AA2"/>
    <w:rsid w:val="008A0701"/>
    <w:rsid w:val="008A077A"/>
    <w:rsid w:val="008A2672"/>
    <w:rsid w:val="008A2E3D"/>
    <w:rsid w:val="008A403F"/>
    <w:rsid w:val="008A56A2"/>
    <w:rsid w:val="008A5831"/>
    <w:rsid w:val="008A59B9"/>
    <w:rsid w:val="008A7866"/>
    <w:rsid w:val="008B0145"/>
    <w:rsid w:val="008B03B1"/>
    <w:rsid w:val="008B37B6"/>
    <w:rsid w:val="008B48A7"/>
    <w:rsid w:val="008B4A7C"/>
    <w:rsid w:val="008B4F44"/>
    <w:rsid w:val="008B64AA"/>
    <w:rsid w:val="008B6AC6"/>
    <w:rsid w:val="008C01B2"/>
    <w:rsid w:val="008C2329"/>
    <w:rsid w:val="008C2D7B"/>
    <w:rsid w:val="008C4EAE"/>
    <w:rsid w:val="008C6B16"/>
    <w:rsid w:val="008C755B"/>
    <w:rsid w:val="008D0A76"/>
    <w:rsid w:val="008D1B35"/>
    <w:rsid w:val="008D21CD"/>
    <w:rsid w:val="008D337C"/>
    <w:rsid w:val="008D36F8"/>
    <w:rsid w:val="008D5A07"/>
    <w:rsid w:val="008D6EF3"/>
    <w:rsid w:val="008D7631"/>
    <w:rsid w:val="008E0010"/>
    <w:rsid w:val="008E07A8"/>
    <w:rsid w:val="008E0E92"/>
    <w:rsid w:val="008E0E94"/>
    <w:rsid w:val="008E13E5"/>
    <w:rsid w:val="008E162F"/>
    <w:rsid w:val="008E4994"/>
    <w:rsid w:val="008E5B81"/>
    <w:rsid w:val="008F06A9"/>
    <w:rsid w:val="008F0747"/>
    <w:rsid w:val="008F14D3"/>
    <w:rsid w:val="008F2664"/>
    <w:rsid w:val="008F2E60"/>
    <w:rsid w:val="008F5624"/>
    <w:rsid w:val="008F673E"/>
    <w:rsid w:val="008F7096"/>
    <w:rsid w:val="0090001B"/>
    <w:rsid w:val="00900B56"/>
    <w:rsid w:val="00900FE6"/>
    <w:rsid w:val="00901386"/>
    <w:rsid w:val="00902144"/>
    <w:rsid w:val="0090397E"/>
    <w:rsid w:val="00903DB9"/>
    <w:rsid w:val="00903F39"/>
    <w:rsid w:val="00904468"/>
    <w:rsid w:val="009053E3"/>
    <w:rsid w:val="0090552F"/>
    <w:rsid w:val="00907AE6"/>
    <w:rsid w:val="0091283B"/>
    <w:rsid w:val="0091378E"/>
    <w:rsid w:val="00914C5A"/>
    <w:rsid w:val="0091573F"/>
    <w:rsid w:val="00915C82"/>
    <w:rsid w:val="00915CDB"/>
    <w:rsid w:val="009166FF"/>
    <w:rsid w:val="0091673F"/>
    <w:rsid w:val="00920D5E"/>
    <w:rsid w:val="009214B0"/>
    <w:rsid w:val="00924916"/>
    <w:rsid w:val="009259B3"/>
    <w:rsid w:val="00927470"/>
    <w:rsid w:val="009304E4"/>
    <w:rsid w:val="00930C1C"/>
    <w:rsid w:val="00930D3B"/>
    <w:rsid w:val="0093133F"/>
    <w:rsid w:val="00932B72"/>
    <w:rsid w:val="00936049"/>
    <w:rsid w:val="00936D49"/>
    <w:rsid w:val="00936D51"/>
    <w:rsid w:val="009376E1"/>
    <w:rsid w:val="0093778F"/>
    <w:rsid w:val="009378C7"/>
    <w:rsid w:val="00937C21"/>
    <w:rsid w:val="0094096E"/>
    <w:rsid w:val="00940DCD"/>
    <w:rsid w:val="00942396"/>
    <w:rsid w:val="009430FC"/>
    <w:rsid w:val="0094518A"/>
    <w:rsid w:val="00947CE1"/>
    <w:rsid w:val="0095088A"/>
    <w:rsid w:val="0095137B"/>
    <w:rsid w:val="009520C6"/>
    <w:rsid w:val="00952544"/>
    <w:rsid w:val="009525FF"/>
    <w:rsid w:val="00953579"/>
    <w:rsid w:val="009535CE"/>
    <w:rsid w:val="00953CB9"/>
    <w:rsid w:val="00953D67"/>
    <w:rsid w:val="00954598"/>
    <w:rsid w:val="009549D2"/>
    <w:rsid w:val="0095533F"/>
    <w:rsid w:val="009557D7"/>
    <w:rsid w:val="00957C1D"/>
    <w:rsid w:val="00960F4F"/>
    <w:rsid w:val="00962FC3"/>
    <w:rsid w:val="00964EC8"/>
    <w:rsid w:val="009668EC"/>
    <w:rsid w:val="00966D93"/>
    <w:rsid w:val="009673D4"/>
    <w:rsid w:val="00974A06"/>
    <w:rsid w:val="0097537C"/>
    <w:rsid w:val="0097576D"/>
    <w:rsid w:val="00976BCA"/>
    <w:rsid w:val="00983693"/>
    <w:rsid w:val="00983BA8"/>
    <w:rsid w:val="00987480"/>
    <w:rsid w:val="00987972"/>
    <w:rsid w:val="00987F72"/>
    <w:rsid w:val="009908AC"/>
    <w:rsid w:val="009914B6"/>
    <w:rsid w:val="0099151E"/>
    <w:rsid w:val="009916A8"/>
    <w:rsid w:val="009921AB"/>
    <w:rsid w:val="009926C3"/>
    <w:rsid w:val="009934EE"/>
    <w:rsid w:val="009937A4"/>
    <w:rsid w:val="0099414E"/>
    <w:rsid w:val="00994298"/>
    <w:rsid w:val="0099542D"/>
    <w:rsid w:val="0099584C"/>
    <w:rsid w:val="00996708"/>
    <w:rsid w:val="009A0ADF"/>
    <w:rsid w:val="009A10A0"/>
    <w:rsid w:val="009A1E4F"/>
    <w:rsid w:val="009A2248"/>
    <w:rsid w:val="009A34AF"/>
    <w:rsid w:val="009A7067"/>
    <w:rsid w:val="009B0ADB"/>
    <w:rsid w:val="009B1435"/>
    <w:rsid w:val="009B3F8E"/>
    <w:rsid w:val="009B4084"/>
    <w:rsid w:val="009B4DC0"/>
    <w:rsid w:val="009B5A34"/>
    <w:rsid w:val="009B6EEE"/>
    <w:rsid w:val="009B7295"/>
    <w:rsid w:val="009C0A17"/>
    <w:rsid w:val="009C1935"/>
    <w:rsid w:val="009C200E"/>
    <w:rsid w:val="009C2D2B"/>
    <w:rsid w:val="009C3923"/>
    <w:rsid w:val="009C3F01"/>
    <w:rsid w:val="009C4298"/>
    <w:rsid w:val="009C5129"/>
    <w:rsid w:val="009C5DBF"/>
    <w:rsid w:val="009C637A"/>
    <w:rsid w:val="009D00A4"/>
    <w:rsid w:val="009D00FF"/>
    <w:rsid w:val="009D165C"/>
    <w:rsid w:val="009D272A"/>
    <w:rsid w:val="009D3A89"/>
    <w:rsid w:val="009D5004"/>
    <w:rsid w:val="009D6034"/>
    <w:rsid w:val="009E01C4"/>
    <w:rsid w:val="009E208E"/>
    <w:rsid w:val="009E3B21"/>
    <w:rsid w:val="009E4114"/>
    <w:rsid w:val="009E4334"/>
    <w:rsid w:val="009E5331"/>
    <w:rsid w:val="009F235E"/>
    <w:rsid w:val="009F420F"/>
    <w:rsid w:val="009F47F2"/>
    <w:rsid w:val="009F625F"/>
    <w:rsid w:val="009F7041"/>
    <w:rsid w:val="00A00A4B"/>
    <w:rsid w:val="00A015E8"/>
    <w:rsid w:val="00A02BDC"/>
    <w:rsid w:val="00A034BE"/>
    <w:rsid w:val="00A04741"/>
    <w:rsid w:val="00A054AE"/>
    <w:rsid w:val="00A07B67"/>
    <w:rsid w:val="00A10DAF"/>
    <w:rsid w:val="00A12112"/>
    <w:rsid w:val="00A12759"/>
    <w:rsid w:val="00A1284F"/>
    <w:rsid w:val="00A12A5B"/>
    <w:rsid w:val="00A13891"/>
    <w:rsid w:val="00A139A6"/>
    <w:rsid w:val="00A147E9"/>
    <w:rsid w:val="00A16407"/>
    <w:rsid w:val="00A167AB"/>
    <w:rsid w:val="00A16963"/>
    <w:rsid w:val="00A16BAA"/>
    <w:rsid w:val="00A17A8B"/>
    <w:rsid w:val="00A2124A"/>
    <w:rsid w:val="00A22200"/>
    <w:rsid w:val="00A2592F"/>
    <w:rsid w:val="00A276D1"/>
    <w:rsid w:val="00A328BE"/>
    <w:rsid w:val="00A33963"/>
    <w:rsid w:val="00A33DAA"/>
    <w:rsid w:val="00A34E85"/>
    <w:rsid w:val="00A34F72"/>
    <w:rsid w:val="00A35147"/>
    <w:rsid w:val="00A355FD"/>
    <w:rsid w:val="00A37330"/>
    <w:rsid w:val="00A40126"/>
    <w:rsid w:val="00A4196C"/>
    <w:rsid w:val="00A43193"/>
    <w:rsid w:val="00A43C9D"/>
    <w:rsid w:val="00A52066"/>
    <w:rsid w:val="00A5354E"/>
    <w:rsid w:val="00A53B01"/>
    <w:rsid w:val="00A54F1E"/>
    <w:rsid w:val="00A569A0"/>
    <w:rsid w:val="00A62C7B"/>
    <w:rsid w:val="00A6560E"/>
    <w:rsid w:val="00A657F6"/>
    <w:rsid w:val="00A728B0"/>
    <w:rsid w:val="00A729F5"/>
    <w:rsid w:val="00A72C93"/>
    <w:rsid w:val="00A763A6"/>
    <w:rsid w:val="00A7681E"/>
    <w:rsid w:val="00A803C1"/>
    <w:rsid w:val="00A80A71"/>
    <w:rsid w:val="00A833DF"/>
    <w:rsid w:val="00A844F8"/>
    <w:rsid w:val="00A85562"/>
    <w:rsid w:val="00A923DF"/>
    <w:rsid w:val="00A935F8"/>
    <w:rsid w:val="00A95C93"/>
    <w:rsid w:val="00A97075"/>
    <w:rsid w:val="00AA132E"/>
    <w:rsid w:val="00AA2988"/>
    <w:rsid w:val="00AA3BD3"/>
    <w:rsid w:val="00AA47FE"/>
    <w:rsid w:val="00AA5834"/>
    <w:rsid w:val="00AA5F57"/>
    <w:rsid w:val="00AB26FB"/>
    <w:rsid w:val="00AB43D1"/>
    <w:rsid w:val="00AB52E1"/>
    <w:rsid w:val="00AB5DBB"/>
    <w:rsid w:val="00AB62C6"/>
    <w:rsid w:val="00AB6C3C"/>
    <w:rsid w:val="00AC0352"/>
    <w:rsid w:val="00AC1E64"/>
    <w:rsid w:val="00AC448A"/>
    <w:rsid w:val="00AC5602"/>
    <w:rsid w:val="00AC5827"/>
    <w:rsid w:val="00AC61D4"/>
    <w:rsid w:val="00AC6FFC"/>
    <w:rsid w:val="00AC77D8"/>
    <w:rsid w:val="00AD1A26"/>
    <w:rsid w:val="00AD54FA"/>
    <w:rsid w:val="00AD67F2"/>
    <w:rsid w:val="00AE22DC"/>
    <w:rsid w:val="00AE3C02"/>
    <w:rsid w:val="00AE4641"/>
    <w:rsid w:val="00AE4CED"/>
    <w:rsid w:val="00AE4EB1"/>
    <w:rsid w:val="00AE51E9"/>
    <w:rsid w:val="00AE6035"/>
    <w:rsid w:val="00AE6060"/>
    <w:rsid w:val="00AF6349"/>
    <w:rsid w:val="00AF636E"/>
    <w:rsid w:val="00AF7127"/>
    <w:rsid w:val="00B0040E"/>
    <w:rsid w:val="00B03EFE"/>
    <w:rsid w:val="00B040A0"/>
    <w:rsid w:val="00B0571F"/>
    <w:rsid w:val="00B05844"/>
    <w:rsid w:val="00B07541"/>
    <w:rsid w:val="00B11C4F"/>
    <w:rsid w:val="00B14275"/>
    <w:rsid w:val="00B1507E"/>
    <w:rsid w:val="00B1518B"/>
    <w:rsid w:val="00B17514"/>
    <w:rsid w:val="00B20E64"/>
    <w:rsid w:val="00B21912"/>
    <w:rsid w:val="00B21CBB"/>
    <w:rsid w:val="00B21E06"/>
    <w:rsid w:val="00B21F88"/>
    <w:rsid w:val="00B23C7D"/>
    <w:rsid w:val="00B242D5"/>
    <w:rsid w:val="00B2437E"/>
    <w:rsid w:val="00B267C7"/>
    <w:rsid w:val="00B306B8"/>
    <w:rsid w:val="00B3134C"/>
    <w:rsid w:val="00B314F5"/>
    <w:rsid w:val="00B31B17"/>
    <w:rsid w:val="00B347C6"/>
    <w:rsid w:val="00B358D0"/>
    <w:rsid w:val="00B35ED5"/>
    <w:rsid w:val="00B36144"/>
    <w:rsid w:val="00B36277"/>
    <w:rsid w:val="00B4368F"/>
    <w:rsid w:val="00B43A16"/>
    <w:rsid w:val="00B45420"/>
    <w:rsid w:val="00B50EA7"/>
    <w:rsid w:val="00B544B3"/>
    <w:rsid w:val="00B548A5"/>
    <w:rsid w:val="00B61403"/>
    <w:rsid w:val="00B63021"/>
    <w:rsid w:val="00B63287"/>
    <w:rsid w:val="00B63CA2"/>
    <w:rsid w:val="00B64B9C"/>
    <w:rsid w:val="00B64E42"/>
    <w:rsid w:val="00B6543C"/>
    <w:rsid w:val="00B660D3"/>
    <w:rsid w:val="00B67A6E"/>
    <w:rsid w:val="00B7216B"/>
    <w:rsid w:val="00B73693"/>
    <w:rsid w:val="00B73C57"/>
    <w:rsid w:val="00B73CC6"/>
    <w:rsid w:val="00B7403E"/>
    <w:rsid w:val="00B80488"/>
    <w:rsid w:val="00B80561"/>
    <w:rsid w:val="00B825B3"/>
    <w:rsid w:val="00B828D7"/>
    <w:rsid w:val="00B82A75"/>
    <w:rsid w:val="00B82DE8"/>
    <w:rsid w:val="00B8363E"/>
    <w:rsid w:val="00B847C3"/>
    <w:rsid w:val="00B85493"/>
    <w:rsid w:val="00B907D3"/>
    <w:rsid w:val="00B913C1"/>
    <w:rsid w:val="00B913D0"/>
    <w:rsid w:val="00B930C9"/>
    <w:rsid w:val="00B9366E"/>
    <w:rsid w:val="00B938CC"/>
    <w:rsid w:val="00B95B8A"/>
    <w:rsid w:val="00BA0F3B"/>
    <w:rsid w:val="00BA3273"/>
    <w:rsid w:val="00BA366C"/>
    <w:rsid w:val="00BA37F2"/>
    <w:rsid w:val="00BA3B47"/>
    <w:rsid w:val="00BA5108"/>
    <w:rsid w:val="00BA72FB"/>
    <w:rsid w:val="00BA787A"/>
    <w:rsid w:val="00BB0B92"/>
    <w:rsid w:val="00BB0E6F"/>
    <w:rsid w:val="00BB2301"/>
    <w:rsid w:val="00BB4199"/>
    <w:rsid w:val="00BB48F9"/>
    <w:rsid w:val="00BB4A6F"/>
    <w:rsid w:val="00BB5180"/>
    <w:rsid w:val="00BB5E02"/>
    <w:rsid w:val="00BB7F31"/>
    <w:rsid w:val="00BB7F48"/>
    <w:rsid w:val="00BC1124"/>
    <w:rsid w:val="00BC12AA"/>
    <w:rsid w:val="00BC2E0C"/>
    <w:rsid w:val="00BC3786"/>
    <w:rsid w:val="00BC5555"/>
    <w:rsid w:val="00BC736C"/>
    <w:rsid w:val="00BD132A"/>
    <w:rsid w:val="00BD1809"/>
    <w:rsid w:val="00BD5434"/>
    <w:rsid w:val="00BD67CC"/>
    <w:rsid w:val="00BD7FD0"/>
    <w:rsid w:val="00BE47E7"/>
    <w:rsid w:val="00BE5D48"/>
    <w:rsid w:val="00BE7212"/>
    <w:rsid w:val="00BF09D5"/>
    <w:rsid w:val="00BF0C9D"/>
    <w:rsid w:val="00BF4909"/>
    <w:rsid w:val="00BF49CE"/>
    <w:rsid w:val="00BF6783"/>
    <w:rsid w:val="00BF6963"/>
    <w:rsid w:val="00C014E2"/>
    <w:rsid w:val="00C06DB6"/>
    <w:rsid w:val="00C06DD1"/>
    <w:rsid w:val="00C150D4"/>
    <w:rsid w:val="00C17C3B"/>
    <w:rsid w:val="00C20ED4"/>
    <w:rsid w:val="00C217BE"/>
    <w:rsid w:val="00C22E0C"/>
    <w:rsid w:val="00C262AF"/>
    <w:rsid w:val="00C26E6F"/>
    <w:rsid w:val="00C2733B"/>
    <w:rsid w:val="00C278B5"/>
    <w:rsid w:val="00C27AF2"/>
    <w:rsid w:val="00C33061"/>
    <w:rsid w:val="00C33A5B"/>
    <w:rsid w:val="00C34D54"/>
    <w:rsid w:val="00C35C2C"/>
    <w:rsid w:val="00C36253"/>
    <w:rsid w:val="00C363D8"/>
    <w:rsid w:val="00C429CB"/>
    <w:rsid w:val="00C43626"/>
    <w:rsid w:val="00C44C7A"/>
    <w:rsid w:val="00C44FE2"/>
    <w:rsid w:val="00C471FF"/>
    <w:rsid w:val="00C4727E"/>
    <w:rsid w:val="00C50047"/>
    <w:rsid w:val="00C50FBE"/>
    <w:rsid w:val="00C510C6"/>
    <w:rsid w:val="00C51CBA"/>
    <w:rsid w:val="00C51F5B"/>
    <w:rsid w:val="00C52A6B"/>
    <w:rsid w:val="00C53117"/>
    <w:rsid w:val="00C53E87"/>
    <w:rsid w:val="00C54E41"/>
    <w:rsid w:val="00C54EEA"/>
    <w:rsid w:val="00C55222"/>
    <w:rsid w:val="00C55E86"/>
    <w:rsid w:val="00C57168"/>
    <w:rsid w:val="00C609FC"/>
    <w:rsid w:val="00C6117F"/>
    <w:rsid w:val="00C616E2"/>
    <w:rsid w:val="00C6255B"/>
    <w:rsid w:val="00C62692"/>
    <w:rsid w:val="00C671B0"/>
    <w:rsid w:val="00C67491"/>
    <w:rsid w:val="00C67EAD"/>
    <w:rsid w:val="00C71AC5"/>
    <w:rsid w:val="00C80CE7"/>
    <w:rsid w:val="00C81391"/>
    <w:rsid w:val="00C8243C"/>
    <w:rsid w:val="00C86758"/>
    <w:rsid w:val="00C86969"/>
    <w:rsid w:val="00C90EBD"/>
    <w:rsid w:val="00C92AB5"/>
    <w:rsid w:val="00C92BAC"/>
    <w:rsid w:val="00C955DF"/>
    <w:rsid w:val="00CA0440"/>
    <w:rsid w:val="00CA075E"/>
    <w:rsid w:val="00CA1B2D"/>
    <w:rsid w:val="00CA1D76"/>
    <w:rsid w:val="00CA4055"/>
    <w:rsid w:val="00CA6AA3"/>
    <w:rsid w:val="00CB00EA"/>
    <w:rsid w:val="00CB0667"/>
    <w:rsid w:val="00CB2E04"/>
    <w:rsid w:val="00CB5E6B"/>
    <w:rsid w:val="00CB68F5"/>
    <w:rsid w:val="00CB6AE1"/>
    <w:rsid w:val="00CB76CC"/>
    <w:rsid w:val="00CC1E12"/>
    <w:rsid w:val="00CC2704"/>
    <w:rsid w:val="00CC4437"/>
    <w:rsid w:val="00CD5B7E"/>
    <w:rsid w:val="00CD628D"/>
    <w:rsid w:val="00CD747F"/>
    <w:rsid w:val="00CD74C6"/>
    <w:rsid w:val="00CD7704"/>
    <w:rsid w:val="00CE0C6C"/>
    <w:rsid w:val="00CE13D7"/>
    <w:rsid w:val="00CE3AB5"/>
    <w:rsid w:val="00CE411E"/>
    <w:rsid w:val="00CE4395"/>
    <w:rsid w:val="00CE4778"/>
    <w:rsid w:val="00CE6758"/>
    <w:rsid w:val="00CF1639"/>
    <w:rsid w:val="00CF21AA"/>
    <w:rsid w:val="00CF2DE9"/>
    <w:rsid w:val="00CF621F"/>
    <w:rsid w:val="00CF688B"/>
    <w:rsid w:val="00CF7DF7"/>
    <w:rsid w:val="00D02714"/>
    <w:rsid w:val="00D032DC"/>
    <w:rsid w:val="00D050D3"/>
    <w:rsid w:val="00D075E3"/>
    <w:rsid w:val="00D10C96"/>
    <w:rsid w:val="00D1305D"/>
    <w:rsid w:val="00D14FCE"/>
    <w:rsid w:val="00D16369"/>
    <w:rsid w:val="00D16401"/>
    <w:rsid w:val="00D16D0E"/>
    <w:rsid w:val="00D206CA"/>
    <w:rsid w:val="00D22735"/>
    <w:rsid w:val="00D32AC8"/>
    <w:rsid w:val="00D33534"/>
    <w:rsid w:val="00D36E31"/>
    <w:rsid w:val="00D37FD3"/>
    <w:rsid w:val="00D410F4"/>
    <w:rsid w:val="00D4501C"/>
    <w:rsid w:val="00D45AA7"/>
    <w:rsid w:val="00D50B65"/>
    <w:rsid w:val="00D50C2C"/>
    <w:rsid w:val="00D50E51"/>
    <w:rsid w:val="00D5385D"/>
    <w:rsid w:val="00D53F7E"/>
    <w:rsid w:val="00D55577"/>
    <w:rsid w:val="00D55610"/>
    <w:rsid w:val="00D55EEC"/>
    <w:rsid w:val="00D564D8"/>
    <w:rsid w:val="00D6122B"/>
    <w:rsid w:val="00D63C7B"/>
    <w:rsid w:val="00D64BB0"/>
    <w:rsid w:val="00D64C7B"/>
    <w:rsid w:val="00D65A92"/>
    <w:rsid w:val="00D702C6"/>
    <w:rsid w:val="00D71B6F"/>
    <w:rsid w:val="00D7303E"/>
    <w:rsid w:val="00D7383A"/>
    <w:rsid w:val="00D754EC"/>
    <w:rsid w:val="00D763D6"/>
    <w:rsid w:val="00D765E5"/>
    <w:rsid w:val="00D76C43"/>
    <w:rsid w:val="00D76D1D"/>
    <w:rsid w:val="00D77E0E"/>
    <w:rsid w:val="00D8033E"/>
    <w:rsid w:val="00D81025"/>
    <w:rsid w:val="00D83CC2"/>
    <w:rsid w:val="00D934ED"/>
    <w:rsid w:val="00D93CAD"/>
    <w:rsid w:val="00D955F3"/>
    <w:rsid w:val="00D95E9B"/>
    <w:rsid w:val="00D96514"/>
    <w:rsid w:val="00D96A54"/>
    <w:rsid w:val="00D96F4A"/>
    <w:rsid w:val="00D972B9"/>
    <w:rsid w:val="00DA1638"/>
    <w:rsid w:val="00DA1918"/>
    <w:rsid w:val="00DA1CBC"/>
    <w:rsid w:val="00DA2E0D"/>
    <w:rsid w:val="00DA5134"/>
    <w:rsid w:val="00DA5877"/>
    <w:rsid w:val="00DA6774"/>
    <w:rsid w:val="00DA6920"/>
    <w:rsid w:val="00DA6995"/>
    <w:rsid w:val="00DA7169"/>
    <w:rsid w:val="00DB0D3D"/>
    <w:rsid w:val="00DB1305"/>
    <w:rsid w:val="00DB2F81"/>
    <w:rsid w:val="00DB3079"/>
    <w:rsid w:val="00DB551A"/>
    <w:rsid w:val="00DB6503"/>
    <w:rsid w:val="00DB6585"/>
    <w:rsid w:val="00DB6896"/>
    <w:rsid w:val="00DC14BF"/>
    <w:rsid w:val="00DC1876"/>
    <w:rsid w:val="00DC19B7"/>
    <w:rsid w:val="00DC2FF7"/>
    <w:rsid w:val="00DC3992"/>
    <w:rsid w:val="00DC3ECA"/>
    <w:rsid w:val="00DC5119"/>
    <w:rsid w:val="00DC51B4"/>
    <w:rsid w:val="00DC68C9"/>
    <w:rsid w:val="00DC6918"/>
    <w:rsid w:val="00DC7001"/>
    <w:rsid w:val="00DD0489"/>
    <w:rsid w:val="00DD4C6E"/>
    <w:rsid w:val="00DD7CCF"/>
    <w:rsid w:val="00DE2349"/>
    <w:rsid w:val="00DE2395"/>
    <w:rsid w:val="00DE2A14"/>
    <w:rsid w:val="00DE6682"/>
    <w:rsid w:val="00DE7634"/>
    <w:rsid w:val="00DF0BB6"/>
    <w:rsid w:val="00DF11D8"/>
    <w:rsid w:val="00DF248A"/>
    <w:rsid w:val="00DF2950"/>
    <w:rsid w:val="00DF4A14"/>
    <w:rsid w:val="00DF4FFC"/>
    <w:rsid w:val="00DF66D7"/>
    <w:rsid w:val="00DF6777"/>
    <w:rsid w:val="00E004F0"/>
    <w:rsid w:val="00E0112D"/>
    <w:rsid w:val="00E041B3"/>
    <w:rsid w:val="00E04566"/>
    <w:rsid w:val="00E06E69"/>
    <w:rsid w:val="00E13527"/>
    <w:rsid w:val="00E13A1C"/>
    <w:rsid w:val="00E1441A"/>
    <w:rsid w:val="00E16742"/>
    <w:rsid w:val="00E173F9"/>
    <w:rsid w:val="00E17A58"/>
    <w:rsid w:val="00E2018F"/>
    <w:rsid w:val="00E20E98"/>
    <w:rsid w:val="00E24736"/>
    <w:rsid w:val="00E25513"/>
    <w:rsid w:val="00E30B48"/>
    <w:rsid w:val="00E31792"/>
    <w:rsid w:val="00E31A80"/>
    <w:rsid w:val="00E323B6"/>
    <w:rsid w:val="00E33C47"/>
    <w:rsid w:val="00E34F16"/>
    <w:rsid w:val="00E3541E"/>
    <w:rsid w:val="00E3696F"/>
    <w:rsid w:val="00E372F8"/>
    <w:rsid w:val="00E41981"/>
    <w:rsid w:val="00E442A6"/>
    <w:rsid w:val="00E44C3B"/>
    <w:rsid w:val="00E47741"/>
    <w:rsid w:val="00E5038E"/>
    <w:rsid w:val="00E52615"/>
    <w:rsid w:val="00E5514C"/>
    <w:rsid w:val="00E56049"/>
    <w:rsid w:val="00E5652B"/>
    <w:rsid w:val="00E60C3C"/>
    <w:rsid w:val="00E61A36"/>
    <w:rsid w:val="00E621F1"/>
    <w:rsid w:val="00E629C5"/>
    <w:rsid w:val="00E6413D"/>
    <w:rsid w:val="00E64C55"/>
    <w:rsid w:val="00E64CB0"/>
    <w:rsid w:val="00E67679"/>
    <w:rsid w:val="00E7042D"/>
    <w:rsid w:val="00E71683"/>
    <w:rsid w:val="00E721C7"/>
    <w:rsid w:val="00E7347E"/>
    <w:rsid w:val="00E73DD2"/>
    <w:rsid w:val="00E77DF9"/>
    <w:rsid w:val="00E8590F"/>
    <w:rsid w:val="00E9006F"/>
    <w:rsid w:val="00E90A7B"/>
    <w:rsid w:val="00E95298"/>
    <w:rsid w:val="00E955FF"/>
    <w:rsid w:val="00E95EA5"/>
    <w:rsid w:val="00E968DA"/>
    <w:rsid w:val="00E96E89"/>
    <w:rsid w:val="00E974A6"/>
    <w:rsid w:val="00EA2E62"/>
    <w:rsid w:val="00EA5272"/>
    <w:rsid w:val="00EA66CB"/>
    <w:rsid w:val="00EA6ACD"/>
    <w:rsid w:val="00EA6D25"/>
    <w:rsid w:val="00EB15DF"/>
    <w:rsid w:val="00EB164A"/>
    <w:rsid w:val="00EB3540"/>
    <w:rsid w:val="00EB4910"/>
    <w:rsid w:val="00EB4B3E"/>
    <w:rsid w:val="00EB4C1B"/>
    <w:rsid w:val="00EB5C4B"/>
    <w:rsid w:val="00EC02AD"/>
    <w:rsid w:val="00EC1B96"/>
    <w:rsid w:val="00EC4E05"/>
    <w:rsid w:val="00EC51F2"/>
    <w:rsid w:val="00EC6309"/>
    <w:rsid w:val="00EC6B40"/>
    <w:rsid w:val="00EC7AF0"/>
    <w:rsid w:val="00ED2A36"/>
    <w:rsid w:val="00ED6D2E"/>
    <w:rsid w:val="00ED6EBF"/>
    <w:rsid w:val="00ED7E60"/>
    <w:rsid w:val="00EE065C"/>
    <w:rsid w:val="00EE0AD8"/>
    <w:rsid w:val="00EE0BCA"/>
    <w:rsid w:val="00EE159E"/>
    <w:rsid w:val="00EE22A2"/>
    <w:rsid w:val="00EE241C"/>
    <w:rsid w:val="00EE312A"/>
    <w:rsid w:val="00EE4299"/>
    <w:rsid w:val="00EE5CA3"/>
    <w:rsid w:val="00EF14BC"/>
    <w:rsid w:val="00EF1F27"/>
    <w:rsid w:val="00EF4A62"/>
    <w:rsid w:val="00EF4DC6"/>
    <w:rsid w:val="00EF7386"/>
    <w:rsid w:val="00F00553"/>
    <w:rsid w:val="00F00661"/>
    <w:rsid w:val="00F016FC"/>
    <w:rsid w:val="00F02269"/>
    <w:rsid w:val="00F024ED"/>
    <w:rsid w:val="00F02CDD"/>
    <w:rsid w:val="00F04B13"/>
    <w:rsid w:val="00F04F98"/>
    <w:rsid w:val="00F054D0"/>
    <w:rsid w:val="00F05C05"/>
    <w:rsid w:val="00F05C61"/>
    <w:rsid w:val="00F065F0"/>
    <w:rsid w:val="00F07637"/>
    <w:rsid w:val="00F07B4A"/>
    <w:rsid w:val="00F1001F"/>
    <w:rsid w:val="00F1130A"/>
    <w:rsid w:val="00F132CE"/>
    <w:rsid w:val="00F134B9"/>
    <w:rsid w:val="00F15316"/>
    <w:rsid w:val="00F155E1"/>
    <w:rsid w:val="00F210A2"/>
    <w:rsid w:val="00F220D7"/>
    <w:rsid w:val="00F23323"/>
    <w:rsid w:val="00F23E36"/>
    <w:rsid w:val="00F24D3A"/>
    <w:rsid w:val="00F25313"/>
    <w:rsid w:val="00F25711"/>
    <w:rsid w:val="00F26081"/>
    <w:rsid w:val="00F260DD"/>
    <w:rsid w:val="00F30FF6"/>
    <w:rsid w:val="00F3141A"/>
    <w:rsid w:val="00F31A75"/>
    <w:rsid w:val="00F33B65"/>
    <w:rsid w:val="00F34122"/>
    <w:rsid w:val="00F354B7"/>
    <w:rsid w:val="00F35DDE"/>
    <w:rsid w:val="00F36B11"/>
    <w:rsid w:val="00F40AB4"/>
    <w:rsid w:val="00F40DFC"/>
    <w:rsid w:val="00F41C9F"/>
    <w:rsid w:val="00F42A70"/>
    <w:rsid w:val="00F43163"/>
    <w:rsid w:val="00F454D6"/>
    <w:rsid w:val="00F457F9"/>
    <w:rsid w:val="00F4693C"/>
    <w:rsid w:val="00F528AC"/>
    <w:rsid w:val="00F5356C"/>
    <w:rsid w:val="00F53597"/>
    <w:rsid w:val="00F53A19"/>
    <w:rsid w:val="00F544CF"/>
    <w:rsid w:val="00F54E54"/>
    <w:rsid w:val="00F54F79"/>
    <w:rsid w:val="00F55F47"/>
    <w:rsid w:val="00F5642D"/>
    <w:rsid w:val="00F5683B"/>
    <w:rsid w:val="00F61A59"/>
    <w:rsid w:val="00F62A7C"/>
    <w:rsid w:val="00F62BAE"/>
    <w:rsid w:val="00F643B2"/>
    <w:rsid w:val="00F654D5"/>
    <w:rsid w:val="00F71EF3"/>
    <w:rsid w:val="00F733C1"/>
    <w:rsid w:val="00F76A1C"/>
    <w:rsid w:val="00F80CCF"/>
    <w:rsid w:val="00F810C9"/>
    <w:rsid w:val="00F81195"/>
    <w:rsid w:val="00F829FA"/>
    <w:rsid w:val="00F84578"/>
    <w:rsid w:val="00F86104"/>
    <w:rsid w:val="00F864D6"/>
    <w:rsid w:val="00F90ABF"/>
    <w:rsid w:val="00F90D51"/>
    <w:rsid w:val="00F91E44"/>
    <w:rsid w:val="00F92DEC"/>
    <w:rsid w:val="00F93D76"/>
    <w:rsid w:val="00F94924"/>
    <w:rsid w:val="00F951EF"/>
    <w:rsid w:val="00F954AA"/>
    <w:rsid w:val="00FA0477"/>
    <w:rsid w:val="00FA2313"/>
    <w:rsid w:val="00FA3003"/>
    <w:rsid w:val="00FA391E"/>
    <w:rsid w:val="00FA4FFB"/>
    <w:rsid w:val="00FA7DE4"/>
    <w:rsid w:val="00FB0383"/>
    <w:rsid w:val="00FB0B35"/>
    <w:rsid w:val="00FB152A"/>
    <w:rsid w:val="00FB376B"/>
    <w:rsid w:val="00FB7C7D"/>
    <w:rsid w:val="00FC131B"/>
    <w:rsid w:val="00FC2680"/>
    <w:rsid w:val="00FC3AD6"/>
    <w:rsid w:val="00FC51B1"/>
    <w:rsid w:val="00FC63D8"/>
    <w:rsid w:val="00FC65DD"/>
    <w:rsid w:val="00FC7959"/>
    <w:rsid w:val="00FD0CF8"/>
    <w:rsid w:val="00FD0DDD"/>
    <w:rsid w:val="00FD1210"/>
    <w:rsid w:val="00FD2401"/>
    <w:rsid w:val="00FD281A"/>
    <w:rsid w:val="00FD45DF"/>
    <w:rsid w:val="00FD4C11"/>
    <w:rsid w:val="00FD528F"/>
    <w:rsid w:val="00FE0F76"/>
    <w:rsid w:val="00FE13B1"/>
    <w:rsid w:val="00FE1749"/>
    <w:rsid w:val="00FE1750"/>
    <w:rsid w:val="00FE1E1B"/>
    <w:rsid w:val="00FE2083"/>
    <w:rsid w:val="00FE3611"/>
    <w:rsid w:val="00FE7A0B"/>
    <w:rsid w:val="00FF0C4B"/>
    <w:rsid w:val="00FF27E9"/>
    <w:rsid w:val="00FF604C"/>
    <w:rsid w:val="00FF700B"/>
    <w:rsid w:val="010553C8"/>
    <w:rsid w:val="010A05B7"/>
    <w:rsid w:val="010D5CCD"/>
    <w:rsid w:val="01170255"/>
    <w:rsid w:val="01714666"/>
    <w:rsid w:val="024178E4"/>
    <w:rsid w:val="02D11557"/>
    <w:rsid w:val="02D24022"/>
    <w:rsid w:val="03446967"/>
    <w:rsid w:val="041B3799"/>
    <w:rsid w:val="049D01F3"/>
    <w:rsid w:val="054F29D6"/>
    <w:rsid w:val="05A12E4F"/>
    <w:rsid w:val="06D83363"/>
    <w:rsid w:val="06EF0497"/>
    <w:rsid w:val="070619DF"/>
    <w:rsid w:val="07374B99"/>
    <w:rsid w:val="084B0E9C"/>
    <w:rsid w:val="08676C09"/>
    <w:rsid w:val="08712CFF"/>
    <w:rsid w:val="08BD7C26"/>
    <w:rsid w:val="09011212"/>
    <w:rsid w:val="09180B52"/>
    <w:rsid w:val="099B36B9"/>
    <w:rsid w:val="0A085FEE"/>
    <w:rsid w:val="0A250417"/>
    <w:rsid w:val="0A6C65A6"/>
    <w:rsid w:val="0AF7236D"/>
    <w:rsid w:val="0C020D37"/>
    <w:rsid w:val="0C1E248E"/>
    <w:rsid w:val="0C3F7545"/>
    <w:rsid w:val="0C9245E0"/>
    <w:rsid w:val="0D980228"/>
    <w:rsid w:val="0DB22D51"/>
    <w:rsid w:val="0DEC33AF"/>
    <w:rsid w:val="0E2E502E"/>
    <w:rsid w:val="0EEA79A9"/>
    <w:rsid w:val="0EF95A7B"/>
    <w:rsid w:val="0F3717DC"/>
    <w:rsid w:val="0FBE6FC6"/>
    <w:rsid w:val="10026D96"/>
    <w:rsid w:val="109D6991"/>
    <w:rsid w:val="10AA0E9B"/>
    <w:rsid w:val="10BB7F4A"/>
    <w:rsid w:val="110B7B98"/>
    <w:rsid w:val="111D2D2B"/>
    <w:rsid w:val="1165450C"/>
    <w:rsid w:val="116F114D"/>
    <w:rsid w:val="11F03597"/>
    <w:rsid w:val="12CE3983"/>
    <w:rsid w:val="132008D5"/>
    <w:rsid w:val="136C489A"/>
    <w:rsid w:val="145F349E"/>
    <w:rsid w:val="15105635"/>
    <w:rsid w:val="154E610E"/>
    <w:rsid w:val="164A061A"/>
    <w:rsid w:val="16B43371"/>
    <w:rsid w:val="16E74627"/>
    <w:rsid w:val="173A1011"/>
    <w:rsid w:val="175C5327"/>
    <w:rsid w:val="17665FA2"/>
    <w:rsid w:val="17763C28"/>
    <w:rsid w:val="17E50480"/>
    <w:rsid w:val="181F68D2"/>
    <w:rsid w:val="1836035C"/>
    <w:rsid w:val="185C17AB"/>
    <w:rsid w:val="186B08A0"/>
    <w:rsid w:val="18BC1903"/>
    <w:rsid w:val="18EC3DB2"/>
    <w:rsid w:val="190E20AC"/>
    <w:rsid w:val="196924B2"/>
    <w:rsid w:val="197F2E6E"/>
    <w:rsid w:val="19E40F21"/>
    <w:rsid w:val="1AA21901"/>
    <w:rsid w:val="1B2D273B"/>
    <w:rsid w:val="1B4573B0"/>
    <w:rsid w:val="1D260B25"/>
    <w:rsid w:val="1D4F6E63"/>
    <w:rsid w:val="1E17026F"/>
    <w:rsid w:val="1E3F6434"/>
    <w:rsid w:val="1E543F45"/>
    <w:rsid w:val="1E8B4AF0"/>
    <w:rsid w:val="1E947D22"/>
    <w:rsid w:val="1EBB7A22"/>
    <w:rsid w:val="1EC80EEB"/>
    <w:rsid w:val="1EEE4F22"/>
    <w:rsid w:val="201F5DB9"/>
    <w:rsid w:val="202020CE"/>
    <w:rsid w:val="21502B60"/>
    <w:rsid w:val="21D077FD"/>
    <w:rsid w:val="226D5BA8"/>
    <w:rsid w:val="228B0FC1"/>
    <w:rsid w:val="228C2B7D"/>
    <w:rsid w:val="229721EB"/>
    <w:rsid w:val="22BC78B0"/>
    <w:rsid w:val="22E310E8"/>
    <w:rsid w:val="23DD23D1"/>
    <w:rsid w:val="24271E70"/>
    <w:rsid w:val="2484356E"/>
    <w:rsid w:val="25651A24"/>
    <w:rsid w:val="25AD6260"/>
    <w:rsid w:val="26417DC5"/>
    <w:rsid w:val="268611EC"/>
    <w:rsid w:val="26E31585"/>
    <w:rsid w:val="273D0EC0"/>
    <w:rsid w:val="2751210E"/>
    <w:rsid w:val="27545C23"/>
    <w:rsid w:val="27CD111B"/>
    <w:rsid w:val="284042A3"/>
    <w:rsid w:val="2852084C"/>
    <w:rsid w:val="28DD4EFE"/>
    <w:rsid w:val="28F75B5E"/>
    <w:rsid w:val="290D7F5D"/>
    <w:rsid w:val="29227218"/>
    <w:rsid w:val="292E7CD6"/>
    <w:rsid w:val="2942270F"/>
    <w:rsid w:val="2A405BE7"/>
    <w:rsid w:val="2A56799D"/>
    <w:rsid w:val="2AA94B9C"/>
    <w:rsid w:val="2AFA6690"/>
    <w:rsid w:val="2C073354"/>
    <w:rsid w:val="2D470AC5"/>
    <w:rsid w:val="2D582416"/>
    <w:rsid w:val="2DB42F37"/>
    <w:rsid w:val="2E6C26F4"/>
    <w:rsid w:val="2E705887"/>
    <w:rsid w:val="2FC3758C"/>
    <w:rsid w:val="2FFB56FC"/>
    <w:rsid w:val="30290B1D"/>
    <w:rsid w:val="31091FBD"/>
    <w:rsid w:val="31B17563"/>
    <w:rsid w:val="32AE7DE0"/>
    <w:rsid w:val="336A24CE"/>
    <w:rsid w:val="339D2157"/>
    <w:rsid w:val="34195858"/>
    <w:rsid w:val="348203EF"/>
    <w:rsid w:val="35190C62"/>
    <w:rsid w:val="35884BAB"/>
    <w:rsid w:val="359E2D51"/>
    <w:rsid w:val="35FF3EAF"/>
    <w:rsid w:val="365A727F"/>
    <w:rsid w:val="36C273E2"/>
    <w:rsid w:val="36DF12B5"/>
    <w:rsid w:val="37680D30"/>
    <w:rsid w:val="383F64BD"/>
    <w:rsid w:val="38895529"/>
    <w:rsid w:val="38A02B85"/>
    <w:rsid w:val="38CA2CF9"/>
    <w:rsid w:val="397D23D1"/>
    <w:rsid w:val="398E737B"/>
    <w:rsid w:val="39C36E4B"/>
    <w:rsid w:val="39FB6D45"/>
    <w:rsid w:val="3A23209D"/>
    <w:rsid w:val="3A6F42E6"/>
    <w:rsid w:val="3B5B0DA0"/>
    <w:rsid w:val="3B643C71"/>
    <w:rsid w:val="3B8367BA"/>
    <w:rsid w:val="3BB95EF1"/>
    <w:rsid w:val="3C9D5A10"/>
    <w:rsid w:val="3D184D25"/>
    <w:rsid w:val="3E2125D7"/>
    <w:rsid w:val="3E9F7500"/>
    <w:rsid w:val="3EAD18F3"/>
    <w:rsid w:val="3EB615FD"/>
    <w:rsid w:val="3FE457B1"/>
    <w:rsid w:val="403810F9"/>
    <w:rsid w:val="403879C4"/>
    <w:rsid w:val="40472B41"/>
    <w:rsid w:val="406A4A6A"/>
    <w:rsid w:val="40E35111"/>
    <w:rsid w:val="40E81D33"/>
    <w:rsid w:val="41FA0032"/>
    <w:rsid w:val="42391F7B"/>
    <w:rsid w:val="43BA4E7E"/>
    <w:rsid w:val="446B1A0C"/>
    <w:rsid w:val="44C12A60"/>
    <w:rsid w:val="44E42A30"/>
    <w:rsid w:val="44EB6407"/>
    <w:rsid w:val="450F60D8"/>
    <w:rsid w:val="4573618A"/>
    <w:rsid w:val="459405BD"/>
    <w:rsid w:val="45D773F5"/>
    <w:rsid w:val="45FF7246"/>
    <w:rsid w:val="471054A0"/>
    <w:rsid w:val="471A0780"/>
    <w:rsid w:val="47210641"/>
    <w:rsid w:val="472E01EA"/>
    <w:rsid w:val="4758242A"/>
    <w:rsid w:val="47C42CC3"/>
    <w:rsid w:val="47D51145"/>
    <w:rsid w:val="4859346A"/>
    <w:rsid w:val="48A94317"/>
    <w:rsid w:val="49B468CB"/>
    <w:rsid w:val="4A0B6218"/>
    <w:rsid w:val="4A200FA7"/>
    <w:rsid w:val="4A412632"/>
    <w:rsid w:val="4A711837"/>
    <w:rsid w:val="4A9D58DC"/>
    <w:rsid w:val="4B290139"/>
    <w:rsid w:val="4B4E3923"/>
    <w:rsid w:val="4B6A49EC"/>
    <w:rsid w:val="4BC20F47"/>
    <w:rsid w:val="4C1367AC"/>
    <w:rsid w:val="4C43455B"/>
    <w:rsid w:val="4CA55715"/>
    <w:rsid w:val="4D0E759D"/>
    <w:rsid w:val="4D193A8A"/>
    <w:rsid w:val="4D5C3DCA"/>
    <w:rsid w:val="4DBE08B3"/>
    <w:rsid w:val="4E6B1984"/>
    <w:rsid w:val="4ED307CF"/>
    <w:rsid w:val="4F1D4837"/>
    <w:rsid w:val="4F664D22"/>
    <w:rsid w:val="4FA01BA8"/>
    <w:rsid w:val="504476F3"/>
    <w:rsid w:val="50E30489"/>
    <w:rsid w:val="513C3045"/>
    <w:rsid w:val="51AC0225"/>
    <w:rsid w:val="51E315C1"/>
    <w:rsid w:val="51E52185"/>
    <w:rsid w:val="5210161E"/>
    <w:rsid w:val="523A09F0"/>
    <w:rsid w:val="52631FE7"/>
    <w:rsid w:val="52D97525"/>
    <w:rsid w:val="52FB3A5A"/>
    <w:rsid w:val="53832582"/>
    <w:rsid w:val="53DF3F94"/>
    <w:rsid w:val="541F0AD9"/>
    <w:rsid w:val="54C068E9"/>
    <w:rsid w:val="54CA1AEA"/>
    <w:rsid w:val="557575EB"/>
    <w:rsid w:val="55A00F24"/>
    <w:rsid w:val="56816D1D"/>
    <w:rsid w:val="56E44C02"/>
    <w:rsid w:val="570D7871"/>
    <w:rsid w:val="57207C5E"/>
    <w:rsid w:val="57C7205B"/>
    <w:rsid w:val="58344782"/>
    <w:rsid w:val="594D46B1"/>
    <w:rsid w:val="59795ACC"/>
    <w:rsid w:val="59945EA5"/>
    <w:rsid w:val="59A57A9B"/>
    <w:rsid w:val="5AB077BD"/>
    <w:rsid w:val="5AB62F42"/>
    <w:rsid w:val="5AF40B31"/>
    <w:rsid w:val="5B122317"/>
    <w:rsid w:val="5B3906C5"/>
    <w:rsid w:val="5B486A55"/>
    <w:rsid w:val="5BB942C0"/>
    <w:rsid w:val="5C05091A"/>
    <w:rsid w:val="5C27616E"/>
    <w:rsid w:val="5C465BC9"/>
    <w:rsid w:val="5C985E66"/>
    <w:rsid w:val="5CDD3609"/>
    <w:rsid w:val="5CE40993"/>
    <w:rsid w:val="5D08790C"/>
    <w:rsid w:val="5DA73B02"/>
    <w:rsid w:val="5DBC4781"/>
    <w:rsid w:val="5DC5390D"/>
    <w:rsid w:val="5DCB188C"/>
    <w:rsid w:val="5FCF58DB"/>
    <w:rsid w:val="60282FF6"/>
    <w:rsid w:val="60416EFC"/>
    <w:rsid w:val="6132048E"/>
    <w:rsid w:val="61AC37A7"/>
    <w:rsid w:val="61D23983"/>
    <w:rsid w:val="61F43F78"/>
    <w:rsid w:val="62166F77"/>
    <w:rsid w:val="62563C90"/>
    <w:rsid w:val="6279040D"/>
    <w:rsid w:val="63151D92"/>
    <w:rsid w:val="632827B6"/>
    <w:rsid w:val="6349176A"/>
    <w:rsid w:val="64610CE9"/>
    <w:rsid w:val="64AE1F76"/>
    <w:rsid w:val="65895CC6"/>
    <w:rsid w:val="65CE5411"/>
    <w:rsid w:val="66346F96"/>
    <w:rsid w:val="666933A5"/>
    <w:rsid w:val="66987A24"/>
    <w:rsid w:val="66B03A10"/>
    <w:rsid w:val="66F0216E"/>
    <w:rsid w:val="678358ED"/>
    <w:rsid w:val="67974D98"/>
    <w:rsid w:val="67FB620E"/>
    <w:rsid w:val="67FE0445"/>
    <w:rsid w:val="6806387A"/>
    <w:rsid w:val="68AC39A7"/>
    <w:rsid w:val="691A3B83"/>
    <w:rsid w:val="699839D9"/>
    <w:rsid w:val="6A1177A8"/>
    <w:rsid w:val="6AA063D0"/>
    <w:rsid w:val="6AFC0681"/>
    <w:rsid w:val="6B0F51E0"/>
    <w:rsid w:val="6B8B199E"/>
    <w:rsid w:val="6BB45895"/>
    <w:rsid w:val="6BBF0F8C"/>
    <w:rsid w:val="6DC1697C"/>
    <w:rsid w:val="6E265401"/>
    <w:rsid w:val="6F1F23DA"/>
    <w:rsid w:val="6F705270"/>
    <w:rsid w:val="6FC66CEC"/>
    <w:rsid w:val="6FF551C6"/>
    <w:rsid w:val="72336D1E"/>
    <w:rsid w:val="73ED22BA"/>
    <w:rsid w:val="747313CD"/>
    <w:rsid w:val="75881930"/>
    <w:rsid w:val="75913B20"/>
    <w:rsid w:val="773569C2"/>
    <w:rsid w:val="77604B80"/>
    <w:rsid w:val="77CD3B8C"/>
    <w:rsid w:val="78706A8D"/>
    <w:rsid w:val="78EA5614"/>
    <w:rsid w:val="792D3E06"/>
    <w:rsid w:val="79791A60"/>
    <w:rsid w:val="79941AEA"/>
    <w:rsid w:val="799975FE"/>
    <w:rsid w:val="79A35BE2"/>
    <w:rsid w:val="7A25776F"/>
    <w:rsid w:val="7A4751B2"/>
    <w:rsid w:val="7AA73FF4"/>
    <w:rsid w:val="7AFD23D7"/>
    <w:rsid w:val="7B1B3D8F"/>
    <w:rsid w:val="7B303F1D"/>
    <w:rsid w:val="7B83369A"/>
    <w:rsid w:val="7BD667EC"/>
    <w:rsid w:val="7C022BA4"/>
    <w:rsid w:val="7D8E6544"/>
    <w:rsid w:val="7E48630B"/>
    <w:rsid w:val="7E4937DB"/>
    <w:rsid w:val="7F51040E"/>
    <w:rsid w:val="7F817108"/>
    <w:rsid w:val="7FC63473"/>
    <w:rsid w:val="7FE97E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iPriority="99" w:semiHidden="0" w:name="page number" w:locked="1"/>
    <w:lsdException w:uiPriority="99" w:name="endnote reference" w:locked="1"/>
    <w:lsdException w:uiPriority="99" w:name="endnote text" w:locked="1"/>
    <w:lsdException w:uiPriority="99" w:name="table of authorities" w:locked="1"/>
    <w:lsdException w:uiPriority="99" w:name="macro" w:locked="1"/>
    <w:lsdException w:qFormat="1" w:uiPriority="99" w:semiHidden="0"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semiHidden="0" w:name="Default Paragraph Font"/>
    <w:lsdException w:qFormat="1" w:unhideWhenUsed="0" w:uiPriority="99"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uiPriority="99" w:name="Body Text First Indent" w:locked="1"/>
    <w:lsdException w:qFormat="1" w:unhideWhenUsed="0" w:uiPriority="0" w:semiHidden="0" w:name="Body Text First Indent 2" w:locked="1"/>
    <w:lsdException w:uiPriority="99" w:name="Note Heading" w:locked="1"/>
    <w:lsdException w:qFormat="1" w:unhideWhenUsed="0" w:uiPriority="99" w:semiHidden="0" w:name="Body Text 2"/>
    <w:lsdException w:qFormat="1" w:unhideWhenUsed="0" w:uiPriority="0" w:semiHidden="0" w:name="Body Text 3" w:locked="1"/>
    <w:lsdException w:uiPriority="99" w:name="Body Text Indent 2" w:locked="1"/>
    <w:lsdException w:uiPriority="99" w:name="Body Text Indent 3" w:locked="1"/>
    <w:lsdException w:uiPriority="99" w:name="Block Text" w:locked="1"/>
    <w:lsdException w:qFormat="1" w:unhideWhenUsed="0" w:uiPriority="99" w:semiHidden="0" w:name="Hyperlink"/>
    <w:lsdException w:qFormat="1" w:uiPriority="99" w:semiHidden="0" w:name="FollowedHyperlink" w:locked="1"/>
    <w:lsdException w:qFormat="1" w:unhideWhenUsed="0" w:uiPriority="0" w:semiHidden="0" w:name="Strong"/>
    <w:lsdException w:qFormat="1" w:unhideWhenUsed="0" w:uiPriority="0"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qFormat="1" w:unhideWhenUsed="0" w:uiPriority="99" w:semiHidden="0" w:name="Table Elegant"/>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link w:val="40"/>
    <w:qFormat/>
    <w:uiPriority w:val="99"/>
    <w:pPr>
      <w:keepNext/>
      <w:keepLines/>
      <w:numPr>
        <w:ilvl w:val="0"/>
        <w:numId w:val="1"/>
      </w:numPr>
      <w:spacing w:before="340" w:after="330" w:line="578" w:lineRule="auto"/>
      <w:outlineLvl w:val="0"/>
    </w:pPr>
    <w:rPr>
      <w:b/>
      <w:bCs/>
      <w:kern w:val="44"/>
      <w:sz w:val="44"/>
      <w:szCs w:val="44"/>
    </w:rPr>
  </w:style>
  <w:style w:type="paragraph" w:styleId="5">
    <w:name w:val="heading 2"/>
    <w:basedOn w:val="1"/>
    <w:next w:val="6"/>
    <w:link w:val="41"/>
    <w:qFormat/>
    <w:uiPriority w:val="99"/>
    <w:pPr>
      <w:keepNext/>
      <w:keepLines/>
      <w:numPr>
        <w:ilvl w:val="1"/>
        <w:numId w:val="1"/>
      </w:numPr>
      <w:spacing w:before="260" w:after="260" w:line="416" w:lineRule="auto"/>
      <w:outlineLvl w:val="1"/>
    </w:pPr>
    <w:rPr>
      <w:rFonts w:ascii="Cambria" w:hAnsi="Cambria"/>
      <w:b/>
      <w:bCs/>
      <w:sz w:val="32"/>
      <w:szCs w:val="32"/>
    </w:rPr>
  </w:style>
  <w:style w:type="paragraph" w:styleId="7">
    <w:name w:val="heading 3"/>
    <w:basedOn w:val="1"/>
    <w:next w:val="6"/>
    <w:link w:val="39"/>
    <w:qFormat/>
    <w:uiPriority w:val="99"/>
    <w:pPr>
      <w:keepNext/>
      <w:keepLines/>
      <w:numPr>
        <w:ilvl w:val="2"/>
        <w:numId w:val="1"/>
      </w:numPr>
      <w:spacing w:before="260" w:after="260" w:line="416" w:lineRule="auto"/>
      <w:outlineLvl w:val="2"/>
    </w:pPr>
    <w:rPr>
      <w:b/>
      <w:bCs/>
      <w:sz w:val="32"/>
      <w:szCs w:val="32"/>
    </w:rPr>
  </w:style>
  <w:style w:type="paragraph" w:styleId="8">
    <w:name w:val="heading 4"/>
    <w:basedOn w:val="1"/>
    <w:next w:val="1"/>
    <w:link w:val="69"/>
    <w:qFormat/>
    <w:uiPriority w:val="99"/>
    <w:pPr>
      <w:keepNext/>
      <w:keepLines/>
      <w:numPr>
        <w:ilvl w:val="3"/>
        <w:numId w:val="1"/>
      </w:numPr>
      <w:spacing w:before="280" w:after="290" w:line="376" w:lineRule="auto"/>
      <w:outlineLvl w:val="3"/>
    </w:pPr>
    <w:rPr>
      <w:rFonts w:ascii="Cambria" w:hAnsi="Cambria"/>
      <w:b/>
      <w:bCs/>
      <w:sz w:val="28"/>
      <w:szCs w:val="28"/>
    </w:rPr>
  </w:style>
  <w:style w:type="paragraph" w:styleId="9">
    <w:name w:val="heading 5"/>
    <w:basedOn w:val="1"/>
    <w:next w:val="1"/>
    <w:link w:val="64"/>
    <w:qFormat/>
    <w:uiPriority w:val="99"/>
    <w:pPr>
      <w:keepNext/>
      <w:keepLines/>
      <w:numPr>
        <w:ilvl w:val="4"/>
        <w:numId w:val="1"/>
      </w:numPr>
      <w:spacing w:before="280" w:after="290" w:line="376" w:lineRule="auto"/>
      <w:outlineLvl w:val="4"/>
    </w:pPr>
    <w:rPr>
      <w:b/>
      <w:bCs/>
      <w:sz w:val="28"/>
      <w:szCs w:val="28"/>
    </w:rPr>
  </w:style>
  <w:style w:type="paragraph" w:styleId="10">
    <w:name w:val="heading 6"/>
    <w:basedOn w:val="1"/>
    <w:next w:val="1"/>
    <w:link w:val="56"/>
    <w:qFormat/>
    <w:uiPriority w:val="99"/>
    <w:pPr>
      <w:keepNext/>
      <w:keepLines/>
      <w:numPr>
        <w:ilvl w:val="5"/>
        <w:numId w:val="1"/>
      </w:numPr>
      <w:spacing w:before="240" w:after="64" w:line="320" w:lineRule="auto"/>
      <w:outlineLvl w:val="5"/>
    </w:pPr>
    <w:rPr>
      <w:rFonts w:ascii="Cambria" w:hAnsi="Cambria"/>
      <w:b/>
      <w:bCs/>
      <w:sz w:val="24"/>
      <w:szCs w:val="24"/>
    </w:rPr>
  </w:style>
  <w:style w:type="paragraph" w:styleId="11">
    <w:name w:val="heading 7"/>
    <w:basedOn w:val="1"/>
    <w:next w:val="1"/>
    <w:link w:val="72"/>
    <w:qFormat/>
    <w:uiPriority w:val="99"/>
    <w:pPr>
      <w:keepNext/>
      <w:keepLines/>
      <w:numPr>
        <w:ilvl w:val="6"/>
        <w:numId w:val="1"/>
      </w:numPr>
      <w:spacing w:before="240" w:after="64" w:line="320" w:lineRule="auto"/>
      <w:outlineLvl w:val="6"/>
    </w:pPr>
    <w:rPr>
      <w:b/>
      <w:bCs/>
      <w:sz w:val="24"/>
      <w:szCs w:val="24"/>
    </w:rPr>
  </w:style>
  <w:style w:type="paragraph" w:styleId="12">
    <w:name w:val="heading 8"/>
    <w:basedOn w:val="1"/>
    <w:next w:val="1"/>
    <w:link w:val="54"/>
    <w:qFormat/>
    <w:uiPriority w:val="99"/>
    <w:pPr>
      <w:keepNext/>
      <w:keepLines/>
      <w:numPr>
        <w:ilvl w:val="7"/>
        <w:numId w:val="1"/>
      </w:numPr>
      <w:spacing w:before="240" w:after="64" w:line="320" w:lineRule="auto"/>
      <w:outlineLvl w:val="7"/>
    </w:pPr>
    <w:rPr>
      <w:rFonts w:ascii="Cambria" w:hAnsi="Cambria"/>
      <w:sz w:val="24"/>
      <w:szCs w:val="24"/>
    </w:rPr>
  </w:style>
  <w:style w:type="paragraph" w:styleId="13">
    <w:name w:val="heading 9"/>
    <w:basedOn w:val="1"/>
    <w:next w:val="1"/>
    <w:link w:val="75"/>
    <w:qFormat/>
    <w:uiPriority w:val="99"/>
    <w:pPr>
      <w:keepNext/>
      <w:keepLines/>
      <w:numPr>
        <w:ilvl w:val="8"/>
        <w:numId w:val="1"/>
      </w:numPr>
      <w:spacing w:before="240" w:after="64" w:line="320" w:lineRule="auto"/>
      <w:outlineLvl w:val="8"/>
    </w:pPr>
    <w:rPr>
      <w:rFonts w:ascii="Cambria" w:hAnsi="Cambria"/>
      <w:szCs w:val="21"/>
    </w:rPr>
  </w:style>
  <w:style w:type="character" w:default="1" w:styleId="34">
    <w:name w:val="Default Paragraph Font"/>
    <w:unhideWhenUsed/>
    <w:qFormat/>
    <w:uiPriority w:val="1"/>
  </w:style>
  <w:style w:type="table" w:default="1" w:styleId="31">
    <w:name w:val="Normal Table"/>
    <w:unhideWhenUsed/>
    <w:qFormat/>
    <w:uiPriority w:val="99"/>
    <w:tblPr>
      <w:tblCellMar>
        <w:top w:w="0" w:type="dxa"/>
        <w:left w:w="108" w:type="dxa"/>
        <w:bottom w:w="0" w:type="dxa"/>
        <w:right w:w="108" w:type="dxa"/>
      </w:tblCellMar>
    </w:tblPr>
  </w:style>
  <w:style w:type="paragraph" w:styleId="2">
    <w:name w:val="Body Text First Indent 2"/>
    <w:basedOn w:val="3"/>
    <w:qFormat/>
    <w:locked/>
    <w:uiPriority w:val="0"/>
    <w:pPr>
      <w:ind w:firstLine="420" w:firstLineChars="200"/>
    </w:pPr>
    <w:rPr>
      <w:szCs w:val="21"/>
    </w:rPr>
  </w:style>
  <w:style w:type="paragraph" w:styleId="3">
    <w:name w:val="Body Text Indent"/>
    <w:basedOn w:val="1"/>
    <w:qFormat/>
    <w:locked/>
    <w:uiPriority w:val="0"/>
    <w:pPr>
      <w:spacing w:after="120"/>
      <w:ind w:left="420" w:leftChars="200"/>
    </w:pPr>
    <w:rPr>
      <w:szCs w:val="20"/>
    </w:rPr>
  </w:style>
  <w:style w:type="paragraph" w:styleId="6">
    <w:name w:val="Normal Indent"/>
    <w:basedOn w:val="1"/>
    <w:link w:val="48"/>
    <w:qFormat/>
    <w:uiPriority w:val="99"/>
    <w:pPr>
      <w:ind w:firstLine="420" w:firstLineChars="200"/>
    </w:pPr>
  </w:style>
  <w:style w:type="paragraph" w:styleId="14">
    <w:name w:val="caption"/>
    <w:basedOn w:val="1"/>
    <w:next w:val="1"/>
    <w:qFormat/>
    <w:uiPriority w:val="99"/>
    <w:rPr>
      <w:rFonts w:ascii="Cambria" w:hAnsi="Cambria" w:eastAsia="黑体"/>
      <w:sz w:val="20"/>
      <w:szCs w:val="20"/>
    </w:rPr>
  </w:style>
  <w:style w:type="paragraph" w:styleId="15">
    <w:name w:val="Document Map"/>
    <w:basedOn w:val="1"/>
    <w:link w:val="65"/>
    <w:semiHidden/>
    <w:qFormat/>
    <w:uiPriority w:val="99"/>
    <w:pPr>
      <w:shd w:val="clear" w:color="auto" w:fill="000080"/>
    </w:pPr>
  </w:style>
  <w:style w:type="paragraph" w:styleId="16">
    <w:name w:val="toa heading"/>
    <w:basedOn w:val="1"/>
    <w:next w:val="1"/>
    <w:unhideWhenUsed/>
    <w:qFormat/>
    <w:locked/>
    <w:uiPriority w:val="99"/>
    <w:pPr>
      <w:spacing w:before="120" w:beforeLines="0"/>
    </w:pPr>
    <w:rPr>
      <w:rFonts w:ascii="Arial" w:hAnsi="Arial" w:cs="Arial"/>
      <w:sz w:val="24"/>
    </w:rPr>
  </w:style>
  <w:style w:type="paragraph" w:styleId="17">
    <w:name w:val="annotation text"/>
    <w:basedOn w:val="1"/>
    <w:link w:val="49"/>
    <w:qFormat/>
    <w:uiPriority w:val="99"/>
    <w:pPr>
      <w:jc w:val="left"/>
    </w:pPr>
    <w:rPr>
      <w:rFonts w:ascii="Times New Roman" w:hAnsi="Times New Roman"/>
      <w:szCs w:val="24"/>
    </w:rPr>
  </w:style>
  <w:style w:type="paragraph" w:styleId="18">
    <w:name w:val="Body Text 3"/>
    <w:basedOn w:val="1"/>
    <w:qFormat/>
    <w:locked/>
    <w:uiPriority w:val="0"/>
    <w:rPr>
      <w:rFonts w:ascii="宋体"/>
      <w:sz w:val="24"/>
      <w:szCs w:val="20"/>
    </w:rPr>
  </w:style>
  <w:style w:type="paragraph" w:styleId="19">
    <w:name w:val="Body Text"/>
    <w:basedOn w:val="1"/>
    <w:link w:val="58"/>
    <w:qFormat/>
    <w:uiPriority w:val="99"/>
    <w:pPr>
      <w:adjustRightInd w:val="0"/>
      <w:jc w:val="left"/>
      <w:textAlignment w:val="baseline"/>
    </w:pPr>
    <w:rPr>
      <w:rFonts w:ascii="楷体_GB2312" w:eastAsia="楷体_GB2312"/>
      <w:kern w:val="0"/>
      <w:sz w:val="28"/>
      <w:szCs w:val="20"/>
    </w:rPr>
  </w:style>
  <w:style w:type="paragraph" w:styleId="20">
    <w:name w:val="Plain Text"/>
    <w:basedOn w:val="1"/>
    <w:link w:val="57"/>
    <w:qFormat/>
    <w:uiPriority w:val="99"/>
    <w:rPr>
      <w:rFonts w:ascii="宋体" w:hAnsi="Courier New" w:cs="Courier New"/>
      <w:szCs w:val="21"/>
    </w:rPr>
  </w:style>
  <w:style w:type="paragraph" w:styleId="21">
    <w:name w:val="Date"/>
    <w:basedOn w:val="1"/>
    <w:next w:val="1"/>
    <w:link w:val="74"/>
    <w:qFormat/>
    <w:uiPriority w:val="99"/>
    <w:pPr>
      <w:ind w:left="100" w:leftChars="2500"/>
    </w:pPr>
    <w:rPr>
      <w:rFonts w:ascii="Times New Roman" w:hAnsi="Times New Roman"/>
      <w:szCs w:val="24"/>
    </w:rPr>
  </w:style>
  <w:style w:type="paragraph" w:styleId="22">
    <w:name w:val="Balloon Text"/>
    <w:basedOn w:val="1"/>
    <w:link w:val="62"/>
    <w:qFormat/>
    <w:uiPriority w:val="99"/>
    <w:rPr>
      <w:rFonts w:ascii="Times New Roman" w:hAnsi="Times New Roman"/>
      <w:sz w:val="18"/>
      <w:szCs w:val="18"/>
    </w:rPr>
  </w:style>
  <w:style w:type="paragraph" w:styleId="23">
    <w:name w:val="footer"/>
    <w:basedOn w:val="1"/>
    <w:link w:val="44"/>
    <w:qFormat/>
    <w:uiPriority w:val="99"/>
    <w:pPr>
      <w:tabs>
        <w:tab w:val="center" w:pos="4153"/>
        <w:tab w:val="right" w:pos="8306"/>
      </w:tabs>
      <w:snapToGrid w:val="0"/>
      <w:jc w:val="left"/>
    </w:pPr>
    <w:rPr>
      <w:rFonts w:ascii="Times New Roman" w:hAnsi="Times New Roman"/>
      <w:sz w:val="18"/>
      <w:szCs w:val="18"/>
    </w:rPr>
  </w:style>
  <w:style w:type="paragraph" w:styleId="24">
    <w:name w:val="header"/>
    <w:basedOn w:val="1"/>
    <w:link w:val="63"/>
    <w:qFormat/>
    <w:uiPriority w:val="99"/>
    <w:pPr>
      <w:pBdr>
        <w:bottom w:val="single" w:color="auto" w:sz="6" w:space="1"/>
      </w:pBdr>
      <w:tabs>
        <w:tab w:val="center" w:pos="4153"/>
        <w:tab w:val="right" w:pos="8306"/>
      </w:tabs>
      <w:snapToGrid w:val="0"/>
      <w:jc w:val="center"/>
    </w:pPr>
    <w:rPr>
      <w:rFonts w:ascii="Times New Roman" w:hAnsi="Times New Roman"/>
      <w:sz w:val="18"/>
      <w:szCs w:val="18"/>
    </w:rPr>
  </w:style>
  <w:style w:type="paragraph" w:styleId="25">
    <w:name w:val="toc 1"/>
    <w:basedOn w:val="1"/>
    <w:next w:val="1"/>
    <w:qFormat/>
    <w:uiPriority w:val="99"/>
  </w:style>
  <w:style w:type="paragraph" w:styleId="26">
    <w:name w:val="toc 2"/>
    <w:basedOn w:val="1"/>
    <w:next w:val="1"/>
    <w:qFormat/>
    <w:uiPriority w:val="0"/>
    <w:pPr>
      <w:ind w:left="420" w:leftChars="200"/>
    </w:pPr>
  </w:style>
  <w:style w:type="paragraph" w:styleId="27">
    <w:name w:val="Body Text 2"/>
    <w:basedOn w:val="1"/>
    <w:link w:val="76"/>
    <w:qFormat/>
    <w:uiPriority w:val="99"/>
    <w:pPr>
      <w:spacing w:line="480" w:lineRule="auto"/>
    </w:pPr>
    <w:rPr>
      <w:rFonts w:ascii="??_GB2312" w:eastAsia="Times New Roman"/>
      <w:sz w:val="32"/>
      <w:szCs w:val="32"/>
    </w:rPr>
  </w:style>
  <w:style w:type="paragraph" w:styleId="28">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9">
    <w:name w:val="Title"/>
    <w:basedOn w:val="1"/>
    <w:next w:val="1"/>
    <w:link w:val="68"/>
    <w:qFormat/>
    <w:uiPriority w:val="99"/>
    <w:pPr>
      <w:spacing w:before="240" w:after="60"/>
      <w:jc w:val="center"/>
      <w:outlineLvl w:val="0"/>
    </w:pPr>
    <w:rPr>
      <w:rFonts w:ascii="Cambria" w:hAnsi="Cambria"/>
      <w:b/>
      <w:bCs/>
      <w:sz w:val="32"/>
      <w:szCs w:val="32"/>
    </w:rPr>
  </w:style>
  <w:style w:type="paragraph" w:styleId="30">
    <w:name w:val="annotation subject"/>
    <w:basedOn w:val="17"/>
    <w:next w:val="17"/>
    <w:link w:val="77"/>
    <w:qFormat/>
    <w:uiPriority w:val="99"/>
    <w:rPr>
      <w:b/>
      <w:bCs/>
    </w:rPr>
  </w:style>
  <w:style w:type="table" w:styleId="32">
    <w:name w:val="Table Grid"/>
    <w:basedOn w:val="31"/>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3">
    <w:name w:val="Table Elegant"/>
    <w:basedOn w:val="31"/>
    <w:qFormat/>
    <w:uiPriority w:val="99"/>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
    <w:tblStylePr w:type="firstRow">
      <w:rPr>
        <w:rFonts w:cs="Times New Roman"/>
        <w:caps/>
        <w:color w:val="auto"/>
      </w:rPr>
      <w:tblPr/>
      <w:tcPr>
        <w:tcBorders>
          <w:top w:val="nil"/>
          <w:left w:val="nil"/>
          <w:bottom w:val="nil"/>
          <w:right w:val="nil"/>
          <w:insideH w:val="nil"/>
          <w:insideV w:val="nil"/>
          <w:tl2br w:val="nil"/>
          <w:tr2bl w:val="nil"/>
        </w:tcBorders>
      </w:tcPr>
    </w:tblStylePr>
  </w:style>
  <w:style w:type="character" w:styleId="35">
    <w:name w:val="page number"/>
    <w:basedOn w:val="34"/>
    <w:unhideWhenUsed/>
    <w:qFormat/>
    <w:locked/>
    <w:uiPriority w:val="99"/>
  </w:style>
  <w:style w:type="character" w:styleId="36">
    <w:name w:val="FollowedHyperlink"/>
    <w:unhideWhenUsed/>
    <w:qFormat/>
    <w:locked/>
    <w:uiPriority w:val="99"/>
    <w:rPr>
      <w:color w:val="333333"/>
      <w:u w:val="none"/>
    </w:rPr>
  </w:style>
  <w:style w:type="character" w:styleId="37">
    <w:name w:val="Hyperlink"/>
    <w:basedOn w:val="34"/>
    <w:qFormat/>
    <w:uiPriority w:val="99"/>
    <w:rPr>
      <w:rFonts w:cs="Times New Roman"/>
      <w:color w:val="0000FF"/>
      <w:u w:val="single"/>
    </w:rPr>
  </w:style>
  <w:style w:type="character" w:styleId="38">
    <w:name w:val="annotation reference"/>
    <w:qFormat/>
    <w:uiPriority w:val="99"/>
    <w:rPr>
      <w:rFonts w:cs="Times New Roman"/>
      <w:sz w:val="21"/>
    </w:rPr>
  </w:style>
  <w:style w:type="character" w:customStyle="1" w:styleId="39">
    <w:name w:val="标题 3 Char"/>
    <w:link w:val="7"/>
    <w:qFormat/>
    <w:locked/>
    <w:uiPriority w:val="99"/>
    <w:rPr>
      <w:rFonts w:cs="Times New Roman"/>
      <w:b/>
      <w:bCs/>
      <w:sz w:val="32"/>
      <w:szCs w:val="32"/>
    </w:rPr>
  </w:style>
  <w:style w:type="character" w:customStyle="1" w:styleId="40">
    <w:name w:val="标题 1 Char"/>
    <w:link w:val="4"/>
    <w:qFormat/>
    <w:locked/>
    <w:uiPriority w:val="99"/>
    <w:rPr>
      <w:rFonts w:cs="Times New Roman"/>
      <w:b/>
      <w:bCs/>
      <w:kern w:val="44"/>
      <w:sz w:val="44"/>
      <w:szCs w:val="44"/>
    </w:rPr>
  </w:style>
  <w:style w:type="character" w:customStyle="1" w:styleId="41">
    <w:name w:val="标题 2 Char"/>
    <w:link w:val="5"/>
    <w:qFormat/>
    <w:locked/>
    <w:uiPriority w:val="99"/>
    <w:rPr>
      <w:rFonts w:ascii="Cambria" w:hAnsi="Cambria" w:eastAsia="宋体" w:cs="Times New Roman"/>
      <w:b/>
      <w:bCs/>
      <w:sz w:val="32"/>
      <w:szCs w:val="32"/>
    </w:rPr>
  </w:style>
  <w:style w:type="character" w:customStyle="1" w:styleId="42">
    <w:name w:val="gjfg"/>
    <w:basedOn w:val="34"/>
    <w:qFormat/>
    <w:uiPriority w:val="0"/>
  </w:style>
  <w:style w:type="character" w:customStyle="1" w:styleId="43">
    <w:name w:val="redfilenumber"/>
    <w:qFormat/>
    <w:uiPriority w:val="0"/>
    <w:rPr>
      <w:color w:val="BA2636"/>
      <w:sz w:val="18"/>
      <w:szCs w:val="18"/>
    </w:rPr>
  </w:style>
  <w:style w:type="character" w:customStyle="1" w:styleId="44">
    <w:name w:val="页脚 Char"/>
    <w:link w:val="23"/>
    <w:qFormat/>
    <w:locked/>
    <w:uiPriority w:val="99"/>
    <w:rPr>
      <w:rFonts w:cs="Times New Roman"/>
      <w:kern w:val="2"/>
      <w:sz w:val="18"/>
    </w:rPr>
  </w:style>
  <w:style w:type="character" w:customStyle="1" w:styleId="45">
    <w:name w:val="qxdate"/>
    <w:qFormat/>
    <w:uiPriority w:val="0"/>
    <w:rPr>
      <w:color w:val="333333"/>
      <w:sz w:val="18"/>
      <w:szCs w:val="18"/>
    </w:rPr>
  </w:style>
  <w:style w:type="character" w:customStyle="1" w:styleId="46">
    <w:name w:val="样式 标题 3h3H3l3CTheading 3Level 3 Headlevel_3PIM 3sect1.2... Char"/>
    <w:link w:val="47"/>
    <w:qFormat/>
    <w:locked/>
    <w:uiPriority w:val="99"/>
    <w:rPr>
      <w:rFonts w:ascii="Arial" w:hAnsi="Arial" w:eastAsia="黑体"/>
      <w:sz w:val="32"/>
    </w:rPr>
  </w:style>
  <w:style w:type="paragraph" w:customStyle="1" w:styleId="47">
    <w:name w:val="样式 标题 3h3H3l3CTheading 3Level 3 Headlevel_3PIM 3sect1.2..."/>
    <w:basedOn w:val="7"/>
    <w:link w:val="46"/>
    <w:qFormat/>
    <w:uiPriority w:val="99"/>
    <w:pPr>
      <w:keepNext w:val="0"/>
      <w:keepLines w:val="0"/>
      <w:spacing w:beforeLines="50" w:afterLines="50" w:line="360" w:lineRule="auto"/>
    </w:pPr>
    <w:rPr>
      <w:rFonts w:ascii="Arial" w:hAnsi="Arial" w:eastAsia="黑体"/>
      <w:b w:val="0"/>
      <w:bCs w:val="0"/>
      <w:kern w:val="0"/>
      <w:szCs w:val="20"/>
    </w:rPr>
  </w:style>
  <w:style w:type="character" w:customStyle="1" w:styleId="48">
    <w:name w:val="正文缩进 Char"/>
    <w:link w:val="6"/>
    <w:qFormat/>
    <w:locked/>
    <w:uiPriority w:val="99"/>
  </w:style>
  <w:style w:type="character" w:customStyle="1" w:styleId="49">
    <w:name w:val="批注文字 Char"/>
    <w:link w:val="17"/>
    <w:qFormat/>
    <w:locked/>
    <w:uiPriority w:val="99"/>
    <w:rPr>
      <w:rFonts w:cs="Times New Roman"/>
      <w:kern w:val="2"/>
      <w:sz w:val="24"/>
    </w:rPr>
  </w:style>
  <w:style w:type="character" w:customStyle="1" w:styleId="50">
    <w:name w:val="样式2 字符"/>
    <w:link w:val="51"/>
    <w:qFormat/>
    <w:locked/>
    <w:uiPriority w:val="99"/>
    <w:rPr>
      <w:rFonts w:ascii="宋体" w:hAnsi="宋体" w:eastAsia="宋体" w:cs="Times New Roman"/>
      <w:b/>
      <w:bCs/>
      <w:kern w:val="0"/>
      <w:sz w:val="20"/>
      <w:szCs w:val="20"/>
      <w:lang w:val="zh-CN" w:eastAsia="zh-CN"/>
    </w:rPr>
  </w:style>
  <w:style w:type="paragraph" w:customStyle="1" w:styleId="51">
    <w:name w:val="样式2"/>
    <w:basedOn w:val="52"/>
    <w:link w:val="50"/>
    <w:qFormat/>
    <w:uiPriority w:val="99"/>
    <w:pPr>
      <w:tabs>
        <w:tab w:val="left" w:pos="900"/>
      </w:tabs>
      <w:spacing w:line="360" w:lineRule="auto"/>
      <w:ind w:left="900" w:hanging="420"/>
    </w:pPr>
    <w:rPr>
      <w:rFonts w:ascii="宋体" w:hAnsi="宋体"/>
      <w:kern w:val="0"/>
      <w:sz w:val="24"/>
      <w:lang w:val="zh-CN"/>
    </w:rPr>
  </w:style>
  <w:style w:type="paragraph" w:customStyle="1" w:styleId="52">
    <w:name w:val="样式1"/>
    <w:basedOn w:val="25"/>
    <w:qFormat/>
    <w:uiPriority w:val="99"/>
    <w:pPr>
      <w:spacing w:before="120" w:after="120"/>
      <w:jc w:val="left"/>
    </w:pPr>
    <w:rPr>
      <w:b/>
      <w:bCs/>
      <w:caps/>
      <w:sz w:val="20"/>
      <w:szCs w:val="20"/>
    </w:rPr>
  </w:style>
  <w:style w:type="paragraph" w:customStyle="1" w:styleId="53">
    <w:name w:val="List Paragraph"/>
    <w:basedOn w:val="1"/>
    <w:qFormat/>
    <w:uiPriority w:val="0"/>
    <w:pPr>
      <w:ind w:firstLine="420" w:firstLineChars="200"/>
    </w:pPr>
    <w:rPr>
      <w:szCs w:val="24"/>
    </w:rPr>
  </w:style>
  <w:style w:type="character" w:customStyle="1" w:styleId="54">
    <w:name w:val="标题 8 Char"/>
    <w:link w:val="12"/>
    <w:semiHidden/>
    <w:qFormat/>
    <w:locked/>
    <w:uiPriority w:val="99"/>
    <w:rPr>
      <w:rFonts w:ascii="Cambria" w:hAnsi="Cambria" w:eastAsia="宋体" w:cs="Times New Roman"/>
      <w:sz w:val="24"/>
      <w:szCs w:val="24"/>
    </w:rPr>
  </w:style>
  <w:style w:type="character" w:customStyle="1" w:styleId="55">
    <w:name w:val="redfilefwwh"/>
    <w:qFormat/>
    <w:uiPriority w:val="0"/>
    <w:rPr>
      <w:color w:val="BA2636"/>
      <w:sz w:val="18"/>
      <w:szCs w:val="18"/>
    </w:rPr>
  </w:style>
  <w:style w:type="character" w:customStyle="1" w:styleId="56">
    <w:name w:val="标题 6 Char"/>
    <w:link w:val="10"/>
    <w:semiHidden/>
    <w:qFormat/>
    <w:locked/>
    <w:uiPriority w:val="99"/>
    <w:rPr>
      <w:rFonts w:ascii="Cambria" w:hAnsi="Cambria" w:eastAsia="宋体" w:cs="Times New Roman"/>
      <w:b/>
      <w:bCs/>
      <w:sz w:val="24"/>
      <w:szCs w:val="24"/>
    </w:rPr>
  </w:style>
  <w:style w:type="character" w:customStyle="1" w:styleId="57">
    <w:name w:val="纯文本 Char"/>
    <w:link w:val="20"/>
    <w:qFormat/>
    <w:locked/>
    <w:uiPriority w:val="99"/>
    <w:rPr>
      <w:rFonts w:ascii="宋体" w:hAnsi="Courier New" w:eastAsia="宋体" w:cs="Times New Roman"/>
      <w:kern w:val="2"/>
      <w:sz w:val="21"/>
      <w:lang w:val="en-US" w:eastAsia="zh-CN"/>
    </w:rPr>
  </w:style>
  <w:style w:type="character" w:customStyle="1" w:styleId="58">
    <w:name w:val="正文文本 Char"/>
    <w:link w:val="19"/>
    <w:semiHidden/>
    <w:qFormat/>
    <w:locked/>
    <w:uiPriority w:val="99"/>
    <w:rPr>
      <w:rFonts w:ascii="Calibri" w:hAnsi="Calibri" w:cs="Times New Roman"/>
    </w:rPr>
  </w:style>
  <w:style w:type="character" w:customStyle="1" w:styleId="59">
    <w:name w:val="param-name"/>
    <w:qFormat/>
    <w:uiPriority w:val="99"/>
  </w:style>
  <w:style w:type="character" w:customStyle="1" w:styleId="60">
    <w:name w:val="displayarti"/>
    <w:qFormat/>
    <w:uiPriority w:val="0"/>
    <w:rPr>
      <w:color w:val="FFFFFF"/>
      <w:shd w:val="clear" w:color="auto" w:fill="A00000"/>
    </w:rPr>
  </w:style>
  <w:style w:type="character" w:customStyle="1" w:styleId="61">
    <w:name w:val="cfdate"/>
    <w:qFormat/>
    <w:uiPriority w:val="0"/>
    <w:rPr>
      <w:color w:val="333333"/>
      <w:sz w:val="18"/>
      <w:szCs w:val="18"/>
    </w:rPr>
  </w:style>
  <w:style w:type="character" w:customStyle="1" w:styleId="62">
    <w:name w:val="批注框文本 Char"/>
    <w:link w:val="22"/>
    <w:qFormat/>
    <w:locked/>
    <w:uiPriority w:val="99"/>
    <w:rPr>
      <w:rFonts w:cs="Times New Roman"/>
      <w:kern w:val="2"/>
      <w:sz w:val="18"/>
    </w:rPr>
  </w:style>
  <w:style w:type="character" w:customStyle="1" w:styleId="63">
    <w:name w:val="页眉 Char"/>
    <w:link w:val="24"/>
    <w:qFormat/>
    <w:locked/>
    <w:uiPriority w:val="99"/>
    <w:rPr>
      <w:rFonts w:cs="Times New Roman"/>
      <w:kern w:val="2"/>
      <w:sz w:val="18"/>
    </w:rPr>
  </w:style>
  <w:style w:type="character" w:customStyle="1" w:styleId="64">
    <w:name w:val="标题 5 Char"/>
    <w:link w:val="9"/>
    <w:semiHidden/>
    <w:qFormat/>
    <w:locked/>
    <w:uiPriority w:val="99"/>
    <w:rPr>
      <w:rFonts w:cs="Times New Roman"/>
      <w:b/>
      <w:bCs/>
      <w:sz w:val="28"/>
      <w:szCs w:val="28"/>
    </w:rPr>
  </w:style>
  <w:style w:type="character" w:customStyle="1" w:styleId="65">
    <w:name w:val="文档结构图 Char"/>
    <w:link w:val="15"/>
    <w:semiHidden/>
    <w:qFormat/>
    <w:locked/>
    <w:uiPriority w:val="99"/>
    <w:rPr>
      <w:rFonts w:cs="Times New Roman"/>
      <w:sz w:val="2"/>
    </w:rPr>
  </w:style>
  <w:style w:type="character" w:customStyle="1" w:styleId="66">
    <w:name w:val="样式3 字符"/>
    <w:link w:val="67"/>
    <w:qFormat/>
    <w:locked/>
    <w:uiPriority w:val="99"/>
    <w:rPr>
      <w:rFonts w:cs="Times New Roman"/>
      <w:b/>
      <w:bCs/>
      <w:sz w:val="28"/>
      <w:szCs w:val="28"/>
    </w:rPr>
  </w:style>
  <w:style w:type="paragraph" w:customStyle="1" w:styleId="67">
    <w:name w:val="样式3"/>
    <w:basedOn w:val="7"/>
    <w:link w:val="66"/>
    <w:qFormat/>
    <w:uiPriority w:val="99"/>
    <w:pPr>
      <w:numPr>
        <w:ilvl w:val="0"/>
        <w:numId w:val="0"/>
      </w:numPr>
    </w:pPr>
    <w:rPr>
      <w:sz w:val="28"/>
      <w:szCs w:val="28"/>
    </w:rPr>
  </w:style>
  <w:style w:type="character" w:customStyle="1" w:styleId="68">
    <w:name w:val="标题 Char"/>
    <w:link w:val="29"/>
    <w:qFormat/>
    <w:locked/>
    <w:uiPriority w:val="99"/>
    <w:rPr>
      <w:rFonts w:ascii="Cambria" w:hAnsi="Cambria" w:eastAsia="宋体" w:cs="Times New Roman"/>
      <w:b/>
      <w:bCs/>
      <w:sz w:val="32"/>
      <w:szCs w:val="32"/>
    </w:rPr>
  </w:style>
  <w:style w:type="character" w:customStyle="1" w:styleId="69">
    <w:name w:val="标题 4 Char"/>
    <w:link w:val="8"/>
    <w:qFormat/>
    <w:locked/>
    <w:uiPriority w:val="99"/>
    <w:rPr>
      <w:rFonts w:ascii="Cambria" w:hAnsi="Cambria" w:eastAsia="宋体" w:cs="Times New Roman"/>
      <w:b/>
      <w:bCs/>
      <w:sz w:val="28"/>
      <w:szCs w:val="28"/>
    </w:rPr>
  </w:style>
  <w:style w:type="character" w:customStyle="1" w:styleId="70">
    <w:name w:val="列出段落 字符"/>
    <w:link w:val="71"/>
    <w:qFormat/>
    <w:locked/>
    <w:uiPriority w:val="99"/>
  </w:style>
  <w:style w:type="paragraph" w:customStyle="1" w:styleId="71">
    <w:name w:val="列出段落1"/>
    <w:basedOn w:val="1"/>
    <w:link w:val="70"/>
    <w:qFormat/>
    <w:uiPriority w:val="99"/>
    <w:pPr>
      <w:ind w:firstLine="420" w:firstLineChars="200"/>
    </w:pPr>
  </w:style>
  <w:style w:type="character" w:customStyle="1" w:styleId="72">
    <w:name w:val="标题 7 Char"/>
    <w:link w:val="11"/>
    <w:semiHidden/>
    <w:qFormat/>
    <w:locked/>
    <w:uiPriority w:val="99"/>
    <w:rPr>
      <w:rFonts w:cs="Times New Roman"/>
      <w:b/>
      <w:bCs/>
      <w:sz w:val="24"/>
      <w:szCs w:val="24"/>
    </w:rPr>
  </w:style>
  <w:style w:type="character" w:customStyle="1" w:styleId="73">
    <w:name w:val="fontstyle01"/>
    <w:qFormat/>
    <w:uiPriority w:val="99"/>
    <w:rPr>
      <w:rFonts w:ascii="FZZZHONGJW--GB1-0" w:hAnsi="FZZZHONGJW--GB1-0" w:cs="Times New Roman"/>
      <w:color w:val="2097CD"/>
      <w:sz w:val="36"/>
      <w:szCs w:val="36"/>
    </w:rPr>
  </w:style>
  <w:style w:type="character" w:customStyle="1" w:styleId="74">
    <w:name w:val="日期 Char"/>
    <w:link w:val="21"/>
    <w:qFormat/>
    <w:locked/>
    <w:uiPriority w:val="99"/>
    <w:rPr>
      <w:rFonts w:cs="Times New Roman"/>
      <w:kern w:val="2"/>
      <w:sz w:val="24"/>
    </w:rPr>
  </w:style>
  <w:style w:type="character" w:customStyle="1" w:styleId="75">
    <w:name w:val="标题 9 Char"/>
    <w:link w:val="13"/>
    <w:semiHidden/>
    <w:qFormat/>
    <w:locked/>
    <w:uiPriority w:val="99"/>
    <w:rPr>
      <w:rFonts w:ascii="Cambria" w:hAnsi="Cambria" w:eastAsia="宋体" w:cs="Times New Roman"/>
      <w:sz w:val="21"/>
      <w:szCs w:val="21"/>
    </w:rPr>
  </w:style>
  <w:style w:type="character" w:customStyle="1" w:styleId="76">
    <w:name w:val="正文文本 2 Char"/>
    <w:link w:val="27"/>
    <w:semiHidden/>
    <w:qFormat/>
    <w:locked/>
    <w:uiPriority w:val="99"/>
    <w:rPr>
      <w:rFonts w:ascii="Calibri" w:hAnsi="Calibri" w:cs="Times New Roman"/>
    </w:rPr>
  </w:style>
  <w:style w:type="character" w:customStyle="1" w:styleId="77">
    <w:name w:val="批注主题 Char"/>
    <w:link w:val="30"/>
    <w:qFormat/>
    <w:locked/>
    <w:uiPriority w:val="99"/>
    <w:rPr>
      <w:rFonts w:cs="Times New Roman"/>
      <w:b/>
      <w:kern w:val="2"/>
      <w:sz w:val="24"/>
    </w:rPr>
  </w:style>
  <w:style w:type="character" w:customStyle="1" w:styleId="78">
    <w:name w:val="apple-converted-space"/>
    <w:qFormat/>
    <w:uiPriority w:val="99"/>
    <w:rPr>
      <w:rFonts w:cs="Times New Roman"/>
    </w:rPr>
  </w:style>
  <w:style w:type="character" w:customStyle="1" w:styleId="79">
    <w:name w:val="text-241"/>
    <w:qFormat/>
    <w:uiPriority w:val="99"/>
    <w:rPr>
      <w:rFonts w:ascii="??" w:hAnsi="??"/>
      <w:sz w:val="18"/>
    </w:rPr>
  </w:style>
  <w:style w:type="paragraph" w:customStyle="1" w:styleId="80">
    <w:name w:val="样式 标题 2 + 宋体 五号 非加粗 黑色"/>
    <w:basedOn w:val="5"/>
    <w:qFormat/>
    <w:uiPriority w:val="99"/>
    <w:rPr>
      <w:rFonts w:ascii="宋体" w:hAnsi="宋体"/>
      <w:b w:val="0"/>
      <w:color w:val="000000"/>
      <w:sz w:val="21"/>
    </w:rPr>
  </w:style>
  <w:style w:type="paragraph" w:customStyle="1" w:styleId="8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82">
    <w:name w:val="正文表标题"/>
    <w:next w:val="83"/>
    <w:qFormat/>
    <w:uiPriority w:val="0"/>
    <w:pPr>
      <w:tabs>
        <w:tab w:val="left" w:pos="360"/>
      </w:tabs>
      <w:jc w:val="center"/>
    </w:pPr>
    <w:rPr>
      <w:rFonts w:ascii="黑体" w:hAnsi="Times New Roman" w:eastAsia="黑体" w:cs="Times New Roman"/>
      <w:sz w:val="21"/>
      <w:szCs w:val="22"/>
      <w:lang w:val="en-US" w:eastAsia="zh-CN" w:bidi="ar-SA"/>
    </w:rPr>
  </w:style>
  <w:style w:type="paragraph" w:customStyle="1" w:styleId="83">
    <w:name w:val="段"/>
    <w:qFormat/>
    <w:uiPriority w:val="0"/>
    <w:pPr>
      <w:autoSpaceDE w:val="0"/>
      <w:autoSpaceDN w:val="0"/>
      <w:ind w:firstLine="200" w:firstLineChars="200"/>
      <w:jc w:val="both"/>
    </w:pPr>
    <w:rPr>
      <w:rFonts w:ascii="宋体" w:hAnsi="Calibri" w:eastAsia="宋体" w:cs="Times New Roman"/>
      <w:sz w:val="21"/>
      <w:szCs w:val="22"/>
      <w:lang w:val="en-US" w:eastAsia="zh-CN" w:bidi="ar-SA"/>
    </w:rPr>
  </w:style>
  <w:style w:type="paragraph" w:customStyle="1" w:styleId="84">
    <w:name w:val="CP Bullet Level 1"/>
    <w:basedOn w:val="1"/>
    <w:qFormat/>
    <w:uiPriority w:val="99"/>
    <w:pPr>
      <w:widowControl/>
      <w:tabs>
        <w:tab w:val="left" w:pos="840"/>
        <w:tab w:val="left" w:pos="1508"/>
      </w:tabs>
      <w:spacing w:before="120"/>
      <w:ind w:left="840" w:hanging="420"/>
      <w:jc w:val="left"/>
    </w:pPr>
    <w:rPr>
      <w:kern w:val="0"/>
      <w:sz w:val="24"/>
      <w:szCs w:val="20"/>
      <w:lang w:val="en-GB" w:eastAsia="en-US"/>
    </w:rPr>
  </w:style>
  <w:style w:type="paragraph" w:customStyle="1" w:styleId="85">
    <w:name w:val="样式9 Char"/>
    <w:basedOn w:val="1"/>
    <w:qFormat/>
    <w:uiPriority w:val="0"/>
    <w:pPr>
      <w:widowControl/>
      <w:spacing w:line="440" w:lineRule="exact"/>
      <w:ind w:firstLine="200" w:firstLineChars="200"/>
      <w:jc w:val="left"/>
    </w:pPr>
    <w:rPr>
      <w:spacing w:val="6"/>
      <w:kern w:val="0"/>
      <w:sz w:val="20"/>
      <w:szCs w:val="20"/>
    </w:rPr>
  </w:style>
  <w:style w:type="paragraph" w:customStyle="1" w:styleId="86">
    <w:name w:val="msonormalcxspmiddle"/>
    <w:basedOn w:val="1"/>
    <w:qFormat/>
    <w:uiPriority w:val="99"/>
    <w:pPr>
      <w:widowControl/>
      <w:spacing w:before="100" w:beforeAutospacing="1" w:after="100" w:afterAutospacing="1"/>
      <w:jc w:val="left"/>
    </w:pPr>
    <w:rPr>
      <w:rFonts w:ascii="宋体" w:hAnsi="宋体" w:cs="宋体"/>
      <w:kern w:val="0"/>
      <w:sz w:val="24"/>
    </w:rPr>
  </w:style>
  <w:style w:type="paragraph" w:customStyle="1" w:styleId="87">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88">
    <w:name w:val="列出段落5"/>
    <w:basedOn w:val="1"/>
    <w:qFormat/>
    <w:uiPriority w:val="99"/>
    <w:pPr>
      <w:ind w:firstLine="420" w:firstLineChars="200"/>
    </w:pPr>
    <w:rPr>
      <w:rFonts w:ascii="Times New Roman" w:hAnsi="Times New Roman"/>
      <w:szCs w:val="21"/>
    </w:rPr>
  </w:style>
  <w:style w:type="paragraph" w:customStyle="1" w:styleId="89">
    <w:name w:val="正文加粗"/>
    <w:basedOn w:val="1"/>
    <w:next w:val="1"/>
    <w:qFormat/>
    <w:uiPriority w:val="99"/>
    <w:pPr>
      <w:spacing w:line="360" w:lineRule="auto"/>
      <w:jc w:val="left"/>
    </w:pPr>
    <w:rPr>
      <w:rFonts w:eastAsia="黑体"/>
      <w:sz w:val="24"/>
      <w:szCs w:val="21"/>
    </w:rPr>
  </w:style>
  <w:style w:type="paragraph" w:customStyle="1" w:styleId="90">
    <w:name w:val="列出段落4"/>
    <w:basedOn w:val="1"/>
    <w:qFormat/>
    <w:uiPriority w:val="99"/>
    <w:pPr>
      <w:ind w:firstLine="420" w:firstLineChars="200"/>
    </w:pPr>
    <w:rPr>
      <w:rFonts w:ascii="Times New Roman" w:hAnsi="Times New Roman"/>
      <w:szCs w:val="21"/>
    </w:rPr>
  </w:style>
  <w:style w:type="paragraph" w:customStyle="1" w:styleId="91">
    <w:name w:val="_Style 87"/>
    <w:basedOn w:val="1"/>
    <w:next w:val="1"/>
    <w:qFormat/>
    <w:uiPriority w:val="0"/>
    <w:pPr>
      <w:pBdr>
        <w:top w:val="single" w:color="auto" w:sz="6" w:space="1"/>
      </w:pBdr>
      <w:jc w:val="center"/>
    </w:pPr>
    <w:rPr>
      <w:rFonts w:ascii="Arial"/>
      <w:vanish/>
      <w:sz w:val="16"/>
    </w:rPr>
  </w:style>
  <w:style w:type="paragraph" w:customStyle="1" w:styleId="92">
    <w:name w:val="列出段落11"/>
    <w:basedOn w:val="1"/>
    <w:qFormat/>
    <w:uiPriority w:val="99"/>
    <w:pPr>
      <w:ind w:firstLine="420" w:firstLineChars="200"/>
    </w:pPr>
  </w:style>
  <w:style w:type="paragraph" w:customStyle="1" w:styleId="93">
    <w:name w:val="TOC 标题1"/>
    <w:basedOn w:val="4"/>
    <w:next w:val="1"/>
    <w:unhideWhenUsed/>
    <w:qFormat/>
    <w:uiPriority w:val="39"/>
    <w:pPr>
      <w:widowControl/>
      <w:spacing w:before="240" w:after="0" w:line="259" w:lineRule="auto"/>
      <w:jc w:val="left"/>
      <w:outlineLvl w:val="9"/>
    </w:pPr>
    <w:rPr>
      <w:rFonts w:ascii="Cambria" w:hAnsi="Cambria"/>
      <w:b w:val="0"/>
      <w:bCs w:val="0"/>
      <w:color w:val="366091"/>
      <w:kern w:val="0"/>
      <w:sz w:val="32"/>
      <w:szCs w:val="32"/>
    </w:rPr>
  </w:style>
  <w:style w:type="paragraph" w:customStyle="1" w:styleId="94">
    <w:name w:val="Default"/>
    <w:qFormat/>
    <w:uiPriority w:val="99"/>
    <w:pPr>
      <w:widowControl w:val="0"/>
      <w:autoSpaceDE w:val="0"/>
      <w:autoSpaceDN w:val="0"/>
      <w:adjustRightInd w:val="0"/>
    </w:pPr>
    <w:rPr>
      <w:rFonts w:ascii="宋体" w:hAnsi="Calibri" w:eastAsia="宋体" w:cs="宋体"/>
      <w:color w:val="000000"/>
      <w:kern w:val="2"/>
      <w:sz w:val="24"/>
      <w:szCs w:val="24"/>
      <w:lang w:val="en-US" w:eastAsia="zh-CN" w:bidi="ar-SA"/>
    </w:rPr>
  </w:style>
  <w:style w:type="paragraph" w:customStyle="1" w:styleId="95">
    <w:name w:val="xl26"/>
    <w:basedOn w:val="1"/>
    <w:qFormat/>
    <w:uiPriority w:val="99"/>
    <w:pPr>
      <w:widowControl/>
      <w:suppressAutoHyphens/>
      <w:textAlignment w:val="center"/>
    </w:pPr>
    <w:rPr>
      <w:rFonts w:ascii="楷体_GB2312" w:hAnsi="楷体_GB2312" w:eastAsia="楷体_GB2312"/>
      <w:b/>
      <w:bCs/>
      <w:kern w:val="1"/>
      <w:sz w:val="32"/>
      <w:lang w:eastAsia="ar-SA"/>
    </w:rPr>
  </w:style>
  <w:style w:type="paragraph" w:customStyle="1" w:styleId="96">
    <w:name w:val="Char Char Char Char Char Char"/>
    <w:basedOn w:val="1"/>
    <w:qFormat/>
    <w:uiPriority w:val="99"/>
    <w:pPr>
      <w:adjustRightInd w:val="0"/>
      <w:spacing w:line="360" w:lineRule="auto"/>
    </w:pPr>
    <w:rPr>
      <w:kern w:val="0"/>
      <w:sz w:val="24"/>
      <w:szCs w:val="20"/>
    </w:rPr>
  </w:style>
  <w:style w:type="paragraph" w:customStyle="1" w:styleId="97">
    <w:name w:val="列出段落2"/>
    <w:basedOn w:val="1"/>
    <w:qFormat/>
    <w:uiPriority w:val="99"/>
    <w:pPr>
      <w:ind w:firstLine="420" w:firstLineChars="200"/>
    </w:pPr>
    <w:rPr>
      <w:rFonts w:ascii="Times New Roman" w:hAnsi="Times New Roman"/>
      <w:szCs w:val="21"/>
    </w:rPr>
  </w:style>
  <w:style w:type="paragraph" w:customStyle="1" w:styleId="98">
    <w:name w:val="正文—段落"/>
    <w:basedOn w:val="1"/>
    <w:qFormat/>
    <w:uiPriority w:val="99"/>
    <w:pPr>
      <w:spacing w:line="360" w:lineRule="auto"/>
      <w:ind w:firstLine="200" w:firstLineChars="200"/>
    </w:pPr>
    <w:rPr>
      <w:rFonts w:ascii="Times New Roman" w:hAnsi="Times New Roman"/>
      <w:sz w:val="24"/>
      <w:szCs w:val="24"/>
    </w:rPr>
  </w:style>
  <w:style w:type="paragraph" w:customStyle="1" w:styleId="99">
    <w:name w:val="Char Char Char Char Char Char1"/>
    <w:basedOn w:val="1"/>
    <w:qFormat/>
    <w:uiPriority w:val="99"/>
    <w:pPr>
      <w:adjustRightInd w:val="0"/>
      <w:spacing w:line="360" w:lineRule="auto"/>
    </w:pPr>
    <w:rPr>
      <w:rFonts w:ascii="Times New Roman" w:hAnsi="Times New Roman"/>
      <w:kern w:val="0"/>
      <w:sz w:val="24"/>
      <w:szCs w:val="20"/>
    </w:rPr>
  </w:style>
  <w:style w:type="paragraph" w:customStyle="1" w:styleId="100">
    <w:name w:val="二级条标题"/>
    <w:basedOn w:val="1"/>
    <w:next w:val="1"/>
    <w:qFormat/>
    <w:uiPriority w:val="0"/>
    <w:pPr>
      <w:widowControl/>
      <w:numPr>
        <w:ilvl w:val="3"/>
        <w:numId w:val="2"/>
      </w:numPr>
      <w:tabs>
        <w:tab w:val="left" w:pos="360"/>
        <w:tab w:val="left" w:pos="1080"/>
      </w:tabs>
      <w:ind w:hanging="1080"/>
      <w:outlineLvl w:val="3"/>
    </w:pPr>
    <w:rPr>
      <w:rFonts w:ascii="黑体" w:eastAsia="黑体"/>
      <w:kern w:val="0"/>
      <w:sz w:val="20"/>
      <w:szCs w:val="20"/>
    </w:rPr>
  </w:style>
  <w:style w:type="paragraph" w:customStyle="1" w:styleId="101">
    <w:name w:val="样式 正文首行缩进 2 + 首行缩进:  2 字符"/>
    <w:basedOn w:val="1"/>
    <w:qFormat/>
    <w:uiPriority w:val="99"/>
    <w:pPr>
      <w:numPr>
        <w:ilvl w:val="0"/>
        <w:numId w:val="3"/>
      </w:numPr>
      <w:tabs>
        <w:tab w:val="left" w:pos="987"/>
        <w:tab w:val="clear" w:pos="360"/>
      </w:tabs>
      <w:adjustRightInd w:val="0"/>
      <w:snapToGrid w:val="0"/>
      <w:spacing w:line="360" w:lineRule="auto"/>
    </w:pPr>
    <w:rPr>
      <w:rFonts w:ascii="Arial" w:hAnsi="Arial"/>
      <w:b/>
      <w:bCs/>
      <w:sz w:val="24"/>
      <w:szCs w:val="24"/>
    </w:rPr>
  </w:style>
  <w:style w:type="paragraph" w:customStyle="1" w:styleId="102">
    <w:name w:val="正文 New New New"/>
    <w:qFormat/>
    <w:uiPriority w:val="99"/>
    <w:pPr>
      <w:widowControl w:val="0"/>
      <w:jc w:val="both"/>
    </w:pPr>
    <w:rPr>
      <w:rFonts w:ascii="Calibri" w:hAnsi="Calibri" w:eastAsia="宋体" w:cs="Times New Roman"/>
      <w:kern w:val="2"/>
      <w:sz w:val="21"/>
      <w:szCs w:val="22"/>
      <w:lang w:val="en-US" w:eastAsia="zh-CN" w:bidi="ar-SA"/>
    </w:rPr>
  </w:style>
  <w:style w:type="paragraph" w:customStyle="1" w:styleId="103">
    <w:name w:val="标题 3 （加黑）"/>
    <w:basedOn w:val="7"/>
    <w:qFormat/>
    <w:uiPriority w:val="99"/>
    <w:pPr>
      <w:keepNext w:val="0"/>
      <w:spacing w:before="120" w:after="120" w:line="415" w:lineRule="auto"/>
      <w:ind w:left="354" w:hanging="354" w:hangingChars="150"/>
    </w:pPr>
    <w:rPr>
      <w:sz w:val="24"/>
    </w:rPr>
  </w:style>
  <w:style w:type="paragraph" w:customStyle="1" w:styleId="104">
    <w:name w:val="样式29"/>
    <w:basedOn w:val="85"/>
    <w:qFormat/>
    <w:uiPriority w:val="0"/>
    <w:rPr>
      <w:rFonts w:eastAsia="楷体_GB2312"/>
    </w:rPr>
  </w:style>
  <w:style w:type="paragraph" w:customStyle="1" w:styleId="105">
    <w:name w:val="列出段落3"/>
    <w:basedOn w:val="1"/>
    <w:qFormat/>
    <w:uiPriority w:val="99"/>
    <w:pPr>
      <w:ind w:firstLine="420" w:firstLineChars="200"/>
    </w:pPr>
  </w:style>
  <w:style w:type="paragraph" w:customStyle="1" w:styleId="106">
    <w:name w:val="列出段落6"/>
    <w:basedOn w:val="1"/>
    <w:qFormat/>
    <w:uiPriority w:val="0"/>
    <w:pPr>
      <w:ind w:firstLine="420" w:firstLineChars="200"/>
    </w:pPr>
  </w:style>
  <w:style w:type="paragraph" w:customStyle="1" w:styleId="107">
    <w:name w:val="样式 标题 3h3H3sect1.2.3 + 五号 段前: 6 磅 段后: 6 磅 行距: 单倍行距"/>
    <w:basedOn w:val="7"/>
    <w:qFormat/>
    <w:uiPriority w:val="99"/>
    <w:pPr>
      <w:spacing w:line="240" w:lineRule="auto"/>
    </w:pPr>
    <w:rPr>
      <w:rFonts w:ascii="??_GB2312" w:eastAsia="Times New Roman"/>
      <w:bCs w:val="0"/>
      <w:sz w:val="21"/>
    </w:rPr>
  </w:style>
  <w:style w:type="paragraph" w:customStyle="1" w:styleId="108">
    <w:name w:val="样式 标题 1 + 四号 居中 段前: 12 磅 段后: 12 磅 行距: 单倍行距"/>
    <w:basedOn w:val="4"/>
    <w:qFormat/>
    <w:uiPriority w:val="99"/>
    <w:pPr>
      <w:spacing w:before="240" w:after="240" w:line="240" w:lineRule="auto"/>
      <w:ind w:left="792" w:firstLine="288"/>
      <w:jc w:val="center"/>
    </w:pPr>
    <w:rPr>
      <w:rFonts w:ascii="仿宋_GB2312" w:eastAsia="仿宋_GB2312" w:cs="仿宋_GB2312"/>
      <w:sz w:val="28"/>
      <w:szCs w:val="28"/>
    </w:rPr>
  </w:style>
  <w:style w:type="paragraph" w:customStyle="1" w:styleId="109">
    <w:name w:val="Char Char Char Char Char Char2"/>
    <w:basedOn w:val="1"/>
    <w:qFormat/>
    <w:uiPriority w:val="99"/>
    <w:pPr>
      <w:adjustRightInd w:val="0"/>
      <w:spacing w:line="360" w:lineRule="auto"/>
    </w:pPr>
    <w:rPr>
      <w:rFonts w:ascii="Times New Roman" w:hAnsi="Times New Roman"/>
      <w:kern w:val="0"/>
      <w:sz w:val="24"/>
      <w:szCs w:val="20"/>
    </w:rPr>
  </w:style>
  <w:style w:type="paragraph" w:customStyle="1" w:styleId="110">
    <w:name w:val="_Style 86"/>
    <w:basedOn w:val="1"/>
    <w:next w:val="1"/>
    <w:qFormat/>
    <w:uiPriority w:val="0"/>
    <w:pPr>
      <w:pBdr>
        <w:bottom w:val="single" w:color="auto" w:sz="6" w:space="1"/>
      </w:pBdr>
      <w:jc w:val="center"/>
    </w:pPr>
    <w:rPr>
      <w:rFonts w:ascii="Arial"/>
      <w:vanish/>
      <w:sz w:val="16"/>
    </w:rPr>
  </w:style>
  <w:style w:type="character" w:customStyle="1" w:styleId="111">
    <w:name w:val="font11"/>
    <w:basedOn w:val="34"/>
    <w:qFormat/>
    <w:uiPriority w:val="0"/>
    <w:rPr>
      <w:rFonts w:hint="eastAsia" w:ascii="宋体" w:hAnsi="宋体" w:eastAsia="宋体" w:cs="宋体"/>
      <w:color w:val="000000"/>
      <w:sz w:val="20"/>
      <w:szCs w:val="20"/>
      <w:u w:val="none"/>
    </w:rPr>
  </w:style>
  <w:style w:type="character" w:customStyle="1" w:styleId="112">
    <w:name w:val="font31"/>
    <w:basedOn w:val="34"/>
    <w:qFormat/>
    <w:uiPriority w:val="0"/>
    <w:rPr>
      <w:rFonts w:hint="eastAsia" w:ascii="新宋体" w:hAnsi="新宋体" w:eastAsia="新宋体" w:cs="新宋体"/>
      <w:color w:val="333333"/>
      <w:sz w:val="24"/>
      <w:szCs w:val="24"/>
      <w:u w:val="none"/>
    </w:rPr>
  </w:style>
  <w:style w:type="character" w:customStyle="1" w:styleId="113">
    <w:name w:val="font21"/>
    <w:basedOn w:val="34"/>
    <w:qFormat/>
    <w:uiPriority w:val="0"/>
    <w:rPr>
      <w:rFonts w:ascii="Verdana" w:hAnsi="Verdana" w:cs="Verdana"/>
      <w:color w:val="333333"/>
      <w:sz w:val="28"/>
      <w:szCs w:val="28"/>
      <w:u w:val="none"/>
    </w:rPr>
  </w:style>
  <w:style w:type="character" w:customStyle="1" w:styleId="114">
    <w:name w:val="font01"/>
    <w:basedOn w:val="34"/>
    <w:qFormat/>
    <w:uiPriority w:val="0"/>
    <w:rPr>
      <w:rFonts w:hint="eastAsia" w:ascii="新宋体" w:hAnsi="新宋体" w:eastAsia="新宋体" w:cs="新宋体"/>
      <w:color w:val="FF0000"/>
      <w:sz w:val="24"/>
      <w:szCs w:val="24"/>
      <w:u w:val="none"/>
    </w:rPr>
  </w:style>
  <w:style w:type="character" w:customStyle="1" w:styleId="115">
    <w:name w:val="font41"/>
    <w:basedOn w:val="34"/>
    <w:qFormat/>
    <w:uiPriority w:val="0"/>
    <w:rPr>
      <w:rFonts w:hint="eastAsia" w:ascii="新宋体" w:hAnsi="新宋体" w:eastAsia="新宋体" w:cs="新宋体"/>
      <w:color w:val="333333"/>
      <w:sz w:val="24"/>
      <w:szCs w:val="24"/>
      <w:u w:val="none"/>
    </w:rPr>
  </w:style>
  <w:style w:type="character" w:customStyle="1" w:styleId="116">
    <w:name w:val="NormalCharacter"/>
    <w:semiHidden/>
    <w:qFormat/>
    <w:uiPriority w:val="0"/>
  </w:style>
  <w:style w:type="paragraph" w:customStyle="1" w:styleId="117">
    <w:name w:val="BodyText"/>
    <w:basedOn w:val="1"/>
    <w:next w:val="1"/>
    <w:qFormat/>
    <w:uiPriority w:val="0"/>
    <w:pPr>
      <w:tabs>
        <w:tab w:val="left" w:pos="567"/>
      </w:tabs>
      <w:spacing w:before="120" w:line="240" w:lineRule="atLeast"/>
      <w:jc w:val="both"/>
    </w:pPr>
    <w:rPr>
      <w:rFonts w:ascii="宋体" w:hAnsi="宋体"/>
      <w:sz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14DCB57-A3AE-4C31-9AB6-D04E5D52EED8}">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55</Pages>
  <Words>5577</Words>
  <Characters>31790</Characters>
  <Lines>264</Lines>
  <Paragraphs>74</Paragraphs>
  <TotalTime>88</TotalTime>
  <ScaleCrop>false</ScaleCrop>
  <LinksUpToDate>false</LinksUpToDate>
  <CharactersWithSpaces>37293</CharactersWithSpaces>
  <Application>WPS Office_11.1.0.9739_F1E327BC-269C-435d-A152-05C5408002CA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2018-11-22T07:32:00Z</dcterms:created>
  <dc:creator>匿名用户</dc:creator>
  <cp:lastModifiedBy>NTKO</cp:lastModifiedBy>
  <cp:lastPrinted>2019-07-12T02:36:00Z</cp:lastPrinted>
  <dcterms:modified xsi:type="dcterms:W3CDTF">2020-07-21T09:01:52Z</dcterms:modified>
  <dc:title>一、项目介绍和总体要求</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2052-11.1.0.9739</vt:lpwstr>
  </property>
</Properties>
</file>