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60"/>
        <w:rPr>
          <w:rFonts w:hint="eastAsia" w:ascii="宋体" w:hAnsi="宋体"/>
          <w:bCs/>
          <w:kern w:val="0"/>
          <w:sz w:val="28"/>
          <w:szCs w:val="28"/>
        </w:rPr>
      </w:pPr>
    </w:p>
    <w:p>
      <w:pPr>
        <w:jc w:val="center"/>
        <w:rPr>
          <w:rFonts w:hint="eastAsia" w:ascii="黑体" w:hAnsi="黑体" w:eastAsia="黑体" w:cs="黑体"/>
          <w:b/>
          <w:sz w:val="48"/>
          <w:szCs w:val="48"/>
        </w:rPr>
      </w:pPr>
      <w:r>
        <w:rPr>
          <w:rFonts w:hint="eastAsia" w:ascii="黑体" w:hAnsi="黑体" w:eastAsia="黑体" w:cs="黑体"/>
          <w:b/>
          <w:sz w:val="48"/>
          <w:szCs w:val="48"/>
          <w:lang w:eastAsia="zh-CN"/>
        </w:rPr>
        <w:t>河南工业职业技术</w:t>
      </w:r>
      <w:r>
        <w:rPr>
          <w:rFonts w:hint="eastAsia" w:ascii="黑体" w:hAnsi="黑体" w:eastAsia="黑体" w:cs="黑体"/>
          <w:b/>
          <w:sz w:val="48"/>
          <w:szCs w:val="48"/>
        </w:rPr>
        <w:t>学</w:t>
      </w:r>
      <w:r>
        <w:rPr>
          <w:rFonts w:hint="eastAsia" w:ascii="黑体" w:hAnsi="黑体" w:eastAsia="黑体" w:cs="黑体"/>
          <w:b/>
          <w:sz w:val="48"/>
          <w:szCs w:val="48"/>
          <w:lang w:eastAsia="zh-CN"/>
        </w:rPr>
        <w:t>院</w:t>
      </w:r>
    </w:p>
    <w:p>
      <w:pPr>
        <w:jc w:val="center"/>
        <w:rPr>
          <w:rFonts w:hint="eastAsia" w:ascii="黑体" w:hAnsi="黑体" w:eastAsia="黑体" w:cs="黑体"/>
          <w:b/>
          <w:sz w:val="48"/>
          <w:szCs w:val="48"/>
          <w:lang w:eastAsia="zh-CN"/>
        </w:rPr>
      </w:pPr>
      <w:r>
        <w:rPr>
          <w:rFonts w:hint="eastAsia" w:ascii="黑体" w:hAnsi="黑体" w:eastAsia="黑体" w:cs="黑体"/>
          <w:b/>
          <w:color w:val="000000"/>
          <w:sz w:val="48"/>
          <w:szCs w:val="48"/>
          <w:lang w:bidi="ar"/>
        </w:rPr>
        <w:t>语言实训中心改扩建项目</w:t>
      </w:r>
      <w:r>
        <w:rPr>
          <w:rFonts w:hint="eastAsia" w:ascii="黑体" w:hAnsi="黑体" w:eastAsia="黑体" w:cs="黑体"/>
          <w:b/>
          <w:color w:val="000000"/>
          <w:sz w:val="48"/>
          <w:szCs w:val="48"/>
          <w:lang w:eastAsia="zh-CN" w:bidi="ar"/>
        </w:rPr>
        <w:t>（二次）</w:t>
      </w:r>
    </w:p>
    <w:p>
      <w:pPr>
        <w:jc w:val="center"/>
        <w:rPr>
          <w:rFonts w:hint="eastAsia" w:ascii="宋体" w:hAnsi="宋体"/>
          <w:b/>
          <w:bCs/>
          <w:kern w:val="0"/>
          <w:sz w:val="48"/>
          <w:szCs w:val="48"/>
        </w:rPr>
      </w:pPr>
    </w:p>
    <w:p>
      <w:pPr>
        <w:rPr>
          <w:rFonts w:hint="eastAsia" w:ascii="宋体" w:hAnsi="宋体"/>
          <w:bCs/>
          <w:kern w:val="0"/>
          <w:sz w:val="52"/>
          <w:szCs w:val="52"/>
        </w:rPr>
      </w:pPr>
    </w:p>
    <w:p>
      <w:pPr>
        <w:rPr>
          <w:rFonts w:hint="eastAsia" w:ascii="宋体" w:hAnsi="宋体"/>
          <w:bCs/>
          <w:kern w:val="0"/>
          <w:sz w:val="52"/>
          <w:szCs w:val="52"/>
        </w:rPr>
      </w:pPr>
    </w:p>
    <w:p>
      <w:pPr>
        <w:pStyle w:val="36"/>
        <w:rPr>
          <w:rFonts w:hint="eastAsia"/>
        </w:rPr>
      </w:pPr>
    </w:p>
    <w:p>
      <w:pPr>
        <w:rPr>
          <w:rFonts w:hint="eastAsia" w:ascii="宋体" w:hAnsi="宋体"/>
          <w:bCs/>
          <w:kern w:val="0"/>
          <w:sz w:val="52"/>
          <w:szCs w:val="52"/>
        </w:rPr>
      </w:pPr>
    </w:p>
    <w:p>
      <w:pPr>
        <w:jc w:val="center"/>
        <w:rPr>
          <w:rFonts w:hint="eastAsia" w:ascii="宋体" w:hAnsi="宋体"/>
          <w:b/>
          <w:sz w:val="84"/>
          <w:szCs w:val="84"/>
        </w:rPr>
      </w:pPr>
      <w:r>
        <w:rPr>
          <w:rFonts w:hint="eastAsia" w:ascii="宋体" w:hAnsi="宋体"/>
          <w:b/>
          <w:sz w:val="84"/>
          <w:szCs w:val="84"/>
        </w:rPr>
        <w:t>竞争性磋商文件</w:t>
      </w:r>
    </w:p>
    <w:p>
      <w:pPr>
        <w:bidi w:val="0"/>
        <w:rPr>
          <w:rFonts w:hint="eastAsia"/>
        </w:rPr>
      </w:pPr>
    </w:p>
    <w:p>
      <w:pPr>
        <w:jc w:val="center"/>
        <w:rPr>
          <w:rFonts w:hint="eastAsia" w:ascii="宋体" w:hAnsi="宋体"/>
          <w:b/>
          <w:sz w:val="36"/>
        </w:rPr>
      </w:pPr>
    </w:p>
    <w:p>
      <w:pPr>
        <w:rPr>
          <w:rFonts w:hint="eastAsia" w:ascii="宋体" w:hAnsi="宋体"/>
          <w:b/>
          <w:sz w:val="36"/>
        </w:rPr>
      </w:pPr>
    </w:p>
    <w:p>
      <w:pPr>
        <w:pStyle w:val="36"/>
        <w:ind w:left="0" w:leftChars="0" w:firstLine="0" w:firstLineChars="0"/>
        <w:jc w:val="center"/>
        <w:rPr>
          <w:rFonts w:hint="eastAsia"/>
        </w:rPr>
      </w:pPr>
      <w:r>
        <w:rPr>
          <w:rFonts w:ascii="黑体" w:eastAsia="黑体"/>
          <w:bCs/>
          <w:color w:val="auto"/>
          <w:kern w:val="0"/>
          <w:sz w:val="44"/>
          <w:szCs w:val="44"/>
        </w:rPr>
        <w:drawing>
          <wp:inline distT="0" distB="0" distL="114300" distR="114300">
            <wp:extent cx="2268220" cy="1417320"/>
            <wp:effectExtent l="0" t="0" r="17780" b="11430"/>
            <wp:docPr id="5" name="图片 1"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公司徽标"/>
                    <pic:cNvPicPr>
                      <a:picLocks noChangeAspect="1"/>
                    </pic:cNvPicPr>
                  </pic:nvPicPr>
                  <pic:blipFill>
                    <a:blip r:embed="rId8"/>
                    <a:srcRect l="12865" t="22536" r="9943"/>
                    <a:stretch>
                      <a:fillRect/>
                    </a:stretch>
                  </pic:blipFill>
                  <pic:spPr>
                    <a:xfrm>
                      <a:off x="0" y="0"/>
                      <a:ext cx="2268220" cy="1417320"/>
                    </a:xfrm>
                    <a:prstGeom prst="rect">
                      <a:avLst/>
                    </a:prstGeom>
                    <a:noFill/>
                    <a:ln>
                      <a:noFill/>
                    </a:ln>
                  </pic:spPr>
                </pic:pic>
              </a:graphicData>
            </a:graphic>
          </wp:inline>
        </w:drawing>
      </w: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pStyle w:val="43"/>
        <w:shd w:val="clear" w:color="auto" w:fill="FFFFFF"/>
        <w:snapToGrid w:val="0"/>
        <w:spacing w:before="0" w:beforeAutospacing="0" w:after="0" w:afterAutospacing="0" w:line="500" w:lineRule="exact"/>
        <w:ind w:firstLine="1606" w:firstLineChars="500"/>
        <w:rPr>
          <w:rFonts w:hint="eastAsia" w:ascii="宋体" w:hAnsi="宋体" w:eastAsia="宋体" w:cs="宋体"/>
          <w:b/>
          <w:bCs/>
          <w:color w:val="auto"/>
          <w:sz w:val="32"/>
          <w:szCs w:val="32"/>
        </w:rPr>
      </w:pPr>
      <w:r>
        <w:rPr>
          <w:rFonts w:hint="eastAsia" w:ascii="宋体" w:hAnsi="宋体" w:eastAsia="宋体" w:cs="宋体"/>
          <w:b/>
          <w:color w:val="auto"/>
          <w:sz w:val="32"/>
          <w:szCs w:val="32"/>
          <w:lang w:eastAsia="zh-CN"/>
        </w:rPr>
        <w:t>采</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eastAsia="zh-CN"/>
        </w:rPr>
        <w:t>购</w:t>
      </w:r>
      <w:r>
        <w:rPr>
          <w:rFonts w:hint="eastAsia" w:ascii="宋体" w:hAnsi="宋体" w:eastAsia="宋体" w:cs="宋体"/>
          <w:b/>
          <w:color w:val="auto"/>
          <w:sz w:val="32"/>
          <w:szCs w:val="32"/>
        </w:rPr>
        <w:t xml:space="preserve">   人：河南工业职业技术学院    </w:t>
      </w:r>
    </w:p>
    <w:p>
      <w:pPr>
        <w:snapToGrid w:val="0"/>
        <w:spacing w:line="500" w:lineRule="exact"/>
        <w:ind w:right="105" w:rightChars="50" w:firstLine="1606" w:firstLineChars="500"/>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招标代理机构：河南招标采购服务有限公司         </w:t>
      </w:r>
    </w:p>
    <w:p>
      <w:pPr>
        <w:spacing w:line="500" w:lineRule="exact"/>
        <w:ind w:firstLine="1606" w:firstLineChars="500"/>
        <w:rPr>
          <w:rFonts w:hint="eastAsia" w:ascii="宋体" w:hAnsi="宋体" w:eastAsia="宋体" w:cs="宋体"/>
        </w:rPr>
      </w:pPr>
      <w:r>
        <w:rPr>
          <w:rFonts w:hint="eastAsia" w:ascii="宋体" w:hAnsi="宋体" w:eastAsia="宋体" w:cs="宋体"/>
          <w:b/>
          <w:color w:val="auto"/>
          <w:sz w:val="32"/>
          <w:szCs w:val="32"/>
        </w:rPr>
        <w:t>日        期：20</w:t>
      </w:r>
      <w:r>
        <w:rPr>
          <w:rFonts w:hint="eastAsia" w:ascii="宋体" w:hAnsi="宋体" w:eastAsia="宋体" w:cs="宋体"/>
          <w:b/>
          <w:color w:val="auto"/>
          <w:sz w:val="32"/>
          <w:szCs w:val="32"/>
          <w:lang w:val="en-US" w:eastAsia="zh-CN"/>
        </w:rPr>
        <w:t>20</w:t>
      </w:r>
      <w:r>
        <w:rPr>
          <w:rFonts w:hint="eastAsia" w:ascii="宋体" w:hAnsi="宋体" w:eastAsia="宋体" w:cs="宋体"/>
          <w:b/>
          <w:color w:val="auto"/>
          <w:sz w:val="32"/>
          <w:szCs w:val="32"/>
        </w:rPr>
        <w:t xml:space="preserve"> 年</w:t>
      </w:r>
      <w:r>
        <w:rPr>
          <w:rFonts w:hint="eastAsia" w:ascii="宋体" w:hAnsi="宋体" w:eastAsia="宋体" w:cs="宋体"/>
          <w:b/>
          <w:color w:val="auto"/>
          <w:sz w:val="32"/>
          <w:szCs w:val="32"/>
          <w:lang w:val="en-US" w:eastAsia="zh-CN"/>
        </w:rPr>
        <w:t>0</w:t>
      </w:r>
      <w:r>
        <w:rPr>
          <w:rFonts w:hint="eastAsia" w:ascii="宋体" w:hAnsi="宋体" w:cs="宋体"/>
          <w:b/>
          <w:color w:val="auto"/>
          <w:sz w:val="32"/>
          <w:szCs w:val="32"/>
          <w:lang w:val="en-US" w:eastAsia="zh-CN"/>
        </w:rPr>
        <w:t>8</w:t>
      </w:r>
      <w:r>
        <w:rPr>
          <w:rFonts w:hint="eastAsia" w:ascii="宋体" w:hAnsi="宋体" w:eastAsia="宋体" w:cs="宋体"/>
          <w:b/>
          <w:color w:val="auto"/>
          <w:sz w:val="32"/>
          <w:szCs w:val="32"/>
        </w:rPr>
        <w:t>月</w:t>
      </w:r>
    </w:p>
    <w:p>
      <w:pPr>
        <w:jc w:val="center"/>
        <w:rPr>
          <w:rFonts w:hint="eastAsia" w:ascii="宋体" w:hAnsi="宋体"/>
          <w:b/>
          <w:sz w:val="28"/>
          <w:szCs w:val="28"/>
        </w:rPr>
      </w:pPr>
      <w:r>
        <w:rPr>
          <w:rFonts w:hint="eastAsia" w:ascii="宋体" w:hAnsi="宋体"/>
          <w:b/>
          <w:sz w:val="28"/>
          <w:szCs w:val="28"/>
        </w:rPr>
        <w:t>目  录</w:t>
      </w:r>
    </w:p>
    <w:p>
      <w:pPr>
        <w:pStyle w:val="16"/>
        <w:rPr>
          <w:rFonts w:hint="eastAsia" w:ascii="宋体" w:eastAsia="宋体"/>
          <w:b w:val="0"/>
        </w:rPr>
      </w:pPr>
      <w:r>
        <w:rPr>
          <w:rFonts w:hint="eastAsia" w:ascii="宋体" w:eastAsia="宋体"/>
          <w:b w:val="0"/>
        </w:rPr>
        <w:fldChar w:fldCharType="begin"/>
      </w:r>
      <w:r>
        <w:rPr>
          <w:rFonts w:hint="eastAsia" w:ascii="宋体" w:eastAsia="宋体"/>
          <w:b w:val="0"/>
        </w:rPr>
        <w:instrText xml:space="preserve"> TOC \o "1-2" \h \z \u </w:instrText>
      </w:r>
      <w:r>
        <w:rPr>
          <w:rFonts w:hint="eastAsia" w:ascii="宋体" w:eastAsia="宋体"/>
          <w:b w:val="0"/>
        </w:rPr>
        <w:fldChar w:fldCharType="separate"/>
      </w:r>
    </w:p>
    <w:p>
      <w:pPr>
        <w:adjustRightInd w:val="0"/>
        <w:snapToGrid w:val="0"/>
        <w:spacing w:line="360" w:lineRule="auto"/>
        <w:jc w:val="center"/>
      </w:pPr>
      <w:r>
        <w:rPr>
          <w:rFonts w:hint="eastAsia" w:ascii="宋体" w:hAnsi="宋体"/>
          <w:sz w:val="28"/>
          <w:szCs w:val="28"/>
        </w:rPr>
        <w:fldChar w:fldCharType="end"/>
      </w:r>
    </w:p>
    <w:sdt>
      <w:sdtPr>
        <w:rPr>
          <w:rFonts w:ascii="宋体" w:hAnsi="宋体" w:eastAsia="宋体" w:cs="Times New Roman"/>
          <w:kern w:val="2"/>
          <w:sz w:val="21"/>
          <w:szCs w:val="24"/>
          <w:lang w:val="en-US" w:eastAsia="zh-CN" w:bidi="ar-SA"/>
        </w:rPr>
        <w:id w:val="147474518"/>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pPr>
            <w:adjustRightInd w:val="0"/>
            <w:snapToGrid w:val="0"/>
            <w:spacing w:line="360" w:lineRule="auto"/>
            <w:jc w:val="center"/>
          </w:pPr>
        </w:p>
        <w:p>
          <w:pPr>
            <w:pStyle w:val="40"/>
            <w:keepNext w:val="0"/>
            <w:keepLines w:val="0"/>
            <w:pageBreakBefore w:val="0"/>
            <w:tabs>
              <w:tab w:val="right" w:leader="dot" w:pos="8787"/>
            </w:tabs>
            <w:kinsoku/>
            <w:wordWrap/>
            <w:overflowPunct/>
            <w:topLinePunct w:val="0"/>
            <w:autoSpaceDE/>
            <w:autoSpaceDN/>
            <w:bidi w:val="0"/>
            <w:adjustRightInd/>
            <w:snapToGrid/>
            <w:spacing w:line="360" w:lineRule="auto"/>
            <w:rPr>
              <w:b/>
              <w:sz w:val="24"/>
              <w:szCs w:val="24"/>
            </w:rPr>
          </w:pPr>
          <w:r>
            <w:rPr>
              <w:rFonts w:hint="eastAsia"/>
              <w:sz w:val="24"/>
              <w:szCs w:val="24"/>
            </w:rPr>
            <w:fldChar w:fldCharType="begin"/>
          </w:r>
          <w:r>
            <w:rPr>
              <w:rFonts w:hint="eastAsia"/>
              <w:sz w:val="24"/>
              <w:szCs w:val="24"/>
            </w:rPr>
            <w:instrText xml:space="preserve">TOC \o "1-2" \h \u </w:instrText>
          </w:r>
          <w:r>
            <w:rPr>
              <w:rFonts w:hint="eastAsia"/>
              <w:sz w:val="24"/>
              <w:szCs w:val="24"/>
            </w:rPr>
            <w:fldChar w:fldCharType="separate"/>
          </w:r>
          <w:r>
            <w:rPr>
              <w:rFonts w:hint="eastAsia"/>
              <w:b/>
              <w:sz w:val="24"/>
              <w:szCs w:val="24"/>
            </w:rPr>
            <w:fldChar w:fldCharType="begin"/>
          </w:r>
          <w:r>
            <w:rPr>
              <w:rFonts w:hint="eastAsia"/>
              <w:b/>
              <w:sz w:val="24"/>
              <w:szCs w:val="24"/>
            </w:rPr>
            <w:instrText xml:space="preserve"> HYPERLINK \l _Toc145 </w:instrText>
          </w:r>
          <w:r>
            <w:rPr>
              <w:rFonts w:hint="eastAsia"/>
              <w:b/>
              <w:sz w:val="24"/>
              <w:szCs w:val="24"/>
            </w:rPr>
            <w:fldChar w:fldCharType="separate"/>
          </w:r>
          <w:r>
            <w:rPr>
              <w:rFonts w:hint="eastAsia" w:ascii="宋体" w:hAnsi="宋体" w:cs="宋体"/>
              <w:b/>
              <w:sz w:val="24"/>
              <w:szCs w:val="24"/>
            </w:rPr>
            <w:t>特 别 提 示</w:t>
          </w:r>
          <w:r>
            <w:rPr>
              <w:b/>
              <w:sz w:val="24"/>
              <w:szCs w:val="24"/>
            </w:rPr>
            <w:tab/>
          </w:r>
          <w:r>
            <w:rPr>
              <w:rFonts w:hint="eastAsia"/>
              <w:b/>
              <w:sz w:val="24"/>
              <w:szCs w:val="24"/>
              <w:lang w:val="en-US" w:eastAsia="zh-CN"/>
            </w:rPr>
            <w:t>3</w:t>
          </w:r>
          <w:r>
            <w:rPr>
              <w:rFonts w:hint="eastAsia"/>
              <w:b/>
              <w:sz w:val="24"/>
              <w:szCs w:val="24"/>
            </w:rPr>
            <w:fldChar w:fldCharType="end"/>
          </w:r>
        </w:p>
        <w:p>
          <w:pPr>
            <w:pStyle w:val="40"/>
            <w:keepNext w:val="0"/>
            <w:keepLines w:val="0"/>
            <w:pageBreakBefore w:val="0"/>
            <w:tabs>
              <w:tab w:val="right" w:leader="dot" w:pos="8787"/>
            </w:tabs>
            <w:kinsoku/>
            <w:wordWrap/>
            <w:overflowPunct/>
            <w:topLinePunct w:val="0"/>
            <w:autoSpaceDE/>
            <w:autoSpaceDN/>
            <w:bidi w:val="0"/>
            <w:adjustRightInd/>
            <w:snapToGrid/>
            <w:spacing w:line="360" w:lineRule="auto"/>
            <w:rPr>
              <w:rFonts w:hint="eastAsia"/>
              <w:b/>
              <w:sz w:val="24"/>
              <w:szCs w:val="24"/>
            </w:rPr>
          </w:pPr>
          <w:r>
            <w:rPr>
              <w:rFonts w:hint="eastAsia"/>
              <w:b/>
              <w:sz w:val="24"/>
              <w:szCs w:val="24"/>
            </w:rPr>
            <w:fldChar w:fldCharType="begin"/>
          </w:r>
          <w:r>
            <w:rPr>
              <w:rFonts w:hint="eastAsia"/>
              <w:b/>
              <w:sz w:val="24"/>
              <w:szCs w:val="24"/>
            </w:rPr>
            <w:instrText xml:space="preserve"> HYPERLINK \l _Toc23061 </w:instrText>
          </w:r>
          <w:r>
            <w:rPr>
              <w:rFonts w:hint="eastAsia"/>
              <w:b/>
              <w:sz w:val="24"/>
              <w:szCs w:val="24"/>
            </w:rPr>
            <w:fldChar w:fldCharType="separate"/>
          </w:r>
          <w:r>
            <w:rPr>
              <w:rFonts w:hint="eastAsia" w:ascii="宋体" w:hAnsi="宋体" w:eastAsia="宋体"/>
              <w:b/>
              <w:bCs/>
              <w:sz w:val="24"/>
              <w:szCs w:val="24"/>
            </w:rPr>
            <w:t>第一部分 竞争性磋商公告</w:t>
          </w:r>
          <w:r>
            <w:rPr>
              <w:b/>
              <w:sz w:val="24"/>
              <w:szCs w:val="24"/>
            </w:rPr>
            <w:tab/>
          </w:r>
          <w:r>
            <w:rPr>
              <w:rFonts w:hint="eastAsia"/>
              <w:b/>
              <w:sz w:val="24"/>
              <w:szCs w:val="24"/>
              <w:lang w:val="en-US" w:eastAsia="zh-CN"/>
            </w:rPr>
            <w:t>5</w:t>
          </w:r>
          <w:r>
            <w:rPr>
              <w:rFonts w:hint="eastAsia"/>
              <w:b/>
              <w:sz w:val="24"/>
              <w:szCs w:val="24"/>
            </w:rPr>
            <w:fldChar w:fldCharType="end"/>
          </w:r>
        </w:p>
        <w:p>
          <w:pPr>
            <w:pStyle w:val="40"/>
            <w:keepNext w:val="0"/>
            <w:keepLines w:val="0"/>
            <w:pageBreakBefore w:val="0"/>
            <w:tabs>
              <w:tab w:val="right" w:leader="dot" w:pos="8787"/>
            </w:tabs>
            <w:kinsoku/>
            <w:wordWrap/>
            <w:overflowPunct/>
            <w:topLinePunct w:val="0"/>
            <w:autoSpaceDE/>
            <w:autoSpaceDN/>
            <w:bidi w:val="0"/>
            <w:adjustRightInd/>
            <w:snapToGrid/>
            <w:spacing w:line="360" w:lineRule="auto"/>
            <w:rPr>
              <w:rFonts w:hint="default" w:eastAsia="宋体"/>
              <w:b/>
              <w:sz w:val="24"/>
              <w:szCs w:val="24"/>
              <w:lang w:val="en-US" w:eastAsia="zh-CN"/>
            </w:rPr>
          </w:pPr>
          <w:r>
            <w:rPr>
              <w:rFonts w:hint="eastAsia" w:ascii="宋体" w:hAnsi="宋体" w:eastAsia="宋体"/>
              <w:b/>
              <w:bCs/>
              <w:sz w:val="24"/>
              <w:szCs w:val="24"/>
            </w:rPr>
            <w:t>第</w:t>
          </w:r>
          <w:r>
            <w:rPr>
              <w:rFonts w:hint="eastAsia" w:ascii="宋体" w:hAnsi="宋体" w:eastAsia="宋体"/>
              <w:b/>
              <w:bCs/>
              <w:sz w:val="24"/>
              <w:szCs w:val="24"/>
              <w:lang w:eastAsia="zh-CN"/>
            </w:rPr>
            <w:t>二</w:t>
          </w:r>
          <w:r>
            <w:rPr>
              <w:rFonts w:hint="eastAsia" w:ascii="宋体" w:hAnsi="宋体" w:eastAsia="宋体"/>
              <w:b/>
              <w:bCs/>
              <w:sz w:val="24"/>
              <w:szCs w:val="24"/>
            </w:rPr>
            <w:t>部分 竞争性磋商</w:t>
          </w:r>
          <w:r>
            <w:rPr>
              <w:rFonts w:hint="eastAsia" w:ascii="宋体" w:hAnsi="宋体" w:eastAsia="宋体"/>
              <w:b/>
              <w:bCs/>
              <w:sz w:val="24"/>
              <w:szCs w:val="24"/>
              <w:lang w:eastAsia="zh-CN"/>
            </w:rPr>
            <w:t>须知</w:t>
          </w:r>
          <w:r>
            <w:rPr>
              <w:b/>
              <w:sz w:val="24"/>
              <w:szCs w:val="24"/>
            </w:rPr>
            <w:tab/>
          </w:r>
          <w:r>
            <w:rPr>
              <w:rFonts w:hint="eastAsia"/>
              <w:b/>
              <w:sz w:val="24"/>
              <w:szCs w:val="24"/>
              <w:lang w:val="en-US" w:eastAsia="zh-CN"/>
            </w:rPr>
            <w:t>9</w:t>
          </w:r>
        </w:p>
        <w:p>
          <w:pPr>
            <w:pStyle w:val="40"/>
            <w:keepNext w:val="0"/>
            <w:keepLines w:val="0"/>
            <w:pageBreakBefore w:val="0"/>
            <w:tabs>
              <w:tab w:val="right" w:leader="dot" w:pos="8787"/>
            </w:tabs>
            <w:kinsoku/>
            <w:wordWrap/>
            <w:overflowPunct/>
            <w:topLinePunct w:val="0"/>
            <w:autoSpaceDE/>
            <w:autoSpaceDN/>
            <w:bidi w:val="0"/>
            <w:adjustRightInd/>
            <w:snapToGrid/>
            <w:spacing w:line="360" w:lineRule="auto"/>
            <w:rPr>
              <w:b/>
              <w:sz w:val="24"/>
              <w:szCs w:val="24"/>
            </w:rPr>
          </w:pPr>
          <w:r>
            <w:rPr>
              <w:rFonts w:hint="eastAsia"/>
              <w:b/>
              <w:sz w:val="24"/>
              <w:szCs w:val="24"/>
            </w:rPr>
            <w:fldChar w:fldCharType="begin"/>
          </w:r>
          <w:r>
            <w:rPr>
              <w:rFonts w:hint="eastAsia"/>
              <w:b/>
              <w:sz w:val="24"/>
              <w:szCs w:val="24"/>
            </w:rPr>
            <w:instrText xml:space="preserve"> HYPERLINK \l _Toc4962 </w:instrText>
          </w:r>
          <w:r>
            <w:rPr>
              <w:rFonts w:hint="eastAsia"/>
              <w:b/>
              <w:sz w:val="24"/>
              <w:szCs w:val="24"/>
            </w:rPr>
            <w:fldChar w:fldCharType="separate"/>
          </w:r>
          <w:r>
            <w:rPr>
              <w:rFonts w:hint="eastAsia" w:ascii="宋体" w:hAnsi="宋体" w:eastAsia="宋体"/>
              <w:b/>
              <w:bCs/>
              <w:sz w:val="24"/>
              <w:szCs w:val="24"/>
            </w:rPr>
            <w:t>第三部分 合同条款及格式</w:t>
          </w:r>
          <w:r>
            <w:rPr>
              <w:b/>
              <w:sz w:val="24"/>
              <w:szCs w:val="24"/>
            </w:rPr>
            <w:tab/>
          </w:r>
          <w:r>
            <w:rPr>
              <w:b/>
              <w:sz w:val="24"/>
              <w:szCs w:val="24"/>
            </w:rPr>
            <w:fldChar w:fldCharType="begin"/>
          </w:r>
          <w:r>
            <w:rPr>
              <w:b/>
              <w:sz w:val="24"/>
              <w:szCs w:val="24"/>
            </w:rPr>
            <w:instrText xml:space="preserve"> PAGEREF _Toc4962 </w:instrText>
          </w:r>
          <w:r>
            <w:rPr>
              <w:b/>
              <w:sz w:val="24"/>
              <w:szCs w:val="24"/>
            </w:rPr>
            <w:fldChar w:fldCharType="separate"/>
          </w:r>
          <w:r>
            <w:rPr>
              <w:b/>
              <w:sz w:val="24"/>
              <w:szCs w:val="24"/>
            </w:rPr>
            <w:t>1</w:t>
          </w:r>
          <w:r>
            <w:rPr>
              <w:rFonts w:hint="eastAsia"/>
              <w:b/>
              <w:sz w:val="24"/>
              <w:szCs w:val="24"/>
              <w:lang w:val="en-US" w:eastAsia="zh-CN"/>
            </w:rPr>
            <w:t>6</w:t>
          </w:r>
          <w:r>
            <w:rPr>
              <w:b/>
              <w:sz w:val="24"/>
              <w:szCs w:val="24"/>
            </w:rPr>
            <w:fldChar w:fldCharType="end"/>
          </w:r>
          <w:r>
            <w:rPr>
              <w:rFonts w:hint="eastAsia"/>
              <w:b/>
              <w:sz w:val="24"/>
              <w:szCs w:val="24"/>
            </w:rPr>
            <w:fldChar w:fldCharType="end"/>
          </w:r>
        </w:p>
        <w:p>
          <w:pPr>
            <w:pStyle w:val="40"/>
            <w:keepNext w:val="0"/>
            <w:keepLines w:val="0"/>
            <w:pageBreakBefore w:val="0"/>
            <w:tabs>
              <w:tab w:val="right" w:leader="dot" w:pos="8787"/>
            </w:tabs>
            <w:kinsoku/>
            <w:wordWrap/>
            <w:overflowPunct/>
            <w:topLinePunct w:val="0"/>
            <w:autoSpaceDE/>
            <w:autoSpaceDN/>
            <w:bidi w:val="0"/>
            <w:adjustRightInd/>
            <w:snapToGrid/>
            <w:spacing w:line="360" w:lineRule="auto"/>
            <w:rPr>
              <w:rFonts w:hint="eastAsia" w:eastAsia="宋体"/>
              <w:b/>
              <w:sz w:val="24"/>
              <w:szCs w:val="24"/>
              <w:lang w:val="en-US" w:eastAsia="zh-CN"/>
            </w:rPr>
          </w:pPr>
          <w:r>
            <w:rPr>
              <w:rFonts w:hint="eastAsia"/>
              <w:b/>
              <w:sz w:val="24"/>
              <w:szCs w:val="24"/>
            </w:rPr>
            <w:fldChar w:fldCharType="begin"/>
          </w:r>
          <w:r>
            <w:rPr>
              <w:rFonts w:hint="eastAsia"/>
              <w:b/>
              <w:sz w:val="24"/>
              <w:szCs w:val="24"/>
            </w:rPr>
            <w:instrText xml:space="preserve"> HYPERLINK \l _Toc13945 </w:instrText>
          </w:r>
          <w:r>
            <w:rPr>
              <w:rFonts w:hint="eastAsia"/>
              <w:b/>
              <w:sz w:val="24"/>
              <w:szCs w:val="24"/>
            </w:rPr>
            <w:fldChar w:fldCharType="separate"/>
          </w:r>
          <w:r>
            <w:rPr>
              <w:rFonts w:hint="eastAsia" w:ascii="宋体" w:hAnsi="宋体"/>
              <w:b/>
              <w:sz w:val="24"/>
              <w:szCs w:val="24"/>
            </w:rPr>
            <w:t>第四部分 合同条款资料表</w:t>
          </w:r>
          <w:r>
            <w:rPr>
              <w:b/>
              <w:sz w:val="24"/>
              <w:szCs w:val="24"/>
            </w:rPr>
            <w:tab/>
          </w:r>
          <w:r>
            <w:rPr>
              <w:rFonts w:hint="eastAsia"/>
              <w:b/>
              <w:sz w:val="24"/>
              <w:szCs w:val="24"/>
              <w:lang w:val="en-US" w:eastAsia="zh-CN"/>
            </w:rPr>
            <w:t>1</w:t>
          </w:r>
          <w:r>
            <w:rPr>
              <w:rFonts w:hint="eastAsia"/>
              <w:b/>
              <w:sz w:val="24"/>
              <w:szCs w:val="24"/>
            </w:rPr>
            <w:fldChar w:fldCharType="end"/>
          </w:r>
          <w:r>
            <w:rPr>
              <w:rFonts w:hint="eastAsia"/>
              <w:b/>
              <w:sz w:val="24"/>
              <w:szCs w:val="24"/>
              <w:lang w:val="en-US" w:eastAsia="zh-CN"/>
            </w:rPr>
            <w:t>7</w:t>
          </w:r>
        </w:p>
        <w:p>
          <w:pPr>
            <w:pStyle w:val="40"/>
            <w:keepNext w:val="0"/>
            <w:keepLines w:val="0"/>
            <w:pageBreakBefore w:val="0"/>
            <w:tabs>
              <w:tab w:val="right" w:leader="dot" w:pos="8787"/>
            </w:tabs>
            <w:kinsoku/>
            <w:wordWrap/>
            <w:overflowPunct/>
            <w:topLinePunct w:val="0"/>
            <w:autoSpaceDE/>
            <w:autoSpaceDN/>
            <w:bidi w:val="0"/>
            <w:adjustRightInd/>
            <w:snapToGrid/>
            <w:spacing w:line="360" w:lineRule="auto"/>
            <w:rPr>
              <w:rFonts w:hint="eastAsia" w:eastAsia="宋体"/>
              <w:b/>
              <w:sz w:val="24"/>
              <w:szCs w:val="24"/>
              <w:lang w:val="en-US" w:eastAsia="zh-CN"/>
            </w:rPr>
          </w:pPr>
          <w:r>
            <w:rPr>
              <w:rFonts w:hint="eastAsia"/>
              <w:b/>
              <w:sz w:val="24"/>
              <w:szCs w:val="24"/>
            </w:rPr>
            <w:fldChar w:fldCharType="begin"/>
          </w:r>
          <w:r>
            <w:rPr>
              <w:rFonts w:hint="eastAsia"/>
              <w:b/>
              <w:sz w:val="24"/>
              <w:szCs w:val="24"/>
            </w:rPr>
            <w:instrText xml:space="preserve"> HYPERLINK \l _Toc2772 </w:instrText>
          </w:r>
          <w:r>
            <w:rPr>
              <w:rFonts w:hint="eastAsia"/>
              <w:b/>
              <w:sz w:val="24"/>
              <w:szCs w:val="24"/>
            </w:rPr>
            <w:fldChar w:fldCharType="separate"/>
          </w:r>
          <w:r>
            <w:rPr>
              <w:rFonts w:hint="eastAsia" w:ascii="宋体" w:hAnsi="宋体" w:eastAsia="宋体"/>
              <w:b/>
              <w:sz w:val="24"/>
              <w:szCs w:val="24"/>
            </w:rPr>
            <w:t>第五部分 磋商项目资料表</w:t>
          </w:r>
          <w:r>
            <w:rPr>
              <w:b/>
              <w:sz w:val="24"/>
              <w:szCs w:val="24"/>
            </w:rPr>
            <w:tab/>
          </w:r>
          <w:r>
            <w:rPr>
              <w:rFonts w:hint="eastAsia"/>
              <w:b/>
              <w:sz w:val="24"/>
              <w:szCs w:val="24"/>
              <w:lang w:val="en-US" w:eastAsia="zh-CN"/>
            </w:rPr>
            <w:t>1</w:t>
          </w:r>
          <w:r>
            <w:rPr>
              <w:rFonts w:hint="eastAsia"/>
              <w:b/>
              <w:sz w:val="24"/>
              <w:szCs w:val="24"/>
            </w:rPr>
            <w:fldChar w:fldCharType="end"/>
          </w:r>
          <w:r>
            <w:rPr>
              <w:rFonts w:hint="eastAsia"/>
              <w:b/>
              <w:sz w:val="24"/>
              <w:szCs w:val="24"/>
              <w:lang w:val="en-US" w:eastAsia="zh-CN"/>
            </w:rPr>
            <w:t>8</w:t>
          </w:r>
        </w:p>
        <w:p>
          <w:pPr>
            <w:pStyle w:val="40"/>
            <w:keepNext w:val="0"/>
            <w:keepLines w:val="0"/>
            <w:pageBreakBefore w:val="0"/>
            <w:tabs>
              <w:tab w:val="right" w:leader="dot" w:pos="8787"/>
            </w:tabs>
            <w:kinsoku/>
            <w:wordWrap/>
            <w:overflowPunct/>
            <w:topLinePunct w:val="0"/>
            <w:autoSpaceDE/>
            <w:autoSpaceDN/>
            <w:bidi w:val="0"/>
            <w:adjustRightInd/>
            <w:snapToGrid/>
            <w:spacing w:line="360" w:lineRule="auto"/>
            <w:rPr>
              <w:b/>
              <w:sz w:val="24"/>
              <w:szCs w:val="24"/>
            </w:rPr>
          </w:pPr>
          <w:r>
            <w:rPr>
              <w:rFonts w:hint="eastAsia"/>
              <w:b/>
              <w:sz w:val="24"/>
              <w:szCs w:val="24"/>
            </w:rPr>
            <w:fldChar w:fldCharType="begin"/>
          </w:r>
          <w:r>
            <w:rPr>
              <w:rFonts w:hint="eastAsia"/>
              <w:b/>
              <w:sz w:val="24"/>
              <w:szCs w:val="24"/>
            </w:rPr>
            <w:instrText xml:space="preserve"> HYPERLINK \l _Toc5420 </w:instrText>
          </w:r>
          <w:r>
            <w:rPr>
              <w:rFonts w:hint="eastAsia"/>
              <w:b/>
              <w:sz w:val="24"/>
              <w:szCs w:val="24"/>
            </w:rPr>
            <w:fldChar w:fldCharType="separate"/>
          </w:r>
          <w:r>
            <w:rPr>
              <w:rFonts w:hint="eastAsia" w:ascii="宋体" w:hAnsi="宋体" w:cs="宋体"/>
              <w:b/>
              <w:sz w:val="24"/>
              <w:szCs w:val="24"/>
              <w:lang w:eastAsia="zh-CN"/>
            </w:rPr>
            <w:t>第六部分</w:t>
          </w:r>
          <w:r>
            <w:rPr>
              <w:rFonts w:hint="eastAsia" w:ascii="宋体" w:hAnsi="宋体" w:cs="宋体"/>
              <w:b/>
              <w:sz w:val="24"/>
              <w:szCs w:val="24"/>
              <w:lang w:val="en-US" w:eastAsia="zh-CN"/>
            </w:rPr>
            <w:t xml:space="preserve"> </w:t>
          </w:r>
          <w:r>
            <w:rPr>
              <w:rFonts w:hint="eastAsia" w:ascii="宋体" w:hAnsi="宋体" w:cs="宋体"/>
              <w:b/>
              <w:sz w:val="24"/>
              <w:szCs w:val="24"/>
            </w:rPr>
            <w:t>磋商评审办法</w:t>
          </w:r>
          <w:r>
            <w:rPr>
              <w:b/>
              <w:sz w:val="24"/>
              <w:szCs w:val="24"/>
            </w:rPr>
            <w:tab/>
          </w:r>
          <w:r>
            <w:rPr>
              <w:b/>
              <w:sz w:val="24"/>
              <w:szCs w:val="24"/>
            </w:rPr>
            <w:fldChar w:fldCharType="begin"/>
          </w:r>
          <w:r>
            <w:rPr>
              <w:b/>
              <w:sz w:val="24"/>
              <w:szCs w:val="24"/>
            </w:rPr>
            <w:instrText xml:space="preserve"> PAGEREF _Toc5420 </w:instrText>
          </w:r>
          <w:r>
            <w:rPr>
              <w:b/>
              <w:sz w:val="24"/>
              <w:szCs w:val="24"/>
            </w:rPr>
            <w:fldChar w:fldCharType="separate"/>
          </w:r>
          <w:r>
            <w:rPr>
              <w:b/>
              <w:sz w:val="24"/>
              <w:szCs w:val="24"/>
            </w:rPr>
            <w:t>2</w:t>
          </w:r>
          <w:r>
            <w:rPr>
              <w:rFonts w:hint="eastAsia"/>
              <w:b/>
              <w:sz w:val="24"/>
              <w:szCs w:val="24"/>
              <w:lang w:val="en-US" w:eastAsia="zh-CN"/>
            </w:rPr>
            <w:t>2</w:t>
          </w:r>
          <w:r>
            <w:rPr>
              <w:b/>
              <w:sz w:val="24"/>
              <w:szCs w:val="24"/>
            </w:rPr>
            <w:fldChar w:fldCharType="end"/>
          </w:r>
          <w:r>
            <w:rPr>
              <w:rFonts w:hint="eastAsia"/>
              <w:b/>
              <w:sz w:val="24"/>
              <w:szCs w:val="24"/>
            </w:rPr>
            <w:fldChar w:fldCharType="end"/>
          </w:r>
        </w:p>
        <w:p>
          <w:pPr>
            <w:pStyle w:val="40"/>
            <w:keepNext w:val="0"/>
            <w:keepLines w:val="0"/>
            <w:pageBreakBefore w:val="0"/>
            <w:tabs>
              <w:tab w:val="right" w:leader="dot" w:pos="8787"/>
            </w:tabs>
            <w:kinsoku/>
            <w:wordWrap/>
            <w:overflowPunct/>
            <w:topLinePunct w:val="0"/>
            <w:autoSpaceDE/>
            <w:autoSpaceDN/>
            <w:bidi w:val="0"/>
            <w:adjustRightInd/>
            <w:snapToGrid/>
            <w:spacing w:line="360" w:lineRule="auto"/>
            <w:rPr>
              <w:rFonts w:hint="eastAsia" w:eastAsia="宋体"/>
              <w:b/>
              <w:sz w:val="24"/>
              <w:szCs w:val="24"/>
              <w:lang w:val="en-US" w:eastAsia="zh-CN"/>
            </w:rPr>
          </w:pPr>
          <w:r>
            <w:rPr>
              <w:rFonts w:hint="eastAsia"/>
              <w:b/>
              <w:sz w:val="24"/>
              <w:szCs w:val="24"/>
            </w:rPr>
            <w:fldChar w:fldCharType="begin"/>
          </w:r>
          <w:r>
            <w:rPr>
              <w:rFonts w:hint="eastAsia"/>
              <w:b/>
              <w:sz w:val="24"/>
              <w:szCs w:val="24"/>
            </w:rPr>
            <w:instrText xml:space="preserve"> HYPERLINK \l _Toc17180 </w:instrText>
          </w:r>
          <w:r>
            <w:rPr>
              <w:rFonts w:hint="eastAsia"/>
              <w:b/>
              <w:sz w:val="24"/>
              <w:szCs w:val="24"/>
            </w:rPr>
            <w:fldChar w:fldCharType="separate"/>
          </w:r>
          <w:r>
            <w:rPr>
              <w:rFonts w:hint="eastAsia" w:ascii="宋体" w:hAnsi="宋体" w:eastAsia="宋体"/>
              <w:b/>
              <w:sz w:val="24"/>
              <w:szCs w:val="24"/>
            </w:rPr>
            <w:t>第</w:t>
          </w:r>
          <w:r>
            <w:rPr>
              <w:rFonts w:hint="eastAsia" w:ascii="宋体" w:hAnsi="宋体" w:eastAsia="宋体"/>
              <w:b/>
              <w:sz w:val="24"/>
              <w:szCs w:val="24"/>
              <w:lang w:eastAsia="zh-CN"/>
            </w:rPr>
            <w:t>七</w:t>
          </w:r>
          <w:r>
            <w:rPr>
              <w:rFonts w:hint="eastAsia" w:ascii="宋体" w:hAnsi="宋体" w:eastAsia="宋体"/>
              <w:b/>
              <w:sz w:val="24"/>
              <w:szCs w:val="24"/>
            </w:rPr>
            <w:t xml:space="preserve">部分 </w:t>
          </w:r>
          <w:r>
            <w:rPr>
              <w:rFonts w:hint="eastAsia" w:ascii="宋体" w:hAnsi="宋体"/>
              <w:b/>
              <w:sz w:val="24"/>
              <w:szCs w:val="24"/>
              <w:lang w:eastAsia="zh-CN"/>
            </w:rPr>
            <w:t>采购需求及</w:t>
          </w:r>
          <w:r>
            <w:rPr>
              <w:rFonts w:hint="eastAsia" w:ascii="宋体" w:hAnsi="宋体" w:eastAsia="宋体"/>
              <w:b/>
              <w:sz w:val="24"/>
              <w:szCs w:val="24"/>
            </w:rPr>
            <w:t>要求</w:t>
          </w:r>
          <w:r>
            <w:rPr>
              <w:b/>
              <w:sz w:val="24"/>
              <w:szCs w:val="24"/>
            </w:rPr>
            <w:tab/>
          </w:r>
          <w:r>
            <w:rPr>
              <w:rFonts w:hint="eastAsia"/>
              <w:b/>
              <w:sz w:val="24"/>
              <w:szCs w:val="24"/>
              <w:lang w:val="en-US" w:eastAsia="zh-CN"/>
            </w:rPr>
            <w:t>2</w:t>
          </w:r>
          <w:r>
            <w:rPr>
              <w:rFonts w:hint="eastAsia"/>
              <w:b/>
              <w:sz w:val="24"/>
              <w:szCs w:val="24"/>
            </w:rPr>
            <w:fldChar w:fldCharType="end"/>
          </w:r>
          <w:r>
            <w:rPr>
              <w:rFonts w:hint="eastAsia"/>
              <w:b/>
              <w:sz w:val="24"/>
              <w:szCs w:val="24"/>
              <w:lang w:val="en-US" w:eastAsia="zh-CN"/>
            </w:rPr>
            <w:t>8</w:t>
          </w:r>
        </w:p>
        <w:p>
          <w:pPr>
            <w:pStyle w:val="40"/>
            <w:keepNext w:val="0"/>
            <w:keepLines w:val="0"/>
            <w:pageBreakBefore w:val="0"/>
            <w:tabs>
              <w:tab w:val="right" w:leader="dot" w:pos="8787"/>
            </w:tabs>
            <w:kinsoku/>
            <w:wordWrap/>
            <w:overflowPunct/>
            <w:topLinePunct w:val="0"/>
            <w:autoSpaceDE/>
            <w:autoSpaceDN/>
            <w:bidi w:val="0"/>
            <w:adjustRightInd/>
            <w:snapToGrid/>
            <w:spacing w:line="360" w:lineRule="auto"/>
            <w:rPr>
              <w:b/>
              <w:sz w:val="24"/>
              <w:szCs w:val="24"/>
            </w:rPr>
          </w:pPr>
          <w:r>
            <w:rPr>
              <w:rFonts w:hint="eastAsia"/>
              <w:b/>
              <w:sz w:val="24"/>
              <w:szCs w:val="24"/>
            </w:rPr>
            <w:fldChar w:fldCharType="begin"/>
          </w:r>
          <w:r>
            <w:rPr>
              <w:rFonts w:hint="eastAsia"/>
              <w:b/>
              <w:sz w:val="24"/>
              <w:szCs w:val="24"/>
            </w:rPr>
            <w:instrText xml:space="preserve"> HYPERLINK \l _Toc3696 </w:instrText>
          </w:r>
          <w:r>
            <w:rPr>
              <w:rFonts w:hint="eastAsia"/>
              <w:b/>
              <w:sz w:val="24"/>
              <w:szCs w:val="24"/>
            </w:rPr>
            <w:fldChar w:fldCharType="separate"/>
          </w:r>
          <w:r>
            <w:rPr>
              <w:rFonts w:hint="eastAsia" w:ascii="宋体" w:hAnsi="宋体" w:eastAsia="宋体"/>
              <w:b/>
              <w:sz w:val="24"/>
              <w:szCs w:val="24"/>
            </w:rPr>
            <w:t>第</w:t>
          </w:r>
          <w:r>
            <w:rPr>
              <w:rFonts w:hint="eastAsia" w:ascii="宋体" w:hAnsi="宋体" w:eastAsia="宋体"/>
              <w:b/>
              <w:sz w:val="24"/>
              <w:szCs w:val="24"/>
              <w:lang w:eastAsia="zh-CN"/>
            </w:rPr>
            <w:t>八</w:t>
          </w:r>
          <w:r>
            <w:rPr>
              <w:rFonts w:hint="eastAsia" w:ascii="宋体" w:hAnsi="宋体" w:eastAsia="宋体"/>
              <w:b/>
              <w:sz w:val="24"/>
              <w:szCs w:val="24"/>
            </w:rPr>
            <w:t>部分 磋商响应文件格式及内容</w:t>
          </w:r>
          <w:r>
            <w:rPr>
              <w:b/>
              <w:sz w:val="24"/>
              <w:szCs w:val="24"/>
            </w:rPr>
            <w:tab/>
          </w:r>
          <w:r>
            <w:rPr>
              <w:b/>
              <w:sz w:val="24"/>
              <w:szCs w:val="24"/>
            </w:rPr>
            <w:fldChar w:fldCharType="begin"/>
          </w:r>
          <w:r>
            <w:rPr>
              <w:b/>
              <w:sz w:val="24"/>
              <w:szCs w:val="24"/>
            </w:rPr>
            <w:instrText xml:space="preserve"> PAGEREF _Toc3696 </w:instrText>
          </w:r>
          <w:r>
            <w:rPr>
              <w:b/>
              <w:sz w:val="24"/>
              <w:szCs w:val="24"/>
            </w:rPr>
            <w:fldChar w:fldCharType="separate"/>
          </w:r>
          <w:r>
            <w:rPr>
              <w:b/>
              <w:sz w:val="24"/>
              <w:szCs w:val="24"/>
            </w:rPr>
            <w:t>3</w:t>
          </w:r>
          <w:r>
            <w:rPr>
              <w:rFonts w:hint="eastAsia"/>
              <w:b/>
              <w:sz w:val="24"/>
              <w:szCs w:val="24"/>
              <w:lang w:val="en-US" w:eastAsia="zh-CN"/>
            </w:rPr>
            <w:t>7</w:t>
          </w:r>
          <w:r>
            <w:rPr>
              <w:b/>
              <w:sz w:val="24"/>
              <w:szCs w:val="24"/>
            </w:rPr>
            <w:fldChar w:fldCharType="end"/>
          </w:r>
          <w:r>
            <w:rPr>
              <w:rFonts w:hint="eastAsia"/>
              <w:b/>
              <w:sz w:val="24"/>
              <w:szCs w:val="24"/>
            </w:rPr>
            <w:fldChar w:fldCharType="end"/>
          </w:r>
        </w:p>
        <w:p>
          <w:pPr>
            <w:pStyle w:val="41"/>
            <w:keepNext w:val="0"/>
            <w:keepLines w:val="0"/>
            <w:pageBreakBefore w:val="0"/>
            <w:tabs>
              <w:tab w:val="right" w:leader="dot" w:pos="8787"/>
            </w:tabs>
            <w:kinsoku/>
            <w:wordWrap/>
            <w:overflowPunct/>
            <w:topLinePunct w:val="0"/>
            <w:autoSpaceDE/>
            <w:autoSpaceDN/>
            <w:bidi w:val="0"/>
            <w:adjustRightInd/>
            <w:snapToGrid/>
            <w:spacing w:line="360" w:lineRule="auto"/>
            <w:rPr>
              <w:sz w:val="24"/>
              <w:szCs w:val="24"/>
            </w:rPr>
          </w:pPr>
        </w:p>
        <w:p>
          <w:pPr>
            <w:pStyle w:val="36"/>
            <w:keepNext w:val="0"/>
            <w:keepLines w:val="0"/>
            <w:pageBreakBefore w:val="0"/>
            <w:kinsoku/>
            <w:wordWrap/>
            <w:overflowPunct/>
            <w:topLinePunct w:val="0"/>
            <w:autoSpaceDE/>
            <w:autoSpaceDN/>
            <w:bidi w:val="0"/>
            <w:adjustRightInd/>
            <w:snapToGrid/>
            <w:spacing w:line="360" w:lineRule="auto"/>
            <w:rPr>
              <w:rFonts w:hint="eastAsia"/>
            </w:rPr>
          </w:pPr>
          <w:r>
            <w:rPr>
              <w:rFonts w:hint="eastAsia"/>
              <w:b/>
              <w:sz w:val="24"/>
              <w:szCs w:val="24"/>
            </w:rPr>
            <w:fldChar w:fldCharType="end"/>
          </w:r>
        </w:p>
      </w:sdtContent>
    </w:sdt>
    <w:p>
      <w:pPr>
        <w:pStyle w:val="3"/>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3"/>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3"/>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3"/>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3"/>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3"/>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3"/>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3"/>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3"/>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3"/>
        <w:keepNext w:val="0"/>
        <w:widowControl w:val="0"/>
        <w:tabs>
          <w:tab w:val="left" w:pos="0"/>
          <w:tab w:val="clear" w:pos="432"/>
        </w:tabs>
        <w:spacing w:line="360" w:lineRule="auto"/>
        <w:ind w:left="0" w:firstLine="0"/>
        <w:rPr>
          <w:rFonts w:hint="eastAsia" w:ascii="宋体" w:hAnsi="宋体" w:eastAsia="宋体"/>
          <w:b/>
          <w:bCs/>
          <w:sz w:val="28"/>
          <w:szCs w:val="36"/>
        </w:rPr>
      </w:pPr>
    </w:p>
    <w:p>
      <w:pPr>
        <w:widowControl/>
        <w:jc w:val="center"/>
        <w:outlineLvl w:val="0"/>
        <w:rPr>
          <w:rFonts w:hint="eastAsia" w:ascii="宋体" w:hAnsi="宋体" w:cs="宋体"/>
          <w:b/>
          <w:color w:val="000000"/>
          <w:sz w:val="32"/>
          <w:szCs w:val="32"/>
        </w:rPr>
      </w:pPr>
      <w:bookmarkStart w:id="0" w:name="_Toc18435"/>
      <w:bookmarkStart w:id="1" w:name="_Toc145"/>
    </w:p>
    <w:p>
      <w:pPr>
        <w:widowControl/>
        <w:jc w:val="center"/>
        <w:outlineLvl w:val="0"/>
        <w:rPr>
          <w:rFonts w:hint="eastAsia" w:ascii="宋体" w:hAnsi="宋体" w:cs="宋体"/>
          <w:b/>
          <w:color w:val="000000"/>
          <w:sz w:val="32"/>
          <w:szCs w:val="32"/>
        </w:rPr>
      </w:pPr>
    </w:p>
    <w:p>
      <w:pPr>
        <w:widowControl/>
        <w:jc w:val="center"/>
        <w:outlineLvl w:val="0"/>
        <w:rPr>
          <w:rFonts w:hint="eastAsia" w:ascii="宋体" w:hAnsi="宋体" w:cs="宋体"/>
          <w:b/>
          <w:color w:val="000000"/>
          <w:sz w:val="32"/>
          <w:szCs w:val="32"/>
        </w:rPr>
      </w:pPr>
    </w:p>
    <w:p>
      <w:pPr>
        <w:widowControl/>
        <w:jc w:val="center"/>
        <w:outlineLvl w:val="0"/>
        <w:rPr>
          <w:rFonts w:hint="eastAsia" w:ascii="宋体" w:hAnsi="宋体" w:cs="宋体"/>
          <w:b/>
          <w:color w:val="000000"/>
          <w:sz w:val="32"/>
          <w:szCs w:val="32"/>
        </w:rPr>
      </w:pPr>
    </w:p>
    <w:p>
      <w:pPr>
        <w:widowControl/>
        <w:jc w:val="center"/>
        <w:outlineLvl w:val="0"/>
        <w:rPr>
          <w:rFonts w:hint="eastAsia" w:ascii="宋体" w:hAnsi="宋体" w:cs="宋体"/>
          <w:b/>
          <w:color w:val="000000"/>
          <w:sz w:val="32"/>
          <w:szCs w:val="32"/>
        </w:rPr>
      </w:pPr>
      <w:r>
        <w:rPr>
          <w:rFonts w:hint="eastAsia" w:ascii="宋体" w:hAnsi="宋体" w:cs="宋体"/>
          <w:b/>
          <w:color w:val="000000"/>
          <w:sz w:val="32"/>
          <w:szCs w:val="32"/>
        </w:rPr>
        <w:t>特 别 提 示</w:t>
      </w:r>
      <w:bookmarkEnd w:id="0"/>
      <w:bookmarkEnd w:id="1"/>
    </w:p>
    <w:p>
      <w:pPr>
        <w:spacing w:line="360" w:lineRule="auto"/>
        <w:jc w:val="left"/>
        <w:rPr>
          <w:rFonts w:hint="eastAsia" w:ascii="宋体" w:hAnsi="宋体"/>
          <w:b/>
          <w:sz w:val="24"/>
        </w:rPr>
      </w:pPr>
      <w:r>
        <w:rPr>
          <w:rFonts w:hint="eastAsia" w:ascii="宋体" w:hAnsi="宋体"/>
          <w:b/>
          <w:sz w:val="24"/>
        </w:rPr>
        <w:t>1、</w:t>
      </w:r>
      <w:r>
        <w:rPr>
          <w:rFonts w:hint="eastAsia" w:ascii="宋体" w:hAnsi="宋体"/>
          <w:b/>
          <w:sz w:val="24"/>
          <w:lang w:eastAsia="zh-CN"/>
        </w:rPr>
        <w:t>竞争性磋商</w:t>
      </w:r>
      <w:r>
        <w:rPr>
          <w:rFonts w:hint="eastAsia" w:ascii="宋体" w:hAnsi="宋体"/>
          <w:b/>
          <w:sz w:val="24"/>
        </w:rPr>
        <w:t>供应商注册</w:t>
      </w:r>
    </w:p>
    <w:p>
      <w:pPr>
        <w:spacing w:line="360" w:lineRule="auto"/>
        <w:jc w:val="left"/>
        <w:rPr>
          <w:rFonts w:hint="eastAsia" w:ascii="宋体" w:hAnsi="宋体"/>
          <w:sz w:val="24"/>
        </w:rPr>
      </w:pPr>
      <w:r>
        <w:rPr>
          <w:rFonts w:hint="eastAsia" w:ascii="宋体" w:hAnsi="宋体"/>
          <w:b w:val="0"/>
          <w:bCs/>
          <w:sz w:val="24"/>
          <w:lang w:eastAsia="zh-CN"/>
        </w:rPr>
        <w:t>竞争性磋商</w:t>
      </w:r>
      <w:r>
        <w:rPr>
          <w:rFonts w:hint="eastAsia" w:ascii="宋体" w:hAnsi="宋体"/>
          <w:sz w:val="24"/>
        </w:rPr>
        <w:t>供应商（市场主体）需要完成信息登记及CA数字证书办理，才能通过河南省公共资源交易中心平台参与交易活动，具体办理事宜请查阅《河南省公共资源交易中心》网站“办事指南”专区的《河南省公共资源交易平台市场主体信息库登记指南（工程建设、政府采购）》完成注册。CA数字证书及电子签章由河南省信息化发展有限公司（以下称为CA机构）办理，办理地址：郑州市金水东路与东风南路交叉口卫华大厦18楼，咨询客服电话：0371-96596-0转人工。</w:t>
      </w:r>
    </w:p>
    <w:p>
      <w:pPr>
        <w:spacing w:line="360" w:lineRule="auto"/>
        <w:jc w:val="left"/>
        <w:rPr>
          <w:rFonts w:hint="eastAsia" w:ascii="宋体" w:hAnsi="宋体"/>
          <w:b/>
          <w:sz w:val="24"/>
        </w:rPr>
      </w:pPr>
      <w:r>
        <w:rPr>
          <w:rFonts w:hint="eastAsia" w:ascii="宋体" w:hAnsi="宋体"/>
          <w:b/>
          <w:sz w:val="24"/>
        </w:rPr>
        <w:t>2、竞争性</w:t>
      </w:r>
      <w:r>
        <w:rPr>
          <w:rFonts w:hint="eastAsia" w:ascii="宋体" w:hAnsi="宋体"/>
          <w:b/>
          <w:sz w:val="24"/>
          <w:lang w:eastAsia="zh-CN"/>
        </w:rPr>
        <w:t>磋商</w:t>
      </w:r>
      <w:r>
        <w:rPr>
          <w:rFonts w:hint="eastAsia" w:ascii="宋体" w:hAnsi="宋体"/>
          <w:b/>
          <w:sz w:val="24"/>
        </w:rPr>
        <w:t>响应文件制作</w:t>
      </w:r>
    </w:p>
    <w:p>
      <w:pPr>
        <w:spacing w:line="360" w:lineRule="auto"/>
        <w:jc w:val="left"/>
        <w:rPr>
          <w:rFonts w:hint="eastAsia" w:ascii="宋体" w:hAnsi="宋体"/>
          <w:sz w:val="24"/>
        </w:rPr>
      </w:pPr>
      <w:r>
        <w:rPr>
          <w:rFonts w:hint="eastAsia" w:ascii="宋体" w:hAnsi="宋体"/>
          <w:b/>
          <w:sz w:val="24"/>
        </w:rPr>
        <w:t>2.1、</w:t>
      </w:r>
      <w:r>
        <w:rPr>
          <w:rFonts w:hint="eastAsia" w:ascii="宋体" w:hAnsi="宋体"/>
          <w:b w:val="0"/>
          <w:bCs/>
          <w:sz w:val="24"/>
          <w:lang w:eastAsia="zh-CN"/>
        </w:rPr>
        <w:t>竞争性磋商</w:t>
      </w:r>
      <w:r>
        <w:rPr>
          <w:rFonts w:hint="eastAsia" w:ascii="宋体" w:hAnsi="宋体"/>
          <w:sz w:val="24"/>
        </w:rPr>
        <w:t>供应商凭CA密钥登陆市场主体专区并按“河南省公共资源交易中心（www.hnggzy.com）”网上提示自行下载所需项目包含的格式的竞争性</w:t>
      </w:r>
      <w:r>
        <w:rPr>
          <w:rFonts w:hint="eastAsia" w:ascii="宋体" w:hAnsi="宋体"/>
          <w:sz w:val="24"/>
          <w:lang w:eastAsia="zh-CN"/>
        </w:rPr>
        <w:t>磋商</w:t>
      </w:r>
      <w:r>
        <w:rPr>
          <w:rFonts w:hint="eastAsia" w:ascii="宋体" w:hAnsi="宋体"/>
          <w:sz w:val="24"/>
        </w:rPr>
        <w:t>文件。</w:t>
      </w:r>
    </w:p>
    <w:p>
      <w:pPr>
        <w:spacing w:line="360" w:lineRule="auto"/>
        <w:jc w:val="left"/>
        <w:rPr>
          <w:rFonts w:hint="eastAsia" w:ascii="宋体" w:hAnsi="宋体"/>
          <w:sz w:val="24"/>
        </w:rPr>
      </w:pPr>
      <w:r>
        <w:rPr>
          <w:rFonts w:hint="eastAsia" w:ascii="宋体" w:hAnsi="宋体"/>
          <w:b/>
          <w:sz w:val="24"/>
        </w:rPr>
        <w:t>2.2、</w:t>
      </w:r>
      <w:r>
        <w:rPr>
          <w:rFonts w:hint="eastAsia" w:ascii="宋体" w:hAnsi="宋体"/>
          <w:sz w:val="24"/>
        </w:rPr>
        <w:t>供应商须在响应性文件</w:t>
      </w:r>
      <w:r>
        <w:rPr>
          <w:rFonts w:hint="eastAsia" w:ascii="宋体" w:hAnsi="宋体"/>
          <w:sz w:val="24"/>
          <w:lang w:val="zh-CN"/>
        </w:rPr>
        <w:t>递交</w:t>
      </w:r>
      <w:r>
        <w:rPr>
          <w:rFonts w:ascii="宋体" w:hAnsi="宋体"/>
          <w:sz w:val="24"/>
          <w:lang w:val="zh-CN"/>
        </w:rPr>
        <w:t>截止时间</w:t>
      </w:r>
      <w:r>
        <w:rPr>
          <w:rFonts w:hint="eastAsia" w:ascii="宋体" w:hAnsi="宋体"/>
          <w:sz w:val="24"/>
        </w:rPr>
        <w:t>前制作并提交：加密的电子响应性文件（*.hntf 格式</w:t>
      </w:r>
      <w:r>
        <w:rPr>
          <w:rFonts w:ascii="宋体" w:hAnsi="宋体"/>
          <w:sz w:val="24"/>
        </w:rPr>
        <w:t>）</w:t>
      </w:r>
      <w:r>
        <w:rPr>
          <w:rFonts w:hint="eastAsia" w:ascii="宋体" w:hAnsi="宋体"/>
          <w:sz w:val="24"/>
        </w:rPr>
        <w:t>,应在响应性文件截止时间前通过“河南省公共资源交易中心（</w:t>
      </w:r>
      <w:r>
        <w:rPr>
          <w:rFonts w:hint="eastAsia" w:ascii="宋体" w:hAnsi="宋体"/>
          <w:bCs/>
          <w:iCs/>
          <w:sz w:val="24"/>
        </w:rPr>
        <w:t>www.hnggzy.com</w:t>
      </w:r>
      <w:r>
        <w:rPr>
          <w:rFonts w:hint="eastAsia" w:ascii="宋体" w:hAnsi="宋体"/>
          <w:sz w:val="24"/>
        </w:rPr>
        <w:t>）”电子交易平台内上传；</w:t>
      </w:r>
    </w:p>
    <w:p>
      <w:pPr>
        <w:spacing w:line="360" w:lineRule="auto"/>
        <w:jc w:val="left"/>
        <w:rPr>
          <w:rFonts w:hint="eastAsia" w:ascii="宋体" w:hAnsi="宋体"/>
          <w:sz w:val="24"/>
        </w:rPr>
      </w:pPr>
      <w:r>
        <w:rPr>
          <w:rFonts w:hint="eastAsia" w:ascii="宋体" w:hAnsi="宋体"/>
          <w:b/>
          <w:sz w:val="24"/>
          <w:lang w:val="zh-CN"/>
        </w:rPr>
        <w:t>2.3、</w:t>
      </w:r>
      <w:r>
        <w:rPr>
          <w:rFonts w:hint="eastAsia" w:ascii="宋体" w:hAnsi="宋体"/>
          <w:sz w:val="24"/>
        </w:rPr>
        <w:t>加密的电子响应性文件为“河南省公共资源交易中心（</w:t>
      </w:r>
      <w:r>
        <w:rPr>
          <w:rFonts w:hint="eastAsia" w:ascii="宋体" w:hAnsi="宋体"/>
          <w:bCs/>
          <w:iCs/>
          <w:sz w:val="24"/>
        </w:rPr>
        <w:t>www.hnggzy.com</w:t>
      </w:r>
      <w:r>
        <w:rPr>
          <w:rFonts w:hint="eastAsia" w:ascii="宋体" w:hAnsi="宋体"/>
          <w:sz w:val="24"/>
        </w:rPr>
        <w:t>）” 网站提供的“响应性文件制作工具”软件制作生成的加密版响应性文件。</w:t>
      </w:r>
    </w:p>
    <w:p>
      <w:pPr>
        <w:spacing w:line="360" w:lineRule="auto"/>
        <w:jc w:val="left"/>
        <w:rPr>
          <w:rFonts w:hint="eastAsia" w:ascii="宋体" w:hAnsi="宋体"/>
          <w:sz w:val="24"/>
        </w:rPr>
      </w:pPr>
      <w:r>
        <w:rPr>
          <w:rFonts w:hint="eastAsia" w:ascii="宋体" w:hAnsi="宋体"/>
          <w:b/>
          <w:sz w:val="24"/>
          <w:lang w:val="zh-CN"/>
        </w:rPr>
        <w:t>2.4、</w:t>
      </w:r>
      <w:r>
        <w:rPr>
          <w:rFonts w:hint="eastAsia" w:ascii="宋体" w:hAnsi="宋体"/>
          <w:sz w:val="24"/>
        </w:rPr>
        <w:t>严格按照本项目竞争性</w:t>
      </w:r>
      <w:r>
        <w:rPr>
          <w:rFonts w:hint="eastAsia" w:ascii="宋体" w:hAnsi="宋体"/>
          <w:sz w:val="24"/>
          <w:lang w:eastAsia="zh-CN"/>
        </w:rPr>
        <w:t>磋商</w:t>
      </w:r>
      <w:r>
        <w:rPr>
          <w:rFonts w:hint="eastAsia" w:ascii="宋体" w:hAnsi="宋体"/>
          <w:sz w:val="24"/>
        </w:rPr>
        <w:t>文件所有格式如实填写（不涉及的内容除外），不应存在漏项或缺项，否则将存在竞争性</w:t>
      </w:r>
      <w:r>
        <w:rPr>
          <w:rFonts w:hint="eastAsia" w:ascii="宋体" w:hAnsi="宋体"/>
          <w:sz w:val="24"/>
          <w:lang w:eastAsia="zh-CN"/>
        </w:rPr>
        <w:t>磋商</w:t>
      </w:r>
      <w:r>
        <w:rPr>
          <w:rFonts w:hint="eastAsia" w:ascii="宋体" w:hAnsi="宋体"/>
          <w:sz w:val="24"/>
        </w:rPr>
        <w:t>响应文件被拒绝的风险。</w:t>
      </w:r>
    </w:p>
    <w:p>
      <w:pPr>
        <w:spacing w:line="360" w:lineRule="auto"/>
        <w:jc w:val="left"/>
        <w:rPr>
          <w:rFonts w:hint="eastAsia" w:ascii="宋体" w:hAnsi="宋体"/>
          <w:sz w:val="24"/>
        </w:rPr>
      </w:pPr>
      <w:r>
        <w:rPr>
          <w:rFonts w:hint="eastAsia" w:ascii="宋体" w:hAnsi="宋体"/>
          <w:b/>
          <w:sz w:val="24"/>
        </w:rPr>
        <w:t>2.5、</w:t>
      </w:r>
      <w:r>
        <w:rPr>
          <w:rFonts w:hint="eastAsia" w:ascii="宋体" w:hAnsi="宋体"/>
          <w:sz w:val="24"/>
        </w:rPr>
        <w:t>竞争性</w:t>
      </w:r>
      <w:r>
        <w:rPr>
          <w:rFonts w:hint="eastAsia" w:ascii="宋体" w:hAnsi="宋体"/>
          <w:sz w:val="24"/>
          <w:lang w:eastAsia="zh-CN"/>
        </w:rPr>
        <w:t>磋商</w:t>
      </w:r>
      <w:r>
        <w:rPr>
          <w:rFonts w:hint="eastAsia" w:ascii="宋体" w:hAnsi="宋体"/>
          <w:sz w:val="24"/>
        </w:rPr>
        <w:t>文件格式所要求包含的全部资料应全部制作在竞争性</w:t>
      </w:r>
      <w:r>
        <w:rPr>
          <w:rFonts w:hint="eastAsia" w:ascii="宋体" w:hAnsi="宋体"/>
          <w:sz w:val="24"/>
          <w:lang w:eastAsia="zh-CN"/>
        </w:rPr>
        <w:t>磋商</w:t>
      </w:r>
      <w:r>
        <w:rPr>
          <w:rFonts w:hint="eastAsia" w:ascii="宋体" w:hAnsi="宋体"/>
          <w:sz w:val="24"/>
        </w:rPr>
        <w:t>响应文件内，竞争性</w:t>
      </w:r>
      <w:r>
        <w:rPr>
          <w:rFonts w:hint="eastAsia" w:ascii="宋体" w:hAnsi="宋体"/>
          <w:sz w:val="24"/>
          <w:lang w:eastAsia="zh-CN"/>
        </w:rPr>
        <w:t>磋商</w:t>
      </w:r>
      <w:r>
        <w:rPr>
          <w:rFonts w:hint="eastAsia" w:ascii="宋体" w:hAnsi="宋体"/>
          <w:sz w:val="24"/>
        </w:rPr>
        <w:t>响应文件以外的任何资料采购人和代理机构将拒收。</w:t>
      </w:r>
    </w:p>
    <w:p>
      <w:pPr>
        <w:spacing w:line="360" w:lineRule="auto"/>
        <w:jc w:val="left"/>
        <w:rPr>
          <w:rFonts w:hint="eastAsia" w:ascii="宋体" w:hAnsi="宋体"/>
          <w:sz w:val="24"/>
        </w:rPr>
      </w:pPr>
      <w:r>
        <w:rPr>
          <w:rFonts w:hint="eastAsia" w:ascii="宋体" w:hAnsi="宋体"/>
          <w:sz w:val="24"/>
        </w:rPr>
        <w:t>2.6、供应商编辑电子响应性文件时，根据竞争性</w:t>
      </w:r>
      <w:r>
        <w:rPr>
          <w:rFonts w:hint="eastAsia" w:ascii="宋体" w:hAnsi="宋体"/>
          <w:sz w:val="24"/>
          <w:lang w:eastAsia="zh-CN"/>
        </w:rPr>
        <w:t>磋商</w:t>
      </w:r>
      <w:r>
        <w:rPr>
          <w:rFonts w:hint="eastAsia" w:ascii="宋体" w:hAnsi="宋体"/>
          <w:sz w:val="24"/>
        </w:rPr>
        <w:t>文件要求用法定代表人CA密钥和企业CA密钥进行签章制作；最后一步生成电子响应性文件（*.hntf格式和*.nhntf格式）时，只能用本单位的企业CA密钥。</w:t>
      </w:r>
    </w:p>
    <w:p>
      <w:pPr>
        <w:spacing w:line="360" w:lineRule="auto"/>
        <w:jc w:val="left"/>
        <w:rPr>
          <w:rFonts w:hint="eastAsia" w:ascii="宋体" w:hAnsi="宋体"/>
          <w:b/>
          <w:sz w:val="24"/>
        </w:rPr>
      </w:pPr>
      <w:r>
        <w:rPr>
          <w:rFonts w:hint="eastAsia" w:ascii="宋体" w:hAnsi="宋体"/>
          <w:b/>
          <w:sz w:val="24"/>
        </w:rPr>
        <w:t>3、澄清与变更</w:t>
      </w:r>
    </w:p>
    <w:p>
      <w:pPr>
        <w:spacing w:line="360" w:lineRule="auto"/>
        <w:jc w:val="left"/>
        <w:rPr>
          <w:rFonts w:hint="eastAsia" w:ascii="宋体" w:hAnsi="宋体"/>
          <w:b/>
          <w:sz w:val="24"/>
        </w:rPr>
      </w:pPr>
      <w:r>
        <w:rPr>
          <w:rFonts w:hint="eastAsia" w:ascii="宋体" w:hAnsi="宋体"/>
          <w:sz w:val="24"/>
        </w:rPr>
        <w:t>采购人、</w:t>
      </w:r>
      <w:r>
        <w:rPr>
          <w:rFonts w:hint="eastAsia" w:ascii="宋体" w:hAnsi="宋体"/>
          <w:sz w:val="24"/>
          <w:lang w:eastAsia="zh-CN"/>
        </w:rPr>
        <w:t>采购</w:t>
      </w:r>
      <w:r>
        <w:rPr>
          <w:rFonts w:hint="eastAsia" w:ascii="宋体" w:hAnsi="宋体"/>
          <w:sz w:val="24"/>
        </w:rPr>
        <w:t>代理机构可对已发出的竞争性</w:t>
      </w:r>
      <w:r>
        <w:rPr>
          <w:rFonts w:hint="eastAsia" w:ascii="宋体" w:hAnsi="宋体"/>
          <w:sz w:val="24"/>
          <w:lang w:eastAsia="zh-CN"/>
        </w:rPr>
        <w:t>磋商</w:t>
      </w:r>
      <w:r>
        <w:rPr>
          <w:rFonts w:hint="eastAsia" w:ascii="宋体" w:hAnsi="宋体"/>
          <w:sz w:val="24"/>
        </w:rPr>
        <w:t>文件进行必要的澄清或修改，澄清或修改的内容将作为竞争性</w:t>
      </w:r>
      <w:r>
        <w:rPr>
          <w:rFonts w:hint="eastAsia" w:ascii="宋体" w:hAnsi="宋体"/>
          <w:sz w:val="24"/>
          <w:lang w:eastAsia="zh-CN"/>
        </w:rPr>
        <w:t>磋商</w:t>
      </w:r>
      <w:r>
        <w:rPr>
          <w:rFonts w:hint="eastAsia" w:ascii="宋体" w:hAnsi="宋体"/>
          <w:sz w:val="24"/>
        </w:rPr>
        <w:t>文件的组成部分。</w:t>
      </w:r>
      <w:r>
        <w:rPr>
          <w:rFonts w:hint="eastAsia" w:ascii="宋体" w:hAnsi="宋体"/>
          <w:sz w:val="24"/>
          <w:lang w:eastAsia="zh-CN"/>
        </w:rPr>
        <w:t>采购</w:t>
      </w:r>
      <w:r>
        <w:rPr>
          <w:rFonts w:hint="eastAsia" w:ascii="宋体" w:hAnsi="宋体"/>
          <w:sz w:val="24"/>
        </w:rPr>
        <w:t>代理机构将通过网站“变更公告”和系统内部“答疑文件”告知</w:t>
      </w:r>
      <w:r>
        <w:rPr>
          <w:rFonts w:hint="eastAsia" w:ascii="宋体" w:hAnsi="宋体"/>
          <w:sz w:val="24"/>
          <w:lang w:eastAsia="zh-CN"/>
        </w:rPr>
        <w:t>磋商</w:t>
      </w:r>
      <w:r>
        <w:rPr>
          <w:rFonts w:hint="eastAsia" w:ascii="宋体" w:hAnsi="宋体"/>
          <w:sz w:val="24"/>
        </w:rPr>
        <w:t>供应商，对于项目各包/标段中已经成功报名并下载竞争性</w:t>
      </w:r>
      <w:r>
        <w:rPr>
          <w:rFonts w:hint="eastAsia" w:ascii="宋体" w:hAnsi="宋体"/>
          <w:sz w:val="24"/>
          <w:lang w:eastAsia="zh-CN"/>
        </w:rPr>
        <w:t>磋商</w:t>
      </w:r>
      <w:r>
        <w:rPr>
          <w:rFonts w:hint="eastAsia" w:ascii="宋体" w:hAnsi="宋体"/>
          <w:sz w:val="24"/>
        </w:rPr>
        <w:t>文件的项目</w:t>
      </w:r>
      <w:r>
        <w:rPr>
          <w:rFonts w:hint="eastAsia" w:ascii="宋体" w:hAnsi="宋体"/>
          <w:sz w:val="24"/>
          <w:lang w:eastAsia="zh-CN"/>
        </w:rPr>
        <w:t>磋商</w:t>
      </w:r>
      <w:r>
        <w:rPr>
          <w:rFonts w:hint="eastAsia" w:ascii="宋体" w:hAnsi="宋体"/>
          <w:sz w:val="24"/>
        </w:rPr>
        <w:t>供应商，同时以短信推送的形式群发消息通知。各</w:t>
      </w:r>
      <w:r>
        <w:rPr>
          <w:rFonts w:hint="eastAsia" w:ascii="宋体" w:hAnsi="宋体"/>
          <w:sz w:val="24"/>
          <w:lang w:eastAsia="zh-CN"/>
        </w:rPr>
        <w:t>磋商</w:t>
      </w:r>
      <w:r>
        <w:rPr>
          <w:rFonts w:hint="eastAsia" w:ascii="宋体" w:hAnsi="宋体"/>
          <w:sz w:val="24"/>
        </w:rPr>
        <w:t>供应商须重新下载最新的竞争性</w:t>
      </w:r>
      <w:r>
        <w:rPr>
          <w:rFonts w:hint="eastAsia" w:ascii="宋体" w:hAnsi="宋体"/>
          <w:sz w:val="24"/>
          <w:lang w:eastAsia="zh-CN"/>
        </w:rPr>
        <w:t>磋商</w:t>
      </w:r>
      <w:r>
        <w:rPr>
          <w:rFonts w:hint="eastAsia" w:ascii="宋体" w:hAnsi="宋体"/>
          <w:sz w:val="24"/>
        </w:rPr>
        <w:t>文件及答疑文件，以此编制竞争性</w:t>
      </w:r>
      <w:r>
        <w:rPr>
          <w:rFonts w:hint="eastAsia" w:ascii="宋体" w:hAnsi="宋体"/>
          <w:sz w:val="24"/>
          <w:lang w:eastAsia="zh-CN"/>
        </w:rPr>
        <w:t>磋商</w:t>
      </w:r>
      <w:r>
        <w:rPr>
          <w:rFonts w:hint="eastAsia" w:ascii="宋体" w:hAnsi="宋体"/>
          <w:sz w:val="24"/>
        </w:rPr>
        <w:t>响应文件。</w:t>
      </w:r>
      <w:r>
        <w:rPr>
          <w:rFonts w:hint="eastAsia" w:ascii="宋体" w:hAnsi="宋体"/>
          <w:sz w:val="24"/>
          <w:lang w:eastAsia="zh-CN"/>
        </w:rPr>
        <w:t>磋商</w:t>
      </w:r>
      <w:r>
        <w:rPr>
          <w:rFonts w:hint="eastAsia" w:ascii="宋体" w:hAnsi="宋体"/>
          <w:sz w:val="24"/>
        </w:rPr>
        <w:t>供应商注册时所留手机联系方式要保持畅通，因联系方式变更而未及时更新系统内联系方式的，责任自负。</w:t>
      </w:r>
    </w:p>
    <w:p>
      <w:pPr>
        <w:spacing w:line="360" w:lineRule="auto"/>
        <w:jc w:val="left"/>
        <w:rPr>
          <w:rFonts w:hint="eastAsia" w:ascii="宋体" w:hAnsi="宋体"/>
          <w:b/>
          <w:sz w:val="24"/>
        </w:rPr>
      </w:pPr>
      <w:r>
        <w:rPr>
          <w:rFonts w:hint="eastAsia" w:ascii="宋体" w:hAnsi="宋体"/>
          <w:b/>
          <w:sz w:val="24"/>
        </w:rPr>
        <w:t>4、因河南省公共资源交易中心平台在开标前具有保密性，</w:t>
      </w:r>
      <w:r>
        <w:rPr>
          <w:rFonts w:hint="eastAsia" w:ascii="宋体" w:hAnsi="宋体"/>
          <w:b/>
          <w:sz w:val="24"/>
          <w:lang w:eastAsia="zh-CN"/>
        </w:rPr>
        <w:t>竞争性磋商</w:t>
      </w:r>
      <w:r>
        <w:rPr>
          <w:rFonts w:hint="eastAsia" w:ascii="宋体" w:hAnsi="宋体"/>
          <w:b/>
          <w:sz w:val="24"/>
        </w:rPr>
        <w:t>供应商在竞争性</w:t>
      </w:r>
      <w:r>
        <w:rPr>
          <w:rFonts w:hint="eastAsia" w:ascii="宋体" w:hAnsi="宋体"/>
          <w:b/>
          <w:sz w:val="24"/>
          <w:lang w:eastAsia="zh-CN"/>
        </w:rPr>
        <w:t>磋商</w:t>
      </w:r>
      <w:r>
        <w:rPr>
          <w:rFonts w:hint="eastAsia" w:ascii="宋体" w:hAnsi="宋体"/>
          <w:b/>
          <w:sz w:val="24"/>
        </w:rPr>
        <w:t>响应文件递交截止时间前须自行查看项目进展、变更通知、澄清及回复，因供应商未及时查看而造成的后果自负。</w:t>
      </w:r>
    </w:p>
    <w:p>
      <w:pPr>
        <w:spacing w:line="360" w:lineRule="auto"/>
        <w:jc w:val="left"/>
        <w:rPr>
          <w:rFonts w:hint="eastAsia" w:ascii="宋体" w:hAnsi="宋体"/>
          <w:b/>
          <w:sz w:val="24"/>
          <w:u w:val="single"/>
        </w:rPr>
      </w:pPr>
      <w:r>
        <w:rPr>
          <w:rFonts w:hint="eastAsia" w:ascii="宋体" w:hAnsi="宋体"/>
          <w:b/>
          <w:sz w:val="24"/>
        </w:rPr>
        <w:t>5、根据《河南省公共资源交易中心关于推行全程不见面服务的通知》要求，除必须提交样品或现场演示情况外，所有项目均</w:t>
      </w:r>
      <w:r>
        <w:rPr>
          <w:rFonts w:hint="eastAsia" w:ascii="宋体" w:hAnsi="宋体"/>
          <w:b/>
          <w:sz w:val="24"/>
          <w:u w:val="single"/>
        </w:rPr>
        <w:t>采用不见面开标</w:t>
      </w:r>
      <w:r>
        <w:rPr>
          <w:rFonts w:hint="eastAsia" w:ascii="宋体" w:hAnsi="宋体"/>
          <w:b/>
          <w:sz w:val="24"/>
        </w:rPr>
        <w:t>。供应商无需到省交易中心现场参加开标会议，供应商应当在招标（采购）文件确定的投标截止时间前，登录远程开标大厅，在线准时参加开标活动并进行文件解密、答疑澄清、二次报价等。详见</w:t>
      </w:r>
      <w:r>
        <w:rPr>
          <w:rFonts w:hint="eastAsia" w:ascii="宋体" w:hAnsi="宋体"/>
          <w:b/>
          <w:sz w:val="24"/>
          <w:u w:val="single"/>
        </w:rPr>
        <w:t>《河南省公共资源交易中心》首页-公共服务-办事指南 《河南省公共资源交易平台不见面服务系统使用指南》</w:t>
      </w:r>
    </w:p>
    <w:p>
      <w:pPr>
        <w:spacing w:line="360" w:lineRule="auto"/>
        <w:jc w:val="left"/>
        <w:rPr>
          <w:rFonts w:hint="eastAsia" w:ascii="宋体" w:hAnsi="宋体"/>
          <w:b/>
          <w:sz w:val="24"/>
        </w:rPr>
      </w:pPr>
      <w:r>
        <w:rPr>
          <w:rFonts w:hint="eastAsia" w:ascii="宋体" w:hAnsi="宋体"/>
          <w:b/>
          <w:sz w:val="24"/>
          <w:u w:val="single"/>
        </w:rPr>
        <w:t>按照省交易中心的要求，为了不影响投标，交易主体（供应商）务必尽快根据自己的实际情况和招标文件/采购文件，在网上添加市场主体类型，完善各供应商主体库中的相应信息包括企业资质、业绩、人员、获奖、证书、纳税、社会保障、财务状况等采购文件中要求的相应资料，并对新增主体类型进行CA证书激活，否则可能影响响应文件/响应文件的制作，添加主体类型并激活证书后，新增主体类型的基本信息需要提交交易中心工作人员验证，验证时间为一个工作日，建议供应商（供应商）提前办理，以免影响报名及投标。市场主体登记的信息在交易中心网站“市场主体库公示”专栏对外公开，接受社会监督，登记的信息必须真实准确、合法有效，如信息填写错误或者未及时更新信息或者弄虚作假的，自行承担相应的后果及责任</w:t>
      </w:r>
      <w:r>
        <w:rPr>
          <w:rFonts w:hint="eastAsia" w:ascii="宋体" w:hAnsi="宋体"/>
          <w:b/>
          <w:sz w:val="24"/>
        </w:rPr>
        <w:t>。</w:t>
      </w:r>
    </w:p>
    <w:p>
      <w:pPr>
        <w:spacing w:line="360" w:lineRule="auto"/>
        <w:jc w:val="left"/>
        <w:rPr>
          <w:rFonts w:hint="eastAsia" w:ascii="宋体" w:hAnsi="宋体"/>
          <w:b/>
          <w:sz w:val="24"/>
        </w:rPr>
      </w:pPr>
      <w:r>
        <w:rPr>
          <w:rFonts w:ascii="宋体" w:hAnsi="宋体"/>
          <w:sz w:val="24"/>
        </w:rPr>
        <w:t>河南省公共资源交易平台不见面服务系统使用指南</w:t>
      </w:r>
      <w:r>
        <w:rPr>
          <w:rFonts w:hint="eastAsia" w:ascii="宋体" w:hAnsi="宋体"/>
          <w:sz w:val="24"/>
        </w:rPr>
        <w:t>包括不见面服务操作手册-主体库信息（企业资质业绩人员等）补充、不见面服务操作手册-投标响应文件制作（供应商）、不见面服务操作手册-远程开标（供应商）、不见面服务操作手册-质疑异议（供应商）等，各供应商一定要仔细研究。</w:t>
      </w:r>
      <w:r>
        <w:rPr>
          <w:rFonts w:ascii="宋体" w:hAnsi="宋体"/>
          <w:sz w:val="24"/>
        </w:rPr>
        <w:fldChar w:fldCharType="begin"/>
      </w:r>
      <w:r>
        <w:rPr>
          <w:rFonts w:ascii="宋体" w:hAnsi="宋体"/>
          <w:sz w:val="24"/>
        </w:rPr>
        <w:instrText xml:space="preserve"> HYPERLINK "http://www.hnggzy.com/hnsggzy/infodetail/?infoid=e70f7862-200e-4b0d-973f-bd872e9ab283&amp;categoryNum=003003" </w:instrText>
      </w:r>
      <w:r>
        <w:rPr>
          <w:rFonts w:ascii="宋体" w:hAnsi="宋体"/>
          <w:sz w:val="24"/>
        </w:rPr>
        <w:fldChar w:fldCharType="separate"/>
      </w:r>
      <w:r>
        <w:rPr>
          <w:rStyle w:val="31"/>
          <w:rFonts w:ascii="宋体" w:hAnsi="宋体"/>
          <w:sz w:val="24"/>
        </w:rPr>
        <w:t>http://www.hnggzy.com/hnsggzy/infodetail/?infoid=e70f7862-200e-4b0d-973f-bd872e9ab283&amp;categoryNum=003003</w:t>
      </w:r>
      <w:r>
        <w:rPr>
          <w:rFonts w:ascii="宋体" w:hAnsi="宋体"/>
          <w:sz w:val="24"/>
        </w:rPr>
        <w:fldChar w:fldCharType="end"/>
      </w:r>
    </w:p>
    <w:p>
      <w:pPr>
        <w:pStyle w:val="19"/>
        <w:ind w:firstLine="651"/>
        <w:rPr>
          <w:rFonts w:hint="eastAsia" w:ascii="宋体" w:hAnsi="宋体" w:cs="宋体"/>
          <w:b/>
          <w:color w:val="000000"/>
          <w:sz w:val="32"/>
          <w:szCs w:val="32"/>
        </w:rPr>
      </w:pPr>
    </w:p>
    <w:p>
      <w:pPr>
        <w:pStyle w:val="3"/>
        <w:keepNext w:val="0"/>
        <w:widowControl w:val="0"/>
        <w:tabs>
          <w:tab w:val="left" w:pos="0"/>
          <w:tab w:val="clear" w:pos="432"/>
        </w:tabs>
        <w:spacing w:line="360" w:lineRule="auto"/>
        <w:ind w:left="0" w:firstLine="0"/>
        <w:rPr>
          <w:rFonts w:hint="eastAsia" w:ascii="宋体" w:hAnsi="宋体" w:eastAsia="宋体"/>
          <w:b/>
          <w:bCs/>
          <w:sz w:val="28"/>
          <w:szCs w:val="36"/>
        </w:rPr>
      </w:pPr>
    </w:p>
    <w:p>
      <w:pPr>
        <w:pStyle w:val="3"/>
        <w:keepNext w:val="0"/>
        <w:widowControl w:val="0"/>
        <w:tabs>
          <w:tab w:val="left" w:pos="0"/>
          <w:tab w:val="clear" w:pos="432"/>
        </w:tabs>
        <w:spacing w:line="360" w:lineRule="auto"/>
        <w:ind w:left="0" w:firstLine="0"/>
        <w:rPr>
          <w:rFonts w:hint="eastAsia" w:ascii="宋体" w:hAnsi="宋体" w:eastAsia="宋体"/>
          <w:b/>
          <w:bCs/>
          <w:sz w:val="28"/>
          <w:szCs w:val="36"/>
        </w:rPr>
      </w:pPr>
      <w:r>
        <w:rPr>
          <w:rFonts w:hint="eastAsia" w:ascii="宋体" w:hAnsi="宋体"/>
          <w:sz w:val="32"/>
        </w:rPr>
        <w:br w:type="page"/>
      </w:r>
      <w:bookmarkStart w:id="2" w:name="_Toc121902684"/>
      <w:bookmarkStart w:id="3" w:name="_Toc44924370"/>
      <w:bookmarkStart w:id="4" w:name="_Toc31207"/>
      <w:bookmarkStart w:id="5" w:name="_Toc23061"/>
      <w:r>
        <w:rPr>
          <w:rFonts w:hint="eastAsia" w:ascii="宋体" w:hAnsi="宋体" w:eastAsia="宋体"/>
          <w:b/>
          <w:bCs/>
          <w:sz w:val="28"/>
          <w:szCs w:val="36"/>
        </w:rPr>
        <w:t xml:space="preserve">第一部分   </w:t>
      </w:r>
      <w:bookmarkEnd w:id="2"/>
      <w:bookmarkStart w:id="6" w:name="_Toc376188785"/>
      <w:bookmarkStart w:id="7" w:name="_Toc90712511"/>
      <w:bookmarkStart w:id="8" w:name="_Toc90713330"/>
      <w:r>
        <w:rPr>
          <w:rFonts w:hint="eastAsia" w:ascii="宋体" w:hAnsi="宋体" w:eastAsia="宋体"/>
          <w:b/>
          <w:bCs/>
          <w:sz w:val="28"/>
          <w:szCs w:val="36"/>
        </w:rPr>
        <w:t>竞争性磋商公告</w:t>
      </w:r>
      <w:bookmarkEnd w:id="3"/>
      <w:bookmarkEnd w:id="4"/>
      <w:bookmarkEnd w:id="5"/>
    </w:p>
    <w:bookmarkEnd w:id="6"/>
    <w:p>
      <w:pPr>
        <w:jc w:val="center"/>
        <w:outlineLvl w:val="0"/>
        <w:rPr>
          <w:rFonts w:hint="eastAsia" w:ascii="宋体" w:hAnsi="宋体" w:eastAsia="宋体"/>
          <w:b/>
          <w:sz w:val="28"/>
          <w:szCs w:val="28"/>
          <w:lang w:eastAsia="zh-CN"/>
        </w:rPr>
      </w:pPr>
      <w:bookmarkStart w:id="9" w:name="_Toc4043"/>
      <w:bookmarkStart w:id="10" w:name="_Toc17092"/>
      <w:bookmarkStart w:id="11" w:name="_Toc15007"/>
      <w:bookmarkStart w:id="12" w:name="_Toc6358"/>
      <w:bookmarkStart w:id="13" w:name="_Toc44924371"/>
      <w:r>
        <w:rPr>
          <w:rFonts w:hint="eastAsia" w:ascii="宋体" w:hAnsi="宋体"/>
          <w:b/>
          <w:color w:val="000000"/>
          <w:sz w:val="28"/>
          <w:szCs w:val="28"/>
        </w:rPr>
        <w:t>河南工业职业技术学院</w:t>
      </w:r>
      <w:r>
        <w:rPr>
          <w:rFonts w:hint="eastAsia" w:ascii="宋体" w:hAnsi="宋体" w:cs="Times New Roman"/>
          <w:b/>
          <w:color w:val="000000"/>
          <w:sz w:val="28"/>
          <w:szCs w:val="28"/>
          <w:lang w:bidi="ar"/>
        </w:rPr>
        <w:t>语言实训中心改扩建项目</w:t>
      </w:r>
      <w:bookmarkEnd w:id="9"/>
      <w:bookmarkEnd w:id="10"/>
      <w:r>
        <w:rPr>
          <w:rFonts w:hint="eastAsia" w:ascii="宋体" w:hAnsi="宋体" w:cs="Times New Roman"/>
          <w:b/>
          <w:color w:val="000000"/>
          <w:sz w:val="28"/>
          <w:szCs w:val="28"/>
          <w:lang w:eastAsia="zh-CN" w:bidi="ar"/>
        </w:rPr>
        <w:t>（二次）</w:t>
      </w:r>
    </w:p>
    <w:p>
      <w:pPr>
        <w:jc w:val="center"/>
        <w:outlineLvl w:val="0"/>
        <w:rPr>
          <w:rFonts w:hint="eastAsia" w:ascii="宋体" w:hAnsi="宋体"/>
          <w:b/>
          <w:sz w:val="28"/>
          <w:szCs w:val="28"/>
        </w:rPr>
      </w:pPr>
      <w:bookmarkStart w:id="14" w:name="_Toc18358"/>
      <w:bookmarkStart w:id="15" w:name="_Toc25504"/>
      <w:r>
        <w:rPr>
          <w:rFonts w:hint="eastAsia" w:ascii="宋体" w:hAnsi="宋体"/>
          <w:b/>
          <w:sz w:val="28"/>
          <w:szCs w:val="28"/>
        </w:rPr>
        <w:t>竞争性磋商公告</w:t>
      </w:r>
      <w:bookmarkEnd w:id="14"/>
      <w:bookmarkEnd w:id="15"/>
    </w:p>
    <w:p>
      <w:pPr>
        <w:jc w:val="left"/>
        <w:rPr>
          <w:rFonts w:hint="eastAsia" w:ascii="宋体" w:hAnsi="宋体"/>
          <w:b/>
          <w:bCs/>
          <w:sz w:val="24"/>
        </w:rPr>
      </w:pPr>
      <w:r>
        <w:rPr>
          <w:rFonts w:hint="eastAsia" w:ascii="宋体" w:hAnsi="宋体"/>
          <w:b/>
          <w:bCs/>
          <w:sz w:val="24"/>
        </w:rPr>
        <w:t>项目概况：</w:t>
      </w:r>
    </w:p>
    <w:p>
      <w:pPr>
        <w:spacing w:line="360" w:lineRule="auto"/>
        <w:ind w:firstLine="480" w:firstLineChars="200"/>
        <w:jc w:val="left"/>
        <w:rPr>
          <w:rFonts w:ascii="宋体" w:hAnsi="宋体"/>
          <w:sz w:val="24"/>
        </w:rPr>
      </w:pPr>
      <w:r>
        <w:rPr>
          <w:rFonts w:hint="eastAsia" w:ascii="宋体" w:hAnsi="宋体"/>
          <w:color w:val="000000"/>
          <w:sz w:val="24"/>
          <w:szCs w:val="24"/>
        </w:rPr>
        <w:t>河南工业</w:t>
      </w:r>
      <w:r>
        <w:rPr>
          <w:rFonts w:ascii="宋体" w:hAnsi="宋体"/>
          <w:color w:val="000000"/>
          <w:sz w:val="24"/>
          <w:szCs w:val="24"/>
        </w:rPr>
        <w:t>职业技术学院</w:t>
      </w:r>
      <w:r>
        <w:rPr>
          <w:rFonts w:hint="eastAsia" w:ascii="宋体" w:hAnsi="宋体" w:cs="宋体"/>
          <w:color w:val="000000"/>
          <w:sz w:val="24"/>
          <w:lang w:bidi="ar"/>
        </w:rPr>
        <w:t>语言实训中心改扩建项目</w:t>
      </w:r>
      <w:r>
        <w:rPr>
          <w:rFonts w:hint="eastAsia" w:ascii="宋体" w:hAnsi="宋体" w:cs="宋体"/>
          <w:color w:val="000000"/>
          <w:sz w:val="24"/>
          <w:lang w:eastAsia="zh-CN" w:bidi="ar"/>
        </w:rPr>
        <w:t>（二次）</w:t>
      </w:r>
      <w:r>
        <w:rPr>
          <w:rFonts w:hint="eastAsia" w:ascii="宋体" w:hAnsi="宋体" w:eastAsia="宋体" w:cs="宋体"/>
          <w:color w:val="auto"/>
          <w:sz w:val="24"/>
          <w:szCs w:val="24"/>
          <w:lang w:eastAsia="zh-CN"/>
        </w:rPr>
        <w:t>的潜在</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应在“河南省公共资源交易中心（http://www.hnggzy.com）”网</w:t>
      </w:r>
      <w:r>
        <w:rPr>
          <w:rFonts w:hint="eastAsia" w:ascii="宋体" w:hAnsi="宋体" w:eastAsia="宋体" w:cs="宋体"/>
          <w:color w:val="auto"/>
          <w:sz w:val="24"/>
          <w:szCs w:val="24"/>
          <w:lang w:eastAsia="zh-CN"/>
        </w:rPr>
        <w:t>上</w:t>
      </w:r>
      <w:r>
        <w:rPr>
          <w:rFonts w:hint="eastAsia" w:ascii="宋体" w:hAnsi="宋体" w:eastAsia="宋体" w:cs="宋体"/>
          <w:color w:val="auto"/>
          <w:sz w:val="24"/>
          <w:szCs w:val="24"/>
        </w:rPr>
        <w:t>获取</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文件，并于</w:t>
      </w:r>
      <w:r>
        <w:rPr>
          <w:rFonts w:hint="eastAsia" w:ascii="宋体" w:hAnsi="宋体" w:eastAsia="宋体" w:cs="宋体"/>
          <w:color w:val="auto"/>
          <w:sz w:val="24"/>
          <w:szCs w:val="24"/>
          <w:u w:val="single"/>
          <w:lang w:val="en-US" w:eastAsia="zh-CN"/>
        </w:rPr>
        <w:t>2020</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31</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w:t>
      </w:r>
      <w:r>
        <w:rPr>
          <w:rFonts w:hint="eastAsia" w:ascii="宋体" w:hAnsi="宋体" w:eastAsia="宋体" w:cs="宋体"/>
          <w:bCs/>
          <w:color w:val="auto"/>
          <w:sz w:val="24"/>
          <w:szCs w:val="24"/>
        </w:rPr>
        <w:t>京时间）前</w:t>
      </w:r>
      <w:r>
        <w:rPr>
          <w:rFonts w:hint="eastAsia" w:ascii="宋体" w:hAnsi="宋体" w:cs="宋体"/>
          <w:bCs/>
          <w:color w:val="auto"/>
          <w:sz w:val="24"/>
          <w:szCs w:val="24"/>
          <w:lang w:eastAsia="zh-CN"/>
        </w:rPr>
        <w:t>提交响应</w:t>
      </w:r>
      <w:r>
        <w:rPr>
          <w:rFonts w:hint="eastAsia" w:ascii="宋体" w:hAnsi="宋体" w:eastAsia="宋体" w:cs="宋体"/>
          <w:bCs/>
          <w:color w:val="auto"/>
          <w:sz w:val="24"/>
          <w:szCs w:val="24"/>
        </w:rPr>
        <w:t>文件</w:t>
      </w:r>
      <w:r>
        <w:rPr>
          <w:rFonts w:hint="eastAsia" w:ascii="宋体" w:hAnsi="宋体" w:eastAsia="宋体" w:cs="宋体"/>
          <w:color w:val="auto"/>
          <w:sz w:val="24"/>
          <w:szCs w:val="24"/>
        </w:rPr>
        <w:t>。</w:t>
      </w:r>
    </w:p>
    <w:p>
      <w:pPr>
        <w:tabs>
          <w:tab w:val="left" w:pos="900"/>
        </w:tabs>
        <w:snapToGrid w:val="0"/>
        <w:spacing w:line="360" w:lineRule="auto"/>
        <w:outlineLvl w:val="0"/>
        <w:rPr>
          <w:rFonts w:hint="eastAsia" w:ascii="宋体" w:hAnsi="宋体" w:cs="宋体"/>
          <w:b/>
          <w:bCs/>
          <w:kern w:val="0"/>
          <w:sz w:val="24"/>
        </w:rPr>
      </w:pPr>
      <w:bookmarkStart w:id="16" w:name="_Toc6852"/>
      <w:bookmarkStart w:id="17" w:name="_Toc6938"/>
      <w:r>
        <w:rPr>
          <w:rFonts w:hint="eastAsia" w:ascii="宋体" w:hAnsi="宋体"/>
          <w:b/>
          <w:bCs/>
          <w:sz w:val="24"/>
        </w:rPr>
        <w:t>一、</w:t>
      </w:r>
      <w:r>
        <w:rPr>
          <w:rFonts w:hint="eastAsia" w:ascii="宋体" w:hAnsi="宋体" w:cs="宋体"/>
          <w:b/>
          <w:bCs/>
          <w:kern w:val="0"/>
          <w:sz w:val="24"/>
        </w:rPr>
        <w:t>项目基本情况</w:t>
      </w:r>
      <w:bookmarkEnd w:id="16"/>
      <w:bookmarkEnd w:id="17"/>
    </w:p>
    <w:p>
      <w:pPr>
        <w:tabs>
          <w:tab w:val="left" w:pos="900"/>
        </w:tabs>
        <w:snapToGrid w:val="0"/>
        <w:spacing w:line="360" w:lineRule="auto"/>
        <w:rPr>
          <w:rFonts w:hint="eastAsia" w:ascii="宋体" w:hAnsi="宋体"/>
          <w:sz w:val="24"/>
          <w:lang w:val="en-US" w:eastAsia="zh-CN"/>
        </w:rPr>
      </w:pPr>
      <w:r>
        <w:rPr>
          <w:rFonts w:hint="eastAsia" w:ascii="宋体" w:hAnsi="宋体"/>
          <w:sz w:val="24"/>
        </w:rPr>
        <w:t>1、</w:t>
      </w:r>
      <w:r>
        <w:rPr>
          <w:rFonts w:hint="eastAsia" w:ascii="宋体" w:hAnsi="宋体" w:cs="宋体"/>
          <w:bCs/>
          <w:kern w:val="0"/>
          <w:sz w:val="24"/>
        </w:rPr>
        <w:t>项目编号：</w:t>
      </w:r>
      <w:r>
        <w:rPr>
          <w:rFonts w:hint="eastAsia" w:ascii="宋体" w:hAnsi="宋体" w:cs="宋体"/>
          <w:bCs/>
          <w:kern w:val="0"/>
          <w:sz w:val="24"/>
          <w:lang w:eastAsia="zh-CN"/>
        </w:rPr>
        <w:t>豫财磋商采购</w:t>
      </w:r>
      <w:r>
        <w:rPr>
          <w:rFonts w:hint="eastAsia" w:ascii="宋体" w:hAnsi="宋体" w:cs="宋体"/>
          <w:bCs/>
          <w:kern w:val="0"/>
          <w:sz w:val="24"/>
          <w:lang w:val="en-US" w:eastAsia="zh-CN"/>
        </w:rPr>
        <w:t>-2020-288</w:t>
      </w:r>
      <w:r>
        <w:rPr>
          <w:rFonts w:hint="eastAsia" w:ascii="宋体" w:hAnsi="宋体"/>
          <w:sz w:val="24"/>
          <w:lang w:val="en-US" w:eastAsia="zh-CN"/>
        </w:rPr>
        <w:t xml:space="preserve"> </w:t>
      </w:r>
    </w:p>
    <w:p>
      <w:pPr>
        <w:tabs>
          <w:tab w:val="left" w:pos="900"/>
        </w:tabs>
        <w:snapToGrid w:val="0"/>
        <w:spacing w:line="360" w:lineRule="auto"/>
        <w:rPr>
          <w:rFonts w:hint="eastAsia" w:ascii="宋体" w:hAnsi="宋体" w:eastAsia="宋体"/>
          <w:sz w:val="24"/>
          <w:lang w:eastAsia="zh-CN"/>
        </w:rPr>
      </w:pPr>
      <w:r>
        <w:rPr>
          <w:rFonts w:hint="eastAsia" w:ascii="宋体" w:hAnsi="宋体"/>
          <w:sz w:val="24"/>
        </w:rPr>
        <w:t>2、项目名称：</w:t>
      </w:r>
      <w:r>
        <w:rPr>
          <w:rFonts w:hint="eastAsia" w:ascii="宋体" w:hAnsi="宋体"/>
          <w:color w:val="000000"/>
          <w:sz w:val="24"/>
          <w:szCs w:val="24"/>
        </w:rPr>
        <w:t>河南工业</w:t>
      </w:r>
      <w:r>
        <w:rPr>
          <w:rFonts w:ascii="宋体" w:hAnsi="宋体"/>
          <w:color w:val="000000"/>
          <w:sz w:val="24"/>
          <w:szCs w:val="24"/>
        </w:rPr>
        <w:t>职业技术学院</w:t>
      </w:r>
      <w:r>
        <w:rPr>
          <w:rFonts w:hint="eastAsia" w:ascii="宋体" w:hAnsi="宋体" w:cs="宋体"/>
          <w:color w:val="000000"/>
          <w:sz w:val="24"/>
          <w:lang w:bidi="ar"/>
        </w:rPr>
        <w:t>语言实训中心改扩建项目</w:t>
      </w:r>
      <w:r>
        <w:rPr>
          <w:rFonts w:hint="eastAsia" w:ascii="宋体" w:hAnsi="宋体" w:cs="宋体"/>
          <w:color w:val="000000"/>
          <w:sz w:val="24"/>
          <w:lang w:eastAsia="zh-CN" w:bidi="ar"/>
        </w:rPr>
        <w:t>（二次）</w:t>
      </w:r>
    </w:p>
    <w:p>
      <w:pPr>
        <w:tabs>
          <w:tab w:val="left" w:pos="900"/>
        </w:tabs>
        <w:snapToGrid w:val="0"/>
        <w:spacing w:line="360" w:lineRule="auto"/>
        <w:rPr>
          <w:rFonts w:hint="eastAsia" w:ascii="宋体" w:hAnsi="宋体"/>
          <w:sz w:val="24"/>
        </w:rPr>
      </w:pPr>
      <w:r>
        <w:rPr>
          <w:rFonts w:hint="eastAsia" w:ascii="宋体" w:hAnsi="宋体"/>
          <w:sz w:val="24"/>
        </w:rPr>
        <w:t>3、采购方式：竞争性磋商</w:t>
      </w:r>
    </w:p>
    <w:p>
      <w:pPr>
        <w:tabs>
          <w:tab w:val="left" w:pos="900"/>
        </w:tabs>
        <w:snapToGrid w:val="0"/>
        <w:spacing w:line="360" w:lineRule="auto"/>
        <w:rPr>
          <w:rFonts w:hint="eastAsia" w:ascii="宋体" w:hAnsi="宋体" w:cs="宋体"/>
          <w:bCs/>
          <w:kern w:val="0"/>
          <w:sz w:val="24"/>
        </w:rPr>
      </w:pPr>
      <w:r>
        <w:rPr>
          <w:rFonts w:hint="eastAsia" w:ascii="宋体" w:hAnsi="宋体" w:cs="宋体"/>
          <w:bCs/>
          <w:kern w:val="0"/>
          <w:sz w:val="24"/>
        </w:rPr>
        <w:t>4、预算金额：人民币</w:t>
      </w:r>
      <w:r>
        <w:rPr>
          <w:rFonts w:hint="eastAsia" w:ascii="宋体" w:hAnsi="宋体" w:cs="宋体"/>
          <w:bCs/>
          <w:kern w:val="0"/>
          <w:sz w:val="24"/>
          <w:lang w:val="en-US" w:eastAsia="zh-CN"/>
        </w:rPr>
        <w:t>171</w:t>
      </w:r>
      <w:r>
        <w:rPr>
          <w:rFonts w:hint="eastAsia" w:ascii="宋体" w:hAnsi="宋体" w:cs="宋体"/>
          <w:bCs/>
          <w:kern w:val="0"/>
          <w:sz w:val="24"/>
        </w:rPr>
        <w:t>0000元；</w:t>
      </w:r>
    </w:p>
    <w:p>
      <w:pPr>
        <w:tabs>
          <w:tab w:val="left" w:pos="900"/>
        </w:tabs>
        <w:snapToGrid w:val="0"/>
        <w:spacing w:line="360" w:lineRule="auto"/>
        <w:ind w:firstLine="360" w:firstLineChars="150"/>
        <w:rPr>
          <w:rFonts w:hint="eastAsia" w:ascii="宋体" w:hAnsi="宋体" w:cs="宋体"/>
          <w:bCs/>
          <w:kern w:val="0"/>
          <w:sz w:val="24"/>
        </w:rPr>
      </w:pPr>
      <w:r>
        <w:rPr>
          <w:rFonts w:hint="eastAsia" w:ascii="宋体" w:hAnsi="宋体"/>
          <w:bCs/>
          <w:sz w:val="24"/>
        </w:rPr>
        <w:t>最高限价：</w:t>
      </w:r>
      <w:r>
        <w:rPr>
          <w:rFonts w:hint="eastAsia" w:ascii="宋体" w:hAnsi="宋体" w:cs="宋体"/>
          <w:bCs/>
          <w:kern w:val="0"/>
          <w:sz w:val="24"/>
        </w:rPr>
        <w:t>人民币</w:t>
      </w:r>
      <w:r>
        <w:rPr>
          <w:rFonts w:hint="eastAsia" w:ascii="宋体" w:hAnsi="宋体" w:cs="宋体"/>
          <w:bCs/>
          <w:kern w:val="0"/>
          <w:sz w:val="24"/>
          <w:lang w:val="en-US" w:eastAsia="zh-CN"/>
        </w:rPr>
        <w:t>171</w:t>
      </w:r>
      <w:r>
        <w:rPr>
          <w:rFonts w:hint="eastAsia" w:ascii="宋体" w:hAnsi="宋体" w:cs="宋体"/>
          <w:bCs/>
          <w:kern w:val="0"/>
          <w:sz w:val="24"/>
        </w:rPr>
        <w:t>0000元。</w:t>
      </w:r>
    </w:p>
    <w:tbl>
      <w:tblPr>
        <w:tblStyle w:val="20"/>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525"/>
        <w:gridCol w:w="2874"/>
        <w:gridCol w:w="1536"/>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00" w:type="dxa"/>
            <w:noWrap w:val="0"/>
            <w:vAlign w:val="center"/>
          </w:tcPr>
          <w:p>
            <w:pPr>
              <w:kinsoku w:val="0"/>
              <w:overflowPunct w:val="0"/>
              <w:autoSpaceDE w:val="0"/>
              <w:autoSpaceDN w:val="0"/>
              <w:adjustRightInd w:val="0"/>
              <w:snapToGrid w:val="0"/>
              <w:jc w:val="center"/>
              <w:rPr>
                <w:rFonts w:hint="eastAsia" w:ascii="宋体" w:hAnsi="宋体"/>
                <w:bCs/>
                <w:sz w:val="24"/>
              </w:rPr>
            </w:pPr>
            <w:r>
              <w:rPr>
                <w:rFonts w:hint="eastAsia" w:ascii="宋体" w:hAnsi="宋体"/>
                <w:bCs/>
                <w:sz w:val="24"/>
              </w:rPr>
              <w:t>序号</w:t>
            </w:r>
          </w:p>
        </w:tc>
        <w:tc>
          <w:tcPr>
            <w:tcW w:w="1525" w:type="dxa"/>
            <w:noWrap w:val="0"/>
            <w:vAlign w:val="center"/>
          </w:tcPr>
          <w:p>
            <w:pPr>
              <w:kinsoku w:val="0"/>
              <w:overflowPunct w:val="0"/>
              <w:autoSpaceDE w:val="0"/>
              <w:autoSpaceDN w:val="0"/>
              <w:adjustRightInd w:val="0"/>
              <w:snapToGrid w:val="0"/>
              <w:jc w:val="center"/>
              <w:rPr>
                <w:rFonts w:hint="eastAsia" w:ascii="宋体" w:hAnsi="宋体"/>
                <w:bCs/>
                <w:sz w:val="24"/>
              </w:rPr>
            </w:pPr>
            <w:r>
              <w:rPr>
                <w:rFonts w:hint="eastAsia" w:ascii="宋体" w:hAnsi="宋体"/>
                <w:bCs/>
                <w:sz w:val="24"/>
              </w:rPr>
              <w:t>包号</w:t>
            </w:r>
          </w:p>
        </w:tc>
        <w:tc>
          <w:tcPr>
            <w:tcW w:w="2874" w:type="dxa"/>
            <w:noWrap w:val="0"/>
            <w:vAlign w:val="center"/>
          </w:tcPr>
          <w:p>
            <w:pPr>
              <w:kinsoku w:val="0"/>
              <w:overflowPunct w:val="0"/>
              <w:autoSpaceDE w:val="0"/>
              <w:autoSpaceDN w:val="0"/>
              <w:adjustRightInd w:val="0"/>
              <w:snapToGrid w:val="0"/>
              <w:jc w:val="center"/>
              <w:rPr>
                <w:rFonts w:hint="eastAsia" w:ascii="宋体" w:hAnsi="宋体"/>
                <w:bCs/>
                <w:sz w:val="24"/>
              </w:rPr>
            </w:pPr>
            <w:r>
              <w:rPr>
                <w:rFonts w:hint="eastAsia" w:ascii="宋体" w:hAnsi="宋体"/>
                <w:bCs/>
                <w:sz w:val="24"/>
              </w:rPr>
              <w:t>包名称</w:t>
            </w:r>
          </w:p>
        </w:tc>
        <w:tc>
          <w:tcPr>
            <w:tcW w:w="1536" w:type="dxa"/>
            <w:noWrap w:val="0"/>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包预算（元）</w:t>
            </w:r>
          </w:p>
        </w:tc>
        <w:tc>
          <w:tcPr>
            <w:tcW w:w="2080" w:type="dxa"/>
            <w:noWrap w:val="0"/>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0" w:type="dxa"/>
            <w:noWrap w:val="0"/>
            <w:vAlign w:val="center"/>
          </w:tcPr>
          <w:p>
            <w:pPr>
              <w:kinsoku w:val="0"/>
              <w:overflowPunct w:val="0"/>
              <w:autoSpaceDE w:val="0"/>
              <w:autoSpaceDN w:val="0"/>
              <w:adjustRightInd w:val="0"/>
              <w:snapToGrid w:val="0"/>
              <w:jc w:val="center"/>
              <w:rPr>
                <w:rFonts w:hint="eastAsia" w:ascii="宋体" w:hAnsi="宋体"/>
                <w:bCs/>
                <w:sz w:val="24"/>
              </w:rPr>
            </w:pPr>
            <w:r>
              <w:rPr>
                <w:rFonts w:hint="eastAsia" w:ascii="宋体" w:hAnsi="宋体"/>
                <w:bCs/>
                <w:sz w:val="24"/>
              </w:rPr>
              <w:t>1</w:t>
            </w:r>
          </w:p>
        </w:tc>
        <w:tc>
          <w:tcPr>
            <w:tcW w:w="1525" w:type="dxa"/>
            <w:noWrap w:val="0"/>
            <w:vAlign w:val="center"/>
          </w:tcPr>
          <w:p>
            <w:pPr>
              <w:keepNext w:val="0"/>
              <w:keepLines w:val="0"/>
              <w:widowControl/>
              <w:suppressLineNumbers w:val="0"/>
              <w:pBdr>
                <w:left w:val="none" w:color="auto" w:sz="0" w:space="0"/>
                <w:bottom w:val="none" w:color="auto" w:sz="0" w:space="0"/>
                <w:right w:val="none" w:color="auto" w:sz="0" w:space="0"/>
              </w:pBdr>
              <w:wordWrap w:val="0"/>
              <w:jc w:val="center"/>
              <w:rPr>
                <w:rFonts w:hint="eastAsia" w:ascii="宋体" w:hAnsi="宋体" w:cs="宋体"/>
                <w:color w:val="000000"/>
                <w:kern w:val="0"/>
                <w:sz w:val="24"/>
                <w:lang w:bidi="ar"/>
              </w:rPr>
            </w:pPr>
            <w:r>
              <w:rPr>
                <w:rFonts w:hint="eastAsia" w:ascii="宋体" w:hAnsi="宋体"/>
                <w:color w:val="000000"/>
                <w:sz w:val="24"/>
                <w:szCs w:val="24"/>
                <w:lang w:val="en-US" w:eastAsia="zh-CN"/>
              </w:rPr>
              <w:t>豫政采(2)20201011-1</w:t>
            </w:r>
          </w:p>
        </w:tc>
        <w:tc>
          <w:tcPr>
            <w:tcW w:w="2874" w:type="dxa"/>
            <w:noWrap w:val="0"/>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olor w:val="000000"/>
                <w:sz w:val="24"/>
                <w:szCs w:val="24"/>
              </w:rPr>
              <w:t>河南工业职业技术学院语言实训中心</w:t>
            </w:r>
            <w:r>
              <w:rPr>
                <w:rFonts w:hint="eastAsia" w:ascii="宋体" w:hAnsi="宋体" w:cs="宋体"/>
                <w:color w:val="000000"/>
                <w:sz w:val="24"/>
                <w:lang w:bidi="ar"/>
              </w:rPr>
              <w:t>改扩建项目</w:t>
            </w:r>
            <w:r>
              <w:rPr>
                <w:rFonts w:hint="eastAsia" w:ascii="宋体" w:hAnsi="宋体" w:cs="宋体"/>
                <w:color w:val="000000"/>
                <w:sz w:val="24"/>
                <w:lang w:eastAsia="zh-CN" w:bidi="ar"/>
              </w:rPr>
              <w:t>（二次）</w:t>
            </w:r>
          </w:p>
        </w:tc>
        <w:tc>
          <w:tcPr>
            <w:tcW w:w="1536"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171</w:t>
            </w:r>
            <w:r>
              <w:rPr>
                <w:rFonts w:hint="eastAsia" w:ascii="宋体" w:hAnsi="宋体" w:cs="宋体"/>
                <w:color w:val="000000"/>
                <w:sz w:val="24"/>
              </w:rPr>
              <w:t>0000</w:t>
            </w:r>
          </w:p>
        </w:tc>
        <w:tc>
          <w:tcPr>
            <w:tcW w:w="2080" w:type="dxa"/>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lang w:val="en-US" w:eastAsia="zh-CN"/>
              </w:rPr>
              <w:t>171</w:t>
            </w:r>
            <w:r>
              <w:rPr>
                <w:rFonts w:hint="eastAsia" w:ascii="宋体" w:hAnsi="宋体" w:cs="宋体"/>
                <w:color w:val="000000"/>
                <w:sz w:val="24"/>
              </w:rPr>
              <w:t>0000</w:t>
            </w:r>
          </w:p>
        </w:tc>
      </w:tr>
    </w:tbl>
    <w:p>
      <w:pPr>
        <w:numPr>
          <w:ilvl w:val="0"/>
          <w:numId w:val="2"/>
        </w:numPr>
        <w:tabs>
          <w:tab w:val="left" w:pos="900"/>
        </w:tabs>
        <w:snapToGrid w:val="0"/>
        <w:spacing w:line="360" w:lineRule="auto"/>
        <w:rPr>
          <w:rFonts w:hint="default" w:ascii="宋体" w:hAnsi="宋体" w:eastAsia="宋体" w:cs="宋体"/>
          <w:bCs/>
          <w:kern w:val="0"/>
          <w:sz w:val="24"/>
          <w:lang w:val="en-US" w:eastAsia="zh-CN"/>
        </w:rPr>
      </w:pPr>
      <w:r>
        <w:rPr>
          <w:rFonts w:hint="eastAsia" w:ascii="宋体" w:hAnsi="宋体" w:cs="宋体"/>
          <w:bCs/>
          <w:kern w:val="0"/>
          <w:sz w:val="24"/>
        </w:rPr>
        <w:t>采购需求</w:t>
      </w:r>
      <w:r>
        <w:rPr>
          <w:rFonts w:hint="eastAsia" w:ascii="宋体" w:hAnsi="宋体" w:cs="宋体"/>
          <w:bCs/>
          <w:kern w:val="0"/>
          <w:sz w:val="24"/>
          <w:lang w:eastAsia="zh-CN"/>
        </w:rPr>
        <w:t>：</w:t>
      </w:r>
    </w:p>
    <w:tbl>
      <w:tblPr>
        <w:tblStyle w:val="20"/>
        <w:tblW w:w="87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10"/>
        <w:gridCol w:w="4637"/>
        <w:gridCol w:w="1538"/>
        <w:gridCol w:w="15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1010" w:type="dxa"/>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cs="宋体"/>
                <w:b/>
                <w:sz w:val="24"/>
              </w:rPr>
            </w:pPr>
            <w:r>
              <w:rPr>
                <w:rFonts w:hint="eastAsia" w:ascii="宋体" w:hAnsi="宋体" w:cs="宋体"/>
                <w:b/>
                <w:lang w:bidi="ar"/>
              </w:rPr>
              <w:t>序号</w:t>
            </w:r>
          </w:p>
        </w:tc>
        <w:tc>
          <w:tcPr>
            <w:tcW w:w="4637"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b/>
              </w:rPr>
            </w:pPr>
            <w:r>
              <w:rPr>
                <w:rFonts w:hint="eastAsia" w:ascii="宋体" w:hAnsi="宋体" w:cs="宋体"/>
                <w:b/>
                <w:lang w:bidi="ar"/>
              </w:rPr>
              <w:t>设备（产品）名称</w:t>
            </w:r>
          </w:p>
        </w:tc>
        <w:tc>
          <w:tcPr>
            <w:tcW w:w="1538"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b/>
              </w:rPr>
            </w:pPr>
            <w:r>
              <w:rPr>
                <w:rFonts w:hint="eastAsia" w:ascii="宋体" w:hAnsi="宋体" w:cs="宋体"/>
                <w:b/>
                <w:lang w:bidi="ar"/>
              </w:rPr>
              <w:t>单位</w:t>
            </w:r>
          </w:p>
        </w:tc>
        <w:tc>
          <w:tcPr>
            <w:tcW w:w="1523"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b/>
              </w:rPr>
            </w:pPr>
            <w:r>
              <w:rPr>
                <w:rFonts w:hint="eastAsia" w:ascii="宋体" w:hAnsi="宋体" w:cs="宋体"/>
                <w:b/>
                <w:lang w:bidi="ar"/>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1</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22"/>
                <w:lang w:bidi="ar"/>
              </w:rPr>
              <w:t>数字语言实验室软件</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套</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22"/>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2</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口语训练系统</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套</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3</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云桌面管理软件</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套</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162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4</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云主机</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台</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5</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教师专业声卡</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块</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6</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平台服务器</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台</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7</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塔式服务器</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台</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8</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学生云终端</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台</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22"/>
                <w:lang w:bidi="ar"/>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9</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教师主机</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台</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10</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耳麦</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套</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170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11</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键盘鼠标</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套</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12</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显示器</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台</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13</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台式计算机</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套</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14</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空调</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台</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15</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机柜</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个</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16</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交换机A</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台</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17</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交换机B</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台</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18</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路由器</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台</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19</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投影仪A</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台</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20</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投影仪B</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台</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21</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幕布</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套</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22</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学生桌椅</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套</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162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23</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教师桌椅</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套</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24</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综合布线</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点</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168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25</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吸顶灯</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个</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26</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挂板</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个</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27</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标牌</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个</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28</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金属字</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个</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29</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吸音板</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Arial" w:hAnsi="Arial" w:cs="Arial"/>
                <w:color w:val="333333"/>
                <w:kern w:val="0"/>
                <w:sz w:val="19"/>
                <w:szCs w:val="19"/>
                <w:lang w:bidi="ar"/>
              </w:rPr>
              <w:t>㎡</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72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30</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塑料字</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个</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sz w:val="18"/>
                <w:szCs w:val="18"/>
              </w:rPr>
            </w:pPr>
            <w:r>
              <w:rPr>
                <w:rFonts w:hint="eastAsia" w:ascii="宋体" w:hAnsi="宋体" w:cs="宋体"/>
                <w:color w:val="000000"/>
                <w:kern w:val="0"/>
                <w:sz w:val="22"/>
                <w:lang w:bidi="ar"/>
              </w:rPr>
              <w:t>31</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22"/>
                <w:lang w:bidi="ar"/>
              </w:rPr>
              <w:t>地板</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32</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黑板</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套</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jc w:val="center"/>
        </w:trPr>
        <w:tc>
          <w:tcPr>
            <w:tcW w:w="1010" w:type="dxa"/>
            <w:tcBorders>
              <w:top w:val="single" w:color="auto" w:sz="6" w:space="0"/>
              <w:left w:val="single" w:color="auto" w:sz="12"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33</w:t>
            </w:r>
          </w:p>
        </w:tc>
        <w:tc>
          <w:tcPr>
            <w:tcW w:w="4637"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highlight w:val="none"/>
                <w:lang w:val="en-US" w:eastAsia="zh-CN" w:bidi="ar"/>
              </w:rPr>
              <w:t>L</w:t>
            </w:r>
            <w:r>
              <w:rPr>
                <w:rFonts w:hint="eastAsia" w:ascii="宋体" w:hAnsi="宋体" w:cs="宋体"/>
                <w:color w:val="000000"/>
                <w:kern w:val="0"/>
                <w:sz w:val="22"/>
                <w:highlight w:val="none"/>
                <w:lang w:bidi="ar"/>
              </w:rPr>
              <w:t>ED电子屏</w:t>
            </w:r>
          </w:p>
        </w:tc>
        <w:tc>
          <w:tcPr>
            <w:tcW w:w="1538"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块</w:t>
            </w:r>
          </w:p>
        </w:tc>
        <w:tc>
          <w:tcPr>
            <w:tcW w:w="1523" w:type="dxa"/>
            <w:tcBorders>
              <w:top w:val="single" w:color="auto" w:sz="6" w:space="0"/>
              <w:left w:val="single" w:color="auto" w:sz="6" w:space="0"/>
              <w:bottom w:val="single" w:color="auto" w:sz="6" w:space="0"/>
              <w:right w:val="single" w:color="auto" w:sz="6" w:space="0"/>
            </w:tcBorders>
            <w:noWrap w:val="0"/>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r>
    </w:tbl>
    <w:p>
      <w:pPr>
        <w:bidi w:val="0"/>
        <w:rPr>
          <w:rFonts w:hint="eastAsia"/>
        </w:rPr>
      </w:pPr>
    </w:p>
    <w:p>
      <w:pPr>
        <w:keepNext w:val="0"/>
        <w:keepLines w:val="0"/>
        <w:pageBreakBefore w:val="0"/>
        <w:tabs>
          <w:tab w:val="left" w:pos="900"/>
        </w:tabs>
        <w:kinsoku/>
        <w:wordWrap/>
        <w:overflowPunct/>
        <w:topLinePunct w:val="0"/>
        <w:autoSpaceDE/>
        <w:autoSpaceDN/>
        <w:bidi w:val="0"/>
        <w:snapToGrid w:val="0"/>
        <w:spacing w:line="450" w:lineRule="exact"/>
        <w:textAlignment w:val="auto"/>
        <w:rPr>
          <w:rFonts w:hint="eastAsia" w:ascii="宋体" w:hAnsi="宋体" w:cs="宋体"/>
          <w:bCs/>
          <w:color w:val="auto"/>
          <w:kern w:val="0"/>
          <w:sz w:val="24"/>
        </w:rPr>
      </w:pPr>
      <w:r>
        <w:rPr>
          <w:rFonts w:hint="eastAsia" w:ascii="宋体" w:hAnsi="宋体" w:cs="宋体"/>
          <w:bCs/>
          <w:color w:val="auto"/>
          <w:kern w:val="0"/>
          <w:sz w:val="24"/>
          <w:lang w:val="en-US" w:eastAsia="zh-CN"/>
        </w:rPr>
        <w:t>6、</w:t>
      </w:r>
      <w:r>
        <w:rPr>
          <w:rFonts w:hint="eastAsia" w:ascii="宋体" w:hAnsi="宋体" w:cs="宋体"/>
          <w:bCs/>
          <w:color w:val="auto"/>
          <w:kern w:val="0"/>
          <w:sz w:val="24"/>
        </w:rPr>
        <w:t>交货期：</w:t>
      </w:r>
      <w:r>
        <w:rPr>
          <w:rFonts w:hint="eastAsia" w:ascii="宋体" w:hAnsi="宋体" w:cs="宋体"/>
          <w:color w:val="auto"/>
          <w:kern w:val="0"/>
          <w:sz w:val="24"/>
          <w:szCs w:val="24"/>
        </w:rPr>
        <w:t>合同签订后30日内验收合格并交付使用</w:t>
      </w:r>
    </w:p>
    <w:p>
      <w:pPr>
        <w:keepNext w:val="0"/>
        <w:keepLines w:val="0"/>
        <w:pageBreakBefore w:val="0"/>
        <w:kinsoku/>
        <w:wordWrap/>
        <w:overflowPunct/>
        <w:topLinePunct w:val="0"/>
        <w:autoSpaceDE/>
        <w:autoSpaceDN/>
        <w:bidi w:val="0"/>
        <w:spacing w:line="450" w:lineRule="exact"/>
        <w:jc w:val="left"/>
        <w:textAlignment w:val="auto"/>
        <w:rPr>
          <w:rFonts w:ascii="宋体" w:hAnsi="宋体"/>
          <w:color w:val="auto"/>
          <w:sz w:val="24"/>
        </w:rPr>
      </w:pPr>
      <w:r>
        <w:rPr>
          <w:rFonts w:hint="eastAsia" w:ascii="宋体" w:hAnsi="宋体"/>
          <w:sz w:val="24"/>
          <w:lang w:val="en-US" w:eastAsia="zh-CN"/>
        </w:rPr>
        <w:t>7、</w:t>
      </w:r>
      <w:r>
        <w:rPr>
          <w:rFonts w:hint="eastAsia" w:ascii="宋体" w:hAnsi="宋体"/>
          <w:color w:val="auto"/>
          <w:sz w:val="24"/>
        </w:rPr>
        <w:t>合同履行期限：</w:t>
      </w:r>
      <w:r>
        <w:rPr>
          <w:rFonts w:hint="eastAsia" w:ascii="宋体" w:hAnsi="宋体" w:cs="宋体"/>
          <w:bCs/>
          <w:color w:val="auto"/>
          <w:kern w:val="0"/>
          <w:sz w:val="24"/>
        </w:rPr>
        <w:t>与交货期一致</w:t>
      </w:r>
    </w:p>
    <w:p>
      <w:pPr>
        <w:keepNext w:val="0"/>
        <w:keepLines w:val="0"/>
        <w:pageBreakBefore w:val="0"/>
        <w:kinsoku/>
        <w:wordWrap/>
        <w:overflowPunct/>
        <w:topLinePunct w:val="0"/>
        <w:autoSpaceDE/>
        <w:autoSpaceDN/>
        <w:bidi w:val="0"/>
        <w:spacing w:line="450" w:lineRule="exact"/>
        <w:jc w:val="left"/>
        <w:textAlignment w:val="auto"/>
        <w:rPr>
          <w:rFonts w:hint="eastAsia" w:ascii="宋体" w:hAnsi="宋体"/>
          <w:sz w:val="24"/>
          <w:lang w:val="en-US" w:eastAsia="zh-CN"/>
        </w:rPr>
      </w:pPr>
      <w:r>
        <w:rPr>
          <w:rFonts w:hint="eastAsia" w:ascii="宋体" w:hAnsi="宋体"/>
          <w:sz w:val="24"/>
          <w:lang w:val="en-US" w:eastAsia="zh-CN"/>
        </w:rPr>
        <w:t>8、本项目是否接受联合体投标：否</w:t>
      </w:r>
    </w:p>
    <w:p>
      <w:pPr>
        <w:keepNext w:val="0"/>
        <w:keepLines w:val="0"/>
        <w:pageBreakBefore w:val="0"/>
        <w:kinsoku/>
        <w:wordWrap/>
        <w:overflowPunct/>
        <w:topLinePunct w:val="0"/>
        <w:autoSpaceDE/>
        <w:autoSpaceDN/>
        <w:bidi w:val="0"/>
        <w:spacing w:line="450" w:lineRule="exact"/>
        <w:jc w:val="left"/>
        <w:textAlignment w:val="auto"/>
        <w:rPr>
          <w:rFonts w:ascii="宋体" w:hAnsi="宋体"/>
          <w:sz w:val="24"/>
        </w:rPr>
      </w:pPr>
      <w:r>
        <w:rPr>
          <w:rFonts w:hint="eastAsia" w:ascii="宋体" w:hAnsi="宋体"/>
          <w:sz w:val="24"/>
          <w:lang w:val="en-US" w:eastAsia="zh-CN"/>
        </w:rPr>
        <w:t>9</w:t>
      </w:r>
      <w:r>
        <w:rPr>
          <w:rFonts w:hint="eastAsia" w:ascii="宋体" w:hAnsi="宋体"/>
          <w:sz w:val="24"/>
        </w:rPr>
        <w:t>、是否接受进口产品：否</w:t>
      </w:r>
    </w:p>
    <w:p>
      <w:pPr>
        <w:keepNext w:val="0"/>
        <w:keepLines w:val="0"/>
        <w:pageBreakBefore w:val="0"/>
        <w:tabs>
          <w:tab w:val="left" w:pos="900"/>
        </w:tabs>
        <w:kinsoku/>
        <w:wordWrap/>
        <w:overflowPunct/>
        <w:topLinePunct w:val="0"/>
        <w:autoSpaceDE/>
        <w:autoSpaceDN/>
        <w:bidi w:val="0"/>
        <w:snapToGrid w:val="0"/>
        <w:spacing w:line="450" w:lineRule="exact"/>
        <w:textAlignment w:val="auto"/>
        <w:outlineLvl w:val="0"/>
        <w:rPr>
          <w:rFonts w:ascii="宋体" w:hAnsi="宋体"/>
          <w:b/>
          <w:bCs/>
          <w:sz w:val="24"/>
        </w:rPr>
      </w:pPr>
      <w:bookmarkStart w:id="18" w:name="_Toc26848"/>
      <w:bookmarkStart w:id="19" w:name="_Toc14259"/>
      <w:bookmarkStart w:id="20" w:name="_Toc28359003"/>
      <w:bookmarkStart w:id="21" w:name="_Toc35393622"/>
      <w:bookmarkStart w:id="22" w:name="_Toc28359080"/>
      <w:bookmarkStart w:id="23" w:name="_Toc35393791"/>
      <w:r>
        <w:rPr>
          <w:rFonts w:hint="eastAsia" w:ascii="宋体" w:hAnsi="宋体"/>
          <w:b/>
          <w:bCs/>
          <w:sz w:val="24"/>
        </w:rPr>
        <w:t>二、申请人资格要求：</w:t>
      </w:r>
      <w:bookmarkEnd w:id="18"/>
      <w:bookmarkEnd w:id="19"/>
      <w:bookmarkEnd w:id="20"/>
      <w:bookmarkEnd w:id="21"/>
      <w:bookmarkEnd w:id="22"/>
      <w:bookmarkEnd w:id="23"/>
    </w:p>
    <w:p>
      <w:pPr>
        <w:keepNext w:val="0"/>
        <w:keepLines w:val="0"/>
        <w:pageBreakBefore w:val="0"/>
        <w:kinsoku/>
        <w:wordWrap/>
        <w:overflowPunct/>
        <w:topLinePunct w:val="0"/>
        <w:autoSpaceDE/>
        <w:autoSpaceDN/>
        <w:bidi w:val="0"/>
        <w:spacing w:line="450" w:lineRule="exact"/>
        <w:jc w:val="left"/>
        <w:textAlignment w:val="auto"/>
        <w:rPr>
          <w:rFonts w:ascii="宋体" w:hAnsi="宋体"/>
          <w:sz w:val="24"/>
        </w:rPr>
      </w:pPr>
      <w:r>
        <w:rPr>
          <w:rFonts w:hint="eastAsia" w:ascii="宋体" w:hAnsi="宋体"/>
          <w:sz w:val="24"/>
        </w:rPr>
        <w:t>1、满足《中华人民共和国政府采购法》第二十二条规定；</w:t>
      </w:r>
    </w:p>
    <w:p>
      <w:pPr>
        <w:keepNext w:val="0"/>
        <w:keepLines w:val="0"/>
        <w:pageBreakBefore w:val="0"/>
        <w:kinsoku/>
        <w:wordWrap/>
        <w:overflowPunct/>
        <w:topLinePunct w:val="0"/>
        <w:autoSpaceDE/>
        <w:autoSpaceDN/>
        <w:bidi w:val="0"/>
        <w:spacing w:line="450" w:lineRule="exact"/>
        <w:jc w:val="left"/>
        <w:textAlignment w:val="auto"/>
        <w:rPr>
          <w:rFonts w:ascii="宋体" w:hAnsi="宋体"/>
          <w:color w:val="auto"/>
          <w:sz w:val="24"/>
        </w:rPr>
      </w:pPr>
      <w:r>
        <w:rPr>
          <w:rFonts w:hint="eastAsia" w:ascii="宋体" w:hAnsi="宋体"/>
          <w:color w:val="auto"/>
          <w:sz w:val="24"/>
        </w:rPr>
        <w:t>2、落实政府采购政策满足的资格要求：无</w:t>
      </w:r>
    </w:p>
    <w:p>
      <w:pPr>
        <w:keepNext w:val="0"/>
        <w:keepLines w:val="0"/>
        <w:pageBreakBefore w:val="0"/>
        <w:tabs>
          <w:tab w:val="left" w:pos="900"/>
        </w:tabs>
        <w:kinsoku/>
        <w:wordWrap/>
        <w:overflowPunct/>
        <w:topLinePunct w:val="0"/>
        <w:autoSpaceDE/>
        <w:autoSpaceDN/>
        <w:bidi w:val="0"/>
        <w:snapToGrid w:val="0"/>
        <w:spacing w:line="450" w:lineRule="exact"/>
        <w:textAlignment w:val="auto"/>
        <w:rPr>
          <w:rFonts w:ascii="宋体" w:hAnsi="宋体"/>
          <w:sz w:val="24"/>
        </w:rPr>
      </w:pPr>
      <w:r>
        <w:rPr>
          <w:rFonts w:hint="eastAsia" w:ascii="宋体" w:hAnsi="宋体"/>
          <w:sz w:val="24"/>
        </w:rPr>
        <w:t>3、本项目的特定资格要求：</w:t>
      </w:r>
    </w:p>
    <w:p>
      <w:pPr>
        <w:keepNext w:val="0"/>
        <w:keepLines w:val="0"/>
        <w:pageBreakBefore w:val="0"/>
        <w:kinsoku/>
        <w:wordWrap/>
        <w:overflowPunct/>
        <w:topLinePunct w:val="0"/>
        <w:autoSpaceDE/>
        <w:autoSpaceDN/>
        <w:bidi w:val="0"/>
        <w:spacing w:line="450" w:lineRule="exact"/>
        <w:ind w:firstLine="480" w:firstLineChars="200"/>
        <w:textAlignment w:val="auto"/>
        <w:rPr>
          <w:rFonts w:ascii="宋体" w:hAnsi="宋体"/>
          <w:sz w:val="24"/>
        </w:rPr>
      </w:pPr>
      <w:r>
        <w:rPr>
          <w:rFonts w:hint="eastAsia" w:ascii="宋体" w:hAnsi="宋体"/>
          <w:sz w:val="24"/>
        </w:rPr>
        <w:t>3.1符合《中华人民共和国政府采购法》第二十二条、《中华人民共和国政府采购法实施条例》第十七条规定，提供下列材料：</w:t>
      </w:r>
    </w:p>
    <w:p>
      <w:pPr>
        <w:keepNext w:val="0"/>
        <w:keepLines w:val="0"/>
        <w:pageBreakBefore w:val="0"/>
        <w:kinsoku/>
        <w:wordWrap/>
        <w:overflowPunct/>
        <w:topLinePunct w:val="0"/>
        <w:autoSpaceDE/>
        <w:autoSpaceDN/>
        <w:bidi w:val="0"/>
        <w:spacing w:line="450" w:lineRule="exact"/>
        <w:ind w:firstLine="480" w:firstLineChars="200"/>
        <w:textAlignment w:val="auto"/>
        <w:rPr>
          <w:rFonts w:ascii="宋体" w:hAnsi="宋体"/>
          <w:sz w:val="24"/>
        </w:rPr>
      </w:pPr>
      <w:r>
        <w:rPr>
          <w:rFonts w:hint="eastAsia" w:ascii="宋体" w:hAnsi="宋体"/>
          <w:sz w:val="24"/>
        </w:rPr>
        <w:t xml:space="preserve">（1）法人或者其他组织的营业执照等证明文件； </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rPr>
      </w:pPr>
      <w:r>
        <w:rPr>
          <w:rFonts w:hint="eastAsia" w:ascii="宋体" w:hAnsi="宋体"/>
          <w:sz w:val="24"/>
        </w:rPr>
        <w:t>（2）具有良好的商业信誉和健全的财务会计管理制度（提供2018年、2019年</w:t>
      </w:r>
      <w:r>
        <w:rPr>
          <w:rFonts w:hint="eastAsia" w:ascii="宋体" w:hAnsi="宋体"/>
          <w:sz w:val="24"/>
          <w:highlight w:val="none"/>
        </w:rPr>
        <w:t>经审计</w:t>
      </w:r>
      <w:r>
        <w:rPr>
          <w:rFonts w:hint="eastAsia" w:ascii="宋体" w:hAnsi="宋体"/>
          <w:sz w:val="24"/>
        </w:rPr>
        <w:t>的财务报告；如截止到开标时间投标人成立时间不足要求时限的，须提供近三个月内其基本开户银行出具的资信证明）；</w:t>
      </w:r>
    </w:p>
    <w:p>
      <w:pPr>
        <w:pStyle w:val="42"/>
        <w:keepNext w:val="0"/>
        <w:keepLines w:val="0"/>
        <w:pageBreakBefore w:val="0"/>
        <w:numPr>
          <w:ilvl w:val="0"/>
          <w:numId w:val="0"/>
        </w:numPr>
        <w:kinsoku/>
        <w:wordWrap/>
        <w:overflowPunct/>
        <w:topLinePunct w:val="0"/>
        <w:autoSpaceDE/>
        <w:autoSpaceDN/>
        <w:bidi w:val="0"/>
        <w:spacing w:line="450" w:lineRule="exact"/>
        <w:ind w:firstLine="480" w:firstLineChars="200"/>
        <w:textAlignment w:val="auto"/>
        <w:rPr>
          <w:rFonts w:hint="eastAsia" w:ascii="宋体" w:hAnsi="宋体"/>
          <w:sz w:val="24"/>
          <w:highlight w:val="none"/>
        </w:rPr>
      </w:pPr>
      <w:r>
        <w:rPr>
          <w:rFonts w:hint="eastAsia" w:ascii="宋体" w:hAnsi="宋体"/>
          <w:sz w:val="24"/>
        </w:rPr>
        <w:t>（3）具有履行合同所必须的设备和专业技术能力；</w:t>
      </w:r>
      <w:r>
        <w:rPr>
          <w:rFonts w:hint="eastAsia" w:ascii="宋体" w:hAnsi="宋体"/>
          <w:sz w:val="24"/>
          <w:highlight w:val="none"/>
        </w:rPr>
        <w:t>（提供</w:t>
      </w:r>
      <w:r>
        <w:rPr>
          <w:rFonts w:hint="eastAsia" w:ascii="宋体" w:hAnsi="宋体"/>
          <w:sz w:val="24"/>
          <w:highlight w:val="none"/>
          <w:lang w:eastAsia="zh-CN"/>
        </w:rPr>
        <w:t>相应</w:t>
      </w:r>
      <w:r>
        <w:rPr>
          <w:rFonts w:hint="eastAsia" w:ascii="宋体" w:hAnsi="宋体"/>
          <w:sz w:val="24"/>
          <w:highlight w:val="none"/>
        </w:rPr>
        <w:t>证明材料）；</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sz w:val="24"/>
          <w:szCs w:val="24"/>
        </w:rPr>
      </w:pPr>
      <w:r>
        <w:rPr>
          <w:rFonts w:hint="eastAsia" w:ascii="宋体" w:hAnsi="宋体"/>
          <w:sz w:val="24"/>
          <w:szCs w:val="24"/>
        </w:rPr>
        <w:t>（4）有依法缴纳税收和社会保障资金的良好记录（提供2019年7月以来任意连续3个月纳税和社保证明材料</w:t>
      </w:r>
      <w:r>
        <w:rPr>
          <w:rFonts w:hint="eastAsia" w:ascii="宋体" w:hAnsi="宋体" w:cs="宋体"/>
          <w:bCs/>
          <w:iCs/>
          <w:color w:val="000000"/>
          <w:sz w:val="24"/>
        </w:rPr>
        <w:t>&lt;依法免税企业，应提供相关证明文件&gt;</w:t>
      </w:r>
      <w:r>
        <w:rPr>
          <w:rFonts w:hint="eastAsia" w:ascii="宋体" w:hAnsi="宋体"/>
          <w:sz w:val="24"/>
          <w:szCs w:val="24"/>
        </w:rPr>
        <w:t>）；</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sz w:val="24"/>
          <w:szCs w:val="24"/>
        </w:rPr>
      </w:pPr>
      <w:r>
        <w:rPr>
          <w:rFonts w:hint="eastAsia" w:ascii="宋体" w:hAnsi="宋体"/>
          <w:sz w:val="24"/>
          <w:szCs w:val="24"/>
        </w:rPr>
        <w:t>（5）参加政府采购活动前三年内，在经营活动中没有重大违法记录。（</w:t>
      </w:r>
      <w:r>
        <w:rPr>
          <w:rFonts w:hint="eastAsia" w:ascii="宋体" w:hAnsi="宋体"/>
          <w:sz w:val="24"/>
          <w:szCs w:val="24"/>
          <w:lang w:eastAsia="zh-CN"/>
        </w:rPr>
        <w:t>供应商</w:t>
      </w:r>
      <w:r>
        <w:rPr>
          <w:rFonts w:hint="eastAsia" w:ascii="宋体" w:hAnsi="宋体"/>
          <w:sz w:val="24"/>
          <w:szCs w:val="24"/>
        </w:rPr>
        <w:t>需提供近三年无重大违法记录的书面声明。）</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color w:val="000000"/>
          <w:sz w:val="24"/>
        </w:rPr>
      </w:pPr>
      <w:r>
        <w:rPr>
          <w:rFonts w:hint="eastAsia" w:ascii="宋体" w:hAnsi="宋体"/>
          <w:sz w:val="24"/>
          <w:szCs w:val="24"/>
        </w:rPr>
        <w:t>（6）</w:t>
      </w:r>
      <w:r>
        <w:rPr>
          <w:rFonts w:hint="eastAsia" w:ascii="宋体" w:hAnsi="宋体"/>
          <w:color w:val="000000"/>
          <w:sz w:val="24"/>
        </w:rPr>
        <w:t>根据《关于在政府采购活动中查询及使用信用记录有关问题的通知》(财库[2016]125号)的规定，采购代理机构将通过“信用中国”网站（http://www.creditchina.gov.cn/），“中国政府采购网”（www.ccgp.gov.cn）查询相关主体信用记录。查询内容为在“信用中国”网站中查询“失信被执行人”和“重大税收违法案件当事人名单”、“政府采购严重违法失信行为记录名单”，无以上记录的供应商为合格供应商。本项目信用记录截止时间为</w:t>
      </w:r>
      <w:r>
        <w:rPr>
          <w:rFonts w:hint="eastAsia" w:ascii="宋体" w:hAnsi="宋体"/>
          <w:color w:val="000000"/>
          <w:sz w:val="24"/>
          <w:lang w:eastAsia="zh-CN"/>
        </w:rPr>
        <w:t>响应文件递交</w:t>
      </w:r>
      <w:r>
        <w:rPr>
          <w:rFonts w:hint="eastAsia" w:ascii="宋体" w:hAnsi="宋体"/>
          <w:color w:val="000000"/>
          <w:sz w:val="24"/>
        </w:rPr>
        <w:t>截止时间；</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sz w:val="24"/>
          <w:szCs w:val="24"/>
        </w:rPr>
      </w:pPr>
      <w:r>
        <w:rPr>
          <w:rFonts w:hint="eastAsia" w:ascii="宋体" w:hAnsi="宋体"/>
          <w:sz w:val="24"/>
          <w:szCs w:val="24"/>
        </w:rPr>
        <w:t>（7）与采购人、采购人就本次采购的项目委托的</w:t>
      </w:r>
      <w:r>
        <w:rPr>
          <w:rFonts w:hint="eastAsia" w:ascii="宋体" w:hAnsi="宋体"/>
          <w:sz w:val="24"/>
          <w:szCs w:val="24"/>
          <w:lang w:eastAsia="zh-CN"/>
        </w:rPr>
        <w:t>采购</w:t>
      </w:r>
      <w:r>
        <w:rPr>
          <w:rFonts w:hint="eastAsia" w:ascii="宋体" w:hAnsi="宋体"/>
          <w:sz w:val="24"/>
          <w:szCs w:val="24"/>
        </w:rPr>
        <w:t>代理机构以及上述机构的附属机构没有行政或经济关联；</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2本次</w:t>
      </w:r>
      <w:r>
        <w:rPr>
          <w:rFonts w:hint="eastAsia" w:ascii="宋体" w:hAnsi="宋体"/>
          <w:sz w:val="24"/>
          <w:szCs w:val="24"/>
          <w:lang w:eastAsia="zh-CN"/>
        </w:rPr>
        <w:t>采购</w:t>
      </w:r>
      <w:r>
        <w:rPr>
          <w:rFonts w:hint="eastAsia" w:ascii="宋体" w:hAnsi="宋体"/>
          <w:sz w:val="24"/>
          <w:szCs w:val="24"/>
        </w:rPr>
        <w:t>不接受联合体投标，中标后不得分包与转包。</w:t>
      </w:r>
    </w:p>
    <w:p>
      <w:pPr>
        <w:keepNext w:val="0"/>
        <w:keepLines w:val="0"/>
        <w:pageBreakBefore w:val="0"/>
        <w:kinsoku/>
        <w:wordWrap/>
        <w:overflowPunct/>
        <w:topLinePunct w:val="0"/>
        <w:autoSpaceDE/>
        <w:autoSpaceDN/>
        <w:bidi w:val="0"/>
        <w:spacing w:line="450" w:lineRule="exact"/>
        <w:ind w:firstLine="480" w:firstLineChars="200"/>
        <w:textAlignment w:val="auto"/>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.3</w:t>
      </w:r>
      <w:r>
        <w:rPr>
          <w:rFonts w:hint="eastAsia" w:ascii="宋体" w:hAnsi="宋体"/>
          <w:sz w:val="24"/>
          <w:szCs w:val="24"/>
        </w:rPr>
        <w:t>单位负责人为同一人或者存在直接控股、管理关系的不同</w:t>
      </w:r>
      <w:r>
        <w:rPr>
          <w:rFonts w:hint="eastAsia" w:ascii="宋体" w:hAnsi="宋体"/>
          <w:sz w:val="24"/>
          <w:szCs w:val="24"/>
          <w:lang w:eastAsia="zh-CN"/>
        </w:rPr>
        <w:t>供应商</w:t>
      </w:r>
      <w:r>
        <w:rPr>
          <w:rFonts w:hint="eastAsia" w:ascii="宋体" w:hAnsi="宋体"/>
          <w:sz w:val="24"/>
          <w:szCs w:val="24"/>
        </w:rPr>
        <w:t>，不得参加同一合同项下的政府采购活动。</w:t>
      </w:r>
    </w:p>
    <w:p>
      <w:pPr>
        <w:keepNext w:val="0"/>
        <w:keepLines w:val="0"/>
        <w:pageBreakBefore w:val="0"/>
        <w:widowControl/>
        <w:kinsoku/>
        <w:wordWrap/>
        <w:overflowPunct/>
        <w:topLinePunct w:val="0"/>
        <w:autoSpaceDE/>
        <w:autoSpaceDN/>
        <w:bidi w:val="0"/>
        <w:spacing w:line="450" w:lineRule="exact"/>
        <w:jc w:val="left"/>
        <w:textAlignment w:val="auto"/>
        <w:outlineLvl w:val="0"/>
        <w:rPr>
          <w:rFonts w:ascii="宋体" w:hAnsi="宋体"/>
          <w:b/>
          <w:bCs/>
          <w:color w:val="000000"/>
          <w:sz w:val="24"/>
        </w:rPr>
      </w:pPr>
      <w:bookmarkStart w:id="24" w:name="_Toc17678"/>
      <w:bookmarkStart w:id="25" w:name="_Toc8678"/>
      <w:r>
        <w:rPr>
          <w:rFonts w:hint="eastAsia" w:ascii="宋体" w:hAnsi="宋体"/>
          <w:b/>
          <w:bCs/>
          <w:color w:val="000000"/>
          <w:sz w:val="24"/>
        </w:rPr>
        <w:t>三、获取采购文件</w:t>
      </w:r>
      <w:bookmarkEnd w:id="24"/>
      <w:bookmarkEnd w:id="25"/>
    </w:p>
    <w:p>
      <w:pPr>
        <w:keepNext w:val="0"/>
        <w:keepLines w:val="0"/>
        <w:pageBreakBefore w:val="0"/>
        <w:widowControl/>
        <w:kinsoku/>
        <w:wordWrap/>
        <w:overflowPunct/>
        <w:topLinePunct w:val="0"/>
        <w:autoSpaceDE/>
        <w:autoSpaceDN/>
        <w:bidi w:val="0"/>
        <w:spacing w:line="450" w:lineRule="exact"/>
        <w:ind w:left="0" w:leftChars="0" w:firstLine="420" w:firstLineChars="175"/>
        <w:jc w:val="left"/>
        <w:textAlignment w:val="auto"/>
        <w:rPr>
          <w:rFonts w:ascii="宋体" w:hAnsi="宋体"/>
          <w:color w:val="000000"/>
          <w:sz w:val="24"/>
          <w:highlight w:val="none"/>
        </w:rPr>
      </w:pPr>
      <w:r>
        <w:rPr>
          <w:rFonts w:hint="eastAsia" w:ascii="宋体" w:hAnsi="宋体"/>
          <w:color w:val="000000"/>
          <w:sz w:val="24"/>
        </w:rPr>
        <w:t>1.时间</w:t>
      </w:r>
      <w:r>
        <w:rPr>
          <w:rFonts w:hint="eastAsia" w:ascii="宋体" w:hAnsi="宋体"/>
          <w:color w:val="000000"/>
          <w:sz w:val="24"/>
          <w:highlight w:val="none"/>
        </w:rPr>
        <w:t>：2020年</w:t>
      </w:r>
      <w:r>
        <w:rPr>
          <w:rFonts w:hint="eastAsia" w:ascii="宋体" w:hAnsi="宋体"/>
          <w:color w:val="000000"/>
          <w:sz w:val="24"/>
          <w:highlight w:val="none"/>
          <w:lang w:val="en-US" w:eastAsia="zh-CN"/>
        </w:rPr>
        <w:t>8</w:t>
      </w:r>
      <w:r>
        <w:rPr>
          <w:rFonts w:hint="eastAsia" w:ascii="宋体" w:hAnsi="宋体"/>
          <w:color w:val="000000"/>
          <w:sz w:val="24"/>
          <w:highlight w:val="none"/>
        </w:rPr>
        <w:t>月</w:t>
      </w:r>
      <w:r>
        <w:rPr>
          <w:rFonts w:hint="eastAsia" w:ascii="宋体" w:hAnsi="宋体"/>
          <w:color w:val="000000"/>
          <w:sz w:val="24"/>
          <w:highlight w:val="none"/>
          <w:lang w:val="en-US" w:eastAsia="zh-CN"/>
        </w:rPr>
        <w:t>20</w:t>
      </w:r>
      <w:r>
        <w:rPr>
          <w:rFonts w:hint="eastAsia" w:ascii="宋体" w:hAnsi="宋体"/>
          <w:color w:val="000000"/>
          <w:sz w:val="24"/>
          <w:highlight w:val="none"/>
        </w:rPr>
        <w:t>日至2020年</w:t>
      </w:r>
      <w:r>
        <w:rPr>
          <w:rFonts w:hint="eastAsia" w:ascii="宋体" w:hAnsi="宋体"/>
          <w:color w:val="000000"/>
          <w:sz w:val="24"/>
          <w:highlight w:val="none"/>
          <w:lang w:val="en-US" w:eastAsia="zh-CN"/>
        </w:rPr>
        <w:t>8</w:t>
      </w:r>
      <w:r>
        <w:rPr>
          <w:rFonts w:hint="eastAsia" w:ascii="宋体" w:hAnsi="宋体"/>
          <w:color w:val="000000"/>
          <w:sz w:val="24"/>
          <w:highlight w:val="none"/>
        </w:rPr>
        <w:t>月</w:t>
      </w:r>
      <w:r>
        <w:rPr>
          <w:rFonts w:hint="eastAsia" w:ascii="宋体" w:hAnsi="宋体"/>
          <w:color w:val="000000"/>
          <w:sz w:val="24"/>
          <w:highlight w:val="none"/>
          <w:lang w:val="en-US" w:eastAsia="zh-CN"/>
        </w:rPr>
        <w:t>27</w:t>
      </w:r>
      <w:r>
        <w:rPr>
          <w:rFonts w:hint="eastAsia" w:ascii="宋体" w:hAnsi="宋体"/>
          <w:color w:val="000000"/>
          <w:sz w:val="24"/>
          <w:highlight w:val="none"/>
        </w:rPr>
        <w:t>日，每天上午00:00至12:00，下午12:00至23:59（北京时间，法定节假日除外。）</w:t>
      </w:r>
    </w:p>
    <w:p>
      <w:pPr>
        <w:keepNext w:val="0"/>
        <w:keepLines w:val="0"/>
        <w:pageBreakBefore w:val="0"/>
        <w:widowControl/>
        <w:kinsoku/>
        <w:wordWrap/>
        <w:overflowPunct/>
        <w:topLinePunct w:val="0"/>
        <w:autoSpaceDE/>
        <w:autoSpaceDN/>
        <w:bidi w:val="0"/>
        <w:spacing w:line="450" w:lineRule="exact"/>
        <w:ind w:left="0" w:leftChars="0" w:firstLine="420" w:firstLineChars="175"/>
        <w:jc w:val="left"/>
        <w:textAlignment w:val="auto"/>
        <w:rPr>
          <w:rFonts w:ascii="宋体" w:hAnsi="宋体"/>
          <w:color w:val="000000"/>
          <w:sz w:val="24"/>
        </w:rPr>
      </w:pPr>
      <w:r>
        <w:rPr>
          <w:rFonts w:hint="eastAsia" w:ascii="宋体" w:hAnsi="宋体"/>
          <w:color w:val="000000"/>
          <w:sz w:val="24"/>
        </w:rPr>
        <w:t>2.地点：登录河南省公共资源交易中心（http://www.hnggzy.com）。</w:t>
      </w:r>
    </w:p>
    <w:p>
      <w:pPr>
        <w:keepNext w:val="0"/>
        <w:keepLines w:val="0"/>
        <w:pageBreakBefore w:val="0"/>
        <w:widowControl/>
        <w:kinsoku/>
        <w:wordWrap/>
        <w:overflowPunct/>
        <w:topLinePunct w:val="0"/>
        <w:autoSpaceDE/>
        <w:autoSpaceDN/>
        <w:bidi w:val="0"/>
        <w:spacing w:line="450" w:lineRule="exact"/>
        <w:ind w:left="0" w:leftChars="0" w:firstLine="420" w:firstLineChars="175"/>
        <w:jc w:val="left"/>
        <w:textAlignment w:val="auto"/>
        <w:rPr>
          <w:rFonts w:ascii="宋体" w:hAnsi="宋体"/>
          <w:color w:val="000000"/>
          <w:sz w:val="24"/>
        </w:rPr>
      </w:pPr>
      <w:r>
        <w:rPr>
          <w:rFonts w:hint="eastAsia" w:ascii="宋体" w:hAnsi="宋体"/>
          <w:color w:val="000000"/>
          <w:sz w:val="24"/>
        </w:rPr>
        <w:t>3.方式：凭CA密钥市场主体登录并在规定时间内按网上提示下载招标文件及资料；投标人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keepNext w:val="0"/>
        <w:keepLines w:val="0"/>
        <w:pageBreakBefore w:val="0"/>
        <w:widowControl/>
        <w:kinsoku/>
        <w:wordWrap/>
        <w:overflowPunct/>
        <w:topLinePunct w:val="0"/>
        <w:autoSpaceDE/>
        <w:autoSpaceDN/>
        <w:bidi w:val="0"/>
        <w:spacing w:line="450" w:lineRule="exact"/>
        <w:ind w:left="0" w:leftChars="0" w:firstLine="420" w:firstLineChars="175"/>
        <w:jc w:val="left"/>
        <w:textAlignment w:val="auto"/>
        <w:rPr>
          <w:rFonts w:ascii="宋体" w:hAnsi="宋体"/>
          <w:color w:val="000000"/>
          <w:sz w:val="24"/>
        </w:rPr>
      </w:pPr>
      <w:r>
        <w:rPr>
          <w:rFonts w:hint="eastAsia" w:ascii="宋体" w:hAnsi="宋体"/>
          <w:color w:val="000000"/>
          <w:sz w:val="24"/>
        </w:rPr>
        <w:t>4.售价：0元</w:t>
      </w:r>
    </w:p>
    <w:p>
      <w:pPr>
        <w:keepNext w:val="0"/>
        <w:keepLines w:val="0"/>
        <w:pageBreakBefore w:val="0"/>
        <w:widowControl/>
        <w:kinsoku/>
        <w:wordWrap/>
        <w:overflowPunct/>
        <w:topLinePunct w:val="0"/>
        <w:autoSpaceDE/>
        <w:autoSpaceDN/>
        <w:bidi w:val="0"/>
        <w:spacing w:line="450" w:lineRule="exact"/>
        <w:jc w:val="left"/>
        <w:textAlignment w:val="auto"/>
        <w:outlineLvl w:val="0"/>
        <w:rPr>
          <w:rFonts w:ascii="宋体" w:hAnsi="宋体"/>
          <w:b/>
          <w:bCs/>
          <w:color w:val="000000"/>
          <w:sz w:val="24"/>
        </w:rPr>
      </w:pPr>
      <w:bookmarkStart w:id="26" w:name="_Toc21233"/>
      <w:bookmarkStart w:id="27" w:name="_Toc15674"/>
      <w:r>
        <w:rPr>
          <w:rFonts w:hint="eastAsia" w:ascii="宋体" w:hAnsi="宋体"/>
          <w:b/>
          <w:bCs/>
          <w:color w:val="000000"/>
          <w:sz w:val="24"/>
        </w:rPr>
        <w:t>四、</w:t>
      </w:r>
      <w:r>
        <w:rPr>
          <w:rFonts w:hint="eastAsia" w:ascii="宋体" w:hAnsi="宋体"/>
          <w:b/>
          <w:bCs/>
          <w:color w:val="000000"/>
          <w:sz w:val="24"/>
          <w:lang w:eastAsia="zh-CN"/>
        </w:rPr>
        <w:t>响应文件</w:t>
      </w:r>
      <w:bookmarkEnd w:id="26"/>
      <w:bookmarkEnd w:id="27"/>
      <w:r>
        <w:rPr>
          <w:rFonts w:hint="eastAsia" w:ascii="宋体" w:hAnsi="宋体"/>
          <w:b/>
          <w:bCs/>
          <w:color w:val="000000"/>
          <w:sz w:val="24"/>
          <w:lang w:eastAsia="zh-CN"/>
        </w:rPr>
        <w:t>提交</w:t>
      </w:r>
    </w:p>
    <w:p>
      <w:pPr>
        <w:keepNext w:val="0"/>
        <w:keepLines w:val="0"/>
        <w:pageBreakBefore w:val="0"/>
        <w:widowControl/>
        <w:kinsoku/>
        <w:wordWrap/>
        <w:overflowPunct/>
        <w:topLinePunct w:val="0"/>
        <w:autoSpaceDE/>
        <w:autoSpaceDN/>
        <w:bidi w:val="0"/>
        <w:spacing w:line="450" w:lineRule="exact"/>
        <w:ind w:left="0" w:leftChars="0" w:firstLine="420" w:firstLineChars="175"/>
        <w:jc w:val="left"/>
        <w:textAlignment w:val="auto"/>
        <w:rPr>
          <w:rFonts w:ascii="宋体" w:hAnsi="宋体"/>
          <w:color w:val="000000"/>
          <w:sz w:val="24"/>
        </w:rPr>
      </w:pPr>
      <w:r>
        <w:rPr>
          <w:rFonts w:hint="eastAsia" w:ascii="宋体" w:hAnsi="宋体"/>
          <w:color w:val="000000"/>
          <w:sz w:val="24"/>
        </w:rPr>
        <w:t>1.时间</w:t>
      </w:r>
      <w:r>
        <w:rPr>
          <w:rFonts w:hint="eastAsia" w:ascii="宋体" w:hAnsi="宋体"/>
          <w:color w:val="000000"/>
          <w:sz w:val="24"/>
          <w:highlight w:val="none"/>
        </w:rPr>
        <w:t>：</w:t>
      </w:r>
      <w:r>
        <w:rPr>
          <w:rFonts w:hint="eastAsia" w:ascii="宋体" w:hAnsi="宋体"/>
          <w:color w:val="000000"/>
          <w:sz w:val="24"/>
          <w:highlight w:val="none"/>
          <w:lang w:eastAsia="zh-CN"/>
        </w:rPr>
        <w:t>2020年08月</w:t>
      </w:r>
      <w:r>
        <w:rPr>
          <w:rFonts w:hint="eastAsia" w:ascii="宋体" w:hAnsi="宋体"/>
          <w:color w:val="000000"/>
          <w:sz w:val="24"/>
          <w:highlight w:val="none"/>
          <w:lang w:val="en-US" w:eastAsia="zh-CN"/>
        </w:rPr>
        <w:t>31</w:t>
      </w:r>
      <w:r>
        <w:rPr>
          <w:rFonts w:hint="eastAsia" w:ascii="宋体" w:hAnsi="宋体"/>
          <w:color w:val="000000"/>
          <w:sz w:val="24"/>
          <w:highlight w:val="none"/>
          <w:lang w:eastAsia="zh-CN"/>
        </w:rPr>
        <w:t>日 09时00</w:t>
      </w:r>
      <w:r>
        <w:rPr>
          <w:rFonts w:hint="eastAsia" w:ascii="宋体" w:hAnsi="宋体"/>
          <w:color w:val="000000"/>
          <w:sz w:val="24"/>
          <w:lang w:eastAsia="zh-CN"/>
        </w:rPr>
        <w:t>分</w:t>
      </w:r>
      <w:r>
        <w:rPr>
          <w:rFonts w:hint="eastAsia" w:ascii="宋体" w:hAnsi="宋体"/>
          <w:color w:val="000000"/>
          <w:sz w:val="24"/>
        </w:rPr>
        <w:t>（北京时间）</w:t>
      </w:r>
    </w:p>
    <w:p>
      <w:pPr>
        <w:keepNext w:val="0"/>
        <w:keepLines w:val="0"/>
        <w:pageBreakBefore w:val="0"/>
        <w:widowControl/>
        <w:kinsoku/>
        <w:wordWrap/>
        <w:overflowPunct/>
        <w:topLinePunct w:val="0"/>
        <w:autoSpaceDE/>
        <w:autoSpaceDN/>
        <w:bidi w:val="0"/>
        <w:spacing w:line="450" w:lineRule="exact"/>
        <w:ind w:left="0" w:leftChars="0" w:firstLine="420" w:firstLineChars="175"/>
        <w:jc w:val="left"/>
        <w:textAlignment w:val="auto"/>
        <w:rPr>
          <w:rFonts w:ascii="宋体" w:hAnsi="宋体"/>
          <w:color w:val="auto"/>
          <w:sz w:val="24"/>
        </w:rPr>
      </w:pPr>
      <w:r>
        <w:rPr>
          <w:rFonts w:hint="eastAsia" w:ascii="宋体" w:hAnsi="宋体"/>
          <w:color w:val="000000"/>
          <w:sz w:val="24"/>
        </w:rPr>
        <w:t>2.地点：</w:t>
      </w:r>
      <w:r>
        <w:rPr>
          <w:rFonts w:hint="eastAsia" w:ascii="宋体" w:hAnsi="宋体" w:eastAsia="宋体" w:cs="宋体"/>
          <w:color w:val="auto"/>
          <w:sz w:val="24"/>
          <w:szCs w:val="24"/>
        </w:rPr>
        <w:t>加密电子响应文件须在投标截止时间前上传至河南省公共资源交易中心交易系统；加密电子投标文件逾期上传，采购人不予受理。</w:t>
      </w:r>
    </w:p>
    <w:p>
      <w:pPr>
        <w:keepNext w:val="0"/>
        <w:keepLines w:val="0"/>
        <w:pageBreakBefore w:val="0"/>
        <w:widowControl/>
        <w:kinsoku/>
        <w:wordWrap/>
        <w:overflowPunct/>
        <w:topLinePunct w:val="0"/>
        <w:autoSpaceDE/>
        <w:autoSpaceDN/>
        <w:bidi w:val="0"/>
        <w:spacing w:line="450" w:lineRule="exact"/>
        <w:jc w:val="left"/>
        <w:textAlignment w:val="auto"/>
        <w:outlineLvl w:val="0"/>
        <w:rPr>
          <w:rFonts w:hint="eastAsia" w:ascii="宋体" w:hAnsi="宋体"/>
          <w:b/>
          <w:bCs/>
          <w:color w:val="000000"/>
          <w:sz w:val="24"/>
          <w:lang w:eastAsia="zh-CN"/>
        </w:rPr>
      </w:pPr>
      <w:bookmarkStart w:id="28" w:name="_Toc6378"/>
      <w:bookmarkStart w:id="29" w:name="_Toc22257"/>
      <w:r>
        <w:rPr>
          <w:rFonts w:hint="eastAsia" w:ascii="宋体" w:hAnsi="宋体"/>
          <w:b/>
          <w:bCs/>
          <w:color w:val="000000"/>
          <w:sz w:val="24"/>
        </w:rPr>
        <w:t>五、</w:t>
      </w:r>
      <w:r>
        <w:rPr>
          <w:rFonts w:hint="eastAsia" w:ascii="宋体" w:hAnsi="宋体"/>
          <w:b/>
          <w:bCs/>
          <w:color w:val="000000"/>
          <w:sz w:val="24"/>
          <w:lang w:eastAsia="zh-CN"/>
        </w:rPr>
        <w:t>响应文件开启</w:t>
      </w:r>
      <w:bookmarkEnd w:id="28"/>
      <w:bookmarkEnd w:id="29"/>
    </w:p>
    <w:p>
      <w:pPr>
        <w:keepNext w:val="0"/>
        <w:keepLines w:val="0"/>
        <w:pageBreakBefore w:val="0"/>
        <w:widowControl/>
        <w:kinsoku/>
        <w:wordWrap/>
        <w:overflowPunct/>
        <w:topLinePunct w:val="0"/>
        <w:autoSpaceDE/>
        <w:autoSpaceDN/>
        <w:bidi w:val="0"/>
        <w:spacing w:line="450" w:lineRule="exact"/>
        <w:ind w:left="0" w:leftChars="0" w:firstLine="420" w:firstLineChars="175"/>
        <w:jc w:val="left"/>
        <w:textAlignment w:val="auto"/>
        <w:rPr>
          <w:rFonts w:ascii="宋体" w:hAnsi="宋体"/>
          <w:color w:val="000000"/>
          <w:sz w:val="24"/>
          <w:highlight w:val="none"/>
        </w:rPr>
      </w:pPr>
      <w:r>
        <w:rPr>
          <w:rFonts w:hint="eastAsia" w:ascii="宋体" w:hAnsi="宋体"/>
          <w:color w:val="000000"/>
          <w:sz w:val="24"/>
        </w:rPr>
        <w:t>1.时间：</w:t>
      </w:r>
      <w:r>
        <w:rPr>
          <w:rFonts w:hint="eastAsia" w:ascii="宋体" w:hAnsi="宋体"/>
          <w:color w:val="000000"/>
          <w:sz w:val="24"/>
          <w:highlight w:val="none"/>
          <w:lang w:eastAsia="zh-CN"/>
        </w:rPr>
        <w:t>2020年08月</w:t>
      </w:r>
      <w:r>
        <w:rPr>
          <w:rFonts w:hint="eastAsia" w:ascii="宋体" w:hAnsi="宋体"/>
          <w:color w:val="000000"/>
          <w:sz w:val="24"/>
          <w:highlight w:val="none"/>
          <w:lang w:val="en-US" w:eastAsia="zh-CN"/>
        </w:rPr>
        <w:t>31</w:t>
      </w:r>
      <w:r>
        <w:rPr>
          <w:rFonts w:hint="eastAsia" w:ascii="宋体" w:hAnsi="宋体"/>
          <w:color w:val="000000"/>
          <w:sz w:val="24"/>
          <w:highlight w:val="none"/>
          <w:lang w:eastAsia="zh-CN"/>
        </w:rPr>
        <w:t>日09时00分</w:t>
      </w:r>
      <w:r>
        <w:rPr>
          <w:rFonts w:hint="eastAsia" w:ascii="宋体" w:hAnsi="宋体"/>
          <w:color w:val="000000"/>
          <w:sz w:val="24"/>
          <w:highlight w:val="none"/>
        </w:rPr>
        <w:t>（北京时间）</w:t>
      </w:r>
    </w:p>
    <w:p>
      <w:pPr>
        <w:keepNext w:val="0"/>
        <w:keepLines w:val="0"/>
        <w:pageBreakBefore w:val="0"/>
        <w:widowControl/>
        <w:kinsoku/>
        <w:wordWrap/>
        <w:overflowPunct/>
        <w:topLinePunct w:val="0"/>
        <w:autoSpaceDE/>
        <w:autoSpaceDN/>
        <w:bidi w:val="0"/>
        <w:spacing w:line="450" w:lineRule="exact"/>
        <w:ind w:left="0" w:leftChars="0" w:firstLine="420" w:firstLineChars="175"/>
        <w:jc w:val="left"/>
        <w:textAlignment w:val="auto"/>
        <w:rPr>
          <w:rFonts w:hint="eastAsia" w:ascii="宋体" w:hAnsi="宋体"/>
          <w:color w:val="000000"/>
          <w:sz w:val="24"/>
        </w:rPr>
      </w:pPr>
      <w:r>
        <w:rPr>
          <w:rFonts w:hint="eastAsia" w:ascii="宋体" w:hAnsi="宋体"/>
          <w:color w:val="000000"/>
          <w:sz w:val="24"/>
          <w:highlight w:val="none"/>
        </w:rPr>
        <w:t>2.地点：河南省公共资源交易中心</w:t>
      </w:r>
      <w:r>
        <w:rPr>
          <w:rFonts w:hint="eastAsia" w:ascii="宋体" w:hAnsi="宋体"/>
          <w:color w:val="000000"/>
          <w:sz w:val="24"/>
          <w:highlight w:val="none"/>
          <w:lang w:eastAsia="zh-CN"/>
        </w:rPr>
        <w:t>第15开标室-(2)</w:t>
      </w:r>
      <w:r>
        <w:rPr>
          <w:rFonts w:hint="eastAsia" w:ascii="宋体" w:hAnsi="宋体"/>
          <w:color w:val="000000"/>
          <w:sz w:val="24"/>
          <w:highlight w:val="none"/>
        </w:rPr>
        <w:t>（</w:t>
      </w:r>
      <w:r>
        <w:rPr>
          <w:rFonts w:hint="eastAsia" w:ascii="宋体" w:hAnsi="宋体"/>
          <w:color w:val="000000"/>
          <w:sz w:val="24"/>
        </w:rPr>
        <w:t>郑州市经一路与农业路交叉口投资大厦A座）</w:t>
      </w:r>
    </w:p>
    <w:p>
      <w:pPr>
        <w:keepNext w:val="0"/>
        <w:keepLines w:val="0"/>
        <w:pageBreakBefore w:val="0"/>
        <w:widowControl/>
        <w:kinsoku/>
        <w:wordWrap/>
        <w:overflowPunct/>
        <w:topLinePunct w:val="0"/>
        <w:autoSpaceDE/>
        <w:autoSpaceDN/>
        <w:bidi w:val="0"/>
        <w:spacing w:line="450" w:lineRule="exact"/>
        <w:ind w:left="0" w:leftChars="0" w:firstLine="420" w:firstLineChars="175"/>
        <w:jc w:val="left"/>
        <w:textAlignment w:val="auto"/>
        <w:rPr>
          <w:rFonts w:ascii="宋体" w:hAnsi="宋体"/>
          <w:color w:val="000000"/>
          <w:sz w:val="24"/>
        </w:rPr>
      </w:pPr>
      <w:r>
        <w:rPr>
          <w:rFonts w:hint="eastAsia" w:ascii="宋体" w:hAnsi="宋体"/>
          <w:color w:val="000000"/>
          <w:sz w:val="24"/>
        </w:rPr>
        <w:t>3. 其他有关事项：开标为远程开标，投标人无需到达开标现场。投标人需进行远程解密。</w:t>
      </w:r>
    </w:p>
    <w:p>
      <w:pPr>
        <w:keepNext w:val="0"/>
        <w:keepLines w:val="0"/>
        <w:pageBreakBefore w:val="0"/>
        <w:widowControl/>
        <w:kinsoku/>
        <w:wordWrap/>
        <w:overflowPunct/>
        <w:topLinePunct w:val="0"/>
        <w:autoSpaceDE/>
        <w:autoSpaceDN/>
        <w:bidi w:val="0"/>
        <w:spacing w:line="450" w:lineRule="exact"/>
        <w:jc w:val="left"/>
        <w:textAlignment w:val="auto"/>
        <w:outlineLvl w:val="0"/>
        <w:rPr>
          <w:rFonts w:ascii="宋体" w:hAnsi="宋体"/>
          <w:b/>
          <w:bCs/>
          <w:color w:val="000000"/>
          <w:sz w:val="24"/>
        </w:rPr>
      </w:pPr>
      <w:bookmarkStart w:id="30" w:name="_Toc6728"/>
      <w:bookmarkStart w:id="31" w:name="_Toc13154"/>
      <w:r>
        <w:rPr>
          <w:rFonts w:hint="eastAsia" w:ascii="宋体" w:hAnsi="宋体"/>
          <w:b/>
          <w:bCs/>
          <w:color w:val="000000"/>
          <w:sz w:val="24"/>
        </w:rPr>
        <w:t>六、发布公告的媒介及招标公告期限</w:t>
      </w:r>
      <w:bookmarkEnd w:id="30"/>
      <w:bookmarkEnd w:id="31"/>
    </w:p>
    <w:p>
      <w:pPr>
        <w:keepNext w:val="0"/>
        <w:keepLines w:val="0"/>
        <w:pageBreakBefore w:val="0"/>
        <w:widowControl/>
        <w:kinsoku/>
        <w:wordWrap/>
        <w:overflowPunct/>
        <w:topLinePunct w:val="0"/>
        <w:autoSpaceDE/>
        <w:autoSpaceDN/>
        <w:bidi w:val="0"/>
        <w:spacing w:line="450" w:lineRule="exact"/>
        <w:ind w:left="0" w:leftChars="0" w:firstLine="420" w:firstLineChars="175"/>
        <w:jc w:val="left"/>
        <w:textAlignment w:val="auto"/>
        <w:rPr>
          <w:rFonts w:ascii="宋体" w:hAnsi="宋体"/>
          <w:color w:val="000000"/>
          <w:sz w:val="24"/>
          <w:highlight w:val="none"/>
        </w:rPr>
      </w:pPr>
      <w:r>
        <w:rPr>
          <w:rFonts w:hint="eastAsia" w:ascii="宋体" w:hAnsi="宋体"/>
          <w:color w:val="000000"/>
          <w:sz w:val="24"/>
        </w:rPr>
        <w:t>本次招标公告在</w:t>
      </w:r>
      <w:r>
        <w:rPr>
          <w:rFonts w:hint="eastAsia" w:ascii="宋体" w:hAnsi="宋体"/>
          <w:color w:val="000000"/>
          <w:sz w:val="24"/>
          <w:lang w:eastAsia="zh-CN"/>
        </w:rPr>
        <w:t>《中国政府采购网》</w:t>
      </w:r>
      <w:r>
        <w:rPr>
          <w:rFonts w:hint="eastAsia" w:ascii="宋体" w:hAnsi="宋体"/>
          <w:color w:val="000000"/>
          <w:sz w:val="24"/>
        </w:rPr>
        <w:t>《河南省政府采购网》《河南省公共资源交易中心网站》上发布。 招标公告期限为</w:t>
      </w:r>
      <w:r>
        <w:rPr>
          <w:rFonts w:hint="eastAsia" w:ascii="宋体" w:hAnsi="宋体"/>
          <w:color w:val="000000"/>
          <w:sz w:val="24"/>
          <w:lang w:eastAsia="zh-CN"/>
        </w:rPr>
        <w:t>五</w:t>
      </w:r>
      <w:r>
        <w:rPr>
          <w:rFonts w:hint="eastAsia" w:ascii="宋体" w:hAnsi="宋体"/>
          <w:color w:val="000000"/>
          <w:sz w:val="24"/>
        </w:rPr>
        <w:t>个工</w:t>
      </w:r>
      <w:r>
        <w:rPr>
          <w:rFonts w:hint="eastAsia" w:ascii="宋体" w:hAnsi="宋体"/>
          <w:color w:val="000000"/>
          <w:sz w:val="24"/>
          <w:highlight w:val="none"/>
        </w:rPr>
        <w:t>作日2020年</w:t>
      </w:r>
      <w:r>
        <w:rPr>
          <w:rFonts w:hint="eastAsia" w:ascii="宋体" w:hAnsi="宋体"/>
          <w:color w:val="000000"/>
          <w:sz w:val="24"/>
          <w:highlight w:val="none"/>
          <w:lang w:val="en-US" w:eastAsia="zh-CN"/>
        </w:rPr>
        <w:t>8</w:t>
      </w:r>
      <w:r>
        <w:rPr>
          <w:rFonts w:hint="eastAsia" w:ascii="宋体" w:hAnsi="宋体"/>
          <w:color w:val="000000"/>
          <w:sz w:val="24"/>
          <w:highlight w:val="none"/>
        </w:rPr>
        <w:t>月</w:t>
      </w:r>
      <w:r>
        <w:rPr>
          <w:rFonts w:hint="eastAsia" w:ascii="宋体" w:hAnsi="宋体"/>
          <w:color w:val="000000"/>
          <w:sz w:val="24"/>
          <w:highlight w:val="none"/>
          <w:lang w:val="en-US" w:eastAsia="zh-CN"/>
        </w:rPr>
        <w:t>20</w:t>
      </w:r>
      <w:r>
        <w:rPr>
          <w:rFonts w:hint="eastAsia" w:ascii="宋体" w:hAnsi="宋体"/>
          <w:color w:val="000000"/>
          <w:sz w:val="24"/>
          <w:highlight w:val="none"/>
        </w:rPr>
        <w:t>日至2020年</w:t>
      </w:r>
      <w:r>
        <w:rPr>
          <w:rFonts w:hint="eastAsia" w:ascii="宋体" w:hAnsi="宋体"/>
          <w:color w:val="000000"/>
          <w:sz w:val="24"/>
          <w:highlight w:val="none"/>
          <w:lang w:val="en-US" w:eastAsia="zh-CN"/>
        </w:rPr>
        <w:t>8</w:t>
      </w:r>
      <w:r>
        <w:rPr>
          <w:rFonts w:hint="eastAsia" w:ascii="宋体" w:hAnsi="宋体"/>
          <w:color w:val="000000"/>
          <w:sz w:val="24"/>
          <w:highlight w:val="none"/>
        </w:rPr>
        <w:t>月</w:t>
      </w:r>
      <w:r>
        <w:rPr>
          <w:rFonts w:hint="eastAsia" w:ascii="宋体" w:hAnsi="宋体"/>
          <w:color w:val="000000"/>
          <w:sz w:val="24"/>
          <w:highlight w:val="none"/>
          <w:lang w:val="en-US" w:eastAsia="zh-CN"/>
        </w:rPr>
        <w:t>27</w:t>
      </w:r>
      <w:r>
        <w:rPr>
          <w:rFonts w:hint="eastAsia" w:ascii="宋体" w:hAnsi="宋体"/>
          <w:color w:val="000000"/>
          <w:sz w:val="24"/>
          <w:highlight w:val="none"/>
        </w:rPr>
        <w:t>日。</w:t>
      </w:r>
    </w:p>
    <w:p>
      <w:pPr>
        <w:keepNext w:val="0"/>
        <w:keepLines w:val="0"/>
        <w:pageBreakBefore w:val="0"/>
        <w:widowControl/>
        <w:kinsoku/>
        <w:wordWrap/>
        <w:overflowPunct/>
        <w:topLinePunct w:val="0"/>
        <w:autoSpaceDE/>
        <w:autoSpaceDN/>
        <w:bidi w:val="0"/>
        <w:spacing w:line="450" w:lineRule="exact"/>
        <w:jc w:val="left"/>
        <w:textAlignment w:val="auto"/>
        <w:outlineLvl w:val="0"/>
        <w:rPr>
          <w:rFonts w:ascii="宋体" w:hAnsi="宋体"/>
          <w:b/>
          <w:bCs/>
          <w:color w:val="000000"/>
          <w:sz w:val="24"/>
        </w:rPr>
      </w:pPr>
      <w:bookmarkStart w:id="32" w:name="_Toc30660"/>
      <w:bookmarkStart w:id="33" w:name="_Toc6463"/>
      <w:r>
        <w:rPr>
          <w:rFonts w:hint="eastAsia" w:ascii="宋体" w:hAnsi="宋体"/>
          <w:b/>
          <w:bCs/>
          <w:color w:val="000000"/>
          <w:sz w:val="24"/>
        </w:rPr>
        <w:t>七、其他补充事宜</w:t>
      </w:r>
      <w:bookmarkEnd w:id="32"/>
      <w:bookmarkEnd w:id="33"/>
    </w:p>
    <w:p>
      <w:pPr>
        <w:keepNext w:val="0"/>
        <w:keepLines w:val="0"/>
        <w:pageBreakBefore w:val="0"/>
        <w:widowControl/>
        <w:kinsoku/>
        <w:wordWrap/>
        <w:overflowPunct/>
        <w:topLinePunct w:val="0"/>
        <w:autoSpaceDE/>
        <w:autoSpaceDN/>
        <w:bidi w:val="0"/>
        <w:spacing w:line="450" w:lineRule="exact"/>
        <w:ind w:left="0" w:leftChars="0" w:firstLine="420" w:firstLineChars="175"/>
        <w:jc w:val="left"/>
        <w:textAlignment w:val="auto"/>
        <w:outlineLvl w:val="0"/>
        <w:rPr>
          <w:rFonts w:hint="eastAsia" w:ascii="宋体" w:hAnsi="宋体"/>
          <w:color w:val="000000"/>
          <w:sz w:val="24"/>
        </w:rPr>
      </w:pPr>
      <w:bookmarkStart w:id="34" w:name="_Toc4630"/>
      <w:bookmarkStart w:id="35" w:name="_Toc9324"/>
      <w:r>
        <w:rPr>
          <w:rFonts w:hint="eastAsia" w:ascii="宋体" w:hAnsi="宋体"/>
          <w:color w:val="000000"/>
          <w:sz w:val="24"/>
        </w:rPr>
        <w:t>本项目执行促进中小型企业发展政策（监狱企业、残疾人福利性企业视同小微企业）、强制采购节能产品、优先采购节能环保产品等政府采购政策。</w:t>
      </w:r>
    </w:p>
    <w:p>
      <w:pPr>
        <w:keepNext w:val="0"/>
        <w:keepLines w:val="0"/>
        <w:pageBreakBefore w:val="0"/>
        <w:widowControl/>
        <w:kinsoku/>
        <w:wordWrap/>
        <w:overflowPunct/>
        <w:topLinePunct w:val="0"/>
        <w:autoSpaceDE/>
        <w:autoSpaceDN/>
        <w:bidi w:val="0"/>
        <w:spacing w:line="450" w:lineRule="exact"/>
        <w:jc w:val="left"/>
        <w:textAlignment w:val="auto"/>
        <w:outlineLvl w:val="0"/>
        <w:rPr>
          <w:rFonts w:ascii="宋体" w:hAnsi="宋体"/>
          <w:b/>
          <w:bCs/>
          <w:color w:val="000000"/>
          <w:sz w:val="24"/>
        </w:rPr>
      </w:pPr>
      <w:r>
        <w:rPr>
          <w:rFonts w:hint="eastAsia" w:ascii="宋体" w:hAnsi="宋体"/>
          <w:b/>
          <w:bCs/>
          <w:color w:val="000000"/>
          <w:sz w:val="24"/>
        </w:rPr>
        <w:t>八、凡对本次招标提出询问，请按照以下方式联系</w:t>
      </w:r>
      <w:bookmarkEnd w:id="34"/>
      <w:bookmarkEnd w:id="35"/>
    </w:p>
    <w:p>
      <w:pPr>
        <w:keepNext w:val="0"/>
        <w:keepLines w:val="0"/>
        <w:pageBreakBefore w:val="0"/>
        <w:widowControl/>
        <w:kinsoku/>
        <w:wordWrap/>
        <w:overflowPunct/>
        <w:topLinePunct w:val="0"/>
        <w:autoSpaceDE/>
        <w:autoSpaceDN/>
        <w:bidi w:val="0"/>
        <w:adjustRightInd w:val="0"/>
        <w:snapToGrid w:val="0"/>
        <w:spacing w:line="450" w:lineRule="exact"/>
        <w:jc w:val="left"/>
        <w:textAlignment w:val="auto"/>
        <w:outlineLvl w:val="1"/>
        <w:rPr>
          <w:rFonts w:hint="eastAsia" w:ascii="宋体" w:hAnsi="宋体"/>
          <w:color w:val="000000"/>
          <w:sz w:val="24"/>
        </w:rPr>
      </w:pPr>
      <w:bookmarkStart w:id="36" w:name="_Toc20861"/>
      <w:bookmarkStart w:id="37" w:name="_Toc5199"/>
      <w:r>
        <w:rPr>
          <w:rFonts w:hint="eastAsia" w:ascii="宋体" w:hAnsi="宋体"/>
          <w:color w:val="000000"/>
          <w:sz w:val="24"/>
        </w:rPr>
        <w:t>1. 采购人信息</w:t>
      </w:r>
      <w:bookmarkEnd w:id="36"/>
      <w:bookmarkEnd w:id="37"/>
    </w:p>
    <w:p>
      <w:pPr>
        <w:keepNext w:val="0"/>
        <w:keepLines w:val="0"/>
        <w:pageBreakBefore w:val="0"/>
        <w:widowControl/>
        <w:kinsoku/>
        <w:wordWrap/>
        <w:overflowPunct/>
        <w:topLinePunct w:val="0"/>
        <w:autoSpaceDE/>
        <w:autoSpaceDN/>
        <w:bidi w:val="0"/>
        <w:adjustRightInd w:val="0"/>
        <w:snapToGrid w:val="0"/>
        <w:spacing w:line="450" w:lineRule="exact"/>
        <w:ind w:firstLine="360" w:firstLineChars="150"/>
        <w:jc w:val="left"/>
        <w:textAlignment w:val="auto"/>
        <w:rPr>
          <w:rFonts w:hint="eastAsia" w:ascii="宋体" w:hAnsi="宋体"/>
          <w:color w:val="000000"/>
          <w:sz w:val="24"/>
        </w:rPr>
      </w:pPr>
      <w:r>
        <w:rPr>
          <w:rFonts w:hint="eastAsia" w:ascii="宋体" w:hAnsi="宋体"/>
          <w:color w:val="000000"/>
          <w:sz w:val="24"/>
        </w:rPr>
        <w:t>名称：河南工业职业技术学院</w:t>
      </w:r>
    </w:p>
    <w:p>
      <w:pPr>
        <w:keepNext w:val="0"/>
        <w:keepLines w:val="0"/>
        <w:pageBreakBefore w:val="0"/>
        <w:widowControl/>
        <w:kinsoku/>
        <w:wordWrap/>
        <w:overflowPunct/>
        <w:topLinePunct w:val="0"/>
        <w:autoSpaceDE/>
        <w:autoSpaceDN/>
        <w:bidi w:val="0"/>
        <w:adjustRightInd w:val="0"/>
        <w:snapToGrid w:val="0"/>
        <w:spacing w:line="450" w:lineRule="exact"/>
        <w:ind w:firstLine="360" w:firstLineChars="150"/>
        <w:jc w:val="left"/>
        <w:textAlignment w:val="auto"/>
        <w:rPr>
          <w:rFonts w:hint="eastAsia" w:ascii="宋体" w:hAnsi="宋体"/>
          <w:color w:val="000000"/>
          <w:sz w:val="24"/>
        </w:rPr>
      </w:pPr>
      <w:r>
        <w:rPr>
          <w:rFonts w:hint="eastAsia" w:ascii="宋体" w:hAnsi="宋体"/>
          <w:color w:val="000000"/>
          <w:sz w:val="24"/>
        </w:rPr>
        <w:t>地址：南阳市孔明北路666号</w:t>
      </w:r>
    </w:p>
    <w:p>
      <w:pPr>
        <w:keepNext w:val="0"/>
        <w:keepLines w:val="0"/>
        <w:pageBreakBefore w:val="0"/>
        <w:widowControl/>
        <w:kinsoku/>
        <w:wordWrap/>
        <w:overflowPunct/>
        <w:topLinePunct w:val="0"/>
        <w:autoSpaceDE/>
        <w:autoSpaceDN/>
        <w:bidi w:val="0"/>
        <w:adjustRightInd w:val="0"/>
        <w:snapToGrid w:val="0"/>
        <w:spacing w:line="450" w:lineRule="exact"/>
        <w:ind w:firstLine="360" w:firstLineChars="150"/>
        <w:jc w:val="left"/>
        <w:textAlignment w:val="auto"/>
        <w:rPr>
          <w:rFonts w:hint="eastAsia" w:ascii="宋体" w:hAnsi="宋体"/>
          <w:color w:val="000000"/>
          <w:sz w:val="24"/>
        </w:rPr>
      </w:pPr>
      <w:r>
        <w:rPr>
          <w:rFonts w:hint="eastAsia" w:ascii="宋体" w:hAnsi="宋体"/>
          <w:color w:val="000000"/>
          <w:sz w:val="24"/>
        </w:rPr>
        <w:t>联系人：郭老师</w:t>
      </w:r>
    </w:p>
    <w:p>
      <w:pPr>
        <w:keepNext w:val="0"/>
        <w:keepLines w:val="0"/>
        <w:pageBreakBefore w:val="0"/>
        <w:widowControl/>
        <w:kinsoku/>
        <w:wordWrap/>
        <w:overflowPunct/>
        <w:topLinePunct w:val="0"/>
        <w:autoSpaceDE/>
        <w:autoSpaceDN/>
        <w:bidi w:val="0"/>
        <w:adjustRightInd w:val="0"/>
        <w:snapToGrid w:val="0"/>
        <w:spacing w:line="450" w:lineRule="exact"/>
        <w:ind w:firstLine="360" w:firstLineChars="150"/>
        <w:jc w:val="left"/>
        <w:textAlignment w:val="auto"/>
        <w:rPr>
          <w:rFonts w:hint="eastAsia" w:ascii="宋体" w:hAnsi="宋体"/>
          <w:color w:val="000000"/>
          <w:sz w:val="24"/>
        </w:rPr>
      </w:pPr>
      <w:r>
        <w:rPr>
          <w:rFonts w:hint="eastAsia" w:ascii="宋体" w:hAnsi="宋体"/>
          <w:color w:val="000000"/>
          <w:sz w:val="24"/>
        </w:rPr>
        <w:t>联系方式：0377-83663603</w:t>
      </w:r>
    </w:p>
    <w:p>
      <w:pPr>
        <w:keepNext w:val="0"/>
        <w:keepLines w:val="0"/>
        <w:pageBreakBefore w:val="0"/>
        <w:tabs>
          <w:tab w:val="left" w:pos="900"/>
        </w:tabs>
        <w:kinsoku/>
        <w:wordWrap/>
        <w:overflowPunct/>
        <w:topLinePunct w:val="0"/>
        <w:autoSpaceDE/>
        <w:autoSpaceDN/>
        <w:bidi w:val="0"/>
        <w:snapToGrid w:val="0"/>
        <w:spacing w:line="450" w:lineRule="exact"/>
        <w:ind w:firstLine="120" w:firstLineChars="50"/>
        <w:textAlignment w:val="auto"/>
        <w:outlineLvl w:val="1"/>
        <w:rPr>
          <w:rFonts w:hint="eastAsia" w:ascii="宋体" w:hAnsi="宋体"/>
          <w:color w:val="000000"/>
          <w:sz w:val="24"/>
        </w:rPr>
      </w:pPr>
      <w:bookmarkStart w:id="38" w:name="_Toc7574"/>
      <w:bookmarkStart w:id="39" w:name="_Toc4064"/>
      <w:r>
        <w:rPr>
          <w:rFonts w:hint="eastAsia" w:ascii="宋体" w:hAnsi="宋体"/>
          <w:color w:val="000000"/>
          <w:sz w:val="24"/>
        </w:rPr>
        <w:t>2.代理机构：</w:t>
      </w:r>
      <w:bookmarkEnd w:id="38"/>
      <w:bookmarkEnd w:id="39"/>
    </w:p>
    <w:p>
      <w:pPr>
        <w:keepNext w:val="0"/>
        <w:keepLines w:val="0"/>
        <w:pageBreakBefore w:val="0"/>
        <w:tabs>
          <w:tab w:val="left" w:pos="900"/>
        </w:tabs>
        <w:kinsoku/>
        <w:wordWrap/>
        <w:overflowPunct/>
        <w:topLinePunct w:val="0"/>
        <w:autoSpaceDE/>
        <w:autoSpaceDN/>
        <w:bidi w:val="0"/>
        <w:snapToGrid w:val="0"/>
        <w:spacing w:line="450" w:lineRule="exact"/>
        <w:ind w:firstLine="360" w:firstLineChars="150"/>
        <w:textAlignment w:val="auto"/>
        <w:rPr>
          <w:rFonts w:ascii="宋体" w:hAnsi="宋体"/>
          <w:color w:val="000000"/>
          <w:sz w:val="24"/>
        </w:rPr>
      </w:pPr>
      <w:r>
        <w:rPr>
          <w:rFonts w:hint="eastAsia" w:ascii="宋体" w:hAnsi="宋体"/>
          <w:color w:val="000000"/>
          <w:sz w:val="24"/>
        </w:rPr>
        <w:t>名称：河南招标采购服务有限公司</w:t>
      </w:r>
    </w:p>
    <w:p>
      <w:pPr>
        <w:keepNext w:val="0"/>
        <w:keepLines w:val="0"/>
        <w:pageBreakBefore w:val="0"/>
        <w:tabs>
          <w:tab w:val="left" w:pos="900"/>
        </w:tabs>
        <w:kinsoku/>
        <w:wordWrap/>
        <w:overflowPunct/>
        <w:topLinePunct w:val="0"/>
        <w:autoSpaceDE/>
        <w:autoSpaceDN/>
        <w:bidi w:val="0"/>
        <w:snapToGrid w:val="0"/>
        <w:spacing w:line="450" w:lineRule="exact"/>
        <w:ind w:firstLine="360" w:firstLineChars="150"/>
        <w:textAlignment w:val="auto"/>
        <w:rPr>
          <w:rFonts w:hint="eastAsia" w:ascii="宋体" w:hAnsi="宋体"/>
          <w:color w:val="000000"/>
          <w:sz w:val="24"/>
        </w:rPr>
      </w:pPr>
      <w:r>
        <w:rPr>
          <w:rFonts w:hint="eastAsia" w:ascii="宋体" w:hAnsi="宋体"/>
          <w:color w:val="000000"/>
          <w:sz w:val="24"/>
        </w:rPr>
        <w:t>地址：郑州市纬四路13号（花园路与纬四路交叉口东50米路北）</w:t>
      </w:r>
    </w:p>
    <w:p>
      <w:pPr>
        <w:keepNext w:val="0"/>
        <w:keepLines w:val="0"/>
        <w:pageBreakBefore w:val="0"/>
        <w:tabs>
          <w:tab w:val="left" w:pos="900"/>
        </w:tabs>
        <w:kinsoku/>
        <w:wordWrap/>
        <w:overflowPunct/>
        <w:topLinePunct w:val="0"/>
        <w:autoSpaceDE/>
        <w:autoSpaceDN/>
        <w:bidi w:val="0"/>
        <w:snapToGrid w:val="0"/>
        <w:spacing w:line="450" w:lineRule="exact"/>
        <w:ind w:firstLine="360" w:firstLineChars="150"/>
        <w:textAlignment w:val="auto"/>
        <w:rPr>
          <w:rFonts w:ascii="宋体" w:hAnsi="宋体"/>
          <w:color w:val="000000"/>
          <w:sz w:val="24"/>
        </w:rPr>
      </w:pPr>
      <w:r>
        <w:rPr>
          <w:rFonts w:hint="eastAsia" w:ascii="宋体" w:hAnsi="宋体"/>
          <w:color w:val="000000"/>
          <w:sz w:val="24"/>
        </w:rPr>
        <w:t>联系人：</w:t>
      </w:r>
      <w:r>
        <w:rPr>
          <w:rFonts w:hint="eastAsia" w:ascii="宋体" w:hAnsi="宋体"/>
          <w:color w:val="000000"/>
          <w:sz w:val="24"/>
          <w:lang w:eastAsia="zh-CN"/>
        </w:rPr>
        <w:t>张</w:t>
      </w:r>
      <w:r>
        <w:rPr>
          <w:rFonts w:hint="eastAsia" w:ascii="宋体" w:hAnsi="宋体"/>
          <w:color w:val="000000"/>
          <w:sz w:val="24"/>
        </w:rPr>
        <w:t>女士</w:t>
      </w:r>
    </w:p>
    <w:p>
      <w:pPr>
        <w:keepNext w:val="0"/>
        <w:keepLines w:val="0"/>
        <w:pageBreakBefore w:val="0"/>
        <w:tabs>
          <w:tab w:val="left" w:pos="900"/>
        </w:tabs>
        <w:kinsoku/>
        <w:wordWrap/>
        <w:overflowPunct/>
        <w:topLinePunct w:val="0"/>
        <w:autoSpaceDE/>
        <w:autoSpaceDN/>
        <w:bidi w:val="0"/>
        <w:snapToGrid w:val="0"/>
        <w:spacing w:line="450" w:lineRule="exact"/>
        <w:ind w:firstLine="360" w:firstLineChars="150"/>
        <w:textAlignment w:val="auto"/>
        <w:rPr>
          <w:rFonts w:ascii="宋体" w:hAnsi="宋体"/>
          <w:color w:val="000000"/>
          <w:sz w:val="24"/>
        </w:rPr>
      </w:pPr>
      <w:r>
        <w:rPr>
          <w:rFonts w:hint="eastAsia" w:ascii="宋体" w:hAnsi="宋体"/>
          <w:color w:val="000000"/>
          <w:sz w:val="24"/>
        </w:rPr>
        <w:t>联系方式：037</w:t>
      </w:r>
      <w:r>
        <w:rPr>
          <w:rFonts w:hint="eastAsia" w:ascii="宋体" w:hAnsi="宋体"/>
          <w:color w:val="000000"/>
          <w:sz w:val="24"/>
          <w:lang w:val="en-US" w:eastAsia="zh-CN"/>
        </w:rPr>
        <w:t>7</w:t>
      </w:r>
      <w:r>
        <w:rPr>
          <w:rFonts w:hint="eastAsia" w:ascii="宋体" w:hAnsi="宋体"/>
          <w:color w:val="000000"/>
          <w:sz w:val="24"/>
        </w:rPr>
        <w:t>-6</w:t>
      </w:r>
      <w:r>
        <w:rPr>
          <w:rFonts w:hint="eastAsia" w:ascii="宋体" w:hAnsi="宋体"/>
          <w:color w:val="000000"/>
          <w:sz w:val="24"/>
          <w:lang w:val="en-US" w:eastAsia="zh-CN"/>
        </w:rPr>
        <w:t>3533599  18537736625</w:t>
      </w:r>
      <w:r>
        <w:rPr>
          <w:rFonts w:hint="eastAsia" w:ascii="宋体" w:hAnsi="宋体"/>
          <w:color w:val="000000"/>
          <w:sz w:val="24"/>
        </w:rPr>
        <w:t xml:space="preserve">  </w:t>
      </w:r>
    </w:p>
    <w:p>
      <w:pPr>
        <w:keepNext w:val="0"/>
        <w:keepLines w:val="0"/>
        <w:pageBreakBefore w:val="0"/>
        <w:tabs>
          <w:tab w:val="left" w:pos="900"/>
        </w:tabs>
        <w:kinsoku/>
        <w:wordWrap/>
        <w:overflowPunct/>
        <w:topLinePunct w:val="0"/>
        <w:autoSpaceDE/>
        <w:autoSpaceDN/>
        <w:bidi w:val="0"/>
        <w:snapToGrid w:val="0"/>
        <w:spacing w:line="450" w:lineRule="exact"/>
        <w:ind w:firstLine="120" w:firstLineChars="50"/>
        <w:textAlignment w:val="auto"/>
        <w:outlineLvl w:val="1"/>
        <w:rPr>
          <w:rFonts w:hint="eastAsia" w:ascii="宋体" w:hAnsi="宋体"/>
          <w:color w:val="000000"/>
          <w:sz w:val="24"/>
        </w:rPr>
      </w:pPr>
      <w:bookmarkStart w:id="40" w:name="_Toc10206"/>
      <w:bookmarkStart w:id="41" w:name="_Toc3936"/>
      <w:r>
        <w:rPr>
          <w:rFonts w:hint="eastAsia" w:ascii="宋体" w:hAnsi="宋体"/>
          <w:color w:val="000000"/>
          <w:sz w:val="24"/>
        </w:rPr>
        <w:t>3.项目联系方式</w:t>
      </w:r>
      <w:bookmarkEnd w:id="40"/>
      <w:bookmarkEnd w:id="41"/>
    </w:p>
    <w:p>
      <w:pPr>
        <w:keepNext w:val="0"/>
        <w:keepLines w:val="0"/>
        <w:pageBreakBefore w:val="0"/>
        <w:tabs>
          <w:tab w:val="left" w:pos="900"/>
        </w:tabs>
        <w:kinsoku/>
        <w:wordWrap/>
        <w:overflowPunct/>
        <w:topLinePunct w:val="0"/>
        <w:autoSpaceDE/>
        <w:autoSpaceDN/>
        <w:bidi w:val="0"/>
        <w:snapToGrid w:val="0"/>
        <w:spacing w:line="450" w:lineRule="exact"/>
        <w:ind w:firstLine="360" w:firstLineChars="150"/>
        <w:textAlignment w:val="auto"/>
        <w:rPr>
          <w:rFonts w:hint="eastAsia" w:ascii="宋体" w:hAnsi="宋体"/>
          <w:color w:val="000000"/>
          <w:sz w:val="24"/>
        </w:rPr>
      </w:pPr>
      <w:r>
        <w:rPr>
          <w:rFonts w:hint="eastAsia" w:ascii="宋体" w:hAnsi="宋体"/>
          <w:color w:val="000000"/>
          <w:sz w:val="24"/>
        </w:rPr>
        <w:t>联系人：</w:t>
      </w:r>
      <w:r>
        <w:rPr>
          <w:rFonts w:hint="eastAsia" w:ascii="宋体" w:hAnsi="宋体"/>
          <w:color w:val="000000"/>
          <w:sz w:val="24"/>
          <w:lang w:eastAsia="zh-CN"/>
        </w:rPr>
        <w:t>张</w:t>
      </w:r>
      <w:r>
        <w:rPr>
          <w:rFonts w:hint="eastAsia" w:ascii="宋体" w:hAnsi="宋体"/>
          <w:color w:val="000000"/>
          <w:sz w:val="24"/>
        </w:rPr>
        <w:t>女士</w:t>
      </w:r>
    </w:p>
    <w:p>
      <w:pPr>
        <w:keepNext w:val="0"/>
        <w:keepLines w:val="0"/>
        <w:pageBreakBefore w:val="0"/>
        <w:tabs>
          <w:tab w:val="left" w:pos="900"/>
        </w:tabs>
        <w:kinsoku/>
        <w:wordWrap/>
        <w:overflowPunct/>
        <w:topLinePunct w:val="0"/>
        <w:autoSpaceDE/>
        <w:autoSpaceDN/>
        <w:bidi w:val="0"/>
        <w:snapToGrid w:val="0"/>
        <w:spacing w:line="450" w:lineRule="exact"/>
        <w:ind w:firstLine="360" w:firstLineChars="150"/>
        <w:textAlignment w:val="auto"/>
      </w:pPr>
      <w:r>
        <w:rPr>
          <w:rFonts w:hint="eastAsia" w:ascii="宋体" w:hAnsi="宋体" w:eastAsia="宋体" w:cs="Times New Roman"/>
          <w:color w:val="000000"/>
          <w:kern w:val="2"/>
          <w:sz w:val="24"/>
          <w:szCs w:val="24"/>
          <w:lang w:val="en-US" w:eastAsia="zh-CN" w:bidi="ar-SA"/>
        </w:rPr>
        <w:t>联系方式：0377-63533599  18537736625</w:t>
      </w:r>
    </w:p>
    <w:p/>
    <w:p>
      <w:pPr>
        <w:pStyle w:val="3"/>
        <w:numPr>
          <w:ilvl w:val="0"/>
          <w:numId w:val="0"/>
        </w:numPr>
        <w:bidi w:val="0"/>
        <w:ind w:firstLine="281" w:firstLineChars="100"/>
        <w:jc w:val="center"/>
        <w:rPr>
          <w:rFonts w:hint="eastAsia" w:ascii="宋体" w:hAnsi="宋体" w:eastAsia="宋体"/>
          <w:b/>
          <w:bCs/>
          <w:sz w:val="28"/>
          <w:szCs w:val="36"/>
        </w:rPr>
      </w:pPr>
      <w:r>
        <w:rPr>
          <w:rFonts w:hint="eastAsia" w:ascii="宋体" w:hAnsi="宋体" w:eastAsia="宋体"/>
          <w:b/>
          <w:bCs/>
          <w:sz w:val="28"/>
          <w:szCs w:val="36"/>
        </w:rPr>
        <w:t>第二部分 竞争性磋商须知</w:t>
      </w:r>
      <w:bookmarkEnd w:id="7"/>
      <w:bookmarkEnd w:id="8"/>
      <w:bookmarkEnd w:id="11"/>
      <w:bookmarkEnd w:id="12"/>
      <w:bookmarkEnd w:id="13"/>
    </w:p>
    <w:p>
      <w:pPr>
        <w:pStyle w:val="4"/>
        <w:keepNext w:val="0"/>
        <w:keepLines w:val="0"/>
        <w:adjustRightInd w:val="0"/>
        <w:spacing w:before="0" w:after="0" w:line="360" w:lineRule="auto"/>
        <w:textAlignment w:val="baseline"/>
        <w:outlineLvl w:val="0"/>
        <w:rPr>
          <w:rFonts w:hint="eastAsia" w:ascii="宋体" w:hAnsi="宋体" w:eastAsia="宋体"/>
          <w:sz w:val="24"/>
          <w:szCs w:val="24"/>
        </w:rPr>
      </w:pPr>
      <w:bookmarkStart w:id="42" w:name="_Hlt109551004"/>
      <w:bookmarkEnd w:id="42"/>
      <w:bookmarkStart w:id="43" w:name="_Hlt109551148"/>
      <w:bookmarkEnd w:id="43"/>
      <w:bookmarkStart w:id="44" w:name="_Hlt109555469"/>
      <w:bookmarkEnd w:id="44"/>
      <w:bookmarkStart w:id="45" w:name="_Toc2275"/>
      <w:bookmarkStart w:id="46" w:name="_Toc90713331"/>
      <w:bookmarkStart w:id="47" w:name="_Toc16089885"/>
      <w:bookmarkStart w:id="48" w:name="_Toc16089943"/>
      <w:bookmarkStart w:id="49" w:name="_Toc482378951"/>
      <w:bookmarkStart w:id="50" w:name="_Toc482378997"/>
      <w:bookmarkStart w:id="51" w:name="_Toc482379043"/>
      <w:bookmarkStart w:id="52" w:name="_Toc90712512"/>
      <w:bookmarkStart w:id="53" w:name="_Toc15912325"/>
      <w:bookmarkStart w:id="54" w:name="_Toc516501150"/>
      <w:bookmarkStart w:id="55" w:name="_Toc13727"/>
      <w:bookmarkStart w:id="56" w:name="_Toc109550772"/>
      <w:bookmarkStart w:id="57" w:name="_Toc44924372"/>
      <w:r>
        <w:rPr>
          <w:rFonts w:hint="eastAsia" w:ascii="宋体" w:hAnsi="宋体" w:eastAsia="宋体"/>
          <w:sz w:val="24"/>
          <w:szCs w:val="24"/>
        </w:rPr>
        <w:t>一 总则</w:t>
      </w:r>
      <w:bookmarkEnd w:id="45"/>
      <w:bookmarkEnd w:id="46"/>
      <w:bookmarkEnd w:id="47"/>
      <w:bookmarkEnd w:id="48"/>
      <w:bookmarkEnd w:id="49"/>
      <w:bookmarkEnd w:id="50"/>
      <w:bookmarkEnd w:id="51"/>
      <w:bookmarkEnd w:id="52"/>
      <w:bookmarkEnd w:id="53"/>
      <w:bookmarkEnd w:id="54"/>
      <w:bookmarkEnd w:id="55"/>
      <w:bookmarkEnd w:id="56"/>
      <w:bookmarkEnd w:id="57"/>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58" w:name="_Toc44924373"/>
      <w:bookmarkStart w:id="59" w:name="_Toc482379044"/>
      <w:bookmarkStart w:id="60" w:name="_Toc516501151"/>
      <w:bookmarkStart w:id="61" w:name="_Toc22687"/>
      <w:bookmarkStart w:id="62" w:name="_Toc109537497"/>
      <w:bookmarkStart w:id="63" w:name="_Toc109550773"/>
      <w:bookmarkStart w:id="64" w:name="_Toc482378952"/>
      <w:bookmarkStart w:id="65" w:name="_Toc90713332"/>
      <w:bookmarkStart w:id="66" w:name="_Toc90712513"/>
      <w:bookmarkStart w:id="67" w:name="_Toc16089944"/>
      <w:bookmarkStart w:id="68" w:name="_Toc482378998"/>
      <w:bookmarkStart w:id="69" w:name="_Toc15912326"/>
      <w:bookmarkStart w:id="70" w:name="_Toc8331"/>
      <w:bookmarkStart w:id="71" w:name="_Toc16089886"/>
      <w:r>
        <w:rPr>
          <w:rFonts w:hint="eastAsia" w:ascii="宋体" w:hAnsi="宋体" w:eastAsia="宋体"/>
          <w:sz w:val="24"/>
          <w:szCs w:val="24"/>
        </w:rPr>
        <w:t>1.资金来源</w:t>
      </w:r>
      <w:bookmarkEnd w:id="58"/>
      <w:bookmarkEnd w:id="59"/>
      <w:bookmarkEnd w:id="60"/>
      <w:bookmarkEnd w:id="61"/>
      <w:bookmarkEnd w:id="62"/>
      <w:bookmarkEnd w:id="63"/>
      <w:bookmarkEnd w:id="64"/>
      <w:bookmarkEnd w:id="65"/>
      <w:bookmarkEnd w:id="66"/>
      <w:bookmarkEnd w:id="67"/>
      <w:bookmarkEnd w:id="68"/>
      <w:bookmarkEnd w:id="69"/>
      <w:bookmarkEnd w:id="70"/>
      <w:bookmarkEnd w:id="71"/>
    </w:p>
    <w:p>
      <w:pPr>
        <w:adjustRightInd w:val="0"/>
        <w:snapToGrid w:val="0"/>
        <w:spacing w:line="360" w:lineRule="auto"/>
        <w:rPr>
          <w:rFonts w:hint="eastAsia" w:ascii="宋体" w:hAnsi="宋体"/>
          <w:sz w:val="24"/>
        </w:rPr>
      </w:pPr>
      <w:r>
        <w:rPr>
          <w:rFonts w:hint="eastAsia" w:ascii="宋体" w:hAnsi="宋体"/>
          <w:sz w:val="24"/>
        </w:rPr>
        <w:t>1.1采购人已筹集资金，用于支付“磋商项目资料表”中采购人采购的费用。</w:t>
      </w:r>
      <w:bookmarkStart w:id="72" w:name="_Toc109550774"/>
      <w:bookmarkStart w:id="73" w:name="_Toc109537498"/>
      <w:bookmarkStart w:id="74" w:name="_Toc90712514"/>
      <w:bookmarkStart w:id="75" w:name="_Toc90713333"/>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76" w:name="_Toc16089887"/>
      <w:bookmarkStart w:id="77" w:name="_Toc482379045"/>
      <w:bookmarkStart w:id="78" w:name="_Toc516501152"/>
      <w:bookmarkStart w:id="79" w:name="_Toc15912327"/>
      <w:bookmarkStart w:id="80" w:name="_Toc482378999"/>
      <w:bookmarkStart w:id="81" w:name="_Toc482378953"/>
      <w:bookmarkStart w:id="82" w:name="_Toc16089945"/>
      <w:bookmarkStart w:id="83" w:name="_Toc31287"/>
      <w:bookmarkStart w:id="84" w:name="_Toc10997"/>
      <w:bookmarkStart w:id="85" w:name="_Toc44924374"/>
      <w:r>
        <w:rPr>
          <w:rFonts w:hint="eastAsia" w:ascii="宋体" w:hAnsi="宋体" w:eastAsia="宋体"/>
          <w:sz w:val="24"/>
          <w:szCs w:val="24"/>
        </w:rPr>
        <w:t>2.采购方式及磋商供应商要求</w:t>
      </w:r>
      <w:bookmarkEnd w:id="72"/>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line="360" w:lineRule="auto"/>
        <w:rPr>
          <w:rFonts w:hint="eastAsia" w:ascii="宋体" w:hAnsi="宋体"/>
          <w:sz w:val="24"/>
        </w:rPr>
      </w:pPr>
      <w:r>
        <w:rPr>
          <w:rFonts w:hint="eastAsia" w:ascii="宋体" w:hAnsi="宋体"/>
          <w:sz w:val="24"/>
        </w:rPr>
        <w:t>2.1本次采购采取竞争性磋商的方式确定成交人。</w:t>
      </w:r>
    </w:p>
    <w:p>
      <w:pPr>
        <w:adjustRightInd w:val="0"/>
        <w:snapToGrid w:val="0"/>
        <w:spacing w:line="360" w:lineRule="auto"/>
        <w:jc w:val="left"/>
        <w:rPr>
          <w:rFonts w:hint="eastAsia" w:ascii="宋体" w:hAnsi="宋体"/>
          <w:sz w:val="24"/>
        </w:rPr>
      </w:pPr>
      <w:r>
        <w:rPr>
          <w:rFonts w:hint="eastAsia" w:ascii="宋体" w:hAnsi="宋体"/>
          <w:sz w:val="24"/>
        </w:rPr>
        <w:t>2.2磋商供应商要求：符合“磋商项目资料表”中要求的磋商供应商。</w:t>
      </w:r>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86" w:name="_Toc109550775"/>
      <w:bookmarkStart w:id="87" w:name="_Toc516501153"/>
      <w:bookmarkStart w:id="88" w:name="_Toc109537499"/>
      <w:bookmarkStart w:id="89" w:name="_Toc16089946"/>
      <w:bookmarkStart w:id="90" w:name="_Toc482379000"/>
      <w:bookmarkStart w:id="91" w:name="_Toc90713334"/>
      <w:bookmarkStart w:id="92" w:name="_Toc482378954"/>
      <w:bookmarkStart w:id="93" w:name="_Toc90712515"/>
      <w:bookmarkStart w:id="94" w:name="_Toc44924375"/>
      <w:bookmarkStart w:id="95" w:name="_Toc20923"/>
      <w:bookmarkStart w:id="96" w:name="_Toc16089888"/>
      <w:bookmarkStart w:id="97" w:name="_Toc19799"/>
      <w:bookmarkStart w:id="98" w:name="_Toc482379046"/>
      <w:bookmarkStart w:id="99" w:name="_Toc15912328"/>
      <w:r>
        <w:rPr>
          <w:rFonts w:hint="eastAsia" w:ascii="宋体" w:hAnsi="宋体" w:eastAsia="宋体"/>
          <w:sz w:val="24"/>
          <w:szCs w:val="24"/>
        </w:rPr>
        <w:t>3.磋商费用</w:t>
      </w:r>
      <w:bookmarkEnd w:id="86"/>
      <w:bookmarkEnd w:id="87"/>
      <w:bookmarkEnd w:id="88"/>
      <w:bookmarkEnd w:id="89"/>
      <w:bookmarkEnd w:id="90"/>
      <w:bookmarkEnd w:id="91"/>
      <w:bookmarkEnd w:id="92"/>
      <w:bookmarkEnd w:id="93"/>
      <w:bookmarkEnd w:id="94"/>
      <w:bookmarkEnd w:id="95"/>
      <w:bookmarkEnd w:id="96"/>
      <w:bookmarkEnd w:id="97"/>
      <w:bookmarkEnd w:id="98"/>
      <w:bookmarkEnd w:id="99"/>
    </w:p>
    <w:p>
      <w:pPr>
        <w:adjustRightInd w:val="0"/>
        <w:snapToGrid w:val="0"/>
        <w:spacing w:line="360" w:lineRule="auto"/>
        <w:rPr>
          <w:rFonts w:hint="eastAsia" w:ascii="宋体" w:hAnsi="宋体"/>
          <w:sz w:val="24"/>
        </w:rPr>
      </w:pPr>
      <w:r>
        <w:rPr>
          <w:rFonts w:hint="eastAsia" w:ascii="宋体" w:hAnsi="宋体"/>
          <w:sz w:val="24"/>
        </w:rPr>
        <w:t>3.1供应商必须自行承担所有与参加磋商有关的费用。不论磋商的结果如何，采购人在任何情况下均无义务和责任承担这些费用。</w:t>
      </w:r>
    </w:p>
    <w:p>
      <w:pPr>
        <w:pStyle w:val="4"/>
        <w:keepNext w:val="0"/>
        <w:keepLines w:val="0"/>
        <w:adjustRightInd w:val="0"/>
        <w:snapToGrid w:val="0"/>
        <w:spacing w:before="0" w:after="0" w:line="360" w:lineRule="auto"/>
        <w:textAlignment w:val="baseline"/>
        <w:outlineLvl w:val="0"/>
        <w:rPr>
          <w:rFonts w:hint="eastAsia" w:ascii="宋体" w:hAnsi="宋体" w:eastAsia="宋体"/>
          <w:sz w:val="24"/>
          <w:szCs w:val="24"/>
        </w:rPr>
      </w:pPr>
      <w:bookmarkStart w:id="100" w:name="_Toc90713335"/>
      <w:bookmarkStart w:id="101" w:name="_Toc109537500"/>
      <w:bookmarkStart w:id="102" w:name="_Toc90712516"/>
      <w:bookmarkStart w:id="103" w:name="_Toc109550776"/>
      <w:bookmarkStart w:id="104" w:name="_Toc482378955"/>
      <w:bookmarkStart w:id="105" w:name="_Toc482379047"/>
      <w:bookmarkStart w:id="106" w:name="_Toc30649"/>
      <w:bookmarkStart w:id="107" w:name="_Toc15912329"/>
      <w:bookmarkStart w:id="108" w:name="_Toc2616"/>
      <w:bookmarkStart w:id="109" w:name="_Toc16089889"/>
      <w:bookmarkStart w:id="110" w:name="_Toc16089947"/>
      <w:bookmarkStart w:id="111" w:name="_Toc516501154"/>
      <w:bookmarkStart w:id="112" w:name="_Toc44924376"/>
      <w:bookmarkStart w:id="113" w:name="_Toc482379001"/>
      <w:r>
        <w:rPr>
          <w:rFonts w:hint="eastAsia" w:ascii="宋体" w:hAnsi="宋体" w:eastAsia="宋体"/>
          <w:sz w:val="24"/>
          <w:szCs w:val="24"/>
        </w:rPr>
        <w:t>二 磋商文件和</w:t>
      </w:r>
      <w:bookmarkEnd w:id="100"/>
      <w:bookmarkEnd w:id="101"/>
      <w:bookmarkEnd w:id="102"/>
      <w:bookmarkEnd w:id="103"/>
      <w:r>
        <w:rPr>
          <w:rFonts w:hint="eastAsia" w:ascii="宋体" w:hAnsi="宋体" w:eastAsia="宋体"/>
          <w:sz w:val="24"/>
          <w:szCs w:val="24"/>
        </w:rPr>
        <w:t>磋商响应文件</w:t>
      </w:r>
      <w:bookmarkEnd w:id="104"/>
      <w:bookmarkEnd w:id="105"/>
      <w:bookmarkEnd w:id="106"/>
      <w:bookmarkEnd w:id="107"/>
      <w:bookmarkEnd w:id="108"/>
      <w:bookmarkEnd w:id="109"/>
      <w:bookmarkEnd w:id="110"/>
      <w:bookmarkEnd w:id="111"/>
      <w:bookmarkEnd w:id="112"/>
      <w:bookmarkEnd w:id="113"/>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114" w:name="_Toc16089948"/>
      <w:bookmarkStart w:id="115" w:name="_Toc109550777"/>
      <w:bookmarkStart w:id="116" w:name="_Toc90712517"/>
      <w:bookmarkStart w:id="117" w:name="_Toc482378956"/>
      <w:bookmarkStart w:id="118" w:name="_Toc109537501"/>
      <w:bookmarkStart w:id="119" w:name="_Toc16089890"/>
      <w:bookmarkStart w:id="120" w:name="_Toc516501155"/>
      <w:bookmarkStart w:id="121" w:name="_Toc174"/>
      <w:bookmarkStart w:id="122" w:name="_Toc90713336"/>
      <w:bookmarkStart w:id="123" w:name="_Toc482379002"/>
      <w:bookmarkStart w:id="124" w:name="_Toc2000"/>
      <w:bookmarkStart w:id="125" w:name="_Toc44924377"/>
      <w:bookmarkStart w:id="126" w:name="_Toc15912330"/>
      <w:bookmarkStart w:id="127" w:name="_Toc482379048"/>
      <w:r>
        <w:rPr>
          <w:rFonts w:hint="eastAsia" w:ascii="宋体" w:hAnsi="宋体" w:eastAsia="宋体"/>
          <w:sz w:val="24"/>
          <w:szCs w:val="24"/>
        </w:rPr>
        <w:t>4.磋商文件构成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adjustRightInd w:val="0"/>
        <w:snapToGrid w:val="0"/>
        <w:spacing w:line="360" w:lineRule="auto"/>
        <w:ind w:firstLine="240" w:firstLineChars="100"/>
        <w:rPr>
          <w:rFonts w:hint="eastAsia" w:ascii="宋体" w:hAnsi="宋体"/>
          <w:sz w:val="24"/>
        </w:rPr>
      </w:pPr>
      <w:r>
        <w:rPr>
          <w:rFonts w:hint="eastAsia" w:ascii="宋体" w:hAnsi="宋体"/>
          <w:sz w:val="24"/>
        </w:rPr>
        <w:t>竞争性磋商公告</w:t>
      </w:r>
    </w:p>
    <w:p>
      <w:pPr>
        <w:adjustRightInd w:val="0"/>
        <w:snapToGrid w:val="0"/>
        <w:spacing w:line="360" w:lineRule="auto"/>
        <w:ind w:firstLine="240" w:firstLineChars="100"/>
        <w:rPr>
          <w:rFonts w:hint="eastAsia" w:ascii="宋体" w:hAnsi="宋体"/>
          <w:sz w:val="24"/>
        </w:rPr>
      </w:pPr>
      <w:r>
        <w:rPr>
          <w:rFonts w:hint="eastAsia" w:ascii="宋体" w:hAnsi="宋体"/>
          <w:sz w:val="24"/>
        </w:rPr>
        <w:t>竞争性磋商须知</w:t>
      </w:r>
    </w:p>
    <w:p>
      <w:pPr>
        <w:adjustRightInd w:val="0"/>
        <w:snapToGrid w:val="0"/>
        <w:spacing w:line="360" w:lineRule="auto"/>
        <w:ind w:firstLine="240" w:firstLineChars="100"/>
        <w:rPr>
          <w:rFonts w:hint="eastAsia" w:ascii="宋体" w:hAnsi="宋体"/>
          <w:sz w:val="24"/>
        </w:rPr>
      </w:pPr>
      <w:r>
        <w:rPr>
          <w:rFonts w:hint="eastAsia" w:ascii="宋体" w:hAnsi="宋体"/>
          <w:sz w:val="24"/>
        </w:rPr>
        <w:t>合同条款及格式</w:t>
      </w:r>
    </w:p>
    <w:p>
      <w:pPr>
        <w:adjustRightInd w:val="0"/>
        <w:snapToGrid w:val="0"/>
        <w:spacing w:line="360" w:lineRule="auto"/>
        <w:ind w:firstLine="240" w:firstLineChars="100"/>
        <w:rPr>
          <w:rFonts w:hint="eastAsia" w:ascii="宋体" w:hAnsi="宋体"/>
          <w:sz w:val="24"/>
        </w:rPr>
      </w:pPr>
      <w:r>
        <w:rPr>
          <w:rFonts w:hint="eastAsia" w:ascii="宋体" w:hAnsi="宋体"/>
          <w:sz w:val="24"/>
        </w:rPr>
        <w:t>合同条款资料表</w:t>
      </w:r>
    </w:p>
    <w:p>
      <w:pPr>
        <w:adjustRightInd w:val="0"/>
        <w:snapToGrid w:val="0"/>
        <w:spacing w:line="360" w:lineRule="auto"/>
        <w:ind w:firstLine="240" w:firstLineChars="100"/>
        <w:rPr>
          <w:rFonts w:hint="eastAsia" w:ascii="宋体" w:hAnsi="宋体"/>
          <w:sz w:val="24"/>
        </w:rPr>
      </w:pPr>
      <w:r>
        <w:rPr>
          <w:rFonts w:hint="eastAsia" w:ascii="宋体" w:hAnsi="宋体"/>
          <w:sz w:val="24"/>
        </w:rPr>
        <w:t>磋商项目资料表</w:t>
      </w:r>
    </w:p>
    <w:p>
      <w:pPr>
        <w:adjustRightInd w:val="0"/>
        <w:snapToGrid w:val="0"/>
        <w:spacing w:line="360" w:lineRule="auto"/>
        <w:ind w:firstLine="240" w:firstLineChars="100"/>
        <w:rPr>
          <w:rFonts w:hint="eastAsia" w:ascii="宋体" w:hAnsi="宋体"/>
          <w:sz w:val="24"/>
          <w:lang w:val="en-US" w:eastAsia="zh-CN"/>
        </w:rPr>
      </w:pPr>
      <w:r>
        <w:rPr>
          <w:rFonts w:hint="eastAsia" w:ascii="宋体" w:hAnsi="宋体"/>
          <w:sz w:val="24"/>
          <w:lang w:val="en-US" w:eastAsia="zh-CN"/>
        </w:rPr>
        <w:t>磋商评审办法</w:t>
      </w:r>
    </w:p>
    <w:p>
      <w:pPr>
        <w:adjustRightInd w:val="0"/>
        <w:snapToGrid w:val="0"/>
        <w:spacing w:line="360" w:lineRule="auto"/>
        <w:ind w:firstLine="240" w:firstLineChars="100"/>
        <w:rPr>
          <w:rFonts w:hint="eastAsia" w:ascii="宋体" w:hAnsi="宋体"/>
          <w:sz w:val="24"/>
        </w:rPr>
      </w:pPr>
      <w:r>
        <w:rPr>
          <w:rFonts w:hint="eastAsia" w:ascii="宋体" w:hAnsi="宋体"/>
          <w:sz w:val="24"/>
          <w:lang w:eastAsia="zh-CN"/>
        </w:rPr>
        <w:t>采购</w:t>
      </w:r>
      <w:r>
        <w:rPr>
          <w:rFonts w:hint="eastAsia" w:ascii="宋体" w:hAnsi="宋体"/>
          <w:sz w:val="24"/>
        </w:rPr>
        <w:t>需求及要求</w:t>
      </w:r>
    </w:p>
    <w:p>
      <w:pPr>
        <w:adjustRightInd w:val="0"/>
        <w:snapToGrid w:val="0"/>
        <w:spacing w:line="360" w:lineRule="auto"/>
        <w:ind w:firstLine="240" w:firstLineChars="100"/>
        <w:rPr>
          <w:rFonts w:hint="eastAsia" w:ascii="宋体" w:hAnsi="宋体"/>
          <w:sz w:val="24"/>
        </w:rPr>
      </w:pPr>
      <w:r>
        <w:rPr>
          <w:rFonts w:hint="eastAsia" w:ascii="宋体" w:hAnsi="宋体"/>
          <w:sz w:val="24"/>
        </w:rPr>
        <w:t>磋商响应文件格式及内容</w:t>
      </w:r>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128" w:name="_Hlt109555455"/>
      <w:bookmarkEnd w:id="128"/>
      <w:bookmarkStart w:id="129" w:name="_Toc109550779"/>
      <w:bookmarkStart w:id="130" w:name="_Toc482379004"/>
      <w:bookmarkStart w:id="131" w:name="_Toc22385"/>
      <w:bookmarkStart w:id="132" w:name="_Toc516501157"/>
      <w:bookmarkStart w:id="133" w:name="_Toc90713338"/>
      <w:bookmarkStart w:id="134" w:name="_Toc482379050"/>
      <w:bookmarkStart w:id="135" w:name="_Toc109537503"/>
      <w:bookmarkStart w:id="136" w:name="_Toc482378958"/>
      <w:bookmarkStart w:id="137" w:name="_Toc90712519"/>
      <w:bookmarkStart w:id="138" w:name="_Toc11599"/>
      <w:bookmarkStart w:id="139" w:name="_Toc44924378"/>
      <w:bookmarkStart w:id="140" w:name="_Toc16089892"/>
      <w:bookmarkStart w:id="141" w:name="_Toc16089950"/>
      <w:bookmarkStart w:id="142" w:name="_Toc15912332"/>
      <w:r>
        <w:rPr>
          <w:rFonts w:hint="eastAsia" w:ascii="宋体" w:hAnsi="宋体" w:eastAsia="宋体"/>
          <w:sz w:val="24"/>
          <w:szCs w:val="24"/>
        </w:rPr>
        <w:t>6.磋商文件的澄清</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adjustRightInd w:val="0"/>
        <w:snapToGrid w:val="0"/>
        <w:spacing w:line="360" w:lineRule="auto"/>
        <w:rPr>
          <w:rFonts w:hint="eastAsia" w:ascii="宋体" w:hAnsi="宋体"/>
          <w:sz w:val="24"/>
        </w:rPr>
      </w:pPr>
      <w:r>
        <w:rPr>
          <w:rFonts w:hint="eastAsia" w:ascii="宋体" w:hAnsi="宋体"/>
          <w:sz w:val="24"/>
        </w:rPr>
        <w:t>6.1供应商有权要求采购代理机构对磋商文件中的有关问题进行答疑、澄清。</w:t>
      </w:r>
    </w:p>
    <w:p>
      <w:pPr>
        <w:adjustRightInd w:val="0"/>
        <w:snapToGrid w:val="0"/>
        <w:spacing w:line="360" w:lineRule="auto"/>
        <w:rPr>
          <w:rFonts w:hint="eastAsia" w:ascii="宋体" w:hAnsi="宋体"/>
          <w:sz w:val="24"/>
        </w:rPr>
      </w:pPr>
      <w:r>
        <w:rPr>
          <w:rFonts w:hint="eastAsia" w:ascii="宋体" w:hAnsi="宋体"/>
          <w:sz w:val="24"/>
        </w:rPr>
        <w:t>6.2供应商对磋商文件如有疑问，应在不晚于磋商开始日前3天按磋商文件中的联系方式，通知采购代理机构。</w:t>
      </w:r>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143" w:name="_Toc482379005"/>
      <w:bookmarkStart w:id="144" w:name="_Toc8306"/>
      <w:bookmarkStart w:id="145" w:name="_Toc16089893"/>
      <w:bookmarkStart w:id="146" w:name="_Toc516501158"/>
      <w:bookmarkStart w:id="147" w:name="_Toc109550780"/>
      <w:bookmarkStart w:id="148" w:name="_Toc44924379"/>
      <w:bookmarkStart w:id="149" w:name="_Toc26545"/>
      <w:bookmarkStart w:id="150" w:name="_Toc15912333"/>
      <w:bookmarkStart w:id="151" w:name="_Toc109537504"/>
      <w:bookmarkStart w:id="152" w:name="_Toc482378959"/>
      <w:bookmarkStart w:id="153" w:name="_Toc90713339"/>
      <w:bookmarkStart w:id="154" w:name="_Toc90712520"/>
      <w:bookmarkStart w:id="155" w:name="_Toc482379051"/>
      <w:bookmarkStart w:id="156" w:name="_Toc16089951"/>
      <w:r>
        <w:rPr>
          <w:rFonts w:hint="eastAsia" w:ascii="宋体" w:hAnsi="宋体" w:eastAsia="宋体"/>
          <w:sz w:val="24"/>
          <w:szCs w:val="24"/>
        </w:rPr>
        <w:t>7.磋商文件的修改</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adjustRightInd w:val="0"/>
        <w:snapToGrid w:val="0"/>
        <w:spacing w:line="360" w:lineRule="auto"/>
        <w:rPr>
          <w:rFonts w:hint="eastAsia" w:ascii="宋体" w:hAnsi="宋体"/>
          <w:sz w:val="24"/>
        </w:rPr>
      </w:pPr>
      <w:r>
        <w:rPr>
          <w:rFonts w:hint="eastAsia" w:ascii="宋体" w:hAnsi="宋体"/>
          <w:sz w:val="24"/>
        </w:rPr>
        <w:t>7.1必要情况下，采购人可能对磋商文件进行修改。</w:t>
      </w:r>
    </w:p>
    <w:p>
      <w:pPr>
        <w:adjustRightInd w:val="0"/>
        <w:snapToGrid w:val="0"/>
        <w:spacing w:line="360" w:lineRule="auto"/>
        <w:rPr>
          <w:rFonts w:hint="eastAsia" w:ascii="宋体" w:hAnsi="宋体"/>
          <w:sz w:val="24"/>
        </w:rPr>
      </w:pPr>
      <w:r>
        <w:rPr>
          <w:rFonts w:hint="eastAsia" w:ascii="宋体" w:hAnsi="宋体"/>
          <w:sz w:val="24"/>
        </w:rPr>
        <w:t>7.2采购人、代理机构可对已发出的竞争性磋商文件进行必要的澄清或修改，澄清或修改的内容将作为竞争性磋商文件的组成部分。</w:t>
      </w:r>
      <w:r>
        <w:rPr>
          <w:rFonts w:hint="eastAsia" w:ascii="宋体" w:hAnsi="宋体"/>
          <w:sz w:val="24"/>
          <w:lang w:eastAsia="zh-CN"/>
        </w:rPr>
        <w:t>采购</w:t>
      </w:r>
      <w:r>
        <w:rPr>
          <w:rFonts w:hint="eastAsia" w:ascii="宋体" w:hAnsi="宋体"/>
          <w:sz w:val="24"/>
        </w:rPr>
        <w:t>代理机构将通过网站“变更公告”和系统内部“答疑文件”告知竞争性磋商供应商，对于各项目中已经成功报名并下载竞争性磋商文件的项目竞争性磋商供应商，同时以短信推送的形式群发消息通知。各竞争性磋商供应商须重新下载最新的竞争性磋商文件及答疑文件，以此编制竞争性磋商响应文件。竞争性磋商供应商注册时所留手机联系方式要保持畅通，因联系方式变更而未及时更新系统内联系方式的，责任自负。</w:t>
      </w:r>
    </w:p>
    <w:p>
      <w:pPr>
        <w:adjustRightInd w:val="0"/>
        <w:snapToGrid w:val="0"/>
        <w:spacing w:line="360" w:lineRule="auto"/>
        <w:rPr>
          <w:rFonts w:hint="eastAsia" w:ascii="宋体" w:hAnsi="宋体"/>
          <w:sz w:val="24"/>
        </w:rPr>
      </w:pPr>
      <w:r>
        <w:rPr>
          <w:rFonts w:hint="eastAsia" w:ascii="宋体" w:hAnsi="宋体"/>
          <w:sz w:val="24"/>
        </w:rPr>
        <w:t>7.3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157" w:name="_Hlt109555460"/>
      <w:bookmarkEnd w:id="157"/>
      <w:bookmarkStart w:id="158" w:name="_Toc14087"/>
      <w:bookmarkStart w:id="159" w:name="_Toc482379003"/>
      <w:bookmarkStart w:id="160" w:name="_Toc26333"/>
      <w:bookmarkStart w:id="161" w:name="_Toc15912331"/>
      <w:bookmarkStart w:id="162" w:name="_Toc90713337"/>
      <w:bookmarkStart w:id="163" w:name="_Toc482378957"/>
      <w:bookmarkStart w:id="164" w:name="_Toc109537502"/>
      <w:bookmarkStart w:id="165" w:name="_Toc482379049"/>
      <w:bookmarkStart w:id="166" w:name="_Toc90712518"/>
      <w:bookmarkStart w:id="167" w:name="_Toc16089891"/>
      <w:bookmarkStart w:id="168" w:name="_Toc109550778"/>
      <w:bookmarkStart w:id="169" w:name="_Toc44924380"/>
      <w:bookmarkStart w:id="170" w:name="_Toc16089949"/>
      <w:bookmarkStart w:id="171" w:name="_Toc516501156"/>
      <w:bookmarkStart w:id="172" w:name="_Toc109537505"/>
      <w:bookmarkStart w:id="173" w:name="_Toc516501159"/>
      <w:bookmarkStart w:id="174" w:name="_Toc16089894"/>
      <w:bookmarkStart w:id="175" w:name="_Toc15912334"/>
      <w:bookmarkStart w:id="176" w:name="_Toc482379006"/>
      <w:bookmarkStart w:id="177" w:name="_Toc482378960"/>
      <w:bookmarkStart w:id="178" w:name="_Toc109550781"/>
      <w:bookmarkStart w:id="179" w:name="_Toc16089952"/>
      <w:bookmarkStart w:id="180" w:name="_Toc482379052"/>
      <w:bookmarkStart w:id="181" w:name="_Toc90712521"/>
      <w:bookmarkStart w:id="182" w:name="_Toc90713340"/>
      <w:r>
        <w:rPr>
          <w:rFonts w:hint="eastAsia" w:ascii="宋体" w:hAnsi="宋体" w:eastAsia="宋体"/>
          <w:sz w:val="24"/>
          <w:szCs w:val="24"/>
        </w:rPr>
        <w:t>5.磋商响应文件构成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adjustRightInd w:val="0"/>
        <w:snapToGrid w:val="0"/>
        <w:spacing w:line="360" w:lineRule="auto"/>
        <w:ind w:left="315" w:leftChars="150"/>
        <w:outlineLvl w:val="0"/>
        <w:rPr>
          <w:rFonts w:hint="eastAsia" w:ascii="宋体" w:hAnsi="宋体"/>
          <w:sz w:val="24"/>
        </w:rPr>
      </w:pPr>
      <w:bookmarkStart w:id="183" w:name="_Toc21036"/>
      <w:bookmarkStart w:id="184" w:name="_Toc4497"/>
      <w:r>
        <w:rPr>
          <w:rFonts w:hint="eastAsia" w:ascii="宋体" w:hAnsi="宋体"/>
          <w:sz w:val="24"/>
        </w:rPr>
        <w:t>一 磋商复函格式</w:t>
      </w:r>
      <w:bookmarkEnd w:id="183"/>
      <w:bookmarkEnd w:id="184"/>
    </w:p>
    <w:p>
      <w:pPr>
        <w:adjustRightInd w:val="0"/>
        <w:snapToGrid w:val="0"/>
        <w:spacing w:line="360" w:lineRule="auto"/>
        <w:ind w:left="315" w:leftChars="150"/>
        <w:outlineLvl w:val="0"/>
        <w:rPr>
          <w:rFonts w:hint="eastAsia" w:ascii="宋体" w:hAnsi="宋体"/>
          <w:sz w:val="24"/>
        </w:rPr>
      </w:pPr>
      <w:bookmarkStart w:id="185" w:name="_Toc16192"/>
      <w:bookmarkStart w:id="186" w:name="_Toc2303"/>
      <w:r>
        <w:rPr>
          <w:rFonts w:hint="eastAsia" w:ascii="宋体" w:hAnsi="宋体"/>
          <w:sz w:val="24"/>
        </w:rPr>
        <w:t>二 法定代表证明</w:t>
      </w:r>
      <w:bookmarkEnd w:id="185"/>
      <w:bookmarkEnd w:id="186"/>
    </w:p>
    <w:p>
      <w:pPr>
        <w:adjustRightInd w:val="0"/>
        <w:snapToGrid w:val="0"/>
        <w:spacing w:line="360" w:lineRule="auto"/>
        <w:ind w:left="315" w:leftChars="150"/>
        <w:outlineLvl w:val="0"/>
        <w:rPr>
          <w:rFonts w:hint="eastAsia" w:ascii="宋体" w:hAnsi="宋体"/>
          <w:sz w:val="24"/>
        </w:rPr>
      </w:pPr>
      <w:bookmarkStart w:id="187" w:name="_Toc31105"/>
      <w:bookmarkStart w:id="188" w:name="_Toc7407"/>
      <w:r>
        <w:rPr>
          <w:rFonts w:hint="eastAsia" w:ascii="宋体" w:hAnsi="宋体"/>
          <w:sz w:val="24"/>
        </w:rPr>
        <w:t>三 竞争性磋商报价表</w:t>
      </w:r>
      <w:bookmarkEnd w:id="187"/>
      <w:bookmarkEnd w:id="188"/>
    </w:p>
    <w:p>
      <w:pPr>
        <w:adjustRightInd w:val="0"/>
        <w:snapToGrid w:val="0"/>
        <w:spacing w:line="360" w:lineRule="auto"/>
        <w:ind w:left="315" w:leftChars="150"/>
        <w:outlineLvl w:val="0"/>
        <w:rPr>
          <w:rFonts w:hint="eastAsia" w:ascii="宋体" w:hAnsi="宋体"/>
          <w:sz w:val="24"/>
        </w:rPr>
      </w:pPr>
      <w:bookmarkStart w:id="189" w:name="_Toc23235"/>
      <w:bookmarkStart w:id="190" w:name="_Toc1111"/>
      <w:r>
        <w:rPr>
          <w:rFonts w:hint="eastAsia" w:ascii="宋体" w:hAnsi="宋体"/>
          <w:sz w:val="24"/>
        </w:rPr>
        <w:t>四 竞争性磋商分项报价表</w:t>
      </w:r>
      <w:bookmarkEnd w:id="189"/>
      <w:bookmarkEnd w:id="190"/>
    </w:p>
    <w:p>
      <w:pPr>
        <w:adjustRightInd w:val="0"/>
        <w:snapToGrid w:val="0"/>
        <w:spacing w:line="360" w:lineRule="auto"/>
        <w:ind w:left="315" w:leftChars="150"/>
        <w:outlineLvl w:val="0"/>
        <w:rPr>
          <w:rFonts w:hint="eastAsia" w:ascii="宋体" w:hAnsi="宋体"/>
          <w:sz w:val="24"/>
        </w:rPr>
      </w:pPr>
      <w:bookmarkStart w:id="191" w:name="_Toc14619"/>
      <w:bookmarkStart w:id="192" w:name="_Toc16170"/>
      <w:r>
        <w:rPr>
          <w:rFonts w:hint="eastAsia" w:ascii="宋体" w:hAnsi="宋体"/>
          <w:sz w:val="24"/>
        </w:rPr>
        <w:t>五、主要设备（产品）规格一览表</w:t>
      </w:r>
      <w:bookmarkEnd w:id="191"/>
      <w:bookmarkEnd w:id="192"/>
    </w:p>
    <w:p>
      <w:pPr>
        <w:adjustRightInd w:val="0"/>
        <w:snapToGrid w:val="0"/>
        <w:spacing w:line="360" w:lineRule="auto"/>
        <w:ind w:left="315" w:leftChars="150"/>
        <w:outlineLvl w:val="0"/>
        <w:rPr>
          <w:rFonts w:hint="eastAsia" w:ascii="宋体" w:hAnsi="宋体"/>
          <w:sz w:val="24"/>
        </w:rPr>
      </w:pPr>
      <w:bookmarkStart w:id="193" w:name="_Toc27518"/>
      <w:bookmarkStart w:id="194" w:name="_Toc16688"/>
      <w:r>
        <w:rPr>
          <w:rFonts w:hint="eastAsia" w:ascii="宋体" w:hAnsi="宋体"/>
          <w:sz w:val="24"/>
        </w:rPr>
        <w:t>六 资格申明</w:t>
      </w:r>
      <w:bookmarkEnd w:id="193"/>
      <w:bookmarkEnd w:id="194"/>
    </w:p>
    <w:p>
      <w:pPr>
        <w:adjustRightInd w:val="0"/>
        <w:snapToGrid w:val="0"/>
        <w:spacing w:line="360" w:lineRule="auto"/>
        <w:ind w:left="315" w:leftChars="150"/>
        <w:outlineLvl w:val="0"/>
        <w:rPr>
          <w:rFonts w:hint="eastAsia" w:ascii="宋体" w:hAnsi="宋体"/>
          <w:sz w:val="24"/>
        </w:rPr>
      </w:pPr>
      <w:bookmarkStart w:id="195" w:name="_Toc840"/>
      <w:bookmarkStart w:id="196" w:name="_Toc71"/>
      <w:r>
        <w:rPr>
          <w:rFonts w:hint="eastAsia" w:ascii="宋体" w:hAnsi="宋体"/>
          <w:sz w:val="24"/>
        </w:rPr>
        <w:t>七 供应商承诺函</w:t>
      </w:r>
      <w:bookmarkEnd w:id="195"/>
      <w:bookmarkEnd w:id="196"/>
    </w:p>
    <w:p>
      <w:pPr>
        <w:adjustRightInd w:val="0"/>
        <w:snapToGrid w:val="0"/>
        <w:spacing w:line="360" w:lineRule="auto"/>
        <w:ind w:left="315" w:leftChars="150"/>
        <w:outlineLvl w:val="0"/>
        <w:rPr>
          <w:rFonts w:hint="eastAsia" w:ascii="宋体" w:hAnsi="宋体"/>
          <w:sz w:val="24"/>
        </w:rPr>
      </w:pPr>
      <w:bookmarkStart w:id="197" w:name="_Toc8934"/>
      <w:bookmarkStart w:id="198" w:name="_Toc9229"/>
      <w:r>
        <w:rPr>
          <w:rFonts w:hint="eastAsia" w:ascii="宋体" w:hAnsi="宋体"/>
          <w:sz w:val="24"/>
        </w:rPr>
        <w:t>八、技术规格和商务条款偏差表</w:t>
      </w:r>
      <w:bookmarkEnd w:id="197"/>
      <w:bookmarkEnd w:id="198"/>
    </w:p>
    <w:p>
      <w:pPr>
        <w:adjustRightInd w:val="0"/>
        <w:snapToGrid w:val="0"/>
        <w:spacing w:line="360" w:lineRule="auto"/>
        <w:ind w:left="315" w:leftChars="150"/>
        <w:outlineLvl w:val="0"/>
        <w:rPr>
          <w:rFonts w:hint="eastAsia" w:ascii="宋体" w:hAnsi="宋体"/>
          <w:sz w:val="24"/>
        </w:rPr>
      </w:pPr>
      <w:bookmarkStart w:id="199" w:name="_Toc29577"/>
      <w:bookmarkStart w:id="200" w:name="_Toc17417"/>
      <w:r>
        <w:rPr>
          <w:rFonts w:hint="eastAsia" w:ascii="宋体" w:hAnsi="宋体"/>
          <w:sz w:val="24"/>
        </w:rPr>
        <w:t>九 反商业贿赂承诺书</w:t>
      </w:r>
      <w:bookmarkEnd w:id="199"/>
      <w:bookmarkEnd w:id="200"/>
    </w:p>
    <w:p>
      <w:pPr>
        <w:adjustRightInd w:val="0"/>
        <w:snapToGrid w:val="0"/>
        <w:spacing w:line="360" w:lineRule="auto"/>
        <w:ind w:left="315" w:leftChars="150"/>
        <w:outlineLvl w:val="0"/>
        <w:rPr>
          <w:rFonts w:hint="eastAsia" w:ascii="宋体" w:hAnsi="宋体"/>
          <w:sz w:val="24"/>
        </w:rPr>
      </w:pPr>
      <w:bookmarkStart w:id="201" w:name="_Toc3994"/>
      <w:bookmarkStart w:id="202" w:name="_Toc27932"/>
      <w:r>
        <w:rPr>
          <w:rFonts w:hint="eastAsia" w:ascii="宋体" w:hAnsi="宋体"/>
          <w:sz w:val="24"/>
        </w:rPr>
        <w:t>十 参加政府采购活动前3年内在经营活动中没有重大违法记录的书面声明承诺书</w:t>
      </w:r>
      <w:bookmarkEnd w:id="201"/>
      <w:bookmarkEnd w:id="202"/>
    </w:p>
    <w:p>
      <w:pPr>
        <w:adjustRightInd w:val="0"/>
        <w:snapToGrid w:val="0"/>
        <w:spacing w:line="360" w:lineRule="auto"/>
        <w:ind w:left="315" w:leftChars="150"/>
        <w:outlineLvl w:val="0"/>
        <w:rPr>
          <w:rFonts w:hint="eastAsia" w:ascii="宋体" w:hAnsi="宋体"/>
          <w:sz w:val="24"/>
        </w:rPr>
      </w:pPr>
      <w:bookmarkStart w:id="203" w:name="_Toc31784"/>
      <w:bookmarkStart w:id="204" w:name="_Toc5632"/>
      <w:r>
        <w:rPr>
          <w:rFonts w:hint="eastAsia" w:ascii="宋体" w:hAnsi="宋体"/>
          <w:sz w:val="24"/>
        </w:rPr>
        <w:t>十一 资质证明文件</w:t>
      </w:r>
      <w:bookmarkEnd w:id="203"/>
      <w:bookmarkEnd w:id="204"/>
    </w:p>
    <w:p>
      <w:pPr>
        <w:adjustRightInd w:val="0"/>
        <w:snapToGrid w:val="0"/>
        <w:spacing w:line="360" w:lineRule="auto"/>
        <w:ind w:left="315" w:leftChars="150"/>
        <w:outlineLvl w:val="0"/>
        <w:rPr>
          <w:rFonts w:hint="eastAsia" w:ascii="宋体" w:hAnsi="宋体"/>
          <w:sz w:val="24"/>
        </w:rPr>
      </w:pPr>
      <w:bookmarkStart w:id="205" w:name="_Toc12651"/>
      <w:bookmarkStart w:id="206" w:name="_Toc29743"/>
      <w:r>
        <w:rPr>
          <w:rFonts w:hint="eastAsia" w:ascii="宋体" w:hAnsi="宋体"/>
          <w:sz w:val="24"/>
        </w:rPr>
        <w:t>十二</w:t>
      </w:r>
      <w:r>
        <w:rPr>
          <w:rFonts w:hint="eastAsia" w:ascii="宋体" w:hAnsi="宋体"/>
          <w:sz w:val="24"/>
          <w:lang w:val="en-US" w:eastAsia="zh-CN"/>
        </w:rPr>
        <w:t xml:space="preserve"> </w:t>
      </w:r>
      <w:r>
        <w:rPr>
          <w:rFonts w:hint="eastAsia" w:ascii="宋体" w:hAnsi="宋体"/>
          <w:sz w:val="24"/>
        </w:rPr>
        <w:t>中小企业声明函</w:t>
      </w:r>
      <w:bookmarkEnd w:id="205"/>
      <w:bookmarkEnd w:id="206"/>
    </w:p>
    <w:p>
      <w:pPr>
        <w:adjustRightInd w:val="0"/>
        <w:snapToGrid w:val="0"/>
        <w:spacing w:line="360" w:lineRule="auto"/>
        <w:ind w:firstLine="240" w:firstLineChars="100"/>
        <w:rPr>
          <w:rFonts w:hint="eastAsia" w:ascii="宋体" w:hAnsi="宋体"/>
          <w:sz w:val="24"/>
        </w:rPr>
      </w:pPr>
      <w:r>
        <w:rPr>
          <w:rFonts w:hint="eastAsia" w:ascii="宋体" w:hAnsi="宋体"/>
          <w:sz w:val="24"/>
        </w:rPr>
        <w:t>供应商应认真阅读和充分理解磋商文件中所有的内容。如果磋商响应文件没有满足磋商文件的有关要求，其风险由供应商自行承担。</w:t>
      </w:r>
    </w:p>
    <w:p>
      <w:pPr>
        <w:pStyle w:val="4"/>
        <w:keepNext w:val="0"/>
        <w:keepLines w:val="0"/>
        <w:adjustRightInd w:val="0"/>
        <w:snapToGrid w:val="0"/>
        <w:spacing w:before="0" w:after="0" w:line="360" w:lineRule="auto"/>
        <w:textAlignment w:val="baseline"/>
        <w:outlineLvl w:val="0"/>
        <w:rPr>
          <w:rFonts w:hint="eastAsia" w:ascii="宋体" w:hAnsi="宋体" w:eastAsia="宋体"/>
          <w:sz w:val="24"/>
          <w:szCs w:val="24"/>
        </w:rPr>
      </w:pPr>
      <w:bookmarkStart w:id="207" w:name="_Toc21911"/>
      <w:bookmarkStart w:id="208" w:name="_Toc4914"/>
      <w:bookmarkStart w:id="209" w:name="_Toc44924381"/>
      <w:r>
        <w:rPr>
          <w:rFonts w:hint="eastAsia" w:ascii="宋体" w:hAnsi="宋体" w:eastAsia="宋体"/>
          <w:sz w:val="24"/>
          <w:szCs w:val="24"/>
        </w:rPr>
        <w:t>三 磋商响应文件的编制</w:t>
      </w:r>
      <w:bookmarkEnd w:id="172"/>
      <w:bookmarkEnd w:id="173"/>
      <w:bookmarkEnd w:id="174"/>
      <w:bookmarkEnd w:id="175"/>
      <w:bookmarkEnd w:id="176"/>
      <w:bookmarkEnd w:id="177"/>
      <w:bookmarkEnd w:id="178"/>
      <w:bookmarkEnd w:id="179"/>
      <w:bookmarkEnd w:id="180"/>
      <w:bookmarkEnd w:id="181"/>
      <w:bookmarkEnd w:id="182"/>
      <w:bookmarkEnd w:id="207"/>
      <w:bookmarkEnd w:id="208"/>
      <w:bookmarkEnd w:id="209"/>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210" w:name="_Toc44924382"/>
      <w:bookmarkStart w:id="211" w:name="_Toc109537506"/>
      <w:bookmarkStart w:id="212" w:name="_Toc482378961"/>
      <w:bookmarkStart w:id="213" w:name="_Toc516501160"/>
      <w:bookmarkStart w:id="214" w:name="_Toc90713341"/>
      <w:bookmarkStart w:id="215" w:name="_Toc90712522"/>
      <w:bookmarkStart w:id="216" w:name="_Toc482379053"/>
      <w:bookmarkStart w:id="217" w:name="_Toc482379007"/>
      <w:bookmarkStart w:id="218" w:name="_Toc109550782"/>
      <w:bookmarkStart w:id="219" w:name="_Toc8270"/>
      <w:bookmarkStart w:id="220" w:name="_Toc15912335"/>
      <w:bookmarkStart w:id="221" w:name="_Toc7100"/>
      <w:bookmarkStart w:id="222" w:name="_Toc16089895"/>
      <w:bookmarkStart w:id="223" w:name="_Toc16089953"/>
      <w:r>
        <w:rPr>
          <w:rFonts w:hint="eastAsia" w:ascii="宋体" w:hAnsi="宋体" w:eastAsia="宋体"/>
          <w:sz w:val="24"/>
          <w:szCs w:val="24"/>
        </w:rPr>
        <w:t>8. 磋商的语言及度量衡单位</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adjustRightInd w:val="0"/>
        <w:snapToGrid w:val="0"/>
        <w:spacing w:line="360" w:lineRule="auto"/>
        <w:rPr>
          <w:rFonts w:hint="eastAsia" w:ascii="宋体" w:hAnsi="宋体"/>
          <w:sz w:val="24"/>
        </w:rPr>
      </w:pPr>
      <w:r>
        <w:rPr>
          <w:rFonts w:hint="eastAsia" w:ascii="宋体" w:hAnsi="宋体"/>
          <w:sz w:val="24"/>
        </w:rPr>
        <w:t>8.1供应商的磋商响应文件以及供应商与采购人就有关磋商问题的所有来往函电均须使用中文。</w:t>
      </w:r>
    </w:p>
    <w:p>
      <w:pPr>
        <w:adjustRightInd w:val="0"/>
        <w:snapToGrid w:val="0"/>
        <w:spacing w:line="360" w:lineRule="auto"/>
        <w:rPr>
          <w:rFonts w:hint="eastAsia" w:ascii="宋体" w:hAnsi="宋体"/>
          <w:sz w:val="24"/>
        </w:rPr>
      </w:pPr>
      <w:r>
        <w:rPr>
          <w:rFonts w:hint="eastAsia" w:ascii="宋体" w:hAnsi="宋体"/>
          <w:sz w:val="24"/>
        </w:rPr>
        <w:t>8.2除技术要求中另有规定外，磋商响应文件所使用的度量衡均须采用法定计量单位。</w:t>
      </w:r>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224" w:name="_Toc16089896"/>
      <w:bookmarkStart w:id="225" w:name="_Toc482379054"/>
      <w:bookmarkStart w:id="226" w:name="_Toc15912336"/>
      <w:bookmarkStart w:id="227" w:name="_Toc482379008"/>
      <w:bookmarkStart w:id="228" w:name="_Toc16089954"/>
      <w:bookmarkStart w:id="229" w:name="_Toc90712523"/>
      <w:bookmarkStart w:id="230" w:name="_Toc90713342"/>
      <w:bookmarkStart w:id="231" w:name="_Toc516501161"/>
      <w:bookmarkStart w:id="232" w:name="_Toc109537507"/>
      <w:bookmarkStart w:id="233" w:name="_Toc109550783"/>
      <w:bookmarkStart w:id="234" w:name="_Toc44924383"/>
      <w:bookmarkStart w:id="235" w:name="_Toc482378962"/>
      <w:bookmarkStart w:id="236" w:name="_Toc31805"/>
      <w:bookmarkStart w:id="237" w:name="_Toc12159"/>
      <w:r>
        <w:rPr>
          <w:rFonts w:hint="eastAsia" w:ascii="宋体" w:hAnsi="宋体" w:eastAsia="宋体"/>
          <w:sz w:val="24"/>
          <w:szCs w:val="24"/>
        </w:rPr>
        <w:t>9.磋商响应文件的真实性与准确性</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adjustRightInd w:val="0"/>
        <w:snapToGrid w:val="0"/>
        <w:spacing w:line="360" w:lineRule="auto"/>
        <w:rPr>
          <w:rFonts w:hint="eastAsia" w:ascii="宋体" w:hAnsi="宋体"/>
          <w:sz w:val="24"/>
        </w:rPr>
      </w:pPr>
      <w:r>
        <w:rPr>
          <w:rFonts w:hint="eastAsia" w:ascii="宋体" w:hAnsi="宋体"/>
          <w:sz w:val="24"/>
        </w:rPr>
        <w:t>9.1供应商必须对其磋商响应文件的真实性与准确性负责。一旦成交，其磋商响应文件将作为合同的重要组成部分。</w:t>
      </w:r>
    </w:p>
    <w:p>
      <w:pPr>
        <w:adjustRightInd w:val="0"/>
        <w:snapToGrid w:val="0"/>
        <w:spacing w:line="360" w:lineRule="auto"/>
        <w:rPr>
          <w:rFonts w:hint="eastAsia" w:ascii="宋体" w:hAnsi="宋体"/>
          <w:sz w:val="24"/>
        </w:rPr>
      </w:pPr>
      <w:r>
        <w:rPr>
          <w:rFonts w:hint="eastAsia" w:ascii="宋体" w:hAnsi="宋体"/>
          <w:sz w:val="24"/>
        </w:rPr>
        <w:t>9.2供应商不得在未征得采购人许可的情况下，擅自对磋商文件的格式、条款和技术要求进行修改。否则，其磋商响应文件在磋商时有可能被认为是未对磋商文件做出实质性的响应而终止对其作进一步的评审。</w:t>
      </w:r>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238" w:name="_Toc16089955"/>
      <w:bookmarkStart w:id="239" w:name="_Toc90712524"/>
      <w:bookmarkStart w:id="240" w:name="_Toc22937"/>
      <w:bookmarkStart w:id="241" w:name="_Toc15912337"/>
      <w:bookmarkStart w:id="242" w:name="_Toc16089897"/>
      <w:bookmarkStart w:id="243" w:name="_Toc482379055"/>
      <w:bookmarkStart w:id="244" w:name="_Toc482378963"/>
      <w:bookmarkStart w:id="245" w:name="_Toc1807"/>
      <w:bookmarkStart w:id="246" w:name="_Toc109550784"/>
      <w:bookmarkStart w:id="247" w:name="_Toc44924384"/>
      <w:bookmarkStart w:id="248" w:name="_Toc516501162"/>
      <w:bookmarkStart w:id="249" w:name="_Toc109537508"/>
      <w:bookmarkStart w:id="250" w:name="_Toc90713343"/>
      <w:bookmarkStart w:id="251" w:name="_Toc482379009"/>
      <w:r>
        <w:rPr>
          <w:rFonts w:hint="eastAsia" w:ascii="宋体" w:hAnsi="宋体" w:eastAsia="宋体"/>
          <w:sz w:val="24"/>
          <w:szCs w:val="24"/>
        </w:rPr>
        <w:t>10. 磋商报价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adjustRightInd w:val="0"/>
        <w:snapToGrid w:val="0"/>
        <w:spacing w:line="360" w:lineRule="auto"/>
        <w:rPr>
          <w:rFonts w:hint="eastAsia" w:ascii="宋体" w:hAnsi="宋体"/>
          <w:sz w:val="24"/>
        </w:rPr>
      </w:pPr>
      <w:r>
        <w:rPr>
          <w:rFonts w:hint="eastAsia" w:ascii="宋体" w:hAnsi="宋体"/>
          <w:sz w:val="24"/>
        </w:rPr>
        <w:t>10.1磋商响应文件的报价表上应清楚地标明投标总价。但只允许有一个方案报价，多方案报价的磋商响应文件将不被接受。</w:t>
      </w:r>
    </w:p>
    <w:p>
      <w:pPr>
        <w:adjustRightInd w:val="0"/>
        <w:snapToGrid w:val="0"/>
        <w:spacing w:line="360" w:lineRule="auto"/>
        <w:rPr>
          <w:rFonts w:hint="eastAsia" w:ascii="宋体" w:hAnsi="宋体"/>
          <w:sz w:val="24"/>
        </w:rPr>
      </w:pPr>
      <w:r>
        <w:rPr>
          <w:rFonts w:hint="eastAsia" w:ascii="宋体" w:hAnsi="宋体"/>
          <w:sz w:val="24"/>
        </w:rPr>
        <w:t>10.2磋商报价表上的价格为磋商时的参考价格，磋商小组以最后报价确定成交供应商的成交价格。</w:t>
      </w:r>
    </w:p>
    <w:p>
      <w:pPr>
        <w:spacing w:line="360" w:lineRule="auto"/>
        <w:rPr>
          <w:rFonts w:hint="eastAsia"/>
        </w:rPr>
      </w:pPr>
      <w:r>
        <w:rPr>
          <w:rFonts w:hint="eastAsia" w:ascii="宋体" w:hAnsi="宋体"/>
          <w:sz w:val="24"/>
          <w:lang w:val="en-US" w:eastAsia="zh-CN"/>
        </w:rPr>
        <w:t>10.3</w:t>
      </w:r>
      <w:r>
        <w:rPr>
          <w:rFonts w:hint="eastAsia" w:ascii="宋体" w:hAnsi="宋体"/>
          <w:sz w:val="24"/>
        </w:rPr>
        <w:t>所有</w:t>
      </w:r>
      <w:r>
        <w:rPr>
          <w:rFonts w:hint="eastAsia" w:ascii="宋体" w:hAnsi="宋体"/>
          <w:sz w:val="24"/>
          <w:lang w:eastAsia="zh-CN"/>
        </w:rPr>
        <w:t>磋商</w:t>
      </w:r>
      <w:r>
        <w:rPr>
          <w:rFonts w:hint="eastAsia" w:ascii="宋体" w:hAnsi="宋体"/>
          <w:sz w:val="24"/>
        </w:rPr>
        <w:t>报价均以人民币元为计算单位。</w:t>
      </w:r>
      <w:r>
        <w:rPr>
          <w:rFonts w:hint="eastAsia" w:ascii="宋体" w:hAnsi="宋体"/>
          <w:sz w:val="24"/>
          <w:lang w:eastAsia="zh-CN"/>
        </w:rPr>
        <w:t>供应商</w:t>
      </w:r>
      <w:r>
        <w:rPr>
          <w:rFonts w:hint="eastAsia" w:ascii="宋体" w:hAnsi="宋体"/>
          <w:sz w:val="24"/>
        </w:rPr>
        <w:t>的</w:t>
      </w:r>
      <w:r>
        <w:rPr>
          <w:rFonts w:hint="eastAsia" w:ascii="宋体" w:hAnsi="宋体"/>
          <w:sz w:val="24"/>
          <w:lang w:eastAsia="zh-CN"/>
        </w:rPr>
        <w:t>磋商</w:t>
      </w:r>
      <w:r>
        <w:rPr>
          <w:rFonts w:hint="eastAsia" w:ascii="宋体" w:hAnsi="宋体"/>
          <w:sz w:val="24"/>
        </w:rPr>
        <w:t>报价为交易总价格，</w:t>
      </w:r>
      <w:r>
        <w:rPr>
          <w:rFonts w:hint="eastAsia" w:ascii="宋体" w:hAnsi="宋体" w:cs="宋体"/>
          <w:sz w:val="24"/>
        </w:rPr>
        <w:t>含售后服务等费用。采购人不支付报价以外的任何费用。</w:t>
      </w:r>
      <w:r>
        <w:rPr>
          <w:rFonts w:hint="eastAsia" w:ascii="宋体" w:hAnsi="宋体"/>
          <w:sz w:val="24"/>
        </w:rPr>
        <w:t>本</w:t>
      </w:r>
      <w:r>
        <w:rPr>
          <w:rFonts w:ascii="宋体" w:hAnsi="宋体"/>
          <w:sz w:val="24"/>
        </w:rPr>
        <w:t>次投标实行二次报价，</w:t>
      </w:r>
      <w:r>
        <w:rPr>
          <w:rFonts w:hint="eastAsia" w:ascii="宋体" w:hAnsi="宋体"/>
          <w:sz w:val="24"/>
        </w:rPr>
        <w:t>投标</w:t>
      </w:r>
      <w:r>
        <w:rPr>
          <w:rFonts w:ascii="宋体" w:hAnsi="宋体"/>
          <w:sz w:val="24"/>
        </w:rPr>
        <w:t>文件报价为第一次报价，</w:t>
      </w:r>
      <w:r>
        <w:rPr>
          <w:rFonts w:hint="eastAsia" w:ascii="宋体" w:hAnsi="宋体"/>
          <w:sz w:val="24"/>
        </w:rPr>
        <w:t>通过</w:t>
      </w:r>
      <w:r>
        <w:rPr>
          <w:rFonts w:ascii="宋体" w:hAnsi="宋体"/>
          <w:sz w:val="24"/>
        </w:rPr>
        <w:t>资格审查的有效</w:t>
      </w:r>
      <w:r>
        <w:rPr>
          <w:rFonts w:hint="eastAsia" w:ascii="宋体" w:hAnsi="宋体"/>
          <w:sz w:val="24"/>
          <w:lang w:eastAsia="zh-CN"/>
        </w:rPr>
        <w:t>供应商</w:t>
      </w:r>
      <w:r>
        <w:rPr>
          <w:rFonts w:hint="eastAsia" w:ascii="宋体" w:hAnsi="宋体"/>
          <w:sz w:val="24"/>
        </w:rPr>
        <w:t>实施</w:t>
      </w:r>
      <w:r>
        <w:rPr>
          <w:rFonts w:ascii="宋体" w:hAnsi="宋体"/>
          <w:sz w:val="24"/>
        </w:rPr>
        <w:t>第二次报价，第二次报价不能超过第</w:t>
      </w:r>
      <w:r>
        <w:rPr>
          <w:rFonts w:hint="eastAsia" w:ascii="宋体" w:hAnsi="宋体"/>
          <w:sz w:val="24"/>
        </w:rPr>
        <w:t>一</w:t>
      </w:r>
      <w:r>
        <w:rPr>
          <w:rFonts w:ascii="宋体" w:hAnsi="宋体"/>
          <w:sz w:val="24"/>
        </w:rPr>
        <w:t>次报价，</w:t>
      </w:r>
      <w:r>
        <w:rPr>
          <w:rFonts w:hint="eastAsia" w:ascii="宋体" w:hAnsi="宋体"/>
          <w:sz w:val="24"/>
          <w:lang w:eastAsia="zh-CN"/>
        </w:rPr>
        <w:t>供应商</w:t>
      </w:r>
      <w:r>
        <w:rPr>
          <w:rFonts w:hint="eastAsia" w:ascii="宋体" w:hAnsi="宋体"/>
          <w:sz w:val="24"/>
        </w:rPr>
        <w:t>的报价超过采购预算，按无效标处理。</w:t>
      </w:r>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252" w:name="_Toc15671"/>
      <w:bookmarkStart w:id="253" w:name="_Toc15912338"/>
      <w:bookmarkStart w:id="254" w:name="_Toc482379010"/>
      <w:bookmarkStart w:id="255" w:name="_Toc44924385"/>
      <w:bookmarkStart w:id="256" w:name="_Toc90712525"/>
      <w:bookmarkStart w:id="257" w:name="_Toc109550785"/>
      <w:bookmarkStart w:id="258" w:name="_Toc482378964"/>
      <w:bookmarkStart w:id="259" w:name="_Toc90713344"/>
      <w:bookmarkStart w:id="260" w:name="_Toc16089956"/>
      <w:bookmarkStart w:id="261" w:name="_Toc516501163"/>
      <w:bookmarkStart w:id="262" w:name="_Toc482379056"/>
      <w:bookmarkStart w:id="263" w:name="_Toc14214"/>
      <w:bookmarkStart w:id="264" w:name="_Toc109537509"/>
      <w:bookmarkStart w:id="265" w:name="_Toc16089898"/>
      <w:r>
        <w:rPr>
          <w:rFonts w:hint="eastAsia" w:ascii="宋体" w:hAnsi="宋体" w:eastAsia="宋体"/>
          <w:sz w:val="24"/>
          <w:szCs w:val="24"/>
        </w:rPr>
        <w:t>11. 磋商货币</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pPr>
        <w:adjustRightInd w:val="0"/>
        <w:snapToGrid w:val="0"/>
        <w:spacing w:line="360" w:lineRule="auto"/>
        <w:rPr>
          <w:rFonts w:hint="eastAsia" w:ascii="宋体" w:hAnsi="宋体"/>
          <w:sz w:val="24"/>
        </w:rPr>
      </w:pPr>
      <w:r>
        <w:rPr>
          <w:rFonts w:hint="eastAsia" w:ascii="宋体" w:hAnsi="宋体"/>
          <w:sz w:val="24"/>
        </w:rPr>
        <w:t>11.1磋商须以人民币报价。</w:t>
      </w:r>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266" w:name="_Toc90713345"/>
      <w:bookmarkStart w:id="267" w:name="_Toc482379011"/>
      <w:bookmarkStart w:id="268" w:name="_Toc44924386"/>
      <w:bookmarkStart w:id="269" w:name="_Toc482379057"/>
      <w:bookmarkStart w:id="270" w:name="_Toc109537510"/>
      <w:bookmarkStart w:id="271" w:name="_Toc516501164"/>
      <w:bookmarkStart w:id="272" w:name="_Toc109550786"/>
      <w:bookmarkStart w:id="273" w:name="_Toc482378965"/>
      <w:bookmarkStart w:id="274" w:name="_Toc29084"/>
      <w:bookmarkStart w:id="275" w:name="_Toc16089899"/>
      <w:bookmarkStart w:id="276" w:name="_Toc15912339"/>
      <w:bookmarkStart w:id="277" w:name="_Toc16089957"/>
      <w:bookmarkStart w:id="278" w:name="_Toc90712526"/>
      <w:bookmarkStart w:id="279" w:name="_Toc29113"/>
      <w:r>
        <w:rPr>
          <w:rFonts w:hint="eastAsia" w:ascii="宋体" w:hAnsi="宋体" w:eastAsia="宋体"/>
          <w:sz w:val="24"/>
          <w:szCs w:val="24"/>
        </w:rPr>
        <w:t>12.证明供应商合格的资格文件</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adjustRightInd w:val="0"/>
        <w:snapToGrid w:val="0"/>
        <w:spacing w:line="360" w:lineRule="auto"/>
        <w:rPr>
          <w:rFonts w:hint="eastAsia" w:ascii="宋体" w:hAnsi="宋体"/>
          <w:sz w:val="24"/>
        </w:rPr>
      </w:pPr>
      <w:r>
        <w:rPr>
          <w:rFonts w:hint="eastAsia" w:ascii="宋体" w:hAnsi="宋体"/>
          <w:sz w:val="24"/>
        </w:rPr>
        <w:t>12.1供应商在其磋商响应文件中，应提供证明其有资格参加磋商和成交后有能力履行合同的资质证明文件。</w:t>
      </w:r>
    </w:p>
    <w:p>
      <w:pPr>
        <w:adjustRightInd w:val="0"/>
        <w:snapToGrid w:val="0"/>
        <w:spacing w:line="360" w:lineRule="auto"/>
        <w:rPr>
          <w:rFonts w:hint="eastAsia" w:ascii="宋体" w:hAnsi="宋体"/>
          <w:sz w:val="24"/>
        </w:rPr>
      </w:pPr>
      <w:r>
        <w:rPr>
          <w:rFonts w:hint="eastAsia" w:ascii="宋体" w:hAnsi="宋体"/>
          <w:sz w:val="24"/>
        </w:rPr>
        <w:t>12.2供应商必须具有履行合同所必需的服务和财务管理等方面的能力。</w:t>
      </w:r>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280" w:name="_Toc482379012"/>
      <w:bookmarkStart w:id="281" w:name="_Toc482378966"/>
      <w:bookmarkStart w:id="282" w:name="_Toc16089958"/>
      <w:bookmarkStart w:id="283" w:name="_Toc15912340"/>
      <w:bookmarkStart w:id="284" w:name="_Toc44924387"/>
      <w:bookmarkStart w:id="285" w:name="_Toc32467"/>
      <w:bookmarkStart w:id="286" w:name="_Toc90712527"/>
      <w:bookmarkStart w:id="287" w:name="_Toc482379058"/>
      <w:bookmarkStart w:id="288" w:name="_Toc19998"/>
      <w:bookmarkStart w:id="289" w:name="_Toc90713346"/>
      <w:bookmarkStart w:id="290" w:name="_Toc109537511"/>
      <w:bookmarkStart w:id="291" w:name="_Toc516501165"/>
      <w:bookmarkStart w:id="292" w:name="_Toc109550787"/>
      <w:bookmarkStart w:id="293" w:name="_Toc16089900"/>
      <w:r>
        <w:rPr>
          <w:rFonts w:hint="eastAsia" w:ascii="宋体" w:hAnsi="宋体" w:eastAsia="宋体"/>
          <w:sz w:val="24"/>
          <w:szCs w:val="24"/>
        </w:rPr>
        <w:t>13.证明投标产品的合格性和符合磋商文件规定的文件</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adjustRightInd w:val="0"/>
        <w:snapToGrid w:val="0"/>
        <w:spacing w:line="360" w:lineRule="auto"/>
        <w:rPr>
          <w:rFonts w:hint="eastAsia" w:ascii="宋体" w:hAnsi="宋体"/>
          <w:sz w:val="24"/>
        </w:rPr>
      </w:pPr>
      <w:r>
        <w:rPr>
          <w:rFonts w:hint="eastAsia" w:ascii="宋体" w:hAnsi="宋体"/>
          <w:sz w:val="24"/>
        </w:rPr>
        <w:t>13.1供应商应按照磋商文件要求，提供文件证明其提供服务的合格性，且符合磋商文件的规定，并作为其磋商响应文件的一部分。</w:t>
      </w:r>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294" w:name="_Toc482379013"/>
      <w:bookmarkStart w:id="295" w:name="_Toc516501166"/>
      <w:bookmarkStart w:id="296" w:name="_Toc15912341"/>
      <w:bookmarkStart w:id="297" w:name="_Toc90713347"/>
      <w:bookmarkStart w:id="298" w:name="_Toc482378967"/>
      <w:bookmarkStart w:id="299" w:name="_Toc16089959"/>
      <w:bookmarkStart w:id="300" w:name="_Toc90712528"/>
      <w:bookmarkStart w:id="301" w:name="_Toc16089901"/>
      <w:bookmarkStart w:id="302" w:name="_Toc4285"/>
      <w:bookmarkStart w:id="303" w:name="_Toc482379059"/>
      <w:bookmarkStart w:id="304" w:name="_Toc15764"/>
      <w:bookmarkStart w:id="305" w:name="_Toc109550788"/>
      <w:bookmarkStart w:id="306" w:name="_Toc109537512"/>
      <w:bookmarkStart w:id="307" w:name="_Toc44924388"/>
      <w:r>
        <w:rPr>
          <w:rFonts w:hint="eastAsia" w:ascii="宋体" w:hAnsi="宋体" w:eastAsia="宋体"/>
          <w:sz w:val="24"/>
          <w:szCs w:val="24"/>
        </w:rPr>
        <w:t>14.磋商保证金</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adjustRightInd w:val="0"/>
        <w:snapToGrid w:val="0"/>
        <w:spacing w:line="360" w:lineRule="auto"/>
        <w:ind w:firstLine="360" w:firstLineChars="150"/>
        <w:rPr>
          <w:rFonts w:ascii="宋体" w:hAnsi="宋体"/>
          <w:sz w:val="24"/>
        </w:rPr>
      </w:pPr>
      <w:bookmarkStart w:id="308" w:name="_Toc109537513"/>
      <w:bookmarkStart w:id="309" w:name="_Toc109550789"/>
      <w:bookmarkStart w:id="310" w:name="_Toc90712529"/>
      <w:bookmarkStart w:id="311" w:name="_Toc90713348"/>
      <w:r>
        <w:rPr>
          <w:rFonts w:hint="eastAsia" w:ascii="宋体" w:hAnsi="宋体"/>
          <w:sz w:val="24"/>
        </w:rPr>
        <w:t>根据河南省财政厅关于优化政府采购营商环境有关问题的通知（豫财购（2019）4号），取消政府采购投标保证金。</w:t>
      </w:r>
      <w:r>
        <w:rPr>
          <w:rFonts w:ascii="宋体" w:hAnsi="宋体" w:cs="宋体"/>
          <w:kern w:val="0"/>
          <w:sz w:val="24"/>
        </w:rPr>
        <w:t>本项目不再要求缴纳</w:t>
      </w:r>
      <w:r>
        <w:rPr>
          <w:rFonts w:hint="eastAsia" w:ascii="宋体" w:hAnsi="宋体" w:cs="宋体"/>
          <w:kern w:val="0"/>
          <w:sz w:val="24"/>
        </w:rPr>
        <w:t>磋商</w:t>
      </w:r>
      <w:r>
        <w:rPr>
          <w:rFonts w:ascii="宋体" w:hAnsi="宋体" w:cs="宋体"/>
          <w:kern w:val="0"/>
          <w:sz w:val="24"/>
        </w:rPr>
        <w:t>保证金</w:t>
      </w:r>
      <w:r>
        <w:rPr>
          <w:rFonts w:hint="eastAsia" w:ascii="宋体" w:hAnsi="宋体" w:cs="宋体"/>
          <w:kern w:val="0"/>
          <w:sz w:val="24"/>
        </w:rPr>
        <w:t>。</w:t>
      </w:r>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312" w:name="_Toc16089960"/>
      <w:bookmarkStart w:id="313" w:name="_Toc482378968"/>
      <w:bookmarkStart w:id="314" w:name="_Toc23896"/>
      <w:bookmarkStart w:id="315" w:name="_Toc482379060"/>
      <w:bookmarkStart w:id="316" w:name="_Toc16089902"/>
      <w:bookmarkStart w:id="317" w:name="_Toc44924389"/>
      <w:bookmarkStart w:id="318" w:name="_Toc15912342"/>
      <w:bookmarkStart w:id="319" w:name="_Toc482379014"/>
      <w:bookmarkStart w:id="320" w:name="_Toc5917"/>
      <w:bookmarkStart w:id="321" w:name="_Toc516501167"/>
      <w:r>
        <w:rPr>
          <w:rFonts w:hint="eastAsia" w:ascii="宋体" w:hAnsi="宋体" w:eastAsia="宋体"/>
          <w:sz w:val="24"/>
          <w:szCs w:val="24"/>
        </w:rPr>
        <w:t>15. 磋商有效期</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adjustRightInd w:val="0"/>
        <w:snapToGrid w:val="0"/>
        <w:spacing w:line="360" w:lineRule="auto"/>
        <w:rPr>
          <w:rFonts w:hint="eastAsia" w:ascii="宋体" w:hAnsi="宋体"/>
          <w:sz w:val="24"/>
        </w:rPr>
      </w:pPr>
      <w:r>
        <w:rPr>
          <w:rFonts w:hint="eastAsia" w:ascii="宋体" w:hAnsi="宋体"/>
          <w:sz w:val="24"/>
        </w:rPr>
        <w:t>15.1本次磋商的有效期为：见“磋商项目资料表”中的磋商有效期要求。供应商承诺的磋商有效期短于此规定时间的，将被视为非实质性响应而予以拒绝。</w:t>
      </w:r>
    </w:p>
    <w:p>
      <w:pPr>
        <w:adjustRightInd w:val="0"/>
        <w:snapToGrid w:val="0"/>
        <w:spacing w:line="360" w:lineRule="auto"/>
        <w:rPr>
          <w:rFonts w:hint="eastAsia" w:ascii="宋体" w:hAnsi="宋体"/>
          <w:sz w:val="24"/>
        </w:rPr>
      </w:pPr>
      <w:r>
        <w:rPr>
          <w:rFonts w:hint="eastAsia" w:ascii="宋体" w:hAnsi="宋体"/>
          <w:sz w:val="24"/>
        </w:rPr>
        <w:t>15.2在特殊情况下，采购人可于原磋商有效期满之前，向供应商提出延长磋商有效期的要求。这种要求与答复均采用书面形式如传真、信件或电报等。</w:t>
      </w:r>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322" w:name="_Toc16089903"/>
      <w:bookmarkStart w:id="323" w:name="_Toc109537514"/>
      <w:bookmarkStart w:id="324" w:name="_Toc44924390"/>
      <w:bookmarkStart w:id="325" w:name="_Toc16089961"/>
      <w:bookmarkStart w:id="326" w:name="_Toc516501168"/>
      <w:bookmarkStart w:id="327" w:name="_Toc21812"/>
      <w:bookmarkStart w:id="328" w:name="_Toc482379015"/>
      <w:bookmarkStart w:id="329" w:name="_Toc482378969"/>
      <w:bookmarkStart w:id="330" w:name="_Toc109550790"/>
      <w:bookmarkStart w:id="331" w:name="_Toc90712530"/>
      <w:bookmarkStart w:id="332" w:name="_Toc482379061"/>
      <w:bookmarkStart w:id="333" w:name="_Toc90713349"/>
      <w:bookmarkStart w:id="334" w:name="_Toc15912343"/>
      <w:bookmarkStart w:id="335" w:name="_Toc32615"/>
      <w:r>
        <w:rPr>
          <w:rFonts w:hint="eastAsia" w:ascii="宋体" w:hAnsi="宋体" w:eastAsia="宋体"/>
          <w:sz w:val="24"/>
          <w:szCs w:val="24"/>
        </w:rPr>
        <w:t>16.磋商响应文件份数和签署</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spacing w:line="360" w:lineRule="auto"/>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供应商</w:t>
      </w:r>
      <w:r>
        <w:rPr>
          <w:rFonts w:ascii="宋体" w:hAnsi="宋体"/>
          <w:sz w:val="24"/>
        </w:rPr>
        <w:t>须在</w:t>
      </w:r>
      <w:r>
        <w:rPr>
          <w:rFonts w:hint="eastAsia" w:ascii="宋体" w:hAnsi="宋体"/>
          <w:sz w:val="24"/>
        </w:rPr>
        <w:t>响应性</w:t>
      </w:r>
      <w:r>
        <w:rPr>
          <w:rFonts w:ascii="宋体" w:hAnsi="宋体"/>
          <w:sz w:val="24"/>
        </w:rPr>
        <w:t>文件递交截止时间前制作并提交</w:t>
      </w:r>
      <w:r>
        <w:rPr>
          <w:rFonts w:hint="eastAsia" w:ascii="宋体" w:hAnsi="宋体"/>
          <w:sz w:val="24"/>
        </w:rPr>
        <w:t>响应性</w:t>
      </w:r>
      <w:r>
        <w:rPr>
          <w:rFonts w:ascii="宋体" w:hAnsi="宋体"/>
          <w:sz w:val="24"/>
        </w:rPr>
        <w:t>文件。 加密的电子</w:t>
      </w:r>
      <w:r>
        <w:rPr>
          <w:rFonts w:hint="eastAsia" w:ascii="宋体" w:hAnsi="宋体"/>
          <w:sz w:val="24"/>
        </w:rPr>
        <w:t>响应性</w:t>
      </w:r>
      <w:r>
        <w:rPr>
          <w:rFonts w:ascii="宋体" w:hAnsi="宋体"/>
          <w:sz w:val="24"/>
        </w:rPr>
        <w:t>文件（*.hntf 格式）,应在</w:t>
      </w:r>
      <w:r>
        <w:rPr>
          <w:rFonts w:hint="eastAsia" w:ascii="宋体" w:hAnsi="宋体"/>
          <w:sz w:val="24"/>
        </w:rPr>
        <w:t>响应性</w:t>
      </w:r>
      <w:r>
        <w:rPr>
          <w:rFonts w:ascii="宋体" w:hAnsi="宋体"/>
          <w:sz w:val="24"/>
        </w:rPr>
        <w:t xml:space="preserve">文件截止时间前通过“河南省公共资源交易中心（www.hnggzy.com）”电子交易平台内上传； </w:t>
      </w:r>
    </w:p>
    <w:p>
      <w:pPr>
        <w:spacing w:line="360" w:lineRule="auto"/>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2</w:t>
      </w:r>
      <w:r>
        <w:rPr>
          <w:rFonts w:ascii="宋体" w:hAnsi="宋体"/>
          <w:sz w:val="24"/>
        </w:rPr>
        <w:t xml:space="preserve"> 加密的电子</w:t>
      </w:r>
      <w:r>
        <w:rPr>
          <w:rFonts w:hint="eastAsia" w:ascii="宋体" w:hAnsi="宋体"/>
          <w:sz w:val="24"/>
        </w:rPr>
        <w:t>响应性</w:t>
      </w:r>
      <w:r>
        <w:rPr>
          <w:rFonts w:ascii="宋体" w:hAnsi="宋体"/>
          <w:sz w:val="24"/>
        </w:rPr>
        <w:t>文件为“河南省公共资源交易中心（www.hnggzy.com）” 网站提供的“</w:t>
      </w:r>
      <w:r>
        <w:rPr>
          <w:rFonts w:hint="eastAsia" w:ascii="宋体" w:hAnsi="宋体"/>
          <w:sz w:val="24"/>
        </w:rPr>
        <w:t>响应性</w:t>
      </w:r>
      <w:r>
        <w:rPr>
          <w:rFonts w:ascii="宋体" w:hAnsi="宋体"/>
          <w:sz w:val="24"/>
        </w:rPr>
        <w:t>文件制作工具”软件制作生成的加密版</w:t>
      </w:r>
      <w:r>
        <w:rPr>
          <w:rFonts w:hint="eastAsia" w:ascii="宋体" w:hAnsi="宋体"/>
          <w:sz w:val="24"/>
        </w:rPr>
        <w:t>响应性</w:t>
      </w:r>
      <w:r>
        <w:rPr>
          <w:rFonts w:ascii="宋体" w:hAnsi="宋体"/>
          <w:sz w:val="24"/>
        </w:rPr>
        <w:t>文件。</w:t>
      </w:r>
    </w:p>
    <w:p>
      <w:pPr>
        <w:spacing w:line="360" w:lineRule="auto"/>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3</w:t>
      </w:r>
      <w:r>
        <w:rPr>
          <w:rFonts w:ascii="宋体" w:hAnsi="宋体"/>
          <w:sz w:val="24"/>
        </w:rPr>
        <w:t xml:space="preserve"> </w:t>
      </w:r>
      <w:r>
        <w:rPr>
          <w:rFonts w:hint="eastAsia" w:ascii="宋体" w:hAnsi="宋体"/>
          <w:sz w:val="24"/>
        </w:rPr>
        <w:t>响应性</w:t>
      </w:r>
      <w:r>
        <w:rPr>
          <w:rFonts w:ascii="宋体" w:hAnsi="宋体"/>
          <w:sz w:val="24"/>
        </w:rPr>
        <w:t>文件格式所要求包含的全部资料应全部制作在</w:t>
      </w:r>
      <w:r>
        <w:rPr>
          <w:rFonts w:hint="eastAsia" w:ascii="宋体" w:hAnsi="宋体"/>
          <w:sz w:val="24"/>
        </w:rPr>
        <w:t>响应性</w:t>
      </w:r>
      <w:r>
        <w:rPr>
          <w:rFonts w:ascii="宋体" w:hAnsi="宋体"/>
          <w:sz w:val="24"/>
        </w:rPr>
        <w:t>文件内，严格按照本项目</w:t>
      </w:r>
      <w:r>
        <w:rPr>
          <w:rFonts w:hint="eastAsia" w:ascii="宋体" w:hAnsi="宋体"/>
          <w:sz w:val="24"/>
          <w:lang w:eastAsia="zh-CN"/>
        </w:rPr>
        <w:t>磋商</w:t>
      </w:r>
      <w:r>
        <w:rPr>
          <w:rFonts w:ascii="宋体" w:hAnsi="宋体"/>
          <w:sz w:val="24"/>
        </w:rPr>
        <w:t>文件所有格式如实填写（不涉及的内容除外），不应存在漏项或缺项，否则将存在</w:t>
      </w:r>
      <w:r>
        <w:rPr>
          <w:rFonts w:hint="eastAsia" w:ascii="宋体" w:hAnsi="宋体"/>
          <w:sz w:val="24"/>
        </w:rPr>
        <w:t>响应性</w:t>
      </w:r>
      <w:r>
        <w:rPr>
          <w:rFonts w:ascii="宋体" w:hAnsi="宋体"/>
          <w:sz w:val="24"/>
        </w:rPr>
        <w:t>文件被拒绝的风险。</w:t>
      </w:r>
    </w:p>
    <w:p>
      <w:pPr>
        <w:spacing w:line="360" w:lineRule="auto"/>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4</w:t>
      </w:r>
      <w:r>
        <w:rPr>
          <w:rFonts w:ascii="宋体" w:hAnsi="宋体"/>
          <w:sz w:val="24"/>
        </w:rPr>
        <w:t xml:space="preserve"> </w:t>
      </w:r>
      <w:r>
        <w:rPr>
          <w:rFonts w:hint="eastAsia" w:ascii="宋体" w:hAnsi="宋体"/>
          <w:sz w:val="24"/>
        </w:rPr>
        <w:t>响应性文件</w:t>
      </w:r>
      <w:r>
        <w:rPr>
          <w:rFonts w:ascii="宋体" w:hAnsi="宋体"/>
          <w:sz w:val="24"/>
        </w:rPr>
        <w:t>以外的任何资料</w:t>
      </w:r>
      <w:r>
        <w:rPr>
          <w:rFonts w:hint="eastAsia" w:ascii="宋体" w:hAnsi="宋体"/>
          <w:sz w:val="24"/>
        </w:rPr>
        <w:t>采购人和</w:t>
      </w:r>
      <w:r>
        <w:rPr>
          <w:rFonts w:hint="eastAsia" w:ascii="宋体" w:hAnsi="宋体"/>
          <w:sz w:val="24"/>
          <w:lang w:eastAsia="zh-CN"/>
        </w:rPr>
        <w:t>采购</w:t>
      </w:r>
      <w:r>
        <w:rPr>
          <w:rFonts w:hint="eastAsia" w:ascii="宋体" w:hAnsi="宋体"/>
          <w:sz w:val="24"/>
        </w:rPr>
        <w:t>代理</w:t>
      </w:r>
      <w:r>
        <w:rPr>
          <w:rFonts w:ascii="宋体" w:hAnsi="宋体"/>
          <w:sz w:val="24"/>
        </w:rPr>
        <w:t>机构将拒收。</w:t>
      </w:r>
    </w:p>
    <w:p>
      <w:pPr>
        <w:adjustRightInd w:val="0"/>
        <w:snapToGrid w:val="0"/>
        <w:spacing w:line="360" w:lineRule="auto"/>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5供应商</w:t>
      </w:r>
      <w:r>
        <w:rPr>
          <w:rFonts w:ascii="宋体" w:hAnsi="宋体"/>
          <w:sz w:val="24"/>
        </w:rPr>
        <w:t>编辑电子</w:t>
      </w:r>
      <w:r>
        <w:rPr>
          <w:rFonts w:hint="eastAsia" w:ascii="宋体" w:hAnsi="宋体"/>
          <w:sz w:val="24"/>
        </w:rPr>
        <w:t>响应性</w:t>
      </w:r>
      <w:r>
        <w:rPr>
          <w:rFonts w:ascii="宋体" w:hAnsi="宋体"/>
          <w:sz w:val="24"/>
        </w:rPr>
        <w:t>文件时，根据</w:t>
      </w:r>
      <w:r>
        <w:rPr>
          <w:rFonts w:hint="eastAsia" w:ascii="宋体" w:hAnsi="宋体"/>
          <w:sz w:val="24"/>
        </w:rPr>
        <w:t>竞争性磋商</w:t>
      </w:r>
      <w:r>
        <w:rPr>
          <w:rFonts w:ascii="宋体" w:hAnsi="宋体"/>
          <w:sz w:val="24"/>
        </w:rPr>
        <w:t>文件要求用法人 CA 密钥和企业 CA 密钥进行签章制作；最后一步生成电子</w:t>
      </w:r>
      <w:r>
        <w:rPr>
          <w:rFonts w:hint="eastAsia" w:ascii="宋体" w:hAnsi="宋体"/>
          <w:sz w:val="24"/>
        </w:rPr>
        <w:t>响应性</w:t>
      </w:r>
      <w:r>
        <w:rPr>
          <w:rFonts w:ascii="宋体" w:hAnsi="宋体"/>
          <w:sz w:val="24"/>
        </w:rPr>
        <w:t>文件（*.hntf 格式和*.nhntf 格式）时，只能用本单位的企业 CA 密钥。</w:t>
      </w:r>
    </w:p>
    <w:p>
      <w:pPr>
        <w:pStyle w:val="4"/>
        <w:keepNext w:val="0"/>
        <w:keepLines w:val="0"/>
        <w:adjustRightInd w:val="0"/>
        <w:snapToGrid w:val="0"/>
        <w:spacing w:before="0" w:after="0" w:line="360" w:lineRule="auto"/>
        <w:jc w:val="left"/>
        <w:textAlignment w:val="baseline"/>
        <w:outlineLvl w:val="0"/>
        <w:rPr>
          <w:rFonts w:hint="eastAsia" w:ascii="宋体" w:hAnsi="宋体" w:eastAsia="宋体"/>
          <w:sz w:val="24"/>
          <w:szCs w:val="24"/>
        </w:rPr>
      </w:pPr>
      <w:r>
        <w:rPr>
          <w:rFonts w:hint="eastAsia" w:ascii="宋体" w:hAnsi="宋体" w:eastAsia="宋体"/>
          <w:sz w:val="24"/>
          <w:szCs w:val="24"/>
        </w:rPr>
        <w:t xml:space="preserve"> </w:t>
      </w:r>
      <w:bookmarkStart w:id="336" w:name="_Toc109550791"/>
      <w:bookmarkStart w:id="337" w:name="_Toc13182"/>
      <w:bookmarkStart w:id="338" w:name="_Toc516501169"/>
      <w:bookmarkStart w:id="339" w:name="_Toc482379062"/>
      <w:bookmarkStart w:id="340" w:name="_Toc5334"/>
      <w:bookmarkStart w:id="341" w:name="_Toc90713350"/>
      <w:bookmarkStart w:id="342" w:name="_Toc16089904"/>
      <w:bookmarkStart w:id="343" w:name="_Toc90712531"/>
      <w:bookmarkStart w:id="344" w:name="_Toc15912344"/>
      <w:bookmarkStart w:id="345" w:name="_Toc109537515"/>
      <w:bookmarkStart w:id="346" w:name="_Toc16089962"/>
      <w:bookmarkStart w:id="347" w:name="_Toc482378970"/>
      <w:bookmarkStart w:id="348" w:name="_Toc482379016"/>
      <w:bookmarkStart w:id="349" w:name="_Toc44924391"/>
      <w:r>
        <w:rPr>
          <w:rFonts w:hint="eastAsia" w:ascii="宋体" w:hAnsi="宋体" w:eastAsia="宋体"/>
          <w:sz w:val="24"/>
          <w:szCs w:val="24"/>
        </w:rPr>
        <w:t>四 磋商供应商响应文件的递交</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350" w:name="_Toc15912345"/>
      <w:bookmarkStart w:id="351" w:name="_Toc8871"/>
      <w:bookmarkStart w:id="352" w:name="_Toc482379017"/>
      <w:bookmarkStart w:id="353" w:name="_Toc27231"/>
      <w:bookmarkStart w:id="354" w:name="_Toc482378971"/>
      <w:bookmarkStart w:id="355" w:name="_Toc516501170"/>
      <w:bookmarkStart w:id="356" w:name="_Toc16089905"/>
      <w:bookmarkStart w:id="357" w:name="_Toc109550792"/>
      <w:bookmarkStart w:id="358" w:name="_Toc90712532"/>
      <w:bookmarkStart w:id="359" w:name="_Toc44924392"/>
      <w:bookmarkStart w:id="360" w:name="_Toc482379063"/>
      <w:bookmarkStart w:id="361" w:name="_Toc109537516"/>
      <w:bookmarkStart w:id="362" w:name="_Toc16089963"/>
      <w:bookmarkStart w:id="363" w:name="_Toc90713351"/>
      <w:r>
        <w:rPr>
          <w:rFonts w:hint="eastAsia" w:ascii="宋体" w:hAnsi="宋体" w:eastAsia="宋体"/>
          <w:sz w:val="24"/>
          <w:szCs w:val="24"/>
        </w:rPr>
        <w:t>17.磋商供应商响应文件的密封和标记</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pPr>
        <w:pStyle w:val="5"/>
        <w:adjustRightInd w:val="0"/>
        <w:snapToGrid w:val="0"/>
        <w:spacing w:line="360" w:lineRule="auto"/>
        <w:ind w:firstLine="0" w:firstLineChars="0"/>
        <w:rPr>
          <w:rFonts w:hint="eastAsia" w:ascii="宋体" w:hAnsi="宋体"/>
          <w:sz w:val="24"/>
          <w:szCs w:val="24"/>
        </w:rPr>
      </w:pPr>
      <w:r>
        <w:rPr>
          <w:rFonts w:hint="eastAsia" w:ascii="宋体" w:hAnsi="宋体"/>
          <w:sz w:val="24"/>
          <w:szCs w:val="24"/>
        </w:rPr>
        <w:t>17.1响应性</w:t>
      </w:r>
      <w:r>
        <w:rPr>
          <w:rFonts w:ascii="宋体" w:hAnsi="宋体"/>
          <w:sz w:val="24"/>
          <w:szCs w:val="24"/>
        </w:rPr>
        <w:t>文件的递交 （1）</w:t>
      </w:r>
      <w:r>
        <w:rPr>
          <w:rFonts w:hint="eastAsia" w:ascii="宋体" w:hAnsi="宋体"/>
          <w:sz w:val="24"/>
          <w:szCs w:val="24"/>
        </w:rPr>
        <w:t>供应商</w:t>
      </w:r>
      <w:r>
        <w:rPr>
          <w:rFonts w:ascii="宋体" w:hAnsi="宋体"/>
          <w:sz w:val="24"/>
          <w:szCs w:val="24"/>
        </w:rPr>
        <w:t>应在投标截止时间前上传加密的电子</w:t>
      </w:r>
      <w:r>
        <w:rPr>
          <w:rFonts w:hint="eastAsia" w:ascii="宋体" w:hAnsi="宋体"/>
          <w:sz w:val="24"/>
          <w:szCs w:val="24"/>
        </w:rPr>
        <w:t>响应性</w:t>
      </w:r>
      <w:r>
        <w:rPr>
          <w:rFonts w:ascii="宋体" w:hAnsi="宋体"/>
          <w:sz w:val="24"/>
          <w:szCs w:val="24"/>
        </w:rPr>
        <w:t>文件（*.hntf）到会员系统的指定位置。上传时必须得到电脑“上传成功”的确认。请</w:t>
      </w:r>
      <w:r>
        <w:rPr>
          <w:rFonts w:hint="eastAsia" w:ascii="宋体" w:hAnsi="宋体"/>
          <w:sz w:val="24"/>
          <w:szCs w:val="24"/>
        </w:rPr>
        <w:t>供应商</w:t>
      </w:r>
      <w:r>
        <w:rPr>
          <w:rFonts w:ascii="宋体" w:hAnsi="宋体"/>
          <w:sz w:val="24"/>
          <w:szCs w:val="24"/>
        </w:rPr>
        <w:t>在上传时认真检查上传</w:t>
      </w:r>
      <w:r>
        <w:rPr>
          <w:rFonts w:hint="eastAsia" w:ascii="宋体" w:hAnsi="宋体"/>
          <w:sz w:val="24"/>
          <w:szCs w:val="24"/>
        </w:rPr>
        <w:t>响应性文件</w:t>
      </w:r>
      <w:r>
        <w:rPr>
          <w:rFonts w:ascii="宋体" w:hAnsi="宋体"/>
          <w:sz w:val="24"/>
          <w:szCs w:val="24"/>
        </w:rPr>
        <w:t>是否完整、正确。 （2）</w:t>
      </w:r>
      <w:r>
        <w:rPr>
          <w:rFonts w:hint="eastAsia" w:ascii="宋体" w:hAnsi="宋体"/>
          <w:sz w:val="24"/>
          <w:szCs w:val="24"/>
        </w:rPr>
        <w:t>供应商</w:t>
      </w:r>
      <w:r>
        <w:rPr>
          <w:rFonts w:ascii="宋体" w:hAnsi="宋体"/>
          <w:sz w:val="24"/>
          <w:szCs w:val="24"/>
        </w:rPr>
        <w:t>因交易中心投标系统问题无法上传电子</w:t>
      </w:r>
      <w:r>
        <w:rPr>
          <w:rFonts w:hint="eastAsia" w:ascii="宋体" w:hAnsi="宋体"/>
          <w:sz w:val="24"/>
          <w:szCs w:val="24"/>
        </w:rPr>
        <w:t>响应性</w:t>
      </w:r>
      <w:r>
        <w:rPr>
          <w:rFonts w:ascii="宋体" w:hAnsi="宋体"/>
          <w:sz w:val="24"/>
          <w:szCs w:val="24"/>
        </w:rPr>
        <w:t>文件时，请在工作时间与河南省公共资源交易中心联系，联系电话：0371-86095959。</w:t>
      </w:r>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364" w:name="_Toc109550793"/>
      <w:bookmarkStart w:id="365" w:name="_Toc90713352"/>
      <w:bookmarkStart w:id="366" w:name="_Toc109537517"/>
      <w:bookmarkStart w:id="367" w:name="_Toc90712533"/>
      <w:bookmarkStart w:id="368" w:name="_Toc15912346"/>
      <w:bookmarkStart w:id="369" w:name="_Toc16089906"/>
      <w:bookmarkStart w:id="370" w:name="_Toc516501171"/>
      <w:bookmarkStart w:id="371" w:name="_Toc3084"/>
      <w:bookmarkStart w:id="372" w:name="_Toc15917"/>
      <w:bookmarkStart w:id="373" w:name="_Toc482379018"/>
      <w:bookmarkStart w:id="374" w:name="_Toc482379064"/>
      <w:bookmarkStart w:id="375" w:name="_Toc482378972"/>
      <w:bookmarkStart w:id="376" w:name="_Toc16089964"/>
      <w:bookmarkStart w:id="377" w:name="_Toc44924393"/>
      <w:r>
        <w:rPr>
          <w:rFonts w:hint="eastAsia" w:ascii="宋体" w:hAnsi="宋体" w:eastAsia="宋体"/>
          <w:sz w:val="24"/>
          <w:szCs w:val="24"/>
        </w:rPr>
        <w:t>18.迟交的</w:t>
      </w:r>
      <w:bookmarkEnd w:id="364"/>
      <w:bookmarkEnd w:id="365"/>
      <w:bookmarkEnd w:id="366"/>
      <w:bookmarkEnd w:id="367"/>
      <w:r>
        <w:rPr>
          <w:rFonts w:hint="eastAsia" w:ascii="宋体" w:hAnsi="宋体" w:eastAsia="宋体"/>
          <w:sz w:val="24"/>
          <w:szCs w:val="24"/>
        </w:rPr>
        <w:t>磋商供应商响应文件</w:t>
      </w:r>
      <w:bookmarkEnd w:id="368"/>
      <w:bookmarkEnd w:id="369"/>
      <w:bookmarkEnd w:id="370"/>
      <w:bookmarkEnd w:id="371"/>
      <w:bookmarkEnd w:id="372"/>
      <w:bookmarkEnd w:id="373"/>
      <w:bookmarkEnd w:id="374"/>
      <w:bookmarkEnd w:id="375"/>
      <w:bookmarkEnd w:id="376"/>
      <w:bookmarkEnd w:id="377"/>
    </w:p>
    <w:p>
      <w:pPr>
        <w:pStyle w:val="5"/>
        <w:adjustRightInd w:val="0"/>
        <w:snapToGrid w:val="0"/>
        <w:spacing w:line="360" w:lineRule="auto"/>
        <w:ind w:firstLine="0" w:firstLineChars="0"/>
        <w:rPr>
          <w:rFonts w:hint="eastAsia" w:ascii="宋体" w:hAnsi="宋体"/>
          <w:sz w:val="24"/>
          <w:szCs w:val="24"/>
        </w:rPr>
      </w:pPr>
      <w:r>
        <w:rPr>
          <w:rFonts w:hint="eastAsia" w:ascii="宋体" w:hAnsi="宋体"/>
          <w:sz w:val="24"/>
          <w:szCs w:val="24"/>
        </w:rPr>
        <w:t>18.1采购人将拒绝接受磋商开始后递交的磋商供应商响应文件。</w:t>
      </w:r>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378" w:name="_Toc90712534"/>
      <w:bookmarkStart w:id="379" w:name="_Toc20577"/>
      <w:bookmarkStart w:id="380" w:name="_Toc482379065"/>
      <w:bookmarkStart w:id="381" w:name="_Toc109537518"/>
      <w:bookmarkStart w:id="382" w:name="_Toc109550794"/>
      <w:bookmarkStart w:id="383" w:name="_Toc16089907"/>
      <w:bookmarkStart w:id="384" w:name="_Toc15912347"/>
      <w:bookmarkStart w:id="385" w:name="_Toc90713353"/>
      <w:bookmarkStart w:id="386" w:name="_Toc482378973"/>
      <w:bookmarkStart w:id="387" w:name="_Toc516501172"/>
      <w:bookmarkStart w:id="388" w:name="_Toc44924394"/>
      <w:bookmarkStart w:id="389" w:name="_Toc482379019"/>
      <w:bookmarkStart w:id="390" w:name="_Toc16089965"/>
      <w:bookmarkStart w:id="391" w:name="_Toc24518"/>
      <w:r>
        <w:rPr>
          <w:rFonts w:hint="eastAsia" w:ascii="宋体" w:hAnsi="宋体" w:eastAsia="宋体"/>
          <w:sz w:val="24"/>
          <w:szCs w:val="24"/>
        </w:rPr>
        <w:t>19.磋商供应商响应文件的修改和撤回</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pStyle w:val="5"/>
        <w:adjustRightInd w:val="0"/>
        <w:snapToGrid w:val="0"/>
        <w:spacing w:line="360" w:lineRule="auto"/>
        <w:ind w:firstLine="0" w:firstLineChars="0"/>
        <w:rPr>
          <w:rFonts w:hint="eastAsia" w:ascii="宋体" w:hAnsi="宋体"/>
          <w:sz w:val="24"/>
          <w:szCs w:val="24"/>
        </w:rPr>
      </w:pPr>
      <w:r>
        <w:rPr>
          <w:rFonts w:hint="eastAsia" w:ascii="宋体" w:hAnsi="宋体"/>
          <w:sz w:val="24"/>
          <w:szCs w:val="24"/>
        </w:rPr>
        <w:t>19.1供应商在递交磋商供应商响应文件后，可以在规定的磋商时间开始前修改或撤回其磋商供应商响应文件。但这种修改和撤回，必须以书面形式通知采购人。</w:t>
      </w:r>
    </w:p>
    <w:p>
      <w:pPr>
        <w:pStyle w:val="5"/>
        <w:adjustRightInd w:val="0"/>
        <w:snapToGrid w:val="0"/>
        <w:spacing w:line="360" w:lineRule="auto"/>
        <w:ind w:firstLine="0" w:firstLineChars="0"/>
        <w:rPr>
          <w:rFonts w:hint="eastAsia" w:ascii="宋体" w:hAnsi="宋体"/>
          <w:sz w:val="24"/>
          <w:szCs w:val="24"/>
        </w:rPr>
      </w:pPr>
      <w:r>
        <w:rPr>
          <w:rFonts w:hint="eastAsia" w:ascii="宋体" w:hAnsi="宋体"/>
          <w:sz w:val="24"/>
          <w:szCs w:val="24"/>
        </w:rPr>
        <w:t>19.2供应商的修改书或撤回通知书，应由法定代表人或其授权代表签署，并按17中的规定进行密封、标记和发送。</w:t>
      </w:r>
    </w:p>
    <w:p>
      <w:pPr>
        <w:pStyle w:val="4"/>
        <w:keepNext w:val="0"/>
        <w:keepLines w:val="0"/>
        <w:adjustRightInd w:val="0"/>
        <w:snapToGrid w:val="0"/>
        <w:spacing w:before="0" w:after="0" w:line="360" w:lineRule="auto"/>
        <w:jc w:val="left"/>
        <w:textAlignment w:val="baseline"/>
        <w:outlineLvl w:val="0"/>
        <w:rPr>
          <w:rFonts w:hint="eastAsia" w:ascii="宋体" w:hAnsi="宋体" w:eastAsia="宋体"/>
          <w:sz w:val="24"/>
          <w:szCs w:val="24"/>
        </w:rPr>
      </w:pPr>
      <w:bookmarkStart w:id="392" w:name="_Toc109537519"/>
      <w:bookmarkStart w:id="393" w:name="_Toc516501173"/>
      <w:bookmarkStart w:id="394" w:name="_Toc19487"/>
      <w:bookmarkStart w:id="395" w:name="_Toc16089908"/>
      <w:bookmarkStart w:id="396" w:name="_Toc16089966"/>
      <w:bookmarkStart w:id="397" w:name="_Toc90713354"/>
      <w:bookmarkStart w:id="398" w:name="_Toc7049"/>
      <w:bookmarkStart w:id="399" w:name="_Toc482379020"/>
      <w:bookmarkStart w:id="400" w:name="_Toc44924395"/>
      <w:bookmarkStart w:id="401" w:name="_Toc482378974"/>
      <w:bookmarkStart w:id="402" w:name="_Toc90712535"/>
      <w:bookmarkStart w:id="403" w:name="_Toc109550795"/>
      <w:bookmarkStart w:id="404" w:name="_Toc482379066"/>
      <w:bookmarkStart w:id="405" w:name="_Toc15912348"/>
      <w:r>
        <w:rPr>
          <w:rFonts w:hint="eastAsia" w:ascii="宋体" w:hAnsi="宋体" w:eastAsia="宋体"/>
          <w:sz w:val="24"/>
          <w:szCs w:val="24"/>
        </w:rPr>
        <w:t>五 磋商过程</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406" w:name="_Toc15912349"/>
      <w:bookmarkStart w:id="407" w:name="_Toc16089909"/>
      <w:bookmarkStart w:id="408" w:name="_Toc482378975"/>
      <w:bookmarkStart w:id="409" w:name="_Toc28746"/>
      <w:bookmarkStart w:id="410" w:name="_Toc16089967"/>
      <w:bookmarkStart w:id="411" w:name="_Toc109550796"/>
      <w:bookmarkStart w:id="412" w:name="_Toc516501174"/>
      <w:bookmarkStart w:id="413" w:name="_Toc482379067"/>
      <w:bookmarkStart w:id="414" w:name="_Toc90712536"/>
      <w:bookmarkStart w:id="415" w:name="_Toc482379021"/>
      <w:bookmarkStart w:id="416" w:name="_Toc44924396"/>
      <w:bookmarkStart w:id="417" w:name="_Toc109537520"/>
      <w:bookmarkStart w:id="418" w:name="_Toc90713355"/>
      <w:bookmarkStart w:id="419" w:name="_Toc20312"/>
      <w:r>
        <w:rPr>
          <w:rFonts w:hint="eastAsia" w:ascii="宋体" w:hAnsi="宋体" w:eastAsia="宋体"/>
          <w:sz w:val="24"/>
          <w:szCs w:val="24"/>
        </w:rPr>
        <w:t>20.开始</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pStyle w:val="5"/>
        <w:spacing w:line="360" w:lineRule="auto"/>
        <w:ind w:firstLine="0" w:firstLineChars="0"/>
        <w:rPr>
          <w:rFonts w:ascii="宋体" w:hAnsi="宋体"/>
          <w:sz w:val="24"/>
          <w:szCs w:val="24"/>
        </w:rPr>
      </w:pPr>
      <w:bookmarkStart w:id="420" w:name="_Toc90712537"/>
      <w:bookmarkStart w:id="421" w:name="_Toc109550797"/>
      <w:bookmarkStart w:id="422" w:name="_Toc109537521"/>
      <w:bookmarkStart w:id="423" w:name="_Toc90713356"/>
      <w:r>
        <w:rPr>
          <w:rFonts w:hint="eastAsia" w:ascii="宋体" w:hAnsi="宋体"/>
          <w:sz w:val="24"/>
          <w:szCs w:val="24"/>
        </w:rPr>
        <w:t>20</w:t>
      </w:r>
      <w:r>
        <w:rPr>
          <w:rFonts w:ascii="宋体" w:hAnsi="宋体"/>
          <w:sz w:val="24"/>
          <w:szCs w:val="24"/>
        </w:rPr>
        <w:t>.1 采购人或采购代理机构将在</w:t>
      </w:r>
      <w:r>
        <w:rPr>
          <w:rFonts w:hint="eastAsia" w:ascii="宋体" w:hAnsi="宋体"/>
          <w:sz w:val="24"/>
          <w:szCs w:val="24"/>
        </w:rPr>
        <w:t>“磋商项目资料表”</w:t>
      </w:r>
      <w:r>
        <w:rPr>
          <w:rFonts w:ascii="宋体" w:hAnsi="宋体"/>
          <w:sz w:val="24"/>
          <w:szCs w:val="24"/>
        </w:rPr>
        <w:t>中规定的日期、时间和地点组织磋商工作。</w:t>
      </w:r>
    </w:p>
    <w:p>
      <w:pPr>
        <w:pStyle w:val="5"/>
        <w:adjustRightInd w:val="0"/>
        <w:snapToGrid w:val="0"/>
        <w:spacing w:line="360" w:lineRule="auto"/>
        <w:ind w:firstLine="0" w:firstLineChars="0"/>
        <w:rPr>
          <w:rFonts w:ascii="宋体" w:hAnsi="宋体"/>
          <w:b/>
          <w:bCs/>
          <w:sz w:val="24"/>
          <w:szCs w:val="24"/>
        </w:rPr>
      </w:pPr>
      <w:r>
        <w:rPr>
          <w:rFonts w:hint="eastAsia" w:ascii="宋体" w:hAnsi="宋体"/>
          <w:b/>
          <w:bCs/>
          <w:sz w:val="24"/>
          <w:szCs w:val="24"/>
        </w:rPr>
        <w:t>20</w:t>
      </w:r>
      <w:r>
        <w:rPr>
          <w:rFonts w:ascii="宋体" w:hAnsi="宋体"/>
          <w:b/>
          <w:bCs/>
          <w:sz w:val="24"/>
          <w:szCs w:val="24"/>
        </w:rPr>
        <w:t>.2</w:t>
      </w:r>
      <w:r>
        <w:rPr>
          <w:rFonts w:hint="eastAsia" w:ascii="宋体" w:hAnsi="宋体"/>
          <w:b/>
          <w:bCs/>
          <w:sz w:val="24"/>
          <w:szCs w:val="24"/>
        </w:rPr>
        <w:t>供应商应由指定的代表按照《河南省公共资源交易中心》要求的《不见面服务系统使用指南》，在规定的时间内解密响应并在规定的时间进行二次（最后）报价。</w:t>
      </w:r>
    </w:p>
    <w:p>
      <w:pPr>
        <w:pStyle w:val="4"/>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424" w:name="_Toc15912350"/>
      <w:bookmarkStart w:id="425" w:name="_Toc6864"/>
      <w:bookmarkStart w:id="426" w:name="_Toc482379022"/>
      <w:bookmarkStart w:id="427" w:name="_Toc516501175"/>
      <w:bookmarkStart w:id="428" w:name="_Toc482378976"/>
      <w:bookmarkStart w:id="429" w:name="_Toc44924397"/>
      <w:bookmarkStart w:id="430" w:name="_Toc16089968"/>
      <w:bookmarkStart w:id="431" w:name="_Toc29255"/>
      <w:bookmarkStart w:id="432" w:name="_Toc16089910"/>
      <w:bookmarkStart w:id="433" w:name="_Toc482379068"/>
      <w:r>
        <w:rPr>
          <w:rFonts w:hint="eastAsia" w:ascii="宋体" w:hAnsi="宋体" w:eastAsia="宋体"/>
          <w:sz w:val="24"/>
          <w:szCs w:val="24"/>
        </w:rPr>
        <w:t>21.</w:t>
      </w:r>
      <w:bookmarkEnd w:id="420"/>
      <w:bookmarkEnd w:id="421"/>
      <w:bookmarkEnd w:id="422"/>
      <w:bookmarkEnd w:id="423"/>
      <w:r>
        <w:rPr>
          <w:rFonts w:ascii="宋体" w:hAnsi="宋体" w:eastAsia="宋体"/>
          <w:sz w:val="24"/>
          <w:szCs w:val="24"/>
        </w:rPr>
        <w:t>磋商小组和</w:t>
      </w:r>
      <w:r>
        <w:rPr>
          <w:rFonts w:hint="eastAsia" w:ascii="宋体" w:hAnsi="宋体" w:eastAsia="宋体"/>
          <w:sz w:val="24"/>
          <w:szCs w:val="24"/>
        </w:rPr>
        <w:t>评审</w:t>
      </w:r>
      <w:r>
        <w:rPr>
          <w:rFonts w:ascii="宋体" w:hAnsi="宋体" w:eastAsia="宋体"/>
          <w:sz w:val="24"/>
          <w:szCs w:val="24"/>
        </w:rPr>
        <w:t>方法</w:t>
      </w:r>
      <w:bookmarkEnd w:id="424"/>
      <w:bookmarkEnd w:id="425"/>
      <w:bookmarkEnd w:id="426"/>
      <w:bookmarkEnd w:id="427"/>
      <w:bookmarkEnd w:id="428"/>
      <w:bookmarkEnd w:id="429"/>
      <w:bookmarkEnd w:id="430"/>
      <w:bookmarkEnd w:id="431"/>
      <w:bookmarkEnd w:id="432"/>
      <w:bookmarkEnd w:id="433"/>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21.1磋商和评审由采购代理机构依法组建的磋商小组负责。</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21.2评审专家应从政府采购评审专家库内相关专业的专家名单中随机抽取。</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21.3磋商小组成员应当按照客观、公正、审慎的原则，根据磋商文件规定的评审程序、评审方法和评审标准进行独立评审。未实质性响应磋商文件的响应文件按无效响应处理。磋商文件内容违反国家有关强制性规定的，磋商小组应当停止评审并向采购人或者采购代理机构说明情况。</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21.4磋商小组将首先按照本须知第 20 条对响应文件进行初审。对初审合格的响应文件将按照本须知第21条对应的磋商程序进行磋商和评审。</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21.5在磋商期间，磋商小组可要求供应商对其响应文件进行澄清，但不得寻求、提供或允许对实质性内容做任何更改。有关澄清的要求和答复均应以书面形式提交。磋商小组不接受供应商主动提出的澄清、说明。</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21.6采购人、采购代理机构不得向磋商小组中的评审专家作倾向性、误导性的解释或者说明。</w:t>
      </w:r>
    </w:p>
    <w:p>
      <w:pPr>
        <w:pStyle w:val="5"/>
        <w:adjustRightInd w:val="0"/>
        <w:snapToGrid w:val="0"/>
        <w:spacing w:line="360" w:lineRule="auto"/>
        <w:ind w:firstLine="0" w:firstLineChars="0"/>
        <w:rPr>
          <w:rFonts w:hint="eastAsia" w:ascii="宋体" w:hAnsi="宋体"/>
          <w:b/>
          <w:spacing w:val="10"/>
          <w:kern w:val="0"/>
          <w:sz w:val="24"/>
          <w:szCs w:val="24"/>
        </w:rPr>
      </w:pPr>
      <w:r>
        <w:rPr>
          <w:rFonts w:ascii="宋体" w:hAnsi="宋体"/>
          <w:b/>
          <w:spacing w:val="10"/>
          <w:kern w:val="0"/>
          <w:sz w:val="24"/>
          <w:szCs w:val="24"/>
        </w:rPr>
        <w:t>2</w:t>
      </w:r>
      <w:r>
        <w:rPr>
          <w:rFonts w:hint="eastAsia" w:ascii="宋体" w:hAnsi="宋体"/>
          <w:b/>
          <w:spacing w:val="10"/>
          <w:kern w:val="0"/>
          <w:sz w:val="24"/>
          <w:szCs w:val="24"/>
        </w:rPr>
        <w:t>2</w:t>
      </w:r>
      <w:r>
        <w:rPr>
          <w:rFonts w:ascii="宋体" w:hAnsi="宋体"/>
          <w:b/>
          <w:spacing w:val="10"/>
          <w:kern w:val="0"/>
          <w:sz w:val="24"/>
          <w:szCs w:val="24"/>
        </w:rPr>
        <w:t>.响应文件的初审</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22.1 磋商小组在对响应文件的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5"/>
        <w:adjustRightInd w:val="0"/>
        <w:snapToGrid w:val="0"/>
        <w:spacing w:line="360" w:lineRule="auto"/>
        <w:ind w:firstLine="0" w:firstLineChars="0"/>
        <w:rPr>
          <w:rFonts w:hint="eastAsia" w:ascii="宋体" w:hAnsi="宋体" w:cs="Times New Roman"/>
          <w:sz w:val="24"/>
          <w:szCs w:val="24"/>
        </w:rPr>
      </w:pPr>
      <w:r>
        <w:rPr>
          <w:rFonts w:ascii="宋体" w:hAnsi="宋体"/>
          <w:spacing w:val="10"/>
          <w:kern w:val="0"/>
          <w:sz w:val="24"/>
          <w:szCs w:val="24"/>
        </w:rPr>
        <w:t>2</w:t>
      </w:r>
      <w:r>
        <w:rPr>
          <w:rFonts w:hint="eastAsia" w:ascii="宋体" w:hAnsi="宋体"/>
          <w:spacing w:val="10"/>
          <w:kern w:val="0"/>
          <w:sz w:val="24"/>
          <w:szCs w:val="24"/>
        </w:rPr>
        <w:t>2</w:t>
      </w:r>
      <w:r>
        <w:rPr>
          <w:rFonts w:ascii="宋体" w:hAnsi="宋体"/>
          <w:spacing w:val="10"/>
          <w:kern w:val="0"/>
          <w:sz w:val="24"/>
          <w:szCs w:val="24"/>
        </w:rPr>
        <w:t xml:space="preserve">.2 </w:t>
      </w:r>
      <w:r>
        <w:rPr>
          <w:rFonts w:hint="eastAsia" w:ascii="宋体" w:hAnsi="宋体" w:cs="Times New Roman"/>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22.3 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22.4 对于响应文件中不构成实质性偏差的不正规、不一致或不规则，磋商小组可以接受。</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22.5 在详细评审之前，磋商小组要审查每份响应文件是否实质上响应了磋商文件的要求。实质上响应该是与磋商文件要求的关键条款、条件和规格相符，没有重大偏离。对关键条文的偏离、保留或反对，例如关于适用法律、税务、加注星号（“*”）的条款等内容的偏离将被认为是实质上的偏离。磋商小组决定响应文件的响应性只根据响应文件本身的真实无误的内容，而不依据外部的证据，但响应文件有违反法律、政策规定和不真实不正确的内容时除外。</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22.6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1）供应商与采购人有利害关系可能影响磋商公正性的；</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2）供应商参与项目前期咨询或磋商文件编制的；</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3）不同供应商负责人为同一人或者存在控股、管理关系的；</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4）响应文件未按磋商文件的要求签署的；</w:t>
      </w:r>
    </w:p>
    <w:p>
      <w:pPr>
        <w:pStyle w:val="5"/>
        <w:adjustRightInd w:val="0"/>
        <w:snapToGrid w:val="0"/>
        <w:spacing w:line="360" w:lineRule="auto"/>
        <w:ind w:firstLine="0" w:firstLineChars="0"/>
        <w:rPr>
          <w:rFonts w:ascii="宋体" w:hAnsi="宋体"/>
          <w:spacing w:val="10"/>
          <w:kern w:val="0"/>
          <w:sz w:val="24"/>
          <w:szCs w:val="24"/>
        </w:rPr>
      </w:pPr>
      <w:r>
        <w:rPr>
          <w:rFonts w:hint="eastAsia" w:ascii="宋体" w:hAnsi="宋体" w:cs="Times New Roman"/>
          <w:sz w:val="24"/>
          <w:szCs w:val="24"/>
        </w:rPr>
        <w:t>5）供应商的磋商函、资格证明材料未提供，或不符合国家规定或者磋商文件</w:t>
      </w:r>
      <w:r>
        <w:rPr>
          <w:rFonts w:ascii="宋体" w:hAnsi="宋体"/>
          <w:spacing w:val="10"/>
          <w:kern w:val="0"/>
          <w:sz w:val="24"/>
          <w:szCs w:val="24"/>
        </w:rPr>
        <w:t>要求的；</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6）同一供应商提交两个以上不同的方案或者磋商价格的，但磋商文件有要求的除外；</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7）磋商价格高于磋商文件设定的最高限价的；</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8）不接受磋商有效期要求的；</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9）供应商有串通磋商、弄虚作假、行贿等违法行为的；</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1</w:t>
      </w:r>
      <w:r>
        <w:rPr>
          <w:rFonts w:hint="eastAsia" w:ascii="宋体" w:hAnsi="宋体" w:cs="Times New Roman"/>
          <w:sz w:val="24"/>
          <w:szCs w:val="24"/>
          <w:lang w:val="en-US" w:eastAsia="zh-CN"/>
        </w:rPr>
        <w:t>0</w:t>
      </w:r>
      <w:r>
        <w:rPr>
          <w:rFonts w:hint="eastAsia" w:ascii="宋体" w:hAnsi="宋体" w:cs="Times New Roman"/>
          <w:sz w:val="24"/>
          <w:szCs w:val="24"/>
        </w:rPr>
        <w:t>）同一包中竞争性磋商供应商响应文件制作机器码一致的；</w:t>
      </w:r>
    </w:p>
    <w:p>
      <w:pPr>
        <w:pStyle w:val="5"/>
        <w:adjustRightInd w:val="0"/>
        <w:snapToGrid w:val="0"/>
        <w:spacing w:line="360" w:lineRule="auto"/>
        <w:ind w:firstLine="0" w:firstLineChars="0"/>
        <w:rPr>
          <w:rFonts w:ascii="宋体" w:hAnsi="宋体"/>
          <w:b/>
          <w:spacing w:val="10"/>
          <w:kern w:val="0"/>
          <w:sz w:val="24"/>
          <w:szCs w:val="24"/>
        </w:rPr>
      </w:pPr>
      <w:r>
        <w:rPr>
          <w:rFonts w:ascii="宋体" w:hAnsi="宋体"/>
          <w:b/>
          <w:spacing w:val="10"/>
          <w:kern w:val="0"/>
          <w:sz w:val="24"/>
          <w:szCs w:val="24"/>
        </w:rPr>
        <w:t>2</w:t>
      </w:r>
      <w:r>
        <w:rPr>
          <w:rFonts w:hint="eastAsia" w:ascii="宋体" w:hAnsi="宋体"/>
          <w:b/>
          <w:spacing w:val="10"/>
          <w:kern w:val="0"/>
          <w:sz w:val="24"/>
          <w:szCs w:val="24"/>
        </w:rPr>
        <w:t>3</w:t>
      </w:r>
      <w:r>
        <w:rPr>
          <w:rFonts w:ascii="宋体" w:hAnsi="宋体"/>
          <w:b/>
          <w:spacing w:val="10"/>
          <w:kern w:val="0"/>
          <w:sz w:val="24"/>
          <w:szCs w:val="24"/>
        </w:rPr>
        <w:t>.磋商</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23.1 磋商小组将依次与通过响应文件初审的供应商代表进行磋商。磋商内容及要求详见本磋商文件，磋商小组与供应商代表仅能针对除磋商内容和要求中不得偏离部分以外的条款进行磋商。</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23.2 在磋商过程中，磋商小组可以根据磋商文件和磋商情况实质性变动采购需求中的技术、服务要求以及合同草案条款，但不得变动磋商文件中的其他内容。实质性变动的内容，须经采购人代表确认。</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23.3 对磋商文件作出的实质性变动是磋商文件的有效组成部分，磋商小组应当及时以书面形式同时通知所有参加磋商的供应商。</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23.4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23.5磋商结束后，磋商小组应当要求所有实质性响应的供应商在规定时间内提交最后报价，提交最后报价的供应商不得少于3家。</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23.6经磋商确定最终采购需求和提交最后报价的供应商后，由磋商小组采用综合评分法对提交最后报价的供应商的响应文件和最后报价进行综合评分。</w:t>
      </w:r>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23.7磋商小组按照综合得分由高到低的顺序推荐3名成交供应商候选人（文件中另有规定的除外）。成交价格为最后报价。并编制完成磋商报告。</w:t>
      </w:r>
    </w:p>
    <w:p>
      <w:pPr>
        <w:pStyle w:val="4"/>
        <w:keepNext w:val="0"/>
        <w:keepLines w:val="0"/>
        <w:adjustRightInd w:val="0"/>
        <w:snapToGrid w:val="0"/>
        <w:spacing w:before="0" w:after="0" w:line="360" w:lineRule="auto"/>
        <w:jc w:val="left"/>
        <w:textAlignment w:val="baseline"/>
        <w:outlineLvl w:val="0"/>
        <w:rPr>
          <w:rFonts w:hint="eastAsia" w:ascii="宋体" w:hAnsi="宋体" w:eastAsia="宋体"/>
          <w:sz w:val="24"/>
          <w:szCs w:val="24"/>
        </w:rPr>
      </w:pPr>
      <w:bookmarkStart w:id="434" w:name="_Toc15912351"/>
      <w:bookmarkStart w:id="435" w:name="_Toc482378977"/>
      <w:bookmarkStart w:id="436" w:name="_Toc17090"/>
      <w:bookmarkStart w:id="437" w:name="_Toc44924398"/>
      <w:bookmarkStart w:id="438" w:name="_Toc90713359"/>
      <w:bookmarkStart w:id="439" w:name="_Toc516501176"/>
      <w:bookmarkStart w:id="440" w:name="_Toc109550800"/>
      <w:bookmarkStart w:id="441" w:name="_Toc28461"/>
      <w:bookmarkStart w:id="442" w:name="_Toc90712540"/>
      <w:bookmarkStart w:id="443" w:name="_Toc109537524"/>
      <w:bookmarkStart w:id="444" w:name="_Toc16089911"/>
      <w:bookmarkStart w:id="445" w:name="_Toc16089969"/>
      <w:bookmarkStart w:id="446" w:name="_Toc482379023"/>
      <w:bookmarkStart w:id="447" w:name="_Toc482379069"/>
      <w:r>
        <w:rPr>
          <w:rFonts w:hint="eastAsia" w:ascii="宋体" w:hAnsi="宋体" w:eastAsia="宋体"/>
          <w:sz w:val="24"/>
          <w:szCs w:val="24"/>
        </w:rPr>
        <w:t>六 授予合同</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448" w:name="_Toc16089912"/>
      <w:bookmarkStart w:id="449" w:name="_Toc482379024"/>
      <w:bookmarkStart w:id="450" w:name="_Toc482379070"/>
      <w:bookmarkStart w:id="451" w:name="_Toc16089970"/>
      <w:bookmarkStart w:id="452" w:name="_Toc90712541"/>
      <w:bookmarkStart w:id="453" w:name="_Toc44924399"/>
      <w:bookmarkStart w:id="454" w:name="_Toc10285"/>
      <w:bookmarkStart w:id="455" w:name="_Toc15912352"/>
      <w:bookmarkStart w:id="456" w:name="_Toc109550801"/>
      <w:bookmarkStart w:id="457" w:name="_Toc482378978"/>
      <w:bookmarkStart w:id="458" w:name="_Toc516501177"/>
      <w:bookmarkStart w:id="459" w:name="_Toc90713360"/>
      <w:bookmarkStart w:id="460" w:name="_Toc109537525"/>
      <w:bookmarkStart w:id="461" w:name="_Toc19323"/>
      <w:r>
        <w:rPr>
          <w:rFonts w:hint="eastAsia" w:ascii="宋体" w:hAnsi="宋体" w:eastAsia="宋体"/>
          <w:sz w:val="24"/>
          <w:szCs w:val="24"/>
        </w:rPr>
        <w:t>24.合同的授予</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24.1磋商结束后2个工作日内，采购代理机构根据磋商小组的推荐意见，将磋商情况写出磋商报告上报采购人。采购人应在收到磋商报告后5个工作日内按照磋商报告推荐排序确定成交供应商。采购代理机构在成交供应商确定后2个工作日内，在</w:t>
      </w:r>
      <w:r>
        <w:rPr>
          <w:rFonts w:hint="eastAsia" w:ascii="宋体" w:hAnsi="宋体" w:cs="Times New Roman"/>
          <w:sz w:val="24"/>
          <w:szCs w:val="24"/>
          <w:lang w:eastAsia="zh-CN"/>
        </w:rPr>
        <w:t>《中国政府采购网》、</w:t>
      </w:r>
      <w:r>
        <w:rPr>
          <w:rFonts w:hint="eastAsia" w:ascii="宋体" w:hAnsi="宋体" w:cs="Times New Roman"/>
          <w:sz w:val="24"/>
          <w:szCs w:val="24"/>
        </w:rPr>
        <w:t>《河南省政府采购网》、《河南省公共资源交易中心》发布媒体上公告成交结果，同时向成交供应商发出成交通知书。</w:t>
      </w:r>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462" w:name="_Toc516501178"/>
      <w:bookmarkStart w:id="463" w:name="_Toc109537528"/>
      <w:bookmarkStart w:id="464" w:name="_Toc90712544"/>
      <w:bookmarkStart w:id="465" w:name="_Toc9411"/>
      <w:bookmarkStart w:id="466" w:name="_Toc16089913"/>
      <w:bookmarkStart w:id="467" w:name="_Toc29008"/>
      <w:bookmarkStart w:id="468" w:name="_Toc482379025"/>
      <w:bookmarkStart w:id="469" w:name="_Toc16089971"/>
      <w:bookmarkStart w:id="470" w:name="_Toc90713363"/>
      <w:bookmarkStart w:id="471" w:name="_Toc482379071"/>
      <w:bookmarkStart w:id="472" w:name="_Toc15912353"/>
      <w:bookmarkStart w:id="473" w:name="_Toc482378979"/>
      <w:bookmarkStart w:id="474" w:name="_Toc109550804"/>
      <w:bookmarkStart w:id="475" w:name="_Toc44924400"/>
      <w:r>
        <w:rPr>
          <w:rFonts w:hint="eastAsia" w:ascii="宋体" w:hAnsi="宋体" w:eastAsia="宋体"/>
          <w:sz w:val="24"/>
          <w:szCs w:val="24"/>
        </w:rPr>
        <w:t>25.成交服务费</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25.1成交供应商在领取成交通知书时，须向采购代理机构交纳“磋商项目资料表”中规定的代理服务费。</w:t>
      </w:r>
    </w:p>
    <w:p>
      <w:pPr>
        <w:pStyle w:val="4"/>
        <w:numPr>
          <w:ilvl w:val="1"/>
          <w:numId w:val="0"/>
        </w:numPr>
        <w:tabs>
          <w:tab w:val="left" w:pos="600"/>
        </w:tabs>
        <w:adjustRightInd w:val="0"/>
        <w:snapToGrid w:val="0"/>
        <w:spacing w:before="0" w:after="0" w:line="360" w:lineRule="auto"/>
        <w:ind w:left="1494" w:right="2" w:hanging="1494"/>
        <w:jc w:val="both"/>
        <w:rPr>
          <w:rFonts w:hint="eastAsia" w:ascii="宋体" w:hAnsi="宋体" w:eastAsia="宋体"/>
          <w:sz w:val="24"/>
          <w:szCs w:val="24"/>
        </w:rPr>
      </w:pPr>
      <w:bookmarkStart w:id="476" w:name="_Toc15039"/>
      <w:bookmarkStart w:id="477" w:name="_Toc109537530"/>
      <w:bookmarkStart w:id="478" w:name="_Toc16089914"/>
      <w:bookmarkStart w:id="479" w:name="_Toc44924401"/>
      <w:bookmarkStart w:id="480" w:name="_Toc90712546"/>
      <w:bookmarkStart w:id="481" w:name="_Toc15912354"/>
      <w:bookmarkStart w:id="482" w:name="_Toc109550806"/>
      <w:bookmarkStart w:id="483" w:name="_Toc482379072"/>
      <w:bookmarkStart w:id="484" w:name="_Toc516501179"/>
      <w:bookmarkStart w:id="485" w:name="_Toc16089972"/>
      <w:bookmarkStart w:id="486" w:name="_Toc482378980"/>
      <w:bookmarkStart w:id="487" w:name="_Toc21548"/>
      <w:bookmarkStart w:id="488" w:name="_Toc90713365"/>
      <w:bookmarkStart w:id="489" w:name="_Toc482379026"/>
      <w:r>
        <w:rPr>
          <w:rFonts w:hint="eastAsia" w:ascii="宋体" w:hAnsi="宋体" w:eastAsia="宋体"/>
          <w:sz w:val="24"/>
          <w:szCs w:val="24"/>
        </w:rPr>
        <w:t>26.签订合同</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pStyle w:val="5"/>
        <w:adjustRightInd w:val="0"/>
        <w:snapToGrid w:val="0"/>
        <w:spacing w:line="360" w:lineRule="auto"/>
        <w:ind w:firstLine="0" w:firstLineChars="0"/>
        <w:rPr>
          <w:rFonts w:hint="eastAsia" w:ascii="宋体" w:hAnsi="宋体" w:cs="Times New Roman"/>
          <w:sz w:val="24"/>
          <w:szCs w:val="24"/>
        </w:rPr>
      </w:pPr>
      <w:r>
        <w:rPr>
          <w:rFonts w:hint="eastAsia" w:ascii="宋体" w:hAnsi="宋体" w:cs="Times New Roman"/>
          <w:sz w:val="24"/>
          <w:szCs w:val="24"/>
        </w:rPr>
        <w:t>26.1成交供应商应按成交通知书指定的时间、地点与采购人签订合同。</w:t>
      </w:r>
    </w:p>
    <w:p>
      <w:pPr>
        <w:pStyle w:val="5"/>
        <w:adjustRightInd w:val="0"/>
        <w:snapToGrid w:val="0"/>
        <w:spacing w:line="360" w:lineRule="auto"/>
        <w:ind w:firstLine="0" w:firstLineChars="0"/>
        <w:rPr>
          <w:rFonts w:hint="eastAsia" w:ascii="宋体" w:hAnsi="宋体"/>
          <w:sz w:val="28"/>
          <w:szCs w:val="28"/>
        </w:rPr>
      </w:pPr>
      <w:r>
        <w:rPr>
          <w:rFonts w:hint="eastAsia" w:ascii="宋体" w:hAnsi="宋体" w:cs="Times New Roman"/>
          <w:sz w:val="24"/>
          <w:szCs w:val="24"/>
        </w:rPr>
        <w:t>26.2如果成交供应商没有履行成交的各项承诺，采购人将取消该成交决定。在此情况下，采购人可将合同授予第二成交供应商或重新磋商。</w:t>
      </w:r>
    </w:p>
    <w:p>
      <w:pPr>
        <w:pStyle w:val="5"/>
        <w:keepNext w:val="0"/>
        <w:widowControl w:val="0"/>
        <w:tabs>
          <w:tab w:val="left" w:pos="0"/>
        </w:tabs>
        <w:spacing w:line="360" w:lineRule="auto"/>
        <w:ind w:left="0" w:firstLine="0"/>
        <w:jc w:val="center"/>
        <w:outlineLvl w:val="0"/>
        <w:rPr>
          <w:rFonts w:ascii="宋体" w:hAnsi="宋体" w:eastAsia="宋体"/>
          <w:b/>
          <w:bCs/>
          <w:sz w:val="28"/>
          <w:szCs w:val="36"/>
        </w:rPr>
      </w:pPr>
      <w:r>
        <w:rPr>
          <w:rFonts w:ascii="宋体" w:hAnsi="宋体"/>
          <w:sz w:val="28"/>
          <w:szCs w:val="28"/>
        </w:rPr>
        <w:br w:type="page"/>
      </w:r>
      <w:bookmarkStart w:id="490" w:name="_Toc90713368"/>
      <w:bookmarkStart w:id="491" w:name="_Toc90712549"/>
      <w:bookmarkStart w:id="492" w:name="_Toc413935724"/>
      <w:bookmarkStart w:id="493" w:name="_Toc11292"/>
      <w:bookmarkStart w:id="494" w:name="_Toc44924402"/>
      <w:bookmarkStart w:id="495" w:name="_Toc4962"/>
      <w:r>
        <w:rPr>
          <w:rFonts w:hint="eastAsia" w:ascii="宋体" w:hAnsi="宋体" w:eastAsia="宋体"/>
          <w:b/>
          <w:bCs/>
          <w:sz w:val="28"/>
          <w:szCs w:val="36"/>
        </w:rPr>
        <w:t xml:space="preserve">第三部分 </w:t>
      </w:r>
      <w:bookmarkEnd w:id="490"/>
      <w:bookmarkEnd w:id="491"/>
      <w:bookmarkEnd w:id="492"/>
      <w:r>
        <w:rPr>
          <w:rFonts w:hint="eastAsia" w:ascii="宋体" w:hAnsi="宋体" w:eastAsia="宋体"/>
          <w:b/>
          <w:bCs/>
          <w:sz w:val="28"/>
          <w:szCs w:val="36"/>
        </w:rPr>
        <w:t xml:space="preserve"> 合同条款及格式</w:t>
      </w:r>
      <w:bookmarkEnd w:id="493"/>
      <w:bookmarkEnd w:id="494"/>
      <w:bookmarkEnd w:id="495"/>
    </w:p>
    <w:p>
      <w:pPr>
        <w:spacing w:line="360" w:lineRule="auto"/>
        <w:rPr>
          <w:rFonts w:ascii="宋体" w:hAnsi="宋体"/>
          <w:sz w:val="24"/>
        </w:rPr>
      </w:pPr>
      <w:r>
        <w:rPr>
          <w:rFonts w:hint="eastAsia" w:ascii="宋体" w:hAnsi="宋体"/>
          <w:sz w:val="24"/>
        </w:rPr>
        <w:t>需方：</w:t>
      </w:r>
    </w:p>
    <w:p>
      <w:pPr>
        <w:spacing w:line="360" w:lineRule="auto"/>
        <w:rPr>
          <w:rFonts w:ascii="宋体" w:hAnsi="宋体"/>
          <w:b/>
          <w:sz w:val="24"/>
        </w:rPr>
      </w:pPr>
      <w:r>
        <w:rPr>
          <w:rFonts w:hint="eastAsia" w:ascii="宋体" w:hAnsi="宋体"/>
          <w:sz w:val="24"/>
        </w:rPr>
        <w:t>供方：</w:t>
      </w:r>
    </w:p>
    <w:p>
      <w:pPr>
        <w:spacing w:line="360" w:lineRule="auto"/>
        <w:ind w:firstLine="480"/>
        <w:rPr>
          <w:rFonts w:ascii="宋体" w:hAnsi="宋体"/>
          <w:sz w:val="24"/>
        </w:rPr>
      </w:pPr>
      <w:r>
        <w:rPr>
          <w:rFonts w:hint="eastAsia" w:ascii="宋体" w:hAnsi="宋体"/>
          <w:sz w:val="24"/>
        </w:rPr>
        <w:t>本合同于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日由需方和供方按下述条款签署。</w:t>
      </w:r>
    </w:p>
    <w:p>
      <w:pPr>
        <w:spacing w:line="360" w:lineRule="auto"/>
        <w:ind w:firstLine="480"/>
        <w:rPr>
          <w:rFonts w:ascii="宋体" w:hAnsi="宋体"/>
          <w:sz w:val="24"/>
        </w:rPr>
      </w:pPr>
      <w:r>
        <w:rPr>
          <w:rFonts w:hint="eastAsia" w:ascii="宋体" w:hAnsi="宋体"/>
          <w:sz w:val="24"/>
        </w:rPr>
        <w:t>在需方为获得</w:t>
      </w:r>
      <w:r>
        <w:rPr>
          <w:rFonts w:hint="eastAsia" w:ascii="宋体" w:hAnsi="宋体"/>
          <w:sz w:val="24"/>
          <w:u w:val="single"/>
        </w:rPr>
        <w:t>（货物和服务简介）</w:t>
      </w:r>
      <w:r>
        <w:rPr>
          <w:rFonts w:hint="eastAsia" w:ascii="宋体" w:hAnsi="宋体"/>
          <w:sz w:val="24"/>
        </w:rPr>
        <w:t>货物和伴随服务，邀请供方参加了该项目竞争性</w:t>
      </w:r>
      <w:r>
        <w:rPr>
          <w:rFonts w:hint="eastAsia" w:ascii="宋体" w:hAnsi="宋体"/>
          <w:sz w:val="24"/>
          <w:lang w:eastAsia="zh-CN"/>
        </w:rPr>
        <w:t>磋商采购</w:t>
      </w:r>
      <w:r>
        <w:rPr>
          <w:rFonts w:hint="eastAsia" w:ascii="宋体" w:hAnsi="宋体"/>
          <w:sz w:val="24"/>
        </w:rPr>
        <w:t>，并接受了供方以总金额</w:t>
      </w:r>
      <w:r>
        <w:rPr>
          <w:rFonts w:hint="eastAsia" w:ascii="宋体" w:hAnsi="宋体"/>
          <w:sz w:val="24"/>
          <w:u w:val="single"/>
        </w:rPr>
        <w:t>（币种，用文字和数字表示的合同价）</w:t>
      </w:r>
      <w:r>
        <w:rPr>
          <w:rFonts w:hint="eastAsia" w:ascii="宋体" w:hAnsi="宋体"/>
          <w:sz w:val="24"/>
        </w:rPr>
        <w:t>（以下简称“合同价”）的投标。双方以上述事实为基础，签订本合同。</w:t>
      </w:r>
    </w:p>
    <w:p>
      <w:pPr>
        <w:spacing w:line="360" w:lineRule="auto"/>
        <w:ind w:firstLine="480"/>
        <w:rPr>
          <w:rFonts w:ascii="宋体" w:hAnsi="宋体"/>
          <w:sz w:val="24"/>
        </w:rPr>
      </w:pPr>
      <w:r>
        <w:rPr>
          <w:rFonts w:hint="eastAsia" w:ascii="宋体" w:hAnsi="宋体"/>
          <w:sz w:val="24"/>
        </w:rPr>
        <w:t>本合同在此声明如下：</w:t>
      </w:r>
    </w:p>
    <w:p>
      <w:pPr>
        <w:numPr>
          <w:ilvl w:val="0"/>
          <w:numId w:val="3"/>
        </w:numPr>
        <w:spacing w:line="360" w:lineRule="auto"/>
        <w:rPr>
          <w:rFonts w:ascii="宋体" w:hAnsi="宋体"/>
          <w:sz w:val="24"/>
        </w:rPr>
      </w:pPr>
      <w:r>
        <w:rPr>
          <w:rFonts w:hint="eastAsia" w:ascii="宋体" w:hAnsi="宋体"/>
          <w:sz w:val="24"/>
        </w:rPr>
        <w:t>本合同中的词语和术语的含义与合同条款中定义的相同.</w:t>
      </w:r>
    </w:p>
    <w:p>
      <w:pPr>
        <w:numPr>
          <w:ilvl w:val="0"/>
          <w:numId w:val="3"/>
        </w:numPr>
        <w:spacing w:line="360" w:lineRule="auto"/>
        <w:rPr>
          <w:rFonts w:ascii="宋体" w:hAnsi="宋体"/>
          <w:sz w:val="24"/>
        </w:rPr>
      </w:pPr>
      <w:r>
        <w:rPr>
          <w:rFonts w:hint="eastAsia" w:ascii="宋体" w:hAnsi="宋体"/>
          <w:sz w:val="24"/>
        </w:rPr>
        <w:t>下述文件作为合同签订的基础，是构成本合同的主要组成部分,并与本合同一起阅读和解释:</w:t>
      </w:r>
    </w:p>
    <w:p>
      <w:pPr>
        <w:numPr>
          <w:ilvl w:val="0"/>
          <w:numId w:val="4"/>
        </w:numPr>
        <w:spacing w:line="360" w:lineRule="auto"/>
        <w:outlineLvl w:val="1"/>
        <w:rPr>
          <w:rFonts w:ascii="宋体" w:hAnsi="宋体"/>
          <w:sz w:val="24"/>
        </w:rPr>
      </w:pPr>
      <w:bookmarkStart w:id="496" w:name="_Toc30365"/>
      <w:bookmarkStart w:id="497" w:name="_Toc13240"/>
      <w:r>
        <w:rPr>
          <w:rFonts w:hint="eastAsia" w:ascii="宋体" w:hAnsi="宋体"/>
          <w:sz w:val="24"/>
        </w:rPr>
        <w:t>合同条款</w:t>
      </w:r>
      <w:bookmarkEnd w:id="496"/>
      <w:bookmarkEnd w:id="497"/>
    </w:p>
    <w:p>
      <w:pPr>
        <w:numPr>
          <w:ilvl w:val="0"/>
          <w:numId w:val="4"/>
        </w:numPr>
        <w:spacing w:line="360" w:lineRule="auto"/>
        <w:outlineLvl w:val="1"/>
        <w:rPr>
          <w:rFonts w:ascii="宋体" w:hAnsi="宋体"/>
          <w:sz w:val="24"/>
        </w:rPr>
      </w:pPr>
      <w:bookmarkStart w:id="498" w:name="_Toc31675"/>
      <w:bookmarkStart w:id="499" w:name="_Toc3778"/>
      <w:r>
        <w:rPr>
          <w:rFonts w:hint="eastAsia" w:ascii="宋体" w:hAnsi="宋体"/>
          <w:sz w:val="24"/>
        </w:rPr>
        <w:t>合同条款资料表</w:t>
      </w:r>
      <w:bookmarkEnd w:id="498"/>
      <w:bookmarkEnd w:id="499"/>
    </w:p>
    <w:p>
      <w:pPr>
        <w:numPr>
          <w:ilvl w:val="0"/>
          <w:numId w:val="4"/>
        </w:numPr>
        <w:spacing w:line="360" w:lineRule="auto"/>
        <w:outlineLvl w:val="1"/>
        <w:rPr>
          <w:rFonts w:ascii="宋体" w:hAnsi="宋体"/>
          <w:sz w:val="24"/>
        </w:rPr>
      </w:pPr>
      <w:bookmarkStart w:id="500" w:name="_Toc21381"/>
      <w:bookmarkStart w:id="501" w:name="_Toc29027"/>
      <w:r>
        <w:rPr>
          <w:rFonts w:hint="eastAsia" w:ascii="宋体" w:hAnsi="宋体"/>
          <w:sz w:val="24"/>
        </w:rPr>
        <w:t>合同条款附件</w:t>
      </w:r>
      <w:bookmarkEnd w:id="500"/>
      <w:bookmarkEnd w:id="501"/>
    </w:p>
    <w:p>
      <w:pPr>
        <w:pStyle w:val="12"/>
        <w:spacing w:line="360" w:lineRule="auto"/>
        <w:ind w:left="960"/>
        <w:rPr>
          <w:rFonts w:hAnsi="宋体"/>
          <w:sz w:val="24"/>
          <w:szCs w:val="24"/>
        </w:rPr>
      </w:pPr>
      <w:r>
        <w:rPr>
          <w:rFonts w:hint="eastAsia" w:hAnsi="宋体"/>
          <w:sz w:val="24"/>
          <w:szCs w:val="24"/>
        </w:rPr>
        <w:t>附件1 供货范围及分项价格表</w:t>
      </w:r>
    </w:p>
    <w:p>
      <w:pPr>
        <w:pStyle w:val="12"/>
        <w:spacing w:line="360" w:lineRule="auto"/>
        <w:ind w:left="960"/>
        <w:rPr>
          <w:rFonts w:hAnsi="宋体"/>
          <w:sz w:val="24"/>
          <w:szCs w:val="24"/>
        </w:rPr>
      </w:pPr>
      <w:r>
        <w:rPr>
          <w:rFonts w:hint="eastAsia" w:hAnsi="宋体"/>
          <w:sz w:val="24"/>
          <w:szCs w:val="24"/>
        </w:rPr>
        <w:t>附件2 技术规格</w:t>
      </w:r>
    </w:p>
    <w:p>
      <w:pPr>
        <w:pStyle w:val="12"/>
        <w:spacing w:line="360" w:lineRule="auto"/>
        <w:ind w:left="960"/>
        <w:rPr>
          <w:rFonts w:hAnsi="宋体"/>
          <w:sz w:val="24"/>
          <w:szCs w:val="24"/>
        </w:rPr>
      </w:pPr>
      <w:r>
        <w:rPr>
          <w:rFonts w:hint="eastAsia" w:hAnsi="宋体"/>
          <w:sz w:val="24"/>
          <w:szCs w:val="24"/>
        </w:rPr>
        <w:t>附件3 交货计划</w:t>
      </w:r>
    </w:p>
    <w:p>
      <w:pPr>
        <w:pStyle w:val="12"/>
        <w:spacing w:line="360" w:lineRule="auto"/>
        <w:ind w:left="960"/>
        <w:rPr>
          <w:rFonts w:hAnsi="宋体"/>
          <w:sz w:val="24"/>
          <w:szCs w:val="24"/>
        </w:rPr>
      </w:pPr>
      <w:r>
        <w:rPr>
          <w:rFonts w:hint="eastAsia" w:hAnsi="宋体"/>
          <w:sz w:val="24"/>
          <w:szCs w:val="24"/>
        </w:rPr>
        <w:t>附件4 履约保函(格式)</w:t>
      </w:r>
    </w:p>
    <w:p>
      <w:pPr>
        <w:numPr>
          <w:ilvl w:val="0"/>
          <w:numId w:val="4"/>
        </w:numPr>
        <w:spacing w:line="360" w:lineRule="auto"/>
        <w:outlineLvl w:val="1"/>
        <w:rPr>
          <w:rFonts w:ascii="宋体" w:hAnsi="宋体"/>
          <w:sz w:val="24"/>
        </w:rPr>
      </w:pPr>
      <w:bookmarkStart w:id="502" w:name="_Toc9624"/>
      <w:bookmarkStart w:id="503" w:name="_Toc10438"/>
      <w:r>
        <w:rPr>
          <w:rFonts w:hint="eastAsia" w:ascii="宋体" w:hAnsi="宋体"/>
          <w:sz w:val="24"/>
        </w:rPr>
        <w:t>中标通知书</w:t>
      </w:r>
      <w:bookmarkEnd w:id="502"/>
      <w:bookmarkEnd w:id="503"/>
    </w:p>
    <w:p>
      <w:pPr>
        <w:numPr>
          <w:ilvl w:val="0"/>
          <w:numId w:val="3"/>
        </w:numPr>
        <w:spacing w:line="360" w:lineRule="auto"/>
        <w:rPr>
          <w:rFonts w:ascii="宋体" w:hAnsi="宋体"/>
          <w:sz w:val="24"/>
        </w:rPr>
      </w:pPr>
      <w:r>
        <w:rPr>
          <w:rFonts w:hint="eastAsia" w:ascii="宋体" w:hAnsi="宋体"/>
          <w:sz w:val="24"/>
        </w:rPr>
        <w:t>供方在此保证全部按照合同规定向需方提供货物和服务,并负责可能的弥补缺陷.</w:t>
      </w:r>
    </w:p>
    <w:p>
      <w:pPr>
        <w:numPr>
          <w:ilvl w:val="0"/>
          <w:numId w:val="3"/>
        </w:numPr>
        <w:spacing w:line="360" w:lineRule="auto"/>
        <w:rPr>
          <w:rFonts w:ascii="宋体" w:hAnsi="宋体"/>
          <w:sz w:val="24"/>
        </w:rPr>
      </w:pPr>
      <w:r>
        <w:rPr>
          <w:rFonts w:hint="eastAsia" w:ascii="宋体" w:hAnsi="宋体"/>
          <w:sz w:val="24"/>
        </w:rPr>
        <w:t>需方在此保证全部按照合同规定的时间和方式向供方支付合同价或其他按合同规定应支付的金额.</w:t>
      </w:r>
    </w:p>
    <w:p>
      <w:pPr>
        <w:spacing w:line="360" w:lineRule="auto"/>
        <w:rPr>
          <w:rFonts w:ascii="宋体" w:hAnsi="宋体"/>
          <w:sz w:val="24"/>
        </w:rPr>
      </w:pPr>
      <w:r>
        <w:rPr>
          <w:rFonts w:hint="eastAsia" w:ascii="宋体" w:hAnsi="宋体"/>
          <w:sz w:val="24"/>
        </w:rPr>
        <w:t>双方在上述日期签署本协议。</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需方代表姓名</w:t>
      </w:r>
      <w:r>
        <w:rPr>
          <w:rFonts w:hint="eastAsia" w:ascii="宋体" w:hAnsi="宋体"/>
          <w:sz w:val="24"/>
          <w:u w:val="single"/>
        </w:rPr>
        <w:t xml:space="preserve">            </w:t>
      </w:r>
      <w:r>
        <w:rPr>
          <w:rFonts w:hint="eastAsia" w:ascii="宋体" w:hAnsi="宋体"/>
          <w:sz w:val="24"/>
        </w:rPr>
        <w:t xml:space="preserve">                供方代表姓名</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需方代表签字</w:t>
      </w:r>
      <w:r>
        <w:rPr>
          <w:rFonts w:hint="eastAsia" w:ascii="宋体" w:hAnsi="宋体"/>
          <w:sz w:val="24"/>
          <w:u w:val="single"/>
        </w:rPr>
        <w:t xml:space="preserve">            </w:t>
      </w:r>
      <w:r>
        <w:rPr>
          <w:rFonts w:hint="eastAsia" w:ascii="宋体" w:hAnsi="宋体"/>
          <w:sz w:val="24"/>
        </w:rPr>
        <w:t xml:space="preserve">                供方代表签字</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需方名称</w:t>
      </w:r>
      <w:r>
        <w:rPr>
          <w:rFonts w:hint="eastAsia" w:ascii="宋体" w:hAnsi="宋体"/>
          <w:sz w:val="24"/>
          <w:u w:val="single"/>
        </w:rPr>
        <w:t xml:space="preserve">                </w:t>
      </w:r>
      <w:r>
        <w:rPr>
          <w:rFonts w:hint="eastAsia" w:ascii="宋体" w:hAnsi="宋体"/>
          <w:sz w:val="24"/>
        </w:rPr>
        <w:t xml:space="preserve">                供方名称</w:t>
      </w:r>
      <w:r>
        <w:rPr>
          <w:rFonts w:hint="eastAsia" w:ascii="宋体" w:hAnsi="宋体"/>
          <w:sz w:val="24"/>
          <w:u w:val="single"/>
        </w:rPr>
        <w:t xml:space="preserve">                       </w:t>
      </w:r>
    </w:p>
    <w:p>
      <w:pPr>
        <w:spacing w:line="360" w:lineRule="auto"/>
        <w:ind w:firstLine="560" w:firstLineChars="200"/>
        <w:jc w:val="left"/>
        <w:rPr>
          <w:rFonts w:hint="eastAsia" w:ascii="宋体" w:hAnsi="宋体"/>
          <w:sz w:val="28"/>
          <w:szCs w:val="28"/>
        </w:rPr>
      </w:pPr>
    </w:p>
    <w:p>
      <w:pPr>
        <w:keepLines w:val="0"/>
        <w:pageBreakBefore w:val="0"/>
        <w:kinsoku/>
        <w:wordWrap/>
        <w:overflowPunct/>
        <w:topLinePunct w:val="0"/>
        <w:autoSpaceDE/>
        <w:autoSpaceDN/>
        <w:bidi w:val="0"/>
        <w:adjustRightInd/>
        <w:snapToGrid/>
        <w:spacing w:line="400" w:lineRule="exact"/>
        <w:jc w:val="center"/>
        <w:textAlignment w:val="auto"/>
        <w:outlineLvl w:val="0"/>
        <w:rPr>
          <w:rFonts w:hint="eastAsia" w:ascii="宋体" w:hAnsi="宋体"/>
          <w:b/>
          <w:sz w:val="28"/>
          <w:szCs w:val="28"/>
        </w:rPr>
      </w:pPr>
      <w:bookmarkStart w:id="504" w:name="_Toc30012"/>
      <w:bookmarkStart w:id="505" w:name="_Toc13945"/>
      <w:bookmarkStart w:id="506" w:name="_Toc44924403"/>
      <w:bookmarkStart w:id="507" w:name="_Toc87621072"/>
      <w:bookmarkStart w:id="508" w:name="_Toc90712552"/>
      <w:bookmarkStart w:id="509" w:name="_Toc90713371"/>
      <w:r>
        <w:rPr>
          <w:rFonts w:hint="eastAsia" w:ascii="宋体" w:hAnsi="宋体"/>
          <w:b/>
          <w:sz w:val="28"/>
          <w:szCs w:val="28"/>
        </w:rPr>
        <w:t>第四部分 合同条款资料表</w:t>
      </w:r>
      <w:bookmarkEnd w:id="504"/>
      <w:bookmarkEnd w:id="505"/>
      <w:bookmarkEnd w:id="506"/>
    </w:p>
    <w:tbl>
      <w:tblPr>
        <w:tblStyle w:val="20"/>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top"/>
          </w:tcPr>
          <w:p>
            <w:pPr>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序号</w:t>
            </w:r>
          </w:p>
        </w:tc>
        <w:tc>
          <w:tcPr>
            <w:tcW w:w="8175" w:type="dxa"/>
            <w:noWrap w:val="0"/>
            <w:vAlign w:val="top"/>
          </w:tcPr>
          <w:p>
            <w:pPr>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70" w:type="dxa"/>
            <w:noWrap w:val="0"/>
            <w:vAlign w:val="center"/>
          </w:tcPr>
          <w:p>
            <w:pPr>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1</w:t>
            </w:r>
          </w:p>
        </w:tc>
        <w:tc>
          <w:tcPr>
            <w:tcW w:w="8175" w:type="dxa"/>
            <w:noWrap w:val="0"/>
            <w:vAlign w:val="top"/>
          </w:tcPr>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sz w:val="24"/>
                <w:lang w:eastAsia="zh-CN"/>
              </w:rPr>
            </w:pPr>
            <w:r>
              <w:rPr>
                <w:rFonts w:hint="eastAsia" w:ascii="宋体" w:hAnsi="宋体"/>
                <w:sz w:val="24"/>
              </w:rPr>
              <w:t>采购单位：</w:t>
            </w:r>
            <w:r>
              <w:rPr>
                <w:rFonts w:hint="eastAsia" w:ascii="宋体" w:hAnsi="宋体"/>
                <w:sz w:val="24"/>
                <w:lang w:eastAsia="zh-CN"/>
              </w:rPr>
              <w:t>河南工业职业技术学院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2</w:t>
            </w:r>
          </w:p>
        </w:tc>
        <w:tc>
          <w:tcPr>
            <w:tcW w:w="8175" w:type="dxa"/>
            <w:noWrap w:val="0"/>
            <w:vAlign w:val="top"/>
          </w:tcPr>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lang w:eastAsia="zh-CN"/>
              </w:rPr>
            </w:pPr>
            <w:r>
              <w:rPr>
                <w:rFonts w:hint="eastAsia" w:ascii="宋体" w:hAnsi="宋体" w:cs="宋体"/>
                <w:color w:val="000000"/>
                <w:kern w:val="0"/>
                <w:sz w:val="24"/>
                <w:szCs w:val="24"/>
              </w:rPr>
              <w:t>履约保证金及付款</w:t>
            </w:r>
            <w:r>
              <w:rPr>
                <w:rFonts w:hint="eastAsia" w:ascii="宋体" w:hAnsi="宋体"/>
                <w:sz w:val="24"/>
                <w:lang w:eastAsia="zh-CN"/>
              </w:rPr>
              <w:t>：</w:t>
            </w:r>
          </w:p>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cs="宋体"/>
                <w:color w:val="auto"/>
                <w:kern w:val="0"/>
                <w:sz w:val="24"/>
                <w:szCs w:val="24"/>
              </w:rPr>
              <w:t>中标人应在领取中标通知书后5个工作日内向学校指定的账户支付本合同总价款5%的履约保证金。该履约保证金在中标人履行完交货义务且学校对项目验收合格后自动转为质量保证金，三年后无质量问题无息退还。付款方式为项目验收合格后15个工作日内学校向中标人支付合同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0" w:type="dxa"/>
            <w:noWrap w:val="0"/>
            <w:vAlign w:val="center"/>
          </w:tcPr>
          <w:p>
            <w:pPr>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8175" w:type="dxa"/>
            <w:noWrap w:val="0"/>
            <w:vAlign w:val="top"/>
          </w:tcPr>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sz w:val="24"/>
                <w:lang w:eastAsia="zh-CN"/>
              </w:rPr>
            </w:pPr>
            <w:r>
              <w:rPr>
                <w:rFonts w:hint="eastAsia" w:ascii="宋体" w:hAnsi="宋体"/>
                <w:color w:val="auto"/>
                <w:sz w:val="24"/>
                <w:highlight w:val="none"/>
                <w:lang w:eastAsia="zh-CN"/>
              </w:rPr>
              <w:t>交货地点：</w:t>
            </w:r>
            <w:r>
              <w:rPr>
                <w:rFonts w:hint="eastAsia" w:ascii="宋体" w:hAnsi="宋体" w:cs="宋体"/>
                <w:color w:val="000000"/>
                <w:kern w:val="0"/>
                <w:sz w:val="24"/>
                <w:szCs w:val="24"/>
              </w:rPr>
              <w:t>采购人指定的交货地点。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4</w:t>
            </w:r>
          </w:p>
        </w:tc>
        <w:tc>
          <w:tcPr>
            <w:tcW w:w="8175" w:type="dxa"/>
            <w:noWrap w:val="0"/>
            <w:vAlign w:val="top"/>
          </w:tcPr>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color w:val="auto"/>
                <w:sz w:val="24"/>
              </w:rPr>
              <w:t>质量保证期：</w:t>
            </w:r>
            <w:r>
              <w:rPr>
                <w:rFonts w:hint="eastAsia" w:ascii="宋体" w:hAnsi="宋体" w:cs="宋体"/>
                <w:color w:val="auto"/>
                <w:kern w:val="0"/>
                <w:sz w:val="24"/>
                <w:szCs w:val="24"/>
              </w:rPr>
              <w:t>设备验收合格后，三</w:t>
            </w:r>
            <w:r>
              <w:rPr>
                <w:rFonts w:ascii="宋体" w:hAnsi="宋体" w:cs="宋体"/>
                <w:color w:val="auto"/>
                <w:kern w:val="0"/>
                <w:sz w:val="24"/>
                <w:szCs w:val="24"/>
              </w:rPr>
              <w:t>年</w:t>
            </w:r>
            <w:r>
              <w:rPr>
                <w:rFonts w:hint="eastAsia" w:ascii="宋体" w:hAnsi="宋体" w:cs="宋体"/>
                <w:color w:val="auto"/>
                <w:kern w:val="0"/>
                <w:sz w:val="24"/>
                <w:szCs w:val="24"/>
              </w:rPr>
              <w:t>免费质保，三年免费上</w:t>
            </w:r>
            <w:r>
              <w:rPr>
                <w:rFonts w:ascii="宋体" w:hAnsi="宋体" w:cs="宋体"/>
                <w:color w:val="auto"/>
                <w:kern w:val="0"/>
                <w:sz w:val="24"/>
                <w:szCs w:val="24"/>
              </w:rPr>
              <w:t>门</w:t>
            </w:r>
            <w:r>
              <w:rPr>
                <w:rFonts w:hint="eastAsia" w:ascii="宋体" w:hAnsi="宋体" w:cs="宋体"/>
                <w:color w:val="auto"/>
                <w:kern w:val="0"/>
                <w:sz w:val="24"/>
                <w:szCs w:val="24"/>
              </w:rPr>
              <w:t>服务（其中软件五年免费升级和质保，五年免费上门服务），提供承诺函。</w:t>
            </w:r>
            <w:r>
              <w:rPr>
                <w:rFonts w:hint="eastAsia" w:ascii="宋体" w:hAnsi="宋体" w:cs="宋体"/>
                <w:color w:val="auto"/>
                <w:kern w:val="0"/>
                <w:sz w:val="24"/>
                <w:szCs w:val="24"/>
                <w:lang w:eastAsia="zh-CN"/>
              </w:rPr>
              <w:t>设备制造商承诺的质保期优于采购要求的按承诺函执行。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0" w:type="dxa"/>
            <w:noWrap w:val="0"/>
            <w:vAlign w:val="center"/>
          </w:tcPr>
          <w:p>
            <w:pPr>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sz w:val="24"/>
                <w:lang w:val="en-US" w:eastAsia="zh-CN"/>
              </w:rPr>
            </w:pPr>
            <w:r>
              <w:rPr>
                <w:rFonts w:hint="eastAsia" w:ascii="宋体" w:hAnsi="宋体"/>
                <w:sz w:val="24"/>
                <w:lang w:val="en-US" w:eastAsia="zh-CN"/>
              </w:rPr>
              <w:t>5</w:t>
            </w:r>
          </w:p>
        </w:tc>
        <w:tc>
          <w:tcPr>
            <w:tcW w:w="8175" w:type="dxa"/>
            <w:noWrap w:val="0"/>
            <w:vAlign w:val="top"/>
          </w:tcPr>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rPr>
              <w:t>验收条件及标准</w:t>
            </w:r>
            <w:r>
              <w:rPr>
                <w:rFonts w:hint="eastAsia" w:ascii="宋体" w:hAnsi="宋体" w:cs="宋体"/>
                <w:color w:val="auto"/>
                <w:kern w:val="0"/>
                <w:sz w:val="24"/>
                <w:szCs w:val="24"/>
                <w:lang w:eastAsia="zh-CN"/>
              </w:rPr>
              <w:t>：</w:t>
            </w:r>
          </w:p>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1.投标货物分送到货后，由货物生产商的技术人员现场安装调试。</w:t>
            </w:r>
          </w:p>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000000"/>
                <w:kern w:val="0"/>
                <w:sz w:val="24"/>
                <w:szCs w:val="24"/>
                <w:lang w:eastAsia="zh-CN"/>
              </w:rPr>
            </w:pPr>
            <w:r>
              <w:rPr>
                <w:rFonts w:hint="eastAsia" w:ascii="宋体" w:hAnsi="宋体" w:cs="宋体"/>
                <w:color w:val="auto"/>
                <w:kern w:val="0"/>
                <w:sz w:val="24"/>
                <w:szCs w:val="24"/>
              </w:rPr>
              <w:t>2.安装调试完成，由采购人按要求组织验收。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sz w:val="24"/>
                <w:lang w:val="en-US" w:eastAsia="zh-CN"/>
              </w:rPr>
            </w:pPr>
            <w:r>
              <w:rPr>
                <w:rFonts w:hint="eastAsia" w:ascii="宋体" w:hAnsi="宋体"/>
                <w:sz w:val="24"/>
                <w:lang w:val="en-US" w:eastAsia="zh-CN"/>
              </w:rPr>
              <w:t>6</w:t>
            </w:r>
          </w:p>
        </w:tc>
        <w:tc>
          <w:tcPr>
            <w:tcW w:w="8175" w:type="dxa"/>
            <w:noWrap w:val="0"/>
            <w:vAlign w:val="top"/>
          </w:tcPr>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4"/>
                <w:szCs w:val="24"/>
                <w:lang w:eastAsia="zh-CN"/>
              </w:rPr>
            </w:pPr>
            <w:r>
              <w:rPr>
                <w:rFonts w:hint="eastAsia" w:ascii="宋体" w:hAnsi="宋体" w:cs="宋体"/>
                <w:color w:val="000000"/>
                <w:kern w:val="0"/>
                <w:sz w:val="24"/>
                <w:szCs w:val="24"/>
              </w:rPr>
              <w:t>验</w:t>
            </w:r>
            <w:r>
              <w:rPr>
                <w:rFonts w:hint="eastAsia" w:ascii="宋体" w:hAnsi="宋体" w:cs="宋体"/>
                <w:color w:val="auto"/>
                <w:kern w:val="0"/>
                <w:sz w:val="24"/>
                <w:szCs w:val="24"/>
              </w:rPr>
              <w:t>收方法及方案</w:t>
            </w:r>
            <w:r>
              <w:rPr>
                <w:rFonts w:hint="eastAsia" w:ascii="宋体" w:hAnsi="宋体" w:cs="宋体"/>
                <w:color w:val="auto"/>
                <w:kern w:val="0"/>
                <w:sz w:val="24"/>
                <w:szCs w:val="24"/>
                <w:lang w:eastAsia="zh-CN"/>
              </w:rPr>
              <w:t>：</w:t>
            </w:r>
          </w:p>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1.货物送达采购人指定位置后由采购人明确的专人负责对货物品种、数量、规格等进行点验、接收；</w:t>
            </w:r>
          </w:p>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2.采购人成立验收小组，严格按照配备计划、产品标准、投标文件对货物进行验收，出具检验报告；</w:t>
            </w:r>
          </w:p>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3.经全部检验合格后供应商方可持验收报告及其它相关手续办理结款手续；</w:t>
            </w:r>
          </w:p>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kern w:val="0"/>
                <w:sz w:val="24"/>
                <w:szCs w:val="24"/>
                <w:lang w:eastAsia="zh-CN"/>
              </w:rPr>
            </w:pPr>
            <w:r>
              <w:rPr>
                <w:rFonts w:hint="eastAsia" w:ascii="宋体" w:hAnsi="宋体" w:cs="宋体"/>
                <w:color w:val="auto"/>
                <w:kern w:val="0"/>
                <w:sz w:val="24"/>
                <w:szCs w:val="24"/>
              </w:rPr>
              <w:t>4.中标人承担项目验收检测的一切费用</w:t>
            </w:r>
            <w:r>
              <w:rPr>
                <w:rFonts w:hint="eastAsia" w:ascii="宋体" w:hAnsi="宋体" w:cs="宋体"/>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0" w:type="dxa"/>
            <w:noWrap w:val="0"/>
            <w:vAlign w:val="center"/>
          </w:tcPr>
          <w:p>
            <w:pPr>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sz w:val="24"/>
                <w:lang w:val="en-US" w:eastAsia="zh-CN"/>
              </w:rPr>
            </w:pPr>
            <w:r>
              <w:rPr>
                <w:rFonts w:hint="eastAsia" w:ascii="宋体" w:hAnsi="宋体"/>
                <w:sz w:val="24"/>
                <w:lang w:val="en-US" w:eastAsia="zh-CN"/>
              </w:rPr>
              <w:t>7</w:t>
            </w:r>
          </w:p>
        </w:tc>
        <w:tc>
          <w:tcPr>
            <w:tcW w:w="8175" w:type="dxa"/>
            <w:noWrap w:val="0"/>
            <w:vAlign w:val="top"/>
          </w:tcPr>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000000"/>
                <w:kern w:val="0"/>
                <w:sz w:val="24"/>
                <w:szCs w:val="24"/>
                <w:lang w:eastAsia="zh-CN"/>
              </w:rPr>
            </w:pPr>
            <w:r>
              <w:rPr>
                <w:rFonts w:hint="eastAsia" w:ascii="宋体" w:hAnsi="宋体" w:cs="宋体"/>
                <w:color w:val="000000"/>
                <w:kern w:val="0"/>
                <w:sz w:val="24"/>
                <w:szCs w:val="24"/>
              </w:rPr>
              <w:t>售后服务保障</w:t>
            </w:r>
            <w:r>
              <w:rPr>
                <w:rFonts w:hint="eastAsia" w:ascii="宋体" w:hAnsi="宋体" w:cs="宋体"/>
                <w:color w:val="000000"/>
                <w:kern w:val="0"/>
                <w:sz w:val="24"/>
                <w:szCs w:val="24"/>
                <w:lang w:eastAsia="zh-CN"/>
              </w:rPr>
              <w:t>：</w:t>
            </w:r>
          </w:p>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4"/>
                <w:szCs w:val="24"/>
              </w:rPr>
            </w:pPr>
            <w:r>
              <w:rPr>
                <w:rFonts w:hint="eastAsia" w:ascii="宋体" w:hAnsi="宋体"/>
                <w:color w:val="000000"/>
                <w:sz w:val="24"/>
                <w:szCs w:val="24"/>
              </w:rPr>
              <w:t>1</w:t>
            </w:r>
            <w:r>
              <w:rPr>
                <w:rFonts w:hint="eastAsia" w:ascii="宋体" w:hAnsi="宋体" w:cs="宋体"/>
                <w:color w:val="auto"/>
                <w:kern w:val="0"/>
                <w:sz w:val="24"/>
                <w:szCs w:val="24"/>
              </w:rPr>
              <w:t>、投标人所投产品均属于国家规定“三包”范围的，并保证产品质量保证期不低于“三包”规定；质量保证期承诺优于国家“三包”规定的，按供应商实际承诺执行。</w:t>
            </w:r>
          </w:p>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2、投标人所投产品有专业售后服务机构（需注明机构名称、地址、联系人和电话），并将在投标文件中予以明确说明，产品故障时，须2小时内响应，6小时到达现场，24内小时解决问题。在质保期内设备出现故障，若24小时内不能解决需提供备品支持。</w:t>
            </w:r>
          </w:p>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000000"/>
                <w:kern w:val="0"/>
                <w:sz w:val="24"/>
                <w:szCs w:val="24"/>
                <w:lang w:eastAsia="zh-CN"/>
              </w:rPr>
            </w:pPr>
            <w:r>
              <w:rPr>
                <w:rFonts w:hint="eastAsia" w:ascii="宋体" w:hAnsi="宋体" w:cs="宋体"/>
                <w:color w:val="auto"/>
                <w:kern w:val="0"/>
                <w:sz w:val="24"/>
                <w:szCs w:val="24"/>
              </w:rPr>
              <w:t>3、投标人达不到甲方要求及承诺标准，在售后服务中给招标方造成损失，应接受相应法律法规</w:t>
            </w:r>
            <w:r>
              <w:rPr>
                <w:rFonts w:hint="eastAsia" w:ascii="宋体" w:hAnsi="宋体"/>
                <w:color w:val="000000"/>
                <w:sz w:val="24"/>
                <w:szCs w:val="24"/>
              </w:rPr>
              <w:t>处罚；并承担由此造成的责任和一切经济损失。</w:t>
            </w:r>
          </w:p>
        </w:tc>
      </w:tr>
    </w:tbl>
    <w:p>
      <w:pPr>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注：本表为样式表，使用时应重新打印，并可增加特殊的条款要求。</w:t>
      </w:r>
    </w:p>
    <w:p>
      <w:pPr>
        <w:pStyle w:val="3"/>
        <w:keepLines w:val="0"/>
        <w:pageBreakBefore w:val="0"/>
        <w:kinsoku/>
        <w:wordWrap/>
        <w:overflowPunct/>
        <w:topLinePunct w:val="0"/>
        <w:autoSpaceDE/>
        <w:autoSpaceDN/>
        <w:bidi w:val="0"/>
        <w:adjustRightInd/>
        <w:snapToGrid/>
        <w:spacing w:line="400" w:lineRule="exact"/>
        <w:ind w:left="0" w:firstLine="0"/>
        <w:textAlignment w:val="auto"/>
        <w:rPr>
          <w:rFonts w:hint="eastAsia" w:ascii="宋体" w:hAnsi="宋体" w:eastAsia="宋体"/>
          <w:b/>
          <w:sz w:val="28"/>
          <w:szCs w:val="28"/>
        </w:rPr>
      </w:pPr>
    </w:p>
    <w:p>
      <w:pPr>
        <w:pStyle w:val="3"/>
        <w:keepLines w:val="0"/>
        <w:pageBreakBefore w:val="0"/>
        <w:kinsoku/>
        <w:wordWrap/>
        <w:overflowPunct/>
        <w:topLinePunct w:val="0"/>
        <w:autoSpaceDE/>
        <w:autoSpaceDN/>
        <w:bidi w:val="0"/>
        <w:adjustRightInd/>
        <w:snapToGrid/>
        <w:spacing w:line="400" w:lineRule="exact"/>
        <w:ind w:left="0" w:firstLine="0"/>
        <w:textAlignment w:val="auto"/>
        <w:rPr>
          <w:rFonts w:hint="eastAsia" w:ascii="宋体" w:hAnsi="宋体" w:eastAsia="宋体"/>
          <w:b/>
          <w:sz w:val="28"/>
          <w:szCs w:val="28"/>
        </w:rPr>
      </w:pPr>
      <w:r>
        <w:rPr>
          <w:rFonts w:hint="eastAsia" w:ascii="宋体" w:hAnsi="宋体" w:eastAsia="宋体"/>
          <w:sz w:val="28"/>
          <w:szCs w:val="28"/>
        </w:rPr>
        <w:br w:type="page"/>
      </w:r>
      <w:bookmarkEnd w:id="507"/>
      <w:bookmarkEnd w:id="508"/>
      <w:bookmarkEnd w:id="509"/>
      <w:bookmarkStart w:id="510" w:name="_Toc2772"/>
      <w:bookmarkStart w:id="511" w:name="_Toc44924404"/>
      <w:bookmarkStart w:id="512" w:name="_Toc20427"/>
      <w:r>
        <w:rPr>
          <w:rFonts w:hint="eastAsia" w:ascii="宋体" w:hAnsi="宋体" w:eastAsia="宋体"/>
          <w:b/>
          <w:sz w:val="28"/>
          <w:szCs w:val="28"/>
        </w:rPr>
        <w:t>第五部分 磋商项目资料表</w:t>
      </w:r>
      <w:bookmarkEnd w:id="510"/>
      <w:bookmarkEnd w:id="511"/>
      <w:bookmarkEnd w:id="512"/>
    </w:p>
    <w:p>
      <w:pPr>
        <w:spacing w:line="360" w:lineRule="auto"/>
        <w:ind w:firstLine="480" w:firstLineChars="200"/>
        <w:rPr>
          <w:rFonts w:hint="eastAsia" w:ascii="宋体" w:hAnsi="宋体"/>
          <w:sz w:val="24"/>
        </w:rPr>
      </w:pPr>
      <w:r>
        <w:rPr>
          <w:rFonts w:hint="eastAsia" w:ascii="宋体" w:hAnsi="宋体"/>
          <w:sz w:val="24"/>
        </w:rPr>
        <w:t>本表关于要采购的货物的具体资料是对磋商供应商须知的具体补充和修改，如有矛盾，应以本资料表为准。</w:t>
      </w:r>
      <w:r>
        <w:rPr>
          <w:rFonts w:hint="eastAsia" w:ascii="宋体" w:hAnsi="宋体"/>
          <w:b/>
          <w:sz w:val="24"/>
        </w:rPr>
        <w:t>本项目资料表中注“*”为磋商供应商必须满足的条件，如不满足，将被视为无效响应。</w:t>
      </w:r>
    </w:p>
    <w:tbl>
      <w:tblPr>
        <w:tblStyle w:val="20"/>
        <w:tblW w:w="89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79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jc w:val="center"/>
        </w:trPr>
        <w:tc>
          <w:tcPr>
            <w:tcW w:w="962" w:type="dxa"/>
            <w:noWrap w:val="0"/>
            <w:vAlign w:val="center"/>
          </w:tcPr>
          <w:p>
            <w:pPr>
              <w:snapToGrid w:val="0"/>
              <w:spacing w:line="360" w:lineRule="auto"/>
              <w:jc w:val="center"/>
              <w:rPr>
                <w:rFonts w:hint="eastAsia" w:ascii="宋体" w:hAnsi="宋体"/>
                <w:sz w:val="24"/>
              </w:rPr>
            </w:pPr>
            <w:r>
              <w:rPr>
                <w:rFonts w:hint="eastAsia" w:ascii="宋体" w:hAnsi="宋体"/>
                <w:sz w:val="24"/>
              </w:rPr>
              <w:t>条款号</w:t>
            </w:r>
          </w:p>
        </w:tc>
        <w:tc>
          <w:tcPr>
            <w:tcW w:w="7964" w:type="dxa"/>
            <w:noWrap w:val="0"/>
            <w:vAlign w:val="center"/>
          </w:tcPr>
          <w:p>
            <w:pPr>
              <w:snapToGrid w:val="0"/>
              <w:spacing w:line="360" w:lineRule="auto"/>
              <w:jc w:val="center"/>
              <w:rPr>
                <w:rFonts w:hint="eastAsia" w:ascii="宋体" w:hAnsi="宋体"/>
                <w:b/>
                <w:bCs/>
                <w:sz w:val="24"/>
              </w:rPr>
            </w:pPr>
            <w:r>
              <w:rPr>
                <w:rFonts w:hint="eastAsia" w:ascii="宋体" w:hAnsi="宋体"/>
                <w:b/>
                <w:bCs/>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8" w:hRule="atLeast"/>
          <w:jc w:val="center"/>
        </w:trPr>
        <w:tc>
          <w:tcPr>
            <w:tcW w:w="8926" w:type="dxa"/>
            <w:gridSpan w:val="2"/>
            <w:noWrap w:val="0"/>
            <w:vAlign w:val="center"/>
          </w:tcPr>
          <w:p>
            <w:pPr>
              <w:snapToGrid w:val="0"/>
              <w:spacing w:line="360" w:lineRule="auto"/>
              <w:jc w:val="center"/>
              <w:rPr>
                <w:rFonts w:hint="eastAsia" w:ascii="宋体" w:hAnsi="宋体"/>
                <w:b/>
                <w:bCs/>
                <w:sz w:val="24"/>
              </w:rPr>
            </w:pPr>
            <w:r>
              <w:rPr>
                <w:rFonts w:hint="eastAsia" w:ascii="宋体" w:hAnsi="宋体"/>
                <w:b/>
                <w:bCs/>
                <w:sz w:val="24"/>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962" w:type="dxa"/>
            <w:tcBorders>
              <w:bottom w:val="single" w:color="auto" w:sz="4" w:space="0"/>
            </w:tcBorders>
            <w:noWrap w:val="0"/>
            <w:vAlign w:val="center"/>
          </w:tcPr>
          <w:p>
            <w:pPr>
              <w:snapToGrid w:val="0"/>
              <w:spacing w:line="360" w:lineRule="auto"/>
              <w:jc w:val="center"/>
              <w:rPr>
                <w:rFonts w:hint="eastAsia" w:ascii="宋体" w:hAnsi="宋体"/>
                <w:sz w:val="24"/>
              </w:rPr>
            </w:pPr>
            <w:r>
              <w:rPr>
                <w:rFonts w:hint="eastAsia" w:ascii="宋体" w:hAnsi="宋体"/>
                <w:sz w:val="24"/>
              </w:rPr>
              <w:t>1</w:t>
            </w:r>
          </w:p>
        </w:tc>
        <w:tc>
          <w:tcPr>
            <w:tcW w:w="7964" w:type="dxa"/>
            <w:tcBorders>
              <w:bottom w:val="single" w:color="auto" w:sz="4" w:space="0"/>
            </w:tcBorders>
            <w:noWrap w:val="0"/>
            <w:vAlign w:val="center"/>
          </w:tcPr>
          <w:p>
            <w:pPr>
              <w:spacing w:line="400" w:lineRule="exact"/>
              <w:rPr>
                <w:rFonts w:ascii="宋体" w:hAnsi="宋体"/>
                <w:color w:val="auto"/>
                <w:sz w:val="24"/>
              </w:rPr>
            </w:pPr>
            <w:r>
              <w:rPr>
                <w:rFonts w:hint="eastAsia" w:ascii="宋体" w:hAnsi="宋体"/>
                <w:sz w:val="24"/>
              </w:rPr>
              <w:t>采购人名称：</w:t>
            </w:r>
            <w:r>
              <w:rPr>
                <w:rFonts w:hint="eastAsia" w:ascii="宋体" w:hAnsi="宋体"/>
                <w:color w:val="auto"/>
                <w:sz w:val="24"/>
                <w:szCs w:val="24"/>
              </w:rPr>
              <w:t>河南工业</w:t>
            </w:r>
            <w:r>
              <w:rPr>
                <w:rFonts w:ascii="宋体" w:hAnsi="宋体"/>
                <w:color w:val="auto"/>
                <w:sz w:val="24"/>
                <w:szCs w:val="24"/>
              </w:rPr>
              <w:t>职业技术学院</w:t>
            </w:r>
          </w:p>
          <w:p>
            <w:pPr>
              <w:rPr>
                <w:rFonts w:hint="eastAsia" w:eastAsia="宋体"/>
                <w:color w:val="auto"/>
                <w:lang w:eastAsia="zh-CN"/>
              </w:rPr>
            </w:pPr>
            <w:r>
              <w:rPr>
                <w:rFonts w:hint="eastAsia" w:ascii="宋体" w:hAnsi="宋体"/>
                <w:color w:val="auto"/>
                <w:sz w:val="24"/>
              </w:rPr>
              <w:t>项目名称：</w:t>
            </w:r>
            <w:r>
              <w:rPr>
                <w:rFonts w:hint="eastAsia" w:ascii="宋体" w:hAnsi="宋体"/>
                <w:color w:val="auto"/>
                <w:sz w:val="24"/>
                <w:szCs w:val="24"/>
              </w:rPr>
              <w:t>河南工业</w:t>
            </w:r>
            <w:r>
              <w:rPr>
                <w:rFonts w:ascii="宋体" w:hAnsi="宋体"/>
                <w:color w:val="auto"/>
                <w:sz w:val="24"/>
                <w:szCs w:val="24"/>
              </w:rPr>
              <w:t>职业技术学院</w:t>
            </w:r>
            <w:r>
              <w:rPr>
                <w:rFonts w:hint="eastAsia" w:ascii="宋体" w:hAnsi="宋体" w:cs="宋体"/>
                <w:color w:val="auto"/>
                <w:sz w:val="24"/>
                <w:lang w:bidi="ar"/>
              </w:rPr>
              <w:t>语言实训中心改扩建项目</w:t>
            </w:r>
            <w:r>
              <w:rPr>
                <w:rFonts w:hint="eastAsia" w:ascii="宋体" w:hAnsi="宋体" w:cs="宋体"/>
                <w:color w:val="auto"/>
                <w:sz w:val="24"/>
                <w:lang w:eastAsia="zh-CN" w:bidi="ar"/>
              </w:rPr>
              <w:t>（二次）</w:t>
            </w:r>
          </w:p>
          <w:p>
            <w:r>
              <w:rPr>
                <w:rFonts w:hint="eastAsia" w:ascii="宋体" w:hAnsi="宋体"/>
                <w:color w:val="auto"/>
                <w:sz w:val="24"/>
                <w:lang w:eastAsia="zh-CN"/>
              </w:rPr>
              <w:t>采购</w:t>
            </w:r>
            <w:r>
              <w:rPr>
                <w:rFonts w:hint="eastAsia" w:ascii="宋体" w:hAnsi="宋体"/>
                <w:color w:val="auto"/>
                <w:sz w:val="24"/>
              </w:rPr>
              <w:t>编号：</w:t>
            </w:r>
            <w:r>
              <w:rPr>
                <w:rFonts w:hint="eastAsia" w:ascii="宋体" w:hAnsi="宋体" w:cs="宋体"/>
                <w:bCs/>
                <w:kern w:val="0"/>
                <w:sz w:val="24"/>
                <w:lang w:eastAsia="zh-CN"/>
              </w:rPr>
              <w:t>豫财磋商采购</w:t>
            </w:r>
            <w:r>
              <w:rPr>
                <w:rFonts w:hint="eastAsia" w:ascii="宋体" w:hAnsi="宋体" w:cs="宋体"/>
                <w:bCs/>
                <w:kern w:val="0"/>
                <w:sz w:val="24"/>
                <w:lang w:val="en-US" w:eastAsia="zh-CN"/>
              </w:rPr>
              <w:t>-2020-288</w:t>
            </w:r>
          </w:p>
          <w:p>
            <w:pPr>
              <w:spacing w:line="400" w:lineRule="exact"/>
              <w:rPr>
                <w:rFonts w:hint="eastAsia" w:ascii="宋体" w:hAnsi="宋体"/>
                <w:sz w:val="24"/>
              </w:rPr>
            </w:pPr>
            <w:r>
              <w:rPr>
                <w:rFonts w:hint="eastAsia" w:ascii="宋体" w:hAnsi="宋体"/>
                <w:sz w:val="24"/>
              </w:rPr>
              <w:t>联系人：</w:t>
            </w:r>
            <w:r>
              <w:rPr>
                <w:rFonts w:hint="eastAsia" w:ascii="宋体" w:hAnsi="宋体"/>
                <w:sz w:val="24"/>
                <w:lang w:eastAsia="zh-CN"/>
              </w:rPr>
              <w:t>郭</w:t>
            </w:r>
            <w:r>
              <w:rPr>
                <w:rFonts w:hint="eastAsia" w:ascii="宋体" w:hAnsi="宋体"/>
                <w:sz w:val="24"/>
              </w:rPr>
              <w:t>老师</w:t>
            </w:r>
          </w:p>
          <w:p>
            <w:pPr>
              <w:widowControl/>
              <w:adjustRightInd/>
              <w:snapToGrid/>
              <w:spacing w:line="400" w:lineRule="exact"/>
              <w:ind w:firstLine="0" w:firstLineChars="0"/>
              <w:jc w:val="left"/>
              <w:rPr>
                <w:rFonts w:hint="eastAsia" w:ascii="宋体" w:hAnsi="宋体"/>
                <w:color w:val="000000"/>
                <w:sz w:val="24"/>
              </w:rPr>
            </w:pPr>
            <w:r>
              <w:rPr>
                <w:rFonts w:hint="eastAsia" w:ascii="宋体" w:hAnsi="宋体"/>
                <w:color w:val="000000"/>
                <w:sz w:val="24"/>
              </w:rPr>
              <w:t>联系方式：0377-83663603</w:t>
            </w:r>
          </w:p>
          <w:p>
            <w:pPr>
              <w:spacing w:line="400" w:lineRule="exact"/>
              <w:rPr>
                <w:rFonts w:hint="eastAsia" w:ascii="宋体" w:hAnsi="宋体"/>
                <w:sz w:val="24"/>
              </w:rPr>
            </w:pPr>
            <w:r>
              <w:rPr>
                <w:rFonts w:hint="eastAsia" w:ascii="宋体" w:hAnsi="宋体"/>
                <w:sz w:val="24"/>
              </w:rPr>
              <w:t>采购人地址：</w:t>
            </w:r>
            <w:r>
              <w:rPr>
                <w:rFonts w:hint="eastAsia" w:ascii="宋体" w:hAnsi="宋体"/>
                <w:color w:val="000000"/>
                <w:sz w:val="24"/>
              </w:rPr>
              <w:t>南阳市孔明北路666号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962" w:type="dxa"/>
            <w:tcBorders>
              <w:top w:val="single" w:color="auto" w:sz="4" w:space="0"/>
            </w:tcBorders>
            <w:noWrap w:val="0"/>
            <w:vAlign w:val="center"/>
          </w:tcPr>
          <w:p>
            <w:pPr>
              <w:snapToGrid w:val="0"/>
              <w:spacing w:line="360" w:lineRule="auto"/>
              <w:jc w:val="center"/>
              <w:rPr>
                <w:rFonts w:hint="eastAsia" w:ascii="宋体" w:hAnsi="宋体"/>
                <w:sz w:val="24"/>
              </w:rPr>
            </w:pPr>
            <w:r>
              <w:rPr>
                <w:rFonts w:hint="eastAsia" w:ascii="宋体" w:hAnsi="宋体"/>
                <w:sz w:val="24"/>
              </w:rPr>
              <w:t>2</w:t>
            </w:r>
          </w:p>
        </w:tc>
        <w:tc>
          <w:tcPr>
            <w:tcW w:w="7964" w:type="dxa"/>
            <w:tcBorders>
              <w:top w:val="single" w:color="auto" w:sz="4" w:space="0"/>
            </w:tcBorders>
            <w:noWrap w:val="0"/>
            <w:vAlign w:val="center"/>
          </w:tcPr>
          <w:p>
            <w:pPr>
              <w:snapToGrid w:val="0"/>
              <w:spacing w:line="360" w:lineRule="auto"/>
              <w:rPr>
                <w:rFonts w:hint="eastAsia" w:ascii="宋体" w:hAnsi="宋体" w:eastAsia="宋体"/>
                <w:sz w:val="24"/>
                <w:lang w:eastAsia="zh-CN"/>
              </w:rPr>
            </w:pPr>
            <w:r>
              <w:rPr>
                <w:rFonts w:hint="eastAsia" w:ascii="宋体" w:hAnsi="宋体"/>
                <w:sz w:val="24"/>
              </w:rPr>
              <w:t>采购项目：</w:t>
            </w:r>
            <w:r>
              <w:rPr>
                <w:rFonts w:hint="eastAsia" w:ascii="宋体" w:hAnsi="宋体"/>
                <w:color w:val="auto"/>
                <w:sz w:val="24"/>
                <w:szCs w:val="24"/>
              </w:rPr>
              <w:t>河南工业</w:t>
            </w:r>
            <w:r>
              <w:rPr>
                <w:rFonts w:ascii="宋体" w:hAnsi="宋体"/>
                <w:color w:val="auto"/>
                <w:sz w:val="24"/>
                <w:szCs w:val="24"/>
              </w:rPr>
              <w:t>职业技术学院</w:t>
            </w:r>
            <w:r>
              <w:rPr>
                <w:rFonts w:hint="eastAsia" w:ascii="宋体" w:hAnsi="宋体" w:cs="宋体"/>
                <w:color w:val="auto"/>
                <w:sz w:val="24"/>
                <w:lang w:bidi="ar"/>
              </w:rPr>
              <w:t>语言实训中心改扩建项目</w:t>
            </w:r>
            <w:r>
              <w:rPr>
                <w:rFonts w:hint="eastAsia" w:ascii="宋体" w:hAnsi="宋体" w:cs="宋体"/>
                <w:color w:val="auto"/>
                <w:sz w:val="24"/>
                <w:lang w:eastAsia="zh-CN" w:bidi="ar"/>
              </w:rPr>
              <w:t>（二次）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62" w:type="dxa"/>
            <w:noWrap w:val="0"/>
            <w:vAlign w:val="center"/>
          </w:tcPr>
          <w:p>
            <w:pPr>
              <w:snapToGrid w:val="0"/>
              <w:spacing w:line="360" w:lineRule="auto"/>
              <w:jc w:val="center"/>
              <w:rPr>
                <w:rFonts w:hint="eastAsia" w:ascii="宋体" w:hAnsi="宋体"/>
                <w:sz w:val="24"/>
              </w:rPr>
            </w:pPr>
            <w:r>
              <w:rPr>
                <w:rFonts w:hint="eastAsia" w:ascii="宋体" w:hAnsi="宋体"/>
                <w:sz w:val="24"/>
              </w:rPr>
              <w:t>3</w:t>
            </w:r>
          </w:p>
        </w:tc>
        <w:tc>
          <w:tcPr>
            <w:tcW w:w="7964" w:type="dxa"/>
            <w:noWrap w:val="0"/>
            <w:vAlign w:val="top"/>
          </w:tcPr>
          <w:p>
            <w:pPr>
              <w:snapToGrid w:val="0"/>
              <w:spacing w:line="360" w:lineRule="auto"/>
              <w:rPr>
                <w:rFonts w:hint="eastAsia" w:ascii="宋体" w:hAnsi="宋体"/>
                <w:sz w:val="24"/>
              </w:rPr>
            </w:pPr>
            <w:r>
              <w:rPr>
                <w:rFonts w:hint="eastAsia" w:ascii="宋体" w:hAnsi="宋体"/>
                <w:sz w:val="24"/>
                <w:lang w:eastAsia="zh-CN"/>
              </w:rPr>
              <w:t>采购</w:t>
            </w:r>
            <w:r>
              <w:rPr>
                <w:rFonts w:hint="eastAsia" w:ascii="宋体" w:hAnsi="宋体"/>
                <w:sz w:val="24"/>
              </w:rPr>
              <w:t>代理机构名称：河南招标采购服务有限公司</w:t>
            </w:r>
          </w:p>
          <w:p>
            <w:pPr>
              <w:snapToGrid w:val="0"/>
              <w:spacing w:line="360" w:lineRule="auto"/>
              <w:rPr>
                <w:rFonts w:hint="eastAsia" w:ascii="宋体" w:hAnsi="宋体"/>
                <w:sz w:val="24"/>
              </w:rPr>
            </w:pPr>
            <w:r>
              <w:rPr>
                <w:rFonts w:hint="eastAsia" w:ascii="宋体" w:hAnsi="宋体"/>
                <w:sz w:val="24"/>
              </w:rPr>
              <w:t>联系人：</w:t>
            </w:r>
            <w:r>
              <w:rPr>
                <w:rFonts w:hint="eastAsia" w:ascii="宋体" w:hAnsi="宋体"/>
                <w:sz w:val="24"/>
                <w:lang w:eastAsia="zh-CN"/>
              </w:rPr>
              <w:t>张</w:t>
            </w:r>
            <w:r>
              <w:rPr>
                <w:rFonts w:hint="eastAsia" w:ascii="宋体" w:hAnsi="宋体"/>
                <w:sz w:val="24"/>
              </w:rPr>
              <w:t>女士</w:t>
            </w:r>
          </w:p>
          <w:p>
            <w:pPr>
              <w:snapToGrid w:val="0"/>
              <w:spacing w:line="360" w:lineRule="auto"/>
              <w:rPr>
                <w:rFonts w:hint="default" w:ascii="宋体" w:hAnsi="宋体" w:eastAsia="宋体"/>
                <w:sz w:val="24"/>
                <w:lang w:val="en-US" w:eastAsia="zh-CN"/>
              </w:rPr>
            </w:pPr>
            <w:r>
              <w:rPr>
                <w:rFonts w:hint="eastAsia" w:ascii="宋体" w:hAnsi="宋体"/>
                <w:sz w:val="24"/>
              </w:rPr>
              <w:t>电话：037</w:t>
            </w:r>
            <w:r>
              <w:rPr>
                <w:rFonts w:hint="eastAsia" w:ascii="宋体" w:hAnsi="宋体"/>
                <w:sz w:val="24"/>
                <w:lang w:val="en-US" w:eastAsia="zh-CN"/>
              </w:rPr>
              <w:t>7</w:t>
            </w:r>
            <w:r>
              <w:rPr>
                <w:rFonts w:hint="eastAsia" w:ascii="宋体" w:hAnsi="宋体"/>
                <w:sz w:val="24"/>
              </w:rPr>
              <w:t>-6</w:t>
            </w:r>
            <w:r>
              <w:rPr>
                <w:rFonts w:hint="eastAsia" w:ascii="宋体" w:hAnsi="宋体"/>
                <w:sz w:val="24"/>
                <w:lang w:val="en-US" w:eastAsia="zh-CN"/>
              </w:rPr>
              <w:t>3533599  18537736625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962" w:type="dxa"/>
            <w:tcBorders>
              <w:bottom w:val="single" w:color="auto" w:sz="6" w:space="0"/>
            </w:tcBorders>
            <w:noWrap w:val="0"/>
            <w:vAlign w:val="center"/>
          </w:tcPr>
          <w:p>
            <w:pPr>
              <w:snapToGrid w:val="0"/>
              <w:spacing w:line="360" w:lineRule="auto"/>
              <w:jc w:val="center"/>
              <w:rPr>
                <w:rFonts w:hint="eastAsia" w:ascii="宋体" w:hAnsi="宋体"/>
                <w:sz w:val="24"/>
              </w:rPr>
            </w:pPr>
            <w:r>
              <w:rPr>
                <w:rFonts w:hint="eastAsia" w:ascii="宋体" w:hAnsi="宋体"/>
                <w:sz w:val="24"/>
              </w:rPr>
              <w:t>4</w:t>
            </w:r>
          </w:p>
        </w:tc>
        <w:tc>
          <w:tcPr>
            <w:tcW w:w="7964" w:type="dxa"/>
            <w:tcBorders>
              <w:bottom w:val="single" w:color="auto" w:sz="6" w:space="0"/>
            </w:tcBorders>
            <w:noWrap w:val="0"/>
            <w:vAlign w:val="top"/>
          </w:tcPr>
          <w:p>
            <w:pPr>
              <w:tabs>
                <w:tab w:val="left" w:pos="588"/>
              </w:tabs>
              <w:snapToGrid w:val="0"/>
              <w:spacing w:line="360" w:lineRule="auto"/>
              <w:rPr>
                <w:rFonts w:hint="eastAsia" w:ascii="宋体" w:hAnsi="宋体"/>
                <w:sz w:val="24"/>
                <w:highlight w:val="none"/>
              </w:rPr>
            </w:pPr>
            <w:r>
              <w:rPr>
                <w:rFonts w:hint="eastAsia" w:ascii="宋体" w:hAnsi="宋体"/>
                <w:sz w:val="24"/>
                <w:highlight w:val="none"/>
              </w:rPr>
              <w:t>*磋商供应商资格要求：</w:t>
            </w:r>
          </w:p>
          <w:p>
            <w:pPr>
              <w:spacing w:line="400" w:lineRule="exact"/>
              <w:rPr>
                <w:rFonts w:hint="eastAsia" w:ascii="宋体" w:hAnsi="宋体" w:cs="Times New Roman"/>
                <w:sz w:val="24"/>
              </w:rPr>
            </w:pPr>
            <w:r>
              <w:rPr>
                <w:rFonts w:hint="eastAsia" w:ascii="宋体" w:hAnsi="宋体" w:cs="Times New Roman"/>
                <w:sz w:val="24"/>
              </w:rPr>
              <w:t>符合《中华人民共和国政府采购法》第二十二条、《中华人民共和国政府采购法实施条例》第十七条规定，提供下列材料：</w:t>
            </w:r>
          </w:p>
          <w:p>
            <w:pPr>
              <w:spacing w:line="400" w:lineRule="exact"/>
              <w:rPr>
                <w:rFonts w:hint="eastAsia" w:ascii="宋体" w:hAnsi="宋体" w:cs="Times New Roman"/>
                <w:sz w:val="24"/>
              </w:rPr>
            </w:pPr>
            <w:r>
              <w:rPr>
                <w:rFonts w:hint="eastAsia" w:ascii="宋体" w:hAnsi="宋体" w:cs="Times New Roman"/>
                <w:sz w:val="24"/>
              </w:rPr>
              <w:t xml:space="preserve">（1）法人或者其他组织的营业执照等证明文件； </w:t>
            </w:r>
          </w:p>
          <w:p>
            <w:pPr>
              <w:spacing w:line="400" w:lineRule="exact"/>
              <w:rPr>
                <w:rFonts w:hint="eastAsia" w:ascii="宋体" w:hAnsi="宋体" w:cs="Times New Roman"/>
                <w:sz w:val="24"/>
              </w:rPr>
            </w:pPr>
            <w:r>
              <w:rPr>
                <w:rFonts w:hint="eastAsia" w:ascii="宋体" w:hAnsi="宋体" w:cs="Times New Roman"/>
                <w:sz w:val="24"/>
              </w:rPr>
              <w:t>（2）具有良好的商业信誉和健全的财务会计管理制度（提供2018年、2019年经审计的财务报告；如截止到开标时间投标人成立时间不足要求时限的，须提供近三个月内其基本开户银行出具的资信证明）；</w:t>
            </w:r>
          </w:p>
          <w:p>
            <w:pPr>
              <w:spacing w:line="400" w:lineRule="exact"/>
              <w:rPr>
                <w:rFonts w:hint="eastAsia" w:ascii="宋体" w:hAnsi="宋体" w:cs="Times New Roman"/>
                <w:sz w:val="24"/>
              </w:rPr>
            </w:pPr>
            <w:r>
              <w:rPr>
                <w:rFonts w:hint="eastAsia" w:ascii="宋体" w:hAnsi="宋体" w:cs="Times New Roman"/>
                <w:sz w:val="24"/>
              </w:rPr>
              <w:t>（3）具有履行合同所必须的设备和专业技术能力；</w:t>
            </w:r>
            <w:r>
              <w:rPr>
                <w:rFonts w:hint="eastAsia" w:ascii="宋体" w:hAnsi="宋体" w:cs="Times New Roman"/>
                <w:sz w:val="24"/>
                <w:highlight w:val="none"/>
              </w:rPr>
              <w:t>（提供相应证明材料）</w:t>
            </w:r>
            <w:r>
              <w:rPr>
                <w:rFonts w:hint="eastAsia" w:ascii="宋体" w:hAnsi="宋体" w:cs="Times New Roman"/>
                <w:sz w:val="24"/>
              </w:rPr>
              <w:t>；</w:t>
            </w:r>
          </w:p>
          <w:p>
            <w:pPr>
              <w:spacing w:line="400" w:lineRule="exact"/>
              <w:rPr>
                <w:rFonts w:hint="eastAsia" w:ascii="宋体" w:hAnsi="宋体" w:cs="Times New Roman"/>
                <w:sz w:val="24"/>
              </w:rPr>
            </w:pPr>
            <w:r>
              <w:rPr>
                <w:rFonts w:hint="eastAsia" w:ascii="宋体" w:hAnsi="宋体" w:cs="Times New Roman"/>
                <w:sz w:val="24"/>
              </w:rPr>
              <w:t>（4）有依法缴纳税收和社会保障资金的良好记录（提供2019年7月以来任意连续3个月纳税和社保证明材料&lt;依法免税企业，应提供相关证明文件&gt;）；</w:t>
            </w:r>
          </w:p>
          <w:p>
            <w:pPr>
              <w:spacing w:line="400" w:lineRule="exact"/>
              <w:rPr>
                <w:rFonts w:hint="eastAsia" w:ascii="宋体" w:hAnsi="宋体" w:cs="Times New Roman"/>
                <w:sz w:val="24"/>
              </w:rPr>
            </w:pPr>
            <w:r>
              <w:rPr>
                <w:rFonts w:hint="eastAsia" w:ascii="宋体" w:hAnsi="宋体" w:cs="Times New Roman"/>
                <w:sz w:val="24"/>
              </w:rPr>
              <w:t>（5）参加政府采购活动前三年内，在经营活动中没有重大违法记录。（</w:t>
            </w:r>
            <w:r>
              <w:rPr>
                <w:rFonts w:hint="eastAsia" w:ascii="宋体" w:hAnsi="宋体" w:cs="Times New Roman"/>
                <w:sz w:val="24"/>
                <w:lang w:eastAsia="zh-CN"/>
              </w:rPr>
              <w:t>供应商</w:t>
            </w:r>
            <w:r>
              <w:rPr>
                <w:rFonts w:hint="eastAsia" w:ascii="宋体" w:hAnsi="宋体" w:cs="Times New Roman"/>
                <w:sz w:val="24"/>
              </w:rPr>
              <w:t>需提供近三年无重大违法记录的书面声明。）</w:t>
            </w:r>
          </w:p>
          <w:p>
            <w:pPr>
              <w:spacing w:line="360" w:lineRule="auto"/>
              <w:rPr>
                <w:rFonts w:hint="eastAsia" w:ascii="宋体" w:hAnsi="宋体"/>
                <w:color w:val="00B0F0"/>
                <w:sz w:val="24"/>
                <w:szCs w:val="24"/>
              </w:rPr>
            </w:pPr>
            <w:r>
              <w:rPr>
                <w:rFonts w:hint="eastAsia" w:ascii="宋体" w:hAnsi="宋体" w:cs="Times New Roman"/>
                <w:sz w:val="24"/>
              </w:rPr>
              <w:t>（6）</w:t>
            </w:r>
            <w:r>
              <w:rPr>
                <w:rFonts w:hint="eastAsia" w:ascii="宋体" w:hAnsi="宋体"/>
                <w:color w:val="000000"/>
                <w:sz w:val="24"/>
              </w:rPr>
              <w:t>根据《关于在政府采购活动中查询及使用信用记录有关问题的通知》(财库[2016]125号)的规定，采购代理机构将通过“信用中国”网站（http://www.creditchina.gov.cn/），“中国政府采购网”（www.ccgp.gov.cn）查询相关主体信用记录。查询内容为在“信用中国”网站中查询“失信被执行人”和“重大税收违法案件当事人名单”、“政府采购严重违法失信行为记录名单”，无以上记录的供应商为合格供应商。本项目信用记录截止时间为</w:t>
            </w:r>
            <w:r>
              <w:rPr>
                <w:rFonts w:hint="eastAsia" w:ascii="宋体" w:hAnsi="宋体"/>
                <w:color w:val="000000"/>
                <w:sz w:val="24"/>
                <w:lang w:eastAsia="zh-CN"/>
              </w:rPr>
              <w:t>响应文件递交</w:t>
            </w:r>
            <w:r>
              <w:rPr>
                <w:rFonts w:hint="eastAsia" w:ascii="宋体" w:hAnsi="宋体"/>
                <w:color w:val="000000"/>
                <w:sz w:val="24"/>
              </w:rPr>
              <w:t>截止时间；</w:t>
            </w:r>
          </w:p>
          <w:p>
            <w:pPr>
              <w:spacing w:line="400" w:lineRule="exact"/>
              <w:rPr>
                <w:rFonts w:hint="eastAsia" w:ascii="宋体" w:hAnsi="宋体" w:cs="Times New Roman"/>
                <w:sz w:val="24"/>
              </w:rPr>
            </w:pPr>
            <w:r>
              <w:rPr>
                <w:rFonts w:hint="eastAsia" w:ascii="宋体" w:hAnsi="宋体" w:cs="Times New Roman"/>
                <w:sz w:val="24"/>
              </w:rPr>
              <w:t>（7）与采购人、采购人就本次采购的项目委托的</w:t>
            </w:r>
            <w:r>
              <w:rPr>
                <w:rFonts w:hint="eastAsia" w:ascii="宋体" w:hAnsi="宋体" w:cs="Times New Roman"/>
                <w:sz w:val="24"/>
                <w:lang w:eastAsia="zh-CN"/>
              </w:rPr>
              <w:t>采购</w:t>
            </w:r>
            <w:r>
              <w:rPr>
                <w:rFonts w:hint="eastAsia" w:ascii="宋体" w:hAnsi="宋体" w:cs="Times New Roman"/>
                <w:sz w:val="24"/>
              </w:rPr>
              <w:t>代理机构以及上述机构的附属机构没有行政或经济关联；</w:t>
            </w:r>
          </w:p>
          <w:p>
            <w:pPr>
              <w:spacing w:line="400" w:lineRule="exact"/>
              <w:rPr>
                <w:rFonts w:hint="eastAsia" w:ascii="宋体" w:hAnsi="宋体" w:cs="Times New Roman"/>
                <w:sz w:val="24"/>
              </w:rPr>
            </w:pPr>
            <w:r>
              <w:rPr>
                <w:rFonts w:hint="eastAsia" w:ascii="宋体" w:hAnsi="宋体" w:cs="Times New Roman"/>
                <w:sz w:val="24"/>
                <w:lang w:val="en-US" w:eastAsia="zh-CN"/>
              </w:rPr>
              <w:t>3.</w:t>
            </w:r>
            <w:r>
              <w:rPr>
                <w:rFonts w:hint="eastAsia" w:ascii="宋体" w:hAnsi="宋体" w:cs="Times New Roman"/>
                <w:sz w:val="24"/>
              </w:rPr>
              <w:t>2本次</w:t>
            </w:r>
            <w:r>
              <w:rPr>
                <w:rFonts w:hint="eastAsia" w:ascii="宋体" w:hAnsi="宋体" w:cs="Times New Roman"/>
                <w:sz w:val="24"/>
                <w:lang w:eastAsia="zh-CN"/>
              </w:rPr>
              <w:t>采购</w:t>
            </w:r>
            <w:r>
              <w:rPr>
                <w:rFonts w:hint="eastAsia" w:ascii="宋体" w:hAnsi="宋体" w:cs="Times New Roman"/>
                <w:sz w:val="24"/>
              </w:rPr>
              <w:t>不接受联合体投标，中标后不得分包与转包。</w:t>
            </w:r>
          </w:p>
          <w:p>
            <w:pPr>
              <w:spacing w:line="400" w:lineRule="exact"/>
              <w:rPr>
                <w:rFonts w:hint="eastAsia" w:ascii="宋体" w:hAnsi="宋体"/>
                <w:sz w:val="24"/>
              </w:rPr>
            </w:pPr>
            <w:r>
              <w:rPr>
                <w:rFonts w:hint="eastAsia" w:ascii="宋体" w:hAnsi="宋体" w:cs="Times New Roman"/>
                <w:sz w:val="24"/>
              </w:rPr>
              <w:t>3</w:t>
            </w:r>
            <w:r>
              <w:rPr>
                <w:rFonts w:hint="eastAsia" w:ascii="宋体" w:hAnsi="宋体" w:cs="Times New Roman"/>
                <w:sz w:val="24"/>
                <w:lang w:val="en-US" w:eastAsia="zh-CN"/>
              </w:rPr>
              <w:t>.3</w:t>
            </w:r>
            <w:r>
              <w:rPr>
                <w:rFonts w:hint="eastAsia" w:ascii="宋体" w:hAnsi="宋体" w:cs="Times New Roman"/>
                <w:sz w:val="24"/>
              </w:rPr>
              <w:t>单位负责人为同一人或者存在直接控股、管理关系的不同</w:t>
            </w:r>
            <w:r>
              <w:rPr>
                <w:rFonts w:hint="eastAsia" w:ascii="宋体" w:hAnsi="宋体" w:cs="Times New Roman"/>
                <w:sz w:val="24"/>
                <w:lang w:eastAsia="zh-CN"/>
              </w:rPr>
              <w:t>供应商</w:t>
            </w:r>
            <w:r>
              <w:rPr>
                <w:rFonts w:hint="eastAsia" w:ascii="宋体" w:hAnsi="宋体" w:cs="Times New Roman"/>
                <w:sz w:val="24"/>
              </w:rPr>
              <w:t>，不得参加同一合同项下的政府采购活动。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962" w:type="dxa"/>
            <w:tcBorders>
              <w:bottom w:val="single" w:color="auto" w:sz="6" w:space="0"/>
            </w:tcBorders>
            <w:noWrap w:val="0"/>
            <w:vAlign w:val="center"/>
          </w:tcPr>
          <w:p>
            <w:pPr>
              <w:snapToGrid w:val="0"/>
              <w:spacing w:line="360" w:lineRule="auto"/>
              <w:jc w:val="center"/>
              <w:rPr>
                <w:rFonts w:hint="eastAsia" w:ascii="宋体" w:hAnsi="宋体"/>
                <w:sz w:val="24"/>
              </w:rPr>
            </w:pPr>
            <w:r>
              <w:rPr>
                <w:rFonts w:hint="eastAsia" w:ascii="宋体" w:hAnsi="宋体"/>
                <w:sz w:val="24"/>
              </w:rPr>
              <w:t>5</w:t>
            </w:r>
          </w:p>
        </w:tc>
        <w:tc>
          <w:tcPr>
            <w:tcW w:w="7964" w:type="dxa"/>
            <w:tcBorders>
              <w:bottom w:val="single" w:color="auto" w:sz="6" w:space="0"/>
            </w:tcBorders>
            <w:noWrap w:val="0"/>
            <w:vAlign w:val="top"/>
          </w:tcPr>
          <w:p>
            <w:pPr>
              <w:snapToGrid w:val="0"/>
              <w:spacing w:line="360" w:lineRule="auto"/>
              <w:rPr>
                <w:rFonts w:hint="eastAsia" w:ascii="宋体" w:hAnsi="宋体"/>
                <w:sz w:val="24"/>
              </w:rPr>
            </w:pPr>
            <w:r>
              <w:rPr>
                <w:rFonts w:hint="eastAsia" w:ascii="宋体" w:hAnsi="宋体"/>
                <w:sz w:val="24"/>
              </w:rPr>
              <w:t>语言：中文，磋商供应商提供的外文资料应附有相应的中文译本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65" w:hRule="atLeast"/>
          <w:jc w:val="center"/>
        </w:trPr>
        <w:tc>
          <w:tcPr>
            <w:tcW w:w="8926" w:type="dxa"/>
            <w:gridSpan w:val="2"/>
            <w:noWrap w:val="0"/>
            <w:vAlign w:val="center"/>
          </w:tcPr>
          <w:p>
            <w:pPr>
              <w:snapToGrid w:val="0"/>
              <w:spacing w:line="360" w:lineRule="auto"/>
              <w:jc w:val="center"/>
              <w:rPr>
                <w:rFonts w:hint="eastAsia" w:ascii="宋体" w:hAnsi="宋体"/>
                <w:b/>
                <w:bCs/>
                <w:sz w:val="24"/>
              </w:rPr>
            </w:pPr>
            <w:r>
              <w:rPr>
                <w:rFonts w:hint="eastAsia" w:ascii="宋体" w:hAnsi="宋体"/>
                <w:b/>
                <w:bCs/>
                <w:sz w:val="24"/>
              </w:rPr>
              <w:t>投  标  报  价  和  货  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962" w:type="dxa"/>
            <w:noWrap w:val="0"/>
            <w:vAlign w:val="center"/>
          </w:tcPr>
          <w:p>
            <w:pPr>
              <w:snapToGrid w:val="0"/>
              <w:spacing w:line="360" w:lineRule="auto"/>
              <w:jc w:val="center"/>
              <w:rPr>
                <w:rFonts w:hint="eastAsia" w:ascii="宋体" w:hAnsi="宋体"/>
                <w:sz w:val="24"/>
                <w:highlight w:val="none"/>
              </w:rPr>
            </w:pPr>
            <w:r>
              <w:rPr>
                <w:rFonts w:hint="eastAsia" w:ascii="宋体" w:hAnsi="宋体"/>
                <w:sz w:val="24"/>
                <w:highlight w:val="none"/>
              </w:rPr>
              <w:t>6</w:t>
            </w:r>
          </w:p>
        </w:tc>
        <w:tc>
          <w:tcPr>
            <w:tcW w:w="7964" w:type="dxa"/>
            <w:noWrap w:val="0"/>
            <w:vAlign w:val="top"/>
          </w:tcPr>
          <w:p>
            <w:pPr>
              <w:snapToGrid w:val="0"/>
              <w:spacing w:after="0" w:line="460" w:lineRule="exact"/>
              <w:jc w:val="left"/>
              <w:rPr>
                <w:rFonts w:hint="eastAsia" w:ascii="宋体" w:hAnsi="宋体"/>
                <w:sz w:val="24"/>
                <w:highlight w:val="none"/>
              </w:rPr>
            </w:pPr>
            <w:r>
              <w:rPr>
                <w:rFonts w:hint="eastAsia" w:ascii="宋体" w:hAnsi="宋体"/>
                <w:sz w:val="24"/>
                <w:highlight w:val="none"/>
              </w:rPr>
              <w:t>磋商报价为：目的地交货价（含货物运保费、安装调试培训、售后服务等相关费用）。</w:t>
            </w:r>
          </w:p>
          <w:p>
            <w:pPr>
              <w:snapToGrid/>
              <w:spacing w:line="460" w:lineRule="exact"/>
              <w:rPr>
                <w:rFonts w:hint="eastAsia" w:ascii="宋体" w:hAnsi="宋体"/>
                <w:sz w:val="24"/>
                <w:highlight w:val="none"/>
              </w:rPr>
            </w:pPr>
            <w:r>
              <w:rPr>
                <w:rFonts w:hint="eastAsia" w:ascii="宋体" w:hAnsi="宋体"/>
                <w:sz w:val="24"/>
                <w:highlight w:val="none"/>
              </w:rPr>
              <w:t>相关费用（由成交供应商承担的费用）：包括运保费、伴随服务费和代理服务费。</w:t>
            </w:r>
          </w:p>
          <w:p>
            <w:pPr>
              <w:rPr>
                <w:rFonts w:hint="eastAsia" w:ascii="宋体" w:hAnsi="宋体"/>
                <w:sz w:val="24"/>
                <w:highlight w:val="none"/>
              </w:rPr>
            </w:pPr>
            <w:r>
              <w:rPr>
                <w:rFonts w:hint="eastAsia" w:ascii="宋体" w:hAnsi="宋体"/>
                <w:sz w:val="24"/>
                <w:highlight w:val="none"/>
              </w:rPr>
              <w:t>代理服务费：依据(</w:t>
            </w:r>
            <w:r>
              <w:rPr>
                <w:rFonts w:ascii="宋体" w:hAnsi="宋体"/>
                <w:sz w:val="24"/>
                <w:highlight w:val="none"/>
              </w:rPr>
              <w:t>国家计委计价格[2002]1980号文件</w:t>
            </w:r>
            <w:r>
              <w:rPr>
                <w:rFonts w:hint="eastAsia" w:ascii="宋体" w:hAnsi="宋体"/>
                <w:sz w:val="24"/>
                <w:highlight w:val="none"/>
              </w:rPr>
              <w:t>)规定按照预算金额向成交人收取代理服务费。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62" w:type="dxa"/>
            <w:noWrap w:val="0"/>
            <w:vAlign w:val="center"/>
          </w:tcPr>
          <w:p>
            <w:pPr>
              <w:snapToGrid w:val="0"/>
              <w:spacing w:line="360" w:lineRule="auto"/>
              <w:jc w:val="center"/>
              <w:rPr>
                <w:rFonts w:hint="eastAsia" w:ascii="宋体" w:hAnsi="宋体"/>
                <w:sz w:val="24"/>
              </w:rPr>
            </w:pPr>
            <w:r>
              <w:rPr>
                <w:rFonts w:hint="eastAsia" w:ascii="宋体" w:hAnsi="宋体"/>
                <w:sz w:val="24"/>
              </w:rPr>
              <w:t>7</w:t>
            </w:r>
          </w:p>
        </w:tc>
        <w:tc>
          <w:tcPr>
            <w:tcW w:w="7964" w:type="dxa"/>
            <w:noWrap w:val="0"/>
            <w:vAlign w:val="center"/>
          </w:tcPr>
          <w:p>
            <w:pPr>
              <w:tabs>
                <w:tab w:val="left" w:pos="692"/>
              </w:tabs>
              <w:snapToGrid w:val="0"/>
              <w:spacing w:line="360" w:lineRule="auto"/>
              <w:rPr>
                <w:rFonts w:hint="eastAsia" w:ascii="宋体" w:hAnsi="宋体"/>
                <w:sz w:val="24"/>
              </w:rPr>
            </w:pPr>
            <w:r>
              <w:rPr>
                <w:rFonts w:hint="eastAsia" w:ascii="宋体" w:hAnsi="宋体"/>
                <w:sz w:val="24"/>
              </w:rPr>
              <w:t>磋商货币：人民币。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8926" w:type="dxa"/>
            <w:gridSpan w:val="2"/>
            <w:noWrap w:val="0"/>
            <w:vAlign w:val="center"/>
          </w:tcPr>
          <w:p>
            <w:pPr>
              <w:snapToGrid w:val="0"/>
              <w:spacing w:line="360" w:lineRule="auto"/>
              <w:jc w:val="center"/>
              <w:rPr>
                <w:rFonts w:hint="eastAsia" w:ascii="宋体" w:hAnsi="宋体"/>
                <w:b/>
                <w:bCs/>
                <w:sz w:val="24"/>
              </w:rPr>
            </w:pPr>
            <w:r>
              <w:rPr>
                <w:rFonts w:hint="eastAsia" w:ascii="宋体" w:hAnsi="宋体"/>
                <w:b/>
                <w:bCs/>
                <w:sz w:val="24"/>
              </w:rPr>
              <w:t>磋商响应文件的编制和递交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62" w:type="dxa"/>
            <w:noWrap w:val="0"/>
            <w:vAlign w:val="center"/>
          </w:tcPr>
          <w:p>
            <w:pPr>
              <w:snapToGrid w:val="0"/>
              <w:spacing w:line="360" w:lineRule="auto"/>
              <w:jc w:val="center"/>
              <w:rPr>
                <w:rFonts w:hint="eastAsia" w:ascii="宋体" w:hAnsi="宋体"/>
                <w:sz w:val="24"/>
              </w:rPr>
            </w:pPr>
            <w:r>
              <w:rPr>
                <w:rFonts w:hint="eastAsia" w:ascii="宋体" w:hAnsi="宋体"/>
                <w:sz w:val="24"/>
              </w:rPr>
              <w:t>8</w:t>
            </w:r>
          </w:p>
        </w:tc>
        <w:tc>
          <w:tcPr>
            <w:tcW w:w="7964" w:type="dxa"/>
            <w:tcBorders>
              <w:top w:val="single" w:color="auto" w:sz="12" w:space="0"/>
            </w:tcBorders>
            <w:noWrap w:val="0"/>
            <w:vAlign w:val="top"/>
          </w:tcPr>
          <w:p>
            <w:pPr>
              <w:snapToGrid w:val="0"/>
              <w:spacing w:line="360" w:lineRule="auto"/>
              <w:rPr>
                <w:rFonts w:hint="eastAsia" w:ascii="宋体" w:hAnsi="宋体"/>
                <w:sz w:val="24"/>
              </w:rPr>
            </w:pPr>
            <w:r>
              <w:rPr>
                <w:rFonts w:hint="eastAsia" w:ascii="宋体" w:hAnsi="宋体"/>
                <w:sz w:val="24"/>
              </w:rPr>
              <w:t>*磋商保证金金额：</w:t>
            </w:r>
          </w:p>
          <w:p>
            <w:pPr>
              <w:snapToGrid w:val="0"/>
              <w:spacing w:line="360" w:lineRule="auto"/>
              <w:rPr>
                <w:rFonts w:hint="eastAsia" w:ascii="宋体" w:hAnsi="宋体"/>
                <w:sz w:val="24"/>
              </w:rPr>
            </w:pPr>
            <w:r>
              <w:rPr>
                <w:rFonts w:hint="eastAsia" w:ascii="宋体" w:hAnsi="宋体"/>
                <w:sz w:val="24"/>
              </w:rPr>
              <w:t>根据河南省财政厅关于优化政府采购营商环境有关问题的通知（豫财购（2019）4号），</w:t>
            </w:r>
            <w:r>
              <w:rPr>
                <w:rFonts w:ascii="宋体" w:hAnsi="宋体" w:cs="宋体"/>
                <w:kern w:val="0"/>
                <w:sz w:val="24"/>
              </w:rPr>
              <w:t>本项目不再要求缴纳</w:t>
            </w:r>
            <w:r>
              <w:rPr>
                <w:rFonts w:hint="eastAsia" w:ascii="宋体" w:hAnsi="宋体" w:cs="宋体"/>
                <w:kern w:val="0"/>
                <w:sz w:val="24"/>
              </w:rPr>
              <w:t>磋商</w:t>
            </w:r>
            <w:r>
              <w:rPr>
                <w:rFonts w:ascii="宋体" w:hAnsi="宋体" w:cs="宋体"/>
                <w:kern w:val="0"/>
                <w:sz w:val="24"/>
              </w:rPr>
              <w:t>保证金</w:t>
            </w:r>
            <w:r>
              <w:rPr>
                <w:rFonts w:hint="eastAsia" w:ascii="宋体" w:hAnsi="宋体" w:cs="宋体"/>
                <w:kern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noWrap w:val="0"/>
            <w:vAlign w:val="center"/>
          </w:tcPr>
          <w:p>
            <w:pPr>
              <w:snapToGrid w:val="0"/>
              <w:spacing w:line="360" w:lineRule="auto"/>
              <w:jc w:val="center"/>
              <w:rPr>
                <w:rFonts w:hint="eastAsia" w:ascii="宋体" w:hAnsi="宋体"/>
                <w:sz w:val="24"/>
              </w:rPr>
            </w:pPr>
            <w:r>
              <w:rPr>
                <w:rFonts w:hint="eastAsia" w:ascii="宋体" w:hAnsi="宋体"/>
                <w:sz w:val="24"/>
              </w:rPr>
              <w:t>9</w:t>
            </w:r>
          </w:p>
        </w:tc>
        <w:tc>
          <w:tcPr>
            <w:tcW w:w="7964" w:type="dxa"/>
            <w:noWrap w:val="0"/>
            <w:vAlign w:val="center"/>
          </w:tcPr>
          <w:p>
            <w:pPr>
              <w:snapToGrid w:val="0"/>
              <w:spacing w:line="360" w:lineRule="auto"/>
              <w:rPr>
                <w:rFonts w:hint="eastAsia" w:ascii="宋体" w:hAnsi="宋体"/>
                <w:sz w:val="24"/>
              </w:rPr>
            </w:pPr>
            <w:r>
              <w:rPr>
                <w:rFonts w:hint="eastAsia" w:ascii="宋体" w:hAnsi="宋体"/>
                <w:sz w:val="24"/>
              </w:rPr>
              <w:t>*磋商响应文件有效期：从磋商之日起60天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62" w:type="dxa"/>
            <w:noWrap w:val="0"/>
            <w:vAlign w:val="center"/>
          </w:tcPr>
          <w:p>
            <w:pPr>
              <w:snapToGrid w:val="0"/>
              <w:spacing w:line="360" w:lineRule="auto"/>
              <w:jc w:val="center"/>
              <w:rPr>
                <w:rFonts w:hint="eastAsia" w:ascii="宋体" w:hAnsi="宋体"/>
                <w:sz w:val="24"/>
              </w:rPr>
            </w:pPr>
            <w:r>
              <w:rPr>
                <w:rFonts w:hint="eastAsia" w:ascii="宋体" w:hAnsi="宋体"/>
                <w:sz w:val="24"/>
              </w:rPr>
              <w:t>10</w:t>
            </w:r>
          </w:p>
        </w:tc>
        <w:tc>
          <w:tcPr>
            <w:tcW w:w="7964" w:type="dxa"/>
            <w:noWrap w:val="0"/>
            <w:vAlign w:val="center"/>
          </w:tcPr>
          <w:p>
            <w:pPr>
              <w:spacing w:line="360" w:lineRule="auto"/>
              <w:rPr>
                <w:rFonts w:hint="eastAsia" w:ascii="宋体" w:hAnsi="宋体"/>
                <w:b/>
                <w:sz w:val="24"/>
              </w:rPr>
            </w:pPr>
            <w:r>
              <w:rPr>
                <w:rFonts w:hint="eastAsia" w:ascii="宋体" w:hAnsi="宋体"/>
                <w:b/>
                <w:sz w:val="24"/>
              </w:rPr>
              <w:t>*响应文件递交：</w:t>
            </w:r>
          </w:p>
          <w:p>
            <w:pPr>
              <w:snapToGrid w:val="0"/>
              <w:spacing w:line="360" w:lineRule="auto"/>
              <w:rPr>
                <w:rFonts w:hint="eastAsia" w:ascii="宋体" w:hAnsi="宋体"/>
                <w:sz w:val="24"/>
              </w:rPr>
            </w:pPr>
            <w:r>
              <w:rPr>
                <w:rFonts w:hint="eastAsia" w:ascii="宋体" w:hAnsi="宋体"/>
                <w:sz w:val="24"/>
              </w:rPr>
              <w:t>1.供应商</w:t>
            </w:r>
            <w:r>
              <w:rPr>
                <w:rFonts w:ascii="宋体" w:hAnsi="宋体"/>
                <w:sz w:val="24"/>
              </w:rPr>
              <w:t>须在</w:t>
            </w:r>
            <w:r>
              <w:rPr>
                <w:rFonts w:hint="eastAsia" w:ascii="宋体" w:hAnsi="宋体"/>
                <w:sz w:val="24"/>
              </w:rPr>
              <w:t>响应性</w:t>
            </w:r>
            <w:r>
              <w:rPr>
                <w:rFonts w:ascii="宋体" w:hAnsi="宋体"/>
                <w:sz w:val="24"/>
              </w:rPr>
              <w:t>文件递交截止时间前制作并提交</w:t>
            </w:r>
            <w:r>
              <w:rPr>
                <w:rFonts w:hint="eastAsia" w:ascii="宋体" w:hAnsi="宋体"/>
                <w:sz w:val="24"/>
              </w:rPr>
              <w:t>响应性</w:t>
            </w:r>
            <w:r>
              <w:rPr>
                <w:rFonts w:ascii="宋体" w:hAnsi="宋体"/>
                <w:sz w:val="24"/>
              </w:rPr>
              <w:t>文件。加密的电子</w:t>
            </w:r>
            <w:r>
              <w:rPr>
                <w:rFonts w:hint="eastAsia" w:ascii="宋体" w:hAnsi="宋体"/>
                <w:sz w:val="24"/>
              </w:rPr>
              <w:t>响应性</w:t>
            </w:r>
            <w:r>
              <w:rPr>
                <w:rFonts w:ascii="宋体" w:hAnsi="宋体"/>
                <w:sz w:val="24"/>
              </w:rPr>
              <w:t>文件（*.hntf 格式）,应在</w:t>
            </w:r>
            <w:r>
              <w:rPr>
                <w:rFonts w:hint="eastAsia" w:ascii="宋体" w:hAnsi="宋体"/>
                <w:sz w:val="24"/>
              </w:rPr>
              <w:t>响应性</w:t>
            </w:r>
            <w:r>
              <w:rPr>
                <w:rFonts w:ascii="宋体" w:hAnsi="宋体"/>
                <w:sz w:val="24"/>
              </w:rPr>
              <w:t>文件截止时间前通过“河南省公共资源交易中心（www.hnggzy.com）”电子交易平台内上传</w:t>
            </w:r>
            <w:r>
              <w:rPr>
                <w:rFonts w:hint="eastAsia" w:ascii="宋体" w:hAnsi="宋体"/>
                <w:sz w:val="24"/>
              </w:rPr>
              <w:t>。</w:t>
            </w:r>
          </w:p>
          <w:p>
            <w:pPr>
              <w:spacing w:line="360" w:lineRule="auto"/>
              <w:rPr>
                <w:rFonts w:ascii="宋体" w:hAnsi="宋体"/>
                <w:sz w:val="24"/>
                <w:highlight w:val="none"/>
              </w:rPr>
            </w:pPr>
            <w:r>
              <w:rPr>
                <w:rFonts w:hint="eastAsia" w:ascii="宋体" w:hAnsi="宋体"/>
                <w:sz w:val="24"/>
              </w:rPr>
              <w:t>2.竞争性</w:t>
            </w:r>
            <w:r>
              <w:rPr>
                <w:rFonts w:hint="eastAsia" w:ascii="宋体" w:hAnsi="宋体"/>
                <w:sz w:val="24"/>
                <w:lang w:eastAsia="zh-CN"/>
              </w:rPr>
              <w:t>磋商</w:t>
            </w:r>
            <w:r>
              <w:rPr>
                <w:rFonts w:hint="eastAsia" w:ascii="宋体" w:hAnsi="宋体"/>
                <w:sz w:val="24"/>
              </w:rPr>
              <w:t>响应文件递交的截止时间</w:t>
            </w:r>
            <w:r>
              <w:rPr>
                <w:rFonts w:hint="eastAsia" w:ascii="宋体" w:hAnsi="宋体"/>
                <w:color w:val="auto"/>
                <w:sz w:val="24"/>
              </w:rPr>
              <w:t>为</w:t>
            </w:r>
            <w:r>
              <w:rPr>
                <w:rFonts w:hint="eastAsia" w:ascii="宋体" w:hAnsi="宋体"/>
                <w:color w:val="auto"/>
                <w:sz w:val="24"/>
                <w:lang w:eastAsia="zh-CN"/>
              </w:rPr>
              <w:t>2020</w:t>
            </w:r>
            <w:r>
              <w:rPr>
                <w:rFonts w:hint="eastAsia" w:ascii="宋体" w:hAnsi="宋体"/>
                <w:color w:val="auto"/>
                <w:sz w:val="24"/>
                <w:highlight w:val="none"/>
                <w:lang w:eastAsia="zh-CN"/>
              </w:rPr>
              <w:t>年08月</w:t>
            </w:r>
            <w:r>
              <w:rPr>
                <w:rFonts w:hint="eastAsia" w:ascii="宋体" w:hAnsi="宋体"/>
                <w:color w:val="auto"/>
                <w:sz w:val="24"/>
                <w:highlight w:val="none"/>
                <w:lang w:val="en-US" w:eastAsia="zh-CN"/>
              </w:rPr>
              <w:t>31</w:t>
            </w:r>
            <w:r>
              <w:rPr>
                <w:rFonts w:hint="eastAsia" w:ascii="宋体" w:hAnsi="宋体"/>
                <w:color w:val="auto"/>
                <w:sz w:val="24"/>
                <w:highlight w:val="none"/>
                <w:lang w:eastAsia="zh-CN"/>
              </w:rPr>
              <w:t xml:space="preserve">日 09时00分 </w:t>
            </w:r>
            <w:r>
              <w:rPr>
                <w:rFonts w:hint="eastAsia" w:ascii="宋体" w:hAnsi="宋体"/>
                <w:sz w:val="24"/>
                <w:highlight w:val="none"/>
              </w:rPr>
              <w:t>（北京时间）。</w:t>
            </w:r>
          </w:p>
          <w:p>
            <w:pPr>
              <w:spacing w:line="360" w:lineRule="auto"/>
              <w:rPr>
                <w:rFonts w:hint="eastAsia" w:ascii="宋体" w:hAnsi="宋体"/>
                <w:sz w:val="24"/>
              </w:rPr>
            </w:pPr>
            <w:r>
              <w:rPr>
                <w:rFonts w:hint="eastAsia" w:ascii="宋体" w:hAnsi="宋体"/>
                <w:sz w:val="24"/>
              </w:rPr>
              <w:t>3.开启地点：河南省公共资源交易中心</w:t>
            </w:r>
            <w:r>
              <w:rPr>
                <w:rFonts w:hint="eastAsia" w:ascii="宋体" w:hAnsi="宋体"/>
                <w:kern w:val="0"/>
                <w:sz w:val="24"/>
              </w:rPr>
              <w:t>（郑州市农业路东41号投资大厦A座13楼</w:t>
            </w:r>
            <w:r>
              <w:rPr>
                <w:rFonts w:hint="eastAsia" w:ascii="宋体" w:hAnsi="宋体"/>
                <w:sz w:val="24"/>
              </w:rPr>
              <w:t>）</w:t>
            </w:r>
            <w:r>
              <w:rPr>
                <w:rFonts w:hint="eastAsia" w:ascii="宋体" w:hAnsi="宋体"/>
                <w:sz w:val="24"/>
                <w:lang w:eastAsia="zh-CN"/>
              </w:rPr>
              <w:t xml:space="preserve">第15开标室-(2) </w:t>
            </w:r>
            <w:r>
              <w:rPr>
                <w:rFonts w:hint="eastAsia" w:ascii="宋体" w:hAnsi="宋体"/>
                <w:sz w:val="24"/>
              </w:rPr>
              <w:t>。</w:t>
            </w:r>
          </w:p>
          <w:p>
            <w:pPr>
              <w:rPr>
                <w:rFonts w:hint="eastAsia" w:ascii="宋体" w:hAnsi="宋体"/>
                <w:b/>
                <w:sz w:val="24"/>
              </w:rPr>
            </w:pPr>
            <w:r>
              <w:rPr>
                <w:rFonts w:hint="eastAsia" w:ascii="宋体" w:hAnsi="宋体"/>
                <w:sz w:val="24"/>
              </w:rPr>
              <w:t>4.</w:t>
            </w:r>
            <w:r>
              <w:rPr>
                <w:rFonts w:hint="eastAsia" w:ascii="宋体" w:hAnsi="宋体" w:cs="Times New Roman"/>
                <w:b w:val="0"/>
                <w:bCs w:val="0"/>
                <w:sz w:val="24"/>
              </w:rPr>
              <w:t>本项目为竞争性磋商采购，在资格条件符合的前提下，供应商需要进行二次（最后）报价。此项报价在河南省公共资源交易中心系统中进行。各供应商自行准备二次（最后）报价所需的笔记本电脑及上网设备，在交易中心系统规定的时间内未能提交二次（最后）报价的供应商将被视为自动放弃磋商资格。</w:t>
            </w:r>
            <w:r>
              <w:rPr>
                <w:rFonts w:hint="eastAsia" w:ascii="宋体" w:hAnsi="宋体" w:cs="Times New Roman"/>
                <w:b/>
                <w:bCs/>
                <w:sz w:val="24"/>
              </w:rPr>
              <w:t>具体操作流程详见河南省公共资源交易中心网站。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62" w:type="dxa"/>
            <w:noWrap w:val="0"/>
            <w:vAlign w:val="center"/>
          </w:tcPr>
          <w:p>
            <w:pPr>
              <w:snapToGrid w:val="0"/>
              <w:spacing w:line="360" w:lineRule="auto"/>
              <w:jc w:val="center"/>
              <w:rPr>
                <w:rFonts w:hint="eastAsia" w:ascii="宋体" w:hAnsi="宋体"/>
                <w:sz w:val="24"/>
              </w:rPr>
            </w:pPr>
            <w:r>
              <w:rPr>
                <w:rFonts w:hint="eastAsia" w:ascii="宋体" w:hAnsi="宋体"/>
                <w:sz w:val="24"/>
              </w:rPr>
              <w:t>11</w:t>
            </w:r>
          </w:p>
        </w:tc>
        <w:tc>
          <w:tcPr>
            <w:tcW w:w="7964" w:type="dxa"/>
            <w:noWrap w:val="0"/>
            <w:vAlign w:val="center"/>
          </w:tcPr>
          <w:p>
            <w:pPr>
              <w:snapToGrid w:val="0"/>
              <w:spacing w:line="360" w:lineRule="auto"/>
              <w:rPr>
                <w:rFonts w:hint="eastAsia" w:ascii="宋体" w:hAnsi="宋体"/>
                <w:color w:val="auto"/>
                <w:sz w:val="24"/>
              </w:rPr>
            </w:pPr>
            <w:r>
              <w:rPr>
                <w:rFonts w:hint="eastAsia" w:ascii="宋体" w:hAnsi="宋体"/>
                <w:color w:val="auto"/>
                <w:sz w:val="24"/>
              </w:rPr>
              <w:t>资格证明文件：</w:t>
            </w:r>
          </w:p>
          <w:p>
            <w:pPr>
              <w:rPr>
                <w:rFonts w:hint="eastAsia" w:ascii="宋体" w:hAnsi="宋体" w:cs="Times New Roman"/>
                <w:sz w:val="24"/>
              </w:rPr>
            </w:pPr>
            <w:r>
              <w:rPr>
                <w:rFonts w:hint="eastAsia" w:ascii="宋体" w:hAnsi="宋体"/>
                <w:sz w:val="24"/>
              </w:rPr>
              <w:t>*</w:t>
            </w:r>
            <w:r>
              <w:rPr>
                <w:rFonts w:hint="eastAsia" w:ascii="宋体" w:hAnsi="宋体" w:cs="Times New Roman"/>
                <w:sz w:val="24"/>
              </w:rPr>
              <w:t xml:space="preserve">1、营业执照； </w:t>
            </w:r>
          </w:p>
          <w:p>
            <w:pPr>
              <w:rPr>
                <w:rFonts w:hint="eastAsia" w:ascii="宋体" w:hAnsi="宋体" w:cs="Times New Roman"/>
                <w:sz w:val="24"/>
              </w:rPr>
            </w:pPr>
            <w:r>
              <w:rPr>
                <w:rFonts w:hint="eastAsia" w:ascii="宋体" w:hAnsi="宋体" w:cs="Times New Roman"/>
                <w:sz w:val="24"/>
              </w:rPr>
              <w:t>*2、法定代表人授权委托书原件；</w:t>
            </w:r>
          </w:p>
          <w:p>
            <w:pPr>
              <w:rPr>
                <w:rFonts w:hint="eastAsia" w:ascii="宋体" w:hAnsi="宋体" w:cs="Times New Roman"/>
                <w:sz w:val="24"/>
              </w:rPr>
            </w:pPr>
            <w:r>
              <w:rPr>
                <w:rFonts w:hint="eastAsia" w:ascii="宋体" w:hAnsi="宋体" w:cs="Times New Roman"/>
                <w:sz w:val="24"/>
              </w:rPr>
              <w:t>*3、供应商参加政府采购活动前三年内在经营活动中没有重大违法记录的书面声明；</w:t>
            </w:r>
          </w:p>
          <w:p>
            <w:pPr>
              <w:rPr>
                <w:rFonts w:hint="eastAsia" w:ascii="宋体" w:hAnsi="宋体" w:cs="Times New Roman"/>
                <w:sz w:val="24"/>
              </w:rPr>
            </w:pPr>
            <w:r>
              <w:rPr>
                <w:rFonts w:hint="eastAsia" w:ascii="宋体" w:hAnsi="宋体" w:cs="Times New Roman"/>
                <w:sz w:val="24"/>
              </w:rPr>
              <w:t>*4、提供2018年、2019年经审计的财务报告；如截止到开标时间投标人成立时间不足要求时限的，须提供近三个月内其基本开户银行出具的资信证明</w:t>
            </w:r>
            <w:r>
              <w:rPr>
                <w:rFonts w:hint="eastAsia" w:ascii="宋体" w:hAnsi="宋体" w:cs="Times New Roman"/>
                <w:sz w:val="24"/>
                <w:lang w:eastAsia="zh-CN"/>
              </w:rPr>
              <w:t>；</w:t>
            </w:r>
            <w:r>
              <w:rPr>
                <w:rFonts w:hint="eastAsia" w:ascii="宋体" w:hAnsi="宋体" w:cs="Times New Roman"/>
                <w:sz w:val="24"/>
              </w:rPr>
              <w:t xml:space="preserve"> </w:t>
            </w:r>
          </w:p>
          <w:p>
            <w:pPr>
              <w:rPr>
                <w:rFonts w:hint="eastAsia" w:ascii="宋体" w:hAnsi="宋体" w:cs="Times New Roman"/>
                <w:sz w:val="24"/>
                <w:lang w:eastAsia="zh-CN"/>
              </w:rPr>
            </w:pPr>
            <w:r>
              <w:rPr>
                <w:rFonts w:hint="eastAsia" w:ascii="宋体" w:hAnsi="宋体" w:cs="Times New Roman"/>
                <w:sz w:val="24"/>
              </w:rPr>
              <w:t>*5、提供2019年7月以来任意连续3个月纳税和社保证明材料&lt;依法免税企业，应提供相关证明文件&gt;</w:t>
            </w:r>
            <w:r>
              <w:rPr>
                <w:rFonts w:hint="eastAsia" w:ascii="宋体" w:hAnsi="宋体" w:cs="Times New Roman"/>
                <w:sz w:val="24"/>
                <w:lang w:eastAsia="zh-CN"/>
              </w:rPr>
              <w:t>；</w:t>
            </w:r>
          </w:p>
          <w:p>
            <w:pPr>
              <w:rPr>
                <w:rFonts w:hint="eastAsia" w:ascii="宋体" w:hAnsi="宋体" w:cs="Times New Roman"/>
                <w:sz w:val="24"/>
              </w:rPr>
            </w:pPr>
            <w:r>
              <w:rPr>
                <w:rFonts w:hint="eastAsia" w:ascii="宋体" w:hAnsi="宋体" w:cs="Times New Roman"/>
                <w:sz w:val="24"/>
              </w:rPr>
              <w:t>*</w:t>
            </w:r>
            <w:r>
              <w:rPr>
                <w:rFonts w:hint="eastAsia" w:ascii="宋体" w:hAnsi="宋体" w:cs="Times New Roman"/>
                <w:sz w:val="24"/>
                <w:lang w:val="en-US" w:eastAsia="zh-CN"/>
              </w:rPr>
              <w:t>6、</w:t>
            </w:r>
            <w:r>
              <w:rPr>
                <w:rFonts w:hint="eastAsia" w:ascii="宋体" w:hAnsi="宋体" w:cs="Times New Roman"/>
                <w:sz w:val="24"/>
              </w:rPr>
              <w:t>反商业贿赂承诺书；</w:t>
            </w:r>
          </w:p>
          <w:p>
            <w:pPr>
              <w:pStyle w:val="36"/>
              <w:ind w:left="0" w:leftChars="0" w:firstLine="0" w:firstLineChars="0"/>
              <w:rPr>
                <w:rFonts w:hint="eastAsia"/>
                <w:highlight w:val="yellow"/>
              </w:rPr>
            </w:pPr>
            <w:r>
              <w:rPr>
                <w:rFonts w:hint="eastAsia" w:ascii="宋体" w:hAnsi="宋体"/>
                <w:sz w:val="24"/>
              </w:rPr>
              <w:t>*</w:t>
            </w:r>
            <w:r>
              <w:rPr>
                <w:rFonts w:hint="eastAsia" w:ascii="宋体" w:hAnsi="宋体"/>
                <w:sz w:val="24"/>
                <w:lang w:val="en-US" w:eastAsia="zh-CN"/>
              </w:rPr>
              <w:t>7、</w:t>
            </w:r>
            <w:r>
              <w:rPr>
                <w:rFonts w:hint="eastAsia" w:ascii="宋体" w:hAnsi="宋体" w:cs="Times New Roman"/>
                <w:color w:val="auto"/>
                <w:sz w:val="24"/>
              </w:rPr>
              <w:t>具有履行合同所必须的设备和专业技术能力</w:t>
            </w:r>
            <w:r>
              <w:rPr>
                <w:rFonts w:hint="eastAsia" w:ascii="宋体" w:hAnsi="宋体" w:cs="Times New Roman"/>
                <w:color w:val="auto"/>
                <w:sz w:val="24"/>
                <w:highlight w:val="none"/>
              </w:rPr>
              <w:t>（提供相应证明材料）</w:t>
            </w:r>
            <w:r>
              <w:rPr>
                <w:rFonts w:hint="eastAsia" w:ascii="宋体" w:hAnsi="宋体" w:cs="Times New Roman"/>
                <w:color w:val="auto"/>
                <w:sz w:val="24"/>
              </w:rPr>
              <w:t>；</w:t>
            </w:r>
          </w:p>
          <w:p>
            <w:pPr>
              <w:tabs>
                <w:tab w:val="left" w:pos="152"/>
                <w:tab w:val="left" w:pos="588"/>
              </w:tabs>
              <w:snapToGrid w:val="0"/>
              <w:spacing w:line="360" w:lineRule="auto"/>
              <w:rPr>
                <w:rFonts w:hint="eastAsia" w:ascii="宋体" w:hAnsi="宋体"/>
                <w:sz w:val="24"/>
              </w:rPr>
            </w:pPr>
            <w:r>
              <w:rPr>
                <w:rFonts w:hint="eastAsia" w:ascii="宋体" w:hAnsi="宋体"/>
                <w:sz w:val="24"/>
                <w:lang w:val="en-US" w:eastAsia="zh-CN"/>
              </w:rPr>
              <w:t>8</w:t>
            </w:r>
            <w:r>
              <w:rPr>
                <w:rFonts w:hint="eastAsia" w:ascii="宋体" w:hAnsi="宋体"/>
                <w:sz w:val="24"/>
              </w:rPr>
              <w:t>、磋商文件中和法律法规规定的资格文件</w:t>
            </w:r>
            <w:r>
              <w:rPr>
                <w:rFonts w:hint="eastAsia" w:ascii="宋体" w:hAnsi="宋体"/>
                <w:bCs/>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62" w:type="dxa"/>
            <w:noWrap w:val="0"/>
            <w:vAlign w:val="center"/>
          </w:tcPr>
          <w:p>
            <w:pPr>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12</w:t>
            </w:r>
          </w:p>
        </w:tc>
        <w:tc>
          <w:tcPr>
            <w:tcW w:w="7964" w:type="dxa"/>
            <w:noWrap w:val="0"/>
            <w:vAlign w:val="center"/>
          </w:tcPr>
          <w:p>
            <w:pPr>
              <w:pStyle w:val="7"/>
              <w:spacing w:after="0" w:line="400" w:lineRule="exact"/>
              <w:ind w:firstLine="0"/>
              <w:rPr>
                <w:rFonts w:hint="eastAsia" w:ascii="宋体" w:hAnsi="宋体"/>
                <w:sz w:val="24"/>
                <w:szCs w:val="24"/>
              </w:rPr>
            </w:pPr>
            <w:r>
              <w:rPr>
                <w:rFonts w:hint="eastAsia" w:ascii="宋体" w:hAnsi="宋体"/>
                <w:sz w:val="24"/>
                <w:szCs w:val="24"/>
              </w:rPr>
              <w:t>技术文件：</w:t>
            </w:r>
          </w:p>
          <w:p>
            <w:pPr>
              <w:spacing w:line="360" w:lineRule="auto"/>
              <w:jc w:val="left"/>
              <w:rPr>
                <w:rFonts w:hint="eastAsia" w:ascii="宋体" w:hAnsi="宋体" w:cs="宋体"/>
                <w:b/>
                <w:sz w:val="24"/>
              </w:rPr>
            </w:pPr>
            <w:r>
              <w:rPr>
                <w:rFonts w:hint="eastAsia" w:ascii="宋体" w:hAnsi="宋体" w:cs="宋体"/>
                <w:b/>
                <w:sz w:val="24"/>
              </w:rPr>
              <w:t>1、</w:t>
            </w:r>
            <w:r>
              <w:rPr>
                <w:rFonts w:hint="eastAsia" w:ascii="宋体" w:hAnsi="宋体" w:cs="宋体"/>
                <w:b/>
                <w:sz w:val="24"/>
                <w:lang w:eastAsia="zh-CN"/>
              </w:rPr>
              <w:t>供应商</w:t>
            </w:r>
            <w:r>
              <w:rPr>
                <w:rFonts w:hint="eastAsia" w:ascii="宋体" w:hAnsi="宋体" w:cs="宋体"/>
                <w:b/>
                <w:sz w:val="24"/>
              </w:rPr>
              <w:t>提供详细描述产品性能的技术支持资料供评标参考，并保证这些技术证明材料与投标货物的真实功能、性能参数的一致性。如不提供或提供的不完整将是自己的责任，承担为投标带来的不利因素。</w:t>
            </w:r>
          </w:p>
          <w:p>
            <w:pPr>
              <w:pStyle w:val="42"/>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40" w:lineRule="exact"/>
              <w:ind w:leftChars="0"/>
              <w:textAlignment w:val="auto"/>
              <w:rPr>
                <w:rFonts w:hint="eastAsia" w:ascii="宋体" w:hAnsi="宋体" w:cs="宋体"/>
                <w:sz w:val="24"/>
                <w:highlight w:val="yellow"/>
              </w:rPr>
            </w:pPr>
            <w:r>
              <w:rPr>
                <w:rFonts w:hint="eastAsia" w:ascii="宋体" w:hAnsi="宋体" w:cs="宋体"/>
                <w:sz w:val="24"/>
              </w:rPr>
              <w:t>*2、</w:t>
            </w:r>
            <w:r>
              <w:rPr>
                <w:rFonts w:hint="eastAsia" w:ascii="宋体" w:hAnsi="宋体" w:cs="宋体"/>
                <w:sz w:val="24"/>
                <w:highlight w:val="none"/>
              </w:rPr>
              <w:t>投标产品中如有政府采购强制采购产品的，</w:t>
            </w:r>
            <w:r>
              <w:rPr>
                <w:rFonts w:hint="eastAsia" w:ascii="宋体" w:hAnsi="宋体"/>
                <w:sz w:val="24"/>
                <w:highlight w:val="none"/>
                <w:lang w:val="en-US" w:eastAsia="zh-CN"/>
              </w:rPr>
              <w:t>供应商提供该产品节能证书或其他证明材料</w:t>
            </w:r>
            <w:r>
              <w:rPr>
                <w:rFonts w:hint="eastAsia" w:ascii="宋体" w:hAnsi="宋体" w:cs="宋体"/>
                <w:sz w:val="24"/>
                <w:highlight w:val="none"/>
              </w:rPr>
              <w:t>。</w:t>
            </w:r>
          </w:p>
          <w:p>
            <w:pPr>
              <w:spacing w:line="360" w:lineRule="auto"/>
              <w:jc w:val="left"/>
              <w:rPr>
                <w:rFonts w:hint="eastAsia" w:ascii="宋体" w:hAnsi="宋体" w:cs="宋体"/>
                <w:sz w:val="24"/>
              </w:rPr>
            </w:pPr>
            <w:r>
              <w:rPr>
                <w:rFonts w:hint="eastAsia" w:ascii="宋体" w:hAnsi="宋体" w:cs="宋体"/>
                <w:sz w:val="24"/>
              </w:rPr>
              <w:t>3、投标货物的制造、安装和检验标准。</w:t>
            </w:r>
          </w:p>
          <w:p>
            <w:pPr>
              <w:spacing w:line="360" w:lineRule="auto"/>
              <w:jc w:val="left"/>
              <w:rPr>
                <w:rFonts w:hint="eastAsia" w:ascii="宋体" w:hAnsi="宋体" w:cs="宋体"/>
                <w:sz w:val="24"/>
              </w:rPr>
            </w:pPr>
            <w:r>
              <w:rPr>
                <w:rFonts w:hint="eastAsia" w:ascii="宋体" w:hAnsi="宋体" w:cs="宋体"/>
                <w:sz w:val="24"/>
              </w:rPr>
              <w:t>4、按技术规格规定提供备件和专用工具清单。</w:t>
            </w:r>
          </w:p>
          <w:p>
            <w:pPr>
              <w:spacing w:line="360" w:lineRule="auto"/>
              <w:jc w:val="left"/>
              <w:rPr>
                <w:rFonts w:hint="eastAsia" w:ascii="宋体" w:hAnsi="宋体" w:cs="宋体"/>
                <w:sz w:val="24"/>
              </w:rPr>
            </w:pPr>
            <w:r>
              <w:rPr>
                <w:rFonts w:hint="eastAsia" w:ascii="宋体" w:hAnsi="宋体" w:cs="宋体"/>
                <w:sz w:val="24"/>
              </w:rPr>
              <w:t>5、质保期外运行所需的随机备件、备品备件和易损件， 应详细列出名称、规格、数量及单价。</w:t>
            </w:r>
          </w:p>
          <w:p>
            <w:pPr>
              <w:spacing w:line="360" w:lineRule="auto"/>
              <w:jc w:val="left"/>
              <w:rPr>
                <w:rFonts w:hint="eastAsia" w:ascii="宋体" w:hAnsi="宋体" w:cs="宋体"/>
                <w:sz w:val="24"/>
              </w:rPr>
            </w:pPr>
            <w:r>
              <w:rPr>
                <w:rFonts w:hint="eastAsia" w:ascii="宋体" w:hAnsi="宋体" w:cs="宋体"/>
                <w:sz w:val="24"/>
              </w:rPr>
              <w:t>6、制造商提供制造、检测、检验标准。</w:t>
            </w:r>
          </w:p>
          <w:p>
            <w:pPr>
              <w:spacing w:line="360" w:lineRule="auto"/>
              <w:jc w:val="left"/>
              <w:rPr>
                <w:rFonts w:hint="eastAsia" w:ascii="宋体" w:hAnsi="宋体" w:cs="宋体"/>
                <w:sz w:val="24"/>
              </w:rPr>
            </w:pPr>
            <w:r>
              <w:rPr>
                <w:rFonts w:hint="eastAsia" w:ascii="宋体" w:hAnsi="宋体" w:cs="宋体"/>
                <w:sz w:val="24"/>
              </w:rPr>
              <w:t>7、提供设备生产、检验、包装、运输、报关、仓储、交货、安装、编程调试、验收、培训、维保服务等方面的工作及质量保证体系文件和资料。</w:t>
            </w:r>
          </w:p>
          <w:p>
            <w:pPr>
              <w:spacing w:line="360" w:lineRule="auto"/>
              <w:jc w:val="left"/>
              <w:rPr>
                <w:rFonts w:hint="eastAsia" w:ascii="宋体" w:hAnsi="宋体" w:cs="宋体"/>
                <w:sz w:val="24"/>
              </w:rPr>
            </w:pPr>
            <w:r>
              <w:rPr>
                <w:rFonts w:hint="eastAsia" w:ascii="宋体" w:hAnsi="宋体" w:cs="宋体"/>
                <w:sz w:val="24"/>
              </w:rPr>
              <w:t>8、所投货物均应提供配置明细表并且配置明细表中的所有配件必须是唯一的，不得有选择性配置，所提供配件必须是正规厂家生产的原装正品。如果对投标货物的标准配置或配件有更换或调整的，必须提供原生产</w:t>
            </w:r>
            <w:r>
              <w:rPr>
                <w:rFonts w:hint="eastAsia" w:ascii="宋体" w:hAnsi="宋体" w:cs="宋体"/>
                <w:sz w:val="24"/>
                <w:lang w:eastAsia="zh-CN"/>
              </w:rPr>
              <w:t>厂</w:t>
            </w:r>
            <w:r>
              <w:rPr>
                <w:rFonts w:hint="eastAsia" w:ascii="宋体" w:hAnsi="宋体" w:cs="宋体"/>
                <w:sz w:val="24"/>
              </w:rPr>
              <w:t>家的变更和调整确认材料，提供的设备配件应单独列出其技术性能、标准、产地、生产厂家及享受何种保修服务。</w:t>
            </w:r>
          </w:p>
          <w:p>
            <w:pPr>
              <w:spacing w:line="360" w:lineRule="auto"/>
              <w:jc w:val="left"/>
              <w:rPr>
                <w:rFonts w:hint="eastAsia" w:ascii="宋体" w:hAnsi="宋体" w:cs="宋体"/>
                <w:sz w:val="24"/>
              </w:rPr>
            </w:pPr>
            <w:r>
              <w:rPr>
                <w:rFonts w:hint="eastAsia" w:ascii="宋体" w:hAnsi="宋体" w:cs="宋体"/>
                <w:sz w:val="24"/>
              </w:rPr>
              <w:t>9、投标人必须提供所投标货物的标准配置清单及详细技术规格、参数。</w:t>
            </w:r>
          </w:p>
          <w:p>
            <w:pPr>
              <w:tabs>
                <w:tab w:val="left" w:pos="152"/>
                <w:tab w:val="left" w:pos="588"/>
              </w:tabs>
              <w:snapToGrid w:val="0"/>
              <w:spacing w:line="360" w:lineRule="auto"/>
              <w:rPr>
                <w:rFonts w:hint="eastAsia" w:ascii="宋体" w:hAnsi="宋体"/>
                <w:sz w:val="24"/>
                <w:lang w:val="en-US" w:eastAsia="zh-CN"/>
              </w:rPr>
            </w:pPr>
            <w:r>
              <w:rPr>
                <w:rFonts w:hint="eastAsia" w:ascii="宋体" w:hAnsi="宋体" w:cs="宋体"/>
                <w:sz w:val="24"/>
                <w:szCs w:val="24"/>
              </w:rPr>
              <w:t>10、磋商文件要求的其它技术证明资料。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54" w:hRule="atLeast"/>
          <w:jc w:val="center"/>
        </w:trPr>
        <w:tc>
          <w:tcPr>
            <w:tcW w:w="8926" w:type="dxa"/>
            <w:gridSpan w:val="2"/>
            <w:noWrap w:val="0"/>
            <w:vAlign w:val="top"/>
          </w:tcPr>
          <w:p>
            <w:pPr>
              <w:snapToGrid w:val="0"/>
              <w:spacing w:line="360" w:lineRule="auto"/>
              <w:jc w:val="center"/>
              <w:rPr>
                <w:rFonts w:hint="eastAsia" w:ascii="宋体" w:hAnsi="宋体"/>
                <w:b/>
                <w:bCs/>
                <w:sz w:val="24"/>
              </w:rPr>
            </w:pPr>
            <w:r>
              <w:rPr>
                <w:rFonts w:hint="eastAsia" w:ascii="宋体" w:hAnsi="宋体"/>
                <w:b/>
                <w:bCs/>
                <w:sz w:val="24"/>
              </w:rPr>
              <w:t>评        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62" w:type="dxa"/>
            <w:tcBorders>
              <w:bottom w:val="single" w:color="auto" w:sz="4" w:space="0"/>
            </w:tcBorders>
            <w:noWrap w:val="0"/>
            <w:vAlign w:val="center"/>
          </w:tcPr>
          <w:p>
            <w:pPr>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3</w:t>
            </w:r>
          </w:p>
        </w:tc>
        <w:tc>
          <w:tcPr>
            <w:tcW w:w="7964" w:type="dxa"/>
            <w:tcBorders>
              <w:bottom w:val="single" w:color="auto" w:sz="4" w:space="0"/>
            </w:tcBorders>
            <w:noWrap w:val="0"/>
            <w:vAlign w:val="top"/>
          </w:tcPr>
          <w:p>
            <w:pPr>
              <w:pStyle w:val="5"/>
              <w:snapToGrid w:val="0"/>
              <w:spacing w:line="360" w:lineRule="auto"/>
              <w:ind w:firstLine="0" w:firstLineChars="0"/>
              <w:rPr>
                <w:rFonts w:hint="eastAsia" w:ascii="宋体" w:hAnsi="宋体"/>
                <w:spacing w:val="6"/>
                <w:sz w:val="24"/>
                <w:szCs w:val="24"/>
                <w:lang w:val="en-US" w:eastAsia="zh-CN"/>
              </w:rPr>
            </w:pPr>
            <w:r>
              <w:rPr>
                <w:rFonts w:hint="eastAsia" w:ascii="宋体" w:hAnsi="宋体"/>
                <w:sz w:val="24"/>
                <w:szCs w:val="24"/>
                <w:lang w:val="en-US" w:eastAsia="zh-CN"/>
              </w:rPr>
              <w:t>评审方法：综合评分法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62" w:type="dxa"/>
            <w:tcBorders>
              <w:bottom w:val="single" w:color="auto" w:sz="4" w:space="0"/>
            </w:tcBorders>
            <w:noWrap w:val="0"/>
            <w:vAlign w:val="center"/>
          </w:tcPr>
          <w:p>
            <w:pPr>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14</w:t>
            </w:r>
          </w:p>
        </w:tc>
        <w:tc>
          <w:tcPr>
            <w:tcW w:w="7964" w:type="dxa"/>
            <w:tcBorders>
              <w:bottom w:val="single" w:color="auto" w:sz="4" w:space="0"/>
            </w:tcBorders>
            <w:noWrap w:val="0"/>
            <w:vAlign w:val="top"/>
          </w:tcPr>
          <w:p>
            <w:pPr>
              <w:spacing w:line="460" w:lineRule="exact"/>
              <w:rPr>
                <w:rFonts w:hint="eastAsia" w:ascii="宋体" w:hAnsi="宋体" w:cs="仿宋_GB2312"/>
                <w:b/>
                <w:sz w:val="24"/>
                <w:lang w:eastAsia="zh-CN" w:bidi="ar"/>
              </w:rPr>
            </w:pPr>
            <w:r>
              <w:rPr>
                <w:rFonts w:hint="eastAsia" w:ascii="宋体" w:hAnsi="宋体" w:cs="仿宋_GB2312"/>
                <w:b/>
                <w:sz w:val="24"/>
                <w:lang w:eastAsia="zh-CN" w:bidi="ar"/>
              </w:rPr>
              <w:t>评议：</w:t>
            </w:r>
          </w:p>
          <w:p>
            <w:pPr>
              <w:spacing w:line="460" w:lineRule="exact"/>
              <w:rPr>
                <w:rFonts w:hint="eastAsia" w:ascii="宋体" w:hAnsi="宋体" w:cs="仿宋_GB2312"/>
                <w:b/>
                <w:sz w:val="24"/>
                <w:lang w:bidi="ar"/>
              </w:rPr>
            </w:pPr>
            <w:r>
              <w:rPr>
                <w:rFonts w:hint="eastAsia" w:ascii="宋体" w:hAnsi="宋体" w:cs="仿宋_GB2312"/>
                <w:b/>
                <w:sz w:val="24"/>
                <w:lang w:bidi="ar"/>
              </w:rPr>
              <w:t>1.磋商小组根据磋商响应文件和磋商内容，</w:t>
            </w:r>
            <w:r>
              <w:rPr>
                <w:rFonts w:hint="eastAsia" w:ascii="宋体" w:hAnsi="宋体" w:cs="仿宋_GB2312"/>
                <w:sz w:val="24"/>
                <w:lang w:bidi="ar"/>
              </w:rPr>
              <w:t>实质性响应磋商文件要求的供应商，</w:t>
            </w:r>
            <w:r>
              <w:rPr>
                <w:rFonts w:hint="eastAsia" w:ascii="宋体" w:hAnsi="宋体" w:cs="仿宋_GB2312"/>
                <w:b/>
                <w:sz w:val="24"/>
                <w:lang w:bidi="ar"/>
              </w:rPr>
              <w:t>在规定的时间内进行二次报价，即最终报价。</w:t>
            </w:r>
          </w:p>
          <w:p>
            <w:pPr>
              <w:spacing w:line="460" w:lineRule="exact"/>
              <w:rPr>
                <w:rFonts w:hint="eastAsia" w:ascii="宋体" w:hAnsi="宋体" w:cs="仿宋_GB2312"/>
                <w:b/>
                <w:sz w:val="24"/>
              </w:rPr>
            </w:pPr>
            <w:r>
              <w:rPr>
                <w:rFonts w:hint="eastAsia" w:ascii="宋体" w:hAnsi="宋体" w:cs="仿宋_GB2312"/>
                <w:b/>
                <w:sz w:val="24"/>
                <w:lang w:bidi="ar"/>
              </w:rPr>
              <w:t>备注：</w:t>
            </w:r>
            <w:r>
              <w:rPr>
                <w:rFonts w:hint="eastAsia" w:ascii="宋体" w:hAnsi="宋体" w:cs="宋体"/>
                <w:b/>
                <w:sz w:val="24"/>
              </w:rPr>
              <w:t>本次采购项目采用远程不见面开标方式，请各投标人在招标文件确定的投标截止时间前，登录远程开标大厅，在规定时间内提交二次报价（最终报价）否则视为放弃投标。</w:t>
            </w:r>
            <w:r>
              <w:rPr>
                <w:rFonts w:hint="eastAsia" w:ascii="宋体" w:hAnsi="宋体" w:cs="宋体"/>
                <w:b/>
                <w:spacing w:val="6"/>
                <w:sz w:val="24"/>
              </w:rPr>
              <w:t>具体步骤请查阅河南省公共资源交易中心《不见面服务操作手册远程开标（投标人）。</w:t>
            </w:r>
          </w:p>
          <w:p>
            <w:pPr>
              <w:spacing w:line="360" w:lineRule="auto"/>
              <w:rPr>
                <w:rFonts w:hint="eastAsia" w:ascii="宋体" w:hAnsi="宋体" w:cs="仿宋_GB2312"/>
                <w:sz w:val="24"/>
                <w:lang w:bidi="ar"/>
              </w:rPr>
            </w:pPr>
            <w:r>
              <w:rPr>
                <w:rFonts w:hint="eastAsia" w:ascii="宋体" w:hAnsi="宋体" w:cs="仿宋_GB2312"/>
                <w:sz w:val="24"/>
                <w:lang w:bidi="ar"/>
              </w:rPr>
              <w:t>2.</w:t>
            </w:r>
            <w:r>
              <w:rPr>
                <w:rFonts w:hint="eastAsia" w:ascii="宋体" w:hAnsi="宋体" w:cs="仿宋_GB2312"/>
                <w:lang w:bidi="ar"/>
              </w:rPr>
              <w:t xml:space="preserve"> </w:t>
            </w:r>
            <w:r>
              <w:rPr>
                <w:rFonts w:hint="eastAsia" w:ascii="宋体" w:hAnsi="宋体" w:cs="仿宋_GB2312"/>
                <w:sz w:val="24"/>
                <w:lang w:bidi="ar"/>
              </w:rPr>
              <w:t>磋商小组根据磋商文件中的评审因素进行评比，打分。</w:t>
            </w:r>
          </w:p>
          <w:p>
            <w:pPr>
              <w:spacing w:line="360" w:lineRule="auto"/>
              <w:rPr>
                <w:rFonts w:hint="eastAsia" w:ascii="宋体" w:hAnsi="宋体" w:cs="仿宋_GB2312"/>
                <w:sz w:val="24"/>
                <w:lang w:bidi="ar"/>
              </w:rPr>
            </w:pPr>
            <w:r>
              <w:rPr>
                <w:rFonts w:hint="eastAsia" w:ascii="宋体" w:hAnsi="宋体" w:cs="仿宋_GB2312"/>
                <w:sz w:val="24"/>
                <w:lang w:bidi="ar"/>
              </w:rPr>
              <w:t>3、按照供应商综合得分由高到低排序，推荐三名成交候选人，（如果出现综合得分相同的供应商，技术部分得分高者优先）。</w:t>
            </w:r>
          </w:p>
          <w:p>
            <w:pPr>
              <w:pStyle w:val="5"/>
              <w:snapToGrid w:val="0"/>
              <w:spacing w:line="360" w:lineRule="auto"/>
              <w:ind w:firstLine="0" w:firstLineChars="0"/>
              <w:rPr>
                <w:rFonts w:hint="eastAsia" w:ascii="宋体" w:hAnsi="宋体"/>
                <w:sz w:val="24"/>
                <w:szCs w:val="24"/>
                <w:lang w:val="en-US" w:eastAsia="zh-CN"/>
              </w:rPr>
            </w:pPr>
            <w:r>
              <w:rPr>
                <w:rFonts w:hint="eastAsia" w:ascii="宋体" w:hAnsi="宋体" w:cs="仿宋_GB2312"/>
                <w:sz w:val="24"/>
                <w:lang w:bidi="ar"/>
              </w:rPr>
              <w:t>注：</w:t>
            </w:r>
            <w:r>
              <w:rPr>
                <w:rFonts w:hint="eastAsia" w:ascii="宋体" w:hAnsi="宋体"/>
                <w:sz w:val="24"/>
              </w:rPr>
              <w:t>对供应商为监狱企业、福利性企业或供应商为小型和微型的价格给予6%的扣除，用扣除后的价格参加评议。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962" w:type="dxa"/>
            <w:tcBorders>
              <w:top w:val="single" w:color="auto" w:sz="4" w:space="0"/>
            </w:tcBorders>
            <w:noWrap w:val="0"/>
            <w:vAlign w:val="center"/>
          </w:tcPr>
          <w:p>
            <w:pPr>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5</w:t>
            </w:r>
          </w:p>
        </w:tc>
        <w:tc>
          <w:tcPr>
            <w:tcW w:w="7964" w:type="dxa"/>
            <w:tcBorders>
              <w:top w:val="single" w:color="auto" w:sz="4" w:space="0"/>
            </w:tcBorders>
            <w:noWrap w:val="0"/>
            <w:vAlign w:val="top"/>
          </w:tcPr>
          <w:p>
            <w:pPr>
              <w:snapToGrid w:val="0"/>
              <w:spacing w:line="360" w:lineRule="auto"/>
              <w:rPr>
                <w:rFonts w:hint="eastAsia" w:ascii="宋体" w:hAnsi="宋体"/>
                <w:bCs/>
                <w:sz w:val="24"/>
              </w:rPr>
            </w:pPr>
            <w:r>
              <w:rPr>
                <w:rFonts w:hint="eastAsia" w:ascii="宋体" w:hAnsi="宋体"/>
                <w:spacing w:val="6"/>
                <w:sz w:val="24"/>
              </w:rPr>
              <w:t>评分标准（详见</w:t>
            </w:r>
            <w:r>
              <w:rPr>
                <w:rFonts w:hint="eastAsia" w:ascii="宋体" w:hAnsi="宋体"/>
                <w:spacing w:val="6"/>
                <w:sz w:val="24"/>
                <w:lang w:eastAsia="zh-CN"/>
              </w:rPr>
              <w:t>第六部分磋商评审办法</w:t>
            </w:r>
            <w:r>
              <w:rPr>
                <w:rFonts w:hint="eastAsia" w:ascii="宋体" w:hAnsi="宋体"/>
                <w:spacing w:val="6"/>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962" w:type="dxa"/>
            <w:noWrap w:val="0"/>
            <w:vAlign w:val="center"/>
          </w:tcPr>
          <w:p>
            <w:pPr>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6</w:t>
            </w:r>
          </w:p>
        </w:tc>
        <w:tc>
          <w:tcPr>
            <w:tcW w:w="7964" w:type="dxa"/>
            <w:noWrap w:val="0"/>
            <w:vAlign w:val="top"/>
          </w:tcPr>
          <w:p>
            <w:pPr>
              <w:snapToGrid w:val="0"/>
              <w:spacing w:line="360" w:lineRule="auto"/>
              <w:rPr>
                <w:rFonts w:hint="eastAsia" w:ascii="宋体" w:hAnsi="宋体"/>
                <w:sz w:val="24"/>
              </w:rPr>
            </w:pPr>
            <w:r>
              <w:rPr>
                <w:rFonts w:hint="eastAsia" w:ascii="宋体" w:hAnsi="宋体"/>
                <w:sz w:val="24"/>
              </w:rPr>
              <w:t>付款条件的偏离：不接受</w:t>
            </w:r>
          </w:p>
        </w:tc>
      </w:tr>
    </w:tbl>
    <w:p>
      <w:pPr>
        <w:pStyle w:val="3"/>
        <w:numPr>
          <w:ilvl w:val="0"/>
          <w:numId w:val="0"/>
        </w:numPr>
        <w:spacing w:line="360" w:lineRule="auto"/>
        <w:jc w:val="both"/>
        <w:outlineLvl w:val="9"/>
        <w:rPr>
          <w:rFonts w:ascii="宋体" w:hAnsi="宋体"/>
          <w:sz w:val="24"/>
          <w:lang w:eastAsia="zh-CN"/>
        </w:rPr>
      </w:pPr>
    </w:p>
    <w:p>
      <w:pPr>
        <w:rPr>
          <w:rFonts w:hint="eastAsia"/>
        </w:rPr>
      </w:pPr>
      <w:r>
        <w:br w:type="page"/>
      </w:r>
    </w:p>
    <w:p>
      <w:pPr>
        <w:numPr>
          <w:ilvl w:val="0"/>
          <w:numId w:val="0"/>
        </w:numPr>
        <w:spacing w:line="360" w:lineRule="auto"/>
        <w:jc w:val="center"/>
        <w:outlineLvl w:val="0"/>
        <w:rPr>
          <w:rFonts w:hint="eastAsia" w:ascii="宋体" w:hAnsi="宋体" w:cs="宋体"/>
          <w:b/>
          <w:sz w:val="32"/>
          <w:szCs w:val="32"/>
        </w:rPr>
      </w:pPr>
      <w:bookmarkStart w:id="513" w:name="_Toc13772"/>
      <w:bookmarkStart w:id="514" w:name="_Toc5420"/>
      <w:bookmarkStart w:id="515" w:name="_Toc44924405"/>
      <w:r>
        <w:rPr>
          <w:rFonts w:hint="eastAsia" w:ascii="宋体" w:hAnsi="宋体" w:cs="宋体"/>
          <w:b/>
          <w:sz w:val="32"/>
          <w:szCs w:val="32"/>
          <w:lang w:eastAsia="zh-CN"/>
        </w:rPr>
        <w:t>第六部分</w:t>
      </w:r>
      <w:r>
        <w:rPr>
          <w:rFonts w:hint="eastAsia" w:ascii="宋体" w:hAnsi="宋体" w:cs="宋体"/>
          <w:b/>
          <w:sz w:val="32"/>
          <w:szCs w:val="32"/>
          <w:lang w:val="en-US" w:eastAsia="zh-CN"/>
        </w:rPr>
        <w:t xml:space="preserve"> </w:t>
      </w:r>
      <w:r>
        <w:rPr>
          <w:rFonts w:hint="eastAsia" w:ascii="宋体" w:hAnsi="宋体" w:cs="宋体"/>
          <w:b/>
          <w:sz w:val="32"/>
          <w:szCs w:val="32"/>
        </w:rPr>
        <w:t>磋商评审办法</w:t>
      </w:r>
      <w:bookmarkEnd w:id="513"/>
      <w:bookmarkEnd w:id="514"/>
    </w:p>
    <w:p>
      <w:pPr>
        <w:spacing w:line="360" w:lineRule="auto"/>
        <w:outlineLvl w:val="1"/>
        <w:rPr>
          <w:rFonts w:hint="eastAsia" w:ascii="宋体" w:hAnsi="宋体" w:cs="宋体"/>
          <w:b/>
          <w:bCs/>
          <w:sz w:val="24"/>
        </w:rPr>
      </w:pPr>
      <w:bookmarkStart w:id="516" w:name="_Toc4728"/>
      <w:bookmarkStart w:id="517" w:name="_Toc21165"/>
      <w:r>
        <w:rPr>
          <w:rFonts w:hint="eastAsia" w:ascii="宋体" w:hAnsi="宋体" w:cs="宋体"/>
          <w:b/>
          <w:bCs/>
          <w:sz w:val="24"/>
        </w:rPr>
        <w:t>一、总则</w:t>
      </w:r>
      <w:bookmarkEnd w:id="516"/>
      <w:bookmarkEnd w:id="517"/>
    </w:p>
    <w:p>
      <w:pPr>
        <w:spacing w:line="360" w:lineRule="auto"/>
        <w:rPr>
          <w:rFonts w:hint="eastAsia" w:ascii="宋体" w:hAnsi="宋体" w:cs="宋体"/>
          <w:bCs/>
          <w:sz w:val="24"/>
        </w:rPr>
      </w:pPr>
      <w:r>
        <w:rPr>
          <w:rFonts w:hint="eastAsia" w:ascii="宋体" w:hAnsi="宋体" w:cs="宋体"/>
          <w:bCs/>
          <w:sz w:val="24"/>
        </w:rPr>
        <w:t>1.1 根据《中华人民共和国政府采购法》、《中华人民共和国政府采购法实施条例》、《政府采购竞争性磋商采购方式管理暂行办法》等法律制度，结合本采购项目特点制定本磋商方法。</w:t>
      </w:r>
    </w:p>
    <w:p>
      <w:pPr>
        <w:spacing w:line="360" w:lineRule="auto"/>
        <w:rPr>
          <w:rFonts w:hint="eastAsia" w:ascii="宋体" w:hAnsi="宋体" w:cs="宋体"/>
          <w:bCs/>
          <w:sz w:val="24"/>
        </w:rPr>
      </w:pPr>
      <w:r>
        <w:rPr>
          <w:rFonts w:hint="eastAsia" w:ascii="宋体" w:hAnsi="宋体" w:cs="宋体"/>
          <w:bCs/>
          <w:sz w:val="24"/>
        </w:rPr>
        <w:t>1.2 磋商工作由采购人/采购代理机构负责组织，具体磋商由采购人/采购代理机构依法组建的磋商小组负责。</w:t>
      </w:r>
    </w:p>
    <w:p>
      <w:pPr>
        <w:spacing w:line="360" w:lineRule="auto"/>
        <w:rPr>
          <w:rFonts w:hint="eastAsia" w:ascii="宋体" w:hAnsi="宋体" w:cs="宋体"/>
          <w:bCs/>
          <w:sz w:val="24"/>
        </w:rPr>
      </w:pPr>
      <w:r>
        <w:rPr>
          <w:rFonts w:hint="eastAsia" w:ascii="宋体" w:hAnsi="宋体" w:cs="宋体"/>
          <w:bCs/>
          <w:sz w:val="24"/>
        </w:rPr>
        <w:t>1.3 磋商工作应遵循公平、公正、科学及择优的原则，并以相同的磋商程序和标准对待所有的供应商。</w:t>
      </w:r>
    </w:p>
    <w:p>
      <w:pPr>
        <w:spacing w:line="360" w:lineRule="auto"/>
        <w:rPr>
          <w:rFonts w:hint="eastAsia" w:ascii="宋体" w:hAnsi="宋体" w:cs="宋体"/>
          <w:bCs/>
          <w:sz w:val="24"/>
        </w:rPr>
      </w:pPr>
      <w:r>
        <w:rPr>
          <w:rFonts w:hint="eastAsia" w:ascii="宋体" w:hAnsi="宋体" w:cs="宋体"/>
          <w:bCs/>
          <w:sz w:val="24"/>
        </w:rPr>
        <w:t>1.4 磋商小组按照竞争性磋商文件规定的磋商程序、评分方法和标准进行评审，并独立履行评审职责。</w:t>
      </w:r>
    </w:p>
    <w:p>
      <w:pPr>
        <w:spacing w:line="360" w:lineRule="auto"/>
        <w:rPr>
          <w:rFonts w:hint="eastAsia" w:ascii="宋体" w:hAnsi="宋体" w:cs="宋体"/>
          <w:bCs/>
          <w:sz w:val="24"/>
        </w:rPr>
      </w:pPr>
      <w:r>
        <w:rPr>
          <w:rFonts w:hint="eastAsia" w:ascii="宋体" w:hAnsi="宋体" w:cs="宋体"/>
          <w:bCs/>
          <w:sz w:val="24"/>
        </w:rPr>
        <w:t>1.5磋商过程独立、保密。供应商非法干预磋商过程的，其响应文件作无效处理。</w:t>
      </w:r>
    </w:p>
    <w:p>
      <w:pPr>
        <w:spacing w:line="360" w:lineRule="auto"/>
        <w:outlineLvl w:val="1"/>
        <w:rPr>
          <w:rFonts w:hint="eastAsia" w:ascii="宋体" w:hAnsi="宋体" w:cs="宋体"/>
          <w:b/>
          <w:bCs/>
          <w:sz w:val="24"/>
        </w:rPr>
      </w:pPr>
      <w:bookmarkStart w:id="518" w:name="_Toc10060"/>
      <w:bookmarkStart w:id="519" w:name="_Toc8200"/>
      <w:r>
        <w:rPr>
          <w:rFonts w:hint="eastAsia" w:ascii="宋体" w:hAnsi="宋体" w:cs="宋体"/>
          <w:b/>
          <w:bCs/>
          <w:sz w:val="24"/>
        </w:rPr>
        <w:t>二、磋商程序</w:t>
      </w:r>
      <w:bookmarkEnd w:id="518"/>
      <w:bookmarkEnd w:id="519"/>
    </w:p>
    <w:p>
      <w:pPr>
        <w:spacing w:line="360" w:lineRule="auto"/>
        <w:rPr>
          <w:rFonts w:hint="eastAsia" w:ascii="宋体" w:hAnsi="宋体" w:cs="宋体"/>
          <w:bCs/>
          <w:sz w:val="24"/>
        </w:rPr>
      </w:pPr>
      <w:r>
        <w:rPr>
          <w:rFonts w:hint="eastAsia" w:ascii="宋体" w:hAnsi="宋体" w:cs="宋体"/>
          <w:bCs/>
          <w:sz w:val="24"/>
        </w:rPr>
        <w:t>1.查阅竞争性磋商文件。</w:t>
      </w:r>
    </w:p>
    <w:p>
      <w:pPr>
        <w:spacing w:line="360" w:lineRule="auto"/>
        <w:rPr>
          <w:rFonts w:hint="eastAsia" w:ascii="宋体" w:hAnsi="宋体" w:cs="宋体"/>
          <w:b/>
          <w:bCs/>
          <w:sz w:val="24"/>
        </w:rPr>
      </w:pPr>
      <w:r>
        <w:rPr>
          <w:rFonts w:hint="eastAsia" w:ascii="宋体" w:hAnsi="宋体" w:cs="宋体"/>
          <w:bCs/>
          <w:sz w:val="24"/>
        </w:rPr>
        <w:t>2.初步评审。</w:t>
      </w:r>
    </w:p>
    <w:p>
      <w:pPr>
        <w:spacing w:line="360" w:lineRule="auto"/>
        <w:rPr>
          <w:rFonts w:hint="eastAsia" w:ascii="宋体" w:hAnsi="宋体" w:cs="宋体"/>
          <w:bCs/>
          <w:sz w:val="24"/>
        </w:rPr>
      </w:pPr>
      <w:r>
        <w:rPr>
          <w:rFonts w:hint="eastAsia" w:ascii="宋体" w:hAnsi="宋体" w:cs="宋体"/>
          <w:bCs/>
          <w:sz w:val="24"/>
        </w:rPr>
        <w:t>初步评审包含资格性审查和符合性审查。</w:t>
      </w:r>
    </w:p>
    <w:p>
      <w:pPr>
        <w:spacing w:line="360" w:lineRule="auto"/>
        <w:rPr>
          <w:rFonts w:hint="eastAsia" w:ascii="宋体" w:hAnsi="宋体" w:cs="宋体"/>
          <w:bCs/>
          <w:sz w:val="24"/>
        </w:rPr>
      </w:pPr>
      <w:r>
        <w:rPr>
          <w:rFonts w:hint="eastAsia" w:ascii="宋体" w:hAnsi="宋体" w:cs="宋体"/>
          <w:bCs/>
          <w:sz w:val="24"/>
        </w:rPr>
        <w:t>2. 1磋商小组进行资格性审查。</w:t>
      </w:r>
    </w:p>
    <w:p>
      <w:pPr>
        <w:spacing w:line="360" w:lineRule="auto"/>
        <w:rPr>
          <w:rFonts w:hint="eastAsia" w:ascii="宋体" w:hAnsi="宋体" w:cs="宋体"/>
          <w:bCs/>
          <w:sz w:val="24"/>
        </w:rPr>
      </w:pPr>
      <w:r>
        <w:rPr>
          <w:rFonts w:hint="eastAsia" w:ascii="宋体" w:hAnsi="宋体" w:cs="宋体"/>
          <w:bCs/>
          <w:sz w:val="24"/>
        </w:rPr>
        <w:t>磋商小组应依据法律法规和竞争性磋商文件的规定，对响应文件是否按照规定要求提供资格性证明材料、是否属于禁止参加磋商的供应商等进行审查，以确定供应商是否具备磋商资格。</w:t>
      </w:r>
    </w:p>
    <w:p>
      <w:pPr>
        <w:spacing w:line="360" w:lineRule="auto"/>
        <w:rPr>
          <w:rFonts w:hint="eastAsia" w:ascii="宋体" w:hAnsi="宋体" w:cs="宋体"/>
          <w:bCs/>
          <w:sz w:val="24"/>
        </w:rPr>
      </w:pPr>
      <w:r>
        <w:rPr>
          <w:rFonts w:hint="eastAsia" w:ascii="宋体" w:hAnsi="宋体" w:cs="宋体"/>
          <w:bCs/>
          <w:sz w:val="24"/>
        </w:rPr>
        <w:t>2. 2磋商小组应依据竞争性磋商文件规定的实质性要求，对符合资格的响应文件进行有效性、完整性和响应程度的符合性审查，以确定参加磋商的供应商名单。应当告知供应商未通过审查的原因。</w:t>
      </w:r>
    </w:p>
    <w:p>
      <w:pPr>
        <w:spacing w:line="360" w:lineRule="auto"/>
        <w:rPr>
          <w:rFonts w:hint="eastAsia" w:ascii="宋体" w:hAnsi="宋体" w:cs="宋体"/>
          <w:sz w:val="24"/>
        </w:rPr>
      </w:pPr>
      <w:r>
        <w:rPr>
          <w:rFonts w:hint="eastAsia" w:ascii="宋体" w:hAnsi="宋体" w:cs="宋体"/>
          <w:sz w:val="24"/>
        </w:rPr>
        <w:t>2.2.1磋商小组在对响应文件的有效性、完整性和响应程度进行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eastAsia" w:ascii="宋体" w:hAnsi="宋体" w:cs="宋体"/>
          <w:sz w:val="24"/>
        </w:rPr>
      </w:pPr>
      <w:r>
        <w:rPr>
          <w:rFonts w:hint="eastAsia" w:ascii="宋体" w:hAnsi="宋体" w:cs="宋体"/>
          <w:sz w:val="24"/>
        </w:rPr>
        <w:t>2.2.2 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pPr>
        <w:spacing w:line="360" w:lineRule="auto"/>
        <w:rPr>
          <w:rFonts w:hint="eastAsia" w:ascii="宋体" w:hAnsi="宋体" w:cs="宋体"/>
          <w:sz w:val="24"/>
        </w:rPr>
      </w:pPr>
      <w:r>
        <w:rPr>
          <w:rFonts w:hint="eastAsia" w:ascii="宋体" w:hAnsi="宋体" w:cs="宋体"/>
          <w:sz w:val="24"/>
        </w:rPr>
        <w:t>2.2.3 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pPr>
        <w:spacing w:line="360" w:lineRule="auto"/>
        <w:rPr>
          <w:rFonts w:hint="eastAsia" w:ascii="宋体" w:hAnsi="宋体" w:cs="宋体"/>
          <w:sz w:val="24"/>
        </w:rPr>
      </w:pPr>
      <w:r>
        <w:rPr>
          <w:rFonts w:hint="eastAsia" w:ascii="宋体" w:hAnsi="宋体" w:cs="宋体"/>
          <w:sz w:val="24"/>
        </w:rPr>
        <w:t>2.2.4 在详细评审之前，磋商小组要审查每份响应文件是否实质上响应了竞争性磋商文件的要求。实质上响应该是与竞争性磋商文件要求的关键条款、条件和规格相符，没有重大偏离。对关键条文的偏离、保留或反对，例如关于适用法律、税务、标注为实质性要求的条款等内容的偏离将被认为是实质上的偏离。磋商小组决定响应文件的响应性只根据响应文件本身的真实无误的内容，而不依据外部的证据，但响应文件有违反法律、政策规定和不真实不正确的内容时除外。</w:t>
      </w:r>
    </w:p>
    <w:p>
      <w:pPr>
        <w:spacing w:line="360" w:lineRule="auto"/>
        <w:rPr>
          <w:rFonts w:hint="eastAsia" w:ascii="宋体" w:hAnsi="宋体" w:cs="宋体"/>
          <w:sz w:val="24"/>
        </w:rPr>
      </w:pPr>
      <w:r>
        <w:rPr>
          <w:rFonts w:hint="eastAsia" w:ascii="宋体" w:hAnsi="宋体" w:cs="宋体"/>
          <w:sz w:val="24"/>
        </w:rPr>
        <w:t>2.2.5没有实质性响应竞争性磋商文件要求的响应文件将被否决。供应商不得通过修正、补充或撤销不合要求的偏离或保留从而使其响应文件成为实质上响应的竞争性磋商文件。有下列情形之一者视为未实质性响应竞争性磋商文件，其响应文件将被否决：</w:t>
      </w:r>
    </w:p>
    <w:p>
      <w:pPr>
        <w:spacing w:line="360" w:lineRule="auto"/>
        <w:rPr>
          <w:rFonts w:hint="eastAsia" w:ascii="宋体" w:hAnsi="宋体" w:cs="宋体"/>
          <w:sz w:val="24"/>
        </w:rPr>
      </w:pPr>
      <w:r>
        <w:rPr>
          <w:rFonts w:hint="eastAsia" w:ascii="宋体" w:hAnsi="宋体" w:cs="宋体"/>
          <w:sz w:val="24"/>
        </w:rPr>
        <w:t>1）供应商采购人有利害关系可能影响磋商公正性的；</w:t>
      </w:r>
    </w:p>
    <w:p>
      <w:pPr>
        <w:spacing w:line="360" w:lineRule="auto"/>
        <w:rPr>
          <w:rFonts w:hint="eastAsia" w:ascii="宋体" w:hAnsi="宋体" w:cs="宋体"/>
          <w:sz w:val="24"/>
        </w:rPr>
      </w:pPr>
      <w:r>
        <w:rPr>
          <w:rFonts w:hint="eastAsia" w:ascii="宋体" w:hAnsi="宋体" w:cs="宋体"/>
          <w:sz w:val="24"/>
        </w:rPr>
        <w:t>2）供应商参与项目前期咨询或竞争性磋商文件编制的；</w:t>
      </w:r>
    </w:p>
    <w:p>
      <w:pPr>
        <w:spacing w:line="360" w:lineRule="auto"/>
        <w:rPr>
          <w:rFonts w:hint="eastAsia" w:ascii="宋体" w:hAnsi="宋体" w:cs="宋体"/>
          <w:color w:val="auto"/>
          <w:sz w:val="24"/>
        </w:rPr>
      </w:pPr>
      <w:r>
        <w:rPr>
          <w:rFonts w:hint="eastAsia" w:ascii="宋体" w:hAnsi="宋体" w:cs="宋体"/>
          <w:color w:val="auto"/>
          <w:sz w:val="24"/>
        </w:rPr>
        <w:t>3）未按竞争性磋商文件要求</w:t>
      </w:r>
      <w:r>
        <w:rPr>
          <w:rFonts w:hint="eastAsia" w:ascii="宋体" w:hAnsi="宋体" w:cs="宋体"/>
          <w:color w:val="auto"/>
          <w:sz w:val="24"/>
          <w:lang w:eastAsia="zh-CN"/>
        </w:rPr>
        <w:t>上传</w:t>
      </w:r>
      <w:r>
        <w:rPr>
          <w:rFonts w:hint="eastAsia" w:ascii="宋体" w:hAnsi="宋体" w:cs="宋体"/>
          <w:color w:val="auto"/>
          <w:sz w:val="24"/>
        </w:rPr>
        <w:t>原件的；</w:t>
      </w:r>
    </w:p>
    <w:p>
      <w:pPr>
        <w:spacing w:line="360" w:lineRule="auto"/>
        <w:rPr>
          <w:rFonts w:hint="eastAsia" w:ascii="宋体" w:hAnsi="宋体" w:cs="宋体"/>
          <w:sz w:val="24"/>
        </w:rPr>
      </w:pPr>
      <w:r>
        <w:rPr>
          <w:rFonts w:hint="eastAsia" w:ascii="宋体" w:hAnsi="宋体" w:cs="宋体"/>
          <w:sz w:val="24"/>
        </w:rPr>
        <w:t>4）响应文件未按竞争性磋商文件的要求签署的；</w:t>
      </w:r>
    </w:p>
    <w:p>
      <w:pPr>
        <w:spacing w:line="360" w:lineRule="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）供应商的磋商函、资格证明材料未提供，或不符合国家规定或者竞争性磋商文件要求的；</w:t>
      </w:r>
    </w:p>
    <w:p>
      <w:pPr>
        <w:spacing w:line="360" w:lineRule="auto"/>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）同一供应商提交两个以上不同的方案或者磋商价格的，但竞争性磋商文件有要求的除外；</w:t>
      </w:r>
    </w:p>
    <w:p>
      <w:pPr>
        <w:spacing w:line="360" w:lineRule="auto"/>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eastAsia="zh-CN"/>
        </w:rPr>
        <w:t>响应</w:t>
      </w:r>
      <w:r>
        <w:rPr>
          <w:rFonts w:hint="eastAsia" w:ascii="宋体" w:hAnsi="宋体" w:cs="宋体"/>
          <w:sz w:val="24"/>
        </w:rPr>
        <w:t>文件制作机器码一致被视为无效投标；</w:t>
      </w:r>
    </w:p>
    <w:p>
      <w:pPr>
        <w:spacing w:line="360" w:lineRule="auto"/>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）响应文件不满足竞争性磋商文件标注为实质性条款要求的；</w:t>
      </w:r>
    </w:p>
    <w:p>
      <w:pPr>
        <w:spacing w:line="360" w:lineRule="auto"/>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）磋商价格高于竞争性磋商文件设定的预算价或最高限价的；</w:t>
      </w:r>
    </w:p>
    <w:p>
      <w:pPr>
        <w:pStyle w:val="36"/>
        <w:ind w:left="0" w:leftChars="0" w:firstLine="0" w:firstLineChars="0"/>
        <w:rPr>
          <w:rFonts w:hint="eastAsia"/>
          <w:color w:val="auto"/>
        </w:rPr>
      </w:pPr>
      <w:r>
        <w:rPr>
          <w:rFonts w:hint="eastAsia" w:ascii="宋体" w:hAnsi="宋体"/>
          <w:color w:val="auto"/>
          <w:sz w:val="24"/>
          <w:lang w:val="en-US" w:eastAsia="zh-CN"/>
        </w:rPr>
        <w:t>10</w:t>
      </w:r>
      <w:r>
        <w:rPr>
          <w:rFonts w:hint="eastAsia" w:ascii="宋体" w:hAnsi="宋体"/>
          <w:color w:val="auto"/>
          <w:sz w:val="24"/>
          <w:lang w:eastAsia="zh-CN"/>
        </w:rPr>
        <w:t>）最终（</w:t>
      </w:r>
      <w:r>
        <w:rPr>
          <w:rFonts w:ascii="宋体" w:hAnsi="宋体"/>
          <w:color w:val="auto"/>
          <w:sz w:val="24"/>
        </w:rPr>
        <w:t>二次</w:t>
      </w:r>
      <w:r>
        <w:rPr>
          <w:rFonts w:hint="eastAsia" w:ascii="宋体" w:hAnsi="宋体"/>
          <w:color w:val="auto"/>
          <w:sz w:val="24"/>
          <w:lang w:eastAsia="zh-CN"/>
        </w:rPr>
        <w:t>）</w:t>
      </w:r>
      <w:r>
        <w:rPr>
          <w:rFonts w:ascii="宋体" w:hAnsi="宋体"/>
          <w:color w:val="auto"/>
          <w:sz w:val="24"/>
        </w:rPr>
        <w:t>报价超过第</w:t>
      </w:r>
      <w:r>
        <w:rPr>
          <w:rFonts w:hint="eastAsia" w:ascii="宋体" w:hAnsi="宋体"/>
          <w:color w:val="auto"/>
          <w:sz w:val="24"/>
        </w:rPr>
        <w:t>一</w:t>
      </w:r>
      <w:r>
        <w:rPr>
          <w:rFonts w:ascii="宋体" w:hAnsi="宋体"/>
          <w:color w:val="auto"/>
          <w:sz w:val="24"/>
        </w:rPr>
        <w:t>次报价</w:t>
      </w:r>
      <w:r>
        <w:rPr>
          <w:rFonts w:hint="eastAsia" w:ascii="宋体" w:hAnsi="宋体"/>
          <w:color w:val="auto"/>
          <w:sz w:val="24"/>
          <w:lang w:eastAsia="zh-CN"/>
        </w:rPr>
        <w:t>的。</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）不接受磋商有效期要求的；</w:t>
      </w:r>
    </w:p>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）供应商有串通磋商、弄虚作假、行贿等违法行为的；</w:t>
      </w:r>
    </w:p>
    <w:p>
      <w:pPr>
        <w:spacing w:line="360" w:lineRule="auto"/>
        <w:rPr>
          <w:rFonts w:hint="eastAsia" w:ascii="宋体" w:hAnsi="宋体" w:cs="宋体"/>
          <w:b/>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）存在竞争性磋商文件中规定的否决响应的其他条款的。</w:t>
      </w:r>
    </w:p>
    <w:p>
      <w:pPr>
        <w:outlineLvl w:val="1"/>
        <w:rPr>
          <w:rFonts w:hint="eastAsia" w:ascii="宋体" w:hAnsi="宋体" w:cs="宋体"/>
          <w:b/>
          <w:sz w:val="24"/>
        </w:rPr>
      </w:pPr>
      <w:bookmarkStart w:id="520" w:name="_Toc8157"/>
      <w:bookmarkStart w:id="521" w:name="_Toc6059"/>
      <w:r>
        <w:rPr>
          <w:rFonts w:hint="eastAsia" w:ascii="宋体" w:hAnsi="宋体" w:cs="宋体"/>
          <w:b/>
          <w:sz w:val="24"/>
        </w:rPr>
        <w:t>三、磋商</w:t>
      </w:r>
      <w:bookmarkEnd w:id="520"/>
      <w:bookmarkEnd w:id="521"/>
    </w:p>
    <w:p>
      <w:pPr>
        <w:rPr>
          <w:rFonts w:hint="eastAsia" w:ascii="宋体" w:hAnsi="宋体" w:cs="宋体"/>
          <w:sz w:val="24"/>
        </w:rPr>
      </w:pPr>
    </w:p>
    <w:p>
      <w:pPr>
        <w:spacing w:line="360" w:lineRule="auto"/>
        <w:jc w:val="left"/>
        <w:rPr>
          <w:rFonts w:hint="eastAsia" w:ascii="宋体" w:hAnsi="宋体" w:cs="宋体"/>
          <w:bCs/>
          <w:sz w:val="24"/>
        </w:rPr>
      </w:pPr>
      <w:r>
        <w:rPr>
          <w:rFonts w:hint="eastAsia" w:ascii="宋体" w:hAnsi="宋体" w:cs="宋体"/>
          <w:bCs/>
          <w:sz w:val="24"/>
        </w:rPr>
        <w:t>3.1磋商小组所有成员集中与单一供应商分别进行一轮或多轮磋商，并给予所有参加磋商的供应商平等的磋商机会。磋商顺序以随机的方式确定。磋商过程中，磋商小组可以根据磋商情况调整磋商轮次。</w:t>
      </w:r>
    </w:p>
    <w:p>
      <w:pPr>
        <w:spacing w:line="360" w:lineRule="auto"/>
        <w:jc w:val="left"/>
        <w:rPr>
          <w:rFonts w:hint="eastAsia" w:ascii="宋体" w:hAnsi="宋体" w:cs="宋体"/>
          <w:bCs/>
          <w:sz w:val="24"/>
        </w:rPr>
      </w:pPr>
      <w:r>
        <w:rPr>
          <w:rFonts w:hint="eastAsia" w:ascii="宋体" w:hAnsi="宋体" w:cs="宋体"/>
          <w:bCs/>
          <w:sz w:val="24"/>
        </w:rPr>
        <w:t>3.2每轮磋商开始前，磋商小组应根据竞争性磋商文件的规定，并结合各供应商的响应文件拟定磋商内容。</w:t>
      </w:r>
    </w:p>
    <w:p>
      <w:pPr>
        <w:spacing w:line="360" w:lineRule="auto"/>
        <w:jc w:val="left"/>
        <w:rPr>
          <w:rFonts w:hint="eastAsia" w:ascii="宋体" w:hAnsi="宋体" w:cs="宋体"/>
          <w:bCs/>
          <w:sz w:val="24"/>
        </w:rPr>
      </w:pPr>
      <w:r>
        <w:rPr>
          <w:rFonts w:hint="eastAsia" w:ascii="宋体" w:hAnsi="宋体" w:cs="宋体"/>
          <w:bCs/>
          <w:sz w:val="24"/>
        </w:rPr>
        <w:t>3.3在磋商过程中，磋商小组可以根据竞争性磋商文件和磋商情况实质性变动竞争性磋商文件的技术、服务要求以及合同草案条款，但不得变动竞争性磋商文件中的其他内容。实质性变动的内容，须经采购人代表书面确认。</w:t>
      </w:r>
    </w:p>
    <w:p>
      <w:pPr>
        <w:spacing w:line="360" w:lineRule="auto"/>
        <w:jc w:val="left"/>
        <w:rPr>
          <w:rFonts w:hint="eastAsia" w:ascii="宋体" w:hAnsi="宋体" w:cs="宋体"/>
          <w:bCs/>
          <w:sz w:val="24"/>
        </w:rPr>
      </w:pPr>
      <w:r>
        <w:rPr>
          <w:rFonts w:hint="eastAsia" w:ascii="宋体" w:hAnsi="宋体" w:cs="宋体"/>
          <w:bCs/>
          <w:sz w:val="24"/>
        </w:rPr>
        <w:t>3.4对竞争性磋商文件做出的实质性变动是竞争性磋商文件的有效组成部分，磋商小组应当及时以书面形式同时通知所有参加磋商的供应商。</w:t>
      </w:r>
    </w:p>
    <w:p>
      <w:pPr>
        <w:spacing w:line="360" w:lineRule="auto"/>
        <w:jc w:val="left"/>
        <w:rPr>
          <w:rFonts w:hint="eastAsia" w:ascii="宋体" w:hAnsi="宋体" w:cs="宋体"/>
          <w:bCs/>
          <w:sz w:val="24"/>
        </w:rPr>
      </w:pPr>
      <w:r>
        <w:rPr>
          <w:rFonts w:hint="eastAsia" w:ascii="宋体" w:hAnsi="宋体" w:cs="宋体"/>
          <w:bCs/>
          <w:sz w:val="24"/>
        </w:rPr>
        <w:t>3.5磋商过程中，竞争性磋商文件变动的，供应商应当按照竞争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竞争性磋商文件要求为原则，不得变更为不利于满足竞争性磋商文件规定，否则，其响应文件作为无效处理。</w:t>
      </w:r>
    </w:p>
    <w:p>
      <w:pPr>
        <w:spacing w:line="360" w:lineRule="auto"/>
        <w:jc w:val="left"/>
        <w:rPr>
          <w:rFonts w:hint="eastAsia" w:ascii="宋体" w:hAnsi="宋体" w:cs="宋体"/>
          <w:bCs/>
          <w:sz w:val="24"/>
        </w:rPr>
      </w:pPr>
      <w:r>
        <w:rPr>
          <w:rFonts w:hint="eastAsia" w:ascii="宋体" w:hAnsi="宋体" w:cs="宋体"/>
          <w:bCs/>
          <w:sz w:val="24"/>
        </w:rPr>
        <w:t>3.6磋商过程中，磋商的任何一方不得透露与磋商有关的其他供应商的技术资料、价格和其他信息。</w:t>
      </w:r>
    </w:p>
    <w:p>
      <w:pPr>
        <w:spacing w:line="360" w:lineRule="auto"/>
        <w:jc w:val="left"/>
        <w:rPr>
          <w:rFonts w:hint="eastAsia" w:ascii="宋体" w:hAnsi="宋体" w:cs="宋体"/>
          <w:bCs/>
          <w:sz w:val="24"/>
        </w:rPr>
      </w:pPr>
      <w:r>
        <w:rPr>
          <w:rFonts w:hint="eastAsia" w:ascii="宋体" w:hAnsi="宋体" w:cs="宋体"/>
          <w:bCs/>
          <w:sz w:val="24"/>
        </w:rPr>
        <w:t>3.7磋商过程中，磋商小组发现或者知晓供应商存在违法、违纪行为的，磋商小组应当将该供应商响应文件作无效处理，不允许其提交最后报价。</w:t>
      </w:r>
    </w:p>
    <w:p>
      <w:pPr>
        <w:bidi w:val="0"/>
        <w:rPr>
          <w:rFonts w:hint="eastAsia"/>
        </w:rPr>
      </w:pPr>
    </w:p>
    <w:p>
      <w:pPr>
        <w:outlineLvl w:val="1"/>
        <w:rPr>
          <w:rFonts w:hint="eastAsia" w:ascii="宋体" w:hAnsi="宋体" w:cs="宋体"/>
          <w:b/>
          <w:sz w:val="24"/>
        </w:rPr>
      </w:pPr>
      <w:bookmarkStart w:id="522" w:name="_Toc10828"/>
      <w:bookmarkStart w:id="523" w:name="_Toc32187"/>
      <w:r>
        <w:rPr>
          <w:rFonts w:hint="eastAsia" w:ascii="宋体" w:hAnsi="宋体" w:cs="宋体"/>
          <w:b/>
          <w:sz w:val="24"/>
        </w:rPr>
        <w:t>四、 提交最终报价</w:t>
      </w:r>
      <w:bookmarkEnd w:id="522"/>
      <w:bookmarkEnd w:id="523"/>
    </w:p>
    <w:p>
      <w:pPr>
        <w:spacing w:line="360" w:lineRule="auto"/>
        <w:rPr>
          <w:rFonts w:hint="eastAsia" w:ascii="宋体" w:hAnsi="宋体" w:cs="宋体"/>
          <w:sz w:val="24"/>
        </w:rPr>
      </w:pPr>
      <w:r>
        <w:rPr>
          <w:rFonts w:hint="eastAsia" w:ascii="宋体" w:hAnsi="宋体" w:cs="宋体"/>
          <w:sz w:val="24"/>
        </w:rPr>
        <w:t>4.1根据《政府采购竞争性磋商采购方式管理暂行办法》规定，磋商结束后，磋商小组要求所有实质性响应的供应商在规定时间内提交最后报价。</w:t>
      </w:r>
    </w:p>
    <w:p>
      <w:pPr>
        <w:spacing w:line="360" w:lineRule="auto"/>
        <w:rPr>
          <w:rFonts w:hint="eastAsia" w:ascii="宋体" w:hAnsi="宋体" w:cs="宋体"/>
          <w:sz w:val="24"/>
        </w:rPr>
      </w:pPr>
      <w:r>
        <w:rPr>
          <w:rFonts w:hint="eastAsia" w:ascii="宋体" w:hAnsi="宋体" w:cs="宋体"/>
          <w:sz w:val="24"/>
          <w:lang w:val="en-US" w:eastAsia="zh-CN"/>
        </w:rPr>
        <w:t>4.2</w:t>
      </w:r>
      <w:r>
        <w:rPr>
          <w:rFonts w:hint="eastAsia" w:ascii="宋体" w:hAnsi="宋体" w:cs="宋体"/>
          <w:sz w:val="24"/>
          <w:lang w:eastAsia="zh-CN"/>
        </w:rPr>
        <w:t>磋商小组</w:t>
      </w:r>
      <w:r>
        <w:rPr>
          <w:rFonts w:hint="eastAsia" w:ascii="宋体" w:hAnsi="宋体" w:cs="宋体"/>
          <w:sz w:val="24"/>
        </w:rPr>
        <w:t>认为</w:t>
      </w:r>
      <w:r>
        <w:rPr>
          <w:rFonts w:hint="eastAsia" w:ascii="宋体" w:hAnsi="宋体" w:cs="宋体"/>
          <w:sz w:val="24"/>
          <w:lang w:eastAsia="zh-CN"/>
        </w:rPr>
        <w:t>供应商</w:t>
      </w:r>
      <w:r>
        <w:rPr>
          <w:rFonts w:hint="eastAsia" w:ascii="宋体" w:hAnsi="宋体" w:cs="宋体"/>
          <w:sz w:val="24"/>
        </w:rPr>
        <w:t>的</w:t>
      </w:r>
      <w:r>
        <w:rPr>
          <w:rFonts w:hint="eastAsia" w:ascii="宋体" w:hAnsi="宋体" w:cs="宋体"/>
          <w:color w:val="auto"/>
          <w:sz w:val="24"/>
        </w:rPr>
        <w:t>报价明显低于其他</w:t>
      </w:r>
      <w:r>
        <w:rPr>
          <w:rFonts w:hint="eastAsia" w:ascii="宋体" w:hAnsi="宋体" w:cs="宋体"/>
          <w:sz w:val="24"/>
        </w:rPr>
        <w:t>通过符合性审查</w:t>
      </w:r>
      <w:r>
        <w:rPr>
          <w:rFonts w:hint="eastAsia" w:ascii="宋体" w:hAnsi="宋体" w:cs="宋体"/>
          <w:sz w:val="24"/>
          <w:lang w:eastAsia="zh-CN"/>
        </w:rPr>
        <w:t>供应商</w:t>
      </w:r>
      <w:r>
        <w:rPr>
          <w:rFonts w:hint="eastAsia" w:ascii="宋体" w:hAnsi="宋体" w:cs="宋体"/>
          <w:sz w:val="24"/>
        </w:rPr>
        <w:t>的报价，有可能影响产品质量或者不能诚信履约的，应当要求其(远程评标在线说明)提供书面说明，必要时提交相关证明材料；</w:t>
      </w:r>
      <w:r>
        <w:rPr>
          <w:rFonts w:hint="eastAsia" w:ascii="宋体" w:hAnsi="宋体" w:cs="宋体"/>
          <w:sz w:val="24"/>
          <w:lang w:eastAsia="zh-CN"/>
        </w:rPr>
        <w:t>供应商</w:t>
      </w:r>
      <w:r>
        <w:rPr>
          <w:rFonts w:hint="eastAsia" w:ascii="宋体" w:hAnsi="宋体" w:cs="宋体"/>
          <w:sz w:val="24"/>
        </w:rPr>
        <w:t>不能证明其报价合理性的，</w:t>
      </w:r>
      <w:r>
        <w:rPr>
          <w:rFonts w:hint="eastAsia" w:ascii="宋体" w:hAnsi="宋体" w:cs="宋体"/>
          <w:sz w:val="24"/>
          <w:lang w:eastAsia="zh-CN"/>
        </w:rPr>
        <w:t>磋商小组</w:t>
      </w:r>
      <w:r>
        <w:rPr>
          <w:rFonts w:hint="eastAsia" w:ascii="宋体" w:hAnsi="宋体" w:cs="宋体"/>
          <w:sz w:val="24"/>
        </w:rPr>
        <w:t>应当将其作为无效投标处理。</w:t>
      </w:r>
    </w:p>
    <w:p>
      <w:pPr>
        <w:spacing w:line="360" w:lineRule="auto"/>
        <w:rPr>
          <w:rFonts w:hint="eastAsia" w:ascii="宋体" w:hAnsi="宋体"/>
          <w:color w:val="000000"/>
          <w:sz w:val="24"/>
          <w:szCs w:val="24"/>
        </w:rPr>
      </w:pPr>
      <w:r>
        <w:rPr>
          <w:rFonts w:hint="eastAsia" w:ascii="宋体" w:hAnsi="宋体" w:cs="宋体"/>
          <w:sz w:val="24"/>
        </w:rPr>
        <w:t xml:space="preserve">1) </w:t>
      </w:r>
      <w:r>
        <w:rPr>
          <w:rFonts w:hint="eastAsia" w:ascii="宋体" w:hAnsi="宋体" w:cs="宋体"/>
          <w:sz w:val="24"/>
          <w:lang w:eastAsia="zh-CN"/>
        </w:rPr>
        <w:t>供应商</w:t>
      </w:r>
      <w:r>
        <w:rPr>
          <w:rFonts w:hint="eastAsia" w:ascii="宋体" w:hAnsi="宋体" w:cs="宋体"/>
          <w:sz w:val="24"/>
        </w:rPr>
        <w:t>的说明材料应当按照国家财务会计制度的规定要求，逐项就提供的货</w:t>
      </w:r>
      <w:r>
        <w:rPr>
          <w:rFonts w:hint="eastAsia" w:ascii="宋体" w:hAnsi="宋体"/>
          <w:color w:val="000000"/>
          <w:sz w:val="24"/>
          <w:szCs w:val="24"/>
        </w:rPr>
        <w:t>物、工程和服务的主营业务成本、税金及附加、销售费用、管理费用、财务费用、培训费用、售后服务等成本构成事项详细陈述。</w:t>
      </w:r>
    </w:p>
    <w:p>
      <w:pPr>
        <w:spacing w:line="360" w:lineRule="auto"/>
        <w:rPr>
          <w:rFonts w:hint="eastAsia" w:ascii="宋体" w:hAnsi="宋体"/>
          <w:color w:val="000000"/>
          <w:sz w:val="24"/>
          <w:szCs w:val="24"/>
        </w:rPr>
      </w:pPr>
      <w:r>
        <w:rPr>
          <w:rFonts w:hint="eastAsia" w:ascii="宋体" w:hAnsi="宋体"/>
          <w:color w:val="000000"/>
          <w:sz w:val="24"/>
          <w:szCs w:val="24"/>
        </w:rPr>
        <w:t xml:space="preserve">2) </w:t>
      </w:r>
      <w:r>
        <w:rPr>
          <w:rFonts w:hint="eastAsia" w:ascii="宋体" w:hAnsi="宋体"/>
          <w:color w:val="000000"/>
          <w:sz w:val="24"/>
          <w:szCs w:val="24"/>
          <w:lang w:eastAsia="zh-CN"/>
        </w:rPr>
        <w:t>供应商</w:t>
      </w:r>
      <w:r>
        <w:rPr>
          <w:rFonts w:hint="eastAsia" w:ascii="宋体" w:hAnsi="宋体"/>
          <w:color w:val="000000"/>
          <w:sz w:val="24"/>
          <w:szCs w:val="24"/>
        </w:rPr>
        <w:t>答复后，</w:t>
      </w:r>
      <w:r>
        <w:rPr>
          <w:rFonts w:hint="eastAsia" w:ascii="宋体" w:hAnsi="宋体"/>
          <w:color w:val="000000"/>
          <w:sz w:val="24"/>
          <w:szCs w:val="24"/>
          <w:lang w:eastAsia="zh-CN"/>
        </w:rPr>
        <w:t>磋商小组</w:t>
      </w:r>
      <w:r>
        <w:rPr>
          <w:rFonts w:hint="eastAsia" w:ascii="宋体" w:hAnsi="宋体"/>
          <w:color w:val="000000"/>
          <w:sz w:val="24"/>
          <w:szCs w:val="24"/>
        </w:rPr>
        <w:t>应当结合采购项目采购需求、专业实际情况、财务状况报告、与其他</w:t>
      </w:r>
      <w:r>
        <w:rPr>
          <w:rFonts w:hint="eastAsia" w:ascii="宋体" w:hAnsi="宋体"/>
          <w:color w:val="000000"/>
          <w:sz w:val="24"/>
          <w:szCs w:val="24"/>
          <w:lang w:eastAsia="zh-CN"/>
        </w:rPr>
        <w:t>供应商</w:t>
      </w:r>
      <w:r>
        <w:rPr>
          <w:rFonts w:hint="eastAsia" w:ascii="宋体" w:hAnsi="宋体"/>
          <w:color w:val="000000"/>
          <w:sz w:val="24"/>
          <w:szCs w:val="24"/>
        </w:rPr>
        <w:t>比较情况等就</w:t>
      </w:r>
      <w:r>
        <w:rPr>
          <w:rFonts w:hint="eastAsia" w:ascii="宋体" w:hAnsi="宋体"/>
          <w:color w:val="000000"/>
          <w:sz w:val="24"/>
          <w:szCs w:val="24"/>
          <w:lang w:eastAsia="zh-CN"/>
        </w:rPr>
        <w:t>供应商</w:t>
      </w:r>
      <w:r>
        <w:rPr>
          <w:rFonts w:hint="eastAsia" w:ascii="宋体" w:hAnsi="宋体"/>
          <w:color w:val="000000"/>
          <w:sz w:val="24"/>
          <w:szCs w:val="24"/>
        </w:rPr>
        <w:t>说明进行审查评价。</w:t>
      </w:r>
    </w:p>
    <w:p>
      <w:pPr>
        <w:spacing w:line="360" w:lineRule="auto"/>
        <w:outlineLvl w:val="1"/>
        <w:rPr>
          <w:rFonts w:hint="eastAsia" w:ascii="宋体" w:hAnsi="宋体" w:cs="宋体"/>
          <w:b/>
          <w:sz w:val="24"/>
        </w:rPr>
      </w:pPr>
      <w:bookmarkStart w:id="524" w:name="_Toc26697"/>
      <w:bookmarkStart w:id="525" w:name="_Toc6866"/>
      <w:r>
        <w:rPr>
          <w:rFonts w:hint="eastAsia" w:ascii="宋体" w:hAnsi="宋体" w:cs="宋体"/>
          <w:b/>
          <w:sz w:val="24"/>
        </w:rPr>
        <w:t>五、比较与评价</w:t>
      </w:r>
      <w:bookmarkEnd w:id="524"/>
      <w:bookmarkEnd w:id="525"/>
    </w:p>
    <w:p>
      <w:pPr>
        <w:spacing w:line="360" w:lineRule="auto"/>
        <w:rPr>
          <w:rFonts w:hint="eastAsia" w:ascii="宋体" w:hAnsi="宋体" w:cs="宋体"/>
          <w:bCs/>
          <w:sz w:val="24"/>
        </w:rPr>
      </w:pPr>
      <w:r>
        <w:rPr>
          <w:rFonts w:hint="eastAsia" w:ascii="宋体" w:hAnsi="宋体" w:cs="宋体"/>
          <w:sz w:val="24"/>
        </w:rPr>
        <w:t>5.1经磋商确定</w:t>
      </w:r>
      <w:r>
        <w:rPr>
          <w:rFonts w:hint="eastAsia" w:ascii="宋体" w:hAnsi="宋体" w:cs="宋体"/>
          <w:bCs/>
          <w:sz w:val="24"/>
        </w:rPr>
        <w:t>最终采购需求和提交最后报价的供应商后，由磋商小组采用综合评分法对提交最后报价的供应商的响应文件和最后报价进行综合评分。</w:t>
      </w:r>
    </w:p>
    <w:p>
      <w:pPr>
        <w:spacing w:line="360" w:lineRule="auto"/>
        <w:rPr>
          <w:rFonts w:hint="eastAsia" w:ascii="宋体" w:hAnsi="宋体" w:cs="宋体"/>
          <w:sz w:val="24"/>
        </w:rPr>
      </w:pPr>
      <w:r>
        <w:rPr>
          <w:rFonts w:hint="eastAsia" w:ascii="宋体" w:hAnsi="宋体" w:cs="宋体"/>
          <w:sz w:val="24"/>
        </w:rPr>
        <w:t>综合评分法，是指响应文件满足竞争性磋商文件全部实质性要求且按评审因素的量化指标评审得分最高的供应商为成交候选供应商的评审方法。</w:t>
      </w:r>
    </w:p>
    <w:p>
      <w:pPr>
        <w:spacing w:line="360" w:lineRule="auto"/>
        <w:rPr>
          <w:rFonts w:hint="eastAsia" w:ascii="宋体" w:hAnsi="宋体" w:cs="宋体"/>
          <w:sz w:val="24"/>
        </w:rPr>
      </w:pPr>
      <w:r>
        <w:rPr>
          <w:rFonts w:hint="eastAsia" w:ascii="宋体" w:hAnsi="宋体" w:cs="宋体"/>
          <w:sz w:val="24"/>
        </w:rPr>
        <w:t>5.2磋商小组应当根据综合评分情况，按照评审得分由高到低顺序推荐3名成交候选供应商，并编写评审报告。评审得分相同的，按照最后报价由低到高的顺序推荐。评审得分且最后报价相同的，按照技术指标优劣顺序推荐。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rPr>
          <w:rFonts w:hint="eastAsia" w:ascii="宋体" w:hAnsi="宋体" w:cs="宋体"/>
          <w:sz w:val="24"/>
        </w:rPr>
      </w:pPr>
      <w:r>
        <w:rPr>
          <w:rFonts w:hint="eastAsia" w:ascii="宋体" w:hAnsi="宋体" w:cs="宋体"/>
          <w:sz w:val="24"/>
        </w:rPr>
        <w:t>5.3综合评分明细表</w:t>
      </w:r>
    </w:p>
    <w:p>
      <w:pPr>
        <w:snapToGrid w:val="0"/>
        <w:spacing w:line="360" w:lineRule="auto"/>
        <w:outlineLvl w:val="0"/>
        <w:rPr>
          <w:rFonts w:hint="eastAsia" w:ascii="宋体" w:hAnsi="宋体" w:cs="宋体"/>
          <w:b/>
          <w:bCs/>
          <w:sz w:val="24"/>
        </w:rPr>
      </w:pPr>
      <w:bookmarkStart w:id="526" w:name="_Toc29476"/>
      <w:bookmarkStart w:id="527" w:name="_Toc10602"/>
      <w:r>
        <w:rPr>
          <w:rFonts w:hint="eastAsia" w:ascii="宋体" w:hAnsi="宋体" w:cs="宋体"/>
          <w:b/>
          <w:bCs/>
          <w:sz w:val="24"/>
        </w:rPr>
        <w:t>附表：评标细则</w:t>
      </w:r>
      <w:bookmarkEnd w:id="515"/>
      <w:bookmarkEnd w:id="526"/>
      <w:bookmarkEnd w:id="527"/>
    </w:p>
    <w:p>
      <w:pPr>
        <w:spacing w:line="360" w:lineRule="auto"/>
        <w:ind w:firstLine="465"/>
        <w:rPr>
          <w:rFonts w:hint="eastAsia" w:ascii="宋体" w:hAnsi="宋体"/>
          <w:color w:val="auto"/>
          <w:sz w:val="24"/>
          <w:szCs w:val="24"/>
        </w:rPr>
      </w:pPr>
      <w:bookmarkStart w:id="528" w:name="_Toc417810482"/>
      <w:r>
        <w:rPr>
          <w:rFonts w:hint="eastAsia" w:ascii="宋体" w:hAnsi="宋体"/>
          <w:color w:val="auto"/>
          <w:sz w:val="24"/>
          <w:szCs w:val="24"/>
        </w:rPr>
        <w:t>（一）总则</w:t>
      </w:r>
      <w:bookmarkEnd w:id="528"/>
    </w:p>
    <w:p>
      <w:pPr>
        <w:spacing w:line="360" w:lineRule="auto"/>
        <w:ind w:firstLine="465"/>
        <w:rPr>
          <w:rFonts w:hint="eastAsia" w:ascii="宋体" w:hAnsi="宋体"/>
          <w:color w:val="auto"/>
          <w:sz w:val="24"/>
          <w:szCs w:val="24"/>
        </w:rPr>
      </w:pPr>
      <w:r>
        <w:rPr>
          <w:rFonts w:hint="eastAsia" w:ascii="宋体" w:hAnsi="宋体"/>
          <w:color w:val="auto"/>
          <w:sz w:val="24"/>
          <w:szCs w:val="24"/>
        </w:rPr>
        <w:t>本次评标采用综合评分法，总分为100分。评分过程中采用四舍五入法，保留小数2位。</w:t>
      </w:r>
    </w:p>
    <w:p>
      <w:pPr>
        <w:spacing w:line="360" w:lineRule="auto"/>
        <w:ind w:firstLine="465"/>
        <w:rPr>
          <w:rFonts w:hint="eastAsia" w:ascii="宋体" w:hAnsi="宋体"/>
          <w:color w:val="auto"/>
          <w:sz w:val="24"/>
          <w:szCs w:val="24"/>
        </w:rPr>
      </w:pPr>
      <w:bookmarkStart w:id="529" w:name="_Toc417810483"/>
      <w:r>
        <w:rPr>
          <w:rFonts w:hint="eastAsia" w:ascii="宋体" w:hAnsi="宋体"/>
          <w:color w:val="auto"/>
          <w:sz w:val="24"/>
          <w:szCs w:val="24"/>
        </w:rPr>
        <w:t>（二）评标内容及标准</w:t>
      </w:r>
      <w:bookmarkEnd w:id="529"/>
    </w:p>
    <w:p>
      <w:pPr>
        <w:spacing w:line="360" w:lineRule="auto"/>
        <w:ind w:firstLine="465"/>
        <w:rPr>
          <w:rFonts w:hint="eastAsia" w:ascii="宋体" w:hAnsi="宋体"/>
          <w:color w:val="auto"/>
          <w:sz w:val="24"/>
          <w:szCs w:val="24"/>
        </w:rPr>
      </w:pPr>
      <w:r>
        <w:rPr>
          <w:rFonts w:ascii="宋体" w:hAnsi="宋体"/>
          <w:color w:val="auto"/>
          <w:sz w:val="24"/>
          <w:szCs w:val="24"/>
        </w:rPr>
        <w:t>1</w:t>
      </w:r>
      <w:r>
        <w:rPr>
          <w:rFonts w:hint="eastAsia" w:ascii="宋体" w:hAnsi="宋体"/>
          <w:color w:val="auto"/>
          <w:sz w:val="24"/>
          <w:szCs w:val="24"/>
        </w:rPr>
        <w:t>、价格分。</w:t>
      </w:r>
      <w:r>
        <w:rPr>
          <w:rFonts w:hint="eastAsia" w:ascii="宋体" w:hAnsi="宋体"/>
          <w:color w:val="auto"/>
          <w:sz w:val="24"/>
          <w:szCs w:val="24"/>
          <w:u w:val="single"/>
        </w:rPr>
        <w:t>（45分）</w:t>
      </w:r>
    </w:p>
    <w:p>
      <w:pPr>
        <w:pStyle w:val="12"/>
        <w:snapToGrid/>
        <w:spacing w:line="360" w:lineRule="auto"/>
        <w:ind w:firstLine="48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评标基准值的计算方法</w:t>
      </w:r>
    </w:p>
    <w:p>
      <w:pPr>
        <w:autoSpaceDE w:val="0"/>
        <w:autoSpaceDN w:val="0"/>
        <w:adjustRightInd w:val="0"/>
        <w:spacing w:line="360" w:lineRule="auto"/>
        <w:ind w:firstLine="480"/>
        <w:rPr>
          <w:rFonts w:hint="eastAsia" w:ascii="宋体" w:cs="宋体"/>
          <w:color w:val="auto"/>
          <w:sz w:val="24"/>
          <w:lang w:val="zh-CN"/>
        </w:rPr>
      </w:pPr>
      <w:r>
        <w:rPr>
          <w:rFonts w:hint="eastAsia" w:ascii="宋体" w:cs="宋体"/>
          <w:color w:val="auto"/>
          <w:sz w:val="24"/>
          <w:lang w:val="zh-CN"/>
        </w:rPr>
        <w:t>评标基准值</w:t>
      </w:r>
      <w:r>
        <w:rPr>
          <w:rFonts w:ascii="幼圆" w:eastAsia="幼圆" w:cs="幼圆"/>
          <w:color w:val="auto"/>
          <w:sz w:val="24"/>
          <w:lang w:val="zh-CN"/>
        </w:rPr>
        <w:t>=</w:t>
      </w:r>
      <w:r>
        <w:rPr>
          <w:rFonts w:hint="eastAsia" w:ascii="宋体" w:cs="宋体"/>
          <w:color w:val="auto"/>
          <w:sz w:val="24"/>
          <w:lang w:val="zh-CN"/>
        </w:rPr>
        <w:t>有效投标人的最低投标报价。</w:t>
      </w:r>
    </w:p>
    <w:p>
      <w:pPr>
        <w:autoSpaceDE w:val="0"/>
        <w:autoSpaceDN w:val="0"/>
        <w:adjustRightInd w:val="0"/>
        <w:spacing w:line="360" w:lineRule="auto"/>
        <w:ind w:firstLine="480"/>
        <w:rPr>
          <w:rFonts w:ascii="幼圆" w:eastAsia="幼圆" w:cs="幼圆"/>
          <w:color w:val="auto"/>
          <w:sz w:val="24"/>
          <w:lang w:val="zh-CN"/>
        </w:rPr>
      </w:pPr>
      <w:r>
        <w:rPr>
          <w:rFonts w:hint="eastAsia" w:ascii="宋体" w:cs="宋体"/>
          <w:color w:val="auto"/>
          <w:sz w:val="24"/>
          <w:lang w:val="zh-CN"/>
        </w:rPr>
        <w:t>（有效投标人：指通过资格性、符合性审查未被判定为无效投标的供应商）</w:t>
      </w:r>
    </w:p>
    <w:p>
      <w:pPr>
        <w:autoSpaceDE w:val="0"/>
        <w:autoSpaceDN w:val="0"/>
        <w:adjustRightInd w:val="0"/>
        <w:spacing w:line="360" w:lineRule="auto"/>
        <w:ind w:left="496"/>
        <w:rPr>
          <w:rFonts w:hint="eastAsia" w:ascii="宋体" w:cs="宋体"/>
          <w:color w:val="auto"/>
          <w:sz w:val="24"/>
          <w:lang w:val="zh-CN"/>
        </w:rPr>
      </w:pPr>
      <w:r>
        <w:rPr>
          <w:rFonts w:hint="eastAsia" w:ascii="宋体" w:cs="宋体"/>
          <w:color w:val="auto"/>
          <w:sz w:val="24"/>
          <w:lang w:val="zh-CN"/>
        </w:rPr>
        <w:t>投标报价得分</w:t>
      </w:r>
      <w:r>
        <w:rPr>
          <w:rFonts w:ascii="幼圆" w:eastAsia="幼圆" w:cs="幼圆"/>
          <w:color w:val="auto"/>
          <w:sz w:val="24"/>
          <w:lang w:val="zh-CN"/>
        </w:rPr>
        <w:t>=</w:t>
      </w:r>
      <w:r>
        <w:rPr>
          <w:rFonts w:hint="eastAsia" w:ascii="宋体" w:cs="宋体"/>
          <w:color w:val="auto"/>
          <w:sz w:val="24"/>
          <w:lang w:val="zh-CN"/>
        </w:rPr>
        <w:t>评标基准值</w:t>
      </w:r>
      <w:r>
        <w:rPr>
          <w:rFonts w:ascii="幼圆" w:eastAsia="幼圆" w:cs="幼圆"/>
          <w:color w:val="auto"/>
          <w:sz w:val="24"/>
          <w:lang w:val="zh-CN"/>
        </w:rPr>
        <w:t>/</w:t>
      </w:r>
      <w:r>
        <w:rPr>
          <w:rFonts w:hint="eastAsia" w:ascii="宋体" w:hAnsi="Times New Roman" w:cs="宋体"/>
          <w:color w:val="auto"/>
          <w:sz w:val="24"/>
          <w:lang w:val="zh-CN"/>
        </w:rPr>
        <w:t>最终</w:t>
      </w:r>
      <w:r>
        <w:rPr>
          <w:rFonts w:hint="eastAsia" w:ascii="宋体" w:cs="宋体"/>
          <w:color w:val="auto"/>
          <w:sz w:val="24"/>
          <w:lang w:val="zh-CN"/>
        </w:rPr>
        <w:t>投标报价</w:t>
      </w:r>
      <w:r>
        <w:rPr>
          <w:color w:val="auto"/>
          <w:sz w:val="24"/>
        </w:rPr>
        <w:t>×</w:t>
      </w:r>
      <w:r>
        <w:rPr>
          <w:rFonts w:hint="eastAsia"/>
          <w:color w:val="auto"/>
          <w:sz w:val="24"/>
        </w:rPr>
        <w:t>45</w:t>
      </w:r>
      <w:r>
        <w:rPr>
          <w:rFonts w:hint="eastAsia" w:ascii="宋体" w:cs="宋体"/>
          <w:color w:val="auto"/>
          <w:sz w:val="24"/>
          <w:lang w:val="zh-CN"/>
        </w:rPr>
        <w:t>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zh-CN"/>
        </w:rPr>
        <w:t>价格扣除：对小型和微型企业产品的价格给予6%的扣除，用扣除后的价格参与评审。参加投标的中小企业，应当按照《政府采购促进中小企业发展暂行办法》（财库〔2011〕181号）的规定提供《中小企业声明函》（中小企业划型标准详见《关于印发中小企业划型标准规定的通知》工信部联企业〔2011〕300号）、《财政部 民政部 中国残疾人联合会关于促进残疾人就业政府采购政策的通知》（财库〔2017〕141号）、《财政部、司法部关于政府采购支持监狱企业发展有关问题的通知》（财库[2014]68 号）。</w:t>
      </w:r>
    </w:p>
    <w:p>
      <w:pPr>
        <w:spacing w:line="360" w:lineRule="auto"/>
        <w:ind w:firstLine="465"/>
        <w:rPr>
          <w:rFonts w:hint="eastAsia" w:ascii="宋体" w:hAnsi="宋体"/>
          <w:color w:val="auto"/>
          <w:sz w:val="24"/>
          <w:szCs w:val="24"/>
        </w:rPr>
      </w:pPr>
      <w:r>
        <w:rPr>
          <w:rFonts w:hint="eastAsia" w:ascii="宋体" w:hAnsi="宋体"/>
          <w:color w:val="auto"/>
          <w:sz w:val="24"/>
          <w:szCs w:val="24"/>
        </w:rPr>
        <w:t>2、技术部分（35分）</w:t>
      </w:r>
    </w:p>
    <w:p>
      <w:pPr>
        <w:spacing w:line="360" w:lineRule="auto"/>
        <w:ind w:firstLine="465"/>
        <w:rPr>
          <w:rFonts w:hint="eastAsia" w:ascii="宋体" w:hAnsi="宋体"/>
          <w:color w:val="auto"/>
          <w:sz w:val="24"/>
          <w:szCs w:val="24"/>
        </w:rPr>
      </w:pPr>
      <w:r>
        <w:rPr>
          <w:rFonts w:hint="eastAsia" w:ascii="宋体" w:hAnsi="宋体"/>
          <w:color w:val="auto"/>
          <w:sz w:val="24"/>
          <w:szCs w:val="24"/>
        </w:rPr>
        <w:t>完全满足招标文件技术参数的，得35分。</w:t>
      </w:r>
    </w:p>
    <w:p>
      <w:pPr>
        <w:spacing w:line="360" w:lineRule="auto"/>
        <w:ind w:firstLine="465"/>
        <w:rPr>
          <w:rFonts w:hint="eastAsia" w:ascii="宋体" w:hAnsi="宋体"/>
          <w:color w:val="auto"/>
          <w:sz w:val="24"/>
          <w:szCs w:val="24"/>
        </w:rPr>
      </w:pPr>
      <w:r>
        <w:rPr>
          <w:rFonts w:hint="eastAsia" w:ascii="宋体" w:hAnsi="宋体"/>
          <w:color w:val="auto"/>
          <w:sz w:val="24"/>
          <w:szCs w:val="24"/>
        </w:rPr>
        <w:t>评标委员会根据投标人提供的产品技术证明等文件，判断所投产品是否满足招标文件的要求。</w:t>
      </w:r>
    </w:p>
    <w:p>
      <w:pPr>
        <w:spacing w:line="360" w:lineRule="auto"/>
        <w:ind w:firstLine="465"/>
        <w:rPr>
          <w:rFonts w:hint="eastAsia" w:ascii="宋体" w:hAnsi="宋体"/>
          <w:color w:val="auto"/>
          <w:sz w:val="24"/>
          <w:szCs w:val="24"/>
          <w:lang w:eastAsia="zh-CN"/>
        </w:rPr>
      </w:pPr>
      <w:r>
        <w:rPr>
          <w:rFonts w:hint="eastAsia" w:ascii="宋体" w:hAnsi="宋体"/>
          <w:color w:val="auto"/>
          <w:sz w:val="24"/>
          <w:szCs w:val="24"/>
        </w:rPr>
        <w:t>其中“★”指标</w:t>
      </w:r>
      <w:r>
        <w:rPr>
          <w:rFonts w:hint="eastAsia" w:ascii="宋体" w:hAnsi="宋体"/>
          <w:color w:val="auto"/>
          <w:sz w:val="24"/>
          <w:szCs w:val="24"/>
          <w:lang w:val="en-US" w:eastAsia="zh-CN"/>
        </w:rPr>
        <w:t>9</w:t>
      </w:r>
      <w:r>
        <w:rPr>
          <w:rFonts w:hint="eastAsia" w:ascii="宋体" w:hAnsi="宋体"/>
          <w:color w:val="auto"/>
          <w:sz w:val="24"/>
          <w:szCs w:val="24"/>
        </w:rPr>
        <w:t>项</w:t>
      </w:r>
      <w:r>
        <w:rPr>
          <w:rFonts w:hint="eastAsia" w:ascii="宋体" w:hAnsi="宋体"/>
          <w:color w:val="auto"/>
          <w:sz w:val="24"/>
          <w:szCs w:val="24"/>
          <w:lang w:eastAsia="zh-CN"/>
        </w:rPr>
        <w:t>为必须满足项，不允许负偏差，否则视为未实质性响应采购文件要求，做无效标处理。“正偏差”视满足。</w:t>
      </w:r>
    </w:p>
    <w:p>
      <w:pPr>
        <w:spacing w:line="360" w:lineRule="auto"/>
        <w:ind w:firstLine="465"/>
        <w:rPr>
          <w:rFonts w:hint="default" w:ascii="宋体" w:hAnsi="宋体" w:eastAsia="宋体"/>
          <w:color w:val="auto"/>
          <w:sz w:val="24"/>
          <w:szCs w:val="24"/>
          <w:highlight w:val="none"/>
          <w:lang w:val="en-US" w:eastAsia="zh-CN"/>
        </w:rPr>
      </w:pPr>
      <w:r>
        <w:rPr>
          <w:rFonts w:hint="eastAsia" w:ascii="宋体" w:hAnsi="宋体"/>
          <w:color w:val="auto"/>
          <w:sz w:val="24"/>
          <w:szCs w:val="24"/>
        </w:rPr>
        <w:t>非“★”指标</w:t>
      </w:r>
      <w:r>
        <w:rPr>
          <w:rFonts w:hint="eastAsia" w:ascii="宋体" w:hAnsi="宋体"/>
          <w:color w:val="auto"/>
          <w:sz w:val="24"/>
          <w:szCs w:val="24"/>
          <w:lang w:val="en-US" w:eastAsia="zh-CN"/>
        </w:rPr>
        <w:t>76</w:t>
      </w:r>
      <w:r>
        <w:rPr>
          <w:rFonts w:hint="eastAsia" w:ascii="宋体" w:hAnsi="宋体"/>
          <w:color w:val="auto"/>
          <w:sz w:val="24"/>
          <w:szCs w:val="24"/>
        </w:rPr>
        <w:t>项，有一项不满足</w:t>
      </w:r>
      <w:r>
        <w:rPr>
          <w:rFonts w:hint="eastAsia" w:ascii="宋体" w:hAnsi="宋体"/>
          <w:color w:val="auto"/>
          <w:sz w:val="24"/>
          <w:szCs w:val="24"/>
          <w:highlight w:val="none"/>
        </w:rPr>
        <w:t>扣</w:t>
      </w:r>
      <w:r>
        <w:rPr>
          <w:rFonts w:hint="eastAsia" w:ascii="宋体" w:hAnsi="宋体"/>
          <w:color w:val="auto"/>
          <w:sz w:val="24"/>
          <w:szCs w:val="24"/>
          <w:highlight w:val="none"/>
          <w:lang w:val="en-US" w:eastAsia="zh-CN"/>
        </w:rPr>
        <w:t>0.46</w:t>
      </w:r>
      <w:r>
        <w:rPr>
          <w:rFonts w:hint="eastAsia" w:ascii="宋体" w:hAnsi="宋体"/>
          <w:color w:val="auto"/>
          <w:sz w:val="24"/>
          <w:szCs w:val="24"/>
          <w:highlight w:val="none"/>
        </w:rPr>
        <w:t>分</w:t>
      </w:r>
      <w:r>
        <w:rPr>
          <w:rFonts w:hint="eastAsia" w:ascii="宋体" w:hAnsi="宋体"/>
          <w:color w:val="auto"/>
          <w:sz w:val="24"/>
          <w:szCs w:val="24"/>
          <w:highlight w:val="none"/>
          <w:lang w:eastAsia="zh-CN"/>
        </w:rPr>
        <w:t>。</w:t>
      </w:r>
      <w:r>
        <w:rPr>
          <w:rFonts w:hint="eastAsia" w:ascii="宋体" w:hAnsi="宋体"/>
          <w:color w:val="auto"/>
          <w:sz w:val="24"/>
          <w:szCs w:val="24"/>
          <w:lang w:eastAsia="zh-CN"/>
        </w:rPr>
        <w:t>“正偏差”视满足，“负偏差”为不满足采购文件要求，按要求扣分。</w:t>
      </w:r>
      <w:r>
        <w:rPr>
          <w:rFonts w:hint="eastAsia" w:ascii="宋体" w:hAnsi="宋体"/>
          <w:color w:val="auto"/>
          <w:sz w:val="24"/>
          <w:szCs w:val="24"/>
          <w:highlight w:val="none"/>
          <w:lang w:eastAsia="zh-CN"/>
        </w:rPr>
        <w:t>当详细技术参数及要求的响应情况得分等于</w:t>
      </w:r>
      <w:r>
        <w:rPr>
          <w:rFonts w:hint="eastAsia" w:ascii="宋体" w:hAnsi="宋体"/>
          <w:color w:val="auto"/>
          <w:sz w:val="24"/>
          <w:szCs w:val="24"/>
          <w:highlight w:val="none"/>
          <w:lang w:val="en-US" w:eastAsia="zh-CN"/>
        </w:rPr>
        <w:t>0分时，视为技术要求不满足招标文件，其投标无效。</w:t>
      </w:r>
    </w:p>
    <w:p>
      <w:pPr>
        <w:spacing w:line="360" w:lineRule="auto"/>
        <w:ind w:firstLine="465"/>
        <w:rPr>
          <w:rFonts w:hint="eastAsia" w:ascii="宋体" w:hAnsi="宋体"/>
          <w:color w:val="auto"/>
          <w:sz w:val="24"/>
          <w:szCs w:val="24"/>
        </w:rPr>
      </w:pPr>
      <w:r>
        <w:rPr>
          <w:rFonts w:hint="eastAsia" w:ascii="宋体" w:hAnsi="宋体"/>
          <w:color w:val="auto"/>
          <w:sz w:val="24"/>
          <w:szCs w:val="24"/>
        </w:rPr>
        <w:t>3、商务部分。（20分）</w:t>
      </w:r>
    </w:p>
    <w:p>
      <w:pPr>
        <w:spacing w:line="360" w:lineRule="auto"/>
        <w:ind w:firstLine="465"/>
        <w:rPr>
          <w:rFonts w:hint="eastAsia" w:ascii="宋体" w:hAnsi="宋体"/>
          <w:color w:val="auto"/>
          <w:sz w:val="24"/>
          <w:szCs w:val="24"/>
        </w:rPr>
      </w:pPr>
      <w:r>
        <w:rPr>
          <w:rFonts w:hint="eastAsia" w:ascii="宋体" w:hAnsi="宋体"/>
          <w:color w:val="auto"/>
          <w:sz w:val="24"/>
          <w:szCs w:val="24"/>
        </w:rPr>
        <w:t>（1）提供近三年以来，所投项目设备类似业绩（合同和中标通知书</w:t>
      </w:r>
      <w:r>
        <w:rPr>
          <w:rFonts w:hint="eastAsia" w:ascii="宋体" w:hAnsi="宋体"/>
          <w:color w:val="auto"/>
          <w:sz w:val="24"/>
          <w:szCs w:val="24"/>
          <w:lang w:eastAsia="zh-CN"/>
        </w:rPr>
        <w:t>扫描件</w:t>
      </w:r>
      <w:r>
        <w:rPr>
          <w:rFonts w:hint="eastAsia" w:ascii="宋体" w:hAnsi="宋体"/>
          <w:color w:val="auto"/>
          <w:sz w:val="24"/>
          <w:szCs w:val="24"/>
        </w:rPr>
        <w:t>、中标公告截图同时提供）每提供1份，得1分，最多得3分。</w:t>
      </w:r>
    </w:p>
    <w:p>
      <w:pPr>
        <w:spacing w:line="360" w:lineRule="auto"/>
        <w:ind w:firstLine="465"/>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供应商</w:t>
      </w:r>
      <w:r>
        <w:rPr>
          <w:rFonts w:hint="eastAsia" w:ascii="宋体" w:hAnsi="宋体"/>
          <w:color w:val="auto"/>
          <w:sz w:val="24"/>
          <w:szCs w:val="24"/>
        </w:rPr>
        <w:t>通过质量管理体系认证、环境管理体系认证、职业健康管理体系认证，提供查询截图（国家认监委管理体系查询网址：</w:t>
      </w:r>
      <w:r>
        <w:rPr>
          <w:rFonts w:ascii="宋体" w:hAnsi="宋体"/>
          <w:color w:val="auto"/>
          <w:sz w:val="24"/>
          <w:szCs w:val="24"/>
        </w:rPr>
        <w:fldChar w:fldCharType="begin"/>
      </w:r>
      <w:r>
        <w:rPr>
          <w:rFonts w:ascii="宋体" w:hAnsi="宋体"/>
          <w:color w:val="auto"/>
          <w:sz w:val="24"/>
          <w:szCs w:val="24"/>
        </w:rPr>
        <w:instrText xml:space="preserve"> HYPERLINK "http://www.cnca.gov.cn）。" </w:instrText>
      </w:r>
      <w:r>
        <w:rPr>
          <w:rFonts w:ascii="宋体" w:hAnsi="宋体"/>
          <w:color w:val="auto"/>
          <w:sz w:val="24"/>
          <w:szCs w:val="24"/>
        </w:rPr>
        <w:fldChar w:fldCharType="separate"/>
      </w:r>
      <w:r>
        <w:rPr>
          <w:rFonts w:hint="eastAsia" w:ascii="宋体" w:hAnsi="宋体"/>
          <w:color w:val="auto"/>
          <w:sz w:val="24"/>
          <w:szCs w:val="24"/>
        </w:rPr>
        <w:t>www.cnca.gov.cn）。</w:t>
      </w:r>
      <w:r>
        <w:rPr>
          <w:rFonts w:ascii="宋体" w:hAnsi="宋体"/>
          <w:color w:val="auto"/>
          <w:sz w:val="24"/>
          <w:szCs w:val="24"/>
        </w:rPr>
        <w:fldChar w:fldCharType="end"/>
      </w:r>
      <w:r>
        <w:rPr>
          <w:rFonts w:hint="eastAsia" w:ascii="宋体" w:hAnsi="宋体"/>
          <w:color w:val="auto"/>
          <w:sz w:val="24"/>
          <w:szCs w:val="24"/>
        </w:rPr>
        <w:t>三证齐全得2分，不提供和提供不全不得分。</w:t>
      </w:r>
    </w:p>
    <w:p>
      <w:pPr>
        <w:spacing w:line="360" w:lineRule="auto"/>
        <w:ind w:firstLine="465"/>
        <w:rPr>
          <w:rFonts w:hint="eastAsia" w:ascii="宋体" w:hAnsi="宋体" w:cs="Times New Roman"/>
          <w:color w:val="auto"/>
          <w:sz w:val="24"/>
          <w:szCs w:val="24"/>
        </w:rPr>
      </w:pPr>
      <w:r>
        <w:rPr>
          <w:rFonts w:hint="eastAsia" w:ascii="宋体" w:hAnsi="宋体" w:cs="Times New Roman"/>
          <w:color w:val="auto"/>
          <w:sz w:val="24"/>
          <w:szCs w:val="24"/>
        </w:rPr>
        <w:t>（3）产品材料无毒害证明，学生云终端和云主机需提供中国RoHS检测报告得2分，提供不全者不得分。</w:t>
      </w:r>
    </w:p>
    <w:p>
      <w:pPr>
        <w:spacing w:line="360" w:lineRule="auto"/>
        <w:ind w:firstLine="465"/>
        <w:rPr>
          <w:rFonts w:hint="eastAsia" w:ascii="宋体" w:hAnsi="宋体" w:cs="Times New Roman"/>
          <w:color w:val="auto"/>
          <w:sz w:val="24"/>
          <w:szCs w:val="24"/>
        </w:rPr>
      </w:pPr>
      <w:r>
        <w:rPr>
          <w:rFonts w:hint="eastAsia" w:ascii="宋体" w:hAnsi="宋体" w:cs="Times New Roman"/>
          <w:color w:val="auto"/>
          <w:sz w:val="24"/>
          <w:szCs w:val="24"/>
        </w:rPr>
        <w:t>（4）为保证软件产品的成熟度数字语言实验室软件需提供用户使用报告不少于10份得2分，提供不全者不得分。</w:t>
      </w:r>
    </w:p>
    <w:p>
      <w:pPr>
        <w:spacing w:line="360" w:lineRule="auto"/>
        <w:ind w:firstLine="465"/>
        <w:rPr>
          <w:rFonts w:hint="eastAsia" w:ascii="宋体" w:hAnsi="宋体"/>
          <w:color w:val="auto"/>
          <w:sz w:val="24"/>
          <w:szCs w:val="24"/>
        </w:rPr>
      </w:pPr>
      <w:r>
        <w:rPr>
          <w:rFonts w:hint="eastAsia" w:ascii="宋体" w:hAnsi="宋体"/>
          <w:color w:val="auto"/>
          <w:sz w:val="24"/>
          <w:szCs w:val="24"/>
        </w:rPr>
        <w:t>（5）售后服务要求（5分）</w:t>
      </w:r>
    </w:p>
    <w:p>
      <w:pPr>
        <w:spacing w:line="360" w:lineRule="auto"/>
        <w:ind w:firstLine="465"/>
        <w:rPr>
          <w:rFonts w:hint="eastAsia" w:ascii="宋体" w:hAnsi="宋体"/>
          <w:color w:val="FF0000"/>
          <w:sz w:val="24"/>
          <w:szCs w:val="24"/>
        </w:rPr>
      </w:pPr>
      <w:r>
        <w:rPr>
          <w:rFonts w:hint="eastAsia" w:ascii="宋体" w:hAnsi="宋体"/>
          <w:color w:val="auto"/>
          <w:sz w:val="24"/>
          <w:szCs w:val="24"/>
        </w:rPr>
        <w:t>①接到工作任务后，积极配合校方工作，投入充足人员、设备，保证服务质量的承诺和措施；内容具体全面，可操作性强的，得</w:t>
      </w:r>
      <w:r>
        <w:rPr>
          <w:rFonts w:hint="eastAsia" w:ascii="宋体" w:hAnsi="宋体"/>
          <w:color w:val="auto"/>
          <w:sz w:val="24"/>
          <w:szCs w:val="24"/>
          <w:lang w:val="en-US" w:eastAsia="zh-CN"/>
        </w:rPr>
        <w:t>2</w:t>
      </w:r>
      <w:r>
        <w:rPr>
          <w:rFonts w:hint="eastAsia" w:ascii="宋体" w:hAnsi="宋体"/>
          <w:color w:val="auto"/>
          <w:sz w:val="24"/>
          <w:szCs w:val="24"/>
        </w:rPr>
        <w:t>分；内容不够详实，且有缺项的，得</w:t>
      </w:r>
      <w:r>
        <w:rPr>
          <w:rFonts w:hint="eastAsia" w:ascii="宋体" w:hAnsi="宋体"/>
          <w:color w:val="auto"/>
          <w:sz w:val="24"/>
          <w:szCs w:val="24"/>
          <w:lang w:val="en-US" w:eastAsia="zh-CN"/>
        </w:rPr>
        <w:t>1</w:t>
      </w:r>
      <w:r>
        <w:rPr>
          <w:rFonts w:hint="eastAsia" w:ascii="宋体" w:hAnsi="宋体"/>
          <w:color w:val="auto"/>
          <w:sz w:val="24"/>
          <w:szCs w:val="24"/>
        </w:rPr>
        <w:t>分；不提供的得0分。</w:t>
      </w:r>
    </w:p>
    <w:p>
      <w:pPr>
        <w:spacing w:line="360" w:lineRule="auto"/>
        <w:ind w:firstLine="465"/>
        <w:rPr>
          <w:rFonts w:hint="eastAsia" w:ascii="宋体" w:hAnsi="宋体"/>
          <w:color w:val="auto"/>
          <w:sz w:val="24"/>
          <w:szCs w:val="24"/>
        </w:rPr>
      </w:pPr>
      <w:r>
        <w:rPr>
          <w:rFonts w:hint="eastAsia" w:ascii="宋体" w:hAnsi="宋体"/>
          <w:color w:val="auto"/>
          <w:sz w:val="24"/>
          <w:szCs w:val="24"/>
        </w:rPr>
        <w:t>②做好各项协调工作，保证工作顺利进行的承诺和措施；内容具体全面，可操作性强的，得</w:t>
      </w:r>
      <w:r>
        <w:rPr>
          <w:rFonts w:hint="eastAsia" w:ascii="宋体" w:hAnsi="宋体"/>
          <w:color w:val="auto"/>
          <w:sz w:val="24"/>
          <w:szCs w:val="24"/>
          <w:lang w:val="en-US" w:eastAsia="zh-CN"/>
        </w:rPr>
        <w:t>2</w:t>
      </w:r>
      <w:r>
        <w:rPr>
          <w:rFonts w:hint="eastAsia" w:ascii="宋体" w:hAnsi="宋体"/>
          <w:color w:val="auto"/>
          <w:sz w:val="24"/>
          <w:szCs w:val="24"/>
        </w:rPr>
        <w:t>分；内容不够详实，且有缺项的，得</w:t>
      </w:r>
      <w:r>
        <w:rPr>
          <w:rFonts w:hint="eastAsia" w:ascii="宋体" w:hAnsi="宋体"/>
          <w:color w:val="auto"/>
          <w:sz w:val="24"/>
          <w:szCs w:val="24"/>
          <w:lang w:val="en-US" w:eastAsia="zh-CN"/>
        </w:rPr>
        <w:t>1</w:t>
      </w:r>
      <w:r>
        <w:rPr>
          <w:rFonts w:hint="eastAsia" w:ascii="宋体" w:hAnsi="宋体"/>
          <w:color w:val="auto"/>
          <w:sz w:val="24"/>
          <w:szCs w:val="24"/>
        </w:rPr>
        <w:t>分；不提供的得0分。</w:t>
      </w:r>
    </w:p>
    <w:p>
      <w:pPr>
        <w:spacing w:line="360" w:lineRule="auto"/>
        <w:ind w:firstLine="465"/>
        <w:rPr>
          <w:rFonts w:hint="eastAsia" w:ascii="宋体" w:hAnsi="宋体" w:eastAsia="宋体"/>
          <w:color w:val="auto"/>
          <w:sz w:val="24"/>
          <w:szCs w:val="24"/>
          <w:lang w:eastAsia="zh-CN"/>
        </w:rPr>
      </w:pPr>
      <w:r>
        <w:rPr>
          <w:rFonts w:hint="eastAsia" w:ascii="宋体" w:hAnsi="宋体"/>
          <w:color w:val="auto"/>
          <w:sz w:val="24"/>
          <w:szCs w:val="24"/>
        </w:rPr>
        <w:t>③针对服务对象有其他需求的服务承诺</w:t>
      </w:r>
      <w:r>
        <w:rPr>
          <w:rFonts w:hint="eastAsia" w:ascii="宋体" w:hAnsi="宋体"/>
          <w:color w:val="auto"/>
          <w:sz w:val="24"/>
          <w:szCs w:val="24"/>
          <w:lang w:eastAsia="zh-CN"/>
        </w:rPr>
        <w:t>；有承诺得</w:t>
      </w:r>
      <w:r>
        <w:rPr>
          <w:rFonts w:hint="eastAsia" w:ascii="宋体" w:hAnsi="宋体"/>
          <w:color w:val="auto"/>
          <w:sz w:val="24"/>
          <w:szCs w:val="24"/>
          <w:lang w:val="en-US" w:eastAsia="zh-CN"/>
        </w:rPr>
        <w:t>1分，无承诺得0</w:t>
      </w:r>
      <w:r>
        <w:rPr>
          <w:rFonts w:hint="eastAsia" w:ascii="宋体" w:hAnsi="宋体"/>
          <w:color w:val="auto"/>
          <w:sz w:val="24"/>
          <w:szCs w:val="24"/>
        </w:rPr>
        <w:t>分</w:t>
      </w:r>
      <w:r>
        <w:rPr>
          <w:rFonts w:hint="eastAsia" w:ascii="宋体" w:hAnsi="宋体"/>
          <w:color w:val="auto"/>
          <w:sz w:val="24"/>
          <w:szCs w:val="24"/>
          <w:lang w:eastAsia="zh-CN"/>
        </w:rPr>
        <w:t>。</w:t>
      </w:r>
    </w:p>
    <w:p>
      <w:pPr>
        <w:spacing w:line="360" w:lineRule="auto"/>
        <w:ind w:firstLine="465"/>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）培训服务要求（3分）</w:t>
      </w:r>
      <w:r>
        <w:rPr>
          <w:rFonts w:hint="eastAsia" w:ascii="宋体" w:hAnsi="宋体"/>
          <w:color w:val="auto"/>
          <w:sz w:val="24"/>
          <w:szCs w:val="24"/>
        </w:rPr>
        <w:tab/>
      </w:r>
    </w:p>
    <w:p>
      <w:pPr>
        <w:spacing w:line="360" w:lineRule="auto"/>
        <w:ind w:firstLine="465"/>
        <w:rPr>
          <w:rFonts w:hint="eastAsia" w:ascii="宋体" w:hAns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根据招标文件中的“采购需求”编制，内容具体全面，可操作性强的，得3分；内容全面，但</w:t>
      </w:r>
      <w:r>
        <w:rPr>
          <w:rFonts w:hint="eastAsia" w:ascii="宋体" w:hAnsi="宋体"/>
          <w:color w:val="auto"/>
          <w:sz w:val="24"/>
          <w:szCs w:val="24"/>
          <w:lang w:eastAsia="zh-CN"/>
        </w:rPr>
        <w:t>基本</w:t>
      </w:r>
      <w:r>
        <w:rPr>
          <w:rFonts w:hint="eastAsia" w:ascii="宋体" w:hAnsi="宋体"/>
          <w:color w:val="auto"/>
          <w:sz w:val="24"/>
          <w:szCs w:val="24"/>
        </w:rPr>
        <w:t>可操作的，得分1.5分；内容不够详实，且有缺项的，得0.5分；不提供的得0分。</w:t>
      </w:r>
    </w:p>
    <w:p>
      <w:pPr>
        <w:spacing w:line="360" w:lineRule="auto"/>
        <w:ind w:firstLine="465"/>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）安装质量保证要求（3分）</w:t>
      </w:r>
      <w:r>
        <w:rPr>
          <w:rFonts w:hint="eastAsia" w:ascii="宋体" w:hAnsi="宋体"/>
          <w:color w:val="auto"/>
          <w:sz w:val="24"/>
          <w:szCs w:val="24"/>
        </w:rPr>
        <w:tab/>
      </w:r>
    </w:p>
    <w:p>
      <w:pPr>
        <w:spacing w:line="360" w:lineRule="auto"/>
        <w:ind w:firstLine="465"/>
        <w:rPr>
          <w:rFonts w:hint="eastAsia" w:ascii="宋体" w:hAns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根据</w:t>
      </w:r>
      <w:r>
        <w:rPr>
          <w:rFonts w:hint="eastAsia" w:ascii="宋体" w:hAnsi="宋体"/>
          <w:color w:val="auto"/>
          <w:sz w:val="24"/>
          <w:szCs w:val="24"/>
          <w:lang w:eastAsia="zh-CN"/>
        </w:rPr>
        <w:t>磋商</w:t>
      </w:r>
      <w:r>
        <w:rPr>
          <w:rFonts w:hint="eastAsia" w:ascii="宋体" w:hAnsi="宋体"/>
          <w:color w:val="auto"/>
          <w:sz w:val="24"/>
          <w:szCs w:val="24"/>
        </w:rPr>
        <w:t>文件中的“采购需求”编制，内容具体全面，可操作性强的，得3分；内容全面，但</w:t>
      </w:r>
      <w:r>
        <w:rPr>
          <w:rFonts w:hint="eastAsia" w:ascii="宋体" w:hAnsi="宋体"/>
          <w:color w:val="auto"/>
          <w:sz w:val="24"/>
          <w:szCs w:val="24"/>
          <w:lang w:eastAsia="zh-CN"/>
        </w:rPr>
        <w:t>基本</w:t>
      </w:r>
      <w:r>
        <w:rPr>
          <w:rFonts w:hint="eastAsia" w:ascii="宋体" w:hAnsi="宋体"/>
          <w:color w:val="auto"/>
          <w:sz w:val="24"/>
          <w:szCs w:val="24"/>
        </w:rPr>
        <w:t>可操作的，得分1.5分；内容不够详实，且有缺项的，得0.5分；不提供的得0分。</w:t>
      </w:r>
    </w:p>
    <w:p>
      <w:pPr>
        <w:snapToGrid w:val="0"/>
        <w:spacing w:line="360" w:lineRule="auto"/>
        <w:outlineLvl w:val="9"/>
        <w:rPr>
          <w:rFonts w:hint="eastAsia" w:ascii="宋体" w:hAnsi="宋体" w:cs="宋体"/>
          <w:b/>
          <w:bCs/>
          <w:sz w:val="24"/>
        </w:rPr>
      </w:pPr>
    </w:p>
    <w:p>
      <w:pPr>
        <w:snapToGrid w:val="0"/>
        <w:spacing w:line="360" w:lineRule="auto"/>
        <w:outlineLvl w:val="9"/>
        <w:rPr>
          <w:rFonts w:hint="eastAsia" w:ascii="宋体" w:hAnsi="宋体" w:cs="宋体"/>
          <w:b/>
          <w:bCs/>
          <w:sz w:val="24"/>
        </w:rPr>
      </w:pPr>
    </w:p>
    <w:p>
      <w:pPr>
        <w:pStyle w:val="36"/>
        <w:rPr>
          <w:rFonts w:hint="eastAsia" w:ascii="宋体" w:hAnsi="宋体" w:cs="宋体"/>
          <w:b/>
          <w:bCs/>
          <w:sz w:val="24"/>
        </w:rPr>
      </w:pPr>
    </w:p>
    <w:p>
      <w:pPr>
        <w:pStyle w:val="36"/>
        <w:rPr>
          <w:rFonts w:hint="eastAsia" w:ascii="宋体" w:hAnsi="宋体" w:cs="宋体"/>
          <w:b/>
          <w:bCs/>
          <w:sz w:val="24"/>
        </w:rPr>
      </w:pPr>
    </w:p>
    <w:p>
      <w:pPr>
        <w:pStyle w:val="36"/>
        <w:rPr>
          <w:rFonts w:hint="eastAsia" w:ascii="宋体" w:hAnsi="宋体" w:cs="宋体"/>
          <w:b/>
          <w:bCs/>
          <w:sz w:val="24"/>
        </w:rPr>
      </w:pPr>
    </w:p>
    <w:p>
      <w:pPr>
        <w:pStyle w:val="36"/>
        <w:rPr>
          <w:rFonts w:hint="eastAsia" w:ascii="宋体" w:hAnsi="宋体" w:cs="宋体"/>
          <w:b/>
          <w:bCs/>
          <w:sz w:val="24"/>
        </w:rPr>
      </w:pPr>
    </w:p>
    <w:p>
      <w:pPr>
        <w:pStyle w:val="36"/>
        <w:rPr>
          <w:rFonts w:hint="eastAsia" w:ascii="宋体" w:hAnsi="宋体" w:cs="宋体"/>
          <w:b/>
          <w:bCs/>
          <w:sz w:val="24"/>
        </w:rPr>
      </w:pPr>
    </w:p>
    <w:p>
      <w:pPr>
        <w:pStyle w:val="36"/>
        <w:rPr>
          <w:rFonts w:hint="eastAsia" w:ascii="宋体" w:hAnsi="宋体" w:cs="宋体"/>
          <w:b/>
          <w:bCs/>
          <w:sz w:val="24"/>
        </w:rPr>
      </w:pPr>
    </w:p>
    <w:p>
      <w:pPr>
        <w:pStyle w:val="36"/>
        <w:rPr>
          <w:rFonts w:hint="eastAsia" w:ascii="宋体" w:hAnsi="宋体" w:cs="宋体"/>
          <w:b/>
          <w:bCs/>
          <w:sz w:val="24"/>
        </w:rPr>
      </w:pPr>
    </w:p>
    <w:p>
      <w:pPr>
        <w:pStyle w:val="36"/>
        <w:rPr>
          <w:rFonts w:hint="eastAsia" w:ascii="宋体" w:hAnsi="宋体" w:cs="宋体"/>
          <w:b/>
          <w:bCs/>
          <w:sz w:val="24"/>
        </w:rPr>
      </w:pPr>
    </w:p>
    <w:p>
      <w:pPr>
        <w:pStyle w:val="36"/>
        <w:rPr>
          <w:rFonts w:hint="eastAsia" w:ascii="宋体" w:hAnsi="宋体" w:cs="宋体"/>
          <w:b/>
          <w:bCs/>
          <w:sz w:val="24"/>
        </w:rPr>
      </w:pPr>
    </w:p>
    <w:p>
      <w:pPr>
        <w:pStyle w:val="36"/>
        <w:rPr>
          <w:rFonts w:hint="eastAsia" w:ascii="宋体" w:hAnsi="宋体" w:cs="宋体"/>
          <w:b/>
          <w:bCs/>
          <w:sz w:val="24"/>
        </w:rPr>
      </w:pPr>
    </w:p>
    <w:p>
      <w:pPr>
        <w:pStyle w:val="36"/>
        <w:rPr>
          <w:rFonts w:hint="eastAsia" w:ascii="宋体" w:hAnsi="宋体" w:cs="宋体"/>
          <w:b/>
          <w:bCs/>
          <w:sz w:val="24"/>
        </w:rPr>
      </w:pPr>
    </w:p>
    <w:p>
      <w:pPr>
        <w:pStyle w:val="36"/>
        <w:rPr>
          <w:rFonts w:hint="eastAsia" w:ascii="宋体" w:hAnsi="宋体" w:cs="宋体"/>
          <w:b/>
          <w:bCs/>
          <w:sz w:val="24"/>
        </w:rPr>
      </w:pPr>
    </w:p>
    <w:p>
      <w:pPr>
        <w:pStyle w:val="36"/>
        <w:rPr>
          <w:rFonts w:hint="eastAsia" w:ascii="宋体" w:hAnsi="宋体" w:cs="宋体"/>
          <w:b/>
          <w:bCs/>
          <w:sz w:val="24"/>
        </w:rPr>
      </w:pPr>
    </w:p>
    <w:p>
      <w:pPr>
        <w:pStyle w:val="3"/>
        <w:keepNext w:val="0"/>
        <w:widowControl w:val="0"/>
        <w:numPr>
          <w:ilvl w:val="0"/>
          <w:numId w:val="0"/>
        </w:numPr>
        <w:spacing w:line="360" w:lineRule="auto"/>
        <w:jc w:val="both"/>
        <w:outlineLvl w:val="9"/>
        <w:rPr>
          <w:rFonts w:hint="eastAsia" w:ascii="宋体" w:hAnsi="宋体"/>
          <w:sz w:val="24"/>
          <w:lang w:eastAsia="zh-CN"/>
        </w:rPr>
      </w:pPr>
    </w:p>
    <w:p>
      <w:pPr>
        <w:rPr>
          <w:rFonts w:hint="eastAsia" w:ascii="宋体" w:hAnsi="宋体"/>
          <w:sz w:val="24"/>
          <w:lang w:eastAsia="zh-CN"/>
        </w:rPr>
      </w:pPr>
    </w:p>
    <w:p>
      <w:pPr>
        <w:pStyle w:val="36"/>
        <w:rPr>
          <w:rFonts w:hint="eastAsia" w:ascii="宋体" w:hAnsi="宋体"/>
          <w:sz w:val="24"/>
          <w:lang w:eastAsia="zh-CN"/>
        </w:rPr>
      </w:pPr>
    </w:p>
    <w:p>
      <w:pPr>
        <w:pStyle w:val="36"/>
        <w:rPr>
          <w:rFonts w:hint="eastAsia" w:ascii="宋体" w:hAnsi="宋体"/>
          <w:sz w:val="24"/>
          <w:lang w:eastAsia="zh-CN"/>
        </w:rPr>
      </w:pPr>
    </w:p>
    <w:p>
      <w:pPr>
        <w:pStyle w:val="36"/>
        <w:rPr>
          <w:rFonts w:hint="eastAsia"/>
          <w:lang w:eastAsia="zh-CN"/>
        </w:rPr>
      </w:pPr>
    </w:p>
    <w:p>
      <w:pPr>
        <w:pStyle w:val="36"/>
        <w:rPr>
          <w:rFonts w:hint="eastAsia"/>
          <w:lang w:eastAsia="zh-CN"/>
        </w:rPr>
      </w:pPr>
    </w:p>
    <w:p>
      <w:pPr>
        <w:pStyle w:val="36"/>
        <w:rPr>
          <w:rFonts w:hint="eastAsia"/>
          <w:lang w:eastAsia="zh-CN"/>
        </w:rPr>
      </w:pPr>
    </w:p>
    <w:p>
      <w:pPr>
        <w:pStyle w:val="3"/>
        <w:keepNext w:val="0"/>
        <w:widowControl w:val="0"/>
        <w:numPr>
          <w:ilvl w:val="0"/>
          <w:numId w:val="0"/>
        </w:numPr>
        <w:spacing w:line="360" w:lineRule="auto"/>
        <w:jc w:val="center"/>
        <w:rPr>
          <w:rFonts w:ascii="宋体" w:hAnsi="宋体" w:eastAsia="宋体"/>
          <w:b/>
          <w:sz w:val="28"/>
          <w:szCs w:val="28"/>
        </w:rPr>
      </w:pPr>
      <w:bookmarkStart w:id="530" w:name="_Toc17180"/>
      <w:bookmarkStart w:id="531" w:name="_Toc31726"/>
      <w:bookmarkStart w:id="532" w:name="_Toc44924406"/>
      <w:r>
        <w:rPr>
          <w:rFonts w:hint="eastAsia" w:ascii="宋体" w:hAnsi="宋体" w:eastAsia="宋体"/>
          <w:b/>
          <w:sz w:val="28"/>
          <w:szCs w:val="28"/>
        </w:rPr>
        <w:t>第</w:t>
      </w:r>
      <w:r>
        <w:rPr>
          <w:rFonts w:hint="eastAsia" w:ascii="宋体" w:hAnsi="宋体" w:eastAsia="宋体"/>
          <w:b/>
          <w:sz w:val="28"/>
          <w:szCs w:val="28"/>
          <w:lang w:eastAsia="zh-CN"/>
        </w:rPr>
        <w:t>七</w:t>
      </w:r>
      <w:r>
        <w:rPr>
          <w:rFonts w:hint="eastAsia" w:ascii="宋体" w:hAnsi="宋体" w:eastAsia="宋体"/>
          <w:b/>
          <w:sz w:val="28"/>
          <w:szCs w:val="28"/>
        </w:rPr>
        <w:t xml:space="preserve">部分 </w:t>
      </w:r>
      <w:r>
        <w:rPr>
          <w:rFonts w:hint="eastAsia" w:ascii="宋体" w:hAnsi="宋体" w:eastAsia="宋体"/>
          <w:b/>
          <w:sz w:val="28"/>
          <w:szCs w:val="28"/>
          <w:lang w:eastAsia="zh-CN"/>
        </w:rPr>
        <w:t>采购</w:t>
      </w:r>
      <w:r>
        <w:rPr>
          <w:rFonts w:hint="eastAsia" w:ascii="宋体" w:hAnsi="宋体" w:eastAsia="宋体"/>
          <w:b/>
          <w:sz w:val="28"/>
          <w:szCs w:val="28"/>
        </w:rPr>
        <w:t>需求及要求</w:t>
      </w:r>
      <w:bookmarkEnd w:id="530"/>
      <w:bookmarkEnd w:id="531"/>
      <w:bookmarkEnd w:id="532"/>
    </w:p>
    <w:p>
      <w:pPr>
        <w:keepNext w:val="0"/>
        <w:keepLines w:val="0"/>
        <w:pageBreakBefore w:val="0"/>
        <w:widowControl w:val="0"/>
        <w:kinsoku/>
        <w:wordWrap/>
        <w:overflowPunct/>
        <w:topLinePunct w:val="0"/>
        <w:autoSpaceDE/>
        <w:autoSpaceDN/>
        <w:bidi w:val="0"/>
        <w:adjustRightInd/>
        <w:snapToGrid w:val="0"/>
        <w:spacing w:line="288" w:lineRule="auto"/>
        <w:ind w:firstLine="482" w:firstLineChars="200"/>
        <w:textAlignment w:val="auto"/>
        <w:outlineLvl w:val="1"/>
        <w:rPr>
          <w:rFonts w:ascii="宋体" w:hAnsi="宋体" w:cs="宋体"/>
          <w:b/>
          <w:bCs/>
          <w:sz w:val="24"/>
        </w:rPr>
      </w:pPr>
      <w:bookmarkStart w:id="533" w:name="_Toc20829"/>
      <w:bookmarkStart w:id="534" w:name="_Toc27930"/>
      <w:bookmarkStart w:id="535" w:name="_Toc44924407"/>
      <w:r>
        <w:rPr>
          <w:rFonts w:hint="eastAsia" w:ascii="宋体" w:hAnsi="宋体" w:cs="宋体"/>
          <w:b/>
          <w:bCs/>
          <w:sz w:val="24"/>
        </w:rPr>
        <w:t>一、招标项目概况及要求</w:t>
      </w:r>
      <w:bookmarkEnd w:id="533"/>
      <w:bookmarkEnd w:id="534"/>
      <w:bookmarkEnd w:id="535"/>
    </w:p>
    <w:p>
      <w:pPr>
        <w:keepNext w:val="0"/>
        <w:keepLines w:val="0"/>
        <w:pageBreakBefore w:val="0"/>
        <w:widowControl w:val="0"/>
        <w:kinsoku/>
        <w:wordWrap/>
        <w:overflowPunct/>
        <w:topLinePunct w:val="0"/>
        <w:autoSpaceDE/>
        <w:autoSpaceDN/>
        <w:bidi w:val="0"/>
        <w:adjustRightInd/>
        <w:spacing w:line="288" w:lineRule="auto"/>
        <w:ind w:firstLine="424" w:firstLineChars="177"/>
        <w:textAlignment w:val="auto"/>
        <w:rPr>
          <w:rFonts w:hint="eastAsia" w:ascii="宋体" w:hAnsi="宋体"/>
          <w:sz w:val="24"/>
        </w:rPr>
      </w:pPr>
      <w:r>
        <w:rPr>
          <w:rFonts w:hint="eastAsia" w:ascii="宋体" w:hAnsi="宋体"/>
          <w:sz w:val="24"/>
        </w:rPr>
        <w:t>1、本项目为</w:t>
      </w:r>
      <w:r>
        <w:rPr>
          <w:rFonts w:hint="eastAsia" w:ascii="宋体" w:hAnsi="宋体"/>
          <w:color w:val="auto"/>
          <w:sz w:val="24"/>
          <w:szCs w:val="24"/>
        </w:rPr>
        <w:t>河南工业</w:t>
      </w:r>
      <w:r>
        <w:rPr>
          <w:rFonts w:ascii="宋体" w:hAnsi="宋体"/>
          <w:color w:val="auto"/>
          <w:sz w:val="24"/>
          <w:szCs w:val="24"/>
        </w:rPr>
        <w:t>职业技术学院</w:t>
      </w:r>
      <w:r>
        <w:rPr>
          <w:rFonts w:hint="eastAsia" w:ascii="宋体" w:hAnsi="宋体" w:cs="宋体"/>
          <w:color w:val="auto"/>
          <w:sz w:val="24"/>
          <w:lang w:bidi="ar"/>
        </w:rPr>
        <w:t>语言实训中心改扩建项目</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pacing w:line="288" w:lineRule="auto"/>
        <w:ind w:firstLine="424" w:firstLineChars="177"/>
        <w:textAlignment w:val="auto"/>
        <w:rPr>
          <w:rFonts w:hint="eastAsia" w:ascii="宋体" w:hAnsi="宋体"/>
          <w:sz w:val="24"/>
        </w:rPr>
      </w:pPr>
      <w:r>
        <w:rPr>
          <w:rFonts w:hint="eastAsia" w:ascii="宋体" w:hAnsi="宋体"/>
          <w:sz w:val="24"/>
        </w:rPr>
        <w:t>2、磋商供应商磋商报价不得超出采购预算，否则将被视为无效投标。</w:t>
      </w:r>
    </w:p>
    <w:p>
      <w:pPr>
        <w:keepNext w:val="0"/>
        <w:keepLines w:val="0"/>
        <w:pageBreakBefore w:val="0"/>
        <w:widowControl w:val="0"/>
        <w:kinsoku/>
        <w:wordWrap/>
        <w:overflowPunct/>
        <w:topLinePunct w:val="0"/>
        <w:autoSpaceDE/>
        <w:autoSpaceDN/>
        <w:bidi w:val="0"/>
        <w:adjustRightInd/>
        <w:spacing w:line="288" w:lineRule="auto"/>
        <w:ind w:firstLine="480" w:firstLineChars="200"/>
        <w:textAlignment w:val="auto"/>
        <w:outlineLvl w:val="1"/>
        <w:rPr>
          <w:rFonts w:hint="eastAsia" w:ascii="宋体" w:hAnsi="宋体"/>
          <w:b/>
          <w:color w:val="000000"/>
          <w:sz w:val="24"/>
          <w:szCs w:val="24"/>
        </w:rPr>
      </w:pPr>
      <w:bookmarkStart w:id="536" w:name="_Toc20818"/>
      <w:bookmarkStart w:id="537" w:name="_Toc8221"/>
      <w:r>
        <w:rPr>
          <w:rFonts w:hint="eastAsia" w:ascii="宋体" w:hAnsi="宋体"/>
          <w:sz w:val="24"/>
          <w:lang w:eastAsia="zh-CN"/>
        </w:rPr>
        <w:t>二、</w:t>
      </w:r>
      <w:r>
        <w:rPr>
          <w:rFonts w:hint="eastAsia" w:ascii="宋体" w:hAnsi="宋体"/>
          <w:b/>
          <w:color w:val="000000"/>
          <w:sz w:val="24"/>
          <w:szCs w:val="24"/>
        </w:rPr>
        <w:t>技术需求</w:t>
      </w:r>
      <w:bookmarkEnd w:id="536"/>
      <w:bookmarkEnd w:id="537"/>
    </w:p>
    <w:p>
      <w:pPr>
        <w:keepNext w:val="0"/>
        <w:keepLines w:val="0"/>
        <w:pageBreakBefore w:val="0"/>
        <w:widowControl w:val="0"/>
        <w:kinsoku/>
        <w:wordWrap/>
        <w:overflowPunct/>
        <w:topLinePunct w:val="0"/>
        <w:autoSpaceDE/>
        <w:autoSpaceDN/>
        <w:bidi w:val="0"/>
        <w:adjustRightInd/>
        <w:spacing w:line="288" w:lineRule="auto"/>
        <w:ind w:firstLine="480" w:firstLineChars="200"/>
        <w:textAlignment w:val="auto"/>
        <w:rPr>
          <w:rFonts w:hint="eastAsia" w:ascii="宋体" w:hAnsi="宋体"/>
          <w:sz w:val="24"/>
          <w:szCs w:val="24"/>
        </w:rPr>
      </w:pPr>
      <w:r>
        <w:rPr>
          <w:rFonts w:hint="eastAsia" w:ascii="宋体" w:hAnsi="宋体"/>
          <w:sz w:val="24"/>
          <w:szCs w:val="24"/>
        </w:rPr>
        <w:t>（1）某项技术指标和要求如需更详细的表述，可单项另作文字说明。</w:t>
      </w:r>
    </w:p>
    <w:p>
      <w:pPr>
        <w:keepNext w:val="0"/>
        <w:keepLines w:val="0"/>
        <w:pageBreakBefore w:val="0"/>
        <w:widowControl w:val="0"/>
        <w:kinsoku/>
        <w:wordWrap/>
        <w:overflowPunct/>
        <w:topLinePunct w:val="0"/>
        <w:autoSpaceDE/>
        <w:autoSpaceDN/>
        <w:bidi w:val="0"/>
        <w:adjustRightInd/>
        <w:spacing w:line="288" w:lineRule="auto"/>
        <w:ind w:firstLine="480" w:firstLineChars="200"/>
        <w:textAlignment w:val="auto"/>
        <w:rPr>
          <w:rFonts w:hint="eastAsia" w:ascii="宋体" w:hAnsi="宋体"/>
          <w:sz w:val="24"/>
          <w:szCs w:val="24"/>
        </w:rPr>
      </w:pPr>
      <w:r>
        <w:rPr>
          <w:rFonts w:hint="eastAsia" w:ascii="宋体" w:hAnsi="宋体"/>
          <w:sz w:val="24"/>
          <w:szCs w:val="24"/>
        </w:rPr>
        <w:t>（2）采购文件中技术要求部分为满足采购人需要的最低要求，如有与某项参数描述相同，并非特指，仅为招标项目质量、档次、水平参照，评标以功能、性能为主。</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391"/>
        <w:gridCol w:w="895"/>
        <w:gridCol w:w="7191"/>
        <w:gridCol w:w="511"/>
        <w:gridCol w:w="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56" w:hRule="atLeast"/>
          <w:jc w:val="center"/>
        </w:trPr>
        <w:tc>
          <w:tcPr>
            <w:tcW w:w="391" w:type="dxa"/>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cs="宋体"/>
                <w:b/>
                <w:color w:val="000000"/>
                <w:szCs w:val="21"/>
              </w:rPr>
            </w:pPr>
            <w:r>
              <w:rPr>
                <w:rFonts w:hint="eastAsia" w:ascii="宋体" w:hAnsi="宋体" w:cs="宋体"/>
                <w:b/>
                <w:color w:val="000000"/>
                <w:szCs w:val="21"/>
                <w:lang w:bidi="ar"/>
              </w:rPr>
              <w:t>序号</w:t>
            </w:r>
          </w:p>
        </w:tc>
        <w:tc>
          <w:tcPr>
            <w:tcW w:w="895"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b/>
                <w:color w:val="000000"/>
                <w:szCs w:val="21"/>
              </w:rPr>
            </w:pPr>
            <w:r>
              <w:rPr>
                <w:rFonts w:hint="eastAsia" w:ascii="宋体" w:hAnsi="宋体" w:cs="宋体"/>
                <w:b/>
                <w:color w:val="000000"/>
                <w:szCs w:val="21"/>
                <w:lang w:bidi="ar"/>
              </w:rPr>
              <w:t>设备名称</w:t>
            </w:r>
          </w:p>
        </w:tc>
        <w:tc>
          <w:tcPr>
            <w:tcW w:w="7191"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b/>
                <w:color w:val="000000"/>
                <w:szCs w:val="21"/>
              </w:rPr>
            </w:pPr>
            <w:r>
              <w:rPr>
                <w:rFonts w:hint="eastAsia" w:ascii="宋体" w:hAnsi="宋体" w:cs="宋体"/>
                <w:b/>
                <w:color w:val="000000"/>
                <w:szCs w:val="21"/>
                <w:lang w:bidi="ar"/>
              </w:rPr>
              <w:t>技术详细参数及相关要求</w:t>
            </w:r>
          </w:p>
        </w:tc>
        <w:tc>
          <w:tcPr>
            <w:tcW w:w="511"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cs="宋体"/>
                <w:b/>
                <w:color w:val="000000"/>
                <w:szCs w:val="21"/>
              </w:rPr>
            </w:pPr>
            <w:r>
              <w:rPr>
                <w:rFonts w:hint="eastAsia" w:ascii="宋体" w:hAnsi="宋体" w:cs="宋体"/>
                <w:b/>
                <w:color w:val="000000"/>
                <w:szCs w:val="21"/>
                <w:lang w:bidi="ar"/>
              </w:rPr>
              <w:t>单位</w:t>
            </w:r>
          </w:p>
        </w:tc>
        <w:tc>
          <w:tcPr>
            <w:tcW w:w="443"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宋体" w:hAnsi="宋体" w:cs="宋体"/>
                <w:b/>
                <w:color w:val="000000"/>
                <w:szCs w:val="21"/>
              </w:rPr>
            </w:pPr>
            <w:r>
              <w:rPr>
                <w:rFonts w:hint="eastAsia" w:ascii="宋体" w:hAnsi="宋体" w:cs="宋体"/>
                <w:b/>
                <w:color w:val="000000"/>
                <w:szCs w:val="21"/>
                <w:lang w:bidi="ar"/>
              </w:rPr>
              <w:t>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8475" w:hRule="atLeast"/>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数字语言实验室软件</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shd w:val="clear" w:color="auto" w:fill="FFFFFF"/>
              <w:spacing w:line="300" w:lineRule="atLeast"/>
              <w:jc w:val="left"/>
              <w:rPr>
                <w:rFonts w:hint="eastAsia" w:ascii="宋体" w:hAnsi="宋体" w:cs="宋体"/>
                <w:color w:val="000000"/>
                <w:kern w:val="0"/>
                <w:sz w:val="18"/>
                <w:szCs w:val="18"/>
                <w:shd w:val="clear" w:color="auto" w:fill="FFFFFF"/>
              </w:rPr>
            </w:pPr>
            <w:r>
              <w:rPr>
                <w:rFonts w:hint="eastAsia" w:ascii="宋体" w:hAnsi="宋体" w:cs="宋体"/>
                <w:color w:val="000000"/>
                <w:kern w:val="0"/>
                <w:sz w:val="18"/>
                <w:szCs w:val="18"/>
                <w:shd w:val="clear" w:color="auto" w:fill="FFFFFF"/>
                <w:lang w:bidi="ar"/>
              </w:rPr>
              <w:t>一、语音教学系统</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【功能】</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1. 课堂教学，支持媒体广播、屏幕广播、多频道教学、学生发言、语音对讲、分组讨论、主题讨论、影音跟读等功能；</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2. 作为最常用的屏幕广播，提供屏幕广播工具栏，方便教师的教学，屏幕广播工具栏主要功能描述如下：</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支持屏幕广播暂停和播放，方便老师在广播教学的同时，回顾教案而不被学生知道；（提供功能截图）；支持屏幕广播标注，可以随时白板或黑板覆盖教学内容，进行专门的黑板教学讲解；支持课堂练习，教师在屏幕广播或媒体广播的同时，以当前屏幕内容为题，叠加课堂练习，广播功能不受影响，课堂练习支持抢答、选择、判断、写作和口头回答等方式，选择支持五选一，在回答结束后，教师能立即看到或听到全班学生答题结果，并可进行即时讲评；（提供功能截图）</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 xml:space="preserve">3. 分组讨论支持任意分组，实现多人双向语音和文本讨论；支持课堂预习，老师可以把文档课件发给学生，进行自主预习讨论后再进行教学；课件格式可以是PPT、word、Flash、PDF、TXT、图片等； </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4. 主题讨论，教师设定多个主题，把课件发给学生进行自主讨论，课件格式可以是PPT、word、Flash、PDF、TXT、图片等；（提供功能截图）</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5. 视听教学支持各种播放格式的高清媒体；同时要支持变速不变调；支持书签；支持视频播放多字幕切换和多路音轨的切换，通过按压键盘热键，每按压一次热键，自动退回或快进数秒，且秒数可任意设置；学生示范，学生可以遥控操作教师电脑，或者操作自己的电脑，进行全班演示和讲解，期间教师和其他学生可以看到该学生的操作画面，听到该学生的声音；口语训练支持交替传译和同声传译训练，训练结束后，教师能即时点播任何一个学生的录音进行讲评；对于完成的训练，教师也能选择自习的方式，让学生复听自己所做的口译训练并每个人可以把录音单独保存到U盘中；</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6.多频道教学支持16路数字频道教学；教师可以进行分组教学，任意调整各个频道的播放进度。教师可以指定学生学习指定频道，也可以让学生自主选择感兴趣的频道学习；（提供功能截图）</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7. 同声传译会议实训支持任意设定译员；支持16组同声翻译，能够使用磁带机、音频和视频节目作为同声传译节目源；采用双轨录音，支持同声传译会议实训；（提供功能截图）</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8. 影音跟读支持全班学生同时点播相同或不同的高清视频，支持变速不变调播放，支持视频跟读、波形对比；支持120路视频节目并发点播，直接支持MKV、WMV、RMVB、MPEG1、MPEG2、MPEG4、FLV、DIVX、XVID、AVI等视频媒体格式，视频分辨率支持高清1080P（1920*1080）；</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9. 支持各语种的语音合成，帮助学生语音合成训练，方便老师出听力试卷，自动把文字合成为声音，可根据需要调节语速与语调，合成后可以保存为MP3形式；可提供英语、日语、韩语、德语、法语、西班牙语、俄语、汉语、阿拉伯语、泰语、印尼语等11个国家的合成语料。支持个人电脑安装，可以帮助学校老师，把语料单独装到个人电脑中；（提供功能截图）</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10. 监视和辅导支持教师同时监视64个学生屏幕，具有暂停+自动轮循监视功能，有效掌握学生学习状况，同时可以语音辅导，也可以实现“手把手”远程辅导；（提供功能截图）</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11. 主要功能实现单键操作、单键恢复；功能操作反应迅速，稳定可靠；如遭遇学生机故障或网络中断等，计算机重新启动或网络修复后，自动恢复到当前教学状态；多语言用户界面支持中、英、日等12种语言，便于外教授课；</w:t>
            </w:r>
          </w:p>
          <w:p>
            <w:pPr>
              <w:widowControl/>
              <w:shd w:val="clear" w:color="auto" w:fill="FFFFFF"/>
              <w:spacing w:line="300" w:lineRule="atLeast"/>
              <w:jc w:val="left"/>
              <w:rPr>
                <w:rFonts w:hint="eastAsia" w:ascii="宋体" w:hAnsi="宋体" w:cs="宋体"/>
                <w:color w:val="000000"/>
                <w:kern w:val="0"/>
                <w:sz w:val="18"/>
                <w:szCs w:val="18"/>
                <w:shd w:val="clear" w:color="auto" w:fill="FFFFFF"/>
              </w:rPr>
            </w:pPr>
            <w:r>
              <w:rPr>
                <w:rFonts w:hint="eastAsia" w:ascii="宋体" w:hAnsi="宋体" w:cs="宋体"/>
                <w:szCs w:val="21"/>
              </w:rPr>
              <w:t>★</w:t>
            </w:r>
            <w:r>
              <w:rPr>
                <w:rFonts w:hint="eastAsia" w:ascii="宋体" w:hAnsi="宋体" w:cs="宋体"/>
                <w:color w:val="000000"/>
                <w:kern w:val="0"/>
                <w:sz w:val="18"/>
                <w:szCs w:val="18"/>
                <w:shd w:val="clear" w:color="auto" w:fill="FFFFFF"/>
                <w:lang w:bidi="ar"/>
              </w:rPr>
              <w:t>12.所投产品提供语音采样率达到48KHz，语音延迟小于30ms的检测报告；</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二、自学系统</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【功能】</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学生可以自主打开服务器节目，不仅包括文本、Office、PDF，还包括音视频文件，如WAV、MP3、RA、WMA、MKV、WMV、RMVB、MPEG1、MPEG2、MPEG4、FLV、DIVX、XVID、AVI等多媒体格式； 影音复读机提供影音跟读功能，支持视频播放、复听、跟读功能，支持精确定位、变速不变调、波形对比、滚动字幕、书签。视频分辨率支持高清1080P（1920*1080）； 视频服务支持多网卡负载平衡技术，支持120路高清视频并发点播；</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三、考试系统</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【功能】</w:t>
            </w:r>
          </w:p>
          <w:p>
            <w:pPr>
              <w:widowControl/>
              <w:shd w:val="clear" w:color="auto" w:fill="FFFFFF"/>
              <w:spacing w:line="300" w:lineRule="atLeast"/>
              <w:jc w:val="left"/>
              <w:rPr>
                <w:rFonts w:hint="eastAsia" w:ascii="宋体" w:hAnsi="宋体" w:cs="宋体"/>
                <w:color w:val="000000"/>
                <w:kern w:val="0"/>
                <w:sz w:val="18"/>
                <w:szCs w:val="18"/>
                <w:shd w:val="clear" w:color="auto" w:fill="FFFFFF"/>
              </w:rPr>
            </w:pPr>
            <w:r>
              <w:rPr>
                <w:rFonts w:hint="eastAsia" w:ascii="宋体" w:hAnsi="宋体" w:cs="宋体"/>
                <w:color w:val="000000"/>
                <w:kern w:val="0"/>
                <w:sz w:val="18"/>
                <w:szCs w:val="18"/>
                <w:shd w:val="clear" w:color="auto" w:fill="FFFFFF"/>
                <w:lang w:bidi="ar"/>
              </w:rPr>
              <w:t>1.标准化考试支持ABCD卷，支持单选、多选、填空、作文等题型；（提供功能截图）</w:t>
            </w:r>
          </w:p>
          <w:p>
            <w:pPr>
              <w:widowControl/>
              <w:shd w:val="clear" w:color="auto" w:fill="FFFFFF"/>
              <w:spacing w:line="300" w:lineRule="atLeast"/>
              <w:jc w:val="left"/>
              <w:rPr>
                <w:rFonts w:hint="eastAsia" w:ascii="宋体" w:hAnsi="宋体" w:cs="宋体"/>
                <w:color w:val="000000"/>
                <w:kern w:val="0"/>
                <w:sz w:val="18"/>
                <w:szCs w:val="18"/>
                <w:shd w:val="clear" w:color="auto" w:fill="FFFFFF"/>
              </w:rPr>
            </w:pPr>
            <w:r>
              <w:rPr>
                <w:rFonts w:hint="eastAsia" w:ascii="宋体" w:hAnsi="宋体" w:cs="宋体"/>
                <w:color w:val="000000"/>
                <w:kern w:val="0"/>
                <w:sz w:val="18"/>
                <w:szCs w:val="18"/>
                <w:shd w:val="clear" w:color="auto" w:fill="FFFFFF"/>
                <w:lang w:bidi="ar"/>
              </w:rPr>
              <w:t>2. 口语考试系统支持朗读、复读、问答和多人讨论等模式，考试结束后录音文件保存在相应的目录中；支持全国翻译专业资格考试（CATTI）、专业英语四八级考试（TEM）、汉语水平考试（HSK）、德福考试（DaF），以及俄、法、韩语等国家级口语考试； 考试全过程自动完成，杜绝教师误操作；考试结束后，提供验证机制，学生能够回听考试的录音，确保答案真实有效； 学校可以用口语试卷编辑工具实现自主命题，系统完全覆盖朗读、复述、演讲、问答和讨论等题型，支持文字、图形、音频和视频等内容；录音采用mp3格式，支持双备份和容错模式，可支持视频节目作为情景对话场景；</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3.  系统支持单人或多人模式阅卷，支持学生准考证号码和姓名隐藏，教师阅卷只需点击播放答题录音，然后根据评分向导评分，确保阅卷评分的公正公平；系统支持试题浏览模式和考生浏览模式，教师可根据个人喜好选择，提高阅卷效率；阅卷完成系统支持成绩统计并导出；（提供功能截图）</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4. 支持各语种的语音合成，帮助学生语音合成训练，方便老师出听力试卷，自动把文字合成为声音，合成后可以保存为MP3形式。</w:t>
            </w:r>
          </w:p>
          <w:p>
            <w:pPr>
              <w:widowControl/>
              <w:shd w:val="clear" w:color="auto" w:fill="FFFFFF"/>
              <w:spacing w:line="300" w:lineRule="atLeast"/>
              <w:jc w:val="left"/>
              <w:rPr>
                <w:rFonts w:hint="eastAsia" w:ascii="宋体" w:hAnsi="宋体" w:cs="宋体"/>
                <w:color w:val="000000"/>
                <w:kern w:val="0"/>
                <w:sz w:val="18"/>
                <w:szCs w:val="18"/>
                <w:shd w:val="clear" w:color="auto" w:fill="FFFFFF"/>
              </w:rPr>
            </w:pPr>
            <w:r>
              <w:rPr>
                <w:rFonts w:hint="eastAsia" w:ascii="宋体" w:hAnsi="宋体" w:cs="宋体"/>
                <w:color w:val="000000"/>
                <w:kern w:val="0"/>
                <w:sz w:val="18"/>
                <w:szCs w:val="18"/>
                <w:shd w:val="clear" w:color="auto" w:fill="FFFFFF"/>
                <w:lang w:bidi="ar"/>
              </w:rPr>
              <w:t>四、外语云课堂</w:t>
            </w:r>
          </w:p>
          <w:p>
            <w:pPr>
              <w:widowControl/>
              <w:shd w:val="clear" w:color="auto" w:fill="FFFFFF"/>
              <w:spacing w:line="300" w:lineRule="atLeast"/>
              <w:jc w:val="left"/>
              <w:rPr>
                <w:rFonts w:hint="eastAsia" w:ascii="宋体" w:hAnsi="宋体" w:cs="宋体"/>
                <w:color w:val="000000"/>
                <w:kern w:val="0"/>
                <w:sz w:val="18"/>
                <w:szCs w:val="18"/>
                <w:shd w:val="clear" w:color="auto" w:fill="FFFFFF"/>
                <w:lang w:bidi="ar"/>
              </w:rPr>
            </w:pPr>
            <w:r>
              <w:rPr>
                <w:rFonts w:hint="eastAsia" w:ascii="宋体" w:hAnsi="宋体" w:cs="宋体"/>
                <w:color w:val="000000"/>
                <w:kern w:val="0"/>
                <w:sz w:val="18"/>
                <w:szCs w:val="18"/>
                <w:shd w:val="clear" w:color="auto" w:fill="FFFFFF"/>
                <w:lang w:bidi="ar"/>
              </w:rPr>
              <w:t>平台应采用B/S架构（浏览器/服务端架构）,平台可扩展到校园网应用,基于班级的云课堂应用； 系统应覆盖授课、作业、答疑、考试、语言技能训练和综合评估全过程，能够满足外语视听说和读写译的教学需求； 采用HTML5的音视频技术，通过浏览器访问平台，无需安装任何插件即可在线播放音视频资料，视频支持多字幕、多音轨切换；</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【功能要求】</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A. 班级教学</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1.每个教师可以单独指导自己所教授的教学班，一个教师可以同时指导多个教学班，学生在班级云课堂内，完成课文的预习和复习；允许教师在教学班中布置班级任务，班级任务的内容可以来自公共资源库中的已有资源、智能组卷、本地视频或其它文件； 允许跟踪或批阅教学班中的所有任务；</w:t>
            </w:r>
          </w:p>
          <w:p>
            <w:pPr>
              <w:widowControl/>
              <w:shd w:val="clear" w:color="auto" w:fill="FFFFFF"/>
              <w:spacing w:line="300" w:lineRule="atLeast"/>
              <w:jc w:val="left"/>
              <w:rPr>
                <w:rFonts w:hint="eastAsia" w:ascii="宋体" w:hAnsi="宋体" w:cs="宋体"/>
                <w:color w:val="000000"/>
                <w:kern w:val="0"/>
                <w:sz w:val="18"/>
                <w:szCs w:val="18"/>
                <w:shd w:val="clear" w:color="auto" w:fill="FFFFFF"/>
              </w:rPr>
            </w:pPr>
            <w:r>
              <w:rPr>
                <w:rFonts w:hint="eastAsia" w:ascii="宋体" w:hAnsi="宋体" w:cs="宋体"/>
                <w:color w:val="000000"/>
                <w:kern w:val="0"/>
                <w:sz w:val="18"/>
                <w:szCs w:val="18"/>
                <w:shd w:val="clear" w:color="auto" w:fill="FFFFFF"/>
                <w:lang w:bidi="ar"/>
              </w:rPr>
              <w:t>2.允许教师跟踪学生完成任务的时长。对于音视频类预习任务允许教师查看某个片段学生回看的频次；（提供功能截图）</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3. 允许教师以评分点的方式批阅学生递交的作业。允许教师在批阅作业时添加文本评语。作文类作业允许教师在原文上进行批注；（提供功能截图）</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4. 允许教师打回递交的结果，要求学生重做；（提供功能截图）</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5. 允许教师收取作业，禁止学生再次答题； 允许教师展示优秀的作业，供师生点评； 允许教师查看每次作业的统计结果，便于课堂讲评； 允许教师对学生进行课后辅导与答疑。教师和学生创建话题发起讨论，教师和学生都可以回复话题，或者对话题及回复进行评论； 允许教师在教学班中共享文件。教师共享的文件也可以用于展示和讨论； 任务可以在各看板间随意拖动。</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B. 班级考试</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教师可以通过组织考试来检查学生的学习状况，可用于课堂测验、或期中/期末考试； 允许教师从公共题库或者自建题库中抽取题目进行组卷。支持的题型包括但不限于选择、填空、写作、听力和口语等； 允许教师在选取试题时排除最近已经试用过的题目； 允许教师按照题型来设计试卷结构和考查范围。允许教师自定义试卷模板； 支持固定试卷或试题池内随机抽题的形式，可预览组卷结果。在考试中通过打乱题序和打乱选择枝等方式确保一人一卷； 允许教师将老师直接安排给自己教授的班级，并且能够自行控制考试开始和结束； 允许教师在监考过程中查看学生的答题情况； 考试结果中的客观题应自动批阅，同时允许教师对考试结果中的主观题进行手动批阅； 允许教师查看每次考试的统计结果。用于教学研究或讲评。</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C. 自主训练</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平台提供了针对语言教学的训练形式，以提高学生听、说、读、写等各方面的语言能力。训练模式包括但不限于如下形式：</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 xml:space="preserve"> 听写训练。允许学生根据听到的音频，写出相关的单词、句子或段落。根据正确率进行评分； 听力理解。允许学生根据听到的音频或看到的视频，完成相应的练习。根据正确率进行评分； 阅读训练。允许学生在规定的时间内阅读文章，并完成相应的练习。根据答题正确率进行评分； 写作/翻译训练。允许学生进行作文写作或者翻译。允许教师打分并批注，批注的形式包括但不限于高亮、删除、插入等。</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D. 教学评估</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授课教师和课程负责人可以按与实际教学活动相匹配的课程与教学班的形式进行教学管理； 允许教师统一查看自己教授的多个教学班的教学进度，包括学生任务的完成度、需要批阅的任务数； 允许教师查看每个教学班的评估结果。不仅可以查看每个学生的总成绩与学习时长；还可以按任务分组查看每个学生分项得分、完成度和时长； 允许教师导出评估结果； 允许教师发布评估结果，教师发布评估结果后，教学班内的学生可以查阅总评和分项成绩。</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E. 教学管理</w:t>
            </w:r>
            <w:r>
              <w:rPr>
                <w:rFonts w:hint="eastAsia" w:ascii="宋体" w:hAnsi="宋体" w:cs="宋体"/>
                <w:color w:val="000000"/>
                <w:kern w:val="0"/>
                <w:sz w:val="18"/>
                <w:szCs w:val="18"/>
                <w:shd w:val="clear" w:color="auto" w:fill="FFFFFF"/>
                <w:lang w:bidi="ar"/>
              </w:rPr>
              <w:br w:type="textWrapping"/>
            </w:r>
            <w:r>
              <w:rPr>
                <w:rFonts w:hint="eastAsia" w:ascii="宋体" w:hAnsi="宋体" w:cs="宋体"/>
                <w:color w:val="000000"/>
                <w:kern w:val="0"/>
                <w:sz w:val="18"/>
                <w:szCs w:val="18"/>
                <w:shd w:val="clear" w:color="auto" w:fill="FFFFFF"/>
                <w:lang w:bidi="ar"/>
              </w:rPr>
              <w:t>1.管理员可以集中管理，为教学活动提供支持； 允许管理员批量导入教师和学生的名单，同时允许管理员修改单个教师或学生的信息； 允许管理者批量导入教学班信息。同时允许管理员修改教学班的任课教师和学生； 允许管理员设置学期，按照学期批量开放课程、教学班，同时也可以按照学期对课程和教学班进行归档；允许教师查看已归档的教学班。</w:t>
            </w:r>
          </w:p>
          <w:p>
            <w:pPr>
              <w:widowControl/>
              <w:shd w:val="clear" w:color="auto" w:fill="FFFFFF"/>
              <w:spacing w:line="300" w:lineRule="atLeast"/>
              <w:jc w:val="left"/>
              <w:rPr>
                <w:rFonts w:hint="eastAsia" w:ascii="宋体" w:hAnsi="宋体" w:cs="宋体"/>
                <w:color w:val="000000"/>
                <w:kern w:val="0"/>
                <w:sz w:val="18"/>
                <w:szCs w:val="18"/>
                <w:shd w:val="clear" w:color="auto" w:fill="FFFFFF"/>
              </w:rPr>
            </w:pPr>
            <w:r>
              <w:rPr>
                <w:rFonts w:hint="eastAsia" w:ascii="宋体" w:hAnsi="宋体" w:cs="宋体"/>
                <w:szCs w:val="21"/>
              </w:rPr>
              <w:t>★</w:t>
            </w:r>
            <w:r>
              <w:rPr>
                <w:rFonts w:hint="eastAsia" w:ascii="宋体" w:hAnsi="宋体" w:cs="宋体"/>
                <w:color w:val="000000"/>
                <w:kern w:val="0"/>
                <w:sz w:val="18"/>
                <w:szCs w:val="18"/>
                <w:shd w:val="clear" w:color="auto" w:fill="FFFFFF"/>
                <w:lang w:bidi="ar"/>
              </w:rPr>
              <w:t>2.数字语音软件必须完全和Windows操作系统及英特尔芯片兼容性（提供有效证明材料）</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口语训练系统</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1、总体要求</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 xml:space="preserve"> 系统基于B/S(Browser/Server) 统一架构设计，具有多终端适配，教师和学生均具备PC端和移动端（同时具有iOS及Android应用）； 系统对本校使用用户不做数量总体限制，学校可自行开通用户使用；系统具有稳定易用性，能够承载大规模使用，不限制学校并发使用人数；系统公网使用，采用云端部署及数据存储，不需要本地服务器提供存储服务；系统的使用角色应至少包含:教师、学生两种身份角色；系统支持多终端查看/编辑/完善个人信息，支持接收系统更新 /消息/提醒；系统支持用户名信息查询功能，支持找回用户密码功能。</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2、智能引擎</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2.1具有智能评测引擎，系统支持对英语口语发音进行自动评测及反馈指导，各题型均实现即时的机评反馈。包括总分和维度分（准确度、流利度、完整度）；支持对发音中漏读、错读、发音不标准的情况给予不同标色提示（绿色为正确，红色为错误，黄色为发音不标准，黑色为漏读）。(提供软件运行截图)</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★2.2智能评测引擎可实现对音标训练、单词跟读/背诵、句子/段落/篇章跟读、句子/段落复述、口头填空、角色扮演、机器问答题型的自动评测。(提供软件运行截图)</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2.3 应具有语音合成引擎，支持教师粘贴任意英语文本内容，利用语音合成功能一键生成评测文本的音频和可机评的口语训练题。</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 xml:space="preserve">3、题库资源   </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3.1题库中习题应标注难度等级和能力能级。系统与《欧框》中各类英语口语考试进行难度对标建立至少六级难度体系，为教师发布任务和学生自主选择学习内容，提供科学合理的难度参考体系。系统应为教师和学生提供丰富的口语训练资源。包括校本题库、考试英语、生活英语、职业英语、基础技能模块，不少于500个训练单元。</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3.2校本题库：支持学校自建符合自身教学内容的校本资源；与课堂教学内容紧密衔接，巩固和拓展课堂口语练习内容。教师自建习题可共享至学校题库，实现全校范围内资源共享，形成教师和高校进行口语教学的校本资源基础。考试英语：涵盖四六级口语考试历年真题、模拟训练、题目详解、话题分类及高分答案，具有剖析解题思路、提供答题模板、讲授答题策略。生活英语：涵盖旅游出行、生存英语、留学海外、日常交际等日常生活场景，囊括各场景英语交际所需词汇、句式及常见表达方式与策略性应对语言。职场英语：涵盖求职面试、日常工作、电话沟通、举行会议、谈判高手、业务精英、社交活动等常见职场英语口语学习内容。基础技能：包括语音训练（音标训练、纠音技巧、音标易混音示范讲解）、词汇训练（四六级笔试及口试常见词汇）和语法训练。</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4、教师功能</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4.1支持教师多终端管理班级，新建/沿用/删除教学班的操作。可编辑修改教学班基本信息；管理班级学生（查找学生、添加学生、批量添加学生、修改学生信息、初始化学生密码、移除学生）；通过开放班级码让学生加入班级。</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4.2支持教师电脑端自建可机评口语训练题功能。题型应包括：篇章跟读、段落跟读、句子跟读、角色扮演、单词跟读。自建训练题应包含两种形式（1）教师粘贴任意英文文本内容，通过语音合成功能一键合成音频，形成可机评的口语训练题；（2）教师自行上传音频，形成可机评的口语训练题。支持教师对自建训练题进行管理，可设置合成音频语速、音色（男生音色/女生音色）、教材标签、教学场景标签、难度系数标签、是否共享校本题库等。共享校本题库的训练题支持本校所有教师共享使用，实现教师之间的资源互通、协同教学。(提供软件运行截图)</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4.3 支持教师多终端对系统题库内容进行筛选、查看讲解、预览练习/挑战、加入习题筐等操作。支持教师多端发布任务。通过手机端或电脑端从训练题库、自建题库中挑选训练题，选择任务起止时间、发布对象后，将训练题作为任务发布给学生。</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★4.4支持教师手机端发布任务选择不同模式。应包括：自定义模式、作业模式、练习模式、测验模式、考试模式。所有模式下均支持分级教学，精准筛选学生进行口语任务的发布。(提供软件运行截图)</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4.5支持教师多终端任务管理。教师可以通过手机端或电脑端对正在进行中的任务设置任务延期、提前结束、任务删除的操作；可以筛选学期、班级、搜索任务名称查看任务基本信息、任务状态及学生完成情况。(提供软件运行截图)</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4.6支持教师手机端发布消息点评。教师可以批量选择多个任务班级或挑选指定学生发布送消息点评，发布内容支持文字格式或语音格式，同时配有评语库，方便教师挑选发布给学生。</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4.7支持教师手机端人工打分复评学生任务。任务结束后系统支持教师查看学生作答记录，在系统评分基础上复听学生作答录音进行人工打分和发布评语。(提供软件运行截图)</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4.8支持多终端查看任务报告。任务结束后教师可在手机端或电脑端查看任务报告，包括：各班完成任务的综合情况（任务完成度、平均分、平均录音时长、成绩分布、完成情况、口语能力训练值）、各学生任务综合情况（任务分数、成绩排行、任务完成度、录音时长、分维度得分、录音音频等）。所有统计数据支持电脑端excel导出保存。</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4.9支持教师电脑端统计分析功能。支持教师筛选学期、班级，查看学习数据统计（整体表现、任务表现、自主学习表现）、成绩分布统计图、分维度成绩统计图、口语能力（人均）训练值、口语能力（人均）预测分以及班级详情。(提供软件运行截图)</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4.10支持教师手机端查看工作量。支持教师按学期查看每月的工作量（发布任务数、发布习题数、新建习题数）。支持教师手机端查看学生排行榜。支持教师查看全国排名前50的学生、本校学生以及本班学生的排行榜，并且支持查看排行榜内学生成绩信息以及回听学生挑战录音。排行维度包括口语能力、连续学习天数和学习总时长。</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5、学生功能</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5.1支持学生手机端个人主页管理。能够展现学生的基本信息及学习情况，可供其他学生和老师访问，有相应的访问权限设置功能。支持学生多终端参与班级管理。支持学生通过教师给予班级码申请加入教学班。支持学生多终端接收教师任务。支持学生接收教师发布的任务及查看任务基本信息（任务名称、任务时间、任务内容、挑战次数、成绩记录方式等）。支持学生多终端自主学习，学生可从课程库中自主添加所需学习的课程，对已添加的课程进行自主训练通过机器自动评阅了解自己口语学习效果。支持学生多终端查看任务报告。任务结束后，支持学生查看当前任务下个人成绩排名、班级平均分、个人表现（完成度、总分、维度分、录音时长）、口语能力训练值、关卡成绩单，当教师给予学生人工打分以后，可以显示机器智能评分和教师评分。</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5.2 支持学生多终端激励式学习模式。每一个关卡配有练习和挑战两种模式同时可以查看闯关人次和排行情况。练习模式下学生可以无限制次数进行练习，每次练习后会自动为学生口语成绩打分（发音准确度、完成度、流利度及总分）并且针对发音情况利用不同颜色进行标色；挑战模式下学生挑战结束，挑战成绩会实时同步给教师。支持学生手机端查看任务详细作答记录。任务结束后，系统支持学生查看教师评语及具体关卡报告，报告中支持查看答题记录轨迹图、回听答题记录录音、查看答题记录成绩总分、维度分、口语能力值。支持学生多终端查看统计分析数据。学习表现支持查看学习挑战情况、成绩表现情况、用功时长情况；口语能力对标四六级口语考试评分标准，支持查看各维度训练累计值，包括：发音准确度，朗读流利度，语法词汇，话语长度、连贯性，交际灵活、适切性。根据学生训练学习情况智能推荐学习整体建议、根据训练累计值机器智能预测学生口语能力、口语能力PK支持和自己若干月前的口语能力预测分进行PK，同时支持和本班其他同学的预测分进行PK。(提供软件运行截图)</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5.3支持学生手机端单词本功能。系统应支持将学生练习过程中发音有误单词自动统计到易错词中，也支持学生通过点选单词，查看单词发音、释义，可将该单词收藏至单词本中。在单词本中，支持学生查看收藏单词、易错单词，可查看单词发音、释义、例句。</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支持学生手机端分享互赞。学生完成任务后的个人录音、成绩和排行支持分享到微信、微博、QQ等平台，可以对其他同学的录音或排名进行点赞。支持学生手机端查看排名。支持学生手机端查看排行榜，可以查看全国排行榜、所在学校学生以及所在教学班学生的排行榜，并且支持查看排行榜内学生成绩信息以及回听学生挑战录音。排行维度包括口语能力、连续学习天数和学习总时长。支持学生手机端线上课程学习。系统应提供口语专项的在线课程，为学生提供体系化的精品课程，课程包含教学视频、英美好剧原声、文字讲义、配套练习，帮助学生系统化的掌握地道发音。</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6、社区互动模块</w:t>
            </w:r>
          </w:p>
          <w:p>
            <w:pPr>
              <w:widowControl/>
              <w:jc w:val="left"/>
              <w:textAlignment w:val="center"/>
              <w:rPr>
                <w:rFonts w:hint="eastAsia" w:ascii="宋体" w:hAnsi="宋体" w:cs="宋体"/>
                <w:color w:val="000000"/>
                <w:kern w:val="0"/>
                <w:sz w:val="18"/>
                <w:szCs w:val="18"/>
                <w:shd w:val="clear" w:color="auto" w:fill="FFFFFF"/>
              </w:rPr>
            </w:pPr>
            <w:r>
              <w:rPr>
                <w:rFonts w:hint="eastAsia" w:ascii="宋体" w:hAnsi="宋体" w:cs="宋体"/>
                <w:color w:val="000000"/>
                <w:sz w:val="18"/>
                <w:szCs w:val="18"/>
                <w:lang w:bidi="ar"/>
              </w:rPr>
              <w:t>系统支持学习交流型社区功能。实现师师、生生、师生之间交流互动，应包括班级小组、兴趣小组和独家专栏等模块。社区包含独家专栏，独家专栏每周由官方进行专业英语知识输出和答疑。系统支持教师和学生查看他人发布在社区中帖子，支持教师和学生自由发布文字帖、图片帖、语音帖、文字评论、语音评论等。系统支持教师在班级小组内配合教学发布社区讨论，支持教师和学生进行文字讨论、语音讨论、教师可给学生讨论内容打分，支持教师和学生查看班级小组中的看帖数、看帖时间、评论数、得分等数据。(提供软件运行截图)</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云桌面管理软件</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lang w:bidi="ar"/>
              </w:rPr>
              <w:t>1. 基于VOI（Virtual OS Infrastructure）架构，支持终端独立运作，服务器突发故障不会导致教学事故，关服务器也能上课；（提供功能截图）</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lang w:bidi="ar"/>
              </w:rPr>
              <w:t>2. 支持增量存储技术。多个桌面可共享操作系统镜像，仅以快照形式保存差异化增量数据，大幅降低硬盘占用； 支持增量传输技术。系统更新仅需分发增量数据，无需重新传输完整系统，大幅缩短运维时间； 支持镜像和快照的导入和导出，支持直接编辑已生成的快照，支持快照合并，大幅简化管理； 支持硬盘保护和自动还原，可以对终端本地系统盘进行保护和还原，终端只需要重启便能够恢复到初始的可靠状态； 支持按需交付，可按照课程、教师、应用提供不同桌面。支持管理员统一选择桌面，也支持学生自行选择桌面； 支持集中管理。所有终端的系统安装、补丁升级、软件更新、环境设置、新机器部署，故障恢复，管理员都可以通过WEB完成； 支持Windows7、Windows 10。</w:t>
            </w:r>
          </w:p>
          <w:p>
            <w:pPr>
              <w:widowControl/>
              <w:jc w:val="left"/>
              <w:textAlignment w:val="center"/>
              <w:rPr>
                <w:rFonts w:hint="eastAsia" w:ascii="宋体" w:hAnsi="宋体" w:cs="宋体"/>
                <w:b/>
                <w:color w:val="000000"/>
                <w:sz w:val="18"/>
                <w:szCs w:val="18"/>
              </w:rPr>
            </w:pPr>
            <w:r>
              <w:rPr>
                <w:rFonts w:hint="eastAsia" w:ascii="宋体" w:hAnsi="宋体" w:cs="宋体"/>
                <w:b/>
                <w:color w:val="000000"/>
                <w:sz w:val="18"/>
                <w:szCs w:val="18"/>
                <w:lang w:bidi="ar"/>
              </w:rPr>
              <w:t>性能</w:t>
            </w:r>
          </w:p>
          <w:p>
            <w:pPr>
              <w:widowControl/>
              <w:jc w:val="left"/>
              <w:textAlignment w:val="center"/>
              <w:rPr>
                <w:rFonts w:hint="eastAsia" w:ascii="宋体" w:hAnsi="宋体" w:cs="宋体"/>
                <w:color w:val="000000"/>
                <w:sz w:val="18"/>
                <w:szCs w:val="18"/>
              </w:rPr>
            </w:pPr>
            <w:r>
              <w:rPr>
                <w:rFonts w:hint="eastAsia" w:ascii="宋体" w:hAnsi="宋体" w:cs="宋体"/>
                <w:color w:val="000000"/>
                <w:sz w:val="18"/>
                <w:szCs w:val="18"/>
                <w:lang w:bidi="ar"/>
              </w:rPr>
              <w:t>1.支持不少于60座计算机教室的单教室并发部署，裸机部署双桌面（Windows+Office）时间不超过30分钟； 支持不少于6个60座计算机教室的多教室跨路由并发部署，裸机部署双桌面（Windows+Office）时间不超过1小时； 支持不少于3桌面（Windows+Office）的终端本地存储，存储空间占用不超过30GB；</w:t>
            </w:r>
          </w:p>
          <w:p>
            <w:pPr>
              <w:widowControl/>
              <w:jc w:val="left"/>
              <w:rPr>
                <w:rFonts w:hint="eastAsia" w:ascii="宋体" w:hAnsi="宋体" w:cs="宋体"/>
                <w:color w:val="000000"/>
                <w:sz w:val="18"/>
                <w:szCs w:val="18"/>
                <w:shd w:val="clear" w:color="auto" w:fill="FFFFFF"/>
              </w:rPr>
            </w:pPr>
            <w:r>
              <w:rPr>
                <w:rFonts w:hint="eastAsia" w:ascii="宋体" w:hAnsi="宋体" w:cs="宋体"/>
                <w:color w:val="000000"/>
                <w:sz w:val="18"/>
                <w:szCs w:val="18"/>
                <w:lang w:bidi="ar"/>
              </w:rPr>
              <w:t>2.为了确保软硬件兼容性，云桌面管理软件、云主机、云终端和数字语言实验室软件应为同一品牌。</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云主机</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cs="宋体"/>
                <w:color w:val="000000"/>
                <w:sz w:val="18"/>
                <w:szCs w:val="18"/>
                <w:shd w:val="clear" w:color="auto" w:fill="FFFFFF"/>
              </w:rPr>
            </w:pPr>
            <w:r>
              <w:rPr>
                <w:rFonts w:hint="eastAsia" w:ascii="宋体" w:hAnsi="宋体" w:cs="宋体"/>
                <w:color w:val="000000"/>
                <w:sz w:val="18"/>
                <w:szCs w:val="18"/>
                <w:lang w:bidi="ar"/>
              </w:rPr>
              <w:t>1.硬件规格：1U机架式云桌面管理主机；处理器采用x86架构，不低于四核八线程，睿频不低于3.9GHz；内存容量不低于8GB（DDR4）；固态硬盘容量不低于512GB（ M.2 NVME SSD）；内置RAID卡，提供不低于4块1TB 3.5寸SATA 3.0硬盘；提供不少于1个VGA和HDMI接口，支持显示扩展；主板集成不少于2个万兆以太网口，不少于6个千兆以太网口；（提供实物接口照片）主板集成不少于6个USB接口，其中不少于3个USB3.0接口；（提供实物接口照片）为确保运行稳定性，需提供7x24小时连续无故障运行（提供有效证明材料）;</w:t>
            </w:r>
            <w:r>
              <w:rPr>
                <w:rFonts w:hint="eastAsia" w:ascii="宋体" w:hAnsi="宋体" w:cs="宋体"/>
                <w:color w:val="000000"/>
                <w:sz w:val="18"/>
                <w:szCs w:val="18"/>
                <w:lang w:bidi="ar"/>
              </w:rPr>
              <w:br w:type="textWrapping"/>
            </w:r>
            <w:r>
              <w:rPr>
                <w:rFonts w:hint="eastAsia" w:ascii="宋体" w:hAnsi="宋体" w:cs="宋体"/>
                <w:szCs w:val="21"/>
              </w:rPr>
              <w:t>★2.</w:t>
            </w:r>
            <w:r>
              <w:rPr>
                <w:rFonts w:hint="eastAsia" w:ascii="宋体" w:hAnsi="宋体" w:cs="宋体"/>
                <w:color w:val="000000"/>
                <w:sz w:val="18"/>
                <w:szCs w:val="18"/>
                <w:lang w:bidi="ar"/>
              </w:rPr>
              <w:t>提供电源保护模块，遇到不稳定电压时，可自动断电保护，而不会造成损坏，需通过恶劣环境供电保护检测（提供有效证明材料）</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教师专业声卡</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cs="宋体"/>
                <w:color w:val="000000"/>
                <w:sz w:val="18"/>
                <w:szCs w:val="18"/>
                <w:shd w:val="clear" w:color="auto" w:fill="FFFFFF"/>
              </w:rPr>
            </w:pPr>
            <w:r>
              <w:rPr>
                <w:rFonts w:hint="eastAsia" w:ascii="宋体" w:hAnsi="宋体" w:cs="宋体"/>
                <w:color w:val="000000"/>
                <w:sz w:val="18"/>
                <w:szCs w:val="18"/>
                <w:lang w:bidi="ar"/>
              </w:rPr>
              <w:t>播放：立体声：24 位/192kHz；录制：可达 24 位/96KHz；麦克风输入口≥2；支持192kHz/24bit立体声输出；支持96kHz/24bit麦克风录音；支持光纤输出接口</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块</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760" w:hRule="atLeast"/>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平台服务器</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shd w:val="clear" w:color="auto" w:fill="FFFFFF"/>
              </w:rPr>
            </w:pPr>
            <w:r>
              <w:rPr>
                <w:rFonts w:hint="eastAsia" w:ascii="宋体" w:hAnsi="宋体" w:cs="宋体"/>
                <w:color w:val="000000"/>
                <w:sz w:val="18"/>
                <w:szCs w:val="18"/>
                <w:lang w:bidi="ar"/>
              </w:rPr>
              <w:t>处理器≥E5 4620至强10核20线程处理器；内存≥64G ；硬盘≥SATA/SAS  3*600G</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标配硬盘容量≥1.8TB；最大硬盘容量≥19.2TB；磁盘控制器：H330；RAID模式：RAID 5</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光驱：DVD；电源：双电750W；网络控制器：四端口千兆网卡</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塔式服务器</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cs="宋体"/>
                <w:color w:val="000000"/>
                <w:sz w:val="18"/>
                <w:szCs w:val="18"/>
                <w:shd w:val="clear" w:color="auto" w:fill="FFFFFF"/>
              </w:rPr>
            </w:pPr>
            <w:r>
              <w:rPr>
                <w:rFonts w:hint="eastAsia" w:ascii="宋体" w:hAnsi="宋体" w:cs="宋体"/>
                <w:color w:val="000000"/>
                <w:sz w:val="18"/>
                <w:szCs w:val="18"/>
                <w:shd w:val="clear" w:color="auto" w:fill="FFFFFF"/>
                <w:lang w:bidi="ar"/>
              </w:rPr>
              <w:t>处</w:t>
            </w:r>
            <w:r>
              <w:rPr>
                <w:rFonts w:hint="eastAsia" w:ascii="宋体" w:hAnsi="宋体" w:cs="宋体"/>
                <w:color w:val="000000"/>
                <w:sz w:val="18"/>
                <w:szCs w:val="18"/>
                <w:highlight w:val="none"/>
                <w:shd w:val="clear" w:color="auto" w:fill="FFFFFF"/>
                <w:lang w:bidi="ar"/>
              </w:rPr>
              <w:t>理器</w:t>
            </w:r>
            <w:r>
              <w:rPr>
                <w:rFonts w:hint="eastAsia" w:ascii="宋体" w:hAnsi="宋体" w:eastAsia="宋体" w:cs="宋体"/>
                <w:color w:val="000000"/>
                <w:sz w:val="18"/>
                <w:szCs w:val="18"/>
                <w:highlight w:val="none"/>
                <w:lang w:bidi="ar"/>
              </w:rPr>
              <w:t>≧</w:t>
            </w:r>
            <w:r>
              <w:rPr>
                <w:rFonts w:hint="eastAsia" w:ascii="宋体" w:hAnsi="宋体" w:cs="宋体"/>
                <w:color w:val="000000"/>
                <w:sz w:val="18"/>
                <w:szCs w:val="18"/>
                <w:highlight w:val="none"/>
                <w:shd w:val="clear" w:color="auto" w:fill="FFFFFF"/>
                <w:lang w:bidi="ar"/>
              </w:rPr>
              <w:t>3104 至强 6核处理器；内存</w:t>
            </w:r>
            <w:r>
              <w:rPr>
                <w:rFonts w:hint="eastAsia" w:ascii="宋体" w:hAnsi="宋体" w:eastAsia="宋体" w:cs="宋体"/>
                <w:color w:val="000000"/>
                <w:sz w:val="18"/>
                <w:szCs w:val="18"/>
                <w:highlight w:val="none"/>
                <w:lang w:bidi="ar"/>
              </w:rPr>
              <w:t>≧</w:t>
            </w:r>
            <w:r>
              <w:rPr>
                <w:rFonts w:hint="eastAsia" w:ascii="宋体" w:hAnsi="宋体" w:cs="宋体"/>
                <w:color w:val="000000"/>
                <w:sz w:val="18"/>
                <w:szCs w:val="18"/>
                <w:highlight w:val="none"/>
                <w:shd w:val="clear" w:color="auto" w:fill="FFFFFF"/>
                <w:lang w:bidi="ar"/>
              </w:rPr>
              <w:t>16G内存；</w:t>
            </w:r>
            <w:r>
              <w:rPr>
                <w:rFonts w:hint="eastAsia" w:ascii="宋体" w:hAnsi="宋体" w:cs="宋体"/>
                <w:color w:val="000000"/>
                <w:sz w:val="18"/>
                <w:szCs w:val="18"/>
                <w:shd w:val="clear" w:color="auto" w:fill="FFFFFF"/>
                <w:lang w:bidi="ar"/>
              </w:rPr>
              <w:t>硬盘</w:t>
            </w:r>
            <w:r>
              <w:rPr>
                <w:rFonts w:hint="eastAsia" w:ascii="宋体" w:hAnsi="宋体" w:eastAsia="宋体" w:cs="宋体"/>
                <w:color w:val="000000"/>
                <w:sz w:val="18"/>
                <w:szCs w:val="18"/>
                <w:lang w:bidi="ar"/>
              </w:rPr>
              <w:t>≧</w:t>
            </w:r>
            <w:r>
              <w:rPr>
                <w:rFonts w:hint="eastAsia" w:ascii="宋体" w:hAnsi="宋体" w:cs="宋体"/>
                <w:color w:val="000000"/>
                <w:sz w:val="18"/>
                <w:szCs w:val="18"/>
                <w:shd w:val="clear" w:color="auto" w:fill="FFFFFF"/>
                <w:lang w:bidi="ar"/>
              </w:rPr>
              <w:t>SATA 1T*2块；控制卡</w:t>
            </w:r>
            <w:r>
              <w:rPr>
                <w:rFonts w:hint="eastAsia" w:ascii="宋体" w:hAnsi="宋体" w:eastAsia="宋体" w:cs="宋体"/>
                <w:color w:val="000000"/>
                <w:sz w:val="18"/>
                <w:szCs w:val="18"/>
                <w:lang w:bidi="ar"/>
              </w:rPr>
              <w:t>≧</w:t>
            </w:r>
            <w:r>
              <w:rPr>
                <w:rFonts w:hint="eastAsia" w:ascii="宋体" w:hAnsi="宋体" w:cs="宋体"/>
                <w:color w:val="000000"/>
                <w:sz w:val="18"/>
                <w:szCs w:val="18"/>
                <w:shd w:val="clear" w:color="auto" w:fill="FFFFFF"/>
                <w:lang w:bidi="ar"/>
              </w:rPr>
              <w:t>H330</w:t>
            </w:r>
          </w:p>
          <w:p>
            <w:pPr>
              <w:rPr>
                <w:rFonts w:hint="eastAsia" w:ascii="宋体" w:hAnsi="宋体" w:cs="宋体"/>
                <w:color w:val="000000"/>
                <w:sz w:val="18"/>
                <w:szCs w:val="18"/>
                <w:shd w:val="clear" w:color="auto" w:fill="FFFFFF"/>
              </w:rPr>
            </w:pPr>
            <w:r>
              <w:rPr>
                <w:rFonts w:hint="eastAsia" w:ascii="宋体" w:hAnsi="宋体" w:cs="宋体"/>
                <w:color w:val="000000"/>
                <w:sz w:val="18"/>
                <w:szCs w:val="18"/>
                <w:shd w:val="clear" w:color="auto" w:fill="FFFFFF"/>
                <w:lang w:bidi="ar"/>
              </w:rPr>
              <w:t>光驱</w:t>
            </w:r>
            <w:r>
              <w:rPr>
                <w:rFonts w:hint="eastAsia" w:ascii="宋体" w:hAnsi="宋体" w:eastAsia="宋体" w:cs="宋体"/>
                <w:color w:val="000000"/>
                <w:sz w:val="18"/>
                <w:szCs w:val="18"/>
                <w:lang w:bidi="ar"/>
              </w:rPr>
              <w:t>≧</w:t>
            </w:r>
            <w:r>
              <w:rPr>
                <w:rFonts w:hint="eastAsia" w:ascii="宋体" w:hAnsi="宋体" w:cs="宋体"/>
                <w:color w:val="000000"/>
                <w:sz w:val="18"/>
                <w:szCs w:val="18"/>
                <w:shd w:val="clear" w:color="auto" w:fill="FFFFFF"/>
                <w:lang w:bidi="ar"/>
              </w:rPr>
              <w:t xml:space="preserve"> DVDRW</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学生云终端</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硬件规格</w:t>
            </w:r>
          </w:p>
          <w:p>
            <w:pPr>
              <w:widowControl/>
              <w:jc w:val="left"/>
              <w:textAlignment w:val="center"/>
              <w:rPr>
                <w:rFonts w:hint="eastAsia" w:ascii="宋体" w:hAnsi="宋体" w:cs="宋体"/>
                <w:color w:val="000000"/>
                <w:kern w:val="0"/>
                <w:sz w:val="18"/>
                <w:szCs w:val="18"/>
                <w:lang w:bidi="ar"/>
              </w:rPr>
            </w:pPr>
            <w:r>
              <w:rPr>
                <w:rFonts w:hint="eastAsia" w:ascii="宋体" w:hAnsi="宋体" w:cs="宋体"/>
                <w:szCs w:val="21"/>
              </w:rPr>
              <w:t>★1.</w:t>
            </w:r>
            <w:r>
              <w:rPr>
                <w:rFonts w:hint="eastAsia" w:ascii="宋体" w:hAnsi="宋体" w:cs="宋体"/>
                <w:color w:val="000000"/>
                <w:kern w:val="0"/>
                <w:sz w:val="18"/>
                <w:szCs w:val="18"/>
                <w:lang w:bidi="ar"/>
              </w:rPr>
              <w:t>处理器采用x86架构，英特尔第9代酷睿I3处理器，不低于四核四线程，基本频率≥3.6GHz，最大睿频≥4.2GHz，提供英特尔原厂CPU供货证明；</w:t>
            </w:r>
          </w:p>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2.内存容量≥8GB，硬盘容量≥256GB（SSD）；VGA+HDMI+DP三路输出；声卡信噪比≥80dB，需提供第三方权威信噪比检测报告；提供USB接口≥6个，其中USB3.0接口≥4个（含1个Type-C接口），USB2.0接口≥2个； 提供3.5mm音频接口≥2个；提供千兆网络接口；</w:t>
            </w:r>
          </w:p>
          <w:p>
            <w:pPr>
              <w:widowControl/>
              <w:jc w:val="left"/>
              <w:textAlignment w:val="center"/>
              <w:rPr>
                <w:rFonts w:hint="eastAsia" w:ascii="宋体" w:hAnsi="宋体" w:cs="宋体"/>
                <w:color w:val="000000"/>
                <w:kern w:val="0"/>
                <w:sz w:val="18"/>
                <w:szCs w:val="18"/>
                <w:lang w:bidi="ar"/>
              </w:rPr>
            </w:pPr>
            <w:r>
              <w:rPr>
                <w:rFonts w:hint="eastAsia" w:ascii="宋体" w:hAnsi="宋体" w:cs="宋体"/>
                <w:szCs w:val="21"/>
              </w:rPr>
              <w:t>★</w:t>
            </w:r>
            <w:r>
              <w:rPr>
                <w:rFonts w:hint="eastAsia" w:ascii="宋体" w:hAnsi="宋体" w:cs="宋体"/>
                <w:color w:val="000000"/>
                <w:kern w:val="0"/>
                <w:sz w:val="18"/>
                <w:szCs w:val="18"/>
                <w:lang w:bidi="ar"/>
              </w:rPr>
              <w:t>3 .整机噪音≤24dB，需提供第三方权威噪声声压级检测报告； 支持显示器背挂，具备防盗设计的显示器背挂架，支持VESA标准；支持Windows操作系统及英特尔芯片兼容性（提供有效证明材料）</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教师主机</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CPU：≥Intel i7-9700；硬盘：≥256G SSD +1TB机械硬盘；内存：≥16GB 内存</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主板芯片组：Intel 芯片组；操作系统：正版 Windows 操作系统；网卡:千兆网卡</w:t>
            </w:r>
          </w:p>
          <w:p>
            <w:pPr>
              <w:widowControl/>
              <w:jc w:val="left"/>
              <w:textAlignment w:val="center"/>
              <w:rPr>
                <w:rFonts w:hint="eastAsia" w:ascii="宋体" w:hAnsi="宋体" w:cs="宋体"/>
                <w:color w:val="000000"/>
                <w:sz w:val="18"/>
                <w:szCs w:val="18"/>
                <w:shd w:val="clear" w:color="auto" w:fill="FFFFFF"/>
              </w:rPr>
            </w:pPr>
            <w:r>
              <w:rPr>
                <w:rFonts w:hint="eastAsia" w:ascii="宋体" w:hAnsi="宋体" w:cs="宋体"/>
                <w:color w:val="000000"/>
                <w:kern w:val="0"/>
                <w:sz w:val="18"/>
                <w:szCs w:val="18"/>
                <w:lang w:bidi="ar"/>
              </w:rPr>
              <w:t>接口:≥8个USB接口；</w:t>
            </w:r>
            <w:r>
              <w:rPr>
                <w:rFonts w:hint="eastAsia" w:ascii="宋体" w:hAnsi="宋体" w:cs="宋体"/>
                <w:color w:val="000000"/>
                <w:sz w:val="18"/>
                <w:szCs w:val="18"/>
                <w:lang w:bidi="ar"/>
              </w:rPr>
              <w:t>显卡:独立显卡，显存≥2GB,具备HDMI、VGA等接口；显示器 ：≥21.5英寸液晶(2台)；键鼠:键盘和光电鼠标</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耳麦</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shd w:val="clear" w:color="auto" w:fill="FFFFFF"/>
              </w:rPr>
            </w:pPr>
            <w:r>
              <w:rPr>
                <w:rFonts w:hint="eastAsia" w:ascii="宋体" w:hAnsi="宋体" w:cs="宋体"/>
                <w:color w:val="000000"/>
                <w:sz w:val="18"/>
                <w:szCs w:val="18"/>
                <w:lang w:bidi="ar"/>
              </w:rPr>
              <w:t>麦克增益，高清晰音质</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耳机频响范围：20Hz-20KHz；耳机灵敏度：118dB S.P.L.at 1KHz；耳机阻抗：16Ω；</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麦克频响范围：20Hz-20KHz；麦克灵敏度：-26dB；麦克阻抗：2.2kΩ</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为确保声音信号传输的稳定性，耳机需采用RJ12数字接口</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为保证音效质量和便于后期统一维护，投标耳机与云终端和数字语言实验室软件为同一品牌。</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键盘鼠标</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shd w:val="clear" w:color="auto" w:fill="FFFFFF"/>
              </w:rPr>
            </w:pPr>
            <w:r>
              <w:rPr>
                <w:rFonts w:hint="eastAsia" w:ascii="宋体" w:hAnsi="宋体" w:cs="宋体"/>
                <w:color w:val="000000"/>
                <w:kern w:val="0"/>
                <w:sz w:val="18"/>
                <w:szCs w:val="18"/>
                <w:lang w:bidi="ar"/>
              </w:rPr>
              <w:t>USB键盘+USB光电鼠标</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显示器</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shd w:val="clear" w:color="auto" w:fill="FFFFFF"/>
              </w:rPr>
            </w:pPr>
            <w:r>
              <w:rPr>
                <w:rFonts w:hint="eastAsia" w:ascii="宋体" w:hAnsi="宋体" w:cs="宋体"/>
                <w:color w:val="000000"/>
                <w:kern w:val="0"/>
                <w:sz w:val="18"/>
                <w:szCs w:val="18"/>
                <w:lang w:bidi="ar"/>
              </w:rPr>
              <w:t>产品类型:LED显示器；屏幕尺寸</w:t>
            </w:r>
            <w:r>
              <w:rPr>
                <w:rFonts w:hint="eastAsia" w:ascii="宋体" w:hAnsi="宋体" w:cs="宋体"/>
                <w:color w:val="000000"/>
                <w:sz w:val="18"/>
                <w:szCs w:val="18"/>
                <w:lang w:bidi="ar"/>
              </w:rPr>
              <w:t>≥</w:t>
            </w:r>
            <w:r>
              <w:rPr>
                <w:rFonts w:hint="eastAsia" w:ascii="宋体" w:hAnsi="宋体" w:cs="宋体"/>
                <w:color w:val="000000"/>
                <w:kern w:val="0"/>
                <w:sz w:val="18"/>
                <w:szCs w:val="18"/>
                <w:lang w:bidi="ar"/>
              </w:rPr>
              <w:t>21.5英寸；背光类型:LED背光；亮度</w:t>
            </w:r>
            <w:r>
              <w:rPr>
                <w:rFonts w:hint="eastAsia" w:ascii="宋体" w:hAnsi="宋体" w:cs="宋体"/>
                <w:color w:val="000000"/>
                <w:sz w:val="18"/>
                <w:szCs w:val="18"/>
                <w:lang w:bidi="ar"/>
              </w:rPr>
              <w:t>≥</w:t>
            </w:r>
            <w:r>
              <w:rPr>
                <w:rFonts w:hint="eastAsia" w:ascii="宋体" w:hAnsi="宋体" w:cs="宋体"/>
                <w:color w:val="000000"/>
                <w:kern w:val="0"/>
                <w:sz w:val="18"/>
                <w:szCs w:val="18"/>
                <w:lang w:bidi="ar"/>
              </w:rPr>
              <w:t>250cd/㎡</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显示颜色</w:t>
            </w:r>
            <w:r>
              <w:rPr>
                <w:rFonts w:hint="eastAsia" w:ascii="宋体" w:hAnsi="宋体" w:cs="宋体"/>
                <w:color w:val="000000"/>
                <w:sz w:val="18"/>
                <w:szCs w:val="18"/>
                <w:lang w:bidi="ar"/>
              </w:rPr>
              <w:t>≥</w:t>
            </w:r>
            <w:r>
              <w:rPr>
                <w:rFonts w:hint="eastAsia" w:ascii="宋体" w:hAnsi="宋体" w:cs="宋体"/>
                <w:color w:val="000000"/>
                <w:kern w:val="0"/>
                <w:sz w:val="18"/>
                <w:szCs w:val="18"/>
                <w:lang w:bidi="ar"/>
              </w:rPr>
              <w:t>16.7M；视频接口:D-Sub（VGA）</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台式计算机</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CPU≥Intel Core  I5-8500(3.0GHZ,6C)；主板≥Intel B360 ；内存≥8G DDR4 2666MHz 内存，提供双内存槽位；显卡≥集成显卡；声卡：集成声卡，支持5.1声道（提供前2后3共5个音频接口）；硬盘≥SSD 256；网卡≥集成10/100/1000M以太网卡；扩展槽≥1个PCI-E*16、2个PCI-E*1、1个PCI槽位；键盘、鼠标：原厂防水键盘、抗菌鼠标；</w:t>
            </w:r>
          </w:p>
          <w:p>
            <w:pPr>
              <w:widowControl/>
              <w:jc w:val="left"/>
              <w:textAlignment w:val="center"/>
              <w:rPr>
                <w:rFonts w:hint="eastAsia" w:ascii="宋体" w:hAnsi="宋体" w:cs="宋体"/>
                <w:color w:val="000000"/>
                <w:sz w:val="18"/>
                <w:szCs w:val="18"/>
                <w:shd w:val="clear" w:color="auto" w:fill="FFFFFF"/>
              </w:rPr>
            </w:pPr>
            <w:r>
              <w:rPr>
                <w:rFonts w:hint="eastAsia" w:ascii="宋体" w:hAnsi="宋体" w:cs="宋体"/>
                <w:color w:val="000000"/>
                <w:sz w:val="18"/>
                <w:szCs w:val="18"/>
                <w:lang w:bidi="ar"/>
              </w:rPr>
              <w:t>接口≥10个USB接口(前置6个USB 3.1 G1，后置4个USB 2.0)、1组PS/2接口、1个串口、VGA+HDMI接口（VGA非转接）； 电源≥110/220V 180W节能电源  ；操作系统：预装Windows 10  64位正版操作系统 ；安全特性：USB屏蔽技术，仅识别USB键盘、鼠标，无法识别USB读取设备，有效防止数据泄露（投标时提供功能性截屏）； 机箱：标准MATX立式机箱，采用蜂窝结构;显示器≥21.5寸液晶1920*1080，提供低蓝光认证, VGA+DVI，动态对比度3M:1，中国能效等级（新标准）Tier 2, TCO Display 7.0; 最大视角170°/160°; 响应时间2ms</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空调</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shd w:val="clear" w:color="auto" w:fill="FFFFFF"/>
              </w:rPr>
            </w:pPr>
            <w:r>
              <w:rPr>
                <w:rFonts w:hint="eastAsia" w:ascii="宋体" w:hAnsi="宋体" w:cs="宋体"/>
                <w:color w:val="000000"/>
                <w:kern w:val="0"/>
                <w:sz w:val="18"/>
                <w:szCs w:val="18"/>
                <w:lang w:bidi="ar"/>
              </w:rPr>
              <w:t>空调类型：立柜式空调；冷暖类型：冷暖电辅；</w:t>
            </w:r>
            <w:r>
              <w:rPr>
                <w:rFonts w:hint="eastAsia" w:ascii="宋体" w:hAnsi="宋体" w:cs="宋体"/>
                <w:color w:val="000000"/>
                <w:sz w:val="18"/>
                <w:szCs w:val="18"/>
                <w:lang w:bidi="ar"/>
              </w:rPr>
              <w:t>能效比≥3.9；制冷量≥7200（900-8550）W；制热量≥9400（900-11500）W；室内机噪音≥22-42-47dB；室外机噪音≥56dB</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机柜</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基材：优质冷轧SPCC钢板   厚度：安装梁1.5MM，其它1.2MM；电源插排：带六个三线插座的电源排插，每个插座220V/10A；尺寸：高度：1600MM；宽度：600MM；深度：600MM</w:t>
            </w:r>
          </w:p>
          <w:p>
            <w:pPr>
              <w:widowControl/>
              <w:jc w:val="left"/>
              <w:textAlignment w:val="center"/>
              <w:rPr>
                <w:rFonts w:hint="eastAsia" w:ascii="宋体" w:hAnsi="宋体" w:cs="宋体"/>
                <w:color w:val="000000"/>
                <w:sz w:val="18"/>
                <w:szCs w:val="18"/>
                <w:shd w:val="clear" w:color="auto" w:fill="FFFFFF"/>
              </w:rPr>
            </w:pPr>
            <w:r>
              <w:rPr>
                <w:rFonts w:hint="eastAsia" w:ascii="宋体" w:hAnsi="宋体" w:cs="宋体"/>
                <w:color w:val="000000"/>
                <w:kern w:val="0"/>
                <w:sz w:val="18"/>
                <w:szCs w:val="18"/>
                <w:lang w:bidi="ar"/>
              </w:rPr>
              <w:t>内含PDU，理线架等配件，能够满足所有布线需求。</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交换机A</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产品类型：千兆以太网交换机；传输速率≥10/100/1000Mbps；背板带宽≥336Gbps/2.56Tbps</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包转发率≥51Mbps/108Mbps；MAC地址表≥8K；端口数量≥24个；端口描述≥24个10/100/1000Base-T以太网端口4个千兆SFP；含1个千兆光纤模块</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交换机B</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产品类型：千兆以太网交换机；应用层级：二层；背板带宽≥336Gbps/2.56Tbps</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包转发率≥87Mbps/144Mbps；端口描述≥48个10/100/1000Base-T以太网端口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4个千兆SFP；含1个千兆光纤模块</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路由器</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路由器类型:企业级路由器；其它端口:固定端口：4个GE，1个GE光，8个GE（支持切换为WAN口）；USB2.0端口：2个；Mini-USB控制台端口：1个；串行辅助/控制台端口：1个；扩展模块:SIC插槽：2个，WSIC插槽（缺省/最大）：0/1；包转发率:转发性能：2Mpps</w:t>
            </w:r>
          </w:p>
          <w:p>
            <w:pPr>
              <w:widowControl/>
              <w:jc w:val="left"/>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防火墙性能:（1500字节）：1000Mpps；</w:t>
            </w:r>
            <w:r>
              <w:rPr>
                <w:rFonts w:hint="eastAsia" w:ascii="宋体" w:hAnsi="宋体" w:cs="宋体"/>
                <w:color w:val="000000"/>
                <w:kern w:val="0"/>
                <w:sz w:val="18"/>
                <w:szCs w:val="18"/>
                <w:lang w:bidi="ar"/>
              </w:rPr>
              <w:t>含1个千兆光纤模块</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投影仪A</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highlight w:val="none"/>
              </w:rPr>
            </w:pPr>
            <w:r>
              <w:rPr>
                <w:rFonts w:hint="eastAsia" w:ascii="宋体" w:hAnsi="宋体" w:cs="宋体"/>
                <w:color w:val="000000"/>
                <w:sz w:val="18"/>
                <w:szCs w:val="18"/>
                <w:highlight w:val="none"/>
                <w:lang w:bidi="ar"/>
              </w:rPr>
              <w:t>产品类型：商务投影机，教育投影机；投影技术</w:t>
            </w:r>
            <w:r>
              <w:rPr>
                <w:rFonts w:hint="default" w:ascii="Arial" w:hAnsi="Arial" w:eastAsia="宋体" w:cs="Arial"/>
                <w:color w:val="000000"/>
                <w:kern w:val="0"/>
                <w:sz w:val="18"/>
                <w:szCs w:val="18"/>
                <w:highlight w:val="none"/>
                <w:lang w:bidi="ar"/>
              </w:rPr>
              <w:t>≥</w:t>
            </w:r>
            <w:r>
              <w:rPr>
                <w:rFonts w:hint="eastAsia" w:ascii="宋体" w:hAnsi="宋体" w:cs="宋体"/>
                <w:color w:val="000000"/>
                <w:sz w:val="18"/>
                <w:szCs w:val="18"/>
                <w:highlight w:val="none"/>
                <w:lang w:bidi="ar"/>
              </w:rPr>
              <w:t>3LCD；显示芯片</w:t>
            </w:r>
            <w:r>
              <w:rPr>
                <w:rFonts w:hint="default" w:ascii="Arial" w:hAnsi="Arial" w:eastAsia="宋体" w:cs="Arial"/>
                <w:color w:val="000000"/>
                <w:kern w:val="0"/>
                <w:sz w:val="18"/>
                <w:szCs w:val="18"/>
                <w:highlight w:val="none"/>
                <w:lang w:bidi="ar"/>
              </w:rPr>
              <w:t>≥</w:t>
            </w:r>
            <w:r>
              <w:rPr>
                <w:rFonts w:hint="eastAsia" w:ascii="宋体" w:hAnsi="宋体" w:cs="宋体"/>
                <w:color w:val="000000"/>
                <w:sz w:val="18"/>
                <w:szCs w:val="18"/>
                <w:highlight w:val="none"/>
                <w:lang w:bidi="ar"/>
              </w:rPr>
              <w:t>3×0.63英寸芯片</w:t>
            </w:r>
          </w:p>
          <w:p>
            <w:pPr>
              <w:widowControl/>
              <w:jc w:val="left"/>
              <w:textAlignment w:val="center"/>
              <w:rPr>
                <w:rFonts w:hint="eastAsia" w:ascii="宋体" w:hAnsi="宋体" w:cs="宋体"/>
                <w:color w:val="000000"/>
                <w:sz w:val="18"/>
                <w:szCs w:val="18"/>
                <w:highlight w:val="none"/>
                <w:shd w:val="clear" w:color="auto" w:fill="FFFFFF"/>
              </w:rPr>
            </w:pPr>
            <w:r>
              <w:rPr>
                <w:rFonts w:hint="eastAsia" w:ascii="宋体" w:hAnsi="宋体" w:cs="宋体"/>
                <w:color w:val="000000"/>
                <w:sz w:val="18"/>
                <w:szCs w:val="18"/>
                <w:highlight w:val="none"/>
                <w:lang w:bidi="ar"/>
              </w:rPr>
              <w:t>亮度</w:t>
            </w:r>
            <w:r>
              <w:rPr>
                <w:rFonts w:hint="default" w:ascii="Arial" w:hAnsi="Arial" w:eastAsia="宋体" w:cs="Arial"/>
                <w:color w:val="000000"/>
                <w:kern w:val="0"/>
                <w:sz w:val="18"/>
                <w:szCs w:val="18"/>
                <w:highlight w:val="none"/>
                <w:lang w:bidi="ar"/>
              </w:rPr>
              <w:t>≥</w:t>
            </w:r>
            <w:r>
              <w:rPr>
                <w:rFonts w:hint="eastAsia" w:ascii="宋体" w:hAnsi="宋体" w:cs="宋体"/>
                <w:color w:val="000000"/>
                <w:sz w:val="18"/>
                <w:szCs w:val="18"/>
                <w:highlight w:val="none"/>
                <w:lang w:bidi="ar"/>
              </w:rPr>
              <w:t>5500流明；对比度</w:t>
            </w:r>
            <w:r>
              <w:rPr>
                <w:rFonts w:hint="default" w:ascii="Arial" w:hAnsi="Arial" w:eastAsia="宋体" w:cs="Arial"/>
                <w:color w:val="000000"/>
                <w:kern w:val="0"/>
                <w:sz w:val="18"/>
                <w:szCs w:val="18"/>
                <w:highlight w:val="none"/>
                <w:lang w:bidi="ar"/>
              </w:rPr>
              <w:t>≥</w:t>
            </w:r>
            <w:r>
              <w:rPr>
                <w:rFonts w:hint="eastAsia" w:ascii="宋体" w:hAnsi="宋体" w:cs="宋体"/>
                <w:color w:val="000000"/>
                <w:sz w:val="18"/>
                <w:szCs w:val="18"/>
                <w:highlight w:val="none"/>
                <w:lang w:bidi="ar"/>
              </w:rPr>
              <w:t>15000:1；标准分辨率</w:t>
            </w:r>
            <w:r>
              <w:rPr>
                <w:rFonts w:hint="default" w:ascii="Arial" w:hAnsi="Arial" w:eastAsia="宋体" w:cs="Arial"/>
                <w:color w:val="000000"/>
                <w:kern w:val="0"/>
                <w:sz w:val="18"/>
                <w:szCs w:val="18"/>
                <w:highlight w:val="none"/>
                <w:lang w:bidi="ar"/>
              </w:rPr>
              <w:t>≥</w:t>
            </w:r>
            <w:r>
              <w:rPr>
                <w:rFonts w:hint="eastAsia" w:ascii="宋体" w:hAnsi="宋体" w:cs="宋体"/>
                <w:color w:val="000000"/>
                <w:sz w:val="18"/>
                <w:szCs w:val="18"/>
                <w:highlight w:val="none"/>
                <w:lang w:bidi="ar"/>
              </w:rPr>
              <w:t>XGA（1024*768）</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投影仪B</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highlight w:val="none"/>
              </w:rPr>
            </w:pPr>
            <w:r>
              <w:rPr>
                <w:rFonts w:hint="eastAsia" w:ascii="宋体" w:hAnsi="宋体" w:cs="宋体"/>
                <w:color w:val="000000"/>
                <w:sz w:val="18"/>
                <w:szCs w:val="18"/>
                <w:highlight w:val="none"/>
                <w:lang w:bidi="ar"/>
              </w:rPr>
              <w:t>产品类型：商务投影机，教育投影机；投影技术</w:t>
            </w:r>
            <w:r>
              <w:rPr>
                <w:rFonts w:hint="default" w:ascii="Arial" w:hAnsi="Arial" w:eastAsia="宋体" w:cs="Arial"/>
                <w:color w:val="000000"/>
                <w:kern w:val="0"/>
                <w:sz w:val="18"/>
                <w:szCs w:val="18"/>
                <w:highlight w:val="none"/>
                <w:lang w:bidi="ar"/>
              </w:rPr>
              <w:t>≥</w:t>
            </w:r>
            <w:r>
              <w:rPr>
                <w:rFonts w:hint="eastAsia" w:ascii="宋体" w:hAnsi="宋体" w:cs="宋体"/>
                <w:color w:val="000000"/>
                <w:sz w:val="18"/>
                <w:szCs w:val="18"/>
                <w:highlight w:val="none"/>
                <w:lang w:bidi="ar"/>
              </w:rPr>
              <w:t>LCD；显示芯片</w:t>
            </w:r>
            <w:r>
              <w:rPr>
                <w:rFonts w:hint="default" w:ascii="Arial" w:hAnsi="Arial" w:eastAsia="宋体" w:cs="Arial"/>
                <w:color w:val="000000"/>
                <w:kern w:val="0"/>
                <w:sz w:val="18"/>
                <w:szCs w:val="18"/>
                <w:highlight w:val="none"/>
                <w:lang w:bidi="ar"/>
              </w:rPr>
              <w:t>≥</w:t>
            </w:r>
            <w:r>
              <w:rPr>
                <w:rFonts w:hint="eastAsia" w:ascii="宋体" w:hAnsi="宋体" w:cs="宋体"/>
                <w:color w:val="000000"/>
                <w:sz w:val="18"/>
                <w:szCs w:val="18"/>
                <w:highlight w:val="none"/>
                <w:lang w:bidi="ar"/>
              </w:rPr>
              <w:t>3×0.63英寸芯片</w:t>
            </w:r>
          </w:p>
          <w:p>
            <w:pPr>
              <w:widowControl/>
              <w:jc w:val="left"/>
              <w:textAlignment w:val="center"/>
              <w:rPr>
                <w:rFonts w:hint="eastAsia" w:ascii="宋体" w:hAnsi="宋体" w:cs="宋体"/>
                <w:color w:val="000000"/>
                <w:sz w:val="18"/>
                <w:szCs w:val="18"/>
                <w:highlight w:val="none"/>
                <w:shd w:val="clear" w:color="auto" w:fill="FFFFFF"/>
              </w:rPr>
            </w:pPr>
            <w:r>
              <w:rPr>
                <w:rFonts w:hint="eastAsia" w:ascii="宋体" w:hAnsi="宋体" w:cs="宋体"/>
                <w:color w:val="000000"/>
                <w:sz w:val="18"/>
                <w:szCs w:val="18"/>
                <w:highlight w:val="none"/>
                <w:lang w:bidi="ar"/>
              </w:rPr>
              <w:t>亮度</w:t>
            </w:r>
            <w:r>
              <w:rPr>
                <w:rFonts w:hint="default" w:ascii="Arial" w:hAnsi="Arial" w:eastAsia="宋体" w:cs="Arial"/>
                <w:color w:val="000000"/>
                <w:kern w:val="0"/>
                <w:sz w:val="18"/>
                <w:szCs w:val="18"/>
                <w:highlight w:val="none"/>
                <w:lang w:bidi="ar"/>
              </w:rPr>
              <w:t>≥</w:t>
            </w:r>
            <w:r>
              <w:rPr>
                <w:rFonts w:hint="eastAsia" w:ascii="宋体" w:hAnsi="宋体" w:cs="宋体"/>
                <w:color w:val="000000"/>
                <w:sz w:val="18"/>
                <w:szCs w:val="18"/>
                <w:highlight w:val="none"/>
                <w:lang w:bidi="ar"/>
              </w:rPr>
              <w:t>4000流明；对比度</w:t>
            </w:r>
            <w:r>
              <w:rPr>
                <w:rFonts w:hint="default" w:ascii="Arial" w:hAnsi="Arial" w:eastAsia="宋体" w:cs="Arial"/>
                <w:color w:val="000000"/>
                <w:kern w:val="0"/>
                <w:sz w:val="18"/>
                <w:szCs w:val="18"/>
                <w:highlight w:val="none"/>
                <w:lang w:bidi="ar"/>
              </w:rPr>
              <w:t>≥</w:t>
            </w:r>
            <w:r>
              <w:rPr>
                <w:rFonts w:hint="eastAsia" w:ascii="宋体" w:hAnsi="宋体" w:cs="宋体"/>
                <w:color w:val="000000"/>
                <w:sz w:val="18"/>
                <w:szCs w:val="18"/>
                <w:highlight w:val="none"/>
                <w:lang w:bidi="ar"/>
              </w:rPr>
              <w:t>15000:1；标准分辨率</w:t>
            </w:r>
            <w:r>
              <w:rPr>
                <w:rFonts w:hint="default" w:ascii="Arial" w:hAnsi="Arial" w:eastAsia="宋体" w:cs="Arial"/>
                <w:color w:val="000000"/>
                <w:kern w:val="0"/>
                <w:sz w:val="18"/>
                <w:szCs w:val="18"/>
                <w:highlight w:val="none"/>
                <w:lang w:bidi="ar"/>
              </w:rPr>
              <w:t>≥</w:t>
            </w:r>
            <w:r>
              <w:rPr>
                <w:rFonts w:hint="eastAsia" w:ascii="宋体" w:hAnsi="宋体" w:cs="宋体"/>
                <w:color w:val="000000"/>
                <w:sz w:val="18"/>
                <w:szCs w:val="18"/>
                <w:highlight w:val="none"/>
                <w:lang w:bidi="ar"/>
              </w:rPr>
              <w:t>XGA（1024*768）</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台</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幕布</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shd w:val="clear" w:color="auto" w:fill="FFFFFF"/>
              </w:rPr>
            </w:pPr>
            <w:r>
              <w:rPr>
                <w:rFonts w:hint="eastAsia" w:ascii="宋体" w:hAnsi="宋体" w:cs="宋体"/>
                <w:color w:val="000000"/>
                <w:sz w:val="18"/>
                <w:szCs w:val="18"/>
                <w:lang w:bidi="ar"/>
              </w:rPr>
              <w:t>安装方式:壁挂式；打开方式:电动方式；对角线:120英寸；幕布比例:4:3；增益:2.5倍</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幕面尺寸:2.44*1.83m</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学生桌椅 </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shd w:val="clear" w:color="auto" w:fill="FFFFFF"/>
              </w:rPr>
            </w:pPr>
            <w:r>
              <w:rPr>
                <w:rFonts w:hint="eastAsia" w:ascii="宋体" w:hAnsi="宋体" w:cs="宋体"/>
                <w:color w:val="000000"/>
                <w:sz w:val="18"/>
                <w:szCs w:val="18"/>
                <w:shd w:val="clear" w:color="auto" w:fill="FFFFFF"/>
              </w:rPr>
              <w:t>单人位：700mm×600mm×780mm； 凳子：340mm×240mm×430mm；材质：高密度板外贴三聚氰胺材料；桌面板厚度为约25mm，其它辅助板厚度为约15mm；PVC热容封边；面板颜色为天蓝色，其它侧身板颜色为橡白色；颜色也可定制;背档板（总高约475mm、弧形后伸约30mm）；放置设备的背档柜（总高度约235mm），背横板总宽度约245mm。桌子内设放置（线缆、插排、终端设备）的隐蔽隔柜；中间档板开散热孔若干个确保机器散热良好；</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教师桌椅</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shd w:val="clear" w:color="auto" w:fill="FFFFFF"/>
              </w:rPr>
            </w:pPr>
            <w:r>
              <w:rPr>
                <w:rFonts w:hint="eastAsia" w:ascii="宋体" w:hAnsi="宋体" w:cs="宋体"/>
                <w:color w:val="000000"/>
                <w:sz w:val="18"/>
                <w:szCs w:val="18"/>
                <w:lang w:bidi="ar"/>
              </w:rPr>
              <w:t>材质：高密度板外贴三聚氰胺材料；面板规格：约1400×800×760mm；面板和两边侧身板厚度：约25mm，其它板厚度：约15mm；桌中间正面两侧有2个抽屉（带三节轨道+拉手+统一钥匙的锁头，抽屉总宽/总高度：约250mm×205mm），底脚座位后伸：约200mm；两侧抽屉中间带三节轨道键盘托架1个、总高度：约125mm，托架前/后+高20mm档板、托架下面+100mm宽的固定档板；</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综合布线</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shd w:val="clear" w:color="auto" w:fill="FFFFFF"/>
              </w:rPr>
            </w:pPr>
            <w:r>
              <w:rPr>
                <w:rFonts w:hint="eastAsia" w:ascii="宋体" w:hAnsi="宋体" w:cs="宋体"/>
                <w:color w:val="000000"/>
                <w:sz w:val="18"/>
                <w:szCs w:val="18"/>
                <w:lang w:bidi="ar"/>
              </w:rPr>
              <w:t>采用超六类网线，布线、安装、调试、培训，提供国标线材、辅材，提供相关配套配件</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点</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吸顶灯</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shd w:val="clear" w:color="auto" w:fill="FFFFFF"/>
              </w:rPr>
            </w:pPr>
            <w:r>
              <w:rPr>
                <w:rFonts w:hint="eastAsia" w:ascii="宋体" w:hAnsi="宋体" w:cs="宋体"/>
                <w:color w:val="000000"/>
                <w:kern w:val="0"/>
                <w:sz w:val="18"/>
                <w:szCs w:val="18"/>
                <w:lang w:bidi="ar"/>
              </w:rPr>
              <w:t>功率: 50W尺寸: 600*600光源类型: LED照射面积: 10㎡-15㎡</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26</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挂板</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定制高清写真画面，芙蓉板材质，厚度0.8cm，尺寸130cm*80cm。</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27</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标牌</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定制高清写真画面，芙蓉板材质，厚度0.8cm，尺寸130cm*80cm</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28</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金属字</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磨砂面不锈钢材质，厚度1.5cm，尺寸0.35cm*0.35cm</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29</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吸音板</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槽木吸音板基材： 采用高密度板，厚度为12mm;饰 面：三聚氰胺、木皮饰面，颜色可选</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吸声薄毡：颜色为黑色，粘贴在吸声板背面，具防火吸声作用</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333333"/>
                <w:kern w:val="0"/>
                <w:sz w:val="18"/>
                <w:szCs w:val="18"/>
                <w:lang w:bidi="ar"/>
              </w:rPr>
              <w:t>㎡</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30</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塑料字</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定制亚克力与有机玻璃，厚度0.8cm，尺寸0.3cm*0.3cm</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个</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31</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地板</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shd w:val="clear" w:color="auto" w:fill="FFFFFF"/>
              </w:rPr>
            </w:pPr>
            <w:r>
              <w:rPr>
                <w:rFonts w:hint="eastAsia" w:ascii="宋体" w:hAnsi="宋体" w:cs="宋体"/>
                <w:color w:val="000000"/>
                <w:kern w:val="0"/>
                <w:sz w:val="18"/>
                <w:szCs w:val="18"/>
                <w:lang w:bidi="ar"/>
              </w:rPr>
              <w:t>地砖式防静电地板，支架承载能力不低于200KN，龙骨厚度不低与0.8,地板规格600×600×40mm。每平方米承重600KG，防火等级别B1级，耐磨性能：0.1g/1000转，吸水性：小于0.5％，横梁和自身高度可调的支座用螺钉连结成稳固的下部支承系统。地板集中载荷为270KG，均布载荷1200KG,  安装高度为150MM-200MM（地面到版面高度）</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333333"/>
                <w:kern w:val="0"/>
                <w:sz w:val="18"/>
                <w:szCs w:val="18"/>
                <w:lang w:bidi="ar"/>
              </w:rPr>
              <w:t>㎡</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895"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黑板</w:t>
            </w:r>
          </w:p>
        </w:tc>
        <w:tc>
          <w:tcPr>
            <w:tcW w:w="719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shd w:val="clear" w:color="auto" w:fill="FFFFFF"/>
              </w:rPr>
            </w:pPr>
            <w:r>
              <w:rPr>
                <w:rFonts w:hint="eastAsia" w:ascii="宋体" w:hAnsi="宋体" w:cs="宋体"/>
                <w:color w:val="000000"/>
                <w:kern w:val="0"/>
                <w:sz w:val="18"/>
                <w:szCs w:val="18"/>
                <w:lang w:bidi="ar"/>
              </w:rPr>
              <w:t>活动黑板，90cm*150cm烤漆面板</w:t>
            </w:r>
          </w:p>
        </w:tc>
        <w:tc>
          <w:tcPr>
            <w:tcW w:w="511" w:type="dxa"/>
            <w:tcBorders>
              <w:top w:val="single" w:color="auto" w:sz="6" w:space="0"/>
              <w:left w:val="single" w:color="auto" w:sz="6" w:space="0"/>
              <w:bottom w:val="single" w:color="auto" w:sz="6" w:space="0"/>
              <w:right w:val="single" w:color="auto" w:sz="6"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套</w:t>
            </w:r>
          </w:p>
        </w:tc>
        <w:tc>
          <w:tcPr>
            <w:tcW w:w="443" w:type="dxa"/>
            <w:tcBorders>
              <w:top w:val="single" w:color="auto" w:sz="6" w:space="0"/>
              <w:left w:val="single" w:color="auto" w:sz="6" w:space="0"/>
              <w:bottom w:val="single" w:color="auto" w:sz="6" w:space="0"/>
              <w:right w:val="single" w:color="auto" w:sz="12" w:space="0"/>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jc w:val="center"/>
        </w:trPr>
        <w:tc>
          <w:tcPr>
            <w:tcW w:w="391" w:type="dxa"/>
            <w:tcBorders>
              <w:top w:val="single" w:color="auto" w:sz="6" w:space="0"/>
              <w:left w:val="single" w:color="auto" w:sz="12" w:space="0"/>
              <w:bottom w:val="single" w:color="auto" w:sz="12"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33</w:t>
            </w:r>
          </w:p>
        </w:tc>
        <w:tc>
          <w:tcPr>
            <w:tcW w:w="895" w:type="dxa"/>
            <w:tcBorders>
              <w:top w:val="single" w:color="auto" w:sz="6" w:space="0"/>
              <w:left w:val="single" w:color="auto" w:sz="6" w:space="0"/>
              <w:bottom w:val="single" w:color="auto" w:sz="12"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电子屏</w:t>
            </w:r>
          </w:p>
        </w:tc>
        <w:tc>
          <w:tcPr>
            <w:tcW w:w="7191" w:type="dxa"/>
            <w:tcBorders>
              <w:top w:val="single" w:color="auto" w:sz="6" w:space="0"/>
              <w:left w:val="single" w:color="auto" w:sz="6" w:space="0"/>
              <w:bottom w:val="single" w:color="auto" w:sz="12" w:space="0"/>
              <w:right w:val="single" w:color="auto" w:sz="6" w:space="0"/>
            </w:tcBorders>
            <w:noWrap w:val="0"/>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室内LED屏，单红色P10，3平方米，尺寸6.5m*0.48m</w:t>
            </w:r>
          </w:p>
        </w:tc>
        <w:tc>
          <w:tcPr>
            <w:tcW w:w="511" w:type="dxa"/>
            <w:tcBorders>
              <w:top w:val="single" w:color="auto" w:sz="6" w:space="0"/>
              <w:left w:val="single" w:color="auto" w:sz="6" w:space="0"/>
              <w:bottom w:val="single" w:color="auto" w:sz="12" w:space="0"/>
              <w:right w:val="single" w:color="auto" w:sz="6"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块</w:t>
            </w:r>
          </w:p>
        </w:tc>
        <w:tc>
          <w:tcPr>
            <w:tcW w:w="443" w:type="dxa"/>
            <w:tcBorders>
              <w:top w:val="single" w:color="auto" w:sz="6" w:space="0"/>
              <w:left w:val="single" w:color="auto" w:sz="6" w:space="0"/>
              <w:bottom w:val="single" w:color="auto" w:sz="12" w:space="0"/>
              <w:right w:val="single" w:color="auto" w:sz="12" w:space="0"/>
            </w:tcBorders>
            <w:noWrap w:val="0"/>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rightChars="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备注：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rightChars="0" w:firstLine="480" w:firstLineChars="200"/>
        <w:textAlignment w:val="auto"/>
        <w:rPr>
          <w:rFonts w:hint="eastAsia" w:ascii="宋体" w:hAnsi="宋体" w:cs="宋体"/>
          <w:sz w:val="24"/>
          <w:highlight w:val="none"/>
        </w:rPr>
      </w:pPr>
      <w:r>
        <w:rPr>
          <w:rFonts w:hint="eastAsia" w:ascii="宋体" w:hAnsi="宋体"/>
          <w:sz w:val="24"/>
          <w:szCs w:val="24"/>
          <w:highlight w:val="none"/>
          <w:lang w:val="en-US" w:eastAsia="zh-CN"/>
        </w:rPr>
        <w:t>1.</w:t>
      </w:r>
      <w:r>
        <w:rPr>
          <w:rFonts w:hint="eastAsia" w:ascii="宋体" w:hAnsi="宋体" w:cs="宋体"/>
          <w:sz w:val="24"/>
          <w:highlight w:val="none"/>
        </w:rPr>
        <w:t>投标产品中如有政府采购强制采购产品的，</w:t>
      </w:r>
      <w:r>
        <w:rPr>
          <w:rFonts w:hint="eastAsia" w:ascii="宋体" w:hAnsi="宋体"/>
          <w:sz w:val="24"/>
          <w:highlight w:val="none"/>
          <w:lang w:val="en-US" w:eastAsia="zh-CN"/>
        </w:rPr>
        <w:t>供应商必须提供该产品节能证书或其他证明材料</w:t>
      </w:r>
      <w:r>
        <w:rPr>
          <w:rFonts w:hint="eastAsia" w:ascii="宋体" w:hAnsi="宋体" w:cs="宋体"/>
          <w:sz w:val="24"/>
          <w:highlight w:val="none"/>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rightChars="0"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2.投标产品已列入国家强制性产品认证的产品，必须提供通过国家3C认证的有关证明材料。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rightChars="0" w:firstLine="480" w:firstLineChars="2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3.所有产品按照采购人要求安装调试到位。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exact"/>
        <w:ind w:right="0" w:rightChars="0" w:firstLine="480" w:firstLineChars="200"/>
        <w:textAlignment w:val="auto"/>
        <w:rPr>
          <w:rFonts w:hint="eastAsia" w:ascii="宋体" w:hAnsi="宋体" w:cs="宋体"/>
          <w:sz w:val="24"/>
          <w:highlight w:val="none"/>
          <w:lang w:eastAsia="zh-CN"/>
        </w:rPr>
      </w:pPr>
      <w:r>
        <w:rPr>
          <w:rFonts w:hint="eastAsia" w:ascii="宋体" w:hAnsi="宋体" w:cs="宋体"/>
          <w:sz w:val="24"/>
          <w:highlight w:val="none"/>
          <w:lang w:val="en-US" w:eastAsia="zh-CN"/>
        </w:rPr>
        <w:t>4、</w:t>
      </w:r>
      <w:r>
        <w:rPr>
          <w:rFonts w:hint="eastAsia" w:ascii="宋体" w:hAnsi="宋体" w:cs="宋体"/>
          <w:sz w:val="24"/>
          <w:highlight w:val="none"/>
        </w:rPr>
        <w:t>“★”指标</w:t>
      </w:r>
      <w:r>
        <w:rPr>
          <w:rFonts w:hint="eastAsia" w:ascii="宋体" w:hAnsi="宋体" w:cs="宋体"/>
          <w:sz w:val="24"/>
          <w:highlight w:val="none"/>
          <w:lang w:eastAsia="zh-CN"/>
        </w:rPr>
        <w:t>为必须满足项，不允许负偏差，否则视为未实质性响应采购文件要求，做无效标处理。</w:t>
      </w:r>
    </w:p>
    <w:p>
      <w:pPr>
        <w:bidi w:val="0"/>
        <w:rPr>
          <w:rFonts w:hint="default"/>
          <w:lang w:val="en-US" w:eastAsia="zh-CN"/>
        </w:rPr>
      </w:pPr>
    </w:p>
    <w:p>
      <w:pPr>
        <w:bidi w:val="0"/>
        <w:rPr>
          <w:rFonts w:hint="default"/>
          <w:lang w:val="en-US" w:eastAsia="zh-CN"/>
        </w:rPr>
      </w:pPr>
    </w:p>
    <w:p>
      <w:pPr>
        <w:bidi w:val="0"/>
        <w:rPr>
          <w:rFonts w:hint="default"/>
          <w:lang w:val="en-US" w:eastAsia="zh-CN"/>
        </w:rPr>
      </w:pPr>
      <w:bookmarkStart w:id="725" w:name="_GoBack"/>
      <w:bookmarkEnd w:id="725"/>
    </w:p>
    <w:p>
      <w:pPr>
        <w:keepNext w:val="0"/>
        <w:keepLines w:val="0"/>
        <w:pageBreakBefore w:val="0"/>
        <w:kinsoku/>
        <w:wordWrap/>
        <w:overflowPunct/>
        <w:topLinePunct w:val="0"/>
        <w:autoSpaceDE/>
        <w:autoSpaceDN/>
        <w:bidi w:val="0"/>
        <w:adjustRightInd/>
        <w:spacing w:line="360" w:lineRule="exact"/>
        <w:ind w:firstLine="482" w:firstLineChars="200"/>
        <w:textAlignment w:val="auto"/>
        <w:outlineLvl w:val="1"/>
        <w:rPr>
          <w:rFonts w:hint="eastAsia" w:ascii="宋体" w:hAnsi="宋体"/>
          <w:b/>
          <w:color w:val="000000"/>
          <w:sz w:val="24"/>
          <w:szCs w:val="24"/>
        </w:rPr>
      </w:pPr>
      <w:bookmarkStart w:id="538" w:name="t12"/>
      <w:bookmarkEnd w:id="538"/>
      <w:bookmarkStart w:id="539" w:name="t11"/>
      <w:bookmarkEnd w:id="539"/>
      <w:bookmarkStart w:id="540" w:name="t10"/>
      <w:bookmarkEnd w:id="540"/>
      <w:bookmarkStart w:id="541" w:name="t7"/>
      <w:bookmarkEnd w:id="541"/>
      <w:bookmarkStart w:id="542" w:name="t9"/>
      <w:bookmarkEnd w:id="542"/>
      <w:bookmarkStart w:id="543" w:name="t8"/>
      <w:bookmarkEnd w:id="543"/>
      <w:bookmarkStart w:id="544" w:name="t6"/>
      <w:bookmarkEnd w:id="544"/>
      <w:bookmarkStart w:id="545" w:name="_Toc8630"/>
      <w:bookmarkStart w:id="546" w:name="_Toc29041"/>
      <w:bookmarkStart w:id="547" w:name="_Toc44924411"/>
      <w:bookmarkStart w:id="548" w:name="_Toc16089921"/>
      <w:r>
        <w:rPr>
          <w:rFonts w:hint="eastAsia" w:ascii="宋体" w:hAnsi="宋体"/>
          <w:b/>
          <w:color w:val="000000"/>
          <w:sz w:val="24"/>
          <w:szCs w:val="24"/>
          <w:lang w:eastAsia="zh-CN"/>
        </w:rPr>
        <w:t>三、</w:t>
      </w:r>
      <w:r>
        <w:rPr>
          <w:rFonts w:hint="eastAsia" w:ascii="宋体" w:hAnsi="宋体"/>
          <w:b/>
          <w:color w:val="000000"/>
          <w:sz w:val="24"/>
          <w:szCs w:val="24"/>
        </w:rPr>
        <w:t>商务要求</w:t>
      </w:r>
      <w:bookmarkEnd w:id="545"/>
      <w:bookmarkEnd w:id="546"/>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48"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宋体" w:hAnsi="宋体" w:cs="宋体"/>
                <w:color w:val="auto"/>
                <w:kern w:val="0"/>
                <w:sz w:val="21"/>
                <w:szCs w:val="21"/>
              </w:rPr>
            </w:pPr>
            <w:r>
              <w:rPr>
                <w:rFonts w:hint="eastAsia" w:ascii="宋体" w:hAnsi="宋体" w:cs="宋体"/>
                <w:color w:val="auto"/>
                <w:kern w:val="0"/>
                <w:sz w:val="21"/>
                <w:szCs w:val="21"/>
              </w:rPr>
              <w:t>质量标准</w:t>
            </w:r>
          </w:p>
        </w:tc>
        <w:tc>
          <w:tcPr>
            <w:tcW w:w="7292"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ascii="宋体" w:hAnsi="宋体" w:cs="宋体"/>
                <w:color w:val="auto"/>
                <w:kern w:val="0"/>
                <w:sz w:val="21"/>
                <w:szCs w:val="21"/>
              </w:rPr>
            </w:pPr>
            <w:r>
              <w:rPr>
                <w:rFonts w:hint="eastAsia" w:ascii="宋体" w:hAnsi="宋体" w:cs="宋体"/>
                <w:color w:val="auto"/>
                <w:kern w:val="0"/>
                <w:sz w:val="21"/>
                <w:szCs w:val="21"/>
              </w:rPr>
              <w:t>国家合格标准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48"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宋体" w:hAnsi="宋体" w:cs="宋体"/>
                <w:color w:val="auto"/>
                <w:kern w:val="0"/>
                <w:sz w:val="21"/>
                <w:szCs w:val="21"/>
              </w:rPr>
            </w:pPr>
            <w:r>
              <w:rPr>
                <w:rFonts w:hint="eastAsia" w:ascii="宋体" w:hAnsi="宋体" w:cs="宋体"/>
                <w:color w:val="auto"/>
                <w:kern w:val="0"/>
                <w:sz w:val="21"/>
                <w:szCs w:val="21"/>
              </w:rPr>
              <w:t>质保期</w:t>
            </w:r>
          </w:p>
        </w:tc>
        <w:tc>
          <w:tcPr>
            <w:tcW w:w="7292"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设备验收合格后，三</w:t>
            </w:r>
            <w:r>
              <w:rPr>
                <w:rFonts w:ascii="宋体" w:hAnsi="宋体" w:cs="宋体"/>
                <w:color w:val="auto"/>
                <w:kern w:val="0"/>
                <w:sz w:val="21"/>
                <w:szCs w:val="21"/>
              </w:rPr>
              <w:t>年</w:t>
            </w:r>
            <w:r>
              <w:rPr>
                <w:rFonts w:hint="eastAsia" w:ascii="宋体" w:hAnsi="宋体" w:cs="宋体"/>
                <w:color w:val="auto"/>
                <w:kern w:val="0"/>
                <w:sz w:val="21"/>
                <w:szCs w:val="21"/>
              </w:rPr>
              <w:t>免费质保，三年免费上</w:t>
            </w:r>
            <w:r>
              <w:rPr>
                <w:rFonts w:ascii="宋体" w:hAnsi="宋体" w:cs="宋体"/>
                <w:color w:val="auto"/>
                <w:kern w:val="0"/>
                <w:sz w:val="21"/>
                <w:szCs w:val="21"/>
              </w:rPr>
              <w:t>门</w:t>
            </w:r>
            <w:r>
              <w:rPr>
                <w:rFonts w:hint="eastAsia" w:ascii="宋体" w:hAnsi="宋体" w:cs="宋体"/>
                <w:color w:val="auto"/>
                <w:kern w:val="0"/>
                <w:sz w:val="21"/>
                <w:szCs w:val="21"/>
              </w:rPr>
              <w:t>服务（其中软件五年免费升级和质保，五年免费上门服务），提供承诺函。</w:t>
            </w:r>
            <w:r>
              <w:rPr>
                <w:rFonts w:hint="eastAsia" w:ascii="宋体" w:hAnsi="宋体" w:cs="宋体"/>
                <w:color w:val="auto"/>
                <w:kern w:val="0"/>
                <w:sz w:val="21"/>
                <w:szCs w:val="21"/>
                <w:highlight w:val="none"/>
                <w:lang w:eastAsia="zh-CN"/>
              </w:rPr>
              <w:t>设备制造商承诺的质保期优于采购要求的按承诺函执行。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548"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宋体" w:hAnsi="宋体" w:cs="宋体"/>
                <w:color w:val="auto"/>
                <w:kern w:val="0"/>
                <w:sz w:val="21"/>
                <w:szCs w:val="21"/>
              </w:rPr>
            </w:pPr>
            <w:r>
              <w:rPr>
                <w:rFonts w:hint="eastAsia" w:ascii="宋体" w:hAnsi="宋体" w:cs="宋体"/>
                <w:color w:val="auto"/>
                <w:kern w:val="0"/>
                <w:sz w:val="21"/>
                <w:szCs w:val="21"/>
              </w:rPr>
              <w:t>交货时间及地点</w:t>
            </w:r>
          </w:p>
        </w:tc>
        <w:tc>
          <w:tcPr>
            <w:tcW w:w="7292"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ascii="宋体" w:hAnsi="宋体" w:cs="宋体"/>
                <w:color w:val="auto"/>
                <w:kern w:val="0"/>
                <w:sz w:val="21"/>
                <w:szCs w:val="21"/>
                <w:u w:val="single"/>
              </w:rPr>
            </w:pPr>
            <w:r>
              <w:rPr>
                <w:rFonts w:hint="eastAsia" w:ascii="宋体" w:hAnsi="宋体" w:cs="宋体"/>
                <w:color w:val="auto"/>
                <w:kern w:val="0"/>
                <w:sz w:val="21"/>
                <w:szCs w:val="21"/>
              </w:rPr>
              <w:t>交货时间：合同签订后30日内验收合格并交付使用。</w:t>
            </w:r>
          </w:p>
          <w:p>
            <w:pPr>
              <w:keepNext w:val="0"/>
              <w:keepLines w:val="0"/>
              <w:pageBreakBefore w:val="0"/>
              <w:widowControl/>
              <w:kinsoku/>
              <w:wordWrap/>
              <w:overflowPunct/>
              <w:topLinePunct w:val="0"/>
              <w:autoSpaceDE/>
              <w:autoSpaceDN/>
              <w:bidi w:val="0"/>
              <w:adjustRightInd/>
              <w:snapToGrid w:val="0"/>
              <w:spacing w:line="360" w:lineRule="exact"/>
              <w:textAlignment w:val="auto"/>
              <w:rPr>
                <w:rFonts w:ascii="宋体" w:hAnsi="宋体" w:cs="宋体"/>
                <w:color w:val="auto"/>
                <w:kern w:val="0"/>
                <w:sz w:val="21"/>
                <w:szCs w:val="21"/>
              </w:rPr>
            </w:pPr>
            <w:r>
              <w:rPr>
                <w:rFonts w:hint="eastAsia" w:ascii="宋体" w:hAnsi="宋体" w:cs="宋体"/>
                <w:color w:val="auto"/>
                <w:kern w:val="0"/>
                <w:sz w:val="21"/>
                <w:szCs w:val="21"/>
              </w:rPr>
              <w:t>地点</w:t>
            </w:r>
            <w:r>
              <w:rPr>
                <w:rFonts w:hint="eastAsia" w:ascii="宋体" w:hAnsi="宋体" w:cs="宋体"/>
                <w:color w:val="auto"/>
                <w:kern w:val="0"/>
                <w:sz w:val="21"/>
                <w:szCs w:val="21"/>
                <w:highlight w:val="none"/>
              </w:rPr>
              <w:t>：采购人指定的交货地点。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8"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宋体" w:hAnsi="宋体" w:cs="宋体"/>
                <w:color w:val="auto"/>
                <w:kern w:val="0"/>
                <w:sz w:val="21"/>
                <w:szCs w:val="21"/>
              </w:rPr>
            </w:pPr>
            <w:r>
              <w:rPr>
                <w:rFonts w:hint="eastAsia" w:ascii="宋体" w:hAnsi="宋体" w:cs="宋体"/>
                <w:color w:val="auto"/>
                <w:kern w:val="0"/>
                <w:sz w:val="21"/>
                <w:szCs w:val="21"/>
              </w:rPr>
              <w:t>履约保证金及付款</w:t>
            </w:r>
          </w:p>
        </w:tc>
        <w:tc>
          <w:tcPr>
            <w:tcW w:w="7292"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ascii="宋体" w:hAnsi="宋体" w:cs="宋体"/>
                <w:color w:val="auto"/>
                <w:kern w:val="0"/>
                <w:sz w:val="21"/>
                <w:szCs w:val="21"/>
              </w:rPr>
            </w:pPr>
            <w:r>
              <w:rPr>
                <w:rFonts w:hint="eastAsia" w:ascii="宋体" w:hAnsi="宋体" w:cs="宋体"/>
                <w:color w:val="auto"/>
                <w:kern w:val="0"/>
                <w:sz w:val="21"/>
                <w:szCs w:val="21"/>
              </w:rPr>
              <w:t>中标人应在领取中标通知书后5个工作日内向学校指定的账户支付本合同总价款5%的履约保证金。该履约保证金在中标人履行完交货义务且学校对项目验收合格后自动转为质量保证金，三年后无质量问题无息退还。付款方式为项目验收合格后15个工作日内学校向中标人支付合同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价格要求</w:t>
            </w:r>
          </w:p>
        </w:tc>
        <w:tc>
          <w:tcPr>
            <w:tcW w:w="7292"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报价为采购人指定的目</w:t>
            </w:r>
            <w:r>
              <w:rPr>
                <w:rFonts w:hint="eastAsia" w:ascii="宋体" w:hAnsi="宋体"/>
                <w:color w:val="auto"/>
                <w:sz w:val="21"/>
                <w:szCs w:val="21"/>
                <w:highlight w:val="none"/>
              </w:rPr>
              <w:t>的地交货价，含运输、搬运、安装</w:t>
            </w:r>
            <w:r>
              <w:rPr>
                <w:rFonts w:ascii="宋体" w:hAnsi="宋体"/>
                <w:color w:val="auto"/>
                <w:sz w:val="21"/>
                <w:szCs w:val="21"/>
                <w:highlight w:val="none"/>
              </w:rPr>
              <w:t>调试、</w:t>
            </w:r>
            <w:r>
              <w:rPr>
                <w:rFonts w:hint="eastAsia" w:ascii="宋体" w:hAnsi="宋体"/>
                <w:color w:val="auto"/>
                <w:sz w:val="21"/>
                <w:szCs w:val="21"/>
                <w:highlight w:val="none"/>
              </w:rPr>
              <w:t>售后服务等所</w:t>
            </w:r>
            <w:r>
              <w:rPr>
                <w:rFonts w:ascii="宋体" w:hAnsi="宋体"/>
                <w:color w:val="auto"/>
                <w:sz w:val="21"/>
                <w:szCs w:val="21"/>
                <w:highlight w:val="none"/>
              </w:rPr>
              <w:t>有</w:t>
            </w:r>
            <w:r>
              <w:rPr>
                <w:rFonts w:hint="eastAsia" w:ascii="宋体" w:hAnsi="宋体"/>
                <w:color w:val="auto"/>
                <w:sz w:val="21"/>
                <w:szCs w:val="21"/>
                <w:highlight w:val="none"/>
              </w:rPr>
              <w:t>费用。采购人不支付报价以外的</w:t>
            </w:r>
            <w:r>
              <w:rPr>
                <w:rFonts w:hint="eastAsia" w:ascii="宋体" w:hAnsi="宋体" w:cs="宋体"/>
                <w:color w:val="auto"/>
                <w:sz w:val="21"/>
                <w:szCs w:val="21"/>
                <w:highlight w:val="none"/>
              </w:rPr>
              <w:t>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培训要求</w:t>
            </w:r>
          </w:p>
        </w:tc>
        <w:tc>
          <w:tcPr>
            <w:tcW w:w="7292"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color w:val="auto"/>
                <w:sz w:val="21"/>
                <w:szCs w:val="21"/>
              </w:rPr>
            </w:pPr>
            <w:r>
              <w:rPr>
                <w:rFonts w:hint="eastAsia"/>
                <w:color w:val="auto"/>
                <w:kern w:val="0"/>
                <w:sz w:val="21"/>
                <w:szCs w:val="21"/>
              </w:rPr>
              <w:t>针对本项目至少培训维护管理人员2人以上，须达到对一般故障能够排除；提供对最终用户培训2场以上，能够对本项目内的产品进行操作及应用。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安装调试要求</w:t>
            </w:r>
          </w:p>
        </w:tc>
        <w:tc>
          <w:tcPr>
            <w:tcW w:w="7292"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color w:val="auto"/>
                <w:sz w:val="21"/>
                <w:szCs w:val="21"/>
              </w:rPr>
            </w:pPr>
            <w:r>
              <w:rPr>
                <w:rFonts w:hint="eastAsia"/>
                <w:color w:val="auto"/>
                <w:kern w:val="0"/>
                <w:sz w:val="21"/>
                <w:szCs w:val="21"/>
              </w:rPr>
              <w:t>安装调试必须按照国家标准</w:t>
            </w:r>
            <w:r>
              <w:rPr>
                <w:rFonts w:hint="eastAsia"/>
                <w:color w:val="auto"/>
                <w:kern w:val="0"/>
                <w:sz w:val="21"/>
                <w:szCs w:val="21"/>
                <w:highlight w:val="none"/>
              </w:rPr>
              <w:t>执行，强弱电</w:t>
            </w:r>
            <w:r>
              <w:rPr>
                <w:rFonts w:hint="eastAsia"/>
                <w:color w:val="auto"/>
                <w:kern w:val="0"/>
                <w:sz w:val="21"/>
                <w:szCs w:val="21"/>
                <w:highlight w:val="none"/>
                <w:lang w:eastAsia="zh-CN"/>
              </w:rPr>
              <w:t>（应分离）</w:t>
            </w:r>
            <w:r>
              <w:rPr>
                <w:rFonts w:hint="eastAsia"/>
                <w:color w:val="auto"/>
                <w:kern w:val="0"/>
                <w:sz w:val="21"/>
                <w:szCs w:val="21"/>
                <w:highlight w:val="none"/>
              </w:rPr>
              <w:t>施工</w:t>
            </w:r>
            <w:r>
              <w:rPr>
                <w:rFonts w:hint="eastAsia"/>
                <w:color w:val="auto"/>
                <w:kern w:val="0"/>
                <w:sz w:val="21"/>
                <w:szCs w:val="21"/>
              </w:rPr>
              <w:t>须做到线不裸露美观大方，桌椅平整度须保持一致，软件安装后需要备份原安装文件。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cs="宋体"/>
                <w:color w:val="auto"/>
                <w:kern w:val="0"/>
                <w:sz w:val="21"/>
                <w:szCs w:val="21"/>
              </w:rPr>
            </w:pPr>
            <w:r>
              <w:rPr>
                <w:rFonts w:hint="eastAsia" w:ascii="宋体" w:hAnsi="宋体" w:cs="宋体"/>
                <w:color w:val="auto"/>
                <w:kern w:val="0"/>
                <w:sz w:val="21"/>
                <w:szCs w:val="21"/>
              </w:rPr>
              <w:t>节能环保要求</w:t>
            </w:r>
          </w:p>
        </w:tc>
        <w:tc>
          <w:tcPr>
            <w:tcW w:w="7292"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投标人所投产品应符合财政部、发改委、生态环境部关于节能环保的要求（提供所投产品查询截图或产品的有效认证证书附于投标文件中）。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ascii="宋体" w:hAnsi="宋体" w:cs="宋体"/>
                <w:color w:val="auto"/>
                <w:kern w:val="0"/>
                <w:sz w:val="21"/>
                <w:szCs w:val="21"/>
              </w:rPr>
            </w:pPr>
            <w:r>
              <w:rPr>
                <w:rFonts w:ascii="宋体" w:hAnsi="宋体" w:cs="宋体"/>
                <w:color w:val="auto"/>
                <w:kern w:val="0"/>
                <w:sz w:val="21"/>
                <w:szCs w:val="21"/>
              </w:rPr>
              <w:t>知识产权</w:t>
            </w: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cs="宋体"/>
                <w:color w:val="auto"/>
                <w:kern w:val="0"/>
                <w:sz w:val="21"/>
                <w:szCs w:val="21"/>
              </w:rPr>
            </w:pPr>
          </w:p>
        </w:tc>
        <w:tc>
          <w:tcPr>
            <w:tcW w:w="7292" w:type="dxa"/>
            <w:noWrap w:val="0"/>
            <w:vAlign w:val="center"/>
          </w:tcPr>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olor w:val="auto"/>
                <w:sz w:val="21"/>
                <w:szCs w:val="21"/>
              </w:rPr>
            </w:pPr>
            <w:r>
              <w:rPr>
                <w:rFonts w:hint="eastAsia" w:ascii="宋体" w:hAnsi="宋体"/>
                <w:color w:val="auto"/>
                <w:sz w:val="21"/>
                <w:szCs w:val="21"/>
              </w:rPr>
              <w:t>投标人</w:t>
            </w:r>
            <w:r>
              <w:rPr>
                <w:rFonts w:ascii="宋体" w:hAnsi="宋体"/>
                <w:color w:val="auto"/>
                <w:sz w:val="21"/>
                <w:szCs w:val="21"/>
              </w:rPr>
              <w:t>须保证采购人在中华人民共和国境内使用投标货物、资料、技术、服务或其任何一部分时，享有不受限制的无偿使用权，不会产生因第三方提出侵犯其专利权、商标权或其它知识产权而引起的法律或经济纠纷。如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宋体" w:hAnsi="宋体"/>
                <w:color w:val="auto"/>
                <w:sz w:val="21"/>
                <w:szCs w:val="21"/>
              </w:rPr>
              <w:t>投标人</w:t>
            </w:r>
            <w:r>
              <w:rPr>
                <w:rFonts w:ascii="宋体" w:hAnsi="宋体"/>
                <w:color w:val="auto"/>
                <w:sz w:val="21"/>
                <w:szCs w:val="21"/>
              </w:rPr>
              <w:t>不拥有</w:t>
            </w:r>
            <w:r>
              <w:rPr>
                <w:rFonts w:hint="eastAsia" w:ascii="宋体" w:hAnsi="宋体"/>
                <w:color w:val="auto"/>
                <w:sz w:val="21"/>
                <w:szCs w:val="21"/>
              </w:rPr>
              <w:t>相应</w:t>
            </w:r>
            <w:r>
              <w:rPr>
                <w:rFonts w:ascii="宋体" w:hAnsi="宋体"/>
                <w:color w:val="auto"/>
                <w:sz w:val="21"/>
                <w:szCs w:val="21"/>
              </w:rPr>
              <w:t>的知识产权，则在投标</w:t>
            </w:r>
            <w:r>
              <w:rPr>
                <w:rFonts w:hint="eastAsia" w:ascii="宋体" w:hAnsi="宋体"/>
                <w:color w:val="auto"/>
                <w:sz w:val="21"/>
                <w:szCs w:val="21"/>
              </w:rPr>
              <w:t>总</w:t>
            </w:r>
            <w:r>
              <w:rPr>
                <w:rFonts w:ascii="宋体" w:hAnsi="宋体"/>
                <w:color w:val="auto"/>
                <w:sz w:val="21"/>
                <w:szCs w:val="21"/>
              </w:rPr>
              <w:t>价中必须包括合法获取该知识产权的一切相关费用</w:t>
            </w:r>
            <w:r>
              <w:rPr>
                <w:rFonts w:hint="eastAsia" w:ascii="宋体" w:hAnsi="宋体"/>
                <w:color w:val="auto"/>
                <w:sz w:val="21"/>
                <w:szCs w:val="21"/>
              </w:rPr>
              <w:t>，</w:t>
            </w:r>
            <w:r>
              <w:rPr>
                <w:rFonts w:ascii="宋体" w:hAnsi="宋体"/>
                <w:color w:val="auto"/>
                <w:sz w:val="21"/>
                <w:szCs w:val="21"/>
              </w:rPr>
              <w:t>如因此导致采购人损失的，</w:t>
            </w:r>
            <w:r>
              <w:rPr>
                <w:rFonts w:hint="eastAsia" w:ascii="宋体" w:hAnsi="宋体"/>
                <w:color w:val="auto"/>
                <w:sz w:val="21"/>
                <w:szCs w:val="21"/>
              </w:rPr>
              <w:t>投标人</w:t>
            </w:r>
            <w:r>
              <w:rPr>
                <w:rFonts w:ascii="宋体" w:hAnsi="宋体"/>
                <w:color w:val="auto"/>
                <w:sz w:val="21"/>
                <w:szCs w:val="21"/>
              </w:rPr>
              <w:t>须承担全部赔偿责任。</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auto"/>
                <w:kern w:val="0"/>
                <w:sz w:val="21"/>
                <w:szCs w:val="21"/>
              </w:rPr>
            </w:pPr>
            <w:r>
              <w:rPr>
                <w:rFonts w:hint="eastAsia" w:ascii="宋体" w:hAnsi="宋体"/>
                <w:color w:val="auto"/>
                <w:sz w:val="21"/>
                <w:szCs w:val="21"/>
              </w:rPr>
              <w:t>投标人</w:t>
            </w:r>
            <w:r>
              <w:rPr>
                <w:rFonts w:ascii="宋体" w:hAnsi="宋体"/>
                <w:color w:val="auto"/>
                <w:sz w:val="21"/>
                <w:szCs w:val="21"/>
              </w:rPr>
              <w:t>如欲在项目实施过程中采用自有知识成果，须在投标文件中声明，并提供相关知识产权证明文件。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宋体" w:hAnsi="宋体" w:cs="宋体"/>
                <w:color w:val="auto"/>
                <w:kern w:val="0"/>
                <w:sz w:val="21"/>
                <w:szCs w:val="21"/>
              </w:rPr>
            </w:pPr>
            <w:r>
              <w:rPr>
                <w:rFonts w:hint="eastAsia" w:ascii="宋体" w:hAnsi="宋体" w:cs="宋体"/>
                <w:color w:val="auto"/>
                <w:kern w:val="0"/>
                <w:sz w:val="21"/>
                <w:szCs w:val="21"/>
              </w:rPr>
              <w:t>备品备件及耗材等要求</w:t>
            </w:r>
          </w:p>
        </w:tc>
        <w:tc>
          <w:tcPr>
            <w:tcW w:w="7292"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ascii="宋体" w:hAnsi="宋体" w:cs="宋体"/>
                <w:color w:val="auto"/>
                <w:kern w:val="0"/>
                <w:sz w:val="21"/>
                <w:szCs w:val="21"/>
              </w:rPr>
            </w:pPr>
            <w:r>
              <w:rPr>
                <w:rFonts w:hint="eastAsia" w:ascii="宋体" w:hAnsi="宋体" w:cs="宋体"/>
                <w:bCs/>
                <w:color w:val="auto"/>
                <w:kern w:val="0"/>
                <w:sz w:val="21"/>
                <w:szCs w:val="21"/>
              </w:rPr>
              <w:t>投标人应对保证货物正常运行的备品备件报出单价，并说明获得的来源渠道。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宋体" w:hAnsi="宋体" w:cs="宋体"/>
                <w:color w:val="auto"/>
                <w:kern w:val="0"/>
                <w:sz w:val="21"/>
                <w:szCs w:val="21"/>
              </w:rPr>
            </w:pPr>
            <w:r>
              <w:rPr>
                <w:rFonts w:hint="eastAsia" w:ascii="宋体" w:hAnsi="宋体" w:cs="宋体"/>
                <w:color w:val="auto"/>
                <w:kern w:val="0"/>
                <w:sz w:val="21"/>
                <w:szCs w:val="21"/>
              </w:rPr>
              <w:t>售后服务保障</w:t>
            </w:r>
          </w:p>
        </w:tc>
        <w:tc>
          <w:tcPr>
            <w:tcW w:w="7292" w:type="dxa"/>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1"/>
                <w:szCs w:val="21"/>
              </w:rPr>
            </w:pPr>
            <w:r>
              <w:rPr>
                <w:rFonts w:hint="eastAsia" w:ascii="宋体" w:hAnsi="宋体"/>
                <w:color w:val="auto"/>
                <w:sz w:val="21"/>
                <w:szCs w:val="21"/>
              </w:rPr>
              <w:t>　1、投标人所投产品均属于国家规定“三包”范围的，并保证产品质量保证期不低于“三包”规定；质量保证期承诺优于国家“三包”规定的，按供应商实际承诺执行。</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 w:val="21"/>
                <w:szCs w:val="21"/>
              </w:rPr>
            </w:pPr>
            <w:r>
              <w:rPr>
                <w:rFonts w:hint="eastAsia" w:ascii="宋体" w:hAnsi="宋体"/>
                <w:color w:val="auto"/>
                <w:sz w:val="21"/>
                <w:szCs w:val="21"/>
              </w:rPr>
              <w:t>　2、投标人所投产品有专业售后服务机构（需注明机构名称、地址、联系人和电话），并将在投标文件中予以明确说明，</w:t>
            </w:r>
            <w:r>
              <w:rPr>
                <w:rFonts w:hint="eastAsia" w:ascii="宋体" w:hAnsi="宋体" w:cs="宋体"/>
                <w:color w:val="auto"/>
                <w:kern w:val="0"/>
                <w:sz w:val="21"/>
                <w:szCs w:val="21"/>
              </w:rPr>
              <w:t>产</w:t>
            </w:r>
            <w:r>
              <w:rPr>
                <w:rFonts w:ascii="宋体" w:hAnsi="宋体" w:cs="宋体"/>
                <w:color w:val="auto"/>
                <w:kern w:val="0"/>
                <w:sz w:val="21"/>
                <w:szCs w:val="21"/>
              </w:rPr>
              <w:t>品故障时，</w:t>
            </w:r>
            <w:r>
              <w:rPr>
                <w:rFonts w:hint="eastAsia" w:ascii="宋体" w:hAnsi="宋体" w:cs="宋体"/>
                <w:color w:val="auto"/>
                <w:kern w:val="0"/>
                <w:sz w:val="21"/>
                <w:szCs w:val="21"/>
              </w:rPr>
              <w:t>须2小时内响应，6小时到达现场，24内小时解决问题。</w:t>
            </w:r>
            <w:r>
              <w:rPr>
                <w:rFonts w:ascii="宋体" w:hAnsi="宋体" w:cs="宋体"/>
                <w:color w:val="auto"/>
                <w:kern w:val="0"/>
                <w:sz w:val="21"/>
                <w:szCs w:val="21"/>
              </w:rPr>
              <w:t>在</w:t>
            </w:r>
            <w:r>
              <w:rPr>
                <w:rFonts w:hint="eastAsia" w:ascii="宋体" w:hAnsi="宋体" w:cs="宋体"/>
                <w:color w:val="auto"/>
                <w:kern w:val="0"/>
                <w:sz w:val="21"/>
                <w:szCs w:val="21"/>
              </w:rPr>
              <w:t>质</w:t>
            </w:r>
            <w:r>
              <w:rPr>
                <w:rFonts w:ascii="宋体" w:hAnsi="宋体" w:cs="宋体"/>
                <w:color w:val="auto"/>
                <w:kern w:val="0"/>
                <w:sz w:val="21"/>
                <w:szCs w:val="21"/>
              </w:rPr>
              <w:t>保期内</w:t>
            </w:r>
            <w:r>
              <w:rPr>
                <w:rFonts w:hint="eastAsia" w:ascii="宋体" w:hAnsi="宋体" w:cs="宋体"/>
                <w:color w:val="auto"/>
                <w:kern w:val="0"/>
                <w:sz w:val="21"/>
                <w:szCs w:val="21"/>
              </w:rPr>
              <w:t>设备</w:t>
            </w:r>
            <w:r>
              <w:rPr>
                <w:rFonts w:ascii="宋体" w:hAnsi="宋体" w:cs="宋体"/>
                <w:color w:val="auto"/>
                <w:kern w:val="0"/>
                <w:sz w:val="21"/>
                <w:szCs w:val="21"/>
              </w:rPr>
              <w:t>出现故障</w:t>
            </w:r>
            <w:r>
              <w:rPr>
                <w:rFonts w:hint="eastAsia" w:ascii="宋体" w:hAnsi="宋体" w:cs="宋体"/>
                <w:color w:val="auto"/>
                <w:kern w:val="0"/>
                <w:sz w:val="21"/>
                <w:szCs w:val="21"/>
              </w:rPr>
              <w:t>，若24小时内不能解决需提供备品支持。</w:t>
            </w:r>
          </w:p>
          <w:p>
            <w:pPr>
              <w:keepNext w:val="0"/>
              <w:keepLines w:val="0"/>
              <w:pageBreakBefore w:val="0"/>
              <w:kinsoku/>
              <w:wordWrap/>
              <w:overflowPunct/>
              <w:topLinePunct w:val="0"/>
              <w:autoSpaceDE/>
              <w:autoSpaceDN/>
              <w:bidi w:val="0"/>
              <w:adjustRightInd/>
              <w:spacing w:line="360" w:lineRule="exact"/>
              <w:ind w:firstLine="210" w:firstLineChars="100"/>
              <w:textAlignment w:val="auto"/>
              <w:rPr>
                <w:rFonts w:hint="eastAsia" w:ascii="宋体" w:hAnsi="宋体"/>
                <w:color w:val="auto"/>
                <w:sz w:val="21"/>
                <w:szCs w:val="21"/>
              </w:rPr>
            </w:pPr>
            <w:r>
              <w:rPr>
                <w:rFonts w:ascii="宋体" w:hAnsi="宋体"/>
                <w:color w:val="auto"/>
                <w:sz w:val="21"/>
                <w:szCs w:val="21"/>
              </w:rPr>
              <w:t>3</w:t>
            </w:r>
            <w:r>
              <w:rPr>
                <w:rFonts w:hint="eastAsia" w:ascii="宋体" w:hAnsi="宋体"/>
                <w:color w:val="auto"/>
                <w:sz w:val="21"/>
                <w:szCs w:val="21"/>
              </w:rPr>
              <w:t>、投标人达不到甲方要求及承诺标准，在售后服务中给招标方造成损失，应接受相应法律法规处罚；并承担由此造成的责任和一切经济损失。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s="宋体"/>
                <w:color w:val="auto"/>
                <w:kern w:val="0"/>
                <w:sz w:val="21"/>
                <w:szCs w:val="21"/>
              </w:rPr>
            </w:pPr>
            <w:r>
              <w:rPr>
                <w:rFonts w:hint="eastAsia" w:ascii="宋体" w:hAnsi="宋体" w:cs="宋体"/>
                <w:color w:val="auto"/>
                <w:kern w:val="0"/>
                <w:sz w:val="21"/>
                <w:szCs w:val="21"/>
              </w:rPr>
              <w:t>验收条件及标准</w:t>
            </w:r>
          </w:p>
        </w:tc>
        <w:tc>
          <w:tcPr>
            <w:tcW w:w="7292" w:type="dxa"/>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auto"/>
                <w:kern w:val="0"/>
                <w:sz w:val="21"/>
                <w:szCs w:val="21"/>
              </w:rPr>
            </w:pPr>
            <w:r>
              <w:rPr>
                <w:rFonts w:hint="eastAsia" w:ascii="宋体" w:hAnsi="宋体" w:cs="宋体"/>
                <w:color w:val="auto"/>
                <w:kern w:val="0"/>
                <w:sz w:val="21"/>
                <w:szCs w:val="21"/>
              </w:rPr>
              <w:t>1.投标货物分送到货后，由货物生产商的技术人员现场安装调试。</w:t>
            </w:r>
          </w:p>
          <w:p>
            <w:pPr>
              <w:keepNext w:val="0"/>
              <w:keepLines w:val="0"/>
              <w:pageBreakBefore w:val="0"/>
              <w:kinsoku/>
              <w:wordWrap/>
              <w:overflowPunct/>
              <w:topLinePunct w:val="0"/>
              <w:autoSpaceDE/>
              <w:autoSpaceDN/>
              <w:bidi w:val="0"/>
              <w:adjustRightInd/>
              <w:spacing w:line="360" w:lineRule="exact"/>
              <w:textAlignment w:val="auto"/>
              <w:rPr>
                <w:rFonts w:ascii="宋体" w:hAnsi="宋体" w:cs="宋体"/>
                <w:color w:val="auto"/>
                <w:kern w:val="0"/>
                <w:sz w:val="21"/>
                <w:szCs w:val="21"/>
              </w:rPr>
            </w:pPr>
            <w:r>
              <w:rPr>
                <w:rFonts w:hint="eastAsia" w:ascii="宋体" w:hAnsi="宋体" w:cs="宋体"/>
                <w:color w:val="auto"/>
                <w:kern w:val="0"/>
                <w:sz w:val="21"/>
                <w:szCs w:val="21"/>
              </w:rPr>
              <w:t>2.安装调试完成，由采购人按要求组织验收。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s="宋体"/>
                <w:color w:val="auto"/>
                <w:kern w:val="0"/>
                <w:sz w:val="21"/>
                <w:szCs w:val="21"/>
              </w:rPr>
            </w:pPr>
            <w:r>
              <w:rPr>
                <w:rFonts w:hint="eastAsia" w:ascii="宋体" w:hAnsi="宋体" w:cs="宋体"/>
                <w:color w:val="auto"/>
                <w:kern w:val="0"/>
                <w:sz w:val="21"/>
                <w:szCs w:val="21"/>
              </w:rPr>
              <w:t>验收方法及方案</w:t>
            </w:r>
          </w:p>
        </w:tc>
        <w:tc>
          <w:tcPr>
            <w:tcW w:w="7292" w:type="dxa"/>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auto"/>
                <w:kern w:val="0"/>
                <w:sz w:val="21"/>
                <w:szCs w:val="21"/>
              </w:rPr>
            </w:pPr>
            <w:r>
              <w:rPr>
                <w:rFonts w:hint="eastAsia" w:ascii="宋体" w:hAnsi="宋体" w:cs="宋体"/>
                <w:color w:val="auto"/>
                <w:kern w:val="0"/>
                <w:sz w:val="21"/>
                <w:szCs w:val="21"/>
              </w:rPr>
              <w:t>1.货物送达采购人指定位置后由采购人明确的专人负责对货物品种、数量、规格等进行点验、接收；</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auto"/>
                <w:kern w:val="0"/>
                <w:sz w:val="21"/>
                <w:szCs w:val="21"/>
              </w:rPr>
            </w:pPr>
            <w:r>
              <w:rPr>
                <w:rFonts w:hint="eastAsia" w:ascii="宋体" w:hAnsi="宋体" w:cs="宋体"/>
                <w:color w:val="auto"/>
                <w:kern w:val="0"/>
                <w:sz w:val="21"/>
                <w:szCs w:val="21"/>
              </w:rPr>
              <w:t>2.采购人成立验收小组，严格按照配备计划、产品标准、投标文件对货物进行验收，出具检验报告；</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auto"/>
                <w:kern w:val="0"/>
                <w:sz w:val="21"/>
                <w:szCs w:val="21"/>
              </w:rPr>
            </w:pPr>
            <w:r>
              <w:rPr>
                <w:rFonts w:hint="eastAsia" w:ascii="宋体" w:hAnsi="宋体" w:cs="宋体"/>
                <w:color w:val="auto"/>
                <w:kern w:val="0"/>
                <w:sz w:val="21"/>
                <w:szCs w:val="21"/>
              </w:rPr>
              <w:t>3.经全部检验合格后供应商方可持验收报告及其它相关手续办理结款手续；</w:t>
            </w:r>
          </w:p>
          <w:p>
            <w:pPr>
              <w:keepNext w:val="0"/>
              <w:keepLines w:val="0"/>
              <w:pageBreakBefore w:val="0"/>
              <w:kinsoku/>
              <w:wordWrap/>
              <w:overflowPunct/>
              <w:topLinePunct w:val="0"/>
              <w:autoSpaceDE/>
              <w:autoSpaceDN/>
              <w:bidi w:val="0"/>
              <w:adjustRightInd/>
              <w:spacing w:line="360" w:lineRule="exact"/>
              <w:textAlignment w:val="auto"/>
              <w:rPr>
                <w:rFonts w:ascii="宋体" w:hAnsi="宋体" w:cs="宋体"/>
                <w:color w:val="auto"/>
                <w:kern w:val="0"/>
                <w:sz w:val="21"/>
                <w:szCs w:val="21"/>
              </w:rPr>
            </w:pPr>
            <w:r>
              <w:rPr>
                <w:rFonts w:hint="eastAsia" w:ascii="宋体" w:hAnsi="宋体" w:cs="宋体"/>
                <w:color w:val="auto"/>
                <w:kern w:val="0"/>
                <w:sz w:val="21"/>
                <w:szCs w:val="21"/>
              </w:rPr>
              <w:t>4.中标人承担项目验收检测的一切费用；</w:t>
            </w:r>
          </w:p>
        </w:tc>
      </w:tr>
    </w:tbl>
    <w:p>
      <w:pPr>
        <w:bidi w:val="0"/>
        <w:rPr>
          <w:rFonts w:hint="eastAsia"/>
        </w:rPr>
      </w:pPr>
      <w:bookmarkStart w:id="549" w:name="_Toc3696"/>
      <w:bookmarkStart w:id="550" w:name="_Toc1168"/>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3"/>
        <w:numPr>
          <w:ilvl w:val="0"/>
          <w:numId w:val="0"/>
        </w:numPr>
        <w:spacing w:line="360" w:lineRule="auto"/>
        <w:rPr>
          <w:rFonts w:hint="eastAsia" w:ascii="宋体" w:hAnsi="宋体" w:eastAsia="宋体"/>
          <w:b/>
          <w:sz w:val="28"/>
          <w:szCs w:val="28"/>
        </w:rPr>
      </w:pPr>
      <w:r>
        <w:rPr>
          <w:rFonts w:hint="eastAsia" w:ascii="宋体" w:hAnsi="宋体" w:eastAsia="宋体"/>
          <w:b/>
          <w:sz w:val="28"/>
          <w:szCs w:val="28"/>
        </w:rPr>
        <w:t>第</w:t>
      </w:r>
      <w:r>
        <w:rPr>
          <w:rFonts w:hint="eastAsia" w:ascii="宋体" w:hAnsi="宋体" w:eastAsia="宋体"/>
          <w:b/>
          <w:sz w:val="28"/>
          <w:szCs w:val="28"/>
          <w:lang w:eastAsia="zh-CN"/>
        </w:rPr>
        <w:t>八</w:t>
      </w:r>
      <w:r>
        <w:rPr>
          <w:rFonts w:hint="eastAsia" w:ascii="宋体" w:hAnsi="宋体" w:eastAsia="宋体"/>
          <w:b/>
          <w:sz w:val="28"/>
          <w:szCs w:val="28"/>
        </w:rPr>
        <w:t>部分 磋商响应文件格式及内容</w:t>
      </w:r>
      <w:bookmarkEnd w:id="547"/>
      <w:bookmarkEnd w:id="548"/>
      <w:bookmarkEnd w:id="549"/>
      <w:bookmarkEnd w:id="550"/>
    </w:p>
    <w:p>
      <w:pPr>
        <w:spacing w:line="360" w:lineRule="auto"/>
        <w:ind w:left="735" w:leftChars="350" w:firstLine="180" w:firstLineChars="50"/>
        <w:rPr>
          <w:rFonts w:hint="eastAsia" w:ascii="宋体" w:hAnsi="宋体"/>
          <w:sz w:val="36"/>
          <w:szCs w:val="36"/>
        </w:rPr>
      </w:pPr>
      <w:r>
        <w:rPr>
          <w:rFonts w:hint="eastAsia" w:ascii="宋体" w:hAnsi="宋体"/>
          <w:sz w:val="36"/>
          <w:szCs w:val="36"/>
        </w:rPr>
        <w:t xml:space="preserve"> </w:t>
      </w:r>
    </w:p>
    <w:p>
      <w:pPr>
        <w:spacing w:line="360" w:lineRule="auto"/>
        <w:ind w:left="735" w:leftChars="350" w:firstLine="180" w:firstLineChars="50"/>
        <w:rPr>
          <w:rFonts w:hint="eastAsia" w:ascii="宋体" w:hAnsi="宋体" w:eastAsia="宋体"/>
          <w:sz w:val="36"/>
          <w:szCs w:val="36"/>
          <w:lang w:eastAsia="zh-CN"/>
        </w:rPr>
      </w:pPr>
      <w:r>
        <w:rPr>
          <w:rFonts w:hint="eastAsia" w:ascii="宋体" w:hAnsi="宋体"/>
          <w:sz w:val="36"/>
          <w:szCs w:val="36"/>
        </w:rPr>
        <w:t xml:space="preserve">  </w:t>
      </w:r>
      <w:r>
        <w:rPr>
          <w:rFonts w:hint="eastAsia" w:ascii="宋体" w:hAnsi="宋体"/>
          <w:sz w:val="36"/>
          <w:szCs w:val="36"/>
          <w:u w:val="single"/>
        </w:rPr>
        <w:t xml:space="preserve">                        </w:t>
      </w:r>
      <w:r>
        <w:rPr>
          <w:rFonts w:hint="eastAsia" w:ascii="宋体" w:hAnsi="宋体"/>
          <w:sz w:val="36"/>
          <w:szCs w:val="36"/>
          <w:lang w:eastAsia="zh-CN"/>
        </w:rPr>
        <w:t>（项目名称）</w:t>
      </w:r>
    </w:p>
    <w:p>
      <w:pPr>
        <w:spacing w:line="360" w:lineRule="auto"/>
        <w:ind w:left="735" w:leftChars="350" w:firstLine="120" w:firstLineChars="50"/>
        <w:rPr>
          <w:rFonts w:ascii="宋体" w:hAnsi="宋体"/>
          <w:sz w:val="24"/>
        </w:rPr>
      </w:pPr>
      <w:r>
        <w:rPr>
          <w:rFonts w:ascii="宋体" w:hAnsi="宋体"/>
          <w:sz w:val="24"/>
        </w:rPr>
        <w:tab/>
      </w: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440" w:firstLineChars="200"/>
        <w:rPr>
          <w:rFonts w:hint="eastAsia" w:ascii="宋体" w:hAnsi="宋体"/>
          <w:sz w:val="72"/>
          <w:szCs w:val="72"/>
        </w:rPr>
      </w:pPr>
      <w:r>
        <w:rPr>
          <w:rFonts w:hint="eastAsia" w:ascii="宋体" w:hAnsi="宋体"/>
          <w:sz w:val="72"/>
          <w:szCs w:val="72"/>
          <w:lang w:eastAsia="zh-CN"/>
        </w:rPr>
        <w:t>响</w:t>
      </w:r>
      <w:r>
        <w:rPr>
          <w:rFonts w:hint="eastAsia" w:ascii="宋体" w:hAnsi="宋体"/>
          <w:sz w:val="72"/>
          <w:szCs w:val="72"/>
          <w:lang w:val="en-US" w:eastAsia="zh-CN"/>
        </w:rPr>
        <w:t xml:space="preserve">  </w:t>
      </w:r>
      <w:r>
        <w:rPr>
          <w:rFonts w:hint="eastAsia" w:ascii="宋体" w:hAnsi="宋体"/>
          <w:sz w:val="72"/>
          <w:szCs w:val="72"/>
          <w:lang w:eastAsia="zh-CN"/>
        </w:rPr>
        <w:t>应</w:t>
      </w:r>
      <w:r>
        <w:rPr>
          <w:rFonts w:hint="eastAsia" w:ascii="宋体" w:hAnsi="宋体"/>
          <w:sz w:val="72"/>
          <w:szCs w:val="72"/>
        </w:rPr>
        <w:t xml:space="preserve"> 文 件</w:t>
      </w:r>
    </w:p>
    <w:p>
      <w:pPr>
        <w:spacing w:line="360" w:lineRule="auto"/>
        <w:ind w:left="735" w:leftChars="350" w:firstLine="2880" w:firstLineChars="1200"/>
        <w:rPr>
          <w:rFonts w:hint="eastAsia" w:ascii="宋体" w:hAnsi="宋体"/>
          <w:sz w:val="24"/>
        </w:rPr>
      </w:pPr>
      <w:r>
        <w:rPr>
          <w:rFonts w:hint="eastAsia" w:ascii="宋体" w:hAnsi="宋体"/>
          <w:sz w:val="24"/>
          <w:lang w:eastAsia="zh-CN"/>
        </w:rPr>
        <w:t>采购</w:t>
      </w:r>
      <w:r>
        <w:rPr>
          <w:rFonts w:hint="eastAsia" w:ascii="宋体" w:hAnsi="宋体"/>
          <w:sz w:val="24"/>
        </w:rPr>
        <w:t>编号：</w:t>
      </w:r>
    </w:p>
    <w:p>
      <w:pPr>
        <w:spacing w:line="360" w:lineRule="auto"/>
        <w:ind w:left="735" w:leftChars="350" w:firstLine="160" w:firstLineChars="50"/>
        <w:jc w:val="center"/>
        <w:rPr>
          <w:rFonts w:ascii="宋体" w:hAnsi="宋体"/>
          <w:sz w:val="32"/>
          <w:szCs w:val="32"/>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jc w:val="left"/>
        <w:rPr>
          <w:rFonts w:hint="eastAsia" w:ascii="宋体" w:hAnsi="宋体"/>
          <w:sz w:val="24"/>
        </w:rPr>
      </w:pPr>
      <w:r>
        <w:rPr>
          <w:rFonts w:hint="eastAsia" w:ascii="宋体" w:hAnsi="宋体"/>
          <w:sz w:val="24"/>
          <w:lang w:eastAsia="zh-CN"/>
        </w:rPr>
        <w:t>供应商</w:t>
      </w:r>
      <w:r>
        <w:rPr>
          <w:rFonts w:hint="eastAsia" w:ascii="宋体" w:hAnsi="宋体"/>
          <w:sz w:val="24"/>
        </w:rPr>
        <w:t>（企业电子签章）：</w:t>
      </w:r>
    </w:p>
    <w:p>
      <w:pPr>
        <w:spacing w:line="360" w:lineRule="auto"/>
        <w:ind w:left="735" w:leftChars="350" w:firstLine="120" w:firstLineChars="50"/>
        <w:rPr>
          <w:rFonts w:hint="eastAsia" w:ascii="宋体" w:hAnsi="宋体"/>
          <w:sz w:val="24"/>
        </w:rPr>
      </w:pPr>
      <w:r>
        <w:rPr>
          <w:rFonts w:hint="eastAsia" w:ascii="宋体" w:hAnsi="宋体"/>
          <w:sz w:val="24"/>
        </w:rPr>
        <w:t>法定代表人（个人电子签章）：</w:t>
      </w:r>
    </w:p>
    <w:p>
      <w:pPr>
        <w:spacing w:line="360" w:lineRule="auto"/>
        <w:ind w:left="735" w:leftChars="350" w:firstLine="120" w:firstLineChars="50"/>
        <w:jc w:val="center"/>
        <w:rPr>
          <w:rFonts w:hint="default" w:ascii="宋体" w:hAnsi="宋体" w:eastAsia="宋体"/>
          <w:sz w:val="24"/>
          <w:lang w:val="en-US" w:eastAsia="zh-CN"/>
        </w:rPr>
      </w:pPr>
      <w:r>
        <w:rPr>
          <w:rFonts w:hint="eastAsia" w:ascii="宋体" w:hAnsi="宋体"/>
          <w:sz w:val="24"/>
        </w:rPr>
        <w:t>年  月</w:t>
      </w:r>
      <w:r>
        <w:rPr>
          <w:rFonts w:hint="eastAsia" w:ascii="宋体" w:hAnsi="宋体"/>
          <w:sz w:val="24"/>
          <w:lang w:val="en-US" w:eastAsia="zh-CN"/>
        </w:rPr>
        <w:t xml:space="preserve">  日</w:t>
      </w:r>
    </w:p>
    <w:p>
      <w:pPr>
        <w:spacing w:line="360" w:lineRule="auto"/>
        <w:ind w:left="735" w:leftChars="350" w:firstLine="120" w:firstLineChars="50"/>
        <w:rPr>
          <w:rFonts w:ascii="宋体" w:hAnsi="宋体"/>
          <w:sz w:val="24"/>
        </w:rPr>
      </w:pPr>
    </w:p>
    <w:p>
      <w:pPr>
        <w:spacing w:line="360" w:lineRule="auto"/>
        <w:rPr>
          <w:rFonts w:hint="eastAsia" w:ascii="宋体" w:hAnsi="宋体"/>
          <w:sz w:val="28"/>
          <w:szCs w:val="28"/>
          <w:lang w:eastAsia="zh-CN"/>
        </w:rPr>
      </w:pPr>
    </w:p>
    <w:p>
      <w:pPr>
        <w:spacing w:line="360" w:lineRule="auto"/>
        <w:jc w:val="center"/>
        <w:rPr>
          <w:rFonts w:hint="eastAsia" w:ascii="宋体" w:hAnsi="宋体"/>
          <w:b/>
          <w:bCs/>
          <w:sz w:val="28"/>
          <w:szCs w:val="28"/>
          <w:lang w:eastAsia="zh-CN"/>
        </w:rPr>
      </w:pPr>
      <w:r>
        <w:rPr>
          <w:rFonts w:hint="eastAsia" w:ascii="宋体" w:hAnsi="宋体"/>
          <w:b/>
          <w:bCs/>
          <w:sz w:val="28"/>
          <w:szCs w:val="28"/>
          <w:lang w:eastAsia="zh-CN"/>
        </w:rPr>
        <w:t>目</w:t>
      </w:r>
      <w:r>
        <w:rPr>
          <w:rFonts w:hint="eastAsia" w:ascii="宋体" w:hAnsi="宋体"/>
          <w:b/>
          <w:bCs/>
          <w:sz w:val="28"/>
          <w:szCs w:val="28"/>
          <w:lang w:val="en-US" w:eastAsia="zh-CN"/>
        </w:rPr>
        <w:t xml:space="preserve">  </w:t>
      </w:r>
      <w:r>
        <w:rPr>
          <w:rFonts w:hint="eastAsia" w:ascii="宋体" w:hAnsi="宋体"/>
          <w:b/>
          <w:bCs/>
          <w:sz w:val="28"/>
          <w:szCs w:val="28"/>
          <w:lang w:eastAsia="zh-CN"/>
        </w:rPr>
        <w:t>录</w:t>
      </w:r>
    </w:p>
    <w:p>
      <w:pPr>
        <w:spacing w:line="360" w:lineRule="auto"/>
        <w:rPr>
          <w:rFonts w:hint="eastAsia" w:ascii="宋体" w:hAnsi="宋体"/>
          <w:sz w:val="28"/>
          <w:szCs w:val="28"/>
          <w:lang w:eastAsia="zh-CN"/>
        </w:rPr>
      </w:pPr>
    </w:p>
    <w:p>
      <w:pPr>
        <w:spacing w:line="360" w:lineRule="auto"/>
        <w:ind w:left="0" w:leftChars="0" w:firstLine="0" w:firstLineChars="0"/>
        <w:jc w:val="center"/>
        <w:rPr>
          <w:rFonts w:hint="eastAsia"/>
          <w:lang w:eastAsia="zh-CN"/>
        </w:rPr>
      </w:pPr>
      <w:r>
        <w:rPr>
          <w:rFonts w:hint="eastAsia" w:ascii="宋体" w:hAnsi="宋体"/>
          <w:sz w:val="28"/>
          <w:szCs w:val="28"/>
          <w:lang w:eastAsia="zh-CN"/>
        </w:rPr>
        <w:t>格式自拟</w:t>
      </w:r>
    </w:p>
    <w:p>
      <w:pPr>
        <w:spacing w:line="360" w:lineRule="auto"/>
        <w:jc w:val="center"/>
        <w:outlineLvl w:val="1"/>
        <w:rPr>
          <w:rFonts w:hint="eastAsia" w:ascii="宋体" w:hAnsi="宋体"/>
          <w:b/>
          <w:sz w:val="24"/>
        </w:rPr>
      </w:pPr>
      <w:bookmarkStart w:id="551" w:name="_Toc644"/>
      <w:bookmarkStart w:id="552" w:name="_Toc9037"/>
      <w:bookmarkStart w:id="553" w:name="_Toc482379078"/>
      <w:bookmarkStart w:id="554" w:name="_Toc90712553"/>
      <w:bookmarkStart w:id="555" w:name="_Toc90713372"/>
      <w:bookmarkStart w:id="556" w:name="_Toc16089922"/>
      <w:bookmarkStart w:id="557" w:name="_Toc87621073"/>
      <w:bookmarkStart w:id="558" w:name="_Toc16089980"/>
      <w:bookmarkStart w:id="559" w:name="_Toc482378985"/>
      <w:bookmarkStart w:id="560" w:name="_Toc15912361"/>
      <w:bookmarkStart w:id="561" w:name="_Hlk450146465"/>
      <w:bookmarkStart w:id="562" w:name="_Toc44924412"/>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r>
        <w:rPr>
          <w:rFonts w:hint="eastAsia" w:ascii="宋体" w:hAnsi="宋体"/>
          <w:b/>
          <w:sz w:val="24"/>
        </w:rPr>
        <w:t>一 磋商复函格式</w:t>
      </w:r>
      <w:bookmarkEnd w:id="551"/>
      <w:bookmarkEnd w:id="552"/>
      <w:bookmarkEnd w:id="553"/>
      <w:bookmarkEnd w:id="554"/>
      <w:bookmarkEnd w:id="555"/>
      <w:bookmarkEnd w:id="556"/>
      <w:bookmarkEnd w:id="557"/>
      <w:bookmarkEnd w:id="558"/>
      <w:bookmarkEnd w:id="559"/>
      <w:bookmarkEnd w:id="560"/>
      <w:bookmarkEnd w:id="561"/>
      <w:bookmarkEnd w:id="562"/>
    </w:p>
    <w:p>
      <w:pPr>
        <w:spacing w:line="360" w:lineRule="auto"/>
        <w:rPr>
          <w:rFonts w:hint="eastAsia" w:ascii="宋体" w:hAnsi="宋体"/>
          <w:b/>
          <w:sz w:val="24"/>
        </w:rPr>
      </w:pPr>
      <w:r>
        <w:rPr>
          <w:rFonts w:hint="eastAsia" w:ascii="宋体" w:hAnsi="宋体"/>
          <w:b/>
          <w:sz w:val="24"/>
        </w:rPr>
        <w:t>致：</w:t>
      </w:r>
      <w:r>
        <w:rPr>
          <w:rFonts w:hint="eastAsia" w:ascii="宋体" w:hAnsi="宋体"/>
          <w:b/>
          <w:sz w:val="24"/>
          <w:u w:val="single"/>
        </w:rPr>
        <w:t>河南招标采购服务有限公司</w:t>
      </w:r>
    </w:p>
    <w:p>
      <w:pPr>
        <w:spacing w:line="360" w:lineRule="auto"/>
        <w:ind w:firstLine="645"/>
        <w:rPr>
          <w:rFonts w:hint="eastAsia" w:ascii="宋体" w:hAnsi="宋体"/>
          <w:sz w:val="24"/>
        </w:rPr>
      </w:pPr>
      <w:r>
        <w:rPr>
          <w:rFonts w:hint="eastAsia" w:ascii="宋体" w:hAnsi="宋体"/>
          <w:sz w:val="24"/>
        </w:rPr>
        <w:t>1、根据贵单位</w:t>
      </w:r>
      <w:r>
        <w:rPr>
          <w:rFonts w:hint="eastAsia" w:ascii="宋体" w:hAnsi="宋体"/>
          <w:sz w:val="24"/>
          <w:u w:val="single"/>
        </w:rPr>
        <w:t xml:space="preserve">        </w:t>
      </w:r>
      <w:r>
        <w:rPr>
          <w:rFonts w:hint="eastAsia" w:ascii="宋体" w:hAnsi="宋体"/>
          <w:sz w:val="24"/>
        </w:rPr>
        <w:t>号磋商邀请书的邀请，我们决定参加贵单位组织的</w:t>
      </w:r>
      <w:r>
        <w:rPr>
          <w:rFonts w:hint="eastAsia" w:ascii="宋体" w:hAnsi="宋体"/>
          <w:sz w:val="24"/>
          <w:u w:val="single"/>
        </w:rPr>
        <w:t xml:space="preserve">         </w:t>
      </w:r>
      <w:r>
        <w:rPr>
          <w:rFonts w:hint="eastAsia" w:ascii="宋体" w:hAnsi="宋体"/>
          <w:sz w:val="24"/>
        </w:rPr>
        <w:t>项目的磋商采购。我方</w:t>
      </w:r>
      <w:r>
        <w:rPr>
          <w:rFonts w:hint="eastAsia" w:ascii="宋体" w:hAnsi="宋体"/>
          <w:sz w:val="24"/>
          <w:u w:val="single"/>
        </w:rPr>
        <w:t xml:space="preserve">        (法定代表人姓名和职务)</w:t>
      </w:r>
      <w:r>
        <w:rPr>
          <w:rFonts w:hint="eastAsia" w:ascii="宋体" w:hAnsi="宋体"/>
          <w:sz w:val="24"/>
        </w:rPr>
        <w:t>代表我方</w:t>
      </w:r>
      <w:r>
        <w:rPr>
          <w:rFonts w:hint="eastAsia" w:ascii="宋体" w:hAnsi="宋体"/>
          <w:sz w:val="24"/>
          <w:u w:val="single"/>
        </w:rPr>
        <w:t xml:space="preserve">           （供应商的名称）</w:t>
      </w:r>
      <w:r>
        <w:rPr>
          <w:rFonts w:hint="eastAsia" w:ascii="宋体" w:hAnsi="宋体"/>
          <w:sz w:val="24"/>
        </w:rPr>
        <w:t>全权处理本项目磋商的有关事宜。</w:t>
      </w:r>
    </w:p>
    <w:p>
      <w:pPr>
        <w:spacing w:line="360" w:lineRule="auto"/>
        <w:ind w:firstLine="645"/>
        <w:rPr>
          <w:rFonts w:hint="eastAsia" w:ascii="宋体" w:hAnsi="宋体"/>
          <w:sz w:val="24"/>
        </w:rPr>
      </w:pPr>
      <w:r>
        <w:rPr>
          <w:rFonts w:hint="eastAsia" w:ascii="宋体" w:hAnsi="宋体"/>
          <w:sz w:val="24"/>
        </w:rPr>
        <w:t>2、我方愿意按照磋商文件规定的各项要求，所附投标报价表中规定的应提供的项目磋商总价为人民币</w:t>
      </w:r>
      <w:r>
        <w:rPr>
          <w:rFonts w:hint="eastAsia" w:ascii="宋体" w:hAnsi="宋体"/>
          <w:sz w:val="24"/>
          <w:lang w:eastAsia="zh-CN"/>
        </w:rPr>
        <w:t>（大写）</w:t>
      </w:r>
      <w:r>
        <w:rPr>
          <w:rFonts w:hint="eastAsia" w:ascii="宋体" w:hAnsi="宋体"/>
          <w:sz w:val="24"/>
          <w:u w:val="single"/>
        </w:rPr>
        <w:t xml:space="preserve">      </w:t>
      </w:r>
      <w:r>
        <w:rPr>
          <w:rFonts w:hint="eastAsia" w:ascii="宋体" w:hAnsi="宋体"/>
          <w:sz w:val="24"/>
        </w:rPr>
        <w:t>，（</w:t>
      </w:r>
      <w:r>
        <w:rPr>
          <w:rFonts w:hint="eastAsia" w:ascii="宋体" w:hAnsi="宋体"/>
          <w:sz w:val="24"/>
          <w:lang w:eastAsia="zh-CN"/>
        </w:rPr>
        <w:t>小写</w:t>
      </w:r>
      <w:r>
        <w:rPr>
          <w:rFonts w:hint="eastAsia" w:ascii="宋体" w:hAnsi="宋体"/>
          <w:sz w:val="24"/>
        </w:rPr>
        <w:t>）</w:t>
      </w:r>
      <w:r>
        <w:rPr>
          <w:rFonts w:hint="eastAsia" w:ascii="宋体" w:hAnsi="宋体"/>
          <w:sz w:val="24"/>
          <w:u w:val="single"/>
        </w:rPr>
        <w:t xml:space="preserve">           </w:t>
      </w:r>
      <w:r>
        <w:rPr>
          <w:rFonts w:hint="eastAsia" w:ascii="宋体" w:hAnsi="宋体"/>
          <w:sz w:val="24"/>
        </w:rPr>
        <w:t>。</w:t>
      </w:r>
    </w:p>
    <w:p>
      <w:pPr>
        <w:spacing w:line="360" w:lineRule="auto"/>
        <w:ind w:firstLine="645"/>
        <w:rPr>
          <w:rFonts w:hint="eastAsia" w:ascii="宋体" w:hAnsi="宋体"/>
          <w:sz w:val="24"/>
        </w:rPr>
      </w:pPr>
      <w:r>
        <w:rPr>
          <w:rFonts w:hint="eastAsia" w:ascii="宋体" w:hAnsi="宋体"/>
          <w:sz w:val="24"/>
        </w:rPr>
        <w:t>3、一旦我方成交，我方将严格履行合同规定的责任和义务，</w:t>
      </w:r>
      <w:r>
        <w:rPr>
          <w:rFonts w:hint="eastAsia" w:ascii="宋体" w:hAnsi="宋体"/>
          <w:color w:val="auto"/>
          <w:sz w:val="24"/>
        </w:rPr>
        <w:t>保证</w:t>
      </w:r>
      <w:r>
        <w:rPr>
          <w:rFonts w:hint="eastAsia" w:ascii="宋体" w:hAnsi="宋体"/>
          <w:color w:val="auto"/>
          <w:sz w:val="24"/>
          <w:lang w:eastAsia="zh-CN"/>
        </w:rPr>
        <w:t>于</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sz w:val="24"/>
        </w:rPr>
        <w:t>完成项目；按磋商文件的规定向贵单位支付代理服务费。</w:t>
      </w:r>
    </w:p>
    <w:p>
      <w:pPr>
        <w:spacing w:line="360" w:lineRule="auto"/>
        <w:ind w:firstLine="645"/>
        <w:rPr>
          <w:rFonts w:hint="eastAsia" w:ascii="宋体" w:hAnsi="宋体"/>
          <w:sz w:val="24"/>
        </w:rPr>
      </w:pPr>
      <w:r>
        <w:rPr>
          <w:rFonts w:hint="eastAsia" w:ascii="宋体" w:hAnsi="宋体"/>
          <w:sz w:val="24"/>
        </w:rPr>
        <w:t>4、我方为本项目提交的竞争性磋商响应文件一份。</w:t>
      </w:r>
    </w:p>
    <w:p>
      <w:pPr>
        <w:spacing w:line="360" w:lineRule="auto"/>
        <w:ind w:firstLine="645"/>
        <w:rPr>
          <w:rFonts w:hint="eastAsia" w:ascii="宋体" w:hAnsi="宋体"/>
          <w:sz w:val="24"/>
        </w:rPr>
      </w:pPr>
      <w:r>
        <w:rPr>
          <w:rFonts w:hint="eastAsia" w:ascii="宋体" w:hAnsi="宋体"/>
          <w:sz w:val="24"/>
        </w:rPr>
        <w:t>5、磋商有效期</w:t>
      </w:r>
      <w:r>
        <w:rPr>
          <w:rFonts w:hint="eastAsia" w:ascii="宋体" w:hAnsi="宋体"/>
          <w:sz w:val="24"/>
          <w:u w:val="single"/>
        </w:rPr>
        <w:t>60</w:t>
      </w:r>
      <w:r>
        <w:rPr>
          <w:rFonts w:hint="eastAsia" w:ascii="宋体" w:hAnsi="宋体"/>
          <w:sz w:val="24"/>
        </w:rPr>
        <w:t>天</w:t>
      </w:r>
    </w:p>
    <w:p>
      <w:pPr>
        <w:tabs>
          <w:tab w:val="left" w:pos="840"/>
        </w:tabs>
        <w:spacing w:line="360" w:lineRule="auto"/>
        <w:ind w:firstLine="628"/>
        <w:rPr>
          <w:rFonts w:hint="eastAsia" w:ascii="宋体" w:hAnsi="宋体"/>
          <w:sz w:val="24"/>
        </w:rPr>
      </w:pPr>
      <w:r>
        <w:rPr>
          <w:rFonts w:hint="eastAsia" w:ascii="宋体" w:hAnsi="宋体"/>
          <w:sz w:val="24"/>
        </w:rPr>
        <w:t>6、我方愿意提供贵单位可能另外要求的、与磋商有关的文件资料，并保证我方已提供和将要提供的文件是真实的、准确的。</w:t>
      </w:r>
    </w:p>
    <w:p>
      <w:pPr>
        <w:tabs>
          <w:tab w:val="left" w:pos="0"/>
          <w:tab w:val="left" w:pos="840"/>
        </w:tabs>
        <w:spacing w:line="360" w:lineRule="auto"/>
        <w:ind w:firstLine="525"/>
        <w:rPr>
          <w:rFonts w:hint="eastAsia" w:ascii="宋体" w:hAnsi="宋体"/>
          <w:sz w:val="24"/>
        </w:rPr>
      </w:pPr>
      <w:r>
        <w:rPr>
          <w:rFonts w:hint="eastAsia" w:ascii="宋体" w:hAnsi="宋体"/>
          <w:sz w:val="24"/>
        </w:rPr>
        <w:t xml:space="preserve"> 7、在质量、性能和服务不相等情况下，我方完全理解并认可贵单位不一定将合同授予最低报价的供应商。</w:t>
      </w: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hint="eastAsia" w:ascii="宋体" w:hAnsi="宋体"/>
          <w:sz w:val="24"/>
          <w:u w:val="single"/>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日期：</w:t>
      </w:r>
    </w:p>
    <w:p>
      <w:pPr>
        <w:spacing w:line="360" w:lineRule="auto"/>
        <w:rPr>
          <w:rFonts w:hint="eastAsia" w:ascii="宋体" w:hAnsi="宋体"/>
          <w:sz w:val="24"/>
        </w:rPr>
      </w:pPr>
      <w:r>
        <w:rPr>
          <w:rFonts w:hint="eastAsia" w:ascii="宋体" w:hAnsi="宋体"/>
          <w:sz w:val="24"/>
        </w:rPr>
        <w:t xml:space="preserve">通讯地址：                </w:t>
      </w:r>
    </w:p>
    <w:p>
      <w:pPr>
        <w:spacing w:line="360" w:lineRule="auto"/>
        <w:rPr>
          <w:rFonts w:hint="eastAsia" w:ascii="宋体" w:hAnsi="宋体"/>
          <w:sz w:val="24"/>
        </w:rPr>
      </w:pPr>
      <w:r>
        <w:rPr>
          <w:rFonts w:hint="eastAsia" w:ascii="宋体" w:hAnsi="宋体"/>
          <w:sz w:val="24"/>
        </w:rPr>
        <w:t>电话：</w:t>
      </w:r>
    </w:p>
    <w:p>
      <w:pPr>
        <w:spacing w:line="360" w:lineRule="auto"/>
        <w:rPr>
          <w:rFonts w:hint="eastAsia" w:ascii="宋体" w:hAnsi="宋体"/>
          <w:sz w:val="24"/>
          <w:u w:val="single"/>
        </w:rPr>
      </w:pPr>
      <w:r>
        <w:rPr>
          <w:rFonts w:hint="eastAsia" w:ascii="宋体" w:hAnsi="宋体"/>
          <w:sz w:val="24"/>
        </w:rPr>
        <w:t>传真：</w:t>
      </w:r>
    </w:p>
    <w:p>
      <w:pPr>
        <w:spacing w:line="360" w:lineRule="auto"/>
        <w:rPr>
          <w:rFonts w:hint="eastAsia" w:ascii="宋体" w:hAnsi="宋体"/>
          <w:sz w:val="24"/>
        </w:rPr>
      </w:pPr>
      <w:r>
        <w:rPr>
          <w:rFonts w:hint="eastAsia" w:ascii="宋体" w:hAnsi="宋体"/>
          <w:sz w:val="24"/>
        </w:rPr>
        <w:t xml:space="preserve">供应商开户行:                                </w:t>
      </w:r>
    </w:p>
    <w:p>
      <w:pPr>
        <w:spacing w:line="360" w:lineRule="auto"/>
        <w:rPr>
          <w:rFonts w:hint="eastAsia" w:ascii="宋体" w:hAnsi="宋体"/>
          <w:sz w:val="24"/>
        </w:rPr>
      </w:pPr>
      <w:r>
        <w:rPr>
          <w:rFonts w:hint="eastAsia" w:ascii="宋体" w:hAnsi="宋体"/>
          <w:sz w:val="24"/>
        </w:rPr>
        <w:t xml:space="preserve">账号:                                </w:t>
      </w:r>
    </w:p>
    <w:p>
      <w:pPr>
        <w:spacing w:line="360" w:lineRule="auto"/>
        <w:jc w:val="center"/>
        <w:outlineLvl w:val="1"/>
        <w:rPr>
          <w:rFonts w:hint="eastAsia" w:ascii="宋体" w:hAnsi="宋体"/>
          <w:b/>
          <w:sz w:val="24"/>
        </w:rPr>
      </w:pPr>
      <w:r>
        <w:rPr>
          <w:rFonts w:hint="eastAsia" w:ascii="宋体" w:hAnsi="宋体"/>
          <w:sz w:val="24"/>
        </w:rPr>
        <w:br w:type="page"/>
      </w:r>
      <w:bookmarkStart w:id="563" w:name="_Toc482378986"/>
      <w:bookmarkStart w:id="564" w:name="_Toc482379079"/>
      <w:bookmarkStart w:id="565" w:name="_Toc15277"/>
      <w:bookmarkStart w:id="566" w:name="_Toc13943"/>
      <w:bookmarkStart w:id="567" w:name="_Toc44924413"/>
      <w:bookmarkStart w:id="568" w:name="_Toc15912362"/>
      <w:bookmarkStart w:id="569" w:name="_Toc16089981"/>
      <w:bookmarkStart w:id="570" w:name="_Toc16089923"/>
      <w:r>
        <w:rPr>
          <w:rFonts w:hint="eastAsia" w:ascii="宋体" w:hAnsi="宋体"/>
          <w:sz w:val="24"/>
        </w:rPr>
        <w:t xml:space="preserve">二 </w:t>
      </w:r>
      <w:r>
        <w:rPr>
          <w:rFonts w:hint="eastAsia" w:ascii="宋体" w:hAnsi="宋体"/>
          <w:b/>
          <w:sz w:val="24"/>
        </w:rPr>
        <w:t>法定代表人</w:t>
      </w:r>
      <w:bookmarkEnd w:id="563"/>
      <w:bookmarkEnd w:id="564"/>
      <w:r>
        <w:rPr>
          <w:rFonts w:hint="eastAsia" w:ascii="宋体" w:hAnsi="宋体"/>
          <w:b/>
          <w:sz w:val="24"/>
        </w:rPr>
        <w:t>证明</w:t>
      </w:r>
      <w:bookmarkEnd w:id="565"/>
      <w:bookmarkEnd w:id="566"/>
      <w:bookmarkEnd w:id="567"/>
      <w:bookmarkEnd w:id="568"/>
      <w:bookmarkEnd w:id="569"/>
      <w:bookmarkEnd w:id="570"/>
    </w:p>
    <w:p>
      <w:pPr>
        <w:spacing w:line="360" w:lineRule="auto"/>
        <w:jc w:val="center"/>
        <w:rPr>
          <w:rFonts w:hint="eastAsia" w:ascii="宋体" w:hAnsi="宋体"/>
          <w:b/>
          <w:sz w:val="24"/>
        </w:rPr>
      </w:pPr>
    </w:p>
    <w:p>
      <w:pPr>
        <w:spacing w:line="360" w:lineRule="auto"/>
        <w:rPr>
          <w:rFonts w:hint="eastAsia" w:ascii="宋体" w:hAnsi="宋体"/>
          <w:sz w:val="24"/>
        </w:rPr>
      </w:pPr>
      <w:r>
        <w:rPr>
          <w:rFonts w:hint="eastAsia" w:ascii="宋体" w:hAnsi="宋体"/>
          <w:sz w:val="24"/>
        </w:rPr>
        <w:t xml:space="preserve">    本授权书声明：注册于（</w:t>
      </w:r>
      <w:r>
        <w:rPr>
          <w:rFonts w:hint="eastAsia" w:ascii="宋体" w:hAnsi="宋体"/>
          <w:sz w:val="24"/>
          <w:u w:val="single"/>
        </w:rPr>
        <w:t>注册地址名称</w:t>
      </w:r>
      <w:r>
        <w:rPr>
          <w:rFonts w:hint="eastAsia" w:ascii="宋体" w:hAnsi="宋体"/>
          <w:sz w:val="24"/>
        </w:rPr>
        <w:t>）的(</w:t>
      </w:r>
      <w:r>
        <w:rPr>
          <w:rFonts w:hint="eastAsia" w:ascii="宋体" w:hAnsi="宋体"/>
          <w:sz w:val="24"/>
          <w:u w:val="single"/>
        </w:rPr>
        <w:t>磋商供应商全名</w:t>
      </w:r>
      <w:r>
        <w:rPr>
          <w:rFonts w:hint="eastAsia" w:ascii="宋体" w:hAnsi="宋体"/>
          <w:sz w:val="24"/>
        </w:rPr>
        <w:t>)的在下面签字/签章的</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法定代表人姓名、职务</w:t>
      </w:r>
      <w:r>
        <w:rPr>
          <w:rFonts w:hint="eastAsia" w:ascii="宋体" w:hAnsi="宋体"/>
          <w:sz w:val="24"/>
        </w:rPr>
        <w:t>)为本公司法定代表人。特此声明。</w:t>
      </w:r>
    </w:p>
    <w:p>
      <w:pPr>
        <w:spacing w:line="360" w:lineRule="auto"/>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pStyle w:val="8"/>
        <w:spacing w:line="360" w:lineRule="auto"/>
        <w:rPr>
          <w:rFonts w:hint="eastAsia" w:ascii="宋体" w:hAnsi="宋体"/>
          <w:sz w:val="24"/>
        </w:rPr>
      </w:pPr>
      <w:r>
        <w:rPr>
          <w:rFonts w:hint="eastAsia" w:ascii="宋体" w:hAnsi="宋体"/>
          <w:sz w:val="24"/>
        </w:rPr>
        <w:t>法定代表人（个人电子签章）：</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sz w:val="24"/>
        </w:rPr>
      </w:pPr>
      <w:r>
        <w:rPr>
          <w:rFonts w:hint="eastAsia" w:ascii="宋体" w:hAnsi="宋体" w:cs="Times New Roman"/>
          <w:sz w:val="24"/>
          <w:lang w:eastAsia="zh-CN"/>
        </w:rPr>
        <w:t>日</w:t>
      </w:r>
      <w:r>
        <w:rPr>
          <w:rFonts w:hint="eastAsia" w:ascii="宋体" w:hAnsi="宋体" w:cs="Times New Roman"/>
          <w:sz w:val="24"/>
          <w:lang w:val="en-US" w:eastAsia="zh-CN"/>
        </w:rPr>
        <w:t xml:space="preserve">  </w:t>
      </w:r>
      <w:r>
        <w:rPr>
          <w:rFonts w:hint="eastAsia" w:ascii="宋体" w:hAnsi="宋体" w:cs="Times New Roman"/>
          <w:sz w:val="24"/>
          <w:lang w:eastAsia="zh-CN"/>
        </w:rPr>
        <w:t>期：</w:t>
      </w:r>
      <w:r>
        <w:rPr>
          <w:rFonts w:hint="eastAsia" w:ascii="宋体" w:hAnsi="宋体"/>
          <w:sz w:val="24"/>
        </w:rPr>
        <w:t>年  月  日</w:t>
      </w:r>
    </w:p>
    <w:p>
      <w:pPr>
        <w:pStyle w:val="8"/>
        <w:spacing w:line="360" w:lineRule="auto"/>
        <w:rPr>
          <w:rFonts w:hint="eastAsia" w:ascii="宋体" w:hAnsi="宋体"/>
          <w:sz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501" w:type="dxa"/>
            <w:noWrap w:val="0"/>
            <w:vAlign w:val="center"/>
          </w:tcPr>
          <w:p>
            <w:pPr>
              <w:spacing w:line="360" w:lineRule="auto"/>
              <w:jc w:val="center"/>
              <w:outlineLvl w:val="1"/>
              <w:rPr>
                <w:rFonts w:hint="eastAsia" w:ascii="宋体" w:hAnsi="宋体"/>
                <w:sz w:val="24"/>
              </w:rPr>
            </w:pPr>
            <w:bookmarkStart w:id="571" w:name="_Toc17265"/>
            <w:bookmarkStart w:id="572" w:name="_Toc15912363"/>
            <w:bookmarkStart w:id="573" w:name="_Toc44924414"/>
            <w:bookmarkStart w:id="574" w:name="_Toc1988"/>
            <w:bookmarkStart w:id="575" w:name="_Toc16089982"/>
            <w:bookmarkStart w:id="576" w:name="_Toc16089924"/>
            <w:r>
              <w:rPr>
                <w:rFonts w:hint="eastAsia" w:ascii="宋体" w:hAnsi="宋体"/>
                <w:sz w:val="24"/>
              </w:rPr>
              <w:t>法定代表人身份证复印件（正面）</w:t>
            </w:r>
            <w:bookmarkEnd w:id="571"/>
            <w:bookmarkEnd w:id="572"/>
            <w:bookmarkEnd w:id="573"/>
            <w:bookmarkEnd w:id="574"/>
            <w:bookmarkEnd w:id="575"/>
            <w:bookmarkEnd w:id="576"/>
          </w:p>
        </w:tc>
        <w:tc>
          <w:tcPr>
            <w:tcW w:w="4502" w:type="dxa"/>
            <w:noWrap w:val="0"/>
            <w:vAlign w:val="center"/>
          </w:tcPr>
          <w:p>
            <w:pPr>
              <w:spacing w:line="360" w:lineRule="auto"/>
              <w:jc w:val="center"/>
              <w:outlineLvl w:val="1"/>
              <w:rPr>
                <w:rFonts w:hint="eastAsia" w:ascii="宋体" w:hAnsi="宋体"/>
                <w:sz w:val="24"/>
              </w:rPr>
            </w:pPr>
            <w:bookmarkStart w:id="577" w:name="_Toc44924415"/>
            <w:bookmarkStart w:id="578" w:name="_Toc15912364"/>
            <w:bookmarkStart w:id="579" w:name="_Toc16089925"/>
            <w:bookmarkStart w:id="580" w:name="_Toc10411"/>
            <w:bookmarkStart w:id="581" w:name="_Toc30747"/>
            <w:bookmarkStart w:id="582" w:name="_Toc16089983"/>
            <w:r>
              <w:rPr>
                <w:rFonts w:hint="eastAsia" w:ascii="宋体" w:hAnsi="宋体"/>
                <w:sz w:val="24"/>
              </w:rPr>
              <w:t>法定代表人身份证复印件（反面）</w:t>
            </w:r>
            <w:bookmarkEnd w:id="577"/>
            <w:bookmarkEnd w:id="578"/>
            <w:bookmarkEnd w:id="579"/>
            <w:bookmarkEnd w:id="580"/>
            <w:bookmarkEnd w:id="581"/>
            <w:bookmarkEnd w:id="582"/>
          </w:p>
        </w:tc>
      </w:tr>
    </w:tbl>
    <w:p>
      <w:pPr>
        <w:pStyle w:val="8"/>
        <w:spacing w:line="360" w:lineRule="auto"/>
        <w:rPr>
          <w:rFonts w:hint="eastAsia" w:ascii="宋体" w:hAnsi="宋体"/>
          <w:b/>
          <w:sz w:val="24"/>
        </w:rPr>
      </w:pPr>
      <w:bookmarkStart w:id="583" w:name="_资格证明文件"/>
      <w:bookmarkEnd w:id="583"/>
    </w:p>
    <w:p>
      <w:pPr>
        <w:pStyle w:val="8"/>
        <w:spacing w:line="360" w:lineRule="auto"/>
        <w:rPr>
          <w:rFonts w:hint="eastAsia" w:ascii="宋体" w:hAnsi="宋体"/>
          <w:b/>
          <w:sz w:val="24"/>
        </w:rPr>
      </w:pPr>
    </w:p>
    <w:p>
      <w:pPr>
        <w:spacing w:line="360" w:lineRule="auto"/>
        <w:jc w:val="center"/>
        <w:outlineLvl w:val="1"/>
        <w:rPr>
          <w:rFonts w:hint="eastAsia" w:ascii="宋体" w:hAnsi="宋体"/>
          <w:b/>
          <w:sz w:val="24"/>
        </w:rPr>
      </w:pPr>
      <w:r>
        <w:rPr>
          <w:rFonts w:hint="eastAsia" w:ascii="宋体" w:hAnsi="宋体"/>
          <w:sz w:val="24"/>
        </w:rPr>
        <w:br w:type="page"/>
      </w:r>
      <w:bookmarkStart w:id="584" w:name="_Hlk450185103"/>
      <w:bookmarkStart w:id="585" w:name="_Toc87621074"/>
      <w:bookmarkStart w:id="586" w:name="_Toc482379080"/>
      <w:bookmarkStart w:id="587" w:name="_Toc482378987"/>
      <w:bookmarkStart w:id="588" w:name="_Toc90713373"/>
      <w:bookmarkStart w:id="589" w:name="_Toc15912365"/>
      <w:bookmarkStart w:id="590" w:name="_Toc16089926"/>
      <w:bookmarkStart w:id="591" w:name="_Toc90712554"/>
      <w:bookmarkStart w:id="592" w:name="_Toc16089984"/>
      <w:bookmarkStart w:id="593" w:name="_Toc10238"/>
      <w:bookmarkStart w:id="594" w:name="_Toc44924416"/>
      <w:bookmarkStart w:id="595" w:name="_Toc1320"/>
      <w:r>
        <w:rPr>
          <w:rFonts w:hint="eastAsia" w:ascii="宋体" w:hAnsi="宋体"/>
          <w:b/>
          <w:sz w:val="24"/>
        </w:rPr>
        <w:t xml:space="preserve">三 </w:t>
      </w:r>
      <w:bookmarkEnd w:id="584"/>
      <w:bookmarkEnd w:id="585"/>
      <w:r>
        <w:rPr>
          <w:rFonts w:hint="eastAsia" w:ascii="宋体" w:hAnsi="宋体"/>
          <w:b/>
          <w:sz w:val="24"/>
        </w:rPr>
        <w:t>竞争性磋商报价表</w:t>
      </w:r>
      <w:bookmarkEnd w:id="586"/>
      <w:bookmarkEnd w:id="587"/>
      <w:bookmarkEnd w:id="588"/>
      <w:bookmarkEnd w:id="589"/>
      <w:bookmarkEnd w:id="590"/>
      <w:bookmarkEnd w:id="591"/>
      <w:bookmarkEnd w:id="592"/>
      <w:bookmarkEnd w:id="593"/>
      <w:bookmarkEnd w:id="594"/>
      <w:bookmarkEnd w:id="595"/>
    </w:p>
    <w:p>
      <w:pPr>
        <w:spacing w:line="360" w:lineRule="auto"/>
        <w:jc w:val="center"/>
        <w:rPr>
          <w:rFonts w:hint="eastAsia" w:ascii="宋体" w:hAnsi="宋体"/>
          <w:b/>
          <w:sz w:val="24"/>
        </w:rPr>
      </w:pP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37" w:type="dxa"/>
            <w:noWrap w:val="0"/>
            <w:vAlign w:val="center"/>
          </w:tcPr>
          <w:p>
            <w:pPr>
              <w:jc w:val="center"/>
              <w:rPr>
                <w:rFonts w:hint="eastAsia" w:ascii="宋体" w:hAnsi="宋体"/>
                <w:b/>
                <w:sz w:val="24"/>
              </w:rPr>
            </w:pPr>
            <w:r>
              <w:rPr>
                <w:rFonts w:hint="eastAsia" w:ascii="宋体" w:hAnsi="宋体"/>
                <w:b/>
                <w:sz w:val="24"/>
              </w:rPr>
              <w:t xml:space="preserve">供应商名称 </w:t>
            </w:r>
          </w:p>
        </w:tc>
        <w:tc>
          <w:tcPr>
            <w:tcW w:w="7353" w:type="dxa"/>
            <w:noWrap w:val="0"/>
            <w:vAlign w:val="center"/>
          </w:tcPr>
          <w:p>
            <w:pPr>
              <w:spacing w:line="480" w:lineRule="auto"/>
              <w:ind w:firstLine="240" w:firstLineChars="100"/>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noWrap w:val="0"/>
            <w:vAlign w:val="center"/>
          </w:tcPr>
          <w:p>
            <w:pPr>
              <w:jc w:val="center"/>
              <w:rPr>
                <w:rFonts w:hint="eastAsia" w:ascii="宋体" w:hAnsi="宋体"/>
                <w:b/>
                <w:sz w:val="24"/>
              </w:rPr>
            </w:pPr>
            <w:r>
              <w:rPr>
                <w:rFonts w:hint="eastAsia" w:ascii="宋体" w:hAnsi="宋体"/>
                <w:b/>
                <w:sz w:val="24"/>
              </w:rPr>
              <w:t>磋商报价</w:t>
            </w:r>
          </w:p>
        </w:tc>
        <w:tc>
          <w:tcPr>
            <w:tcW w:w="7353" w:type="dxa"/>
            <w:noWrap w:val="0"/>
            <w:vAlign w:val="center"/>
          </w:tcPr>
          <w:p>
            <w:pPr>
              <w:spacing w:line="480" w:lineRule="auto"/>
              <w:ind w:firstLine="240" w:firstLineChars="100"/>
              <w:rPr>
                <w:rFonts w:hint="eastAsia"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noWrap w:val="0"/>
            <w:vAlign w:val="center"/>
          </w:tcPr>
          <w:p>
            <w:pPr>
              <w:jc w:val="center"/>
              <w:rPr>
                <w:rFonts w:hint="eastAsia" w:ascii="宋体" w:hAnsi="宋体"/>
                <w:b/>
                <w:sz w:val="24"/>
              </w:rPr>
            </w:pPr>
            <w:r>
              <w:rPr>
                <w:rFonts w:hint="eastAsia" w:ascii="宋体" w:hAnsi="宋体"/>
                <w:b/>
                <w:sz w:val="24"/>
              </w:rPr>
              <w:t>磋商报价</w:t>
            </w:r>
          </w:p>
        </w:tc>
        <w:tc>
          <w:tcPr>
            <w:tcW w:w="7353" w:type="dxa"/>
            <w:noWrap w:val="0"/>
            <w:vAlign w:val="center"/>
          </w:tcPr>
          <w:p>
            <w:pPr>
              <w:spacing w:line="480" w:lineRule="auto"/>
              <w:ind w:firstLine="240" w:firstLineChars="100"/>
              <w:rPr>
                <w:rFonts w:hint="eastAsia" w:ascii="宋体" w:hAnsi="宋体"/>
                <w:sz w:val="24"/>
              </w:rPr>
            </w:pPr>
            <w:r>
              <w:rPr>
                <w:rFonts w:hint="eastAsia" w:ascii="宋体" w:hAnsi="宋体"/>
                <w:sz w:val="24"/>
              </w:rPr>
              <w:t>小写：</w:t>
            </w:r>
            <w:r>
              <w:rPr>
                <w:rFonts w:hint="eastAsia" w:ascii="宋体" w:hAnsi="宋体"/>
                <w:sz w:val="24"/>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37" w:type="dxa"/>
            <w:noWrap w:val="0"/>
            <w:vAlign w:val="center"/>
          </w:tcPr>
          <w:p>
            <w:pPr>
              <w:jc w:val="center"/>
              <w:rPr>
                <w:rFonts w:hint="eastAsia" w:ascii="宋体" w:hAnsi="宋体"/>
                <w:b/>
                <w:sz w:val="24"/>
              </w:rPr>
            </w:pPr>
            <w:r>
              <w:rPr>
                <w:rFonts w:hint="eastAsia" w:ascii="宋体" w:hAnsi="宋体"/>
                <w:b/>
                <w:sz w:val="24"/>
              </w:rPr>
              <w:t>交货期</w:t>
            </w:r>
          </w:p>
        </w:tc>
        <w:tc>
          <w:tcPr>
            <w:tcW w:w="7353" w:type="dxa"/>
            <w:noWrap w:val="0"/>
            <w:vAlign w:val="center"/>
          </w:tcPr>
          <w:p>
            <w:pPr>
              <w:ind w:firstLine="120" w:firstLineChars="50"/>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noWrap w:val="0"/>
            <w:vAlign w:val="center"/>
          </w:tcPr>
          <w:p>
            <w:pPr>
              <w:jc w:val="center"/>
              <w:rPr>
                <w:rFonts w:hint="eastAsia" w:ascii="宋体" w:hAnsi="宋体"/>
                <w:b/>
                <w:sz w:val="24"/>
              </w:rPr>
            </w:pPr>
            <w:r>
              <w:rPr>
                <w:rFonts w:hint="eastAsia" w:ascii="宋体" w:hAnsi="宋体"/>
                <w:b/>
                <w:sz w:val="24"/>
              </w:rPr>
              <w:t>质保期</w:t>
            </w:r>
          </w:p>
        </w:tc>
        <w:tc>
          <w:tcPr>
            <w:tcW w:w="7353" w:type="dxa"/>
            <w:noWrap w:val="0"/>
            <w:vAlign w:val="center"/>
          </w:tcPr>
          <w:p>
            <w:pPr>
              <w:ind w:firstLine="240" w:firstLineChars="100"/>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noWrap w:val="0"/>
            <w:vAlign w:val="center"/>
          </w:tcPr>
          <w:p>
            <w:pPr>
              <w:jc w:val="center"/>
              <w:rPr>
                <w:rFonts w:hint="eastAsia" w:ascii="宋体" w:hAnsi="宋体" w:eastAsia="宋体"/>
                <w:b/>
                <w:sz w:val="24"/>
                <w:lang w:val="en-US" w:eastAsia="zh-CN"/>
              </w:rPr>
            </w:pPr>
            <w:r>
              <w:rPr>
                <w:rFonts w:hint="eastAsia" w:ascii="宋体" w:hAnsi="宋体"/>
                <w:b/>
                <w:sz w:val="24"/>
                <w:lang w:val="en-US" w:eastAsia="zh-CN"/>
              </w:rPr>
              <w:t>保证金</w:t>
            </w:r>
          </w:p>
        </w:tc>
        <w:tc>
          <w:tcPr>
            <w:tcW w:w="7353" w:type="dxa"/>
            <w:noWrap w:val="0"/>
            <w:vAlign w:val="center"/>
          </w:tcPr>
          <w:p>
            <w:pPr>
              <w:ind w:firstLine="240" w:firstLineChars="100"/>
              <w:rPr>
                <w:rFonts w:hint="eastAsia" w:ascii="宋体" w:hAnsi="宋体" w:eastAsia="宋体"/>
                <w:sz w:val="24"/>
                <w:lang w:val="en-US" w:eastAsia="zh-CN"/>
              </w:rPr>
            </w:pPr>
            <w:r>
              <w:rPr>
                <w:rFonts w:hint="eastAsia" w:ascii="宋体" w:hAnsi="宋体"/>
                <w:sz w:val="24"/>
                <w:lang w:val="en-US" w:eastAsia="zh-CN"/>
              </w:rPr>
              <w:t>0元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noWrap w:val="0"/>
            <w:vAlign w:val="center"/>
          </w:tcPr>
          <w:p>
            <w:pPr>
              <w:jc w:val="center"/>
              <w:rPr>
                <w:rFonts w:hint="eastAsia" w:ascii="宋体" w:hAnsi="宋体"/>
                <w:b/>
                <w:sz w:val="24"/>
              </w:rPr>
            </w:pPr>
            <w:r>
              <w:rPr>
                <w:rFonts w:hint="eastAsia" w:ascii="宋体" w:hAnsi="宋体"/>
                <w:b/>
                <w:sz w:val="24"/>
                <w:lang w:eastAsia="zh-CN"/>
              </w:rPr>
              <w:t>磋商</w:t>
            </w:r>
            <w:r>
              <w:rPr>
                <w:rFonts w:hint="eastAsia" w:ascii="宋体" w:hAnsi="宋体"/>
                <w:b/>
                <w:sz w:val="24"/>
              </w:rPr>
              <w:t>有效期</w:t>
            </w:r>
          </w:p>
        </w:tc>
        <w:tc>
          <w:tcPr>
            <w:tcW w:w="7353" w:type="dxa"/>
            <w:noWrap w:val="0"/>
            <w:vAlign w:val="center"/>
          </w:tcPr>
          <w:p>
            <w:pPr>
              <w:rPr>
                <w:rFonts w:hint="eastAsia" w:ascii="宋体" w:hAnsi="宋体"/>
                <w:sz w:val="24"/>
              </w:rPr>
            </w:pPr>
            <w:r>
              <w:rPr>
                <w:rFonts w:hint="eastAsia" w:ascii="宋体" w:hAnsi="宋体"/>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437" w:type="dxa"/>
            <w:noWrap w:val="0"/>
            <w:vAlign w:val="center"/>
          </w:tcPr>
          <w:p>
            <w:pPr>
              <w:jc w:val="center"/>
              <w:rPr>
                <w:rFonts w:hint="eastAsia" w:ascii="宋体" w:hAnsi="宋体"/>
                <w:b/>
                <w:sz w:val="24"/>
              </w:rPr>
            </w:pPr>
            <w:r>
              <w:rPr>
                <w:rFonts w:hint="eastAsia" w:ascii="宋体" w:hAnsi="宋体"/>
                <w:b/>
                <w:sz w:val="24"/>
              </w:rPr>
              <w:t>其他声明</w:t>
            </w:r>
          </w:p>
        </w:tc>
        <w:tc>
          <w:tcPr>
            <w:tcW w:w="7353" w:type="dxa"/>
            <w:noWrap w:val="0"/>
            <w:vAlign w:val="center"/>
          </w:tcPr>
          <w:p>
            <w:pPr>
              <w:rPr>
                <w:rFonts w:hint="eastAsia" w:ascii="宋体" w:hAnsi="宋体"/>
                <w:sz w:val="24"/>
              </w:rPr>
            </w:pPr>
            <w:r>
              <w:rPr>
                <w:rFonts w:hint="eastAsia" w:ascii="宋体" w:hAnsi="宋体"/>
                <w:sz w:val="24"/>
              </w:rPr>
              <w:t xml:space="preserve">  </w:t>
            </w:r>
          </w:p>
        </w:tc>
      </w:tr>
    </w:tbl>
    <w:p>
      <w:pPr>
        <w:pStyle w:val="5"/>
        <w:rPr>
          <w:rFonts w:hint="eastAsia" w:ascii="宋体" w:hAnsi="宋体"/>
          <w:szCs w:val="21"/>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pStyle w:val="5"/>
        <w:ind w:firstLine="0" w:firstLineChars="0"/>
        <w:rPr>
          <w:rFonts w:ascii="宋体" w:hAnsi="宋体"/>
          <w:szCs w:val="21"/>
        </w:rPr>
      </w:pPr>
      <w:r>
        <w:rPr>
          <w:rFonts w:hint="eastAsia" w:ascii="宋体" w:hAnsi="宋体"/>
          <w:sz w:val="24"/>
        </w:rPr>
        <w:t>法定代表人（个人电子签章）：</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sz w:val="24"/>
        </w:rPr>
      </w:pPr>
      <w:r>
        <w:rPr>
          <w:rFonts w:hint="eastAsia" w:ascii="宋体" w:hAnsi="宋体" w:cs="Times New Roman"/>
          <w:sz w:val="24"/>
          <w:lang w:eastAsia="zh-CN"/>
        </w:rPr>
        <w:t>日</w:t>
      </w:r>
      <w:r>
        <w:rPr>
          <w:rFonts w:hint="eastAsia" w:ascii="宋体" w:hAnsi="宋体" w:cs="Times New Roman"/>
          <w:sz w:val="24"/>
          <w:lang w:val="en-US" w:eastAsia="zh-CN"/>
        </w:rPr>
        <w:t xml:space="preserve">  </w:t>
      </w:r>
      <w:r>
        <w:rPr>
          <w:rFonts w:hint="eastAsia" w:ascii="宋体" w:hAnsi="宋体" w:cs="Times New Roman"/>
          <w:sz w:val="24"/>
          <w:lang w:eastAsia="zh-CN"/>
        </w:rPr>
        <w:t>期：</w:t>
      </w:r>
      <w:r>
        <w:rPr>
          <w:rFonts w:hint="eastAsia" w:ascii="宋体" w:hAnsi="宋体"/>
          <w:sz w:val="24"/>
        </w:rPr>
        <w:t>年  月  日</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cs="Times New Roman"/>
          <w:sz w:val="24"/>
          <w:lang w:eastAsia="zh-CN"/>
        </w:rPr>
      </w:pPr>
    </w:p>
    <w:p>
      <w:pPr>
        <w:spacing w:line="360" w:lineRule="auto"/>
        <w:jc w:val="center"/>
        <w:outlineLvl w:val="1"/>
        <w:rPr>
          <w:rFonts w:hint="eastAsia" w:ascii="宋体" w:hAnsi="宋体"/>
          <w:b/>
          <w:sz w:val="24"/>
        </w:rPr>
      </w:pPr>
      <w:r>
        <w:rPr>
          <w:rFonts w:hint="eastAsia" w:ascii="宋体" w:hAnsi="宋体"/>
          <w:b/>
          <w:sz w:val="24"/>
        </w:rPr>
        <w:br w:type="page"/>
      </w:r>
      <w:bookmarkStart w:id="596" w:name="_Toc482378988"/>
      <w:bookmarkStart w:id="597" w:name="_Toc482379081"/>
      <w:bookmarkStart w:id="598" w:name="_Toc15912366"/>
      <w:bookmarkStart w:id="599" w:name="_Toc25247"/>
      <w:bookmarkStart w:id="600" w:name="_Toc28690"/>
      <w:bookmarkStart w:id="601" w:name="_Toc16089927"/>
      <w:bookmarkStart w:id="602" w:name="_Toc16089985"/>
      <w:bookmarkStart w:id="603" w:name="_Toc44924417"/>
      <w:r>
        <w:rPr>
          <w:rFonts w:hint="eastAsia" w:ascii="宋体" w:hAnsi="宋体"/>
          <w:b/>
          <w:sz w:val="24"/>
        </w:rPr>
        <w:t>四 竞争性磋商</w:t>
      </w:r>
      <w:bookmarkEnd w:id="596"/>
      <w:bookmarkEnd w:id="597"/>
      <w:bookmarkStart w:id="604" w:name="_Toc482378989"/>
      <w:bookmarkStart w:id="605" w:name="_Toc482379082"/>
      <w:r>
        <w:rPr>
          <w:rFonts w:hint="eastAsia" w:ascii="宋体" w:hAnsi="宋体"/>
          <w:b/>
          <w:sz w:val="24"/>
        </w:rPr>
        <w:t>分项报价表</w:t>
      </w:r>
      <w:bookmarkEnd w:id="598"/>
      <w:bookmarkEnd w:id="599"/>
      <w:bookmarkEnd w:id="600"/>
      <w:bookmarkEnd w:id="601"/>
      <w:bookmarkEnd w:id="602"/>
      <w:bookmarkEnd w:id="603"/>
    </w:p>
    <w:p>
      <w:pPr>
        <w:rPr>
          <w:rFonts w:hint="eastAsia" w:ascii="宋体" w:hAnsi="宋体"/>
          <w:sz w:val="24"/>
        </w:rPr>
      </w:pPr>
      <w:r>
        <w:rPr>
          <w:rFonts w:hint="eastAsia" w:ascii="宋体" w:hAnsi="宋体"/>
          <w:sz w:val="24"/>
        </w:rPr>
        <w:t>供应商（此处填名称并盖章）</w:t>
      </w:r>
    </w:p>
    <w:p>
      <w:pPr>
        <w:rPr>
          <w:rFonts w:hint="eastAsia" w:ascii="宋体" w:hAnsi="宋体"/>
          <w:sz w:val="24"/>
        </w:rPr>
      </w:pPr>
      <w:r>
        <w:rPr>
          <w:rFonts w:hint="eastAsia" w:ascii="宋体" w:hAnsi="宋体"/>
          <w:sz w:val="24"/>
        </w:rPr>
        <w:t>项目名称：                                              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715"/>
        <w:gridCol w:w="715"/>
        <w:gridCol w:w="546"/>
        <w:gridCol w:w="539"/>
        <w:gridCol w:w="539"/>
        <w:gridCol w:w="539"/>
        <w:gridCol w:w="1072"/>
        <w:gridCol w:w="1072"/>
        <w:gridCol w:w="539"/>
        <w:gridCol w:w="539"/>
        <w:gridCol w:w="717"/>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noWrap w:val="0"/>
            <w:vAlign w:val="center"/>
          </w:tcPr>
          <w:p>
            <w:pPr>
              <w:jc w:val="center"/>
              <w:rPr>
                <w:rFonts w:hint="eastAsia" w:ascii="宋体" w:hAnsi="宋体"/>
                <w:b/>
                <w:bCs/>
                <w:sz w:val="24"/>
              </w:rPr>
            </w:pPr>
            <w:r>
              <w:rPr>
                <w:rFonts w:hint="eastAsia" w:ascii="宋体" w:hAnsi="宋体"/>
                <w:b/>
                <w:bCs/>
                <w:sz w:val="24"/>
              </w:rPr>
              <w:t>序号</w:t>
            </w:r>
          </w:p>
        </w:tc>
        <w:tc>
          <w:tcPr>
            <w:tcW w:w="715" w:type="dxa"/>
            <w:noWrap w:val="0"/>
            <w:vAlign w:val="center"/>
          </w:tcPr>
          <w:p>
            <w:pPr>
              <w:jc w:val="center"/>
              <w:rPr>
                <w:rFonts w:hint="eastAsia" w:ascii="宋体" w:hAnsi="宋体"/>
                <w:b/>
                <w:bCs/>
                <w:sz w:val="24"/>
              </w:rPr>
            </w:pPr>
            <w:r>
              <w:rPr>
                <w:rFonts w:hint="eastAsia" w:ascii="宋体" w:hAnsi="宋体"/>
                <w:b/>
                <w:bCs/>
                <w:sz w:val="24"/>
              </w:rPr>
              <w:t>货物名称</w:t>
            </w:r>
          </w:p>
        </w:tc>
        <w:tc>
          <w:tcPr>
            <w:tcW w:w="715" w:type="dxa"/>
            <w:noWrap w:val="0"/>
            <w:vAlign w:val="center"/>
          </w:tcPr>
          <w:p>
            <w:pPr>
              <w:jc w:val="center"/>
              <w:rPr>
                <w:rFonts w:hint="eastAsia" w:ascii="宋体" w:hAnsi="宋体"/>
                <w:b/>
                <w:bCs/>
                <w:sz w:val="24"/>
              </w:rPr>
            </w:pPr>
            <w:r>
              <w:rPr>
                <w:rFonts w:hint="eastAsia" w:ascii="宋体" w:hAnsi="宋体"/>
                <w:b/>
                <w:bCs/>
                <w:sz w:val="24"/>
              </w:rPr>
              <w:t>品牌型号</w:t>
            </w:r>
          </w:p>
        </w:tc>
        <w:tc>
          <w:tcPr>
            <w:tcW w:w="546" w:type="dxa"/>
            <w:noWrap w:val="0"/>
            <w:vAlign w:val="center"/>
          </w:tcPr>
          <w:p>
            <w:pPr>
              <w:jc w:val="center"/>
              <w:rPr>
                <w:rFonts w:hint="eastAsia" w:ascii="宋体" w:hAnsi="宋体"/>
                <w:b/>
                <w:bCs/>
                <w:sz w:val="24"/>
              </w:rPr>
            </w:pPr>
            <w:r>
              <w:rPr>
                <w:rFonts w:hint="eastAsia" w:ascii="宋体" w:hAnsi="宋体"/>
                <w:b/>
                <w:bCs/>
                <w:sz w:val="24"/>
              </w:rPr>
              <w:t>单位</w:t>
            </w:r>
          </w:p>
        </w:tc>
        <w:tc>
          <w:tcPr>
            <w:tcW w:w="539" w:type="dxa"/>
            <w:noWrap w:val="0"/>
            <w:vAlign w:val="center"/>
          </w:tcPr>
          <w:p>
            <w:pPr>
              <w:jc w:val="center"/>
              <w:rPr>
                <w:rFonts w:hint="eastAsia" w:ascii="宋体" w:hAnsi="宋体"/>
                <w:b/>
                <w:bCs/>
                <w:sz w:val="24"/>
              </w:rPr>
            </w:pPr>
            <w:r>
              <w:rPr>
                <w:rFonts w:hint="eastAsia" w:ascii="宋体" w:hAnsi="宋体"/>
                <w:b/>
                <w:bCs/>
                <w:sz w:val="24"/>
              </w:rPr>
              <w:t>数量</w:t>
            </w:r>
          </w:p>
        </w:tc>
        <w:tc>
          <w:tcPr>
            <w:tcW w:w="539" w:type="dxa"/>
            <w:noWrap w:val="0"/>
            <w:vAlign w:val="center"/>
          </w:tcPr>
          <w:p>
            <w:pPr>
              <w:jc w:val="center"/>
              <w:rPr>
                <w:rFonts w:hint="eastAsia" w:ascii="宋体" w:hAnsi="宋体"/>
                <w:b/>
                <w:bCs/>
                <w:sz w:val="24"/>
              </w:rPr>
            </w:pPr>
            <w:r>
              <w:rPr>
                <w:rFonts w:hint="eastAsia" w:ascii="宋体" w:hAnsi="宋体"/>
                <w:b/>
                <w:bCs/>
                <w:sz w:val="24"/>
              </w:rPr>
              <w:t>单价</w:t>
            </w:r>
          </w:p>
        </w:tc>
        <w:tc>
          <w:tcPr>
            <w:tcW w:w="539" w:type="dxa"/>
            <w:noWrap w:val="0"/>
            <w:vAlign w:val="center"/>
          </w:tcPr>
          <w:p>
            <w:pPr>
              <w:jc w:val="center"/>
              <w:rPr>
                <w:rFonts w:hint="eastAsia" w:ascii="宋体" w:hAnsi="宋体"/>
                <w:b/>
                <w:bCs/>
                <w:sz w:val="24"/>
              </w:rPr>
            </w:pPr>
            <w:r>
              <w:rPr>
                <w:rFonts w:hint="eastAsia" w:ascii="宋体" w:hAnsi="宋体"/>
                <w:b/>
                <w:bCs/>
                <w:sz w:val="24"/>
              </w:rPr>
              <w:t>小计</w:t>
            </w:r>
          </w:p>
        </w:tc>
        <w:tc>
          <w:tcPr>
            <w:tcW w:w="1072" w:type="dxa"/>
            <w:noWrap w:val="0"/>
            <w:vAlign w:val="center"/>
          </w:tcPr>
          <w:p>
            <w:pPr>
              <w:jc w:val="center"/>
              <w:rPr>
                <w:rFonts w:hint="eastAsia" w:ascii="宋体" w:hAnsi="宋体"/>
                <w:b/>
                <w:bCs/>
                <w:sz w:val="24"/>
              </w:rPr>
            </w:pPr>
            <w:r>
              <w:rPr>
                <w:rFonts w:hint="eastAsia" w:ascii="宋体" w:hAnsi="宋体"/>
                <w:b/>
                <w:bCs/>
                <w:sz w:val="24"/>
              </w:rPr>
              <w:t>运输及保险费</w:t>
            </w:r>
          </w:p>
        </w:tc>
        <w:tc>
          <w:tcPr>
            <w:tcW w:w="1072" w:type="dxa"/>
            <w:noWrap w:val="0"/>
            <w:vAlign w:val="center"/>
          </w:tcPr>
          <w:p>
            <w:pPr>
              <w:jc w:val="center"/>
              <w:rPr>
                <w:rFonts w:hint="eastAsia" w:ascii="宋体" w:hAnsi="宋体"/>
                <w:b/>
                <w:bCs/>
                <w:sz w:val="24"/>
              </w:rPr>
            </w:pPr>
            <w:r>
              <w:rPr>
                <w:rFonts w:hint="eastAsia" w:ascii="宋体" w:hAnsi="宋体"/>
                <w:b/>
                <w:bCs/>
                <w:sz w:val="24"/>
              </w:rPr>
              <w:t>技术服务费</w:t>
            </w:r>
          </w:p>
        </w:tc>
        <w:tc>
          <w:tcPr>
            <w:tcW w:w="539" w:type="dxa"/>
            <w:noWrap w:val="0"/>
            <w:vAlign w:val="center"/>
          </w:tcPr>
          <w:p>
            <w:pPr>
              <w:jc w:val="center"/>
              <w:rPr>
                <w:rFonts w:hint="eastAsia" w:ascii="宋体" w:hAnsi="宋体"/>
                <w:b/>
                <w:bCs/>
                <w:sz w:val="24"/>
              </w:rPr>
            </w:pPr>
            <w:r>
              <w:rPr>
                <w:rFonts w:hint="eastAsia" w:ascii="宋体" w:hAnsi="宋体"/>
                <w:b/>
                <w:bCs/>
                <w:sz w:val="24"/>
              </w:rPr>
              <w:t>税费</w:t>
            </w:r>
          </w:p>
        </w:tc>
        <w:tc>
          <w:tcPr>
            <w:tcW w:w="539" w:type="dxa"/>
            <w:noWrap w:val="0"/>
            <w:vAlign w:val="center"/>
          </w:tcPr>
          <w:p>
            <w:pPr>
              <w:jc w:val="center"/>
              <w:rPr>
                <w:rFonts w:hint="eastAsia" w:ascii="宋体" w:hAnsi="宋体"/>
                <w:b/>
                <w:bCs/>
                <w:sz w:val="24"/>
              </w:rPr>
            </w:pPr>
            <w:r>
              <w:rPr>
                <w:rFonts w:hint="eastAsia" w:ascii="宋体" w:hAnsi="宋体"/>
                <w:b/>
                <w:bCs/>
                <w:sz w:val="24"/>
              </w:rPr>
              <w:t>合计</w:t>
            </w:r>
          </w:p>
        </w:tc>
        <w:tc>
          <w:tcPr>
            <w:tcW w:w="717" w:type="dxa"/>
            <w:noWrap w:val="0"/>
            <w:vAlign w:val="center"/>
          </w:tcPr>
          <w:p>
            <w:pPr>
              <w:jc w:val="center"/>
              <w:rPr>
                <w:rFonts w:hint="eastAsia" w:ascii="宋体" w:hAnsi="宋体"/>
                <w:b/>
                <w:bCs/>
                <w:sz w:val="24"/>
              </w:rPr>
            </w:pPr>
            <w:r>
              <w:rPr>
                <w:rFonts w:hint="eastAsia" w:ascii="宋体" w:hAnsi="宋体"/>
                <w:b/>
                <w:bCs/>
                <w:sz w:val="24"/>
              </w:rPr>
              <w:t>交货日期</w:t>
            </w:r>
          </w:p>
        </w:tc>
        <w:tc>
          <w:tcPr>
            <w:tcW w:w="717" w:type="dxa"/>
            <w:noWrap w:val="0"/>
            <w:vAlign w:val="center"/>
          </w:tcPr>
          <w:p>
            <w:pPr>
              <w:jc w:val="center"/>
              <w:rPr>
                <w:rFonts w:hint="eastAsia" w:ascii="宋体" w:hAnsi="宋体"/>
                <w:b/>
                <w:bCs/>
                <w:sz w:val="24"/>
              </w:rPr>
            </w:pPr>
            <w:r>
              <w:rPr>
                <w:rFonts w:hint="eastAsia" w:ascii="宋体" w:hAnsi="宋体"/>
                <w:b/>
                <w:bCs/>
                <w:sz w:val="24"/>
              </w:rPr>
              <w:t>交货地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546"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546"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546"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546"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546"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546"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546"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546"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715" w:type="dxa"/>
            <w:noWrap w:val="0"/>
            <w:vAlign w:val="top"/>
          </w:tcPr>
          <w:p>
            <w:pPr>
              <w:rPr>
                <w:rFonts w:hint="eastAsia" w:ascii="宋体" w:hAnsi="宋体"/>
                <w:sz w:val="24"/>
              </w:rPr>
            </w:pPr>
          </w:p>
        </w:tc>
        <w:tc>
          <w:tcPr>
            <w:tcW w:w="546"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1072"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539"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c>
          <w:tcPr>
            <w:tcW w:w="717"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4" w:type="dxa"/>
            <w:gridSpan w:val="2"/>
            <w:noWrap w:val="0"/>
            <w:vAlign w:val="top"/>
          </w:tcPr>
          <w:p>
            <w:pPr>
              <w:pStyle w:val="11"/>
              <w:rPr>
                <w:rFonts w:hint="eastAsia"/>
              </w:rPr>
            </w:pPr>
            <w:r>
              <w:rPr>
                <w:rFonts w:hint="eastAsia"/>
              </w:rPr>
              <w:t>合计</w:t>
            </w:r>
          </w:p>
        </w:tc>
        <w:tc>
          <w:tcPr>
            <w:tcW w:w="7534" w:type="dxa"/>
            <w:gridSpan w:val="11"/>
            <w:noWrap w:val="0"/>
            <w:vAlign w:val="top"/>
          </w:tcPr>
          <w:p>
            <w:pPr>
              <w:rPr>
                <w:rFonts w:hint="eastAsia" w:ascii="宋体" w:hAnsi="宋体"/>
                <w:sz w:val="24"/>
              </w:rPr>
            </w:pPr>
          </w:p>
        </w:tc>
      </w:tr>
    </w:tbl>
    <w:p>
      <w:pPr>
        <w:widowControl/>
        <w:ind w:firstLine="420" w:firstLineChars="200"/>
        <w:jc w:val="left"/>
        <w:rPr>
          <w:bCs/>
          <w:szCs w:val="28"/>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widowControl/>
        <w:jc w:val="left"/>
        <w:rPr>
          <w:rFonts w:ascii="宋体" w:hAnsi="宋体"/>
          <w:szCs w:val="21"/>
        </w:rPr>
      </w:pPr>
      <w:r>
        <w:rPr>
          <w:rFonts w:hint="eastAsia" w:ascii="宋体" w:hAnsi="宋体"/>
          <w:sz w:val="24"/>
        </w:rPr>
        <w:t>法定代表人（个人电子签章）：</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sz w:val="24"/>
        </w:rPr>
      </w:pPr>
      <w:r>
        <w:rPr>
          <w:rFonts w:hint="eastAsia" w:ascii="宋体" w:hAnsi="宋体" w:cs="Times New Roman"/>
          <w:sz w:val="24"/>
          <w:lang w:eastAsia="zh-CN"/>
        </w:rPr>
        <w:t>日</w:t>
      </w:r>
      <w:r>
        <w:rPr>
          <w:rFonts w:hint="eastAsia" w:ascii="宋体" w:hAnsi="宋体" w:cs="Times New Roman"/>
          <w:sz w:val="24"/>
          <w:lang w:val="en-US" w:eastAsia="zh-CN"/>
        </w:rPr>
        <w:t xml:space="preserve">  </w:t>
      </w:r>
      <w:r>
        <w:rPr>
          <w:rFonts w:hint="eastAsia" w:ascii="宋体" w:hAnsi="宋体" w:cs="Times New Roman"/>
          <w:sz w:val="24"/>
          <w:lang w:eastAsia="zh-CN"/>
        </w:rPr>
        <w:t>期：</w:t>
      </w:r>
      <w:r>
        <w:rPr>
          <w:rFonts w:hint="eastAsia" w:ascii="宋体" w:hAnsi="宋体"/>
          <w:sz w:val="24"/>
        </w:rPr>
        <w:t>年  月  日</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cs="Times New Roman"/>
          <w:sz w:val="24"/>
          <w:lang w:eastAsia="zh-CN"/>
        </w:rPr>
      </w:pPr>
    </w:p>
    <w:p>
      <w:pPr>
        <w:spacing w:line="360" w:lineRule="auto"/>
        <w:jc w:val="center"/>
        <w:outlineLvl w:val="1"/>
        <w:rPr>
          <w:rFonts w:hint="eastAsia" w:ascii="宋体" w:hAnsi="宋体"/>
          <w:b/>
          <w:sz w:val="24"/>
        </w:rPr>
      </w:pPr>
      <w:r>
        <w:rPr>
          <w:rFonts w:ascii="宋体" w:hAnsi="宋体"/>
          <w:szCs w:val="21"/>
        </w:rPr>
        <w:br w:type="page"/>
      </w:r>
      <w:bookmarkStart w:id="606" w:name="_Toc44924418"/>
      <w:bookmarkStart w:id="607" w:name="_Toc15912367"/>
      <w:bookmarkStart w:id="608" w:name="_Toc16089986"/>
      <w:bookmarkStart w:id="609" w:name="_Toc11491"/>
      <w:bookmarkStart w:id="610" w:name="_Toc16089928"/>
      <w:bookmarkStart w:id="611" w:name="_Toc32662"/>
      <w:r>
        <w:rPr>
          <w:rFonts w:hint="eastAsia" w:ascii="宋体" w:hAnsi="宋体"/>
          <w:b/>
          <w:sz w:val="24"/>
        </w:rPr>
        <w:t>五、主要设备（产品）规格一览表</w:t>
      </w:r>
      <w:bookmarkEnd w:id="606"/>
      <w:bookmarkEnd w:id="607"/>
      <w:bookmarkEnd w:id="608"/>
      <w:bookmarkEnd w:id="609"/>
      <w:bookmarkEnd w:id="610"/>
      <w:bookmarkEnd w:id="611"/>
    </w:p>
    <w:p>
      <w:pPr>
        <w:rPr>
          <w:rFonts w:hint="eastAsia" w:ascii="宋体" w:hAnsi="宋体"/>
          <w:sz w:val="24"/>
        </w:rPr>
      </w:pPr>
      <w:r>
        <w:rPr>
          <w:rFonts w:hint="eastAsia" w:ascii="宋体" w:hAnsi="宋体"/>
          <w:sz w:val="24"/>
        </w:rPr>
        <w:t>供应商（此处填名称并盖章）</w:t>
      </w:r>
    </w:p>
    <w:p>
      <w:pPr>
        <w:rPr>
          <w:rFonts w:hint="eastAsia" w:ascii="宋体" w:hAnsi="宋体"/>
          <w:sz w:val="24"/>
        </w:rPr>
      </w:pPr>
      <w:r>
        <w:rPr>
          <w:rFonts w:hint="eastAsia" w:ascii="宋体" w:hAnsi="宋体"/>
          <w:sz w:val="24"/>
        </w:rPr>
        <w:t xml:space="preserve">项目名称：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15"/>
        <w:gridCol w:w="1272"/>
        <w:gridCol w:w="267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9" w:type="dxa"/>
            <w:noWrap w:val="0"/>
            <w:vAlign w:val="center"/>
          </w:tcPr>
          <w:p>
            <w:pPr>
              <w:jc w:val="center"/>
              <w:rPr>
                <w:rFonts w:hint="eastAsia" w:ascii="宋体" w:hAnsi="宋体"/>
                <w:sz w:val="24"/>
              </w:rPr>
            </w:pPr>
            <w:r>
              <w:rPr>
                <w:rFonts w:hint="eastAsia" w:ascii="宋体" w:hAnsi="宋体"/>
                <w:sz w:val="24"/>
              </w:rPr>
              <w:t>序号</w:t>
            </w:r>
          </w:p>
        </w:tc>
        <w:tc>
          <w:tcPr>
            <w:tcW w:w="1215" w:type="dxa"/>
            <w:noWrap w:val="0"/>
            <w:vAlign w:val="center"/>
          </w:tcPr>
          <w:p>
            <w:pPr>
              <w:jc w:val="center"/>
              <w:rPr>
                <w:rFonts w:hint="eastAsia" w:ascii="宋体" w:hAnsi="宋体"/>
                <w:sz w:val="24"/>
              </w:rPr>
            </w:pPr>
            <w:r>
              <w:rPr>
                <w:rFonts w:hint="eastAsia" w:ascii="宋体" w:hAnsi="宋体"/>
                <w:sz w:val="24"/>
              </w:rPr>
              <w:t>货物名称</w:t>
            </w:r>
          </w:p>
        </w:tc>
        <w:tc>
          <w:tcPr>
            <w:tcW w:w="1272" w:type="dxa"/>
            <w:noWrap w:val="0"/>
            <w:vAlign w:val="center"/>
          </w:tcPr>
          <w:p>
            <w:pPr>
              <w:jc w:val="center"/>
              <w:rPr>
                <w:rFonts w:hint="eastAsia" w:ascii="宋体" w:hAnsi="宋体"/>
                <w:sz w:val="24"/>
              </w:rPr>
            </w:pPr>
            <w:r>
              <w:rPr>
                <w:rFonts w:hint="eastAsia" w:ascii="宋体" w:hAnsi="宋体"/>
                <w:sz w:val="24"/>
              </w:rPr>
              <w:t>品牌型号</w:t>
            </w:r>
          </w:p>
        </w:tc>
        <w:tc>
          <w:tcPr>
            <w:tcW w:w="2670" w:type="dxa"/>
            <w:noWrap w:val="0"/>
            <w:vAlign w:val="center"/>
          </w:tcPr>
          <w:p>
            <w:pPr>
              <w:jc w:val="center"/>
              <w:rPr>
                <w:rFonts w:hint="eastAsia" w:ascii="宋体" w:hAnsi="宋体"/>
                <w:sz w:val="24"/>
              </w:rPr>
            </w:pPr>
            <w:r>
              <w:rPr>
                <w:rFonts w:hint="eastAsia" w:ascii="宋体" w:hAnsi="宋体"/>
                <w:sz w:val="24"/>
              </w:rPr>
              <w:t>规格及技术参数</w:t>
            </w:r>
          </w:p>
        </w:tc>
        <w:tc>
          <w:tcPr>
            <w:tcW w:w="1620" w:type="dxa"/>
            <w:noWrap w:val="0"/>
            <w:vAlign w:val="center"/>
          </w:tcPr>
          <w:p>
            <w:pPr>
              <w:jc w:val="center"/>
              <w:rPr>
                <w:rFonts w:hint="eastAsia" w:ascii="宋体" w:hAnsi="宋体"/>
                <w:sz w:val="24"/>
              </w:rPr>
            </w:pPr>
            <w:r>
              <w:rPr>
                <w:rFonts w:hint="eastAsia" w:ascii="宋体" w:hAnsi="宋体"/>
                <w:sz w:val="24"/>
              </w:rPr>
              <w:t>制造商</w:t>
            </w:r>
          </w:p>
        </w:tc>
        <w:tc>
          <w:tcPr>
            <w:tcW w:w="1440" w:type="dxa"/>
            <w:noWrap w:val="0"/>
            <w:vAlign w:val="center"/>
          </w:tcPr>
          <w:p>
            <w:pPr>
              <w:jc w:val="center"/>
              <w:rPr>
                <w:rFonts w:hint="eastAsia" w:ascii="宋体" w:hAnsi="宋体"/>
                <w:sz w:val="24"/>
              </w:rPr>
            </w:pPr>
            <w:r>
              <w:rPr>
                <w:rFonts w:hint="eastAsia" w:ascii="宋体" w:hAnsi="宋体"/>
                <w:sz w:val="24"/>
              </w:rPr>
              <w:t>原产地（国）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noWrap w:val="0"/>
            <w:vAlign w:val="center"/>
          </w:tcPr>
          <w:p>
            <w:pPr>
              <w:autoSpaceDE w:val="0"/>
              <w:autoSpaceDN w:val="0"/>
              <w:adjustRightInd w:val="0"/>
              <w:jc w:val="center"/>
              <w:rPr>
                <w:rFonts w:hint="eastAsia" w:ascii="宋体" w:hAnsi="宋体"/>
                <w:b/>
                <w:sz w:val="24"/>
              </w:rPr>
            </w:pPr>
          </w:p>
        </w:tc>
        <w:tc>
          <w:tcPr>
            <w:tcW w:w="1215" w:type="dxa"/>
            <w:noWrap w:val="0"/>
            <w:vAlign w:val="center"/>
          </w:tcPr>
          <w:p>
            <w:pPr>
              <w:jc w:val="center"/>
              <w:rPr>
                <w:rFonts w:hint="eastAsia" w:ascii="宋体" w:hAnsi="宋体"/>
                <w:sz w:val="24"/>
              </w:rPr>
            </w:pPr>
            <w:r>
              <w:rPr>
                <w:rFonts w:hint="eastAsia" w:ascii="宋体" w:hAnsi="宋体"/>
                <w:sz w:val="24"/>
              </w:rPr>
              <w:t>…</w:t>
            </w:r>
          </w:p>
        </w:tc>
        <w:tc>
          <w:tcPr>
            <w:tcW w:w="1272" w:type="dxa"/>
            <w:noWrap w:val="0"/>
            <w:vAlign w:val="center"/>
          </w:tcPr>
          <w:p>
            <w:pPr>
              <w:jc w:val="center"/>
              <w:rPr>
                <w:rFonts w:hint="eastAsia" w:ascii="宋体" w:hAnsi="宋体"/>
                <w:sz w:val="24"/>
              </w:rPr>
            </w:pPr>
          </w:p>
        </w:tc>
        <w:tc>
          <w:tcPr>
            <w:tcW w:w="2670" w:type="dxa"/>
            <w:noWrap w:val="0"/>
            <w:vAlign w:val="center"/>
          </w:tcPr>
          <w:p>
            <w:pPr>
              <w:jc w:val="center"/>
              <w:rPr>
                <w:rFonts w:hint="eastAsia" w:ascii="宋体" w:hAnsi="宋体"/>
                <w:sz w:val="24"/>
              </w:rPr>
            </w:pPr>
          </w:p>
        </w:tc>
        <w:tc>
          <w:tcPr>
            <w:tcW w:w="1620" w:type="dxa"/>
            <w:noWrap w:val="0"/>
            <w:vAlign w:val="center"/>
          </w:tcPr>
          <w:p>
            <w:pPr>
              <w:jc w:val="center"/>
              <w:rPr>
                <w:rFonts w:hint="eastAsia" w:ascii="宋体" w:hAnsi="宋体"/>
                <w:sz w:val="24"/>
              </w:rPr>
            </w:pPr>
          </w:p>
        </w:tc>
        <w:tc>
          <w:tcPr>
            <w:tcW w:w="1440" w:type="dxa"/>
            <w:noWrap w:val="0"/>
            <w:vAlign w:val="center"/>
          </w:tcPr>
          <w:p>
            <w:pPr>
              <w:jc w:val="center"/>
              <w:rPr>
                <w:rFonts w:hint="eastAsia" w:ascii="宋体" w:hAnsi="宋体"/>
                <w:sz w:val="24"/>
              </w:rPr>
            </w:pPr>
          </w:p>
        </w:tc>
      </w:tr>
    </w:tbl>
    <w:p>
      <w:pPr>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sz w:val="24"/>
          <w:u w:val="single"/>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cs="Times New Roman"/>
          <w:sz w:val="24"/>
          <w:lang w:eastAsia="zh-CN"/>
        </w:rPr>
        <w:t>日</w:t>
      </w:r>
      <w:r>
        <w:rPr>
          <w:rFonts w:hint="eastAsia" w:ascii="宋体" w:hAnsi="宋体" w:cs="Times New Roman"/>
          <w:sz w:val="24"/>
          <w:lang w:val="en-US" w:eastAsia="zh-CN"/>
        </w:rPr>
        <w:t xml:space="preserve">  </w:t>
      </w:r>
      <w:r>
        <w:rPr>
          <w:rFonts w:hint="eastAsia" w:ascii="宋体" w:hAnsi="宋体" w:cs="Times New Roman"/>
          <w:sz w:val="24"/>
          <w:lang w:eastAsia="zh-CN"/>
        </w:rPr>
        <w:t>期：</w:t>
      </w:r>
      <w:r>
        <w:rPr>
          <w:rFonts w:hint="eastAsia" w:ascii="宋体" w:hAnsi="宋体"/>
          <w:sz w:val="24"/>
        </w:rPr>
        <w:t>年  月  日</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cs="Times New Roman"/>
          <w:sz w:val="24"/>
          <w:lang w:eastAsia="zh-CN"/>
        </w:rPr>
      </w:pPr>
    </w:p>
    <w:p>
      <w:pPr>
        <w:widowControl/>
        <w:jc w:val="left"/>
        <w:rPr>
          <w:rFonts w:ascii="宋体" w:hAnsi="宋体"/>
          <w:szCs w:val="21"/>
        </w:rPr>
      </w:pPr>
    </w:p>
    <w:p>
      <w:pPr>
        <w:rPr>
          <w:rFonts w:hint="eastAsia" w:ascii="宋体" w:hAnsi="宋体"/>
          <w:sz w:val="24"/>
        </w:rPr>
      </w:pPr>
    </w:p>
    <w:p>
      <w:pPr>
        <w:rPr>
          <w:rFonts w:hint="eastAsia" w:ascii="宋体" w:hAnsi="宋体"/>
          <w:sz w:val="24"/>
        </w:rPr>
      </w:pPr>
      <w:r>
        <w:rPr>
          <w:rFonts w:hint="eastAsia" w:ascii="宋体" w:hAnsi="宋体"/>
          <w:sz w:val="24"/>
        </w:rPr>
        <w:t>说明：1、设备规格参数如有详细描述可另作说明。</w:t>
      </w:r>
    </w:p>
    <w:p>
      <w:pPr>
        <w:widowControl/>
        <w:ind w:firstLine="720" w:firstLineChars="300"/>
        <w:jc w:val="left"/>
        <w:rPr>
          <w:bCs/>
          <w:szCs w:val="28"/>
        </w:rPr>
      </w:pPr>
      <w:r>
        <w:rPr>
          <w:rFonts w:hint="eastAsia" w:ascii="宋体" w:hAnsi="宋体"/>
          <w:sz w:val="24"/>
        </w:rPr>
        <w:t>2、磋商供应商可对该产品的特性和优点作详细的文字说明。</w:t>
      </w:r>
    </w:p>
    <w:p>
      <w:pPr>
        <w:spacing w:line="360" w:lineRule="auto"/>
        <w:jc w:val="center"/>
        <w:outlineLvl w:val="1"/>
        <w:rPr>
          <w:rFonts w:hint="eastAsia" w:ascii="宋体" w:hAnsi="宋体"/>
          <w:b/>
          <w:bCs/>
          <w:sz w:val="24"/>
        </w:rPr>
      </w:pPr>
      <w:r>
        <w:rPr>
          <w:bCs/>
          <w:szCs w:val="28"/>
        </w:rPr>
        <w:br w:type="page"/>
      </w:r>
      <w:bookmarkStart w:id="612" w:name="_Toc482379083"/>
      <w:bookmarkStart w:id="613" w:name="_Toc3312"/>
      <w:bookmarkStart w:id="614" w:name="_Toc13264"/>
      <w:bookmarkStart w:id="615" w:name="_Toc482378990"/>
      <w:bookmarkStart w:id="616" w:name="_Toc44924419"/>
      <w:bookmarkStart w:id="617" w:name="_Toc90713376"/>
      <w:bookmarkStart w:id="618" w:name="_Toc90712557"/>
      <w:bookmarkStart w:id="619" w:name="_Toc87621077"/>
      <w:r>
        <w:rPr>
          <w:rFonts w:hint="eastAsia" w:ascii="宋体" w:hAnsi="宋体"/>
          <w:b/>
          <w:sz w:val="24"/>
        </w:rPr>
        <w:t>六 资格申明</w:t>
      </w:r>
      <w:bookmarkEnd w:id="604"/>
      <w:bookmarkEnd w:id="605"/>
      <w:bookmarkEnd w:id="612"/>
      <w:bookmarkEnd w:id="613"/>
      <w:bookmarkEnd w:id="614"/>
      <w:bookmarkEnd w:id="615"/>
      <w:bookmarkEnd w:id="616"/>
    </w:p>
    <w:p>
      <w:pPr>
        <w:pStyle w:val="5"/>
        <w:numPr>
          <w:ilvl w:val="0"/>
          <w:numId w:val="5"/>
        </w:numPr>
        <w:tabs>
          <w:tab w:val="left" w:pos="900"/>
        </w:tabs>
        <w:spacing w:line="360" w:lineRule="auto"/>
        <w:ind w:left="845" w:hanging="305" w:firstLineChars="0"/>
        <w:rPr>
          <w:rFonts w:hint="eastAsia" w:ascii="宋体" w:hAnsi="宋体"/>
          <w:sz w:val="24"/>
          <w:szCs w:val="24"/>
        </w:rPr>
      </w:pPr>
      <w:r>
        <w:rPr>
          <w:rFonts w:hint="eastAsia" w:ascii="宋体" w:hAnsi="宋体"/>
          <w:sz w:val="24"/>
          <w:szCs w:val="24"/>
        </w:rPr>
        <w:t>供应商名称（此处填名称并盖章）</w:t>
      </w:r>
    </w:p>
    <w:p>
      <w:pPr>
        <w:pStyle w:val="5"/>
        <w:numPr>
          <w:ilvl w:val="0"/>
          <w:numId w:val="5"/>
        </w:numPr>
        <w:tabs>
          <w:tab w:val="left" w:pos="900"/>
        </w:tabs>
        <w:spacing w:line="360" w:lineRule="auto"/>
        <w:ind w:left="845" w:hanging="305" w:firstLineChars="0"/>
        <w:rPr>
          <w:rFonts w:hint="eastAsia" w:ascii="宋体" w:hAnsi="宋体"/>
          <w:sz w:val="24"/>
          <w:szCs w:val="24"/>
        </w:rPr>
      </w:pPr>
      <w:r>
        <w:rPr>
          <w:rFonts w:hint="eastAsia" w:ascii="宋体" w:hAnsi="宋体"/>
          <w:sz w:val="24"/>
          <w:szCs w:val="24"/>
        </w:rPr>
        <w:t>地址</w:t>
      </w:r>
    </w:p>
    <w:p>
      <w:pPr>
        <w:pStyle w:val="5"/>
        <w:tabs>
          <w:tab w:val="left" w:pos="900"/>
        </w:tabs>
        <w:spacing w:line="360" w:lineRule="auto"/>
        <w:ind w:left="540" w:firstLine="268" w:firstLineChars="112"/>
        <w:rPr>
          <w:rFonts w:hint="eastAsia" w:ascii="宋体" w:hAnsi="宋体"/>
          <w:sz w:val="24"/>
          <w:szCs w:val="24"/>
        </w:rPr>
      </w:pPr>
      <w:r>
        <w:rPr>
          <w:rFonts w:hint="eastAsia" w:ascii="宋体" w:hAnsi="宋体"/>
          <w:sz w:val="24"/>
          <w:szCs w:val="24"/>
        </w:rPr>
        <w:t>联系电话、传真</w:t>
      </w:r>
    </w:p>
    <w:p>
      <w:pPr>
        <w:pStyle w:val="5"/>
        <w:numPr>
          <w:ilvl w:val="0"/>
          <w:numId w:val="5"/>
        </w:numPr>
        <w:tabs>
          <w:tab w:val="left" w:pos="900"/>
        </w:tabs>
        <w:spacing w:line="360" w:lineRule="auto"/>
        <w:ind w:left="845" w:hanging="305" w:firstLineChars="0"/>
        <w:rPr>
          <w:rFonts w:hint="eastAsia" w:ascii="宋体" w:hAnsi="宋体"/>
          <w:sz w:val="24"/>
          <w:szCs w:val="24"/>
        </w:rPr>
      </w:pPr>
      <w:r>
        <w:rPr>
          <w:rFonts w:hint="eastAsia" w:ascii="宋体" w:hAnsi="宋体"/>
          <w:sz w:val="24"/>
          <w:szCs w:val="24"/>
        </w:rPr>
        <w:t>成立或/注册日期（提供其营业执照副本复印件）</w:t>
      </w:r>
    </w:p>
    <w:p>
      <w:pPr>
        <w:pStyle w:val="5"/>
        <w:numPr>
          <w:ilvl w:val="0"/>
          <w:numId w:val="5"/>
        </w:numPr>
        <w:tabs>
          <w:tab w:val="left" w:pos="900"/>
        </w:tabs>
        <w:spacing w:line="360" w:lineRule="auto"/>
        <w:ind w:left="845" w:hanging="305" w:firstLineChars="0"/>
        <w:rPr>
          <w:rFonts w:hint="eastAsia" w:ascii="宋体" w:hAnsi="宋体"/>
          <w:sz w:val="24"/>
          <w:szCs w:val="24"/>
        </w:rPr>
      </w:pPr>
      <w:r>
        <w:rPr>
          <w:rFonts w:hint="eastAsia" w:ascii="宋体" w:hAnsi="宋体"/>
          <w:sz w:val="24"/>
          <w:szCs w:val="24"/>
        </w:rPr>
        <w:t>法人代表</w:t>
      </w:r>
    </w:p>
    <w:p>
      <w:pPr>
        <w:pStyle w:val="5"/>
        <w:numPr>
          <w:ilvl w:val="0"/>
          <w:numId w:val="5"/>
        </w:numPr>
        <w:tabs>
          <w:tab w:val="left" w:pos="900"/>
        </w:tabs>
        <w:spacing w:line="360" w:lineRule="auto"/>
        <w:ind w:left="845" w:hanging="305" w:firstLineChars="0"/>
        <w:rPr>
          <w:rFonts w:hint="eastAsia" w:ascii="宋体" w:hAnsi="宋体"/>
          <w:sz w:val="24"/>
          <w:szCs w:val="24"/>
        </w:rPr>
      </w:pPr>
      <w:r>
        <w:rPr>
          <w:rFonts w:hint="eastAsia" w:ascii="宋体" w:hAnsi="宋体"/>
          <w:sz w:val="24"/>
          <w:szCs w:val="24"/>
        </w:rPr>
        <w:t>竞争性磋商供应商代表</w:t>
      </w:r>
    </w:p>
    <w:p>
      <w:pPr>
        <w:pStyle w:val="5"/>
        <w:numPr>
          <w:ilvl w:val="0"/>
          <w:numId w:val="5"/>
        </w:numPr>
        <w:tabs>
          <w:tab w:val="left" w:pos="845"/>
          <w:tab w:val="left" w:pos="900"/>
          <w:tab w:val="clear" w:pos="425"/>
        </w:tabs>
        <w:spacing w:line="360" w:lineRule="auto"/>
        <w:ind w:left="845" w:hanging="305" w:firstLineChars="0"/>
        <w:rPr>
          <w:rFonts w:hint="eastAsia" w:ascii="宋体" w:hAnsi="宋体"/>
          <w:sz w:val="24"/>
          <w:szCs w:val="24"/>
        </w:rPr>
      </w:pPr>
      <w:r>
        <w:rPr>
          <w:rFonts w:hint="eastAsia" w:ascii="宋体" w:hAnsi="宋体"/>
          <w:sz w:val="24"/>
          <w:szCs w:val="24"/>
        </w:rPr>
        <w:t>投标联系人</w:t>
      </w:r>
    </w:p>
    <w:p>
      <w:pPr>
        <w:pStyle w:val="5"/>
        <w:spacing w:line="360" w:lineRule="auto"/>
        <w:ind w:left="3050" w:firstLine="0" w:firstLineChars="0"/>
        <w:rPr>
          <w:rFonts w:hint="eastAsia" w:ascii="宋体" w:hAnsi="宋体"/>
          <w:sz w:val="24"/>
          <w:szCs w:val="24"/>
        </w:rPr>
      </w:pPr>
      <w:r>
        <w:rPr>
          <w:rFonts w:hint="eastAsia" w:ascii="宋体" w:hAnsi="宋体"/>
          <w:sz w:val="24"/>
          <w:szCs w:val="24"/>
        </w:rPr>
        <w:t>财务状况：</w:t>
      </w:r>
    </w:p>
    <w:p>
      <w:pPr>
        <w:pStyle w:val="5"/>
        <w:numPr>
          <w:ilvl w:val="0"/>
          <w:numId w:val="6"/>
        </w:numPr>
        <w:tabs>
          <w:tab w:val="left" w:pos="900"/>
        </w:tabs>
        <w:spacing w:line="360" w:lineRule="auto"/>
        <w:ind w:left="1260" w:hanging="720" w:firstLineChars="0"/>
        <w:rPr>
          <w:rFonts w:hint="eastAsia" w:ascii="宋体" w:hAnsi="宋体"/>
          <w:sz w:val="24"/>
          <w:szCs w:val="24"/>
        </w:rPr>
      </w:pPr>
      <w:r>
        <w:rPr>
          <w:rFonts w:hint="eastAsia" w:ascii="宋体" w:hAnsi="宋体"/>
          <w:sz w:val="24"/>
          <w:szCs w:val="24"/>
        </w:rPr>
        <w:t>固定资产</w:t>
      </w:r>
    </w:p>
    <w:p>
      <w:pPr>
        <w:pStyle w:val="5"/>
        <w:numPr>
          <w:ilvl w:val="0"/>
          <w:numId w:val="6"/>
        </w:numPr>
        <w:tabs>
          <w:tab w:val="left" w:pos="900"/>
        </w:tabs>
        <w:spacing w:line="360" w:lineRule="auto"/>
        <w:ind w:left="1260" w:hanging="720" w:firstLineChars="0"/>
        <w:rPr>
          <w:rFonts w:hint="eastAsia" w:ascii="宋体" w:hAnsi="宋体"/>
          <w:sz w:val="24"/>
          <w:szCs w:val="24"/>
        </w:rPr>
      </w:pPr>
      <w:r>
        <w:rPr>
          <w:rFonts w:hint="eastAsia" w:ascii="宋体" w:hAnsi="宋体"/>
          <w:sz w:val="24"/>
          <w:szCs w:val="24"/>
        </w:rPr>
        <w:t>流动资产</w:t>
      </w:r>
    </w:p>
    <w:p>
      <w:pPr>
        <w:pStyle w:val="5"/>
        <w:numPr>
          <w:ilvl w:val="0"/>
          <w:numId w:val="6"/>
        </w:numPr>
        <w:tabs>
          <w:tab w:val="left" w:pos="900"/>
        </w:tabs>
        <w:spacing w:line="360" w:lineRule="auto"/>
        <w:ind w:left="1260" w:hanging="720" w:firstLineChars="0"/>
        <w:rPr>
          <w:rFonts w:hint="eastAsia" w:ascii="宋体" w:hAnsi="宋体"/>
          <w:sz w:val="24"/>
          <w:szCs w:val="24"/>
        </w:rPr>
      </w:pPr>
      <w:r>
        <w:rPr>
          <w:rFonts w:hint="eastAsia" w:ascii="宋体" w:hAnsi="宋体"/>
          <w:sz w:val="24"/>
          <w:szCs w:val="24"/>
        </w:rPr>
        <w:t>长期负债</w:t>
      </w:r>
    </w:p>
    <w:p>
      <w:pPr>
        <w:pStyle w:val="5"/>
        <w:numPr>
          <w:ilvl w:val="0"/>
          <w:numId w:val="6"/>
        </w:numPr>
        <w:tabs>
          <w:tab w:val="left" w:pos="900"/>
        </w:tabs>
        <w:spacing w:line="360" w:lineRule="auto"/>
        <w:ind w:left="1260" w:hanging="720" w:firstLineChars="0"/>
        <w:rPr>
          <w:rFonts w:hint="eastAsia" w:ascii="宋体" w:hAnsi="宋体"/>
          <w:sz w:val="24"/>
          <w:szCs w:val="24"/>
        </w:rPr>
      </w:pPr>
      <w:r>
        <w:rPr>
          <w:rFonts w:hint="eastAsia" w:ascii="宋体" w:hAnsi="宋体"/>
          <w:sz w:val="24"/>
          <w:szCs w:val="24"/>
        </w:rPr>
        <w:t>流动负债</w:t>
      </w:r>
    </w:p>
    <w:p>
      <w:pPr>
        <w:pStyle w:val="5"/>
        <w:numPr>
          <w:ilvl w:val="0"/>
          <w:numId w:val="6"/>
        </w:numPr>
        <w:tabs>
          <w:tab w:val="left" w:pos="900"/>
        </w:tabs>
        <w:spacing w:line="360" w:lineRule="auto"/>
        <w:ind w:left="1260" w:hanging="720" w:firstLineChars="0"/>
        <w:rPr>
          <w:rFonts w:hint="eastAsia" w:ascii="宋体" w:hAnsi="宋体"/>
          <w:sz w:val="24"/>
          <w:szCs w:val="24"/>
        </w:rPr>
      </w:pPr>
      <w:r>
        <w:rPr>
          <w:rFonts w:hint="eastAsia" w:ascii="宋体" w:hAnsi="宋体"/>
          <w:sz w:val="24"/>
          <w:szCs w:val="24"/>
        </w:rPr>
        <w:t>资产净值</w:t>
      </w:r>
    </w:p>
    <w:p>
      <w:pPr>
        <w:pStyle w:val="5"/>
        <w:numPr>
          <w:ilvl w:val="0"/>
          <w:numId w:val="6"/>
        </w:numPr>
        <w:tabs>
          <w:tab w:val="left" w:pos="900"/>
        </w:tabs>
        <w:spacing w:line="360" w:lineRule="auto"/>
        <w:ind w:left="1080" w:hanging="540" w:firstLineChars="0"/>
        <w:rPr>
          <w:rFonts w:hint="eastAsia" w:ascii="宋体" w:hAnsi="宋体"/>
          <w:sz w:val="24"/>
          <w:szCs w:val="24"/>
        </w:rPr>
      </w:pPr>
      <w:r>
        <w:rPr>
          <w:rFonts w:hint="eastAsia" w:ascii="宋体" w:hAnsi="宋体"/>
          <w:sz w:val="24"/>
          <w:szCs w:val="24"/>
        </w:rPr>
        <w:t>有关开户银行的名称、地址</w:t>
      </w:r>
    </w:p>
    <w:p>
      <w:pPr>
        <w:pStyle w:val="5"/>
        <w:numPr>
          <w:ilvl w:val="0"/>
          <w:numId w:val="6"/>
        </w:numPr>
        <w:tabs>
          <w:tab w:val="left" w:pos="900"/>
        </w:tabs>
        <w:spacing w:line="360" w:lineRule="auto"/>
        <w:ind w:left="1080" w:hanging="540" w:firstLineChars="0"/>
        <w:rPr>
          <w:rFonts w:hint="eastAsia" w:ascii="宋体" w:hAnsi="宋体"/>
          <w:sz w:val="24"/>
          <w:szCs w:val="24"/>
        </w:rPr>
      </w:pPr>
      <w:r>
        <w:rPr>
          <w:rFonts w:hint="eastAsia" w:ascii="宋体" w:hAnsi="宋体"/>
          <w:sz w:val="24"/>
          <w:szCs w:val="24"/>
        </w:rPr>
        <w:t>最近三年每年的与本项目类似营业总额</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pStyle w:val="5"/>
              <w:spacing w:line="360" w:lineRule="auto"/>
              <w:ind w:firstLine="480"/>
              <w:rPr>
                <w:rFonts w:hint="eastAsia" w:ascii="宋体" w:hAnsi="宋体"/>
                <w:sz w:val="24"/>
                <w:szCs w:val="24"/>
                <w:lang w:val="en-US" w:eastAsia="zh-CN"/>
              </w:rPr>
            </w:pPr>
            <w:r>
              <w:rPr>
                <w:rFonts w:hint="eastAsia" w:ascii="宋体" w:hAnsi="宋体"/>
                <w:sz w:val="24"/>
                <w:szCs w:val="24"/>
                <w:lang w:val="en-US" w:eastAsia="zh-CN"/>
              </w:rPr>
              <w:t>年份</w:t>
            </w:r>
          </w:p>
        </w:tc>
        <w:tc>
          <w:tcPr>
            <w:tcW w:w="2130" w:type="dxa"/>
            <w:noWrap w:val="0"/>
            <w:vAlign w:val="center"/>
          </w:tcPr>
          <w:p>
            <w:pPr>
              <w:pStyle w:val="5"/>
              <w:spacing w:line="360" w:lineRule="auto"/>
              <w:ind w:firstLine="480"/>
              <w:rPr>
                <w:rFonts w:hint="eastAsia" w:ascii="宋体" w:hAnsi="宋体"/>
                <w:sz w:val="24"/>
                <w:szCs w:val="24"/>
                <w:lang w:val="en-US" w:eastAsia="zh-CN"/>
              </w:rPr>
            </w:pPr>
            <w:r>
              <w:rPr>
                <w:rFonts w:hint="eastAsia" w:ascii="宋体" w:hAnsi="宋体"/>
                <w:sz w:val="24"/>
                <w:szCs w:val="24"/>
                <w:lang w:val="en-US" w:eastAsia="zh-CN"/>
              </w:rPr>
              <w:t>业务总额</w:t>
            </w:r>
          </w:p>
        </w:tc>
        <w:tc>
          <w:tcPr>
            <w:tcW w:w="2130" w:type="dxa"/>
            <w:noWrap w:val="0"/>
            <w:vAlign w:val="center"/>
          </w:tcPr>
          <w:p>
            <w:pPr>
              <w:pStyle w:val="5"/>
              <w:spacing w:line="360" w:lineRule="auto"/>
              <w:ind w:firstLine="480"/>
              <w:rPr>
                <w:rFonts w:hint="eastAsia" w:ascii="宋体" w:hAnsi="宋体"/>
                <w:sz w:val="24"/>
                <w:szCs w:val="24"/>
                <w:lang w:val="en-US" w:eastAsia="zh-CN"/>
              </w:rPr>
            </w:pPr>
            <w:r>
              <w:rPr>
                <w:rFonts w:hint="eastAsia" w:ascii="宋体" w:hAnsi="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30" w:type="dxa"/>
            <w:noWrap w:val="0"/>
            <w:vAlign w:val="top"/>
          </w:tcPr>
          <w:p>
            <w:pPr>
              <w:pStyle w:val="5"/>
              <w:spacing w:line="360" w:lineRule="auto"/>
              <w:ind w:firstLine="480"/>
              <w:rPr>
                <w:rFonts w:hint="eastAsia" w:ascii="宋体" w:hAnsi="宋体"/>
                <w:sz w:val="24"/>
                <w:szCs w:val="24"/>
                <w:lang w:val="en-US" w:eastAsia="zh-CN"/>
              </w:rPr>
            </w:pPr>
          </w:p>
        </w:tc>
        <w:tc>
          <w:tcPr>
            <w:tcW w:w="2130" w:type="dxa"/>
            <w:noWrap w:val="0"/>
            <w:vAlign w:val="top"/>
          </w:tcPr>
          <w:p>
            <w:pPr>
              <w:pStyle w:val="5"/>
              <w:spacing w:line="360" w:lineRule="auto"/>
              <w:ind w:firstLine="480"/>
              <w:rPr>
                <w:rFonts w:hint="eastAsia" w:ascii="宋体" w:hAnsi="宋体"/>
                <w:sz w:val="24"/>
                <w:szCs w:val="24"/>
                <w:lang w:val="en-US" w:eastAsia="zh-CN"/>
              </w:rPr>
            </w:pPr>
          </w:p>
        </w:tc>
        <w:tc>
          <w:tcPr>
            <w:tcW w:w="2130" w:type="dxa"/>
            <w:noWrap w:val="0"/>
            <w:vAlign w:val="top"/>
          </w:tcPr>
          <w:p>
            <w:pPr>
              <w:pStyle w:val="5"/>
              <w:spacing w:line="360" w:lineRule="auto"/>
              <w:ind w:firstLine="480"/>
              <w:rPr>
                <w:rFonts w:hint="eastAsia"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30" w:type="dxa"/>
            <w:noWrap w:val="0"/>
            <w:vAlign w:val="top"/>
          </w:tcPr>
          <w:p>
            <w:pPr>
              <w:pStyle w:val="5"/>
              <w:spacing w:line="360" w:lineRule="auto"/>
              <w:ind w:firstLine="480"/>
              <w:rPr>
                <w:rFonts w:hint="eastAsia" w:ascii="宋体" w:hAnsi="宋体"/>
                <w:sz w:val="24"/>
                <w:szCs w:val="24"/>
                <w:lang w:val="en-US" w:eastAsia="zh-CN"/>
              </w:rPr>
            </w:pPr>
          </w:p>
        </w:tc>
        <w:tc>
          <w:tcPr>
            <w:tcW w:w="2130" w:type="dxa"/>
            <w:noWrap w:val="0"/>
            <w:vAlign w:val="top"/>
          </w:tcPr>
          <w:p>
            <w:pPr>
              <w:pStyle w:val="5"/>
              <w:spacing w:line="360" w:lineRule="auto"/>
              <w:ind w:firstLine="480"/>
              <w:rPr>
                <w:rFonts w:hint="eastAsia" w:ascii="宋体" w:hAnsi="宋体"/>
                <w:sz w:val="24"/>
                <w:szCs w:val="24"/>
                <w:lang w:val="en-US" w:eastAsia="zh-CN"/>
              </w:rPr>
            </w:pPr>
          </w:p>
        </w:tc>
        <w:tc>
          <w:tcPr>
            <w:tcW w:w="2130" w:type="dxa"/>
            <w:noWrap w:val="0"/>
            <w:vAlign w:val="top"/>
          </w:tcPr>
          <w:p>
            <w:pPr>
              <w:pStyle w:val="5"/>
              <w:spacing w:line="360" w:lineRule="auto"/>
              <w:ind w:firstLine="480"/>
              <w:rPr>
                <w:rFonts w:hint="eastAsia"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30" w:type="dxa"/>
            <w:noWrap w:val="0"/>
            <w:vAlign w:val="top"/>
          </w:tcPr>
          <w:p>
            <w:pPr>
              <w:pStyle w:val="5"/>
              <w:spacing w:line="360" w:lineRule="auto"/>
              <w:ind w:firstLine="480"/>
              <w:rPr>
                <w:rFonts w:hint="eastAsia" w:ascii="宋体" w:hAnsi="宋体"/>
                <w:sz w:val="24"/>
                <w:szCs w:val="24"/>
                <w:lang w:val="en-US" w:eastAsia="zh-CN"/>
              </w:rPr>
            </w:pPr>
          </w:p>
        </w:tc>
        <w:tc>
          <w:tcPr>
            <w:tcW w:w="2130" w:type="dxa"/>
            <w:noWrap w:val="0"/>
            <w:vAlign w:val="top"/>
          </w:tcPr>
          <w:p>
            <w:pPr>
              <w:pStyle w:val="5"/>
              <w:spacing w:line="360" w:lineRule="auto"/>
              <w:ind w:firstLine="480"/>
              <w:rPr>
                <w:rFonts w:hint="eastAsia" w:ascii="宋体" w:hAnsi="宋体"/>
                <w:sz w:val="24"/>
                <w:szCs w:val="24"/>
                <w:lang w:val="en-US" w:eastAsia="zh-CN"/>
              </w:rPr>
            </w:pPr>
          </w:p>
        </w:tc>
        <w:tc>
          <w:tcPr>
            <w:tcW w:w="2130" w:type="dxa"/>
            <w:noWrap w:val="0"/>
            <w:vAlign w:val="top"/>
          </w:tcPr>
          <w:p>
            <w:pPr>
              <w:pStyle w:val="5"/>
              <w:spacing w:line="360" w:lineRule="auto"/>
              <w:ind w:firstLine="480"/>
              <w:rPr>
                <w:rFonts w:hint="eastAsia" w:ascii="宋体" w:hAnsi="宋体"/>
                <w:sz w:val="24"/>
                <w:szCs w:val="24"/>
                <w:lang w:val="en-US" w:eastAsia="zh-CN"/>
              </w:rPr>
            </w:pPr>
          </w:p>
        </w:tc>
      </w:tr>
    </w:tbl>
    <w:p>
      <w:pPr>
        <w:pStyle w:val="5"/>
        <w:spacing w:line="360" w:lineRule="auto"/>
        <w:ind w:firstLine="480"/>
        <w:rPr>
          <w:rFonts w:hint="eastAsia" w:ascii="宋体" w:hAnsi="宋体"/>
          <w:sz w:val="24"/>
          <w:szCs w:val="24"/>
        </w:rPr>
      </w:pPr>
      <w:r>
        <w:rPr>
          <w:rFonts w:hint="eastAsia" w:ascii="宋体" w:hAnsi="宋体"/>
          <w:sz w:val="24"/>
          <w:szCs w:val="24"/>
        </w:rPr>
        <w:t>兹证明以上陈述是真实的、准确的，所需提供的资料和数据均已提供，我们同意按贵方要求出示有关证明文件。</w:t>
      </w:r>
    </w:p>
    <w:p>
      <w:pPr>
        <w:pStyle w:val="5"/>
        <w:spacing w:line="360" w:lineRule="auto"/>
        <w:ind w:firstLine="480"/>
        <w:rPr>
          <w:rFonts w:hint="eastAsia" w:ascii="宋体" w:hAnsi="宋体"/>
          <w:sz w:val="24"/>
          <w:szCs w:val="24"/>
        </w:rPr>
      </w:pPr>
    </w:p>
    <w:p>
      <w:pPr>
        <w:spacing w:line="360" w:lineRule="auto"/>
        <w:ind w:firstLine="480" w:firstLineChars="200"/>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pStyle w:val="5"/>
        <w:spacing w:line="360" w:lineRule="auto"/>
        <w:ind w:firstLine="480"/>
        <w:rPr>
          <w:rFonts w:hint="eastAsia" w:ascii="宋体" w:hAnsi="宋体"/>
          <w:sz w:val="24"/>
          <w:szCs w:val="24"/>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cs="Times New Roman"/>
          <w:sz w:val="24"/>
          <w:lang w:eastAsia="zh-CN"/>
        </w:rPr>
        <w:t>日</w:t>
      </w:r>
      <w:r>
        <w:rPr>
          <w:rFonts w:hint="eastAsia" w:ascii="宋体" w:hAnsi="宋体" w:cs="Times New Roman"/>
          <w:sz w:val="24"/>
          <w:lang w:val="en-US" w:eastAsia="zh-CN"/>
        </w:rPr>
        <w:t xml:space="preserve">  </w:t>
      </w:r>
      <w:r>
        <w:rPr>
          <w:rFonts w:hint="eastAsia" w:ascii="宋体" w:hAnsi="宋体" w:cs="Times New Roman"/>
          <w:sz w:val="24"/>
          <w:lang w:eastAsia="zh-CN"/>
        </w:rPr>
        <w:t>期：</w:t>
      </w:r>
      <w:r>
        <w:rPr>
          <w:rFonts w:hint="eastAsia" w:ascii="宋体" w:hAnsi="宋体" w:cs="Times New Roman"/>
          <w:sz w:val="24"/>
          <w:lang w:val="en-US" w:eastAsia="zh-CN"/>
        </w:rPr>
        <w:t xml:space="preserve">  </w:t>
      </w:r>
      <w:r>
        <w:rPr>
          <w:rFonts w:hint="eastAsia" w:ascii="宋体" w:hAnsi="宋体"/>
          <w:sz w:val="24"/>
        </w:rPr>
        <w:t>年  月  日</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cs="Times New Roman"/>
          <w:sz w:val="24"/>
          <w:lang w:eastAsia="zh-CN"/>
        </w:rPr>
      </w:pPr>
    </w:p>
    <w:p>
      <w:pPr>
        <w:pStyle w:val="5"/>
        <w:spacing w:line="360" w:lineRule="auto"/>
        <w:ind w:firstLine="480"/>
        <w:rPr>
          <w:rFonts w:hint="eastAsia" w:ascii="宋体" w:hAnsi="宋体"/>
          <w:sz w:val="24"/>
          <w:szCs w:val="24"/>
        </w:rPr>
      </w:pPr>
    </w:p>
    <w:p>
      <w:pPr>
        <w:pStyle w:val="5"/>
        <w:spacing w:line="360" w:lineRule="auto"/>
        <w:ind w:firstLine="480"/>
        <w:rPr>
          <w:rFonts w:hint="eastAsia" w:ascii="宋体" w:hAnsi="宋体"/>
          <w:sz w:val="24"/>
          <w:szCs w:val="24"/>
        </w:rPr>
      </w:pPr>
    </w:p>
    <w:p>
      <w:pPr>
        <w:spacing w:line="360" w:lineRule="auto"/>
        <w:jc w:val="center"/>
        <w:outlineLvl w:val="9"/>
        <w:rPr>
          <w:rFonts w:hint="eastAsia" w:ascii="宋体" w:hAnsi="宋体"/>
          <w:sz w:val="24"/>
        </w:rPr>
        <w:sectPr>
          <w:footerReference r:id="rId4" w:type="first"/>
          <w:footerReference r:id="rId3" w:type="default"/>
          <w:pgSz w:w="11906" w:h="16838"/>
          <w:pgMar w:top="1418" w:right="1418" w:bottom="1701" w:left="1417" w:header="851" w:footer="1020" w:gutter="0"/>
          <w:cols w:space="720" w:num="1"/>
          <w:titlePg/>
          <w:docGrid w:linePitch="312" w:charSpace="0"/>
        </w:sectPr>
      </w:pPr>
    </w:p>
    <w:p>
      <w:pPr>
        <w:spacing w:line="360" w:lineRule="auto"/>
        <w:jc w:val="center"/>
        <w:outlineLvl w:val="1"/>
        <w:rPr>
          <w:rFonts w:hint="eastAsia" w:ascii="宋体" w:hAnsi="宋体" w:eastAsia="宋体"/>
          <w:b/>
          <w:sz w:val="24"/>
          <w:lang w:eastAsia="zh-CN"/>
        </w:rPr>
      </w:pPr>
      <w:bookmarkStart w:id="620" w:name="_Toc44924420"/>
      <w:bookmarkStart w:id="621" w:name="_Toc27425"/>
      <w:bookmarkStart w:id="622" w:name="_Toc15912368"/>
      <w:bookmarkStart w:id="623" w:name="_Toc16089929"/>
      <w:bookmarkStart w:id="624" w:name="_Toc12620"/>
      <w:bookmarkStart w:id="625" w:name="_Toc482378991"/>
      <w:bookmarkStart w:id="626" w:name="_Toc482379084"/>
      <w:bookmarkStart w:id="627" w:name="_Toc16089987"/>
      <w:r>
        <w:rPr>
          <w:rFonts w:hint="eastAsia" w:ascii="宋体" w:hAnsi="宋体"/>
          <w:b/>
          <w:sz w:val="24"/>
        </w:rPr>
        <w:t xml:space="preserve">七 </w:t>
      </w:r>
      <w:r>
        <w:rPr>
          <w:rFonts w:hint="eastAsia" w:ascii="宋体" w:hAnsi="宋体"/>
          <w:b/>
          <w:sz w:val="24"/>
          <w:lang w:eastAsia="zh-CN"/>
        </w:rPr>
        <w:t>承诺函</w:t>
      </w:r>
    </w:p>
    <w:p>
      <w:pPr>
        <w:spacing w:line="360" w:lineRule="auto"/>
        <w:jc w:val="center"/>
        <w:outlineLvl w:val="1"/>
        <w:rPr>
          <w:rFonts w:hint="eastAsia" w:ascii="宋体" w:hAnsi="宋体"/>
          <w:b/>
          <w:sz w:val="24"/>
          <w:lang w:val="en-US" w:eastAsia="zh-CN"/>
        </w:rPr>
      </w:pPr>
    </w:p>
    <w:p>
      <w:pPr>
        <w:spacing w:line="360" w:lineRule="auto"/>
        <w:jc w:val="center"/>
        <w:outlineLvl w:val="1"/>
        <w:rPr>
          <w:rFonts w:hint="eastAsia" w:ascii="宋体" w:hAnsi="宋体"/>
          <w:b/>
          <w:sz w:val="24"/>
        </w:rPr>
      </w:pPr>
      <w:r>
        <w:rPr>
          <w:rFonts w:hint="eastAsia" w:ascii="宋体" w:hAnsi="宋体"/>
          <w:b/>
          <w:sz w:val="24"/>
          <w:lang w:val="en-US" w:eastAsia="zh-CN"/>
        </w:rPr>
        <w:t>7.1</w:t>
      </w:r>
      <w:r>
        <w:rPr>
          <w:rFonts w:hint="eastAsia" w:ascii="宋体" w:hAnsi="宋体"/>
          <w:b/>
          <w:sz w:val="24"/>
        </w:rPr>
        <w:t>供应商承诺函</w:t>
      </w:r>
      <w:bookmarkEnd w:id="617"/>
      <w:bookmarkEnd w:id="618"/>
      <w:bookmarkEnd w:id="619"/>
      <w:bookmarkEnd w:id="620"/>
      <w:bookmarkEnd w:id="621"/>
      <w:bookmarkEnd w:id="622"/>
      <w:bookmarkEnd w:id="623"/>
      <w:bookmarkEnd w:id="624"/>
      <w:bookmarkEnd w:id="625"/>
      <w:bookmarkEnd w:id="626"/>
      <w:bookmarkEnd w:id="627"/>
    </w:p>
    <w:p>
      <w:pPr>
        <w:spacing w:line="360" w:lineRule="auto"/>
        <w:ind w:left="482"/>
        <w:rPr>
          <w:rFonts w:hint="eastAsia" w:ascii="宋体" w:hAnsi="宋体"/>
          <w:sz w:val="24"/>
        </w:rPr>
      </w:pPr>
    </w:p>
    <w:p>
      <w:pPr>
        <w:spacing w:line="360" w:lineRule="auto"/>
        <w:rPr>
          <w:rFonts w:hint="eastAsia" w:ascii="宋体" w:hAnsi="宋体"/>
          <w:sz w:val="24"/>
        </w:rPr>
      </w:pPr>
      <w:r>
        <w:rPr>
          <w:rFonts w:hint="eastAsia" w:ascii="宋体" w:hAnsi="宋体"/>
          <w:sz w:val="24"/>
        </w:rPr>
        <w:t>致：</w:t>
      </w:r>
      <w:r>
        <w:rPr>
          <w:rFonts w:hint="eastAsia" w:ascii="宋体" w:hAnsi="宋体"/>
          <w:b/>
          <w:sz w:val="24"/>
          <w:u w:val="single"/>
        </w:rPr>
        <w:t>河南招标采购服务有限公司</w:t>
      </w:r>
      <w:r>
        <w:rPr>
          <w:rFonts w:hint="eastAsia" w:ascii="宋体" w:hAnsi="宋体"/>
          <w:sz w:val="24"/>
        </w:rPr>
        <w:t>：</w:t>
      </w:r>
    </w:p>
    <w:p>
      <w:pPr>
        <w:tabs>
          <w:tab w:val="left" w:pos="6300"/>
        </w:tabs>
        <w:spacing w:line="360" w:lineRule="auto"/>
        <w:ind w:firstLine="570"/>
        <w:rPr>
          <w:rFonts w:hint="eastAsia" w:ascii="宋体" w:hAnsi="宋体"/>
          <w:sz w:val="24"/>
        </w:rPr>
      </w:pPr>
      <w:r>
        <w:rPr>
          <w:rFonts w:hint="eastAsia" w:ascii="宋体" w:hAnsi="宋体"/>
          <w:sz w:val="24"/>
        </w:rPr>
        <w:t>很荣幸能参与上述项目的磋商。</w:t>
      </w:r>
    </w:p>
    <w:p>
      <w:pPr>
        <w:tabs>
          <w:tab w:val="left" w:pos="6300"/>
        </w:tabs>
        <w:spacing w:line="360" w:lineRule="auto"/>
        <w:ind w:firstLine="570"/>
        <w:rPr>
          <w:rFonts w:hint="eastAsia" w:ascii="宋体" w:hAnsi="宋体"/>
          <w:sz w:val="24"/>
        </w:rPr>
      </w:pPr>
      <w:r>
        <w:rPr>
          <w:rFonts w:hint="eastAsia" w:ascii="宋体" w:hAnsi="宋体"/>
          <w:sz w:val="24"/>
        </w:rPr>
        <w:t xml:space="preserve">我代表 </w:t>
      </w:r>
      <w:r>
        <w:rPr>
          <w:rFonts w:hint="eastAsia" w:ascii="宋体" w:hAnsi="宋体"/>
          <w:sz w:val="24"/>
          <w:u w:val="single"/>
        </w:rPr>
        <w:t xml:space="preserve">                   </w:t>
      </w:r>
      <w:r>
        <w:rPr>
          <w:rFonts w:hint="eastAsia" w:ascii="宋体" w:hAnsi="宋体"/>
          <w:sz w:val="24"/>
        </w:rPr>
        <w:t>（供应商名称），在此作如下承诺：</w:t>
      </w:r>
    </w:p>
    <w:p>
      <w:pPr>
        <w:tabs>
          <w:tab w:val="left" w:pos="6300"/>
        </w:tabs>
        <w:spacing w:line="360" w:lineRule="auto"/>
        <w:ind w:firstLine="570"/>
        <w:rPr>
          <w:rFonts w:hint="eastAsia" w:ascii="宋体" w:hAnsi="宋体"/>
          <w:sz w:val="24"/>
        </w:rPr>
      </w:pPr>
      <w:r>
        <w:rPr>
          <w:rFonts w:hint="eastAsia" w:ascii="宋体" w:hAnsi="宋体"/>
          <w:sz w:val="24"/>
        </w:rPr>
        <w:t>1、完全理解和接受磋商文件的一切规定和要求。</w:t>
      </w:r>
    </w:p>
    <w:p>
      <w:pPr>
        <w:tabs>
          <w:tab w:val="left" w:pos="6300"/>
        </w:tabs>
        <w:spacing w:line="360" w:lineRule="auto"/>
        <w:ind w:firstLine="570"/>
        <w:rPr>
          <w:rFonts w:hint="eastAsia" w:ascii="宋体" w:hAnsi="宋体"/>
          <w:sz w:val="24"/>
        </w:rPr>
      </w:pPr>
      <w:r>
        <w:rPr>
          <w:rFonts w:hint="eastAsia" w:ascii="宋体" w:hAnsi="宋体"/>
          <w:sz w:val="24"/>
        </w:rPr>
        <w:t>2、若成交，我方将按照磋商文件和磋商响应文件的具体规定与采购人签订合同，并且严格履行合同义务。如果在合同执行过程中，发现问题，我方一定尽快处理。</w:t>
      </w:r>
    </w:p>
    <w:p>
      <w:pPr>
        <w:tabs>
          <w:tab w:val="left" w:pos="6300"/>
        </w:tabs>
        <w:spacing w:line="360" w:lineRule="auto"/>
        <w:ind w:firstLine="570"/>
        <w:rPr>
          <w:rFonts w:hint="eastAsia" w:ascii="宋体" w:hAnsi="宋体"/>
          <w:sz w:val="24"/>
        </w:rPr>
      </w:pPr>
      <w:r>
        <w:rPr>
          <w:rFonts w:hint="eastAsia" w:ascii="宋体" w:hAnsi="宋体"/>
          <w:sz w:val="24"/>
        </w:rPr>
        <w:t>3、在整个磋商过程中，我方若有违规行为，贵方可按磋商文件和政府采购有关的法律法规之规定给予处罚，我方完全接受。</w:t>
      </w:r>
    </w:p>
    <w:p>
      <w:pPr>
        <w:tabs>
          <w:tab w:val="left" w:pos="6300"/>
        </w:tabs>
        <w:spacing w:line="360" w:lineRule="auto"/>
        <w:ind w:firstLine="570"/>
        <w:rPr>
          <w:rFonts w:hint="eastAsia" w:ascii="宋体" w:hAnsi="宋体"/>
          <w:sz w:val="24"/>
        </w:rPr>
      </w:pPr>
      <w:r>
        <w:rPr>
          <w:rFonts w:hint="eastAsia" w:ascii="宋体" w:hAnsi="宋体"/>
          <w:sz w:val="24"/>
        </w:rPr>
        <w:t>4、若成交，本承诺函将成为合同不可分割的一部分，与合同具有同等的法律效力。</w:t>
      </w:r>
    </w:p>
    <w:p>
      <w:pPr>
        <w:tabs>
          <w:tab w:val="left" w:pos="6300"/>
        </w:tabs>
        <w:snapToGrid w:val="0"/>
        <w:spacing w:line="360" w:lineRule="auto"/>
        <w:ind w:firstLine="570"/>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tabs>
          <w:tab w:val="left" w:pos="6300"/>
        </w:tabs>
        <w:snapToGrid w:val="0"/>
        <w:spacing w:line="360" w:lineRule="auto"/>
        <w:rPr>
          <w:rFonts w:hint="eastAsia" w:ascii="宋体" w:hAnsi="宋体"/>
          <w:sz w:val="24"/>
          <w:u w:val="single"/>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cs="Times New Roman"/>
          <w:sz w:val="24"/>
          <w:lang w:eastAsia="zh-CN"/>
        </w:rPr>
        <w:t>日</w:t>
      </w:r>
      <w:r>
        <w:rPr>
          <w:rFonts w:hint="eastAsia" w:ascii="宋体" w:hAnsi="宋体" w:cs="Times New Roman"/>
          <w:sz w:val="24"/>
          <w:lang w:val="en-US" w:eastAsia="zh-CN"/>
        </w:rPr>
        <w:t xml:space="preserve">  </w:t>
      </w:r>
      <w:r>
        <w:rPr>
          <w:rFonts w:hint="eastAsia" w:ascii="宋体" w:hAnsi="宋体" w:cs="Times New Roman"/>
          <w:sz w:val="24"/>
          <w:lang w:eastAsia="zh-CN"/>
        </w:rPr>
        <w:t>期：</w:t>
      </w:r>
      <w:r>
        <w:rPr>
          <w:rFonts w:hint="eastAsia" w:ascii="宋体" w:hAnsi="宋体"/>
          <w:sz w:val="24"/>
        </w:rPr>
        <w:t>年  月  日</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cs="Times New Roman"/>
          <w:sz w:val="24"/>
          <w:lang w:eastAsia="zh-CN"/>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outlineLvl w:val="1"/>
        <w:rPr>
          <w:rFonts w:hint="eastAsia" w:ascii="宋体" w:hAnsi="宋体"/>
          <w:sz w:val="24"/>
        </w:rPr>
      </w:pPr>
    </w:p>
    <w:p>
      <w:pPr>
        <w:spacing w:line="360" w:lineRule="auto"/>
        <w:jc w:val="center"/>
        <w:rPr>
          <w:rFonts w:ascii="宋体" w:hAnsi="宋体"/>
          <w:b/>
          <w:sz w:val="24"/>
        </w:rPr>
      </w:pPr>
      <w:bookmarkStart w:id="628" w:name="_Toc13835407"/>
      <w:r>
        <w:rPr>
          <w:rFonts w:hint="eastAsia" w:ascii="宋体" w:hAnsi="宋体"/>
          <w:b/>
          <w:sz w:val="24"/>
          <w:lang w:val="en-US" w:eastAsia="zh-CN"/>
        </w:rPr>
        <w:t>7.2</w:t>
      </w:r>
      <w:r>
        <w:rPr>
          <w:rFonts w:hint="eastAsia" w:ascii="宋体" w:hAnsi="宋体"/>
          <w:b/>
          <w:sz w:val="24"/>
        </w:rPr>
        <w:t>投标保证承诺书</w:t>
      </w:r>
      <w:bookmarkEnd w:id="628"/>
    </w:p>
    <w:p>
      <w:pPr>
        <w:spacing w:line="360" w:lineRule="auto"/>
        <w:jc w:val="left"/>
        <w:rPr>
          <w:rFonts w:ascii="宋体" w:hAnsi="宋体"/>
          <w:sz w:val="24"/>
        </w:rPr>
      </w:pPr>
      <w:r>
        <w:rPr>
          <w:rFonts w:hint="eastAsia" w:ascii="宋体" w:hAnsi="宋体"/>
          <w:sz w:val="24"/>
        </w:rPr>
        <w:t>致（采购人及采购代理机构）：</w:t>
      </w:r>
    </w:p>
    <w:p>
      <w:pPr>
        <w:spacing w:line="360" w:lineRule="auto"/>
        <w:ind w:firstLine="480" w:firstLineChars="200"/>
        <w:jc w:val="left"/>
        <w:rPr>
          <w:rFonts w:hint="eastAsia" w:ascii="宋体" w:hAnsi="宋体"/>
          <w:sz w:val="24"/>
        </w:rPr>
      </w:pPr>
      <w:r>
        <w:rPr>
          <w:rFonts w:hint="eastAsia" w:ascii="宋体" w:hAnsi="宋体"/>
          <w:sz w:val="24"/>
        </w:rPr>
        <w:t>我公司作为本次采购项目的投标人，根据招标文件要求，现郑重承诺如下：</w:t>
      </w:r>
    </w:p>
    <w:p>
      <w:pPr>
        <w:spacing w:line="360" w:lineRule="auto"/>
        <w:jc w:val="left"/>
        <w:rPr>
          <w:rFonts w:hint="eastAsia" w:ascii="宋体" w:hAnsi="宋体"/>
          <w:sz w:val="24"/>
        </w:rPr>
      </w:pPr>
      <w:r>
        <w:rPr>
          <w:rFonts w:hint="eastAsia" w:ascii="宋体" w:hAnsi="宋体"/>
          <w:sz w:val="24"/>
        </w:rPr>
        <w:t>一、具备《中华人民共和国政府采购法》第二十二条第一款和本项目规定的条件：</w:t>
      </w:r>
    </w:p>
    <w:p>
      <w:pPr>
        <w:spacing w:line="360" w:lineRule="auto"/>
        <w:jc w:val="left"/>
        <w:rPr>
          <w:rFonts w:hint="eastAsia" w:ascii="宋体" w:hAnsi="宋体"/>
          <w:sz w:val="24"/>
        </w:rPr>
      </w:pPr>
      <w:r>
        <w:rPr>
          <w:rFonts w:hint="eastAsia" w:ascii="宋体" w:hAnsi="宋体"/>
          <w:sz w:val="24"/>
        </w:rPr>
        <w:t>（一）具有独立承担民事责任的能力； 　　</w:t>
      </w:r>
    </w:p>
    <w:p>
      <w:pPr>
        <w:spacing w:line="360" w:lineRule="auto"/>
        <w:jc w:val="left"/>
        <w:rPr>
          <w:rFonts w:hint="eastAsia" w:ascii="宋体" w:hAnsi="宋体"/>
          <w:sz w:val="24"/>
        </w:rPr>
      </w:pPr>
      <w:r>
        <w:rPr>
          <w:rFonts w:hint="eastAsia" w:ascii="宋体" w:hAnsi="宋体"/>
          <w:sz w:val="24"/>
        </w:rPr>
        <w:t>（二）具有良好的商业信誉和健全的财务会计制度； 　</w:t>
      </w:r>
    </w:p>
    <w:p>
      <w:pPr>
        <w:spacing w:line="360" w:lineRule="auto"/>
        <w:jc w:val="left"/>
        <w:rPr>
          <w:rFonts w:hint="eastAsia" w:ascii="宋体" w:hAnsi="宋体"/>
          <w:sz w:val="24"/>
        </w:rPr>
      </w:pPr>
      <w:r>
        <w:rPr>
          <w:rFonts w:hint="eastAsia" w:ascii="宋体" w:hAnsi="宋体"/>
          <w:sz w:val="24"/>
        </w:rPr>
        <w:t>（三）具有履行合同所必需的设备和专业技术能力； 　　</w:t>
      </w:r>
    </w:p>
    <w:p>
      <w:pPr>
        <w:spacing w:line="360" w:lineRule="auto"/>
        <w:jc w:val="left"/>
        <w:rPr>
          <w:rFonts w:hint="eastAsia" w:ascii="宋体" w:hAnsi="宋体"/>
          <w:sz w:val="24"/>
        </w:rPr>
      </w:pPr>
      <w:r>
        <w:rPr>
          <w:rFonts w:hint="eastAsia" w:ascii="宋体" w:hAnsi="宋体"/>
          <w:sz w:val="24"/>
        </w:rPr>
        <w:t>（四）有依法缴纳税收和社会保障资金的良好记录； 　　</w:t>
      </w:r>
    </w:p>
    <w:p>
      <w:pPr>
        <w:spacing w:line="360" w:lineRule="auto"/>
        <w:jc w:val="left"/>
        <w:rPr>
          <w:rFonts w:hint="eastAsia" w:ascii="宋体" w:hAnsi="宋体"/>
          <w:sz w:val="24"/>
        </w:rPr>
      </w:pPr>
      <w:r>
        <w:rPr>
          <w:rFonts w:hint="eastAsia" w:ascii="宋体" w:hAnsi="宋体"/>
          <w:sz w:val="24"/>
        </w:rPr>
        <w:t>（五）参加政府采购活动前三年内，在经营活动中没有重大违法记录；</w:t>
      </w:r>
    </w:p>
    <w:p>
      <w:pPr>
        <w:spacing w:line="360" w:lineRule="auto"/>
        <w:jc w:val="left"/>
        <w:rPr>
          <w:rFonts w:hint="eastAsia" w:ascii="宋体" w:hAnsi="宋体"/>
          <w:sz w:val="24"/>
        </w:rPr>
      </w:pPr>
      <w:r>
        <w:rPr>
          <w:rFonts w:hint="eastAsia" w:ascii="宋体" w:hAnsi="宋体"/>
          <w:sz w:val="24"/>
        </w:rPr>
        <w:t>（六）法律、行政法规规定的其他条件；</w:t>
      </w:r>
    </w:p>
    <w:p>
      <w:pPr>
        <w:spacing w:line="360" w:lineRule="auto"/>
        <w:jc w:val="left"/>
        <w:rPr>
          <w:rFonts w:hint="eastAsia" w:ascii="宋体" w:hAnsi="宋体"/>
          <w:sz w:val="24"/>
        </w:rPr>
      </w:pPr>
      <w:r>
        <w:rPr>
          <w:rFonts w:hint="eastAsia" w:ascii="宋体" w:hAnsi="宋体"/>
          <w:sz w:val="24"/>
        </w:rPr>
        <w:t>（七）根据采购项目提出的特殊条件。</w:t>
      </w:r>
    </w:p>
    <w:p>
      <w:pPr>
        <w:spacing w:line="360" w:lineRule="auto"/>
        <w:jc w:val="left"/>
        <w:rPr>
          <w:rFonts w:hint="eastAsia" w:ascii="宋体" w:hAnsi="宋体"/>
          <w:sz w:val="24"/>
        </w:rPr>
      </w:pPr>
      <w:r>
        <w:rPr>
          <w:rFonts w:hint="eastAsia" w:ascii="宋体" w:hAnsi="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pacing w:line="360" w:lineRule="auto"/>
        <w:jc w:val="left"/>
        <w:rPr>
          <w:rFonts w:hint="eastAsia" w:ascii="宋体" w:hAnsi="宋体"/>
          <w:sz w:val="24"/>
        </w:rPr>
      </w:pPr>
      <w:r>
        <w:rPr>
          <w:rFonts w:hint="eastAsia" w:ascii="宋体" w:hAnsi="宋体"/>
          <w:sz w:val="24"/>
        </w:rPr>
        <w:t>三、参加本次招标采购活动，不存在与单位负责人为同一人或者存在直接控股、管理关系的其他供应商参与同一合同项下的政府采购活动的行为。    </w:t>
      </w:r>
    </w:p>
    <w:p>
      <w:pPr>
        <w:spacing w:line="360" w:lineRule="auto"/>
        <w:jc w:val="left"/>
        <w:rPr>
          <w:rFonts w:hint="eastAsia" w:ascii="宋体" w:hAnsi="宋体"/>
          <w:sz w:val="24"/>
        </w:rPr>
      </w:pPr>
      <w:r>
        <w:rPr>
          <w:rFonts w:hint="eastAsia" w:ascii="宋体" w:hAnsi="宋体"/>
          <w:sz w:val="24"/>
        </w:rPr>
        <w:t>四、参加本次招标采购活动，不存在为采购项目提供整体设计、规范编制或者项目管理、监理、检测等服务的行为。</w:t>
      </w:r>
    </w:p>
    <w:p>
      <w:pPr>
        <w:spacing w:line="360" w:lineRule="auto"/>
        <w:jc w:val="left"/>
        <w:rPr>
          <w:rFonts w:hint="eastAsia" w:ascii="宋体" w:hAnsi="宋体"/>
          <w:sz w:val="24"/>
        </w:rPr>
      </w:pPr>
      <w:r>
        <w:rPr>
          <w:rFonts w:hint="eastAsia" w:ascii="宋体" w:hAnsi="宋体"/>
          <w:sz w:val="24"/>
        </w:rPr>
        <w:t>五、参加本次招标采购活动，不存在和其他供应商在同一合同项下的采购项目中，同时委托同一个自然人、同一家庭的人员、同一单位的人员作为代理人的行为。</w:t>
      </w:r>
    </w:p>
    <w:p>
      <w:pPr>
        <w:spacing w:line="360" w:lineRule="auto"/>
        <w:jc w:val="left"/>
        <w:rPr>
          <w:rFonts w:hint="eastAsia" w:ascii="宋体" w:hAnsi="宋体"/>
          <w:sz w:val="24"/>
        </w:rPr>
      </w:pPr>
      <w:r>
        <w:rPr>
          <w:rFonts w:hint="eastAsia" w:ascii="宋体" w:hAnsi="宋体"/>
          <w:sz w:val="24"/>
        </w:rPr>
        <w:t>六、投标人参加本次政府采购活动要求在近三年内投标人和其法定代表人没有行贿犯罪行为。</w:t>
      </w:r>
    </w:p>
    <w:p>
      <w:pPr>
        <w:spacing w:line="360" w:lineRule="auto"/>
        <w:jc w:val="left"/>
        <w:rPr>
          <w:rFonts w:hint="eastAsia" w:ascii="宋体" w:hAnsi="宋体"/>
          <w:sz w:val="24"/>
        </w:rPr>
      </w:pPr>
      <w:r>
        <w:rPr>
          <w:rFonts w:hint="eastAsia" w:ascii="宋体" w:hAnsi="宋体"/>
          <w:sz w:val="24"/>
        </w:rPr>
        <w:t>七、投标文件中提供的能够给予我公司带来优惠、好处的任何材料资料和技术、服务、商务等响应承诺情况都是真实的、有效的、合法的。</w:t>
      </w:r>
    </w:p>
    <w:p>
      <w:pPr>
        <w:spacing w:line="360" w:lineRule="auto"/>
        <w:jc w:val="left"/>
        <w:rPr>
          <w:rFonts w:hint="eastAsia" w:ascii="宋体" w:hAnsi="宋体"/>
          <w:sz w:val="24"/>
        </w:rPr>
      </w:pPr>
      <w:r>
        <w:rPr>
          <w:rFonts w:hint="eastAsia" w:ascii="宋体" w:hAnsi="宋体"/>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pacing w:line="360" w:lineRule="auto"/>
        <w:jc w:val="left"/>
        <w:rPr>
          <w:rFonts w:hint="eastAsia" w:ascii="宋体" w:hAnsi="宋体"/>
          <w:sz w:val="24"/>
        </w:rPr>
      </w:pPr>
      <w:r>
        <w:rPr>
          <w:rFonts w:hint="eastAsia" w:ascii="宋体" w:hAnsi="宋体"/>
          <w:sz w:val="24"/>
        </w:rPr>
        <w:t> 九、存在以下行为之一的愿意接受相关部门的处理：</w:t>
      </w:r>
    </w:p>
    <w:p>
      <w:pPr>
        <w:spacing w:line="360" w:lineRule="auto"/>
        <w:jc w:val="left"/>
        <w:rPr>
          <w:rFonts w:hint="eastAsia" w:ascii="宋体" w:hAnsi="宋体"/>
          <w:sz w:val="24"/>
        </w:rPr>
      </w:pPr>
      <w:r>
        <w:rPr>
          <w:rFonts w:hint="eastAsia" w:ascii="宋体" w:hAnsi="宋体"/>
          <w:sz w:val="24"/>
        </w:rPr>
        <w:t>   （一）投标有效期内撤销投标文件的；</w:t>
      </w:r>
    </w:p>
    <w:p>
      <w:pPr>
        <w:spacing w:line="360" w:lineRule="auto"/>
        <w:jc w:val="left"/>
        <w:rPr>
          <w:rFonts w:hint="eastAsia" w:ascii="宋体" w:hAnsi="宋体"/>
          <w:sz w:val="24"/>
        </w:rPr>
      </w:pPr>
      <w:r>
        <w:rPr>
          <w:rFonts w:hint="eastAsia" w:ascii="宋体" w:hAnsi="宋体"/>
          <w:sz w:val="24"/>
        </w:rPr>
        <w:t>   （二）在采购人确定中标人以前放弃中标候选资格的；</w:t>
      </w:r>
    </w:p>
    <w:p>
      <w:pPr>
        <w:spacing w:line="360" w:lineRule="auto"/>
        <w:jc w:val="left"/>
        <w:rPr>
          <w:rFonts w:hint="eastAsia" w:ascii="宋体" w:hAnsi="宋体"/>
          <w:sz w:val="24"/>
        </w:rPr>
      </w:pPr>
      <w:r>
        <w:rPr>
          <w:rFonts w:hint="eastAsia" w:ascii="宋体" w:hAnsi="宋体"/>
          <w:sz w:val="24"/>
        </w:rPr>
        <w:t>   （三）由于中标人的原因未能按照招标文件的规定与采购人签订合同；</w:t>
      </w:r>
    </w:p>
    <w:p>
      <w:pPr>
        <w:spacing w:line="360" w:lineRule="auto"/>
        <w:jc w:val="left"/>
        <w:rPr>
          <w:rFonts w:hint="eastAsia" w:ascii="宋体" w:hAnsi="宋体"/>
          <w:sz w:val="24"/>
        </w:rPr>
      </w:pPr>
      <w:r>
        <w:rPr>
          <w:rFonts w:hint="eastAsia" w:ascii="宋体" w:hAnsi="宋体"/>
          <w:sz w:val="24"/>
        </w:rPr>
        <w:t>   （四）由于中标人的原因未能按照招标文件的规定交纳履约保证金；</w:t>
      </w:r>
    </w:p>
    <w:p>
      <w:pPr>
        <w:spacing w:line="360" w:lineRule="auto"/>
        <w:jc w:val="left"/>
        <w:rPr>
          <w:rFonts w:hint="eastAsia" w:ascii="宋体" w:hAnsi="宋体"/>
          <w:sz w:val="24"/>
        </w:rPr>
      </w:pPr>
      <w:r>
        <w:rPr>
          <w:rFonts w:hint="eastAsia" w:ascii="宋体" w:hAnsi="宋体"/>
          <w:sz w:val="24"/>
        </w:rPr>
        <w:t>   （五）在投标文件中提供虚假材料谋取中标；</w:t>
      </w:r>
    </w:p>
    <w:p>
      <w:pPr>
        <w:spacing w:line="360" w:lineRule="auto"/>
        <w:jc w:val="left"/>
        <w:rPr>
          <w:rFonts w:hint="eastAsia" w:ascii="宋体" w:hAnsi="宋体"/>
          <w:sz w:val="24"/>
        </w:rPr>
      </w:pPr>
      <w:r>
        <w:rPr>
          <w:rFonts w:hint="eastAsia" w:ascii="宋体" w:hAnsi="宋体"/>
          <w:sz w:val="24"/>
        </w:rPr>
        <w:t>   （六）与采购人、其他供应商或者采购代理机构恶意串通的；</w:t>
      </w:r>
    </w:p>
    <w:p>
      <w:pPr>
        <w:spacing w:line="360" w:lineRule="auto"/>
        <w:jc w:val="left"/>
        <w:rPr>
          <w:rFonts w:hint="eastAsia" w:ascii="宋体" w:hAnsi="宋体"/>
          <w:sz w:val="24"/>
        </w:rPr>
      </w:pPr>
      <w:r>
        <w:rPr>
          <w:rFonts w:hint="eastAsia" w:ascii="宋体" w:hAnsi="宋体"/>
          <w:sz w:val="24"/>
        </w:rPr>
        <w:t>   （七）投标有效期内，投标人在政府采购活动中有违法、违规、违纪行为。</w:t>
      </w:r>
    </w:p>
    <w:p>
      <w:pPr>
        <w:spacing w:line="360" w:lineRule="auto"/>
        <w:jc w:val="left"/>
        <w:rPr>
          <w:rFonts w:hint="eastAsia" w:ascii="宋体" w:hAnsi="宋体"/>
          <w:sz w:val="24"/>
        </w:rPr>
      </w:pPr>
      <w:r>
        <w:rPr>
          <w:rFonts w:hint="eastAsia" w:ascii="宋体" w:hAnsi="宋体"/>
          <w:sz w:val="24"/>
        </w:rPr>
        <w:t> 如果</w:t>
      </w:r>
      <w:r>
        <w:rPr>
          <w:rFonts w:ascii="宋体" w:hAnsi="宋体"/>
          <w:sz w:val="24"/>
        </w:rPr>
        <w:t>发生</w:t>
      </w:r>
      <w:r>
        <w:rPr>
          <w:rFonts w:hint="eastAsia" w:ascii="宋体" w:hAnsi="宋体"/>
          <w:sz w:val="24"/>
        </w:rPr>
        <w:t>任何一项</w:t>
      </w:r>
      <w:r>
        <w:rPr>
          <w:rFonts w:ascii="宋体" w:hAnsi="宋体"/>
          <w:sz w:val="24"/>
        </w:rPr>
        <w:t>以</w:t>
      </w:r>
      <w:r>
        <w:rPr>
          <w:rFonts w:hint="eastAsia" w:ascii="宋体" w:hAnsi="宋体"/>
          <w:sz w:val="24"/>
        </w:rPr>
        <w:t>上</w:t>
      </w:r>
      <w:r>
        <w:rPr>
          <w:rFonts w:ascii="宋体" w:hAnsi="宋体"/>
          <w:sz w:val="24"/>
        </w:rPr>
        <w:t>行为</w:t>
      </w:r>
      <w:r>
        <w:rPr>
          <w:rFonts w:hint="eastAsia" w:ascii="宋体" w:hAnsi="宋体"/>
          <w:sz w:val="24"/>
        </w:rPr>
        <w:t>，</w:t>
      </w:r>
      <w:r>
        <w:rPr>
          <w:rFonts w:ascii="宋体" w:hAnsi="宋体"/>
          <w:sz w:val="24"/>
        </w:rPr>
        <w:t>将</w:t>
      </w:r>
      <w:r>
        <w:rPr>
          <w:rFonts w:hint="eastAsia" w:ascii="宋体" w:hAnsi="宋体"/>
          <w:sz w:val="24"/>
        </w:rPr>
        <w:t>在该</w:t>
      </w:r>
      <w:r>
        <w:rPr>
          <w:rFonts w:ascii="宋体" w:hAnsi="宋体"/>
          <w:sz w:val="24"/>
        </w:rPr>
        <w:t>行为发生的</w:t>
      </w:r>
      <w:r>
        <w:rPr>
          <w:rFonts w:hint="eastAsia" w:ascii="宋体" w:hAnsi="宋体"/>
          <w:sz w:val="24"/>
        </w:rPr>
        <w:t>10个</w:t>
      </w:r>
      <w:r>
        <w:rPr>
          <w:rFonts w:ascii="宋体" w:hAnsi="宋体"/>
          <w:sz w:val="24"/>
        </w:rPr>
        <w:t>工作日内，</w:t>
      </w:r>
      <w:r>
        <w:rPr>
          <w:rFonts w:hint="eastAsia" w:ascii="宋体" w:hAnsi="宋体"/>
          <w:sz w:val="24"/>
        </w:rPr>
        <w:t>向贵方</w:t>
      </w:r>
      <w:r>
        <w:rPr>
          <w:rFonts w:hint="eastAsia" w:ascii="宋体" w:hAnsi="宋体"/>
          <w:sz w:val="24"/>
          <w:u w:val="single"/>
        </w:rPr>
        <w:t>（或采购人）</w:t>
      </w:r>
      <w:r>
        <w:rPr>
          <w:rFonts w:hint="eastAsia" w:ascii="宋体" w:hAnsi="宋体"/>
          <w:sz w:val="24"/>
        </w:rPr>
        <w:t>支付本招标文件公布的预算金额或</w:t>
      </w:r>
      <w:r>
        <w:rPr>
          <w:rFonts w:ascii="宋体" w:hAnsi="宋体"/>
          <w:sz w:val="24"/>
        </w:rPr>
        <w:t>最高限价</w:t>
      </w:r>
      <w:r>
        <w:rPr>
          <w:rFonts w:hint="eastAsia" w:ascii="宋体" w:hAnsi="宋体"/>
          <w:sz w:val="24"/>
        </w:rPr>
        <w:t>（如无预算金额或</w:t>
      </w:r>
      <w:r>
        <w:rPr>
          <w:rFonts w:ascii="宋体" w:hAnsi="宋体"/>
          <w:sz w:val="24"/>
        </w:rPr>
        <w:t>最高限价</w:t>
      </w:r>
      <w:r>
        <w:rPr>
          <w:rFonts w:hint="eastAsia" w:ascii="宋体" w:hAnsi="宋体"/>
          <w:sz w:val="24"/>
        </w:rPr>
        <w:t>的话，以我单位的投标报价为基准）的2%作为违约赔偿金。</w:t>
      </w:r>
    </w:p>
    <w:p>
      <w:pPr>
        <w:spacing w:line="360" w:lineRule="auto"/>
        <w:ind w:firstLine="600" w:firstLineChars="250"/>
        <w:jc w:val="left"/>
        <w:rPr>
          <w:rFonts w:hint="eastAsia" w:ascii="宋体" w:hAnsi="宋体"/>
          <w:sz w:val="24"/>
        </w:rPr>
      </w:pPr>
      <w:r>
        <w:rPr>
          <w:rFonts w:ascii="宋体" w:hAnsi="宋体"/>
          <w:sz w:val="24"/>
        </w:rPr>
        <w:t>承认</w:t>
      </w:r>
      <w:r>
        <w:rPr>
          <w:rFonts w:hint="eastAsia" w:ascii="宋体" w:hAnsi="宋体"/>
          <w:sz w:val="24"/>
        </w:rPr>
        <w:t>本承诺书</w:t>
      </w:r>
      <w:r>
        <w:rPr>
          <w:rFonts w:ascii="宋体" w:hAnsi="宋体"/>
          <w:sz w:val="24"/>
        </w:rPr>
        <w:t>作为</w:t>
      </w:r>
      <w:r>
        <w:rPr>
          <w:rFonts w:hint="eastAsia" w:ascii="宋体" w:hAnsi="宋体"/>
          <w:sz w:val="24"/>
        </w:rPr>
        <w:t>贵方</w:t>
      </w:r>
      <w:r>
        <w:rPr>
          <w:rFonts w:hint="eastAsia" w:ascii="宋体" w:hAnsi="宋体"/>
          <w:sz w:val="24"/>
          <w:u w:val="single"/>
        </w:rPr>
        <w:t>（或采购人）</w:t>
      </w:r>
      <w:r>
        <w:rPr>
          <w:rFonts w:ascii="宋体" w:hAnsi="宋体"/>
          <w:sz w:val="24"/>
        </w:rPr>
        <w:t>要求</w:t>
      </w:r>
      <w:r>
        <w:rPr>
          <w:rFonts w:hint="eastAsia" w:ascii="宋体" w:hAnsi="宋体"/>
          <w:sz w:val="24"/>
        </w:rPr>
        <w:t>我单位</w:t>
      </w:r>
      <w:r>
        <w:rPr>
          <w:rFonts w:ascii="宋体" w:hAnsi="宋体"/>
          <w:sz w:val="24"/>
        </w:rPr>
        <w:t>履行</w:t>
      </w:r>
      <w:r>
        <w:rPr>
          <w:rFonts w:hint="eastAsia" w:ascii="宋体" w:hAnsi="宋体"/>
          <w:sz w:val="24"/>
        </w:rPr>
        <w:t>违约赔偿</w:t>
      </w:r>
      <w:r>
        <w:rPr>
          <w:rFonts w:ascii="宋体" w:hAnsi="宋体"/>
          <w:sz w:val="24"/>
        </w:rPr>
        <w:t>义务的</w:t>
      </w:r>
      <w:r>
        <w:rPr>
          <w:rFonts w:hint="eastAsia" w:ascii="宋体" w:hAnsi="宋体"/>
          <w:sz w:val="24"/>
        </w:rPr>
        <w:t>依据作用</w:t>
      </w:r>
      <w:r>
        <w:rPr>
          <w:rFonts w:ascii="宋体" w:hAnsi="宋体"/>
          <w:sz w:val="24"/>
        </w:rPr>
        <w:t>。</w:t>
      </w:r>
    </w:p>
    <w:p>
      <w:pPr>
        <w:spacing w:line="360" w:lineRule="auto"/>
        <w:jc w:val="left"/>
        <w:rPr>
          <w:rFonts w:hint="eastAsia" w:ascii="宋体" w:hAnsi="宋体"/>
          <w:sz w:val="24"/>
        </w:rPr>
      </w:pPr>
      <w:r>
        <w:rPr>
          <w:rFonts w:hint="eastAsia" w:ascii="宋体" w:hAnsi="宋体"/>
          <w:sz w:val="24"/>
        </w:rPr>
        <w:t>由此产生的一切法律后果和责任由我公司承担。我公司声明放弃对此提出任何异议和追索的权利。</w:t>
      </w:r>
    </w:p>
    <w:p>
      <w:pPr>
        <w:spacing w:line="360" w:lineRule="auto"/>
        <w:jc w:val="left"/>
        <w:rPr>
          <w:rFonts w:hint="eastAsia" w:ascii="宋体" w:hAnsi="宋体"/>
          <w:sz w:val="24"/>
        </w:rPr>
      </w:pPr>
    </w:p>
    <w:p>
      <w:pPr>
        <w:spacing w:line="360" w:lineRule="auto"/>
        <w:jc w:val="left"/>
        <w:rPr>
          <w:rFonts w:hint="eastAsia" w:ascii="宋体" w:hAnsi="宋体"/>
          <w:sz w:val="24"/>
        </w:rPr>
      </w:pPr>
      <w:r>
        <w:rPr>
          <w:rFonts w:hint="eastAsia" w:ascii="宋体" w:hAnsi="宋体"/>
          <w:sz w:val="24"/>
        </w:rPr>
        <w:t>本公司对上述承诺的内容事项真实性负责。如经查实上述承诺的内容事项存在虚假，我公司愿意接受以提供虚假材料谋取中标追究法律责任。</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hint="eastAsia" w:ascii="宋体" w:hAnsi="宋体"/>
          <w:sz w:val="24"/>
        </w:rPr>
      </w:pPr>
      <w:r>
        <w:rPr>
          <w:rFonts w:hint="eastAsia" w:ascii="宋体" w:hAnsi="宋体"/>
          <w:sz w:val="24"/>
        </w:rPr>
        <w:t>投标人（企业电子签章）：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rPr>
      </w:pPr>
      <w:r>
        <w:rPr>
          <w:rFonts w:hint="eastAsia" w:ascii="宋体" w:hAnsi="宋体"/>
          <w:sz w:val="24"/>
        </w:rPr>
        <w:t>法定代表人（个人电子签章）：</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360" w:lineRule="auto"/>
        <w:jc w:val="left"/>
        <w:rPr>
          <w:rFonts w:hint="eastAsia" w:ascii="宋体" w:hAnsi="宋体"/>
          <w:sz w:val="24"/>
        </w:rPr>
      </w:pP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rPr>
      </w:pP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rPr>
      </w:pPr>
      <w:r>
        <w:rPr>
          <w:rFonts w:hint="eastAsia" w:ascii="宋体" w:hAnsi="宋体"/>
          <w:sz w:val="24"/>
        </w:rPr>
        <w:t>电子邮件：</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rPr>
      </w:pPr>
    </w:p>
    <w:p>
      <w:pPr>
        <w:spacing w:line="360" w:lineRule="auto"/>
        <w:jc w:val="left"/>
        <w:rPr>
          <w:rFonts w:hint="eastAsia" w:ascii="宋体" w:hAnsi="宋体"/>
          <w:sz w:val="24"/>
          <w:u w:val="single"/>
        </w:rPr>
      </w:pPr>
      <w:r>
        <w:rPr>
          <w:rFonts w:hint="eastAsia" w:ascii="宋体" w:hAnsi="宋体"/>
          <w:sz w:val="24"/>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p>
    <w:p>
      <w:pPr>
        <w:spacing w:line="360" w:lineRule="auto"/>
        <w:jc w:val="left"/>
        <w:rPr>
          <w:rFonts w:hint="eastAsia" w:ascii="宋体" w:hAnsi="宋体"/>
          <w:sz w:val="24"/>
          <w:u w:val="single"/>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lang w:val="en-US" w:eastAsia="zh-CN"/>
        </w:rPr>
      </w:pPr>
    </w:p>
    <w:p>
      <w:pPr>
        <w:spacing w:line="360" w:lineRule="auto"/>
        <w:jc w:val="center"/>
        <w:rPr>
          <w:rFonts w:ascii="宋体" w:hAnsi="宋体"/>
          <w:sz w:val="24"/>
        </w:rPr>
      </w:pPr>
      <w:r>
        <w:rPr>
          <w:rFonts w:hint="eastAsia" w:ascii="宋体" w:hAnsi="宋体"/>
          <w:sz w:val="24"/>
          <w:lang w:val="en-US" w:eastAsia="zh-CN"/>
        </w:rPr>
        <w:t>7.3</w:t>
      </w:r>
      <w:r>
        <w:rPr>
          <w:rFonts w:hint="eastAsia" w:ascii="宋体" w:hAnsi="宋体"/>
          <w:b/>
          <w:bCs/>
          <w:sz w:val="24"/>
        </w:rPr>
        <w:t>招标代理服务费承诺函</w:t>
      </w:r>
    </w:p>
    <w:p>
      <w:pPr>
        <w:spacing w:line="360" w:lineRule="auto"/>
        <w:jc w:val="center"/>
        <w:rPr>
          <w:rFonts w:hint="eastAsia" w:ascii="宋体" w:hAnsi="宋体"/>
          <w:sz w:val="24"/>
          <w:u w:val="single"/>
        </w:rPr>
      </w:pPr>
    </w:p>
    <w:p>
      <w:pPr>
        <w:spacing w:line="360" w:lineRule="auto"/>
        <w:jc w:val="left"/>
        <w:rPr>
          <w:rFonts w:hint="eastAsia" w:ascii="宋体" w:hAnsi="宋体"/>
          <w:sz w:val="24"/>
          <w:u w:val="single"/>
        </w:rPr>
      </w:pPr>
      <w:r>
        <w:rPr>
          <w:rFonts w:hint="eastAsia" w:ascii="宋体" w:hAnsi="宋体"/>
          <w:sz w:val="24"/>
          <w:u w:val="single"/>
        </w:rPr>
        <w:t>致（采购人及采购代理机构） ：</w:t>
      </w:r>
    </w:p>
    <w:p>
      <w:pPr>
        <w:spacing w:line="360" w:lineRule="auto"/>
        <w:ind w:firstLine="480" w:firstLineChars="200"/>
        <w:jc w:val="left"/>
        <w:rPr>
          <w:rFonts w:hint="eastAsia" w:ascii="宋体" w:hAnsi="宋体"/>
          <w:sz w:val="24"/>
        </w:rPr>
      </w:pPr>
      <w:r>
        <w:rPr>
          <w:rFonts w:hint="eastAsia" w:ascii="宋体" w:hAnsi="宋体"/>
          <w:sz w:val="24"/>
        </w:rPr>
        <w:t>我们在贵公司组织的（项目名称：</w:t>
      </w:r>
      <w:r>
        <w:rPr>
          <w:rFonts w:hint="eastAsia" w:ascii="宋体" w:hAnsi="宋体"/>
          <w:sz w:val="24"/>
          <w:u w:val="single"/>
        </w:rPr>
        <w:t xml:space="preserve">     </w:t>
      </w:r>
      <w:r>
        <w:rPr>
          <w:rFonts w:hint="eastAsia" w:ascii="宋体" w:hAnsi="宋体"/>
          <w:sz w:val="24"/>
        </w:rPr>
        <w:t>，采购代理编号：</w:t>
      </w:r>
      <w:r>
        <w:rPr>
          <w:rFonts w:hint="eastAsia" w:ascii="宋体" w:hAnsi="宋体"/>
          <w:sz w:val="24"/>
          <w:u w:val="single"/>
        </w:rPr>
        <w:t xml:space="preserve">    </w:t>
      </w:r>
      <w:r>
        <w:rPr>
          <w:rFonts w:hint="eastAsia" w:ascii="宋体" w:hAnsi="宋体"/>
          <w:sz w:val="24"/>
        </w:rPr>
        <w:t>）招标中若获中标，我们保证在中标公告发布后5个工作日内，按招标文件的规定，以支票、银行转账、汇票或现金，向贵公司一次性支付招标代理服务费用。否则，由此产生的一切法律后果和责任由我公司承担。</w:t>
      </w:r>
    </w:p>
    <w:p>
      <w:pPr>
        <w:spacing w:line="360" w:lineRule="auto"/>
        <w:ind w:firstLine="360" w:firstLineChars="150"/>
        <w:jc w:val="left"/>
        <w:rPr>
          <w:rFonts w:hint="eastAsia" w:ascii="宋体" w:hAnsi="宋体"/>
          <w:sz w:val="24"/>
        </w:rPr>
      </w:pPr>
      <w:r>
        <w:rPr>
          <w:rFonts w:ascii="宋体" w:hAnsi="宋体"/>
          <w:sz w:val="24"/>
        </w:rPr>
        <w:t>承认</w:t>
      </w:r>
      <w:r>
        <w:rPr>
          <w:rFonts w:hint="eastAsia" w:ascii="宋体" w:hAnsi="宋体"/>
          <w:sz w:val="24"/>
        </w:rPr>
        <w:t>本承诺书</w:t>
      </w:r>
      <w:r>
        <w:rPr>
          <w:rFonts w:ascii="宋体" w:hAnsi="宋体"/>
          <w:sz w:val="24"/>
        </w:rPr>
        <w:t>作为</w:t>
      </w:r>
      <w:r>
        <w:rPr>
          <w:rFonts w:hint="eastAsia" w:ascii="宋体" w:hAnsi="宋体"/>
          <w:sz w:val="24"/>
        </w:rPr>
        <w:t>贵方</w:t>
      </w:r>
      <w:r>
        <w:rPr>
          <w:rFonts w:ascii="宋体" w:hAnsi="宋体"/>
          <w:sz w:val="24"/>
        </w:rPr>
        <w:t>要求</w:t>
      </w:r>
      <w:r>
        <w:rPr>
          <w:rFonts w:hint="eastAsia" w:ascii="宋体" w:hAnsi="宋体"/>
          <w:sz w:val="24"/>
        </w:rPr>
        <w:t>我单位</w:t>
      </w:r>
      <w:r>
        <w:rPr>
          <w:rFonts w:ascii="宋体" w:hAnsi="宋体"/>
          <w:sz w:val="24"/>
        </w:rPr>
        <w:t>履行</w:t>
      </w:r>
      <w:r>
        <w:rPr>
          <w:rFonts w:hint="eastAsia" w:ascii="宋体" w:hAnsi="宋体"/>
          <w:sz w:val="24"/>
        </w:rPr>
        <w:t>违约赔偿</w:t>
      </w:r>
      <w:r>
        <w:rPr>
          <w:rFonts w:ascii="宋体" w:hAnsi="宋体"/>
          <w:sz w:val="24"/>
        </w:rPr>
        <w:t>义务的</w:t>
      </w:r>
      <w:r>
        <w:rPr>
          <w:rFonts w:hint="eastAsia" w:ascii="宋体" w:hAnsi="宋体"/>
          <w:sz w:val="24"/>
        </w:rPr>
        <w:t>依据作用</w:t>
      </w:r>
      <w:r>
        <w:rPr>
          <w:rFonts w:ascii="宋体" w:hAnsi="宋体"/>
          <w:sz w:val="24"/>
        </w:rPr>
        <w:t>。</w:t>
      </w:r>
    </w:p>
    <w:p>
      <w:pPr>
        <w:spacing w:line="360" w:lineRule="auto"/>
        <w:ind w:firstLine="360" w:firstLineChars="150"/>
        <w:jc w:val="left"/>
        <w:rPr>
          <w:rFonts w:hint="eastAsia" w:ascii="宋体" w:hAnsi="宋体"/>
          <w:sz w:val="24"/>
        </w:rPr>
      </w:pPr>
      <w:r>
        <w:rPr>
          <w:rFonts w:hint="eastAsia" w:ascii="宋体" w:hAnsi="宋体"/>
          <w:sz w:val="24"/>
        </w:rPr>
        <w:t>我公司声明放弃对此提出任何异议和追索的权利。</w:t>
      </w:r>
    </w:p>
    <w:p>
      <w:pPr>
        <w:spacing w:line="360" w:lineRule="auto"/>
        <w:jc w:val="left"/>
        <w:rPr>
          <w:rFonts w:hint="eastAsia" w:ascii="宋体" w:hAnsi="宋体"/>
          <w:sz w:val="24"/>
        </w:rPr>
      </w:pPr>
    </w:p>
    <w:p>
      <w:pPr>
        <w:spacing w:line="360" w:lineRule="auto"/>
        <w:jc w:val="left"/>
        <w:rPr>
          <w:rFonts w:hint="eastAsia" w:ascii="宋体" w:hAnsi="宋体"/>
          <w:sz w:val="24"/>
        </w:rPr>
      </w:pPr>
      <w:r>
        <w:rPr>
          <w:rFonts w:hint="eastAsia" w:ascii="宋体" w:hAnsi="宋体"/>
          <w:sz w:val="24"/>
        </w:rPr>
        <w:t>特此承诺。</w:t>
      </w:r>
    </w:p>
    <w:p>
      <w:pPr>
        <w:spacing w:line="360" w:lineRule="auto"/>
        <w:jc w:val="left"/>
        <w:rPr>
          <w:rFonts w:hint="eastAsia" w:ascii="宋体" w:hAnsi="宋体"/>
          <w:sz w:val="24"/>
        </w:rPr>
      </w:pPr>
      <w:r>
        <w:rPr>
          <w:rFonts w:hint="eastAsia" w:ascii="宋体" w:hAnsi="宋体"/>
          <w:sz w:val="24"/>
        </w:rPr>
        <w:t> </w:t>
      </w:r>
    </w:p>
    <w:p>
      <w:pPr>
        <w:spacing w:line="360" w:lineRule="auto"/>
        <w:jc w:val="left"/>
        <w:rPr>
          <w:rFonts w:hint="eastAsia" w:ascii="宋体" w:hAnsi="宋体"/>
          <w:sz w:val="24"/>
          <w:u w:val="single"/>
        </w:rPr>
      </w:pPr>
      <w:r>
        <w:rPr>
          <w:rFonts w:hint="eastAsia" w:ascii="宋体" w:hAnsi="宋体"/>
          <w:sz w:val="24"/>
          <w:u w:val="single"/>
        </w:rPr>
        <w:t>投标人（企业电子签章）：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u w:val="single"/>
        </w:rPr>
      </w:pPr>
      <w:r>
        <w:rPr>
          <w:rFonts w:hint="eastAsia" w:ascii="宋体" w:hAnsi="宋体"/>
          <w:sz w:val="24"/>
          <w:u w:val="single"/>
        </w:rPr>
        <w:t>法定代表人（个人电子签章）：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u w:val="single"/>
        </w:rPr>
      </w:pPr>
      <w:r>
        <w:rPr>
          <w:rFonts w:hint="eastAsia" w:ascii="宋体" w:hAnsi="宋体"/>
          <w:sz w:val="24"/>
          <w:u w:val="single"/>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u w:val="single"/>
        </w:rPr>
      </w:pPr>
      <w:r>
        <w:rPr>
          <w:rFonts w:hint="eastAsia" w:ascii="宋体" w:hAnsi="宋体"/>
          <w:sz w:val="24"/>
          <w:u w:val="single"/>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u w:val="single"/>
        </w:rPr>
      </w:pPr>
      <w:r>
        <w:rPr>
          <w:rFonts w:hint="eastAsia" w:ascii="宋体" w:hAnsi="宋体"/>
          <w:sz w:val="24"/>
          <w:u w:val="single"/>
        </w:rPr>
        <w:t>电子邮件：</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hint="eastAsia" w:ascii="宋体" w:hAnsi="宋体"/>
          <w:sz w:val="24"/>
          <w:u w:val="single"/>
        </w:rPr>
      </w:pPr>
    </w:p>
    <w:p>
      <w:pPr>
        <w:spacing w:line="360" w:lineRule="auto"/>
        <w:jc w:val="left"/>
        <w:rPr>
          <w:rFonts w:ascii="宋体" w:hAnsi="宋体"/>
          <w:sz w:val="24"/>
          <w:u w:val="single"/>
        </w:rPr>
      </w:pPr>
      <w:r>
        <w:rPr>
          <w:rFonts w:hint="eastAsia" w:ascii="宋体" w:hAnsi="宋体"/>
          <w:sz w:val="24"/>
          <w:u w:val="single"/>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p>
    <w:p>
      <w:pPr>
        <w:spacing w:line="360" w:lineRule="auto"/>
        <w:jc w:val="center"/>
        <w:outlineLvl w:val="1"/>
        <w:rPr>
          <w:rFonts w:hint="eastAsia" w:ascii="宋体" w:hAnsi="宋体"/>
          <w:b/>
          <w:sz w:val="24"/>
        </w:rPr>
      </w:pPr>
      <w:r>
        <w:rPr>
          <w:rFonts w:ascii="宋体" w:hAnsi="宋体"/>
          <w:sz w:val="24"/>
        </w:rPr>
        <w:br w:type="page"/>
      </w:r>
      <w:bookmarkStart w:id="629" w:name="_Toc16089988"/>
      <w:bookmarkStart w:id="630" w:name="_Toc44924421"/>
      <w:bookmarkStart w:id="631" w:name="_Toc15912369"/>
      <w:bookmarkStart w:id="632" w:name="_Toc20482"/>
      <w:bookmarkStart w:id="633" w:name="_Toc30658"/>
      <w:bookmarkStart w:id="634" w:name="_Toc16089930"/>
      <w:bookmarkStart w:id="635" w:name="_Toc90712558"/>
      <w:bookmarkStart w:id="636" w:name="_Toc87621078"/>
      <w:bookmarkStart w:id="637" w:name="_Toc90713377"/>
      <w:r>
        <w:rPr>
          <w:rFonts w:hint="eastAsia" w:ascii="宋体" w:hAnsi="宋体"/>
          <w:b/>
          <w:sz w:val="24"/>
        </w:rPr>
        <w:t>八、技术规格偏差表</w:t>
      </w:r>
      <w:bookmarkEnd w:id="629"/>
      <w:bookmarkEnd w:id="630"/>
      <w:bookmarkEnd w:id="631"/>
      <w:bookmarkEnd w:id="632"/>
      <w:bookmarkEnd w:id="633"/>
      <w:bookmarkEnd w:id="634"/>
    </w:p>
    <w:p>
      <w:pPr>
        <w:rPr>
          <w:rFonts w:hint="eastAsia" w:ascii="宋体" w:hAnsi="宋体"/>
          <w:b/>
          <w:bCs/>
          <w:sz w:val="28"/>
          <w:szCs w:val="28"/>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82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restart"/>
            <w:noWrap w:val="0"/>
            <w:vAlign w:val="center"/>
          </w:tcPr>
          <w:p>
            <w:pPr>
              <w:jc w:val="center"/>
              <w:rPr>
                <w:rFonts w:hint="eastAsia" w:ascii="宋体" w:hAnsi="宋体"/>
                <w:b/>
                <w:bCs/>
                <w:sz w:val="24"/>
              </w:rPr>
            </w:pPr>
            <w:r>
              <w:rPr>
                <w:rFonts w:hint="eastAsia" w:ascii="宋体" w:hAnsi="宋体"/>
                <w:b/>
                <w:bCs/>
                <w:sz w:val="24"/>
              </w:rPr>
              <w:t>序号</w:t>
            </w:r>
          </w:p>
        </w:tc>
        <w:tc>
          <w:tcPr>
            <w:tcW w:w="1826" w:type="dxa"/>
            <w:vMerge w:val="restart"/>
            <w:noWrap w:val="0"/>
            <w:vAlign w:val="center"/>
          </w:tcPr>
          <w:p>
            <w:pPr>
              <w:jc w:val="center"/>
              <w:rPr>
                <w:rFonts w:hint="eastAsia" w:ascii="宋体" w:hAnsi="宋体"/>
                <w:b/>
                <w:bCs/>
                <w:sz w:val="24"/>
              </w:rPr>
            </w:pPr>
            <w:r>
              <w:rPr>
                <w:rFonts w:hint="eastAsia" w:ascii="宋体" w:hAnsi="宋体"/>
                <w:b/>
                <w:bCs/>
                <w:sz w:val="24"/>
              </w:rPr>
              <w:t>设备名称或条款号</w:t>
            </w:r>
          </w:p>
        </w:tc>
        <w:tc>
          <w:tcPr>
            <w:tcW w:w="2434" w:type="dxa"/>
            <w:gridSpan w:val="2"/>
            <w:noWrap w:val="0"/>
            <w:vAlign w:val="center"/>
          </w:tcPr>
          <w:p>
            <w:pPr>
              <w:jc w:val="center"/>
              <w:rPr>
                <w:rFonts w:hint="eastAsia" w:ascii="宋体" w:hAnsi="宋体"/>
                <w:b/>
                <w:bCs/>
                <w:sz w:val="24"/>
              </w:rPr>
            </w:pPr>
            <w:r>
              <w:rPr>
                <w:rFonts w:hint="eastAsia" w:ascii="宋体" w:hAnsi="宋体"/>
                <w:b/>
                <w:bCs/>
                <w:sz w:val="24"/>
              </w:rPr>
              <w:t>技术参数及要求</w:t>
            </w:r>
          </w:p>
        </w:tc>
        <w:tc>
          <w:tcPr>
            <w:tcW w:w="1218" w:type="dxa"/>
            <w:vMerge w:val="restart"/>
            <w:noWrap w:val="0"/>
            <w:vAlign w:val="center"/>
          </w:tcPr>
          <w:p>
            <w:pPr>
              <w:jc w:val="center"/>
              <w:rPr>
                <w:rFonts w:hint="eastAsia" w:ascii="宋体" w:hAnsi="宋体"/>
                <w:b/>
                <w:bCs/>
                <w:sz w:val="24"/>
              </w:rPr>
            </w:pPr>
            <w:r>
              <w:rPr>
                <w:rFonts w:hint="eastAsia" w:ascii="宋体" w:hAnsi="宋体"/>
                <w:b/>
                <w:bCs/>
                <w:sz w:val="24"/>
              </w:rPr>
              <w:t>对招标文件 偏差</w:t>
            </w:r>
          </w:p>
        </w:tc>
        <w:tc>
          <w:tcPr>
            <w:tcW w:w="1218" w:type="dxa"/>
            <w:vMerge w:val="restart"/>
            <w:noWrap w:val="0"/>
            <w:vAlign w:val="center"/>
          </w:tcPr>
          <w:p>
            <w:pPr>
              <w:jc w:val="center"/>
              <w:rPr>
                <w:rFonts w:hint="eastAsia" w:ascii="宋体" w:hAnsi="宋体"/>
                <w:b/>
                <w:bCs/>
                <w:sz w:val="24"/>
              </w:rPr>
            </w:pPr>
            <w:r>
              <w:rPr>
                <w:rFonts w:hint="eastAsia" w:ascii="宋体" w:hAnsi="宋体"/>
                <w:b/>
                <w:bCs/>
                <w:sz w:val="24"/>
              </w:rPr>
              <w:t>描述</w:t>
            </w:r>
          </w:p>
        </w:tc>
        <w:tc>
          <w:tcPr>
            <w:tcW w:w="1218" w:type="dxa"/>
            <w:vMerge w:val="restart"/>
            <w:noWrap w:val="0"/>
            <w:vAlign w:val="center"/>
          </w:tcPr>
          <w:p>
            <w:pPr>
              <w:jc w:val="center"/>
              <w:rPr>
                <w:rFonts w:hint="eastAsia"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noWrap w:val="0"/>
            <w:vAlign w:val="top"/>
          </w:tcPr>
          <w:p>
            <w:pPr>
              <w:rPr>
                <w:rFonts w:hint="eastAsia" w:ascii="宋体" w:hAnsi="宋体"/>
                <w:sz w:val="24"/>
              </w:rPr>
            </w:pPr>
          </w:p>
        </w:tc>
        <w:tc>
          <w:tcPr>
            <w:tcW w:w="1826" w:type="dxa"/>
            <w:vMerge w:val="continue"/>
            <w:noWrap w:val="0"/>
            <w:vAlign w:val="top"/>
          </w:tcPr>
          <w:p>
            <w:pPr>
              <w:rPr>
                <w:rFonts w:hint="eastAsia" w:ascii="宋体" w:hAnsi="宋体"/>
                <w:sz w:val="24"/>
              </w:rPr>
            </w:pPr>
          </w:p>
        </w:tc>
        <w:tc>
          <w:tcPr>
            <w:tcW w:w="1217" w:type="dxa"/>
            <w:noWrap w:val="0"/>
            <w:vAlign w:val="center"/>
          </w:tcPr>
          <w:p>
            <w:pPr>
              <w:jc w:val="center"/>
              <w:rPr>
                <w:rFonts w:hint="eastAsia" w:ascii="宋体" w:hAnsi="宋体"/>
                <w:b/>
                <w:bCs/>
                <w:sz w:val="24"/>
              </w:rPr>
            </w:pPr>
            <w:r>
              <w:rPr>
                <w:rFonts w:hint="eastAsia" w:ascii="宋体" w:hAnsi="宋体"/>
                <w:b/>
                <w:bCs/>
                <w:sz w:val="24"/>
              </w:rPr>
              <w:t>招 标  文 件</w:t>
            </w:r>
          </w:p>
        </w:tc>
        <w:tc>
          <w:tcPr>
            <w:tcW w:w="1217" w:type="dxa"/>
            <w:noWrap w:val="0"/>
            <w:vAlign w:val="center"/>
          </w:tcPr>
          <w:p>
            <w:pPr>
              <w:jc w:val="center"/>
              <w:rPr>
                <w:rFonts w:hint="eastAsia" w:ascii="宋体" w:hAnsi="宋体"/>
                <w:b/>
                <w:bCs/>
                <w:sz w:val="24"/>
              </w:rPr>
            </w:pPr>
            <w:r>
              <w:rPr>
                <w:rFonts w:hint="eastAsia" w:ascii="宋体" w:hAnsi="宋体"/>
                <w:b/>
                <w:bCs/>
                <w:sz w:val="24"/>
              </w:rPr>
              <w:t>投 标  文 件</w:t>
            </w:r>
          </w:p>
        </w:tc>
        <w:tc>
          <w:tcPr>
            <w:tcW w:w="1218" w:type="dxa"/>
            <w:vMerge w:val="continue"/>
            <w:noWrap w:val="0"/>
            <w:vAlign w:val="top"/>
          </w:tcPr>
          <w:p>
            <w:pPr>
              <w:rPr>
                <w:rFonts w:hint="eastAsia" w:ascii="宋体" w:hAnsi="宋体"/>
                <w:sz w:val="24"/>
              </w:rPr>
            </w:pPr>
          </w:p>
        </w:tc>
        <w:tc>
          <w:tcPr>
            <w:tcW w:w="1218" w:type="dxa"/>
            <w:vMerge w:val="continue"/>
            <w:noWrap w:val="0"/>
            <w:vAlign w:val="top"/>
          </w:tcPr>
          <w:p>
            <w:pPr>
              <w:rPr>
                <w:rFonts w:hint="eastAsia" w:ascii="宋体" w:hAnsi="宋体"/>
                <w:sz w:val="24"/>
              </w:rPr>
            </w:pPr>
          </w:p>
        </w:tc>
        <w:tc>
          <w:tcPr>
            <w:tcW w:w="1218" w:type="dxa"/>
            <w:vMerge w:val="continue"/>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noWrap w:val="0"/>
            <w:vAlign w:val="top"/>
          </w:tcPr>
          <w:p>
            <w:pPr>
              <w:rPr>
                <w:rFonts w:hint="eastAsia" w:ascii="宋体" w:hAnsi="宋体"/>
                <w:sz w:val="24"/>
              </w:rPr>
            </w:pPr>
            <w:r>
              <w:rPr>
                <w:rFonts w:hint="eastAsia" w:ascii="宋体" w:hAnsi="宋体"/>
                <w:sz w:val="24"/>
              </w:rPr>
              <w:t>1</w:t>
            </w:r>
          </w:p>
        </w:tc>
        <w:tc>
          <w:tcPr>
            <w:tcW w:w="1826" w:type="dxa"/>
            <w:noWrap w:val="0"/>
            <w:vAlign w:val="top"/>
          </w:tcPr>
          <w:p>
            <w:pPr>
              <w:rPr>
                <w:rFonts w:hint="eastAsia" w:ascii="宋体" w:hAnsi="宋体"/>
                <w:sz w:val="24"/>
              </w:rPr>
            </w:pPr>
          </w:p>
        </w:tc>
        <w:tc>
          <w:tcPr>
            <w:tcW w:w="1217" w:type="dxa"/>
            <w:noWrap w:val="0"/>
            <w:vAlign w:val="top"/>
          </w:tcPr>
          <w:p>
            <w:pPr>
              <w:rPr>
                <w:rFonts w:hint="eastAsia" w:ascii="宋体" w:hAnsi="宋体"/>
                <w:sz w:val="24"/>
              </w:rPr>
            </w:pPr>
          </w:p>
        </w:tc>
        <w:tc>
          <w:tcPr>
            <w:tcW w:w="1217"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noWrap w:val="0"/>
            <w:vAlign w:val="top"/>
          </w:tcPr>
          <w:p>
            <w:pPr>
              <w:rPr>
                <w:rFonts w:hint="eastAsia" w:ascii="宋体" w:hAnsi="宋体" w:eastAsia="宋体"/>
                <w:sz w:val="24"/>
                <w:lang w:val="en-US" w:eastAsia="zh-CN"/>
              </w:rPr>
            </w:pPr>
            <w:r>
              <w:rPr>
                <w:rFonts w:hint="eastAsia" w:ascii="宋体" w:hAnsi="宋体"/>
                <w:sz w:val="24"/>
                <w:lang w:val="en-US" w:eastAsia="zh-CN"/>
              </w:rPr>
              <w:t>2</w:t>
            </w:r>
          </w:p>
        </w:tc>
        <w:tc>
          <w:tcPr>
            <w:tcW w:w="1826" w:type="dxa"/>
            <w:noWrap w:val="0"/>
            <w:vAlign w:val="top"/>
          </w:tcPr>
          <w:p>
            <w:pPr>
              <w:rPr>
                <w:rFonts w:hint="eastAsia" w:ascii="宋体" w:hAnsi="宋体"/>
                <w:sz w:val="24"/>
              </w:rPr>
            </w:pPr>
            <w:r>
              <w:rPr>
                <w:rFonts w:hint="eastAsia" w:ascii="宋体" w:hAnsi="宋体"/>
                <w:sz w:val="24"/>
              </w:rPr>
              <w:t>……</w:t>
            </w:r>
          </w:p>
        </w:tc>
        <w:tc>
          <w:tcPr>
            <w:tcW w:w="1217" w:type="dxa"/>
            <w:noWrap w:val="0"/>
            <w:vAlign w:val="top"/>
          </w:tcPr>
          <w:p>
            <w:pPr>
              <w:rPr>
                <w:rFonts w:hint="eastAsia" w:ascii="宋体" w:hAnsi="宋体"/>
                <w:sz w:val="24"/>
              </w:rPr>
            </w:pPr>
          </w:p>
        </w:tc>
        <w:tc>
          <w:tcPr>
            <w:tcW w:w="1217"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top"/>
          </w:tcPr>
          <w:p>
            <w:pPr>
              <w:rPr>
                <w:rFonts w:hint="eastAsia" w:ascii="宋体" w:hAnsi="宋体" w:eastAsia="宋体"/>
                <w:sz w:val="24"/>
                <w:lang w:eastAsia="zh-CN"/>
              </w:rPr>
            </w:pPr>
            <w:r>
              <w:rPr>
                <w:rFonts w:hint="eastAsia" w:ascii="宋体" w:hAnsi="宋体"/>
                <w:sz w:val="24"/>
                <w:lang w:val="en-US" w:eastAsia="zh-CN"/>
              </w:rPr>
              <w:t>3</w:t>
            </w:r>
          </w:p>
        </w:tc>
        <w:tc>
          <w:tcPr>
            <w:tcW w:w="1826" w:type="dxa"/>
            <w:noWrap w:val="0"/>
            <w:vAlign w:val="top"/>
          </w:tcPr>
          <w:p>
            <w:pPr>
              <w:rPr>
                <w:rFonts w:hint="eastAsia" w:ascii="宋体" w:hAnsi="宋体"/>
                <w:sz w:val="24"/>
              </w:rPr>
            </w:pPr>
          </w:p>
        </w:tc>
        <w:tc>
          <w:tcPr>
            <w:tcW w:w="1217" w:type="dxa"/>
            <w:noWrap w:val="0"/>
            <w:vAlign w:val="top"/>
          </w:tcPr>
          <w:p>
            <w:pPr>
              <w:rPr>
                <w:rFonts w:hint="eastAsia" w:ascii="宋体" w:hAnsi="宋体"/>
                <w:sz w:val="24"/>
              </w:rPr>
            </w:pPr>
          </w:p>
        </w:tc>
        <w:tc>
          <w:tcPr>
            <w:tcW w:w="1217"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top"/>
          </w:tcPr>
          <w:p>
            <w:pPr>
              <w:rPr>
                <w:rFonts w:hint="eastAsia" w:ascii="宋体" w:hAnsi="宋体" w:eastAsia="宋体"/>
                <w:sz w:val="24"/>
                <w:lang w:eastAsia="zh-CN"/>
              </w:rPr>
            </w:pPr>
            <w:r>
              <w:rPr>
                <w:rFonts w:hint="eastAsia" w:ascii="宋体" w:hAnsi="宋体"/>
                <w:sz w:val="24"/>
                <w:lang w:val="en-US" w:eastAsia="zh-CN"/>
              </w:rPr>
              <w:t>4</w:t>
            </w:r>
          </w:p>
        </w:tc>
        <w:tc>
          <w:tcPr>
            <w:tcW w:w="1826" w:type="dxa"/>
            <w:noWrap w:val="0"/>
            <w:vAlign w:val="top"/>
          </w:tcPr>
          <w:p>
            <w:pPr>
              <w:rPr>
                <w:rFonts w:hint="eastAsia" w:ascii="宋体" w:hAnsi="宋体"/>
                <w:sz w:val="24"/>
              </w:rPr>
            </w:pPr>
          </w:p>
        </w:tc>
        <w:tc>
          <w:tcPr>
            <w:tcW w:w="1217" w:type="dxa"/>
            <w:noWrap w:val="0"/>
            <w:vAlign w:val="top"/>
          </w:tcPr>
          <w:p>
            <w:pPr>
              <w:rPr>
                <w:rFonts w:hint="eastAsia" w:ascii="宋体" w:hAnsi="宋体"/>
                <w:sz w:val="24"/>
              </w:rPr>
            </w:pPr>
          </w:p>
        </w:tc>
        <w:tc>
          <w:tcPr>
            <w:tcW w:w="1217"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top"/>
          </w:tcPr>
          <w:p>
            <w:pPr>
              <w:rPr>
                <w:rFonts w:hint="eastAsia" w:ascii="宋体" w:hAnsi="宋体"/>
                <w:sz w:val="24"/>
              </w:rPr>
            </w:pPr>
          </w:p>
        </w:tc>
        <w:tc>
          <w:tcPr>
            <w:tcW w:w="1826" w:type="dxa"/>
            <w:noWrap w:val="0"/>
            <w:vAlign w:val="top"/>
          </w:tcPr>
          <w:p>
            <w:pPr>
              <w:rPr>
                <w:rFonts w:hint="eastAsia" w:ascii="宋体" w:hAnsi="宋体"/>
                <w:sz w:val="24"/>
              </w:rPr>
            </w:pPr>
            <w:r>
              <w:rPr>
                <w:rFonts w:hint="eastAsia" w:ascii="宋体" w:hAnsi="宋体"/>
                <w:sz w:val="24"/>
              </w:rPr>
              <w:t>……</w:t>
            </w:r>
          </w:p>
        </w:tc>
        <w:tc>
          <w:tcPr>
            <w:tcW w:w="1217" w:type="dxa"/>
            <w:noWrap w:val="0"/>
            <w:vAlign w:val="top"/>
          </w:tcPr>
          <w:p>
            <w:pPr>
              <w:rPr>
                <w:rFonts w:hint="eastAsia" w:ascii="宋体" w:hAnsi="宋体"/>
                <w:sz w:val="24"/>
              </w:rPr>
            </w:pPr>
          </w:p>
        </w:tc>
        <w:tc>
          <w:tcPr>
            <w:tcW w:w="1217"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c>
          <w:tcPr>
            <w:tcW w:w="1218" w:type="dxa"/>
            <w:noWrap w:val="0"/>
            <w:vAlign w:val="top"/>
          </w:tcPr>
          <w:p>
            <w:pPr>
              <w:rPr>
                <w:rFonts w:hint="eastAsia" w:ascii="宋体" w:hAnsi="宋体"/>
                <w:sz w:val="24"/>
              </w:rPr>
            </w:pPr>
          </w:p>
        </w:tc>
      </w:tr>
      <w:bookmarkEnd w:id="635"/>
      <w:bookmarkEnd w:id="636"/>
      <w:bookmarkEnd w:id="637"/>
    </w:tbl>
    <w:p>
      <w:pPr>
        <w:tabs>
          <w:tab w:val="left" w:pos="6300"/>
        </w:tabs>
        <w:snapToGrid w:val="0"/>
        <w:spacing w:line="360" w:lineRule="auto"/>
        <w:jc w:val="center"/>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hint="eastAsia"/>
        </w:rPr>
      </w:pPr>
      <w:bookmarkStart w:id="638" w:name="_Toc16089931"/>
      <w:bookmarkStart w:id="639" w:name="_Toc15912370"/>
      <w:bookmarkStart w:id="640" w:name="_Toc16089989"/>
      <w:r>
        <w:rPr>
          <w:rFonts w:hint="eastAsia" w:ascii="宋体" w:hAnsi="宋体"/>
          <w:sz w:val="24"/>
        </w:rPr>
        <w:t>法定代表人（个人电子签章）：</w:t>
      </w:r>
      <w:bookmarkEnd w:id="638"/>
      <w:bookmarkEnd w:id="639"/>
      <w:bookmarkEnd w:id="640"/>
      <w:r>
        <w:rPr>
          <w:rFonts w:hint="eastAsia" w:ascii="宋体" w:hAnsi="宋体"/>
          <w:sz w:val="24"/>
        </w:rPr>
        <w:t xml:space="preserve">     </w:t>
      </w:r>
      <w:r>
        <w:rPr>
          <w:rFonts w:hint="eastAsia"/>
        </w:rPr>
        <w:t xml:space="preserve">            </w:t>
      </w:r>
    </w:p>
    <w:p>
      <w:pPr>
        <w:spacing w:line="360" w:lineRule="auto"/>
        <w:rPr>
          <w:rFonts w:hint="eastAsia" w:ascii="宋体" w:hAnsi="宋体"/>
          <w:sz w:val="24"/>
        </w:rPr>
      </w:pPr>
      <w:r>
        <w:rPr>
          <w:rFonts w:hint="eastAsia" w:ascii="宋体" w:hAnsi="宋体" w:cs="Times New Roman"/>
          <w:sz w:val="24"/>
          <w:lang w:eastAsia="zh-CN"/>
        </w:rPr>
        <w:t>日</w:t>
      </w:r>
      <w:r>
        <w:rPr>
          <w:rFonts w:hint="eastAsia" w:ascii="宋体" w:hAnsi="宋体" w:cs="Times New Roman"/>
          <w:sz w:val="24"/>
          <w:lang w:val="en-US" w:eastAsia="zh-CN"/>
        </w:rPr>
        <w:t xml:space="preserve">  </w:t>
      </w:r>
      <w:r>
        <w:rPr>
          <w:rFonts w:hint="eastAsia" w:ascii="宋体" w:hAnsi="宋体" w:cs="Times New Roman"/>
          <w:sz w:val="24"/>
          <w:lang w:eastAsia="zh-CN"/>
        </w:rPr>
        <w:t>期：</w:t>
      </w:r>
      <w:r>
        <w:rPr>
          <w:rFonts w:hint="eastAsia" w:ascii="宋体" w:hAnsi="宋体"/>
          <w:sz w:val="24"/>
        </w:rPr>
        <w:t>年  月  日</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cs="Times New Roman"/>
          <w:sz w:val="24"/>
          <w:lang w:eastAsia="zh-CN"/>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p>
    <w:p>
      <w:pPr>
        <w:spacing w:line="360" w:lineRule="auto"/>
        <w:jc w:val="center"/>
        <w:outlineLvl w:val="1"/>
        <w:rPr>
          <w:rFonts w:hint="eastAsia" w:ascii="宋体" w:hAnsi="宋体"/>
          <w:b/>
          <w:sz w:val="24"/>
        </w:rPr>
      </w:pPr>
      <w:r>
        <w:rPr>
          <w:rFonts w:hint="eastAsia" w:ascii="宋体" w:hAnsi="宋体"/>
          <w:b/>
          <w:sz w:val="24"/>
        </w:rPr>
        <w:t>商务条款偏差表</w:t>
      </w:r>
    </w:p>
    <w:tbl>
      <w:tblPr>
        <w:tblStyle w:val="2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560"/>
        <w:gridCol w:w="1559"/>
        <w:gridCol w:w="2268"/>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restart"/>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序号</w:t>
            </w:r>
          </w:p>
        </w:tc>
        <w:tc>
          <w:tcPr>
            <w:tcW w:w="3119" w:type="dxa"/>
            <w:gridSpan w:val="2"/>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商务条款及要求</w:t>
            </w:r>
          </w:p>
        </w:tc>
        <w:tc>
          <w:tcPr>
            <w:tcW w:w="2268" w:type="dxa"/>
            <w:vMerge w:val="restart"/>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对招标文件偏差</w:t>
            </w:r>
          </w:p>
        </w:tc>
        <w:tc>
          <w:tcPr>
            <w:tcW w:w="851" w:type="dxa"/>
            <w:vMerge w:val="restart"/>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描述</w:t>
            </w:r>
          </w:p>
        </w:tc>
        <w:tc>
          <w:tcPr>
            <w:tcW w:w="992" w:type="dxa"/>
            <w:vMerge w:val="restart"/>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noWrap w:val="0"/>
            <w:vAlign w:val="center"/>
          </w:tcPr>
          <w:p>
            <w:pPr>
              <w:widowControl/>
              <w:adjustRightInd w:val="0"/>
              <w:snapToGrid w:val="0"/>
              <w:spacing w:after="200"/>
              <w:jc w:val="center"/>
              <w:rPr>
                <w:rFonts w:hint="eastAsia" w:ascii="Tahoma" w:hAnsi="Tahoma" w:eastAsia="宋体" w:cs="Times New Roman"/>
                <w:kern w:val="0"/>
                <w:sz w:val="22"/>
                <w:szCs w:val="22"/>
              </w:rPr>
            </w:pPr>
          </w:p>
        </w:tc>
        <w:tc>
          <w:tcPr>
            <w:tcW w:w="1560"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招标文件</w:t>
            </w:r>
          </w:p>
        </w:tc>
        <w:tc>
          <w:tcPr>
            <w:tcW w:w="1559"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投标文件</w:t>
            </w:r>
          </w:p>
        </w:tc>
        <w:tc>
          <w:tcPr>
            <w:tcW w:w="2268" w:type="dxa"/>
            <w:vMerge w:val="continue"/>
            <w:noWrap w:val="0"/>
            <w:vAlign w:val="center"/>
          </w:tcPr>
          <w:p>
            <w:pPr>
              <w:widowControl/>
              <w:adjustRightInd w:val="0"/>
              <w:snapToGrid w:val="0"/>
              <w:spacing w:after="200"/>
              <w:jc w:val="center"/>
              <w:rPr>
                <w:rFonts w:hint="eastAsia" w:ascii="Tahoma" w:hAnsi="Tahoma" w:eastAsia="宋体" w:cs="Times New Roman"/>
                <w:kern w:val="0"/>
                <w:sz w:val="22"/>
                <w:szCs w:val="22"/>
              </w:rPr>
            </w:pPr>
          </w:p>
        </w:tc>
        <w:tc>
          <w:tcPr>
            <w:tcW w:w="851" w:type="dxa"/>
            <w:vMerge w:val="continue"/>
            <w:noWrap w:val="0"/>
            <w:vAlign w:val="center"/>
          </w:tcPr>
          <w:p>
            <w:pPr>
              <w:widowControl/>
              <w:adjustRightInd w:val="0"/>
              <w:snapToGrid w:val="0"/>
              <w:spacing w:after="200"/>
              <w:jc w:val="center"/>
              <w:rPr>
                <w:rFonts w:hint="eastAsia" w:ascii="Tahoma" w:hAnsi="Tahoma" w:eastAsia="宋体" w:cs="Times New Roman"/>
                <w:kern w:val="0"/>
                <w:sz w:val="22"/>
                <w:szCs w:val="22"/>
              </w:rPr>
            </w:pPr>
          </w:p>
        </w:tc>
        <w:tc>
          <w:tcPr>
            <w:tcW w:w="992" w:type="dxa"/>
            <w:vMerge w:val="continue"/>
            <w:noWrap w:val="0"/>
            <w:vAlign w:val="center"/>
          </w:tcPr>
          <w:p>
            <w:pPr>
              <w:widowControl/>
              <w:adjustRightInd w:val="0"/>
              <w:snapToGrid w:val="0"/>
              <w:spacing w:after="200"/>
              <w:jc w:val="center"/>
              <w:rPr>
                <w:rFonts w:hint="eastAsia" w:ascii="Tahoma" w:hAnsi="Tahoma" w:eastAsia="宋体"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1</w:t>
            </w:r>
          </w:p>
        </w:tc>
        <w:tc>
          <w:tcPr>
            <w:tcW w:w="1560" w:type="dxa"/>
            <w:noWrap w:val="0"/>
            <w:vAlign w:val="center"/>
          </w:tcPr>
          <w:p>
            <w:pPr>
              <w:widowControl/>
              <w:adjustRightInd w:val="0"/>
              <w:snapToGrid w:val="0"/>
              <w:spacing w:after="200"/>
              <w:jc w:val="left"/>
              <w:rPr>
                <w:rFonts w:hint="eastAsia" w:ascii="Tahoma" w:hAnsi="Tahoma" w:eastAsia="宋体" w:cs="Times New Roman"/>
                <w:kern w:val="0"/>
                <w:sz w:val="22"/>
                <w:szCs w:val="22"/>
              </w:rPr>
            </w:pPr>
            <w:r>
              <w:rPr>
                <w:rFonts w:hint="eastAsia" w:ascii="Tahoma" w:hAnsi="Tahoma" w:eastAsia="宋体" w:cs="Times New Roman"/>
                <w:kern w:val="0"/>
                <w:sz w:val="22"/>
                <w:szCs w:val="22"/>
              </w:rPr>
              <w:t>商务条款1</w:t>
            </w:r>
          </w:p>
        </w:tc>
        <w:tc>
          <w:tcPr>
            <w:tcW w:w="1559"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p>
        </w:tc>
        <w:tc>
          <w:tcPr>
            <w:tcW w:w="2268"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p>
        </w:tc>
        <w:tc>
          <w:tcPr>
            <w:tcW w:w="851"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p>
        </w:tc>
        <w:tc>
          <w:tcPr>
            <w:tcW w:w="992"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2</w:t>
            </w:r>
          </w:p>
        </w:tc>
        <w:tc>
          <w:tcPr>
            <w:tcW w:w="1560" w:type="dxa"/>
            <w:noWrap w:val="0"/>
            <w:vAlign w:val="top"/>
          </w:tcPr>
          <w:p>
            <w:pPr>
              <w:widowControl/>
              <w:adjustRightInd w:val="0"/>
              <w:snapToGrid w:val="0"/>
              <w:spacing w:after="200"/>
              <w:jc w:val="left"/>
              <w:rPr>
                <w:rFonts w:hint="eastAsia" w:ascii="Tahoma" w:hAnsi="Tahoma" w:eastAsia="宋体" w:cs="Times New Roman"/>
                <w:kern w:val="0"/>
                <w:sz w:val="22"/>
                <w:szCs w:val="22"/>
              </w:rPr>
            </w:pPr>
            <w:r>
              <w:rPr>
                <w:rFonts w:hint="eastAsia" w:ascii="Tahoma" w:hAnsi="Tahoma" w:eastAsia="宋体" w:cs="Times New Roman"/>
                <w:kern w:val="0"/>
                <w:sz w:val="22"/>
                <w:szCs w:val="22"/>
              </w:rPr>
              <w:t>商务条款2</w:t>
            </w:r>
          </w:p>
        </w:tc>
        <w:tc>
          <w:tcPr>
            <w:tcW w:w="1559"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2268"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851"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992"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3</w:t>
            </w:r>
          </w:p>
        </w:tc>
        <w:tc>
          <w:tcPr>
            <w:tcW w:w="1560" w:type="dxa"/>
            <w:noWrap w:val="0"/>
            <w:vAlign w:val="top"/>
          </w:tcPr>
          <w:p>
            <w:pPr>
              <w:widowControl/>
              <w:adjustRightInd w:val="0"/>
              <w:snapToGrid w:val="0"/>
              <w:spacing w:after="200"/>
              <w:jc w:val="left"/>
              <w:rPr>
                <w:rFonts w:hint="eastAsia" w:ascii="Tahoma" w:hAnsi="Tahoma" w:eastAsia="宋体" w:cs="Times New Roman"/>
                <w:kern w:val="0"/>
                <w:sz w:val="22"/>
                <w:szCs w:val="22"/>
              </w:rPr>
            </w:pPr>
            <w:r>
              <w:rPr>
                <w:rFonts w:hint="eastAsia" w:ascii="Tahoma" w:hAnsi="Tahoma" w:eastAsia="宋体" w:cs="Times New Roman"/>
                <w:kern w:val="0"/>
                <w:sz w:val="22"/>
                <w:szCs w:val="22"/>
              </w:rPr>
              <w:t>………</w:t>
            </w:r>
          </w:p>
        </w:tc>
        <w:tc>
          <w:tcPr>
            <w:tcW w:w="1559"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2268"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851"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992"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4</w:t>
            </w:r>
          </w:p>
        </w:tc>
        <w:tc>
          <w:tcPr>
            <w:tcW w:w="1560" w:type="dxa"/>
            <w:noWrap w:val="0"/>
            <w:vAlign w:val="top"/>
          </w:tcPr>
          <w:p>
            <w:pPr>
              <w:widowControl/>
              <w:adjustRightInd w:val="0"/>
              <w:snapToGrid w:val="0"/>
              <w:spacing w:after="200"/>
              <w:jc w:val="left"/>
              <w:rPr>
                <w:rFonts w:hint="eastAsia" w:ascii="Tahoma" w:hAnsi="Tahoma" w:eastAsia="宋体" w:cs="Times New Roman"/>
                <w:kern w:val="0"/>
                <w:sz w:val="22"/>
                <w:szCs w:val="22"/>
              </w:rPr>
            </w:pPr>
            <w:r>
              <w:rPr>
                <w:rFonts w:hint="eastAsia" w:ascii="Tahoma" w:hAnsi="Tahoma" w:eastAsia="宋体" w:cs="Times New Roman"/>
                <w:kern w:val="0"/>
                <w:sz w:val="22"/>
                <w:szCs w:val="22"/>
              </w:rPr>
              <w:t>………</w:t>
            </w:r>
          </w:p>
        </w:tc>
        <w:tc>
          <w:tcPr>
            <w:tcW w:w="1559"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2268"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851"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992"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widowControl/>
              <w:adjustRightInd w:val="0"/>
              <w:snapToGrid w:val="0"/>
              <w:spacing w:after="200"/>
              <w:jc w:val="center"/>
              <w:rPr>
                <w:rFonts w:hint="eastAsia" w:ascii="Tahoma" w:hAnsi="Tahoma" w:eastAsia="宋体" w:cs="Times New Roman"/>
                <w:kern w:val="0"/>
                <w:sz w:val="22"/>
                <w:szCs w:val="22"/>
              </w:rPr>
            </w:pPr>
            <w:r>
              <w:rPr>
                <w:rFonts w:hint="eastAsia" w:ascii="Tahoma" w:hAnsi="Tahoma" w:eastAsia="宋体" w:cs="Times New Roman"/>
                <w:kern w:val="0"/>
                <w:sz w:val="22"/>
                <w:szCs w:val="22"/>
              </w:rPr>
              <w:t>…</w:t>
            </w:r>
          </w:p>
        </w:tc>
        <w:tc>
          <w:tcPr>
            <w:tcW w:w="1560" w:type="dxa"/>
            <w:noWrap w:val="0"/>
            <w:vAlign w:val="top"/>
          </w:tcPr>
          <w:p>
            <w:pPr>
              <w:widowControl/>
              <w:adjustRightInd w:val="0"/>
              <w:snapToGrid w:val="0"/>
              <w:spacing w:after="200"/>
              <w:jc w:val="left"/>
              <w:rPr>
                <w:rFonts w:hint="eastAsia" w:ascii="Tahoma" w:hAnsi="Tahoma" w:eastAsia="宋体" w:cs="Times New Roman"/>
                <w:kern w:val="0"/>
                <w:sz w:val="22"/>
                <w:szCs w:val="22"/>
              </w:rPr>
            </w:pPr>
            <w:r>
              <w:rPr>
                <w:rFonts w:hint="eastAsia" w:ascii="Tahoma" w:hAnsi="Tahoma" w:eastAsia="宋体" w:cs="Times New Roman"/>
                <w:kern w:val="0"/>
                <w:sz w:val="22"/>
                <w:szCs w:val="22"/>
              </w:rPr>
              <w:t>………</w:t>
            </w:r>
          </w:p>
        </w:tc>
        <w:tc>
          <w:tcPr>
            <w:tcW w:w="1559"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2268"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851"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c>
          <w:tcPr>
            <w:tcW w:w="992" w:type="dxa"/>
            <w:noWrap w:val="0"/>
            <w:vAlign w:val="top"/>
          </w:tcPr>
          <w:p>
            <w:pPr>
              <w:widowControl/>
              <w:adjustRightInd w:val="0"/>
              <w:snapToGrid w:val="0"/>
              <w:spacing w:after="200"/>
              <w:jc w:val="left"/>
              <w:rPr>
                <w:rFonts w:hint="eastAsia" w:ascii="Tahoma" w:hAnsi="Tahoma" w:eastAsia="宋体" w:cs="Times New Roman"/>
                <w:kern w:val="0"/>
                <w:sz w:val="22"/>
                <w:szCs w:val="22"/>
              </w:rPr>
            </w:pPr>
          </w:p>
        </w:tc>
      </w:tr>
    </w:tbl>
    <w:p>
      <w:pPr>
        <w:tabs>
          <w:tab w:val="left" w:pos="6300"/>
        </w:tabs>
        <w:snapToGrid w:val="0"/>
        <w:spacing w:line="360" w:lineRule="auto"/>
        <w:jc w:val="center"/>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hint="eastAsia"/>
        </w:rPr>
      </w:pPr>
      <w:r>
        <w:rPr>
          <w:rFonts w:hint="eastAsia" w:ascii="宋体" w:hAnsi="宋体"/>
          <w:sz w:val="24"/>
        </w:rPr>
        <w:t xml:space="preserve">法定代表人（个人电子签章）：     </w:t>
      </w:r>
      <w:r>
        <w:rPr>
          <w:rFonts w:hint="eastAsia"/>
        </w:rPr>
        <w:t xml:space="preserve">            </w:t>
      </w:r>
    </w:p>
    <w:p>
      <w:pPr>
        <w:spacing w:line="360" w:lineRule="auto"/>
        <w:rPr>
          <w:rFonts w:hint="eastAsia" w:ascii="宋体" w:hAnsi="宋体"/>
          <w:sz w:val="24"/>
        </w:rPr>
      </w:pPr>
      <w:r>
        <w:rPr>
          <w:rFonts w:hint="eastAsia" w:ascii="宋体" w:hAnsi="宋体" w:cs="Times New Roman"/>
          <w:sz w:val="24"/>
          <w:lang w:eastAsia="zh-CN"/>
        </w:rPr>
        <w:t>日</w:t>
      </w:r>
      <w:r>
        <w:rPr>
          <w:rFonts w:hint="eastAsia" w:ascii="宋体" w:hAnsi="宋体" w:cs="Times New Roman"/>
          <w:sz w:val="24"/>
          <w:lang w:val="en-US" w:eastAsia="zh-CN"/>
        </w:rPr>
        <w:t xml:space="preserve">  </w:t>
      </w:r>
      <w:r>
        <w:rPr>
          <w:rFonts w:hint="eastAsia" w:ascii="宋体" w:hAnsi="宋体" w:cs="Times New Roman"/>
          <w:sz w:val="24"/>
          <w:lang w:eastAsia="zh-CN"/>
        </w:rPr>
        <w:t>期：</w:t>
      </w:r>
      <w:r>
        <w:rPr>
          <w:rFonts w:hint="eastAsia" w:ascii="宋体" w:hAnsi="宋体"/>
          <w:sz w:val="24"/>
        </w:rPr>
        <w:t>年  月  日</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cs="Times New Roman"/>
          <w:sz w:val="24"/>
          <w:lang w:eastAsia="zh-CN"/>
        </w:rPr>
      </w:pPr>
    </w:p>
    <w:p>
      <w:pPr>
        <w:spacing w:line="360" w:lineRule="auto"/>
        <w:jc w:val="center"/>
        <w:outlineLvl w:val="1"/>
        <w:rPr>
          <w:rFonts w:hint="eastAsia" w:ascii="宋体" w:hAnsi="宋体"/>
          <w:b/>
          <w:sz w:val="24"/>
        </w:rPr>
      </w:pPr>
      <w:r>
        <w:rPr>
          <w:rFonts w:hint="eastAsia" w:ascii="宋体" w:hAnsi="宋体"/>
          <w:sz w:val="24"/>
        </w:rPr>
        <w:br w:type="page"/>
      </w:r>
      <w:bookmarkStart w:id="641" w:name="_Toc482379085"/>
      <w:bookmarkStart w:id="642" w:name="_Toc16089990"/>
      <w:bookmarkStart w:id="643" w:name="_Toc11379"/>
      <w:bookmarkStart w:id="644" w:name="_Toc16089932"/>
      <w:bookmarkStart w:id="645" w:name="_Toc18064"/>
      <w:bookmarkStart w:id="646" w:name="_Toc15912371"/>
      <w:bookmarkStart w:id="647" w:name="_Toc482378992"/>
      <w:bookmarkStart w:id="648" w:name="_Toc44924422"/>
      <w:r>
        <w:rPr>
          <w:rFonts w:hint="eastAsia" w:ascii="宋体" w:hAnsi="宋体"/>
          <w:b/>
          <w:sz w:val="24"/>
        </w:rPr>
        <w:t>九 反商业贿赂承诺书</w:t>
      </w:r>
      <w:bookmarkEnd w:id="641"/>
      <w:bookmarkEnd w:id="642"/>
      <w:bookmarkEnd w:id="643"/>
      <w:bookmarkEnd w:id="644"/>
      <w:bookmarkEnd w:id="645"/>
      <w:bookmarkEnd w:id="646"/>
      <w:bookmarkEnd w:id="647"/>
      <w:bookmarkEnd w:id="648"/>
    </w:p>
    <w:p>
      <w:pPr>
        <w:spacing w:line="360" w:lineRule="auto"/>
        <w:jc w:val="center"/>
        <w:rPr>
          <w:rFonts w:hint="eastAsia" w:ascii="宋体" w:hAnsi="宋体"/>
          <w:b/>
          <w:sz w:val="24"/>
        </w:rPr>
      </w:pPr>
    </w:p>
    <w:p>
      <w:pPr>
        <w:spacing w:line="360" w:lineRule="auto"/>
        <w:ind w:firstLine="480" w:firstLineChars="200"/>
        <w:rPr>
          <w:rFonts w:hint="eastAsia" w:ascii="宋体" w:hAnsi="宋体"/>
          <w:sz w:val="24"/>
        </w:rPr>
      </w:pPr>
      <w:bookmarkStart w:id="649" w:name="_Toc236539290"/>
      <w:bookmarkStart w:id="650" w:name="_Toc279504249"/>
      <w:bookmarkStart w:id="651" w:name="_Toc269219210"/>
      <w:bookmarkStart w:id="652" w:name="_Toc236539351"/>
      <w:bookmarkStart w:id="653" w:name="_Toc280882171"/>
      <w:bookmarkStart w:id="654" w:name="_Toc272327669"/>
      <w:bookmarkStart w:id="655" w:name="_Toc240448902"/>
      <w:r>
        <w:rPr>
          <w:rFonts w:hint="eastAsia" w:ascii="宋体" w:hAnsi="宋体"/>
          <w:sz w:val="24"/>
        </w:rPr>
        <w:t>我公司承诺：</w:t>
      </w:r>
      <w:bookmarkEnd w:id="649"/>
      <w:bookmarkEnd w:id="650"/>
      <w:bookmarkEnd w:id="651"/>
      <w:bookmarkEnd w:id="652"/>
      <w:bookmarkEnd w:id="653"/>
      <w:bookmarkEnd w:id="654"/>
      <w:bookmarkEnd w:id="655"/>
    </w:p>
    <w:p>
      <w:pPr>
        <w:spacing w:line="360" w:lineRule="auto"/>
        <w:ind w:firstLine="480" w:firstLineChars="200"/>
        <w:rPr>
          <w:rFonts w:hint="eastAsia" w:ascii="宋体" w:hAnsi="宋体"/>
          <w:sz w:val="24"/>
        </w:rPr>
      </w:pPr>
      <w:bookmarkStart w:id="656" w:name="_Toc240448903"/>
      <w:bookmarkStart w:id="657" w:name="_Toc236539352"/>
      <w:bookmarkStart w:id="658" w:name="_Toc269219211"/>
      <w:bookmarkStart w:id="659" w:name="_Toc236539291"/>
      <w:bookmarkStart w:id="660" w:name="_Toc279504250"/>
      <w:bookmarkStart w:id="661" w:name="_Toc280882172"/>
      <w:bookmarkStart w:id="662" w:name="_Toc272327670"/>
      <w:r>
        <w:rPr>
          <w:rFonts w:hint="eastAsia" w:ascii="宋体" w:hAnsi="宋体"/>
          <w:sz w:val="24"/>
        </w:rPr>
        <w:t>在</w:t>
      </w:r>
      <w:r>
        <w:rPr>
          <w:rFonts w:hint="eastAsia" w:ascii="宋体" w:hAnsi="宋体"/>
          <w:sz w:val="24"/>
          <w:u w:val="single"/>
        </w:rPr>
        <w:t xml:space="preserve"> （投标项目名称）</w:t>
      </w:r>
      <w:r>
        <w:rPr>
          <w:rFonts w:hint="eastAsia" w:ascii="宋体" w:hAnsi="宋体"/>
          <w:sz w:val="24"/>
        </w:rPr>
        <w:t>招标活动中，我公司保证做到：</w:t>
      </w:r>
      <w:bookmarkEnd w:id="656"/>
      <w:bookmarkEnd w:id="657"/>
      <w:bookmarkEnd w:id="658"/>
      <w:bookmarkEnd w:id="659"/>
      <w:bookmarkEnd w:id="660"/>
      <w:bookmarkEnd w:id="661"/>
      <w:bookmarkEnd w:id="662"/>
    </w:p>
    <w:p>
      <w:pPr>
        <w:spacing w:line="360" w:lineRule="auto"/>
        <w:ind w:firstLine="480" w:firstLineChars="200"/>
        <w:rPr>
          <w:rFonts w:hint="eastAsia" w:ascii="宋体" w:hAnsi="宋体"/>
          <w:sz w:val="24"/>
        </w:rPr>
      </w:pPr>
      <w:bookmarkStart w:id="663" w:name="_Toc272327671"/>
      <w:bookmarkStart w:id="664" w:name="_Toc240448904"/>
      <w:bookmarkStart w:id="665" w:name="_Toc279504251"/>
      <w:bookmarkStart w:id="666" w:name="_Toc269219212"/>
      <w:bookmarkStart w:id="667" w:name="_Toc236539292"/>
      <w:bookmarkStart w:id="668" w:name="_Toc280882173"/>
      <w:bookmarkStart w:id="669" w:name="_Toc236539353"/>
      <w:r>
        <w:rPr>
          <w:rFonts w:hint="eastAsia" w:ascii="宋体" w:hAnsi="宋体"/>
          <w:sz w:val="24"/>
        </w:rPr>
        <w:t>一、公平竞争参加本次招标活动。</w:t>
      </w:r>
      <w:bookmarkEnd w:id="663"/>
      <w:bookmarkEnd w:id="664"/>
      <w:bookmarkEnd w:id="665"/>
      <w:bookmarkEnd w:id="666"/>
      <w:bookmarkEnd w:id="667"/>
      <w:bookmarkEnd w:id="668"/>
      <w:bookmarkEnd w:id="669"/>
    </w:p>
    <w:p>
      <w:pPr>
        <w:spacing w:line="360" w:lineRule="auto"/>
        <w:ind w:firstLine="480" w:firstLineChars="200"/>
        <w:rPr>
          <w:rFonts w:hint="eastAsia" w:ascii="宋体" w:hAnsi="宋体"/>
          <w:sz w:val="24"/>
        </w:rPr>
      </w:pPr>
      <w:bookmarkStart w:id="670" w:name="_Toc272327672"/>
      <w:bookmarkStart w:id="671" w:name="_Toc280882174"/>
      <w:bookmarkStart w:id="672" w:name="_Toc240448905"/>
      <w:bookmarkStart w:id="673" w:name="_Toc236539354"/>
      <w:bookmarkStart w:id="674" w:name="_Toc269219213"/>
      <w:bookmarkStart w:id="675" w:name="_Toc279504252"/>
      <w:bookmarkStart w:id="676" w:name="_Toc236539293"/>
      <w:r>
        <w:rPr>
          <w:rFonts w:hint="eastAsia" w:ascii="宋体" w:hAnsi="宋体"/>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670"/>
      <w:bookmarkEnd w:id="671"/>
      <w:bookmarkEnd w:id="672"/>
      <w:bookmarkEnd w:id="673"/>
      <w:bookmarkEnd w:id="674"/>
      <w:bookmarkEnd w:id="675"/>
      <w:bookmarkEnd w:id="676"/>
    </w:p>
    <w:p>
      <w:pPr>
        <w:spacing w:line="360" w:lineRule="auto"/>
        <w:ind w:firstLine="480" w:firstLineChars="200"/>
        <w:rPr>
          <w:rFonts w:hint="eastAsia" w:ascii="宋体" w:hAnsi="宋体"/>
          <w:sz w:val="24"/>
        </w:rPr>
      </w:pPr>
      <w:bookmarkStart w:id="677" w:name="_Toc280882175"/>
      <w:bookmarkStart w:id="678" w:name="_Toc272327673"/>
      <w:bookmarkStart w:id="679" w:name="_Toc236539294"/>
      <w:bookmarkStart w:id="680" w:name="_Toc279504253"/>
      <w:bookmarkStart w:id="681" w:name="_Toc269219214"/>
      <w:bookmarkStart w:id="682" w:name="_Toc236539355"/>
      <w:bookmarkStart w:id="683" w:name="_Toc240448906"/>
      <w:r>
        <w:rPr>
          <w:rFonts w:hint="eastAsia" w:ascii="宋体" w:hAnsi="宋体"/>
          <w:sz w:val="24"/>
        </w:rPr>
        <w:t>三、若出现上述行为，我公司及参与投标的工作人员愿意接受按照国家法律法规等有关规定给予的处罚。</w:t>
      </w:r>
      <w:bookmarkEnd w:id="677"/>
      <w:bookmarkEnd w:id="678"/>
      <w:bookmarkEnd w:id="679"/>
      <w:bookmarkEnd w:id="680"/>
      <w:bookmarkEnd w:id="681"/>
      <w:bookmarkEnd w:id="682"/>
      <w:bookmarkEnd w:id="683"/>
    </w:p>
    <w:p>
      <w:pPr>
        <w:spacing w:line="360" w:lineRule="auto"/>
        <w:rPr>
          <w:rFonts w:hint="eastAsia" w:ascii="宋体" w:hAnsi="宋体"/>
          <w:sz w:val="24"/>
        </w:rPr>
      </w:pPr>
      <w:bookmarkStart w:id="684" w:name="_Toc236539295"/>
      <w:bookmarkStart w:id="685" w:name="_Toc236539356"/>
      <w:bookmarkStart w:id="686" w:name="_Toc279504254"/>
      <w:bookmarkStart w:id="687" w:name="_Toc269219215"/>
      <w:bookmarkStart w:id="688" w:name="_Toc280882176"/>
      <w:bookmarkStart w:id="689" w:name="_Toc272327674"/>
      <w:bookmarkStart w:id="690" w:name="_Toc240448907"/>
    </w:p>
    <w:p>
      <w:pPr>
        <w:spacing w:line="360" w:lineRule="auto"/>
        <w:rPr>
          <w:rFonts w:hint="eastAsia" w:ascii="宋体" w:hAnsi="宋体"/>
          <w:sz w:val="24"/>
        </w:rPr>
      </w:pPr>
    </w:p>
    <w:bookmarkEnd w:id="684"/>
    <w:bookmarkEnd w:id="685"/>
    <w:bookmarkEnd w:id="686"/>
    <w:bookmarkEnd w:id="687"/>
    <w:bookmarkEnd w:id="688"/>
    <w:bookmarkEnd w:id="689"/>
    <w:bookmarkEnd w:id="690"/>
    <w:p>
      <w:pPr>
        <w:spacing w:line="360" w:lineRule="auto"/>
        <w:rPr>
          <w:rFonts w:hint="eastAsia" w:ascii="宋体" w:hAnsi="宋体"/>
          <w:sz w:val="24"/>
          <w:u w:val="single"/>
        </w:rPr>
      </w:pPr>
      <w:bookmarkStart w:id="691" w:name="_Toc280882180"/>
      <w:bookmarkStart w:id="692" w:name="_Toc269219219"/>
      <w:bookmarkStart w:id="693" w:name="_Toc272327678"/>
      <w:bookmarkStart w:id="694" w:name="_Toc240448911"/>
      <w:bookmarkStart w:id="695" w:name="_Toc279504258"/>
      <w:bookmarkStart w:id="696" w:name="_Toc236539360"/>
      <w:bookmarkStart w:id="697" w:name="_Toc236539299"/>
      <w:r>
        <w:rPr>
          <w:rFonts w:hint="eastAsia" w:ascii="宋体" w:hAnsi="宋体"/>
          <w:sz w:val="24"/>
        </w:rPr>
        <w:t>供应商（企业电子签章）：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日期：   年  月  日</w:t>
      </w:r>
      <w:bookmarkEnd w:id="691"/>
      <w:bookmarkEnd w:id="692"/>
      <w:bookmarkEnd w:id="693"/>
      <w:bookmarkEnd w:id="694"/>
      <w:bookmarkEnd w:id="695"/>
      <w:bookmarkEnd w:id="696"/>
      <w:bookmarkEnd w:id="697"/>
    </w:p>
    <w:p>
      <w:pPr>
        <w:spacing w:line="360" w:lineRule="auto"/>
        <w:rPr>
          <w:rFonts w:hint="eastAsia" w:ascii="宋体" w:hAnsi="宋体"/>
          <w:sz w:val="24"/>
        </w:rPr>
      </w:pPr>
    </w:p>
    <w:p>
      <w:pPr>
        <w:autoSpaceDE w:val="0"/>
        <w:autoSpaceDN w:val="0"/>
        <w:adjustRightInd w:val="0"/>
        <w:spacing w:line="360" w:lineRule="auto"/>
        <w:rPr>
          <w:rFonts w:hint="eastAsia" w:ascii="宋体" w:hAnsi="宋体"/>
          <w:b/>
          <w:kern w:val="0"/>
          <w:sz w:val="24"/>
        </w:rPr>
      </w:pPr>
    </w:p>
    <w:p>
      <w:pPr>
        <w:spacing w:line="360" w:lineRule="auto"/>
        <w:jc w:val="center"/>
        <w:outlineLvl w:val="1"/>
        <w:rPr>
          <w:rFonts w:hint="eastAsia" w:ascii="宋体" w:hAnsi="宋体"/>
          <w:b/>
          <w:sz w:val="24"/>
        </w:rPr>
      </w:pPr>
      <w:r>
        <w:rPr>
          <w:rFonts w:ascii="宋体" w:hAnsi="宋体"/>
          <w:sz w:val="24"/>
        </w:rPr>
        <w:br w:type="page"/>
      </w:r>
      <w:bookmarkStart w:id="698" w:name="_Toc15912372"/>
      <w:bookmarkStart w:id="699" w:name="_Toc16089991"/>
      <w:bookmarkStart w:id="700" w:name="_Toc44924423"/>
      <w:bookmarkStart w:id="701" w:name="_Toc16089933"/>
      <w:bookmarkStart w:id="702" w:name="_Toc482379086"/>
      <w:bookmarkStart w:id="703" w:name="_Toc482378993"/>
      <w:bookmarkStart w:id="704" w:name="_Toc5833"/>
      <w:bookmarkStart w:id="705" w:name="_Toc6546"/>
      <w:r>
        <w:rPr>
          <w:rFonts w:hint="eastAsia" w:ascii="宋体" w:hAnsi="宋体"/>
          <w:b/>
          <w:sz w:val="24"/>
        </w:rPr>
        <w:t>十 参加政府采购活动前3年内在经营活动中没有重大违法记录的书面声明承诺书</w:t>
      </w:r>
      <w:bookmarkEnd w:id="698"/>
      <w:bookmarkEnd w:id="699"/>
      <w:bookmarkEnd w:id="700"/>
      <w:bookmarkEnd w:id="701"/>
      <w:bookmarkEnd w:id="702"/>
      <w:bookmarkEnd w:id="703"/>
      <w:bookmarkEnd w:id="704"/>
      <w:bookmarkEnd w:id="705"/>
    </w:p>
    <w:p>
      <w:pPr>
        <w:spacing w:line="360" w:lineRule="auto"/>
        <w:rPr>
          <w:rFonts w:hint="eastAsia" w:ascii="宋体" w:hAnsi="宋体"/>
          <w:sz w:val="24"/>
        </w:rPr>
      </w:pPr>
    </w:p>
    <w:p>
      <w:pPr>
        <w:spacing w:line="500" w:lineRule="exact"/>
        <w:ind w:firstLine="480" w:firstLineChars="200"/>
        <w:rPr>
          <w:rFonts w:hint="eastAsia" w:ascii="宋体" w:hAnsi="宋体"/>
          <w:sz w:val="24"/>
        </w:rPr>
      </w:pPr>
      <w:r>
        <w:rPr>
          <w:rFonts w:hint="eastAsia" w:ascii="宋体" w:hAnsi="宋体"/>
          <w:sz w:val="24"/>
        </w:rPr>
        <w:t>为进一步规范政府采购行为，提供更加优质的服务，我公司郑重做出如下声明（包括但不仅限于以下）：</w:t>
      </w:r>
    </w:p>
    <w:p>
      <w:pPr>
        <w:autoSpaceDE w:val="0"/>
        <w:autoSpaceDN w:val="0"/>
        <w:adjustRightInd w:val="0"/>
        <w:spacing w:line="360" w:lineRule="auto"/>
        <w:ind w:firstLine="480" w:firstLineChars="200"/>
        <w:rPr>
          <w:rFonts w:hint="eastAsia" w:ascii="宋体" w:hAnsi="宋体"/>
          <w:sz w:val="24"/>
        </w:rPr>
      </w:pPr>
      <w:r>
        <w:rPr>
          <w:rFonts w:hint="eastAsia" w:ascii="宋体" w:hAnsi="宋体"/>
          <w:sz w:val="24"/>
        </w:rPr>
        <w:t>参加政府采购活动前3年内在经营活动中没有重大违法记录。</w:t>
      </w:r>
    </w:p>
    <w:p>
      <w:pPr>
        <w:autoSpaceDE w:val="0"/>
        <w:autoSpaceDN w:val="0"/>
        <w:adjustRightInd w:val="0"/>
        <w:spacing w:line="360" w:lineRule="auto"/>
        <w:rPr>
          <w:rFonts w:hint="eastAsia" w:ascii="宋体" w:hAnsi="宋体"/>
          <w:bCs/>
          <w:spacing w:val="10"/>
          <w:kern w:val="0"/>
          <w:sz w:val="24"/>
        </w:rPr>
      </w:pPr>
    </w:p>
    <w:p>
      <w:pPr>
        <w:autoSpaceDE w:val="0"/>
        <w:autoSpaceDN w:val="0"/>
        <w:adjustRightInd w:val="0"/>
        <w:spacing w:line="360" w:lineRule="auto"/>
        <w:rPr>
          <w:rFonts w:hint="eastAsia" w:ascii="宋体" w:hAnsi="宋体"/>
          <w:bCs/>
          <w:spacing w:val="10"/>
          <w:kern w:val="0"/>
          <w:sz w:val="24"/>
        </w:rPr>
      </w:pPr>
    </w:p>
    <w:p>
      <w:pPr>
        <w:autoSpaceDE w:val="0"/>
        <w:autoSpaceDN w:val="0"/>
        <w:adjustRightInd w:val="0"/>
        <w:spacing w:line="360" w:lineRule="auto"/>
        <w:rPr>
          <w:rFonts w:hint="eastAsia" w:ascii="宋体" w:hAnsi="宋体"/>
          <w:bCs/>
          <w:spacing w:val="10"/>
          <w:kern w:val="0"/>
          <w:sz w:val="24"/>
        </w:rPr>
      </w:pPr>
    </w:p>
    <w:p>
      <w:pPr>
        <w:spacing w:line="360" w:lineRule="auto"/>
        <w:ind w:firstLine="556"/>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日期：   年  月  日</w:t>
      </w:r>
    </w:p>
    <w:p>
      <w:pPr>
        <w:spacing w:line="360" w:lineRule="auto"/>
        <w:rPr>
          <w:rFonts w:hint="eastAsia" w:ascii="宋体" w:hAnsi="宋体"/>
          <w:sz w:val="24"/>
        </w:rPr>
      </w:pPr>
    </w:p>
    <w:p>
      <w:pPr>
        <w:autoSpaceDE w:val="0"/>
        <w:autoSpaceDN w:val="0"/>
        <w:adjustRightInd w:val="0"/>
        <w:spacing w:line="360" w:lineRule="auto"/>
        <w:rPr>
          <w:rFonts w:ascii="宋体" w:hAnsi="宋体"/>
          <w:b/>
          <w:kern w:val="0"/>
          <w:sz w:val="24"/>
        </w:rPr>
      </w:pPr>
    </w:p>
    <w:p>
      <w:pPr>
        <w:autoSpaceDE w:val="0"/>
        <w:autoSpaceDN w:val="0"/>
        <w:adjustRightInd w:val="0"/>
        <w:spacing w:line="360" w:lineRule="auto"/>
        <w:rPr>
          <w:rFonts w:ascii="宋体" w:hAnsi="宋体"/>
          <w:sz w:val="24"/>
        </w:rPr>
      </w:pPr>
      <w:r>
        <w:rPr>
          <w:rFonts w:ascii="宋体" w:hAnsi="宋体"/>
          <w:b/>
          <w:kern w:val="0"/>
          <w:sz w:val="24"/>
        </w:rPr>
        <w:br w:type="page"/>
      </w:r>
    </w:p>
    <w:p>
      <w:pPr>
        <w:spacing w:line="360" w:lineRule="auto"/>
        <w:jc w:val="center"/>
        <w:outlineLvl w:val="1"/>
        <w:rPr>
          <w:rFonts w:hint="eastAsia" w:ascii="宋体" w:hAnsi="宋体"/>
          <w:b/>
          <w:sz w:val="24"/>
        </w:rPr>
      </w:pPr>
      <w:bookmarkStart w:id="706" w:name="_Toc18083"/>
      <w:bookmarkStart w:id="707" w:name="_Toc8148"/>
      <w:r>
        <w:rPr>
          <w:rFonts w:hint="eastAsia" w:ascii="宋体" w:hAnsi="宋体"/>
          <w:b/>
          <w:sz w:val="24"/>
        </w:rPr>
        <w:t>十一  资质证明文件</w:t>
      </w:r>
      <w:bookmarkEnd w:id="706"/>
      <w:bookmarkEnd w:id="707"/>
    </w:p>
    <w:p>
      <w:pPr>
        <w:pStyle w:val="6"/>
        <w:spacing w:beforeLines="0" w:afterLines="0"/>
        <w:jc w:val="center"/>
        <w:rPr>
          <w:rFonts w:hint="eastAsia" w:ascii="宋体" w:hAnsi="宋体" w:eastAsia="宋体" w:cs="宋体"/>
          <w:b/>
          <w:bCs/>
          <w:color w:val="000000"/>
          <w:sz w:val="30"/>
          <w:lang w:val="en-US" w:eastAsia="zh-CN"/>
        </w:rPr>
      </w:pPr>
      <w:r>
        <w:rPr>
          <w:rFonts w:hAnsi="宋体"/>
          <w:sz w:val="24"/>
        </w:rPr>
        <w:br w:type="page"/>
      </w:r>
      <w:bookmarkStart w:id="708" w:name="_Toc4655"/>
      <w:bookmarkStart w:id="709" w:name="_Toc25954"/>
      <w:r>
        <w:rPr>
          <w:rFonts w:hint="eastAsia" w:hAnsi="宋体"/>
          <w:b/>
          <w:sz w:val="24"/>
        </w:rPr>
        <w:t>十二、</w:t>
      </w:r>
      <w:r>
        <w:rPr>
          <w:rFonts w:hint="eastAsia" w:ascii="宋体" w:hAnsi="宋体" w:eastAsia="宋体" w:cs="宋体"/>
          <w:b/>
          <w:bCs/>
          <w:color w:val="000000"/>
          <w:sz w:val="30"/>
          <w:lang w:val="en-US" w:eastAsia="zh-CN"/>
        </w:rPr>
        <w:t>投标人及投标产品适用政府采购政策情况表</w:t>
      </w:r>
    </w:p>
    <w:tbl>
      <w:tblPr>
        <w:tblStyle w:val="2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643"/>
        <w:gridCol w:w="2025"/>
        <w:gridCol w:w="1734"/>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156" w:beforeLines="0" w:after="156" w:afterLines="0"/>
              <w:jc w:val="center"/>
              <w:rPr>
                <w:rFonts w:hint="eastAsia" w:ascii="宋体" w:hAnsi="宋体"/>
                <w:sz w:val="24"/>
              </w:rPr>
            </w:pPr>
            <w:r>
              <w:rPr>
                <w:rFonts w:hint="eastAsia" w:ascii="宋体" w:hAnsi="宋体"/>
                <w:sz w:val="24"/>
              </w:rPr>
              <w:t>监狱企业、残疾人福利性单位、中小企业扶持政策</w:t>
            </w:r>
          </w:p>
        </w:tc>
        <w:tc>
          <w:tcPr>
            <w:tcW w:w="828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line="360" w:lineRule="auto"/>
              <w:rPr>
                <w:rFonts w:hint="eastAsia" w:ascii="宋体" w:hAnsi="宋体"/>
                <w:sz w:val="24"/>
              </w:rPr>
            </w:pPr>
            <w:r>
              <w:rPr>
                <w:rFonts w:hint="eastAsia" w:ascii="宋体" w:hAnsi="宋体"/>
                <w:sz w:val="24"/>
              </w:rPr>
              <w:t>如属所列情形的，请在括号内打“√”：</w:t>
            </w:r>
          </w:p>
          <w:p>
            <w:pPr>
              <w:pStyle w:val="44"/>
              <w:widowControl/>
              <w:spacing w:beforeLines="0" w:afterLines="0" w:line="360" w:lineRule="auto"/>
              <w:rPr>
                <w:rFonts w:hint="eastAsia" w:ascii="宋体" w:hAnsi="宋体"/>
                <w:sz w:val="24"/>
              </w:rPr>
            </w:pPr>
            <w:r>
              <w:rPr>
                <w:rFonts w:hint="eastAsia" w:ascii="宋体" w:hAnsi="宋体"/>
                <w:sz w:val="24"/>
              </w:rPr>
              <w:t>（  ）投标人为监狱企业。</w:t>
            </w:r>
          </w:p>
          <w:p>
            <w:pPr>
              <w:pStyle w:val="44"/>
              <w:widowControl/>
              <w:spacing w:beforeLines="0" w:afterLines="0" w:line="360" w:lineRule="auto"/>
              <w:rPr>
                <w:rFonts w:hint="eastAsia" w:ascii="宋体" w:hAnsi="宋体"/>
                <w:sz w:val="24"/>
              </w:rPr>
            </w:pPr>
            <w:r>
              <w:rPr>
                <w:rFonts w:hint="eastAsia" w:ascii="宋体" w:hAnsi="宋体"/>
                <w:sz w:val="24"/>
              </w:rPr>
              <w:t>（  ）投标人为残疾人福利性单位。</w:t>
            </w:r>
          </w:p>
          <w:p>
            <w:pPr>
              <w:pStyle w:val="44"/>
              <w:widowControl/>
              <w:spacing w:beforeLines="0" w:afterLines="0" w:line="360" w:lineRule="auto"/>
              <w:rPr>
                <w:rFonts w:hint="eastAsia" w:ascii="宋体" w:hAnsi="宋体"/>
                <w:sz w:val="24"/>
              </w:rPr>
            </w:pPr>
            <w:r>
              <w:rPr>
                <w:rFonts w:hint="eastAsia" w:ascii="宋体" w:hAnsi="宋体"/>
                <w:sz w:val="24"/>
              </w:rPr>
              <w:t>（  ）小型、微型企业投标且提供本企业制造的产品。</w:t>
            </w:r>
          </w:p>
          <w:p>
            <w:pPr>
              <w:pStyle w:val="44"/>
              <w:widowControl/>
              <w:tabs>
                <w:tab w:val="left" w:pos="1260"/>
              </w:tabs>
              <w:spacing w:before="40" w:beforeLines="0" w:after="40" w:afterLines="0" w:line="360" w:lineRule="auto"/>
              <w:rPr>
                <w:rFonts w:hint="eastAsia" w:ascii="宋体" w:hAnsi="宋体"/>
                <w:sz w:val="24"/>
              </w:rPr>
            </w:pPr>
            <w:r>
              <w:rPr>
                <w:rFonts w:hint="eastAsia" w:ascii="宋体" w:hAnsi="宋体"/>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r>
              <w:rPr>
                <w:rFonts w:hint="eastAsia" w:ascii="宋体" w:hAnsi="宋体"/>
                <w:sz w:val="24"/>
              </w:rPr>
              <w:t>制造商</w:t>
            </w:r>
          </w:p>
          <w:p>
            <w:pPr>
              <w:pStyle w:val="44"/>
              <w:widowControl/>
              <w:tabs>
                <w:tab w:val="left" w:pos="1260"/>
              </w:tabs>
              <w:spacing w:before="40" w:beforeLines="0" w:after="40" w:afterLines="0"/>
              <w:jc w:val="center"/>
              <w:rPr>
                <w:rFonts w:hint="eastAsia" w:ascii="宋体" w:hAnsi="宋体"/>
                <w:sz w:val="24"/>
              </w:rPr>
            </w:pPr>
            <w:r>
              <w:rPr>
                <w:rFonts w:hint="eastAsia" w:ascii="宋体" w:hAnsi="宋体"/>
                <w:sz w:val="24"/>
              </w:rPr>
              <w:t>企业类型</w:t>
            </w: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640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r>
              <w:rPr>
                <w:rFonts w:hint="eastAsia" w:ascii="宋体" w:hAnsi="宋体"/>
                <w:sz w:val="24"/>
              </w:rPr>
              <w:t>小型、微型企业产品金额合计</w:t>
            </w: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156" w:beforeLines="0" w:after="156" w:afterLines="0"/>
              <w:jc w:val="center"/>
              <w:rPr>
                <w:rFonts w:hint="eastAsia" w:ascii="宋体" w:hAnsi="宋体"/>
                <w:sz w:val="21"/>
              </w:rPr>
            </w:pPr>
            <w:r>
              <w:rPr>
                <w:rFonts w:hint="eastAsia" w:ascii="宋体" w:hAnsi="宋体"/>
                <w:sz w:val="24"/>
              </w:rPr>
              <w:t>节能产品</w:t>
            </w: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r>
              <w:rPr>
                <w:rFonts w:hint="eastAsia" w:ascii="宋体" w:hAnsi="宋体"/>
                <w:sz w:val="24"/>
              </w:rPr>
              <w:t>认证证书编号</w:t>
            </w: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156" w:beforeLines="0" w:after="156" w:afterLines="0"/>
              <w:jc w:val="center"/>
              <w:rPr>
                <w:rFonts w:hint="eastAsia"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156" w:beforeLines="0" w:after="156" w:afterLines="0"/>
              <w:jc w:val="center"/>
              <w:rPr>
                <w:rFonts w:hint="eastAsia"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156" w:beforeLines="0" w:after="156" w:afterLines="0"/>
              <w:jc w:val="center"/>
              <w:rPr>
                <w:rFonts w:hint="eastAsia"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156" w:beforeLines="0" w:after="156" w:afterLines="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156" w:beforeLines="0" w:after="156" w:afterLines="0"/>
              <w:jc w:val="center"/>
              <w:rPr>
                <w:rFonts w:hint="eastAsia" w:ascii="宋体" w:hAnsi="宋体"/>
                <w:sz w:val="24"/>
              </w:rPr>
            </w:pPr>
            <w:r>
              <w:rPr>
                <w:rFonts w:hint="eastAsia" w:ascii="宋体" w:hAnsi="宋体"/>
                <w:sz w:val="24"/>
              </w:rPr>
              <w:t>环境标志产品</w:t>
            </w: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r>
              <w:rPr>
                <w:rFonts w:hint="eastAsia" w:ascii="宋体" w:hAnsi="宋体"/>
                <w:sz w:val="24"/>
              </w:rPr>
              <w:t>认证证书编号</w:t>
            </w: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40" w:beforeLines="0" w:after="40" w:afterLines="0"/>
              <w:jc w:val="center"/>
              <w:rPr>
                <w:rFonts w:hint="eastAsia"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156" w:beforeLines="0" w:after="156" w:afterLines="0"/>
              <w:jc w:val="center"/>
              <w:rPr>
                <w:rFonts w:hint="eastAsia"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156" w:beforeLines="0" w:after="156" w:afterLines="0"/>
              <w:jc w:val="center"/>
              <w:rPr>
                <w:rFonts w:hint="eastAsia"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156" w:beforeLines="0" w:after="156" w:afterLines="0"/>
              <w:jc w:val="center"/>
              <w:rPr>
                <w:rFonts w:hint="eastAsia"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156" w:beforeLines="0" w:after="156" w:afterLines="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156" w:beforeLines="0" w:after="156" w:afterLines="0"/>
              <w:jc w:val="center"/>
              <w:rPr>
                <w:rFonts w:hint="eastAsia"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156" w:beforeLines="0" w:after="156" w:afterLines="0"/>
              <w:jc w:val="center"/>
              <w:rPr>
                <w:rFonts w:hint="eastAsia"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156" w:beforeLines="0" w:after="156" w:afterLines="0"/>
              <w:jc w:val="center"/>
              <w:rPr>
                <w:rFonts w:hint="eastAsia"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4"/>
              <w:widowControl/>
              <w:tabs>
                <w:tab w:val="left" w:pos="1260"/>
              </w:tabs>
              <w:spacing w:before="156" w:beforeLines="0" w:after="156" w:afterLines="0"/>
              <w:jc w:val="center"/>
              <w:rPr>
                <w:rFonts w:hint="eastAsia" w:ascii="宋体" w:hAnsi="宋体"/>
                <w:sz w:val="24"/>
              </w:rPr>
            </w:pPr>
          </w:p>
        </w:tc>
      </w:tr>
    </w:tbl>
    <w:p>
      <w:pPr>
        <w:pStyle w:val="44"/>
        <w:widowControl/>
        <w:spacing w:beforeLines="0" w:afterLines="0" w:line="460" w:lineRule="exact"/>
        <w:ind w:left="821" w:hanging="820" w:hangingChars="342"/>
        <w:rPr>
          <w:rFonts w:hint="eastAsia" w:ascii="宋体" w:hAnsi="宋体"/>
          <w:sz w:val="24"/>
        </w:rPr>
      </w:pPr>
      <w:r>
        <w:rPr>
          <w:rFonts w:hint="eastAsia" w:ascii="宋体" w:hAnsi="宋体"/>
          <w:sz w:val="24"/>
        </w:rPr>
        <w:t>填报要求：</w:t>
      </w:r>
    </w:p>
    <w:p>
      <w:pPr>
        <w:pStyle w:val="44"/>
        <w:widowControl/>
        <w:numPr>
          <w:ilvl w:val="0"/>
          <w:numId w:val="7"/>
        </w:numPr>
        <w:tabs>
          <w:tab w:val="left" w:pos="360"/>
        </w:tabs>
        <w:spacing w:beforeLines="0" w:afterLines="0" w:line="360" w:lineRule="auto"/>
        <w:ind w:left="360" w:right="84" w:rightChars="40" w:hanging="360"/>
        <w:jc w:val="left"/>
        <w:rPr>
          <w:rFonts w:hint="eastAsia" w:ascii="宋体" w:hAnsi="宋体"/>
          <w:sz w:val="24"/>
        </w:rPr>
      </w:pPr>
      <w:r>
        <w:rPr>
          <w:rFonts w:hint="eastAsia" w:ascii="宋体" w:hAnsi="宋体"/>
          <w:sz w:val="24"/>
        </w:rPr>
        <w:t>本表的产品名称、规格型号和注册商标、金额应与《报价明细表》一致。</w:t>
      </w:r>
    </w:p>
    <w:p>
      <w:pPr>
        <w:pStyle w:val="44"/>
        <w:widowControl/>
        <w:numPr>
          <w:ilvl w:val="0"/>
          <w:numId w:val="7"/>
        </w:numPr>
        <w:tabs>
          <w:tab w:val="left" w:pos="360"/>
        </w:tabs>
        <w:spacing w:beforeLines="0" w:afterLines="0" w:line="360" w:lineRule="auto"/>
        <w:ind w:left="360" w:right="84" w:rightChars="40" w:hanging="360"/>
        <w:jc w:val="left"/>
        <w:rPr>
          <w:rFonts w:hint="eastAsia" w:ascii="宋体" w:hAnsi="宋体"/>
          <w:sz w:val="24"/>
        </w:rPr>
      </w:pPr>
      <w:r>
        <w:rPr>
          <w:rFonts w:hint="eastAsia" w:ascii="宋体" w:hAnsi="宋体"/>
          <w:sz w:val="24"/>
        </w:rPr>
        <w:t>制造商为监狱企业、小型或微型企业时才需要填“制造商企业类型”栏，填写内容为“小型”或“微型”。</w:t>
      </w:r>
    </w:p>
    <w:p>
      <w:pPr>
        <w:pStyle w:val="44"/>
        <w:widowControl/>
        <w:numPr>
          <w:ilvl w:val="0"/>
          <w:numId w:val="7"/>
        </w:numPr>
        <w:tabs>
          <w:tab w:val="left" w:pos="360"/>
        </w:tabs>
        <w:spacing w:beforeLines="0" w:afterLines="0" w:line="360" w:lineRule="auto"/>
        <w:ind w:left="360" w:right="84" w:rightChars="40" w:hanging="360"/>
        <w:jc w:val="left"/>
        <w:rPr>
          <w:rFonts w:hint="eastAsia" w:ascii="宋体" w:hAnsi="宋体"/>
          <w:sz w:val="24"/>
        </w:rPr>
      </w:pPr>
      <w:r>
        <w:rPr>
          <w:rFonts w:hint="eastAsia" w:ascii="宋体" w:hAnsi="宋体"/>
          <w:sz w:val="24"/>
        </w:rPr>
        <w:t>节能产品是指财政部和国家发展改革委员会公布的最新《节能产品政府采购清单》中的产品；环境标志产品是指财政部、环境保护部发布的最新《环境标志产品政府采购清单》中的产品。请提供《清单》中相关内容页（并对相关内容作圈记）。</w:t>
      </w:r>
    </w:p>
    <w:p>
      <w:pPr>
        <w:pStyle w:val="44"/>
        <w:widowControl/>
        <w:numPr>
          <w:ilvl w:val="0"/>
          <w:numId w:val="7"/>
        </w:numPr>
        <w:tabs>
          <w:tab w:val="left" w:pos="360"/>
        </w:tabs>
        <w:spacing w:beforeLines="0" w:afterLines="0" w:line="360" w:lineRule="auto"/>
        <w:ind w:left="360" w:right="84" w:rightChars="40" w:hanging="360"/>
        <w:jc w:val="left"/>
        <w:rPr>
          <w:rFonts w:hint="eastAsia" w:ascii="宋体" w:hAnsi="宋体"/>
          <w:sz w:val="24"/>
        </w:rPr>
      </w:pPr>
      <w:r>
        <w:rPr>
          <w:rFonts w:hint="eastAsia" w:ascii="宋体" w:hAnsi="宋体"/>
          <w:sz w:val="24"/>
        </w:rPr>
        <w:t>请投标人正确填写本表，所填内容将作为评审的依据。其内容或数据应与对应的证明资料相符。</w:t>
      </w:r>
    </w:p>
    <w:p>
      <w:pPr>
        <w:pStyle w:val="44"/>
        <w:widowControl/>
        <w:numPr>
          <w:ilvl w:val="0"/>
          <w:numId w:val="7"/>
        </w:numPr>
        <w:tabs>
          <w:tab w:val="left" w:pos="360"/>
        </w:tabs>
        <w:spacing w:beforeLines="0" w:afterLines="0" w:line="360" w:lineRule="auto"/>
        <w:ind w:left="360" w:right="84" w:rightChars="40" w:hanging="360"/>
        <w:jc w:val="left"/>
        <w:rPr>
          <w:rFonts w:hint="eastAsia" w:ascii="宋体" w:hAnsi="宋体"/>
          <w:sz w:val="24"/>
        </w:rPr>
      </w:pPr>
      <w:r>
        <w:rPr>
          <w:rFonts w:hint="eastAsia" w:ascii="宋体" w:hAnsi="宋体"/>
          <w:sz w:val="24"/>
        </w:rPr>
        <w:t>没有相关产品可不填此表。</w:t>
      </w:r>
    </w:p>
    <w:p>
      <w:pPr>
        <w:pStyle w:val="12"/>
        <w:spacing w:line="360" w:lineRule="auto"/>
        <w:jc w:val="center"/>
        <w:outlineLvl w:val="1"/>
        <w:rPr>
          <w:rFonts w:hint="eastAsia" w:hAnsi="宋体"/>
          <w:b/>
          <w:sz w:val="24"/>
        </w:rPr>
      </w:pPr>
    </w:p>
    <w:p>
      <w:pPr>
        <w:rPr>
          <w:rFonts w:hint="eastAsia" w:hAnsi="宋体"/>
          <w:b/>
          <w:sz w:val="24"/>
        </w:rPr>
      </w:pPr>
      <w:r>
        <w:rPr>
          <w:rFonts w:hint="eastAsia" w:hAnsi="宋体"/>
          <w:b/>
          <w:sz w:val="24"/>
        </w:rPr>
        <w:br w:type="page"/>
      </w:r>
    </w:p>
    <w:p>
      <w:pPr>
        <w:pStyle w:val="12"/>
        <w:spacing w:line="360" w:lineRule="auto"/>
        <w:jc w:val="center"/>
        <w:outlineLvl w:val="1"/>
        <w:rPr>
          <w:rFonts w:hAnsi="宋体"/>
          <w:b/>
          <w:sz w:val="24"/>
        </w:rPr>
      </w:pPr>
      <w:r>
        <w:rPr>
          <w:rFonts w:hAnsi="宋体"/>
          <w:b/>
          <w:sz w:val="24"/>
        </w:rPr>
        <w:t xml:space="preserve"> 投标人企业</w:t>
      </w:r>
      <w:r>
        <w:rPr>
          <w:rFonts w:hint="eastAsia" w:hAnsi="宋体"/>
          <w:b/>
          <w:sz w:val="24"/>
        </w:rPr>
        <w:t>（单位）</w:t>
      </w:r>
      <w:r>
        <w:rPr>
          <w:rFonts w:hAnsi="宋体"/>
          <w:b/>
          <w:sz w:val="24"/>
        </w:rPr>
        <w:t>类型声明函</w:t>
      </w:r>
      <w:bookmarkEnd w:id="708"/>
      <w:bookmarkEnd w:id="709"/>
    </w:p>
    <w:p>
      <w:pPr>
        <w:widowControl/>
        <w:spacing w:before="100" w:beforeAutospacing="1" w:after="100" w:afterAutospacing="1" w:line="360" w:lineRule="auto"/>
        <w:ind w:firstLine="480" w:firstLineChars="200"/>
        <w:jc w:val="left"/>
        <w:rPr>
          <w:rFonts w:hint="eastAsia" w:ascii="宋体" w:hAnsi="宋体" w:cs="宋体"/>
          <w:kern w:val="0"/>
          <w:sz w:val="24"/>
        </w:rPr>
      </w:pP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郑重声明</w:t>
      </w:r>
      <w:r>
        <w:rPr>
          <w:rFonts w:hint="eastAsia" w:ascii="宋体" w:hAnsi="宋体" w:cs="宋体"/>
          <w:kern w:val="0"/>
          <w:sz w:val="24"/>
        </w:rPr>
        <w:t>下列事项（按照实际情况勾选或填空）：</w:t>
      </w:r>
    </w:p>
    <w:p>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w:t>
      </w:r>
      <w:r>
        <w:rPr>
          <w:rFonts w:hint="eastAsia" w:ascii="宋体" w:hAnsi="宋体" w:cs="宋体"/>
          <w:kern w:val="0"/>
          <w:sz w:val="24"/>
        </w:rPr>
        <w:t>。</w:t>
      </w:r>
    </w:p>
    <w:p>
      <w:pPr>
        <w:widowControl/>
        <w:spacing w:before="100" w:beforeAutospacing="1" w:after="100" w:afterAutospacing="1" w:line="360" w:lineRule="auto"/>
        <w:ind w:firstLine="360" w:firstLineChars="15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根据《工业和信息化部、国家统计局、国家发展和改革委员会、财政部关于印发中小企业划型标准规定的通知》（工信部联企业[2011]300号）规定的划分标准，本</w:t>
      </w:r>
      <w:r>
        <w:rPr>
          <w:rFonts w:hint="eastAsia" w:ascii="宋体" w:hAnsi="宋体" w:cs="宋体"/>
          <w:kern w:val="0"/>
          <w:sz w:val="24"/>
        </w:rPr>
        <w:t>企业</w:t>
      </w:r>
      <w:r>
        <w:rPr>
          <w:rFonts w:ascii="宋体" w:hAnsi="宋体" w:cs="宋体"/>
          <w:kern w:val="0"/>
          <w:sz w:val="24"/>
        </w:rPr>
        <w:t>为______（请填写：大型</w:t>
      </w:r>
      <w:r>
        <w:rPr>
          <w:rFonts w:hint="eastAsia" w:ascii="宋体" w:hAnsi="宋体" w:cs="宋体"/>
          <w:kern w:val="0"/>
          <w:sz w:val="24"/>
        </w:rPr>
        <w:t>、</w:t>
      </w:r>
      <w:r>
        <w:rPr>
          <w:rFonts w:ascii="宋体" w:hAnsi="宋体" w:cs="宋体"/>
          <w:kern w:val="0"/>
          <w:sz w:val="24"/>
        </w:rPr>
        <w:t>中型、小型、微型）企业。</w:t>
      </w:r>
    </w:p>
    <w:p>
      <w:pPr>
        <w:widowControl/>
        <w:spacing w:before="100" w:beforeAutospacing="1" w:after="100" w:afterAutospacing="1" w:line="360" w:lineRule="auto"/>
        <w:ind w:firstLine="420"/>
        <w:jc w:val="left"/>
        <w:rPr>
          <w:rFonts w:hint="eastAsia" w:ascii="宋体" w:hAnsi="宋体" w:cs="宋体"/>
          <w:kern w:val="0"/>
          <w:sz w:val="24"/>
        </w:rPr>
      </w:pPr>
      <w:r>
        <w:rPr>
          <w:rFonts w:hint="eastAsia" w:ascii="宋体" w:hAnsi="宋体" w:cs="宋体"/>
          <w:kern w:val="0"/>
          <w:sz w:val="24"/>
        </w:rPr>
        <w:t>（2）</w:t>
      </w:r>
      <w:r>
        <w:rPr>
          <w:rFonts w:ascii="宋体" w:hAnsi="宋体" w:cs="宋体"/>
          <w:kern w:val="0"/>
          <w:sz w:val="24"/>
        </w:rPr>
        <w:t>本</w:t>
      </w:r>
      <w:r>
        <w:rPr>
          <w:rFonts w:hint="eastAsia" w:ascii="宋体" w:hAnsi="宋体" w:cs="宋体"/>
          <w:kern w:val="0"/>
          <w:sz w:val="24"/>
        </w:rPr>
        <w:t>企业（单位）为联合体一方，</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制造的货物，由本企业</w:t>
      </w:r>
      <w:r>
        <w:rPr>
          <w:rFonts w:hint="eastAsia" w:ascii="宋体" w:hAnsi="宋体" w:cs="宋体"/>
          <w:kern w:val="0"/>
          <w:sz w:val="24"/>
        </w:rPr>
        <w:t>（单位）</w:t>
      </w:r>
      <w:r>
        <w:rPr>
          <w:rFonts w:ascii="宋体" w:hAnsi="宋体" w:cs="宋体"/>
          <w:kern w:val="0"/>
          <w:sz w:val="24"/>
        </w:rPr>
        <w:t>承担工程、提供服务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60" w:lineRule="auto"/>
        <w:ind w:firstLine="420"/>
        <w:jc w:val="left"/>
        <w:rPr>
          <w:rFonts w:hint="eastAsia" w:ascii="宋体" w:hAnsi="宋体" w:cs="宋体"/>
          <w:kern w:val="0"/>
          <w:sz w:val="24"/>
        </w:rPr>
      </w:pPr>
      <w:r>
        <w:rPr>
          <w:rFonts w:hint="eastAsia" w:ascii="宋体" w:hAnsi="宋体" w:cs="宋体"/>
          <w:kern w:val="0"/>
          <w:sz w:val="24"/>
        </w:rPr>
        <w:t>2、□</w:t>
      </w: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为代理商，</w:t>
      </w:r>
      <w:r>
        <w:rPr>
          <w:rFonts w:ascii="宋体" w:hAnsi="宋体" w:cs="宋体"/>
          <w:kern w:val="0"/>
          <w:sz w:val="24"/>
        </w:rPr>
        <w:t>提供其他______（请填写：大型</w:t>
      </w:r>
      <w:r>
        <w:rPr>
          <w:rFonts w:hint="eastAsia" w:ascii="宋体" w:hAnsi="宋体" w:cs="宋体"/>
          <w:kern w:val="0"/>
          <w:sz w:val="24"/>
        </w:rPr>
        <w:t>、</w:t>
      </w:r>
      <w:r>
        <w:rPr>
          <w:rFonts w:ascii="宋体" w:hAnsi="宋体" w:cs="宋体"/>
          <w:kern w:val="0"/>
          <w:sz w:val="24"/>
        </w:rPr>
        <w:t>中型、小型、微型）企业</w:t>
      </w:r>
      <w:r>
        <w:rPr>
          <w:rFonts w:hint="eastAsia" w:ascii="宋体" w:hAnsi="宋体" w:cs="宋体"/>
          <w:kern w:val="0"/>
          <w:sz w:val="24"/>
        </w:rPr>
        <w:t>、</w:t>
      </w:r>
      <w:r>
        <w:rPr>
          <w:rFonts w:ascii="宋体" w:hAnsi="宋体" w:cs="宋体"/>
          <w:kern w:val="0"/>
          <w:sz w:val="24"/>
        </w:rPr>
        <w:t>监狱企业</w:t>
      </w:r>
      <w:r>
        <w:rPr>
          <w:rFonts w:hint="eastAsia" w:ascii="宋体" w:hAnsi="宋体" w:cs="宋体"/>
          <w:kern w:val="0"/>
          <w:sz w:val="24"/>
        </w:rPr>
        <w:t>或</w:t>
      </w:r>
      <w:r>
        <w:rPr>
          <w:rFonts w:ascii="宋体" w:hAnsi="宋体" w:cs="宋体"/>
          <w:kern w:val="0"/>
          <w:sz w:val="24"/>
        </w:rPr>
        <w:t>残疾人福利性单位制造的货物。本条所称货物不包括使用大型企业注册商标的货物。</w:t>
      </w:r>
      <w:r>
        <w:rPr>
          <w:rFonts w:hint="eastAsia" w:ascii="宋体" w:hAnsi="宋体" w:cs="宋体"/>
          <w:kern w:val="0"/>
          <w:sz w:val="24"/>
        </w:rPr>
        <w:t>（后附制造商</w:t>
      </w:r>
      <w:r>
        <w:rPr>
          <w:rFonts w:ascii="宋体" w:hAnsi="宋体" w:cs="宋体"/>
          <w:kern w:val="0"/>
          <w:sz w:val="24"/>
        </w:rPr>
        <w:t>企业</w:t>
      </w:r>
      <w:r>
        <w:rPr>
          <w:rFonts w:hint="eastAsia" w:ascii="宋体" w:hAnsi="宋体" w:cs="宋体"/>
          <w:kern w:val="0"/>
          <w:sz w:val="24"/>
        </w:rPr>
        <w:t>（单位）</w:t>
      </w:r>
      <w:r>
        <w:rPr>
          <w:rFonts w:ascii="宋体" w:hAnsi="宋体" w:cs="宋体"/>
          <w:kern w:val="0"/>
          <w:sz w:val="24"/>
        </w:rPr>
        <w:t>类型声明函</w:t>
      </w:r>
      <w:r>
        <w:rPr>
          <w:rFonts w:hint="eastAsia" w:ascii="宋体" w:hAnsi="宋体" w:cs="宋体"/>
          <w:kern w:val="0"/>
          <w:sz w:val="24"/>
        </w:rPr>
        <w:t>）</w:t>
      </w:r>
    </w:p>
    <w:p>
      <w:pPr>
        <w:widowControl/>
        <w:spacing w:before="100" w:beforeAutospacing="1" w:after="100" w:afterAutospacing="1" w:line="360" w:lineRule="auto"/>
        <w:ind w:firstLine="475"/>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p>
      <w:pPr>
        <w:widowControl/>
        <w:spacing w:before="100" w:beforeAutospacing="1" w:after="100" w:afterAutospacing="1" w:line="360" w:lineRule="auto"/>
        <w:jc w:val="left"/>
        <w:rPr>
          <w:rFonts w:ascii="宋体" w:hAnsi="宋体" w:cs="宋体"/>
          <w:kern w:val="0"/>
          <w:sz w:val="24"/>
        </w:rPr>
      </w:pPr>
    </w:p>
    <w:p>
      <w:pPr>
        <w:spacing w:line="360" w:lineRule="auto"/>
        <w:ind w:firstLine="556"/>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日期：   年  月  日</w:t>
      </w:r>
    </w:p>
    <w:p>
      <w:pPr>
        <w:widowControl/>
        <w:spacing w:before="100" w:beforeAutospacing="1" w:after="100" w:afterAutospacing="1" w:line="360" w:lineRule="auto"/>
        <w:ind w:firstLine="3120" w:firstLineChars="1300"/>
        <w:jc w:val="left"/>
        <w:rPr>
          <w:rFonts w:hint="eastAsia" w:ascii="宋体" w:hAnsi="宋体"/>
          <w:b/>
          <w:kern w:val="0"/>
          <w:sz w:val="24"/>
          <w:szCs w:val="20"/>
        </w:rPr>
      </w:pPr>
      <w:r>
        <w:rPr>
          <w:rFonts w:hint="eastAsia" w:ascii="宋体" w:hAnsi="宋体" w:cs="宋体"/>
          <w:kern w:val="0"/>
          <w:sz w:val="24"/>
        </w:rPr>
        <w:t xml:space="preserve">  </w:t>
      </w:r>
      <w:r>
        <w:rPr>
          <w:rFonts w:ascii="宋体" w:hAnsi="宋体"/>
          <w:b/>
          <w:kern w:val="0"/>
          <w:sz w:val="24"/>
          <w:szCs w:val="20"/>
        </w:rPr>
        <w:t>　</w:t>
      </w:r>
    </w:p>
    <w:p>
      <w:pPr>
        <w:widowControl/>
        <w:spacing w:before="100" w:beforeAutospacing="1" w:after="100" w:afterAutospacing="1" w:line="360" w:lineRule="auto"/>
        <w:ind w:firstLine="3132" w:firstLineChars="1300"/>
        <w:jc w:val="left"/>
        <w:rPr>
          <w:rFonts w:ascii="宋体" w:hAnsi="宋体"/>
          <w:b/>
          <w:kern w:val="0"/>
          <w:sz w:val="24"/>
          <w:szCs w:val="20"/>
        </w:rPr>
      </w:pPr>
    </w:p>
    <w:p>
      <w:pPr>
        <w:pStyle w:val="4"/>
        <w:spacing w:before="0" w:line="360" w:lineRule="auto"/>
        <w:rPr>
          <w:rFonts w:ascii="宋体" w:hAnsi="宋体" w:eastAsia="宋体"/>
          <w:sz w:val="24"/>
        </w:rPr>
      </w:pPr>
      <w:r>
        <w:rPr>
          <w:rFonts w:ascii="宋体" w:hAnsi="宋体" w:eastAsia="宋体"/>
          <w:b w:val="0"/>
          <w:sz w:val="24"/>
        </w:rPr>
        <w:br w:type="page"/>
      </w:r>
      <w:bookmarkStart w:id="710" w:name="_Toc10288"/>
      <w:bookmarkStart w:id="711" w:name="_Toc14934316"/>
      <w:bookmarkStart w:id="712" w:name="_Toc2090"/>
      <w:bookmarkStart w:id="713" w:name="_Toc532473512"/>
      <w:bookmarkStart w:id="714" w:name="_Toc11803"/>
      <w:bookmarkStart w:id="715" w:name="_Toc10977"/>
      <w:bookmarkStart w:id="716" w:name="_Toc515647824"/>
      <w:r>
        <w:rPr>
          <w:rFonts w:ascii="宋体" w:hAnsi="宋体" w:eastAsia="宋体"/>
          <w:sz w:val="24"/>
        </w:rPr>
        <w:t xml:space="preserve">  投标人</w:t>
      </w:r>
      <w:r>
        <w:rPr>
          <w:rFonts w:hint="eastAsia" w:ascii="宋体" w:hAnsi="宋体" w:eastAsia="宋体"/>
          <w:sz w:val="24"/>
        </w:rPr>
        <w:t>监狱企业</w:t>
      </w:r>
      <w:r>
        <w:rPr>
          <w:rFonts w:ascii="宋体" w:hAnsi="宋体" w:eastAsia="宋体"/>
          <w:sz w:val="24"/>
        </w:rPr>
        <w:t>声明函</w:t>
      </w:r>
      <w:bookmarkEnd w:id="710"/>
      <w:bookmarkEnd w:id="711"/>
      <w:bookmarkEnd w:id="712"/>
    </w:p>
    <w:bookmarkEnd w:id="713"/>
    <w:p>
      <w:pPr>
        <w:spacing w:line="360" w:lineRule="auto"/>
        <w:ind w:left="1080" w:leftChars="257" w:hanging="540"/>
        <w:jc w:val="center"/>
        <w:rPr>
          <w:rFonts w:hint="eastAsia" w:ascii="宋体" w:hAnsi="宋体"/>
          <w:b/>
          <w:kern w:val="0"/>
          <w:sz w:val="24"/>
          <w:szCs w:val="20"/>
        </w:rPr>
      </w:pPr>
    </w:p>
    <w:p>
      <w:pPr>
        <w:widowControl/>
        <w:spacing w:before="100" w:beforeAutospacing="1" w:after="100" w:afterAutospacing="1" w:line="360" w:lineRule="auto"/>
        <w:ind w:firstLine="480" w:firstLineChars="200"/>
        <w:jc w:val="left"/>
        <w:rPr>
          <w:rFonts w:hint="eastAsia"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w:t>
      </w:r>
      <w:r>
        <w:rPr>
          <w:rFonts w:hint="eastAsia" w:ascii="宋体" w:hAnsi="宋体" w:cs="宋体"/>
          <w:kern w:val="0"/>
          <w:sz w:val="24"/>
        </w:rPr>
        <w:t>。</w:t>
      </w:r>
    </w:p>
    <w:p>
      <w:pPr>
        <w:widowControl/>
        <w:spacing w:before="100" w:beforeAutospacing="1" w:after="100" w:afterAutospacing="1" w:line="360" w:lineRule="auto"/>
        <w:ind w:firstLine="360" w:firstLineChars="150"/>
        <w:jc w:val="left"/>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制造的货物，由本企业</w:t>
      </w:r>
      <w:r>
        <w:rPr>
          <w:rFonts w:hint="eastAsia" w:ascii="宋体" w:hAnsi="宋体" w:cs="宋体"/>
          <w:kern w:val="0"/>
          <w:sz w:val="24"/>
        </w:rPr>
        <w:t>（单位）</w:t>
      </w:r>
      <w:r>
        <w:rPr>
          <w:rFonts w:ascii="宋体" w:hAnsi="宋体" w:cs="宋体"/>
          <w:kern w:val="0"/>
          <w:sz w:val="24"/>
        </w:rPr>
        <w:t>承担工程、提供服务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60" w:lineRule="auto"/>
        <w:ind w:firstLine="475"/>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hint="eastAsia" w:ascii="宋体" w:hAnsi="宋体" w:cs="宋体"/>
          <w:kern w:val="0"/>
          <w:sz w:val="24"/>
        </w:rPr>
      </w:pPr>
    </w:p>
    <w:p>
      <w:pPr>
        <w:spacing w:line="360" w:lineRule="auto"/>
        <w:ind w:left="1080" w:leftChars="257" w:hanging="540"/>
        <w:jc w:val="center"/>
        <w:rPr>
          <w:rFonts w:ascii="宋体" w:hAnsi="宋体"/>
          <w:b/>
          <w:kern w:val="0"/>
          <w:sz w:val="24"/>
          <w:szCs w:val="20"/>
        </w:rPr>
      </w:pPr>
      <w:r>
        <w:rPr>
          <w:rFonts w:ascii="宋体" w:hAnsi="宋体"/>
          <w:b/>
          <w:kern w:val="0"/>
          <w:sz w:val="24"/>
          <w:szCs w:val="20"/>
        </w:rPr>
        <w:t>　</w:t>
      </w:r>
    </w:p>
    <w:p>
      <w:pPr>
        <w:spacing w:line="360" w:lineRule="auto"/>
        <w:rPr>
          <w:rFonts w:ascii="宋体" w:hAnsi="宋体"/>
          <w:b/>
          <w:sz w:val="24"/>
        </w:rPr>
      </w:pPr>
    </w:p>
    <w:p>
      <w:pPr>
        <w:spacing w:line="360" w:lineRule="auto"/>
        <w:ind w:firstLine="556"/>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日期：   年  月  日</w:t>
      </w:r>
    </w:p>
    <w:p>
      <w:pPr>
        <w:pStyle w:val="4"/>
        <w:spacing w:before="0" w:line="360" w:lineRule="auto"/>
        <w:ind w:firstLine="2168" w:firstLineChars="900"/>
        <w:jc w:val="both"/>
        <w:rPr>
          <w:rFonts w:ascii="宋体" w:hAnsi="宋体" w:eastAsia="宋体"/>
          <w:sz w:val="24"/>
        </w:rPr>
      </w:pPr>
      <w:r>
        <w:rPr>
          <w:rFonts w:ascii="宋体" w:hAnsi="宋体" w:eastAsia="宋体"/>
          <w:sz w:val="24"/>
        </w:rPr>
        <w:br w:type="page"/>
      </w:r>
      <w:bookmarkStart w:id="717" w:name="_Toc7797"/>
      <w:bookmarkStart w:id="718" w:name="_Toc14934317"/>
      <w:bookmarkStart w:id="719" w:name="_Toc4139"/>
      <w:bookmarkStart w:id="720" w:name="_Toc532473513"/>
      <w:r>
        <w:rPr>
          <w:rFonts w:ascii="宋体" w:hAnsi="宋体" w:eastAsia="宋体"/>
          <w:b w:val="0"/>
          <w:sz w:val="24"/>
        </w:rPr>
        <w:t xml:space="preserve"> </w:t>
      </w:r>
      <w:r>
        <w:rPr>
          <w:rFonts w:hint="eastAsia" w:ascii="宋体" w:hAnsi="宋体" w:eastAsia="宋体"/>
          <w:sz w:val="24"/>
        </w:rPr>
        <w:t>残疾人福利性单位声明函</w:t>
      </w:r>
      <w:bookmarkEnd w:id="717"/>
      <w:bookmarkEnd w:id="718"/>
      <w:bookmarkEnd w:id="719"/>
    </w:p>
    <w:bookmarkEnd w:id="720"/>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rPr>
      </w:pPr>
    </w:p>
    <w:p>
      <w:pPr>
        <w:spacing w:line="360" w:lineRule="auto"/>
        <w:ind w:firstLine="556"/>
        <w:rPr>
          <w:rFonts w:hint="eastAsia" w:ascii="宋体" w:hAnsi="宋体"/>
          <w:sz w:val="24"/>
        </w:rPr>
      </w:pPr>
      <w:r>
        <w:rPr>
          <w:rFonts w:hint="eastAsia" w:ascii="宋体" w:hAnsi="宋体"/>
          <w:kern w:val="0"/>
          <w:sz w:val="24"/>
          <w:szCs w:val="20"/>
        </w:rPr>
        <w:t xml:space="preserve">              </w:t>
      </w:r>
    </w:p>
    <w:p>
      <w:pPr>
        <w:spacing w:line="360" w:lineRule="auto"/>
        <w:rPr>
          <w:rFonts w:hint="eastAsia"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日期：   年  月  日</w:t>
      </w:r>
    </w:p>
    <w:p>
      <w:pPr>
        <w:spacing w:line="360" w:lineRule="auto"/>
        <w:jc w:val="center"/>
        <w:rPr>
          <w:rFonts w:ascii="宋体" w:hAnsi="宋体"/>
          <w:kern w:val="0"/>
          <w:sz w:val="24"/>
          <w:szCs w:val="20"/>
          <w:u w:val="single"/>
        </w:rPr>
      </w:pPr>
    </w:p>
    <w:p>
      <w:pPr>
        <w:pStyle w:val="4"/>
        <w:spacing w:before="0" w:line="360" w:lineRule="auto"/>
        <w:ind w:firstLine="2160" w:firstLineChars="900"/>
        <w:jc w:val="both"/>
        <w:rPr>
          <w:rFonts w:hint="eastAsia" w:ascii="宋体" w:hAnsi="宋体" w:eastAsia="宋体"/>
          <w:sz w:val="24"/>
        </w:rPr>
      </w:pPr>
      <w:r>
        <w:rPr>
          <w:rFonts w:ascii="宋体" w:hAnsi="宋体" w:eastAsia="宋体"/>
          <w:b w:val="0"/>
          <w:sz w:val="24"/>
        </w:rPr>
        <w:br w:type="page"/>
      </w:r>
      <w:bookmarkStart w:id="721" w:name="_Toc14934318"/>
      <w:bookmarkStart w:id="722" w:name="_Toc1809"/>
      <w:bookmarkStart w:id="723" w:name="_Toc27711"/>
      <w:bookmarkStart w:id="724" w:name="_Toc532473514"/>
      <w:r>
        <w:rPr>
          <w:rFonts w:ascii="宋体" w:hAnsi="宋体" w:eastAsia="宋体"/>
          <w:sz w:val="24"/>
        </w:rPr>
        <w:t xml:space="preserve">  </w:t>
      </w:r>
      <w:r>
        <w:rPr>
          <w:rFonts w:hint="eastAsia" w:ascii="宋体" w:hAnsi="宋体" w:eastAsia="宋体"/>
          <w:sz w:val="24"/>
        </w:rPr>
        <w:t>制造商</w:t>
      </w:r>
      <w:r>
        <w:rPr>
          <w:rFonts w:ascii="宋体" w:hAnsi="宋体" w:eastAsia="宋体"/>
          <w:sz w:val="24"/>
        </w:rPr>
        <w:t>企业</w:t>
      </w:r>
      <w:r>
        <w:rPr>
          <w:rFonts w:hint="eastAsia" w:ascii="宋体" w:hAnsi="宋体" w:eastAsia="宋体"/>
          <w:sz w:val="24"/>
        </w:rPr>
        <w:t>（单位）</w:t>
      </w:r>
      <w:r>
        <w:rPr>
          <w:rFonts w:ascii="宋体" w:hAnsi="宋体" w:eastAsia="宋体"/>
          <w:sz w:val="24"/>
        </w:rPr>
        <w:t>类型声明函</w:t>
      </w:r>
      <w:r>
        <w:rPr>
          <w:rFonts w:hint="eastAsia" w:ascii="宋体" w:hAnsi="宋体" w:eastAsia="宋体"/>
          <w:sz w:val="24"/>
        </w:rPr>
        <w:t>（如需要）</w:t>
      </w:r>
      <w:bookmarkEnd w:id="721"/>
      <w:bookmarkEnd w:id="722"/>
      <w:bookmarkEnd w:id="723"/>
    </w:p>
    <w:bookmarkEnd w:id="714"/>
    <w:bookmarkEnd w:id="715"/>
    <w:bookmarkEnd w:id="716"/>
    <w:bookmarkEnd w:id="724"/>
    <w:p>
      <w:pPr>
        <w:widowControl/>
        <w:spacing w:before="100" w:beforeAutospacing="1" w:after="100" w:afterAutospacing="1" w:line="360" w:lineRule="auto"/>
        <w:ind w:firstLine="420"/>
        <w:jc w:val="center"/>
        <w:rPr>
          <w:rFonts w:hint="eastAsia" w:ascii="宋体" w:hAnsi="宋体" w:cs="宋体"/>
          <w:kern w:val="0"/>
          <w:sz w:val="24"/>
        </w:rPr>
      </w:pPr>
      <w:r>
        <w:rPr>
          <w:rFonts w:hint="eastAsia" w:ascii="宋体" w:hAnsi="宋体" w:cs="宋体"/>
          <w:kern w:val="0"/>
          <w:sz w:val="24"/>
        </w:rPr>
        <w:t xml:space="preserve"> </w:t>
      </w:r>
      <w:r>
        <w:rPr>
          <w:rFonts w:ascii="宋体" w:hAnsi="宋体" w:cs="宋体"/>
          <w:kern w:val="0"/>
          <w:sz w:val="24"/>
        </w:rPr>
        <w:t>本</w:t>
      </w:r>
      <w:r>
        <w:rPr>
          <w:rFonts w:hint="eastAsia" w:ascii="宋体" w:hAnsi="宋体" w:cs="宋体"/>
          <w:kern w:val="0"/>
          <w:sz w:val="24"/>
        </w:rPr>
        <w:t>企业（单位）作</w:t>
      </w:r>
      <w:r>
        <w:rPr>
          <w:rFonts w:ascii="宋体" w:hAnsi="宋体" w:cs="宋体"/>
          <w:kern w:val="0"/>
          <w:sz w:val="24"/>
        </w:rPr>
        <w:t>为______单位的______</w:t>
      </w:r>
      <w:r>
        <w:rPr>
          <w:rFonts w:hint="eastAsia" w:ascii="宋体" w:hAnsi="宋体" w:cs="宋体"/>
          <w:kern w:val="0"/>
          <w:sz w:val="24"/>
        </w:rPr>
        <w:t xml:space="preserve"> 项目</w:t>
      </w:r>
      <w:r>
        <w:rPr>
          <w:rFonts w:hint="eastAsia" w:ascii="宋体" w:hAnsi="宋体" w:cs="宋体"/>
          <w:kern w:val="0"/>
          <w:sz w:val="24"/>
          <w:u w:val="single"/>
        </w:rPr>
        <w:t>（投标人名称）</w:t>
      </w:r>
      <w:r>
        <w:rPr>
          <w:rFonts w:hint="eastAsia" w:ascii="宋体" w:hAnsi="宋体" w:cs="宋体"/>
          <w:kern w:val="0"/>
          <w:sz w:val="24"/>
        </w:rPr>
        <w:t>所投设备的制造商，</w:t>
      </w:r>
      <w:r>
        <w:rPr>
          <w:rFonts w:ascii="宋体" w:hAnsi="宋体" w:cs="宋体"/>
          <w:kern w:val="0"/>
          <w:sz w:val="24"/>
        </w:rPr>
        <w:t>参加</w:t>
      </w:r>
      <w:r>
        <w:rPr>
          <w:rFonts w:hint="eastAsia" w:ascii="宋体" w:hAnsi="宋体" w:cs="宋体"/>
          <w:kern w:val="0"/>
          <w:sz w:val="24"/>
        </w:rPr>
        <w:t>政府</w:t>
      </w:r>
      <w:r>
        <w:rPr>
          <w:rFonts w:ascii="宋体" w:hAnsi="宋体" w:cs="宋体"/>
          <w:kern w:val="0"/>
          <w:sz w:val="24"/>
        </w:rPr>
        <w:t>采购活动</w:t>
      </w:r>
      <w:r>
        <w:rPr>
          <w:rFonts w:hint="eastAsia" w:ascii="宋体" w:hAnsi="宋体" w:cs="宋体"/>
          <w:kern w:val="0"/>
          <w:sz w:val="24"/>
        </w:rPr>
        <w:t>。</w:t>
      </w:r>
      <w:r>
        <w:rPr>
          <w:rFonts w:ascii="宋体" w:hAnsi="宋体" w:cs="宋体"/>
          <w:kern w:val="0"/>
          <w:sz w:val="24"/>
        </w:rPr>
        <w:t>根据《政府采购促进中小企业发展暂行办法》（财库[2011]181号）</w:t>
      </w:r>
      <w:r>
        <w:rPr>
          <w:rFonts w:hint="eastAsia" w:ascii="宋体" w:hAnsi="宋体" w:cs="宋体"/>
          <w:kern w:val="0"/>
          <w:sz w:val="24"/>
        </w:rPr>
        <w:t>，</w:t>
      </w:r>
      <w:r>
        <w:rPr>
          <w:rFonts w:ascii="宋体" w:hAnsi="宋体" w:cs="宋体"/>
          <w:kern w:val="0"/>
          <w:sz w:val="24"/>
        </w:rPr>
        <w:t>《工业和信息化部、国家统计局、国家发展和改革委员会、财政部关于印发中小企业划型标准规定的通知》（工信部联企业[2011]300号）</w:t>
      </w:r>
      <w:r>
        <w:rPr>
          <w:rFonts w:hint="eastAsia" w:ascii="宋体" w:hAnsi="宋体" w:cs="宋体"/>
          <w:kern w:val="0"/>
          <w:sz w:val="24"/>
        </w:rPr>
        <w:t>、《财政部、司法部关于政府采购支持监狱企业发展有关问题的通知》（财库〔2014〕68号）以及</w:t>
      </w:r>
      <w:r>
        <w:rPr>
          <w:rFonts w:ascii="宋体" w:hAnsi="宋体" w:cs="宋体"/>
          <w:kern w:val="0"/>
          <w:sz w:val="24"/>
        </w:rPr>
        <w:t>《</w:t>
      </w:r>
      <w:r>
        <w:rPr>
          <w:rFonts w:hint="eastAsia" w:ascii="宋体" w:hAnsi="宋体" w:cs="宋体"/>
          <w:kern w:val="0"/>
          <w:sz w:val="24"/>
        </w:rPr>
        <w:t>关于促进残疾人就业政府采购政策的通知</w:t>
      </w:r>
      <w:r>
        <w:rPr>
          <w:rFonts w:ascii="宋体" w:hAnsi="宋体" w:cs="宋体"/>
          <w:kern w:val="0"/>
          <w:sz w:val="24"/>
        </w:rPr>
        <w:t>》</w:t>
      </w:r>
      <w:r>
        <w:rPr>
          <w:rFonts w:hint="eastAsia" w:ascii="宋体" w:hAnsi="宋体" w:cs="宋体"/>
          <w:kern w:val="0"/>
          <w:sz w:val="24"/>
        </w:rPr>
        <w:t>（财库〔2017〕141号）的有关</w:t>
      </w:r>
      <w:r>
        <w:rPr>
          <w:rFonts w:ascii="宋体" w:hAnsi="宋体" w:cs="宋体"/>
          <w:kern w:val="0"/>
          <w:sz w:val="24"/>
        </w:rPr>
        <w:t>规定，</w:t>
      </w:r>
      <w:r>
        <w:rPr>
          <w:rFonts w:hint="eastAsia" w:ascii="宋体" w:hAnsi="宋体" w:cs="宋体"/>
          <w:kern w:val="0"/>
          <w:sz w:val="24"/>
        </w:rPr>
        <w:t>作出如下声明：</w:t>
      </w:r>
    </w:p>
    <w:p>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为______（请填写：大型</w:t>
      </w:r>
      <w:r>
        <w:rPr>
          <w:rFonts w:hint="eastAsia" w:ascii="宋体" w:hAnsi="宋体" w:cs="宋体"/>
          <w:kern w:val="0"/>
          <w:sz w:val="24"/>
        </w:rPr>
        <w:t>、</w:t>
      </w:r>
      <w:r>
        <w:rPr>
          <w:rFonts w:ascii="宋体" w:hAnsi="宋体" w:cs="宋体"/>
          <w:kern w:val="0"/>
          <w:sz w:val="24"/>
        </w:rPr>
        <w:t>中型、小型、微型）企业。</w:t>
      </w:r>
    </w:p>
    <w:p>
      <w:pPr>
        <w:widowControl/>
        <w:spacing w:before="100" w:beforeAutospacing="1" w:after="100" w:afterAutospacing="1" w:line="360" w:lineRule="auto"/>
        <w:ind w:firstLine="420"/>
        <w:jc w:val="left"/>
        <w:rPr>
          <w:rFonts w:hint="eastAsia" w:ascii="宋体" w:hAnsi="宋体" w:cs="宋体"/>
          <w:kern w:val="0"/>
          <w:sz w:val="24"/>
        </w:rPr>
      </w:pPr>
      <w:r>
        <w:rPr>
          <w:rFonts w:hint="eastAsia" w:ascii="宋体" w:hAnsi="宋体" w:cs="宋体"/>
          <w:kern w:val="0"/>
          <w:sz w:val="24"/>
        </w:rPr>
        <w:t>本企业</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cs="宋体"/>
          <w:kern w:val="0"/>
          <w:sz w:val="24"/>
        </w:rPr>
      </w:pPr>
      <w:r>
        <w:rPr>
          <w:rFonts w:hint="eastAsia" w:ascii="宋体" w:hAnsi="宋体" w:cs="宋体"/>
          <w:kern w:val="0"/>
          <w:sz w:val="24"/>
        </w:rPr>
        <w:t>本单位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残疾人福利性单位。</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本企业（单位）</w:t>
      </w:r>
      <w:r>
        <w:rPr>
          <w:rFonts w:ascii="宋体" w:hAnsi="宋体" w:cs="宋体"/>
          <w:kern w:val="0"/>
          <w:sz w:val="24"/>
        </w:rPr>
        <w:t>提供本</w:t>
      </w:r>
      <w:r>
        <w:rPr>
          <w:rFonts w:hint="eastAsia" w:ascii="宋体" w:hAnsi="宋体" w:cs="宋体"/>
          <w:kern w:val="0"/>
          <w:sz w:val="24"/>
        </w:rPr>
        <w:t>企业（单位）</w:t>
      </w:r>
      <w:r>
        <w:rPr>
          <w:rFonts w:ascii="宋体" w:hAnsi="宋体" w:cs="宋体"/>
          <w:kern w:val="0"/>
          <w:sz w:val="24"/>
        </w:rPr>
        <w:t>制造的货物</w:t>
      </w:r>
      <w:r>
        <w:rPr>
          <w:rFonts w:hint="eastAsia" w:ascii="宋体" w:hAnsi="宋体" w:cs="宋体"/>
          <w:kern w:val="0"/>
          <w:sz w:val="24"/>
        </w:rPr>
        <w:t>。</w:t>
      </w:r>
    </w:p>
    <w:p>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ind w:firstLine="420"/>
        <w:jc w:val="left"/>
        <w:rPr>
          <w:rFonts w:hint="eastAsia" w:ascii="宋体" w:hAnsi="宋体" w:cs="宋体"/>
          <w:kern w:val="0"/>
          <w:sz w:val="24"/>
        </w:rPr>
      </w:pPr>
      <w:r>
        <w:rPr>
          <w:rFonts w:hint="eastAsia" w:ascii="宋体" w:hAnsi="宋体" w:cs="宋体"/>
          <w:kern w:val="0"/>
          <w:sz w:val="24"/>
          <w:u w:val="single" w:color="FFFFFF"/>
        </w:rPr>
        <w:t>本声明函经制造商和投标人共同盖公章生效。</w:t>
      </w:r>
    </w:p>
    <w:p>
      <w:pPr>
        <w:widowControl/>
        <w:spacing w:before="100" w:beforeAutospacing="1" w:after="100" w:afterAutospacing="1" w:line="360" w:lineRule="auto"/>
        <w:ind w:firstLine="3960" w:firstLineChars="1650"/>
        <w:jc w:val="left"/>
        <w:rPr>
          <w:rFonts w:hint="eastAsia" w:ascii="宋体" w:hAnsi="宋体" w:cs="宋体"/>
          <w:kern w:val="0"/>
          <w:sz w:val="24"/>
          <w:u w:val="single"/>
        </w:rPr>
      </w:pPr>
      <w:r>
        <w:rPr>
          <w:rFonts w:hint="eastAsia" w:ascii="宋体" w:hAnsi="宋体" w:cs="宋体"/>
          <w:kern w:val="0"/>
          <w:sz w:val="24"/>
        </w:rPr>
        <w:t>制造商</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kern w:val="0"/>
          <w:sz w:val="24"/>
        </w:rPr>
        <w:t>：</w:t>
      </w:r>
      <w:r>
        <w:rPr>
          <w:rFonts w:hint="eastAsia" w:ascii="宋体" w:hAnsi="宋体" w:cs="宋体"/>
          <w:kern w:val="0"/>
          <w:sz w:val="24"/>
          <w:u w:val="single"/>
        </w:rPr>
        <w:t xml:space="preserve">             </w:t>
      </w:r>
    </w:p>
    <w:p>
      <w:pPr>
        <w:widowControl/>
        <w:spacing w:before="100" w:beforeAutospacing="1" w:after="100" w:afterAutospacing="1" w:line="360" w:lineRule="auto"/>
        <w:ind w:firstLine="3960" w:firstLineChars="1650"/>
        <w:jc w:val="left"/>
        <w:rPr>
          <w:rFonts w:hint="eastAsia" w:ascii="宋体" w:hAnsi="宋体" w:cs="宋体"/>
          <w:kern w:val="0"/>
          <w:sz w:val="24"/>
        </w:rPr>
      </w:pPr>
      <w:r>
        <w:rPr>
          <w:rFonts w:hint="eastAsia" w:ascii="宋体" w:hAnsi="宋体" w:cs="宋体"/>
          <w:kern w:val="0"/>
          <w:sz w:val="24"/>
        </w:rPr>
        <w:t>投标人</w:t>
      </w:r>
      <w:r>
        <w:rPr>
          <w:rFonts w:ascii="宋体" w:hAnsi="宋体" w:cs="宋体"/>
          <w:kern w:val="0"/>
          <w:sz w:val="24"/>
        </w:rPr>
        <w:t>（盖章）：</w:t>
      </w:r>
      <w:r>
        <w:rPr>
          <w:rFonts w:ascii="宋体" w:hAnsi="宋体" w:cs="宋体"/>
          <w:kern w:val="0"/>
          <w:sz w:val="24"/>
          <w:u w:val="single"/>
        </w:rPr>
        <w:t xml:space="preserve">             </w:t>
      </w:r>
    </w:p>
    <w:p>
      <w:pPr>
        <w:widowControl/>
        <w:spacing w:before="100" w:beforeAutospacing="1" w:after="100" w:afterAutospacing="1" w:line="360" w:lineRule="auto"/>
        <w:ind w:firstLine="3960" w:firstLineChars="1650"/>
        <w:jc w:val="left"/>
        <w:rPr>
          <w:rFonts w:hint="eastAsia" w:ascii="宋体" w:hAnsi="宋体" w:cs="宋体"/>
          <w:kern w:val="0"/>
          <w:sz w:val="24"/>
        </w:rPr>
      </w:pPr>
      <w:r>
        <w:rPr>
          <w:rFonts w:ascii="宋体" w:hAnsi="宋体" w:cs="宋体"/>
          <w:kern w:val="0"/>
          <w:sz w:val="24"/>
        </w:rPr>
        <w:t>日　期：</w:t>
      </w:r>
      <w:r>
        <w:rPr>
          <w:rFonts w:hint="eastAsia" w:ascii="宋体" w:hAnsi="宋体" w:cs="宋体"/>
          <w:kern w:val="0"/>
          <w:sz w:val="24"/>
        </w:rPr>
        <w:t xml:space="preserve">____________  </w:t>
      </w:r>
    </w:p>
    <w:p>
      <w:pPr>
        <w:spacing w:line="360" w:lineRule="auto"/>
        <w:rPr>
          <w:rFonts w:ascii="宋体" w:hAnsi="宋体"/>
          <w:sz w:val="24"/>
        </w:rPr>
      </w:pPr>
      <w:r>
        <w:rPr>
          <w:rFonts w:ascii="宋体" w:hAnsi="宋体"/>
          <w:sz w:val="24"/>
        </w:rPr>
        <w:t>注</w:t>
      </w:r>
      <w:r>
        <w:rPr>
          <w:rFonts w:hint="eastAsia" w:ascii="宋体" w:hAnsi="宋体"/>
          <w:sz w:val="24"/>
        </w:rPr>
        <w:t>：</w:t>
      </w:r>
      <w:r>
        <w:rPr>
          <w:rFonts w:ascii="宋体" w:hAnsi="宋体"/>
          <w:sz w:val="24"/>
        </w:rPr>
        <w:t>投标人</w:t>
      </w:r>
      <w:r>
        <w:rPr>
          <w:rFonts w:hint="eastAsia" w:ascii="宋体" w:hAnsi="宋体"/>
          <w:sz w:val="24"/>
        </w:rPr>
        <w:t>所投</w:t>
      </w:r>
      <w:r>
        <w:rPr>
          <w:rFonts w:ascii="宋体" w:hAnsi="宋体"/>
          <w:sz w:val="24"/>
        </w:rPr>
        <w:t>产品均为自己制造</w:t>
      </w:r>
      <w:r>
        <w:rPr>
          <w:rFonts w:hint="eastAsia" w:ascii="宋体" w:hAnsi="宋体"/>
          <w:sz w:val="24"/>
        </w:rPr>
        <w:t>，可不提供此声明函。</w:t>
      </w:r>
    </w:p>
    <w:p/>
    <w:sectPr>
      <w:footerReference r:id="rId5" w:type="default"/>
      <w:footerReference r:id="rId6" w:type="even"/>
      <w:pgSz w:w="11906" w:h="16838"/>
      <w:pgMar w:top="1418" w:right="1418" w:bottom="1701"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pPr>
      <w:pStyle w:val="1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96F5B1"/>
    <w:multiLevelType w:val="singleLevel"/>
    <w:tmpl w:val="B296F5B1"/>
    <w:lvl w:ilvl="0" w:tentative="0">
      <w:start w:val="5"/>
      <w:numFmt w:val="decimal"/>
      <w:suff w:val="nothing"/>
      <w:lvlText w:val="%1、"/>
      <w:lvlJc w:val="left"/>
    </w:lvl>
  </w:abstractNum>
  <w:abstractNum w:abstractNumId="1">
    <w:nsid w:val="BF5C576C"/>
    <w:multiLevelType w:val="multilevel"/>
    <w:tmpl w:val="BF5C576C"/>
    <w:lvl w:ilvl="0" w:tentative="0">
      <w:start w:val="1"/>
      <w:numFmt w:val="decimal"/>
      <w:lvlText w:val="%1."/>
      <w:lvlJc w:val="left"/>
      <w:pPr>
        <w:tabs>
          <w:tab w:val="left" w:pos="1264"/>
        </w:tabs>
        <w:ind w:left="1264" w:hanging="420"/>
      </w:pPr>
      <w:rPr>
        <w:rFonts w:hint="default"/>
        <w:u w:val="none" w:color="auto"/>
      </w:rPr>
    </w:lvl>
    <w:lvl w:ilvl="1" w:tentative="0">
      <w:start w:val="1"/>
      <w:numFmt w:val="lowerLetter"/>
      <w:lvlText w:val="%2)"/>
      <w:lvlJc w:val="left"/>
      <w:pPr>
        <w:tabs>
          <w:tab w:val="left" w:pos="840"/>
        </w:tabs>
        <w:ind w:left="840" w:hanging="420"/>
      </w:pPr>
      <w:rPr>
        <w:rFonts w:hint="default"/>
        <w:u w:val="none" w:color="auto"/>
      </w:rPr>
    </w:lvl>
    <w:lvl w:ilvl="2" w:tentative="0">
      <w:start w:val="1"/>
      <w:numFmt w:val="lowerRoman"/>
      <w:lvlText w:val="%3."/>
      <w:lvlJc w:val="right"/>
      <w:pPr>
        <w:tabs>
          <w:tab w:val="left" w:pos="1260"/>
        </w:tabs>
        <w:ind w:left="1260" w:hanging="420"/>
      </w:pPr>
      <w:rPr>
        <w:rFonts w:hint="default"/>
        <w:u w:val="none" w:color="auto"/>
      </w:rPr>
    </w:lvl>
    <w:lvl w:ilvl="3" w:tentative="0">
      <w:start w:val="1"/>
      <w:numFmt w:val="decimal"/>
      <w:lvlText w:val="%4."/>
      <w:lvlJc w:val="left"/>
      <w:pPr>
        <w:tabs>
          <w:tab w:val="left" w:pos="1680"/>
        </w:tabs>
        <w:ind w:left="1680" w:hanging="420"/>
      </w:pPr>
      <w:rPr>
        <w:rFonts w:hint="default"/>
        <w:u w:val="none" w:color="auto"/>
      </w:rPr>
    </w:lvl>
    <w:lvl w:ilvl="4" w:tentative="0">
      <w:start w:val="1"/>
      <w:numFmt w:val="lowerLetter"/>
      <w:lvlText w:val="%5)"/>
      <w:lvlJc w:val="left"/>
      <w:pPr>
        <w:tabs>
          <w:tab w:val="left" w:pos="2100"/>
        </w:tabs>
        <w:ind w:left="2100" w:hanging="420"/>
      </w:pPr>
      <w:rPr>
        <w:rFonts w:hint="default"/>
        <w:u w:val="none" w:color="auto"/>
      </w:rPr>
    </w:lvl>
    <w:lvl w:ilvl="5" w:tentative="0">
      <w:start w:val="1"/>
      <w:numFmt w:val="lowerRoman"/>
      <w:lvlText w:val="%6."/>
      <w:lvlJc w:val="right"/>
      <w:pPr>
        <w:tabs>
          <w:tab w:val="left" w:pos="2520"/>
        </w:tabs>
        <w:ind w:left="2520" w:hanging="420"/>
      </w:pPr>
      <w:rPr>
        <w:rFonts w:hint="default"/>
        <w:u w:val="none" w:color="auto"/>
      </w:rPr>
    </w:lvl>
    <w:lvl w:ilvl="6" w:tentative="0">
      <w:start w:val="1"/>
      <w:numFmt w:val="decimal"/>
      <w:lvlText w:val="%7."/>
      <w:lvlJc w:val="left"/>
      <w:pPr>
        <w:tabs>
          <w:tab w:val="left" w:pos="2940"/>
        </w:tabs>
        <w:ind w:left="2940" w:hanging="420"/>
      </w:pPr>
      <w:rPr>
        <w:rFonts w:hint="default"/>
        <w:u w:val="none" w:color="auto"/>
      </w:rPr>
    </w:lvl>
    <w:lvl w:ilvl="7" w:tentative="0">
      <w:start w:val="1"/>
      <w:numFmt w:val="lowerLetter"/>
      <w:lvlText w:val="%8)"/>
      <w:lvlJc w:val="left"/>
      <w:pPr>
        <w:tabs>
          <w:tab w:val="left" w:pos="3360"/>
        </w:tabs>
        <w:ind w:left="3360" w:hanging="420"/>
      </w:pPr>
      <w:rPr>
        <w:rFonts w:hint="default"/>
        <w:u w:val="none" w:color="auto"/>
      </w:rPr>
    </w:lvl>
    <w:lvl w:ilvl="8" w:tentative="0">
      <w:start w:val="1"/>
      <w:numFmt w:val="lowerRoman"/>
      <w:lvlText w:val="%9."/>
      <w:lvlJc w:val="right"/>
      <w:pPr>
        <w:tabs>
          <w:tab w:val="left" w:pos="3780"/>
        </w:tabs>
        <w:ind w:left="3780" w:hanging="420"/>
      </w:pPr>
      <w:rPr>
        <w:rFonts w:hint="default"/>
        <w:u w:val="none" w:color="auto"/>
      </w:rPr>
    </w:lvl>
  </w:abstractNum>
  <w:abstractNum w:abstractNumId="2">
    <w:nsid w:val="00000012"/>
    <w:multiLevelType w:val="singleLevel"/>
    <w:tmpl w:val="00000012"/>
    <w:lvl w:ilvl="0" w:tentative="0">
      <w:start w:val="1"/>
      <w:numFmt w:val="decimal"/>
      <w:lvlText w:val="%1)"/>
      <w:lvlJc w:val="left"/>
      <w:pPr>
        <w:tabs>
          <w:tab w:val="left" w:pos="425"/>
        </w:tabs>
        <w:ind w:left="425" w:hanging="425"/>
      </w:pPr>
    </w:lvl>
  </w:abstractNum>
  <w:abstractNum w:abstractNumId="3">
    <w:nsid w:val="00000015"/>
    <w:multiLevelType w:val="singleLevel"/>
    <w:tmpl w:val="00000015"/>
    <w:lvl w:ilvl="0" w:tentative="0">
      <w:start w:val="1"/>
      <w:numFmt w:val="decimal"/>
      <w:lvlText w:val="%1)"/>
      <w:lvlJc w:val="left"/>
      <w:pPr>
        <w:tabs>
          <w:tab w:val="left" w:pos="425"/>
        </w:tabs>
        <w:ind w:left="425" w:hanging="425"/>
      </w:pPr>
    </w:lvl>
  </w:abstractNum>
  <w:abstractNum w:abstractNumId="4">
    <w:nsid w:val="0000001D"/>
    <w:multiLevelType w:val="multilevel"/>
    <w:tmpl w:val="0000001D"/>
    <w:lvl w:ilvl="0" w:tentative="0">
      <w:start w:val="1"/>
      <w:numFmt w:val="none"/>
      <w:pStyle w:val="3"/>
      <w:lvlText w:val=""/>
      <w:lvlJc w:val="left"/>
      <w:pPr>
        <w:tabs>
          <w:tab w:val="left" w:pos="432"/>
        </w:tabs>
        <w:ind w:left="432" w:hanging="432"/>
      </w:pPr>
      <w:rPr>
        <w:rFonts w:hint="eastAsia"/>
      </w:rPr>
    </w:lvl>
    <w:lvl w:ilvl="1" w:tentative="0">
      <w:start w:val="1"/>
      <w:numFmt w:val="none"/>
      <w:lvlText w:val=""/>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w:lvlJc w:val="left"/>
      <w:pPr>
        <w:tabs>
          <w:tab w:val="left" w:pos="864"/>
        </w:tabs>
        <w:ind w:left="864" w:hanging="864"/>
      </w:pPr>
      <w:rPr>
        <w:rFonts w:hint="eastAsia"/>
      </w:rPr>
    </w:lvl>
    <w:lvl w:ilvl="4" w:tentative="0">
      <w:start w:val="1"/>
      <w:numFmt w:val="none"/>
      <w:lvlText w:val=""/>
      <w:lvlJc w:val="left"/>
      <w:pPr>
        <w:tabs>
          <w:tab w:val="left" w:pos="1008"/>
        </w:tabs>
        <w:ind w:left="1008" w:hanging="1008"/>
      </w:pPr>
      <w:rPr>
        <w:rFonts w:hint="eastAsia"/>
      </w:rPr>
    </w:lvl>
    <w:lvl w:ilvl="5" w:tentative="0">
      <w:start w:val="1"/>
      <w:numFmt w:val="none"/>
      <w:lvlText w:val=""/>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0000001E"/>
    <w:multiLevelType w:val="singleLevel"/>
    <w:tmpl w:val="0000001E"/>
    <w:lvl w:ilvl="0" w:tentative="0">
      <w:start w:val="1"/>
      <w:numFmt w:val="decimal"/>
      <w:lvlText w:val="%1."/>
      <w:lvlJc w:val="left"/>
      <w:pPr>
        <w:tabs>
          <w:tab w:val="left" w:pos="720"/>
        </w:tabs>
        <w:ind w:left="720" w:hanging="240"/>
      </w:pPr>
      <w:rPr>
        <w:rFonts w:hint="eastAsia"/>
      </w:rPr>
    </w:lvl>
  </w:abstractNum>
  <w:abstractNum w:abstractNumId="6">
    <w:nsid w:val="00000020"/>
    <w:multiLevelType w:val="singleLevel"/>
    <w:tmpl w:val="00000020"/>
    <w:lvl w:ilvl="0" w:tentative="0">
      <w:start w:val="1"/>
      <w:numFmt w:val="decimal"/>
      <w:lvlText w:val="%1)"/>
      <w:lvlJc w:val="left"/>
      <w:pPr>
        <w:tabs>
          <w:tab w:val="left" w:pos="960"/>
        </w:tabs>
        <w:ind w:left="960" w:hanging="240"/>
      </w:pPr>
      <w:rPr>
        <w:rFonts w:hint="eastAsia"/>
      </w:rPr>
    </w:lvl>
  </w:abstractNum>
  <w:num w:numId="1">
    <w:abstractNumId w:val="4"/>
  </w:num>
  <w:num w:numId="2">
    <w:abstractNumId w:val="0"/>
  </w:num>
  <w:num w:numId="3">
    <w:abstractNumId w:val="5"/>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6060E"/>
    <w:rsid w:val="008D67E2"/>
    <w:rsid w:val="01334974"/>
    <w:rsid w:val="014276C1"/>
    <w:rsid w:val="03CD0DB4"/>
    <w:rsid w:val="04C948BC"/>
    <w:rsid w:val="04F01D3F"/>
    <w:rsid w:val="050A3174"/>
    <w:rsid w:val="068F250E"/>
    <w:rsid w:val="075603B7"/>
    <w:rsid w:val="083875B4"/>
    <w:rsid w:val="0A562AEC"/>
    <w:rsid w:val="0DED4ECF"/>
    <w:rsid w:val="0E7B5BEE"/>
    <w:rsid w:val="0F581646"/>
    <w:rsid w:val="118612CF"/>
    <w:rsid w:val="12A530A2"/>
    <w:rsid w:val="14FA5F17"/>
    <w:rsid w:val="162C4C9C"/>
    <w:rsid w:val="16963334"/>
    <w:rsid w:val="16DD067E"/>
    <w:rsid w:val="1BFF4C6A"/>
    <w:rsid w:val="1D797329"/>
    <w:rsid w:val="1F290711"/>
    <w:rsid w:val="1FA0489B"/>
    <w:rsid w:val="200937CC"/>
    <w:rsid w:val="20582DAF"/>
    <w:rsid w:val="20C0251E"/>
    <w:rsid w:val="222C1FA2"/>
    <w:rsid w:val="225300F5"/>
    <w:rsid w:val="2288789A"/>
    <w:rsid w:val="237F55AC"/>
    <w:rsid w:val="23F34873"/>
    <w:rsid w:val="24917611"/>
    <w:rsid w:val="25880A01"/>
    <w:rsid w:val="261A49F4"/>
    <w:rsid w:val="26BE688A"/>
    <w:rsid w:val="27C95310"/>
    <w:rsid w:val="27DA51AE"/>
    <w:rsid w:val="292B4DDB"/>
    <w:rsid w:val="29C6060E"/>
    <w:rsid w:val="2C37490F"/>
    <w:rsid w:val="2D5E6DB1"/>
    <w:rsid w:val="2E184D9E"/>
    <w:rsid w:val="2E902117"/>
    <w:rsid w:val="2EB476E7"/>
    <w:rsid w:val="30CF2FCF"/>
    <w:rsid w:val="31A9432A"/>
    <w:rsid w:val="326A15E9"/>
    <w:rsid w:val="34480BC2"/>
    <w:rsid w:val="35223877"/>
    <w:rsid w:val="3537091B"/>
    <w:rsid w:val="35D0185B"/>
    <w:rsid w:val="35E47B62"/>
    <w:rsid w:val="38376840"/>
    <w:rsid w:val="390B5386"/>
    <w:rsid w:val="392A119D"/>
    <w:rsid w:val="3D5D7297"/>
    <w:rsid w:val="4044458E"/>
    <w:rsid w:val="40CC0E7C"/>
    <w:rsid w:val="414502BF"/>
    <w:rsid w:val="43463656"/>
    <w:rsid w:val="448D0F75"/>
    <w:rsid w:val="47435511"/>
    <w:rsid w:val="474E0E96"/>
    <w:rsid w:val="49A92408"/>
    <w:rsid w:val="4A200C3A"/>
    <w:rsid w:val="4A9E28EF"/>
    <w:rsid w:val="4AC12EF0"/>
    <w:rsid w:val="4B834C3B"/>
    <w:rsid w:val="4E7D4FBD"/>
    <w:rsid w:val="5042207F"/>
    <w:rsid w:val="50AB1B03"/>
    <w:rsid w:val="519B03EB"/>
    <w:rsid w:val="536265F8"/>
    <w:rsid w:val="53A8071D"/>
    <w:rsid w:val="53AB04B7"/>
    <w:rsid w:val="555B2E03"/>
    <w:rsid w:val="556C699C"/>
    <w:rsid w:val="55D17A27"/>
    <w:rsid w:val="560A6B67"/>
    <w:rsid w:val="565A61AE"/>
    <w:rsid w:val="5967016C"/>
    <w:rsid w:val="5B2628D3"/>
    <w:rsid w:val="5BDD2C17"/>
    <w:rsid w:val="5D5954F9"/>
    <w:rsid w:val="5F6A1D01"/>
    <w:rsid w:val="60B11AB9"/>
    <w:rsid w:val="60EF6ED8"/>
    <w:rsid w:val="616C0B7F"/>
    <w:rsid w:val="617939C0"/>
    <w:rsid w:val="61CA1FED"/>
    <w:rsid w:val="62437007"/>
    <w:rsid w:val="627B32B5"/>
    <w:rsid w:val="62FA0814"/>
    <w:rsid w:val="63376C66"/>
    <w:rsid w:val="648345D2"/>
    <w:rsid w:val="64F67A95"/>
    <w:rsid w:val="66A23470"/>
    <w:rsid w:val="66DE536E"/>
    <w:rsid w:val="67EF0E0B"/>
    <w:rsid w:val="69AD7E4E"/>
    <w:rsid w:val="69FF72FE"/>
    <w:rsid w:val="6A7C1F84"/>
    <w:rsid w:val="6D844FCD"/>
    <w:rsid w:val="6E1C0228"/>
    <w:rsid w:val="70E9108A"/>
    <w:rsid w:val="71D57DBA"/>
    <w:rsid w:val="73AE1C22"/>
    <w:rsid w:val="74011A01"/>
    <w:rsid w:val="74046DD8"/>
    <w:rsid w:val="7525614B"/>
    <w:rsid w:val="76125FF5"/>
    <w:rsid w:val="76E6337A"/>
    <w:rsid w:val="783D6B40"/>
    <w:rsid w:val="790215B4"/>
    <w:rsid w:val="7AC52CF1"/>
    <w:rsid w:val="7C064690"/>
    <w:rsid w:val="7C363AC1"/>
    <w:rsid w:val="7CA455B3"/>
    <w:rsid w:val="7CC47196"/>
    <w:rsid w:val="7EEB7ADE"/>
    <w:rsid w:val="7F441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黑体"/>
      <w:b/>
      <w:sz w:val="44"/>
      <w:szCs w:val="20"/>
    </w:rPr>
  </w:style>
  <w:style w:type="paragraph" w:styleId="6">
    <w:name w:val="heading 3"/>
    <w:basedOn w:val="1"/>
    <w:next w:val="5"/>
    <w:unhideWhenUsed/>
    <w:qFormat/>
    <w:uiPriority w:val="1"/>
    <w:pPr>
      <w:ind w:left="119"/>
      <w:outlineLvl w:val="2"/>
    </w:pPr>
    <w:rPr>
      <w:rFonts w:hint="eastAsia" w:ascii="宋体" w:hAnsi="宋体"/>
      <w:sz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5">
    <w:name w:val="Normal Indent"/>
    <w:basedOn w:val="1"/>
    <w:qFormat/>
    <w:uiPriority w:val="0"/>
    <w:pPr>
      <w:ind w:firstLine="420" w:firstLineChars="200"/>
    </w:pPr>
    <w:rPr>
      <w:rFonts w:ascii="Times New Roman" w:hAnsi="Times New Roman"/>
      <w:szCs w:val="20"/>
    </w:rPr>
  </w:style>
  <w:style w:type="paragraph" w:styleId="7">
    <w:name w:val="Body Text 3"/>
    <w:basedOn w:val="1"/>
    <w:qFormat/>
    <w:uiPriority w:val="0"/>
    <w:pPr>
      <w:spacing w:after="120" w:line="440" w:lineRule="atLeast"/>
      <w:ind w:firstLine="482"/>
    </w:pPr>
    <w:rPr>
      <w:rFonts w:ascii="Times New Roman" w:hAnsi="Times New Roman" w:eastAsia="宋体" w:cs="Times New Roman"/>
      <w:sz w:val="16"/>
      <w:szCs w:val="16"/>
    </w:rPr>
  </w:style>
  <w:style w:type="paragraph" w:styleId="8">
    <w:name w:val="Body Text"/>
    <w:basedOn w:val="1"/>
    <w:qFormat/>
    <w:uiPriority w:val="0"/>
    <w:pPr>
      <w:spacing w:after="120"/>
    </w:pPr>
    <w:rPr>
      <w:rFonts w:ascii="Times New Roman" w:hAnsi="Times New Roman"/>
    </w:rPr>
  </w:style>
  <w:style w:type="paragraph" w:styleId="9">
    <w:name w:val="Body Text Indent"/>
    <w:basedOn w:val="1"/>
    <w:next w:val="10"/>
    <w:qFormat/>
    <w:uiPriority w:val="0"/>
    <w:pPr>
      <w:spacing w:line="420" w:lineRule="exact"/>
      <w:ind w:firstLine="732" w:firstLineChars="300"/>
    </w:pPr>
    <w:rPr>
      <w:rFonts w:ascii="Times New Roman" w:hAnsi="Times New Roman" w:eastAsia="宋体" w:cs="Times New Roman"/>
      <w:spacing w:val="2"/>
      <w:sz w:val="24"/>
      <w:szCs w:val="20"/>
    </w:rPr>
  </w:style>
  <w:style w:type="paragraph" w:customStyle="1" w:styleId="10">
    <w:name w:val="Default"/>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paragraph" w:styleId="11">
    <w:name w:val="toc 3"/>
    <w:basedOn w:val="1"/>
    <w:next w:val="1"/>
    <w:qFormat/>
    <w:uiPriority w:val="0"/>
    <w:pPr>
      <w:ind w:left="840" w:leftChars="400"/>
    </w:pPr>
    <w:rPr>
      <w:rFonts w:ascii="Times New Roman" w:hAnsi="Times New Roman" w:eastAsia="宋体" w:cs="Times New Roman"/>
    </w:rPr>
  </w:style>
  <w:style w:type="paragraph" w:styleId="12">
    <w:name w:val="Plain Text"/>
    <w:basedOn w:val="1"/>
    <w:qFormat/>
    <w:uiPriority w:val="0"/>
    <w:rPr>
      <w:rFonts w:ascii="宋体" w:hAnsi="Courier New"/>
      <w:szCs w:val="20"/>
    </w:rPr>
  </w:style>
  <w:style w:type="paragraph" w:styleId="13">
    <w:name w:val="endnote text"/>
    <w:basedOn w:val="1"/>
    <w:qFormat/>
    <w:uiPriority w:val="0"/>
    <w:pPr>
      <w:snapToGrid w:val="0"/>
      <w:jc w:val="left"/>
    </w:pPr>
  </w:style>
  <w:style w:type="paragraph" w:styleId="14">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right" w:leader="dot" w:pos="8777"/>
      </w:tabs>
      <w:jc w:val="center"/>
    </w:pPr>
    <w:rPr>
      <w:rFonts w:ascii="仿宋_GB2312" w:hAnsi="宋体" w:eastAsia="仿宋_GB2312" w:cs="Times New Roman"/>
      <w:b/>
      <w:kern w:val="44"/>
      <w:sz w:val="28"/>
      <w:szCs w:val="28"/>
    </w:rPr>
  </w:style>
  <w:style w:type="paragraph" w:styleId="17">
    <w:name w:val="Body Text 2"/>
    <w:basedOn w:val="1"/>
    <w:qFormat/>
    <w:uiPriority w:val="0"/>
    <w:pPr>
      <w:spacing w:after="120" w:line="480" w:lineRule="auto"/>
    </w:pPr>
    <w:rPr>
      <w:rFonts w:ascii="Times New Roman" w:hAnsi="Times New Roman"/>
    </w:rPr>
  </w:style>
  <w:style w:type="paragraph" w:styleId="18">
    <w:name w:val="Body Text First Indent"/>
    <w:basedOn w:val="8"/>
    <w:qFormat/>
    <w:uiPriority w:val="0"/>
    <w:pPr>
      <w:ind w:firstLine="420" w:firstLineChars="100"/>
    </w:pPr>
  </w:style>
  <w:style w:type="paragraph" w:styleId="19">
    <w:name w:val="Body Text First Indent 2"/>
    <w:basedOn w:val="9"/>
    <w:qFormat/>
    <w:uiPriority w:val="0"/>
    <w:pPr>
      <w:autoSpaceDE/>
      <w:autoSpaceDN/>
      <w:adjustRightInd/>
      <w:spacing w:after="120" w:line="240" w:lineRule="auto"/>
      <w:ind w:left="420" w:leftChars="200" w:firstLine="420" w:firstLineChars="200"/>
      <w:jc w:val="both"/>
    </w:pPr>
    <w:rPr>
      <w:rFonts w:ascii="Times New Roman" w:hAnsi="Times New Roman" w:eastAsia="宋体" w:cs="Times New Roman"/>
      <w:color w:val="auto"/>
      <w:kern w:val="2"/>
      <w:sz w:val="21"/>
    </w:rPr>
  </w:style>
  <w:style w:type="character" w:styleId="22">
    <w:name w:val="Strong"/>
    <w:basedOn w:val="21"/>
    <w:qFormat/>
    <w:uiPriority w:val="0"/>
  </w:style>
  <w:style w:type="character" w:styleId="23">
    <w:name w:val="endnote reference"/>
    <w:basedOn w:val="21"/>
    <w:qFormat/>
    <w:uiPriority w:val="0"/>
    <w:rPr>
      <w:vertAlign w:val="superscript"/>
    </w:rPr>
  </w:style>
  <w:style w:type="character" w:styleId="24">
    <w:name w:val="page number"/>
    <w:qFormat/>
    <w:uiPriority w:val="0"/>
    <w:rPr>
      <w:rFonts w:ascii="Times New Roman" w:hAnsi="Times New Roman" w:eastAsia="宋体" w:cs="Times New Roman"/>
    </w:rPr>
  </w:style>
  <w:style w:type="character" w:styleId="25">
    <w:name w:val="FollowedHyperlink"/>
    <w:basedOn w:val="21"/>
    <w:qFormat/>
    <w:uiPriority w:val="0"/>
    <w:rPr>
      <w:color w:val="333333"/>
      <w:u w:val="none"/>
    </w:rPr>
  </w:style>
  <w:style w:type="character" w:styleId="26">
    <w:name w:val="Emphasis"/>
    <w:basedOn w:val="21"/>
    <w:qFormat/>
    <w:uiPriority w:val="0"/>
  </w:style>
  <w:style w:type="character" w:styleId="27">
    <w:name w:val="HTML Definition"/>
    <w:basedOn w:val="21"/>
    <w:qFormat/>
    <w:uiPriority w:val="0"/>
  </w:style>
  <w:style w:type="character" w:styleId="28">
    <w:name w:val="HTML Typewriter"/>
    <w:basedOn w:val="21"/>
    <w:qFormat/>
    <w:uiPriority w:val="0"/>
    <w:rPr>
      <w:rFonts w:hint="default" w:ascii="monospace" w:hAnsi="monospace" w:eastAsia="monospace" w:cs="monospace"/>
      <w:sz w:val="20"/>
    </w:rPr>
  </w:style>
  <w:style w:type="character" w:styleId="29">
    <w:name w:val="HTML Acronym"/>
    <w:basedOn w:val="21"/>
    <w:qFormat/>
    <w:uiPriority w:val="0"/>
  </w:style>
  <w:style w:type="character" w:styleId="30">
    <w:name w:val="HTML Variable"/>
    <w:basedOn w:val="21"/>
    <w:qFormat/>
    <w:uiPriority w:val="0"/>
  </w:style>
  <w:style w:type="character" w:styleId="31">
    <w:name w:val="Hyperlink"/>
    <w:qFormat/>
    <w:uiPriority w:val="99"/>
    <w:rPr>
      <w:rFonts w:ascii="Times New Roman" w:hAnsi="Times New Roman" w:eastAsia="宋体" w:cs="Times New Roman"/>
      <w:color w:val="0000FF"/>
      <w:u w:val="single"/>
    </w:rPr>
  </w:style>
  <w:style w:type="character" w:styleId="32">
    <w:name w:val="HTML Code"/>
    <w:basedOn w:val="21"/>
    <w:qFormat/>
    <w:uiPriority w:val="0"/>
    <w:rPr>
      <w:rFonts w:hint="default" w:ascii="monospace" w:hAnsi="monospace" w:eastAsia="monospace" w:cs="monospace"/>
      <w:sz w:val="20"/>
    </w:rPr>
  </w:style>
  <w:style w:type="character" w:styleId="33">
    <w:name w:val="HTML Cite"/>
    <w:basedOn w:val="21"/>
    <w:qFormat/>
    <w:uiPriority w:val="0"/>
  </w:style>
  <w:style w:type="character" w:styleId="34">
    <w:name w:val="HTML Keyboard"/>
    <w:basedOn w:val="21"/>
    <w:qFormat/>
    <w:uiPriority w:val="0"/>
    <w:rPr>
      <w:rFonts w:hint="default" w:ascii="monospace" w:hAnsi="monospace" w:eastAsia="monospace" w:cs="monospace"/>
      <w:sz w:val="20"/>
    </w:rPr>
  </w:style>
  <w:style w:type="character" w:styleId="35">
    <w:name w:val="HTML Sample"/>
    <w:basedOn w:val="21"/>
    <w:qFormat/>
    <w:uiPriority w:val="0"/>
    <w:rPr>
      <w:rFonts w:ascii="monospace" w:hAnsi="monospace" w:eastAsia="monospace" w:cs="monospace"/>
    </w:rPr>
  </w:style>
  <w:style w:type="paragraph" w:customStyle="1" w:styleId="36">
    <w:name w:val="BodyText1I2"/>
    <w:basedOn w:val="37"/>
    <w:qFormat/>
    <w:uiPriority w:val="0"/>
    <w:pPr>
      <w:spacing w:after="120" w:line="240" w:lineRule="auto"/>
      <w:ind w:left="420" w:leftChars="200" w:firstLine="420" w:firstLineChars="200"/>
      <w:jc w:val="both"/>
      <w:textAlignment w:val="baseline"/>
    </w:pPr>
  </w:style>
  <w:style w:type="paragraph" w:customStyle="1" w:styleId="37">
    <w:name w:val="BodyTextIndent"/>
    <w:basedOn w:val="1"/>
    <w:qFormat/>
    <w:uiPriority w:val="0"/>
    <w:pPr>
      <w:spacing w:after="120" w:line="240" w:lineRule="auto"/>
      <w:ind w:left="420" w:leftChars="200"/>
      <w:jc w:val="both"/>
      <w:textAlignment w:val="baseline"/>
    </w:pPr>
  </w:style>
  <w:style w:type="character" w:customStyle="1" w:styleId="38">
    <w:name w:val="NormalCharacter"/>
    <w:semiHidden/>
    <w:qFormat/>
    <w:uiPriority w:val="0"/>
  </w:style>
  <w:style w:type="paragraph" w:styleId="39">
    <w:name w:val="List Paragraph"/>
    <w:basedOn w:val="1"/>
    <w:qFormat/>
    <w:uiPriority w:val="0"/>
    <w:pPr>
      <w:ind w:firstLine="420" w:firstLineChars="200"/>
    </w:pPr>
    <w:rPr>
      <w:szCs w:val="22"/>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paragraph" w:customStyle="1" w:styleId="42">
    <w:name w:val="列表段落"/>
    <w:basedOn w:val="1"/>
    <w:qFormat/>
    <w:uiPriority w:val="0"/>
    <w:pPr>
      <w:ind w:firstLine="420" w:firstLineChars="200"/>
    </w:pPr>
    <w:rPr>
      <w:szCs w:val="22"/>
    </w:rPr>
  </w:style>
  <w:style w:type="paragraph" w:customStyle="1" w:styleId="43">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正文_13_0"/>
    <w:basedOn w:val="1"/>
    <w:qFormat/>
    <w:uiPriority w:val="0"/>
    <w:pPr>
      <w:jc w:val="both"/>
    </w:pPr>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2020-07-16T00:25:00Z</dcterms:created>
  <dc:creator>Administrator</dc:creator>
  <cp:lastModifiedBy>⊱放飛夢想￡</cp:lastModifiedBy>
  <cp:lastPrinted>2020-07-17T05:13:00Z</cp:lastPrinted>
  <dcterms:modified xsi:type="dcterms:W3CDTF">2020-08-19T07:32:39Z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