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
        <w:gridCol w:w="728"/>
        <w:gridCol w:w="688"/>
        <w:gridCol w:w="1212"/>
        <w:gridCol w:w="1134"/>
        <w:gridCol w:w="1134"/>
        <w:gridCol w:w="708"/>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包号</w:t>
            </w:r>
          </w:p>
        </w:tc>
        <w:tc>
          <w:tcPr>
            <w:tcW w:w="7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采购内容</w:t>
            </w:r>
          </w:p>
        </w:tc>
        <w:tc>
          <w:tcPr>
            <w:tcW w:w="6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评审单元编号</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评审项</w:t>
            </w:r>
            <w:bookmarkStart w:id="0" w:name="_GoBack"/>
            <w:bookmarkEnd w:id="0"/>
            <w:r>
              <w:rPr>
                <w:rFonts w:hint="eastAsia" w:ascii="宋体" w:hAnsi="宋体" w:cs="宋体"/>
                <w:szCs w:val="21"/>
              </w:rPr>
              <w:t>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项目评审金额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评审费用预算</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服务期限</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服务质量要求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62" w:type="dxa"/>
            <w:vMerge w:val="restart"/>
            <w:tcBorders>
              <w:top w:val="single" w:color="auto" w:sz="4" w:space="0"/>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1</w:t>
            </w:r>
          </w:p>
        </w:tc>
        <w:tc>
          <w:tcPr>
            <w:tcW w:w="728" w:type="dxa"/>
            <w:vMerge w:val="restart"/>
            <w:tcBorders>
              <w:top w:val="single" w:color="auto" w:sz="4" w:space="0"/>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水利竣工结算</w:t>
            </w:r>
          </w:p>
        </w:tc>
        <w:tc>
          <w:tcPr>
            <w:tcW w:w="688" w:type="dxa"/>
            <w:tcBorders>
              <w:top w:val="single" w:color="auto" w:sz="4" w:space="0"/>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A</w:t>
            </w:r>
          </w:p>
        </w:tc>
        <w:tc>
          <w:tcPr>
            <w:tcW w:w="1212" w:type="dxa"/>
            <w:tcBorders>
              <w:top w:val="single" w:color="auto" w:sz="4" w:space="0"/>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南水北调配套工程濮阳设计单元、南水北调配套工程焦作设计单元</w:t>
            </w:r>
          </w:p>
        </w:tc>
        <w:tc>
          <w:tcPr>
            <w:tcW w:w="1134" w:type="dxa"/>
            <w:tcBorders>
              <w:top w:val="single" w:color="auto" w:sz="4" w:space="0"/>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约10.92亿元（其中包含约4.49亿元征地投资）</w:t>
            </w:r>
          </w:p>
        </w:tc>
        <w:tc>
          <w:tcPr>
            <w:tcW w:w="1134" w:type="dxa"/>
            <w:tcBorders>
              <w:top w:val="single" w:color="auto" w:sz="4" w:space="0"/>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约107万元（其中包含约9.万元征地投资评审费用）</w:t>
            </w:r>
          </w:p>
        </w:tc>
        <w:tc>
          <w:tcPr>
            <w:tcW w:w="708" w:type="dxa"/>
            <w:vMerge w:val="restart"/>
            <w:tcBorders>
              <w:top w:val="single" w:color="auto" w:sz="4" w:space="0"/>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接到任务书后90天内</w:t>
            </w:r>
          </w:p>
        </w:tc>
        <w:tc>
          <w:tcPr>
            <w:tcW w:w="993" w:type="dxa"/>
            <w:vMerge w:val="restart"/>
            <w:tcBorders>
              <w:top w:val="single" w:color="auto" w:sz="4" w:space="0"/>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 xml:space="preserve">符合国家、省、市相关规定及行业要求 </w:t>
            </w:r>
          </w:p>
        </w:tc>
        <w:tc>
          <w:tcPr>
            <w:tcW w:w="1134" w:type="dxa"/>
            <w:vMerge w:val="restart"/>
            <w:tcBorders>
              <w:top w:val="single" w:color="auto" w:sz="4" w:space="0"/>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《河南省财政厅省级政府投资项目购买中介机构评审服务管理办法（试行）》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62" w:type="dxa"/>
            <w:vMerge w:val="continue"/>
            <w:tcBorders>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p>
        </w:tc>
        <w:tc>
          <w:tcPr>
            <w:tcW w:w="728" w:type="dxa"/>
            <w:vMerge w:val="continue"/>
            <w:tcBorders>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p>
        </w:tc>
        <w:tc>
          <w:tcPr>
            <w:tcW w:w="688"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B</w:t>
            </w:r>
          </w:p>
        </w:tc>
        <w:tc>
          <w:tcPr>
            <w:tcW w:w="1212"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南水北调配套工程漯河设计单元</w:t>
            </w:r>
          </w:p>
        </w:tc>
        <w:tc>
          <w:tcPr>
            <w:tcW w:w="1134"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约18.12亿元（其中包含约6.29亿元征地投资）</w:t>
            </w:r>
          </w:p>
        </w:tc>
        <w:tc>
          <w:tcPr>
            <w:tcW w:w="1134"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约145万元（其中包含约10万元征地投资评审费用）</w:t>
            </w:r>
          </w:p>
        </w:tc>
        <w:tc>
          <w:tcPr>
            <w:tcW w:w="708" w:type="dxa"/>
            <w:vMerge w:val="continue"/>
            <w:tcBorders>
              <w:left w:val="single" w:color="auto" w:sz="4" w:space="0"/>
              <w:right w:val="single" w:color="auto" w:sz="4" w:space="0"/>
            </w:tcBorders>
            <w:noWrap w:val="0"/>
            <w:vAlign w:val="top"/>
          </w:tcPr>
          <w:p>
            <w:pPr>
              <w:spacing w:line="400" w:lineRule="exact"/>
              <w:rPr>
                <w:rFonts w:ascii="宋体" w:hAnsi="宋体" w:cs="宋体"/>
                <w:szCs w:val="21"/>
              </w:rPr>
            </w:pPr>
          </w:p>
        </w:tc>
        <w:tc>
          <w:tcPr>
            <w:tcW w:w="993" w:type="dxa"/>
            <w:vMerge w:val="continue"/>
            <w:tcBorders>
              <w:left w:val="single" w:color="auto" w:sz="4" w:space="0"/>
              <w:right w:val="single" w:color="auto" w:sz="4" w:space="0"/>
            </w:tcBorders>
            <w:noWrap w:val="0"/>
            <w:vAlign w:val="center"/>
          </w:tcPr>
          <w:p>
            <w:pPr>
              <w:spacing w:line="400" w:lineRule="exact"/>
              <w:rPr>
                <w:rFonts w:ascii="宋体" w:hAnsi="宋体" w:cs="宋体"/>
                <w:szCs w:val="21"/>
              </w:rPr>
            </w:pPr>
          </w:p>
        </w:tc>
        <w:tc>
          <w:tcPr>
            <w:tcW w:w="1134" w:type="dxa"/>
            <w:vMerge w:val="continue"/>
            <w:tcBorders>
              <w:left w:val="single" w:color="auto" w:sz="4" w:space="0"/>
              <w:right w:val="single" w:color="auto" w:sz="4" w:space="0"/>
            </w:tcBorders>
            <w:noWrap w:val="0"/>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362" w:type="dxa"/>
            <w:vMerge w:val="restart"/>
            <w:tcBorders>
              <w:top w:val="single" w:color="auto" w:sz="4" w:space="0"/>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2</w:t>
            </w:r>
          </w:p>
        </w:tc>
        <w:tc>
          <w:tcPr>
            <w:tcW w:w="728" w:type="dxa"/>
            <w:vMerge w:val="restart"/>
            <w:tcBorders>
              <w:top w:val="single" w:color="auto" w:sz="4" w:space="0"/>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财务决算</w:t>
            </w:r>
          </w:p>
        </w:tc>
        <w:tc>
          <w:tcPr>
            <w:tcW w:w="688"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C</w:t>
            </w:r>
          </w:p>
        </w:tc>
        <w:tc>
          <w:tcPr>
            <w:tcW w:w="1212"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省白沙灌区续建配套节水改造2014-2015年度工程、武嘉灌区续建配套与节水改造项目2008年第四季度和2010年度及2011年度高效节水工程、省劳动保护监测检验宣传教育中心</w:t>
            </w:r>
          </w:p>
        </w:tc>
        <w:tc>
          <w:tcPr>
            <w:tcW w:w="1134"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约5.6亿元</w:t>
            </w:r>
          </w:p>
        </w:tc>
        <w:tc>
          <w:tcPr>
            <w:tcW w:w="1134"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约16万元</w:t>
            </w:r>
          </w:p>
        </w:tc>
        <w:tc>
          <w:tcPr>
            <w:tcW w:w="708" w:type="dxa"/>
            <w:vMerge w:val="restart"/>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接到任务书后45天内</w:t>
            </w:r>
          </w:p>
        </w:tc>
        <w:tc>
          <w:tcPr>
            <w:tcW w:w="993" w:type="dxa"/>
            <w:vMerge w:val="restart"/>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符合国家、省、市相关规定及行业要求</w:t>
            </w:r>
          </w:p>
        </w:tc>
        <w:tc>
          <w:tcPr>
            <w:tcW w:w="1134" w:type="dxa"/>
            <w:vMerge w:val="restart"/>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《河南省财政厅省级政府投资项目购买中介机构评审服务管理办法（试行）》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362" w:type="dxa"/>
            <w:vMerge w:val="continue"/>
            <w:tcBorders>
              <w:left w:val="single" w:color="auto" w:sz="4" w:space="0"/>
              <w:right w:val="single" w:color="auto" w:sz="4" w:space="0"/>
            </w:tcBorders>
            <w:noWrap w:val="0"/>
            <w:vAlign w:val="center"/>
          </w:tcPr>
          <w:p>
            <w:pPr>
              <w:spacing w:line="400" w:lineRule="exact"/>
              <w:rPr>
                <w:rFonts w:ascii="宋体" w:hAnsi="宋体" w:cs="宋体"/>
                <w:szCs w:val="21"/>
              </w:rPr>
            </w:pPr>
          </w:p>
        </w:tc>
        <w:tc>
          <w:tcPr>
            <w:tcW w:w="728" w:type="dxa"/>
            <w:vMerge w:val="continue"/>
            <w:tcBorders>
              <w:left w:val="single" w:color="auto" w:sz="4" w:space="0"/>
              <w:right w:val="single" w:color="auto" w:sz="4" w:space="0"/>
            </w:tcBorders>
            <w:noWrap w:val="0"/>
            <w:vAlign w:val="center"/>
          </w:tcPr>
          <w:p>
            <w:pPr>
              <w:spacing w:line="400" w:lineRule="exact"/>
              <w:rPr>
                <w:rFonts w:ascii="宋体" w:hAnsi="宋体" w:cs="宋体"/>
                <w:szCs w:val="21"/>
              </w:rPr>
            </w:pPr>
          </w:p>
        </w:tc>
        <w:tc>
          <w:tcPr>
            <w:tcW w:w="688"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D</w:t>
            </w:r>
          </w:p>
        </w:tc>
        <w:tc>
          <w:tcPr>
            <w:tcW w:w="1212"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省赵口灌区续建配套与节水改造工程（9个年度项目）、陆浑灌区续建配套与节水改造项目（6个年度）</w:t>
            </w:r>
          </w:p>
        </w:tc>
        <w:tc>
          <w:tcPr>
            <w:tcW w:w="1134"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约3.17亿元</w:t>
            </w:r>
          </w:p>
        </w:tc>
        <w:tc>
          <w:tcPr>
            <w:tcW w:w="1134"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约15万元</w:t>
            </w:r>
          </w:p>
        </w:tc>
        <w:tc>
          <w:tcPr>
            <w:tcW w:w="708" w:type="dxa"/>
            <w:vMerge w:val="continue"/>
            <w:tcBorders>
              <w:left w:val="single" w:color="auto" w:sz="4" w:space="0"/>
              <w:right w:val="single" w:color="auto" w:sz="4" w:space="0"/>
            </w:tcBorders>
            <w:noWrap w:val="0"/>
            <w:vAlign w:val="top"/>
          </w:tcPr>
          <w:p>
            <w:pPr>
              <w:spacing w:line="400" w:lineRule="exact"/>
              <w:rPr>
                <w:rFonts w:ascii="宋体" w:hAnsi="宋体" w:cs="宋体"/>
                <w:szCs w:val="21"/>
              </w:rPr>
            </w:pPr>
          </w:p>
        </w:tc>
        <w:tc>
          <w:tcPr>
            <w:tcW w:w="993" w:type="dxa"/>
            <w:vMerge w:val="continue"/>
            <w:tcBorders>
              <w:left w:val="single" w:color="auto" w:sz="4" w:space="0"/>
              <w:right w:val="single" w:color="auto" w:sz="4" w:space="0"/>
            </w:tcBorders>
            <w:noWrap w:val="0"/>
            <w:vAlign w:val="center"/>
          </w:tcPr>
          <w:p>
            <w:pPr>
              <w:spacing w:line="400" w:lineRule="exact"/>
              <w:rPr>
                <w:rFonts w:ascii="宋体" w:hAnsi="宋体" w:cs="宋体"/>
                <w:szCs w:val="21"/>
              </w:rPr>
            </w:pPr>
          </w:p>
        </w:tc>
        <w:tc>
          <w:tcPr>
            <w:tcW w:w="1134" w:type="dxa"/>
            <w:vMerge w:val="continue"/>
            <w:tcBorders>
              <w:left w:val="single" w:color="auto" w:sz="4" w:space="0"/>
              <w:right w:val="single" w:color="auto" w:sz="4" w:space="0"/>
            </w:tcBorders>
            <w:noWrap w:val="0"/>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362"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3</w:t>
            </w:r>
          </w:p>
        </w:tc>
        <w:tc>
          <w:tcPr>
            <w:tcW w:w="728"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建筑工程竣工结算</w:t>
            </w:r>
          </w:p>
        </w:tc>
        <w:tc>
          <w:tcPr>
            <w:tcW w:w="688"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E</w:t>
            </w:r>
          </w:p>
        </w:tc>
        <w:tc>
          <w:tcPr>
            <w:tcW w:w="1212"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省豫剧三团朝阳沟剧院结算工程</w:t>
            </w:r>
          </w:p>
        </w:tc>
        <w:tc>
          <w:tcPr>
            <w:tcW w:w="1134"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约7000万元</w:t>
            </w:r>
          </w:p>
        </w:tc>
        <w:tc>
          <w:tcPr>
            <w:tcW w:w="1134"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约28万元</w:t>
            </w:r>
          </w:p>
        </w:tc>
        <w:tc>
          <w:tcPr>
            <w:tcW w:w="708"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接到任务书后75天内</w:t>
            </w:r>
          </w:p>
        </w:tc>
        <w:tc>
          <w:tcPr>
            <w:tcW w:w="993"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符合国家、省、市相关规定及行业要求</w:t>
            </w:r>
          </w:p>
        </w:tc>
        <w:tc>
          <w:tcPr>
            <w:tcW w:w="1134" w:type="dxa"/>
            <w:tcBorders>
              <w:left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《河南省财政厅省级政府投资项目购买中介机构评审服务管理办法（试行）》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8093" w:type="dxa"/>
            <w:gridSpan w:val="9"/>
            <w:tcBorders>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rPr>
            </w:pPr>
            <w:r>
              <w:rPr>
                <w:rFonts w:hint="eastAsia" w:ascii="宋体" w:hAnsi="宋体" w:cs="宋体"/>
                <w:szCs w:val="21"/>
              </w:rPr>
              <w:t>注：1．供应商可以投标多个包，但最多只能中标1个包，评标依据包号（从1到3）的顺序依次评审，如在前一包中已被推荐为该包的第一或第二中标候选人，则该投标人在此后的分包中不再推荐为中标候选人，也不参与排序，中标候选人顺序按得分从高向低进行排序。</w:t>
            </w:r>
          </w:p>
          <w:p>
            <w:pPr>
              <w:spacing w:line="400" w:lineRule="exact"/>
              <w:rPr>
                <w:rFonts w:ascii="宋体" w:hAnsi="宋体" w:cs="宋体"/>
                <w:szCs w:val="21"/>
              </w:rPr>
            </w:pPr>
            <w:r>
              <w:rPr>
                <w:rFonts w:hint="eastAsia" w:ascii="宋体" w:hAnsi="宋体" w:cs="宋体"/>
                <w:szCs w:val="21"/>
              </w:rPr>
              <w:t>2．考虑到本项目包1和包2评审内容较多，为便于按期完成评审工作，每包原则上划分为二个评审单元，每包选择二家中标供应商完成评审工作，每包二家中标供应商按照评标得分高低顺序自由选取一个评审单元开展评审工作。</w:t>
            </w:r>
          </w:p>
          <w:p>
            <w:pPr>
              <w:spacing w:line="400" w:lineRule="exact"/>
              <w:rPr>
                <w:rFonts w:ascii="宋体" w:hAnsi="宋体" w:cs="宋体"/>
                <w:szCs w:val="21"/>
              </w:rPr>
            </w:pPr>
            <w:r>
              <w:rPr>
                <w:rFonts w:hint="eastAsia" w:ascii="宋体" w:hAnsi="宋体" w:cs="宋体"/>
                <w:szCs w:val="21"/>
              </w:rPr>
              <w:t>3．3包按照评标得分高低顺序确定一家中标供应商。</w:t>
            </w:r>
          </w:p>
          <w:p>
            <w:pPr>
              <w:spacing w:line="400" w:lineRule="exact"/>
              <w:rPr>
                <w:rFonts w:ascii="宋体" w:hAnsi="宋体" w:cs="宋体"/>
                <w:szCs w:val="21"/>
              </w:rPr>
            </w:pPr>
            <w:r>
              <w:rPr>
                <w:rFonts w:hint="eastAsia" w:ascii="宋体" w:hAnsi="宋体" w:cs="宋体"/>
                <w:szCs w:val="21"/>
              </w:rPr>
              <w:t>4．评审项目名称和数量可能会出现变动或调整，供应商如果中标，在双方协商一致的情况下，以最终确定评审项目和数量签订合同并开展评审工作。</w:t>
            </w:r>
          </w:p>
          <w:p>
            <w:pPr>
              <w:spacing w:line="400" w:lineRule="exact"/>
              <w:rPr>
                <w:rFonts w:ascii="宋体" w:hAnsi="宋体" w:cs="宋体"/>
                <w:szCs w:val="21"/>
              </w:rPr>
            </w:pPr>
            <w:r>
              <w:rPr>
                <w:rFonts w:hint="eastAsia" w:ascii="宋体" w:hAnsi="宋体" w:cs="宋体"/>
                <w:szCs w:val="21"/>
              </w:rPr>
              <w:t>6、合同履行期限：1包为接到任务书后90天内；2包为接到任务书后45天内；3包为接到任务书后75天内。</w:t>
            </w:r>
          </w:p>
          <w:p>
            <w:pPr>
              <w:spacing w:line="400" w:lineRule="exact"/>
              <w:rPr>
                <w:rFonts w:ascii="宋体" w:hAnsi="宋体" w:cs="宋体"/>
                <w:szCs w:val="21"/>
              </w:rPr>
            </w:pPr>
            <w:r>
              <w:rPr>
                <w:rFonts w:hint="eastAsia" w:ascii="宋体" w:hAnsi="宋体" w:cs="宋体"/>
                <w:szCs w:val="21"/>
              </w:rPr>
              <w:t>7、本项目（否）接受联合体投标。</w:t>
            </w:r>
          </w:p>
          <w:p>
            <w:pPr>
              <w:spacing w:line="400" w:lineRule="exact"/>
              <w:rPr>
                <w:rFonts w:hint="eastAsia" w:ascii="宋体" w:hAnsi="宋体" w:cs="宋体"/>
                <w:szCs w:val="21"/>
              </w:rPr>
            </w:pPr>
            <w:r>
              <w:rPr>
                <w:rFonts w:hint="eastAsia" w:ascii="宋体" w:hAnsi="宋体" w:cs="宋体"/>
                <w:szCs w:val="21"/>
              </w:rPr>
              <w:t>8、是否接受进口产品：（否）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8667E"/>
    <w:rsid w:val="4A986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2020-09-07T11:09:00Z</dcterms:created>
  <dc:creator>NTKO</dc:creator>
  <cp:lastModifiedBy>NTKO</cp:lastModifiedBy>
  <dcterms:modified xsi:type="dcterms:W3CDTF">2020-09-07T11:10:43Z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