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cs="宋体" w:asciiTheme="majorEastAsia" w:hAnsiTheme="majorEastAsia" w:eastAsiaTheme="majorEastAsia"/>
          <w:b/>
          <w:color w:val="auto"/>
          <w:kern w:val="0"/>
          <w:sz w:val="36"/>
          <w:szCs w:val="36"/>
          <w:highlight w:val="none"/>
        </w:rPr>
      </w:pPr>
      <w:bookmarkStart w:id="0" w:name="_Toc18388"/>
      <w:bookmarkStart w:id="1" w:name="_Toc16959"/>
      <w:r>
        <w:rPr>
          <w:rFonts w:hint="eastAsia" w:cs="宋体" w:asciiTheme="majorEastAsia" w:hAnsiTheme="majorEastAsia" w:eastAsiaTheme="majorEastAsia"/>
          <w:b/>
          <w:color w:val="auto"/>
          <w:kern w:val="0"/>
          <w:sz w:val="36"/>
          <w:szCs w:val="36"/>
          <w:highlight w:val="none"/>
        </w:rPr>
        <w:t>项目需求及其他要求</w:t>
      </w:r>
      <w:bookmarkEnd w:id="0"/>
      <w:bookmarkEnd w:id="1"/>
    </w:p>
    <w:p>
      <w:pPr>
        <w:outlineLvl w:val="1"/>
        <w:rPr>
          <w:rFonts w:ascii="仿宋" w:hAnsi="仿宋" w:eastAsia="仿宋" w:cs="宋体"/>
          <w:b/>
          <w:color w:val="auto"/>
          <w:kern w:val="0"/>
          <w:sz w:val="28"/>
          <w:szCs w:val="28"/>
          <w:highlight w:val="none"/>
        </w:rPr>
      </w:pPr>
      <w:bookmarkStart w:id="2" w:name="_Toc23730"/>
      <w:bookmarkStart w:id="3" w:name="_Toc26114"/>
      <w:r>
        <w:rPr>
          <w:rFonts w:hint="eastAsia" w:ascii="宋体" w:hAnsi="宋体"/>
          <w:b/>
          <w:color w:val="auto"/>
          <w:sz w:val="32"/>
          <w:szCs w:val="32"/>
          <w:highlight w:val="none"/>
        </w:rPr>
        <w:t>一、</w:t>
      </w:r>
      <w:r>
        <w:rPr>
          <w:rFonts w:hint="eastAsia" w:ascii="仿宋" w:hAnsi="仿宋" w:eastAsia="仿宋" w:cs="仿宋"/>
          <w:b/>
          <w:bCs/>
          <w:color w:val="auto"/>
          <w:sz w:val="30"/>
          <w:szCs w:val="30"/>
        </w:rPr>
        <w:t>采购清单、数量、规格及技</w:t>
      </w:r>
      <w:bookmarkStart w:id="6" w:name="_GoBack"/>
      <w:bookmarkEnd w:id="6"/>
      <w:r>
        <w:rPr>
          <w:rFonts w:hint="eastAsia" w:ascii="仿宋" w:hAnsi="仿宋" w:eastAsia="仿宋" w:cs="仿宋"/>
          <w:b/>
          <w:bCs/>
          <w:color w:val="auto"/>
          <w:sz w:val="30"/>
          <w:szCs w:val="30"/>
        </w:rPr>
        <w:t>术参数</w:t>
      </w:r>
      <w:bookmarkEnd w:id="2"/>
      <w:bookmarkEnd w:id="3"/>
    </w:p>
    <w:tbl>
      <w:tblPr>
        <w:tblStyle w:val="12"/>
        <w:tblW w:w="10366" w:type="dxa"/>
        <w:jc w:val="center"/>
        <w:shd w:val="clear" w:color="auto" w:fill="auto"/>
        <w:tblLayout w:type="autofit"/>
        <w:tblCellMar>
          <w:top w:w="0" w:type="dxa"/>
          <w:left w:w="0" w:type="dxa"/>
          <w:bottom w:w="0" w:type="dxa"/>
          <w:right w:w="0" w:type="dxa"/>
        </w:tblCellMar>
      </w:tblPr>
      <w:tblGrid>
        <w:gridCol w:w="825"/>
        <w:gridCol w:w="1087"/>
        <w:gridCol w:w="5499"/>
        <w:gridCol w:w="951"/>
        <w:gridCol w:w="1002"/>
        <w:gridCol w:w="1002"/>
      </w:tblGrid>
      <w:tr>
        <w:tblPrEx>
          <w:shd w:val="clear" w:color="auto" w:fill="auto"/>
          <w:tblCellMar>
            <w:top w:w="0" w:type="dxa"/>
            <w:left w:w="0" w:type="dxa"/>
            <w:bottom w:w="0" w:type="dxa"/>
            <w:right w:w="0" w:type="dxa"/>
          </w:tblCellMar>
        </w:tblPrEx>
        <w:trPr>
          <w:trHeight w:val="517"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序号</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名称</w:t>
            </w:r>
          </w:p>
        </w:tc>
        <w:tc>
          <w:tcPr>
            <w:tcW w:w="54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规格及技术参数</w:t>
            </w:r>
          </w:p>
        </w:tc>
        <w:tc>
          <w:tcPr>
            <w:tcW w:w="9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单位</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数量</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是否为核心产品</w:t>
            </w:r>
          </w:p>
        </w:tc>
      </w:tr>
      <w:tr>
        <w:tblPrEx>
          <w:shd w:val="clear" w:color="auto" w:fill="auto"/>
          <w:tblCellMar>
            <w:top w:w="0" w:type="dxa"/>
            <w:left w:w="0" w:type="dxa"/>
            <w:bottom w:w="0" w:type="dxa"/>
            <w:right w:w="0" w:type="dxa"/>
          </w:tblCellMar>
        </w:tblPrEx>
        <w:trPr>
          <w:trHeight w:val="2097"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PAD终端</w:t>
            </w:r>
          </w:p>
        </w:tc>
        <w:tc>
          <w:tcPr>
            <w:tcW w:w="54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CPU核数:八核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运行内存≥4G</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存储≥64G</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屏幕尺寸≥8英寸</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分辨率不低于1920*1200                            主摄不低于800万像素</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副摄不低于500万像素</w:t>
            </w:r>
          </w:p>
          <w:p>
            <w:pPr>
              <w:widowControl/>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扩展支持≥128GB</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操作系统：Android </w:t>
            </w:r>
          </w:p>
          <w:p>
            <w:pPr>
              <w:widowControl/>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电池容量≥4000mAh</w:t>
            </w:r>
          </w:p>
        </w:tc>
        <w:tc>
          <w:tcPr>
            <w:tcW w:w="9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部</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233</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w:t>
            </w:r>
          </w:p>
        </w:tc>
      </w:tr>
      <w:tr>
        <w:tblPrEx>
          <w:shd w:val="clear" w:color="auto" w:fill="auto"/>
          <w:tblCellMar>
            <w:top w:w="0" w:type="dxa"/>
            <w:left w:w="0" w:type="dxa"/>
            <w:bottom w:w="0" w:type="dxa"/>
            <w:right w:w="0" w:type="dxa"/>
          </w:tblCellMar>
        </w:tblPrEx>
        <w:trPr>
          <w:trHeight w:val="5100"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公网集群对讲系统及运营管理平台</w:t>
            </w:r>
          </w:p>
        </w:tc>
        <w:tc>
          <w:tcPr>
            <w:tcW w:w="54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outlineLvl w:val="9"/>
              <w:rPr>
                <w:rFonts w:hint="eastAsia" w:ascii="宋体" w:hAnsi="宋体" w:eastAsia="宋体" w:cs="宋体"/>
                <w:i w:val="0"/>
                <w:color w:val="auto"/>
                <w:sz w:val="24"/>
                <w:szCs w:val="24"/>
                <w:u w:val="none"/>
              </w:rPr>
            </w:pPr>
            <w:r>
              <w:rPr>
                <w:rStyle w:val="14"/>
                <w:color w:val="auto"/>
                <w:lang w:val="en-US" w:eastAsia="zh-CN" w:bidi="ar"/>
              </w:rPr>
              <w:t>1、一按即通：平台对讲机，呼叫接续快，支持单呼和组呼，实时性强。</w:t>
            </w:r>
            <w:r>
              <w:rPr>
                <w:rStyle w:val="15"/>
                <w:rFonts w:eastAsia="宋体"/>
                <w:color w:val="auto"/>
                <w:lang w:val="en-US" w:eastAsia="zh-CN" w:bidi="ar"/>
              </w:rPr>
              <w:t> </w:t>
            </w:r>
            <w:r>
              <w:rPr>
                <w:rStyle w:val="14"/>
                <w:color w:val="auto"/>
                <w:lang w:val="en-US" w:eastAsia="zh-CN" w:bidi="ar"/>
              </w:rPr>
              <w:t xml:space="preserve"> </w:t>
            </w:r>
            <w:r>
              <w:rPr>
                <w:rStyle w:val="14"/>
                <w:color w:val="auto"/>
                <w:lang w:val="en-US" w:eastAsia="zh-CN" w:bidi="ar"/>
              </w:rPr>
              <w:br w:type="textWrapping"/>
            </w:r>
            <w:r>
              <w:rPr>
                <w:rStyle w:val="14"/>
                <w:color w:val="auto"/>
                <w:lang w:val="en-US" w:eastAsia="zh-CN" w:bidi="ar"/>
              </w:rPr>
              <w:t>2、一呼百应：群组内用户容量大，群组呼叫，适用于现场指挥、现场协调、集群调度等工作场景。</w:t>
            </w:r>
            <w:r>
              <w:rPr>
                <w:rStyle w:val="15"/>
                <w:rFonts w:eastAsia="宋体"/>
                <w:color w:val="auto"/>
                <w:lang w:val="en-US" w:eastAsia="zh-CN" w:bidi="ar"/>
              </w:rPr>
              <w:t> </w:t>
            </w:r>
            <w:r>
              <w:rPr>
                <w:rStyle w:val="14"/>
                <w:color w:val="auto"/>
                <w:lang w:val="en-US" w:eastAsia="zh-CN" w:bidi="ar"/>
              </w:rPr>
              <w:t xml:space="preserve"> </w:t>
            </w:r>
            <w:r>
              <w:rPr>
                <w:rStyle w:val="14"/>
                <w:color w:val="auto"/>
                <w:lang w:val="en-US" w:eastAsia="zh-CN" w:bidi="ar"/>
              </w:rPr>
              <w:br w:type="textWrapping"/>
            </w:r>
            <w:r>
              <w:rPr>
                <w:rStyle w:val="14"/>
                <w:color w:val="auto"/>
                <w:lang w:val="en-US" w:eastAsia="zh-CN" w:bidi="ar"/>
              </w:rPr>
              <w:t>3、超强覆盖：不受地域、距离限制，可实现远程的实时调度。</w:t>
            </w:r>
            <w:r>
              <w:rPr>
                <w:rStyle w:val="15"/>
                <w:rFonts w:eastAsia="宋体"/>
                <w:color w:val="auto"/>
                <w:lang w:val="en-US" w:eastAsia="zh-CN" w:bidi="ar"/>
              </w:rPr>
              <w:t> </w:t>
            </w:r>
            <w:r>
              <w:rPr>
                <w:rStyle w:val="14"/>
                <w:color w:val="auto"/>
                <w:lang w:val="en-US" w:eastAsia="zh-CN" w:bidi="ar"/>
              </w:rPr>
              <w:t xml:space="preserve"> </w:t>
            </w:r>
            <w:r>
              <w:rPr>
                <w:rStyle w:val="14"/>
                <w:color w:val="auto"/>
                <w:lang w:val="en-US" w:eastAsia="zh-CN" w:bidi="ar"/>
              </w:rPr>
              <w:br w:type="textWrapping"/>
            </w:r>
            <w:r>
              <w:rPr>
                <w:rStyle w:val="14"/>
                <w:color w:val="auto"/>
                <w:lang w:val="en-US" w:eastAsia="zh-CN" w:bidi="ar"/>
              </w:rPr>
              <w:t>4、专业调度：平台多功能调度台，能满足集团客户日常工作中调度指挥的专业要求。</w:t>
            </w:r>
            <w:r>
              <w:rPr>
                <w:rStyle w:val="15"/>
                <w:rFonts w:eastAsia="宋体"/>
                <w:color w:val="auto"/>
                <w:lang w:val="en-US" w:eastAsia="zh-CN" w:bidi="ar"/>
              </w:rPr>
              <w:t> </w:t>
            </w:r>
            <w:r>
              <w:rPr>
                <w:rStyle w:val="14"/>
                <w:color w:val="auto"/>
                <w:lang w:val="en-US" w:eastAsia="zh-CN" w:bidi="ar"/>
              </w:rPr>
              <w:t xml:space="preserve"> </w:t>
            </w:r>
            <w:r>
              <w:rPr>
                <w:rStyle w:val="14"/>
                <w:color w:val="auto"/>
                <w:lang w:val="en-US" w:eastAsia="zh-CN" w:bidi="ar"/>
              </w:rPr>
              <w:br w:type="textWrapping"/>
            </w:r>
            <w:r>
              <w:rPr>
                <w:rStyle w:val="14"/>
                <w:color w:val="auto"/>
                <w:lang w:val="en-US" w:eastAsia="zh-CN" w:bidi="ar"/>
              </w:rPr>
              <w:t>5、分级管理：设有运营商和企业级别管理平台，便于实际当中操作与管理。</w:t>
            </w:r>
            <w:r>
              <w:rPr>
                <w:rStyle w:val="14"/>
                <w:color w:val="auto"/>
                <w:lang w:val="en-US" w:eastAsia="zh-CN" w:bidi="ar"/>
              </w:rPr>
              <w:br w:type="textWrapping"/>
            </w:r>
            <w:r>
              <w:rPr>
                <w:rStyle w:val="14"/>
                <w:color w:val="auto"/>
                <w:lang w:val="en-US" w:eastAsia="zh-CN" w:bidi="ar"/>
              </w:rPr>
              <w:t>6、发言管理：实现分权限强行插入发言，先下达紧急指令。</w:t>
            </w:r>
            <w:r>
              <w:rPr>
                <w:rStyle w:val="15"/>
                <w:rFonts w:eastAsia="宋体"/>
                <w:color w:val="auto"/>
                <w:lang w:val="en-US" w:eastAsia="zh-CN" w:bidi="ar"/>
              </w:rPr>
              <w:t> </w:t>
            </w:r>
            <w:r>
              <w:rPr>
                <w:rStyle w:val="14"/>
                <w:color w:val="auto"/>
                <w:lang w:val="en-US" w:eastAsia="zh-CN" w:bidi="ar"/>
              </w:rPr>
              <w:br w:type="textWrapping"/>
            </w:r>
            <w:r>
              <w:rPr>
                <w:rStyle w:val="14"/>
                <w:color w:val="auto"/>
                <w:lang w:val="en-US" w:eastAsia="zh-CN" w:bidi="ar"/>
              </w:rPr>
              <w:t>7、组网简单：跨网络，中国移动、联通、电信通信网络完美支持；</w:t>
            </w:r>
            <w:r>
              <w:rPr>
                <w:rStyle w:val="15"/>
                <w:rFonts w:eastAsia="宋体"/>
                <w:color w:val="auto"/>
                <w:lang w:val="en-US" w:eastAsia="zh-CN" w:bidi="ar"/>
              </w:rPr>
              <w:t> </w:t>
            </w:r>
            <w:r>
              <w:rPr>
                <w:rStyle w:val="14"/>
                <w:color w:val="auto"/>
                <w:lang w:val="en-US" w:eastAsia="zh-CN" w:bidi="ar"/>
              </w:rPr>
              <w:br w:type="textWrapping"/>
            </w:r>
            <w:r>
              <w:rPr>
                <w:rStyle w:val="14"/>
                <w:color w:val="auto"/>
                <w:lang w:val="en-US" w:eastAsia="zh-CN" w:bidi="ar"/>
              </w:rPr>
              <w:t>8、互联互通：通过安装组侧实现集群系统互联互通。</w:t>
            </w:r>
            <w:r>
              <w:rPr>
                <w:rStyle w:val="14"/>
                <w:color w:val="auto"/>
                <w:lang w:val="en-US" w:eastAsia="zh-CN" w:bidi="ar"/>
              </w:rPr>
              <w:br w:type="textWrapping"/>
            </w:r>
            <w:r>
              <w:rPr>
                <w:rStyle w:val="14"/>
                <w:color w:val="auto"/>
                <w:lang w:val="en-US" w:eastAsia="zh-CN" w:bidi="ar"/>
              </w:rPr>
              <w:t>9、强安全性：多重加密，确保数据万无一失。</w:t>
            </w:r>
          </w:p>
        </w:tc>
        <w:tc>
          <w:tcPr>
            <w:tcW w:w="9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0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w:t>
            </w:r>
          </w:p>
        </w:tc>
      </w:tr>
    </w:tbl>
    <w:p>
      <w:pPr>
        <w:widowControl/>
        <w:shd w:val="clear" w:color="auto" w:fill="FFFFFF"/>
        <w:spacing w:line="360" w:lineRule="auto"/>
        <w:jc w:val="left"/>
        <w:outlineLvl w:val="9"/>
        <w:rPr>
          <w:rFonts w:hint="eastAsia" w:ascii="仿宋" w:hAnsi="仿宋" w:eastAsia="仿宋" w:cs="宋体"/>
          <w:b/>
          <w:color w:val="auto"/>
          <w:kern w:val="0"/>
          <w:sz w:val="28"/>
          <w:szCs w:val="28"/>
          <w:highlight w:val="none"/>
        </w:rPr>
      </w:pPr>
    </w:p>
    <w:p>
      <w:pPr>
        <w:widowControl/>
        <w:shd w:val="clear" w:color="auto" w:fill="FFFFFF"/>
        <w:spacing w:line="360" w:lineRule="auto"/>
        <w:jc w:val="left"/>
        <w:outlineLvl w:val="1"/>
        <w:rPr>
          <w:rFonts w:ascii="宋体" w:hAnsi="宋体" w:cs="仿宋_GB2312"/>
          <w:b/>
          <w:color w:val="auto"/>
          <w:sz w:val="24"/>
          <w:highlight w:val="none"/>
          <w:lang w:val="zh-CN"/>
        </w:rPr>
      </w:pPr>
      <w:bookmarkStart w:id="4" w:name="_Toc15477"/>
      <w:bookmarkStart w:id="5" w:name="_Toc9766"/>
      <w:r>
        <w:rPr>
          <w:rFonts w:hint="eastAsia" w:ascii="仿宋" w:hAnsi="仿宋" w:eastAsia="仿宋" w:cs="宋体"/>
          <w:b/>
          <w:color w:val="auto"/>
          <w:kern w:val="0"/>
          <w:sz w:val="28"/>
          <w:szCs w:val="28"/>
          <w:highlight w:val="none"/>
        </w:rPr>
        <w:t>二、其他要求：</w:t>
      </w:r>
      <w:bookmarkEnd w:id="4"/>
      <w:bookmarkEnd w:id="5"/>
    </w:p>
    <w:p>
      <w:pPr>
        <w:spacing w:line="360" w:lineRule="auto"/>
        <w:ind w:firstLine="480" w:firstLineChars="200"/>
        <w:contextualSpacing/>
        <w:outlineLvl w:val="9"/>
        <w:rPr>
          <w:rFonts w:ascii="宋体" w:hAnsi="宋体" w:cs="仿宋_GB2312"/>
          <w:bCs/>
          <w:color w:val="auto"/>
          <w:sz w:val="24"/>
          <w:highlight w:val="none"/>
          <w:lang w:val="zh-CN"/>
        </w:rPr>
      </w:pPr>
      <w:r>
        <w:rPr>
          <w:rFonts w:hint="eastAsia" w:ascii="宋体" w:hAnsi="宋体" w:cs="仿宋_GB2312"/>
          <w:bCs/>
          <w:color w:val="auto"/>
          <w:sz w:val="24"/>
          <w:highlight w:val="none"/>
        </w:rPr>
        <w:t>1</w:t>
      </w:r>
      <w:r>
        <w:rPr>
          <w:rFonts w:hint="eastAsia" w:ascii="宋体" w:hAnsi="宋体" w:cs="仿宋_GB2312"/>
          <w:bCs/>
          <w:color w:val="auto"/>
          <w:sz w:val="24"/>
          <w:highlight w:val="none"/>
          <w:lang w:val="zh-CN"/>
        </w:rPr>
        <w:t>、投标人须明确投标产品的厂家、产地、品牌、型号、详细参数，否则为无效投标；</w:t>
      </w:r>
    </w:p>
    <w:p>
      <w:pPr>
        <w:spacing w:line="360" w:lineRule="auto"/>
        <w:ind w:firstLine="480" w:firstLineChars="200"/>
        <w:contextualSpacing/>
        <w:outlineLvl w:val="9"/>
        <w:rPr>
          <w:rFonts w:ascii="宋体" w:hAnsi="宋体" w:cs="仿宋_GB2312"/>
          <w:bCs/>
          <w:color w:val="auto"/>
          <w:sz w:val="24"/>
          <w:highlight w:val="none"/>
          <w:lang w:val="zh-CN"/>
        </w:rPr>
      </w:pPr>
      <w:r>
        <w:rPr>
          <w:rFonts w:hint="eastAsia" w:ascii="宋体" w:hAnsi="宋体" w:cs="仿宋_GB2312"/>
          <w:bCs/>
          <w:color w:val="auto"/>
          <w:sz w:val="24"/>
          <w:highlight w:val="none"/>
        </w:rPr>
        <w:t>2、</w:t>
      </w:r>
      <w:r>
        <w:rPr>
          <w:rFonts w:hint="eastAsia" w:ascii="宋体" w:hAnsi="宋体" w:cs="仿宋_GB2312"/>
          <w:bCs/>
          <w:color w:val="auto"/>
          <w:sz w:val="24"/>
          <w:highlight w:val="none"/>
          <w:lang w:val="zh-CN"/>
        </w:rPr>
        <w:t>投标人应就该项目完整投标，否则为无效投标。</w:t>
      </w:r>
    </w:p>
    <w:p>
      <w:pPr>
        <w:spacing w:line="360" w:lineRule="auto"/>
        <w:ind w:firstLine="480" w:firstLineChars="200"/>
        <w:contextualSpacing/>
        <w:outlineLvl w:val="9"/>
        <w:rPr>
          <w:rFonts w:ascii="宋体" w:hAnsi="宋体" w:cs="仿宋_GB2312"/>
          <w:bCs/>
          <w:color w:val="auto"/>
          <w:sz w:val="24"/>
          <w:highlight w:val="none"/>
          <w:lang w:val="zh-CN"/>
        </w:rPr>
      </w:pPr>
      <w:r>
        <w:rPr>
          <w:rFonts w:hint="eastAsia" w:ascii="宋体" w:hAnsi="宋体" w:cs="仿宋_GB2312"/>
          <w:bCs/>
          <w:color w:val="auto"/>
          <w:sz w:val="24"/>
          <w:highlight w:val="none"/>
        </w:rPr>
        <w:t>3</w:t>
      </w:r>
      <w:r>
        <w:rPr>
          <w:rFonts w:hint="eastAsia" w:ascii="宋体" w:hAnsi="宋体" w:cs="仿宋_GB2312"/>
          <w:bCs/>
          <w:color w:val="auto"/>
          <w:sz w:val="24"/>
          <w:highlight w:val="none"/>
          <w:lang w:val="zh-CN"/>
        </w:rPr>
        <w:t>、本招标文件所列需求为最低要求，投标产品不得低于最低要求，否则为无效投标。</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4</w:t>
      </w:r>
      <w:r>
        <w:rPr>
          <w:rFonts w:hint="eastAsia" w:ascii="宋体" w:hAnsi="宋体" w:cs="仿宋_GB2312"/>
          <w:color w:val="auto"/>
          <w:sz w:val="24"/>
          <w:highlight w:val="none"/>
          <w:lang w:val="zh-CN"/>
        </w:rPr>
        <w:t>、履约时间 ：自合同生效之日起</w:t>
      </w:r>
      <w:r>
        <w:rPr>
          <w:rFonts w:hint="eastAsia" w:ascii="宋体" w:hAnsi="宋体" w:cs="仿宋_GB2312"/>
          <w:color w:val="auto"/>
          <w:sz w:val="24"/>
          <w:highlight w:val="none"/>
          <w:lang w:val="en-US" w:eastAsia="zh-CN"/>
        </w:rPr>
        <w:t>5</w:t>
      </w:r>
      <w:r>
        <w:rPr>
          <w:rFonts w:hint="eastAsia" w:ascii="宋体" w:hAnsi="宋体" w:cs="仿宋_GB2312"/>
          <w:color w:val="auto"/>
          <w:sz w:val="24"/>
          <w:highlight w:val="none"/>
          <w:lang w:val="zh-CN"/>
        </w:rPr>
        <w:t>个日历天、完成安装调试并具备验收条件。</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5</w:t>
      </w:r>
      <w:r>
        <w:rPr>
          <w:rFonts w:hint="eastAsia" w:ascii="宋体" w:hAnsi="宋体" w:cs="仿宋_GB2312"/>
          <w:color w:val="auto"/>
          <w:sz w:val="24"/>
          <w:highlight w:val="none"/>
          <w:lang w:val="zh-CN"/>
        </w:rPr>
        <w:t>、最高限价：</w:t>
      </w:r>
      <w:r>
        <w:rPr>
          <w:rFonts w:hint="eastAsia" w:ascii="宋体" w:hAnsi="宋体" w:cs="仿宋_GB2312"/>
          <w:color w:val="auto"/>
          <w:sz w:val="24"/>
          <w:highlight w:val="none"/>
          <w:lang w:eastAsia="zh-CN"/>
        </w:rPr>
        <w:t>415905元</w:t>
      </w:r>
      <w:r>
        <w:rPr>
          <w:rFonts w:hint="eastAsia" w:ascii="宋体" w:hAnsi="宋体" w:cs="仿宋_GB2312"/>
          <w:color w:val="auto"/>
          <w:sz w:val="24"/>
          <w:highlight w:val="none"/>
          <w:lang w:val="zh-CN"/>
        </w:rPr>
        <w:t>，超出者为无效投标。</w:t>
      </w:r>
    </w:p>
    <w:p>
      <w:pPr>
        <w:spacing w:line="360" w:lineRule="auto"/>
        <w:ind w:firstLine="480" w:firstLineChars="200"/>
        <w:contextualSpacing/>
        <w:outlineLvl w:val="9"/>
        <w:rPr>
          <w:rFonts w:hint="eastAsia" w:ascii="宋体" w:hAnsi="宋体" w:cs="仿宋_GB2312"/>
          <w:color w:val="auto"/>
          <w:sz w:val="24"/>
          <w:highlight w:val="none"/>
          <w:lang w:val="zh-CN"/>
        </w:rPr>
      </w:pPr>
      <w:r>
        <w:rPr>
          <w:rFonts w:hint="eastAsia" w:ascii="宋体" w:hAnsi="宋体" w:cs="仿宋_GB2312"/>
          <w:color w:val="auto"/>
          <w:sz w:val="24"/>
          <w:highlight w:val="none"/>
        </w:rPr>
        <w:t>6</w:t>
      </w:r>
      <w:r>
        <w:rPr>
          <w:rFonts w:hint="eastAsia" w:ascii="宋体" w:hAnsi="宋体" w:cs="仿宋_GB2312"/>
          <w:color w:val="auto"/>
          <w:sz w:val="24"/>
          <w:highlight w:val="none"/>
          <w:lang w:val="zh-CN"/>
        </w:rPr>
        <w:t>、</w:t>
      </w:r>
      <w:r>
        <w:rPr>
          <w:rFonts w:hint="eastAsia" w:ascii="宋体" w:hAnsi="宋体" w:cs="仿宋_GB2312"/>
          <w:color w:val="auto"/>
          <w:sz w:val="24"/>
          <w:highlight w:val="none"/>
          <w:lang w:val="zh-CN" w:eastAsia="zh-CN"/>
        </w:rPr>
        <w:t>质保期</w:t>
      </w:r>
      <w:r>
        <w:rPr>
          <w:rFonts w:hint="eastAsia" w:ascii="宋体" w:hAnsi="宋体" w:cs="仿宋_GB2312"/>
          <w:color w:val="auto"/>
          <w:sz w:val="24"/>
          <w:highlight w:val="none"/>
          <w:lang w:val="zh-CN"/>
        </w:rPr>
        <w:t>：</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lang w:val="zh-CN"/>
        </w:rPr>
        <w:t>年。</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7、</w:t>
      </w:r>
      <w:r>
        <w:rPr>
          <w:rFonts w:hint="eastAsia" w:ascii="宋体" w:hAnsi="宋体" w:cs="仿宋_GB2312"/>
          <w:color w:val="auto"/>
          <w:sz w:val="24"/>
          <w:highlight w:val="none"/>
          <w:lang w:val="zh-CN"/>
        </w:rPr>
        <w:t>投标人所投产品若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8</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专利权：投标人应保证用户在使用该货物或其任何一部分时不受第三方提出侵犯其专利权、商标权和工业设计权等的起诉。(须提供加盖公章的承诺函)</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9</w:t>
      </w:r>
      <w:r>
        <w:rPr>
          <w:rFonts w:hint="eastAsia" w:ascii="宋体" w:hAnsi="宋体" w:cs="仿宋_GB2312"/>
          <w:color w:val="auto"/>
          <w:sz w:val="24"/>
          <w:highlight w:val="none"/>
          <w:lang w:val="zh-CN"/>
        </w:rPr>
        <w:t>、投标人须提供售后服务承诺书（须明确保证产品质量、并承诺承担因产品质量不合格造成的损失。须明确免费保修期，同时应提出故障响应时间，在免费保修期内，同一质量问题连续两次维修仍无法正常使用，投标人必须予以更换同品牌、同型号的全新产品，超过保修期发生故障，用户可自由选择维修单位，如委托给投标人，投标人不得借故推诿，并且维修费不能超过市场平均价格。）。</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lang w:val="en-US" w:eastAsia="zh-CN"/>
        </w:rPr>
        <w:t>10</w:t>
      </w:r>
      <w:r>
        <w:rPr>
          <w:rFonts w:hint="eastAsia" w:ascii="宋体" w:hAnsi="宋体" w:cs="仿宋_GB2312"/>
          <w:color w:val="auto"/>
          <w:sz w:val="24"/>
          <w:highlight w:val="none"/>
          <w:lang w:val="zh-CN"/>
        </w:rPr>
        <w:t>、本项目为交钥匙工程（包括制作、运输、专用工具、特殊工具、保险、安装调试、检测验收、质保、验收等产生的所有费用）。如有招标文件中没有明确，而本项目必须的各种材料、设备、施工器械均应包括在本项目中，采购人不再另行进行支付有关款项。</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lang w:val="zh-CN"/>
        </w:rPr>
        <w:t>、验收标准</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1、本项目采购设备安装完成后采用现场运行、测试验收方式验收。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80" w:firstLineChars="200"/>
        <w:contextualSpacing/>
        <w:outlineLvl w:val="9"/>
        <w:rPr>
          <w:rFonts w:ascii="宋体" w:hAnsi="宋体" w:cs="仿宋_GB2312"/>
          <w:color w:val="auto"/>
          <w:sz w:val="24"/>
          <w:highlight w:val="none"/>
          <w:lang w:val="zh-CN"/>
        </w:rPr>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2、按照国家相关标准、行业标准、地方标准或者其他标准、规范验收。</w:t>
      </w:r>
    </w:p>
    <w:p>
      <w:pPr>
        <w:spacing w:line="360" w:lineRule="auto"/>
        <w:ind w:firstLine="480" w:firstLineChars="200"/>
        <w:contextualSpacing/>
        <w:outlineLvl w:val="9"/>
      </w:pPr>
      <w:r>
        <w:rPr>
          <w:rFonts w:hint="eastAsia" w:ascii="宋体" w:hAnsi="宋体" w:cs="仿宋_GB2312"/>
          <w:color w:val="auto"/>
          <w:sz w:val="24"/>
          <w:highlight w:val="none"/>
        </w:rPr>
        <w:t>1</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3、按照招标文件要求、投标文件响应和承诺验收。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811056437"/>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sdt>
                    <w:sdtPr>
                      <w:id w:val="1811056437"/>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10"/>
                    </w:pP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85CA7"/>
    <w:rsid w:val="090637BB"/>
    <w:rsid w:val="09AF7457"/>
    <w:rsid w:val="140B00BB"/>
    <w:rsid w:val="18D80733"/>
    <w:rsid w:val="1F6A3A97"/>
    <w:rsid w:val="25C33B0D"/>
    <w:rsid w:val="2F7F0108"/>
    <w:rsid w:val="33027DBA"/>
    <w:rsid w:val="357332DD"/>
    <w:rsid w:val="39FB1722"/>
    <w:rsid w:val="3BCC453A"/>
    <w:rsid w:val="44714A24"/>
    <w:rsid w:val="45062FE1"/>
    <w:rsid w:val="451F47FD"/>
    <w:rsid w:val="47FC170E"/>
    <w:rsid w:val="522615AF"/>
    <w:rsid w:val="537955AA"/>
    <w:rsid w:val="5CE46060"/>
    <w:rsid w:val="66BB77D7"/>
    <w:rsid w:val="6BF4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Lines="0" w:beforeAutospacing="0" w:afterLines="0" w:afterAutospacing="0" w:line="360" w:lineRule="auto"/>
      <w:jc w:val="left"/>
      <w:outlineLvl w:val="0"/>
    </w:pPr>
    <w:rPr>
      <w:rFonts w:ascii="Calibri" w:hAnsi="Calibri"/>
      <w:b/>
      <w:kern w:val="44"/>
      <w:sz w:val="30"/>
      <w:szCs w:val="22"/>
    </w:rPr>
  </w:style>
  <w:style w:type="paragraph" w:styleId="6">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b/>
      <w:sz w:val="28"/>
      <w:szCs w:val="22"/>
    </w:rPr>
  </w:style>
  <w:style w:type="paragraph" w:styleId="7">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Calibri" w:hAnsi="Calibri" w:eastAsia="宋体"/>
      <w:b/>
      <w:sz w:val="24"/>
      <w:szCs w:val="2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style4"/>
    <w:basedOn w:val="1"/>
    <w:next w:val="4"/>
    <w:qFormat/>
    <w:uiPriority w:val="0"/>
    <w:pPr>
      <w:widowControl/>
      <w:spacing w:before="280" w:after="280"/>
    </w:pPr>
    <w:rPr>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qFormat/>
    <w:uiPriority w:val="0"/>
    <w:pPr>
      <w:spacing w:after="120"/>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2"/>
    <w:next w:val="11"/>
    <w:unhideWhenUsed/>
    <w:qFormat/>
    <w:uiPriority w:val="99"/>
    <w:pPr>
      <w:ind w:firstLine="420" w:firstLineChars="100"/>
    </w:pPr>
  </w:style>
  <w:style w:type="paragraph" w:styleId="11">
    <w:name w:val="Body Text First Indent 2"/>
    <w:basedOn w:val="8"/>
    <w:next w:val="1"/>
    <w:qFormat/>
    <w:uiPriority w:val="0"/>
    <w:pPr>
      <w:ind w:firstLine="420" w:firstLineChars="200"/>
    </w:pPr>
  </w:style>
  <w:style w:type="character" w:customStyle="1" w:styleId="14">
    <w:name w:val="font11"/>
    <w:basedOn w:val="13"/>
    <w:qFormat/>
    <w:uiPriority w:val="0"/>
    <w:rPr>
      <w:rFonts w:hint="eastAsia" w:ascii="宋体" w:hAnsi="宋体" w:eastAsia="宋体" w:cs="宋体"/>
      <w:color w:val="000000"/>
      <w:sz w:val="24"/>
      <w:szCs w:val="24"/>
      <w:u w:val="none"/>
    </w:rPr>
  </w:style>
  <w:style w:type="character" w:customStyle="1" w:styleId="15">
    <w:name w:val="font0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2020-04-26T02:58:00Z</dcterms:created>
  <dc:creator>Administrator</dc:creator>
  <cp:lastModifiedBy>李雅洁</cp:lastModifiedBy>
  <dcterms:modified xsi:type="dcterms:W3CDTF">2020-10-14T08:24:07Z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