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z w:val="44"/>
          <w:szCs w:val="44"/>
        </w:rPr>
      </w:pPr>
    </w:p>
    <w:p>
      <w:pPr>
        <w:jc w:val="center"/>
        <w:rPr>
          <w:rFonts w:ascii="宋体" w:hAnsi="宋体"/>
          <w:b/>
          <w:bCs/>
          <w:color w:val="000000"/>
          <w:sz w:val="44"/>
          <w:szCs w:val="44"/>
        </w:rPr>
      </w:pPr>
      <w:r>
        <w:rPr>
          <w:rFonts w:hint="eastAsia" w:ascii="宋体" w:hAnsi="宋体"/>
          <w:b/>
          <w:bCs/>
          <w:color w:val="000000"/>
          <w:sz w:val="44"/>
          <w:szCs w:val="44"/>
        </w:rPr>
        <w:t>河南省体育中心</w:t>
      </w:r>
    </w:p>
    <w:p>
      <w:pPr>
        <w:jc w:val="center"/>
        <w:rPr>
          <w:rFonts w:ascii="宋体" w:hAnsi="宋体"/>
          <w:b/>
          <w:bCs/>
          <w:color w:val="000000"/>
          <w:sz w:val="44"/>
          <w:szCs w:val="44"/>
        </w:rPr>
      </w:pPr>
      <w:r>
        <w:rPr>
          <w:rFonts w:hint="eastAsia" w:ascii="宋体" w:hAnsi="宋体"/>
          <w:b/>
          <w:bCs/>
          <w:color w:val="000000"/>
          <w:sz w:val="44"/>
          <w:szCs w:val="44"/>
        </w:rPr>
        <w:t>游泳跳水馆臭氧设备更换项目</w:t>
      </w:r>
    </w:p>
    <w:p>
      <w:pPr>
        <w:pStyle w:val="794"/>
        <w:ind w:firstLine="0" w:firstLineChars="0"/>
        <w:jc w:val="center"/>
        <w:rPr>
          <w:rFonts w:ascii="宋体" w:hAnsi="宋体" w:cs="Times New Roman"/>
          <w:b/>
          <w:bCs/>
          <w:color w:val="000000"/>
          <w:sz w:val="44"/>
          <w:szCs w:val="44"/>
          <w:lang w:val="en-US"/>
        </w:rPr>
      </w:pPr>
    </w:p>
    <w:p>
      <w:pPr>
        <w:pStyle w:val="794"/>
        <w:rPr>
          <w:lang w:val="en-US"/>
        </w:rPr>
      </w:pPr>
    </w:p>
    <w:p>
      <w:pPr>
        <w:jc w:val="center"/>
        <w:rPr>
          <w:rFonts w:ascii="宋体" w:hAnsi="宋体"/>
          <w:b/>
          <w:color w:val="000000"/>
          <w:sz w:val="48"/>
          <w:szCs w:val="48"/>
        </w:rPr>
      </w:pP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b/>
          <w:color w:val="000000"/>
          <w:sz w:val="84"/>
          <w:szCs w:val="24"/>
        </w:rPr>
      </w:pPr>
      <w:r>
        <w:rPr>
          <w:rFonts w:hint="eastAsia" w:ascii="宋体" w:hAnsi="宋体"/>
          <w:b/>
          <w:color w:val="000000"/>
          <w:sz w:val="84"/>
          <w:szCs w:val="24"/>
        </w:rPr>
        <w:t>招 标 文 件</w:t>
      </w:r>
    </w:p>
    <w:p>
      <w:pPr>
        <w:jc w:val="center"/>
        <w:rPr>
          <w:rFonts w:ascii="宋体" w:hAnsi="宋体"/>
          <w:b/>
          <w:color w:val="000000"/>
          <w:szCs w:val="21"/>
        </w:rPr>
      </w:pPr>
    </w:p>
    <w:p>
      <w:pPr>
        <w:jc w:val="center"/>
        <w:rPr>
          <w:rFonts w:ascii="宋体" w:hAnsi="宋体"/>
          <w:color w:val="000000"/>
          <w:sz w:val="30"/>
          <w:szCs w:val="24"/>
        </w:rPr>
      </w:pPr>
      <w:r>
        <w:rPr>
          <w:rFonts w:hint="eastAsia" w:ascii="宋体" w:hAnsi="宋体"/>
          <w:b/>
          <w:color w:val="000000"/>
          <w:sz w:val="32"/>
          <w:szCs w:val="24"/>
        </w:rPr>
        <w:t>招标编号：豫财招标采购-2020-457</w:t>
      </w:r>
    </w:p>
    <w:p>
      <w:pPr>
        <w:jc w:val="center"/>
        <w:rPr>
          <w:rFonts w:ascii="宋体" w:hAnsi="宋体"/>
          <w:color w:val="000000"/>
          <w:sz w:val="30"/>
          <w:szCs w:val="24"/>
        </w:rPr>
      </w:pPr>
    </w:p>
    <w:p>
      <w:pPr>
        <w:jc w:val="center"/>
        <w:rPr>
          <w:rFonts w:ascii="宋体" w:hAnsi="宋体"/>
          <w:color w:val="000000"/>
          <w:sz w:val="30"/>
          <w:szCs w:val="24"/>
        </w:rPr>
      </w:pPr>
    </w:p>
    <w:p>
      <w:pPr>
        <w:jc w:val="center"/>
        <w:rPr>
          <w:rFonts w:ascii="宋体" w:hAnsi="宋体"/>
          <w:color w:val="000000"/>
          <w:szCs w:val="21"/>
        </w:rPr>
      </w:pPr>
    </w:p>
    <w:p>
      <w:pPr>
        <w:pStyle w:val="638"/>
      </w:pPr>
    </w:p>
    <w:p>
      <w:pPr>
        <w:jc w:val="center"/>
        <w:rPr>
          <w:rFonts w:ascii="宋体" w:hAnsi="宋体"/>
          <w:color w:val="000000"/>
          <w:sz w:val="30"/>
          <w:szCs w:val="24"/>
        </w:rPr>
      </w:pPr>
    </w:p>
    <w:p>
      <w:pPr>
        <w:rPr>
          <w:sz w:val="36"/>
        </w:rPr>
      </w:pPr>
      <w:r>
        <w:rPr>
          <w:sz w:val="36"/>
        </w:rPr>
        <w:pict>
          <v:shape id="对象 7" o:spid="_x0000_s1027" o:spt="75" type="#_x0000_t75" style="position:absolute;left:0pt;margin-left:52.5pt;margin-top:54.6pt;height:34.05pt;width:335.95pt;mso-wrap-distance-bottom:0pt;mso-wrap-distance-top:0pt;z-index:251657216;mso-width-relative:page;mso-height-relative:page;" o:ole="t" filled="f" o:preferrelative="t" stroked="f" coordsize="21600,21600" o:allowincell="f">
            <v:path/>
            <v:fill on="f" focussize="0,0"/>
            <v:stroke on="f" joinstyle="miter"/>
            <v:imagedata r:id="rId8" o:title=""/>
            <o:lock v:ext="edit" aspectratio="t"/>
            <w10:wrap type="topAndBottom"/>
          </v:shape>
          <o:OLEObject Type="Embed" ProgID="Word.Picture.8" ShapeID="对象 7" DrawAspect="Content" ObjectID="_1468075725" r:id="rId7">
            <o:LockedField>false</o:LockedField>
          </o:OLEObject>
        </w:pict>
      </w:r>
    </w:p>
    <w:p>
      <w:pPr>
        <w:rPr>
          <w:rFonts w:eastAsia="黑体"/>
          <w:b/>
          <w:sz w:val="24"/>
        </w:rPr>
      </w:pPr>
      <w:r>
        <w:rPr>
          <w:sz w:val="36"/>
        </w:rPr>
        <w:drawing>
          <wp:anchor distT="0" distB="0" distL="114300" distR="114300" simplePos="0" relativeHeight="251658240" behindDoc="0" locked="0" layoutInCell="1" allowOverlap="1">
            <wp:simplePos x="0" y="0"/>
            <wp:positionH relativeFrom="column">
              <wp:posOffset>-314325</wp:posOffset>
            </wp:positionH>
            <wp:positionV relativeFrom="paragraph">
              <wp:posOffset>369570</wp:posOffset>
            </wp:positionV>
            <wp:extent cx="786130" cy="471170"/>
            <wp:effectExtent l="19050" t="0" r="0" b="0"/>
            <wp:wrapNone/>
            <wp:docPr id="2" name="图片 17"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公司徽标"/>
                    <pic:cNvPicPr>
                      <a:picLocks noChangeAspect="1" noChangeArrowheads="1"/>
                    </pic:cNvPicPr>
                  </pic:nvPicPr>
                  <pic:blipFill>
                    <a:blip r:embed="rId9" cstate="print"/>
                    <a:srcRect/>
                    <a:stretch>
                      <a:fillRect/>
                    </a:stretch>
                  </pic:blipFill>
                  <pic:spPr>
                    <a:xfrm>
                      <a:off x="0" y="0"/>
                      <a:ext cx="786130" cy="471170"/>
                    </a:xfrm>
                    <a:prstGeom prst="rect">
                      <a:avLst/>
                    </a:prstGeom>
                    <a:noFill/>
                    <a:ln w="9525">
                      <a:noFill/>
                      <a:miter lim="800000"/>
                      <a:headEnd/>
                      <a:tailEnd/>
                    </a:ln>
                  </pic:spPr>
                </pic:pic>
              </a:graphicData>
            </a:graphic>
          </wp:anchor>
        </w:drawing>
      </w:r>
      <w:r>
        <w:rPr>
          <w:rFonts w:ascii="方正舒体" w:hAnsi="Verdana"/>
          <w:b/>
          <w:bCs/>
          <w:sz w:val="32"/>
        </w:rPr>
        <w:t xml:space="preserve">  </w:t>
      </w:r>
      <w:r>
        <w:rPr>
          <w:rFonts w:hint="eastAsia" w:ascii="方正舒体" w:hAnsi="Verdana"/>
          <w:b/>
          <w:bCs/>
          <w:sz w:val="32"/>
        </w:rPr>
        <w:t xml:space="preserve"> HENAN TENDER-PURCHASE</w:t>
      </w:r>
      <w:r>
        <w:rPr>
          <w:rFonts w:ascii="方正舒体" w:hAnsi="Verdana"/>
          <w:b/>
          <w:bCs/>
          <w:sz w:val="32"/>
        </w:rPr>
        <w:t xml:space="preserve"> SERVICE</w:t>
      </w:r>
      <w:r>
        <w:rPr>
          <w:rFonts w:hint="eastAsia" w:ascii="方正舒体" w:hAnsi="Verdana"/>
          <w:b/>
          <w:bCs/>
          <w:sz w:val="32"/>
        </w:rPr>
        <w:t xml:space="preserve"> </w:t>
      </w:r>
      <w:r>
        <w:rPr>
          <w:rFonts w:ascii="方正舒体" w:hAnsi="Verdana"/>
          <w:b/>
          <w:bCs/>
          <w:sz w:val="32"/>
        </w:rPr>
        <w:t>CO.</w:t>
      </w:r>
      <w:r>
        <w:rPr>
          <w:rFonts w:hint="eastAsia" w:ascii="方正舒体" w:hAnsi="Verdana"/>
          <w:b/>
          <w:bCs/>
          <w:sz w:val="32"/>
        </w:rPr>
        <w:t>，LTD.</w:t>
      </w:r>
    </w:p>
    <w:p>
      <w:pPr>
        <w:jc w:val="center"/>
      </w:pPr>
      <w:bookmarkStart w:id="0" w:name="_Toc22568789"/>
      <w:bookmarkEnd w:id="0"/>
      <w:bookmarkStart w:id="1" w:name="_Toc22953398"/>
      <w:bookmarkEnd w:id="1"/>
      <w:r>
        <w:rPr>
          <w:rFonts w:ascii="宋体" w:hAnsi="宋体"/>
          <w:b/>
          <w:bCs/>
          <w:color w:val="000000"/>
          <w:sz w:val="44"/>
        </w:rPr>
        <w:br w:type="page"/>
      </w:r>
      <w:r>
        <w:rPr>
          <w:rFonts w:ascii="宋体" w:hAnsi="宋体"/>
        </w:rPr>
        <w:t>目录</w:t>
      </w:r>
    </w:p>
    <w:p>
      <w:pPr>
        <w:pStyle w:val="60"/>
        <w:tabs>
          <w:tab w:val="right" w:leader="dot" w:pos="8306"/>
        </w:tabs>
      </w:pPr>
      <w:bookmarkStart w:id="102" w:name="_GoBack"/>
      <w:bookmarkEnd w:id="102"/>
      <w:r>
        <w:fldChar w:fldCharType="begin"/>
      </w:r>
      <w:r>
        <w:instrText xml:space="preserve">TOC \o "1-3" \h \u </w:instrText>
      </w:r>
      <w:r>
        <w:fldChar w:fldCharType="separate"/>
      </w:r>
      <w:r>
        <w:fldChar w:fldCharType="begin"/>
      </w:r>
      <w:r>
        <w:instrText xml:space="preserve"> HYPERLINK \l _Toc23059 </w:instrText>
      </w:r>
      <w:r>
        <w:fldChar w:fldCharType="separate"/>
      </w:r>
      <w:r>
        <w:rPr>
          <w:rFonts w:hint="default"/>
        </w:rPr>
        <w:t xml:space="preserve">第一章 </w:t>
      </w:r>
      <w:r>
        <w:rPr>
          <w:rFonts w:hint="eastAsia"/>
        </w:rPr>
        <w:t>招标公告</w:t>
      </w:r>
      <w:r>
        <w:tab/>
      </w:r>
      <w:r>
        <w:fldChar w:fldCharType="begin"/>
      </w:r>
      <w:r>
        <w:instrText xml:space="preserve"> PAGEREF _Toc23059 </w:instrText>
      </w:r>
      <w:r>
        <w:fldChar w:fldCharType="separate"/>
      </w:r>
      <w:r>
        <w:t>4</w:t>
      </w:r>
      <w:r>
        <w:fldChar w:fldCharType="end"/>
      </w:r>
      <w:r>
        <w:fldChar w:fldCharType="end"/>
      </w:r>
    </w:p>
    <w:p>
      <w:pPr>
        <w:pStyle w:val="60"/>
        <w:tabs>
          <w:tab w:val="right" w:leader="dot" w:pos="8306"/>
        </w:tabs>
      </w:pPr>
      <w:r>
        <w:fldChar w:fldCharType="begin"/>
      </w:r>
      <w:r>
        <w:instrText xml:space="preserve"> HYPERLINK \l _Toc7529 </w:instrText>
      </w:r>
      <w:r>
        <w:fldChar w:fldCharType="separate"/>
      </w:r>
      <w:r>
        <w:rPr>
          <w:rFonts w:hint="eastAsia"/>
        </w:rPr>
        <w:t>第二章  投标人须知</w:t>
      </w:r>
      <w:r>
        <w:tab/>
      </w:r>
      <w:r>
        <w:fldChar w:fldCharType="begin"/>
      </w:r>
      <w:r>
        <w:instrText xml:space="preserve"> PAGEREF _Toc7529 </w:instrText>
      </w:r>
      <w:r>
        <w:fldChar w:fldCharType="separate"/>
      </w:r>
      <w:r>
        <w:t>8</w:t>
      </w:r>
      <w:r>
        <w:fldChar w:fldCharType="end"/>
      </w:r>
      <w:r>
        <w:fldChar w:fldCharType="end"/>
      </w:r>
    </w:p>
    <w:p>
      <w:pPr>
        <w:pStyle w:val="75"/>
        <w:tabs>
          <w:tab w:val="right" w:leader="dot" w:pos="8306"/>
        </w:tabs>
      </w:pPr>
      <w:r>
        <w:fldChar w:fldCharType="begin"/>
      </w:r>
      <w:r>
        <w:instrText xml:space="preserve"> HYPERLINK \l _Toc17965 </w:instrText>
      </w:r>
      <w:r>
        <w:fldChar w:fldCharType="separate"/>
      </w:r>
      <w:r>
        <w:rPr>
          <w:rFonts w:hint="eastAsia" w:ascii="宋体" w:hAnsi="宋体" w:eastAsia="宋体"/>
          <w:szCs w:val="24"/>
        </w:rPr>
        <w:t>一. 说明</w:t>
      </w:r>
      <w:r>
        <w:tab/>
      </w:r>
      <w:r>
        <w:fldChar w:fldCharType="begin"/>
      </w:r>
      <w:r>
        <w:instrText xml:space="preserve"> PAGEREF _Toc17965 </w:instrText>
      </w:r>
      <w:r>
        <w:fldChar w:fldCharType="separate"/>
      </w:r>
      <w:r>
        <w:t>8</w:t>
      </w:r>
      <w:r>
        <w:fldChar w:fldCharType="end"/>
      </w:r>
      <w:r>
        <w:fldChar w:fldCharType="end"/>
      </w:r>
    </w:p>
    <w:p>
      <w:pPr>
        <w:pStyle w:val="75"/>
        <w:tabs>
          <w:tab w:val="right" w:leader="dot" w:pos="8306"/>
        </w:tabs>
      </w:pPr>
      <w:r>
        <w:fldChar w:fldCharType="begin"/>
      </w:r>
      <w:r>
        <w:instrText xml:space="preserve"> HYPERLINK \l _Toc21692 </w:instrText>
      </w:r>
      <w:r>
        <w:fldChar w:fldCharType="separate"/>
      </w:r>
      <w:r>
        <w:rPr>
          <w:rFonts w:hint="eastAsia" w:ascii="宋体" w:hAnsi="宋体" w:eastAsia="宋体"/>
          <w:szCs w:val="24"/>
        </w:rPr>
        <w:t>二. 招标文件</w:t>
      </w:r>
      <w:r>
        <w:tab/>
      </w:r>
      <w:r>
        <w:fldChar w:fldCharType="begin"/>
      </w:r>
      <w:r>
        <w:instrText xml:space="preserve"> PAGEREF _Toc21692 </w:instrText>
      </w:r>
      <w:r>
        <w:fldChar w:fldCharType="separate"/>
      </w:r>
      <w:r>
        <w:t>9</w:t>
      </w:r>
      <w:r>
        <w:fldChar w:fldCharType="end"/>
      </w:r>
      <w:r>
        <w:fldChar w:fldCharType="end"/>
      </w:r>
    </w:p>
    <w:p>
      <w:pPr>
        <w:pStyle w:val="75"/>
        <w:tabs>
          <w:tab w:val="right" w:leader="dot" w:pos="8306"/>
        </w:tabs>
      </w:pPr>
      <w:r>
        <w:fldChar w:fldCharType="begin"/>
      </w:r>
      <w:r>
        <w:instrText xml:space="preserve"> HYPERLINK \l _Toc10986 </w:instrText>
      </w:r>
      <w:r>
        <w:fldChar w:fldCharType="separate"/>
      </w:r>
      <w:r>
        <w:rPr>
          <w:rFonts w:hint="eastAsia" w:ascii="宋体" w:hAnsi="宋体" w:eastAsia="宋体"/>
          <w:szCs w:val="24"/>
        </w:rPr>
        <w:t>三. 投标文件的编写</w:t>
      </w:r>
      <w:r>
        <w:tab/>
      </w:r>
      <w:r>
        <w:fldChar w:fldCharType="begin"/>
      </w:r>
      <w:r>
        <w:instrText xml:space="preserve"> PAGEREF _Toc10986 </w:instrText>
      </w:r>
      <w:r>
        <w:fldChar w:fldCharType="separate"/>
      </w:r>
      <w:r>
        <w:t>11</w:t>
      </w:r>
      <w:r>
        <w:fldChar w:fldCharType="end"/>
      </w:r>
      <w:r>
        <w:fldChar w:fldCharType="end"/>
      </w:r>
    </w:p>
    <w:p>
      <w:pPr>
        <w:pStyle w:val="75"/>
        <w:tabs>
          <w:tab w:val="right" w:leader="dot" w:pos="8306"/>
        </w:tabs>
      </w:pPr>
      <w:r>
        <w:fldChar w:fldCharType="begin"/>
      </w:r>
      <w:r>
        <w:instrText xml:space="preserve"> HYPERLINK \l _Toc3455 </w:instrText>
      </w:r>
      <w:r>
        <w:fldChar w:fldCharType="separate"/>
      </w:r>
      <w:r>
        <w:rPr>
          <w:rFonts w:hint="eastAsia" w:ascii="宋体" w:hAnsi="宋体" w:eastAsia="宋体"/>
          <w:szCs w:val="24"/>
        </w:rPr>
        <w:t>四. 投标文件的递交</w:t>
      </w:r>
      <w:r>
        <w:tab/>
      </w:r>
      <w:r>
        <w:fldChar w:fldCharType="begin"/>
      </w:r>
      <w:r>
        <w:instrText xml:space="preserve"> PAGEREF _Toc3455 </w:instrText>
      </w:r>
      <w:r>
        <w:fldChar w:fldCharType="separate"/>
      </w:r>
      <w:r>
        <w:t>13</w:t>
      </w:r>
      <w:r>
        <w:fldChar w:fldCharType="end"/>
      </w:r>
      <w:r>
        <w:fldChar w:fldCharType="end"/>
      </w:r>
    </w:p>
    <w:p>
      <w:pPr>
        <w:pStyle w:val="75"/>
        <w:tabs>
          <w:tab w:val="right" w:leader="dot" w:pos="8306"/>
        </w:tabs>
      </w:pPr>
      <w:r>
        <w:fldChar w:fldCharType="begin"/>
      </w:r>
      <w:r>
        <w:instrText xml:space="preserve"> HYPERLINK \l _Toc13905 </w:instrText>
      </w:r>
      <w:r>
        <w:fldChar w:fldCharType="separate"/>
      </w:r>
      <w:r>
        <w:rPr>
          <w:rFonts w:hint="eastAsia" w:ascii="宋体" w:hAnsi="宋体" w:eastAsia="宋体"/>
          <w:szCs w:val="24"/>
        </w:rPr>
        <w:t>五. 开标与评标</w:t>
      </w:r>
      <w:r>
        <w:tab/>
      </w:r>
      <w:r>
        <w:fldChar w:fldCharType="begin"/>
      </w:r>
      <w:r>
        <w:instrText xml:space="preserve"> PAGEREF _Toc13905 </w:instrText>
      </w:r>
      <w:r>
        <w:fldChar w:fldCharType="separate"/>
      </w:r>
      <w:r>
        <w:t>14</w:t>
      </w:r>
      <w:r>
        <w:fldChar w:fldCharType="end"/>
      </w:r>
      <w:r>
        <w:fldChar w:fldCharType="end"/>
      </w:r>
    </w:p>
    <w:p>
      <w:pPr>
        <w:pStyle w:val="75"/>
        <w:tabs>
          <w:tab w:val="right" w:leader="dot" w:pos="8306"/>
        </w:tabs>
      </w:pPr>
      <w:r>
        <w:fldChar w:fldCharType="begin"/>
      </w:r>
      <w:r>
        <w:instrText xml:space="preserve"> HYPERLINK \l _Toc2645 </w:instrText>
      </w:r>
      <w:r>
        <w:fldChar w:fldCharType="separate"/>
      </w:r>
      <w:r>
        <w:rPr>
          <w:rFonts w:hint="eastAsia" w:ascii="宋体" w:hAnsi="宋体" w:eastAsia="宋体"/>
          <w:szCs w:val="24"/>
        </w:rPr>
        <w:t>六. 授予合同</w:t>
      </w:r>
      <w:r>
        <w:tab/>
      </w:r>
      <w:r>
        <w:fldChar w:fldCharType="begin"/>
      </w:r>
      <w:r>
        <w:instrText xml:space="preserve"> PAGEREF _Toc2645 </w:instrText>
      </w:r>
      <w:r>
        <w:fldChar w:fldCharType="separate"/>
      </w:r>
      <w:r>
        <w:t>17</w:t>
      </w:r>
      <w:r>
        <w:fldChar w:fldCharType="end"/>
      </w:r>
      <w:r>
        <w:fldChar w:fldCharType="end"/>
      </w:r>
    </w:p>
    <w:p>
      <w:pPr>
        <w:pStyle w:val="60"/>
        <w:tabs>
          <w:tab w:val="right" w:leader="dot" w:pos="8306"/>
        </w:tabs>
      </w:pPr>
      <w:r>
        <w:fldChar w:fldCharType="begin"/>
      </w:r>
      <w:r>
        <w:instrText xml:space="preserve"> HYPERLINK \l _Toc8782 </w:instrText>
      </w:r>
      <w:r>
        <w:fldChar w:fldCharType="separate"/>
      </w:r>
      <w:r>
        <w:rPr>
          <w:rFonts w:hint="eastAsia"/>
        </w:rPr>
        <w:t>第三章  合同通用条款</w:t>
      </w:r>
      <w:r>
        <w:tab/>
      </w:r>
      <w:r>
        <w:fldChar w:fldCharType="begin"/>
      </w:r>
      <w:r>
        <w:instrText xml:space="preserve"> PAGEREF _Toc8782 </w:instrText>
      </w:r>
      <w:r>
        <w:fldChar w:fldCharType="separate"/>
      </w:r>
      <w:r>
        <w:t>19</w:t>
      </w:r>
      <w:r>
        <w:fldChar w:fldCharType="end"/>
      </w:r>
      <w:r>
        <w:fldChar w:fldCharType="end"/>
      </w:r>
    </w:p>
    <w:p>
      <w:pPr>
        <w:pStyle w:val="75"/>
        <w:tabs>
          <w:tab w:val="right" w:leader="dot" w:pos="8306"/>
        </w:tabs>
      </w:pPr>
      <w:r>
        <w:fldChar w:fldCharType="begin"/>
      </w:r>
      <w:r>
        <w:instrText xml:space="preserve"> HYPERLINK \l _Toc24582 </w:instrText>
      </w:r>
      <w:r>
        <w:fldChar w:fldCharType="separate"/>
      </w:r>
      <w:r>
        <w:rPr>
          <w:rFonts w:ascii="宋体" w:hAnsi="宋体" w:eastAsia="宋体"/>
          <w:szCs w:val="24"/>
        </w:rPr>
        <w:t xml:space="preserve">1. </w:t>
      </w:r>
      <w:r>
        <w:rPr>
          <w:rFonts w:hint="eastAsia" w:ascii="宋体" w:hAnsi="宋体" w:eastAsia="宋体"/>
          <w:szCs w:val="24"/>
        </w:rPr>
        <w:t>适用性</w:t>
      </w:r>
      <w:r>
        <w:tab/>
      </w:r>
      <w:r>
        <w:fldChar w:fldCharType="begin"/>
      </w:r>
      <w:r>
        <w:instrText xml:space="preserve"> PAGEREF _Toc24582 </w:instrText>
      </w:r>
      <w:r>
        <w:fldChar w:fldCharType="separate"/>
      </w:r>
      <w:r>
        <w:t>19</w:t>
      </w:r>
      <w:r>
        <w:fldChar w:fldCharType="end"/>
      </w:r>
      <w:r>
        <w:fldChar w:fldCharType="end"/>
      </w:r>
    </w:p>
    <w:p>
      <w:pPr>
        <w:pStyle w:val="75"/>
        <w:tabs>
          <w:tab w:val="right" w:leader="dot" w:pos="8306"/>
        </w:tabs>
      </w:pPr>
      <w:r>
        <w:fldChar w:fldCharType="begin"/>
      </w:r>
      <w:r>
        <w:instrText xml:space="preserve"> HYPERLINK \l _Toc4328 </w:instrText>
      </w:r>
      <w:r>
        <w:fldChar w:fldCharType="separate"/>
      </w:r>
      <w:r>
        <w:rPr>
          <w:rFonts w:ascii="宋体" w:hAnsi="宋体" w:eastAsia="宋体"/>
          <w:szCs w:val="24"/>
        </w:rPr>
        <w:t xml:space="preserve">2. </w:t>
      </w:r>
      <w:r>
        <w:rPr>
          <w:rFonts w:hint="eastAsia" w:ascii="宋体" w:hAnsi="宋体" w:eastAsia="宋体"/>
          <w:szCs w:val="24"/>
        </w:rPr>
        <w:t>定义</w:t>
      </w:r>
      <w:r>
        <w:tab/>
      </w:r>
      <w:r>
        <w:fldChar w:fldCharType="begin"/>
      </w:r>
      <w:r>
        <w:instrText xml:space="preserve"> PAGEREF _Toc4328 </w:instrText>
      </w:r>
      <w:r>
        <w:fldChar w:fldCharType="separate"/>
      </w:r>
      <w:r>
        <w:t>19</w:t>
      </w:r>
      <w:r>
        <w:fldChar w:fldCharType="end"/>
      </w:r>
      <w:r>
        <w:fldChar w:fldCharType="end"/>
      </w:r>
    </w:p>
    <w:p>
      <w:pPr>
        <w:pStyle w:val="75"/>
        <w:tabs>
          <w:tab w:val="right" w:leader="dot" w:pos="8306"/>
        </w:tabs>
      </w:pPr>
      <w:r>
        <w:fldChar w:fldCharType="begin"/>
      </w:r>
      <w:r>
        <w:instrText xml:space="preserve"> HYPERLINK \l _Toc3924 </w:instrText>
      </w:r>
      <w:r>
        <w:fldChar w:fldCharType="separate"/>
      </w:r>
      <w:r>
        <w:rPr>
          <w:rFonts w:ascii="宋体" w:hAnsi="宋体" w:eastAsia="宋体"/>
          <w:szCs w:val="24"/>
        </w:rPr>
        <w:t xml:space="preserve">3. </w:t>
      </w:r>
      <w:r>
        <w:rPr>
          <w:rFonts w:hint="eastAsia" w:ascii="宋体" w:hAnsi="宋体" w:eastAsia="宋体"/>
          <w:szCs w:val="24"/>
        </w:rPr>
        <w:t>原产地</w:t>
      </w:r>
      <w:r>
        <w:tab/>
      </w:r>
      <w:r>
        <w:fldChar w:fldCharType="begin"/>
      </w:r>
      <w:r>
        <w:instrText xml:space="preserve"> PAGEREF _Toc3924 </w:instrText>
      </w:r>
      <w:r>
        <w:fldChar w:fldCharType="separate"/>
      </w:r>
      <w:r>
        <w:t>20</w:t>
      </w:r>
      <w:r>
        <w:fldChar w:fldCharType="end"/>
      </w:r>
      <w:r>
        <w:fldChar w:fldCharType="end"/>
      </w:r>
    </w:p>
    <w:p>
      <w:pPr>
        <w:pStyle w:val="75"/>
        <w:tabs>
          <w:tab w:val="right" w:leader="dot" w:pos="8306"/>
        </w:tabs>
      </w:pPr>
      <w:r>
        <w:fldChar w:fldCharType="begin"/>
      </w:r>
      <w:r>
        <w:instrText xml:space="preserve"> HYPERLINK \l _Toc13131 </w:instrText>
      </w:r>
      <w:r>
        <w:fldChar w:fldCharType="separate"/>
      </w:r>
      <w:r>
        <w:rPr>
          <w:rFonts w:ascii="宋体" w:hAnsi="宋体" w:eastAsia="宋体"/>
          <w:szCs w:val="24"/>
        </w:rPr>
        <w:t xml:space="preserve">4. </w:t>
      </w:r>
      <w:r>
        <w:rPr>
          <w:rFonts w:hint="eastAsia" w:ascii="宋体" w:hAnsi="宋体" w:eastAsia="宋体"/>
          <w:szCs w:val="24"/>
        </w:rPr>
        <w:t>标准</w:t>
      </w:r>
      <w:r>
        <w:tab/>
      </w:r>
      <w:r>
        <w:fldChar w:fldCharType="begin"/>
      </w:r>
      <w:r>
        <w:instrText xml:space="preserve"> PAGEREF _Toc13131 </w:instrText>
      </w:r>
      <w:r>
        <w:fldChar w:fldCharType="separate"/>
      </w:r>
      <w:r>
        <w:t>21</w:t>
      </w:r>
      <w:r>
        <w:fldChar w:fldCharType="end"/>
      </w:r>
      <w:r>
        <w:fldChar w:fldCharType="end"/>
      </w:r>
    </w:p>
    <w:p>
      <w:pPr>
        <w:pStyle w:val="75"/>
        <w:tabs>
          <w:tab w:val="right" w:leader="dot" w:pos="8306"/>
        </w:tabs>
      </w:pPr>
      <w:r>
        <w:fldChar w:fldCharType="begin"/>
      </w:r>
      <w:r>
        <w:instrText xml:space="preserve"> HYPERLINK \l _Toc12903 </w:instrText>
      </w:r>
      <w:r>
        <w:fldChar w:fldCharType="separate"/>
      </w:r>
      <w:r>
        <w:rPr>
          <w:rFonts w:ascii="宋体" w:hAnsi="宋体" w:eastAsia="宋体"/>
          <w:szCs w:val="24"/>
        </w:rPr>
        <w:t xml:space="preserve">5. </w:t>
      </w:r>
      <w:r>
        <w:rPr>
          <w:rFonts w:hint="eastAsia" w:ascii="宋体" w:hAnsi="宋体" w:eastAsia="宋体"/>
          <w:szCs w:val="24"/>
        </w:rPr>
        <w:t>使用合同文件和资料</w:t>
      </w:r>
      <w:r>
        <w:tab/>
      </w:r>
      <w:r>
        <w:fldChar w:fldCharType="begin"/>
      </w:r>
      <w:r>
        <w:instrText xml:space="preserve"> PAGEREF _Toc12903 </w:instrText>
      </w:r>
      <w:r>
        <w:fldChar w:fldCharType="separate"/>
      </w:r>
      <w:r>
        <w:t>21</w:t>
      </w:r>
      <w:r>
        <w:fldChar w:fldCharType="end"/>
      </w:r>
      <w:r>
        <w:fldChar w:fldCharType="end"/>
      </w:r>
    </w:p>
    <w:p>
      <w:pPr>
        <w:pStyle w:val="75"/>
        <w:tabs>
          <w:tab w:val="right" w:leader="dot" w:pos="8306"/>
        </w:tabs>
      </w:pPr>
      <w:r>
        <w:fldChar w:fldCharType="begin"/>
      </w:r>
      <w:r>
        <w:instrText xml:space="preserve"> HYPERLINK \l _Toc23041 </w:instrText>
      </w:r>
      <w:r>
        <w:fldChar w:fldCharType="separate"/>
      </w:r>
      <w:r>
        <w:rPr>
          <w:rFonts w:ascii="宋体" w:hAnsi="宋体" w:eastAsia="宋体"/>
          <w:szCs w:val="24"/>
        </w:rPr>
        <w:t xml:space="preserve">6. </w:t>
      </w:r>
      <w:r>
        <w:rPr>
          <w:rFonts w:hint="eastAsia" w:ascii="宋体" w:hAnsi="宋体" w:eastAsia="宋体"/>
          <w:szCs w:val="24"/>
        </w:rPr>
        <w:t>专利权</w:t>
      </w:r>
      <w:r>
        <w:tab/>
      </w:r>
      <w:r>
        <w:fldChar w:fldCharType="begin"/>
      </w:r>
      <w:r>
        <w:instrText xml:space="preserve"> PAGEREF _Toc23041 </w:instrText>
      </w:r>
      <w:r>
        <w:fldChar w:fldCharType="separate"/>
      </w:r>
      <w:r>
        <w:t>21</w:t>
      </w:r>
      <w:r>
        <w:fldChar w:fldCharType="end"/>
      </w:r>
      <w:r>
        <w:fldChar w:fldCharType="end"/>
      </w:r>
    </w:p>
    <w:p>
      <w:pPr>
        <w:pStyle w:val="75"/>
        <w:tabs>
          <w:tab w:val="right" w:leader="dot" w:pos="8306"/>
        </w:tabs>
      </w:pPr>
      <w:r>
        <w:fldChar w:fldCharType="begin"/>
      </w:r>
      <w:r>
        <w:instrText xml:space="preserve"> HYPERLINK \l _Toc665 </w:instrText>
      </w:r>
      <w:r>
        <w:fldChar w:fldCharType="separate"/>
      </w:r>
      <w:r>
        <w:rPr>
          <w:rFonts w:ascii="宋体" w:hAnsi="宋体" w:eastAsia="宋体"/>
          <w:szCs w:val="24"/>
        </w:rPr>
        <w:t xml:space="preserve">7. </w:t>
      </w:r>
      <w:r>
        <w:rPr>
          <w:rFonts w:hint="eastAsia" w:ascii="宋体" w:hAnsi="宋体" w:eastAsia="宋体"/>
          <w:szCs w:val="24"/>
        </w:rPr>
        <w:t>履约保证金</w:t>
      </w:r>
      <w:r>
        <w:tab/>
      </w:r>
      <w:r>
        <w:fldChar w:fldCharType="begin"/>
      </w:r>
      <w:r>
        <w:instrText xml:space="preserve"> PAGEREF _Toc665 </w:instrText>
      </w:r>
      <w:r>
        <w:fldChar w:fldCharType="separate"/>
      </w:r>
      <w:r>
        <w:t>21</w:t>
      </w:r>
      <w:r>
        <w:fldChar w:fldCharType="end"/>
      </w:r>
      <w:r>
        <w:fldChar w:fldCharType="end"/>
      </w:r>
    </w:p>
    <w:p>
      <w:pPr>
        <w:pStyle w:val="75"/>
        <w:tabs>
          <w:tab w:val="right" w:leader="dot" w:pos="8306"/>
        </w:tabs>
      </w:pPr>
      <w:r>
        <w:fldChar w:fldCharType="begin"/>
      </w:r>
      <w:r>
        <w:instrText xml:space="preserve"> HYPERLINK \l _Toc16396 </w:instrText>
      </w:r>
      <w:r>
        <w:fldChar w:fldCharType="separate"/>
      </w:r>
      <w:r>
        <w:rPr>
          <w:rFonts w:ascii="宋体" w:hAnsi="宋体" w:eastAsia="宋体"/>
          <w:szCs w:val="24"/>
        </w:rPr>
        <w:t xml:space="preserve">8. </w:t>
      </w:r>
      <w:r>
        <w:rPr>
          <w:rFonts w:hint="eastAsia" w:ascii="宋体" w:hAnsi="宋体" w:eastAsia="宋体"/>
          <w:szCs w:val="24"/>
        </w:rPr>
        <w:t>检验和测试</w:t>
      </w:r>
      <w:r>
        <w:tab/>
      </w:r>
      <w:r>
        <w:fldChar w:fldCharType="begin"/>
      </w:r>
      <w:r>
        <w:instrText xml:space="preserve"> PAGEREF _Toc16396 </w:instrText>
      </w:r>
      <w:r>
        <w:fldChar w:fldCharType="separate"/>
      </w:r>
      <w:r>
        <w:t>22</w:t>
      </w:r>
      <w:r>
        <w:fldChar w:fldCharType="end"/>
      </w:r>
      <w:r>
        <w:fldChar w:fldCharType="end"/>
      </w:r>
    </w:p>
    <w:p>
      <w:pPr>
        <w:pStyle w:val="75"/>
        <w:tabs>
          <w:tab w:val="right" w:leader="dot" w:pos="8306"/>
        </w:tabs>
      </w:pPr>
      <w:r>
        <w:fldChar w:fldCharType="begin"/>
      </w:r>
      <w:r>
        <w:instrText xml:space="preserve"> HYPERLINK \l _Toc25007 </w:instrText>
      </w:r>
      <w:r>
        <w:fldChar w:fldCharType="separate"/>
      </w:r>
      <w:r>
        <w:rPr>
          <w:rFonts w:hint="eastAsia" w:ascii="宋体" w:hAnsi="宋体" w:eastAsia="宋体"/>
          <w:bCs/>
          <w:szCs w:val="24"/>
        </w:rPr>
        <w:t xml:space="preserve">9. </w:t>
      </w:r>
      <w:r>
        <w:rPr>
          <w:rFonts w:hint="eastAsia" w:ascii="宋体" w:hAnsi="宋体" w:eastAsia="宋体"/>
          <w:szCs w:val="24"/>
        </w:rPr>
        <w:t>包装</w:t>
      </w:r>
      <w:r>
        <w:tab/>
      </w:r>
      <w:r>
        <w:fldChar w:fldCharType="begin"/>
      </w:r>
      <w:r>
        <w:instrText xml:space="preserve"> PAGEREF _Toc25007 </w:instrText>
      </w:r>
      <w:r>
        <w:fldChar w:fldCharType="separate"/>
      </w:r>
      <w:r>
        <w:t>23</w:t>
      </w:r>
      <w:r>
        <w:fldChar w:fldCharType="end"/>
      </w:r>
      <w:r>
        <w:fldChar w:fldCharType="end"/>
      </w:r>
    </w:p>
    <w:p>
      <w:pPr>
        <w:pStyle w:val="75"/>
        <w:tabs>
          <w:tab w:val="right" w:leader="dot" w:pos="8306"/>
        </w:tabs>
      </w:pPr>
      <w:r>
        <w:fldChar w:fldCharType="begin"/>
      </w:r>
      <w:r>
        <w:instrText xml:space="preserve"> HYPERLINK \l _Toc12228 </w:instrText>
      </w:r>
      <w:r>
        <w:fldChar w:fldCharType="separate"/>
      </w:r>
      <w:r>
        <w:rPr>
          <w:rFonts w:ascii="宋体" w:hAnsi="宋体" w:eastAsia="宋体"/>
          <w:szCs w:val="24"/>
        </w:rPr>
        <w:t xml:space="preserve">10. </w:t>
      </w:r>
      <w:r>
        <w:rPr>
          <w:rFonts w:hint="eastAsia" w:ascii="宋体" w:hAnsi="宋体" w:eastAsia="宋体"/>
          <w:szCs w:val="24"/>
        </w:rPr>
        <w:t>装运标记</w:t>
      </w:r>
      <w:r>
        <w:tab/>
      </w:r>
      <w:r>
        <w:fldChar w:fldCharType="begin"/>
      </w:r>
      <w:r>
        <w:instrText xml:space="preserve"> PAGEREF _Toc12228 </w:instrText>
      </w:r>
      <w:r>
        <w:fldChar w:fldCharType="separate"/>
      </w:r>
      <w:r>
        <w:t>23</w:t>
      </w:r>
      <w:r>
        <w:fldChar w:fldCharType="end"/>
      </w:r>
      <w:r>
        <w:fldChar w:fldCharType="end"/>
      </w:r>
    </w:p>
    <w:p>
      <w:pPr>
        <w:pStyle w:val="75"/>
        <w:tabs>
          <w:tab w:val="right" w:leader="dot" w:pos="8306"/>
        </w:tabs>
      </w:pPr>
      <w:r>
        <w:fldChar w:fldCharType="begin"/>
      </w:r>
      <w:r>
        <w:instrText xml:space="preserve"> HYPERLINK \l _Toc10683 </w:instrText>
      </w:r>
      <w:r>
        <w:fldChar w:fldCharType="separate"/>
      </w:r>
      <w:r>
        <w:rPr>
          <w:rFonts w:ascii="宋体" w:hAnsi="宋体" w:eastAsia="宋体"/>
          <w:szCs w:val="24"/>
        </w:rPr>
        <w:t xml:space="preserve">11. </w:t>
      </w:r>
      <w:r>
        <w:rPr>
          <w:rFonts w:hint="eastAsia" w:ascii="宋体" w:hAnsi="宋体" w:eastAsia="宋体"/>
          <w:szCs w:val="24"/>
        </w:rPr>
        <w:t>装运条件</w:t>
      </w:r>
      <w:r>
        <w:tab/>
      </w:r>
      <w:r>
        <w:fldChar w:fldCharType="begin"/>
      </w:r>
      <w:r>
        <w:instrText xml:space="preserve"> PAGEREF _Toc10683 </w:instrText>
      </w:r>
      <w:r>
        <w:fldChar w:fldCharType="separate"/>
      </w:r>
      <w:r>
        <w:t>24</w:t>
      </w:r>
      <w:r>
        <w:fldChar w:fldCharType="end"/>
      </w:r>
      <w:r>
        <w:fldChar w:fldCharType="end"/>
      </w:r>
    </w:p>
    <w:p>
      <w:pPr>
        <w:pStyle w:val="75"/>
        <w:tabs>
          <w:tab w:val="right" w:leader="dot" w:pos="8306"/>
        </w:tabs>
      </w:pPr>
      <w:r>
        <w:fldChar w:fldCharType="begin"/>
      </w:r>
      <w:r>
        <w:instrText xml:space="preserve"> HYPERLINK \l _Toc22433 </w:instrText>
      </w:r>
      <w:r>
        <w:fldChar w:fldCharType="separate"/>
      </w:r>
      <w:r>
        <w:rPr>
          <w:rFonts w:ascii="宋体" w:hAnsi="宋体" w:eastAsia="宋体"/>
          <w:szCs w:val="24"/>
        </w:rPr>
        <w:t xml:space="preserve">12. </w:t>
      </w:r>
      <w:r>
        <w:rPr>
          <w:rFonts w:hint="eastAsia" w:ascii="宋体" w:hAnsi="宋体" w:eastAsia="宋体"/>
          <w:szCs w:val="24"/>
        </w:rPr>
        <w:t>装运通知</w:t>
      </w:r>
      <w:r>
        <w:tab/>
      </w:r>
      <w:r>
        <w:fldChar w:fldCharType="begin"/>
      </w:r>
      <w:r>
        <w:instrText xml:space="preserve"> PAGEREF _Toc22433 </w:instrText>
      </w:r>
      <w:r>
        <w:fldChar w:fldCharType="separate"/>
      </w:r>
      <w:r>
        <w:t>24</w:t>
      </w:r>
      <w:r>
        <w:fldChar w:fldCharType="end"/>
      </w:r>
      <w:r>
        <w:fldChar w:fldCharType="end"/>
      </w:r>
    </w:p>
    <w:p>
      <w:pPr>
        <w:pStyle w:val="75"/>
        <w:tabs>
          <w:tab w:val="right" w:leader="dot" w:pos="8306"/>
        </w:tabs>
      </w:pPr>
      <w:r>
        <w:fldChar w:fldCharType="begin"/>
      </w:r>
      <w:r>
        <w:instrText xml:space="preserve"> HYPERLINK \l _Toc24897 </w:instrText>
      </w:r>
      <w:r>
        <w:fldChar w:fldCharType="separate"/>
      </w:r>
      <w:r>
        <w:rPr>
          <w:rFonts w:ascii="宋体" w:hAnsi="宋体" w:eastAsia="宋体"/>
          <w:iCs/>
          <w:szCs w:val="24"/>
        </w:rPr>
        <w:t xml:space="preserve">13. </w:t>
      </w:r>
      <w:r>
        <w:rPr>
          <w:rFonts w:hint="eastAsia" w:ascii="宋体" w:hAnsi="宋体" w:eastAsia="宋体"/>
          <w:iCs/>
          <w:szCs w:val="24"/>
        </w:rPr>
        <w:t>交货和单据</w:t>
      </w:r>
      <w:r>
        <w:tab/>
      </w:r>
      <w:r>
        <w:fldChar w:fldCharType="begin"/>
      </w:r>
      <w:r>
        <w:instrText xml:space="preserve"> PAGEREF _Toc24897 </w:instrText>
      </w:r>
      <w:r>
        <w:fldChar w:fldCharType="separate"/>
      </w:r>
      <w:r>
        <w:t>25</w:t>
      </w:r>
      <w:r>
        <w:fldChar w:fldCharType="end"/>
      </w:r>
      <w:r>
        <w:fldChar w:fldCharType="end"/>
      </w:r>
    </w:p>
    <w:p>
      <w:pPr>
        <w:pStyle w:val="75"/>
        <w:tabs>
          <w:tab w:val="right" w:leader="dot" w:pos="8306"/>
        </w:tabs>
      </w:pPr>
      <w:r>
        <w:fldChar w:fldCharType="begin"/>
      </w:r>
      <w:r>
        <w:instrText xml:space="preserve"> HYPERLINK \l _Toc5721 </w:instrText>
      </w:r>
      <w:r>
        <w:fldChar w:fldCharType="separate"/>
      </w:r>
      <w:r>
        <w:rPr>
          <w:rFonts w:ascii="宋体" w:hAnsi="宋体" w:eastAsia="宋体"/>
          <w:iCs/>
          <w:szCs w:val="24"/>
        </w:rPr>
        <w:t xml:space="preserve">14. </w:t>
      </w:r>
      <w:r>
        <w:rPr>
          <w:rFonts w:hint="eastAsia" w:ascii="宋体" w:hAnsi="宋体" w:eastAsia="宋体"/>
          <w:iCs/>
          <w:szCs w:val="24"/>
        </w:rPr>
        <w:t>保险</w:t>
      </w:r>
      <w:r>
        <w:tab/>
      </w:r>
      <w:r>
        <w:fldChar w:fldCharType="begin"/>
      </w:r>
      <w:r>
        <w:instrText xml:space="preserve"> PAGEREF _Toc5721 </w:instrText>
      </w:r>
      <w:r>
        <w:fldChar w:fldCharType="separate"/>
      </w:r>
      <w:r>
        <w:t>25</w:t>
      </w:r>
      <w:r>
        <w:fldChar w:fldCharType="end"/>
      </w:r>
      <w:r>
        <w:fldChar w:fldCharType="end"/>
      </w:r>
    </w:p>
    <w:p>
      <w:pPr>
        <w:pStyle w:val="75"/>
        <w:tabs>
          <w:tab w:val="right" w:leader="dot" w:pos="8306"/>
        </w:tabs>
      </w:pPr>
      <w:r>
        <w:fldChar w:fldCharType="begin"/>
      </w:r>
      <w:r>
        <w:instrText xml:space="preserve"> HYPERLINK \l _Toc7511 </w:instrText>
      </w:r>
      <w:r>
        <w:fldChar w:fldCharType="separate"/>
      </w:r>
      <w:r>
        <w:rPr>
          <w:rFonts w:ascii="宋体" w:hAnsi="宋体" w:eastAsia="宋体"/>
          <w:iCs/>
          <w:szCs w:val="24"/>
        </w:rPr>
        <w:t xml:space="preserve">15. </w:t>
      </w:r>
      <w:r>
        <w:rPr>
          <w:rFonts w:hint="eastAsia" w:ascii="宋体" w:hAnsi="宋体" w:eastAsia="宋体"/>
          <w:iCs/>
          <w:szCs w:val="24"/>
        </w:rPr>
        <w:t>运输</w:t>
      </w:r>
      <w:r>
        <w:tab/>
      </w:r>
      <w:r>
        <w:fldChar w:fldCharType="begin"/>
      </w:r>
      <w:r>
        <w:instrText xml:space="preserve"> PAGEREF _Toc7511 </w:instrText>
      </w:r>
      <w:r>
        <w:fldChar w:fldCharType="separate"/>
      </w:r>
      <w:r>
        <w:t>25</w:t>
      </w:r>
      <w:r>
        <w:fldChar w:fldCharType="end"/>
      </w:r>
      <w:r>
        <w:fldChar w:fldCharType="end"/>
      </w:r>
    </w:p>
    <w:p>
      <w:pPr>
        <w:pStyle w:val="75"/>
        <w:tabs>
          <w:tab w:val="right" w:leader="dot" w:pos="8306"/>
        </w:tabs>
      </w:pPr>
      <w:r>
        <w:fldChar w:fldCharType="begin"/>
      </w:r>
      <w:r>
        <w:instrText xml:space="preserve"> HYPERLINK \l _Toc255 </w:instrText>
      </w:r>
      <w:r>
        <w:fldChar w:fldCharType="separate"/>
      </w:r>
      <w:r>
        <w:rPr>
          <w:rFonts w:ascii="宋体" w:hAnsi="宋体" w:eastAsia="宋体"/>
          <w:szCs w:val="24"/>
        </w:rPr>
        <w:t xml:space="preserve">16. </w:t>
      </w:r>
      <w:r>
        <w:rPr>
          <w:rFonts w:hint="eastAsia" w:ascii="宋体" w:hAnsi="宋体" w:eastAsia="宋体"/>
          <w:szCs w:val="24"/>
        </w:rPr>
        <w:t>伴随服务</w:t>
      </w:r>
      <w:r>
        <w:tab/>
      </w:r>
      <w:r>
        <w:fldChar w:fldCharType="begin"/>
      </w:r>
      <w:r>
        <w:instrText xml:space="preserve"> PAGEREF _Toc255 </w:instrText>
      </w:r>
      <w:r>
        <w:fldChar w:fldCharType="separate"/>
      </w:r>
      <w:r>
        <w:t>25</w:t>
      </w:r>
      <w:r>
        <w:fldChar w:fldCharType="end"/>
      </w:r>
      <w:r>
        <w:fldChar w:fldCharType="end"/>
      </w:r>
    </w:p>
    <w:p>
      <w:pPr>
        <w:pStyle w:val="75"/>
        <w:tabs>
          <w:tab w:val="right" w:leader="dot" w:pos="8306"/>
        </w:tabs>
      </w:pPr>
      <w:r>
        <w:fldChar w:fldCharType="begin"/>
      </w:r>
      <w:r>
        <w:instrText xml:space="preserve"> HYPERLINK \l _Toc27085 </w:instrText>
      </w:r>
      <w:r>
        <w:fldChar w:fldCharType="separate"/>
      </w:r>
      <w:r>
        <w:rPr>
          <w:rFonts w:ascii="宋体" w:hAnsi="宋体" w:eastAsia="宋体"/>
          <w:szCs w:val="24"/>
        </w:rPr>
        <w:t xml:space="preserve">17. </w:t>
      </w:r>
      <w:r>
        <w:rPr>
          <w:rFonts w:hint="eastAsia" w:ascii="宋体" w:hAnsi="宋体" w:eastAsia="宋体"/>
          <w:szCs w:val="24"/>
        </w:rPr>
        <w:t>备件</w:t>
      </w:r>
      <w:r>
        <w:tab/>
      </w:r>
      <w:r>
        <w:fldChar w:fldCharType="begin"/>
      </w:r>
      <w:r>
        <w:instrText xml:space="preserve"> PAGEREF _Toc27085 </w:instrText>
      </w:r>
      <w:r>
        <w:fldChar w:fldCharType="separate"/>
      </w:r>
      <w:r>
        <w:t>26</w:t>
      </w:r>
      <w:r>
        <w:fldChar w:fldCharType="end"/>
      </w:r>
      <w:r>
        <w:fldChar w:fldCharType="end"/>
      </w:r>
    </w:p>
    <w:p>
      <w:pPr>
        <w:pStyle w:val="75"/>
        <w:tabs>
          <w:tab w:val="right" w:leader="dot" w:pos="8306"/>
        </w:tabs>
      </w:pPr>
      <w:r>
        <w:fldChar w:fldCharType="begin"/>
      </w:r>
      <w:r>
        <w:instrText xml:space="preserve"> HYPERLINK \l _Toc15109 </w:instrText>
      </w:r>
      <w:r>
        <w:fldChar w:fldCharType="separate"/>
      </w:r>
      <w:r>
        <w:rPr>
          <w:rFonts w:ascii="宋体" w:hAnsi="宋体" w:eastAsia="宋体"/>
          <w:bCs/>
          <w:szCs w:val="24"/>
        </w:rPr>
        <w:t xml:space="preserve">18. </w:t>
      </w:r>
      <w:r>
        <w:rPr>
          <w:rFonts w:hint="eastAsia" w:ascii="宋体" w:hAnsi="宋体" w:eastAsia="宋体"/>
          <w:szCs w:val="24"/>
        </w:rPr>
        <w:t>保证</w:t>
      </w:r>
      <w:r>
        <w:tab/>
      </w:r>
      <w:r>
        <w:fldChar w:fldCharType="begin"/>
      </w:r>
      <w:r>
        <w:instrText xml:space="preserve"> PAGEREF _Toc15109 </w:instrText>
      </w:r>
      <w:r>
        <w:fldChar w:fldCharType="separate"/>
      </w:r>
      <w:r>
        <w:t>26</w:t>
      </w:r>
      <w:r>
        <w:fldChar w:fldCharType="end"/>
      </w:r>
      <w:r>
        <w:fldChar w:fldCharType="end"/>
      </w:r>
    </w:p>
    <w:p>
      <w:pPr>
        <w:pStyle w:val="75"/>
        <w:tabs>
          <w:tab w:val="right" w:leader="dot" w:pos="8306"/>
        </w:tabs>
      </w:pPr>
      <w:r>
        <w:fldChar w:fldCharType="begin"/>
      </w:r>
      <w:r>
        <w:instrText xml:space="preserve"> HYPERLINK \l _Toc4008 </w:instrText>
      </w:r>
      <w:r>
        <w:fldChar w:fldCharType="separate"/>
      </w:r>
      <w:r>
        <w:rPr>
          <w:rFonts w:ascii="宋体" w:hAnsi="宋体" w:eastAsia="宋体"/>
          <w:szCs w:val="24"/>
        </w:rPr>
        <w:t xml:space="preserve">19. </w:t>
      </w:r>
      <w:r>
        <w:rPr>
          <w:rFonts w:hint="eastAsia" w:ascii="宋体" w:hAnsi="宋体" w:eastAsia="宋体"/>
          <w:szCs w:val="24"/>
        </w:rPr>
        <w:t>索赔</w:t>
      </w:r>
      <w:r>
        <w:tab/>
      </w:r>
      <w:r>
        <w:fldChar w:fldCharType="begin"/>
      </w:r>
      <w:r>
        <w:instrText xml:space="preserve"> PAGEREF _Toc4008 </w:instrText>
      </w:r>
      <w:r>
        <w:fldChar w:fldCharType="separate"/>
      </w:r>
      <w:r>
        <w:t>26</w:t>
      </w:r>
      <w:r>
        <w:fldChar w:fldCharType="end"/>
      </w:r>
      <w:r>
        <w:fldChar w:fldCharType="end"/>
      </w:r>
    </w:p>
    <w:p>
      <w:pPr>
        <w:pStyle w:val="75"/>
        <w:tabs>
          <w:tab w:val="right" w:leader="dot" w:pos="8306"/>
        </w:tabs>
      </w:pPr>
      <w:r>
        <w:fldChar w:fldCharType="begin"/>
      </w:r>
      <w:r>
        <w:instrText xml:space="preserve"> HYPERLINK \l _Toc14152 </w:instrText>
      </w:r>
      <w:r>
        <w:fldChar w:fldCharType="separate"/>
      </w:r>
      <w:r>
        <w:rPr>
          <w:rFonts w:ascii="宋体" w:hAnsi="宋体" w:eastAsia="宋体"/>
          <w:szCs w:val="24"/>
        </w:rPr>
        <w:t xml:space="preserve">20. </w:t>
      </w:r>
      <w:r>
        <w:rPr>
          <w:rFonts w:hint="eastAsia" w:ascii="宋体" w:hAnsi="宋体" w:eastAsia="宋体"/>
          <w:szCs w:val="24"/>
        </w:rPr>
        <w:t>付款</w:t>
      </w:r>
      <w:r>
        <w:tab/>
      </w:r>
      <w:r>
        <w:fldChar w:fldCharType="begin"/>
      </w:r>
      <w:r>
        <w:instrText xml:space="preserve"> PAGEREF _Toc14152 </w:instrText>
      </w:r>
      <w:r>
        <w:fldChar w:fldCharType="separate"/>
      </w:r>
      <w:r>
        <w:t>27</w:t>
      </w:r>
      <w:r>
        <w:fldChar w:fldCharType="end"/>
      </w:r>
      <w:r>
        <w:fldChar w:fldCharType="end"/>
      </w:r>
    </w:p>
    <w:p>
      <w:pPr>
        <w:pStyle w:val="75"/>
        <w:tabs>
          <w:tab w:val="right" w:leader="dot" w:pos="8306"/>
        </w:tabs>
      </w:pPr>
      <w:r>
        <w:fldChar w:fldCharType="begin"/>
      </w:r>
      <w:r>
        <w:instrText xml:space="preserve"> HYPERLINK \l _Toc5244 </w:instrText>
      </w:r>
      <w:r>
        <w:fldChar w:fldCharType="separate"/>
      </w:r>
      <w:r>
        <w:rPr>
          <w:rFonts w:ascii="宋体" w:hAnsi="宋体" w:eastAsia="宋体"/>
          <w:szCs w:val="24"/>
        </w:rPr>
        <w:t xml:space="preserve">21. </w:t>
      </w:r>
      <w:r>
        <w:rPr>
          <w:rFonts w:hint="eastAsia" w:ascii="宋体" w:hAnsi="宋体" w:eastAsia="宋体"/>
          <w:szCs w:val="24"/>
        </w:rPr>
        <w:t>价格</w:t>
      </w:r>
      <w:r>
        <w:tab/>
      </w:r>
      <w:r>
        <w:fldChar w:fldCharType="begin"/>
      </w:r>
      <w:r>
        <w:instrText xml:space="preserve"> PAGEREF _Toc5244 </w:instrText>
      </w:r>
      <w:r>
        <w:fldChar w:fldCharType="separate"/>
      </w:r>
      <w:r>
        <w:t>27</w:t>
      </w:r>
      <w:r>
        <w:fldChar w:fldCharType="end"/>
      </w:r>
      <w:r>
        <w:fldChar w:fldCharType="end"/>
      </w:r>
    </w:p>
    <w:p>
      <w:pPr>
        <w:pStyle w:val="75"/>
        <w:tabs>
          <w:tab w:val="right" w:leader="dot" w:pos="8306"/>
        </w:tabs>
      </w:pPr>
      <w:r>
        <w:fldChar w:fldCharType="begin"/>
      </w:r>
      <w:r>
        <w:instrText xml:space="preserve"> HYPERLINK \l _Toc29334 </w:instrText>
      </w:r>
      <w:r>
        <w:fldChar w:fldCharType="separate"/>
      </w:r>
      <w:r>
        <w:rPr>
          <w:rFonts w:ascii="宋体" w:hAnsi="宋体" w:eastAsia="宋体"/>
          <w:szCs w:val="24"/>
        </w:rPr>
        <w:t xml:space="preserve">22. </w:t>
      </w:r>
      <w:r>
        <w:rPr>
          <w:rFonts w:hint="eastAsia" w:ascii="宋体" w:hAnsi="宋体" w:eastAsia="宋体"/>
          <w:szCs w:val="24"/>
        </w:rPr>
        <w:t>变更指令</w:t>
      </w:r>
      <w:r>
        <w:tab/>
      </w:r>
      <w:r>
        <w:fldChar w:fldCharType="begin"/>
      </w:r>
      <w:r>
        <w:instrText xml:space="preserve"> PAGEREF _Toc29334 </w:instrText>
      </w:r>
      <w:r>
        <w:fldChar w:fldCharType="separate"/>
      </w:r>
      <w:r>
        <w:t>27</w:t>
      </w:r>
      <w:r>
        <w:fldChar w:fldCharType="end"/>
      </w:r>
      <w:r>
        <w:fldChar w:fldCharType="end"/>
      </w:r>
    </w:p>
    <w:p>
      <w:pPr>
        <w:pStyle w:val="75"/>
        <w:tabs>
          <w:tab w:val="right" w:leader="dot" w:pos="8306"/>
        </w:tabs>
      </w:pPr>
      <w:r>
        <w:fldChar w:fldCharType="begin"/>
      </w:r>
      <w:r>
        <w:instrText xml:space="preserve"> HYPERLINK \l _Toc24920 </w:instrText>
      </w:r>
      <w:r>
        <w:fldChar w:fldCharType="separate"/>
      </w:r>
      <w:r>
        <w:rPr>
          <w:rFonts w:ascii="宋体" w:hAnsi="宋体" w:eastAsia="宋体"/>
          <w:szCs w:val="24"/>
        </w:rPr>
        <w:t xml:space="preserve">23. </w:t>
      </w:r>
      <w:r>
        <w:rPr>
          <w:rFonts w:hint="eastAsia" w:ascii="宋体" w:hAnsi="宋体" w:eastAsia="宋体"/>
          <w:szCs w:val="24"/>
        </w:rPr>
        <w:t>合同修改</w:t>
      </w:r>
      <w:r>
        <w:tab/>
      </w:r>
      <w:r>
        <w:fldChar w:fldCharType="begin"/>
      </w:r>
      <w:r>
        <w:instrText xml:space="preserve"> PAGEREF _Toc24920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_Toc31565 </w:instrText>
      </w:r>
      <w:r>
        <w:fldChar w:fldCharType="separate"/>
      </w:r>
      <w:r>
        <w:rPr>
          <w:rFonts w:ascii="宋体" w:hAnsi="宋体" w:eastAsia="宋体"/>
          <w:szCs w:val="24"/>
        </w:rPr>
        <w:t xml:space="preserve">24. </w:t>
      </w:r>
      <w:r>
        <w:rPr>
          <w:rFonts w:hint="eastAsia" w:ascii="宋体" w:hAnsi="宋体" w:eastAsia="宋体"/>
          <w:szCs w:val="24"/>
        </w:rPr>
        <w:t>转让</w:t>
      </w:r>
      <w:r>
        <w:tab/>
      </w:r>
      <w:r>
        <w:fldChar w:fldCharType="begin"/>
      </w:r>
      <w:r>
        <w:instrText xml:space="preserve"> PAGEREF _Toc31565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_Toc13933 </w:instrText>
      </w:r>
      <w:r>
        <w:fldChar w:fldCharType="separate"/>
      </w:r>
      <w:r>
        <w:rPr>
          <w:rFonts w:ascii="宋体" w:hAnsi="宋体" w:eastAsia="宋体"/>
          <w:szCs w:val="24"/>
        </w:rPr>
        <w:t xml:space="preserve">25. </w:t>
      </w:r>
      <w:r>
        <w:rPr>
          <w:rFonts w:hint="eastAsia" w:ascii="宋体" w:hAnsi="宋体" w:eastAsia="宋体"/>
          <w:szCs w:val="24"/>
        </w:rPr>
        <w:t>分包</w:t>
      </w:r>
      <w:r>
        <w:tab/>
      </w:r>
      <w:r>
        <w:fldChar w:fldCharType="begin"/>
      </w:r>
      <w:r>
        <w:instrText xml:space="preserve"> PAGEREF _Toc13933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_Toc30466 </w:instrText>
      </w:r>
      <w:r>
        <w:fldChar w:fldCharType="separate"/>
      </w:r>
      <w:r>
        <w:rPr>
          <w:rFonts w:ascii="宋体" w:hAnsi="宋体" w:eastAsia="宋体"/>
          <w:szCs w:val="24"/>
        </w:rPr>
        <w:t xml:space="preserve">26. </w:t>
      </w:r>
      <w:r>
        <w:rPr>
          <w:rFonts w:hint="eastAsia" w:ascii="宋体" w:hAnsi="宋体" w:eastAsia="宋体"/>
          <w:szCs w:val="24"/>
        </w:rPr>
        <w:t>供方履约延误</w:t>
      </w:r>
      <w:r>
        <w:tab/>
      </w:r>
      <w:r>
        <w:fldChar w:fldCharType="begin"/>
      </w:r>
      <w:r>
        <w:instrText xml:space="preserve"> PAGEREF _Toc30466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_Toc30870 </w:instrText>
      </w:r>
      <w:r>
        <w:fldChar w:fldCharType="separate"/>
      </w:r>
      <w:r>
        <w:rPr>
          <w:rFonts w:ascii="宋体" w:hAnsi="宋体" w:eastAsia="宋体"/>
          <w:szCs w:val="24"/>
        </w:rPr>
        <w:t xml:space="preserve">27. </w:t>
      </w:r>
      <w:r>
        <w:rPr>
          <w:rFonts w:hint="eastAsia" w:ascii="宋体" w:hAnsi="宋体" w:eastAsia="宋体"/>
          <w:szCs w:val="24"/>
        </w:rPr>
        <w:t>误期赔偿费</w:t>
      </w:r>
      <w:r>
        <w:tab/>
      </w:r>
      <w:r>
        <w:fldChar w:fldCharType="begin"/>
      </w:r>
      <w:r>
        <w:instrText xml:space="preserve"> PAGEREF _Toc30870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_Toc7762 </w:instrText>
      </w:r>
      <w:r>
        <w:fldChar w:fldCharType="separate"/>
      </w:r>
      <w:r>
        <w:rPr>
          <w:rFonts w:ascii="宋体" w:hAnsi="宋体" w:eastAsia="宋体"/>
          <w:szCs w:val="24"/>
        </w:rPr>
        <w:t xml:space="preserve">28. </w:t>
      </w:r>
      <w:r>
        <w:rPr>
          <w:rFonts w:hint="eastAsia" w:ascii="宋体" w:hAnsi="宋体" w:eastAsia="宋体"/>
          <w:szCs w:val="24"/>
        </w:rPr>
        <w:t>违约终止合同</w:t>
      </w:r>
      <w:r>
        <w:tab/>
      </w:r>
      <w:r>
        <w:fldChar w:fldCharType="begin"/>
      </w:r>
      <w:r>
        <w:instrText xml:space="preserve"> PAGEREF _Toc7762 </w:instrText>
      </w:r>
      <w:r>
        <w:fldChar w:fldCharType="separate"/>
      </w:r>
      <w:r>
        <w:t>28</w:t>
      </w:r>
      <w:r>
        <w:fldChar w:fldCharType="end"/>
      </w:r>
      <w:r>
        <w:fldChar w:fldCharType="end"/>
      </w:r>
    </w:p>
    <w:p>
      <w:pPr>
        <w:pStyle w:val="75"/>
        <w:tabs>
          <w:tab w:val="right" w:leader="dot" w:pos="8306"/>
        </w:tabs>
      </w:pPr>
      <w:r>
        <w:fldChar w:fldCharType="begin"/>
      </w:r>
      <w:r>
        <w:instrText xml:space="preserve"> HYPERLINK \l _Toc4197 </w:instrText>
      </w:r>
      <w:r>
        <w:fldChar w:fldCharType="separate"/>
      </w:r>
      <w:r>
        <w:rPr>
          <w:rFonts w:ascii="宋体" w:hAnsi="宋体" w:eastAsia="宋体"/>
          <w:szCs w:val="24"/>
        </w:rPr>
        <w:t xml:space="preserve">29. </w:t>
      </w:r>
      <w:r>
        <w:rPr>
          <w:rFonts w:hint="eastAsia" w:ascii="宋体" w:hAnsi="宋体" w:eastAsia="宋体"/>
          <w:szCs w:val="24"/>
        </w:rPr>
        <w:t>不可抗力</w:t>
      </w:r>
      <w:r>
        <w:tab/>
      </w:r>
      <w:r>
        <w:fldChar w:fldCharType="begin"/>
      </w:r>
      <w:r>
        <w:instrText xml:space="preserve"> PAGEREF _Toc4197 </w:instrText>
      </w:r>
      <w:r>
        <w:fldChar w:fldCharType="separate"/>
      </w:r>
      <w:r>
        <w:t>29</w:t>
      </w:r>
      <w:r>
        <w:fldChar w:fldCharType="end"/>
      </w:r>
      <w:r>
        <w:fldChar w:fldCharType="end"/>
      </w:r>
    </w:p>
    <w:p>
      <w:pPr>
        <w:pStyle w:val="75"/>
        <w:tabs>
          <w:tab w:val="right" w:leader="dot" w:pos="8306"/>
        </w:tabs>
      </w:pPr>
      <w:r>
        <w:fldChar w:fldCharType="begin"/>
      </w:r>
      <w:r>
        <w:instrText xml:space="preserve"> HYPERLINK \l _Toc10315 </w:instrText>
      </w:r>
      <w:r>
        <w:fldChar w:fldCharType="separate"/>
      </w:r>
      <w:r>
        <w:rPr>
          <w:rFonts w:ascii="宋体" w:hAnsi="宋体" w:eastAsia="宋体"/>
          <w:szCs w:val="24"/>
        </w:rPr>
        <w:t xml:space="preserve">30. </w:t>
      </w:r>
      <w:r>
        <w:rPr>
          <w:rFonts w:hint="eastAsia" w:ascii="宋体" w:hAnsi="宋体" w:eastAsia="宋体"/>
          <w:szCs w:val="24"/>
        </w:rPr>
        <w:t>因破产而终止合同</w:t>
      </w:r>
      <w:r>
        <w:tab/>
      </w:r>
      <w:r>
        <w:fldChar w:fldCharType="begin"/>
      </w:r>
      <w:r>
        <w:instrText xml:space="preserve"> PAGEREF _Toc10315 </w:instrText>
      </w:r>
      <w:r>
        <w:fldChar w:fldCharType="separate"/>
      </w:r>
      <w:r>
        <w:t>29</w:t>
      </w:r>
      <w:r>
        <w:fldChar w:fldCharType="end"/>
      </w:r>
      <w:r>
        <w:fldChar w:fldCharType="end"/>
      </w:r>
    </w:p>
    <w:p>
      <w:pPr>
        <w:pStyle w:val="75"/>
        <w:tabs>
          <w:tab w:val="right" w:leader="dot" w:pos="8306"/>
        </w:tabs>
      </w:pPr>
      <w:r>
        <w:fldChar w:fldCharType="begin"/>
      </w:r>
      <w:r>
        <w:instrText xml:space="preserve"> HYPERLINK \l _Toc3689 </w:instrText>
      </w:r>
      <w:r>
        <w:fldChar w:fldCharType="separate"/>
      </w:r>
      <w:r>
        <w:rPr>
          <w:rFonts w:ascii="宋体" w:hAnsi="宋体" w:eastAsia="宋体"/>
          <w:szCs w:val="24"/>
        </w:rPr>
        <w:t xml:space="preserve">31. </w:t>
      </w:r>
      <w:r>
        <w:rPr>
          <w:rFonts w:hint="eastAsia" w:ascii="宋体" w:hAnsi="宋体" w:eastAsia="宋体"/>
          <w:szCs w:val="24"/>
        </w:rPr>
        <w:t>因需方的便利而终止合同</w:t>
      </w:r>
      <w:r>
        <w:tab/>
      </w:r>
      <w:r>
        <w:fldChar w:fldCharType="begin"/>
      </w:r>
      <w:r>
        <w:instrText xml:space="preserve"> PAGEREF _Toc3689 </w:instrText>
      </w:r>
      <w:r>
        <w:fldChar w:fldCharType="separate"/>
      </w:r>
      <w:r>
        <w:t>29</w:t>
      </w:r>
      <w:r>
        <w:fldChar w:fldCharType="end"/>
      </w:r>
      <w:r>
        <w:fldChar w:fldCharType="end"/>
      </w:r>
    </w:p>
    <w:p>
      <w:pPr>
        <w:pStyle w:val="75"/>
        <w:tabs>
          <w:tab w:val="right" w:leader="dot" w:pos="8306"/>
        </w:tabs>
      </w:pPr>
      <w:r>
        <w:fldChar w:fldCharType="begin"/>
      </w:r>
      <w:r>
        <w:instrText xml:space="preserve"> HYPERLINK \l _Toc10769 </w:instrText>
      </w:r>
      <w:r>
        <w:fldChar w:fldCharType="separate"/>
      </w:r>
      <w:r>
        <w:rPr>
          <w:rFonts w:ascii="宋体" w:hAnsi="宋体" w:eastAsia="宋体"/>
          <w:szCs w:val="24"/>
        </w:rPr>
        <w:t xml:space="preserve">32. </w:t>
      </w:r>
      <w:r>
        <w:rPr>
          <w:rFonts w:hint="eastAsia" w:ascii="宋体" w:hAnsi="宋体" w:eastAsia="宋体"/>
          <w:szCs w:val="24"/>
        </w:rPr>
        <w:t>争端的解决</w:t>
      </w:r>
      <w:r>
        <w:tab/>
      </w:r>
      <w:r>
        <w:fldChar w:fldCharType="begin"/>
      </w:r>
      <w:r>
        <w:instrText xml:space="preserve"> PAGEREF _Toc10769 </w:instrText>
      </w:r>
      <w:r>
        <w:fldChar w:fldCharType="separate"/>
      </w:r>
      <w:r>
        <w:t>30</w:t>
      </w:r>
      <w:r>
        <w:fldChar w:fldCharType="end"/>
      </w:r>
      <w:r>
        <w:fldChar w:fldCharType="end"/>
      </w:r>
    </w:p>
    <w:p>
      <w:pPr>
        <w:pStyle w:val="75"/>
        <w:tabs>
          <w:tab w:val="right" w:leader="dot" w:pos="8306"/>
        </w:tabs>
      </w:pPr>
      <w:r>
        <w:fldChar w:fldCharType="begin"/>
      </w:r>
      <w:r>
        <w:instrText xml:space="preserve"> HYPERLINK \l _Toc9922 </w:instrText>
      </w:r>
      <w:r>
        <w:fldChar w:fldCharType="separate"/>
      </w:r>
      <w:r>
        <w:rPr>
          <w:rFonts w:ascii="宋体" w:hAnsi="宋体" w:eastAsia="宋体"/>
          <w:szCs w:val="24"/>
        </w:rPr>
        <w:t xml:space="preserve">33. </w:t>
      </w:r>
      <w:r>
        <w:rPr>
          <w:rFonts w:hint="eastAsia" w:ascii="宋体" w:hAnsi="宋体" w:eastAsia="宋体"/>
          <w:szCs w:val="24"/>
        </w:rPr>
        <w:t>合同语言</w:t>
      </w:r>
      <w:r>
        <w:tab/>
      </w:r>
      <w:r>
        <w:fldChar w:fldCharType="begin"/>
      </w:r>
      <w:r>
        <w:instrText xml:space="preserve"> PAGEREF _Toc9922 </w:instrText>
      </w:r>
      <w:r>
        <w:fldChar w:fldCharType="separate"/>
      </w:r>
      <w:r>
        <w:t>30</w:t>
      </w:r>
      <w:r>
        <w:fldChar w:fldCharType="end"/>
      </w:r>
      <w:r>
        <w:fldChar w:fldCharType="end"/>
      </w:r>
    </w:p>
    <w:p>
      <w:pPr>
        <w:pStyle w:val="75"/>
        <w:tabs>
          <w:tab w:val="right" w:leader="dot" w:pos="8306"/>
        </w:tabs>
      </w:pPr>
      <w:r>
        <w:fldChar w:fldCharType="begin"/>
      </w:r>
      <w:r>
        <w:instrText xml:space="preserve"> HYPERLINK \l _Toc21669 </w:instrText>
      </w:r>
      <w:r>
        <w:fldChar w:fldCharType="separate"/>
      </w:r>
      <w:r>
        <w:rPr>
          <w:rFonts w:ascii="宋体" w:hAnsi="宋体" w:eastAsia="宋体"/>
          <w:szCs w:val="24"/>
        </w:rPr>
        <w:t xml:space="preserve">34. </w:t>
      </w:r>
      <w:r>
        <w:rPr>
          <w:rFonts w:hint="eastAsia" w:ascii="宋体" w:hAnsi="宋体" w:eastAsia="宋体"/>
          <w:szCs w:val="24"/>
        </w:rPr>
        <w:t>适用法律</w:t>
      </w:r>
      <w:r>
        <w:tab/>
      </w:r>
      <w:r>
        <w:fldChar w:fldCharType="begin"/>
      </w:r>
      <w:r>
        <w:instrText xml:space="preserve"> PAGEREF _Toc21669 </w:instrText>
      </w:r>
      <w:r>
        <w:fldChar w:fldCharType="separate"/>
      </w:r>
      <w:r>
        <w:t>30</w:t>
      </w:r>
      <w:r>
        <w:fldChar w:fldCharType="end"/>
      </w:r>
      <w:r>
        <w:fldChar w:fldCharType="end"/>
      </w:r>
    </w:p>
    <w:p>
      <w:pPr>
        <w:pStyle w:val="75"/>
        <w:tabs>
          <w:tab w:val="right" w:leader="dot" w:pos="8306"/>
        </w:tabs>
      </w:pPr>
      <w:r>
        <w:fldChar w:fldCharType="begin"/>
      </w:r>
      <w:r>
        <w:instrText xml:space="preserve"> HYPERLINK \l _Toc26180 </w:instrText>
      </w:r>
      <w:r>
        <w:fldChar w:fldCharType="separate"/>
      </w:r>
      <w:r>
        <w:rPr>
          <w:rFonts w:ascii="宋体" w:hAnsi="宋体" w:eastAsia="宋体"/>
          <w:szCs w:val="24"/>
        </w:rPr>
        <w:t xml:space="preserve">35. </w:t>
      </w:r>
      <w:r>
        <w:rPr>
          <w:rFonts w:hint="eastAsia" w:ascii="宋体" w:hAnsi="宋体" w:eastAsia="宋体"/>
          <w:szCs w:val="24"/>
        </w:rPr>
        <w:t>通知</w:t>
      </w:r>
      <w:r>
        <w:tab/>
      </w:r>
      <w:r>
        <w:fldChar w:fldCharType="begin"/>
      </w:r>
      <w:r>
        <w:instrText xml:space="preserve"> PAGEREF _Toc26180 </w:instrText>
      </w:r>
      <w:r>
        <w:fldChar w:fldCharType="separate"/>
      </w:r>
      <w:r>
        <w:t>30</w:t>
      </w:r>
      <w:r>
        <w:fldChar w:fldCharType="end"/>
      </w:r>
      <w:r>
        <w:fldChar w:fldCharType="end"/>
      </w:r>
    </w:p>
    <w:p>
      <w:pPr>
        <w:pStyle w:val="75"/>
        <w:tabs>
          <w:tab w:val="right" w:leader="dot" w:pos="8306"/>
        </w:tabs>
      </w:pPr>
      <w:r>
        <w:fldChar w:fldCharType="begin"/>
      </w:r>
      <w:r>
        <w:instrText xml:space="preserve"> HYPERLINK \l _Toc2561 </w:instrText>
      </w:r>
      <w:r>
        <w:fldChar w:fldCharType="separate"/>
      </w:r>
      <w:r>
        <w:rPr>
          <w:rFonts w:ascii="宋体" w:hAnsi="宋体" w:eastAsia="宋体"/>
          <w:szCs w:val="24"/>
        </w:rPr>
        <w:t xml:space="preserve">36. </w:t>
      </w:r>
      <w:r>
        <w:rPr>
          <w:rFonts w:hint="eastAsia" w:ascii="宋体" w:hAnsi="宋体" w:eastAsia="宋体"/>
          <w:szCs w:val="24"/>
        </w:rPr>
        <w:t>税</w:t>
      </w:r>
      <w:r>
        <w:tab/>
      </w:r>
      <w:r>
        <w:fldChar w:fldCharType="begin"/>
      </w:r>
      <w:r>
        <w:instrText xml:space="preserve"> PAGEREF _Toc2561 </w:instrText>
      </w:r>
      <w:r>
        <w:fldChar w:fldCharType="separate"/>
      </w:r>
      <w:r>
        <w:t>30</w:t>
      </w:r>
      <w:r>
        <w:fldChar w:fldCharType="end"/>
      </w:r>
      <w:r>
        <w:fldChar w:fldCharType="end"/>
      </w:r>
    </w:p>
    <w:p>
      <w:pPr>
        <w:pStyle w:val="75"/>
        <w:tabs>
          <w:tab w:val="right" w:leader="dot" w:pos="8306"/>
        </w:tabs>
      </w:pPr>
      <w:r>
        <w:fldChar w:fldCharType="begin"/>
      </w:r>
      <w:r>
        <w:instrText xml:space="preserve"> HYPERLINK \l _Toc21937 </w:instrText>
      </w:r>
      <w:r>
        <w:fldChar w:fldCharType="separate"/>
      </w:r>
      <w:r>
        <w:rPr>
          <w:rFonts w:ascii="宋体" w:hAnsi="宋体" w:eastAsia="宋体"/>
          <w:szCs w:val="24"/>
        </w:rPr>
        <w:t xml:space="preserve">37. </w:t>
      </w:r>
      <w:r>
        <w:rPr>
          <w:rFonts w:hint="eastAsia" w:ascii="宋体" w:hAnsi="宋体" w:eastAsia="宋体"/>
          <w:szCs w:val="24"/>
        </w:rPr>
        <w:t>合同生效及其他</w:t>
      </w:r>
      <w:r>
        <w:tab/>
      </w:r>
      <w:r>
        <w:fldChar w:fldCharType="begin"/>
      </w:r>
      <w:r>
        <w:instrText xml:space="preserve"> PAGEREF _Toc21937 </w:instrText>
      </w:r>
      <w:r>
        <w:fldChar w:fldCharType="separate"/>
      </w:r>
      <w:r>
        <w:t>31</w:t>
      </w:r>
      <w:r>
        <w:fldChar w:fldCharType="end"/>
      </w:r>
      <w:r>
        <w:fldChar w:fldCharType="end"/>
      </w:r>
    </w:p>
    <w:p>
      <w:pPr>
        <w:pStyle w:val="60"/>
        <w:tabs>
          <w:tab w:val="right" w:leader="dot" w:pos="8306"/>
        </w:tabs>
      </w:pPr>
      <w:r>
        <w:fldChar w:fldCharType="begin"/>
      </w:r>
      <w:r>
        <w:instrText xml:space="preserve"> HYPERLINK \l _Toc19419 </w:instrText>
      </w:r>
      <w:r>
        <w:fldChar w:fldCharType="separate"/>
      </w:r>
      <w:r>
        <w:rPr>
          <w:rFonts w:hint="eastAsia"/>
        </w:rPr>
        <w:t>第四章 合同基本格式</w:t>
      </w:r>
      <w:r>
        <w:tab/>
      </w:r>
      <w:r>
        <w:fldChar w:fldCharType="begin"/>
      </w:r>
      <w:r>
        <w:instrText xml:space="preserve"> PAGEREF _Toc19419 </w:instrText>
      </w:r>
      <w:r>
        <w:fldChar w:fldCharType="separate"/>
      </w:r>
      <w:r>
        <w:t>32</w:t>
      </w:r>
      <w:r>
        <w:fldChar w:fldCharType="end"/>
      </w:r>
      <w:r>
        <w:fldChar w:fldCharType="end"/>
      </w:r>
    </w:p>
    <w:p>
      <w:pPr>
        <w:pStyle w:val="60"/>
        <w:tabs>
          <w:tab w:val="right" w:leader="dot" w:pos="8306"/>
        </w:tabs>
      </w:pPr>
      <w:r>
        <w:fldChar w:fldCharType="begin"/>
      </w:r>
      <w:r>
        <w:instrText xml:space="preserve"> HYPERLINK \l _Toc9178 </w:instrText>
      </w:r>
      <w:r>
        <w:fldChar w:fldCharType="separate"/>
      </w:r>
      <w:r>
        <w:rPr>
          <w:rFonts w:hint="eastAsia"/>
        </w:rPr>
        <w:t>第五章 投标文件通用格式</w:t>
      </w:r>
      <w:r>
        <w:tab/>
      </w:r>
      <w:r>
        <w:fldChar w:fldCharType="begin"/>
      </w:r>
      <w:r>
        <w:instrText xml:space="preserve"> PAGEREF _Toc9178 </w:instrText>
      </w:r>
      <w:r>
        <w:fldChar w:fldCharType="separate"/>
      </w:r>
      <w:r>
        <w:t>38</w:t>
      </w:r>
      <w:r>
        <w:fldChar w:fldCharType="end"/>
      </w:r>
      <w:r>
        <w:fldChar w:fldCharType="end"/>
      </w:r>
    </w:p>
    <w:p>
      <w:pPr>
        <w:pStyle w:val="75"/>
        <w:tabs>
          <w:tab w:val="right" w:leader="dot" w:pos="8306"/>
        </w:tabs>
      </w:pPr>
      <w:r>
        <w:fldChar w:fldCharType="begin"/>
      </w:r>
      <w:r>
        <w:instrText xml:space="preserve"> HYPERLINK \l _Toc22999 </w:instrText>
      </w:r>
      <w:r>
        <w:fldChar w:fldCharType="separate"/>
      </w:r>
      <w:r>
        <w:rPr>
          <w:rFonts w:ascii="宋体" w:hAnsi="宋体" w:eastAsia="宋体"/>
          <w:szCs w:val="32"/>
        </w:rPr>
        <w:t xml:space="preserve">1. </w:t>
      </w:r>
      <w:r>
        <w:rPr>
          <w:rFonts w:hint="eastAsia" w:ascii="宋体" w:hAnsi="宋体" w:eastAsia="宋体"/>
          <w:szCs w:val="32"/>
        </w:rPr>
        <w:t>法定代表人授权书</w:t>
      </w:r>
      <w:r>
        <w:tab/>
      </w:r>
      <w:r>
        <w:fldChar w:fldCharType="begin"/>
      </w:r>
      <w:r>
        <w:instrText xml:space="preserve"> PAGEREF _Toc22999 </w:instrText>
      </w:r>
      <w:r>
        <w:fldChar w:fldCharType="separate"/>
      </w:r>
      <w:r>
        <w:t>40</w:t>
      </w:r>
      <w:r>
        <w:fldChar w:fldCharType="end"/>
      </w:r>
      <w:r>
        <w:fldChar w:fldCharType="end"/>
      </w:r>
    </w:p>
    <w:p>
      <w:pPr>
        <w:pStyle w:val="75"/>
        <w:tabs>
          <w:tab w:val="right" w:leader="dot" w:pos="8306"/>
        </w:tabs>
      </w:pPr>
      <w:r>
        <w:fldChar w:fldCharType="begin"/>
      </w:r>
      <w:r>
        <w:instrText xml:space="preserve"> HYPERLINK \l _Toc30113 </w:instrText>
      </w:r>
      <w:r>
        <w:fldChar w:fldCharType="separate"/>
      </w:r>
      <w:r>
        <w:rPr>
          <w:rFonts w:ascii="宋体" w:hAnsi="宋体" w:eastAsia="宋体"/>
          <w:szCs w:val="32"/>
        </w:rPr>
        <w:t xml:space="preserve">2. </w:t>
      </w:r>
      <w:r>
        <w:rPr>
          <w:rFonts w:hint="eastAsia" w:ascii="宋体" w:hAnsi="宋体" w:eastAsia="宋体"/>
          <w:szCs w:val="32"/>
        </w:rPr>
        <w:t>投 标 书</w:t>
      </w:r>
      <w:r>
        <w:tab/>
      </w:r>
      <w:r>
        <w:fldChar w:fldCharType="begin"/>
      </w:r>
      <w:r>
        <w:instrText xml:space="preserve"> PAGEREF _Toc30113 </w:instrText>
      </w:r>
      <w:r>
        <w:fldChar w:fldCharType="separate"/>
      </w:r>
      <w:r>
        <w:t>41</w:t>
      </w:r>
      <w:r>
        <w:fldChar w:fldCharType="end"/>
      </w:r>
      <w:r>
        <w:fldChar w:fldCharType="end"/>
      </w:r>
    </w:p>
    <w:p>
      <w:pPr>
        <w:pStyle w:val="75"/>
        <w:tabs>
          <w:tab w:val="right" w:leader="dot" w:pos="8306"/>
        </w:tabs>
      </w:pPr>
      <w:r>
        <w:fldChar w:fldCharType="begin"/>
      </w:r>
      <w:r>
        <w:instrText xml:space="preserve"> HYPERLINK \l _Toc16879 </w:instrText>
      </w:r>
      <w:r>
        <w:fldChar w:fldCharType="separate"/>
      </w:r>
      <w:r>
        <w:rPr>
          <w:rFonts w:hint="eastAsia" w:ascii="宋体" w:hAnsi="宋体" w:eastAsia="宋体"/>
          <w:szCs w:val="32"/>
        </w:rPr>
        <w:t>3．资格证明文件</w:t>
      </w:r>
      <w:r>
        <w:tab/>
      </w:r>
      <w:r>
        <w:fldChar w:fldCharType="begin"/>
      </w:r>
      <w:r>
        <w:instrText xml:space="preserve"> PAGEREF _Toc16879 </w:instrText>
      </w:r>
      <w:r>
        <w:fldChar w:fldCharType="separate"/>
      </w:r>
      <w:r>
        <w:t>42</w:t>
      </w:r>
      <w:r>
        <w:fldChar w:fldCharType="end"/>
      </w:r>
      <w:r>
        <w:fldChar w:fldCharType="end"/>
      </w:r>
    </w:p>
    <w:p>
      <w:pPr>
        <w:pStyle w:val="45"/>
        <w:tabs>
          <w:tab w:val="right" w:leader="dot" w:pos="8306"/>
        </w:tabs>
      </w:pPr>
      <w:r>
        <w:fldChar w:fldCharType="begin"/>
      </w:r>
      <w:r>
        <w:instrText xml:space="preserve"> HYPERLINK \l _Toc13107 </w:instrText>
      </w:r>
      <w:r>
        <w:fldChar w:fldCharType="separate"/>
      </w:r>
      <w:r>
        <w:rPr>
          <w:rFonts w:hint="eastAsia"/>
        </w:rPr>
        <w:t>3.2 投标人资格申明</w:t>
      </w:r>
      <w:r>
        <w:tab/>
      </w:r>
      <w:r>
        <w:fldChar w:fldCharType="begin"/>
      </w:r>
      <w:r>
        <w:instrText xml:space="preserve"> PAGEREF _Toc13107 </w:instrText>
      </w:r>
      <w:r>
        <w:fldChar w:fldCharType="separate"/>
      </w:r>
      <w:r>
        <w:t>44</w:t>
      </w:r>
      <w:r>
        <w:fldChar w:fldCharType="end"/>
      </w:r>
      <w:r>
        <w:fldChar w:fldCharType="end"/>
      </w:r>
    </w:p>
    <w:p>
      <w:pPr>
        <w:pStyle w:val="45"/>
        <w:tabs>
          <w:tab w:val="right" w:leader="dot" w:pos="8306"/>
        </w:tabs>
      </w:pPr>
      <w:r>
        <w:fldChar w:fldCharType="begin"/>
      </w:r>
      <w:r>
        <w:instrText xml:space="preserve"> HYPERLINK \l _Toc32077 </w:instrText>
      </w:r>
      <w:r>
        <w:fldChar w:fldCharType="separate"/>
      </w:r>
      <w:r>
        <w:rPr>
          <w:rFonts w:hint="eastAsia"/>
        </w:rPr>
        <w:t>3.3 制造商或其指定总代授权书（授权书为招标文件要求时提供）</w:t>
      </w:r>
      <w:r>
        <w:tab/>
      </w:r>
      <w:r>
        <w:fldChar w:fldCharType="begin"/>
      </w:r>
      <w:r>
        <w:instrText xml:space="preserve"> PAGEREF _Toc32077 </w:instrText>
      </w:r>
      <w:r>
        <w:fldChar w:fldCharType="separate"/>
      </w:r>
      <w:r>
        <w:t>45</w:t>
      </w:r>
      <w:r>
        <w:fldChar w:fldCharType="end"/>
      </w:r>
      <w:r>
        <w:fldChar w:fldCharType="end"/>
      </w:r>
    </w:p>
    <w:p>
      <w:pPr>
        <w:pStyle w:val="75"/>
        <w:tabs>
          <w:tab w:val="right" w:leader="dot" w:pos="8306"/>
        </w:tabs>
      </w:pPr>
      <w:r>
        <w:fldChar w:fldCharType="begin"/>
      </w:r>
      <w:r>
        <w:instrText xml:space="preserve"> HYPERLINK \l _Toc9208 </w:instrText>
      </w:r>
      <w:r>
        <w:fldChar w:fldCharType="separate"/>
      </w:r>
      <w:r>
        <w:rPr>
          <w:rFonts w:hint="eastAsia"/>
        </w:rPr>
        <w:t>4.投标报价表格</w:t>
      </w:r>
      <w:r>
        <w:tab/>
      </w:r>
      <w:r>
        <w:fldChar w:fldCharType="begin"/>
      </w:r>
      <w:r>
        <w:instrText xml:space="preserve"> PAGEREF _Toc9208 </w:instrText>
      </w:r>
      <w:r>
        <w:fldChar w:fldCharType="separate"/>
      </w:r>
      <w:r>
        <w:t>47</w:t>
      </w:r>
      <w:r>
        <w:fldChar w:fldCharType="end"/>
      </w:r>
      <w:r>
        <w:fldChar w:fldCharType="end"/>
      </w:r>
    </w:p>
    <w:p>
      <w:pPr>
        <w:pStyle w:val="75"/>
        <w:tabs>
          <w:tab w:val="right" w:leader="dot" w:pos="8306"/>
        </w:tabs>
      </w:pPr>
      <w:r>
        <w:fldChar w:fldCharType="begin"/>
      </w:r>
      <w:r>
        <w:instrText xml:space="preserve"> HYPERLINK \l _Toc17665 </w:instrText>
      </w:r>
      <w:r>
        <w:fldChar w:fldCharType="separate"/>
      </w:r>
      <w:r>
        <w:rPr>
          <w:rFonts w:hint="eastAsia"/>
        </w:rPr>
        <w:t>5.技术规格和商务条款偏差表</w:t>
      </w:r>
      <w:r>
        <w:tab/>
      </w:r>
      <w:r>
        <w:fldChar w:fldCharType="begin"/>
      </w:r>
      <w:r>
        <w:instrText xml:space="preserve"> PAGEREF _Toc17665 </w:instrText>
      </w:r>
      <w:r>
        <w:fldChar w:fldCharType="separate"/>
      </w:r>
      <w:r>
        <w:t>50</w:t>
      </w:r>
      <w:r>
        <w:fldChar w:fldCharType="end"/>
      </w:r>
      <w:r>
        <w:fldChar w:fldCharType="end"/>
      </w:r>
    </w:p>
    <w:p>
      <w:pPr>
        <w:pStyle w:val="75"/>
        <w:tabs>
          <w:tab w:val="right" w:leader="dot" w:pos="8306"/>
        </w:tabs>
      </w:pPr>
      <w:r>
        <w:fldChar w:fldCharType="begin"/>
      </w:r>
      <w:r>
        <w:instrText xml:space="preserve"> HYPERLINK \l _Toc30464 </w:instrText>
      </w:r>
      <w:r>
        <w:fldChar w:fldCharType="separate"/>
      </w:r>
      <w:r>
        <w:rPr>
          <w:rFonts w:hint="eastAsia"/>
        </w:rPr>
        <w:t>6.售后服务与承诺</w:t>
      </w:r>
      <w:r>
        <w:tab/>
      </w:r>
      <w:r>
        <w:fldChar w:fldCharType="begin"/>
      </w:r>
      <w:r>
        <w:instrText xml:space="preserve"> PAGEREF _Toc30464 </w:instrText>
      </w:r>
      <w:r>
        <w:fldChar w:fldCharType="separate"/>
      </w:r>
      <w:r>
        <w:t>51</w:t>
      </w:r>
      <w:r>
        <w:fldChar w:fldCharType="end"/>
      </w:r>
      <w:r>
        <w:fldChar w:fldCharType="end"/>
      </w:r>
    </w:p>
    <w:p>
      <w:pPr>
        <w:pStyle w:val="75"/>
        <w:tabs>
          <w:tab w:val="right" w:leader="dot" w:pos="8306"/>
        </w:tabs>
      </w:pPr>
      <w:r>
        <w:fldChar w:fldCharType="begin"/>
      </w:r>
      <w:r>
        <w:instrText xml:space="preserve"> HYPERLINK \l _Toc25891 </w:instrText>
      </w:r>
      <w:r>
        <w:fldChar w:fldCharType="separate"/>
      </w:r>
      <w:r>
        <w:rPr>
          <w:rFonts w:hint="eastAsia"/>
        </w:rPr>
        <w:t>7.政府采购反商业贿赂承诺书</w:t>
      </w:r>
      <w:r>
        <w:tab/>
      </w:r>
      <w:r>
        <w:fldChar w:fldCharType="begin"/>
      </w:r>
      <w:r>
        <w:instrText xml:space="preserve"> PAGEREF _Toc25891 </w:instrText>
      </w:r>
      <w:r>
        <w:fldChar w:fldCharType="separate"/>
      </w:r>
      <w:r>
        <w:t>52</w:t>
      </w:r>
      <w:r>
        <w:fldChar w:fldCharType="end"/>
      </w:r>
      <w:r>
        <w:fldChar w:fldCharType="end"/>
      </w:r>
    </w:p>
    <w:p>
      <w:pPr>
        <w:pStyle w:val="75"/>
        <w:tabs>
          <w:tab w:val="right" w:leader="dot" w:pos="8306"/>
        </w:tabs>
      </w:pPr>
      <w:r>
        <w:fldChar w:fldCharType="begin"/>
      </w:r>
      <w:r>
        <w:instrText xml:space="preserve"> HYPERLINK \l _Toc1028 </w:instrText>
      </w:r>
      <w:r>
        <w:fldChar w:fldCharType="separate"/>
      </w:r>
      <w:r>
        <w:rPr>
          <w:rFonts w:hint="eastAsia"/>
        </w:rPr>
        <w:t>8. 无重大违法记录的声明函</w:t>
      </w:r>
      <w:r>
        <w:tab/>
      </w:r>
      <w:r>
        <w:fldChar w:fldCharType="begin"/>
      </w:r>
      <w:r>
        <w:instrText xml:space="preserve"> PAGEREF _Toc1028 </w:instrText>
      </w:r>
      <w:r>
        <w:fldChar w:fldCharType="separate"/>
      </w:r>
      <w:r>
        <w:t>53</w:t>
      </w:r>
      <w:r>
        <w:fldChar w:fldCharType="end"/>
      </w:r>
      <w:r>
        <w:fldChar w:fldCharType="end"/>
      </w:r>
    </w:p>
    <w:p>
      <w:pPr>
        <w:pStyle w:val="75"/>
        <w:tabs>
          <w:tab w:val="right" w:leader="dot" w:pos="8306"/>
        </w:tabs>
      </w:pPr>
      <w:r>
        <w:fldChar w:fldCharType="begin"/>
      </w:r>
      <w:r>
        <w:instrText xml:space="preserve"> HYPERLINK \l _Toc19057 </w:instrText>
      </w:r>
      <w:r>
        <w:fldChar w:fldCharType="separate"/>
      </w:r>
      <w:r>
        <w:rPr>
          <w:szCs w:val="13"/>
        </w:rPr>
        <w:t xml:space="preserve">9. </w:t>
      </w:r>
      <w:r>
        <w:rPr>
          <w:rFonts w:hint="eastAsia"/>
        </w:rPr>
        <w:t>单位负责人为同一人或者存在直接控股、管理关系的不同供应商，不得参加同一合同项下的政府采购活动</w:t>
      </w:r>
      <w:r>
        <w:rPr>
          <w:rFonts w:hint="eastAsia"/>
          <w:lang w:eastAsia="zh-CN"/>
        </w:rPr>
        <w:t>的承诺书</w:t>
      </w:r>
      <w:r>
        <w:tab/>
      </w:r>
      <w:r>
        <w:fldChar w:fldCharType="begin"/>
      </w:r>
      <w:r>
        <w:instrText xml:space="preserve"> PAGEREF _Toc19057 </w:instrText>
      </w:r>
      <w:r>
        <w:fldChar w:fldCharType="separate"/>
      </w:r>
      <w:r>
        <w:t>54</w:t>
      </w:r>
      <w:r>
        <w:fldChar w:fldCharType="end"/>
      </w:r>
      <w:r>
        <w:fldChar w:fldCharType="end"/>
      </w:r>
    </w:p>
    <w:p>
      <w:pPr>
        <w:pStyle w:val="75"/>
        <w:tabs>
          <w:tab w:val="right" w:leader="dot" w:pos="8306"/>
        </w:tabs>
      </w:pPr>
      <w:r>
        <w:fldChar w:fldCharType="begin"/>
      </w:r>
      <w:r>
        <w:instrText xml:space="preserve"> HYPERLINK \l _Toc12588 </w:instrText>
      </w:r>
      <w:r>
        <w:fldChar w:fldCharType="separate"/>
      </w:r>
      <w:r>
        <w:rPr>
          <w:szCs w:val="13"/>
        </w:rPr>
        <w:t xml:space="preserve">10. </w:t>
      </w:r>
      <w:r>
        <w:rPr>
          <w:rFonts w:hint="eastAsia"/>
        </w:rPr>
        <w:t>类似项目业绩</w:t>
      </w:r>
      <w:r>
        <w:tab/>
      </w:r>
      <w:r>
        <w:fldChar w:fldCharType="begin"/>
      </w:r>
      <w:r>
        <w:instrText xml:space="preserve"> PAGEREF _Toc12588 </w:instrText>
      </w:r>
      <w:r>
        <w:fldChar w:fldCharType="separate"/>
      </w:r>
      <w:r>
        <w:t>55</w:t>
      </w:r>
      <w:r>
        <w:fldChar w:fldCharType="end"/>
      </w:r>
      <w:r>
        <w:fldChar w:fldCharType="end"/>
      </w:r>
    </w:p>
    <w:p>
      <w:pPr>
        <w:pStyle w:val="75"/>
        <w:tabs>
          <w:tab w:val="right" w:leader="dot" w:pos="8306"/>
        </w:tabs>
      </w:pPr>
      <w:r>
        <w:fldChar w:fldCharType="begin"/>
      </w:r>
      <w:r>
        <w:instrText xml:space="preserve"> HYPERLINK \l _Toc9572 </w:instrText>
      </w:r>
      <w:r>
        <w:fldChar w:fldCharType="separate"/>
      </w:r>
      <w:r>
        <w:rPr>
          <w:rFonts w:hint="eastAsia" w:ascii="宋体" w:hAnsi="宋体"/>
          <w:szCs w:val="28"/>
          <w:lang w:val="en-US" w:eastAsia="zh-CN"/>
        </w:rPr>
        <w:t>11、</w:t>
      </w:r>
      <w:r>
        <w:rPr>
          <w:rFonts w:hint="eastAsia"/>
          <w:szCs w:val="13"/>
        </w:rPr>
        <w:t>拟派至本项目专业人员配备一览表</w:t>
      </w:r>
      <w:r>
        <w:tab/>
      </w:r>
      <w:r>
        <w:fldChar w:fldCharType="begin"/>
      </w:r>
      <w:r>
        <w:instrText xml:space="preserve"> PAGEREF _Toc9572 </w:instrText>
      </w:r>
      <w:r>
        <w:fldChar w:fldCharType="separate"/>
      </w:r>
      <w:r>
        <w:t>56</w:t>
      </w:r>
      <w:r>
        <w:fldChar w:fldCharType="end"/>
      </w:r>
      <w:r>
        <w:fldChar w:fldCharType="end"/>
      </w:r>
    </w:p>
    <w:p>
      <w:pPr>
        <w:pStyle w:val="75"/>
        <w:tabs>
          <w:tab w:val="right" w:leader="dot" w:pos="8306"/>
        </w:tabs>
      </w:pPr>
      <w:r>
        <w:fldChar w:fldCharType="begin"/>
      </w:r>
      <w:r>
        <w:instrText xml:space="preserve"> HYPERLINK \l _Toc3124 </w:instrText>
      </w:r>
      <w:r>
        <w:fldChar w:fldCharType="separate"/>
      </w:r>
      <w:r>
        <w:rPr>
          <w:rFonts w:hint="eastAsia"/>
        </w:rPr>
        <w:t>1</w:t>
      </w:r>
      <w:r>
        <w:rPr>
          <w:rFonts w:hint="eastAsia"/>
          <w:lang w:val="en-US" w:eastAsia="zh-CN"/>
        </w:rPr>
        <w:t>2</w:t>
      </w:r>
      <w:r>
        <w:rPr>
          <w:rFonts w:hint="eastAsia"/>
        </w:rPr>
        <w:t>. 设计方案</w:t>
      </w:r>
      <w:r>
        <w:tab/>
      </w:r>
      <w:r>
        <w:fldChar w:fldCharType="begin"/>
      </w:r>
      <w:r>
        <w:instrText xml:space="preserve"> PAGEREF _Toc3124 </w:instrText>
      </w:r>
      <w:r>
        <w:fldChar w:fldCharType="separate"/>
      </w:r>
      <w:r>
        <w:t>57</w:t>
      </w:r>
      <w:r>
        <w:fldChar w:fldCharType="end"/>
      </w:r>
      <w:r>
        <w:fldChar w:fldCharType="end"/>
      </w:r>
    </w:p>
    <w:p>
      <w:pPr>
        <w:pStyle w:val="75"/>
        <w:tabs>
          <w:tab w:val="right" w:leader="dot" w:pos="8306"/>
        </w:tabs>
      </w:pPr>
      <w:r>
        <w:fldChar w:fldCharType="begin"/>
      </w:r>
      <w:r>
        <w:instrText xml:space="preserve"> HYPERLINK \l _Toc5960 </w:instrText>
      </w:r>
      <w:r>
        <w:fldChar w:fldCharType="separate"/>
      </w:r>
      <w:r>
        <w:rPr>
          <w:rFonts w:hint="eastAsia"/>
        </w:rPr>
        <w:t>1</w:t>
      </w:r>
      <w:r>
        <w:rPr>
          <w:rFonts w:hint="eastAsia"/>
          <w:lang w:val="en-US" w:eastAsia="zh-CN"/>
        </w:rPr>
        <w:t>3</w:t>
      </w:r>
      <w:r>
        <w:rPr>
          <w:rFonts w:hint="eastAsia"/>
        </w:rPr>
        <w:t>. 安装实施方案</w:t>
      </w:r>
      <w:r>
        <w:tab/>
      </w:r>
      <w:r>
        <w:fldChar w:fldCharType="begin"/>
      </w:r>
      <w:r>
        <w:instrText xml:space="preserve"> PAGEREF _Toc5960 </w:instrText>
      </w:r>
      <w:r>
        <w:fldChar w:fldCharType="separate"/>
      </w:r>
      <w:r>
        <w:t>58</w:t>
      </w:r>
      <w:r>
        <w:fldChar w:fldCharType="end"/>
      </w:r>
      <w:r>
        <w:fldChar w:fldCharType="end"/>
      </w:r>
    </w:p>
    <w:p>
      <w:pPr>
        <w:pStyle w:val="75"/>
        <w:tabs>
          <w:tab w:val="right" w:leader="dot" w:pos="8306"/>
        </w:tabs>
      </w:pPr>
      <w:r>
        <w:fldChar w:fldCharType="begin"/>
      </w:r>
      <w:r>
        <w:instrText xml:space="preserve"> HYPERLINK \l _Toc22963 </w:instrText>
      </w:r>
      <w:r>
        <w:fldChar w:fldCharType="separate"/>
      </w:r>
      <w:r>
        <w:rPr>
          <w:rFonts w:hint="eastAsia"/>
        </w:rPr>
        <w:t>1</w:t>
      </w:r>
      <w:r>
        <w:rPr>
          <w:rFonts w:hint="eastAsia"/>
          <w:lang w:val="en-US" w:eastAsia="zh-CN"/>
        </w:rPr>
        <w:t>4</w:t>
      </w:r>
      <w:r>
        <w:rPr>
          <w:rFonts w:hint="eastAsia"/>
        </w:rPr>
        <w:t>. 中小企业声明函</w:t>
      </w:r>
      <w:r>
        <w:tab/>
      </w:r>
      <w:r>
        <w:fldChar w:fldCharType="begin"/>
      </w:r>
      <w:r>
        <w:instrText xml:space="preserve"> PAGEREF _Toc22963 </w:instrText>
      </w:r>
      <w:r>
        <w:fldChar w:fldCharType="separate"/>
      </w:r>
      <w:r>
        <w:t>59</w:t>
      </w:r>
      <w:r>
        <w:fldChar w:fldCharType="end"/>
      </w:r>
      <w:r>
        <w:fldChar w:fldCharType="end"/>
      </w:r>
    </w:p>
    <w:p>
      <w:pPr>
        <w:pStyle w:val="75"/>
        <w:tabs>
          <w:tab w:val="right" w:leader="dot" w:pos="8306"/>
        </w:tabs>
      </w:pPr>
      <w:r>
        <w:fldChar w:fldCharType="begin"/>
      </w:r>
      <w:r>
        <w:instrText xml:space="preserve"> HYPERLINK \l _Toc16619 </w:instrText>
      </w:r>
      <w:r>
        <w:fldChar w:fldCharType="separate"/>
      </w:r>
      <w:r>
        <w:rPr>
          <w:rFonts w:hint="eastAsia"/>
        </w:rPr>
        <w:t>1</w:t>
      </w:r>
      <w:r>
        <w:rPr>
          <w:rFonts w:hint="eastAsia"/>
          <w:lang w:val="en-US" w:eastAsia="zh-CN"/>
        </w:rPr>
        <w:t>5</w:t>
      </w:r>
      <w:r>
        <w:rPr>
          <w:rFonts w:hint="eastAsia"/>
        </w:rPr>
        <w:t>.  残疾人福利性单位声明函</w:t>
      </w:r>
      <w:r>
        <w:tab/>
      </w:r>
      <w:r>
        <w:fldChar w:fldCharType="begin"/>
      </w:r>
      <w:r>
        <w:instrText xml:space="preserve"> PAGEREF _Toc16619 </w:instrText>
      </w:r>
      <w:r>
        <w:fldChar w:fldCharType="separate"/>
      </w:r>
      <w:r>
        <w:t>60</w:t>
      </w:r>
      <w:r>
        <w:fldChar w:fldCharType="end"/>
      </w:r>
      <w:r>
        <w:fldChar w:fldCharType="end"/>
      </w:r>
    </w:p>
    <w:p>
      <w:pPr>
        <w:pStyle w:val="75"/>
        <w:tabs>
          <w:tab w:val="right" w:leader="dot" w:pos="8306"/>
        </w:tabs>
      </w:pPr>
      <w:r>
        <w:fldChar w:fldCharType="begin"/>
      </w:r>
      <w:r>
        <w:instrText xml:space="preserve"> HYPERLINK \l _Toc13192 </w:instrText>
      </w:r>
      <w:r>
        <w:fldChar w:fldCharType="separate"/>
      </w:r>
      <w:r>
        <w:rPr>
          <w:rFonts w:hint="eastAsia"/>
        </w:rPr>
        <w:t>1</w:t>
      </w:r>
      <w:r>
        <w:rPr>
          <w:rFonts w:hint="eastAsia"/>
          <w:lang w:val="en-US" w:eastAsia="zh-CN"/>
        </w:rPr>
        <w:t>6</w:t>
      </w:r>
      <w:r>
        <w:rPr>
          <w:rFonts w:hint="eastAsia"/>
        </w:rPr>
        <w:t>.其他材料</w:t>
      </w:r>
      <w:r>
        <w:tab/>
      </w:r>
      <w:r>
        <w:fldChar w:fldCharType="begin"/>
      </w:r>
      <w:r>
        <w:instrText xml:space="preserve"> PAGEREF _Toc13192 </w:instrText>
      </w:r>
      <w:r>
        <w:fldChar w:fldCharType="separate"/>
      </w:r>
      <w:r>
        <w:t>61</w:t>
      </w:r>
      <w:r>
        <w:fldChar w:fldCharType="end"/>
      </w:r>
      <w:r>
        <w:fldChar w:fldCharType="end"/>
      </w:r>
    </w:p>
    <w:p>
      <w:pPr>
        <w:pStyle w:val="60"/>
        <w:tabs>
          <w:tab w:val="right" w:leader="dot" w:pos="8306"/>
        </w:tabs>
      </w:pPr>
      <w:r>
        <w:fldChar w:fldCharType="begin"/>
      </w:r>
      <w:r>
        <w:instrText xml:space="preserve"> HYPERLINK \l _Toc2004 </w:instrText>
      </w:r>
      <w:r>
        <w:fldChar w:fldCharType="separate"/>
      </w:r>
      <w:r>
        <w:rPr>
          <w:rFonts w:hint="eastAsia"/>
        </w:rPr>
        <w:t>第六章 招标项目资料表</w:t>
      </w:r>
      <w:r>
        <w:tab/>
      </w:r>
      <w:r>
        <w:fldChar w:fldCharType="begin"/>
      </w:r>
      <w:r>
        <w:instrText xml:space="preserve"> PAGEREF _Toc2004 </w:instrText>
      </w:r>
      <w:r>
        <w:fldChar w:fldCharType="separate"/>
      </w:r>
      <w:r>
        <w:t>62</w:t>
      </w:r>
      <w:r>
        <w:fldChar w:fldCharType="end"/>
      </w:r>
      <w:r>
        <w:fldChar w:fldCharType="end"/>
      </w:r>
    </w:p>
    <w:p>
      <w:pPr>
        <w:pStyle w:val="60"/>
        <w:tabs>
          <w:tab w:val="right" w:leader="dot" w:pos="8306"/>
        </w:tabs>
      </w:pPr>
      <w:r>
        <w:fldChar w:fldCharType="begin"/>
      </w:r>
      <w:r>
        <w:instrText xml:space="preserve"> HYPERLINK \l _Toc22455 </w:instrText>
      </w:r>
      <w:r>
        <w:fldChar w:fldCharType="separate"/>
      </w:r>
      <w:r>
        <w:rPr>
          <w:rFonts w:hint="eastAsia"/>
        </w:rPr>
        <w:t>第七章 合同条款资料表</w:t>
      </w:r>
      <w:r>
        <w:tab/>
      </w:r>
      <w:r>
        <w:fldChar w:fldCharType="begin"/>
      </w:r>
      <w:r>
        <w:instrText xml:space="preserve"> PAGEREF _Toc22455 </w:instrText>
      </w:r>
      <w:r>
        <w:fldChar w:fldCharType="separate"/>
      </w:r>
      <w:r>
        <w:t>66</w:t>
      </w:r>
      <w:r>
        <w:fldChar w:fldCharType="end"/>
      </w:r>
      <w:r>
        <w:fldChar w:fldCharType="end"/>
      </w:r>
    </w:p>
    <w:p>
      <w:pPr>
        <w:pStyle w:val="60"/>
        <w:tabs>
          <w:tab w:val="right" w:leader="dot" w:pos="8306"/>
        </w:tabs>
      </w:pPr>
      <w:r>
        <w:fldChar w:fldCharType="begin"/>
      </w:r>
      <w:r>
        <w:instrText xml:space="preserve"> HYPERLINK \l _Toc20005 </w:instrText>
      </w:r>
      <w:r>
        <w:fldChar w:fldCharType="separate"/>
      </w:r>
      <w:r>
        <w:rPr>
          <w:rFonts w:hint="eastAsia"/>
        </w:rPr>
        <w:t>第八章 货物需求及技术规格要求</w:t>
      </w:r>
      <w:r>
        <w:tab/>
      </w:r>
      <w:r>
        <w:fldChar w:fldCharType="begin"/>
      </w:r>
      <w:r>
        <w:instrText xml:space="preserve"> PAGEREF _Toc20005 </w:instrText>
      </w:r>
      <w:r>
        <w:fldChar w:fldCharType="separate"/>
      </w:r>
      <w:r>
        <w:t>67</w:t>
      </w:r>
      <w:r>
        <w:fldChar w:fldCharType="end"/>
      </w:r>
      <w:r>
        <w:fldChar w:fldCharType="end"/>
      </w:r>
    </w:p>
    <w:p>
      <w:pPr>
        <w:pStyle w:val="75"/>
        <w:tabs>
          <w:tab w:val="right" w:leader="dot" w:pos="8306"/>
        </w:tabs>
      </w:pPr>
      <w:r>
        <w:fldChar w:fldCharType="begin"/>
      </w:r>
      <w:r>
        <w:instrText xml:space="preserve"> HYPERLINK \l _Toc4934 </w:instrText>
      </w:r>
      <w:r>
        <w:fldChar w:fldCharType="separate"/>
      </w:r>
      <w:r>
        <w:rPr>
          <w:rFonts w:hint="eastAsia" w:ascii="宋体" w:hAnsi="宋体" w:eastAsia="宋体" w:cs="宋体"/>
          <w:kern w:val="2"/>
          <w:szCs w:val="24"/>
        </w:rPr>
        <w:t>附件：评标标准</w:t>
      </w:r>
      <w:r>
        <w:rPr>
          <w:rFonts w:ascii="宋体" w:hAnsi="宋体" w:eastAsia="宋体" w:cs="宋体"/>
          <w:kern w:val="2"/>
          <w:szCs w:val="24"/>
        </w:rPr>
        <w:t>：</w:t>
      </w:r>
      <w:r>
        <w:tab/>
      </w:r>
      <w:r>
        <w:fldChar w:fldCharType="begin"/>
      </w:r>
      <w:r>
        <w:instrText xml:space="preserve"> PAGEREF _Toc4934 </w:instrText>
      </w:r>
      <w:r>
        <w:fldChar w:fldCharType="separate"/>
      </w:r>
      <w:r>
        <w:t>81</w:t>
      </w:r>
      <w:r>
        <w:fldChar w:fldCharType="end"/>
      </w:r>
      <w:r>
        <w:fldChar w:fldCharType="end"/>
      </w:r>
    </w:p>
    <w:p>
      <w:r>
        <w:fldChar w:fldCharType="end"/>
      </w:r>
    </w:p>
    <w:p>
      <w:pPr>
        <w:numPr>
          <w:ilvl w:val="0"/>
          <w:numId w:val="1"/>
        </w:numPr>
        <w:spacing w:line="360" w:lineRule="auto"/>
        <w:jc w:val="center"/>
        <w:rPr>
          <w:rStyle w:val="212"/>
        </w:rPr>
      </w:pPr>
      <w:r>
        <w:rPr>
          <w:rFonts w:hint="eastAsia" w:ascii="宋体" w:hAnsi="宋体"/>
          <w:color w:val="000000"/>
          <w:sz w:val="24"/>
          <w:szCs w:val="24"/>
        </w:rPr>
        <w:br w:type="page"/>
      </w:r>
      <w:bookmarkStart w:id="2" w:name="_Toc23059"/>
      <w:r>
        <w:rPr>
          <w:rStyle w:val="212"/>
          <w:rFonts w:hint="eastAsia"/>
        </w:rPr>
        <w:t>招标公告</w:t>
      </w:r>
    </w:p>
    <w:bookmarkEnd w:id="2"/>
    <w:p>
      <w:pPr>
        <w:spacing w:line="360" w:lineRule="auto"/>
        <w:jc w:val="center"/>
        <w:rPr>
          <w:rFonts w:ascii="宋体" w:hAnsi="宋体"/>
          <w:b/>
          <w:bCs/>
          <w:sz w:val="28"/>
          <w:szCs w:val="28"/>
        </w:rPr>
      </w:pPr>
      <w:bookmarkStart w:id="3" w:name="OLE_LINK2"/>
      <w:r>
        <w:rPr>
          <w:rFonts w:hint="eastAsia" w:ascii="宋体" w:hAnsi="宋体"/>
          <w:b/>
          <w:bCs/>
          <w:sz w:val="28"/>
          <w:szCs w:val="28"/>
        </w:rPr>
        <w:t>河南省体育中心游泳跳水馆臭氧设备更换项目招标公告</w:t>
      </w:r>
    </w:p>
    <w:p>
      <w:pPr>
        <w:spacing w:line="360" w:lineRule="auto"/>
        <w:jc w:val="left"/>
        <w:rPr>
          <w:rFonts w:ascii="宋体" w:hAnsi="宋体"/>
          <w:sz w:val="24"/>
          <w:szCs w:val="24"/>
        </w:rPr>
      </w:pPr>
      <w:r>
        <w:rPr>
          <w:rFonts w:hint="eastAsia" w:ascii="宋体" w:hAnsi="宋体"/>
          <w:sz w:val="24"/>
          <w:szCs w:val="24"/>
        </w:rPr>
        <w:t>项目概况：</w:t>
      </w:r>
    </w:p>
    <w:p>
      <w:pPr>
        <w:spacing w:line="360" w:lineRule="auto"/>
        <w:jc w:val="left"/>
        <w:rPr>
          <w:rFonts w:ascii="宋体" w:hAnsi="宋体"/>
          <w:sz w:val="24"/>
          <w:szCs w:val="24"/>
        </w:rPr>
      </w:pPr>
      <w:r>
        <w:rPr>
          <w:rFonts w:hint="eastAsia" w:ascii="宋体" w:hAnsi="宋体"/>
          <w:sz w:val="24"/>
          <w:szCs w:val="24"/>
        </w:rPr>
        <w:t>河南省体育中心游泳跳水馆臭氧设备更换项目的潜在投标人应登录“河南省公共资源交易中心（http://www.hnggzy.com）”网下载招标文件，并于</w:t>
      </w:r>
      <w:r>
        <w:rPr>
          <w:rFonts w:ascii="宋体" w:hAnsi="宋体"/>
          <w:sz w:val="24"/>
          <w:szCs w:val="24"/>
        </w:rPr>
        <w:t>2020</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w:t>
      </w:r>
      <w:r>
        <w:rPr>
          <w:rFonts w:ascii="宋体" w:hAnsi="宋体"/>
          <w:sz w:val="24"/>
          <w:szCs w:val="24"/>
        </w:rPr>
        <w:t>9</w:t>
      </w:r>
      <w:r>
        <w:rPr>
          <w:rFonts w:hint="eastAsia" w:ascii="宋体" w:hAnsi="宋体"/>
          <w:sz w:val="24"/>
          <w:szCs w:val="24"/>
        </w:rPr>
        <w:t>点</w:t>
      </w:r>
      <w:r>
        <w:rPr>
          <w:rFonts w:ascii="宋体" w:hAnsi="宋体"/>
          <w:sz w:val="24"/>
          <w:szCs w:val="24"/>
        </w:rPr>
        <w:t>00</w:t>
      </w:r>
      <w:r>
        <w:rPr>
          <w:rFonts w:hint="eastAsia" w:ascii="宋体" w:hAnsi="宋体"/>
          <w:sz w:val="24"/>
          <w:szCs w:val="24"/>
        </w:rPr>
        <w:t>分（北京时间）前递交投标</w:t>
      </w:r>
      <w:r>
        <w:rPr>
          <w:rFonts w:ascii="宋体" w:hAnsi="宋体"/>
          <w:sz w:val="24"/>
          <w:szCs w:val="24"/>
        </w:rPr>
        <w:t>文件</w:t>
      </w:r>
      <w:r>
        <w:rPr>
          <w:rFonts w:hint="eastAsia" w:ascii="宋体" w:hAnsi="宋体"/>
          <w:sz w:val="24"/>
          <w:szCs w:val="24"/>
        </w:rPr>
        <w:t>。</w:t>
      </w:r>
    </w:p>
    <w:p>
      <w:pPr>
        <w:spacing w:line="360" w:lineRule="auto"/>
        <w:jc w:val="left"/>
        <w:rPr>
          <w:rFonts w:hint="eastAsia" w:ascii="宋体" w:hAnsi="宋体" w:eastAsia="宋体"/>
          <w:sz w:val="24"/>
          <w:szCs w:val="24"/>
          <w:lang w:val="en-US" w:eastAsia="zh-CN"/>
        </w:rPr>
      </w:pPr>
      <w:bookmarkStart w:id="4" w:name="_Toc28359079"/>
      <w:bookmarkStart w:id="5" w:name="_Toc28359002"/>
      <w:bookmarkStart w:id="6" w:name="_Toc35393621"/>
      <w:bookmarkStart w:id="7" w:name="_Toc35393790"/>
      <w:bookmarkStart w:id="8" w:name="_Hlk24379207"/>
      <w:r>
        <w:rPr>
          <w:rFonts w:hint="eastAsia" w:ascii="宋体" w:hAnsi="宋体"/>
          <w:sz w:val="24"/>
          <w:szCs w:val="24"/>
        </w:rPr>
        <w:t>一、项目基本情况</w:t>
      </w:r>
      <w:bookmarkEnd w:id="4"/>
      <w:bookmarkEnd w:id="5"/>
      <w:bookmarkEnd w:id="6"/>
      <w:bookmarkEnd w:id="7"/>
      <w:r>
        <w:rPr>
          <w:rFonts w:hint="eastAsia" w:ascii="宋体" w:hAnsi="宋体"/>
          <w:sz w:val="24"/>
          <w:szCs w:val="24"/>
          <w:lang w:val="en-US" w:eastAsia="zh-CN"/>
        </w:rPr>
        <w:t xml:space="preserve"> </w:t>
      </w:r>
    </w:p>
    <w:p>
      <w:pPr>
        <w:spacing w:line="360" w:lineRule="auto"/>
        <w:jc w:val="left"/>
        <w:rPr>
          <w:rStyle w:val="246"/>
          <w:rFonts w:ascii="宋体" w:hAnsi="宋体"/>
          <w:sz w:val="24"/>
          <w:szCs w:val="24"/>
        </w:rPr>
      </w:pPr>
      <w:r>
        <w:rPr>
          <w:rFonts w:hint="eastAsia" w:ascii="宋体" w:hAnsi="宋体"/>
          <w:sz w:val="24"/>
          <w:szCs w:val="24"/>
        </w:rPr>
        <w:t>1、项目编号：</w:t>
      </w:r>
      <w:r>
        <w:rPr>
          <w:rStyle w:val="246"/>
          <w:rFonts w:hint="eastAsia" w:ascii="宋体" w:hAnsi="宋体"/>
          <w:sz w:val="24"/>
          <w:szCs w:val="24"/>
        </w:rPr>
        <w:t>豫财招标采购-2020-457</w:t>
      </w:r>
    </w:p>
    <w:p>
      <w:pPr>
        <w:spacing w:line="360" w:lineRule="auto"/>
        <w:jc w:val="left"/>
        <w:rPr>
          <w:rFonts w:ascii="宋体" w:hAnsi="宋体"/>
          <w:sz w:val="24"/>
          <w:szCs w:val="24"/>
        </w:rPr>
      </w:pPr>
      <w:r>
        <w:rPr>
          <w:rStyle w:val="246"/>
          <w:rFonts w:hint="eastAsia" w:ascii="宋体" w:hAnsi="宋体"/>
          <w:sz w:val="24"/>
          <w:szCs w:val="24"/>
        </w:rPr>
        <w:t>2、</w:t>
      </w:r>
      <w:r>
        <w:rPr>
          <w:rFonts w:hint="eastAsia" w:ascii="宋体" w:hAnsi="宋体"/>
          <w:sz w:val="24"/>
          <w:szCs w:val="24"/>
        </w:rPr>
        <w:t>项目名称：河南省体育中心游泳跳水馆臭氧设备更换项目</w:t>
      </w:r>
    </w:p>
    <w:p>
      <w:pPr>
        <w:spacing w:line="360" w:lineRule="auto"/>
        <w:jc w:val="left"/>
        <w:rPr>
          <w:rFonts w:ascii="宋体" w:hAnsi="宋体"/>
          <w:sz w:val="24"/>
          <w:szCs w:val="24"/>
        </w:rPr>
      </w:pPr>
      <w:r>
        <w:rPr>
          <w:rFonts w:hint="eastAsia" w:ascii="宋体" w:hAnsi="宋体"/>
          <w:sz w:val="24"/>
          <w:szCs w:val="24"/>
        </w:rPr>
        <w:t>3、采购方式：公开招标</w:t>
      </w:r>
    </w:p>
    <w:bookmarkEnd w:id="8"/>
    <w:p>
      <w:pPr>
        <w:spacing w:line="360" w:lineRule="auto"/>
        <w:jc w:val="left"/>
        <w:rPr>
          <w:rFonts w:ascii="宋体" w:hAnsi="宋体"/>
          <w:sz w:val="24"/>
          <w:szCs w:val="24"/>
        </w:rPr>
      </w:pPr>
      <w:r>
        <w:rPr>
          <w:rFonts w:hint="eastAsia" w:ascii="宋体" w:hAnsi="宋体"/>
          <w:sz w:val="24"/>
          <w:szCs w:val="24"/>
        </w:rPr>
        <w:t>4、预算金额：人民币1764390元；最高限价：1764390元。</w:t>
      </w:r>
    </w:p>
    <w:tbl>
      <w:tblPr>
        <w:tblStyle w:val="88"/>
        <w:tblpPr w:leftFromText="180" w:rightFromText="180" w:vertAnchor="text" w:horzAnchor="margin" w:tblpY="10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1251"/>
        <w:gridCol w:w="2748"/>
        <w:gridCol w:w="1418"/>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Style w:val="246"/>
                <w:rFonts w:hint="eastAsia" w:ascii="宋体" w:hAnsi="宋体"/>
                <w:sz w:val="24"/>
                <w:szCs w:val="24"/>
              </w:rPr>
              <w:t>序号</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包号</w:t>
            </w:r>
          </w:p>
        </w:tc>
        <w:tc>
          <w:tcPr>
            <w:tcW w:w="2748"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Style w:val="246"/>
                <w:rFonts w:hint="eastAsia" w:ascii="宋体" w:hAnsi="宋体"/>
                <w:sz w:val="24"/>
                <w:szCs w:val="24"/>
              </w:rPr>
              <w:t>包名称</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Style w:val="246"/>
                <w:rFonts w:hint="eastAsia" w:ascii="宋体" w:hAnsi="宋体"/>
                <w:sz w:val="24"/>
                <w:szCs w:val="24"/>
              </w:rPr>
              <w:t>包预算（元）</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Style w:val="246"/>
                <w:rFonts w:hint="eastAsia" w:ascii="宋体" w:hAnsi="宋体"/>
                <w:sz w:val="24"/>
                <w:szCs w:val="24"/>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Style w:val="246"/>
                <w:rFonts w:hint="eastAsia" w:ascii="宋体" w:hAnsi="宋体"/>
                <w:sz w:val="24"/>
                <w:szCs w:val="24"/>
              </w:rPr>
              <w:t>1</w:t>
            </w:r>
          </w:p>
        </w:tc>
        <w:tc>
          <w:tcPr>
            <w:tcW w:w="12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szCs w:val="24"/>
              </w:rPr>
            </w:pPr>
            <w:r>
              <w:rPr>
                <w:rFonts w:hint="eastAsia" w:ascii="宋体" w:hAnsi="宋体"/>
                <w:sz w:val="24"/>
                <w:szCs w:val="24"/>
              </w:rPr>
              <w:t xml:space="preserve">豫政采(2)20200498-1 </w:t>
            </w:r>
          </w:p>
        </w:tc>
        <w:tc>
          <w:tcPr>
            <w:tcW w:w="27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 w:val="24"/>
                <w:szCs w:val="24"/>
              </w:rPr>
            </w:pPr>
            <w:r>
              <w:rPr>
                <w:rFonts w:hint="eastAsia" w:ascii="宋体" w:hAnsi="宋体"/>
                <w:sz w:val="24"/>
                <w:szCs w:val="24"/>
              </w:rPr>
              <w:t>游泳跳水馆臭氧设备更换项目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Fonts w:hint="eastAsia" w:ascii="宋体" w:hAnsi="宋体"/>
                <w:sz w:val="24"/>
                <w:szCs w:val="24"/>
              </w:rPr>
              <w:t>1764390</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Style w:val="246"/>
                <w:rFonts w:ascii="宋体" w:hAnsi="宋体"/>
                <w:sz w:val="24"/>
                <w:szCs w:val="24"/>
              </w:rPr>
            </w:pPr>
            <w:r>
              <w:rPr>
                <w:rFonts w:hint="eastAsia" w:ascii="宋体" w:hAnsi="宋体"/>
                <w:sz w:val="24"/>
                <w:szCs w:val="24"/>
              </w:rPr>
              <w:t>1764390</w:t>
            </w:r>
          </w:p>
        </w:tc>
      </w:tr>
    </w:tbl>
    <w:p>
      <w:pPr>
        <w:numPr>
          <w:ilvl w:val="0"/>
          <w:numId w:val="2"/>
        </w:numPr>
        <w:spacing w:line="360" w:lineRule="auto"/>
        <w:jc w:val="left"/>
        <w:rPr>
          <w:rFonts w:ascii="宋体" w:hAnsi="宋体"/>
          <w:sz w:val="24"/>
          <w:szCs w:val="24"/>
        </w:rPr>
      </w:pPr>
      <w:r>
        <w:rPr>
          <w:rFonts w:hint="eastAsia" w:ascii="宋体" w:hAnsi="宋体"/>
          <w:sz w:val="24"/>
          <w:szCs w:val="24"/>
        </w:rPr>
        <w:t>采购需求：（详见附件）</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质量保证期：2年；</w:t>
      </w:r>
    </w:p>
    <w:p>
      <w:pPr>
        <w:spacing w:line="360" w:lineRule="auto"/>
        <w:jc w:val="left"/>
        <w:rPr>
          <w:rFonts w:ascii="宋体" w:hAnsi="宋体"/>
          <w:sz w:val="24"/>
          <w:szCs w:val="24"/>
        </w:rPr>
      </w:pPr>
      <w:r>
        <w:rPr>
          <w:rFonts w:hint="eastAsia" w:ascii="宋体" w:hAnsi="宋体"/>
          <w:sz w:val="24"/>
          <w:szCs w:val="24"/>
        </w:rPr>
        <w:t>7、交货期：</w:t>
      </w:r>
      <w:r>
        <w:rPr>
          <w:rFonts w:hint="eastAsia" w:ascii="宋体" w:hAnsi="宋体" w:cs="微软雅黑"/>
          <w:sz w:val="24"/>
          <w:szCs w:val="24"/>
          <w:shd w:val="clear" w:color="auto" w:fill="FFFFFF"/>
        </w:rPr>
        <w:t>合同签订后3</w:t>
      </w:r>
      <w:r>
        <w:rPr>
          <w:rFonts w:ascii="宋体" w:hAnsi="宋体" w:cs="微软雅黑"/>
          <w:sz w:val="24"/>
          <w:szCs w:val="24"/>
          <w:shd w:val="clear" w:color="auto" w:fill="FFFFFF"/>
        </w:rPr>
        <w:t>0日内交货，包含安装施工并验收合格</w:t>
      </w:r>
      <w:r>
        <w:rPr>
          <w:rFonts w:hint="eastAsia" w:ascii="宋体" w:hAnsi="宋体" w:cs="微软雅黑"/>
          <w:sz w:val="24"/>
          <w:szCs w:val="24"/>
          <w:shd w:val="clear" w:color="auto" w:fill="FFFFFF"/>
        </w:rPr>
        <w:t>。</w:t>
      </w:r>
    </w:p>
    <w:p>
      <w:pPr>
        <w:spacing w:line="360" w:lineRule="auto"/>
        <w:jc w:val="left"/>
        <w:rPr>
          <w:rFonts w:ascii="宋体" w:hAnsi="宋体"/>
          <w:sz w:val="24"/>
          <w:szCs w:val="24"/>
        </w:rPr>
      </w:pPr>
      <w:r>
        <w:rPr>
          <w:rFonts w:hint="eastAsia" w:ascii="宋体" w:hAnsi="宋体"/>
          <w:sz w:val="24"/>
          <w:szCs w:val="24"/>
        </w:rPr>
        <w:t>8.合同履行期限：</w:t>
      </w:r>
      <w:r>
        <w:rPr>
          <w:rFonts w:hint="eastAsia" w:ascii="宋体" w:hAnsi="宋体" w:cs="微软雅黑"/>
          <w:sz w:val="24"/>
          <w:szCs w:val="24"/>
          <w:shd w:val="clear" w:color="auto" w:fill="FFFFFF"/>
        </w:rPr>
        <w:t>同交货期</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9、是否接受进口产品（整机原装进口）：否</w:t>
      </w:r>
    </w:p>
    <w:p>
      <w:pPr>
        <w:spacing w:line="360" w:lineRule="auto"/>
        <w:jc w:val="left"/>
        <w:rPr>
          <w:rStyle w:val="246"/>
        </w:rPr>
      </w:pPr>
      <w:r>
        <w:rPr>
          <w:rStyle w:val="246"/>
          <w:rFonts w:hint="eastAsia"/>
        </w:rPr>
        <w:t>10、</w:t>
      </w:r>
      <w:r>
        <w:rPr>
          <w:rStyle w:val="246"/>
          <w:rFonts w:hint="eastAsia" w:ascii="宋体" w:hAnsi="宋体"/>
          <w:sz w:val="24"/>
          <w:szCs w:val="24"/>
        </w:rPr>
        <w:t>本项目是否接受联合体投标：否</w:t>
      </w:r>
    </w:p>
    <w:p>
      <w:pPr>
        <w:spacing w:line="360" w:lineRule="auto"/>
        <w:jc w:val="left"/>
        <w:rPr>
          <w:rFonts w:ascii="宋体" w:hAnsi="宋体"/>
          <w:sz w:val="24"/>
          <w:szCs w:val="24"/>
        </w:rPr>
      </w:pPr>
      <w:bookmarkStart w:id="9" w:name="_Toc35393622"/>
      <w:bookmarkStart w:id="10" w:name="_Toc28359080"/>
      <w:bookmarkStart w:id="11" w:name="_Toc28359003"/>
      <w:bookmarkStart w:id="12" w:name="_Toc35393791"/>
      <w:r>
        <w:rPr>
          <w:rFonts w:hint="eastAsia" w:ascii="宋体" w:hAnsi="宋体"/>
          <w:sz w:val="24"/>
          <w:szCs w:val="24"/>
        </w:rPr>
        <w:t>二、申请人资格要求：</w:t>
      </w:r>
      <w:bookmarkEnd w:id="9"/>
      <w:bookmarkEnd w:id="10"/>
      <w:bookmarkEnd w:id="11"/>
      <w:bookmarkEnd w:id="12"/>
    </w:p>
    <w:p>
      <w:pPr>
        <w:spacing w:line="360" w:lineRule="auto"/>
        <w:jc w:val="left"/>
        <w:rPr>
          <w:rFonts w:ascii="宋体" w:hAnsi="宋体"/>
          <w:sz w:val="24"/>
          <w:szCs w:val="24"/>
        </w:rPr>
      </w:pPr>
      <w:r>
        <w:rPr>
          <w:rFonts w:hint="eastAsia" w:ascii="宋体" w:hAnsi="宋体"/>
          <w:sz w:val="24"/>
          <w:szCs w:val="24"/>
        </w:rPr>
        <w:t>1、满足《中华人民共和国政府采购法》第二十二条规定；</w:t>
      </w:r>
    </w:p>
    <w:p>
      <w:pPr>
        <w:spacing w:line="360" w:lineRule="auto"/>
        <w:jc w:val="left"/>
        <w:rPr>
          <w:rFonts w:ascii="宋体" w:hAnsi="宋体"/>
          <w:sz w:val="24"/>
          <w:szCs w:val="24"/>
        </w:rPr>
      </w:pPr>
      <w:r>
        <w:rPr>
          <w:rFonts w:hint="eastAsia" w:ascii="宋体" w:hAnsi="宋体"/>
          <w:sz w:val="24"/>
          <w:szCs w:val="24"/>
        </w:rPr>
        <w:t>2、落实政府采购政策满足的资格要求：本项目执行促进中小型企业发展政策（监狱企业、残疾人福利性企业视同小微企业），优先采购节能环保产品，政府强制采购节能产品等。（具体详见招标文件）</w:t>
      </w:r>
    </w:p>
    <w:p>
      <w:pPr>
        <w:spacing w:line="360" w:lineRule="auto"/>
        <w:jc w:val="left"/>
        <w:rPr>
          <w:rFonts w:ascii="宋体" w:hAnsi="宋体"/>
          <w:sz w:val="24"/>
          <w:szCs w:val="24"/>
        </w:rPr>
      </w:pPr>
      <w:r>
        <w:rPr>
          <w:rFonts w:hint="eastAsia" w:ascii="宋体" w:hAnsi="宋体"/>
          <w:sz w:val="24"/>
          <w:szCs w:val="24"/>
        </w:rPr>
        <w:t xml:space="preserve">3、本项目的特定资格要求： </w:t>
      </w:r>
      <w:r>
        <w:rPr>
          <w:rFonts w:hint="eastAsia" w:ascii="宋体" w:hAnsi="宋体"/>
          <w:sz w:val="24"/>
          <w:szCs w:val="24"/>
        </w:rPr>
        <w:br w:type="textWrapping"/>
      </w:r>
      <w:r>
        <w:rPr>
          <w:rFonts w:hint="eastAsia" w:ascii="宋体" w:hAnsi="宋体"/>
          <w:sz w:val="24"/>
          <w:szCs w:val="24"/>
        </w:rPr>
        <w:t xml:space="preserve">  满足《中华人民共和国政府采购法》第二十二条规定，并同时具备下列资料：</w:t>
      </w:r>
    </w:p>
    <w:p>
      <w:pPr>
        <w:spacing w:line="360" w:lineRule="auto"/>
        <w:jc w:val="left"/>
        <w:rPr>
          <w:rFonts w:ascii="宋体" w:hAnsi="宋体"/>
          <w:sz w:val="24"/>
          <w:szCs w:val="24"/>
        </w:rPr>
      </w:pPr>
      <w:bookmarkStart w:id="13" w:name="_Toc35393623"/>
      <w:bookmarkStart w:id="14" w:name="_Toc28359004"/>
      <w:bookmarkStart w:id="15" w:name="_Toc28359081"/>
      <w:bookmarkStart w:id="16" w:name="_Toc35393792"/>
      <w:r>
        <w:rPr>
          <w:rFonts w:hint="eastAsia" w:ascii="宋体" w:hAnsi="宋体"/>
          <w:sz w:val="24"/>
          <w:szCs w:val="24"/>
        </w:rPr>
        <w:t>1）.具有完善的售后服务体系，在法律和财务方面独立并与采购人无任何隶属关系的独立企业法人或其他组织；</w:t>
      </w:r>
    </w:p>
    <w:p>
      <w:pPr>
        <w:tabs>
          <w:tab w:val="left" w:pos="152"/>
          <w:tab w:val="left" w:pos="588"/>
        </w:tabs>
        <w:spacing w:line="360" w:lineRule="auto"/>
        <w:rPr>
          <w:rFonts w:ascii="宋体" w:hAnsi="宋体"/>
          <w:sz w:val="24"/>
        </w:rPr>
      </w:pPr>
      <w:r>
        <w:rPr>
          <w:rFonts w:hint="eastAsia" w:ascii="宋体" w:hAnsi="宋体"/>
          <w:sz w:val="24"/>
          <w:szCs w:val="24"/>
        </w:rPr>
        <w:t>2）.</w:t>
      </w:r>
      <w:r>
        <w:rPr>
          <w:rFonts w:hint="eastAsia" w:ascii="宋体" w:hAnsi="宋体"/>
          <w:sz w:val="24"/>
        </w:rPr>
        <w:t>投标人提供财务状况报告（提供2018或2019年度财务报告</w:t>
      </w:r>
      <w:r>
        <w:rPr>
          <w:rFonts w:hint="eastAsia" w:ascii="宋体" w:hAnsi="宋体"/>
          <w:sz w:val="24"/>
          <w:lang w:val="en-US" w:eastAsia="zh-CN"/>
        </w:rPr>
        <w:t>/审计报告</w:t>
      </w:r>
      <w:r>
        <w:rPr>
          <w:rFonts w:hint="eastAsia" w:ascii="宋体" w:hAnsi="宋体"/>
          <w:sz w:val="24"/>
        </w:rPr>
        <w:t>或银行出具的资信证明或财政部门认可的政府采购专业担保机构出具的投标担保函）；</w:t>
      </w:r>
    </w:p>
    <w:p>
      <w:pPr>
        <w:spacing w:line="360" w:lineRule="auto"/>
        <w:jc w:val="left"/>
        <w:rPr>
          <w:rFonts w:ascii="宋体" w:hAnsi="宋体"/>
          <w:sz w:val="24"/>
          <w:szCs w:val="24"/>
        </w:rPr>
      </w:pPr>
      <w:r>
        <w:rPr>
          <w:rFonts w:hint="eastAsia" w:ascii="宋体" w:hAnsi="宋体"/>
          <w:sz w:val="24"/>
          <w:szCs w:val="24"/>
        </w:rPr>
        <w:t>3）.提供依法缴纳税收和社会保障资金的相关材料（20</w:t>
      </w:r>
      <w:r>
        <w:rPr>
          <w:rFonts w:ascii="宋体" w:hAnsi="宋体"/>
          <w:sz w:val="24"/>
          <w:szCs w:val="24"/>
        </w:rPr>
        <w:t>20</w:t>
      </w:r>
      <w:r>
        <w:rPr>
          <w:rFonts w:hint="eastAsia" w:ascii="宋体" w:hAnsi="宋体"/>
          <w:sz w:val="24"/>
          <w:szCs w:val="24"/>
        </w:rPr>
        <w:t>年1月1日以来至少一个月）；</w:t>
      </w:r>
    </w:p>
    <w:p>
      <w:pPr>
        <w:spacing w:line="360" w:lineRule="auto"/>
        <w:jc w:val="left"/>
        <w:rPr>
          <w:rFonts w:ascii="宋体" w:hAnsi="宋体"/>
          <w:sz w:val="24"/>
          <w:szCs w:val="24"/>
        </w:rPr>
      </w:pPr>
      <w:r>
        <w:rPr>
          <w:rFonts w:hint="eastAsia" w:ascii="宋体" w:hAnsi="宋体"/>
          <w:sz w:val="24"/>
          <w:szCs w:val="24"/>
        </w:rPr>
        <w:t>4）.提供政府采购反商业贿赂承诺书；</w:t>
      </w:r>
    </w:p>
    <w:p>
      <w:pPr>
        <w:spacing w:line="360" w:lineRule="auto"/>
        <w:jc w:val="left"/>
        <w:rPr>
          <w:rFonts w:ascii="宋体" w:hAnsi="宋体"/>
          <w:sz w:val="24"/>
          <w:szCs w:val="24"/>
        </w:rPr>
      </w:pPr>
      <w:r>
        <w:rPr>
          <w:rFonts w:hint="eastAsia" w:ascii="宋体" w:hAnsi="宋体"/>
          <w:sz w:val="24"/>
          <w:szCs w:val="24"/>
        </w:rPr>
        <w:t>5）.参加政府采购活动前三年内在经营活动中没有重大违法记录；</w:t>
      </w:r>
    </w:p>
    <w:p>
      <w:pPr>
        <w:spacing w:line="360" w:lineRule="auto"/>
        <w:jc w:val="left"/>
        <w:rPr>
          <w:rFonts w:ascii="宋体" w:hAnsi="宋体"/>
          <w:sz w:val="24"/>
          <w:szCs w:val="24"/>
        </w:rPr>
      </w:pPr>
      <w:r>
        <w:rPr>
          <w:rFonts w:hint="eastAsia" w:ascii="宋体" w:hAnsi="宋体"/>
          <w:sz w:val="24"/>
          <w:szCs w:val="24"/>
        </w:rPr>
        <w:t>6）.单位负责人为同一人或者存在直接控股、管理关系的不同供应商，不得参加同一合同项下的政府采购活动；</w:t>
      </w:r>
    </w:p>
    <w:p>
      <w:pPr>
        <w:spacing w:line="360" w:lineRule="auto"/>
        <w:jc w:val="left"/>
        <w:rPr>
          <w:rFonts w:ascii="宋体" w:hAnsi="宋体"/>
          <w:sz w:val="24"/>
          <w:szCs w:val="24"/>
        </w:rPr>
      </w:pPr>
      <w:r>
        <w:rPr>
          <w:rFonts w:hint="eastAsia" w:ascii="宋体" w:hAnsi="宋体"/>
          <w:sz w:val="24"/>
          <w:szCs w:val="24"/>
        </w:rPr>
        <w:t>7）.</w:t>
      </w:r>
      <w:r>
        <w:rPr>
          <w:rFonts w:hint="eastAsia" w:ascii="宋体" w:hAnsi="宋体"/>
          <w:color w:val="000000"/>
          <w:sz w:val="24"/>
        </w:rPr>
        <w:t>具备建设主管部门颁发的建筑</w:t>
      </w:r>
      <w:r>
        <w:rPr>
          <w:rFonts w:hint="eastAsia" w:ascii="宋体" w:hAnsi="宋体"/>
          <w:sz w:val="24"/>
          <w:szCs w:val="24"/>
        </w:rPr>
        <w:t>机电安装专业承包叁级及以上</w:t>
      </w:r>
      <w:r>
        <w:rPr>
          <w:rFonts w:hint="eastAsia" w:ascii="宋体" w:hAnsi="宋体"/>
          <w:color w:val="000000"/>
          <w:sz w:val="24"/>
        </w:rPr>
        <w:t>资质；</w:t>
      </w:r>
    </w:p>
    <w:p>
      <w:pPr>
        <w:spacing w:line="360" w:lineRule="auto"/>
        <w:jc w:val="left"/>
        <w:rPr>
          <w:rFonts w:ascii="宋体" w:hAnsi="宋体"/>
          <w:sz w:val="24"/>
          <w:szCs w:val="24"/>
        </w:rPr>
      </w:pPr>
      <w:r>
        <w:rPr>
          <w:rFonts w:hint="eastAsia" w:ascii="宋体" w:hAnsi="宋体"/>
          <w:sz w:val="24"/>
          <w:szCs w:val="24"/>
        </w:rPr>
        <w:t>8）.</w:t>
      </w:r>
      <w:r>
        <w:rPr>
          <w:rFonts w:hint="eastAsia" w:ascii="宋体" w:hAnsi="宋体"/>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截止时间为投标截止时间；</w:t>
      </w:r>
    </w:p>
    <w:p>
      <w:pPr>
        <w:spacing w:line="360" w:lineRule="auto"/>
        <w:jc w:val="left"/>
        <w:rPr>
          <w:rFonts w:ascii="宋体" w:hAnsi="宋体"/>
          <w:sz w:val="24"/>
          <w:szCs w:val="24"/>
        </w:rPr>
      </w:pPr>
      <w:r>
        <w:rPr>
          <w:rFonts w:hint="eastAsia" w:ascii="宋体" w:hAnsi="宋体"/>
          <w:sz w:val="24"/>
          <w:szCs w:val="24"/>
        </w:rPr>
        <w:t>9）.法律法规要求的其他情况。</w:t>
      </w:r>
    </w:p>
    <w:bookmarkEnd w:id="13"/>
    <w:bookmarkEnd w:id="14"/>
    <w:bookmarkEnd w:id="15"/>
    <w:bookmarkEnd w:id="16"/>
    <w:p>
      <w:pPr>
        <w:widowControl/>
        <w:spacing w:line="360" w:lineRule="auto"/>
        <w:jc w:val="left"/>
        <w:rPr>
          <w:rFonts w:ascii="宋体" w:hAnsi="宋体" w:cs="宋体"/>
          <w:kern w:val="0"/>
          <w:sz w:val="24"/>
          <w:szCs w:val="24"/>
        </w:rPr>
      </w:pPr>
      <w:r>
        <w:rPr>
          <w:rFonts w:hint="eastAsia" w:ascii="宋体" w:hAnsi="宋体" w:cs="宋体"/>
          <w:kern w:val="0"/>
          <w:sz w:val="24"/>
          <w:szCs w:val="24"/>
        </w:rPr>
        <w:t>三、获取招标文件</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1.时间：2020年9月</w:t>
      </w:r>
      <w:r>
        <w:rPr>
          <w:rFonts w:hint="eastAsia" w:ascii="宋体" w:hAnsi="宋体" w:cs="宋体"/>
          <w:kern w:val="0"/>
          <w:sz w:val="24"/>
          <w:szCs w:val="24"/>
          <w:lang w:val="en-US" w:eastAsia="zh-CN"/>
        </w:rPr>
        <w:t>19</w:t>
      </w:r>
      <w:r>
        <w:rPr>
          <w:rFonts w:hint="eastAsia" w:ascii="宋体" w:hAnsi="宋体" w:cs="宋体"/>
          <w:kern w:val="0"/>
          <w:sz w:val="24"/>
          <w:szCs w:val="24"/>
        </w:rPr>
        <w:t>日至2020年9月</w:t>
      </w:r>
      <w:r>
        <w:rPr>
          <w:rFonts w:hint="eastAsia" w:ascii="宋体" w:hAnsi="宋体" w:cs="宋体"/>
          <w:kern w:val="0"/>
          <w:sz w:val="24"/>
          <w:szCs w:val="24"/>
          <w:lang w:val="en-US" w:eastAsia="zh-CN"/>
        </w:rPr>
        <w:t>29</w:t>
      </w:r>
      <w:r>
        <w:rPr>
          <w:rFonts w:hint="eastAsia" w:ascii="宋体" w:hAnsi="宋体" w:cs="宋体"/>
          <w:kern w:val="0"/>
          <w:sz w:val="24"/>
          <w:szCs w:val="24"/>
        </w:rPr>
        <w:t>日，每天上午00:00至12:00，下午12:00至23:59（北京时间，法定节假日除外。）</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2.地点：登录河南省公共资源交易中心（http://www.hnggzy.com）。</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方式：凭CA密钥市场主体登录并在规定时间内按网上提示下载招标文件及资料；投标人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4.售价：0元</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四、投标截止时间及地点</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1.时间：2020年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14</w:t>
      </w:r>
      <w:r>
        <w:rPr>
          <w:rFonts w:hint="eastAsia" w:ascii="宋体" w:hAnsi="宋体" w:cs="宋体"/>
          <w:kern w:val="0"/>
          <w:sz w:val="24"/>
          <w:szCs w:val="24"/>
        </w:rPr>
        <w:t>日09时00分（北京时间）</w:t>
      </w:r>
    </w:p>
    <w:p>
      <w:pPr>
        <w:widowControl/>
        <w:spacing w:line="360" w:lineRule="auto"/>
        <w:jc w:val="left"/>
        <w:rPr>
          <w:rFonts w:ascii="宋体" w:hAnsi="宋体" w:cs="宋体"/>
          <w:kern w:val="0"/>
          <w:sz w:val="24"/>
          <w:szCs w:val="24"/>
        </w:rPr>
      </w:pPr>
      <w:r>
        <w:rPr>
          <w:rFonts w:hint="eastAsia" w:ascii="宋体" w:hAnsi="宋体" w:cs="宋体"/>
          <w:kern w:val="0"/>
          <w:sz w:val="24"/>
          <w:szCs w:val="24"/>
          <w:lang w:val="en-US" w:eastAsia="zh-CN"/>
        </w:rPr>
        <w:t>2.地点：河南省公共资源交易中心远程开标室(二)-4（郑州市经一</w:t>
      </w:r>
      <w:r>
        <w:rPr>
          <w:rFonts w:hint="eastAsia" w:ascii="宋体" w:hAnsi="宋体" w:cs="宋体"/>
          <w:kern w:val="0"/>
          <w:sz w:val="24"/>
          <w:szCs w:val="24"/>
        </w:rPr>
        <w:t>路与农业路交叉口投资大厦A座）</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3.其他有关事项：投标人应将使用最新版本的投标文件制作工具制作的电子投标文件，在河南省公共资源交易中心交易系统中成功加密上传至指定位置。</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五、开标时间及地点</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1.时间：2020年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14</w:t>
      </w:r>
      <w:r>
        <w:rPr>
          <w:rFonts w:hint="eastAsia" w:ascii="宋体" w:hAnsi="宋体" w:cs="宋体"/>
          <w:kern w:val="0"/>
          <w:sz w:val="24"/>
          <w:szCs w:val="24"/>
        </w:rPr>
        <w:t>日09时00分（北京时间）</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2.地点：河南省公共资源交易中心远程开标室(二)-4（郑州市经一路与农业路交叉口投资大厦A座）</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 其他有关事项：开标为远程开标，投标人无需到达开标现场。投标人需进行远程解密。</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六、发布公告的媒介及招标公告期限</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本次招标公告在《河南省政府采购网》《河南省公共资源交易中心网站》上发布。 招标公告期限为五个工作日2020年9月</w:t>
      </w:r>
      <w:r>
        <w:rPr>
          <w:rFonts w:hint="eastAsia" w:ascii="宋体" w:hAnsi="宋体" w:cs="宋体"/>
          <w:kern w:val="0"/>
          <w:sz w:val="24"/>
          <w:szCs w:val="24"/>
          <w:lang w:val="en-US" w:eastAsia="zh-CN"/>
        </w:rPr>
        <w:t>19</w:t>
      </w:r>
      <w:r>
        <w:rPr>
          <w:rFonts w:hint="eastAsia" w:ascii="宋体" w:hAnsi="宋体" w:cs="宋体"/>
          <w:kern w:val="0"/>
          <w:sz w:val="24"/>
          <w:szCs w:val="24"/>
        </w:rPr>
        <w:t>日至2020年9月</w:t>
      </w:r>
      <w:r>
        <w:rPr>
          <w:rFonts w:hint="eastAsia" w:ascii="宋体" w:hAnsi="宋体" w:cs="宋体"/>
          <w:kern w:val="0"/>
          <w:sz w:val="24"/>
          <w:szCs w:val="24"/>
          <w:lang w:val="en-US" w:eastAsia="zh-CN"/>
        </w:rPr>
        <w:t>25</w:t>
      </w:r>
      <w:r>
        <w:rPr>
          <w:rFonts w:hint="eastAsia" w:ascii="宋体" w:hAnsi="宋体" w:cs="宋体"/>
          <w:kern w:val="0"/>
          <w:sz w:val="24"/>
          <w:szCs w:val="24"/>
        </w:rPr>
        <w:t>日。</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七、其他补充事宜</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无</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八、凡对本次招标提出询问，请按照以下方式联系</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1.采购人信息</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名称：河南省体育中心</w:t>
      </w:r>
    </w:p>
    <w:p>
      <w:pPr>
        <w:widowControl/>
        <w:spacing w:line="360" w:lineRule="auto"/>
        <w:jc w:val="left"/>
        <w:rPr>
          <w:rFonts w:ascii="宋体" w:hAnsi="宋体" w:cs="宋体"/>
          <w:sz w:val="24"/>
        </w:rPr>
      </w:pPr>
      <w:r>
        <w:rPr>
          <w:rFonts w:hint="eastAsia" w:ascii="宋体" w:hAnsi="宋体" w:cs="宋体"/>
          <w:kern w:val="0"/>
          <w:sz w:val="24"/>
          <w:szCs w:val="24"/>
        </w:rPr>
        <w:t>地址：</w:t>
      </w:r>
      <w:r>
        <w:rPr>
          <w:rFonts w:hint="eastAsia" w:ascii="宋体" w:hAnsi="宋体" w:cs="宋体"/>
          <w:sz w:val="24"/>
        </w:rPr>
        <w:t>郑州市长兴路38号</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联系人：刘老师</w:t>
      </w:r>
    </w:p>
    <w:p>
      <w:pPr>
        <w:spacing w:line="360" w:lineRule="auto"/>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话：0371-6363 1180</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2.采购代理机构信息</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名称：河南招标采购服务有限公司</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地址：郑州市纬四路13号（花园路与纬四路交叉口东50米路北）</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联系人：贾海洋</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联系方式：0371-65900691</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3.项目联系方式</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项目联系人：贾海洋</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联系方式：0371-65900691</w:t>
      </w:r>
    </w:p>
    <w:p>
      <w:pPr>
        <w:widowControl/>
        <w:spacing w:line="360" w:lineRule="auto"/>
        <w:jc w:val="right"/>
        <w:rPr>
          <w:rFonts w:ascii="宋体" w:hAnsi="宋体"/>
          <w:sz w:val="24"/>
        </w:rPr>
      </w:pPr>
      <w:r>
        <w:rPr>
          <w:rFonts w:hint="eastAsia" w:ascii="宋体" w:hAnsi="宋体" w:cs="宋体"/>
          <w:kern w:val="0"/>
          <w:sz w:val="24"/>
          <w:szCs w:val="24"/>
        </w:rPr>
        <w:t>发布时间：2020年9月</w:t>
      </w:r>
      <w:r>
        <w:rPr>
          <w:rFonts w:hint="eastAsia" w:ascii="宋体" w:hAnsi="宋体" w:cs="宋体"/>
          <w:kern w:val="0"/>
          <w:sz w:val="24"/>
          <w:szCs w:val="24"/>
          <w:lang w:val="en-US" w:eastAsia="zh-CN"/>
        </w:rPr>
        <w:t>18</w:t>
      </w:r>
      <w:r>
        <w:rPr>
          <w:rFonts w:hint="eastAsia" w:ascii="宋体" w:hAnsi="宋体" w:cs="宋体"/>
          <w:kern w:val="0"/>
          <w:sz w:val="24"/>
          <w:szCs w:val="24"/>
        </w:rPr>
        <w:t>日</w:t>
      </w:r>
    </w:p>
    <w:bookmarkEnd w:id="3"/>
    <w:p>
      <w:pPr>
        <w:snapToGrid w:val="0"/>
        <w:spacing w:line="360" w:lineRule="auto"/>
        <w:ind w:firstLine="4920" w:firstLineChars="2050"/>
        <w:jc w:val="right"/>
        <w:rPr>
          <w:rFonts w:ascii="宋体" w:hAnsi="宋体"/>
          <w:color w:val="000000"/>
          <w:sz w:val="24"/>
        </w:rPr>
      </w:pPr>
    </w:p>
    <w:p>
      <w:pPr>
        <w:snapToGrid w:val="0"/>
        <w:spacing w:line="360" w:lineRule="auto"/>
        <w:jc w:val="center"/>
        <w:rPr>
          <w:rStyle w:val="212"/>
        </w:rPr>
      </w:pPr>
      <w:r>
        <w:rPr>
          <w:rFonts w:ascii="宋体" w:hAnsi="宋体"/>
          <w:color w:val="000000"/>
          <w:sz w:val="24"/>
        </w:rPr>
        <w:br w:type="page"/>
      </w:r>
      <w:bookmarkStart w:id="17" w:name="_Toc7529"/>
      <w:r>
        <w:rPr>
          <w:rStyle w:val="212"/>
          <w:rFonts w:hint="eastAsia"/>
        </w:rPr>
        <w:t>第二章  投标人须知</w:t>
      </w:r>
    </w:p>
    <w:bookmarkEnd w:id="17"/>
    <w:p>
      <w:pPr>
        <w:pStyle w:val="6"/>
        <w:numPr>
          <w:ilvl w:val="0"/>
          <w:numId w:val="3"/>
        </w:numPr>
        <w:tabs>
          <w:tab w:val="left" w:pos="721"/>
        </w:tabs>
        <w:spacing w:before="0" w:after="0" w:line="360" w:lineRule="auto"/>
        <w:rPr>
          <w:rFonts w:ascii="宋体" w:hAnsi="宋体" w:eastAsia="宋体"/>
          <w:color w:val="000000"/>
          <w:sz w:val="24"/>
          <w:szCs w:val="24"/>
        </w:rPr>
      </w:pPr>
      <w:bookmarkStart w:id="18" w:name="_Toc17965"/>
      <w:r>
        <w:rPr>
          <w:rFonts w:hint="eastAsia" w:ascii="宋体" w:hAnsi="宋体" w:eastAsia="宋体"/>
          <w:color w:val="000000"/>
          <w:sz w:val="24"/>
          <w:szCs w:val="24"/>
        </w:rPr>
        <w:t>说明</w:t>
      </w:r>
      <w:bookmarkEnd w:id="18"/>
    </w:p>
    <w:p>
      <w:pPr>
        <w:numPr>
          <w:ilvl w:val="0"/>
          <w:numId w:val="4"/>
        </w:numPr>
        <w:tabs>
          <w:tab w:val="left" w:pos="360"/>
          <w:tab w:val="clear" w:pos="435"/>
        </w:tabs>
        <w:spacing w:line="360" w:lineRule="auto"/>
        <w:ind w:left="540" w:hanging="540"/>
        <w:rPr>
          <w:rFonts w:ascii="宋体" w:hAnsi="宋体"/>
          <w:b/>
          <w:color w:val="000000"/>
          <w:sz w:val="24"/>
          <w:szCs w:val="24"/>
        </w:rPr>
      </w:pPr>
      <w:r>
        <w:rPr>
          <w:rFonts w:hint="eastAsia" w:ascii="宋体" w:hAnsi="宋体"/>
          <w:b/>
          <w:color w:val="000000"/>
          <w:sz w:val="24"/>
          <w:szCs w:val="24"/>
        </w:rPr>
        <w:t>适用范围</w:t>
      </w:r>
    </w:p>
    <w:p>
      <w:pPr>
        <w:numPr>
          <w:ilvl w:val="1"/>
          <w:numId w:val="4"/>
        </w:numPr>
        <w:tabs>
          <w:tab w:val="left" w:pos="720"/>
        </w:tabs>
        <w:spacing w:line="360" w:lineRule="auto"/>
        <w:rPr>
          <w:rFonts w:ascii="宋体" w:hAnsi="宋体"/>
          <w:color w:val="000000"/>
          <w:sz w:val="24"/>
          <w:szCs w:val="24"/>
        </w:rPr>
      </w:pPr>
      <w:r>
        <w:rPr>
          <w:rFonts w:hint="eastAsia" w:ascii="宋体" w:hAnsi="宋体"/>
          <w:color w:val="000000"/>
          <w:sz w:val="24"/>
          <w:szCs w:val="24"/>
        </w:rPr>
        <w:t>本招标文件仅适用于政府采购公开招标的货物及伴随服务。</w:t>
      </w:r>
    </w:p>
    <w:p>
      <w:pPr>
        <w:numPr>
          <w:ilvl w:val="0"/>
          <w:numId w:val="4"/>
        </w:numPr>
        <w:tabs>
          <w:tab w:val="left" w:pos="360"/>
          <w:tab w:val="clear" w:pos="435"/>
        </w:tabs>
        <w:spacing w:line="360" w:lineRule="auto"/>
        <w:ind w:left="720" w:hanging="720"/>
        <w:rPr>
          <w:rFonts w:ascii="宋体" w:hAnsi="宋体"/>
          <w:b/>
          <w:color w:val="000000"/>
          <w:sz w:val="24"/>
          <w:szCs w:val="24"/>
        </w:rPr>
      </w:pPr>
      <w:r>
        <w:rPr>
          <w:rFonts w:hint="eastAsia" w:ascii="宋体" w:hAnsi="宋体"/>
          <w:b/>
          <w:color w:val="000000"/>
          <w:sz w:val="24"/>
          <w:szCs w:val="24"/>
        </w:rPr>
        <w:t>定义</w:t>
      </w:r>
    </w:p>
    <w:p>
      <w:pPr>
        <w:tabs>
          <w:tab w:val="left" w:pos="720"/>
        </w:tabs>
        <w:spacing w:line="360" w:lineRule="auto"/>
        <w:ind w:left="720" w:hanging="720"/>
        <w:rPr>
          <w:rFonts w:ascii="宋体" w:hAnsi="宋体"/>
          <w:color w:val="000000"/>
          <w:sz w:val="24"/>
          <w:szCs w:val="24"/>
        </w:rPr>
      </w:pPr>
      <w:r>
        <w:rPr>
          <w:rFonts w:hint="eastAsia" w:ascii="宋体" w:hAnsi="宋体"/>
          <w:color w:val="000000"/>
          <w:sz w:val="24"/>
          <w:szCs w:val="24"/>
        </w:rPr>
        <w:t>2.1   采购人:</w:t>
      </w:r>
      <w:r>
        <w:rPr>
          <w:rFonts w:hint="eastAsia" w:ascii="宋体" w:hAnsi="宋体"/>
          <w:bCs/>
          <w:color w:val="000000"/>
          <w:sz w:val="24"/>
        </w:rPr>
        <w:t xml:space="preserve"> 河南省体育中心</w:t>
      </w:r>
      <w:r>
        <w:rPr>
          <w:rFonts w:hint="eastAsia" w:ascii="宋体" w:hAnsi="宋体"/>
          <w:color w:val="000000"/>
          <w:sz w:val="24"/>
          <w:szCs w:val="24"/>
        </w:rPr>
        <w:t>。</w:t>
      </w:r>
    </w:p>
    <w:p>
      <w:pPr>
        <w:numPr>
          <w:ilvl w:val="1"/>
          <w:numId w:val="5"/>
        </w:numPr>
        <w:spacing w:line="360" w:lineRule="auto"/>
        <w:rPr>
          <w:rFonts w:ascii="宋体" w:hAnsi="宋体"/>
          <w:b/>
          <w:color w:val="000000"/>
          <w:sz w:val="24"/>
          <w:szCs w:val="24"/>
        </w:rPr>
      </w:pPr>
      <w:r>
        <w:rPr>
          <w:rFonts w:hint="eastAsia" w:ascii="宋体" w:hAnsi="宋体"/>
          <w:color w:val="000000"/>
          <w:sz w:val="24"/>
          <w:szCs w:val="24"/>
        </w:rPr>
        <w:t>采购代理机构：河南招标采购服务有限公司。</w:t>
      </w:r>
    </w:p>
    <w:p>
      <w:pPr>
        <w:numPr>
          <w:ilvl w:val="1"/>
          <w:numId w:val="5"/>
        </w:numPr>
        <w:spacing w:line="360" w:lineRule="auto"/>
        <w:rPr>
          <w:rFonts w:ascii="宋体" w:hAnsi="宋体"/>
          <w:color w:val="000000"/>
          <w:sz w:val="24"/>
          <w:szCs w:val="24"/>
        </w:rPr>
      </w:pPr>
      <w:r>
        <w:rPr>
          <w:rFonts w:hint="eastAsia" w:ascii="宋体" w:hAnsi="宋体"/>
          <w:color w:val="000000"/>
          <w:sz w:val="24"/>
          <w:szCs w:val="24"/>
        </w:rPr>
        <w:t>合格投标人</w:t>
      </w:r>
    </w:p>
    <w:p>
      <w:pPr>
        <w:spacing w:line="360" w:lineRule="auto"/>
        <w:ind w:left="360"/>
        <w:jc w:val="left"/>
        <w:rPr>
          <w:rFonts w:ascii="宋体" w:hAnsi="宋体"/>
          <w:sz w:val="24"/>
          <w:szCs w:val="24"/>
        </w:rPr>
      </w:pPr>
      <w:r>
        <w:rPr>
          <w:rFonts w:hint="eastAsia" w:ascii="宋体" w:hAnsi="宋体"/>
          <w:sz w:val="24"/>
          <w:szCs w:val="24"/>
        </w:rPr>
        <w:t>符合《政府采购法》第二十二条规定，并同时具备下列资料：</w:t>
      </w:r>
    </w:p>
    <w:p>
      <w:pPr>
        <w:spacing w:line="360" w:lineRule="auto"/>
        <w:ind w:left="360"/>
        <w:jc w:val="left"/>
        <w:rPr>
          <w:rFonts w:ascii="宋体" w:hAnsi="宋体"/>
          <w:sz w:val="24"/>
          <w:szCs w:val="24"/>
        </w:rPr>
      </w:pPr>
      <w:r>
        <w:rPr>
          <w:rFonts w:hint="eastAsia" w:ascii="宋体" w:hAnsi="宋体"/>
          <w:sz w:val="24"/>
          <w:szCs w:val="24"/>
        </w:rPr>
        <w:t>1.具有完善的售后服务体系，在法律和财务方面独立并与采购人无任何隶属关系的独立企业法人或其他组织；</w:t>
      </w:r>
    </w:p>
    <w:p>
      <w:pPr>
        <w:spacing w:line="360" w:lineRule="auto"/>
        <w:ind w:left="360"/>
        <w:jc w:val="left"/>
        <w:rPr>
          <w:rFonts w:ascii="宋体" w:hAnsi="宋体"/>
          <w:sz w:val="24"/>
          <w:szCs w:val="24"/>
        </w:rPr>
      </w:pPr>
      <w:r>
        <w:rPr>
          <w:rFonts w:hint="eastAsia" w:ascii="宋体" w:hAnsi="宋体"/>
          <w:sz w:val="24"/>
          <w:szCs w:val="24"/>
        </w:rPr>
        <w:t>2.提供财务状况报告（</w:t>
      </w:r>
      <w:r>
        <w:rPr>
          <w:rFonts w:hint="eastAsia" w:ascii="宋体" w:hAnsi="宋体"/>
          <w:sz w:val="24"/>
        </w:rPr>
        <w:t>提供2018或2019年度财务报告</w:t>
      </w:r>
      <w:r>
        <w:rPr>
          <w:rFonts w:hint="eastAsia" w:ascii="宋体" w:hAnsi="宋体"/>
          <w:sz w:val="24"/>
          <w:lang w:val="en-US" w:eastAsia="zh-CN"/>
        </w:rPr>
        <w:t>/审计报告</w:t>
      </w:r>
      <w:r>
        <w:rPr>
          <w:rFonts w:hint="eastAsia" w:ascii="宋体" w:hAnsi="宋体"/>
          <w:sz w:val="24"/>
        </w:rPr>
        <w:t>或银行出具的资信证明或财政部门认可的政府采购专业担保机构出具的投标担保函</w:t>
      </w:r>
      <w:r>
        <w:rPr>
          <w:rFonts w:hint="eastAsia" w:ascii="宋体" w:hAnsi="宋体"/>
          <w:sz w:val="24"/>
          <w:szCs w:val="24"/>
        </w:rPr>
        <w:t>）；</w:t>
      </w:r>
    </w:p>
    <w:p>
      <w:pPr>
        <w:spacing w:line="360" w:lineRule="auto"/>
        <w:ind w:left="360"/>
        <w:jc w:val="left"/>
        <w:rPr>
          <w:rFonts w:ascii="宋体" w:hAnsi="宋体"/>
          <w:sz w:val="24"/>
          <w:szCs w:val="24"/>
        </w:rPr>
      </w:pPr>
      <w:r>
        <w:rPr>
          <w:rFonts w:hint="eastAsia" w:ascii="宋体" w:hAnsi="宋体"/>
          <w:sz w:val="24"/>
          <w:szCs w:val="24"/>
        </w:rPr>
        <w:t>3.提供依法缴纳税收和社会保障资金的相关材料（20</w:t>
      </w:r>
      <w:r>
        <w:rPr>
          <w:rFonts w:ascii="宋体" w:hAnsi="宋体"/>
          <w:sz w:val="24"/>
          <w:szCs w:val="24"/>
        </w:rPr>
        <w:t>20</w:t>
      </w:r>
      <w:r>
        <w:rPr>
          <w:rFonts w:hint="eastAsia" w:ascii="宋体" w:hAnsi="宋体"/>
          <w:sz w:val="24"/>
          <w:szCs w:val="24"/>
        </w:rPr>
        <w:t>年1月1日以来至少一个月）；</w:t>
      </w:r>
    </w:p>
    <w:p>
      <w:pPr>
        <w:spacing w:line="360" w:lineRule="auto"/>
        <w:ind w:left="360"/>
        <w:jc w:val="left"/>
        <w:rPr>
          <w:rFonts w:ascii="宋体" w:hAnsi="宋体"/>
          <w:sz w:val="24"/>
          <w:szCs w:val="24"/>
        </w:rPr>
      </w:pPr>
      <w:r>
        <w:rPr>
          <w:rFonts w:hint="eastAsia" w:ascii="宋体" w:hAnsi="宋体"/>
          <w:sz w:val="24"/>
          <w:szCs w:val="24"/>
        </w:rPr>
        <w:t>4.提供政府采购反商业贿赂承诺书；</w:t>
      </w:r>
    </w:p>
    <w:p>
      <w:pPr>
        <w:spacing w:line="360" w:lineRule="auto"/>
        <w:ind w:left="360"/>
        <w:jc w:val="left"/>
        <w:rPr>
          <w:rFonts w:ascii="宋体" w:hAnsi="宋体"/>
          <w:sz w:val="24"/>
          <w:szCs w:val="24"/>
        </w:rPr>
      </w:pPr>
      <w:r>
        <w:rPr>
          <w:rFonts w:hint="eastAsia" w:ascii="宋体" w:hAnsi="宋体"/>
          <w:sz w:val="24"/>
          <w:szCs w:val="24"/>
        </w:rPr>
        <w:t>5.参加政府采购活动前三年内在经营活动中没有重大违法记录；</w:t>
      </w:r>
    </w:p>
    <w:p>
      <w:pPr>
        <w:spacing w:line="360" w:lineRule="auto"/>
        <w:ind w:left="360"/>
        <w:jc w:val="left"/>
        <w:rPr>
          <w:rFonts w:ascii="宋体" w:hAnsi="宋体"/>
          <w:sz w:val="24"/>
          <w:szCs w:val="24"/>
        </w:rPr>
      </w:pPr>
      <w:r>
        <w:rPr>
          <w:rFonts w:hint="eastAsia" w:ascii="宋体" w:hAnsi="宋体"/>
          <w:sz w:val="24"/>
          <w:szCs w:val="24"/>
        </w:rPr>
        <w:t>6.单位负责人为同一人或者存在直接控股、管理关系的不同供应商，不得参加同一合同项下的政府采购活动；</w:t>
      </w:r>
    </w:p>
    <w:p>
      <w:pPr>
        <w:spacing w:line="360" w:lineRule="auto"/>
        <w:ind w:left="360"/>
        <w:jc w:val="left"/>
        <w:rPr>
          <w:rFonts w:ascii="宋体" w:hAnsi="宋体"/>
          <w:color w:val="000000"/>
          <w:sz w:val="24"/>
          <w:szCs w:val="24"/>
        </w:rPr>
      </w:pPr>
      <w:r>
        <w:rPr>
          <w:rFonts w:hint="eastAsia" w:ascii="宋体" w:hAnsi="宋体"/>
          <w:color w:val="000000"/>
          <w:sz w:val="24"/>
          <w:szCs w:val="24"/>
        </w:rPr>
        <w:t>7.具备建设主管部门颁发的建筑机电安装专业承包叁级及以上资质；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8. 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截止时间为投标截止时间；</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9.法律法规要求的其他情况。中标人：接到并接受中标通知，最终被授予合同的投标人。</w:t>
      </w:r>
    </w:p>
    <w:p>
      <w:pPr>
        <w:numPr>
          <w:ilvl w:val="1"/>
          <w:numId w:val="5"/>
        </w:numPr>
        <w:spacing w:line="360" w:lineRule="auto"/>
        <w:rPr>
          <w:rFonts w:ascii="宋体" w:hAnsi="宋体"/>
          <w:color w:val="000000"/>
          <w:sz w:val="24"/>
          <w:szCs w:val="24"/>
        </w:rPr>
      </w:pPr>
      <w:r>
        <w:rPr>
          <w:rFonts w:hint="eastAsia" w:ascii="宋体" w:hAnsi="宋体"/>
          <w:color w:val="000000"/>
          <w:sz w:val="24"/>
          <w:szCs w:val="24"/>
        </w:rPr>
        <w:t>投标文件：指投标人根据招标文件要求提交的所有文件。</w:t>
      </w:r>
    </w:p>
    <w:p>
      <w:pPr>
        <w:numPr>
          <w:ilvl w:val="1"/>
          <w:numId w:val="5"/>
        </w:numPr>
        <w:spacing w:line="360" w:lineRule="auto"/>
        <w:rPr>
          <w:rFonts w:ascii="宋体" w:hAnsi="宋体"/>
          <w:color w:val="000000"/>
          <w:sz w:val="24"/>
          <w:szCs w:val="24"/>
        </w:rPr>
      </w:pPr>
      <w:r>
        <w:rPr>
          <w:rFonts w:hint="eastAsia" w:ascii="宋体" w:hAnsi="宋体"/>
          <w:color w:val="000000"/>
          <w:sz w:val="24"/>
          <w:szCs w:val="24"/>
        </w:rPr>
        <w:t>供应商：有能力向采购人提供货物及伴随服务的法人、其他组织或者自然人。</w:t>
      </w:r>
    </w:p>
    <w:p>
      <w:pPr>
        <w:numPr>
          <w:ilvl w:val="0"/>
          <w:numId w:val="6"/>
        </w:numPr>
        <w:tabs>
          <w:tab w:val="left" w:pos="1904"/>
        </w:tabs>
        <w:spacing w:line="360" w:lineRule="auto"/>
        <w:ind w:left="720" w:hanging="720"/>
        <w:rPr>
          <w:rFonts w:ascii="宋体" w:hAnsi="宋体"/>
          <w:b/>
          <w:color w:val="000000"/>
          <w:sz w:val="24"/>
          <w:szCs w:val="24"/>
        </w:rPr>
      </w:pPr>
      <w:r>
        <w:rPr>
          <w:rFonts w:hint="eastAsia" w:ascii="宋体" w:hAnsi="宋体"/>
          <w:b/>
          <w:color w:val="000000"/>
          <w:sz w:val="24"/>
          <w:szCs w:val="24"/>
        </w:rPr>
        <w:t>投标费用</w:t>
      </w:r>
    </w:p>
    <w:p>
      <w:pPr>
        <w:numPr>
          <w:ilvl w:val="1"/>
          <w:numId w:val="6"/>
        </w:numPr>
        <w:tabs>
          <w:tab w:val="left" w:pos="720"/>
          <w:tab w:val="left" w:pos="786"/>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无论投标过程中的作法和结果如何,投标人应自行承担所有与准备和参加投标有关的全部费用，采购人和采购代理机构在任何情况下均无义务和责任承担上述费用。</w:t>
      </w:r>
    </w:p>
    <w:p>
      <w:pPr>
        <w:numPr>
          <w:ilvl w:val="0"/>
          <w:numId w:val="6"/>
        </w:numPr>
        <w:tabs>
          <w:tab w:val="left" w:pos="720"/>
          <w:tab w:val="left" w:pos="1904"/>
        </w:tabs>
        <w:spacing w:line="360" w:lineRule="auto"/>
        <w:ind w:left="708" w:hanging="708" w:hangingChars="294"/>
        <w:rPr>
          <w:rFonts w:ascii="宋体" w:hAnsi="宋体"/>
          <w:b/>
          <w:color w:val="000000"/>
          <w:sz w:val="24"/>
        </w:rPr>
      </w:pPr>
      <w:r>
        <w:rPr>
          <w:rFonts w:hint="eastAsia" w:ascii="宋体" w:hAnsi="宋体"/>
          <w:b/>
          <w:color w:val="000000"/>
          <w:sz w:val="24"/>
        </w:rPr>
        <w:t>投标签章</w:t>
      </w:r>
    </w:p>
    <w:p>
      <w:pPr>
        <w:numPr>
          <w:ilvl w:val="1"/>
          <w:numId w:val="6"/>
        </w:numPr>
        <w:tabs>
          <w:tab w:val="left" w:pos="720"/>
          <w:tab w:val="left" w:pos="786"/>
          <w:tab w:val="left" w:pos="1904"/>
          <w:tab w:val="clear" w:pos="360"/>
        </w:tabs>
        <w:spacing w:line="360" w:lineRule="auto"/>
        <w:ind w:left="720" w:hanging="720"/>
        <w:rPr>
          <w:rFonts w:ascii="宋体" w:hAnsi="宋体"/>
          <w:color w:val="000000"/>
          <w:sz w:val="24"/>
          <w:szCs w:val="24"/>
        </w:rPr>
      </w:pPr>
      <w:r>
        <w:rPr>
          <w:rFonts w:hint="eastAsia" w:ascii="宋体" w:hAnsi="宋体"/>
          <w:color w:val="000000"/>
          <w:sz w:val="24"/>
        </w:rPr>
        <w:t>电子投标文件的签章：投标人通过</w:t>
      </w:r>
      <w:r>
        <w:rPr>
          <w:rFonts w:hint="eastAsia" w:ascii="宋体" w:hAnsi="宋体"/>
          <w:color w:val="000000"/>
          <w:kern w:val="0"/>
          <w:sz w:val="24"/>
        </w:rPr>
        <w:t>河南省公共资源交易中心网站-办事指南-《公共资源项目CA办理流程》</w:t>
      </w:r>
      <w:r>
        <w:rPr>
          <w:rFonts w:hint="eastAsia" w:ascii="宋体" w:hAnsi="宋体"/>
          <w:color w:val="000000"/>
          <w:sz w:val="24"/>
        </w:rPr>
        <w:t>办理电子认证，且招标文件中明确要求投标文件（*.hntf格式或*.nhntf格式）须加盖电子签章的，投标人必须加盖投标人电子签章。</w:t>
      </w:r>
    </w:p>
    <w:p>
      <w:pPr>
        <w:numPr>
          <w:ilvl w:val="0"/>
          <w:numId w:val="6"/>
        </w:numPr>
        <w:tabs>
          <w:tab w:val="left" w:pos="720"/>
          <w:tab w:val="left" w:pos="1904"/>
        </w:tabs>
        <w:spacing w:line="360" w:lineRule="auto"/>
        <w:rPr>
          <w:rFonts w:ascii="宋体" w:hAnsi="宋体"/>
          <w:b/>
          <w:color w:val="000000"/>
          <w:sz w:val="24"/>
        </w:rPr>
      </w:pPr>
      <w:r>
        <w:rPr>
          <w:rFonts w:hint="eastAsia" w:ascii="宋体" w:hAnsi="宋体"/>
          <w:b/>
          <w:color w:val="000000"/>
          <w:sz w:val="24"/>
        </w:rPr>
        <w:t>会员信息库</w:t>
      </w:r>
    </w:p>
    <w:p>
      <w:pPr>
        <w:numPr>
          <w:ilvl w:val="1"/>
          <w:numId w:val="6"/>
        </w:numPr>
        <w:tabs>
          <w:tab w:val="left" w:pos="720"/>
          <w:tab w:val="left" w:pos="786"/>
          <w:tab w:val="left" w:pos="1904"/>
        </w:tabs>
        <w:spacing w:line="360" w:lineRule="auto"/>
        <w:ind w:left="786"/>
        <w:rPr>
          <w:rFonts w:ascii="宋体" w:hAnsi="宋体"/>
          <w:color w:val="000000"/>
          <w:sz w:val="24"/>
        </w:rPr>
      </w:pPr>
      <w:r>
        <w:rPr>
          <w:rFonts w:hint="eastAsia" w:ascii="宋体" w:hAnsi="宋体"/>
          <w:color w:val="000000"/>
          <w:sz w:val="24"/>
        </w:rPr>
        <w:t xml:space="preserve">  河南省公共资源交易中心面向全国征集交易主体库会员。</w:t>
      </w:r>
    </w:p>
    <w:p>
      <w:pPr>
        <w:numPr>
          <w:ilvl w:val="1"/>
          <w:numId w:val="6"/>
        </w:numPr>
        <w:tabs>
          <w:tab w:val="left" w:pos="786"/>
          <w:tab w:val="clear" w:pos="360"/>
        </w:tabs>
        <w:spacing w:line="360" w:lineRule="auto"/>
        <w:ind w:left="786"/>
        <w:rPr>
          <w:rFonts w:ascii="宋体" w:hAnsi="宋体"/>
          <w:color w:val="000000"/>
          <w:sz w:val="24"/>
        </w:rPr>
      </w:pPr>
      <w:r>
        <w:rPr>
          <w:rFonts w:hint="eastAsia" w:ascii="宋体" w:hAnsi="宋体"/>
          <w:color w:val="000000"/>
          <w:sz w:val="24"/>
        </w:rPr>
        <w:t xml:space="preserve">  入库资料的真实性、有效性、完整性、准确性、合法性及清晰度由投标人负责、 河南省公共资源交易中心只负责对投标人所提供的入库资料原件与上传扫描件进行比对；本项目所需交易主体库资料有效性由本项目评标委员会负责审核。为确保投标文件通过评审，投标人应及时对入库资料进行补充、更新。如因前款原因未通过本项目评标委员会评审，由投标人承担全部责任。</w:t>
      </w:r>
    </w:p>
    <w:p>
      <w:pPr>
        <w:numPr>
          <w:ilvl w:val="1"/>
          <w:numId w:val="6"/>
        </w:numPr>
        <w:tabs>
          <w:tab w:val="left" w:pos="786"/>
          <w:tab w:val="clear" w:pos="360"/>
        </w:tabs>
        <w:spacing w:line="360" w:lineRule="auto"/>
        <w:ind w:left="786"/>
        <w:rPr>
          <w:rFonts w:ascii="宋体" w:hAnsi="宋体"/>
          <w:color w:val="000000"/>
          <w:sz w:val="24"/>
        </w:rPr>
      </w:pPr>
      <w:r>
        <w:rPr>
          <w:rFonts w:hint="eastAsia" w:ascii="宋体" w:hAnsi="宋体"/>
          <w:color w:val="000000"/>
          <w:sz w:val="24"/>
        </w:rPr>
        <w:t xml:space="preserve">  交易主体库中文字资料与扫描件资料不一致时，以扫描件资料为准。</w:t>
      </w:r>
    </w:p>
    <w:p>
      <w:pPr>
        <w:numPr>
          <w:ilvl w:val="1"/>
          <w:numId w:val="6"/>
        </w:numPr>
        <w:tabs>
          <w:tab w:val="left" w:pos="720"/>
          <w:tab w:val="left" w:pos="786"/>
          <w:tab w:val="left" w:pos="1904"/>
        </w:tabs>
        <w:spacing w:line="360" w:lineRule="auto"/>
        <w:ind w:left="786"/>
        <w:rPr>
          <w:rFonts w:ascii="宋体" w:hAnsi="宋体"/>
          <w:color w:val="000000"/>
          <w:sz w:val="24"/>
        </w:rPr>
      </w:pPr>
      <w:r>
        <w:rPr>
          <w:rFonts w:hint="eastAsia" w:ascii="宋体" w:hAnsi="宋体"/>
          <w:color w:val="000000"/>
          <w:sz w:val="24"/>
        </w:rPr>
        <w:t xml:space="preserve">  有关交易主体库的更多信息，请登录河南省公共资源交易中心网查询。</w:t>
      </w:r>
    </w:p>
    <w:p>
      <w:pPr>
        <w:numPr>
          <w:ilvl w:val="0"/>
          <w:numId w:val="6"/>
        </w:numPr>
        <w:tabs>
          <w:tab w:val="left" w:pos="720"/>
          <w:tab w:val="left" w:pos="1904"/>
        </w:tabs>
        <w:spacing w:line="360" w:lineRule="auto"/>
        <w:rPr>
          <w:rFonts w:ascii="宋体" w:hAnsi="宋体"/>
          <w:b/>
          <w:color w:val="000000"/>
          <w:sz w:val="24"/>
        </w:rPr>
      </w:pPr>
      <w:r>
        <w:rPr>
          <w:rFonts w:hint="eastAsia" w:ascii="宋体" w:hAnsi="宋体"/>
          <w:b/>
          <w:color w:val="000000"/>
          <w:sz w:val="24"/>
        </w:rPr>
        <w:t xml:space="preserve"> 采购信息的发布</w:t>
      </w:r>
    </w:p>
    <w:p>
      <w:pPr>
        <w:numPr>
          <w:ilvl w:val="1"/>
          <w:numId w:val="6"/>
        </w:numPr>
        <w:tabs>
          <w:tab w:val="left" w:pos="720"/>
          <w:tab w:val="left" w:pos="786"/>
          <w:tab w:val="left" w:pos="1904"/>
          <w:tab w:val="clear" w:pos="360"/>
        </w:tabs>
        <w:spacing w:line="360" w:lineRule="auto"/>
        <w:ind w:left="786"/>
        <w:rPr>
          <w:rFonts w:ascii="宋体" w:hAnsi="宋体"/>
          <w:color w:val="000000"/>
          <w:sz w:val="24"/>
        </w:rPr>
      </w:pPr>
      <w:r>
        <w:rPr>
          <w:rFonts w:hint="eastAsia" w:ascii="宋体" w:hAnsi="宋体"/>
          <w:color w:val="000000"/>
          <w:sz w:val="24"/>
        </w:rPr>
        <w:t>与本次采购活动相关的信息，将在河南省政府采购指定网站上及时发布，包括</w:t>
      </w:r>
      <w:r>
        <w:fldChar w:fldCharType="begin"/>
      </w:r>
      <w:r>
        <w:instrText xml:space="preserve"> HYPERLINK "http://www.ccgp-henan.gov.cn)和河南省政府采购网河南省公共资源交易网" </w:instrText>
      </w:r>
      <w:r>
        <w:fldChar w:fldCharType="separate"/>
      </w:r>
      <w:r>
        <w:rPr>
          <w:rFonts w:hint="eastAsia" w:ascii="宋体" w:hAnsi="宋体"/>
          <w:color w:val="000000"/>
          <w:sz w:val="24"/>
        </w:rPr>
        <w:t>河南省政府采购网（http:/www.hngp.gov.cn/）河南省公共资源交易门户网</w:t>
      </w:r>
      <w:r>
        <w:rPr>
          <w:rFonts w:hint="eastAsia" w:ascii="宋体" w:hAnsi="宋体"/>
          <w:color w:val="000000"/>
          <w:sz w:val="24"/>
        </w:rPr>
        <w:fldChar w:fldCharType="end"/>
      </w:r>
      <w:r>
        <w:rPr>
          <w:rFonts w:hint="eastAsia" w:ascii="宋体" w:hAnsi="宋体"/>
          <w:color w:val="000000"/>
          <w:sz w:val="24"/>
        </w:rPr>
        <w:t>（www.hnggzy.com）。</w:t>
      </w:r>
    </w:p>
    <w:p>
      <w:pPr>
        <w:pStyle w:val="6"/>
        <w:numPr>
          <w:ilvl w:val="0"/>
          <w:numId w:val="3"/>
        </w:numPr>
        <w:tabs>
          <w:tab w:val="left" w:pos="721"/>
        </w:tabs>
        <w:spacing w:before="0" w:after="0" w:line="360" w:lineRule="auto"/>
        <w:rPr>
          <w:rFonts w:ascii="宋体" w:hAnsi="宋体" w:eastAsia="宋体"/>
          <w:color w:val="000000"/>
          <w:sz w:val="24"/>
          <w:szCs w:val="24"/>
        </w:rPr>
      </w:pPr>
      <w:bookmarkStart w:id="19" w:name="_Toc21692"/>
      <w:r>
        <w:rPr>
          <w:rFonts w:hint="eastAsia" w:ascii="宋体" w:hAnsi="宋体" w:eastAsia="宋体"/>
          <w:color w:val="000000"/>
          <w:sz w:val="24"/>
          <w:szCs w:val="24"/>
        </w:rPr>
        <w:t>招标文件</w:t>
      </w:r>
      <w:bookmarkEnd w:id="19"/>
    </w:p>
    <w:p>
      <w:pPr>
        <w:numPr>
          <w:ilvl w:val="0"/>
          <w:numId w:val="6"/>
        </w:numPr>
        <w:tabs>
          <w:tab w:val="left" w:pos="1904"/>
        </w:tabs>
        <w:spacing w:line="360" w:lineRule="auto"/>
        <w:ind w:left="720" w:hanging="720"/>
        <w:rPr>
          <w:rFonts w:ascii="宋体" w:hAnsi="宋体"/>
          <w:b/>
          <w:color w:val="000000"/>
          <w:sz w:val="24"/>
          <w:szCs w:val="24"/>
        </w:rPr>
      </w:pPr>
      <w:r>
        <w:rPr>
          <w:rFonts w:hint="eastAsia" w:ascii="宋体" w:hAnsi="宋体"/>
          <w:b/>
          <w:color w:val="000000"/>
          <w:sz w:val="24"/>
          <w:szCs w:val="24"/>
        </w:rPr>
        <w:t>招标文件的构成</w:t>
      </w:r>
    </w:p>
    <w:p>
      <w:pPr>
        <w:pStyle w:val="78"/>
        <w:numPr>
          <w:ilvl w:val="1"/>
          <w:numId w:val="6"/>
        </w:numPr>
        <w:tabs>
          <w:tab w:val="left" w:pos="720"/>
          <w:tab w:val="left" w:pos="786"/>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招标文件用以阐明本次招标的货物和服务要求、招标投标程序和合同条件。</w:t>
      </w:r>
    </w:p>
    <w:p>
      <w:pPr>
        <w:pStyle w:val="78"/>
        <w:tabs>
          <w:tab w:val="left" w:pos="720"/>
          <w:tab w:val="left" w:pos="1080"/>
        </w:tabs>
        <w:spacing w:line="360" w:lineRule="auto"/>
        <w:ind w:left="720" w:firstLine="0"/>
        <w:rPr>
          <w:rFonts w:ascii="宋体" w:hAnsi="宋体" w:eastAsia="宋体"/>
          <w:color w:val="000000"/>
          <w:sz w:val="24"/>
          <w:szCs w:val="24"/>
        </w:rPr>
      </w:pPr>
      <w:r>
        <w:rPr>
          <w:rFonts w:hint="eastAsia" w:ascii="宋体" w:hAnsi="宋体" w:eastAsia="宋体"/>
          <w:color w:val="000000"/>
          <w:sz w:val="24"/>
          <w:szCs w:val="24"/>
        </w:rPr>
        <w:t xml:space="preserve">招标文件由下述部分组成： </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招标公告</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投标人须知</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合同通用条款</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合同基本格</w:t>
      </w:r>
      <w:bookmarkStart w:id="20" w:name="_Hlt18671053"/>
      <w:bookmarkEnd w:id="20"/>
      <w:bookmarkStart w:id="21" w:name="_Hlt50364494"/>
      <w:r>
        <w:rPr>
          <w:rFonts w:hint="eastAsia" w:ascii="宋体" w:hAnsi="宋体" w:eastAsia="宋体"/>
          <w:color w:val="000000"/>
          <w:sz w:val="24"/>
          <w:szCs w:val="24"/>
        </w:rPr>
        <w:t>式</w:t>
      </w:r>
      <w:bookmarkEnd w:id="21"/>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投标文件通用格式</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招标项目资料表</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合同专用条款资料表</w:t>
      </w:r>
    </w:p>
    <w:p>
      <w:pPr>
        <w:pStyle w:val="70"/>
        <w:numPr>
          <w:ilvl w:val="0"/>
          <w:numId w:val="7"/>
        </w:numPr>
        <w:tabs>
          <w:tab w:val="left" w:pos="1080"/>
        </w:tabs>
        <w:spacing w:line="360" w:lineRule="auto"/>
        <w:rPr>
          <w:rFonts w:ascii="宋体" w:hAnsi="宋体" w:eastAsia="宋体"/>
          <w:color w:val="000000"/>
          <w:sz w:val="24"/>
          <w:szCs w:val="24"/>
        </w:rPr>
      </w:pPr>
      <w:r>
        <w:rPr>
          <w:rFonts w:hint="eastAsia" w:ascii="宋体" w:hAnsi="宋体" w:eastAsia="宋体"/>
          <w:color w:val="000000"/>
          <w:sz w:val="24"/>
          <w:szCs w:val="24"/>
        </w:rPr>
        <w:t>招标项目需求及技术规格要求</w:t>
      </w:r>
    </w:p>
    <w:p>
      <w:pPr>
        <w:pStyle w:val="70"/>
        <w:tabs>
          <w:tab w:val="left" w:pos="720"/>
          <w:tab w:val="left" w:pos="1080"/>
          <w:tab w:val="left" w:pos="1980"/>
        </w:tabs>
        <w:spacing w:line="360" w:lineRule="auto"/>
        <w:ind w:left="420" w:leftChars="200" w:firstLine="360" w:firstLineChars="150"/>
        <w:rPr>
          <w:rFonts w:ascii="宋体" w:hAnsi="宋体" w:eastAsia="宋体"/>
          <w:color w:val="000000"/>
          <w:sz w:val="24"/>
          <w:szCs w:val="24"/>
        </w:rPr>
      </w:pPr>
      <w:r>
        <w:rPr>
          <w:rFonts w:hint="eastAsia" w:ascii="宋体" w:hAnsi="宋体" w:eastAsia="宋体"/>
          <w:color w:val="000000"/>
          <w:sz w:val="24"/>
          <w:szCs w:val="24"/>
        </w:rPr>
        <w:t xml:space="preserve">(以实际内容为准)    </w:t>
      </w:r>
    </w:p>
    <w:p>
      <w:pPr>
        <w:pStyle w:val="78"/>
        <w:numPr>
          <w:ilvl w:val="1"/>
          <w:numId w:val="6"/>
        </w:numPr>
        <w:tabs>
          <w:tab w:val="left" w:pos="720"/>
          <w:tab w:val="left" w:pos="786"/>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投标人应仔细阅读招标文件中投标人须知、条款、格式和技术规范等所有事项，按招标文件的要求制作并提交投标文件，并保证所提供的全部资料的真实性，以使其投标对招标文件做出实质性响应，否则，将承担其投标被拒绝的风险。</w:t>
      </w:r>
    </w:p>
    <w:p>
      <w:pPr>
        <w:pStyle w:val="78"/>
        <w:numPr>
          <w:ilvl w:val="1"/>
          <w:numId w:val="6"/>
        </w:numPr>
        <w:tabs>
          <w:tab w:val="left" w:pos="720"/>
          <w:tab w:val="left" w:pos="786"/>
          <w:tab w:val="clear" w:pos="360"/>
        </w:tabs>
        <w:spacing w:line="360" w:lineRule="auto"/>
        <w:ind w:left="720" w:hanging="720"/>
        <w:rPr>
          <w:rFonts w:ascii="宋体" w:hAnsi="宋体" w:eastAsia="宋体"/>
          <w:color w:val="000000"/>
          <w:sz w:val="24"/>
          <w:szCs w:val="24"/>
        </w:rPr>
      </w:pPr>
      <w:r>
        <w:rPr>
          <w:rFonts w:hint="eastAsia" w:ascii="宋体" w:hAnsi="宋体" w:eastAsia="宋体"/>
          <w:color w:val="000000"/>
          <w:sz w:val="24"/>
          <w:szCs w:val="24"/>
        </w:rPr>
        <w:t>投标人未按规定签署的投标文件将导致不被接受。</w:t>
      </w:r>
    </w:p>
    <w:p>
      <w:pPr>
        <w:numPr>
          <w:ilvl w:val="0"/>
          <w:numId w:val="6"/>
        </w:numPr>
        <w:spacing w:line="360" w:lineRule="auto"/>
        <w:ind w:left="720" w:hanging="720"/>
        <w:rPr>
          <w:rFonts w:ascii="宋体" w:hAnsi="宋体"/>
          <w:b/>
          <w:color w:val="000000"/>
          <w:sz w:val="24"/>
          <w:szCs w:val="24"/>
        </w:rPr>
      </w:pPr>
      <w:r>
        <w:rPr>
          <w:rFonts w:hint="eastAsia" w:ascii="宋体" w:hAnsi="宋体"/>
          <w:b/>
          <w:color w:val="000000"/>
          <w:sz w:val="24"/>
          <w:szCs w:val="24"/>
        </w:rPr>
        <w:t>招标文件的澄清</w:t>
      </w:r>
    </w:p>
    <w:p>
      <w:pPr>
        <w:spacing w:line="360" w:lineRule="auto"/>
        <w:ind w:left="708" w:hanging="708" w:hangingChars="295"/>
        <w:rPr>
          <w:rFonts w:ascii="宋体" w:hAnsi="宋体"/>
          <w:color w:val="000000"/>
          <w:sz w:val="24"/>
        </w:rPr>
      </w:pPr>
      <w:r>
        <w:rPr>
          <w:rFonts w:hint="eastAsia" w:ascii="宋体" w:hAnsi="宋体"/>
          <w:color w:val="000000"/>
          <w:sz w:val="24"/>
        </w:rPr>
        <w:t>8.1   投标人应仔细阅读和检查招标文件的全部内容。如有疑问，应在投标人须知前附表规定的时间前在交易平台上进行提问，要求采购人对招标文件予以澄清。</w:t>
      </w:r>
    </w:p>
    <w:p>
      <w:pPr>
        <w:spacing w:line="360" w:lineRule="auto"/>
        <w:ind w:left="720" w:hanging="720" w:hangingChars="300"/>
        <w:rPr>
          <w:rFonts w:ascii="宋体" w:hAnsi="宋体"/>
          <w:color w:val="000000"/>
          <w:sz w:val="24"/>
        </w:rPr>
      </w:pPr>
      <w:r>
        <w:rPr>
          <w:rFonts w:hint="eastAsia" w:ascii="宋体" w:hAnsi="宋体"/>
          <w:color w:val="000000"/>
          <w:sz w:val="24"/>
        </w:rPr>
        <w:t>8.2  招标文件的澄清将在投标人须知前附表规定的投标截止时间前在交易平台上公布给投标人，但不指明澄清问题的来源。</w:t>
      </w:r>
    </w:p>
    <w:p>
      <w:pPr>
        <w:spacing w:line="360" w:lineRule="auto"/>
        <w:ind w:left="720" w:hanging="720" w:hangingChars="300"/>
        <w:rPr>
          <w:rFonts w:ascii="宋体" w:hAnsi="宋体"/>
          <w:color w:val="000000"/>
          <w:sz w:val="24"/>
        </w:rPr>
      </w:pPr>
      <w:r>
        <w:rPr>
          <w:rFonts w:hint="eastAsia" w:ascii="宋体" w:hAnsi="宋体"/>
          <w:color w:val="000000"/>
          <w:sz w:val="24"/>
        </w:rPr>
        <w:t>8.3  投标人在收到澄清后，应在投标人须知前附表规定的时间内在交易平台上回复确认已收到该澄清。</w:t>
      </w:r>
    </w:p>
    <w:p>
      <w:pPr>
        <w:tabs>
          <w:tab w:val="left" w:pos="720"/>
          <w:tab w:val="left" w:pos="1904"/>
        </w:tabs>
        <w:spacing w:line="360" w:lineRule="auto"/>
        <w:ind w:left="566" w:hanging="566" w:hangingChars="236"/>
        <w:rPr>
          <w:rFonts w:ascii="宋体" w:hAnsi="宋体"/>
          <w:color w:val="000000"/>
          <w:sz w:val="24"/>
          <w:szCs w:val="24"/>
        </w:rPr>
      </w:pPr>
      <w:r>
        <w:rPr>
          <w:rFonts w:hint="eastAsia" w:ascii="宋体" w:hAnsi="宋体"/>
          <w:color w:val="000000"/>
          <w:sz w:val="24"/>
        </w:rPr>
        <w:t xml:space="preserve">8.4  </w:t>
      </w:r>
      <w:r>
        <w:rPr>
          <w:rFonts w:hint="eastAsia" w:ascii="宋体" w:hAnsi="宋体"/>
          <w:b/>
          <w:color w:val="000000"/>
          <w:sz w:val="24"/>
        </w:rPr>
        <w:t>因交易中心平台在开标前具有保密性，投标人在投标截止时间前须自行查看项目进展、变更通知、澄清及回复，因投标人未及时查看而造成的后果自负。</w:t>
      </w:r>
    </w:p>
    <w:p>
      <w:pPr>
        <w:numPr>
          <w:ilvl w:val="0"/>
          <w:numId w:val="6"/>
        </w:numPr>
        <w:spacing w:line="360" w:lineRule="auto"/>
        <w:ind w:left="720" w:hanging="720"/>
        <w:rPr>
          <w:rFonts w:ascii="宋体" w:hAnsi="宋体"/>
          <w:b/>
          <w:color w:val="000000"/>
          <w:sz w:val="24"/>
          <w:szCs w:val="24"/>
        </w:rPr>
      </w:pPr>
      <w:r>
        <w:rPr>
          <w:rFonts w:hint="eastAsia" w:ascii="宋体" w:hAnsi="宋体"/>
          <w:b/>
          <w:color w:val="000000"/>
          <w:sz w:val="24"/>
          <w:szCs w:val="24"/>
        </w:rPr>
        <w:t>招标文件的修改</w:t>
      </w:r>
    </w:p>
    <w:p>
      <w:pPr>
        <w:snapToGrid w:val="0"/>
        <w:spacing w:line="360" w:lineRule="auto"/>
        <w:ind w:left="840" w:hanging="840" w:hangingChars="350"/>
        <w:jc w:val="left"/>
        <w:rPr>
          <w:rFonts w:ascii="宋体" w:hAnsi="宋体"/>
          <w:color w:val="000000"/>
          <w:sz w:val="24"/>
        </w:rPr>
      </w:pPr>
      <w:r>
        <w:rPr>
          <w:rFonts w:hint="eastAsia" w:ascii="宋体" w:hAnsi="宋体"/>
          <w:color w:val="000000"/>
          <w:sz w:val="24"/>
        </w:rPr>
        <w:t>9.1   在投标截止时间15天前，采购人可以修改招标文件。</w:t>
      </w:r>
    </w:p>
    <w:p>
      <w:pPr>
        <w:snapToGrid w:val="0"/>
        <w:spacing w:line="360" w:lineRule="auto"/>
        <w:ind w:left="720" w:hanging="720" w:hangingChars="300"/>
        <w:jc w:val="left"/>
        <w:rPr>
          <w:rFonts w:ascii="宋体" w:hAnsi="宋体"/>
          <w:color w:val="000000"/>
          <w:sz w:val="24"/>
        </w:rPr>
      </w:pPr>
      <w:r>
        <w:rPr>
          <w:rFonts w:hint="eastAsia" w:ascii="宋体" w:hAnsi="宋体"/>
          <w:color w:val="000000"/>
          <w:sz w:val="24"/>
        </w:rPr>
        <w:t>9.2   采购人、代理机构对已发出的招标文件进行的澄清、更正或更改，澄清、更正或更改的内容将作为招标文件的组成部分。代理机构将通过</w:t>
      </w:r>
      <w:r>
        <w:fldChar w:fldCharType="begin"/>
      </w:r>
      <w:r>
        <w:instrText xml:space="preserve"> HYPERLINK "http://www.ccgp-henan.gov.cn)和河南省政府采购网河南省公共资源交易网" </w:instrText>
      </w:r>
      <w:r>
        <w:fldChar w:fldCharType="separate"/>
      </w:r>
      <w:r>
        <w:rPr>
          <w:rFonts w:hint="eastAsia" w:ascii="宋体" w:hAnsi="宋体"/>
          <w:color w:val="000000"/>
          <w:sz w:val="24"/>
        </w:rPr>
        <w:t>河南省政府采购网（http:/www.hngp.gov.cn/）、河南省公共资源交易门户网</w:t>
      </w:r>
      <w:r>
        <w:rPr>
          <w:rFonts w:hint="eastAsia" w:ascii="宋体" w:hAnsi="宋体"/>
          <w:color w:val="000000"/>
          <w:sz w:val="24"/>
        </w:rPr>
        <w:fldChar w:fldCharType="end"/>
      </w:r>
      <w:r>
        <w:rPr>
          <w:rFonts w:hint="eastAsia" w:ascii="宋体" w:hAnsi="宋体"/>
          <w:color w:val="000000"/>
          <w:sz w:val="24"/>
        </w:rPr>
        <w:t>（www.hnggzy.com）网站“变更公告”和系统内部“答疑文件”告知投标人，对于各项目中已经成功下载招标文件的投标人，系统将通过第三方短信群发方式提醒投标人进行查询。各投标人须重新下载最新的答疑文件，以此编制投标文件。</w:t>
      </w:r>
    </w:p>
    <w:p>
      <w:pPr>
        <w:tabs>
          <w:tab w:val="left" w:pos="720"/>
          <w:tab w:val="left" w:pos="1904"/>
        </w:tabs>
        <w:snapToGrid w:val="0"/>
        <w:spacing w:line="360" w:lineRule="auto"/>
        <w:ind w:left="566" w:hanging="566" w:hangingChars="236"/>
        <w:jc w:val="left"/>
        <w:rPr>
          <w:rFonts w:ascii="宋体" w:hAnsi="宋体"/>
          <w:color w:val="000000"/>
          <w:sz w:val="24"/>
          <w:szCs w:val="24"/>
        </w:rPr>
      </w:pPr>
      <w:r>
        <w:rPr>
          <w:rFonts w:hint="eastAsia" w:ascii="宋体" w:hAnsi="宋体"/>
          <w:color w:val="000000"/>
          <w:sz w:val="24"/>
        </w:rPr>
        <w:t>9.3  投标人注册时所留手机联系方式要保持畅通，因联系方式变更而未及时更新系统内联系方式的，将会造成收不到短信。此短信仅系友情提示，并不具有任何约束性和必要性，代理机构不承担投标人未收到短信而引起的一切后果和法律责任。</w:t>
      </w:r>
    </w:p>
    <w:p>
      <w:pPr>
        <w:pStyle w:val="6"/>
        <w:numPr>
          <w:ilvl w:val="0"/>
          <w:numId w:val="3"/>
        </w:numPr>
        <w:tabs>
          <w:tab w:val="left" w:pos="721"/>
        </w:tabs>
        <w:spacing w:before="0" w:after="0" w:line="360" w:lineRule="auto"/>
        <w:rPr>
          <w:rFonts w:ascii="宋体" w:hAnsi="宋体" w:eastAsia="宋体"/>
          <w:color w:val="000000"/>
          <w:sz w:val="24"/>
          <w:szCs w:val="24"/>
        </w:rPr>
      </w:pPr>
      <w:bookmarkStart w:id="22" w:name="_Toc10986"/>
      <w:r>
        <w:rPr>
          <w:rFonts w:hint="eastAsia" w:ascii="宋体" w:hAnsi="宋体" w:eastAsia="宋体"/>
          <w:color w:val="000000"/>
          <w:sz w:val="24"/>
          <w:szCs w:val="24"/>
        </w:rPr>
        <w:t>投标文件的编写</w:t>
      </w:r>
      <w:bookmarkEnd w:id="22"/>
    </w:p>
    <w:p>
      <w:pPr>
        <w:numPr>
          <w:ilvl w:val="0"/>
          <w:numId w:val="6"/>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投标的语言</w:t>
      </w:r>
    </w:p>
    <w:p>
      <w:pPr>
        <w:tabs>
          <w:tab w:val="left" w:pos="720"/>
          <w:tab w:val="left" w:pos="1904"/>
        </w:tabs>
        <w:spacing w:line="360" w:lineRule="auto"/>
        <w:ind w:left="720" w:hanging="720"/>
        <w:rPr>
          <w:rFonts w:ascii="宋体" w:hAnsi="宋体"/>
          <w:color w:val="000000"/>
          <w:sz w:val="24"/>
          <w:szCs w:val="24"/>
        </w:rPr>
      </w:pPr>
      <w:r>
        <w:rPr>
          <w:rFonts w:hint="eastAsia" w:ascii="宋体" w:hAnsi="宋体"/>
          <w:color w:val="000000"/>
          <w:sz w:val="24"/>
          <w:szCs w:val="24"/>
        </w:rPr>
        <w:t>10.1  投标文件以及投标人与采购人和采购代理机构就有关投标的所有往来函件均应使用中文。投标人提供的外文资料应附有相应的中文译本，并以中文译本为准。</w:t>
      </w:r>
    </w:p>
    <w:p>
      <w:pPr>
        <w:numPr>
          <w:ilvl w:val="0"/>
          <w:numId w:val="6"/>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投标文件计量单位</w:t>
      </w:r>
    </w:p>
    <w:p>
      <w:pPr>
        <w:pStyle w:val="70"/>
        <w:tabs>
          <w:tab w:val="left" w:pos="720"/>
        </w:tabs>
        <w:spacing w:line="360" w:lineRule="auto"/>
        <w:ind w:left="360" w:hanging="360"/>
        <w:rPr>
          <w:rFonts w:ascii="宋体" w:hAnsi="宋体" w:eastAsia="宋体"/>
          <w:color w:val="000000"/>
          <w:sz w:val="24"/>
          <w:szCs w:val="24"/>
        </w:rPr>
      </w:pPr>
      <w:r>
        <w:rPr>
          <w:rFonts w:hint="eastAsia" w:ascii="宋体" w:hAnsi="宋体" w:eastAsia="宋体"/>
          <w:color w:val="000000"/>
          <w:sz w:val="24"/>
          <w:szCs w:val="24"/>
        </w:rPr>
        <w:t>11.1  除在招标文件的技术文件中另有规定外，计量单位均使用中国公制计量单位。</w:t>
      </w:r>
    </w:p>
    <w:p>
      <w:pPr>
        <w:numPr>
          <w:ilvl w:val="0"/>
          <w:numId w:val="6"/>
        </w:numPr>
        <w:tabs>
          <w:tab w:val="left" w:pos="1904"/>
        </w:tabs>
        <w:spacing w:line="360" w:lineRule="auto"/>
        <w:rPr>
          <w:rFonts w:ascii="宋体" w:hAnsi="宋体"/>
          <w:b/>
          <w:color w:val="000000"/>
          <w:sz w:val="24"/>
          <w:szCs w:val="24"/>
        </w:rPr>
      </w:pPr>
      <w:r>
        <w:rPr>
          <w:rFonts w:hint="eastAsia" w:ascii="宋体" w:hAnsi="宋体"/>
          <w:b/>
          <w:color w:val="000000"/>
          <w:sz w:val="24"/>
          <w:szCs w:val="24"/>
        </w:rPr>
        <w:t>投标文件的组成</w:t>
      </w:r>
    </w:p>
    <w:p>
      <w:pPr>
        <w:tabs>
          <w:tab w:val="left" w:pos="900"/>
          <w:tab w:val="left" w:pos="1080"/>
          <w:tab w:val="left" w:pos="1260"/>
          <w:tab w:val="left" w:pos="1500"/>
        </w:tabs>
        <w:spacing w:line="360" w:lineRule="auto"/>
        <w:rPr>
          <w:rFonts w:ascii="宋体" w:hAnsi="宋体"/>
          <w:color w:val="000000"/>
          <w:sz w:val="24"/>
          <w:szCs w:val="24"/>
        </w:rPr>
      </w:pPr>
      <w:r>
        <w:rPr>
          <w:rFonts w:hint="eastAsia" w:ascii="宋体" w:hAnsi="宋体"/>
          <w:color w:val="000000"/>
          <w:sz w:val="24"/>
          <w:szCs w:val="24"/>
        </w:rPr>
        <w:t>12.1 投标文件应包含招标文件第五章“投标文件通用格式”中所要求的内容。</w:t>
      </w:r>
    </w:p>
    <w:p>
      <w:pPr>
        <w:numPr>
          <w:ilvl w:val="1"/>
          <w:numId w:val="6"/>
        </w:numPr>
        <w:tabs>
          <w:tab w:val="left" w:pos="720"/>
          <w:tab w:val="left" w:pos="786"/>
          <w:tab w:val="clear" w:pos="360"/>
        </w:tabs>
        <w:spacing w:line="360" w:lineRule="auto"/>
        <w:ind w:left="720" w:hanging="720"/>
        <w:rPr>
          <w:rFonts w:ascii="宋体" w:hAnsi="宋体"/>
          <w:color w:val="000000"/>
          <w:sz w:val="24"/>
          <w:szCs w:val="24"/>
        </w:rPr>
      </w:pPr>
      <w:r>
        <w:rPr>
          <w:rFonts w:hint="eastAsia" w:ascii="宋体" w:hAnsi="宋体"/>
          <w:color w:val="000000"/>
          <w:sz w:val="24"/>
          <w:szCs w:val="24"/>
        </w:rPr>
        <w:t>招标文件中的每个分包，是项目招标不可拆分的最小投标单元。投标人必须</w:t>
      </w:r>
      <w:r>
        <w:rPr>
          <w:rFonts w:hint="eastAsia" w:ascii="宋体" w:hAnsi="宋体"/>
          <w:color w:val="000000"/>
          <w:sz w:val="24"/>
        </w:rPr>
        <w:t>各包分别编制各包的投标文件，并按各包分别提交相应的文件资料，拆包投标将视为漏项或非实质性响应予以废标。</w:t>
      </w:r>
    </w:p>
    <w:p>
      <w:pPr>
        <w:numPr>
          <w:ilvl w:val="0"/>
          <w:numId w:val="6"/>
        </w:numPr>
        <w:tabs>
          <w:tab w:val="left" w:pos="1904"/>
        </w:tabs>
        <w:spacing w:line="360" w:lineRule="auto"/>
        <w:rPr>
          <w:rFonts w:ascii="宋体" w:hAnsi="宋体"/>
          <w:b/>
          <w:color w:val="000000"/>
          <w:sz w:val="24"/>
          <w:szCs w:val="24"/>
        </w:rPr>
      </w:pPr>
      <w:r>
        <w:rPr>
          <w:rFonts w:hint="eastAsia" w:ascii="宋体" w:hAnsi="宋体"/>
          <w:b/>
          <w:color w:val="000000"/>
          <w:sz w:val="24"/>
          <w:szCs w:val="24"/>
        </w:rPr>
        <w:t xml:space="preserve"> 投标格式</w:t>
      </w:r>
    </w:p>
    <w:p>
      <w:pPr>
        <w:tabs>
          <w:tab w:val="left" w:pos="720"/>
        </w:tabs>
        <w:spacing w:line="360" w:lineRule="auto"/>
        <w:ind w:left="737" w:hanging="736" w:hangingChars="307"/>
        <w:rPr>
          <w:rFonts w:ascii="宋体" w:hAnsi="宋体"/>
          <w:color w:val="000000"/>
          <w:sz w:val="24"/>
          <w:szCs w:val="24"/>
        </w:rPr>
      </w:pPr>
      <w:r>
        <w:rPr>
          <w:rFonts w:hint="eastAsia" w:ascii="宋体" w:hAnsi="宋体"/>
          <w:color w:val="000000"/>
          <w:sz w:val="24"/>
          <w:szCs w:val="24"/>
        </w:rPr>
        <w:t>13.1  投标人应按照招标文件中提供的格式完整地填写投标文件，按招标文件提供的资格证明格式提交招标文件要求的资格证明文件。</w:t>
      </w:r>
    </w:p>
    <w:p>
      <w:pPr>
        <w:numPr>
          <w:ilvl w:val="0"/>
          <w:numId w:val="6"/>
        </w:numPr>
        <w:tabs>
          <w:tab w:val="left" w:pos="1904"/>
        </w:tabs>
        <w:spacing w:line="360" w:lineRule="auto"/>
        <w:rPr>
          <w:rFonts w:ascii="宋体" w:hAnsi="宋体"/>
          <w:b/>
          <w:color w:val="000000"/>
          <w:sz w:val="24"/>
          <w:szCs w:val="24"/>
        </w:rPr>
      </w:pPr>
      <w:r>
        <w:rPr>
          <w:rFonts w:hint="eastAsia" w:ascii="宋体" w:hAnsi="宋体"/>
          <w:b/>
          <w:color w:val="000000"/>
          <w:sz w:val="24"/>
          <w:szCs w:val="24"/>
        </w:rPr>
        <w:t xml:space="preserve"> 投标报价</w:t>
      </w:r>
    </w:p>
    <w:p>
      <w:pPr>
        <w:numPr>
          <w:ilvl w:val="1"/>
          <w:numId w:val="6"/>
        </w:numPr>
        <w:tabs>
          <w:tab w:val="left" w:pos="540"/>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总报价应是采购人指定地点交货的包括交货前发生的各种税费、运费及保险费、运杂费、以及伴随的其它服务费总报价。总报价分解为：设备和附属装置、备品备件和专用工具、卖方技术服务（安装、调试、运行）报价、采购人派员参加技术联络和工厂监造、检验、技术培训费用、运保费、各类税费及验收检测费，各项报价应准确填入投标报价表相应栏内。</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投标人根据上述规定所作分项报价的目的只是为了评标时对投标文件进行比较的方便，但并不限制采购人订立合同的权力。</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投标报价应完全包括招标文件规定的货物和服务范围，不得任意分割或合并所规定的分项。</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snapToGrid w:val="0"/>
          <w:color w:val="000000"/>
          <w:kern w:val="0"/>
          <w:sz w:val="24"/>
          <w:szCs w:val="24"/>
        </w:rPr>
        <w:t xml:space="preserve"> 投标人对每种货物和服务只允许有一个报价，采购人和代理机构不接受有任何选择性报价的投标。</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numPr>
          <w:ilvl w:val="0"/>
          <w:numId w:val="6"/>
        </w:numPr>
        <w:spacing w:line="360" w:lineRule="auto"/>
        <w:ind w:left="720" w:hanging="720"/>
        <w:rPr>
          <w:rFonts w:ascii="宋体" w:hAnsi="宋体"/>
          <w:b/>
          <w:snapToGrid w:val="0"/>
          <w:color w:val="000000"/>
          <w:kern w:val="0"/>
          <w:sz w:val="24"/>
          <w:szCs w:val="24"/>
        </w:rPr>
      </w:pPr>
      <w:r>
        <w:rPr>
          <w:rFonts w:hint="eastAsia" w:ascii="宋体" w:hAnsi="宋体"/>
          <w:b/>
          <w:snapToGrid w:val="0"/>
          <w:color w:val="000000"/>
          <w:kern w:val="0"/>
          <w:sz w:val="24"/>
          <w:szCs w:val="24"/>
        </w:rPr>
        <w:t xml:space="preserve"> 投标货币</w:t>
      </w:r>
    </w:p>
    <w:p>
      <w:pPr>
        <w:pStyle w:val="70"/>
        <w:numPr>
          <w:ilvl w:val="1"/>
          <w:numId w:val="6"/>
        </w:numPr>
        <w:tabs>
          <w:tab w:val="left" w:pos="786"/>
          <w:tab w:val="left" w:pos="900"/>
          <w:tab w:val="clear" w:pos="360"/>
        </w:tabs>
        <w:spacing w:line="360" w:lineRule="auto"/>
        <w:ind w:left="900" w:hanging="900"/>
        <w:rPr>
          <w:rFonts w:ascii="宋体" w:hAnsi="宋体" w:eastAsia="宋体"/>
          <w:color w:val="000000"/>
          <w:sz w:val="24"/>
          <w:szCs w:val="24"/>
        </w:rPr>
      </w:pPr>
      <w:r>
        <w:rPr>
          <w:rFonts w:hint="eastAsia" w:ascii="宋体" w:hAnsi="宋体" w:eastAsia="宋体"/>
          <w:snapToGrid w:val="0"/>
          <w:color w:val="000000"/>
          <w:kern w:val="0"/>
          <w:sz w:val="24"/>
          <w:szCs w:val="24"/>
        </w:rPr>
        <w:t>除非另有规定，投标人提供的所有货物和服务均应</w:t>
      </w:r>
      <w:r>
        <w:rPr>
          <w:rFonts w:hint="eastAsia" w:ascii="宋体" w:hAnsi="宋体" w:eastAsia="宋体"/>
          <w:color w:val="000000"/>
          <w:sz w:val="24"/>
          <w:szCs w:val="24"/>
        </w:rPr>
        <w:t>用人民币报价。</w:t>
      </w:r>
    </w:p>
    <w:p>
      <w:pPr>
        <w:numPr>
          <w:ilvl w:val="0"/>
          <w:numId w:val="6"/>
        </w:numPr>
        <w:spacing w:line="360" w:lineRule="auto"/>
        <w:ind w:left="540" w:hanging="540"/>
        <w:rPr>
          <w:rFonts w:ascii="宋体" w:hAnsi="宋体"/>
          <w:b/>
          <w:color w:val="000000"/>
          <w:sz w:val="24"/>
          <w:szCs w:val="24"/>
        </w:rPr>
      </w:pPr>
      <w:r>
        <w:rPr>
          <w:rFonts w:hint="eastAsia" w:ascii="宋体" w:hAnsi="宋体"/>
          <w:b/>
          <w:color w:val="000000"/>
          <w:sz w:val="24"/>
          <w:szCs w:val="24"/>
        </w:rPr>
        <w:t>证明投标人合格和资格的文件</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依据“招标项目资料表”中的要求按第五章投标文件通用格式提交相应的资格证明文件，作为投标文件的一部分，以证明其有资格进行投标和有能力履行合同。</w:t>
      </w:r>
    </w:p>
    <w:p>
      <w:pPr>
        <w:numPr>
          <w:ilvl w:val="0"/>
          <w:numId w:val="6"/>
        </w:numPr>
        <w:spacing w:line="360" w:lineRule="auto"/>
        <w:ind w:left="540" w:hanging="540"/>
        <w:rPr>
          <w:rFonts w:ascii="宋体" w:hAnsi="宋体"/>
          <w:b/>
          <w:color w:val="000000"/>
          <w:sz w:val="24"/>
          <w:szCs w:val="24"/>
        </w:rPr>
      </w:pPr>
      <w:r>
        <w:rPr>
          <w:rFonts w:hint="eastAsia" w:ascii="宋体" w:hAnsi="宋体"/>
          <w:b/>
          <w:color w:val="000000"/>
          <w:sz w:val="24"/>
          <w:szCs w:val="24"/>
        </w:rPr>
        <w:t xml:space="preserve"> 证明投标货物和服务符合招标文件技术要求的文件</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投标人应提交证明其拟供货物和服务符合招标文件规定的技术响应文件，作为投标文件的一部分。</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在主要设备（产品）规格一览表中应说明货物的品牌型号、规格参数、制造商及原产地等，交货时出具原产地证明及合格出厂证明。</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招标文件中为简述货物品质、基本性能而标示的品牌或型号仅供投标人选择货物在质量、水平上的比照参考，不具有限制性。</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证明文件可以是文字资料、图纸和数据。</w:t>
      </w:r>
    </w:p>
    <w:p>
      <w:pPr>
        <w:numPr>
          <w:ilvl w:val="0"/>
          <w:numId w:val="6"/>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投标保证金</w:t>
      </w:r>
    </w:p>
    <w:p>
      <w:pPr>
        <w:pStyle w:val="70"/>
        <w:numPr>
          <w:ilvl w:val="1"/>
          <w:numId w:val="6"/>
        </w:numPr>
        <w:tabs>
          <w:tab w:val="left" w:pos="786"/>
          <w:tab w:val="left" w:pos="900"/>
          <w:tab w:val="clear" w:pos="360"/>
        </w:tabs>
        <w:spacing w:line="360" w:lineRule="auto"/>
        <w:ind w:left="900" w:hanging="900"/>
        <w:rPr>
          <w:rFonts w:ascii="宋体" w:hAnsi="宋体" w:eastAsia="宋体"/>
          <w:color w:val="000000"/>
          <w:sz w:val="24"/>
          <w:szCs w:val="24"/>
        </w:rPr>
      </w:pPr>
      <w:r>
        <w:rPr>
          <w:rFonts w:hint="eastAsia" w:ascii="宋体" w:hAnsi="宋体" w:eastAsia="宋体"/>
          <w:color w:val="000000"/>
          <w:sz w:val="24"/>
          <w:szCs w:val="24"/>
        </w:rPr>
        <w:t xml:space="preserve"> 本项目不设置投标保证金。</w:t>
      </w:r>
    </w:p>
    <w:p>
      <w:pPr>
        <w:numPr>
          <w:ilvl w:val="0"/>
          <w:numId w:val="6"/>
        </w:numPr>
        <w:spacing w:line="360" w:lineRule="auto"/>
        <w:ind w:left="720" w:hanging="720"/>
        <w:rPr>
          <w:rFonts w:ascii="宋体" w:hAnsi="宋体"/>
          <w:b/>
          <w:color w:val="000000"/>
          <w:sz w:val="24"/>
          <w:szCs w:val="24"/>
        </w:rPr>
      </w:pPr>
      <w:r>
        <w:rPr>
          <w:rFonts w:hint="eastAsia" w:ascii="宋体" w:hAnsi="宋体"/>
          <w:b/>
          <w:color w:val="000000"/>
          <w:sz w:val="24"/>
          <w:szCs w:val="24"/>
        </w:rPr>
        <w:t>投标有效期</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投标文件应自招标文件规定的开标之日起，在“招标项目资料表”规定的时间内保持有效。投标有效期不足的投标将被视为非实质性响应，并予以拒绝。</w:t>
      </w:r>
    </w:p>
    <w:p>
      <w:pPr>
        <w:numPr>
          <w:ilvl w:val="1"/>
          <w:numId w:val="6"/>
        </w:numPr>
        <w:tabs>
          <w:tab w:val="left" w:pos="786"/>
          <w:tab w:val="left" w:pos="900"/>
          <w:tab w:val="clear" w:pos="360"/>
        </w:tabs>
        <w:spacing w:line="360" w:lineRule="auto"/>
        <w:ind w:left="900" w:hanging="900"/>
        <w:rPr>
          <w:rFonts w:ascii="宋体" w:hAnsi="宋体"/>
          <w:color w:val="000000"/>
          <w:sz w:val="24"/>
          <w:szCs w:val="24"/>
        </w:rPr>
      </w:pPr>
      <w:r>
        <w:rPr>
          <w:rFonts w:hint="eastAsia" w:ascii="宋体" w:hAnsi="宋体"/>
          <w:color w:val="000000"/>
          <w:sz w:val="24"/>
          <w:szCs w:val="24"/>
        </w:rPr>
        <w:t xml:space="preserve"> 在特殊情况下，在原投标有效期截止之前，采购人和代理机构可要求投标人延长其投标有效期。这种要求与答复均应以书面形式提交。投标人可以拒绝这种要求，但其投标在原投标有效期期满后将不再有效。</w:t>
      </w:r>
    </w:p>
    <w:p>
      <w:pPr>
        <w:numPr>
          <w:ilvl w:val="0"/>
          <w:numId w:val="6"/>
        </w:numPr>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投标文件的式样和文件签署</w:t>
      </w:r>
    </w:p>
    <w:p>
      <w:pPr>
        <w:spacing w:line="360" w:lineRule="auto"/>
        <w:ind w:left="850" w:hanging="849" w:hangingChars="354"/>
        <w:rPr>
          <w:rFonts w:ascii="宋体" w:hAnsi="宋体"/>
          <w:color w:val="000000"/>
          <w:sz w:val="24"/>
        </w:rPr>
      </w:pPr>
      <w:r>
        <w:rPr>
          <w:rFonts w:hint="eastAsia" w:ascii="宋体" w:hAnsi="宋体"/>
          <w:color w:val="000000"/>
          <w:sz w:val="24"/>
          <w:szCs w:val="24"/>
        </w:rPr>
        <w:t xml:space="preserve">20.1   </w:t>
      </w:r>
      <w:r>
        <w:rPr>
          <w:rFonts w:hint="eastAsia" w:ascii="宋体" w:hAnsi="宋体"/>
          <w:color w:val="000000"/>
          <w:sz w:val="24"/>
        </w:rPr>
        <w:t>投标人须在</w:t>
      </w:r>
      <w:r>
        <w:rPr>
          <w:rFonts w:hint="eastAsia" w:ascii="宋体" w:hAnsi="宋体"/>
          <w:color w:val="000000"/>
          <w:kern w:val="0"/>
          <w:sz w:val="24"/>
          <w:lang w:val="zh-CN"/>
        </w:rPr>
        <w:t>投标文件递交截止时间</w:t>
      </w:r>
      <w:r>
        <w:rPr>
          <w:rFonts w:hint="eastAsia" w:ascii="宋体" w:hAnsi="宋体"/>
          <w:color w:val="000000"/>
          <w:sz w:val="24"/>
        </w:rPr>
        <w:t>前制作并提交投标文件。加密的电子       投标文件（*.hntf 格式）,应在投标文件截止时间前通过“河南省公共资源交易中心（</w:t>
      </w:r>
      <w:r>
        <w:rPr>
          <w:rFonts w:hint="eastAsia" w:ascii="宋体" w:hAnsi="宋体"/>
          <w:bCs/>
          <w:iCs/>
          <w:color w:val="000000"/>
          <w:sz w:val="24"/>
        </w:rPr>
        <w:t>www.hnggzy.com</w:t>
      </w:r>
      <w:r>
        <w:rPr>
          <w:rFonts w:hint="eastAsia" w:ascii="宋体" w:hAnsi="宋体"/>
          <w:color w:val="000000"/>
          <w:sz w:val="24"/>
        </w:rPr>
        <w:t>）”电子交易平台内上传。</w:t>
      </w:r>
    </w:p>
    <w:p>
      <w:pPr>
        <w:spacing w:line="360" w:lineRule="auto"/>
        <w:ind w:left="850" w:hanging="849" w:hangingChars="354"/>
        <w:rPr>
          <w:rFonts w:ascii="宋体" w:hAnsi="宋体"/>
          <w:color w:val="000000"/>
          <w:sz w:val="24"/>
          <w:szCs w:val="24"/>
        </w:rPr>
      </w:pPr>
      <w:r>
        <w:rPr>
          <w:rFonts w:hint="eastAsia" w:ascii="宋体" w:hAnsi="宋体"/>
          <w:color w:val="000000"/>
          <w:sz w:val="24"/>
          <w:szCs w:val="24"/>
        </w:rPr>
        <w:t>20.2   加密的电子投标文件为“河南省公共资源交易中心（</w:t>
      </w:r>
      <w:r>
        <w:fldChar w:fldCharType="begin"/>
      </w:r>
      <w:r>
        <w:instrText xml:space="preserve"> HYPERLINK "http://www.hnggzy.com" </w:instrText>
      </w:r>
      <w:r>
        <w:fldChar w:fldCharType="separate"/>
      </w:r>
      <w:r>
        <w:rPr>
          <w:rFonts w:hint="eastAsia" w:ascii="宋体" w:hAnsi="宋体"/>
          <w:color w:val="000000"/>
          <w:sz w:val="24"/>
          <w:szCs w:val="24"/>
        </w:rPr>
        <w:t>www.hnggzy.com</w:t>
      </w:r>
      <w:r>
        <w:rPr>
          <w:rFonts w:hint="eastAsia" w:ascii="宋体" w:hAnsi="宋体"/>
          <w:color w:val="000000"/>
          <w:sz w:val="24"/>
          <w:szCs w:val="24"/>
        </w:rPr>
        <w:fldChar w:fldCharType="end"/>
      </w:r>
      <w:r>
        <w:rPr>
          <w:rFonts w:hint="eastAsia" w:ascii="宋体" w:hAnsi="宋体"/>
          <w:color w:val="000000"/>
          <w:sz w:val="24"/>
          <w:szCs w:val="24"/>
        </w:rPr>
        <w:t>）” 网站提供的“投标文件制作工具”软件制作生成的加密版投标文件。</w:t>
      </w:r>
    </w:p>
    <w:p>
      <w:pPr>
        <w:tabs>
          <w:tab w:val="left" w:pos="720"/>
        </w:tabs>
        <w:spacing w:line="440" w:lineRule="exact"/>
        <w:ind w:left="720" w:hanging="720" w:hangingChars="300"/>
        <w:rPr>
          <w:rFonts w:ascii="宋体" w:hAnsi="宋体"/>
          <w:color w:val="000000"/>
          <w:sz w:val="24"/>
        </w:rPr>
      </w:pPr>
      <w:r>
        <w:rPr>
          <w:rFonts w:hint="eastAsia" w:ascii="宋体" w:hAnsi="宋体"/>
          <w:color w:val="000000"/>
          <w:sz w:val="24"/>
        </w:rPr>
        <w:t>20.3   投标人在制作电子投标文件时应按照 “河南省公共资源交易中心（www.hnggzy.com）” 网站提供的“投标文件制作工具”及招标文件要求进行电子签章。</w:t>
      </w:r>
    </w:p>
    <w:p>
      <w:pPr>
        <w:spacing w:line="360" w:lineRule="auto"/>
        <w:ind w:left="720" w:hanging="720" w:hangingChars="300"/>
        <w:rPr>
          <w:rFonts w:ascii="宋体" w:hAnsi="宋体"/>
          <w:b/>
          <w:color w:val="000000"/>
          <w:sz w:val="24"/>
        </w:rPr>
      </w:pPr>
      <w:r>
        <w:rPr>
          <w:rFonts w:hint="eastAsia" w:ascii="宋体" w:hAnsi="宋体"/>
          <w:color w:val="000000"/>
          <w:sz w:val="24"/>
        </w:rPr>
        <w:t>20.5  投标文件格式所要求包含的全部资料应全部制作在投标文件内，严格按照本项目招标文件所有格式如实填写（不涉及的内容除外），不应存在漏项或缺项，否则将存在投标文件被拒绝的风险。</w:t>
      </w:r>
      <w:r>
        <w:rPr>
          <w:rFonts w:hint="eastAsia" w:ascii="宋体" w:hAnsi="宋体"/>
          <w:b/>
          <w:color w:val="000000"/>
          <w:sz w:val="24"/>
        </w:rPr>
        <w:t>投标报价一览表，须严格按照格式编辑，并作为电子开评标系统上传的依据。</w:t>
      </w:r>
    </w:p>
    <w:p>
      <w:pPr>
        <w:numPr>
          <w:ilvl w:val="1"/>
          <w:numId w:val="8"/>
        </w:numPr>
        <w:spacing w:line="360" w:lineRule="auto"/>
        <w:rPr>
          <w:rFonts w:ascii="宋体" w:hAnsi="宋体"/>
          <w:color w:val="000000"/>
          <w:sz w:val="24"/>
        </w:rPr>
      </w:pPr>
      <w:r>
        <w:rPr>
          <w:rFonts w:hint="eastAsia" w:ascii="宋体" w:hAnsi="宋体"/>
          <w:color w:val="000000"/>
          <w:sz w:val="24"/>
        </w:rPr>
        <w:t>投标文件以外的任何资料采购人和代理机构将拒收。</w:t>
      </w:r>
    </w:p>
    <w:p>
      <w:pPr>
        <w:tabs>
          <w:tab w:val="left" w:pos="900"/>
        </w:tabs>
        <w:spacing w:line="360" w:lineRule="auto"/>
        <w:ind w:left="850" w:hanging="849" w:hangingChars="354"/>
        <w:rPr>
          <w:rFonts w:ascii="宋体" w:hAnsi="宋体"/>
          <w:b/>
          <w:color w:val="000000"/>
          <w:sz w:val="24"/>
        </w:rPr>
      </w:pPr>
      <w:r>
        <w:rPr>
          <w:rFonts w:hint="eastAsia" w:ascii="宋体" w:hAnsi="宋体"/>
          <w:color w:val="000000"/>
          <w:sz w:val="24"/>
        </w:rPr>
        <w:t xml:space="preserve">20.7   </w:t>
      </w:r>
      <w:r>
        <w:rPr>
          <w:rFonts w:hint="eastAsia" w:ascii="宋体" w:hAnsi="宋体"/>
          <w:b/>
          <w:color w:val="000000"/>
          <w:sz w:val="24"/>
        </w:rPr>
        <w:t>投标人编辑电子投标文件时，根据招标文件要求用CA密钥进行签章制作；最后一步生成电子投标文件（*.hntf格式和*.nhntf格式）时，只能用本单位的企业CA密钥。</w:t>
      </w:r>
    </w:p>
    <w:p>
      <w:pPr>
        <w:pStyle w:val="6"/>
        <w:numPr>
          <w:ilvl w:val="0"/>
          <w:numId w:val="3"/>
        </w:numPr>
        <w:tabs>
          <w:tab w:val="left" w:pos="720"/>
        </w:tabs>
        <w:spacing w:before="0" w:after="0" w:line="360" w:lineRule="auto"/>
        <w:ind w:hanging="720"/>
        <w:rPr>
          <w:rFonts w:ascii="宋体" w:hAnsi="宋体" w:eastAsia="宋体"/>
          <w:color w:val="000000"/>
          <w:sz w:val="24"/>
          <w:szCs w:val="24"/>
        </w:rPr>
      </w:pPr>
      <w:bookmarkStart w:id="23" w:name="_Toc3455"/>
      <w:r>
        <w:rPr>
          <w:rFonts w:hint="eastAsia" w:ascii="宋体" w:hAnsi="宋体" w:eastAsia="宋体"/>
          <w:color w:val="000000"/>
          <w:sz w:val="24"/>
          <w:szCs w:val="24"/>
        </w:rPr>
        <w:t>投标文件的递交</w:t>
      </w:r>
      <w:bookmarkEnd w:id="23"/>
    </w:p>
    <w:p>
      <w:pPr>
        <w:numPr>
          <w:ilvl w:val="0"/>
          <w:numId w:val="9"/>
        </w:numPr>
        <w:tabs>
          <w:tab w:val="left" w:pos="360"/>
          <w:tab w:val="left" w:pos="720"/>
        </w:tabs>
        <w:spacing w:line="360" w:lineRule="auto"/>
        <w:rPr>
          <w:rFonts w:ascii="宋体" w:hAnsi="宋体"/>
          <w:b/>
          <w:color w:val="000000"/>
          <w:sz w:val="24"/>
        </w:rPr>
      </w:pPr>
      <w:r>
        <w:rPr>
          <w:rFonts w:hint="eastAsia" w:ascii="宋体" w:hAnsi="宋体"/>
          <w:b/>
          <w:color w:val="000000"/>
          <w:sz w:val="24"/>
        </w:rPr>
        <w:t>投标文件的递交</w:t>
      </w: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投标人应在投标截止时间前上传加密的电子投标文件（*.hntf）到会员系统的指定位置。上传时必须得到电脑“上传成功”的确认。请投标人在上传时认真检查上传投标文件是否完整、正确。</w:t>
      </w: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投标人因交易中心投标系统问题无法上传电子投标文件时，请在工作时间与河南省公共资源交易中心联系，联系电话：0371-86095959。</w:t>
      </w:r>
    </w:p>
    <w:p>
      <w:pPr>
        <w:tabs>
          <w:tab w:val="left" w:pos="360"/>
          <w:tab w:val="left" w:pos="720"/>
        </w:tabs>
        <w:spacing w:line="360" w:lineRule="auto"/>
        <w:ind w:left="723" w:hanging="723" w:hangingChars="300"/>
        <w:rPr>
          <w:rFonts w:ascii="宋体" w:hAnsi="宋体"/>
          <w:b/>
          <w:color w:val="000000"/>
          <w:sz w:val="24"/>
        </w:rPr>
      </w:pPr>
      <w:r>
        <w:rPr>
          <w:rFonts w:hint="eastAsia" w:ascii="宋体" w:hAnsi="宋体"/>
          <w:b/>
          <w:color w:val="000000"/>
          <w:sz w:val="24"/>
        </w:rPr>
        <w:t>22   投标截止期</w:t>
      </w:r>
    </w:p>
    <w:p>
      <w:pPr>
        <w:tabs>
          <w:tab w:val="left" w:pos="360"/>
          <w:tab w:val="left" w:pos="720"/>
          <w:tab w:val="left" w:pos="1185"/>
        </w:tabs>
        <w:spacing w:line="360" w:lineRule="auto"/>
        <w:ind w:left="600" w:hanging="600" w:hangingChars="250"/>
        <w:rPr>
          <w:rFonts w:ascii="宋体" w:hAnsi="宋体"/>
          <w:color w:val="000000"/>
          <w:sz w:val="24"/>
        </w:rPr>
      </w:pPr>
      <w:r>
        <w:rPr>
          <w:rFonts w:hint="eastAsia" w:ascii="宋体" w:hAnsi="宋体"/>
          <w:color w:val="000000"/>
          <w:sz w:val="24"/>
        </w:rPr>
        <w:t>22.1 投标人应在不迟于“招标项目资料表”中规定的截止日期和时间将投标文件在河南省公共资源交易中心交易系统中加密上传。。</w:t>
      </w:r>
    </w:p>
    <w:p>
      <w:pPr>
        <w:tabs>
          <w:tab w:val="left" w:pos="360"/>
          <w:tab w:val="left" w:pos="720"/>
          <w:tab w:val="left" w:pos="1185"/>
        </w:tabs>
        <w:spacing w:line="360" w:lineRule="auto"/>
        <w:ind w:left="600" w:hanging="600" w:hangingChars="250"/>
        <w:rPr>
          <w:rFonts w:ascii="宋体" w:hAnsi="宋体"/>
          <w:color w:val="000000"/>
          <w:sz w:val="24"/>
        </w:rPr>
      </w:pPr>
      <w:r>
        <w:rPr>
          <w:rFonts w:hint="eastAsia" w:ascii="宋体" w:hAnsi="宋体"/>
          <w:color w:val="000000"/>
          <w:sz w:val="24"/>
        </w:rPr>
        <w:t>22.2 采购人和交易中心/代理机构可以按第11条规定，通过修改招标文件自行决定酌情延长投标截止期限。</w:t>
      </w:r>
    </w:p>
    <w:p>
      <w:pPr>
        <w:tabs>
          <w:tab w:val="left" w:pos="360"/>
          <w:tab w:val="left" w:pos="720"/>
        </w:tabs>
        <w:spacing w:line="360" w:lineRule="auto"/>
        <w:rPr>
          <w:rFonts w:ascii="宋体" w:hAnsi="宋体"/>
          <w:b/>
          <w:color w:val="000000"/>
          <w:sz w:val="24"/>
        </w:rPr>
      </w:pPr>
      <w:r>
        <w:rPr>
          <w:rFonts w:hint="eastAsia" w:ascii="宋体" w:hAnsi="宋体"/>
          <w:b/>
          <w:color w:val="000000"/>
          <w:sz w:val="24"/>
        </w:rPr>
        <w:t>23   迟交的投标文件</w:t>
      </w:r>
    </w:p>
    <w:p>
      <w:pPr>
        <w:pStyle w:val="3"/>
        <w:tabs>
          <w:tab w:val="left" w:pos="360"/>
          <w:tab w:val="left" w:pos="720"/>
        </w:tabs>
        <w:spacing w:line="360" w:lineRule="auto"/>
        <w:ind w:left="720" w:hanging="720" w:hangingChars="300"/>
        <w:rPr>
          <w:rFonts w:ascii="宋体" w:hAnsi="宋体"/>
          <w:color w:val="000000"/>
          <w:sz w:val="24"/>
        </w:rPr>
      </w:pPr>
      <w:r>
        <w:rPr>
          <w:rFonts w:hint="eastAsia" w:ascii="宋体" w:hAnsi="宋体"/>
          <w:color w:val="000000"/>
          <w:sz w:val="24"/>
        </w:rPr>
        <w:t>23.1  交易中心/代理机构将拒绝接受在规定的投标截止期后递交的投标文件。</w:t>
      </w:r>
    </w:p>
    <w:p>
      <w:pPr>
        <w:tabs>
          <w:tab w:val="left" w:pos="360"/>
          <w:tab w:val="left" w:pos="720"/>
        </w:tabs>
        <w:spacing w:line="360" w:lineRule="auto"/>
        <w:rPr>
          <w:rFonts w:ascii="宋体" w:hAnsi="宋体"/>
          <w:b/>
          <w:color w:val="000000"/>
          <w:sz w:val="24"/>
        </w:rPr>
      </w:pPr>
      <w:r>
        <w:rPr>
          <w:rFonts w:hint="eastAsia" w:ascii="宋体" w:hAnsi="宋体"/>
          <w:b/>
          <w:color w:val="000000"/>
          <w:sz w:val="24"/>
        </w:rPr>
        <w:t>24   投标文件的修改和撤回</w:t>
      </w:r>
    </w:p>
    <w:p>
      <w:pPr>
        <w:pStyle w:val="3"/>
        <w:tabs>
          <w:tab w:val="left" w:pos="360"/>
          <w:tab w:val="left" w:pos="720"/>
        </w:tabs>
        <w:adjustRightInd w:val="0"/>
        <w:spacing w:line="360" w:lineRule="auto"/>
        <w:ind w:left="840" w:hanging="840" w:hangingChars="350"/>
        <w:jc w:val="left"/>
        <w:rPr>
          <w:rFonts w:ascii="宋体" w:hAnsi="宋体"/>
          <w:color w:val="000000"/>
          <w:sz w:val="24"/>
        </w:rPr>
      </w:pPr>
      <w:r>
        <w:rPr>
          <w:rFonts w:hint="eastAsia" w:ascii="宋体" w:hAnsi="宋体"/>
          <w:color w:val="000000"/>
          <w:sz w:val="24"/>
        </w:rPr>
        <w:t>24.1   投标人在递交投标文件后，在投标截止时间之前可以修改或撤回其投标文件，但投标人必须在投标截止时间之前。在投标截止时间后，投标人不得再要求修改或撤回其投标文件。</w:t>
      </w:r>
    </w:p>
    <w:p>
      <w:pPr>
        <w:pStyle w:val="3"/>
        <w:tabs>
          <w:tab w:val="left" w:pos="360"/>
          <w:tab w:val="left" w:pos="720"/>
        </w:tabs>
        <w:adjustRightInd w:val="0"/>
        <w:spacing w:line="360" w:lineRule="auto"/>
        <w:ind w:left="840" w:hanging="840" w:hangingChars="350"/>
        <w:jc w:val="left"/>
        <w:rPr>
          <w:rFonts w:ascii="宋体" w:hAnsi="宋体"/>
          <w:color w:val="000000"/>
          <w:sz w:val="24"/>
        </w:rPr>
      </w:pPr>
      <w:r>
        <w:rPr>
          <w:rFonts w:hint="eastAsia" w:ascii="宋体" w:hAnsi="宋体"/>
          <w:color w:val="000000"/>
          <w:sz w:val="24"/>
        </w:rPr>
        <w:t>24.2   从投标截止期至投标人在投标文件中载明的投标有效期满期间，投标人不得撤回其投标。</w:t>
      </w:r>
    </w:p>
    <w:p>
      <w:pPr>
        <w:pStyle w:val="6"/>
        <w:numPr>
          <w:ilvl w:val="0"/>
          <w:numId w:val="3"/>
        </w:numPr>
        <w:tabs>
          <w:tab w:val="left" w:pos="720"/>
        </w:tabs>
        <w:spacing w:before="0" w:after="0" w:line="360" w:lineRule="auto"/>
        <w:rPr>
          <w:rFonts w:ascii="宋体" w:hAnsi="宋体" w:eastAsia="宋体"/>
          <w:color w:val="000000"/>
          <w:sz w:val="24"/>
          <w:szCs w:val="24"/>
        </w:rPr>
      </w:pPr>
      <w:bookmarkStart w:id="24" w:name="_Toc13905"/>
      <w:r>
        <w:rPr>
          <w:rFonts w:hint="eastAsia" w:ascii="宋体" w:hAnsi="宋体" w:eastAsia="宋体"/>
          <w:color w:val="000000"/>
          <w:sz w:val="24"/>
          <w:szCs w:val="24"/>
        </w:rPr>
        <w:t>开标与评标</w:t>
      </w:r>
      <w:bookmarkEnd w:id="24"/>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开标</w:t>
      </w:r>
    </w:p>
    <w:p>
      <w:pPr>
        <w:pStyle w:val="129"/>
        <w:numPr>
          <w:ilvl w:val="0"/>
          <w:numId w:val="9"/>
        </w:numPr>
        <w:spacing w:line="360" w:lineRule="auto"/>
        <w:ind w:firstLineChars="0"/>
        <w:rPr>
          <w:rFonts w:ascii="宋体" w:hAnsi="宋体"/>
          <w:vanish/>
          <w:color w:val="000000"/>
          <w:kern w:val="2"/>
          <w:sz w:val="24"/>
          <w:szCs w:val="22"/>
        </w:rPr>
      </w:pPr>
    </w:p>
    <w:p>
      <w:pPr>
        <w:pStyle w:val="129"/>
        <w:numPr>
          <w:ilvl w:val="0"/>
          <w:numId w:val="9"/>
        </w:numPr>
        <w:spacing w:line="360" w:lineRule="auto"/>
        <w:ind w:firstLineChars="0"/>
        <w:rPr>
          <w:rFonts w:ascii="宋体" w:hAnsi="宋体"/>
          <w:vanish/>
          <w:color w:val="000000"/>
          <w:kern w:val="2"/>
          <w:sz w:val="24"/>
          <w:szCs w:val="22"/>
        </w:rPr>
      </w:pPr>
    </w:p>
    <w:p>
      <w:pPr>
        <w:pStyle w:val="129"/>
        <w:numPr>
          <w:ilvl w:val="0"/>
          <w:numId w:val="9"/>
        </w:numPr>
        <w:spacing w:line="360" w:lineRule="auto"/>
        <w:ind w:firstLineChars="0"/>
        <w:rPr>
          <w:rFonts w:ascii="宋体" w:hAnsi="宋体"/>
          <w:vanish/>
          <w:color w:val="000000"/>
          <w:kern w:val="2"/>
          <w:sz w:val="24"/>
          <w:szCs w:val="22"/>
        </w:rPr>
      </w:pPr>
    </w:p>
    <w:p>
      <w:pPr>
        <w:pStyle w:val="129"/>
        <w:numPr>
          <w:ilvl w:val="0"/>
          <w:numId w:val="9"/>
        </w:numPr>
        <w:spacing w:line="360" w:lineRule="auto"/>
        <w:ind w:firstLineChars="0"/>
        <w:rPr>
          <w:rFonts w:ascii="宋体" w:hAnsi="宋体"/>
          <w:vanish/>
          <w:color w:val="000000"/>
          <w:kern w:val="2"/>
          <w:sz w:val="24"/>
          <w:szCs w:val="22"/>
        </w:rPr>
      </w:pP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代理机构在“招标项目资料表”中规定的日期、时间和地点组织公开开标。</w:t>
      </w:r>
    </w:p>
    <w:p>
      <w:pPr>
        <w:numPr>
          <w:ilvl w:val="1"/>
          <w:numId w:val="9"/>
        </w:numPr>
        <w:spacing w:line="360" w:lineRule="auto"/>
        <w:ind w:left="851" w:hanging="851"/>
        <w:rPr>
          <w:rFonts w:ascii="宋体" w:hAnsi="宋体"/>
          <w:color w:val="000000"/>
          <w:sz w:val="24"/>
        </w:rPr>
      </w:pPr>
      <w:r>
        <w:rPr>
          <w:rFonts w:ascii="宋体" w:hAnsi="宋体"/>
          <w:color w:val="000000"/>
          <w:sz w:val="24"/>
        </w:rPr>
        <w:t xml:space="preserve">河南省公共资源交易中心现采用“远程不见面”开标方式，投标人须提前进入远程开标大厅（http://www.hnggzy.com/）进行开标操作和投标文件的解密。 </w:t>
      </w: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投标人如未在招标文件规定的投标文件递交截止时间前成功上传或误传         加密的投标文件的，或在交易系统规定的解密时间未能成功解密上传的电子投标文件的，其投标将被拒绝。</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评标工作</w:t>
      </w:r>
    </w:p>
    <w:p>
      <w:pPr>
        <w:pStyle w:val="129"/>
        <w:numPr>
          <w:ilvl w:val="0"/>
          <w:numId w:val="9"/>
        </w:numPr>
        <w:tabs>
          <w:tab w:val="left" w:pos="900"/>
        </w:tabs>
        <w:spacing w:line="360" w:lineRule="auto"/>
        <w:ind w:firstLineChars="0"/>
        <w:rPr>
          <w:rFonts w:ascii="宋体" w:hAnsi="宋体"/>
          <w:vanish/>
          <w:color w:val="000000"/>
          <w:kern w:val="2"/>
          <w:sz w:val="24"/>
          <w:szCs w:val="22"/>
        </w:rPr>
      </w:pP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评标工作由评标委员会（下称评委会）主持对所有资格性审查合格的投标人的投标文件进行审评，并按综合评分由高到低的顺序推荐出“招标项目资料表”中载明数量的中标候选人。</w:t>
      </w:r>
    </w:p>
    <w:p>
      <w:pPr>
        <w:numPr>
          <w:ilvl w:val="1"/>
          <w:numId w:val="9"/>
        </w:numPr>
        <w:spacing w:line="360" w:lineRule="auto"/>
        <w:ind w:left="851" w:hanging="851"/>
        <w:rPr>
          <w:rFonts w:ascii="宋体" w:hAnsi="宋体"/>
          <w:color w:val="000000"/>
          <w:sz w:val="24"/>
        </w:rPr>
      </w:pPr>
      <w:r>
        <w:rPr>
          <w:rFonts w:hint="eastAsia" w:ascii="宋体" w:hAnsi="宋体"/>
          <w:color w:val="000000"/>
          <w:sz w:val="24"/>
        </w:rPr>
        <w:t>评委会成员为5人及以上单数经济、技术专家和采购人代表组成，其中除采购人代表以外的外聘专家不少于三分之二，并按政府采购制度的规定从政府采购专家库中随机抽取。</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投标文件的澄清</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27.1 为了有助于对投标文件进行审查、评估和比较，评委会有权向投标人质疑，请投标人澄清其投标内容。投标人有责任按照采购代理机构通知的时间、地点、方式由投标人或其授权代表进行答疑和澄清。</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27.2 重要澄清的答复应是书面的，并由投标人法定代表人或其委托代理人签字。</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27.3 投标人的澄清文件是投标文件的组成部分，并取代投标文件中被澄清的部分。</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27.4 投标文件的澄清不得对投标内容进行实质性修改。</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投标文件的初审</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28.1 评委会将审查投标文件是否完整、总体编排是否有序、文件签署是否合格、投标人有无计算上的错误等。</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28.2 算术错误将按以下方法更正：若单价计算的结果与总价不一致，以单价为准修改总价；若文字表示的数值与数字表示的数值不一致，以文字表示的数值为准。若投标人不接受对其错误的更正，其投标将被拒绝。</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28.3 允许修正投标文件中不构成重大偏离的、微小的、非正规的、不一致或不规则的地方。</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28.4 在对投标文件进行详细评估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代理机构、采购人的权力和投标人的义务的规定，而纠正这些偏离将影响到任何提交实质性响应投标的投标人的公平竞争地位。</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28.5 评委会判断投标文件的响应性仅基于投标文件本身内容而不靠外部证据。</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28.6投标报价超出采购人预算的投标将会被拒绝。</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28.7实质上没有响应招标文件要求的投标将被拒绝，投标人不得通过修正或撤消不符之处而使其投标成为实质上响应投标。</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28.8评标中有下列情形之一的，其投标将会被拒绝：</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rPr>
        <w:t>投标人未按招标文件要求的格式电子签章的；</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投标有效期不足的；</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不满足技术规格中主要（实质性）参数和超出偏差范围的；</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投标文件中载明的标准和方法等不符合招标文件的要求；</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投标文件附有采购人不能接受的条件；</w:t>
      </w:r>
    </w:p>
    <w:p>
      <w:pPr>
        <w:numPr>
          <w:ilvl w:val="2"/>
          <w:numId w:val="11"/>
        </w:numPr>
        <w:tabs>
          <w:tab w:val="left" w:pos="900"/>
          <w:tab w:val="left" w:pos="1260"/>
          <w:tab w:val="left" w:pos="1440"/>
          <w:tab w:val="clear" w:pos="1200"/>
        </w:tabs>
        <w:spacing w:line="360" w:lineRule="auto"/>
        <w:ind w:left="900" w:firstLine="0"/>
        <w:rPr>
          <w:rFonts w:ascii="宋体" w:hAnsi="宋体"/>
          <w:color w:val="000000"/>
          <w:sz w:val="24"/>
          <w:szCs w:val="24"/>
        </w:rPr>
      </w:pPr>
      <w:r>
        <w:rPr>
          <w:rFonts w:hint="eastAsia" w:ascii="宋体" w:hAnsi="宋体"/>
          <w:sz w:val="24"/>
          <w:szCs w:val="24"/>
        </w:rPr>
        <w:t>同一标段中投标人投标文件制作机器码一致的；</w:t>
      </w:r>
    </w:p>
    <w:p>
      <w:pPr>
        <w:numPr>
          <w:ilvl w:val="2"/>
          <w:numId w:val="11"/>
        </w:numPr>
        <w:tabs>
          <w:tab w:val="left" w:pos="900"/>
          <w:tab w:val="left" w:pos="1260"/>
          <w:tab w:val="left" w:pos="1440"/>
          <w:tab w:val="left" w:pos="1620"/>
          <w:tab w:val="clear" w:pos="1200"/>
        </w:tabs>
        <w:spacing w:line="360" w:lineRule="auto"/>
        <w:ind w:left="900" w:firstLine="0"/>
        <w:rPr>
          <w:rFonts w:ascii="宋体" w:hAnsi="宋体"/>
          <w:color w:val="000000"/>
          <w:sz w:val="24"/>
          <w:szCs w:val="24"/>
        </w:rPr>
      </w:pPr>
      <w:r>
        <w:rPr>
          <w:rFonts w:hint="eastAsia" w:ascii="宋体" w:hAnsi="宋体"/>
          <w:color w:val="000000"/>
          <w:sz w:val="24"/>
          <w:szCs w:val="24"/>
        </w:rPr>
        <w:t>不符合招标文件中规定的其他实质性要求。</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投标的评价</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29.1评委会只对已判定为实质性响应的投标文件进行评价和比较。</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29.2计算评标总价时，以货物到达采购人指定的目的地交货价为标准，其中已包含各种税费、运费及保险费、运杂费、以及伴随的其它服务费。</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29.3评委会在评标时，除根据考虑投标人的报价外，还将考虑量化 “招标项目资料表”和技术规格中规定的其它评标因素。</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最终评标价的确定</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30.1对于投标人为监狱企业、残疾人福利性单位、小型和微型企业及其投标产品为小型和微型企业生产的，将以扣除优惠比率后的报价参与价格评议，但不作为中标价和合同签约价。中标价和合同签约价仍以其投标文件中的一次报价为准。</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30.2 监狱企业、残疾人福利性单位、小型和微型企业产品价格给予扣除标准：</w:t>
      </w:r>
    </w:p>
    <w:p>
      <w:pPr>
        <w:spacing w:line="360" w:lineRule="auto"/>
        <w:ind w:left="599" w:leftChars="228" w:hanging="120" w:hangingChars="50"/>
        <w:rPr>
          <w:rFonts w:ascii="宋体" w:hAnsi="宋体"/>
          <w:color w:val="000000"/>
          <w:sz w:val="24"/>
          <w:szCs w:val="24"/>
        </w:rPr>
      </w:pPr>
      <w:r>
        <w:rPr>
          <w:rFonts w:hint="eastAsia" w:ascii="宋体" w:hAnsi="宋体"/>
          <w:color w:val="000000"/>
          <w:sz w:val="24"/>
          <w:szCs w:val="24"/>
        </w:rPr>
        <w:t>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 xml:space="preserve">     根据《财政部 司法部关于政府采购支持监狱企业发展有关问题的通知》(财库〔2014〕68号)的规定，提供由省级以上监狱管理局、戒毒管理局（含新疆生产建设兵团）出具的属于监狱企业的证明文件的，监狱企业视同小型、微型企业。</w:t>
      </w:r>
    </w:p>
    <w:p>
      <w:pPr>
        <w:spacing w:line="360" w:lineRule="auto"/>
        <w:ind w:left="598" w:leftChars="285"/>
        <w:rPr>
          <w:rFonts w:ascii="宋体" w:hAnsi="宋体"/>
          <w:color w:val="000000"/>
          <w:sz w:val="24"/>
          <w:szCs w:val="24"/>
        </w:rPr>
      </w:pPr>
      <w:r>
        <w:rPr>
          <w:rFonts w:hint="eastAsia" w:ascii="宋体" w:hAnsi="宋体"/>
          <w:color w:val="000000"/>
          <w:sz w:val="24"/>
        </w:rPr>
        <w:t>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保密及其它注意事项</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31.1评标是招标工作的重要环节，评标工作在评委会内独立进行。</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31.2评委会将遵照规定的评标方法，公正、平等地对待所有投标人。</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31.3在开标、评标期间，投标人不得向评委询问评标情况，不得进行旨在影响评标结果的活动。否则，其投标可能被拒绝。</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31.4为保证评标的公正性，开标后直至授予投标人合同，评委不得与投标人私下交换意见。</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31.5在评标工作结束后，凡与评标情况有接触的任何人不得擅自将评标情况扩散出评标人员之外。</w:t>
      </w:r>
    </w:p>
    <w:p>
      <w:pPr>
        <w:pStyle w:val="6"/>
        <w:numPr>
          <w:ilvl w:val="0"/>
          <w:numId w:val="3"/>
        </w:numPr>
        <w:tabs>
          <w:tab w:val="left" w:pos="721"/>
        </w:tabs>
        <w:spacing w:before="0" w:after="0" w:line="360" w:lineRule="auto"/>
        <w:rPr>
          <w:rFonts w:ascii="宋体" w:hAnsi="宋体" w:eastAsia="宋体"/>
          <w:color w:val="000000"/>
          <w:sz w:val="24"/>
          <w:szCs w:val="24"/>
        </w:rPr>
      </w:pPr>
      <w:bookmarkStart w:id="25" w:name="_Toc2645"/>
      <w:r>
        <w:rPr>
          <w:rFonts w:hint="eastAsia" w:ascii="宋体" w:hAnsi="宋体" w:eastAsia="宋体"/>
          <w:color w:val="000000"/>
          <w:sz w:val="24"/>
          <w:szCs w:val="24"/>
        </w:rPr>
        <w:t>授予合同</w:t>
      </w:r>
      <w:bookmarkEnd w:id="25"/>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合同授予标准</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32.1采购人和代理机构将把合同授予被确定为实质上响应招标文件要求并有履行合同能力的评分最高的投标人。</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授标时更改采购货物和服务数量的权力</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33.1采购人和代理机构在授予合同时有权在“招标项目资料表”规定的范围内，对招标文件中规定的设备和服务的数量予以增加或减少，但不得对货物、单价或其它的条款和条件做任何改变。</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评标结果的公告</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34.1采购人或者代理机构应当自中标、成交供应商确定之日起2个工作日内，发出中标、成交通知书，并在</w:t>
      </w:r>
      <w:r>
        <w:fldChar w:fldCharType="begin"/>
      </w:r>
      <w:r>
        <w:instrText xml:space="preserve"> HYPERLINK "http://www.ccgp-henan.gov.cn)和河南省政府采购网河南省公共资源交易网" </w:instrText>
      </w:r>
      <w:r>
        <w:fldChar w:fldCharType="separate"/>
      </w:r>
      <w:r>
        <w:rPr>
          <w:rFonts w:hint="eastAsia" w:ascii="宋体" w:hAnsi="宋体"/>
          <w:color w:val="000000"/>
          <w:sz w:val="24"/>
          <w:szCs w:val="24"/>
        </w:rPr>
        <w:t>河南省政府采购网（www.hngp.gov.cn）和河南省公共资源交易门户网</w:t>
      </w:r>
      <w:r>
        <w:rPr>
          <w:rFonts w:hint="eastAsia" w:ascii="宋体" w:hAnsi="宋体"/>
          <w:color w:val="000000"/>
          <w:sz w:val="24"/>
          <w:szCs w:val="24"/>
        </w:rPr>
        <w:fldChar w:fldCharType="end"/>
      </w:r>
      <w:r>
        <w:rPr>
          <w:rFonts w:hint="eastAsia" w:ascii="宋体" w:hAnsi="宋体"/>
          <w:color w:val="000000"/>
          <w:sz w:val="24"/>
          <w:szCs w:val="24"/>
        </w:rPr>
        <w:t>（www.hnggzy.com）上公告中标、成交结果。</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34.2投标人若对评标结果有疑问，有权按照相关文件规定的程序进行投诉和质疑，但须对投诉和质疑内容的真实性承担责任。</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接受和拒绝任何或所有投标的权力</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35.1如出现重大变故，采购任务取消情况，采购人和采购代理机构保留因此原因在授标之前任何时候接受或拒绝任何投标、以及宣布招标无效或拒绝所有投标的权力，对受影响的投标人不承担任何责任。</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中标通知书</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36.1 在投标有效期满之前，采购代理机构将以书面形式通知中标人中标。</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36.2 中标通知书将作为进行合同谈判和签订合同的依据。</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签订合同</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37.1中标人应按中标通知书指定的时间、地点，与采购人进行合同谈判。</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37.2招标文件、中标人的投标文件和澄清文件等，均应作为签约的合同文本的基础。</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37.3如采购人或中标人拒签合同，则由政府采购管理部门依据政府采购法规制度的规定对违约方做出行政处罚。</w:t>
      </w:r>
    </w:p>
    <w:p>
      <w:pPr>
        <w:tabs>
          <w:tab w:val="left" w:pos="360"/>
        </w:tabs>
        <w:spacing w:line="360" w:lineRule="auto"/>
        <w:ind w:left="600" w:hanging="600" w:hangingChars="250"/>
        <w:rPr>
          <w:rFonts w:ascii="宋体" w:hAnsi="宋体"/>
          <w:color w:val="000000"/>
          <w:sz w:val="24"/>
          <w:szCs w:val="24"/>
        </w:rPr>
      </w:pPr>
      <w:r>
        <w:rPr>
          <w:rFonts w:hint="eastAsia" w:ascii="宋体" w:hAnsi="宋体"/>
          <w:color w:val="000000"/>
          <w:sz w:val="24"/>
          <w:szCs w:val="24"/>
        </w:rPr>
        <w:t>37.4如中标人不按约定谈签合同，采购人和采购代理机构将报请取消其中标决定。采购人和采购代理机构可在候选中标单位中按顺序重新选定中标单位。</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履约保证金</w:t>
      </w:r>
    </w:p>
    <w:p>
      <w:pPr>
        <w:spacing w:line="360" w:lineRule="auto"/>
        <w:ind w:left="600" w:hanging="600" w:hangingChars="250"/>
        <w:rPr>
          <w:rFonts w:ascii="宋体" w:hAnsi="宋体"/>
          <w:color w:val="000000"/>
          <w:sz w:val="24"/>
          <w:szCs w:val="24"/>
        </w:rPr>
      </w:pPr>
      <w:r>
        <w:rPr>
          <w:rFonts w:hint="eastAsia" w:ascii="宋体" w:hAnsi="宋体"/>
          <w:color w:val="000000"/>
          <w:sz w:val="24"/>
          <w:szCs w:val="24"/>
        </w:rPr>
        <w:t xml:space="preserve">38.1中标人应按照招标文件或合同条款的规定，采用招标文件中提供的履约保函格式、政府采购履约担保函格式或采购人可以接受的其他形式向采购人提交履约保证金。 </w:t>
      </w:r>
    </w:p>
    <w:p>
      <w:pPr>
        <w:numPr>
          <w:ilvl w:val="0"/>
          <w:numId w:val="10"/>
        </w:numPr>
        <w:tabs>
          <w:tab w:val="left" w:pos="360"/>
          <w:tab w:val="left" w:pos="720"/>
        </w:tabs>
        <w:spacing w:line="360" w:lineRule="auto"/>
        <w:ind w:left="720" w:hanging="720"/>
        <w:rPr>
          <w:rFonts w:ascii="宋体" w:hAnsi="宋体"/>
          <w:b/>
          <w:color w:val="000000"/>
          <w:sz w:val="24"/>
          <w:szCs w:val="24"/>
        </w:rPr>
      </w:pPr>
      <w:r>
        <w:rPr>
          <w:rFonts w:hint="eastAsia" w:ascii="宋体" w:hAnsi="宋体"/>
          <w:b/>
          <w:color w:val="000000"/>
          <w:sz w:val="24"/>
          <w:szCs w:val="24"/>
        </w:rPr>
        <w:t xml:space="preserve"> 其他</w:t>
      </w:r>
    </w:p>
    <w:p>
      <w:pPr>
        <w:spacing w:line="360" w:lineRule="auto"/>
        <w:ind w:left="600" w:hanging="600" w:hangingChars="250"/>
        <w:rPr>
          <w:rFonts w:ascii="宋体" w:hAnsi="宋体"/>
          <w:b/>
          <w:color w:val="000000"/>
          <w:sz w:val="24"/>
          <w:szCs w:val="24"/>
        </w:rPr>
      </w:pPr>
      <w:r>
        <w:rPr>
          <w:rFonts w:hint="eastAsia" w:ascii="宋体" w:hAnsi="宋体"/>
          <w:color w:val="000000"/>
          <w:sz w:val="24"/>
          <w:szCs w:val="24"/>
        </w:rPr>
        <w:t xml:space="preserve">39.1 </w:t>
      </w:r>
      <w:r>
        <w:rPr>
          <w:rFonts w:hint="eastAsia" w:ascii="宋体"/>
          <w:color w:val="000000"/>
          <w:sz w:val="24"/>
        </w:rPr>
        <w:t>如果中标人未按上述规定执行，在此情况下，招标代理机构和采购人可将该标授予下一个评标得分高的投标人，或重新招标。</w:t>
      </w:r>
    </w:p>
    <w:p>
      <w:pPr>
        <w:pStyle w:val="51"/>
        <w:tabs>
          <w:tab w:val="left" w:pos="720"/>
        </w:tabs>
        <w:spacing w:line="360" w:lineRule="auto"/>
        <w:textAlignment w:val="baseline"/>
        <w:rPr>
          <w:rFonts w:ascii="宋体" w:hAnsi="宋体"/>
          <w:color w:val="000000"/>
          <w:sz w:val="24"/>
          <w:szCs w:val="24"/>
        </w:rPr>
      </w:pPr>
      <w:r>
        <w:rPr>
          <w:rFonts w:hint="eastAsia" w:ascii="宋体" w:hAnsi="宋体"/>
          <w:color w:val="000000"/>
          <w:sz w:val="24"/>
          <w:szCs w:val="24"/>
        </w:rPr>
        <w:t>39.2 本招标文件由河南招标采购服务有限公司负责解释。</w:t>
      </w:r>
    </w:p>
    <w:p>
      <w:pPr>
        <w:rPr>
          <w:rFonts w:ascii="宋体" w:hAnsi="宋体"/>
          <w:color w:val="000000"/>
        </w:rPr>
      </w:pPr>
    </w:p>
    <w:p>
      <w:pPr>
        <w:jc w:val="center"/>
        <w:rPr>
          <w:rFonts w:ascii="宋体" w:hAnsi="宋体"/>
          <w:color w:val="000000"/>
        </w:rPr>
      </w:pPr>
      <w:r>
        <w:rPr>
          <w:rFonts w:hint="eastAsia" w:ascii="宋体" w:hAnsi="宋体"/>
          <w:color w:val="000000"/>
        </w:rPr>
        <w:br w:type="page"/>
      </w:r>
    </w:p>
    <w:p>
      <w:pPr>
        <w:pStyle w:val="5"/>
      </w:pPr>
      <w:bookmarkStart w:id="26" w:name="_Toc8782"/>
      <w:r>
        <w:rPr>
          <w:rFonts w:hint="eastAsia"/>
        </w:rPr>
        <w:t>第三章  合同通用条款</w:t>
      </w:r>
      <w:bookmarkEnd w:id="26"/>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27" w:name="_Toc24582"/>
      <w:r>
        <w:rPr>
          <w:rFonts w:hint="eastAsia" w:ascii="宋体" w:hAnsi="宋体" w:eastAsia="宋体"/>
          <w:color w:val="000000"/>
          <w:sz w:val="24"/>
          <w:szCs w:val="24"/>
        </w:rPr>
        <w:t>适用性</w:t>
      </w:r>
      <w:bookmarkEnd w:id="27"/>
    </w:p>
    <w:p>
      <w:pPr>
        <w:spacing w:line="360" w:lineRule="auto"/>
        <w:rPr>
          <w:rFonts w:ascii="宋体" w:hAnsi="宋体"/>
          <w:color w:val="000000"/>
          <w:sz w:val="24"/>
          <w:szCs w:val="24"/>
        </w:rPr>
      </w:pPr>
      <w:r>
        <w:rPr>
          <w:rFonts w:hint="eastAsia" w:ascii="宋体" w:hAnsi="宋体"/>
          <w:color w:val="000000"/>
          <w:sz w:val="24"/>
          <w:szCs w:val="24"/>
        </w:rPr>
        <w:t>1.1  本合同条款适用于没有被本合同其他部分的条款所取代的范围。</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28" w:name="_Toc4328"/>
      <w:r>
        <w:rPr>
          <w:rFonts w:hint="eastAsia" w:ascii="宋体" w:hAnsi="宋体" w:eastAsia="宋体"/>
          <w:color w:val="000000"/>
          <w:sz w:val="24"/>
          <w:szCs w:val="24"/>
        </w:rPr>
        <w:t>定义</w:t>
      </w:r>
      <w:bookmarkEnd w:id="28"/>
    </w:p>
    <w:p>
      <w:pPr>
        <w:spacing w:line="360" w:lineRule="auto"/>
        <w:rPr>
          <w:rFonts w:ascii="宋体" w:hAnsi="宋体"/>
          <w:color w:val="000000"/>
          <w:sz w:val="24"/>
          <w:szCs w:val="24"/>
        </w:rPr>
      </w:pPr>
      <w:r>
        <w:rPr>
          <w:rFonts w:hint="eastAsia" w:ascii="宋体" w:hAnsi="宋体"/>
          <w:color w:val="000000"/>
          <w:sz w:val="24"/>
          <w:szCs w:val="24"/>
        </w:rPr>
        <w:t>2.1  本文件和附件中所用下列名词的含义在此予以确定。</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“需方”是指“合同专用条款资料表”中指明的采购需要货物和服务的单位，包括该法人的法定代表人、法人的继任方和法人的受让方。</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“供方”是指提供本合同项下货物和服务的公司或其他实体，包括该法人的法定代表人、法人的继任方和法人的受让方。</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“付款人”是指在本合同项下向供方支付合同货物资金款的票据台头单位或部门。</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“合同”是指供需双方签署的、合同格式中载明的供需双方所达成的协议，包括所有的附件、附录和上述文件中提到的构成合同的所有文件。</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“合同价格”是指根据本合同规定供方在正确地完全履行合同义务后需方应支付给供方的价款。合同价格在合同有效期内为固定价格。</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“货物”系指供方按合同要求，须向需方提供的所有设备、材料、机械、仪表、备品备件、工具、手册及其他技术资料和/或其他材料。</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13"/>
        </w:numPr>
        <w:spacing w:line="360" w:lineRule="auto"/>
        <w:ind w:left="900" w:hanging="180"/>
        <w:rPr>
          <w:rFonts w:ascii="宋体" w:hAnsi="宋体"/>
          <w:color w:val="000000"/>
          <w:sz w:val="24"/>
          <w:szCs w:val="24"/>
        </w:rPr>
      </w:pPr>
      <w:r>
        <w:rPr>
          <w:rFonts w:hint="eastAsia" w:ascii="宋体" w:hAnsi="宋体"/>
          <w:color w:val="000000"/>
          <w:sz w:val="24"/>
          <w:szCs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13"/>
        </w:numPr>
        <w:spacing w:line="360" w:lineRule="auto"/>
        <w:ind w:hanging="170"/>
        <w:rPr>
          <w:rFonts w:ascii="宋体" w:hAnsi="宋体"/>
          <w:color w:val="000000"/>
          <w:sz w:val="24"/>
          <w:szCs w:val="24"/>
        </w:rPr>
      </w:pPr>
      <w:r>
        <w:rPr>
          <w:rFonts w:hint="eastAsia" w:ascii="宋体" w:hAnsi="宋体"/>
          <w:color w:val="000000"/>
          <w:sz w:val="24"/>
          <w:szCs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“初步验收”是指当性能验收试验的结果表明已达到了合同附件1规定的保证值后，需方对每台合同货物的验收。</w:t>
      </w:r>
    </w:p>
    <w:p>
      <w:pPr>
        <w:numPr>
          <w:ilvl w:val="0"/>
          <w:numId w:val="13"/>
        </w:numPr>
        <w:tabs>
          <w:tab w:val="left" w:pos="1080"/>
          <w:tab w:val="left" w:pos="1440"/>
          <w:tab w:val="left" w:pos="1620"/>
        </w:tabs>
        <w:spacing w:line="360" w:lineRule="auto"/>
        <w:ind w:hanging="170"/>
        <w:rPr>
          <w:rFonts w:ascii="宋体" w:hAnsi="宋体"/>
          <w:color w:val="000000"/>
          <w:sz w:val="24"/>
          <w:szCs w:val="24"/>
        </w:rPr>
      </w:pPr>
      <w:r>
        <w:rPr>
          <w:rFonts w:hint="eastAsia" w:ascii="宋体" w:hAnsi="宋体"/>
          <w:color w:val="000000"/>
          <w:sz w:val="24"/>
          <w:szCs w:val="24"/>
        </w:rPr>
        <w:t>“最终验收”是指由法定的检验部门或需方对的合同货物保证期满后的验收。</w:t>
      </w:r>
    </w:p>
    <w:p>
      <w:pPr>
        <w:numPr>
          <w:ilvl w:val="0"/>
          <w:numId w:val="13"/>
        </w:numPr>
        <w:tabs>
          <w:tab w:val="left" w:pos="1080"/>
          <w:tab w:val="left" w:pos="1260"/>
          <w:tab w:val="left" w:pos="1440"/>
        </w:tabs>
        <w:spacing w:line="360" w:lineRule="auto"/>
        <w:ind w:hanging="170"/>
        <w:rPr>
          <w:rFonts w:ascii="宋体" w:hAnsi="宋体"/>
          <w:color w:val="000000"/>
          <w:sz w:val="24"/>
          <w:szCs w:val="24"/>
        </w:rPr>
      </w:pPr>
      <w:r>
        <w:rPr>
          <w:rFonts w:hint="eastAsia" w:ascii="宋体" w:hAnsi="宋体"/>
          <w:color w:val="000000"/>
          <w:sz w:val="24"/>
          <w:szCs w:val="24"/>
        </w:rPr>
        <w:t>“备品备件”是指根据本合同提供的合同货物备用部件，包括随机备品备件和足够按“合同专用条款资料表”中要求保证所提供设备正常运行使用的备品备件。</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“试运行”是指单机、整机或各系统和/或设备在调试和项目试运行阶段进行的运行。</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“书面文件”是指任何手稿、打字或印刷的有签字和/或印章及日期的文件。</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“分包商”或“分供货商”是指由供方将合同供货范围内任何部分的供货分包给其他的法人及该法人的继任方和该法人允许的受让方。</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 xml:space="preserve"> “设备缺陷”是指供方因设计、制造错误或疏忽所引起的本合同设备（包括部件、原材料、铸锻件、原器件等）达不到本合同规定的性能、质量标准要求的情形。</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“运杂费”是指合同货物从供方始发站（车上）/码头（船上）到需方指定地点所发生的公路、水路、铁路、航空运费，保险费及运输过程中发生的各种费用。</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“合同条款”是指本合同条款。</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“项目现场”是指本合同项下货物的安装、运行的现场，其名称在合同条款资料表中指明。</w:t>
      </w:r>
    </w:p>
    <w:p>
      <w:pPr>
        <w:numPr>
          <w:ilvl w:val="0"/>
          <w:numId w:val="13"/>
        </w:numPr>
        <w:tabs>
          <w:tab w:val="left" w:pos="1080"/>
          <w:tab w:val="left" w:pos="1440"/>
        </w:tabs>
        <w:spacing w:line="360" w:lineRule="auto"/>
        <w:ind w:hanging="170"/>
        <w:rPr>
          <w:rFonts w:ascii="宋体" w:hAnsi="宋体"/>
          <w:color w:val="000000"/>
          <w:sz w:val="24"/>
          <w:szCs w:val="24"/>
        </w:rPr>
      </w:pPr>
      <w:r>
        <w:rPr>
          <w:rFonts w:hint="eastAsia" w:ascii="宋体" w:hAnsi="宋体"/>
          <w:color w:val="000000"/>
          <w:sz w:val="24"/>
          <w:szCs w:val="24"/>
        </w:rPr>
        <w:t>“日、月、年”是指公历的日、月、年；“天”是指24小时；“周”是指7天。</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29" w:name="_Toc3924"/>
      <w:r>
        <w:rPr>
          <w:rFonts w:hint="eastAsia" w:ascii="宋体" w:hAnsi="宋体" w:eastAsia="宋体"/>
          <w:color w:val="000000"/>
          <w:sz w:val="24"/>
          <w:szCs w:val="24"/>
        </w:rPr>
        <w:t>原产地</w:t>
      </w:r>
      <w:bookmarkEnd w:id="29"/>
    </w:p>
    <w:p>
      <w:pPr>
        <w:pStyle w:val="46"/>
        <w:numPr>
          <w:ilvl w:val="1"/>
          <w:numId w:val="14"/>
        </w:numPr>
        <w:tabs>
          <w:tab w:val="left" w:pos="900"/>
          <w:tab w:val="clear" w:pos="735"/>
        </w:tabs>
        <w:spacing w:line="360" w:lineRule="auto"/>
        <w:ind w:left="900" w:hanging="900"/>
        <w:rPr>
          <w:rFonts w:hAnsi="宋体"/>
          <w:color w:val="000000"/>
          <w:sz w:val="24"/>
          <w:szCs w:val="24"/>
        </w:rPr>
      </w:pPr>
      <w:r>
        <w:rPr>
          <w:rFonts w:hint="eastAsia" w:hAnsi="宋体"/>
          <w:color w:val="000000"/>
          <w:sz w:val="24"/>
          <w:szCs w:val="24"/>
        </w:rPr>
        <w:t>本合同项下所提供的货物及服务均应来自于中华人民共和国或是与中华人民共和国有正常贸易往来的国家和地区(以下简称“合格来源国”)。</w:t>
      </w:r>
    </w:p>
    <w:p>
      <w:pPr>
        <w:pStyle w:val="46"/>
        <w:numPr>
          <w:ilvl w:val="1"/>
          <w:numId w:val="14"/>
        </w:numPr>
        <w:tabs>
          <w:tab w:val="left" w:pos="900"/>
          <w:tab w:val="clear" w:pos="735"/>
        </w:tabs>
        <w:spacing w:line="360" w:lineRule="auto"/>
        <w:ind w:left="900" w:hanging="900"/>
        <w:rPr>
          <w:rFonts w:hAnsi="宋体"/>
          <w:color w:val="000000"/>
          <w:sz w:val="24"/>
          <w:szCs w:val="24"/>
        </w:rPr>
      </w:pPr>
      <w:r>
        <w:rPr>
          <w:rFonts w:hint="eastAsia" w:hAnsi="宋体"/>
          <w:color w:val="000000"/>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pStyle w:val="46"/>
        <w:numPr>
          <w:ilvl w:val="1"/>
          <w:numId w:val="14"/>
        </w:numPr>
        <w:tabs>
          <w:tab w:val="left" w:pos="900"/>
          <w:tab w:val="clear" w:pos="735"/>
        </w:tabs>
        <w:spacing w:line="360" w:lineRule="auto"/>
        <w:ind w:left="1275" w:hanging="1275"/>
        <w:rPr>
          <w:rFonts w:hAnsi="宋体"/>
          <w:color w:val="000000"/>
          <w:sz w:val="24"/>
          <w:szCs w:val="24"/>
        </w:rPr>
      </w:pPr>
      <w:r>
        <w:rPr>
          <w:rFonts w:hint="eastAsia" w:hAnsi="宋体"/>
          <w:color w:val="000000"/>
          <w:sz w:val="24"/>
          <w:szCs w:val="24"/>
        </w:rPr>
        <w:t>货物和服务的原产地有别于供方的法定注册地或国籍。</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0" w:name="_Toc13131"/>
      <w:r>
        <w:rPr>
          <w:rFonts w:hint="eastAsia" w:ascii="宋体" w:hAnsi="宋体" w:eastAsia="宋体"/>
          <w:color w:val="000000"/>
          <w:sz w:val="24"/>
          <w:szCs w:val="24"/>
        </w:rPr>
        <w:t>标准</w:t>
      </w:r>
      <w:bookmarkEnd w:id="30"/>
    </w:p>
    <w:p>
      <w:pPr>
        <w:pStyle w:val="46"/>
        <w:numPr>
          <w:ilvl w:val="1"/>
          <w:numId w:val="15"/>
        </w:numPr>
        <w:spacing w:line="360" w:lineRule="auto"/>
        <w:rPr>
          <w:rFonts w:hAnsi="宋体"/>
          <w:color w:val="000000"/>
          <w:sz w:val="24"/>
          <w:szCs w:val="24"/>
        </w:rPr>
      </w:pPr>
      <w:r>
        <w:rPr>
          <w:rFonts w:hint="eastAsia" w:hAnsi="宋体"/>
          <w:color w:val="000000"/>
          <w:sz w:val="24"/>
          <w:szCs w:val="24"/>
        </w:rPr>
        <w:t>本合同项下交付的货物应符合技术规格所述的标准。如果没有提及适用标准，则应符合货物来源国适用的官方标准。这些标准必须是有关机构发布的最新版本的标准。</w:t>
      </w:r>
    </w:p>
    <w:p>
      <w:pPr>
        <w:pStyle w:val="46"/>
        <w:numPr>
          <w:ilvl w:val="1"/>
          <w:numId w:val="15"/>
        </w:numPr>
        <w:spacing w:line="360" w:lineRule="auto"/>
        <w:rPr>
          <w:rFonts w:hAnsi="宋体"/>
          <w:color w:val="000000"/>
          <w:sz w:val="24"/>
          <w:szCs w:val="24"/>
        </w:rPr>
      </w:pPr>
      <w:r>
        <w:rPr>
          <w:rFonts w:hint="eastAsia" w:hAnsi="宋体"/>
          <w:color w:val="000000"/>
          <w:sz w:val="24"/>
          <w:szCs w:val="24"/>
        </w:rPr>
        <w:t>除非技术规格中另有规定，计量单位均采用中华人民共和国法定计量单位。</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1" w:name="_Toc12903"/>
      <w:r>
        <w:rPr>
          <w:rFonts w:hint="eastAsia" w:ascii="宋体" w:hAnsi="宋体" w:eastAsia="宋体"/>
          <w:color w:val="000000"/>
          <w:sz w:val="24"/>
          <w:szCs w:val="24"/>
        </w:rPr>
        <w:t>使用合同文件和资料</w:t>
      </w:r>
      <w:bookmarkEnd w:id="31"/>
    </w:p>
    <w:p>
      <w:pPr>
        <w:pStyle w:val="46"/>
        <w:numPr>
          <w:ilvl w:val="1"/>
          <w:numId w:val="16"/>
        </w:numPr>
        <w:spacing w:line="360" w:lineRule="auto"/>
        <w:rPr>
          <w:rFonts w:hAnsi="宋体"/>
          <w:color w:val="000000"/>
          <w:sz w:val="24"/>
          <w:szCs w:val="24"/>
        </w:rPr>
      </w:pPr>
      <w:r>
        <w:rPr>
          <w:rFonts w:hint="eastAsia" w:hAnsi="宋体"/>
          <w:color w:val="000000"/>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pPr>
        <w:pStyle w:val="46"/>
        <w:numPr>
          <w:ilvl w:val="1"/>
          <w:numId w:val="16"/>
        </w:numPr>
        <w:spacing w:line="360" w:lineRule="auto"/>
        <w:rPr>
          <w:rFonts w:hAnsi="宋体"/>
          <w:color w:val="000000"/>
          <w:sz w:val="24"/>
          <w:szCs w:val="24"/>
        </w:rPr>
      </w:pPr>
      <w:r>
        <w:rPr>
          <w:rFonts w:hint="eastAsia" w:hAnsi="宋体"/>
          <w:color w:val="000000"/>
          <w:sz w:val="24"/>
          <w:szCs w:val="24"/>
        </w:rPr>
        <w:t>没有需方事先书面同意，除了履行本合同之外，供方不应使用合同条款第5.1条所列举的任何文件和资料。</w:t>
      </w:r>
    </w:p>
    <w:p>
      <w:pPr>
        <w:pStyle w:val="46"/>
        <w:numPr>
          <w:ilvl w:val="1"/>
          <w:numId w:val="16"/>
        </w:numPr>
        <w:spacing w:line="360" w:lineRule="auto"/>
        <w:rPr>
          <w:rFonts w:hAnsi="宋体"/>
          <w:color w:val="000000"/>
          <w:sz w:val="24"/>
          <w:szCs w:val="24"/>
        </w:rPr>
      </w:pPr>
      <w:r>
        <w:rPr>
          <w:rFonts w:hint="eastAsia" w:hAnsi="宋体"/>
          <w:color w:val="000000"/>
          <w:sz w:val="24"/>
          <w:szCs w:val="24"/>
        </w:rPr>
        <w:t>除了合同本身以外，合同条款第5.1条所列举的任何文件是需方的财产。如果需方有要求，供方在完成合同后应将这些文件及全部复制件还给需方。</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2" w:name="_Toc23041"/>
      <w:r>
        <w:rPr>
          <w:rFonts w:hint="eastAsia" w:ascii="宋体" w:hAnsi="宋体" w:eastAsia="宋体"/>
          <w:color w:val="000000"/>
          <w:sz w:val="24"/>
          <w:szCs w:val="24"/>
        </w:rPr>
        <w:t>专利权</w:t>
      </w:r>
      <w:bookmarkEnd w:id="32"/>
    </w:p>
    <w:p>
      <w:pPr>
        <w:pStyle w:val="46"/>
        <w:spacing w:line="360" w:lineRule="auto"/>
        <w:ind w:left="617" w:hanging="616" w:hangingChars="257"/>
        <w:rPr>
          <w:rFonts w:hAnsi="宋体"/>
          <w:color w:val="000000"/>
          <w:sz w:val="24"/>
          <w:szCs w:val="24"/>
        </w:rPr>
      </w:pPr>
      <w:r>
        <w:rPr>
          <w:rFonts w:hint="eastAsia" w:hAnsi="宋体"/>
          <w:color w:val="000000"/>
          <w:sz w:val="24"/>
          <w:szCs w:val="24"/>
        </w:rPr>
        <w:t>6. 1 供方应保证，需方在使用该货物或货物的任何一部分时，免受第三方提出的侵犯其专利权、商标权、著作权或其它知识产权的起诉。</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3" w:name="_Toc665"/>
      <w:r>
        <w:rPr>
          <w:rFonts w:hint="eastAsia" w:ascii="宋体" w:hAnsi="宋体" w:eastAsia="宋体"/>
          <w:color w:val="000000"/>
          <w:sz w:val="24"/>
          <w:szCs w:val="24"/>
        </w:rPr>
        <w:t>履约保证金</w:t>
      </w:r>
      <w:bookmarkEnd w:id="33"/>
    </w:p>
    <w:p>
      <w:pPr>
        <w:pStyle w:val="46"/>
        <w:numPr>
          <w:ilvl w:val="1"/>
          <w:numId w:val="17"/>
        </w:numPr>
        <w:spacing w:line="360" w:lineRule="auto"/>
        <w:rPr>
          <w:rFonts w:hAnsi="宋体"/>
          <w:color w:val="000000"/>
          <w:sz w:val="24"/>
          <w:szCs w:val="24"/>
        </w:rPr>
      </w:pPr>
      <w:r>
        <w:rPr>
          <w:rFonts w:hint="eastAsia" w:hAnsi="宋体"/>
          <w:color w:val="000000"/>
          <w:sz w:val="24"/>
          <w:szCs w:val="24"/>
        </w:rPr>
        <w:t>供方应在收到中标通知书后二十(20)天内，向付款人提交“合同专用条款资料表”中所规定金额的履约保证金。</w:t>
      </w:r>
    </w:p>
    <w:p>
      <w:pPr>
        <w:pStyle w:val="46"/>
        <w:numPr>
          <w:ilvl w:val="1"/>
          <w:numId w:val="17"/>
        </w:numPr>
        <w:spacing w:line="360" w:lineRule="auto"/>
        <w:rPr>
          <w:rFonts w:hAnsi="宋体"/>
          <w:color w:val="000000"/>
          <w:sz w:val="24"/>
          <w:szCs w:val="24"/>
        </w:rPr>
      </w:pPr>
      <w:r>
        <w:rPr>
          <w:rFonts w:hint="eastAsia" w:hAnsi="宋体"/>
          <w:color w:val="000000"/>
          <w:sz w:val="24"/>
          <w:szCs w:val="24"/>
        </w:rPr>
        <w:t>履约保证金用于补偿需方因供方不能完成其合同义务而蒙受的损失。</w:t>
      </w:r>
    </w:p>
    <w:p>
      <w:pPr>
        <w:pStyle w:val="46"/>
        <w:numPr>
          <w:ilvl w:val="1"/>
          <w:numId w:val="17"/>
        </w:numPr>
        <w:spacing w:line="360" w:lineRule="auto"/>
        <w:rPr>
          <w:rFonts w:hAnsi="宋体"/>
          <w:color w:val="000000"/>
          <w:sz w:val="24"/>
          <w:szCs w:val="24"/>
        </w:rPr>
      </w:pPr>
      <w:r>
        <w:rPr>
          <w:rFonts w:hint="eastAsia" w:hAnsi="宋体"/>
          <w:color w:val="000000"/>
          <w:sz w:val="24"/>
          <w:szCs w:val="24"/>
        </w:rPr>
        <w:t>履约保证金应采用本合同货币，或付款人可以接受的其它货币并采用下述方式之一提交：</w:t>
      </w:r>
    </w:p>
    <w:p>
      <w:pPr>
        <w:pStyle w:val="46"/>
        <w:numPr>
          <w:ilvl w:val="1"/>
          <w:numId w:val="12"/>
        </w:numPr>
        <w:spacing w:line="360" w:lineRule="auto"/>
        <w:ind w:hanging="120"/>
        <w:rPr>
          <w:rFonts w:hAnsi="宋体"/>
          <w:color w:val="000000"/>
          <w:sz w:val="24"/>
          <w:szCs w:val="24"/>
        </w:rPr>
      </w:pPr>
      <w:r>
        <w:rPr>
          <w:rFonts w:hint="eastAsia" w:hAnsi="宋体"/>
          <w:color w:val="000000"/>
          <w:sz w:val="24"/>
          <w:szCs w:val="24"/>
        </w:rPr>
        <w:t>银行保函或不可撤销的信用证</w:t>
      </w:r>
    </w:p>
    <w:p>
      <w:pPr>
        <w:pStyle w:val="46"/>
        <w:spacing w:line="360" w:lineRule="auto"/>
        <w:ind w:left="840" w:leftChars="400"/>
        <w:rPr>
          <w:rFonts w:hAnsi="宋体"/>
          <w:color w:val="000000"/>
          <w:sz w:val="24"/>
          <w:szCs w:val="24"/>
        </w:rPr>
      </w:pPr>
      <w:r>
        <w:rPr>
          <w:rFonts w:hint="eastAsia" w:hAnsi="宋体"/>
          <w:color w:val="000000"/>
          <w:sz w:val="24"/>
          <w:szCs w:val="24"/>
        </w:rPr>
        <w:t>由需方可接受的在中华人民共和国注册和营业的银行，或外国银行通过在中华人民共和国注册和营业的银行提交。其格式采用招标文件提供的格式或其他需方可接受的格式；</w:t>
      </w:r>
    </w:p>
    <w:p>
      <w:pPr>
        <w:pStyle w:val="46"/>
        <w:numPr>
          <w:ilvl w:val="1"/>
          <w:numId w:val="12"/>
        </w:numPr>
        <w:spacing w:line="360" w:lineRule="auto"/>
        <w:ind w:hanging="120"/>
        <w:rPr>
          <w:rFonts w:hAnsi="宋体"/>
          <w:color w:val="000000"/>
          <w:sz w:val="24"/>
          <w:szCs w:val="24"/>
        </w:rPr>
      </w:pPr>
      <w:r>
        <w:rPr>
          <w:rFonts w:hint="eastAsia" w:hAnsi="宋体"/>
          <w:color w:val="000000"/>
          <w:sz w:val="24"/>
          <w:szCs w:val="24"/>
        </w:rPr>
        <w:t>银行本票、保兑支票或现金；</w:t>
      </w:r>
    </w:p>
    <w:p>
      <w:pPr>
        <w:pStyle w:val="46"/>
        <w:numPr>
          <w:ilvl w:val="1"/>
          <w:numId w:val="12"/>
        </w:numPr>
        <w:spacing w:line="360" w:lineRule="auto"/>
        <w:ind w:hanging="120"/>
        <w:rPr>
          <w:rFonts w:hAnsi="宋体"/>
          <w:color w:val="000000"/>
          <w:sz w:val="24"/>
          <w:szCs w:val="24"/>
        </w:rPr>
      </w:pPr>
      <w:r>
        <w:rPr>
          <w:rFonts w:hint="eastAsia" w:hAnsi="宋体"/>
          <w:color w:val="000000"/>
          <w:sz w:val="24"/>
          <w:szCs w:val="24"/>
        </w:rPr>
        <w:t>政府采购履约担保函。</w:t>
      </w:r>
    </w:p>
    <w:p>
      <w:pPr>
        <w:pStyle w:val="46"/>
        <w:numPr>
          <w:ilvl w:val="1"/>
          <w:numId w:val="17"/>
        </w:numPr>
        <w:spacing w:line="360" w:lineRule="auto"/>
        <w:rPr>
          <w:rFonts w:hAnsi="宋体"/>
          <w:color w:val="000000"/>
          <w:sz w:val="24"/>
          <w:szCs w:val="24"/>
        </w:rPr>
      </w:pPr>
      <w:r>
        <w:rPr>
          <w:rFonts w:hint="eastAsia" w:hAnsi="宋体"/>
          <w:color w:val="000000"/>
          <w:sz w:val="24"/>
          <w:szCs w:val="24"/>
        </w:rPr>
        <w:t>在供方完成其合同义务包括任何保证义务后三十(30)天内，付款人将把履约保证金退还供方。</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4" w:name="_Toc16396"/>
      <w:r>
        <w:rPr>
          <w:rFonts w:hint="eastAsia" w:ascii="宋体" w:hAnsi="宋体" w:eastAsia="宋体"/>
          <w:color w:val="000000"/>
          <w:sz w:val="24"/>
          <w:szCs w:val="24"/>
        </w:rPr>
        <w:t>检验和测试</w:t>
      </w:r>
      <w:bookmarkEnd w:id="34"/>
    </w:p>
    <w:p>
      <w:pPr>
        <w:pStyle w:val="46"/>
        <w:numPr>
          <w:ilvl w:val="1"/>
          <w:numId w:val="18"/>
        </w:numPr>
        <w:spacing w:line="360" w:lineRule="auto"/>
        <w:rPr>
          <w:rFonts w:hAnsi="宋体"/>
          <w:color w:val="000000"/>
          <w:sz w:val="24"/>
          <w:szCs w:val="24"/>
        </w:rPr>
      </w:pPr>
      <w:r>
        <w:rPr>
          <w:rFonts w:hint="eastAsia" w:hAnsi="宋体"/>
          <w:color w:val="000000"/>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pPr>
        <w:pStyle w:val="46"/>
        <w:numPr>
          <w:ilvl w:val="1"/>
          <w:numId w:val="18"/>
        </w:numPr>
        <w:spacing w:line="360" w:lineRule="auto"/>
        <w:rPr>
          <w:rFonts w:hAnsi="宋体"/>
          <w:color w:val="000000"/>
          <w:sz w:val="24"/>
          <w:szCs w:val="24"/>
        </w:rPr>
      </w:pPr>
      <w:r>
        <w:rPr>
          <w:rFonts w:hint="eastAsia" w:hAnsi="宋体"/>
          <w:color w:val="000000"/>
          <w:sz w:val="24"/>
          <w:szCs w:val="24"/>
        </w:rPr>
        <w:t>检验和测试可以在供方或其分包人的驻地、交货地点和／或货物的最终目的地进行。如果在供方或其分包人的驻地进行，检测人员应能得到全部合理的设施和协助。</w:t>
      </w:r>
    </w:p>
    <w:p>
      <w:pPr>
        <w:pStyle w:val="46"/>
        <w:numPr>
          <w:ilvl w:val="1"/>
          <w:numId w:val="18"/>
        </w:numPr>
        <w:spacing w:line="360" w:lineRule="auto"/>
        <w:rPr>
          <w:rFonts w:hAnsi="宋体"/>
          <w:color w:val="000000"/>
          <w:sz w:val="24"/>
          <w:szCs w:val="24"/>
        </w:rPr>
      </w:pPr>
      <w:r>
        <w:rPr>
          <w:rFonts w:hint="eastAsia" w:hAnsi="宋体"/>
          <w:color w:val="000000"/>
          <w:sz w:val="24"/>
          <w:szCs w:val="24"/>
        </w:rPr>
        <w:t>如果任何被检验或测试的货物不能满足规格的要求，需方可以拒绝接受该货物，供方应更换被拒绝的货物，或者在需方认同下免费进行必要的修改以满足规格的要求。</w:t>
      </w:r>
    </w:p>
    <w:p>
      <w:pPr>
        <w:pStyle w:val="46"/>
        <w:numPr>
          <w:ilvl w:val="1"/>
          <w:numId w:val="18"/>
        </w:numPr>
        <w:spacing w:line="360" w:lineRule="auto"/>
        <w:rPr>
          <w:rFonts w:hAnsi="宋体"/>
          <w:color w:val="000000"/>
          <w:sz w:val="24"/>
          <w:szCs w:val="24"/>
        </w:rPr>
      </w:pPr>
      <w:r>
        <w:rPr>
          <w:rFonts w:hint="eastAsia" w:hAnsi="宋体"/>
          <w:color w:val="000000"/>
          <w:sz w:val="24"/>
          <w:szCs w:val="24"/>
        </w:rPr>
        <w:t>需方在货物到达目的港和／或现场后对货物进行检验、测试及必要时拒绝接受货物的权力将不会因为货物在从来源地（国）启运前通过了需方或其代表的检验、测试和认可而受到限制或放弃。</w:t>
      </w:r>
    </w:p>
    <w:p>
      <w:pPr>
        <w:pStyle w:val="46"/>
        <w:numPr>
          <w:ilvl w:val="1"/>
          <w:numId w:val="18"/>
        </w:numPr>
        <w:spacing w:line="360" w:lineRule="auto"/>
        <w:rPr>
          <w:rFonts w:hAnsi="宋体"/>
          <w:color w:val="000000"/>
          <w:sz w:val="24"/>
          <w:szCs w:val="24"/>
        </w:rPr>
      </w:pPr>
      <w:r>
        <w:rPr>
          <w:rFonts w:hint="eastAsia" w:hAnsi="宋体"/>
          <w:color w:val="000000"/>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pStyle w:val="46"/>
        <w:numPr>
          <w:ilvl w:val="1"/>
          <w:numId w:val="18"/>
        </w:numPr>
        <w:spacing w:line="360" w:lineRule="auto"/>
        <w:ind w:left="737" w:hanging="737"/>
        <w:rPr>
          <w:rFonts w:hAnsi="宋体"/>
          <w:color w:val="000000"/>
          <w:sz w:val="24"/>
          <w:szCs w:val="24"/>
        </w:rPr>
      </w:pPr>
      <w:r>
        <w:rPr>
          <w:rFonts w:hint="eastAsia" w:hAnsi="宋体"/>
          <w:color w:val="000000"/>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pPr>
        <w:pStyle w:val="46"/>
        <w:numPr>
          <w:ilvl w:val="1"/>
          <w:numId w:val="18"/>
        </w:numPr>
        <w:spacing w:line="360" w:lineRule="auto"/>
        <w:rPr>
          <w:rFonts w:hAnsi="宋体"/>
          <w:color w:val="000000"/>
          <w:sz w:val="24"/>
          <w:szCs w:val="24"/>
        </w:rPr>
      </w:pPr>
      <w:r>
        <w:rPr>
          <w:rFonts w:hint="eastAsia" w:hAnsi="宋体"/>
          <w:color w:val="000000"/>
          <w:sz w:val="24"/>
          <w:szCs w:val="24"/>
        </w:rPr>
        <w:t>如果在合同条款第l 8条规定的保证期内，发现货物的质量或规格与合同要求不符，或货物被证实有缺陷，包括潜在的缺陷或使用不合适的材料，需方有权随时向供方提出索赔。</w:t>
      </w:r>
    </w:p>
    <w:p>
      <w:pPr>
        <w:pStyle w:val="46"/>
        <w:numPr>
          <w:ilvl w:val="1"/>
          <w:numId w:val="18"/>
        </w:numPr>
        <w:spacing w:line="360" w:lineRule="auto"/>
        <w:rPr>
          <w:rFonts w:hAnsi="宋体"/>
          <w:color w:val="000000"/>
          <w:sz w:val="24"/>
          <w:szCs w:val="24"/>
        </w:rPr>
      </w:pPr>
      <w:r>
        <w:rPr>
          <w:rFonts w:hint="eastAsia" w:hAnsi="宋体"/>
          <w:color w:val="000000"/>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pPr>
        <w:pStyle w:val="46"/>
        <w:numPr>
          <w:ilvl w:val="1"/>
          <w:numId w:val="18"/>
        </w:numPr>
        <w:spacing w:line="360" w:lineRule="auto"/>
        <w:rPr>
          <w:rFonts w:hAnsi="宋体"/>
          <w:color w:val="000000"/>
          <w:sz w:val="24"/>
          <w:szCs w:val="24"/>
        </w:rPr>
      </w:pPr>
      <w:r>
        <w:rPr>
          <w:rFonts w:hint="eastAsia" w:hAnsi="宋体"/>
          <w:color w:val="000000"/>
          <w:sz w:val="24"/>
          <w:szCs w:val="24"/>
        </w:rPr>
        <w:t>合同条款第8条的规定不能免除供方在本合同项下的保证义务或其他义务。</w:t>
      </w:r>
    </w:p>
    <w:p>
      <w:pPr>
        <w:pStyle w:val="6"/>
        <w:numPr>
          <w:ilvl w:val="0"/>
          <w:numId w:val="12"/>
        </w:numPr>
        <w:tabs>
          <w:tab w:val="clear" w:pos="840"/>
        </w:tabs>
        <w:spacing w:before="0" w:after="0" w:line="360" w:lineRule="auto"/>
        <w:jc w:val="both"/>
        <w:rPr>
          <w:rFonts w:ascii="宋体" w:hAnsi="宋体" w:eastAsia="宋体"/>
          <w:bCs/>
          <w:color w:val="000000"/>
          <w:sz w:val="24"/>
          <w:szCs w:val="24"/>
        </w:rPr>
      </w:pPr>
      <w:bookmarkStart w:id="35" w:name="_Toc25007"/>
      <w:r>
        <w:rPr>
          <w:rFonts w:hint="eastAsia" w:ascii="宋体" w:hAnsi="宋体" w:eastAsia="宋体"/>
          <w:color w:val="000000"/>
          <w:sz w:val="24"/>
          <w:szCs w:val="24"/>
        </w:rPr>
        <w:t>包装</w:t>
      </w:r>
      <w:bookmarkEnd w:id="35"/>
      <w:r>
        <w:rPr>
          <w:rFonts w:hint="eastAsia" w:ascii="宋体" w:hAnsi="宋体" w:eastAsia="宋体"/>
          <w:bCs/>
          <w:color w:val="000000"/>
          <w:sz w:val="24"/>
          <w:szCs w:val="24"/>
        </w:rPr>
        <w:t xml:space="preserve"> </w:t>
      </w:r>
    </w:p>
    <w:p>
      <w:pPr>
        <w:pStyle w:val="77"/>
        <w:ind w:left="614" w:leftChars="-1" w:hanging="616" w:hangingChars="257"/>
        <w:rPr>
          <w:rFonts w:ascii="宋体" w:hAnsi="宋体"/>
          <w:color w:val="000000"/>
          <w:szCs w:val="24"/>
        </w:rPr>
      </w:pPr>
      <w:r>
        <w:rPr>
          <w:rFonts w:hint="eastAsia" w:ascii="宋体" w:hAnsi="宋体"/>
          <w:color w:val="000000"/>
          <w:szCs w:val="24"/>
        </w:rPr>
        <w:t>9. 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6" w:name="_Toc12228"/>
      <w:r>
        <w:rPr>
          <w:rFonts w:hint="eastAsia" w:ascii="宋体" w:hAnsi="宋体" w:eastAsia="宋体"/>
          <w:color w:val="000000"/>
          <w:sz w:val="24"/>
          <w:szCs w:val="24"/>
        </w:rPr>
        <w:t>装运标记</w:t>
      </w:r>
      <w:bookmarkEnd w:id="36"/>
    </w:p>
    <w:p>
      <w:pPr>
        <w:pStyle w:val="46"/>
        <w:numPr>
          <w:ilvl w:val="1"/>
          <w:numId w:val="19"/>
        </w:numPr>
        <w:spacing w:line="360" w:lineRule="auto"/>
        <w:rPr>
          <w:rFonts w:hAnsi="宋体"/>
          <w:color w:val="000000"/>
          <w:sz w:val="24"/>
          <w:szCs w:val="24"/>
        </w:rPr>
      </w:pPr>
      <w:r>
        <w:rPr>
          <w:rFonts w:hint="eastAsia" w:hAnsi="宋体"/>
          <w:color w:val="000000"/>
          <w:sz w:val="24"/>
          <w:szCs w:val="24"/>
        </w:rPr>
        <w:t>供方应在每一包装箱相邻的四面用不可擦除的油漆和明显的约定的字样做出以下标记：</w:t>
      </w:r>
    </w:p>
    <w:p>
      <w:pPr>
        <w:pStyle w:val="46"/>
        <w:numPr>
          <w:ilvl w:val="0"/>
          <w:numId w:val="20"/>
        </w:numPr>
        <w:spacing w:line="360" w:lineRule="auto"/>
        <w:rPr>
          <w:rFonts w:hAnsi="宋体"/>
          <w:color w:val="000000"/>
          <w:sz w:val="24"/>
          <w:szCs w:val="24"/>
        </w:rPr>
      </w:pPr>
      <w:r>
        <w:rPr>
          <w:rFonts w:hint="eastAsia" w:hAnsi="宋体"/>
          <w:color w:val="000000"/>
          <w:sz w:val="24"/>
          <w:szCs w:val="24"/>
        </w:rPr>
        <w:t>收货人</w:t>
      </w:r>
    </w:p>
    <w:p>
      <w:pPr>
        <w:pStyle w:val="46"/>
        <w:numPr>
          <w:ilvl w:val="0"/>
          <w:numId w:val="20"/>
        </w:numPr>
        <w:spacing w:line="360" w:lineRule="auto"/>
        <w:rPr>
          <w:rFonts w:hAnsi="宋体"/>
          <w:color w:val="000000"/>
          <w:sz w:val="24"/>
          <w:szCs w:val="24"/>
        </w:rPr>
      </w:pPr>
      <w:r>
        <w:rPr>
          <w:rFonts w:hint="eastAsia" w:hAnsi="宋体"/>
          <w:color w:val="000000"/>
          <w:sz w:val="24"/>
          <w:szCs w:val="24"/>
        </w:rPr>
        <w:t>合同号</w:t>
      </w:r>
    </w:p>
    <w:p>
      <w:pPr>
        <w:pStyle w:val="46"/>
        <w:numPr>
          <w:ilvl w:val="0"/>
          <w:numId w:val="20"/>
        </w:numPr>
        <w:spacing w:line="360" w:lineRule="auto"/>
        <w:rPr>
          <w:rFonts w:hAnsi="宋体"/>
          <w:color w:val="000000"/>
          <w:sz w:val="24"/>
          <w:szCs w:val="24"/>
        </w:rPr>
      </w:pPr>
      <w:r>
        <w:rPr>
          <w:rFonts w:hint="eastAsia" w:hAnsi="宋体"/>
          <w:color w:val="000000"/>
          <w:sz w:val="24"/>
          <w:szCs w:val="24"/>
        </w:rPr>
        <w:t>发货标记(唛头)</w:t>
      </w:r>
    </w:p>
    <w:p>
      <w:pPr>
        <w:pStyle w:val="46"/>
        <w:numPr>
          <w:ilvl w:val="0"/>
          <w:numId w:val="20"/>
        </w:numPr>
        <w:spacing w:line="360" w:lineRule="auto"/>
        <w:rPr>
          <w:rFonts w:hAnsi="宋体"/>
          <w:color w:val="000000"/>
          <w:sz w:val="24"/>
          <w:szCs w:val="24"/>
        </w:rPr>
      </w:pPr>
      <w:r>
        <w:rPr>
          <w:rFonts w:hint="eastAsia" w:hAnsi="宋体"/>
          <w:color w:val="000000"/>
          <w:sz w:val="24"/>
          <w:szCs w:val="24"/>
        </w:rPr>
        <w:t>收货人编号</w:t>
      </w:r>
    </w:p>
    <w:p>
      <w:pPr>
        <w:pStyle w:val="46"/>
        <w:numPr>
          <w:ilvl w:val="0"/>
          <w:numId w:val="20"/>
        </w:numPr>
        <w:spacing w:line="360" w:lineRule="auto"/>
        <w:rPr>
          <w:rFonts w:hAnsi="宋体"/>
          <w:color w:val="000000"/>
          <w:sz w:val="24"/>
          <w:szCs w:val="24"/>
        </w:rPr>
      </w:pPr>
      <w:r>
        <w:rPr>
          <w:rFonts w:hint="eastAsia" w:hAnsi="宋体"/>
          <w:color w:val="000000"/>
          <w:sz w:val="24"/>
          <w:szCs w:val="24"/>
        </w:rPr>
        <w:t>目的地（港）</w:t>
      </w:r>
    </w:p>
    <w:p>
      <w:pPr>
        <w:pStyle w:val="46"/>
        <w:numPr>
          <w:ilvl w:val="0"/>
          <w:numId w:val="20"/>
        </w:numPr>
        <w:spacing w:line="360" w:lineRule="auto"/>
        <w:rPr>
          <w:rFonts w:hAnsi="宋体"/>
          <w:color w:val="000000"/>
          <w:sz w:val="24"/>
          <w:szCs w:val="24"/>
        </w:rPr>
      </w:pPr>
      <w:r>
        <w:rPr>
          <w:rFonts w:hint="eastAsia" w:hAnsi="宋体"/>
          <w:color w:val="000000"/>
          <w:sz w:val="24"/>
          <w:szCs w:val="24"/>
        </w:rPr>
        <w:t>货物名称、品目号和箱号</w:t>
      </w:r>
    </w:p>
    <w:p>
      <w:pPr>
        <w:pStyle w:val="46"/>
        <w:numPr>
          <w:ilvl w:val="0"/>
          <w:numId w:val="20"/>
        </w:numPr>
        <w:spacing w:line="360" w:lineRule="auto"/>
        <w:rPr>
          <w:rFonts w:hAnsi="宋体"/>
          <w:color w:val="000000"/>
          <w:sz w:val="24"/>
          <w:szCs w:val="24"/>
        </w:rPr>
      </w:pPr>
      <w:r>
        <w:rPr>
          <w:rFonts w:hint="eastAsia" w:hAnsi="宋体"/>
          <w:color w:val="000000"/>
          <w:sz w:val="24"/>
          <w:szCs w:val="24"/>
        </w:rPr>
        <w:t>毛重／净重(用kg表示)</w:t>
      </w:r>
    </w:p>
    <w:p>
      <w:pPr>
        <w:pStyle w:val="46"/>
        <w:numPr>
          <w:ilvl w:val="0"/>
          <w:numId w:val="20"/>
        </w:numPr>
        <w:spacing w:line="360" w:lineRule="auto"/>
        <w:rPr>
          <w:rFonts w:hAnsi="宋体"/>
          <w:color w:val="000000"/>
          <w:sz w:val="24"/>
          <w:szCs w:val="24"/>
        </w:rPr>
      </w:pPr>
      <w:r>
        <w:rPr>
          <w:rFonts w:hint="eastAsia" w:hAnsi="宋体"/>
          <w:color w:val="000000"/>
          <w:sz w:val="24"/>
          <w:szCs w:val="24"/>
        </w:rPr>
        <w:t>尺寸(长×宽×高用cm表示)</w:t>
      </w:r>
    </w:p>
    <w:p>
      <w:pPr>
        <w:pStyle w:val="46"/>
        <w:numPr>
          <w:ilvl w:val="1"/>
          <w:numId w:val="19"/>
        </w:numPr>
        <w:spacing w:line="360" w:lineRule="auto"/>
        <w:rPr>
          <w:rFonts w:hAnsi="宋体"/>
          <w:color w:val="000000"/>
          <w:sz w:val="24"/>
          <w:szCs w:val="24"/>
        </w:rPr>
      </w:pPr>
      <w:r>
        <w:rPr>
          <w:rFonts w:hint="eastAsia" w:hAnsi="宋体"/>
          <w:color w:val="000000"/>
          <w:sz w:val="24"/>
          <w:szCs w:val="24"/>
        </w:rPr>
        <w:t>如果单件包装箱的重量在2吨或2吨以上，供方应在包装箱两侧用文字标注“重心”和“起吊点”以便装卸和搬运。根据货物的特点和运输的不同要求，供方应在包装箱上清楚地标注“小心轻放”、“此端朝上，请勿倒置”、“保持干燥”等字样。</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7" w:name="_Toc10683"/>
      <w:r>
        <w:rPr>
          <w:rFonts w:hint="eastAsia" w:ascii="宋体" w:hAnsi="宋体" w:eastAsia="宋体"/>
          <w:color w:val="000000"/>
          <w:sz w:val="24"/>
          <w:szCs w:val="24"/>
        </w:rPr>
        <w:t>装运条件</w:t>
      </w:r>
      <w:bookmarkEnd w:id="37"/>
    </w:p>
    <w:p>
      <w:pPr>
        <w:pStyle w:val="46"/>
        <w:numPr>
          <w:ilvl w:val="1"/>
          <w:numId w:val="21"/>
        </w:numPr>
        <w:spacing w:line="360" w:lineRule="auto"/>
        <w:rPr>
          <w:rFonts w:hAnsi="宋体"/>
          <w:iCs/>
          <w:color w:val="000000"/>
          <w:sz w:val="24"/>
          <w:szCs w:val="24"/>
        </w:rPr>
      </w:pPr>
      <w:r>
        <w:rPr>
          <w:rFonts w:hint="eastAsia" w:hAnsi="宋体"/>
          <w:iCs/>
          <w:color w:val="000000"/>
          <w:sz w:val="24"/>
          <w:szCs w:val="24"/>
        </w:rPr>
        <w:t>合同货物的：</w:t>
      </w:r>
    </w:p>
    <w:p>
      <w:pPr>
        <w:pStyle w:val="46"/>
        <w:numPr>
          <w:ilvl w:val="0"/>
          <w:numId w:val="22"/>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运输条件和保险、运费支付；</w:t>
      </w:r>
    </w:p>
    <w:p>
      <w:pPr>
        <w:pStyle w:val="46"/>
        <w:numPr>
          <w:ilvl w:val="0"/>
          <w:numId w:val="22"/>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交货日期认定；</w:t>
      </w:r>
    </w:p>
    <w:p>
      <w:pPr>
        <w:pStyle w:val="46"/>
        <w:numPr>
          <w:ilvl w:val="0"/>
          <w:numId w:val="22"/>
        </w:numPr>
        <w:tabs>
          <w:tab w:val="left" w:pos="1260"/>
        </w:tabs>
        <w:spacing w:line="360" w:lineRule="auto"/>
        <w:ind w:left="1260" w:hanging="360"/>
        <w:rPr>
          <w:rFonts w:hAnsi="宋体"/>
          <w:iCs/>
          <w:color w:val="000000"/>
          <w:sz w:val="24"/>
          <w:szCs w:val="24"/>
        </w:rPr>
      </w:pPr>
      <w:r>
        <w:rPr>
          <w:rFonts w:hint="eastAsia" w:hAnsi="宋体"/>
          <w:iCs/>
          <w:color w:val="000000"/>
          <w:sz w:val="24"/>
          <w:szCs w:val="24"/>
        </w:rPr>
        <w:t>目的港／项目现场；</w:t>
      </w:r>
    </w:p>
    <w:p>
      <w:pPr>
        <w:pStyle w:val="46"/>
        <w:tabs>
          <w:tab w:val="left" w:pos="1260"/>
        </w:tabs>
        <w:spacing w:line="360" w:lineRule="auto"/>
        <w:ind w:left="900"/>
        <w:rPr>
          <w:rFonts w:hAnsi="宋体"/>
          <w:iCs/>
          <w:color w:val="000000"/>
          <w:sz w:val="24"/>
          <w:szCs w:val="24"/>
        </w:rPr>
      </w:pPr>
      <w:r>
        <w:rPr>
          <w:rFonts w:hint="eastAsia" w:hAnsi="宋体"/>
          <w:iCs/>
          <w:color w:val="000000"/>
          <w:sz w:val="24"/>
          <w:szCs w:val="24"/>
        </w:rPr>
        <w:t>按“合同专用条款资料表”中规定。</w:t>
      </w:r>
    </w:p>
    <w:p>
      <w:pPr>
        <w:pStyle w:val="46"/>
        <w:numPr>
          <w:ilvl w:val="1"/>
          <w:numId w:val="21"/>
        </w:numPr>
        <w:spacing w:line="360" w:lineRule="auto"/>
        <w:rPr>
          <w:rFonts w:hAnsi="宋体"/>
          <w:color w:val="000000"/>
          <w:sz w:val="24"/>
          <w:szCs w:val="24"/>
        </w:rPr>
      </w:pPr>
      <w:r>
        <w:rPr>
          <w:rFonts w:hint="eastAsia" w:hAnsi="宋体"/>
          <w:color w:val="000000"/>
          <w:sz w:val="24"/>
          <w:szCs w:val="24"/>
        </w:rPr>
        <w:t>供方装运的货物不应超过合同规定的数量或重量。否则，需方对由此产生的一切费用和后果不承担责任。</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38" w:name="_Toc22433"/>
      <w:r>
        <w:rPr>
          <w:rFonts w:hint="eastAsia" w:ascii="宋体" w:hAnsi="宋体" w:eastAsia="宋体"/>
          <w:color w:val="000000"/>
          <w:sz w:val="24"/>
          <w:szCs w:val="24"/>
        </w:rPr>
        <w:t>装运通知</w:t>
      </w:r>
      <w:bookmarkEnd w:id="38"/>
    </w:p>
    <w:p>
      <w:pPr>
        <w:pStyle w:val="46"/>
        <w:numPr>
          <w:ilvl w:val="1"/>
          <w:numId w:val="23"/>
        </w:numPr>
        <w:spacing w:line="360" w:lineRule="auto"/>
        <w:rPr>
          <w:rFonts w:hAnsi="宋体"/>
          <w:iCs/>
          <w:color w:val="000000"/>
          <w:sz w:val="24"/>
          <w:szCs w:val="24"/>
        </w:rPr>
      </w:pPr>
      <w:r>
        <w:rPr>
          <w:rFonts w:hint="eastAsia" w:hAnsi="宋体"/>
          <w:iCs/>
          <w:color w:val="000000"/>
          <w:sz w:val="24"/>
          <w:szCs w:val="24"/>
        </w:rPr>
        <w:t>供方应在预计的装运日期之前，即海运前三十(30)天或铁路／公路／水运前二十一(21)天或空运前七(7)天以电报或电传或传真形式将货物合同号、名称、数量、箱数、总毛重、总体积(用m</w:t>
      </w:r>
      <w:r>
        <w:rPr>
          <w:rFonts w:hint="eastAsia" w:hAnsi="宋体"/>
          <w:iCs/>
          <w:color w:val="000000"/>
          <w:sz w:val="24"/>
          <w:szCs w:val="24"/>
          <w:vertAlign w:val="superscript"/>
        </w:rPr>
        <w:t>3</w:t>
      </w:r>
      <w:r>
        <w:rPr>
          <w:rFonts w:hint="eastAsia" w:hAnsi="宋体"/>
          <w:iCs/>
          <w:color w:val="000000"/>
          <w:sz w:val="24"/>
          <w:szCs w:val="24"/>
        </w:rPr>
        <w:t>表示)和在装运地备妥待运日期通知需方，同时，供方把详细的货物清单一式三(3)份，包括货物合同号、名称、规格、数量、总体积(用m</w:t>
      </w:r>
      <w:r>
        <w:rPr>
          <w:rFonts w:hint="eastAsia" w:hAnsi="宋体"/>
          <w:iCs/>
          <w:color w:val="000000"/>
          <w:sz w:val="24"/>
          <w:szCs w:val="24"/>
          <w:vertAlign w:val="superscript"/>
        </w:rPr>
        <w:t>3</w:t>
      </w:r>
      <w:r>
        <w:rPr>
          <w:rFonts w:hint="eastAsia" w:hAnsi="宋体"/>
          <w:iCs/>
          <w:color w:val="000000"/>
          <w:sz w:val="24"/>
          <w:szCs w:val="24"/>
        </w:rPr>
        <w:t>表示)、每箱尺寸(长×宽×高)、单价、总金额、启运地（或口岸）、备妥待运日期和货物在储存中的特殊要求和注意事项等寄给需方。</w:t>
      </w:r>
    </w:p>
    <w:p>
      <w:pPr>
        <w:pStyle w:val="46"/>
        <w:numPr>
          <w:ilvl w:val="1"/>
          <w:numId w:val="23"/>
        </w:numPr>
        <w:spacing w:line="360" w:lineRule="auto"/>
        <w:rPr>
          <w:rFonts w:hAnsi="宋体"/>
          <w:iCs/>
          <w:color w:val="000000"/>
          <w:sz w:val="24"/>
          <w:szCs w:val="24"/>
        </w:rPr>
      </w:pPr>
      <w:r>
        <w:rPr>
          <w:rFonts w:hint="eastAsia" w:hAnsi="宋体"/>
          <w:iCs/>
          <w:color w:val="000000"/>
          <w:sz w:val="24"/>
          <w:szCs w:val="24"/>
        </w:rPr>
        <w:t>供方应在货物装运完成后二十四(24)小时之内以电报或电传或传真形式将货物合同号、名称、数量、毛重、体积(用m</w:t>
      </w:r>
      <w:r>
        <w:rPr>
          <w:rFonts w:hint="eastAsia" w:hAnsi="宋体"/>
          <w:iCs/>
          <w:color w:val="000000"/>
          <w:sz w:val="24"/>
          <w:szCs w:val="24"/>
          <w:vertAlign w:val="superscript"/>
        </w:rPr>
        <w:t>3</w:t>
      </w:r>
      <w:r>
        <w:rPr>
          <w:rFonts w:hint="eastAsia" w:hAnsi="宋体"/>
          <w:iCs/>
          <w:color w:val="000000"/>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pStyle w:val="46"/>
        <w:numPr>
          <w:ilvl w:val="1"/>
          <w:numId w:val="23"/>
        </w:numPr>
        <w:spacing w:line="360" w:lineRule="auto"/>
        <w:rPr>
          <w:rFonts w:hAnsi="宋体"/>
          <w:iCs/>
          <w:color w:val="000000"/>
          <w:sz w:val="24"/>
          <w:szCs w:val="24"/>
        </w:rPr>
      </w:pPr>
      <w:r>
        <w:rPr>
          <w:rFonts w:hint="eastAsia" w:hAnsi="宋体"/>
          <w:iCs/>
          <w:color w:val="000000"/>
          <w:sz w:val="24"/>
          <w:szCs w:val="24"/>
        </w:rPr>
        <w:t>如果是因为供方延误不能将上述内容通知需方，使需方不能及时做好有关准备或办理相关手续，由此而造成的全部损失应由供方负责。</w:t>
      </w:r>
    </w:p>
    <w:p>
      <w:pPr>
        <w:pStyle w:val="46"/>
        <w:spacing w:line="360" w:lineRule="auto"/>
        <w:ind w:left="420"/>
        <w:rPr>
          <w:rFonts w:hAnsi="宋体"/>
          <w:iCs/>
          <w:color w:val="000000"/>
          <w:sz w:val="24"/>
          <w:szCs w:val="24"/>
        </w:rPr>
      </w:pPr>
      <w:r>
        <w:rPr>
          <w:rFonts w:hint="eastAsia" w:hAnsi="宋体"/>
          <w:iCs/>
          <w:color w:val="000000"/>
          <w:sz w:val="24"/>
          <w:szCs w:val="24"/>
        </w:rPr>
        <w:t xml:space="preserve">   此条款的适用对象见“合同专用条款资料表”。</w:t>
      </w:r>
    </w:p>
    <w:p>
      <w:pPr>
        <w:pStyle w:val="6"/>
        <w:numPr>
          <w:ilvl w:val="0"/>
          <w:numId w:val="12"/>
        </w:numPr>
        <w:tabs>
          <w:tab w:val="clear" w:pos="840"/>
        </w:tabs>
        <w:spacing w:before="0" w:after="0" w:line="360" w:lineRule="auto"/>
        <w:jc w:val="both"/>
        <w:rPr>
          <w:rFonts w:ascii="宋体" w:hAnsi="宋体" w:eastAsia="宋体"/>
          <w:iCs/>
          <w:color w:val="000000"/>
          <w:sz w:val="24"/>
          <w:szCs w:val="24"/>
        </w:rPr>
      </w:pPr>
      <w:bookmarkStart w:id="39" w:name="_Toc24897"/>
      <w:r>
        <w:rPr>
          <w:rFonts w:hint="eastAsia" w:ascii="宋体" w:hAnsi="宋体" w:eastAsia="宋体"/>
          <w:iCs/>
          <w:color w:val="000000"/>
          <w:sz w:val="24"/>
          <w:szCs w:val="24"/>
        </w:rPr>
        <w:t>交货和单据</w:t>
      </w:r>
      <w:bookmarkEnd w:id="39"/>
    </w:p>
    <w:p>
      <w:pPr>
        <w:pStyle w:val="46"/>
        <w:numPr>
          <w:ilvl w:val="1"/>
          <w:numId w:val="24"/>
        </w:numPr>
        <w:spacing w:line="360" w:lineRule="auto"/>
        <w:rPr>
          <w:rFonts w:hAnsi="宋体"/>
          <w:iCs/>
          <w:color w:val="000000"/>
          <w:sz w:val="24"/>
          <w:szCs w:val="24"/>
        </w:rPr>
      </w:pPr>
      <w:r>
        <w:rPr>
          <w:rFonts w:hint="eastAsia" w:hAnsi="宋体"/>
          <w:iCs/>
          <w:color w:val="000000"/>
          <w:sz w:val="24"/>
          <w:szCs w:val="24"/>
        </w:rPr>
        <w:t>供方应按照“</w:t>
      </w:r>
      <w:r>
        <w:rPr>
          <w:rFonts w:hint="eastAsia" w:hAnsi="宋体"/>
          <w:color w:val="000000"/>
          <w:sz w:val="24"/>
          <w:szCs w:val="24"/>
        </w:rPr>
        <w:t>招标项目需求及技术规格要求</w:t>
      </w:r>
      <w:r>
        <w:rPr>
          <w:rFonts w:hint="eastAsia" w:hAnsi="宋体"/>
          <w:iCs/>
          <w:color w:val="000000"/>
          <w:sz w:val="24"/>
          <w:szCs w:val="24"/>
        </w:rPr>
        <w:t>”规定的条件交货。供方应提供的装运细节和／或要求见合同条款第9、10、11、12条规定。</w:t>
      </w:r>
    </w:p>
    <w:p>
      <w:pPr>
        <w:pStyle w:val="46"/>
        <w:numPr>
          <w:ilvl w:val="1"/>
          <w:numId w:val="24"/>
        </w:numPr>
        <w:spacing w:line="360" w:lineRule="auto"/>
        <w:rPr>
          <w:rFonts w:hAnsi="宋体"/>
          <w:iCs/>
          <w:color w:val="000000"/>
          <w:sz w:val="24"/>
          <w:szCs w:val="24"/>
        </w:rPr>
      </w:pPr>
      <w:r>
        <w:rPr>
          <w:rFonts w:hint="eastAsia" w:hAnsi="宋体"/>
          <w:iCs/>
          <w:color w:val="000000"/>
          <w:sz w:val="24"/>
          <w:szCs w:val="24"/>
        </w:rPr>
        <w:t>为合同支付的需要，供方还应根据本合同条款第20条的规定，向需方寄交或通过供方银行转交该条款规定的相关“支付单据”。</w:t>
      </w:r>
    </w:p>
    <w:p>
      <w:pPr>
        <w:pStyle w:val="6"/>
        <w:numPr>
          <w:ilvl w:val="0"/>
          <w:numId w:val="12"/>
        </w:numPr>
        <w:tabs>
          <w:tab w:val="clear" w:pos="840"/>
        </w:tabs>
        <w:spacing w:before="0" w:after="0" w:line="360" w:lineRule="auto"/>
        <w:jc w:val="both"/>
        <w:rPr>
          <w:rFonts w:ascii="宋体" w:hAnsi="宋体" w:eastAsia="宋体"/>
          <w:iCs/>
          <w:color w:val="000000"/>
          <w:sz w:val="24"/>
          <w:szCs w:val="24"/>
        </w:rPr>
      </w:pPr>
      <w:bookmarkStart w:id="40" w:name="_Toc5721"/>
      <w:r>
        <w:rPr>
          <w:rFonts w:hint="eastAsia" w:ascii="宋体" w:hAnsi="宋体" w:eastAsia="宋体"/>
          <w:iCs/>
          <w:color w:val="000000"/>
          <w:sz w:val="24"/>
          <w:szCs w:val="24"/>
        </w:rPr>
        <w:t>保险</w:t>
      </w:r>
      <w:bookmarkEnd w:id="40"/>
    </w:p>
    <w:p>
      <w:pPr>
        <w:pStyle w:val="46"/>
        <w:numPr>
          <w:ilvl w:val="1"/>
          <w:numId w:val="25"/>
        </w:numPr>
        <w:spacing w:line="360" w:lineRule="auto"/>
        <w:rPr>
          <w:rFonts w:hAnsi="宋体"/>
          <w:iCs/>
          <w:color w:val="000000"/>
          <w:sz w:val="24"/>
          <w:szCs w:val="24"/>
        </w:rPr>
      </w:pPr>
      <w:r>
        <w:rPr>
          <w:rFonts w:hint="eastAsia" w:hAnsi="宋体"/>
          <w:iCs/>
          <w:color w:val="000000"/>
          <w:sz w:val="24"/>
          <w:szCs w:val="24"/>
        </w:rPr>
        <w:t>供方在本合同下提供的货物应对其在制造、购置、运输、存放及交货过程中的丢失或损坏按本条款规定的方式，进行全面保险。</w:t>
      </w:r>
    </w:p>
    <w:p>
      <w:pPr>
        <w:pStyle w:val="46"/>
        <w:numPr>
          <w:ilvl w:val="1"/>
          <w:numId w:val="25"/>
        </w:numPr>
        <w:spacing w:line="360" w:lineRule="auto"/>
        <w:rPr>
          <w:rFonts w:hAnsi="宋体"/>
          <w:iCs/>
          <w:color w:val="000000"/>
          <w:sz w:val="24"/>
          <w:szCs w:val="24"/>
        </w:rPr>
      </w:pPr>
      <w:r>
        <w:rPr>
          <w:rFonts w:hint="eastAsia" w:hAnsi="宋体"/>
          <w:iCs/>
          <w:color w:val="000000"/>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pPr>
        <w:pStyle w:val="6"/>
        <w:numPr>
          <w:ilvl w:val="0"/>
          <w:numId w:val="12"/>
        </w:numPr>
        <w:tabs>
          <w:tab w:val="clear" w:pos="840"/>
        </w:tabs>
        <w:spacing w:before="0" w:after="0" w:line="360" w:lineRule="auto"/>
        <w:jc w:val="both"/>
        <w:rPr>
          <w:rFonts w:ascii="宋体" w:hAnsi="宋体" w:eastAsia="宋体"/>
          <w:iCs/>
          <w:color w:val="000000"/>
          <w:sz w:val="24"/>
          <w:szCs w:val="24"/>
        </w:rPr>
      </w:pPr>
      <w:bookmarkStart w:id="41" w:name="_Toc7511"/>
      <w:r>
        <w:rPr>
          <w:rFonts w:hint="eastAsia" w:ascii="宋体" w:hAnsi="宋体" w:eastAsia="宋体"/>
          <w:iCs/>
          <w:color w:val="000000"/>
          <w:sz w:val="24"/>
          <w:szCs w:val="24"/>
        </w:rPr>
        <w:t>运输</w:t>
      </w:r>
      <w:bookmarkEnd w:id="41"/>
    </w:p>
    <w:p>
      <w:pPr>
        <w:pStyle w:val="46"/>
        <w:numPr>
          <w:ilvl w:val="1"/>
          <w:numId w:val="26"/>
        </w:numPr>
        <w:spacing w:line="360" w:lineRule="auto"/>
        <w:rPr>
          <w:rFonts w:hAnsi="宋体"/>
          <w:color w:val="000000"/>
          <w:sz w:val="24"/>
          <w:szCs w:val="24"/>
        </w:rPr>
      </w:pPr>
      <w:r>
        <w:rPr>
          <w:rFonts w:hint="eastAsia" w:hAnsi="宋体"/>
          <w:iCs/>
          <w:color w:val="000000"/>
          <w:sz w:val="24"/>
          <w:szCs w:val="24"/>
        </w:rPr>
        <w:t>根据需方在“招标项目资料表”中要求的报价条件交货，供方应负责办理相应的运输、仓储、保管等事项，相关费用包括在合同价中。</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2" w:name="_Toc255"/>
      <w:r>
        <w:rPr>
          <w:rFonts w:hint="eastAsia" w:ascii="宋体" w:hAnsi="宋体" w:eastAsia="宋体"/>
          <w:color w:val="000000"/>
          <w:sz w:val="24"/>
          <w:szCs w:val="24"/>
        </w:rPr>
        <w:t>伴随服务</w:t>
      </w:r>
      <w:bookmarkEnd w:id="42"/>
    </w:p>
    <w:p>
      <w:pPr>
        <w:pStyle w:val="46"/>
        <w:numPr>
          <w:ilvl w:val="1"/>
          <w:numId w:val="27"/>
        </w:numPr>
        <w:spacing w:line="360" w:lineRule="auto"/>
        <w:rPr>
          <w:rFonts w:hAnsi="宋体"/>
          <w:color w:val="000000"/>
          <w:sz w:val="24"/>
          <w:szCs w:val="24"/>
        </w:rPr>
      </w:pPr>
      <w:r>
        <w:rPr>
          <w:rFonts w:hint="eastAsia" w:hAnsi="宋体"/>
          <w:color w:val="000000"/>
          <w:sz w:val="24"/>
          <w:szCs w:val="24"/>
        </w:rPr>
        <w:t>供方可能被要求提供下列服务中的任一项或所有服务，包括“合同专用条款资料表”与技术规格规定的附加服务(如果有的话)：</w:t>
      </w:r>
    </w:p>
    <w:p>
      <w:pPr>
        <w:pStyle w:val="4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实施或监督所供货物的现场组装和／或试运行；</w:t>
      </w:r>
    </w:p>
    <w:p>
      <w:pPr>
        <w:pStyle w:val="4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提供货物组装和／或维修所需的工具；</w:t>
      </w:r>
    </w:p>
    <w:p>
      <w:pPr>
        <w:pStyle w:val="4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为所供货物的每一适当的单台设备提供详细的操作和维护手册；</w:t>
      </w:r>
    </w:p>
    <w:p>
      <w:pPr>
        <w:pStyle w:val="4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在双方商定的一定期限内对所供货物实施运行或监督或维护或修理，但前提条件是该服务并不能免除供方在合同保证期内所承担的义务；</w:t>
      </w:r>
    </w:p>
    <w:p>
      <w:pPr>
        <w:pStyle w:val="46"/>
        <w:numPr>
          <w:ilvl w:val="0"/>
          <w:numId w:val="28"/>
        </w:numPr>
        <w:tabs>
          <w:tab w:val="left" w:pos="1260"/>
        </w:tabs>
        <w:spacing w:line="360" w:lineRule="auto"/>
        <w:ind w:left="1260" w:hanging="360"/>
        <w:rPr>
          <w:rFonts w:hAnsi="宋体"/>
          <w:color w:val="000000"/>
          <w:sz w:val="24"/>
          <w:szCs w:val="24"/>
        </w:rPr>
      </w:pPr>
      <w:r>
        <w:rPr>
          <w:rFonts w:hint="eastAsia" w:hAnsi="宋体"/>
          <w:color w:val="000000"/>
          <w:sz w:val="24"/>
          <w:szCs w:val="24"/>
        </w:rPr>
        <w:t>在供方厂家和／或在项目现场就所供货物的组装、试运行、运行、维护和／或修理对需方人员进行培训。</w:t>
      </w:r>
    </w:p>
    <w:p>
      <w:pPr>
        <w:pStyle w:val="46"/>
        <w:numPr>
          <w:ilvl w:val="1"/>
          <w:numId w:val="27"/>
        </w:numPr>
        <w:spacing w:line="360" w:lineRule="auto"/>
        <w:rPr>
          <w:rFonts w:hAnsi="宋体"/>
          <w:color w:val="000000"/>
          <w:sz w:val="24"/>
          <w:szCs w:val="24"/>
        </w:rPr>
      </w:pPr>
      <w:r>
        <w:rPr>
          <w:rFonts w:hint="eastAsia" w:hAnsi="宋体"/>
          <w:color w:val="000000"/>
          <w:sz w:val="24"/>
          <w:szCs w:val="24"/>
        </w:rPr>
        <w:t>供方应提供“合同专用条款资料表”／技术规格中规定的所有服务。为履行要求的伴随服务的报价或双方商定的费用均应包括在合同价中。</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3" w:name="_Toc27085"/>
      <w:r>
        <w:rPr>
          <w:rFonts w:hint="eastAsia" w:ascii="宋体" w:hAnsi="宋体" w:eastAsia="宋体"/>
          <w:color w:val="000000"/>
          <w:sz w:val="24"/>
          <w:szCs w:val="24"/>
        </w:rPr>
        <w:t>备件</w:t>
      </w:r>
      <w:bookmarkEnd w:id="43"/>
    </w:p>
    <w:p>
      <w:pPr>
        <w:pStyle w:val="46"/>
        <w:numPr>
          <w:ilvl w:val="1"/>
          <w:numId w:val="29"/>
        </w:numPr>
        <w:spacing w:line="360" w:lineRule="auto"/>
        <w:rPr>
          <w:rFonts w:hAnsi="宋体"/>
          <w:color w:val="000000"/>
          <w:sz w:val="24"/>
          <w:szCs w:val="24"/>
        </w:rPr>
      </w:pPr>
      <w:r>
        <w:rPr>
          <w:rFonts w:hint="eastAsia" w:hAnsi="宋体"/>
          <w:color w:val="000000"/>
          <w:sz w:val="24"/>
          <w:szCs w:val="24"/>
        </w:rPr>
        <w:t>供方可能被要求提供下列与备件有关的材料、通知和资料：</w:t>
      </w:r>
    </w:p>
    <w:p>
      <w:pPr>
        <w:pStyle w:val="46"/>
        <w:numPr>
          <w:ilvl w:val="0"/>
          <w:numId w:val="30"/>
        </w:numPr>
        <w:tabs>
          <w:tab w:val="left" w:pos="1260"/>
        </w:tabs>
        <w:spacing w:line="360" w:lineRule="auto"/>
        <w:ind w:left="1260" w:hanging="360"/>
        <w:rPr>
          <w:rFonts w:hAnsi="宋体"/>
          <w:color w:val="000000"/>
          <w:sz w:val="24"/>
          <w:szCs w:val="24"/>
        </w:rPr>
      </w:pPr>
      <w:r>
        <w:rPr>
          <w:rFonts w:hint="eastAsia" w:hAnsi="宋体"/>
          <w:color w:val="000000"/>
          <w:sz w:val="24"/>
          <w:szCs w:val="24"/>
        </w:rPr>
        <w:t>需方从供方选购备件，但前提条件是该选择并不能免除供方在合同保证期内所承担的义务；</w:t>
      </w:r>
    </w:p>
    <w:p>
      <w:pPr>
        <w:pStyle w:val="46"/>
        <w:numPr>
          <w:ilvl w:val="0"/>
          <w:numId w:val="30"/>
        </w:numPr>
        <w:tabs>
          <w:tab w:val="left" w:pos="1260"/>
        </w:tabs>
        <w:spacing w:line="360" w:lineRule="auto"/>
        <w:ind w:left="1260" w:hanging="360"/>
        <w:rPr>
          <w:rFonts w:hAnsi="宋体"/>
          <w:color w:val="000000"/>
          <w:sz w:val="24"/>
          <w:szCs w:val="24"/>
        </w:rPr>
      </w:pPr>
      <w:r>
        <w:rPr>
          <w:rFonts w:hint="eastAsia" w:hAnsi="宋体"/>
          <w:color w:val="000000"/>
          <w:sz w:val="24"/>
          <w:szCs w:val="24"/>
        </w:rPr>
        <w:t>在备件停止生产的情况下，供方应事先将要停止生产的计划通知需方，以便需方有足够的时间采购所需的备件；</w:t>
      </w:r>
    </w:p>
    <w:p>
      <w:pPr>
        <w:pStyle w:val="46"/>
        <w:numPr>
          <w:ilvl w:val="0"/>
          <w:numId w:val="30"/>
        </w:numPr>
        <w:tabs>
          <w:tab w:val="left" w:pos="1260"/>
          <w:tab w:val="clear" w:pos="660"/>
        </w:tabs>
        <w:spacing w:line="360" w:lineRule="auto"/>
        <w:ind w:left="1260" w:hanging="360"/>
        <w:rPr>
          <w:rFonts w:hAnsi="宋体"/>
          <w:color w:val="000000"/>
          <w:sz w:val="24"/>
          <w:szCs w:val="24"/>
        </w:rPr>
      </w:pPr>
      <w:r>
        <w:rPr>
          <w:rFonts w:hint="eastAsia" w:hAnsi="宋体"/>
          <w:color w:val="000000"/>
          <w:sz w:val="24"/>
          <w:szCs w:val="24"/>
        </w:rPr>
        <w:t>在备件停止生产后，如果需方要求，供方应免费向需方提供备件的蓝图、图纸和规格。</w:t>
      </w:r>
    </w:p>
    <w:p>
      <w:pPr>
        <w:pStyle w:val="46"/>
        <w:numPr>
          <w:ilvl w:val="1"/>
          <w:numId w:val="29"/>
        </w:numPr>
        <w:tabs>
          <w:tab w:val="left" w:pos="900"/>
        </w:tabs>
        <w:spacing w:line="360" w:lineRule="auto"/>
        <w:ind w:left="900" w:hanging="900"/>
        <w:rPr>
          <w:rFonts w:hAnsi="宋体"/>
          <w:color w:val="000000"/>
          <w:sz w:val="24"/>
          <w:szCs w:val="24"/>
        </w:rPr>
      </w:pPr>
      <w:r>
        <w:rPr>
          <w:rFonts w:hint="eastAsia" w:hAnsi="宋体"/>
          <w:color w:val="000000"/>
          <w:sz w:val="24"/>
          <w:szCs w:val="24"/>
        </w:rPr>
        <w:t>供方应按照“合同专用条款资料表”／技术规格中的规定提供所需的备件。</w:t>
      </w:r>
    </w:p>
    <w:p>
      <w:pPr>
        <w:pStyle w:val="6"/>
        <w:numPr>
          <w:ilvl w:val="0"/>
          <w:numId w:val="12"/>
        </w:numPr>
        <w:tabs>
          <w:tab w:val="clear" w:pos="840"/>
        </w:tabs>
        <w:spacing w:before="0" w:after="0" w:line="360" w:lineRule="auto"/>
        <w:jc w:val="both"/>
        <w:rPr>
          <w:rFonts w:ascii="宋体" w:hAnsi="宋体" w:eastAsia="宋体"/>
          <w:bCs/>
          <w:color w:val="000000"/>
          <w:sz w:val="24"/>
          <w:szCs w:val="24"/>
        </w:rPr>
      </w:pPr>
      <w:bookmarkStart w:id="44" w:name="_Toc15109"/>
      <w:r>
        <w:rPr>
          <w:rFonts w:hint="eastAsia" w:ascii="宋体" w:hAnsi="宋体" w:eastAsia="宋体"/>
          <w:color w:val="000000"/>
          <w:sz w:val="24"/>
          <w:szCs w:val="24"/>
        </w:rPr>
        <w:t>保证</w:t>
      </w:r>
      <w:bookmarkEnd w:id="44"/>
    </w:p>
    <w:p>
      <w:pPr>
        <w:pStyle w:val="46"/>
        <w:spacing w:line="360" w:lineRule="auto"/>
        <w:ind w:left="617" w:hanging="616" w:hangingChars="257"/>
        <w:rPr>
          <w:rFonts w:hAnsi="宋体"/>
          <w:color w:val="000000"/>
          <w:sz w:val="24"/>
          <w:szCs w:val="24"/>
        </w:rPr>
      </w:pPr>
      <w:r>
        <w:rPr>
          <w:rFonts w:hint="eastAsia" w:hAnsi="宋体"/>
          <w:color w:val="000000"/>
          <w:sz w:val="24"/>
          <w:szCs w:val="24"/>
        </w:rPr>
        <w:t>18.1</w:t>
      </w:r>
      <w:r>
        <w:rPr>
          <w:rFonts w:hint="eastAsia" w:hAnsi="宋体"/>
          <w:color w:val="000000"/>
          <w:sz w:val="24"/>
          <w:szCs w:val="24"/>
        </w:rPr>
        <w:tab/>
      </w:r>
      <w:r>
        <w:rPr>
          <w:rFonts w:hint="eastAsia" w:hAnsi="宋体"/>
          <w:color w:val="000000"/>
          <w:sz w:val="24"/>
          <w:szCs w:val="24"/>
        </w:rPr>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pStyle w:val="46"/>
        <w:spacing w:line="360" w:lineRule="auto"/>
        <w:ind w:left="617" w:hanging="616" w:hangingChars="257"/>
        <w:rPr>
          <w:rFonts w:hAnsi="宋体"/>
          <w:color w:val="000000"/>
          <w:sz w:val="24"/>
          <w:szCs w:val="24"/>
        </w:rPr>
      </w:pPr>
      <w:r>
        <w:rPr>
          <w:rFonts w:hint="eastAsia" w:hAnsi="宋体"/>
          <w:color w:val="000000"/>
          <w:sz w:val="24"/>
          <w:szCs w:val="24"/>
        </w:rPr>
        <w:t>18.2</w:t>
      </w:r>
      <w:r>
        <w:rPr>
          <w:rFonts w:hint="eastAsia" w:hAnsi="宋体"/>
          <w:color w:val="000000"/>
          <w:sz w:val="24"/>
          <w:szCs w:val="24"/>
        </w:rPr>
        <w:tab/>
      </w:r>
      <w:r>
        <w:rPr>
          <w:rFonts w:hint="eastAsia" w:hAnsi="宋体"/>
          <w:color w:val="000000"/>
          <w:sz w:val="24"/>
          <w:szCs w:val="24"/>
        </w:rPr>
        <w:t>本保证应在合同货物最终验收后的一定期限内保持有效，或在最后一批合同货物到达目的地后的一定期限内保持有效(上述期限见“合同专用条款资料表”)，以先发生的为准。</w:t>
      </w:r>
    </w:p>
    <w:p>
      <w:pPr>
        <w:pStyle w:val="46"/>
        <w:tabs>
          <w:tab w:val="left" w:pos="720"/>
        </w:tabs>
        <w:spacing w:line="360" w:lineRule="auto"/>
        <w:rPr>
          <w:rFonts w:hAnsi="宋体"/>
          <w:color w:val="000000"/>
          <w:sz w:val="24"/>
          <w:szCs w:val="24"/>
        </w:rPr>
      </w:pPr>
      <w:r>
        <w:rPr>
          <w:rFonts w:hint="eastAsia" w:hAnsi="宋体"/>
          <w:color w:val="000000"/>
          <w:sz w:val="24"/>
          <w:szCs w:val="24"/>
        </w:rPr>
        <w:t>18.3</w:t>
      </w:r>
      <w:r>
        <w:rPr>
          <w:rFonts w:hint="eastAsia" w:hAnsi="宋体"/>
          <w:color w:val="000000"/>
          <w:sz w:val="24"/>
          <w:szCs w:val="24"/>
        </w:rPr>
        <w:tab/>
      </w:r>
      <w:r>
        <w:rPr>
          <w:rFonts w:hint="eastAsia" w:hAnsi="宋体"/>
          <w:color w:val="000000"/>
          <w:sz w:val="24"/>
          <w:szCs w:val="24"/>
        </w:rPr>
        <w:t>需方应尽快以书面形式通知供方保证期内所发现的货物的缺陷。</w:t>
      </w:r>
    </w:p>
    <w:p>
      <w:pPr>
        <w:pStyle w:val="46"/>
        <w:spacing w:line="360" w:lineRule="auto"/>
        <w:ind w:left="617" w:hanging="616" w:hangingChars="257"/>
        <w:rPr>
          <w:rFonts w:hAnsi="宋体"/>
          <w:color w:val="000000"/>
          <w:sz w:val="24"/>
          <w:szCs w:val="24"/>
        </w:rPr>
      </w:pPr>
      <w:r>
        <w:rPr>
          <w:rFonts w:hint="eastAsia" w:hAnsi="宋体"/>
          <w:color w:val="000000"/>
          <w:sz w:val="24"/>
          <w:szCs w:val="24"/>
        </w:rPr>
        <w:t>18.4</w:t>
      </w:r>
      <w:r>
        <w:rPr>
          <w:rFonts w:hint="eastAsia" w:hAnsi="宋体"/>
          <w:color w:val="000000"/>
          <w:sz w:val="24"/>
          <w:szCs w:val="24"/>
        </w:rPr>
        <w:tab/>
      </w:r>
      <w:r>
        <w:rPr>
          <w:rFonts w:hint="eastAsia" w:hAnsi="宋体"/>
          <w:color w:val="000000"/>
          <w:sz w:val="24"/>
          <w:szCs w:val="24"/>
        </w:rPr>
        <w:t>供方收到通知后应在“合同专用条款资料表”规定的时间内以合理的速度免费维修或更换有缺陷的货物或部件。</w:t>
      </w:r>
    </w:p>
    <w:p>
      <w:pPr>
        <w:pStyle w:val="46"/>
        <w:spacing w:line="360" w:lineRule="auto"/>
        <w:ind w:left="617" w:hanging="616" w:hangingChars="257"/>
        <w:rPr>
          <w:rFonts w:hAnsi="宋体"/>
          <w:color w:val="000000"/>
          <w:sz w:val="24"/>
          <w:szCs w:val="24"/>
        </w:rPr>
      </w:pPr>
      <w:r>
        <w:rPr>
          <w:rFonts w:hint="eastAsia" w:hAnsi="宋体"/>
          <w:color w:val="000000"/>
          <w:sz w:val="24"/>
          <w:szCs w:val="24"/>
        </w:rPr>
        <w:t>l8.5</w:t>
      </w:r>
      <w:r>
        <w:rPr>
          <w:rFonts w:hint="eastAsia" w:hAnsi="宋体"/>
          <w:color w:val="000000"/>
          <w:sz w:val="24"/>
          <w:szCs w:val="24"/>
        </w:rPr>
        <w:tab/>
      </w:r>
      <w:r>
        <w:rPr>
          <w:rFonts w:hint="eastAsia" w:hAnsi="宋体"/>
          <w:color w:val="000000"/>
          <w:sz w:val="24"/>
          <w:szCs w:val="24"/>
        </w:rPr>
        <w:t>如果供方收到通知后在合同规定的时间内没有以合理的速度弥补缺陷，需方可采取必要的补救措施，但其风险和费用将由供方承担，需方根据合同规定对供方行使的其他权力不受影响。</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5" w:name="_Toc4008"/>
      <w:r>
        <w:rPr>
          <w:rFonts w:hint="eastAsia" w:ascii="宋体" w:hAnsi="宋体" w:eastAsia="宋体"/>
          <w:color w:val="000000"/>
          <w:sz w:val="24"/>
          <w:szCs w:val="24"/>
        </w:rPr>
        <w:t>索赔</w:t>
      </w:r>
      <w:bookmarkEnd w:id="45"/>
    </w:p>
    <w:p>
      <w:pPr>
        <w:pStyle w:val="46"/>
        <w:numPr>
          <w:ilvl w:val="1"/>
          <w:numId w:val="31"/>
        </w:numPr>
        <w:spacing w:line="360" w:lineRule="auto"/>
        <w:rPr>
          <w:rFonts w:hAnsi="宋体"/>
          <w:color w:val="000000"/>
          <w:sz w:val="24"/>
          <w:szCs w:val="24"/>
        </w:rPr>
      </w:pPr>
      <w:r>
        <w:rPr>
          <w:rFonts w:hint="eastAsia" w:hAnsi="宋体"/>
          <w:color w:val="000000"/>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pPr>
        <w:pStyle w:val="46"/>
        <w:numPr>
          <w:ilvl w:val="0"/>
          <w:numId w:val="32"/>
        </w:numPr>
        <w:tabs>
          <w:tab w:val="left" w:pos="851"/>
        </w:tabs>
        <w:spacing w:line="360" w:lineRule="auto"/>
        <w:ind w:left="851" w:firstLine="49"/>
        <w:rPr>
          <w:rFonts w:hAnsi="宋体"/>
          <w:color w:val="000000"/>
          <w:sz w:val="24"/>
          <w:szCs w:val="24"/>
        </w:rPr>
      </w:pPr>
      <w:r>
        <w:rPr>
          <w:rFonts w:hint="eastAsia" w:hAnsi="宋体"/>
          <w:color w:val="000000"/>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pPr>
        <w:pStyle w:val="46"/>
        <w:numPr>
          <w:ilvl w:val="0"/>
          <w:numId w:val="32"/>
        </w:numPr>
        <w:tabs>
          <w:tab w:val="left" w:pos="851"/>
        </w:tabs>
        <w:spacing w:line="360" w:lineRule="auto"/>
        <w:ind w:left="851" w:firstLine="49"/>
        <w:rPr>
          <w:rFonts w:hAnsi="宋体"/>
          <w:color w:val="000000"/>
          <w:sz w:val="24"/>
          <w:szCs w:val="24"/>
        </w:rPr>
      </w:pPr>
      <w:r>
        <w:rPr>
          <w:rFonts w:hint="eastAsia" w:hAnsi="宋体"/>
          <w:color w:val="000000"/>
          <w:sz w:val="24"/>
          <w:szCs w:val="24"/>
        </w:rPr>
        <w:t>根据货物的偏差情况、损坏程度以及需方所遭受损失的金额，经需供双方商定降低货物的价格。</w:t>
      </w:r>
    </w:p>
    <w:p>
      <w:pPr>
        <w:pStyle w:val="46"/>
        <w:numPr>
          <w:ilvl w:val="0"/>
          <w:numId w:val="32"/>
        </w:numPr>
        <w:tabs>
          <w:tab w:val="left" w:pos="851"/>
          <w:tab w:val="clear" w:pos="930"/>
        </w:tabs>
        <w:spacing w:line="360" w:lineRule="auto"/>
        <w:ind w:left="851" w:firstLine="49"/>
        <w:rPr>
          <w:rFonts w:hAnsi="宋体"/>
          <w:color w:val="000000"/>
          <w:sz w:val="24"/>
          <w:szCs w:val="24"/>
        </w:rPr>
      </w:pPr>
      <w:r>
        <w:rPr>
          <w:rFonts w:hint="eastAsia" w:hAnsi="宋体"/>
          <w:color w:val="000000"/>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pPr>
        <w:pStyle w:val="46"/>
        <w:numPr>
          <w:ilvl w:val="1"/>
          <w:numId w:val="31"/>
        </w:numPr>
        <w:spacing w:line="360" w:lineRule="auto"/>
        <w:rPr>
          <w:rFonts w:hAnsi="宋体"/>
          <w:color w:val="000000"/>
          <w:sz w:val="24"/>
          <w:szCs w:val="24"/>
        </w:rPr>
      </w:pPr>
      <w:r>
        <w:rPr>
          <w:rFonts w:hint="eastAsia" w:hAnsi="宋体"/>
          <w:color w:val="000000"/>
          <w:sz w:val="24"/>
          <w:szCs w:val="24"/>
        </w:rPr>
        <w:t>如果在需方发出索赔通知后三十(30)天内，供方未作答复，上述索赔应视为已被供方接受。如供方未能在需方发出索赔通知后三十(30)天内或需方同意的延长期限内，按照需方同意的上述规定的任一种方法解决索赔事宜，需方将从合同货款或供方开具的履约保证金中扣回索赔金额。</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6" w:name="_Toc14152"/>
      <w:r>
        <w:rPr>
          <w:rFonts w:hint="eastAsia" w:ascii="宋体" w:hAnsi="宋体" w:eastAsia="宋体"/>
          <w:color w:val="000000"/>
          <w:sz w:val="24"/>
          <w:szCs w:val="24"/>
        </w:rPr>
        <w:t>付款</w:t>
      </w:r>
      <w:bookmarkEnd w:id="46"/>
    </w:p>
    <w:p>
      <w:pPr>
        <w:pStyle w:val="46"/>
        <w:numPr>
          <w:ilvl w:val="1"/>
          <w:numId w:val="33"/>
        </w:numPr>
        <w:spacing w:line="360" w:lineRule="auto"/>
        <w:rPr>
          <w:rFonts w:hAnsi="宋体"/>
          <w:color w:val="000000"/>
          <w:sz w:val="24"/>
          <w:szCs w:val="24"/>
        </w:rPr>
      </w:pPr>
      <w:r>
        <w:rPr>
          <w:rFonts w:hint="eastAsia" w:hAnsi="宋体"/>
          <w:color w:val="000000"/>
          <w:sz w:val="24"/>
          <w:szCs w:val="24"/>
        </w:rPr>
        <w:t>本合同项下的付款方法和条件在“合同专用条款资料表”中规定。</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7" w:name="_Toc5244"/>
      <w:r>
        <w:rPr>
          <w:rFonts w:hint="eastAsia" w:ascii="宋体" w:hAnsi="宋体" w:eastAsia="宋体"/>
          <w:color w:val="000000"/>
          <w:sz w:val="24"/>
          <w:szCs w:val="24"/>
        </w:rPr>
        <w:t>价格</w:t>
      </w:r>
      <w:bookmarkEnd w:id="47"/>
    </w:p>
    <w:p>
      <w:pPr>
        <w:pStyle w:val="46"/>
        <w:numPr>
          <w:ilvl w:val="1"/>
          <w:numId w:val="34"/>
        </w:numPr>
        <w:spacing w:line="360" w:lineRule="auto"/>
        <w:rPr>
          <w:rFonts w:hAnsi="宋体"/>
          <w:color w:val="000000"/>
          <w:sz w:val="24"/>
          <w:szCs w:val="24"/>
        </w:rPr>
      </w:pPr>
      <w:r>
        <w:rPr>
          <w:rFonts w:hint="eastAsia" w:hAnsi="宋体"/>
          <w:color w:val="000000"/>
          <w:sz w:val="24"/>
          <w:szCs w:val="24"/>
        </w:rPr>
        <w:t>供方在本合同项下提交货物和履行服务的价格在合同中给出。</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8" w:name="_Toc29334"/>
      <w:r>
        <w:rPr>
          <w:rFonts w:hint="eastAsia" w:ascii="宋体" w:hAnsi="宋体" w:eastAsia="宋体"/>
          <w:color w:val="000000"/>
          <w:sz w:val="24"/>
          <w:szCs w:val="24"/>
        </w:rPr>
        <w:t>变更指令</w:t>
      </w:r>
      <w:bookmarkEnd w:id="48"/>
    </w:p>
    <w:p>
      <w:pPr>
        <w:pStyle w:val="46"/>
        <w:numPr>
          <w:ilvl w:val="1"/>
          <w:numId w:val="35"/>
        </w:numPr>
        <w:spacing w:line="360" w:lineRule="auto"/>
        <w:rPr>
          <w:rFonts w:hAnsi="宋体"/>
          <w:color w:val="000000"/>
          <w:sz w:val="24"/>
          <w:szCs w:val="24"/>
        </w:rPr>
      </w:pPr>
      <w:r>
        <w:rPr>
          <w:rFonts w:hint="eastAsia" w:hAnsi="宋体"/>
          <w:color w:val="000000"/>
          <w:sz w:val="24"/>
          <w:szCs w:val="24"/>
        </w:rPr>
        <w:t>根据合同条款第35条的规定，需方可以在任何时候书面向供方发出指令，在本合同的一般范围内变更下述一项或几项：</w:t>
      </w:r>
    </w:p>
    <w:p>
      <w:pPr>
        <w:pStyle w:val="46"/>
        <w:numPr>
          <w:ilvl w:val="0"/>
          <w:numId w:val="36"/>
        </w:numPr>
        <w:spacing w:line="360" w:lineRule="auto"/>
        <w:rPr>
          <w:rFonts w:hAnsi="宋体"/>
          <w:color w:val="000000"/>
          <w:sz w:val="24"/>
          <w:szCs w:val="24"/>
        </w:rPr>
      </w:pPr>
      <w:r>
        <w:rPr>
          <w:rFonts w:hint="eastAsia" w:hAnsi="宋体"/>
          <w:color w:val="000000"/>
          <w:sz w:val="24"/>
          <w:szCs w:val="24"/>
        </w:rPr>
        <w:t>本合同项下提供的货物是专为需方制造时，变更图纸、设计或规格；</w:t>
      </w:r>
    </w:p>
    <w:p>
      <w:pPr>
        <w:pStyle w:val="46"/>
        <w:numPr>
          <w:ilvl w:val="0"/>
          <w:numId w:val="36"/>
        </w:numPr>
        <w:spacing w:line="360" w:lineRule="auto"/>
        <w:rPr>
          <w:rFonts w:hAnsi="宋体"/>
          <w:color w:val="000000"/>
          <w:sz w:val="24"/>
          <w:szCs w:val="24"/>
        </w:rPr>
      </w:pPr>
      <w:r>
        <w:rPr>
          <w:rFonts w:hint="eastAsia" w:hAnsi="宋体"/>
          <w:color w:val="000000"/>
          <w:sz w:val="24"/>
          <w:szCs w:val="24"/>
        </w:rPr>
        <w:t>运输或包装的方法；</w:t>
      </w:r>
    </w:p>
    <w:p>
      <w:pPr>
        <w:pStyle w:val="46"/>
        <w:numPr>
          <w:ilvl w:val="0"/>
          <w:numId w:val="36"/>
        </w:numPr>
        <w:spacing w:line="360" w:lineRule="auto"/>
        <w:rPr>
          <w:rFonts w:hAnsi="宋体"/>
          <w:color w:val="000000"/>
          <w:sz w:val="24"/>
          <w:szCs w:val="24"/>
        </w:rPr>
      </w:pPr>
      <w:r>
        <w:rPr>
          <w:rFonts w:hint="eastAsia" w:hAnsi="宋体"/>
          <w:color w:val="000000"/>
          <w:sz w:val="24"/>
          <w:szCs w:val="24"/>
        </w:rPr>
        <w:t>交货地点；</w:t>
      </w:r>
    </w:p>
    <w:p>
      <w:pPr>
        <w:pStyle w:val="46"/>
        <w:numPr>
          <w:ilvl w:val="0"/>
          <w:numId w:val="36"/>
        </w:numPr>
        <w:spacing w:line="360" w:lineRule="auto"/>
        <w:rPr>
          <w:rFonts w:hAnsi="宋体"/>
          <w:color w:val="000000"/>
          <w:sz w:val="24"/>
          <w:szCs w:val="24"/>
        </w:rPr>
      </w:pPr>
      <w:r>
        <w:rPr>
          <w:rFonts w:hint="eastAsia" w:hAnsi="宋体"/>
          <w:color w:val="000000"/>
          <w:sz w:val="24"/>
          <w:szCs w:val="24"/>
        </w:rPr>
        <w:t>供方提供的服务。</w:t>
      </w:r>
    </w:p>
    <w:p>
      <w:pPr>
        <w:pStyle w:val="46"/>
        <w:numPr>
          <w:ilvl w:val="1"/>
          <w:numId w:val="35"/>
        </w:numPr>
        <w:spacing w:line="360" w:lineRule="auto"/>
        <w:rPr>
          <w:rFonts w:hAnsi="宋体"/>
          <w:color w:val="000000"/>
          <w:sz w:val="24"/>
          <w:szCs w:val="24"/>
        </w:rPr>
      </w:pPr>
      <w:r>
        <w:rPr>
          <w:rFonts w:hint="eastAsia" w:hAnsi="宋体"/>
          <w:color w:val="000000"/>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49" w:name="_Toc24920"/>
      <w:r>
        <w:rPr>
          <w:rFonts w:hint="eastAsia" w:ascii="宋体" w:hAnsi="宋体" w:eastAsia="宋体"/>
          <w:color w:val="000000"/>
          <w:sz w:val="24"/>
          <w:szCs w:val="24"/>
        </w:rPr>
        <w:t>合同修改</w:t>
      </w:r>
      <w:bookmarkEnd w:id="49"/>
    </w:p>
    <w:p>
      <w:pPr>
        <w:pStyle w:val="46"/>
        <w:numPr>
          <w:ilvl w:val="1"/>
          <w:numId w:val="37"/>
        </w:numPr>
        <w:spacing w:line="360" w:lineRule="auto"/>
        <w:rPr>
          <w:rFonts w:hAnsi="宋体"/>
          <w:color w:val="000000"/>
          <w:sz w:val="24"/>
          <w:szCs w:val="24"/>
        </w:rPr>
      </w:pPr>
      <w:r>
        <w:rPr>
          <w:rFonts w:hint="eastAsia" w:hAnsi="宋体"/>
          <w:color w:val="000000"/>
          <w:sz w:val="24"/>
          <w:szCs w:val="24"/>
        </w:rPr>
        <w:t>除了合同条款第22条的情况，任何一方不应对合同条款进行任何变更或修改，除非双方协商同意并签订书面的合同修改书。</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0" w:name="_Toc31565"/>
      <w:r>
        <w:rPr>
          <w:rFonts w:hint="eastAsia" w:ascii="宋体" w:hAnsi="宋体" w:eastAsia="宋体"/>
          <w:color w:val="000000"/>
          <w:sz w:val="24"/>
          <w:szCs w:val="24"/>
        </w:rPr>
        <w:t>转让</w:t>
      </w:r>
      <w:bookmarkEnd w:id="50"/>
    </w:p>
    <w:p>
      <w:pPr>
        <w:pStyle w:val="46"/>
        <w:numPr>
          <w:ilvl w:val="1"/>
          <w:numId w:val="38"/>
        </w:numPr>
        <w:spacing w:line="360" w:lineRule="auto"/>
        <w:rPr>
          <w:rFonts w:hAnsi="宋体"/>
          <w:color w:val="000000"/>
          <w:sz w:val="24"/>
          <w:szCs w:val="24"/>
        </w:rPr>
      </w:pPr>
      <w:r>
        <w:rPr>
          <w:rFonts w:hint="eastAsia" w:hAnsi="宋体"/>
          <w:color w:val="000000"/>
          <w:sz w:val="24"/>
          <w:szCs w:val="24"/>
        </w:rPr>
        <w:t>除特殊情况下并经需方事先书面同意外，供方所应履行的合同义务的任何一部分均不得向其他方转让。</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1" w:name="_Toc13933"/>
      <w:r>
        <w:rPr>
          <w:rFonts w:hint="eastAsia" w:ascii="宋体" w:hAnsi="宋体" w:eastAsia="宋体"/>
          <w:color w:val="000000"/>
          <w:sz w:val="24"/>
          <w:szCs w:val="24"/>
        </w:rPr>
        <w:t>分包</w:t>
      </w:r>
      <w:bookmarkEnd w:id="51"/>
    </w:p>
    <w:p>
      <w:pPr>
        <w:pStyle w:val="46"/>
        <w:numPr>
          <w:ilvl w:val="1"/>
          <w:numId w:val="39"/>
        </w:numPr>
        <w:spacing w:line="360" w:lineRule="auto"/>
        <w:rPr>
          <w:rFonts w:hAnsi="宋体"/>
          <w:color w:val="000000"/>
          <w:sz w:val="24"/>
          <w:szCs w:val="24"/>
        </w:rPr>
      </w:pPr>
      <w:r>
        <w:rPr>
          <w:rFonts w:hint="eastAsia" w:hAnsi="宋体"/>
          <w:color w:val="000000"/>
          <w:sz w:val="24"/>
          <w:szCs w:val="24"/>
        </w:rPr>
        <w:t>不适用。</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2" w:name="_Toc30466"/>
      <w:r>
        <w:rPr>
          <w:rFonts w:hint="eastAsia" w:ascii="宋体" w:hAnsi="宋体" w:eastAsia="宋体"/>
          <w:color w:val="000000"/>
          <w:sz w:val="24"/>
          <w:szCs w:val="24"/>
        </w:rPr>
        <w:t>供方履约延误</w:t>
      </w:r>
      <w:bookmarkEnd w:id="52"/>
    </w:p>
    <w:p>
      <w:pPr>
        <w:pStyle w:val="46"/>
        <w:numPr>
          <w:ilvl w:val="1"/>
          <w:numId w:val="40"/>
        </w:numPr>
        <w:spacing w:line="360" w:lineRule="auto"/>
        <w:rPr>
          <w:rFonts w:hAnsi="宋体"/>
          <w:color w:val="000000"/>
          <w:sz w:val="24"/>
          <w:szCs w:val="24"/>
        </w:rPr>
      </w:pPr>
      <w:r>
        <w:rPr>
          <w:rFonts w:hint="eastAsia" w:hAnsi="宋体"/>
          <w:color w:val="000000"/>
          <w:sz w:val="24"/>
          <w:szCs w:val="24"/>
        </w:rPr>
        <w:t>供方应按照“招标项目需求及技术规格要求”中需方规定的时间表交货和提供服务。</w:t>
      </w:r>
    </w:p>
    <w:p>
      <w:pPr>
        <w:tabs>
          <w:tab w:val="left" w:pos="840"/>
        </w:tabs>
        <w:spacing w:line="360" w:lineRule="auto"/>
        <w:ind w:left="855" w:leftChars="407"/>
        <w:rPr>
          <w:rFonts w:ascii="宋体" w:hAnsi="宋体"/>
          <w:color w:val="000000"/>
          <w:sz w:val="24"/>
          <w:szCs w:val="24"/>
        </w:rPr>
      </w:pPr>
      <w:r>
        <w:rPr>
          <w:rFonts w:hint="eastAsia" w:ascii="宋体" w:hAnsi="宋体"/>
          <w:color w:val="000000"/>
          <w:sz w:val="24"/>
          <w:szCs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pStyle w:val="46"/>
        <w:numPr>
          <w:ilvl w:val="1"/>
          <w:numId w:val="40"/>
        </w:numPr>
        <w:spacing w:line="360" w:lineRule="auto"/>
        <w:rPr>
          <w:rFonts w:hAnsi="宋体"/>
          <w:color w:val="000000"/>
          <w:sz w:val="24"/>
          <w:szCs w:val="24"/>
        </w:rPr>
      </w:pPr>
      <w:r>
        <w:rPr>
          <w:rFonts w:hint="eastAsia" w:hAnsi="宋体"/>
          <w:color w:val="000000"/>
          <w:sz w:val="24"/>
          <w:szCs w:val="24"/>
        </w:rPr>
        <w:t>除了合同条款第29条的情况外，除非拖延是根据合同条款第26.2条的规定取得同意而不收取误期赔偿费之外，供方延误交货，将按合同条款第27条的规定被收取误期赔偿费。</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3" w:name="_Toc30870"/>
      <w:r>
        <w:rPr>
          <w:rFonts w:hint="eastAsia" w:ascii="宋体" w:hAnsi="宋体" w:eastAsia="宋体"/>
          <w:color w:val="000000"/>
          <w:sz w:val="24"/>
          <w:szCs w:val="24"/>
        </w:rPr>
        <w:t>误期赔偿费</w:t>
      </w:r>
      <w:bookmarkEnd w:id="53"/>
    </w:p>
    <w:p>
      <w:pPr>
        <w:pStyle w:val="46"/>
        <w:numPr>
          <w:ilvl w:val="1"/>
          <w:numId w:val="41"/>
        </w:numPr>
        <w:spacing w:line="360" w:lineRule="auto"/>
        <w:rPr>
          <w:rFonts w:hAnsi="宋体"/>
          <w:color w:val="000000"/>
          <w:sz w:val="24"/>
          <w:szCs w:val="24"/>
        </w:rPr>
      </w:pPr>
      <w:r>
        <w:rPr>
          <w:rFonts w:hint="eastAsia" w:hAnsi="宋体"/>
          <w:color w:val="000000"/>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贰点五(2.5％)计收，直至交货或提供服务为止。误期延误最多为两周。一旦达到误期最高期限，需方可考虑根据合同条款第28条的规定终止合同。</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4" w:name="_Toc7762"/>
      <w:r>
        <w:rPr>
          <w:rFonts w:hint="eastAsia" w:ascii="宋体" w:hAnsi="宋体" w:eastAsia="宋体"/>
          <w:color w:val="000000"/>
          <w:sz w:val="24"/>
          <w:szCs w:val="24"/>
        </w:rPr>
        <w:t>违约终止合同</w:t>
      </w:r>
      <w:bookmarkEnd w:id="54"/>
    </w:p>
    <w:p>
      <w:pPr>
        <w:pStyle w:val="46"/>
        <w:numPr>
          <w:ilvl w:val="1"/>
          <w:numId w:val="42"/>
        </w:numPr>
        <w:spacing w:line="360" w:lineRule="auto"/>
        <w:rPr>
          <w:rFonts w:hAnsi="宋体"/>
          <w:color w:val="000000"/>
          <w:sz w:val="24"/>
          <w:szCs w:val="24"/>
        </w:rPr>
      </w:pPr>
      <w:r>
        <w:rPr>
          <w:rFonts w:hint="eastAsia" w:hAnsi="宋体"/>
          <w:color w:val="000000"/>
          <w:sz w:val="24"/>
          <w:szCs w:val="24"/>
        </w:rPr>
        <w:t>在需方对供方违约而采取的任何补救措施不受影响的情况下，需方可向供方发出书面违约通知书，提出终止部分或全部合同：</w:t>
      </w:r>
    </w:p>
    <w:p>
      <w:pPr>
        <w:pStyle w:val="46"/>
        <w:numPr>
          <w:ilvl w:val="0"/>
          <w:numId w:val="43"/>
        </w:numPr>
        <w:spacing w:line="360" w:lineRule="auto"/>
        <w:rPr>
          <w:rFonts w:hAnsi="宋体"/>
          <w:color w:val="000000"/>
          <w:sz w:val="24"/>
          <w:szCs w:val="24"/>
        </w:rPr>
      </w:pPr>
      <w:r>
        <w:rPr>
          <w:rFonts w:hint="eastAsia" w:hAnsi="宋体"/>
          <w:color w:val="000000"/>
          <w:sz w:val="24"/>
          <w:szCs w:val="24"/>
        </w:rPr>
        <w:t>如果供方未能在合同规定的期限内或需方根据合同条款第26条的规定同意延长的期限内提供部分或全部货物；</w:t>
      </w:r>
    </w:p>
    <w:p>
      <w:pPr>
        <w:pStyle w:val="46"/>
        <w:numPr>
          <w:ilvl w:val="0"/>
          <w:numId w:val="43"/>
        </w:numPr>
        <w:spacing w:line="360" w:lineRule="auto"/>
        <w:rPr>
          <w:rFonts w:hAnsi="宋体"/>
          <w:color w:val="000000"/>
          <w:sz w:val="24"/>
          <w:szCs w:val="24"/>
        </w:rPr>
      </w:pPr>
      <w:r>
        <w:rPr>
          <w:rFonts w:hint="eastAsia" w:hAnsi="宋体"/>
          <w:color w:val="000000"/>
          <w:sz w:val="24"/>
          <w:szCs w:val="24"/>
        </w:rPr>
        <w:t>如果供方未能履行合同规定的其它任何项义务。</w:t>
      </w:r>
    </w:p>
    <w:p>
      <w:pPr>
        <w:pStyle w:val="46"/>
        <w:numPr>
          <w:ilvl w:val="0"/>
          <w:numId w:val="43"/>
        </w:numPr>
        <w:spacing w:line="360" w:lineRule="auto"/>
        <w:rPr>
          <w:rFonts w:hAnsi="宋体"/>
          <w:color w:val="000000"/>
          <w:sz w:val="24"/>
          <w:szCs w:val="24"/>
        </w:rPr>
      </w:pPr>
      <w:r>
        <w:rPr>
          <w:rFonts w:hint="eastAsia" w:hAnsi="宋体"/>
          <w:color w:val="000000"/>
          <w:sz w:val="24"/>
          <w:szCs w:val="24"/>
        </w:rPr>
        <w:t>如果需方认为供方在本合同的竞争和实施过程中有腐败和欺诈行为。其定义如下：</w:t>
      </w:r>
    </w:p>
    <w:p>
      <w:pPr>
        <w:pStyle w:val="46"/>
        <w:numPr>
          <w:ilvl w:val="2"/>
          <w:numId w:val="12"/>
        </w:numPr>
        <w:tabs>
          <w:tab w:val="left" w:pos="1080"/>
          <w:tab w:val="clear" w:pos="1260"/>
        </w:tabs>
        <w:spacing w:line="360" w:lineRule="auto"/>
        <w:ind w:left="1080" w:firstLine="0"/>
        <w:rPr>
          <w:rFonts w:hAnsi="宋体"/>
          <w:color w:val="000000"/>
          <w:sz w:val="24"/>
          <w:szCs w:val="24"/>
        </w:rPr>
      </w:pPr>
      <w:r>
        <w:rPr>
          <w:rFonts w:hint="eastAsia" w:hAnsi="宋体"/>
          <w:color w:val="000000"/>
          <w:sz w:val="24"/>
          <w:szCs w:val="24"/>
        </w:rPr>
        <w:t>腐败行为：是指提供、给予、接受或索取任何有价值的物品来影响需方在采购过程或合同实施过程中的行为。</w:t>
      </w:r>
    </w:p>
    <w:p>
      <w:pPr>
        <w:pStyle w:val="46"/>
        <w:numPr>
          <w:ilvl w:val="2"/>
          <w:numId w:val="12"/>
        </w:numPr>
        <w:tabs>
          <w:tab w:val="left" w:pos="1080"/>
          <w:tab w:val="clear" w:pos="1260"/>
        </w:tabs>
        <w:spacing w:line="360" w:lineRule="auto"/>
        <w:ind w:left="1080" w:firstLine="0"/>
        <w:rPr>
          <w:rFonts w:hAnsi="宋体"/>
          <w:color w:val="000000"/>
          <w:sz w:val="24"/>
          <w:szCs w:val="24"/>
        </w:rPr>
      </w:pPr>
      <w:r>
        <w:rPr>
          <w:rFonts w:hint="eastAsia" w:hAnsi="宋体"/>
          <w:color w:val="000000"/>
          <w:sz w:val="24"/>
          <w:szCs w:val="24"/>
        </w:rPr>
        <w:t>欺诈行为：是指为了影响采购过程或合同实施过程而谎报或隐瞒事实，提供不满足合同要求的货物，损害需方利益的行为。</w:t>
      </w:r>
    </w:p>
    <w:p>
      <w:pPr>
        <w:pStyle w:val="46"/>
        <w:numPr>
          <w:ilvl w:val="1"/>
          <w:numId w:val="42"/>
        </w:numPr>
        <w:spacing w:line="360" w:lineRule="auto"/>
        <w:rPr>
          <w:rFonts w:hAnsi="宋体"/>
          <w:color w:val="000000"/>
          <w:sz w:val="24"/>
          <w:szCs w:val="24"/>
        </w:rPr>
      </w:pPr>
      <w:r>
        <w:rPr>
          <w:rFonts w:hint="eastAsia" w:hAnsi="宋体"/>
          <w:color w:val="000000"/>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5" w:name="_Toc4197"/>
      <w:r>
        <w:rPr>
          <w:rFonts w:hint="eastAsia" w:ascii="宋体" w:hAnsi="宋体" w:eastAsia="宋体"/>
          <w:color w:val="000000"/>
          <w:sz w:val="24"/>
          <w:szCs w:val="24"/>
        </w:rPr>
        <w:t>不可抗力</w:t>
      </w:r>
      <w:bookmarkEnd w:id="55"/>
    </w:p>
    <w:p>
      <w:pPr>
        <w:pStyle w:val="46"/>
        <w:numPr>
          <w:ilvl w:val="1"/>
          <w:numId w:val="44"/>
        </w:numPr>
        <w:spacing w:line="360" w:lineRule="auto"/>
        <w:rPr>
          <w:rFonts w:hAnsi="宋体"/>
          <w:color w:val="000000"/>
          <w:sz w:val="24"/>
          <w:szCs w:val="24"/>
        </w:rPr>
      </w:pPr>
      <w:r>
        <w:rPr>
          <w:rFonts w:hint="eastAsia" w:hAnsi="宋体"/>
          <w:color w:val="000000"/>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pStyle w:val="46"/>
        <w:numPr>
          <w:ilvl w:val="1"/>
          <w:numId w:val="44"/>
        </w:numPr>
        <w:spacing w:line="360" w:lineRule="auto"/>
        <w:rPr>
          <w:rFonts w:hAnsi="宋体"/>
          <w:color w:val="000000"/>
          <w:sz w:val="24"/>
          <w:szCs w:val="24"/>
        </w:rPr>
      </w:pPr>
      <w:r>
        <w:rPr>
          <w:rFonts w:hint="eastAsia" w:hAnsi="宋体"/>
          <w:color w:val="000000"/>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6" w:name="_Toc10315"/>
      <w:r>
        <w:rPr>
          <w:rFonts w:hint="eastAsia" w:ascii="宋体" w:hAnsi="宋体" w:eastAsia="宋体"/>
          <w:color w:val="000000"/>
          <w:sz w:val="24"/>
          <w:szCs w:val="24"/>
        </w:rPr>
        <w:t>因破产而终止合同</w:t>
      </w:r>
      <w:bookmarkEnd w:id="56"/>
    </w:p>
    <w:p>
      <w:pPr>
        <w:pStyle w:val="46"/>
        <w:numPr>
          <w:ilvl w:val="1"/>
          <w:numId w:val="45"/>
        </w:numPr>
        <w:spacing w:line="360" w:lineRule="auto"/>
        <w:rPr>
          <w:rFonts w:hAnsi="宋体"/>
          <w:color w:val="000000"/>
          <w:sz w:val="24"/>
          <w:szCs w:val="24"/>
        </w:rPr>
      </w:pPr>
      <w:r>
        <w:rPr>
          <w:rFonts w:hint="eastAsia" w:hAnsi="宋体"/>
          <w:color w:val="000000"/>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7" w:name="_Toc3689"/>
      <w:r>
        <w:rPr>
          <w:rFonts w:hint="eastAsia" w:ascii="宋体" w:hAnsi="宋体" w:eastAsia="宋体"/>
          <w:color w:val="000000"/>
          <w:sz w:val="24"/>
          <w:szCs w:val="24"/>
        </w:rPr>
        <w:t>因需方的便利而终止合同</w:t>
      </w:r>
      <w:bookmarkEnd w:id="57"/>
    </w:p>
    <w:p>
      <w:pPr>
        <w:pStyle w:val="46"/>
        <w:numPr>
          <w:ilvl w:val="1"/>
          <w:numId w:val="46"/>
        </w:numPr>
        <w:spacing w:line="360" w:lineRule="auto"/>
        <w:rPr>
          <w:rFonts w:hAnsi="宋体"/>
          <w:color w:val="000000"/>
          <w:sz w:val="24"/>
          <w:szCs w:val="24"/>
        </w:rPr>
      </w:pPr>
      <w:r>
        <w:rPr>
          <w:rFonts w:hint="eastAsia" w:hAnsi="宋体"/>
          <w:color w:val="000000"/>
          <w:sz w:val="24"/>
          <w:szCs w:val="24"/>
        </w:rPr>
        <w:t>需方可在任何时候出于自身的便利向供方发出书面通知全部或部分终止合同，终止通知应明确该终止合同是出于需方的便利，并明确合同终止的程度，以及终止的生效日期。</w:t>
      </w:r>
    </w:p>
    <w:p>
      <w:pPr>
        <w:pStyle w:val="46"/>
        <w:numPr>
          <w:ilvl w:val="1"/>
          <w:numId w:val="46"/>
        </w:numPr>
        <w:spacing w:line="360" w:lineRule="auto"/>
        <w:rPr>
          <w:rFonts w:hAnsi="宋体"/>
          <w:color w:val="000000"/>
          <w:sz w:val="24"/>
          <w:szCs w:val="24"/>
        </w:rPr>
      </w:pPr>
      <w:r>
        <w:rPr>
          <w:rFonts w:hint="eastAsia" w:hAnsi="宋体"/>
          <w:color w:val="000000"/>
          <w:sz w:val="24"/>
          <w:szCs w:val="24"/>
        </w:rPr>
        <w:t>对供方在收到终止通知后二十(20)天内已完成并准备装运的货物，需方应按原合同价格和条款予以接收，对于剩下的货物，需方可：</w:t>
      </w:r>
    </w:p>
    <w:p>
      <w:pPr>
        <w:pStyle w:val="46"/>
        <w:numPr>
          <w:ilvl w:val="0"/>
          <w:numId w:val="47"/>
        </w:numPr>
        <w:spacing w:line="360" w:lineRule="auto"/>
        <w:rPr>
          <w:rFonts w:hAnsi="宋体"/>
          <w:color w:val="000000"/>
          <w:sz w:val="24"/>
          <w:szCs w:val="24"/>
        </w:rPr>
      </w:pPr>
      <w:r>
        <w:rPr>
          <w:rFonts w:hint="eastAsia" w:hAnsi="宋体"/>
          <w:color w:val="000000"/>
          <w:sz w:val="24"/>
          <w:szCs w:val="24"/>
        </w:rPr>
        <w:t>仅对部分货物按照原来的合同价格和条款予以接受；或</w:t>
      </w:r>
    </w:p>
    <w:p>
      <w:pPr>
        <w:pStyle w:val="46"/>
        <w:numPr>
          <w:ilvl w:val="0"/>
          <w:numId w:val="47"/>
        </w:numPr>
        <w:spacing w:line="360" w:lineRule="auto"/>
        <w:rPr>
          <w:rFonts w:hAnsi="宋体"/>
          <w:color w:val="000000"/>
          <w:sz w:val="24"/>
          <w:szCs w:val="24"/>
        </w:rPr>
      </w:pPr>
      <w:r>
        <w:rPr>
          <w:rFonts w:hint="eastAsia" w:hAnsi="宋体"/>
          <w:color w:val="000000"/>
          <w:sz w:val="24"/>
          <w:szCs w:val="24"/>
        </w:rPr>
        <w:t>取消对所剩货物的采购，并按双方商定的金额向供方支付部分完成的货物和服务以及供方以前已采购的材料和部件的费用。</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8" w:name="_Toc10769"/>
      <w:r>
        <w:rPr>
          <w:rFonts w:hint="eastAsia" w:ascii="宋体" w:hAnsi="宋体" w:eastAsia="宋体"/>
          <w:color w:val="000000"/>
          <w:sz w:val="24"/>
          <w:szCs w:val="24"/>
        </w:rPr>
        <w:t>争端的解决</w:t>
      </w:r>
      <w:bookmarkEnd w:id="58"/>
    </w:p>
    <w:p>
      <w:pPr>
        <w:pStyle w:val="46"/>
        <w:numPr>
          <w:ilvl w:val="1"/>
          <w:numId w:val="48"/>
        </w:numPr>
        <w:spacing w:line="360" w:lineRule="auto"/>
        <w:rPr>
          <w:rFonts w:hAnsi="宋体"/>
          <w:color w:val="000000"/>
          <w:sz w:val="24"/>
          <w:szCs w:val="24"/>
        </w:rPr>
      </w:pPr>
      <w:r>
        <w:rPr>
          <w:rFonts w:hint="eastAsia" w:hAnsi="宋体"/>
          <w:color w:val="000000"/>
          <w:sz w:val="24"/>
          <w:szCs w:val="24"/>
        </w:rPr>
        <w:t>合同实施或与合同有关的一切争端应通过双方协商解决。如果协商开始后三十(30) 天还不能解决，争端应提请有管辖权的政府采购管理机构按有关规则进行裁解或提交甲方所在地人民法院按有关规则和程序裁决。</w:t>
      </w:r>
    </w:p>
    <w:p>
      <w:pPr>
        <w:pStyle w:val="46"/>
        <w:numPr>
          <w:ilvl w:val="1"/>
          <w:numId w:val="48"/>
        </w:numPr>
        <w:spacing w:line="360" w:lineRule="auto"/>
        <w:rPr>
          <w:rFonts w:hAnsi="宋体"/>
          <w:color w:val="000000"/>
          <w:sz w:val="24"/>
          <w:szCs w:val="24"/>
        </w:rPr>
      </w:pPr>
      <w:r>
        <w:rPr>
          <w:rFonts w:hint="eastAsia" w:hAnsi="宋体"/>
          <w:color w:val="000000"/>
          <w:sz w:val="24"/>
          <w:szCs w:val="24"/>
        </w:rPr>
        <w:t>人民法院裁决应为最终裁决，对双方均具有约束力。</w:t>
      </w:r>
    </w:p>
    <w:p>
      <w:pPr>
        <w:pStyle w:val="46"/>
        <w:numPr>
          <w:ilvl w:val="1"/>
          <w:numId w:val="48"/>
        </w:numPr>
        <w:spacing w:line="360" w:lineRule="auto"/>
        <w:rPr>
          <w:rFonts w:hAnsi="宋体"/>
          <w:color w:val="000000"/>
          <w:sz w:val="24"/>
          <w:szCs w:val="24"/>
        </w:rPr>
      </w:pPr>
      <w:r>
        <w:rPr>
          <w:rFonts w:hint="eastAsia" w:hAnsi="宋体"/>
          <w:color w:val="000000"/>
          <w:sz w:val="24"/>
          <w:szCs w:val="24"/>
        </w:rPr>
        <w:t>诉讼费用除人民法院另有裁决外均应由败诉方负担。</w:t>
      </w:r>
    </w:p>
    <w:p>
      <w:pPr>
        <w:pStyle w:val="46"/>
        <w:numPr>
          <w:ilvl w:val="1"/>
          <w:numId w:val="48"/>
        </w:numPr>
        <w:spacing w:line="360" w:lineRule="auto"/>
        <w:rPr>
          <w:rFonts w:hAnsi="宋体"/>
          <w:color w:val="000000"/>
          <w:sz w:val="24"/>
          <w:szCs w:val="24"/>
        </w:rPr>
      </w:pPr>
      <w:r>
        <w:rPr>
          <w:rFonts w:hint="eastAsia" w:hAnsi="宋体"/>
          <w:color w:val="000000"/>
          <w:sz w:val="24"/>
          <w:szCs w:val="24"/>
        </w:rPr>
        <w:t>在诉讼期间，除正在进行诉讼的部分外，本合同其它部分应继续执行。</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59" w:name="_Toc9922"/>
      <w:r>
        <w:rPr>
          <w:rFonts w:hint="eastAsia" w:ascii="宋体" w:hAnsi="宋体" w:eastAsia="宋体"/>
          <w:color w:val="000000"/>
          <w:sz w:val="24"/>
          <w:szCs w:val="24"/>
        </w:rPr>
        <w:t>合同语言</w:t>
      </w:r>
      <w:bookmarkEnd w:id="59"/>
    </w:p>
    <w:p>
      <w:pPr>
        <w:pStyle w:val="46"/>
        <w:numPr>
          <w:ilvl w:val="1"/>
          <w:numId w:val="49"/>
        </w:numPr>
        <w:spacing w:line="360" w:lineRule="auto"/>
        <w:rPr>
          <w:rFonts w:hAnsi="宋体"/>
          <w:color w:val="000000"/>
          <w:sz w:val="24"/>
          <w:szCs w:val="24"/>
        </w:rPr>
      </w:pPr>
      <w:r>
        <w:rPr>
          <w:rFonts w:hint="eastAsia" w:hAnsi="宋体"/>
          <w:color w:val="000000"/>
          <w:sz w:val="24"/>
          <w:szCs w:val="24"/>
        </w:rPr>
        <w:t>除非双方另行同意，本合同语言为汉语。双方交换的与合同有关的信函应用合同语言书写。</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60" w:name="_Toc21669"/>
      <w:r>
        <w:rPr>
          <w:rFonts w:hint="eastAsia" w:ascii="宋体" w:hAnsi="宋体" w:eastAsia="宋体"/>
          <w:color w:val="000000"/>
          <w:sz w:val="24"/>
          <w:szCs w:val="24"/>
        </w:rPr>
        <w:t>适用法律</w:t>
      </w:r>
      <w:bookmarkEnd w:id="60"/>
    </w:p>
    <w:p>
      <w:pPr>
        <w:pStyle w:val="46"/>
        <w:numPr>
          <w:ilvl w:val="1"/>
          <w:numId w:val="50"/>
        </w:numPr>
        <w:spacing w:line="360" w:lineRule="auto"/>
        <w:rPr>
          <w:rFonts w:hAnsi="宋体"/>
          <w:color w:val="000000"/>
          <w:sz w:val="24"/>
          <w:szCs w:val="24"/>
        </w:rPr>
      </w:pPr>
      <w:r>
        <w:rPr>
          <w:rFonts w:hint="eastAsia" w:hAnsi="宋体"/>
          <w:color w:val="000000"/>
          <w:sz w:val="24"/>
          <w:szCs w:val="24"/>
        </w:rPr>
        <w:t>本合同应按照中华人民共和国的法律进行解释。</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61" w:name="_Toc26180"/>
      <w:r>
        <w:rPr>
          <w:rFonts w:hint="eastAsia" w:ascii="宋体" w:hAnsi="宋体" w:eastAsia="宋体"/>
          <w:color w:val="000000"/>
          <w:sz w:val="24"/>
          <w:szCs w:val="24"/>
        </w:rPr>
        <w:t>通知</w:t>
      </w:r>
      <w:bookmarkEnd w:id="61"/>
    </w:p>
    <w:p>
      <w:pPr>
        <w:pStyle w:val="46"/>
        <w:numPr>
          <w:ilvl w:val="1"/>
          <w:numId w:val="51"/>
        </w:numPr>
        <w:spacing w:line="360" w:lineRule="auto"/>
        <w:rPr>
          <w:rFonts w:hAnsi="宋体"/>
          <w:color w:val="000000"/>
          <w:sz w:val="24"/>
          <w:szCs w:val="24"/>
        </w:rPr>
      </w:pPr>
      <w:r>
        <w:rPr>
          <w:rFonts w:hint="eastAsia" w:hAnsi="宋体"/>
          <w:color w:val="000000"/>
          <w:sz w:val="24"/>
          <w:szCs w:val="24"/>
        </w:rPr>
        <w:t>本合同一方给对方的通知应用书面形式送到“合同专用条款资料表”中规定的对方的地址。</w:t>
      </w:r>
    </w:p>
    <w:p>
      <w:pPr>
        <w:pStyle w:val="46"/>
        <w:numPr>
          <w:ilvl w:val="1"/>
          <w:numId w:val="51"/>
        </w:numPr>
        <w:spacing w:line="360" w:lineRule="auto"/>
        <w:rPr>
          <w:rFonts w:hAnsi="宋体"/>
          <w:color w:val="000000"/>
          <w:sz w:val="24"/>
          <w:szCs w:val="24"/>
        </w:rPr>
      </w:pPr>
      <w:r>
        <w:rPr>
          <w:rFonts w:hint="eastAsia" w:hAnsi="宋体"/>
          <w:color w:val="000000"/>
          <w:sz w:val="24"/>
          <w:szCs w:val="24"/>
        </w:rPr>
        <w:t>通知以送到日期或通知书的生效日期为生效日期，两者中以晚的一个日期为准。</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62" w:name="_Toc2561"/>
      <w:r>
        <w:rPr>
          <w:rFonts w:hint="eastAsia" w:ascii="宋体" w:hAnsi="宋体" w:eastAsia="宋体"/>
          <w:color w:val="000000"/>
          <w:sz w:val="24"/>
          <w:szCs w:val="24"/>
        </w:rPr>
        <w:t>税</w:t>
      </w:r>
      <w:bookmarkEnd w:id="62"/>
    </w:p>
    <w:p>
      <w:pPr>
        <w:pStyle w:val="46"/>
        <w:numPr>
          <w:ilvl w:val="1"/>
          <w:numId w:val="52"/>
        </w:numPr>
        <w:spacing w:line="360" w:lineRule="auto"/>
        <w:rPr>
          <w:rFonts w:hAnsi="宋体"/>
          <w:iCs/>
          <w:color w:val="000000"/>
          <w:sz w:val="24"/>
          <w:szCs w:val="24"/>
        </w:rPr>
      </w:pPr>
      <w:r>
        <w:rPr>
          <w:rFonts w:hint="eastAsia" w:hAnsi="宋体"/>
          <w:iCs/>
          <w:color w:val="000000"/>
          <w:sz w:val="24"/>
          <w:szCs w:val="24"/>
        </w:rPr>
        <w:t>在本合同项下提供的货物及实施与本合同有关的伴随服务，则根据中华人民共和国现行税法对供方征收的与本合同有关的一切税费均应由供方负担。</w:t>
      </w:r>
    </w:p>
    <w:p>
      <w:pPr>
        <w:pStyle w:val="6"/>
        <w:numPr>
          <w:ilvl w:val="0"/>
          <w:numId w:val="12"/>
        </w:numPr>
        <w:tabs>
          <w:tab w:val="clear" w:pos="840"/>
        </w:tabs>
        <w:spacing w:before="0" w:after="0" w:line="360" w:lineRule="auto"/>
        <w:jc w:val="both"/>
        <w:rPr>
          <w:rFonts w:ascii="宋体" w:hAnsi="宋体" w:eastAsia="宋体"/>
          <w:color w:val="000000"/>
          <w:sz w:val="24"/>
          <w:szCs w:val="24"/>
        </w:rPr>
      </w:pPr>
      <w:bookmarkStart w:id="63" w:name="_Toc21937"/>
      <w:r>
        <w:rPr>
          <w:rFonts w:hint="eastAsia" w:ascii="宋体" w:hAnsi="宋体" w:eastAsia="宋体"/>
          <w:color w:val="000000"/>
          <w:sz w:val="24"/>
          <w:szCs w:val="24"/>
        </w:rPr>
        <w:t>合同生效及其他</w:t>
      </w:r>
      <w:bookmarkEnd w:id="63"/>
    </w:p>
    <w:p>
      <w:pPr>
        <w:pStyle w:val="46"/>
        <w:numPr>
          <w:ilvl w:val="1"/>
          <w:numId w:val="53"/>
        </w:numPr>
        <w:spacing w:line="360" w:lineRule="auto"/>
        <w:rPr>
          <w:rFonts w:hAnsi="宋体"/>
          <w:color w:val="000000"/>
          <w:sz w:val="24"/>
          <w:szCs w:val="24"/>
        </w:rPr>
      </w:pPr>
      <w:r>
        <w:rPr>
          <w:rFonts w:hint="eastAsia" w:hAnsi="宋体"/>
          <w:color w:val="000000"/>
          <w:sz w:val="24"/>
          <w:szCs w:val="24"/>
        </w:rPr>
        <w:t>本合同应在双方签字和需方收到供方提交的履约保证金后生效。</w:t>
      </w:r>
    </w:p>
    <w:p>
      <w:pPr>
        <w:pStyle w:val="46"/>
        <w:numPr>
          <w:ilvl w:val="1"/>
          <w:numId w:val="53"/>
        </w:numPr>
        <w:spacing w:line="360" w:lineRule="auto"/>
        <w:rPr>
          <w:rFonts w:hAnsi="宋体"/>
          <w:color w:val="000000"/>
          <w:sz w:val="24"/>
          <w:szCs w:val="24"/>
        </w:rPr>
      </w:pPr>
      <w:r>
        <w:rPr>
          <w:rFonts w:hint="eastAsia" w:hAnsi="宋体"/>
          <w:color w:val="000000"/>
          <w:sz w:val="24"/>
          <w:szCs w:val="24"/>
        </w:rPr>
        <w:t>如果本合同中的非中华人民共和国境内生产的货物需要进出口许可证，应由供方负责办理，费用自理。</w:t>
      </w:r>
    </w:p>
    <w:p>
      <w:pPr>
        <w:pStyle w:val="46"/>
        <w:numPr>
          <w:ilvl w:val="1"/>
          <w:numId w:val="53"/>
        </w:numPr>
        <w:spacing w:line="360" w:lineRule="auto"/>
        <w:rPr>
          <w:rFonts w:hAnsi="宋体"/>
          <w:color w:val="000000"/>
          <w:sz w:val="24"/>
          <w:szCs w:val="24"/>
        </w:rPr>
      </w:pPr>
      <w:r>
        <w:rPr>
          <w:rFonts w:hint="eastAsia" w:hAnsi="宋体"/>
          <w:color w:val="000000"/>
          <w:sz w:val="24"/>
          <w:szCs w:val="24"/>
        </w:rPr>
        <w:t>下述合同附件为本合同不可分割的部分并与本合同具有同等效力：</w:t>
      </w:r>
    </w:p>
    <w:p>
      <w:pPr>
        <w:pStyle w:val="46"/>
        <w:numPr>
          <w:ilvl w:val="0"/>
          <w:numId w:val="54"/>
        </w:numPr>
        <w:spacing w:line="360" w:lineRule="auto"/>
        <w:rPr>
          <w:rFonts w:hAnsi="宋体"/>
          <w:color w:val="000000"/>
          <w:sz w:val="24"/>
          <w:szCs w:val="24"/>
        </w:rPr>
      </w:pPr>
      <w:r>
        <w:rPr>
          <w:rFonts w:hint="eastAsia" w:hAnsi="宋体"/>
          <w:color w:val="000000"/>
          <w:sz w:val="24"/>
          <w:szCs w:val="24"/>
        </w:rPr>
        <w:t>供货范围及分项价格表</w:t>
      </w:r>
    </w:p>
    <w:p>
      <w:pPr>
        <w:pStyle w:val="46"/>
        <w:numPr>
          <w:ilvl w:val="0"/>
          <w:numId w:val="54"/>
        </w:numPr>
        <w:spacing w:line="360" w:lineRule="auto"/>
        <w:rPr>
          <w:rFonts w:hAnsi="宋体"/>
          <w:color w:val="000000"/>
          <w:sz w:val="24"/>
          <w:szCs w:val="24"/>
        </w:rPr>
      </w:pPr>
      <w:r>
        <w:rPr>
          <w:rFonts w:hint="eastAsia" w:hAnsi="宋体"/>
          <w:color w:val="000000"/>
          <w:sz w:val="24"/>
          <w:szCs w:val="24"/>
        </w:rPr>
        <w:t>技术规格</w:t>
      </w:r>
    </w:p>
    <w:p>
      <w:pPr>
        <w:pStyle w:val="46"/>
        <w:numPr>
          <w:ilvl w:val="0"/>
          <w:numId w:val="54"/>
        </w:numPr>
        <w:spacing w:line="360" w:lineRule="auto"/>
        <w:jc w:val="left"/>
        <w:rPr>
          <w:rFonts w:hAnsi="宋体"/>
          <w:color w:val="000000"/>
          <w:sz w:val="24"/>
          <w:szCs w:val="24"/>
        </w:rPr>
      </w:pPr>
      <w:r>
        <w:rPr>
          <w:rFonts w:hint="eastAsia" w:hAnsi="宋体"/>
          <w:color w:val="000000"/>
          <w:sz w:val="24"/>
          <w:szCs w:val="24"/>
        </w:rPr>
        <w:t>交货计划</w:t>
      </w:r>
    </w:p>
    <w:p>
      <w:pPr>
        <w:pStyle w:val="46"/>
        <w:numPr>
          <w:ilvl w:val="0"/>
          <w:numId w:val="54"/>
        </w:numPr>
        <w:spacing w:line="360" w:lineRule="auto"/>
        <w:jc w:val="left"/>
        <w:rPr>
          <w:rFonts w:hAnsi="宋体"/>
          <w:color w:val="000000"/>
          <w:sz w:val="24"/>
          <w:szCs w:val="24"/>
        </w:rPr>
      </w:pPr>
      <w:r>
        <w:rPr>
          <w:rFonts w:hint="eastAsia" w:hAnsi="宋体"/>
          <w:color w:val="000000"/>
          <w:sz w:val="24"/>
          <w:szCs w:val="24"/>
        </w:rPr>
        <w:t>合同资料表中规定的其他附件</w:t>
      </w:r>
    </w:p>
    <w:p>
      <w:pPr>
        <w:pStyle w:val="5"/>
        <w:spacing w:line="240" w:lineRule="auto"/>
        <w:rPr>
          <w:rStyle w:val="212"/>
          <w:b w:val="0"/>
        </w:rPr>
      </w:pPr>
      <w:r>
        <w:rPr>
          <w:rFonts w:hint="eastAsia" w:ascii="宋体" w:hAnsi="宋体" w:eastAsia="宋体"/>
          <w:color w:val="000000"/>
        </w:rPr>
        <w:br w:type="page"/>
      </w:r>
      <w:bookmarkStart w:id="64" w:name="_Toc19419"/>
      <w:r>
        <w:rPr>
          <w:rStyle w:val="212"/>
          <w:rFonts w:hint="eastAsia"/>
          <w:b w:val="0"/>
        </w:rPr>
        <w:t>第四章 合同基本格式</w:t>
      </w:r>
      <w:bookmarkEnd w:id="64"/>
    </w:p>
    <w:p>
      <w:pPr>
        <w:rPr>
          <w:rFonts w:eastAsia="黑体"/>
          <w:sz w:val="28"/>
        </w:rPr>
      </w:pPr>
      <w:r>
        <w:rPr>
          <w:rFonts w:hint="eastAsia" w:eastAsia="黑体"/>
          <w:sz w:val="28"/>
        </w:rPr>
        <w:t>合同编号：</w:t>
      </w:r>
    </w:p>
    <w:p>
      <w:pPr>
        <w:jc w:val="center"/>
        <w:rPr>
          <w:rFonts w:eastAsia="黑体"/>
          <w:sz w:val="52"/>
        </w:rPr>
      </w:pPr>
    </w:p>
    <w:p>
      <w:pPr>
        <w:jc w:val="center"/>
        <w:rPr>
          <w:rFonts w:eastAsia="黑体"/>
          <w:sz w:val="52"/>
        </w:rPr>
      </w:pPr>
      <w:r>
        <w:rPr>
          <w:rFonts w:hint="eastAsia" w:eastAsia="黑体"/>
          <w:sz w:val="52"/>
        </w:rPr>
        <w:t>货物（</w:t>
      </w:r>
      <w:r>
        <w:rPr>
          <w:rFonts w:hint="eastAsia" w:eastAsia="黑体"/>
          <w:sz w:val="52"/>
          <w:u w:val="single"/>
        </w:rPr>
        <w:t>设备</w:t>
      </w:r>
      <w:r>
        <w:rPr>
          <w:rFonts w:hint="eastAsia" w:eastAsia="黑体"/>
          <w:sz w:val="52"/>
        </w:rPr>
        <w:t>）采购合同</w:t>
      </w:r>
    </w:p>
    <w:p>
      <w:pPr>
        <w:jc w:val="center"/>
        <w:rPr>
          <w:rFonts w:eastAsia="黑体"/>
          <w:sz w:val="36"/>
        </w:rPr>
      </w:pPr>
    </w:p>
    <w:p>
      <w:pPr>
        <w:jc w:val="center"/>
        <w:rPr>
          <w:rFonts w:eastAsia="黑体"/>
          <w:sz w:val="36"/>
        </w:rPr>
      </w:pPr>
    </w:p>
    <w:p>
      <w:pPr>
        <w:rPr>
          <w:rFonts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pPr>
        <w:rPr>
          <w:rFonts w:ascii="宋体" w:hAnsi="宋体"/>
          <w:sz w:val="36"/>
          <w:u w:val="single"/>
        </w:rPr>
      </w:pPr>
    </w:p>
    <w:p>
      <w:pPr>
        <w:rPr>
          <w:rFonts w:ascii="宋体" w:hAnsi="宋体"/>
          <w:sz w:val="36"/>
          <w:u w:val="single"/>
        </w:rPr>
      </w:pPr>
      <w:r>
        <w:rPr>
          <w:rFonts w:hint="eastAsia" w:ascii="宋体" w:hAnsi="宋体"/>
          <w:sz w:val="36"/>
        </w:rPr>
        <w:t xml:space="preserve">      买方（甲方）：</w:t>
      </w:r>
      <w:r>
        <w:rPr>
          <w:rFonts w:hint="eastAsia" w:ascii="宋体" w:hAnsi="宋体"/>
          <w:sz w:val="36"/>
          <w:u w:val="single"/>
        </w:rPr>
        <w:t xml:space="preserve">                    </w:t>
      </w:r>
    </w:p>
    <w:p>
      <w:pPr>
        <w:rPr>
          <w:rFonts w:ascii="宋体" w:hAnsi="宋体"/>
          <w:sz w:val="36"/>
          <w:u w:val="single"/>
        </w:rPr>
      </w:pPr>
      <w:r>
        <w:rPr>
          <w:rFonts w:hint="eastAsia" w:ascii="宋体" w:hAnsi="宋体"/>
          <w:sz w:val="36"/>
        </w:rPr>
        <w:t xml:space="preserve">                 </w:t>
      </w:r>
      <w:r>
        <w:rPr>
          <w:rFonts w:hint="eastAsia" w:ascii="宋体" w:hAnsi="宋体"/>
          <w:sz w:val="36"/>
          <w:u w:val="single"/>
        </w:rPr>
        <w:t xml:space="preserve">                        </w:t>
      </w:r>
    </w:p>
    <w:p>
      <w:pPr>
        <w:rPr>
          <w:rFonts w:ascii="宋体" w:hAnsi="宋体"/>
          <w:sz w:val="36"/>
          <w:u w:val="single"/>
        </w:rPr>
      </w:pPr>
    </w:p>
    <w:p>
      <w:pPr>
        <w:rPr>
          <w:rFonts w:ascii="宋体" w:hAnsi="宋体"/>
          <w:sz w:val="36"/>
        </w:rPr>
      </w:pPr>
      <w:r>
        <w:rPr>
          <w:rFonts w:hint="eastAsia" w:ascii="宋体" w:hAnsi="宋体"/>
          <w:sz w:val="36"/>
        </w:rPr>
        <w:t xml:space="preserve">      卖方（乙方）：</w:t>
      </w:r>
      <w:r>
        <w:rPr>
          <w:rFonts w:hint="eastAsia" w:ascii="宋体" w:hAnsi="宋体"/>
          <w:sz w:val="36"/>
          <w:u w:val="single"/>
        </w:rPr>
        <w:t xml:space="preserve">                    </w:t>
      </w:r>
    </w:p>
    <w:p>
      <w:pPr>
        <w:ind w:left="-540"/>
        <w:rPr>
          <w:rFonts w:ascii="宋体" w:hAnsi="宋体"/>
          <w:sz w:val="36"/>
          <w:u w:val="single"/>
        </w:rPr>
      </w:pPr>
      <w:r>
        <w:rPr>
          <w:rFonts w:hint="eastAsia" w:ascii="宋体" w:hAnsi="宋体"/>
          <w:sz w:val="36"/>
        </w:rPr>
        <w:t xml:space="preserve">                    </w:t>
      </w:r>
      <w:r>
        <w:rPr>
          <w:rFonts w:hint="eastAsia" w:ascii="宋体" w:hAnsi="宋体"/>
          <w:sz w:val="36"/>
          <w:u w:val="single"/>
        </w:rPr>
        <w:t xml:space="preserve">                        </w:t>
      </w:r>
    </w:p>
    <w:p>
      <w:pPr>
        <w:ind w:left="-180"/>
        <w:rPr>
          <w:rFonts w:ascii="宋体" w:hAnsi="宋体"/>
          <w:sz w:val="36"/>
        </w:rPr>
      </w:pPr>
      <w:r>
        <w:rPr>
          <w:rFonts w:hint="eastAsia" w:ascii="宋体" w:hAnsi="宋体"/>
          <w:sz w:val="36"/>
        </w:rPr>
        <w:t xml:space="preserve">      </w:t>
      </w: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pPr>
        <w:rPr>
          <w:rFonts w:ascii="宋体" w:hAnsi="宋体"/>
          <w:sz w:val="36"/>
        </w:rPr>
      </w:pPr>
      <w:r>
        <w:rPr>
          <w:rFonts w:hint="eastAsia" w:ascii="宋体" w:hAnsi="宋体"/>
          <w:sz w:val="36"/>
        </w:rPr>
        <w:t xml:space="preserve">  </w:t>
      </w:r>
    </w:p>
    <w:p>
      <w:pPr>
        <w:jc w:val="center"/>
        <w:rPr>
          <w:rFonts w:ascii="宋体" w:hAnsi="宋体"/>
          <w:sz w:val="30"/>
        </w:rPr>
      </w:pPr>
    </w:p>
    <w:p>
      <w:pPr>
        <w:jc w:val="center"/>
        <w:rPr>
          <w:rFonts w:ascii="宋体" w:hAnsi="宋体"/>
          <w:sz w:val="30"/>
        </w:rPr>
      </w:pPr>
      <w:r>
        <w:rPr>
          <w:rFonts w:hint="eastAsia" w:ascii="宋体" w:hAnsi="宋体"/>
          <w:sz w:val="30"/>
        </w:rPr>
        <w:br w:type="page"/>
      </w:r>
    </w:p>
    <w:p>
      <w:pPr>
        <w:jc w:val="center"/>
        <w:rPr>
          <w:b/>
          <w:bCs/>
          <w:color w:val="000000"/>
          <w:sz w:val="44"/>
          <w:szCs w:val="44"/>
        </w:rPr>
      </w:pPr>
      <w:r>
        <w:rPr>
          <w:rFonts w:hint="eastAsia"/>
          <w:b/>
          <w:bCs/>
          <w:sz w:val="36"/>
          <w:szCs w:val="40"/>
        </w:rPr>
        <w:t xml:space="preserve">货物（设备）采购合同   </w:t>
      </w:r>
      <w:r>
        <w:rPr>
          <w:rStyle w:val="212"/>
          <w:rFonts w:hint="eastAsia"/>
        </w:rPr>
        <w:t xml:space="preserve">      </w:t>
      </w:r>
      <w:r>
        <w:rPr>
          <w:rFonts w:hint="eastAsia"/>
          <w:bCs/>
          <w:color w:val="000000"/>
          <w:sz w:val="28"/>
          <w:szCs w:val="28"/>
        </w:rPr>
        <w:t xml:space="preserve">                         </w:t>
      </w:r>
    </w:p>
    <w:p>
      <w:pPr>
        <w:ind w:right="-154"/>
        <w:jc w:val="center"/>
        <w:rPr>
          <w:color w:val="000000"/>
          <w:sz w:val="28"/>
          <w:szCs w:val="28"/>
        </w:rPr>
      </w:pPr>
      <w:r>
        <w:rPr>
          <w:rFonts w:hint="eastAsia"/>
          <w:bCs/>
          <w:color w:val="000000"/>
          <w:sz w:val="28"/>
          <w:szCs w:val="28"/>
        </w:rPr>
        <w:t xml:space="preserve">               </w:t>
      </w:r>
    </w:p>
    <w:p>
      <w:pPr>
        <w:spacing w:line="360" w:lineRule="auto"/>
        <w:ind w:right="90"/>
        <w:rPr>
          <w:rFonts w:ascii="宋体" w:hAnsi="宋体" w:cs="宋体"/>
          <w:b/>
          <w:color w:val="000000"/>
          <w:sz w:val="24"/>
          <w:szCs w:val="24"/>
        </w:rPr>
      </w:pPr>
      <w:r>
        <w:rPr>
          <w:rFonts w:hint="eastAsia" w:ascii="宋体" w:hAnsi="宋体" w:cs="宋体"/>
          <w:b/>
          <w:color w:val="000000"/>
          <w:sz w:val="24"/>
          <w:szCs w:val="24"/>
        </w:rPr>
        <w:t>买方（甲方）：</w:t>
      </w:r>
      <w:r>
        <w:rPr>
          <w:rFonts w:hint="eastAsia" w:ascii="宋体" w:hAnsi="宋体" w:cs="宋体"/>
          <w:b/>
          <w:color w:val="000000"/>
          <w:sz w:val="24"/>
          <w:szCs w:val="24"/>
          <w:u w:val="single"/>
        </w:rPr>
        <w:t xml:space="preserve"> 河南省体育中心  </w:t>
      </w:r>
      <w:r>
        <w:rPr>
          <w:rFonts w:hint="eastAsia" w:ascii="宋体" w:hAnsi="宋体" w:cs="宋体"/>
          <w:b/>
          <w:color w:val="000000"/>
          <w:sz w:val="24"/>
          <w:szCs w:val="24"/>
        </w:rPr>
        <w:t xml:space="preserve">       </w:t>
      </w:r>
    </w:p>
    <w:p>
      <w:pPr>
        <w:spacing w:line="360" w:lineRule="auto"/>
        <w:ind w:right="90"/>
        <w:rPr>
          <w:rFonts w:ascii="宋体" w:hAnsi="宋体" w:cs="宋体"/>
          <w:bCs/>
          <w:color w:val="000000"/>
          <w:sz w:val="24"/>
          <w:szCs w:val="24"/>
        </w:rPr>
      </w:pPr>
      <w:r>
        <w:rPr>
          <w:rFonts w:hint="eastAsia" w:ascii="宋体" w:hAnsi="宋体" w:cs="宋体"/>
          <w:color w:val="000000"/>
          <w:sz w:val="24"/>
          <w:szCs w:val="24"/>
        </w:rPr>
        <w:t>签订地点：</w:t>
      </w:r>
      <w:r>
        <w:rPr>
          <w:rFonts w:hint="eastAsia" w:ascii="宋体" w:hAnsi="宋体" w:cs="宋体"/>
          <w:b/>
          <w:color w:val="000000"/>
          <w:sz w:val="24"/>
          <w:szCs w:val="24"/>
          <w:u w:val="single"/>
        </w:rPr>
        <w:t>河南省体育中心院内</w:t>
      </w:r>
    </w:p>
    <w:p>
      <w:pPr>
        <w:spacing w:line="360" w:lineRule="auto"/>
        <w:rPr>
          <w:rFonts w:ascii="宋体" w:hAnsi="宋体" w:cs="宋体"/>
          <w:color w:val="000000"/>
          <w:sz w:val="24"/>
          <w:szCs w:val="24"/>
          <w:u w:val="single"/>
        </w:rPr>
      </w:pPr>
      <w:r>
        <w:rPr>
          <w:rFonts w:hint="eastAsia" w:ascii="宋体" w:hAnsi="宋体" w:cs="宋体"/>
          <w:b/>
          <w:color w:val="000000"/>
          <w:sz w:val="24"/>
          <w:szCs w:val="24"/>
        </w:rPr>
        <w:t>卖方（乙方）：</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签订时间：</w:t>
      </w:r>
      <w:r>
        <w:rPr>
          <w:rFonts w:hint="eastAsia" w:ascii="宋体" w:hAnsi="宋体" w:cs="宋体"/>
          <w:color w:val="000000"/>
          <w:sz w:val="24"/>
          <w:szCs w:val="24"/>
          <w:u w:val="single"/>
        </w:rPr>
        <w:t xml:space="preserve">20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line="360" w:lineRule="auto"/>
        <w:rPr>
          <w:rFonts w:ascii="宋体" w:hAnsi="宋体" w:cs="宋体"/>
          <w:sz w:val="24"/>
          <w:szCs w:val="24"/>
        </w:rPr>
      </w:pPr>
      <w:r>
        <w:rPr>
          <w:rFonts w:hint="eastAsia" w:ascii="宋体" w:hAnsi="宋体" w:cs="宋体"/>
          <w:color w:val="000000"/>
          <w:sz w:val="24"/>
          <w:szCs w:val="24"/>
        </w:rPr>
        <w:t xml:space="preserve">    </w:t>
      </w:r>
      <w:r>
        <w:rPr>
          <w:rFonts w:hint="eastAsia" w:ascii="宋体" w:hAnsi="宋体" w:cs="宋体"/>
          <w:sz w:val="24"/>
          <w:szCs w:val="24"/>
        </w:rPr>
        <w:t>根据《中华人民共和国招标投标法》《中华人民共和国政府采购法》《中华人民共和国合同法》等国家法律法规，就甲方向乙方购买</w:t>
      </w:r>
      <w:r>
        <w:rPr>
          <w:rFonts w:hint="eastAsia" w:ascii="宋体" w:hAnsi="宋体" w:cs="宋体"/>
          <w:sz w:val="24"/>
          <w:szCs w:val="24"/>
          <w:u w:val="single"/>
        </w:rPr>
        <w:t xml:space="preserve">              </w:t>
      </w:r>
      <w:r>
        <w:rPr>
          <w:rFonts w:hint="eastAsia" w:ascii="宋体" w:hAnsi="宋体" w:cs="宋体"/>
          <w:sz w:val="24"/>
          <w:szCs w:val="24"/>
        </w:rPr>
        <w:t>货物（设备）的型号、数量、质量、包装、运输、价款、税金、保险、验收、技术服务、售后服务、违约责任、争议解决方式等合同内容，经双方协商一致，签订合同，以兹共同遵守。</w:t>
      </w:r>
    </w:p>
    <w:p>
      <w:pPr>
        <w:spacing w:line="360" w:lineRule="auto"/>
        <w:ind w:firstLine="472" w:firstLineChars="196"/>
        <w:rPr>
          <w:rFonts w:ascii="宋体" w:hAnsi="宋体" w:cs="宋体"/>
          <w:b/>
          <w:color w:val="000000"/>
          <w:sz w:val="24"/>
          <w:szCs w:val="24"/>
        </w:rPr>
      </w:pPr>
      <w:r>
        <w:rPr>
          <w:rFonts w:hint="eastAsia" w:ascii="宋体" w:hAnsi="宋体" w:cs="宋体"/>
          <w:b/>
          <w:color w:val="000000"/>
          <w:sz w:val="24"/>
          <w:szCs w:val="24"/>
        </w:rPr>
        <w:t>一、合同价款</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本合同的总金额为人民币：</w:t>
      </w:r>
      <w:r>
        <w:rPr>
          <w:rFonts w:hint="eastAsia" w:ascii="宋体" w:hAnsi="宋体" w:cs="宋体"/>
          <w:color w:val="000000"/>
          <w:sz w:val="24"/>
          <w:szCs w:val="24"/>
          <w:u w:val="single"/>
        </w:rPr>
        <w:t xml:space="preserve">             </w:t>
      </w:r>
      <w:r>
        <w:rPr>
          <w:rFonts w:hint="eastAsia" w:ascii="宋体" w:hAnsi="宋体" w:cs="宋体"/>
          <w:color w:val="000000"/>
          <w:sz w:val="24"/>
          <w:szCs w:val="24"/>
        </w:rPr>
        <w:t>整（ ¥</w:t>
      </w:r>
      <w:r>
        <w:rPr>
          <w:rFonts w:hint="eastAsia" w:ascii="宋体" w:hAnsi="宋体" w:cs="宋体"/>
          <w:color w:val="000000"/>
          <w:sz w:val="24"/>
          <w:szCs w:val="24"/>
          <w:u w:val="single"/>
        </w:rPr>
        <w:t xml:space="preserve">       </w:t>
      </w:r>
      <w:r>
        <w:rPr>
          <w:rFonts w:hint="eastAsia" w:ascii="宋体" w:hAnsi="宋体" w:cs="宋体"/>
          <w:color w:val="000000"/>
          <w:sz w:val="24"/>
          <w:szCs w:val="24"/>
        </w:rPr>
        <w:t>元）；该价格已经包含制造生产、安装、调试、保险、培训、运输、装卸、税金、利润、保修及乙方人员差旅费用等全部费用。</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二、货物（设备）的</w:t>
      </w:r>
      <w:r>
        <w:rPr>
          <w:rFonts w:hint="eastAsia" w:ascii="宋体" w:hAnsi="宋体" w:cs="宋体"/>
          <w:b/>
          <w:sz w:val="24"/>
          <w:szCs w:val="24"/>
        </w:rPr>
        <w:t>名称、型号、制造单位、单价、数量和合同价</w:t>
      </w:r>
      <w:r>
        <w:rPr>
          <w:rFonts w:hint="eastAsia" w:ascii="宋体" w:hAnsi="宋体" w:cs="宋体"/>
          <w:b/>
          <w:color w:val="000000"/>
          <w:sz w:val="24"/>
          <w:szCs w:val="24"/>
        </w:rPr>
        <w:t>数量及质量要求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1、乙方提供的货物（设备）是未有使用过（包括零部件）的商品（设备）、符合国家相关部门制定的生产（制造）标准和检测标准以及该商品（设备）的出厂标准。</w:t>
      </w:r>
    </w:p>
    <w:p>
      <w:pPr>
        <w:spacing w:line="360" w:lineRule="auto"/>
        <w:ind w:firstLine="480" w:firstLineChars="200"/>
        <w:rPr>
          <w:rFonts w:ascii="宋体" w:hAnsi="宋体" w:cs="宋体"/>
          <w:b/>
          <w:sz w:val="24"/>
          <w:szCs w:val="24"/>
        </w:rPr>
      </w:pPr>
      <w:r>
        <w:rPr>
          <w:rFonts w:hint="eastAsia" w:ascii="宋体" w:hAnsi="宋体" w:cs="宋体"/>
          <w:color w:val="000000"/>
          <w:sz w:val="24"/>
          <w:szCs w:val="24"/>
        </w:rPr>
        <w:t>2、购买</w:t>
      </w:r>
      <w:r>
        <w:rPr>
          <w:rFonts w:hint="eastAsia" w:ascii="宋体" w:hAnsi="宋体" w:cs="宋体"/>
          <w:sz w:val="24"/>
          <w:szCs w:val="24"/>
        </w:rPr>
        <w:t>货物（设备）的名称、型号、制造单位、单价、数量和合同价：</w:t>
      </w:r>
      <w:r>
        <w:rPr>
          <w:rFonts w:hint="eastAsia" w:ascii="宋体" w:hAnsi="宋体" w:cs="宋体"/>
          <w:b/>
          <w:sz w:val="24"/>
          <w:szCs w:val="24"/>
        </w:rPr>
        <w:t xml:space="preserve"> </w:t>
      </w:r>
    </w:p>
    <w:tbl>
      <w:tblPr>
        <w:tblStyle w:val="8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4"/>
        <w:gridCol w:w="844"/>
        <w:gridCol w:w="1413"/>
        <w:gridCol w:w="1716"/>
        <w:gridCol w:w="840"/>
        <w:gridCol w:w="910"/>
        <w:gridCol w:w="1539"/>
        <w:gridCol w:w="1479"/>
        <w:gridCol w:w="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3" w:type="dxa"/>
          <w:trHeight w:val="940" w:hRule="atLeast"/>
          <w:jc w:val="center"/>
        </w:trPr>
        <w:tc>
          <w:tcPr>
            <w:tcW w:w="1004" w:type="dxa"/>
            <w:vAlign w:val="center"/>
          </w:tcPr>
          <w:p>
            <w:pPr>
              <w:rPr>
                <w:rFonts w:ascii="宋体" w:hAnsi="宋体" w:cs="宋体"/>
                <w:b/>
                <w:sz w:val="24"/>
                <w:szCs w:val="24"/>
              </w:rPr>
            </w:pPr>
            <w:r>
              <w:rPr>
                <w:rFonts w:hint="eastAsia" w:ascii="宋体" w:hAnsi="宋体" w:cs="宋体"/>
                <w:b/>
                <w:sz w:val="24"/>
                <w:szCs w:val="24"/>
              </w:rPr>
              <w:t>序号</w:t>
            </w:r>
          </w:p>
        </w:tc>
        <w:tc>
          <w:tcPr>
            <w:tcW w:w="844" w:type="dxa"/>
            <w:vAlign w:val="center"/>
          </w:tcPr>
          <w:p>
            <w:pPr>
              <w:rPr>
                <w:rFonts w:ascii="宋体" w:hAnsi="宋体" w:cs="宋体"/>
                <w:b/>
                <w:sz w:val="24"/>
                <w:szCs w:val="24"/>
              </w:rPr>
            </w:pPr>
            <w:r>
              <w:rPr>
                <w:rFonts w:hint="eastAsia" w:ascii="宋体" w:hAnsi="宋体" w:cs="宋体"/>
                <w:b/>
                <w:sz w:val="24"/>
                <w:szCs w:val="24"/>
              </w:rPr>
              <w:t>名称</w:t>
            </w:r>
          </w:p>
        </w:tc>
        <w:tc>
          <w:tcPr>
            <w:tcW w:w="1413" w:type="dxa"/>
            <w:vAlign w:val="center"/>
          </w:tcPr>
          <w:p>
            <w:pPr>
              <w:rPr>
                <w:rFonts w:ascii="宋体" w:hAnsi="宋体" w:cs="宋体"/>
                <w:b/>
                <w:sz w:val="24"/>
                <w:szCs w:val="24"/>
              </w:rPr>
            </w:pPr>
            <w:r>
              <w:rPr>
                <w:rFonts w:hint="eastAsia" w:ascii="宋体" w:hAnsi="宋体" w:cs="宋体"/>
                <w:b/>
                <w:sz w:val="24"/>
                <w:szCs w:val="24"/>
              </w:rPr>
              <w:t>品牌型号</w:t>
            </w:r>
          </w:p>
        </w:tc>
        <w:tc>
          <w:tcPr>
            <w:tcW w:w="1716" w:type="dxa"/>
            <w:vAlign w:val="center"/>
          </w:tcPr>
          <w:p>
            <w:pPr>
              <w:ind w:firstLine="104" w:firstLineChars="43"/>
              <w:jc w:val="center"/>
              <w:rPr>
                <w:rFonts w:ascii="宋体" w:hAnsi="宋体" w:cs="宋体"/>
                <w:b/>
                <w:sz w:val="24"/>
                <w:szCs w:val="24"/>
              </w:rPr>
            </w:pPr>
            <w:r>
              <w:rPr>
                <w:rFonts w:hint="eastAsia" w:ascii="宋体" w:hAnsi="宋体" w:cs="宋体"/>
                <w:b/>
                <w:sz w:val="24"/>
                <w:szCs w:val="24"/>
              </w:rPr>
              <w:t>制造商</w:t>
            </w:r>
          </w:p>
        </w:tc>
        <w:tc>
          <w:tcPr>
            <w:tcW w:w="840" w:type="dxa"/>
            <w:vAlign w:val="center"/>
          </w:tcPr>
          <w:p>
            <w:pPr>
              <w:rPr>
                <w:rFonts w:ascii="宋体" w:hAnsi="宋体" w:cs="宋体"/>
                <w:b/>
                <w:sz w:val="24"/>
                <w:szCs w:val="24"/>
              </w:rPr>
            </w:pPr>
            <w:r>
              <w:rPr>
                <w:rFonts w:hint="eastAsia" w:ascii="宋体" w:hAnsi="宋体" w:cs="宋体"/>
                <w:b/>
                <w:sz w:val="24"/>
                <w:szCs w:val="24"/>
              </w:rPr>
              <w:t>单位</w:t>
            </w:r>
          </w:p>
        </w:tc>
        <w:tc>
          <w:tcPr>
            <w:tcW w:w="910" w:type="dxa"/>
            <w:vAlign w:val="center"/>
          </w:tcPr>
          <w:p>
            <w:pPr>
              <w:rPr>
                <w:rFonts w:ascii="宋体" w:hAnsi="宋体" w:cs="宋体"/>
                <w:b/>
                <w:sz w:val="24"/>
                <w:szCs w:val="24"/>
              </w:rPr>
            </w:pPr>
            <w:r>
              <w:rPr>
                <w:rFonts w:hint="eastAsia" w:ascii="宋体" w:hAnsi="宋体" w:cs="宋体"/>
                <w:b/>
                <w:sz w:val="24"/>
                <w:szCs w:val="24"/>
              </w:rPr>
              <w:t>数量</w:t>
            </w:r>
          </w:p>
        </w:tc>
        <w:tc>
          <w:tcPr>
            <w:tcW w:w="1539" w:type="dxa"/>
            <w:vAlign w:val="center"/>
          </w:tcPr>
          <w:p>
            <w:pPr>
              <w:rPr>
                <w:rFonts w:ascii="宋体" w:hAnsi="宋体" w:cs="宋体"/>
                <w:b/>
                <w:sz w:val="24"/>
                <w:szCs w:val="24"/>
              </w:rPr>
            </w:pPr>
            <w:r>
              <w:rPr>
                <w:rFonts w:hint="eastAsia" w:ascii="宋体" w:hAnsi="宋体" w:cs="宋体"/>
                <w:b/>
                <w:sz w:val="24"/>
                <w:szCs w:val="24"/>
              </w:rPr>
              <w:t>单价（元）</w:t>
            </w:r>
          </w:p>
        </w:tc>
        <w:tc>
          <w:tcPr>
            <w:tcW w:w="1479" w:type="dxa"/>
            <w:vAlign w:val="center"/>
          </w:tcPr>
          <w:p>
            <w:pPr>
              <w:rPr>
                <w:rFonts w:ascii="宋体" w:hAnsi="宋体" w:cs="宋体"/>
                <w:b/>
                <w:sz w:val="24"/>
                <w:szCs w:val="24"/>
              </w:rPr>
            </w:pPr>
            <w:r>
              <w:rPr>
                <w:rFonts w:hint="eastAsia" w:ascii="宋体" w:hAnsi="宋体" w:cs="宋体"/>
                <w:b/>
                <w:sz w:val="24"/>
                <w:szCs w:val="24"/>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3" w:type="dxa"/>
          <w:trHeight w:val="428" w:hRule="atLeast"/>
          <w:jc w:val="center"/>
        </w:trPr>
        <w:tc>
          <w:tcPr>
            <w:tcW w:w="1004" w:type="dxa"/>
            <w:vAlign w:val="center"/>
          </w:tcPr>
          <w:p>
            <w:pPr>
              <w:rPr>
                <w:rFonts w:ascii="宋体" w:hAnsi="宋体" w:cs="宋体"/>
                <w:b/>
                <w:sz w:val="24"/>
                <w:szCs w:val="24"/>
              </w:rPr>
            </w:pPr>
            <w:r>
              <w:rPr>
                <w:rFonts w:hint="eastAsia" w:ascii="宋体" w:hAnsi="宋体" w:cs="宋体"/>
                <w:b/>
                <w:sz w:val="24"/>
                <w:szCs w:val="24"/>
              </w:rPr>
              <w:t>1</w:t>
            </w:r>
          </w:p>
        </w:tc>
        <w:tc>
          <w:tcPr>
            <w:tcW w:w="844" w:type="dxa"/>
            <w:vAlign w:val="center"/>
          </w:tcPr>
          <w:p>
            <w:pPr>
              <w:rPr>
                <w:rFonts w:ascii="宋体" w:hAnsi="宋体" w:cs="宋体"/>
                <w:sz w:val="24"/>
                <w:szCs w:val="24"/>
              </w:rPr>
            </w:pPr>
          </w:p>
        </w:tc>
        <w:tc>
          <w:tcPr>
            <w:tcW w:w="1413" w:type="dxa"/>
            <w:vAlign w:val="center"/>
          </w:tcPr>
          <w:p>
            <w:pPr>
              <w:rPr>
                <w:rFonts w:ascii="宋体" w:hAnsi="宋体" w:cs="宋体"/>
                <w:sz w:val="24"/>
                <w:szCs w:val="24"/>
              </w:rPr>
            </w:pPr>
          </w:p>
        </w:tc>
        <w:tc>
          <w:tcPr>
            <w:tcW w:w="1716" w:type="dxa"/>
          </w:tcPr>
          <w:p>
            <w:pPr>
              <w:rPr>
                <w:rFonts w:ascii="宋体" w:hAnsi="宋体" w:cs="宋体"/>
                <w:sz w:val="24"/>
                <w:szCs w:val="24"/>
              </w:rPr>
            </w:pPr>
          </w:p>
        </w:tc>
        <w:tc>
          <w:tcPr>
            <w:tcW w:w="840" w:type="dxa"/>
            <w:vAlign w:val="center"/>
          </w:tcPr>
          <w:p>
            <w:pPr>
              <w:rPr>
                <w:rFonts w:ascii="宋体" w:hAnsi="宋体" w:cs="宋体"/>
                <w:sz w:val="24"/>
                <w:szCs w:val="24"/>
              </w:rPr>
            </w:pPr>
          </w:p>
        </w:tc>
        <w:tc>
          <w:tcPr>
            <w:tcW w:w="910" w:type="dxa"/>
            <w:vAlign w:val="center"/>
          </w:tcPr>
          <w:p>
            <w:pPr>
              <w:rPr>
                <w:rFonts w:ascii="宋体" w:hAnsi="宋体" w:cs="宋体"/>
                <w:sz w:val="24"/>
                <w:szCs w:val="24"/>
              </w:rPr>
            </w:pPr>
          </w:p>
        </w:tc>
        <w:tc>
          <w:tcPr>
            <w:tcW w:w="1539" w:type="dxa"/>
            <w:vAlign w:val="center"/>
          </w:tcPr>
          <w:p>
            <w:pPr>
              <w:rPr>
                <w:rFonts w:ascii="宋体" w:hAnsi="宋体" w:cs="宋体"/>
                <w:sz w:val="24"/>
                <w:szCs w:val="24"/>
              </w:rPr>
            </w:pPr>
          </w:p>
        </w:tc>
        <w:tc>
          <w:tcPr>
            <w:tcW w:w="1479" w:type="dxa"/>
            <w:vAlign w:val="center"/>
          </w:tcPr>
          <w:p>
            <w:pP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3" w:type="dxa"/>
          <w:trHeight w:val="428" w:hRule="atLeast"/>
          <w:jc w:val="center"/>
        </w:trPr>
        <w:tc>
          <w:tcPr>
            <w:tcW w:w="1004" w:type="dxa"/>
            <w:vAlign w:val="center"/>
          </w:tcPr>
          <w:p>
            <w:pPr>
              <w:rPr>
                <w:rFonts w:ascii="宋体" w:hAnsi="宋体" w:cs="宋体"/>
                <w:b/>
                <w:sz w:val="24"/>
                <w:szCs w:val="24"/>
              </w:rPr>
            </w:pPr>
            <w:r>
              <w:rPr>
                <w:rFonts w:hint="eastAsia" w:ascii="宋体" w:hAnsi="宋体" w:cs="宋体"/>
                <w:b/>
                <w:sz w:val="24"/>
                <w:szCs w:val="24"/>
              </w:rPr>
              <w:t>2</w:t>
            </w:r>
          </w:p>
        </w:tc>
        <w:tc>
          <w:tcPr>
            <w:tcW w:w="844" w:type="dxa"/>
            <w:vAlign w:val="center"/>
          </w:tcPr>
          <w:p>
            <w:pPr>
              <w:rPr>
                <w:rFonts w:ascii="宋体" w:hAnsi="宋体" w:cs="宋体"/>
                <w:sz w:val="24"/>
                <w:szCs w:val="24"/>
              </w:rPr>
            </w:pPr>
          </w:p>
        </w:tc>
        <w:tc>
          <w:tcPr>
            <w:tcW w:w="1413" w:type="dxa"/>
            <w:vAlign w:val="center"/>
          </w:tcPr>
          <w:p>
            <w:pPr>
              <w:rPr>
                <w:rFonts w:ascii="宋体" w:hAnsi="宋体" w:cs="宋体"/>
                <w:sz w:val="24"/>
                <w:szCs w:val="24"/>
              </w:rPr>
            </w:pPr>
          </w:p>
        </w:tc>
        <w:tc>
          <w:tcPr>
            <w:tcW w:w="1716" w:type="dxa"/>
          </w:tcPr>
          <w:p>
            <w:pPr>
              <w:rPr>
                <w:rFonts w:ascii="宋体" w:hAnsi="宋体" w:cs="宋体"/>
                <w:sz w:val="24"/>
                <w:szCs w:val="24"/>
              </w:rPr>
            </w:pPr>
          </w:p>
        </w:tc>
        <w:tc>
          <w:tcPr>
            <w:tcW w:w="840" w:type="dxa"/>
            <w:vAlign w:val="center"/>
          </w:tcPr>
          <w:p>
            <w:pPr>
              <w:rPr>
                <w:rFonts w:ascii="宋体" w:hAnsi="宋体" w:cs="宋体"/>
                <w:sz w:val="24"/>
                <w:szCs w:val="24"/>
              </w:rPr>
            </w:pPr>
          </w:p>
        </w:tc>
        <w:tc>
          <w:tcPr>
            <w:tcW w:w="910" w:type="dxa"/>
            <w:vAlign w:val="center"/>
          </w:tcPr>
          <w:p>
            <w:pPr>
              <w:rPr>
                <w:rFonts w:ascii="宋体" w:hAnsi="宋体" w:cs="宋体"/>
                <w:sz w:val="24"/>
                <w:szCs w:val="24"/>
              </w:rPr>
            </w:pPr>
          </w:p>
        </w:tc>
        <w:tc>
          <w:tcPr>
            <w:tcW w:w="1539" w:type="dxa"/>
            <w:vAlign w:val="center"/>
          </w:tcPr>
          <w:p>
            <w:pPr>
              <w:rPr>
                <w:rFonts w:ascii="宋体" w:hAnsi="宋体" w:cs="宋体"/>
                <w:sz w:val="24"/>
                <w:szCs w:val="24"/>
              </w:rPr>
            </w:pPr>
          </w:p>
        </w:tc>
        <w:tc>
          <w:tcPr>
            <w:tcW w:w="1479" w:type="dxa"/>
            <w:vAlign w:val="center"/>
          </w:tcPr>
          <w:p>
            <w:pP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53" w:type="dxa"/>
          <w:trHeight w:val="428" w:hRule="atLeast"/>
          <w:jc w:val="center"/>
        </w:trPr>
        <w:tc>
          <w:tcPr>
            <w:tcW w:w="1004" w:type="dxa"/>
            <w:vAlign w:val="center"/>
          </w:tcPr>
          <w:p>
            <w:pPr>
              <w:rPr>
                <w:rFonts w:ascii="宋体" w:hAnsi="宋体" w:cs="宋体"/>
                <w:b/>
                <w:sz w:val="24"/>
                <w:szCs w:val="24"/>
              </w:rPr>
            </w:pPr>
            <w:r>
              <w:rPr>
                <w:rFonts w:hint="eastAsia" w:ascii="宋体" w:hAnsi="宋体" w:cs="宋体"/>
                <w:b/>
                <w:sz w:val="24"/>
                <w:szCs w:val="24"/>
              </w:rPr>
              <w:t>3</w:t>
            </w:r>
          </w:p>
        </w:tc>
        <w:tc>
          <w:tcPr>
            <w:tcW w:w="844" w:type="dxa"/>
            <w:vAlign w:val="center"/>
          </w:tcPr>
          <w:p>
            <w:pPr>
              <w:rPr>
                <w:rFonts w:ascii="宋体" w:hAnsi="宋体" w:cs="宋体"/>
                <w:sz w:val="24"/>
                <w:szCs w:val="24"/>
              </w:rPr>
            </w:pPr>
          </w:p>
        </w:tc>
        <w:tc>
          <w:tcPr>
            <w:tcW w:w="1413" w:type="dxa"/>
            <w:vAlign w:val="center"/>
          </w:tcPr>
          <w:p>
            <w:pPr>
              <w:rPr>
                <w:rFonts w:ascii="宋体" w:hAnsi="宋体" w:cs="宋体"/>
                <w:sz w:val="24"/>
                <w:szCs w:val="24"/>
              </w:rPr>
            </w:pPr>
          </w:p>
        </w:tc>
        <w:tc>
          <w:tcPr>
            <w:tcW w:w="1716" w:type="dxa"/>
          </w:tcPr>
          <w:p>
            <w:pPr>
              <w:rPr>
                <w:rFonts w:ascii="宋体" w:hAnsi="宋体" w:cs="宋体"/>
                <w:sz w:val="24"/>
                <w:szCs w:val="24"/>
              </w:rPr>
            </w:pPr>
          </w:p>
        </w:tc>
        <w:tc>
          <w:tcPr>
            <w:tcW w:w="840" w:type="dxa"/>
            <w:vAlign w:val="center"/>
          </w:tcPr>
          <w:p>
            <w:pPr>
              <w:rPr>
                <w:rFonts w:ascii="宋体" w:hAnsi="宋体" w:cs="宋体"/>
                <w:sz w:val="24"/>
                <w:szCs w:val="24"/>
              </w:rPr>
            </w:pPr>
          </w:p>
        </w:tc>
        <w:tc>
          <w:tcPr>
            <w:tcW w:w="910" w:type="dxa"/>
            <w:vAlign w:val="center"/>
          </w:tcPr>
          <w:p>
            <w:pPr>
              <w:rPr>
                <w:rFonts w:ascii="宋体" w:hAnsi="宋体" w:cs="宋体"/>
                <w:sz w:val="24"/>
                <w:szCs w:val="24"/>
              </w:rPr>
            </w:pPr>
          </w:p>
        </w:tc>
        <w:tc>
          <w:tcPr>
            <w:tcW w:w="1539" w:type="dxa"/>
            <w:vAlign w:val="center"/>
          </w:tcPr>
          <w:p>
            <w:pPr>
              <w:rPr>
                <w:rFonts w:ascii="宋体" w:hAnsi="宋体" w:cs="宋体"/>
                <w:sz w:val="24"/>
                <w:szCs w:val="24"/>
              </w:rPr>
            </w:pPr>
          </w:p>
        </w:tc>
        <w:tc>
          <w:tcPr>
            <w:tcW w:w="1479" w:type="dxa"/>
            <w:vAlign w:val="center"/>
          </w:tcPr>
          <w:p>
            <w:pP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004" w:type="dxa"/>
            <w:vAlign w:val="center"/>
          </w:tcPr>
          <w:p>
            <w:pPr>
              <w:rPr>
                <w:rFonts w:ascii="宋体" w:hAnsi="宋体" w:cs="宋体"/>
                <w:sz w:val="24"/>
                <w:szCs w:val="24"/>
              </w:rPr>
            </w:pPr>
          </w:p>
        </w:tc>
        <w:tc>
          <w:tcPr>
            <w:tcW w:w="8894" w:type="dxa"/>
            <w:gridSpan w:val="8"/>
          </w:tcPr>
          <w:p>
            <w:pPr>
              <w:rPr>
                <w:rFonts w:ascii="宋体" w:hAnsi="宋体" w:cs="宋体"/>
                <w:b/>
                <w:sz w:val="24"/>
                <w:szCs w:val="24"/>
              </w:rPr>
            </w:pPr>
            <w:r>
              <w:rPr>
                <w:rFonts w:hint="eastAsia" w:ascii="宋体" w:hAnsi="宋体" w:cs="宋体"/>
                <w:b/>
                <w:sz w:val="24"/>
                <w:szCs w:val="24"/>
              </w:rPr>
              <w:t xml:space="preserve">总价（大写）：                   元整（小写）：¥ </w:t>
            </w:r>
          </w:p>
        </w:tc>
      </w:tr>
    </w:tbl>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3、详细的技术规格、质保方案及售后服务标准见附件。</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三、安装调试</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乙方负责对货物（设备）免费进行安装调试，并使其投入正常运行，并经双方人员签字验收。</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四、人员技术培训</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乙方应当安排技术人员免费为甲方人员进行技术培训和现场指导，使购买的货物（设备）国家规定运行标准和使用要求。</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五、交付的时间、地点、运输方式、</w:t>
      </w:r>
      <w:r>
        <w:rPr>
          <w:rFonts w:hint="eastAsia" w:ascii="宋体" w:hAnsi="宋体" w:cs="宋体"/>
          <w:b/>
          <w:sz w:val="24"/>
          <w:szCs w:val="24"/>
        </w:rPr>
        <w:t>运输费用及风险承担</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1、交货时间、地点：于合同生效之日起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工作日内（按投标承诺时间），乙方按甲方指定地点将货物免费送达。甲方或最终用户在乙方收货确认单签字盖章，或者甲方或最终用户在乙方的物流配送单据上予以签字或盖章，作为双方结算的依据。</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2、产品运输过程中由乙方按国家有关设备供应的规定标准进行包装、供应，产生的相关费用由乙方承担。</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3、乙方应在交货时向甲方提供货物（设备）生产制造标准、使用说明书、检验合格证明及相关的随机备品备件、配件、工具、软件等资料。</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4、</w:t>
      </w:r>
      <w:r>
        <w:rPr>
          <w:rFonts w:hint="eastAsia" w:ascii="宋体" w:hAnsi="宋体" w:cs="宋体"/>
          <w:sz w:val="24"/>
          <w:szCs w:val="24"/>
        </w:rPr>
        <w:t>合同货物（设备）验收前的货物灭失的风险由乙方承担，验收合格后的货物灭失的风险由甲方承担。如合同商品参加保险，保险赔偿款由风险承担者享有。</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六、</w:t>
      </w:r>
      <w:r>
        <w:rPr>
          <w:rFonts w:hint="eastAsia" w:ascii="宋体" w:hAnsi="宋体" w:cs="宋体"/>
          <w:b/>
          <w:sz w:val="24"/>
          <w:szCs w:val="24"/>
        </w:rPr>
        <w:t>货物（设备）</w:t>
      </w:r>
      <w:r>
        <w:rPr>
          <w:rFonts w:hint="eastAsia" w:ascii="宋体" w:hAnsi="宋体" w:cs="宋体"/>
          <w:b/>
          <w:color w:val="000000"/>
          <w:sz w:val="24"/>
          <w:szCs w:val="24"/>
        </w:rPr>
        <w:t>验收标准、验收方式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1、按国家现行验收标准、规范等有关规定执行，甲方在收到货物（设备）后可以在合理期限内提出异议。</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2、货物（设备）使用单位应在货物（设备）交付后，根据初验结果以及安装、调试、培训等情况正常运行一段时间后向甲方提出货物（设备）验收申请。</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3、根据验收申请，甲方组织相关人员进行正式验收，也可以根据实际需要增加出厂检验、安装调试检验等多种验收环节，特殊情况下可以组织第三方共同验收。</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七、</w:t>
      </w:r>
      <w:r>
        <w:rPr>
          <w:rFonts w:hint="eastAsia" w:ascii="宋体" w:hAnsi="宋体" w:cs="宋体"/>
          <w:b/>
          <w:sz w:val="24"/>
          <w:szCs w:val="24"/>
        </w:rPr>
        <w:t>货物（设备）</w:t>
      </w:r>
      <w:r>
        <w:rPr>
          <w:rFonts w:hint="eastAsia" w:ascii="宋体" w:hAnsi="宋体" w:cs="宋体"/>
          <w:b/>
          <w:color w:val="000000"/>
          <w:sz w:val="24"/>
          <w:szCs w:val="24"/>
        </w:rPr>
        <w:t>付款时间、支付方式和支付条件</w:t>
      </w:r>
    </w:p>
    <w:p>
      <w:pPr>
        <w:widowControl/>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1、合同签订前乙方向甲方支付合同总价的</w:t>
      </w:r>
      <w:bookmarkStart w:id="65" w:name="_Hlk51057956"/>
      <w:r>
        <w:rPr>
          <w:rFonts w:hint="eastAsia" w:ascii="宋体" w:hAnsi="宋体" w:cs="宋体"/>
          <w:color w:val="000000" w:themeColor="text1"/>
          <w:sz w:val="24"/>
          <w:szCs w:val="24"/>
        </w:rPr>
        <w:t>5%</w:t>
      </w:r>
      <w:bookmarkEnd w:id="65"/>
      <w:r>
        <w:rPr>
          <w:rFonts w:hint="eastAsia" w:ascii="宋体" w:hAnsi="宋体" w:cs="宋体"/>
          <w:color w:val="000000" w:themeColor="text1"/>
          <w:sz w:val="24"/>
          <w:szCs w:val="24"/>
        </w:rPr>
        <w:t>作为履约保证金。主要设备全部到场后支付合同价款的</w:t>
      </w:r>
      <w:r>
        <w:rPr>
          <w:rFonts w:ascii="宋体" w:hAnsi="宋体" w:cs="宋体"/>
          <w:color w:val="000000" w:themeColor="text1"/>
          <w:sz w:val="24"/>
          <w:szCs w:val="24"/>
        </w:rPr>
        <w:t>50%</w:t>
      </w:r>
      <w:r>
        <w:rPr>
          <w:rFonts w:hint="eastAsia" w:ascii="宋体" w:hAnsi="宋体" w:cs="宋体"/>
          <w:color w:val="000000" w:themeColor="text1"/>
          <w:sz w:val="24"/>
          <w:szCs w:val="24"/>
        </w:rPr>
        <w:t>，设备安装调试完毕验收合格后，支付至合同总价的</w:t>
      </w:r>
      <w:bookmarkStart w:id="66" w:name="_Hlk51058196"/>
      <w:r>
        <w:rPr>
          <w:rFonts w:ascii="宋体" w:hAnsi="宋体" w:cs="宋体"/>
          <w:color w:val="000000" w:themeColor="text1"/>
          <w:sz w:val="24"/>
          <w:szCs w:val="24"/>
        </w:rPr>
        <w:t>97</w:t>
      </w:r>
      <w:r>
        <w:rPr>
          <w:rFonts w:hint="eastAsia" w:ascii="宋体" w:hAnsi="宋体" w:cs="宋体"/>
          <w:color w:val="000000" w:themeColor="text1"/>
          <w:sz w:val="24"/>
          <w:szCs w:val="24"/>
        </w:rPr>
        <w:t>%</w:t>
      </w:r>
      <w:bookmarkEnd w:id="66"/>
      <w:r>
        <w:rPr>
          <w:rFonts w:hint="eastAsia" w:ascii="宋体" w:hAnsi="宋体" w:cs="宋体"/>
          <w:color w:val="000000" w:themeColor="text1"/>
          <w:sz w:val="24"/>
          <w:szCs w:val="24"/>
        </w:rPr>
        <w:t>，剩余</w:t>
      </w:r>
      <w:r>
        <w:rPr>
          <w:rFonts w:ascii="宋体" w:hAnsi="宋体" w:cs="宋体"/>
          <w:color w:val="000000" w:themeColor="text1"/>
          <w:sz w:val="24"/>
          <w:szCs w:val="24"/>
        </w:rPr>
        <w:t>3%</w:t>
      </w:r>
      <w:r>
        <w:rPr>
          <w:rFonts w:hint="eastAsia" w:ascii="宋体" w:hAnsi="宋体" w:cs="宋体"/>
          <w:color w:val="000000" w:themeColor="text1"/>
          <w:sz w:val="24"/>
          <w:szCs w:val="24"/>
        </w:rPr>
        <w:t>质量保证金工程完工验收合格之日起正常运行满二年后，无质量和服务问题一次性无息退还质量保证金。履约保证金完工验收合格后15日退回。</w:t>
      </w:r>
    </w:p>
    <w:p>
      <w:pPr>
        <w:widowControl/>
        <w:spacing w:line="360" w:lineRule="auto"/>
        <w:jc w:val="left"/>
        <w:rPr>
          <w:rFonts w:ascii="宋体" w:hAnsi="宋体" w:cs="宋体"/>
          <w:color w:val="000000"/>
          <w:sz w:val="24"/>
          <w:szCs w:val="24"/>
        </w:rPr>
      </w:pPr>
      <w:r>
        <w:rPr>
          <w:rFonts w:hint="eastAsia" w:ascii="宋体" w:hAnsi="宋体" w:cs="宋体"/>
          <w:color w:val="000000"/>
          <w:sz w:val="24"/>
          <w:szCs w:val="24"/>
        </w:rPr>
        <w:t>甲方账户信息：</w:t>
      </w:r>
    </w:p>
    <w:p>
      <w:pPr>
        <w:pStyle w:val="721"/>
        <w:spacing w:beforeAutospacing="0" w:afterAutospacing="0" w:line="360" w:lineRule="auto"/>
        <w:rPr>
          <w:color w:val="000000"/>
          <w:kern w:val="2"/>
        </w:rPr>
      </w:pPr>
      <w:r>
        <w:rPr>
          <w:rFonts w:hint="eastAsia"/>
          <w:color w:val="000000"/>
          <w:kern w:val="2"/>
        </w:rPr>
        <w:t>户 名：河南省体育中心</w:t>
      </w:r>
    </w:p>
    <w:p>
      <w:pPr>
        <w:pStyle w:val="721"/>
        <w:spacing w:beforeAutospacing="0" w:afterAutospacing="0" w:line="360" w:lineRule="auto"/>
        <w:rPr>
          <w:color w:val="000000"/>
          <w:kern w:val="2"/>
        </w:rPr>
      </w:pPr>
      <w:r>
        <w:rPr>
          <w:rFonts w:hint="eastAsia"/>
          <w:color w:val="000000"/>
          <w:kern w:val="2"/>
        </w:rPr>
        <w:t>开户银行：</w:t>
      </w:r>
    </w:p>
    <w:p>
      <w:pPr>
        <w:pStyle w:val="721"/>
        <w:spacing w:beforeAutospacing="0" w:afterAutospacing="0" w:line="360" w:lineRule="auto"/>
        <w:rPr>
          <w:color w:val="000000"/>
          <w:kern w:val="2"/>
        </w:rPr>
      </w:pPr>
      <w:r>
        <w:rPr>
          <w:rFonts w:hint="eastAsia"/>
          <w:color w:val="000000"/>
          <w:kern w:val="2"/>
        </w:rPr>
        <w:t>账 号：</w:t>
      </w:r>
    </w:p>
    <w:p>
      <w:pPr>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注：汇款时务必在备注栏或附言栏中注明（采购项目）履约保证金字样（必填） </w:t>
      </w:r>
    </w:p>
    <w:p>
      <w:pPr>
        <w:widowControl/>
        <w:spacing w:line="360" w:lineRule="auto"/>
        <w:jc w:val="left"/>
        <w:rPr>
          <w:rFonts w:ascii="宋体" w:hAnsi="宋体" w:cs="宋体"/>
          <w:color w:val="000000"/>
          <w:sz w:val="24"/>
          <w:szCs w:val="24"/>
        </w:rPr>
      </w:pPr>
      <w:r>
        <w:rPr>
          <w:rFonts w:hint="eastAsia" w:ascii="宋体" w:hAnsi="宋体" w:cs="宋体"/>
          <w:color w:val="000000"/>
          <w:sz w:val="24"/>
          <w:szCs w:val="24"/>
        </w:rPr>
        <w:t>乙方账户信息 ：</w:t>
      </w:r>
    </w:p>
    <w:p>
      <w:pPr>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乙方开户名称： </w:t>
      </w:r>
    </w:p>
    <w:p>
      <w:pPr>
        <w:widowControl/>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开户行： </w:t>
      </w:r>
    </w:p>
    <w:p>
      <w:pPr>
        <w:pStyle w:val="721"/>
        <w:spacing w:beforeAutospacing="0" w:afterAutospacing="0" w:line="360" w:lineRule="auto"/>
        <w:ind w:firstLine="480" w:firstLineChars="200"/>
        <w:rPr>
          <w:color w:val="000000"/>
          <w:kern w:val="2"/>
        </w:rPr>
      </w:pPr>
      <w:r>
        <w:rPr>
          <w:rFonts w:hint="eastAsia"/>
          <w:color w:val="000000"/>
          <w:kern w:val="2"/>
        </w:rPr>
        <w:t>账号：</w:t>
      </w:r>
    </w:p>
    <w:p>
      <w:pPr>
        <w:pStyle w:val="721"/>
        <w:spacing w:beforeAutospacing="0" w:afterAutospacing="0" w:line="360" w:lineRule="auto"/>
        <w:ind w:firstLine="480" w:firstLineChars="200"/>
        <w:rPr>
          <w:color w:val="000000"/>
          <w:kern w:val="2"/>
        </w:rPr>
      </w:pPr>
      <w:r>
        <w:rPr>
          <w:rFonts w:hint="eastAsia"/>
          <w:color w:val="000000"/>
          <w:kern w:val="2"/>
        </w:rPr>
        <w:t>行 号：</w:t>
      </w:r>
    </w:p>
    <w:p>
      <w:pPr>
        <w:pStyle w:val="721"/>
        <w:spacing w:beforeAutospacing="0" w:afterAutospacing="0" w:line="360" w:lineRule="auto"/>
        <w:ind w:firstLine="480" w:firstLineChars="200"/>
        <w:rPr>
          <w:color w:val="000000"/>
          <w:kern w:val="2"/>
        </w:rPr>
      </w:pPr>
      <w:r>
        <w:rPr>
          <w:rFonts w:hint="eastAsia"/>
          <w:color w:val="000000"/>
          <w:kern w:val="2"/>
        </w:rPr>
        <w:t>统一社会信用代码：</w:t>
      </w:r>
    </w:p>
    <w:p>
      <w:pPr>
        <w:spacing w:line="360" w:lineRule="auto"/>
        <w:ind w:firstLine="480" w:firstLineChars="200"/>
        <w:rPr>
          <w:rFonts w:ascii="宋体" w:hAnsi="宋体" w:cs="宋体"/>
          <w:sz w:val="24"/>
          <w:szCs w:val="24"/>
        </w:rPr>
      </w:pPr>
      <w:r>
        <w:rPr>
          <w:rFonts w:hint="eastAsia" w:ascii="宋体" w:hAnsi="宋体" w:cs="宋体"/>
          <w:sz w:val="24"/>
          <w:szCs w:val="24"/>
        </w:rPr>
        <w:t>2、甲方每次付款前，乙方需按每次付款金额开具符合国家规定的发票，甲方收到发票并通过国家税务部门官方网站检验发票真伪后按付款流程支付合同价款。</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3、乙方必须提供真实、合法的发票。若乙方提供虚假发票，自发现之日起三日内乙方应无条件提供正规发票并承担甲方因此所遭受的所有损失。</w:t>
      </w:r>
      <w:r>
        <w:rPr>
          <w:rFonts w:hint="eastAsia" w:ascii="宋体" w:hAnsi="宋体" w:cs="宋体"/>
          <w:color w:val="000000"/>
          <w:sz w:val="24"/>
          <w:szCs w:val="24"/>
        </w:rPr>
        <w:t>发票上记载的款项甲方有权不再支付，从合同款中扣减。</w:t>
      </w:r>
    </w:p>
    <w:p>
      <w:pPr>
        <w:spacing w:line="360" w:lineRule="auto"/>
        <w:ind w:firstLine="480" w:firstLineChars="200"/>
        <w:rPr>
          <w:rFonts w:ascii="宋体" w:hAnsi="宋体" w:cs="宋体"/>
          <w:sz w:val="24"/>
          <w:szCs w:val="24"/>
        </w:rPr>
      </w:pPr>
      <w:r>
        <w:rPr>
          <w:rFonts w:hint="eastAsia" w:ascii="宋体" w:hAnsi="宋体" w:cs="宋体"/>
          <w:sz w:val="24"/>
          <w:szCs w:val="24"/>
        </w:rPr>
        <w:t>4、本合同为固定单价合同，总价以实际提供合格货品数量乘以清单单价结算。甲方可根据实际需求，调整合同清单内的品种、数量，乙方须予以配合。</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八、违约责任</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乙方未按期限、地点履行卖方义务，每延迟一日，乙方应当按本合同总金额的0.5％向甲方支付违约金；乙方逾期交货时间超过7日的或违约金累积达到合同总金额的10%-30%时，甲方有权不经通知解除与乙方的合同。同时，乙方应赔偿由于逾期供货给甲方造成的全部损失；如违约金不足以赔偿甲方损失的，乙方还应当赔偿全部损失。</w:t>
      </w:r>
    </w:p>
    <w:p>
      <w:pPr>
        <w:spacing w:line="360" w:lineRule="auto"/>
        <w:ind w:firstLine="480" w:firstLineChars="200"/>
        <w:rPr>
          <w:rFonts w:ascii="宋体" w:hAnsi="宋体" w:cs="宋体"/>
          <w:bCs/>
          <w:color w:val="000000"/>
          <w:sz w:val="24"/>
          <w:szCs w:val="24"/>
        </w:rPr>
      </w:pPr>
      <w:r>
        <w:rPr>
          <w:rFonts w:hint="eastAsia" w:ascii="宋体" w:hAnsi="宋体" w:cs="宋体"/>
          <w:color w:val="000000"/>
          <w:sz w:val="24"/>
          <w:szCs w:val="24"/>
        </w:rPr>
        <w:t>2、乙方所提供的设备品种、型号、规格、质量不符合国家规定及本合同规定标准的，甲方有权拒收设备，并有权单方解除合同，乙方应向甲方支付设备款总值5%的违约金。</w:t>
      </w:r>
      <w:r>
        <w:rPr>
          <w:rFonts w:hint="eastAsia" w:ascii="宋体" w:hAnsi="宋体" w:cs="宋体"/>
          <w:bCs/>
          <w:color w:val="000000"/>
          <w:sz w:val="24"/>
          <w:szCs w:val="24"/>
        </w:rPr>
        <w:t>甲方不解除合同的，除乙方按前述约定支付违约金外，乙方应在本合同约定的期限内换货、补货，超出本合同第五条约定期限的，乙方应按第八条第一款的约定承担违约责任，换货、补货的费用由乙方承担。</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3、乙方提供的货物（设备）是由于在装卸、运输或包装造成的产品破损，乙方应负责补足合格产品数量并承担相应费用。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4、乙方应对提供的货物（设备）在使用过程中给甲方或任何第三方造成的人身伤害或财产损失应当承担全部责任</w:t>
      </w:r>
      <w:bookmarkStart w:id="67" w:name="_Hlt503692967"/>
      <w:bookmarkEnd w:id="67"/>
      <w:bookmarkStart w:id="68" w:name="_Hlt503692969"/>
      <w:bookmarkEnd w:id="68"/>
      <w:r>
        <w:rPr>
          <w:rFonts w:hint="eastAsia" w:ascii="宋体" w:hAnsi="宋体" w:cs="宋体"/>
          <w:color w:val="000000"/>
          <w:sz w:val="24"/>
          <w:szCs w:val="24"/>
        </w:rPr>
        <w:t>。</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5、本货物（设备）的质保期</w:t>
      </w:r>
      <w:r>
        <w:rPr>
          <w:rFonts w:hint="eastAsia" w:ascii="宋体" w:hAnsi="宋体" w:cs="宋体"/>
          <w:color w:val="000000"/>
          <w:sz w:val="24"/>
          <w:szCs w:val="24"/>
          <w:u w:val="single"/>
        </w:rPr>
        <w:t xml:space="preserve">  </w:t>
      </w:r>
      <w:r>
        <w:rPr>
          <w:rFonts w:ascii="宋体" w:hAnsi="宋体" w:cs="宋体"/>
          <w:color w:val="000000"/>
          <w:sz w:val="24"/>
          <w:szCs w:val="24"/>
          <w:u w:val="single"/>
        </w:rPr>
        <w:t>2</w:t>
      </w:r>
      <w:r>
        <w:rPr>
          <w:rFonts w:hint="eastAsia" w:ascii="宋体" w:hAnsi="宋体" w:cs="宋体"/>
          <w:color w:val="000000"/>
          <w:sz w:val="24"/>
          <w:szCs w:val="24"/>
          <w:u w:val="single"/>
        </w:rPr>
        <w:t xml:space="preserve">  </w:t>
      </w:r>
      <w:r>
        <w:rPr>
          <w:rFonts w:hint="eastAsia" w:ascii="宋体" w:hAnsi="宋体" w:cs="宋体"/>
          <w:color w:val="000000"/>
          <w:sz w:val="24"/>
          <w:szCs w:val="24"/>
        </w:rPr>
        <w:t>年，如乙方违反《售后服务计划》约定未及时履行保修义务的，每发生一次，乙方应向甲方支付违约金500元。甲方因乙方违约而委托第三方进行维修所产生的相应维修费用，乙方同意甲方可以从质保金中直接扣除，如维修费用超过质保金数额的，甲方有权要求乙方另行支付。</w:t>
      </w:r>
    </w:p>
    <w:p>
      <w:pPr>
        <w:adjustRightInd w:val="0"/>
        <w:snapToGrid w:val="0"/>
        <w:spacing w:line="360" w:lineRule="auto"/>
        <w:ind w:firstLine="482" w:firstLineChars="200"/>
        <w:jc w:val="left"/>
        <w:rPr>
          <w:rFonts w:ascii="宋体" w:hAnsi="宋体" w:cs="宋体"/>
          <w:b/>
          <w:color w:val="000000"/>
          <w:sz w:val="24"/>
          <w:szCs w:val="24"/>
        </w:rPr>
      </w:pPr>
      <w:r>
        <w:rPr>
          <w:rFonts w:hint="eastAsia" w:ascii="宋体" w:hAnsi="宋体" w:cs="宋体"/>
          <w:b/>
          <w:color w:val="000000"/>
          <w:sz w:val="24"/>
          <w:szCs w:val="24"/>
        </w:rPr>
        <w:t>九、特别约定</w:t>
      </w:r>
    </w:p>
    <w:p>
      <w:pPr>
        <w:adjustRightInd w:val="0"/>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pPr>
        <w:pStyle w:val="82"/>
        <w:adjustRightInd w:val="0"/>
        <w:snapToGrid w:val="0"/>
        <w:spacing w:before="0" w:beforeAutospacing="0" w:after="0" w:afterAutospacing="0" w:line="360" w:lineRule="auto"/>
        <w:ind w:firstLine="480" w:firstLineChars="200"/>
        <w:rPr>
          <w:rFonts w:cs="宋体"/>
          <w:color w:val="000000"/>
          <w:kern w:val="2"/>
          <w:szCs w:val="24"/>
        </w:rPr>
      </w:pPr>
      <w:r>
        <w:rPr>
          <w:rFonts w:hint="eastAsia" w:cs="宋体"/>
          <w:color w:val="000000"/>
          <w:kern w:val="2"/>
          <w:szCs w:val="24"/>
        </w:rPr>
        <w:t>2、 本合同采购文件及其修改、投标文件及其修改、澄清、合同附件均为本合同的组成部分，具有同等法律效力；与本合同约定不一致之处，以本合同为准。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3、本合同的任何修改、补充应以书面形式进行，并经双方的授权代表签字并加盖公章后方为有效。</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十、争议解决方式和管辖</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因货物（设备）的质量问题发生争议以及履行本合同发生争议的，以本合同条款为标准协商解决，若协商无果，任何一方均可向合同签订地的人民法院提起诉讼。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十一、生效及其它</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1、本合同自甲、乙双方签字、盖章之日起生效。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2、如有未尽事宜，甲、乙双方可另行协商签订补充协议，补充协议及招、投标文件、质疑答复、附件和本合同具有同等法律效力。  </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3、本合同一式八份，甲方</w:t>
      </w:r>
      <w:r>
        <w:rPr>
          <w:rFonts w:hint="eastAsia" w:ascii="宋体" w:hAnsi="宋体" w:cs="宋体"/>
          <w:color w:val="000000"/>
          <w:sz w:val="24"/>
          <w:szCs w:val="24"/>
          <w:u w:val="single"/>
        </w:rPr>
        <w:t xml:space="preserve"> 六 </w:t>
      </w:r>
      <w:r>
        <w:rPr>
          <w:rFonts w:hint="eastAsia" w:ascii="宋体" w:hAnsi="宋体" w:cs="宋体"/>
          <w:color w:val="000000"/>
          <w:sz w:val="24"/>
          <w:szCs w:val="24"/>
        </w:rPr>
        <w:t>份、乙方</w:t>
      </w:r>
      <w:r>
        <w:rPr>
          <w:rFonts w:hint="eastAsia" w:ascii="宋体" w:hAnsi="宋体" w:cs="宋体"/>
          <w:color w:val="000000"/>
          <w:sz w:val="24"/>
          <w:szCs w:val="24"/>
          <w:u w:val="single"/>
        </w:rPr>
        <w:t xml:space="preserve">  二  </w:t>
      </w:r>
      <w:r>
        <w:rPr>
          <w:rFonts w:hint="eastAsia" w:ascii="宋体" w:hAnsi="宋体" w:cs="宋体"/>
          <w:color w:val="000000"/>
          <w:sz w:val="24"/>
          <w:szCs w:val="24"/>
        </w:rPr>
        <w:t>份，具有同等法律效力。</w:t>
      </w:r>
    </w:p>
    <w:p>
      <w:pPr>
        <w:spacing w:line="360" w:lineRule="auto"/>
        <w:rPr>
          <w:rFonts w:ascii="宋体" w:hAnsi="宋体" w:cs="宋体"/>
          <w:color w:val="000000"/>
          <w:sz w:val="24"/>
          <w:szCs w:val="24"/>
        </w:rPr>
      </w:pPr>
      <w:r>
        <w:rPr>
          <w:rFonts w:hint="eastAsia" w:ascii="宋体" w:hAnsi="宋体" w:cs="宋体"/>
          <w:color w:val="000000"/>
          <w:sz w:val="24"/>
          <w:szCs w:val="24"/>
        </w:rPr>
        <w:t>（以下无正文，为合同签署页）</w:t>
      </w:r>
    </w:p>
    <w:p>
      <w:pPr>
        <w:spacing w:line="360" w:lineRule="auto"/>
        <w:rPr>
          <w:rFonts w:ascii="宋体" w:hAnsi="宋体" w:cs="宋体"/>
          <w:b/>
          <w:color w:val="000000"/>
          <w:sz w:val="24"/>
          <w:szCs w:val="24"/>
        </w:rPr>
      </w:pPr>
    </w:p>
    <w:p>
      <w:pPr>
        <w:spacing w:line="360" w:lineRule="auto"/>
        <w:rPr>
          <w:rFonts w:ascii="宋体" w:hAnsi="宋体" w:cs="宋体"/>
          <w:b/>
          <w:color w:val="000000"/>
          <w:sz w:val="24"/>
          <w:szCs w:val="24"/>
        </w:rPr>
      </w:pPr>
      <w:r>
        <w:rPr>
          <w:rFonts w:hint="eastAsia" w:ascii="宋体" w:hAnsi="宋体" w:cs="宋体"/>
          <w:b/>
          <w:color w:val="000000"/>
          <w:sz w:val="24"/>
          <w:szCs w:val="24"/>
        </w:rPr>
        <w:t>甲方：河南省体育中心                 乙方：</w:t>
      </w:r>
    </w:p>
    <w:p>
      <w:pPr>
        <w:spacing w:line="360" w:lineRule="auto"/>
        <w:rPr>
          <w:rFonts w:ascii="宋体" w:hAnsi="宋体" w:cs="宋体"/>
          <w:b/>
          <w:color w:val="000000"/>
          <w:sz w:val="24"/>
          <w:szCs w:val="24"/>
        </w:rPr>
      </w:pPr>
      <w:r>
        <w:rPr>
          <w:rFonts w:hint="eastAsia" w:ascii="宋体" w:hAnsi="宋体" w:cs="宋体"/>
          <w:b/>
          <w:color w:val="000000"/>
          <w:sz w:val="24"/>
          <w:szCs w:val="24"/>
        </w:rPr>
        <w:t>委托代理人：                         委托代理人：</w:t>
      </w:r>
    </w:p>
    <w:p>
      <w:pPr>
        <w:spacing w:line="360" w:lineRule="auto"/>
        <w:rPr>
          <w:rFonts w:ascii="宋体" w:hAnsi="宋体" w:cs="宋体"/>
          <w:b/>
          <w:color w:val="000000"/>
          <w:sz w:val="24"/>
          <w:szCs w:val="24"/>
        </w:rPr>
      </w:pPr>
      <w:r>
        <w:rPr>
          <w:rFonts w:hint="eastAsia" w:ascii="宋体" w:hAnsi="宋体" w:cs="宋体"/>
          <w:b/>
          <w:color w:val="000000"/>
          <w:sz w:val="24"/>
          <w:szCs w:val="24"/>
        </w:rPr>
        <w:t xml:space="preserve">地址：郑州市长兴路38号              地址：      </w:t>
      </w:r>
    </w:p>
    <w:p>
      <w:pPr>
        <w:spacing w:line="360" w:lineRule="auto"/>
        <w:rPr>
          <w:rFonts w:ascii="宋体" w:hAnsi="宋体" w:cs="宋体"/>
          <w:b/>
          <w:color w:val="000000"/>
          <w:sz w:val="24"/>
          <w:szCs w:val="24"/>
        </w:rPr>
      </w:pPr>
      <w:r>
        <w:rPr>
          <w:rFonts w:hint="eastAsia" w:ascii="宋体" w:hAnsi="宋体" w:cs="宋体"/>
          <w:b/>
          <w:color w:val="000000"/>
          <w:sz w:val="24"/>
          <w:szCs w:val="24"/>
        </w:rPr>
        <w:t>日期：                               日期：</w:t>
      </w:r>
    </w:p>
    <w:p>
      <w:pPr>
        <w:spacing w:line="480" w:lineRule="auto"/>
        <w:rPr>
          <w:b/>
          <w:color w:val="000000"/>
          <w:sz w:val="28"/>
          <w:szCs w:val="28"/>
          <w:u w:val="single"/>
        </w:rPr>
      </w:pPr>
      <w:r>
        <w:rPr>
          <w:rFonts w:hint="eastAsia"/>
          <w:b/>
          <w:color w:val="000000"/>
          <w:sz w:val="28"/>
          <w:szCs w:val="28"/>
        </w:rPr>
        <w:t xml:space="preserve">                                                          </w:t>
      </w:r>
    </w:p>
    <w:p>
      <w:pPr>
        <w:spacing w:line="360" w:lineRule="auto"/>
        <w:jc w:val="center"/>
        <w:rPr>
          <w:rFonts w:ascii="宋体" w:hAnsi="宋体"/>
          <w:b/>
          <w:bCs/>
          <w:color w:val="000000"/>
          <w:sz w:val="44"/>
        </w:rPr>
      </w:pPr>
    </w:p>
    <w:p>
      <w:pPr>
        <w:spacing w:line="360" w:lineRule="auto"/>
        <w:jc w:val="center"/>
        <w:rPr>
          <w:rFonts w:ascii="宋体" w:hAnsi="宋体"/>
          <w:b/>
          <w:bCs/>
          <w:color w:val="000000"/>
          <w:sz w:val="44"/>
        </w:rPr>
      </w:pPr>
    </w:p>
    <w:p>
      <w:pPr>
        <w:spacing w:line="360" w:lineRule="auto"/>
        <w:jc w:val="center"/>
        <w:rPr>
          <w:rFonts w:ascii="宋体" w:hAnsi="宋体"/>
          <w:b/>
          <w:bCs/>
          <w:color w:val="000000"/>
          <w:sz w:val="44"/>
        </w:rPr>
      </w:pPr>
      <w:r>
        <w:rPr>
          <w:rFonts w:hint="eastAsia" w:ascii="宋体" w:hAnsi="宋体"/>
          <w:b/>
          <w:bCs/>
          <w:color w:val="000000"/>
          <w:sz w:val="44"/>
        </w:rPr>
        <w:br w:type="page"/>
      </w:r>
    </w:p>
    <w:p>
      <w:pPr>
        <w:pStyle w:val="5"/>
      </w:pPr>
      <w:bookmarkStart w:id="69" w:name="_Toc9178"/>
      <w:r>
        <w:rPr>
          <w:rFonts w:hint="eastAsia"/>
        </w:rPr>
        <w:t>第五章 投标文件通用格式</w:t>
      </w:r>
      <w:bookmarkEnd w:id="69"/>
    </w:p>
    <w:p>
      <w:pPr>
        <w:rPr>
          <w:rFonts w:ascii="宋体" w:hAnsi="宋体"/>
          <w:b/>
          <w:color w:val="000000"/>
          <w:sz w:val="36"/>
        </w:rPr>
      </w:pPr>
      <w:r>
        <w:rPr>
          <w:rFonts w:ascii="宋体" w:hAnsi="宋体"/>
          <w:color w:val="000000"/>
          <w:sz w:val="36"/>
        </w:rPr>
        <w:br w:type="page"/>
      </w:r>
      <w:r>
        <w:rPr>
          <w:rFonts w:hint="eastAsia" w:ascii="宋体" w:hAnsi="宋体"/>
          <w:b/>
          <w:color w:val="000000"/>
          <w:sz w:val="36"/>
        </w:rPr>
        <w:t>封面：</w:t>
      </w:r>
    </w:p>
    <w:p>
      <w:pPr>
        <w:tabs>
          <w:tab w:val="left" w:pos="360"/>
        </w:tabs>
        <w:jc w:val="center"/>
        <w:rPr>
          <w:rFonts w:ascii="宋体" w:hAnsi="宋体"/>
          <w:b/>
          <w:color w:val="000000"/>
          <w:sz w:val="44"/>
          <w:szCs w:val="44"/>
          <w:u w:val="single"/>
        </w:rPr>
      </w:pPr>
    </w:p>
    <w:p>
      <w:pPr>
        <w:tabs>
          <w:tab w:val="left" w:pos="360"/>
        </w:tabs>
        <w:jc w:val="center"/>
        <w:rPr>
          <w:rFonts w:ascii="宋体" w:hAnsi="宋体"/>
          <w:b/>
          <w:color w:val="000000"/>
          <w:sz w:val="44"/>
          <w:szCs w:val="44"/>
        </w:rPr>
      </w:pPr>
      <w:r>
        <w:rPr>
          <w:rFonts w:hint="eastAsia" w:ascii="宋体" w:hAnsi="宋体"/>
          <w:b/>
          <w:color w:val="000000"/>
          <w:sz w:val="44"/>
          <w:szCs w:val="44"/>
          <w:u w:val="single"/>
        </w:rPr>
        <w:t xml:space="preserve">                 </w:t>
      </w:r>
      <w:r>
        <w:rPr>
          <w:rFonts w:hint="eastAsia" w:ascii="宋体" w:hAnsi="宋体"/>
          <w:b/>
          <w:color w:val="000000"/>
          <w:sz w:val="44"/>
          <w:szCs w:val="44"/>
        </w:rPr>
        <w:t>项目</w:t>
      </w:r>
    </w:p>
    <w:p>
      <w:pPr>
        <w:tabs>
          <w:tab w:val="left" w:pos="55"/>
        </w:tabs>
        <w:jc w:val="left"/>
        <w:rPr>
          <w:rFonts w:ascii="宋体" w:hAnsi="宋体"/>
          <w:b/>
          <w:color w:val="000000"/>
          <w:w w:val="150"/>
          <w:sz w:val="48"/>
          <w:szCs w:val="48"/>
        </w:rPr>
      </w:pPr>
      <w:r>
        <w:rPr>
          <w:rFonts w:hint="eastAsia" w:ascii="宋体" w:hAnsi="宋体"/>
          <w:b/>
          <w:color w:val="000000"/>
          <w:w w:val="150"/>
          <w:sz w:val="84"/>
        </w:rPr>
        <w:tab/>
      </w:r>
    </w:p>
    <w:p>
      <w:pPr>
        <w:tabs>
          <w:tab w:val="left" w:pos="1950"/>
        </w:tabs>
        <w:jc w:val="left"/>
        <w:rPr>
          <w:rFonts w:ascii="宋体" w:hAnsi="宋体"/>
          <w:b/>
          <w:color w:val="000000"/>
          <w:w w:val="150"/>
          <w:sz w:val="48"/>
          <w:szCs w:val="48"/>
        </w:rPr>
      </w:pPr>
    </w:p>
    <w:p>
      <w:pPr>
        <w:tabs>
          <w:tab w:val="left" w:pos="1950"/>
        </w:tabs>
        <w:jc w:val="left"/>
        <w:rPr>
          <w:rFonts w:ascii="宋体" w:hAnsi="宋体"/>
          <w:b/>
          <w:color w:val="000000"/>
          <w:w w:val="150"/>
          <w:sz w:val="48"/>
          <w:szCs w:val="48"/>
        </w:rPr>
      </w:pPr>
    </w:p>
    <w:p>
      <w:pPr>
        <w:tabs>
          <w:tab w:val="left" w:pos="1950"/>
        </w:tabs>
        <w:jc w:val="left"/>
        <w:rPr>
          <w:rFonts w:ascii="宋体" w:hAnsi="宋体"/>
          <w:b/>
          <w:color w:val="000000"/>
          <w:w w:val="150"/>
          <w:sz w:val="48"/>
          <w:szCs w:val="48"/>
        </w:rPr>
      </w:pPr>
    </w:p>
    <w:p>
      <w:pPr>
        <w:jc w:val="center"/>
        <w:rPr>
          <w:rFonts w:ascii="宋体" w:hAnsi="宋体"/>
          <w:b/>
          <w:color w:val="000000"/>
          <w:sz w:val="160"/>
          <w:szCs w:val="160"/>
        </w:rPr>
      </w:pPr>
      <w:r>
        <w:rPr>
          <w:rFonts w:hint="eastAsia" w:ascii="宋体" w:hAnsi="宋体"/>
          <w:b/>
          <w:color w:val="000000"/>
          <w:sz w:val="160"/>
          <w:szCs w:val="160"/>
        </w:rPr>
        <w:t>投标文件</w:t>
      </w:r>
    </w:p>
    <w:p>
      <w:pPr>
        <w:spacing w:line="360" w:lineRule="auto"/>
        <w:jc w:val="center"/>
        <w:rPr>
          <w:rFonts w:ascii="宋体" w:hAnsi="宋体"/>
          <w:b/>
          <w:bCs/>
          <w:color w:val="000000"/>
          <w:sz w:val="30"/>
          <w:szCs w:val="30"/>
        </w:rPr>
      </w:pPr>
      <w:r>
        <w:rPr>
          <w:rFonts w:hint="eastAsia" w:ascii="宋体" w:hAnsi="宋体"/>
          <w:b/>
          <w:bCs/>
          <w:color w:val="000000"/>
          <w:sz w:val="30"/>
          <w:szCs w:val="30"/>
        </w:rPr>
        <w:t xml:space="preserve">招标编号：豫财招标采购-2020-457    </w:t>
      </w:r>
    </w:p>
    <w:p>
      <w:pPr>
        <w:spacing w:line="360" w:lineRule="auto"/>
        <w:jc w:val="center"/>
        <w:rPr>
          <w:rFonts w:ascii="宋体" w:hAnsi="宋体"/>
          <w:b/>
          <w:bCs/>
          <w:color w:val="000000"/>
          <w:szCs w:val="21"/>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rPr>
          <w:rFonts w:ascii="宋体" w:hAnsi="宋体"/>
          <w:b/>
          <w:color w:val="000000"/>
          <w:sz w:val="32"/>
        </w:rPr>
      </w:pPr>
    </w:p>
    <w:p>
      <w:pPr>
        <w:spacing w:after="134" w:line="460" w:lineRule="exact"/>
        <w:ind w:right="3634" w:firstLine="150" w:firstLineChars="50"/>
        <w:rPr>
          <w:rFonts w:ascii="Adobe 宋体 Std L" w:hAnsi="Adobe 宋体 Std L" w:eastAsia="Adobe 宋体 Std L"/>
          <w:color w:val="000000"/>
          <w:sz w:val="30"/>
        </w:rPr>
      </w:pPr>
      <w:r>
        <w:rPr>
          <w:rFonts w:ascii="Adobe 宋体 Std L" w:hAnsi="Adobe 宋体 Std L" w:eastAsia="Adobe 宋体 Std L"/>
          <w:color w:val="000000"/>
          <w:sz w:val="30"/>
        </w:rPr>
        <w:t xml:space="preserve">投标人（企业电子签章）： </w:t>
      </w:r>
    </w:p>
    <w:p>
      <w:pPr>
        <w:ind w:firstLine="150" w:firstLineChars="50"/>
        <w:jc w:val="left"/>
        <w:rPr>
          <w:rFonts w:ascii="Adobe 宋体 Std L" w:hAnsi="Adobe 宋体 Std L" w:eastAsia="Adobe 宋体 Std L"/>
          <w:color w:val="000000"/>
          <w:sz w:val="30"/>
        </w:rPr>
      </w:pPr>
      <w:r>
        <w:rPr>
          <w:rFonts w:hint="eastAsia" w:ascii="Adobe 宋体 Std L" w:hAnsi="Adobe 宋体 Std L" w:eastAsia="Adobe 宋体 Std L"/>
          <w:color w:val="000000"/>
          <w:sz w:val="30"/>
        </w:rPr>
        <w:t>法定代表人（个人电子签章）：</w:t>
      </w:r>
    </w:p>
    <w:p>
      <w:pPr>
        <w:spacing w:after="134" w:line="460" w:lineRule="exact"/>
        <w:ind w:right="3634" w:firstLine="150" w:firstLineChars="50"/>
        <w:rPr>
          <w:rFonts w:ascii="Adobe 宋体 Std L" w:hAnsi="Adobe 宋体 Std L" w:eastAsia="Adobe 宋体 Std L"/>
          <w:color w:val="000000"/>
          <w:sz w:val="30"/>
        </w:rPr>
      </w:pPr>
      <w:r>
        <w:rPr>
          <w:rFonts w:hint="eastAsia" w:ascii="Adobe 宋体 Std L" w:hAnsi="Adobe 宋体 Std L" w:eastAsia="Adobe 宋体 Std L"/>
          <w:color w:val="000000"/>
          <w:sz w:val="30"/>
          <w:lang w:eastAsia="zh-CN"/>
        </w:rPr>
        <w:t>日</w:t>
      </w:r>
      <w:r>
        <w:rPr>
          <w:rFonts w:hint="eastAsia" w:ascii="Adobe 宋体 Std L" w:hAnsi="Adobe 宋体 Std L" w:eastAsia="Adobe 宋体 Std L"/>
          <w:color w:val="000000"/>
          <w:sz w:val="30"/>
          <w:lang w:val="en-US" w:eastAsia="zh-CN"/>
        </w:rPr>
        <w:t xml:space="preserve">  </w:t>
      </w:r>
      <w:r>
        <w:rPr>
          <w:rFonts w:hint="eastAsia" w:ascii="Adobe 宋体 Std L" w:hAnsi="Adobe 宋体 Std L" w:eastAsia="Adobe 宋体 Std L"/>
          <w:color w:val="000000"/>
          <w:sz w:val="30"/>
          <w:lang w:eastAsia="zh-CN"/>
        </w:rPr>
        <w:t>期：</w:t>
      </w:r>
      <w:r>
        <w:rPr>
          <w:rFonts w:hint="eastAsia" w:ascii="Adobe 宋体 Std L" w:hAnsi="Adobe 宋体 Std L" w:eastAsia="Adobe 宋体 Std L"/>
          <w:color w:val="000000"/>
          <w:sz w:val="30"/>
        </w:rPr>
        <w:t>2020年  月  日</w:t>
      </w:r>
    </w:p>
    <w:p>
      <w:pPr>
        <w:rPr>
          <w:rFonts w:ascii="宋体" w:hAnsi="宋体"/>
          <w:color w:val="000000"/>
          <w:sz w:val="36"/>
        </w:rPr>
      </w:pPr>
    </w:p>
    <w:p>
      <w:pPr>
        <w:pStyle w:val="6"/>
        <w:numPr>
          <w:ilvl w:val="0"/>
          <w:numId w:val="55"/>
        </w:numPr>
        <w:spacing w:line="360" w:lineRule="auto"/>
        <w:rPr>
          <w:rFonts w:ascii="宋体" w:hAnsi="宋体" w:eastAsia="宋体"/>
          <w:color w:val="000000"/>
          <w:szCs w:val="32"/>
        </w:rPr>
      </w:pPr>
      <w:bookmarkStart w:id="70" w:name="_Toc22999"/>
      <w:r>
        <w:rPr>
          <w:rFonts w:hint="eastAsia" w:ascii="宋体" w:hAnsi="宋体" w:eastAsia="宋体"/>
          <w:color w:val="000000"/>
          <w:szCs w:val="32"/>
        </w:rPr>
        <w:t>法定代表人授权书</w:t>
      </w:r>
      <w:bookmarkEnd w:id="70"/>
    </w:p>
    <w:p>
      <w:pPr>
        <w:spacing w:line="500" w:lineRule="exact"/>
        <w:rPr>
          <w:rFonts w:ascii="宋体" w:hAnsi="宋体"/>
          <w:color w:val="000000"/>
          <w:sz w:val="24"/>
        </w:rPr>
      </w:pPr>
      <w:r>
        <w:rPr>
          <w:rFonts w:hint="eastAsia" w:ascii="宋体" w:hAnsi="宋体"/>
          <w:color w:val="000000"/>
          <w:sz w:val="24"/>
        </w:rPr>
        <w:t xml:space="preserve">   本授权书声明：注册于（</w:t>
      </w:r>
      <w:r>
        <w:rPr>
          <w:rFonts w:hint="eastAsia" w:ascii="宋体" w:hAnsi="宋体"/>
          <w:color w:val="000000"/>
          <w:sz w:val="24"/>
          <w:u w:val="single"/>
        </w:rPr>
        <w:t>注册地址名称</w:t>
      </w:r>
      <w:r>
        <w:rPr>
          <w:rFonts w:hint="eastAsia" w:ascii="宋体" w:hAnsi="宋体"/>
          <w:color w:val="000000"/>
          <w:sz w:val="24"/>
        </w:rPr>
        <w:t>）的(</w:t>
      </w:r>
      <w:r>
        <w:rPr>
          <w:rFonts w:hint="eastAsia" w:ascii="宋体" w:hAnsi="宋体"/>
          <w:color w:val="000000"/>
          <w:sz w:val="24"/>
          <w:u w:val="single"/>
        </w:rPr>
        <w:t>投标人全名</w:t>
      </w:r>
      <w:r>
        <w:rPr>
          <w:rFonts w:hint="eastAsia" w:ascii="宋体" w:hAnsi="宋体"/>
          <w:color w:val="000000"/>
          <w:sz w:val="24"/>
        </w:rPr>
        <w:t>)的在下面签字的</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法定代表人姓名、职务</w:t>
      </w:r>
      <w:r>
        <w:rPr>
          <w:rFonts w:hint="eastAsia" w:ascii="宋体" w:hAnsi="宋体"/>
          <w:color w:val="000000"/>
          <w:sz w:val="24"/>
        </w:rPr>
        <w:t>)代表本公司授权（</w:t>
      </w:r>
      <w:r>
        <w:rPr>
          <w:rFonts w:hint="eastAsia" w:ascii="宋体" w:hAnsi="宋体"/>
          <w:color w:val="000000"/>
          <w:sz w:val="24"/>
          <w:u w:val="single"/>
        </w:rPr>
        <w:t>单位名称</w:t>
      </w:r>
      <w:r>
        <w:rPr>
          <w:rFonts w:hint="eastAsia" w:ascii="宋体" w:hAnsi="宋体"/>
          <w:color w:val="000000"/>
          <w:sz w:val="24"/>
        </w:rPr>
        <w:t>）的在下面签字的</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被授权人的姓名、职务</w:t>
      </w:r>
      <w:r>
        <w:rPr>
          <w:rFonts w:hint="eastAsia" w:ascii="宋体" w:hAnsi="宋体"/>
          <w:color w:val="000000"/>
          <w:sz w:val="24"/>
        </w:rPr>
        <w:t>）为本公司的合法代理人，就招标编号为</w:t>
      </w:r>
      <w:r>
        <w:rPr>
          <w:rFonts w:hint="eastAsia" w:ascii="宋体" w:hAnsi="宋体"/>
          <w:color w:val="000000"/>
          <w:sz w:val="24"/>
          <w:u w:val="single"/>
        </w:rPr>
        <w:t xml:space="preserve"> 豫财招标采购-2020-457（项目名称</w:t>
      </w:r>
      <w:r>
        <w:rPr>
          <w:rFonts w:hint="eastAsia" w:ascii="宋体" w:hAnsi="宋体"/>
          <w:color w:val="000000"/>
          <w:sz w:val="24"/>
        </w:rPr>
        <w:t>）的投标及合同执行，以本公司名义处理一切与之有关的事务。</w:t>
      </w:r>
    </w:p>
    <w:p>
      <w:pPr>
        <w:spacing w:line="500" w:lineRule="exact"/>
        <w:rPr>
          <w:rFonts w:ascii="宋体" w:hAnsi="宋体"/>
          <w:color w:val="000000"/>
          <w:sz w:val="24"/>
        </w:rPr>
      </w:pPr>
      <w:r>
        <w:rPr>
          <w:rFonts w:hint="eastAsia" w:ascii="宋体" w:hAnsi="宋体"/>
          <w:color w:val="000000"/>
          <w:sz w:val="24"/>
        </w:rPr>
        <w:t xml:space="preserve">    本授权书于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日签字生效，特此声明。</w:t>
      </w:r>
    </w:p>
    <w:p>
      <w:pPr>
        <w:spacing w:line="500" w:lineRule="exact"/>
        <w:rPr>
          <w:rFonts w:ascii="宋体" w:hAnsi="宋体"/>
          <w:color w:val="000000"/>
          <w:sz w:val="24"/>
        </w:rPr>
      </w:pPr>
    </w:p>
    <w:p>
      <w:pPr>
        <w:spacing w:after="134" w:line="460" w:lineRule="exact"/>
        <w:ind w:right="4156"/>
        <w:rPr>
          <w:rFonts w:ascii="宋体" w:hAnsi="宋体"/>
          <w:color w:val="000000"/>
          <w:sz w:val="24"/>
        </w:rPr>
      </w:pPr>
      <w:r>
        <w:rPr>
          <w:rFonts w:ascii="宋体" w:hAnsi="宋体"/>
          <w:color w:val="000000"/>
          <w:sz w:val="24"/>
        </w:rPr>
        <w:t>投标人（企业电子签章</w:t>
      </w:r>
      <w:r>
        <w:rPr>
          <w:rFonts w:hint="eastAsia" w:ascii="宋体" w:hAnsi="宋体"/>
          <w:color w:val="000000"/>
          <w:sz w:val="24"/>
        </w:rPr>
        <w:t>或公章</w:t>
      </w:r>
      <w:r>
        <w:rPr>
          <w:rFonts w:ascii="宋体" w:hAnsi="宋体"/>
          <w:color w:val="000000"/>
          <w:sz w:val="24"/>
        </w:rPr>
        <w:t xml:space="preserve">）： </w:t>
      </w:r>
    </w:p>
    <w:p>
      <w:pPr>
        <w:spacing w:after="51" w:line="460" w:lineRule="exact"/>
        <w:ind w:left="-7" w:right="2919"/>
        <w:rPr>
          <w:rFonts w:ascii="宋体" w:hAnsi="宋体"/>
          <w:color w:val="000000"/>
          <w:sz w:val="24"/>
        </w:rPr>
      </w:pPr>
      <w:r>
        <w:rPr>
          <w:rFonts w:hint="eastAsia" w:ascii="宋体" w:hAnsi="宋体"/>
          <w:color w:val="000000"/>
          <w:sz w:val="24"/>
        </w:rPr>
        <w:t>法定代表人（个人电子签章或盖章或签字）：</w:t>
      </w:r>
    </w:p>
    <w:p>
      <w:pPr>
        <w:spacing w:line="440" w:lineRule="exact"/>
        <w:rPr>
          <w:rFonts w:ascii="宋体" w:hAnsi="宋体"/>
          <w:color w:val="000000"/>
          <w:sz w:val="24"/>
        </w:rPr>
      </w:pPr>
      <w:r>
        <w:rPr>
          <w:rFonts w:hint="eastAsia" w:ascii="宋体" w:hAnsi="宋体"/>
          <w:color w:val="000000"/>
          <w:sz w:val="24"/>
        </w:rPr>
        <w:t>授权代理人（个人电子签章或盖章或签字）：</w:t>
      </w:r>
    </w:p>
    <w:p>
      <w:pPr>
        <w:rPr>
          <w:rFonts w:ascii="宋体" w:hAnsi="宋体"/>
          <w:color w:val="000000"/>
          <w:sz w:val="24"/>
        </w:rPr>
      </w:pPr>
      <w:r>
        <w:rPr>
          <w:rFonts w:hint="eastAsia" w:ascii="宋体" w:hAnsi="宋体"/>
          <w:color w:val="000000"/>
          <w:sz w:val="24"/>
        </w:rPr>
        <w:t>地址：</w:t>
      </w:r>
    </w:p>
    <w:p>
      <w:pPr>
        <w:rPr>
          <w:rFonts w:ascii="宋体" w:hAnsi="宋体"/>
          <w:color w:val="000000"/>
          <w:sz w:val="24"/>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trPr>
        <w:tc>
          <w:tcPr>
            <w:tcW w:w="4484" w:type="dxa"/>
            <w:vAlign w:val="center"/>
          </w:tcPr>
          <w:p>
            <w:pPr>
              <w:jc w:val="center"/>
              <w:rPr>
                <w:rFonts w:ascii="宋体" w:hAnsi="宋体"/>
                <w:color w:val="000000"/>
              </w:rPr>
            </w:pPr>
            <w:r>
              <w:rPr>
                <w:rFonts w:hint="eastAsia" w:ascii="宋体" w:hAnsi="宋体"/>
                <w:color w:val="000000"/>
              </w:rPr>
              <w:t>法定代表人身份证复印件（头像面）</w:t>
            </w:r>
          </w:p>
        </w:tc>
        <w:tc>
          <w:tcPr>
            <w:tcW w:w="4485" w:type="dxa"/>
            <w:vAlign w:val="center"/>
          </w:tcPr>
          <w:p>
            <w:pPr>
              <w:jc w:val="center"/>
              <w:rPr>
                <w:rFonts w:ascii="宋体" w:hAnsi="宋体"/>
                <w:color w:val="000000"/>
              </w:rPr>
            </w:pPr>
            <w:r>
              <w:rPr>
                <w:rFonts w:hint="eastAsia" w:ascii="宋体" w:hAnsi="宋体"/>
                <w:color w:val="000000"/>
              </w:rPr>
              <w:t>法定代表人身份证复印件（非头像面）</w:t>
            </w:r>
          </w:p>
        </w:tc>
      </w:tr>
    </w:tbl>
    <w:p>
      <w:pPr>
        <w:ind w:left="420"/>
        <w:rPr>
          <w:rFonts w:ascii="宋体" w:hAnsi="宋体"/>
          <w:color w:val="000000"/>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pPr>
              <w:jc w:val="center"/>
              <w:rPr>
                <w:rFonts w:ascii="宋体" w:hAnsi="宋体"/>
                <w:color w:val="000000"/>
              </w:rPr>
            </w:pPr>
            <w:bookmarkStart w:id="71" w:name="_资格证明文件"/>
            <w:bookmarkEnd w:id="71"/>
            <w:bookmarkStart w:id="72" w:name="_Toc364329026"/>
            <w:r>
              <w:rPr>
                <w:rFonts w:hint="eastAsia" w:ascii="宋体" w:hAnsi="宋体"/>
                <w:color w:val="000000"/>
              </w:rPr>
              <w:t>授权代理人身份证（头像面）</w:t>
            </w:r>
            <w:bookmarkEnd w:id="72"/>
          </w:p>
        </w:tc>
        <w:tc>
          <w:tcPr>
            <w:tcW w:w="4492" w:type="dxa"/>
            <w:vAlign w:val="center"/>
          </w:tcPr>
          <w:p>
            <w:pPr>
              <w:jc w:val="center"/>
              <w:rPr>
                <w:rFonts w:ascii="宋体" w:hAnsi="宋体"/>
                <w:color w:val="000000"/>
              </w:rPr>
            </w:pPr>
            <w:bookmarkStart w:id="73" w:name="_Toc364329027"/>
            <w:r>
              <w:rPr>
                <w:rFonts w:hint="eastAsia" w:ascii="宋体" w:hAnsi="宋体"/>
                <w:color w:val="000000"/>
              </w:rPr>
              <w:t>授权代理人身份证（非头像面）</w:t>
            </w:r>
            <w:bookmarkEnd w:id="73"/>
          </w:p>
        </w:tc>
      </w:tr>
    </w:tbl>
    <w:p>
      <w:pPr>
        <w:pStyle w:val="6"/>
        <w:numPr>
          <w:ilvl w:val="0"/>
          <w:numId w:val="55"/>
        </w:numPr>
        <w:spacing w:line="360" w:lineRule="auto"/>
        <w:rPr>
          <w:rFonts w:ascii="宋体" w:hAnsi="宋体" w:eastAsia="宋体"/>
          <w:color w:val="000000"/>
          <w:szCs w:val="32"/>
        </w:rPr>
      </w:pPr>
      <w:r>
        <w:rPr>
          <w:rFonts w:hint="eastAsia" w:ascii="宋体" w:hAnsi="宋体" w:eastAsia="宋体"/>
          <w:color w:val="000000"/>
          <w:sz w:val="28"/>
          <w:szCs w:val="28"/>
        </w:rPr>
        <w:br w:type="page"/>
      </w:r>
      <w:bookmarkStart w:id="74" w:name="_Toc30113"/>
      <w:r>
        <w:rPr>
          <w:rFonts w:hint="eastAsia" w:ascii="宋体" w:hAnsi="宋体" w:eastAsia="宋体"/>
          <w:color w:val="000000"/>
          <w:szCs w:val="32"/>
        </w:rPr>
        <w:t>投 标 书</w:t>
      </w:r>
      <w:bookmarkEnd w:id="74"/>
    </w:p>
    <w:p>
      <w:pPr>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招标代理机构名称</w:t>
      </w:r>
      <w:r>
        <w:rPr>
          <w:rFonts w:hint="eastAsia" w:ascii="宋体" w:hAnsi="宋体"/>
          <w:color w:val="000000"/>
          <w:sz w:val="24"/>
          <w:szCs w:val="24"/>
        </w:rPr>
        <w:t>）</w:t>
      </w:r>
    </w:p>
    <w:p>
      <w:pPr>
        <w:pStyle w:val="2"/>
        <w:spacing w:after="0" w:line="440" w:lineRule="exact"/>
        <w:ind w:firstLine="240"/>
        <w:rPr>
          <w:rFonts w:ascii="宋体" w:hAnsi="宋体" w:eastAsia="宋体"/>
          <w:color w:val="000000"/>
          <w:sz w:val="24"/>
          <w:szCs w:val="24"/>
        </w:rPr>
      </w:pPr>
      <w:r>
        <w:rPr>
          <w:rFonts w:ascii="宋体" w:hAnsi="宋体" w:eastAsia="宋体"/>
          <w:color w:val="000000"/>
          <w:sz w:val="24"/>
          <w:szCs w:val="24"/>
        </w:rPr>
        <w:t xml:space="preserve">    </w:t>
      </w:r>
      <w:r>
        <w:rPr>
          <w:rFonts w:hint="eastAsia" w:ascii="宋体" w:hAnsi="宋体" w:eastAsia="宋体"/>
          <w:color w:val="000000"/>
          <w:sz w:val="24"/>
          <w:szCs w:val="24"/>
        </w:rPr>
        <w:t>根据贵方的投标邀请（招标编号），签字代表（</w:t>
      </w:r>
      <w:r>
        <w:rPr>
          <w:rFonts w:hint="eastAsia" w:ascii="宋体" w:hAnsi="宋体" w:eastAsia="宋体"/>
          <w:color w:val="000000"/>
          <w:sz w:val="24"/>
          <w:szCs w:val="24"/>
          <w:u w:val="single"/>
        </w:rPr>
        <w:t>全名、职务</w:t>
      </w:r>
      <w:r>
        <w:rPr>
          <w:rFonts w:hint="eastAsia" w:ascii="宋体" w:hAnsi="宋体" w:eastAsia="宋体"/>
          <w:color w:val="000000"/>
          <w:sz w:val="24"/>
          <w:szCs w:val="24"/>
        </w:rPr>
        <w:t>）经正式授权并代表投标人（</w:t>
      </w:r>
      <w:r>
        <w:rPr>
          <w:rFonts w:hint="eastAsia" w:ascii="宋体" w:hAnsi="宋体" w:eastAsia="宋体"/>
          <w:color w:val="000000"/>
          <w:sz w:val="24"/>
          <w:szCs w:val="24"/>
          <w:u w:val="single"/>
        </w:rPr>
        <w:t>投标人名称、地址</w:t>
      </w:r>
      <w:r>
        <w:rPr>
          <w:rFonts w:hint="eastAsia" w:ascii="宋体" w:hAnsi="宋体" w:eastAsia="宋体"/>
          <w:color w:val="000000"/>
          <w:sz w:val="24"/>
          <w:szCs w:val="24"/>
        </w:rPr>
        <w:t>）提交下述文件，并对之负法律责任。</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法定代表人授权书</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投 标 书</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资格证明文件</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投标报价表格</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技术规格和商务条款偏差表</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售后服务计划</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反商业贿赂承诺书</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无重大违法记录的声明函</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设计方案</w:t>
      </w:r>
    </w:p>
    <w:p>
      <w:pPr>
        <w:pStyle w:val="67"/>
        <w:numPr>
          <w:ilvl w:val="0"/>
          <w:numId w:val="56"/>
        </w:numPr>
        <w:spacing w:line="440" w:lineRule="exact"/>
        <w:rPr>
          <w:rFonts w:ascii="宋体" w:hAnsi="宋体" w:eastAsia="宋体"/>
          <w:color w:val="000000"/>
          <w:sz w:val="24"/>
          <w:szCs w:val="24"/>
        </w:rPr>
      </w:pPr>
      <w:r>
        <w:rPr>
          <w:rFonts w:hint="eastAsia" w:ascii="宋体" w:hAnsi="宋体" w:eastAsia="宋体"/>
          <w:color w:val="000000"/>
          <w:sz w:val="24"/>
          <w:szCs w:val="24"/>
        </w:rPr>
        <w:t>安装实施方案</w:t>
      </w:r>
    </w:p>
    <w:p>
      <w:pPr>
        <w:pStyle w:val="3"/>
        <w:spacing w:line="440" w:lineRule="exact"/>
        <w:rPr>
          <w:rFonts w:ascii="宋体" w:hAnsi="宋体"/>
          <w:color w:val="000000"/>
          <w:sz w:val="24"/>
        </w:rPr>
      </w:pPr>
      <w:r>
        <w:rPr>
          <w:rFonts w:hint="eastAsia" w:ascii="宋体" w:hAnsi="宋体"/>
          <w:color w:val="000000"/>
          <w:sz w:val="24"/>
        </w:rPr>
        <w:t>据此函，签字代表宣布同意如下：</w:t>
      </w:r>
    </w:p>
    <w:p>
      <w:pPr>
        <w:pStyle w:val="67"/>
        <w:numPr>
          <w:ilvl w:val="0"/>
          <w:numId w:val="57"/>
        </w:numPr>
        <w:tabs>
          <w:tab w:val="left" w:pos="720"/>
          <w:tab w:val="clear" w:pos="420"/>
        </w:tabs>
        <w:spacing w:line="440" w:lineRule="exact"/>
        <w:ind w:left="720" w:hanging="360"/>
        <w:rPr>
          <w:rFonts w:ascii="宋体" w:hAnsi="宋体" w:eastAsia="宋体"/>
          <w:color w:val="000000"/>
          <w:sz w:val="24"/>
          <w:szCs w:val="24"/>
        </w:rPr>
      </w:pPr>
      <w:r>
        <w:rPr>
          <w:rFonts w:hint="eastAsia" w:ascii="宋体" w:hAnsi="宋体" w:eastAsia="宋体"/>
          <w:color w:val="000000"/>
          <w:sz w:val="24"/>
          <w:szCs w:val="24"/>
        </w:rPr>
        <w:t>所附投标报价表中规定的应提供的项目投标总价为人民币</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，（文字表示）</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w:t>
      </w:r>
    </w:p>
    <w:p>
      <w:pPr>
        <w:pStyle w:val="67"/>
        <w:numPr>
          <w:ilvl w:val="0"/>
          <w:numId w:val="57"/>
        </w:numPr>
        <w:tabs>
          <w:tab w:val="left" w:pos="720"/>
          <w:tab w:val="clear" w:pos="420"/>
        </w:tabs>
        <w:spacing w:line="440" w:lineRule="exact"/>
        <w:ind w:left="720" w:hanging="360"/>
        <w:rPr>
          <w:rFonts w:ascii="宋体" w:hAnsi="宋体" w:eastAsia="宋体"/>
          <w:color w:val="000000"/>
          <w:sz w:val="24"/>
          <w:szCs w:val="24"/>
        </w:rPr>
      </w:pPr>
      <w:r>
        <w:rPr>
          <w:rFonts w:hint="eastAsia" w:ascii="宋体" w:hAnsi="宋体" w:eastAsia="宋体"/>
          <w:color w:val="000000"/>
          <w:sz w:val="24"/>
          <w:szCs w:val="24"/>
        </w:rPr>
        <w:t>如果我们的投标文件被接受，我们将按招标文件的规定签订并严格履行合同中的责任和义务。</w:t>
      </w:r>
    </w:p>
    <w:p>
      <w:pPr>
        <w:pStyle w:val="67"/>
        <w:numPr>
          <w:ilvl w:val="0"/>
          <w:numId w:val="57"/>
        </w:numPr>
        <w:tabs>
          <w:tab w:val="left" w:pos="720"/>
          <w:tab w:val="clear" w:pos="420"/>
        </w:tabs>
        <w:spacing w:line="440" w:lineRule="exact"/>
        <w:ind w:hanging="60"/>
        <w:rPr>
          <w:rFonts w:ascii="宋体" w:hAnsi="宋体" w:eastAsia="宋体"/>
          <w:color w:val="000000"/>
          <w:sz w:val="24"/>
          <w:szCs w:val="24"/>
        </w:rPr>
      </w:pPr>
      <w:r>
        <w:rPr>
          <w:rFonts w:hint="eastAsia" w:ascii="宋体" w:hAnsi="宋体" w:eastAsia="宋体"/>
          <w:color w:val="000000"/>
          <w:sz w:val="24"/>
          <w:szCs w:val="24"/>
        </w:rPr>
        <w:t>投标人已详细审查全部招标文件，包括修改文件以及全部参考资料和有关附件。我们完全理解并同意放弃对这方面有不明及误解的权力。</w:t>
      </w:r>
    </w:p>
    <w:p>
      <w:pPr>
        <w:pStyle w:val="67"/>
        <w:numPr>
          <w:ilvl w:val="0"/>
          <w:numId w:val="57"/>
        </w:numPr>
        <w:tabs>
          <w:tab w:val="left" w:pos="720"/>
          <w:tab w:val="clear" w:pos="420"/>
        </w:tabs>
        <w:spacing w:line="440" w:lineRule="exact"/>
        <w:ind w:hanging="60"/>
        <w:rPr>
          <w:rFonts w:ascii="宋体" w:hAnsi="宋体" w:eastAsia="宋体"/>
          <w:color w:val="000000"/>
          <w:sz w:val="24"/>
          <w:szCs w:val="24"/>
        </w:rPr>
      </w:pPr>
      <w:r>
        <w:rPr>
          <w:rFonts w:hint="eastAsia" w:ascii="宋体" w:hAnsi="宋体" w:eastAsia="宋体"/>
          <w:color w:val="000000"/>
          <w:sz w:val="24"/>
          <w:szCs w:val="24"/>
        </w:rPr>
        <w:t>本投标自开标日起有效期为</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天。</w:t>
      </w:r>
    </w:p>
    <w:p>
      <w:pPr>
        <w:pStyle w:val="67"/>
        <w:numPr>
          <w:ilvl w:val="0"/>
          <w:numId w:val="57"/>
        </w:numPr>
        <w:tabs>
          <w:tab w:val="left" w:pos="720"/>
          <w:tab w:val="clear" w:pos="420"/>
        </w:tabs>
        <w:spacing w:line="440" w:lineRule="exact"/>
        <w:ind w:hanging="60"/>
        <w:rPr>
          <w:rFonts w:ascii="宋体" w:hAnsi="宋体" w:eastAsia="宋体"/>
          <w:color w:val="000000"/>
          <w:sz w:val="24"/>
          <w:szCs w:val="24"/>
        </w:rPr>
      </w:pPr>
      <w:r>
        <w:rPr>
          <w:rFonts w:hint="eastAsia" w:ascii="宋体" w:hAnsi="宋体" w:eastAsia="宋体"/>
          <w:color w:val="000000"/>
          <w:sz w:val="24"/>
          <w:szCs w:val="24"/>
        </w:rPr>
        <w:t>投标人承诺，与招标方聘请的为此项目提供咨询服务及任何附属机构均无关联，非招标方的附属机构。</w:t>
      </w:r>
    </w:p>
    <w:p>
      <w:pPr>
        <w:pStyle w:val="67"/>
        <w:numPr>
          <w:ilvl w:val="0"/>
          <w:numId w:val="57"/>
        </w:numPr>
        <w:tabs>
          <w:tab w:val="left" w:pos="720"/>
          <w:tab w:val="clear" w:pos="420"/>
        </w:tabs>
        <w:spacing w:line="440" w:lineRule="exact"/>
        <w:ind w:hanging="60"/>
        <w:rPr>
          <w:rFonts w:ascii="宋体" w:hAnsi="宋体" w:eastAsia="宋体"/>
          <w:color w:val="000000"/>
          <w:sz w:val="24"/>
          <w:szCs w:val="24"/>
        </w:rPr>
      </w:pPr>
      <w:r>
        <w:rPr>
          <w:rFonts w:hint="eastAsia" w:ascii="宋体" w:hAnsi="宋体" w:eastAsia="宋体"/>
          <w:color w:val="000000"/>
          <w:sz w:val="24"/>
          <w:szCs w:val="24"/>
        </w:rPr>
        <w:t>投标人同意提供按照贵方可能要求的与其投标有关的一切数据或资料，完全理解贵方不一定接受最低价的投标或收到的任何投标。</w:t>
      </w:r>
    </w:p>
    <w:p>
      <w:pPr>
        <w:pStyle w:val="67"/>
        <w:numPr>
          <w:ilvl w:val="0"/>
          <w:numId w:val="57"/>
        </w:numPr>
        <w:tabs>
          <w:tab w:val="left" w:pos="720"/>
          <w:tab w:val="clear" w:pos="420"/>
        </w:tabs>
        <w:spacing w:line="440" w:lineRule="exact"/>
        <w:ind w:hanging="60"/>
        <w:rPr>
          <w:rFonts w:ascii="宋体" w:hAnsi="宋体" w:eastAsia="宋体"/>
          <w:color w:val="000000"/>
          <w:sz w:val="24"/>
          <w:szCs w:val="24"/>
        </w:rPr>
      </w:pPr>
      <w:r>
        <w:rPr>
          <w:rFonts w:hint="eastAsia" w:ascii="宋体" w:hAnsi="宋体" w:eastAsia="宋体"/>
          <w:color w:val="000000"/>
          <w:sz w:val="24"/>
          <w:szCs w:val="24"/>
        </w:rPr>
        <w:t>与本投标有关的一切正式往来请寄：</w:t>
      </w:r>
    </w:p>
    <w:p>
      <w:pPr>
        <w:pStyle w:val="39"/>
        <w:spacing w:after="0" w:line="440" w:lineRule="exact"/>
        <w:ind w:left="0"/>
        <w:rPr>
          <w:rFonts w:ascii="宋体" w:hAnsi="宋体" w:eastAsia="宋体"/>
          <w:color w:val="000000"/>
          <w:sz w:val="24"/>
          <w:szCs w:val="24"/>
        </w:rPr>
      </w:pPr>
      <w:r>
        <w:rPr>
          <w:rFonts w:hint="eastAsia" w:ascii="宋体" w:hAnsi="宋体" w:eastAsia="宋体"/>
          <w:color w:val="000000"/>
          <w:sz w:val="24"/>
          <w:szCs w:val="24"/>
        </w:rPr>
        <w:t xml:space="preserve">地址：　　　　　　　　邮政编码：                   </w:t>
      </w:r>
    </w:p>
    <w:p>
      <w:pPr>
        <w:pStyle w:val="39"/>
        <w:spacing w:after="0" w:line="440" w:lineRule="exact"/>
        <w:ind w:left="0"/>
        <w:rPr>
          <w:rFonts w:ascii="宋体" w:hAnsi="宋体" w:eastAsia="宋体"/>
          <w:color w:val="000000"/>
          <w:sz w:val="24"/>
          <w:szCs w:val="24"/>
        </w:rPr>
      </w:pPr>
      <w:r>
        <w:rPr>
          <w:rFonts w:hint="eastAsia" w:ascii="宋体" w:hAnsi="宋体" w:eastAsia="宋体"/>
          <w:color w:val="000000"/>
          <w:sz w:val="24"/>
          <w:szCs w:val="24"/>
        </w:rPr>
        <w:t>电话：　　　        　　　传真：</w:t>
      </w:r>
    </w:p>
    <w:p>
      <w:pPr>
        <w:spacing w:line="40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         日期：</w:t>
      </w:r>
    </w:p>
    <w:p>
      <w:pPr>
        <w:pStyle w:val="6"/>
        <w:numPr>
          <w:ilvl w:val="1"/>
          <w:numId w:val="0"/>
        </w:numPr>
        <w:rPr>
          <w:rFonts w:ascii="宋体" w:hAnsi="宋体" w:eastAsia="宋体"/>
          <w:color w:val="000000"/>
          <w:szCs w:val="32"/>
        </w:rPr>
      </w:pPr>
      <w:bookmarkStart w:id="75" w:name="_Toc16879"/>
      <w:r>
        <w:rPr>
          <w:rFonts w:hint="eastAsia" w:ascii="宋体" w:hAnsi="宋体" w:eastAsia="宋体"/>
          <w:color w:val="000000"/>
          <w:szCs w:val="32"/>
        </w:rPr>
        <w:t>3．资格证明文件</w:t>
      </w:r>
      <w:bookmarkEnd w:id="75"/>
    </w:p>
    <w:p>
      <w:pPr>
        <w:spacing w:line="360" w:lineRule="auto"/>
        <w:jc w:val="center"/>
        <w:rPr>
          <w:rFonts w:ascii="宋体" w:hAnsi="宋体"/>
          <w:color w:val="000000"/>
          <w:sz w:val="24"/>
          <w:szCs w:val="24"/>
        </w:rPr>
      </w:pPr>
      <w:r>
        <w:rPr>
          <w:rFonts w:hint="eastAsia" w:ascii="宋体" w:hAnsi="宋体"/>
          <w:color w:val="000000"/>
          <w:sz w:val="24"/>
          <w:szCs w:val="24"/>
        </w:rPr>
        <w:t>填写须知</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投标人应如实填写和提交下述规定表格以及其他有关资料。</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所附格式中要求填写的全部问题和/或信息都必须填写。</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本资格声明的签字人应保证全部声明和填写的内容是真实的和正确的。</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评标将根据投标人提交的资料判断其履行合同的合格性及能力。</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投标人提交的材料将被保密，但并不退还。</w:t>
      </w:r>
    </w:p>
    <w:p>
      <w:pPr>
        <w:numPr>
          <w:ilvl w:val="0"/>
          <w:numId w:val="58"/>
        </w:numPr>
        <w:spacing w:line="360" w:lineRule="auto"/>
        <w:rPr>
          <w:rFonts w:ascii="宋体" w:hAnsi="宋体"/>
          <w:color w:val="000000"/>
          <w:sz w:val="24"/>
          <w:szCs w:val="24"/>
        </w:rPr>
      </w:pPr>
      <w:r>
        <w:rPr>
          <w:rFonts w:hint="eastAsia" w:ascii="宋体" w:hAnsi="宋体"/>
          <w:color w:val="000000"/>
          <w:sz w:val="24"/>
          <w:szCs w:val="24"/>
        </w:rPr>
        <w:t>全部文件应按“招标项目资料表”规定的语言和份数提交。</w:t>
      </w:r>
    </w:p>
    <w:p>
      <w:pPr>
        <w:numPr>
          <w:ilvl w:val="0"/>
          <w:numId w:val="59"/>
        </w:numPr>
        <w:jc w:val="center"/>
        <w:rPr>
          <w:b/>
          <w:bCs/>
          <w:sz w:val="28"/>
          <w:szCs w:val="32"/>
        </w:rPr>
      </w:pPr>
      <w:r>
        <w:rPr>
          <w:rFonts w:hint="eastAsia"/>
          <w:b/>
          <w:bCs/>
          <w:sz w:val="28"/>
          <w:szCs w:val="32"/>
        </w:rPr>
        <w:br w:type="page"/>
      </w:r>
      <w:r>
        <w:rPr>
          <w:rFonts w:hint="eastAsia"/>
          <w:b/>
          <w:bCs/>
          <w:sz w:val="28"/>
          <w:szCs w:val="32"/>
        </w:rPr>
        <w:t>投标人资格申明信</w:t>
      </w:r>
    </w:p>
    <w:p>
      <w:pPr>
        <w:pStyle w:val="8"/>
        <w:spacing w:line="360" w:lineRule="auto"/>
        <w:ind w:firstLine="0"/>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（采购代理机构名称）</w:t>
      </w:r>
    </w:p>
    <w:p>
      <w:pPr>
        <w:pStyle w:val="8"/>
        <w:spacing w:line="360" w:lineRule="auto"/>
        <w:ind w:firstLine="540"/>
        <w:rPr>
          <w:rFonts w:ascii="宋体" w:hAnsi="宋体"/>
          <w:color w:val="000000"/>
          <w:sz w:val="24"/>
          <w:szCs w:val="24"/>
        </w:rPr>
      </w:pPr>
      <w:r>
        <w:rPr>
          <w:rFonts w:hint="eastAsia" w:ascii="宋体" w:hAnsi="宋体"/>
          <w:color w:val="000000"/>
          <w:sz w:val="24"/>
          <w:szCs w:val="24"/>
        </w:rPr>
        <w:t>为响应你方于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日发出的</w:t>
      </w:r>
      <w:r>
        <w:rPr>
          <w:rFonts w:hint="eastAsia" w:ascii="宋体" w:hAnsi="宋体"/>
          <w:color w:val="000000"/>
          <w:sz w:val="24"/>
          <w:szCs w:val="24"/>
          <w:u w:val="single"/>
        </w:rPr>
        <w:t>（招标编号）</w:t>
      </w:r>
      <w:r>
        <w:rPr>
          <w:rFonts w:hint="eastAsia" w:ascii="宋体" w:hAnsi="宋体"/>
          <w:color w:val="000000"/>
          <w:sz w:val="24"/>
          <w:szCs w:val="24"/>
        </w:rPr>
        <w:t>投标邀请，下述签字人愿意参加投标，提供招标文件中货物/服务报价表规定的</w:t>
      </w:r>
      <w:r>
        <w:rPr>
          <w:rFonts w:hint="eastAsia" w:ascii="宋体" w:hAnsi="宋体"/>
          <w:i/>
          <w:iCs/>
          <w:color w:val="000000"/>
          <w:sz w:val="24"/>
          <w:szCs w:val="24"/>
          <w:u w:val="single"/>
        </w:rPr>
        <w:t>（项目/货物名称）</w:t>
      </w:r>
      <w:r>
        <w:rPr>
          <w:rFonts w:hint="eastAsia" w:ascii="宋体" w:hAnsi="宋体"/>
          <w:color w:val="000000"/>
          <w:sz w:val="24"/>
          <w:szCs w:val="24"/>
        </w:rPr>
        <w:t xml:space="preserve"> ，递交下述文件并保证所有陈述是正确的和真实的。</w:t>
      </w:r>
    </w:p>
    <w:p>
      <w:pPr>
        <w:pStyle w:val="8"/>
        <w:spacing w:line="360" w:lineRule="auto"/>
        <w:ind w:firstLine="540"/>
        <w:rPr>
          <w:rFonts w:ascii="宋体" w:hAnsi="宋体"/>
          <w:color w:val="000000"/>
          <w:sz w:val="24"/>
          <w:szCs w:val="24"/>
        </w:rPr>
      </w:pPr>
      <w:r>
        <w:rPr>
          <w:rFonts w:hint="eastAsia" w:ascii="宋体" w:hAnsi="宋体"/>
          <w:color w:val="000000"/>
          <w:sz w:val="24"/>
          <w:szCs w:val="24"/>
        </w:rPr>
        <w:t>1.由</w:t>
      </w:r>
      <w:r>
        <w:rPr>
          <w:rFonts w:hint="eastAsia" w:ascii="宋体" w:hAnsi="宋体"/>
          <w:i/>
          <w:iCs/>
          <w:color w:val="000000"/>
          <w:sz w:val="24"/>
          <w:szCs w:val="24"/>
          <w:u w:val="single"/>
        </w:rPr>
        <w:t>（制造商/指定代理名称）</w:t>
      </w:r>
      <w:r>
        <w:rPr>
          <w:rFonts w:hint="eastAsia" w:ascii="宋体" w:hAnsi="宋体"/>
          <w:iCs/>
          <w:color w:val="000000"/>
          <w:sz w:val="24"/>
          <w:szCs w:val="24"/>
        </w:rPr>
        <w:t>为</w:t>
      </w:r>
      <w:r>
        <w:rPr>
          <w:rFonts w:hint="eastAsia" w:ascii="宋体" w:hAnsi="宋体"/>
          <w:i/>
          <w:iCs/>
          <w:color w:val="000000"/>
          <w:sz w:val="24"/>
          <w:szCs w:val="24"/>
          <w:u w:val="single"/>
        </w:rPr>
        <w:t>（项目/货物名称）</w:t>
      </w:r>
      <w:r>
        <w:rPr>
          <w:rFonts w:hint="eastAsia" w:ascii="宋体" w:hAnsi="宋体"/>
          <w:color w:val="000000"/>
          <w:sz w:val="24"/>
          <w:szCs w:val="24"/>
        </w:rPr>
        <w:t>开立的授权书。写明我方有权代表制造厂家的货物投标。（当投标人为代理贸易公司时填写）。</w:t>
      </w:r>
    </w:p>
    <w:p>
      <w:pPr>
        <w:pStyle w:val="8"/>
        <w:spacing w:line="360" w:lineRule="auto"/>
        <w:ind w:firstLine="540"/>
        <w:rPr>
          <w:rFonts w:ascii="宋体" w:hAnsi="宋体"/>
          <w:color w:val="000000"/>
          <w:sz w:val="24"/>
          <w:szCs w:val="24"/>
        </w:rPr>
      </w:pPr>
      <w:r>
        <w:rPr>
          <w:rFonts w:hint="eastAsia" w:ascii="宋体" w:hAnsi="宋体"/>
          <w:color w:val="000000"/>
          <w:sz w:val="24"/>
          <w:szCs w:val="24"/>
        </w:rPr>
        <w:t>2.我方的资格申明一份。</w:t>
      </w:r>
    </w:p>
    <w:p>
      <w:pPr>
        <w:pStyle w:val="8"/>
        <w:spacing w:line="360" w:lineRule="auto"/>
        <w:ind w:firstLine="540"/>
        <w:rPr>
          <w:rFonts w:ascii="宋体" w:hAnsi="宋体"/>
          <w:color w:val="000000"/>
          <w:sz w:val="24"/>
          <w:szCs w:val="24"/>
        </w:rPr>
      </w:pPr>
      <w:r>
        <w:rPr>
          <w:rFonts w:hint="eastAsia" w:ascii="宋体" w:hAnsi="宋体"/>
          <w:color w:val="000000"/>
          <w:sz w:val="24"/>
          <w:szCs w:val="24"/>
        </w:rPr>
        <w:t>3.签署人保证资格文件的陈述真实正确的证明。</w:t>
      </w:r>
    </w:p>
    <w:p>
      <w:pPr>
        <w:pStyle w:val="8"/>
        <w:spacing w:line="360" w:lineRule="auto"/>
        <w:ind w:firstLine="540"/>
        <w:rPr>
          <w:rFonts w:ascii="宋体" w:hAnsi="宋体"/>
          <w:color w:val="000000"/>
          <w:sz w:val="24"/>
          <w:szCs w:val="24"/>
        </w:rPr>
      </w:pPr>
    </w:p>
    <w:p>
      <w:pPr>
        <w:pStyle w:val="8"/>
        <w:spacing w:line="360" w:lineRule="auto"/>
        <w:ind w:firstLine="0"/>
        <w:rPr>
          <w:rFonts w:ascii="宋体" w:hAnsi="宋体"/>
          <w:color w:val="000000"/>
          <w:sz w:val="24"/>
          <w:szCs w:val="24"/>
        </w:rPr>
      </w:pPr>
    </w:p>
    <w:p>
      <w:pPr>
        <w:pStyle w:val="8"/>
        <w:spacing w:line="360" w:lineRule="auto"/>
        <w:ind w:firstLine="0"/>
        <w:rPr>
          <w:rFonts w:ascii="宋体" w:hAnsi="宋体"/>
          <w:color w:val="000000"/>
          <w:sz w:val="24"/>
          <w:szCs w:val="24"/>
        </w:rPr>
      </w:pPr>
    </w:p>
    <w:p>
      <w:pPr>
        <w:spacing w:line="44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spacing w:line="440" w:lineRule="exact"/>
        <w:rPr>
          <w:rFonts w:ascii="宋体" w:hAnsi="宋体"/>
          <w:color w:val="000000"/>
          <w:sz w:val="24"/>
        </w:rPr>
      </w:pPr>
    </w:p>
    <w:p>
      <w:pPr>
        <w:spacing w:line="440" w:lineRule="exact"/>
        <w:rPr>
          <w:rFonts w:ascii="宋体" w:hAnsi="宋体"/>
          <w:color w:val="000000"/>
          <w:sz w:val="24"/>
        </w:rPr>
      </w:pPr>
    </w:p>
    <w:p>
      <w:pPr>
        <w:pStyle w:val="8"/>
        <w:spacing w:line="360" w:lineRule="auto"/>
        <w:ind w:firstLine="0"/>
        <w:rPr>
          <w:rFonts w:ascii="宋体" w:hAnsi="宋体"/>
          <w:color w:val="000000"/>
          <w:sz w:val="24"/>
          <w:szCs w:val="24"/>
        </w:rPr>
      </w:pPr>
      <w:r>
        <w:rPr>
          <w:rFonts w:hint="eastAsia" w:ascii="宋体" w:hAnsi="宋体"/>
          <w:color w:val="000000"/>
          <w:sz w:val="24"/>
          <w:szCs w:val="24"/>
        </w:rPr>
        <w:t xml:space="preserve">地址：                            </w:t>
      </w:r>
    </w:p>
    <w:p>
      <w:pPr>
        <w:pStyle w:val="8"/>
        <w:spacing w:line="360" w:lineRule="auto"/>
        <w:ind w:firstLine="0"/>
        <w:rPr>
          <w:rFonts w:ascii="宋体" w:hAnsi="宋体"/>
          <w:color w:val="000000"/>
          <w:sz w:val="24"/>
          <w:szCs w:val="24"/>
        </w:rPr>
      </w:pPr>
    </w:p>
    <w:p>
      <w:pPr>
        <w:pStyle w:val="8"/>
        <w:spacing w:line="360" w:lineRule="auto"/>
        <w:ind w:firstLine="0"/>
        <w:rPr>
          <w:rFonts w:ascii="宋体" w:hAnsi="宋体"/>
          <w:color w:val="000000"/>
          <w:sz w:val="24"/>
          <w:szCs w:val="24"/>
        </w:rPr>
      </w:pPr>
      <w:r>
        <w:rPr>
          <w:rFonts w:hint="eastAsia" w:ascii="宋体" w:hAnsi="宋体"/>
          <w:color w:val="000000"/>
          <w:sz w:val="24"/>
          <w:szCs w:val="24"/>
        </w:rPr>
        <w:t>邮编：                             电话：</w:t>
      </w:r>
    </w:p>
    <w:p>
      <w:pPr>
        <w:pStyle w:val="7"/>
        <w:numPr>
          <w:ilvl w:val="0"/>
          <w:numId w:val="59"/>
        </w:numPr>
        <w:spacing w:line="416" w:lineRule="auto"/>
        <w:jc w:val="center"/>
      </w:pPr>
      <w:r>
        <w:rPr>
          <w:rFonts w:hint="eastAsia" w:ascii="宋体" w:hAnsi="宋体"/>
          <w:color w:val="000000"/>
          <w:sz w:val="28"/>
          <w:szCs w:val="28"/>
        </w:rPr>
        <w:br w:type="page"/>
      </w:r>
      <w:bookmarkStart w:id="76" w:name="_Toc13107"/>
      <w:r>
        <w:rPr>
          <w:rFonts w:hint="eastAsia"/>
        </w:rPr>
        <w:t>投标人资格申明</w:t>
      </w:r>
      <w:bookmarkEnd w:id="76"/>
    </w:p>
    <w:p>
      <w:pPr>
        <w:pStyle w:val="8"/>
        <w:numPr>
          <w:ilvl w:val="0"/>
          <w:numId w:val="60"/>
        </w:numPr>
        <w:tabs>
          <w:tab w:val="left" w:pos="0"/>
          <w:tab w:val="clear" w:pos="3405"/>
        </w:tabs>
        <w:ind w:hanging="3405"/>
        <w:jc w:val="center"/>
        <w:rPr>
          <w:rFonts w:ascii="宋体" w:hAnsi="宋体"/>
          <w:color w:val="000000"/>
          <w:sz w:val="24"/>
          <w:szCs w:val="24"/>
        </w:rPr>
      </w:pPr>
      <w:r>
        <w:rPr>
          <w:rFonts w:hint="eastAsia" w:ascii="宋体" w:hAnsi="宋体"/>
          <w:color w:val="000000"/>
          <w:sz w:val="24"/>
          <w:szCs w:val="24"/>
        </w:rPr>
        <w:t>基本情况</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投标人名称</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地址</w:t>
      </w:r>
    </w:p>
    <w:p>
      <w:pPr>
        <w:pStyle w:val="8"/>
        <w:tabs>
          <w:tab w:val="left" w:pos="900"/>
        </w:tabs>
        <w:ind w:left="540" w:firstLine="268" w:firstLineChars="112"/>
        <w:rPr>
          <w:rFonts w:ascii="宋体" w:hAnsi="宋体"/>
          <w:color w:val="000000"/>
          <w:sz w:val="24"/>
          <w:szCs w:val="24"/>
        </w:rPr>
      </w:pPr>
      <w:r>
        <w:rPr>
          <w:rFonts w:hint="eastAsia" w:ascii="宋体" w:hAnsi="宋体"/>
          <w:color w:val="000000"/>
          <w:sz w:val="24"/>
          <w:szCs w:val="24"/>
        </w:rPr>
        <w:t>联系电话、传真</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成立或/注册日期（提供其营业执照副本复印件）</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法定代表人</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制造商名称和地址（如有）</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投标人所属的集团/财团公司</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投标人员工总人数：</w:t>
      </w:r>
      <w:r>
        <w:rPr>
          <w:rFonts w:ascii="宋体" w:hAnsi="宋体"/>
          <w:color w:val="000000"/>
          <w:sz w:val="24"/>
          <w:szCs w:val="24"/>
        </w:rPr>
        <w:br w:type="textWrapping"/>
      </w:r>
      <w:r>
        <w:rPr>
          <w:rFonts w:hint="eastAsia" w:ascii="宋体" w:hAnsi="宋体"/>
          <w:color w:val="000000"/>
          <w:sz w:val="24"/>
          <w:szCs w:val="24"/>
        </w:rPr>
        <w:t>其中：高级职称人数：        中级职称人数：</w:t>
      </w:r>
      <w:r>
        <w:rPr>
          <w:rFonts w:ascii="宋体" w:hAnsi="宋体"/>
          <w:color w:val="000000"/>
          <w:sz w:val="24"/>
          <w:szCs w:val="24"/>
        </w:rPr>
        <w:br w:type="textWrapping"/>
      </w:r>
      <w:r>
        <w:rPr>
          <w:rFonts w:hint="eastAsia" w:ascii="宋体" w:hAnsi="宋体"/>
          <w:color w:val="000000"/>
          <w:sz w:val="24"/>
          <w:szCs w:val="24"/>
        </w:rPr>
        <w:t>管理人员人数：         技术人员人数：</w:t>
      </w:r>
    </w:p>
    <w:p>
      <w:pPr>
        <w:pStyle w:val="8"/>
        <w:numPr>
          <w:ilvl w:val="1"/>
          <w:numId w:val="60"/>
        </w:numPr>
        <w:tabs>
          <w:tab w:val="left" w:pos="900"/>
        </w:tabs>
        <w:rPr>
          <w:rFonts w:ascii="宋体" w:hAnsi="宋体"/>
          <w:color w:val="000000"/>
          <w:sz w:val="24"/>
          <w:szCs w:val="24"/>
        </w:rPr>
      </w:pPr>
      <w:r>
        <w:rPr>
          <w:rFonts w:hint="eastAsia" w:ascii="宋体" w:hAnsi="宋体"/>
          <w:color w:val="000000"/>
          <w:sz w:val="24"/>
          <w:szCs w:val="24"/>
        </w:rPr>
        <w:t>投标联系人：</w:t>
      </w:r>
    </w:p>
    <w:p>
      <w:pPr>
        <w:pStyle w:val="8"/>
        <w:tabs>
          <w:tab w:val="left" w:pos="900"/>
        </w:tabs>
        <w:ind w:left="540" w:firstLine="360" w:firstLineChars="150"/>
        <w:rPr>
          <w:rFonts w:ascii="宋体" w:hAnsi="宋体"/>
          <w:color w:val="000000"/>
          <w:sz w:val="24"/>
          <w:szCs w:val="24"/>
        </w:rPr>
      </w:pPr>
      <w:r>
        <w:rPr>
          <w:rFonts w:hint="eastAsia" w:ascii="宋体" w:hAnsi="宋体"/>
          <w:color w:val="000000"/>
          <w:sz w:val="24"/>
          <w:szCs w:val="24"/>
        </w:rPr>
        <w:t>联络方式及电话：</w:t>
      </w:r>
    </w:p>
    <w:p>
      <w:pPr>
        <w:pStyle w:val="8"/>
        <w:numPr>
          <w:ilvl w:val="0"/>
          <w:numId w:val="60"/>
        </w:numPr>
        <w:tabs>
          <w:tab w:val="clear" w:pos="3405"/>
        </w:tabs>
        <w:ind w:hanging="3405"/>
        <w:jc w:val="center"/>
        <w:rPr>
          <w:rFonts w:ascii="宋体" w:hAnsi="宋体"/>
          <w:color w:val="000000"/>
          <w:sz w:val="24"/>
          <w:szCs w:val="24"/>
        </w:rPr>
      </w:pPr>
      <w:r>
        <w:rPr>
          <w:rFonts w:hint="eastAsia" w:ascii="宋体" w:hAnsi="宋体"/>
          <w:color w:val="000000"/>
          <w:sz w:val="24"/>
          <w:szCs w:val="24"/>
        </w:rPr>
        <w:t>财务状况</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固定资产</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流动资产</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长期负债</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流动负债</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资产净值</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有关开户银行的名称、地址</w:t>
      </w:r>
    </w:p>
    <w:p>
      <w:pPr>
        <w:pStyle w:val="8"/>
        <w:numPr>
          <w:ilvl w:val="0"/>
          <w:numId w:val="61"/>
        </w:numPr>
        <w:tabs>
          <w:tab w:val="left" w:pos="900"/>
        </w:tabs>
        <w:rPr>
          <w:rFonts w:ascii="宋体" w:hAnsi="宋体"/>
          <w:color w:val="000000"/>
          <w:sz w:val="24"/>
          <w:szCs w:val="24"/>
        </w:rPr>
      </w:pPr>
      <w:r>
        <w:rPr>
          <w:rFonts w:hint="eastAsia" w:ascii="宋体" w:hAnsi="宋体"/>
          <w:color w:val="000000"/>
          <w:sz w:val="24"/>
          <w:szCs w:val="24"/>
        </w:rPr>
        <w:t>最近三年每年的营业总额</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pStyle w:val="8"/>
              <w:ind w:firstLine="0"/>
              <w:jc w:val="center"/>
              <w:rPr>
                <w:rFonts w:ascii="宋体" w:hAnsi="宋体"/>
                <w:color w:val="000000"/>
                <w:sz w:val="24"/>
                <w:szCs w:val="24"/>
              </w:rPr>
            </w:pPr>
            <w:r>
              <w:rPr>
                <w:rFonts w:hint="eastAsia" w:ascii="宋体" w:hAnsi="宋体"/>
                <w:color w:val="000000"/>
                <w:sz w:val="24"/>
                <w:szCs w:val="24"/>
              </w:rPr>
              <w:t>年份</w:t>
            </w:r>
          </w:p>
        </w:tc>
        <w:tc>
          <w:tcPr>
            <w:tcW w:w="2130" w:type="dxa"/>
          </w:tcPr>
          <w:p>
            <w:pPr>
              <w:pStyle w:val="8"/>
              <w:ind w:firstLine="0"/>
              <w:jc w:val="center"/>
              <w:rPr>
                <w:rFonts w:ascii="宋体" w:hAnsi="宋体"/>
                <w:color w:val="000000"/>
                <w:sz w:val="24"/>
                <w:szCs w:val="24"/>
              </w:rPr>
            </w:pPr>
            <w:r>
              <w:rPr>
                <w:rFonts w:hint="eastAsia" w:ascii="宋体" w:hAnsi="宋体"/>
                <w:color w:val="000000"/>
                <w:sz w:val="24"/>
                <w:szCs w:val="24"/>
              </w:rPr>
              <w:t>业务总额</w:t>
            </w:r>
          </w:p>
        </w:tc>
        <w:tc>
          <w:tcPr>
            <w:tcW w:w="2130" w:type="dxa"/>
          </w:tcPr>
          <w:p>
            <w:pPr>
              <w:pStyle w:val="8"/>
              <w:ind w:firstLine="0"/>
              <w:jc w:val="center"/>
              <w:rPr>
                <w:rFonts w:ascii="宋体" w:hAnsi="宋体"/>
                <w:color w:val="000000"/>
                <w:sz w:val="24"/>
                <w:szCs w:val="24"/>
              </w:rPr>
            </w:pPr>
            <w:r>
              <w:rPr>
                <w:rFonts w:hint="eastAsia" w:ascii="宋体" w:hAnsi="宋体"/>
                <w:color w:val="000000"/>
                <w:sz w:val="24"/>
                <w:szCs w:val="24"/>
              </w:rPr>
              <w:t>国内</w:t>
            </w:r>
          </w:p>
        </w:tc>
        <w:tc>
          <w:tcPr>
            <w:tcW w:w="2130" w:type="dxa"/>
          </w:tcPr>
          <w:p>
            <w:pPr>
              <w:pStyle w:val="8"/>
              <w:ind w:firstLine="0"/>
              <w:jc w:val="center"/>
              <w:rPr>
                <w:rFonts w:ascii="宋体" w:hAnsi="宋体"/>
                <w:color w:val="000000"/>
                <w:sz w:val="24"/>
                <w:szCs w:val="24"/>
              </w:rPr>
            </w:pPr>
            <w:r>
              <w:rPr>
                <w:rFonts w:hint="eastAsia" w:ascii="宋体" w:hAnsi="宋体"/>
                <w:color w:val="000000"/>
                <w:sz w:val="24"/>
                <w:szCs w:val="24"/>
              </w:rPr>
              <w:t>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c>
          <w:tcPr>
            <w:tcW w:w="2130" w:type="dxa"/>
          </w:tcPr>
          <w:p>
            <w:pPr>
              <w:pStyle w:val="8"/>
              <w:ind w:firstLine="0"/>
              <w:rPr>
                <w:rFonts w:ascii="宋体" w:hAnsi="宋体"/>
                <w:color w:val="000000"/>
                <w:sz w:val="24"/>
                <w:szCs w:val="24"/>
              </w:rPr>
            </w:pPr>
          </w:p>
        </w:tc>
      </w:tr>
    </w:tbl>
    <w:p>
      <w:pPr>
        <w:pStyle w:val="8"/>
        <w:tabs>
          <w:tab w:val="left" w:pos="1080"/>
        </w:tabs>
        <w:rPr>
          <w:rFonts w:ascii="宋体" w:hAnsi="宋体"/>
          <w:color w:val="000000"/>
          <w:sz w:val="24"/>
          <w:szCs w:val="24"/>
        </w:rPr>
      </w:pPr>
    </w:p>
    <w:p>
      <w:pPr>
        <w:pStyle w:val="8"/>
        <w:numPr>
          <w:ilvl w:val="0"/>
          <w:numId w:val="60"/>
        </w:numPr>
        <w:tabs>
          <w:tab w:val="clear" w:pos="3405"/>
        </w:tabs>
        <w:ind w:hanging="3405"/>
        <w:jc w:val="center"/>
        <w:rPr>
          <w:rFonts w:ascii="宋体" w:hAnsi="宋体"/>
          <w:color w:val="000000"/>
          <w:sz w:val="24"/>
          <w:szCs w:val="24"/>
        </w:rPr>
      </w:pPr>
      <w:r>
        <w:rPr>
          <w:rFonts w:hint="eastAsia" w:ascii="宋体" w:hAnsi="宋体"/>
          <w:color w:val="000000"/>
          <w:sz w:val="24"/>
          <w:szCs w:val="24"/>
        </w:rPr>
        <w:t>供应投标货物经验（业绩）</w:t>
      </w:r>
    </w:p>
    <w:p>
      <w:pPr>
        <w:pStyle w:val="8"/>
        <w:numPr>
          <w:ilvl w:val="0"/>
          <w:numId w:val="62"/>
        </w:numPr>
        <w:rPr>
          <w:rFonts w:ascii="宋体" w:hAnsi="宋体"/>
          <w:color w:val="000000"/>
          <w:sz w:val="24"/>
          <w:szCs w:val="24"/>
        </w:rPr>
      </w:pPr>
      <w:r>
        <w:rPr>
          <w:rFonts w:hint="eastAsia" w:ascii="宋体" w:hAnsi="宋体"/>
          <w:color w:val="000000"/>
          <w:sz w:val="24"/>
          <w:szCs w:val="24"/>
        </w:rPr>
        <w:t>业绩要求见第第五章类似项目业绩</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284"/>
        <w:gridCol w:w="1980"/>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vAlign w:val="center"/>
          </w:tcPr>
          <w:p>
            <w:pPr>
              <w:pStyle w:val="8"/>
              <w:ind w:firstLine="0"/>
              <w:jc w:val="center"/>
              <w:rPr>
                <w:rFonts w:ascii="宋体" w:hAnsi="宋体"/>
                <w:color w:val="000000"/>
                <w:sz w:val="24"/>
                <w:szCs w:val="24"/>
              </w:rPr>
            </w:pPr>
            <w:r>
              <w:rPr>
                <w:rFonts w:hint="eastAsia" w:ascii="宋体" w:hAnsi="宋体"/>
                <w:color w:val="000000"/>
                <w:sz w:val="24"/>
                <w:szCs w:val="24"/>
              </w:rPr>
              <w:t>名称</w:t>
            </w:r>
          </w:p>
        </w:tc>
        <w:tc>
          <w:tcPr>
            <w:tcW w:w="1284" w:type="dxa"/>
            <w:vAlign w:val="center"/>
          </w:tcPr>
          <w:p>
            <w:pPr>
              <w:pStyle w:val="8"/>
              <w:ind w:firstLine="0"/>
              <w:jc w:val="center"/>
              <w:rPr>
                <w:rFonts w:ascii="宋体" w:hAnsi="宋体"/>
                <w:color w:val="000000"/>
                <w:sz w:val="24"/>
                <w:szCs w:val="24"/>
              </w:rPr>
            </w:pPr>
            <w:r>
              <w:rPr>
                <w:rFonts w:hint="eastAsia" w:ascii="宋体" w:hAnsi="宋体"/>
                <w:color w:val="000000"/>
                <w:sz w:val="24"/>
                <w:szCs w:val="24"/>
              </w:rPr>
              <w:t>签约日期</w:t>
            </w:r>
          </w:p>
        </w:tc>
        <w:tc>
          <w:tcPr>
            <w:tcW w:w="1980" w:type="dxa"/>
            <w:vAlign w:val="center"/>
          </w:tcPr>
          <w:p>
            <w:pPr>
              <w:pStyle w:val="8"/>
              <w:ind w:firstLine="0"/>
              <w:jc w:val="center"/>
              <w:rPr>
                <w:rFonts w:ascii="宋体" w:hAnsi="宋体"/>
                <w:color w:val="000000"/>
                <w:sz w:val="24"/>
                <w:szCs w:val="24"/>
              </w:rPr>
            </w:pPr>
            <w:r>
              <w:rPr>
                <w:rFonts w:hint="eastAsia" w:ascii="宋体" w:hAnsi="宋体"/>
                <w:color w:val="000000"/>
                <w:sz w:val="24"/>
                <w:szCs w:val="24"/>
              </w:rPr>
              <w:t>货物名称及型号</w:t>
            </w:r>
          </w:p>
        </w:tc>
        <w:tc>
          <w:tcPr>
            <w:tcW w:w="1704" w:type="dxa"/>
            <w:vAlign w:val="center"/>
          </w:tcPr>
          <w:p>
            <w:pPr>
              <w:pStyle w:val="8"/>
              <w:ind w:firstLine="0"/>
              <w:jc w:val="center"/>
              <w:rPr>
                <w:rFonts w:ascii="宋体" w:hAnsi="宋体"/>
                <w:color w:val="000000"/>
                <w:sz w:val="24"/>
                <w:szCs w:val="24"/>
              </w:rPr>
            </w:pPr>
            <w:r>
              <w:rPr>
                <w:rFonts w:hint="eastAsia" w:ascii="宋体" w:hAnsi="宋体"/>
                <w:color w:val="000000"/>
                <w:sz w:val="24"/>
                <w:szCs w:val="24"/>
              </w:rPr>
              <w:t>销售    数量</w:t>
            </w:r>
          </w:p>
        </w:tc>
        <w:tc>
          <w:tcPr>
            <w:tcW w:w="1704" w:type="dxa"/>
            <w:vAlign w:val="center"/>
          </w:tcPr>
          <w:p>
            <w:pPr>
              <w:pStyle w:val="8"/>
              <w:ind w:firstLine="0"/>
              <w:jc w:val="center"/>
              <w:rPr>
                <w:rFonts w:ascii="宋体" w:hAnsi="宋体"/>
                <w:color w:val="000000"/>
                <w:sz w:val="24"/>
                <w:szCs w:val="24"/>
              </w:rPr>
            </w:pPr>
            <w:r>
              <w:rPr>
                <w:rFonts w:hint="eastAsia" w:ascii="宋体" w:hAnsi="宋体"/>
                <w:color w:val="000000"/>
                <w:sz w:val="24"/>
                <w:szCs w:val="24"/>
              </w:rPr>
              <w:t>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1704" w:type="dxa"/>
          </w:tcPr>
          <w:p>
            <w:pPr>
              <w:pStyle w:val="8"/>
              <w:ind w:firstLine="0"/>
              <w:rPr>
                <w:rFonts w:ascii="宋体" w:hAnsi="宋体"/>
                <w:color w:val="000000"/>
                <w:sz w:val="24"/>
                <w:szCs w:val="24"/>
              </w:rPr>
            </w:pPr>
          </w:p>
        </w:tc>
        <w:tc>
          <w:tcPr>
            <w:tcW w:w="1284" w:type="dxa"/>
          </w:tcPr>
          <w:p>
            <w:pPr>
              <w:pStyle w:val="8"/>
              <w:ind w:firstLine="0"/>
              <w:rPr>
                <w:rFonts w:ascii="宋体" w:hAnsi="宋体"/>
                <w:color w:val="000000"/>
                <w:sz w:val="24"/>
                <w:szCs w:val="24"/>
              </w:rPr>
            </w:pPr>
          </w:p>
        </w:tc>
        <w:tc>
          <w:tcPr>
            <w:tcW w:w="1980" w:type="dxa"/>
          </w:tcPr>
          <w:p>
            <w:pPr>
              <w:pStyle w:val="8"/>
              <w:ind w:firstLine="0"/>
              <w:rPr>
                <w:rFonts w:ascii="宋体" w:hAnsi="宋体"/>
                <w:color w:val="000000"/>
                <w:sz w:val="24"/>
                <w:szCs w:val="24"/>
              </w:rPr>
            </w:pPr>
          </w:p>
        </w:tc>
        <w:tc>
          <w:tcPr>
            <w:tcW w:w="1704" w:type="dxa"/>
          </w:tcPr>
          <w:p>
            <w:pPr>
              <w:pStyle w:val="8"/>
              <w:ind w:firstLine="0"/>
              <w:rPr>
                <w:rFonts w:ascii="宋体" w:hAnsi="宋体"/>
                <w:color w:val="000000"/>
                <w:sz w:val="24"/>
                <w:szCs w:val="24"/>
              </w:rPr>
            </w:pPr>
          </w:p>
        </w:tc>
        <w:tc>
          <w:tcPr>
            <w:tcW w:w="1704" w:type="dxa"/>
          </w:tcPr>
          <w:p>
            <w:pPr>
              <w:pStyle w:val="8"/>
              <w:ind w:firstLine="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704" w:type="dxa"/>
          </w:tcPr>
          <w:p>
            <w:pPr>
              <w:pStyle w:val="8"/>
              <w:ind w:firstLine="0"/>
              <w:rPr>
                <w:rFonts w:ascii="宋体" w:hAnsi="宋体"/>
                <w:color w:val="000000"/>
                <w:sz w:val="24"/>
                <w:szCs w:val="24"/>
              </w:rPr>
            </w:pPr>
          </w:p>
        </w:tc>
        <w:tc>
          <w:tcPr>
            <w:tcW w:w="1284" w:type="dxa"/>
          </w:tcPr>
          <w:p>
            <w:pPr>
              <w:pStyle w:val="8"/>
              <w:ind w:firstLine="0"/>
              <w:rPr>
                <w:rFonts w:ascii="宋体" w:hAnsi="宋体"/>
                <w:color w:val="000000"/>
                <w:sz w:val="24"/>
                <w:szCs w:val="24"/>
              </w:rPr>
            </w:pPr>
          </w:p>
        </w:tc>
        <w:tc>
          <w:tcPr>
            <w:tcW w:w="1980" w:type="dxa"/>
          </w:tcPr>
          <w:p>
            <w:pPr>
              <w:pStyle w:val="8"/>
              <w:ind w:firstLine="0"/>
              <w:rPr>
                <w:rFonts w:ascii="宋体" w:hAnsi="宋体"/>
                <w:color w:val="000000"/>
                <w:sz w:val="24"/>
                <w:szCs w:val="24"/>
              </w:rPr>
            </w:pPr>
          </w:p>
        </w:tc>
        <w:tc>
          <w:tcPr>
            <w:tcW w:w="1704" w:type="dxa"/>
          </w:tcPr>
          <w:p>
            <w:pPr>
              <w:pStyle w:val="8"/>
              <w:ind w:firstLine="0"/>
              <w:rPr>
                <w:rFonts w:ascii="宋体" w:hAnsi="宋体"/>
                <w:color w:val="000000"/>
                <w:sz w:val="24"/>
                <w:szCs w:val="24"/>
              </w:rPr>
            </w:pPr>
          </w:p>
        </w:tc>
        <w:tc>
          <w:tcPr>
            <w:tcW w:w="1704" w:type="dxa"/>
          </w:tcPr>
          <w:p>
            <w:pPr>
              <w:pStyle w:val="8"/>
              <w:ind w:firstLine="0"/>
              <w:rPr>
                <w:rFonts w:ascii="宋体" w:hAnsi="宋体"/>
                <w:color w:val="000000"/>
                <w:sz w:val="24"/>
                <w:szCs w:val="24"/>
              </w:rPr>
            </w:pPr>
          </w:p>
        </w:tc>
      </w:tr>
    </w:tbl>
    <w:p>
      <w:pPr>
        <w:pStyle w:val="8"/>
        <w:rPr>
          <w:rFonts w:ascii="宋体" w:hAnsi="宋体"/>
          <w:color w:val="000000"/>
          <w:sz w:val="24"/>
          <w:szCs w:val="24"/>
        </w:rPr>
      </w:pPr>
      <w:r>
        <w:rPr>
          <w:rFonts w:hint="eastAsia" w:ascii="宋体" w:hAnsi="宋体"/>
          <w:color w:val="000000"/>
          <w:sz w:val="24"/>
          <w:szCs w:val="24"/>
        </w:rPr>
        <w:t>兹证明以上陈述是真实的、准确的，所需提供的资料和数据均已提供，我们同意按贵方要求出示有关证明文件。</w:t>
      </w:r>
    </w:p>
    <w:p>
      <w:pPr>
        <w:pStyle w:val="8"/>
        <w:rPr>
          <w:rFonts w:ascii="宋体" w:hAnsi="宋体"/>
          <w:color w:val="000000"/>
          <w:sz w:val="24"/>
          <w:szCs w:val="24"/>
        </w:rPr>
      </w:pPr>
    </w:p>
    <w:p>
      <w:pPr>
        <w:pStyle w:val="8"/>
        <w:rPr>
          <w:rFonts w:ascii="宋体" w:hAnsi="宋体"/>
          <w:color w:val="000000"/>
          <w:sz w:val="24"/>
          <w:szCs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rPr>
          <w:rFonts w:ascii="宋体" w:hAnsi="宋体"/>
          <w:color w:val="000000"/>
          <w:sz w:val="24"/>
          <w:szCs w:val="24"/>
        </w:rPr>
      </w:pPr>
    </w:p>
    <w:p>
      <w:pPr>
        <w:pStyle w:val="8"/>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pStyle w:val="7"/>
        <w:numPr>
          <w:ilvl w:val="0"/>
          <w:numId w:val="59"/>
        </w:numPr>
        <w:spacing w:line="520" w:lineRule="exact"/>
      </w:pPr>
      <w:r>
        <w:rPr>
          <w:rFonts w:hint="eastAsia" w:ascii="宋体" w:hAnsi="宋体"/>
          <w:color w:val="000000"/>
          <w:sz w:val="28"/>
          <w:szCs w:val="28"/>
        </w:rPr>
        <w:br w:type="page"/>
      </w:r>
      <w:bookmarkStart w:id="77" w:name="_Toc32077"/>
      <w:r>
        <w:rPr>
          <w:rFonts w:hint="eastAsia"/>
        </w:rPr>
        <w:t>制造商或其指定总代授权书（授权书为招标文件要求时提供）</w:t>
      </w:r>
      <w:bookmarkEnd w:id="77"/>
    </w:p>
    <w:p>
      <w:pPr>
        <w:pStyle w:val="8"/>
        <w:spacing w:line="520" w:lineRule="exact"/>
        <w:ind w:firstLine="0"/>
        <w:rPr>
          <w:rFonts w:ascii="宋体" w:hAnsi="宋体"/>
          <w:color w:val="000000"/>
          <w:sz w:val="24"/>
          <w:szCs w:val="24"/>
        </w:rPr>
      </w:pPr>
      <w:r>
        <w:rPr>
          <w:rFonts w:hint="eastAsia" w:ascii="宋体" w:hAnsi="宋体"/>
          <w:color w:val="000000"/>
          <w:sz w:val="24"/>
          <w:szCs w:val="24"/>
        </w:rPr>
        <w:t>敬启者：</w:t>
      </w:r>
    </w:p>
    <w:p>
      <w:pPr>
        <w:pStyle w:val="8"/>
        <w:spacing w:line="520" w:lineRule="exact"/>
        <w:ind w:firstLine="540"/>
        <w:rPr>
          <w:rFonts w:ascii="宋体" w:hAnsi="宋体"/>
          <w:color w:val="000000"/>
          <w:sz w:val="24"/>
          <w:szCs w:val="24"/>
        </w:rPr>
      </w:pPr>
      <w:r>
        <w:rPr>
          <w:rFonts w:hint="eastAsia" w:ascii="宋体" w:hAnsi="宋体"/>
          <w:color w:val="000000"/>
          <w:sz w:val="24"/>
          <w:szCs w:val="24"/>
        </w:rPr>
        <w:t>我们（</w:t>
      </w:r>
      <w:r>
        <w:rPr>
          <w:rFonts w:hint="eastAsia" w:ascii="宋体" w:hAnsi="宋体"/>
          <w:i/>
          <w:iCs/>
          <w:color w:val="000000"/>
          <w:sz w:val="24"/>
          <w:szCs w:val="24"/>
          <w:u w:val="single"/>
        </w:rPr>
        <w:t>生产厂家/公司或指定代理名称</w:t>
      </w:r>
      <w:r>
        <w:rPr>
          <w:rFonts w:hint="eastAsia" w:ascii="宋体" w:hAnsi="宋体"/>
          <w:color w:val="000000"/>
          <w:sz w:val="24"/>
          <w:szCs w:val="24"/>
        </w:rPr>
        <w:t>）是</w:t>
      </w:r>
      <w:r>
        <w:rPr>
          <w:rFonts w:hint="eastAsia" w:ascii="宋体" w:hAnsi="宋体"/>
          <w:i/>
          <w:iCs/>
          <w:color w:val="000000"/>
          <w:sz w:val="24"/>
          <w:szCs w:val="24"/>
          <w:u w:val="single"/>
        </w:rPr>
        <w:t>（ 国家名称）</w:t>
      </w:r>
      <w:r>
        <w:rPr>
          <w:rFonts w:hint="eastAsia" w:ascii="宋体" w:hAnsi="宋体"/>
          <w:color w:val="000000"/>
          <w:sz w:val="24"/>
          <w:szCs w:val="24"/>
        </w:rPr>
        <w:t>的法定制造/总代理商，商业总部设在</w:t>
      </w:r>
      <w:r>
        <w:rPr>
          <w:rFonts w:hint="eastAsia" w:ascii="宋体" w:hAnsi="宋体"/>
          <w:i/>
          <w:iCs/>
          <w:color w:val="000000"/>
          <w:sz w:val="24"/>
          <w:szCs w:val="24"/>
          <w:u w:val="single"/>
        </w:rPr>
        <w:t>（地址）</w:t>
      </w:r>
      <w:r>
        <w:rPr>
          <w:rFonts w:hint="eastAsia" w:ascii="宋体" w:hAnsi="宋体"/>
          <w:color w:val="000000"/>
          <w:sz w:val="24"/>
          <w:szCs w:val="24"/>
        </w:rPr>
        <w:t>，委托依</w:t>
      </w:r>
      <w:r>
        <w:rPr>
          <w:rFonts w:hint="eastAsia" w:ascii="宋体" w:hAnsi="宋体"/>
          <w:color w:val="000000"/>
          <w:sz w:val="24"/>
          <w:szCs w:val="24"/>
          <w:u w:val="single"/>
        </w:rPr>
        <w:t xml:space="preserve">    </w:t>
      </w:r>
      <w:r>
        <w:rPr>
          <w:rFonts w:hint="eastAsia" w:ascii="宋体" w:hAnsi="宋体"/>
          <w:color w:val="000000"/>
          <w:sz w:val="24"/>
          <w:szCs w:val="24"/>
        </w:rPr>
        <w:t>国法律设立的商业总部设在</w:t>
      </w:r>
      <w:r>
        <w:rPr>
          <w:rFonts w:hint="eastAsia" w:ascii="宋体" w:hAnsi="宋体"/>
          <w:i/>
          <w:iCs/>
          <w:color w:val="000000"/>
          <w:sz w:val="24"/>
          <w:szCs w:val="24"/>
          <w:u w:val="single"/>
        </w:rPr>
        <w:t>（地址）</w:t>
      </w:r>
      <w:r>
        <w:rPr>
          <w:rFonts w:hint="eastAsia" w:ascii="宋体" w:hAnsi="宋体"/>
          <w:color w:val="000000"/>
          <w:sz w:val="24"/>
          <w:szCs w:val="24"/>
        </w:rPr>
        <w:t>的</w:t>
      </w:r>
      <w:r>
        <w:rPr>
          <w:rFonts w:hint="eastAsia" w:ascii="宋体" w:hAnsi="宋体"/>
          <w:i/>
          <w:iCs/>
          <w:color w:val="000000"/>
          <w:sz w:val="24"/>
          <w:szCs w:val="24"/>
          <w:u w:val="single"/>
        </w:rPr>
        <w:t>（经销商名称）</w:t>
      </w:r>
      <w:r>
        <w:rPr>
          <w:rFonts w:hint="eastAsia" w:ascii="宋体" w:hAnsi="宋体"/>
          <w:color w:val="000000"/>
          <w:sz w:val="24"/>
          <w:szCs w:val="24"/>
        </w:rPr>
        <w:t>，仅作为本项目我方真实的各合法代理人进行下列有效活动：</w:t>
      </w:r>
    </w:p>
    <w:p>
      <w:pPr>
        <w:pStyle w:val="8"/>
        <w:spacing w:line="520" w:lineRule="exact"/>
        <w:ind w:firstLine="540"/>
        <w:rPr>
          <w:rFonts w:ascii="宋体" w:hAnsi="宋体"/>
          <w:color w:val="000000"/>
          <w:sz w:val="24"/>
          <w:szCs w:val="24"/>
        </w:rPr>
      </w:pPr>
      <w:r>
        <w:rPr>
          <w:rFonts w:hint="eastAsia" w:ascii="宋体" w:hAnsi="宋体"/>
          <w:color w:val="000000"/>
          <w:sz w:val="24"/>
          <w:szCs w:val="24"/>
        </w:rPr>
        <w:t>1.代表我方应（招标编号）招标要求，用我方提供的</w:t>
      </w:r>
      <w:r>
        <w:rPr>
          <w:rFonts w:hint="eastAsia" w:ascii="宋体" w:hAnsi="宋体"/>
          <w:i/>
          <w:iCs/>
          <w:color w:val="000000"/>
          <w:sz w:val="24"/>
          <w:szCs w:val="24"/>
          <w:u w:val="single"/>
        </w:rPr>
        <w:t>（货物名称）</w:t>
      </w:r>
      <w:r>
        <w:rPr>
          <w:rFonts w:hint="eastAsia" w:ascii="宋体" w:hAnsi="宋体"/>
          <w:color w:val="000000"/>
          <w:sz w:val="24"/>
          <w:szCs w:val="24"/>
        </w:rPr>
        <w:t>参加投标，并对我方具有约束力。</w:t>
      </w:r>
    </w:p>
    <w:p>
      <w:pPr>
        <w:pStyle w:val="8"/>
        <w:spacing w:line="520" w:lineRule="exact"/>
        <w:ind w:firstLine="540"/>
        <w:rPr>
          <w:rFonts w:ascii="宋体" w:hAnsi="宋体"/>
          <w:color w:val="000000"/>
          <w:sz w:val="24"/>
          <w:szCs w:val="24"/>
        </w:rPr>
      </w:pPr>
      <w:r>
        <w:rPr>
          <w:rFonts w:hint="eastAsia" w:ascii="宋体" w:hAnsi="宋体"/>
          <w:color w:val="000000"/>
          <w:sz w:val="24"/>
          <w:szCs w:val="24"/>
        </w:rPr>
        <w:t>2.作为制造商/指定总代理，我方保证以投标合作者来约束自己，并对该次投标共同和分别承担招标文件中所规定的义务。</w:t>
      </w:r>
    </w:p>
    <w:p>
      <w:pPr>
        <w:pStyle w:val="8"/>
        <w:spacing w:line="520" w:lineRule="exact"/>
        <w:ind w:firstLine="540"/>
        <w:rPr>
          <w:rFonts w:ascii="宋体" w:hAnsi="宋体"/>
          <w:color w:val="000000"/>
          <w:sz w:val="24"/>
          <w:szCs w:val="24"/>
        </w:rPr>
      </w:pPr>
      <w:r>
        <w:rPr>
          <w:rFonts w:hint="eastAsia" w:ascii="宋体" w:hAnsi="宋体"/>
          <w:color w:val="000000"/>
          <w:sz w:val="24"/>
          <w:szCs w:val="24"/>
        </w:rPr>
        <w:t>3.我们兹授予</w:t>
      </w:r>
      <w:r>
        <w:rPr>
          <w:rFonts w:hint="eastAsia" w:ascii="宋体" w:hAnsi="宋体"/>
          <w:i/>
          <w:iCs/>
          <w:color w:val="000000"/>
          <w:sz w:val="24"/>
          <w:szCs w:val="24"/>
          <w:u w:val="single"/>
        </w:rPr>
        <w:t>（经销商名称）</w:t>
      </w:r>
      <w:r>
        <w:rPr>
          <w:rFonts w:hint="eastAsia" w:ascii="宋体" w:hAnsi="宋体"/>
          <w:color w:val="000000"/>
          <w:sz w:val="24"/>
          <w:szCs w:val="24"/>
        </w:rPr>
        <w:t>全权办理和履行上述我方为完成上述各项所必须的事宜，具有撤消或替换的全权。兹确认</w:t>
      </w:r>
      <w:r>
        <w:rPr>
          <w:rFonts w:hint="eastAsia" w:ascii="宋体" w:hAnsi="宋体"/>
          <w:i/>
          <w:iCs/>
          <w:color w:val="000000"/>
          <w:sz w:val="24"/>
          <w:szCs w:val="24"/>
          <w:u w:val="single"/>
        </w:rPr>
        <w:t>（经销商名称）</w:t>
      </w:r>
      <w:r>
        <w:rPr>
          <w:rFonts w:hint="eastAsia" w:ascii="宋体" w:hAnsi="宋体"/>
          <w:color w:val="000000"/>
          <w:sz w:val="24"/>
          <w:szCs w:val="24"/>
        </w:rPr>
        <w:t>或其正式授权代表依此合法地办理一切事宜。</w:t>
      </w:r>
    </w:p>
    <w:p>
      <w:pPr>
        <w:pStyle w:val="8"/>
        <w:spacing w:line="520" w:lineRule="exact"/>
        <w:ind w:firstLine="480" w:firstLineChars="200"/>
        <w:rPr>
          <w:rFonts w:ascii="宋体" w:hAnsi="宋体"/>
          <w:color w:val="000000"/>
          <w:sz w:val="24"/>
          <w:szCs w:val="24"/>
        </w:rPr>
      </w:pPr>
      <w:r>
        <w:rPr>
          <w:rFonts w:hint="eastAsia" w:ascii="宋体" w:hAnsi="宋体"/>
          <w:color w:val="000000"/>
          <w:sz w:val="24"/>
          <w:szCs w:val="24"/>
        </w:rPr>
        <w:t>我们于     年  月  日签署本文以资证明。</w:t>
      </w:r>
    </w:p>
    <w:p>
      <w:pPr>
        <w:pStyle w:val="8"/>
        <w:spacing w:line="520" w:lineRule="exact"/>
        <w:ind w:firstLine="480" w:firstLineChars="200"/>
        <w:rPr>
          <w:rFonts w:ascii="宋体" w:hAnsi="宋体"/>
          <w:color w:val="000000"/>
          <w:sz w:val="24"/>
          <w:szCs w:val="24"/>
        </w:rPr>
      </w:pPr>
    </w:p>
    <w:p>
      <w:pPr>
        <w:pStyle w:val="8"/>
        <w:spacing w:line="520" w:lineRule="exact"/>
        <w:ind w:firstLine="0"/>
        <w:rPr>
          <w:rFonts w:ascii="宋体" w:hAnsi="宋体"/>
          <w:color w:val="000000"/>
          <w:sz w:val="24"/>
          <w:szCs w:val="24"/>
        </w:rPr>
      </w:pPr>
      <w:r>
        <w:rPr>
          <w:rFonts w:hint="eastAsia" w:ascii="宋体" w:hAnsi="宋体"/>
          <w:color w:val="000000"/>
          <w:sz w:val="24"/>
          <w:szCs w:val="24"/>
        </w:rPr>
        <w:t>授权方名称（盖章）：             被授权方名称（盖章）：</w:t>
      </w:r>
    </w:p>
    <w:p>
      <w:pPr>
        <w:pStyle w:val="8"/>
        <w:spacing w:line="520" w:lineRule="exact"/>
        <w:ind w:firstLine="0"/>
        <w:rPr>
          <w:rFonts w:ascii="宋体" w:hAnsi="宋体"/>
          <w:color w:val="000000"/>
          <w:sz w:val="24"/>
          <w:szCs w:val="24"/>
        </w:rPr>
      </w:pPr>
      <w:r>
        <w:rPr>
          <w:rFonts w:hint="eastAsia" w:ascii="宋体" w:hAnsi="宋体"/>
          <w:color w:val="000000"/>
          <w:sz w:val="24"/>
          <w:szCs w:val="24"/>
        </w:rPr>
        <w:t>法人或授权代表人（签字）：       法人或授权代表人（签字）：</w:t>
      </w:r>
    </w:p>
    <w:p>
      <w:pPr>
        <w:pStyle w:val="8"/>
        <w:spacing w:line="520" w:lineRule="exact"/>
        <w:ind w:firstLine="1080" w:firstLineChars="450"/>
        <w:rPr>
          <w:rFonts w:ascii="宋体" w:hAnsi="宋体"/>
          <w:color w:val="000000"/>
          <w:sz w:val="24"/>
          <w:szCs w:val="24"/>
        </w:rPr>
      </w:pPr>
    </w:p>
    <w:p>
      <w:pPr>
        <w:pStyle w:val="8"/>
        <w:spacing w:line="520" w:lineRule="exact"/>
        <w:ind w:firstLine="1080" w:firstLineChars="450"/>
        <w:rPr>
          <w:rFonts w:ascii="宋体" w:hAnsi="宋体"/>
          <w:color w:val="000000"/>
          <w:sz w:val="24"/>
          <w:szCs w:val="24"/>
        </w:rPr>
      </w:pPr>
    </w:p>
    <w:p>
      <w:pPr>
        <w:pStyle w:val="8"/>
        <w:spacing w:line="360" w:lineRule="auto"/>
        <w:ind w:firstLine="0"/>
        <w:jc w:val="center"/>
        <w:rPr>
          <w:rStyle w:val="297"/>
          <w:bCs w:val="0"/>
        </w:rPr>
      </w:pPr>
      <w:r>
        <w:rPr>
          <w:b/>
          <w:color w:val="000000"/>
          <w:sz w:val="32"/>
          <w:szCs w:val="32"/>
        </w:rPr>
        <w:br w:type="page"/>
      </w:r>
      <w:r>
        <w:rPr>
          <w:rStyle w:val="297"/>
          <w:rFonts w:hint="eastAsia"/>
          <w:bCs w:val="0"/>
        </w:rPr>
        <w:t>3.4 资格证明文件(投标人提供)</w:t>
      </w:r>
    </w:p>
    <w:p>
      <w:pPr>
        <w:tabs>
          <w:tab w:val="left" w:pos="152"/>
          <w:tab w:val="left" w:pos="588"/>
        </w:tabs>
        <w:spacing w:line="360" w:lineRule="auto"/>
        <w:rPr>
          <w:rFonts w:ascii="宋体" w:hAnsi="宋体"/>
          <w:sz w:val="24"/>
        </w:rPr>
      </w:pPr>
      <w:r>
        <w:rPr>
          <w:rFonts w:ascii="宋体" w:hAnsi="宋体"/>
          <w:sz w:val="24"/>
        </w:rPr>
        <w:t>1</w:t>
      </w:r>
      <w:r>
        <w:rPr>
          <w:rFonts w:hint="eastAsia" w:ascii="宋体" w:hAnsi="宋体"/>
          <w:sz w:val="24"/>
        </w:rPr>
        <w:t>、营业执照；</w:t>
      </w:r>
      <w:r>
        <w:rPr>
          <w:rFonts w:ascii="宋体" w:hAnsi="宋体"/>
          <w:sz w:val="24"/>
        </w:rPr>
        <w:t xml:space="preserve"> </w:t>
      </w:r>
    </w:p>
    <w:p>
      <w:pPr>
        <w:tabs>
          <w:tab w:val="left" w:pos="152"/>
          <w:tab w:val="left" w:pos="588"/>
        </w:tabs>
        <w:spacing w:line="360" w:lineRule="auto"/>
        <w:rPr>
          <w:rFonts w:ascii="宋体" w:hAnsi="宋体"/>
          <w:sz w:val="24"/>
        </w:rPr>
      </w:pPr>
      <w:r>
        <w:rPr>
          <w:rFonts w:ascii="宋体" w:hAnsi="宋体"/>
          <w:sz w:val="24"/>
        </w:rPr>
        <w:t>2</w:t>
      </w:r>
      <w:r>
        <w:rPr>
          <w:rFonts w:hint="eastAsia" w:ascii="宋体" w:hAnsi="宋体"/>
          <w:sz w:val="24"/>
        </w:rPr>
        <w:t>、法定代表人授权委托书（附法定代表人身份证及授权代理人身份证）；</w:t>
      </w:r>
    </w:p>
    <w:p>
      <w:pPr>
        <w:tabs>
          <w:tab w:val="left" w:pos="152"/>
          <w:tab w:val="left" w:pos="588"/>
        </w:tabs>
        <w:spacing w:line="360" w:lineRule="auto"/>
        <w:rPr>
          <w:rFonts w:ascii="宋体" w:hAnsi="宋体"/>
          <w:sz w:val="24"/>
        </w:rPr>
      </w:pPr>
      <w:r>
        <w:rPr>
          <w:rFonts w:hint="eastAsia" w:ascii="宋体" w:hAnsi="宋体"/>
          <w:sz w:val="24"/>
        </w:rPr>
        <w:t>3、投标人提供参加政府采购活动前三年内在经营活动中无重大违法记录的书面声明；</w:t>
      </w:r>
    </w:p>
    <w:p>
      <w:pPr>
        <w:tabs>
          <w:tab w:val="left" w:pos="152"/>
          <w:tab w:val="left" w:pos="588"/>
        </w:tabs>
        <w:spacing w:line="360" w:lineRule="auto"/>
        <w:rPr>
          <w:rFonts w:ascii="宋体" w:hAnsi="宋体"/>
          <w:sz w:val="24"/>
        </w:rPr>
      </w:pPr>
      <w:r>
        <w:rPr>
          <w:rFonts w:hint="eastAsia" w:ascii="宋体" w:hAnsi="宋体"/>
          <w:sz w:val="24"/>
        </w:rPr>
        <w:t>4、投标人提供财务状况报告（提供2018或2019年度财务报告</w:t>
      </w:r>
      <w:r>
        <w:rPr>
          <w:rFonts w:hint="eastAsia" w:ascii="宋体" w:hAnsi="宋体"/>
          <w:sz w:val="24"/>
          <w:lang w:val="en-US" w:eastAsia="zh-CN"/>
        </w:rPr>
        <w:t>/审计报告</w:t>
      </w:r>
      <w:r>
        <w:rPr>
          <w:rFonts w:hint="eastAsia" w:ascii="宋体" w:hAnsi="宋体"/>
          <w:sz w:val="24"/>
        </w:rPr>
        <w:t>或银行出具的资信证明或财政部门认可的政府采购专业担保机构出具的投标担保函）；</w:t>
      </w:r>
    </w:p>
    <w:p>
      <w:pPr>
        <w:tabs>
          <w:tab w:val="left" w:pos="152"/>
          <w:tab w:val="left" w:pos="588"/>
        </w:tabs>
        <w:spacing w:line="360" w:lineRule="auto"/>
        <w:rPr>
          <w:rFonts w:ascii="宋体" w:hAnsi="宋体"/>
          <w:sz w:val="24"/>
        </w:rPr>
      </w:pPr>
      <w:r>
        <w:rPr>
          <w:rFonts w:hint="eastAsia" w:ascii="宋体" w:hAnsi="宋体"/>
          <w:sz w:val="24"/>
        </w:rPr>
        <w:t>5、投标人提供纳税证明材料和社会保障资金缴纳证明资料（20</w:t>
      </w:r>
      <w:r>
        <w:rPr>
          <w:rFonts w:ascii="宋体" w:hAnsi="宋体"/>
          <w:sz w:val="24"/>
        </w:rPr>
        <w:t>20</w:t>
      </w:r>
      <w:r>
        <w:rPr>
          <w:rFonts w:hint="eastAsia" w:ascii="宋体" w:hAnsi="宋体"/>
          <w:sz w:val="24"/>
        </w:rPr>
        <w:t>年1月1日以来至少一个月）；</w:t>
      </w:r>
    </w:p>
    <w:p>
      <w:pPr>
        <w:pStyle w:val="87"/>
        <w:ind w:left="0" w:leftChars="0" w:firstLine="0" w:firstLineChars="0"/>
        <w:rPr>
          <w:rFonts w:hint="eastAsia" w:eastAsia="宋体"/>
          <w:lang w:val="en-US" w:eastAsia="zh-CN"/>
        </w:rPr>
      </w:pPr>
      <w:r>
        <w:rPr>
          <w:rFonts w:hint="eastAsia" w:ascii="宋体" w:hAnsi="宋体"/>
          <w:color w:val="000000"/>
          <w:sz w:val="24"/>
        </w:rPr>
        <w:t>6、具备建设主管部门颁发的建筑</w:t>
      </w:r>
      <w:r>
        <w:rPr>
          <w:rFonts w:hint="eastAsia" w:ascii="宋体" w:hAnsi="宋体"/>
          <w:sz w:val="24"/>
        </w:rPr>
        <w:t>机电安装专业承包叁级及以上</w:t>
      </w:r>
      <w:r>
        <w:rPr>
          <w:rFonts w:hint="eastAsia" w:ascii="宋体" w:hAnsi="宋体"/>
          <w:color w:val="000000"/>
          <w:sz w:val="24"/>
        </w:rPr>
        <w:t>资质</w:t>
      </w:r>
      <w:r>
        <w:rPr>
          <w:rFonts w:hint="eastAsia" w:ascii="宋体" w:hAnsi="宋体"/>
          <w:color w:val="000000"/>
          <w:sz w:val="24"/>
          <w:lang w:eastAsia="zh-CN"/>
        </w:rPr>
        <w:t>；</w:t>
      </w:r>
    </w:p>
    <w:p>
      <w:pPr>
        <w:spacing w:line="360" w:lineRule="auto"/>
        <w:rPr>
          <w:rFonts w:eastAsia="楷体_GB2312"/>
        </w:rPr>
      </w:pPr>
      <w:r>
        <w:rPr>
          <w:rFonts w:hint="eastAsia" w:ascii="宋体" w:hAnsi="宋体"/>
          <w:sz w:val="24"/>
        </w:rPr>
        <w:t>7、反商业贿赂承诺书；</w:t>
      </w:r>
    </w:p>
    <w:p>
      <w:pPr>
        <w:tabs>
          <w:tab w:val="left" w:pos="900"/>
        </w:tabs>
        <w:snapToGrid w:val="0"/>
        <w:spacing w:line="360" w:lineRule="auto"/>
        <w:rPr>
          <w:rFonts w:ascii="宋体" w:hAnsi="宋体"/>
          <w:sz w:val="24"/>
        </w:rPr>
      </w:pPr>
      <w:r>
        <w:rPr>
          <w:rFonts w:hint="eastAsia" w:ascii="宋体" w:hAnsi="宋体"/>
          <w:sz w:val="24"/>
        </w:rPr>
        <w:t>8、招标文件要求的其它资格证明文件。</w:t>
      </w:r>
    </w:p>
    <w:p>
      <w:pPr>
        <w:pStyle w:val="2"/>
      </w:pPr>
    </w:p>
    <w:p>
      <w:pPr>
        <w:spacing w:line="440" w:lineRule="exact"/>
        <w:ind w:firstLine="360" w:firstLineChars="150"/>
        <w:rPr>
          <w:rFonts w:ascii="宋体" w:hAnsi="宋体"/>
          <w:sz w:val="24"/>
        </w:rPr>
      </w:pPr>
    </w:p>
    <w:p>
      <w:pPr>
        <w:pStyle w:val="8"/>
        <w:spacing w:line="360" w:lineRule="auto"/>
        <w:ind w:firstLine="0"/>
        <w:rPr>
          <w:rFonts w:ascii="宋体" w:hAnsi="宋体"/>
          <w:color w:val="000000"/>
          <w:sz w:val="24"/>
          <w:szCs w:val="24"/>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p>
    <w:p>
      <w:pPr>
        <w:spacing w:line="460" w:lineRule="exact"/>
        <w:rPr>
          <w:rFonts w:ascii="宋体" w:hAnsi="宋体"/>
          <w:b/>
          <w:color w:val="000000"/>
          <w:sz w:val="28"/>
          <w:szCs w:val="28"/>
        </w:rPr>
      </w:pPr>
      <w:r>
        <w:rPr>
          <w:rFonts w:ascii="宋体" w:hAnsi="宋体"/>
          <w:b/>
          <w:color w:val="000000"/>
          <w:sz w:val="28"/>
          <w:szCs w:val="28"/>
        </w:rPr>
        <w:br w:type="page"/>
      </w:r>
    </w:p>
    <w:p>
      <w:pPr>
        <w:pStyle w:val="6"/>
        <w:ind w:left="420" w:firstLine="0"/>
      </w:pPr>
      <w:bookmarkStart w:id="78" w:name="_Toc9208"/>
      <w:r>
        <w:rPr>
          <w:rFonts w:hint="eastAsia"/>
        </w:rPr>
        <w:t>4.投标报价表格</w:t>
      </w:r>
      <w:bookmarkEnd w:id="78"/>
    </w:p>
    <w:p>
      <w:pPr>
        <w:pStyle w:val="8"/>
        <w:ind w:firstLine="0"/>
        <w:jc w:val="center"/>
        <w:rPr>
          <w:rFonts w:ascii="宋体" w:hAnsi="宋体"/>
          <w:b/>
          <w:bCs/>
          <w:color w:val="000000"/>
          <w:sz w:val="32"/>
          <w:szCs w:val="32"/>
        </w:rPr>
      </w:pPr>
      <w:r>
        <w:rPr>
          <w:rFonts w:hint="eastAsia" w:ascii="宋体" w:hAnsi="宋体"/>
          <w:b/>
          <w:bCs/>
          <w:color w:val="000000"/>
          <w:sz w:val="32"/>
          <w:szCs w:val="32"/>
        </w:rPr>
        <w:t>4.1 开标一览表</w:t>
      </w:r>
    </w:p>
    <w:p>
      <w:pPr>
        <w:spacing w:line="520" w:lineRule="exact"/>
        <w:jc w:val="right"/>
        <w:rPr>
          <w:rFonts w:ascii="宋体" w:hAnsi="宋体"/>
          <w:b/>
          <w:color w:val="000000"/>
          <w:sz w:val="24"/>
        </w:rPr>
      </w:pPr>
      <w:r>
        <w:rPr>
          <w:rFonts w:hint="eastAsia" w:ascii="宋体" w:hAnsi="宋体"/>
          <w:b/>
          <w:color w:val="000000"/>
          <w:sz w:val="24"/>
        </w:rPr>
        <w:t>金额单位：元人民币</w:t>
      </w:r>
    </w:p>
    <w:tbl>
      <w:tblPr>
        <w:tblStyle w:val="8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00"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 xml:space="preserve">投标人名称 </w:t>
            </w:r>
          </w:p>
        </w:tc>
        <w:tc>
          <w:tcPr>
            <w:tcW w:w="7353" w:type="dxa"/>
            <w:vAlign w:val="center"/>
          </w:tcPr>
          <w:p>
            <w:pPr>
              <w:spacing w:line="480" w:lineRule="auto"/>
              <w:ind w:firstLine="240" w:firstLineChars="100"/>
              <w:rPr>
                <w:rFonts w:ascii="宋体" w:hAns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投标报价</w:t>
            </w:r>
          </w:p>
        </w:tc>
        <w:tc>
          <w:tcPr>
            <w:tcW w:w="7353" w:type="dxa"/>
            <w:vAlign w:val="center"/>
          </w:tcPr>
          <w:p>
            <w:pPr>
              <w:spacing w:line="480" w:lineRule="auto"/>
              <w:ind w:firstLine="240" w:firstLineChars="100"/>
              <w:rPr>
                <w:rFonts w:ascii="宋体" w:hAnsi="宋体"/>
                <w:color w:val="000000"/>
                <w:sz w:val="24"/>
              </w:rPr>
            </w:pP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投标报价</w:t>
            </w:r>
          </w:p>
        </w:tc>
        <w:tc>
          <w:tcPr>
            <w:tcW w:w="7353" w:type="dxa"/>
            <w:vAlign w:val="center"/>
          </w:tcPr>
          <w:p>
            <w:pPr>
              <w:spacing w:line="480" w:lineRule="auto"/>
              <w:ind w:firstLine="240" w:firstLineChars="100"/>
              <w:rPr>
                <w:rFonts w:ascii="宋体" w:hAnsi="宋体"/>
                <w:color w:val="000000"/>
                <w:sz w:val="24"/>
              </w:rPr>
            </w:pPr>
            <w:r>
              <w:rPr>
                <w:rFonts w:hint="eastAsia" w:ascii="宋体" w:hAnsi="宋体"/>
                <w:color w:val="000000"/>
                <w:sz w:val="24"/>
              </w:rPr>
              <w:t>小写：</w:t>
            </w:r>
            <w:r>
              <w:rPr>
                <w:rFonts w:hint="eastAsia" w:ascii="宋体" w:hAnsi="宋体"/>
                <w:color w:val="000000"/>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交货期</w:t>
            </w:r>
          </w:p>
        </w:tc>
        <w:tc>
          <w:tcPr>
            <w:tcW w:w="7353" w:type="dxa"/>
            <w:vAlign w:val="center"/>
          </w:tcPr>
          <w:p>
            <w:pPr>
              <w:ind w:firstLine="120" w:firstLineChars="50"/>
              <w:rPr>
                <w:rFonts w:ascii="宋体" w:hAns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质量保证期</w:t>
            </w:r>
          </w:p>
        </w:tc>
        <w:tc>
          <w:tcPr>
            <w:tcW w:w="7353" w:type="dxa"/>
            <w:vAlign w:val="center"/>
          </w:tcPr>
          <w:p>
            <w:pPr>
              <w:ind w:firstLine="240" w:firstLineChars="100"/>
              <w:rPr>
                <w:rFonts w:ascii="宋体" w:hAnsi="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投标保证金</w:t>
            </w:r>
          </w:p>
        </w:tc>
        <w:tc>
          <w:tcPr>
            <w:tcW w:w="7353" w:type="dxa"/>
            <w:vAlign w:val="center"/>
          </w:tcPr>
          <w:p>
            <w:pPr>
              <w:rPr>
                <w:rFonts w:ascii="宋体" w:hAnsi="宋体"/>
                <w:color w:val="000000"/>
                <w:sz w:val="24"/>
              </w:rPr>
            </w:pPr>
            <w:r>
              <w:rPr>
                <w:rFonts w:hint="eastAsia" w:ascii="宋体" w:hAnsi="宋体"/>
                <w:color w:val="000000"/>
                <w:sz w:val="24"/>
              </w:rPr>
              <w:t xml:space="preserve">  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投标有效期</w:t>
            </w:r>
          </w:p>
        </w:tc>
        <w:tc>
          <w:tcPr>
            <w:tcW w:w="7353" w:type="dxa"/>
            <w:vAlign w:val="center"/>
          </w:tcPr>
          <w:p>
            <w:pPr>
              <w:rPr>
                <w:rFonts w:ascii="宋体" w:hAnsi="宋体"/>
                <w:color w:val="000000"/>
                <w:sz w:val="24"/>
              </w:rPr>
            </w:pPr>
            <w:r>
              <w:rPr>
                <w:rFonts w:hint="eastAsia" w:ascii="宋体" w:hAnsi="宋体"/>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jc w:val="center"/>
              <w:rPr>
                <w:rFonts w:ascii="宋体" w:hAnsi="宋体"/>
                <w:b/>
                <w:color w:val="000000"/>
                <w:sz w:val="24"/>
              </w:rPr>
            </w:pPr>
            <w:r>
              <w:rPr>
                <w:rFonts w:hint="eastAsia" w:ascii="宋体" w:hAnsi="宋体"/>
                <w:b/>
                <w:color w:val="000000"/>
                <w:sz w:val="24"/>
              </w:rPr>
              <w:t>其他声明</w:t>
            </w:r>
          </w:p>
        </w:tc>
        <w:tc>
          <w:tcPr>
            <w:tcW w:w="7353" w:type="dxa"/>
            <w:vAlign w:val="center"/>
          </w:tcPr>
          <w:p>
            <w:pPr>
              <w:rPr>
                <w:rFonts w:ascii="宋体" w:hAnsi="宋体"/>
                <w:color w:val="000000"/>
                <w:sz w:val="24"/>
              </w:rPr>
            </w:pPr>
            <w:r>
              <w:rPr>
                <w:rFonts w:hint="eastAsia" w:ascii="宋体" w:hAnsi="宋体"/>
                <w:color w:val="000000"/>
                <w:sz w:val="24"/>
              </w:rPr>
              <w:t xml:space="preserve">  </w:t>
            </w:r>
          </w:p>
        </w:tc>
      </w:tr>
    </w:tbl>
    <w:p>
      <w:pPr>
        <w:pStyle w:val="8"/>
        <w:ind w:firstLine="0"/>
        <w:jc w:val="center"/>
        <w:rPr>
          <w:rFonts w:ascii="宋体" w:hAnsi="宋体"/>
          <w:b/>
          <w:bCs/>
          <w:color w:val="000000"/>
          <w:sz w:val="32"/>
          <w:szCs w:val="32"/>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pStyle w:val="8"/>
        <w:ind w:firstLine="0"/>
        <w:rPr>
          <w:rFonts w:hint="eastAsia" w:ascii="宋体" w:hAnsi="宋体"/>
          <w:color w:val="000000"/>
          <w:sz w:val="24"/>
        </w:rPr>
      </w:pPr>
    </w:p>
    <w:p>
      <w:pPr>
        <w:pStyle w:val="8"/>
        <w:rPr>
          <w:rFonts w:ascii="宋体" w:hAnsi="宋体"/>
          <w:color w:val="000000"/>
          <w:sz w:val="28"/>
          <w:szCs w:val="28"/>
        </w:rPr>
      </w:pPr>
    </w:p>
    <w:p>
      <w:pPr>
        <w:pStyle w:val="8"/>
        <w:rPr>
          <w:rFonts w:ascii="宋体" w:hAnsi="宋体"/>
          <w:color w:val="000000"/>
          <w:sz w:val="28"/>
          <w:szCs w:val="28"/>
        </w:rPr>
      </w:pPr>
    </w:p>
    <w:p>
      <w:pPr>
        <w:ind w:firstLine="435"/>
        <w:jc w:val="center"/>
        <w:rPr>
          <w:rFonts w:ascii="宋体" w:hAnsi="宋体"/>
          <w:b/>
          <w:bCs/>
          <w:color w:val="000000"/>
          <w:sz w:val="32"/>
          <w:szCs w:val="32"/>
        </w:rPr>
      </w:pPr>
      <w:r>
        <w:rPr>
          <w:rFonts w:ascii="宋体" w:hAnsi="宋体"/>
          <w:b/>
          <w:bCs/>
          <w:color w:val="000000"/>
          <w:sz w:val="28"/>
          <w:szCs w:val="28"/>
        </w:rPr>
        <w:br w:type="page"/>
      </w:r>
      <w:r>
        <w:rPr>
          <w:rFonts w:hint="eastAsia" w:ascii="宋体" w:hAnsi="宋体"/>
          <w:b/>
          <w:bCs/>
          <w:color w:val="000000"/>
          <w:sz w:val="32"/>
          <w:szCs w:val="32"/>
        </w:rPr>
        <w:t>4.2分项报价一览表</w:t>
      </w:r>
    </w:p>
    <w:p>
      <w:pPr>
        <w:rPr>
          <w:rFonts w:ascii="宋体" w:hAnsi="宋体"/>
          <w:color w:val="000000"/>
          <w:sz w:val="28"/>
          <w:szCs w:val="28"/>
        </w:rPr>
      </w:pPr>
    </w:p>
    <w:p>
      <w:pP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项目名称：                                            单位：人民币元</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62"/>
        <w:gridCol w:w="715"/>
        <w:gridCol w:w="546"/>
        <w:gridCol w:w="539"/>
        <w:gridCol w:w="539"/>
        <w:gridCol w:w="539"/>
        <w:gridCol w:w="1072"/>
        <w:gridCol w:w="1072"/>
        <w:gridCol w:w="539"/>
        <w:gridCol w:w="539"/>
        <w:gridCol w:w="71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pPr>
              <w:jc w:val="center"/>
              <w:rPr>
                <w:rFonts w:ascii="宋体" w:hAnsi="宋体"/>
                <w:b/>
                <w:bCs/>
                <w:color w:val="000000"/>
                <w:sz w:val="24"/>
                <w:szCs w:val="24"/>
              </w:rPr>
            </w:pPr>
            <w:r>
              <w:rPr>
                <w:rFonts w:hint="eastAsia" w:ascii="宋体" w:hAnsi="宋体"/>
                <w:b/>
                <w:bCs/>
                <w:color w:val="000000"/>
                <w:sz w:val="24"/>
                <w:szCs w:val="24"/>
              </w:rPr>
              <w:t>序号</w:t>
            </w:r>
          </w:p>
        </w:tc>
        <w:tc>
          <w:tcPr>
            <w:tcW w:w="1062" w:type="dxa"/>
            <w:vAlign w:val="center"/>
          </w:tcPr>
          <w:p>
            <w:pPr>
              <w:jc w:val="center"/>
              <w:rPr>
                <w:rFonts w:ascii="宋体" w:hAnsi="宋体"/>
                <w:b/>
                <w:bCs/>
                <w:color w:val="000000"/>
                <w:sz w:val="24"/>
                <w:szCs w:val="24"/>
              </w:rPr>
            </w:pPr>
            <w:r>
              <w:rPr>
                <w:rFonts w:hint="eastAsia" w:ascii="宋体" w:hAnsi="宋体"/>
                <w:b/>
                <w:bCs/>
                <w:color w:val="000000"/>
                <w:sz w:val="24"/>
                <w:szCs w:val="24"/>
              </w:rPr>
              <w:t>设备名称或施工项</w:t>
            </w:r>
          </w:p>
        </w:tc>
        <w:tc>
          <w:tcPr>
            <w:tcW w:w="715" w:type="dxa"/>
            <w:vAlign w:val="center"/>
          </w:tcPr>
          <w:p>
            <w:pPr>
              <w:jc w:val="center"/>
              <w:rPr>
                <w:rFonts w:ascii="宋体" w:hAnsi="宋体"/>
                <w:b/>
                <w:bCs/>
                <w:color w:val="000000"/>
                <w:sz w:val="24"/>
                <w:szCs w:val="24"/>
              </w:rPr>
            </w:pPr>
            <w:r>
              <w:rPr>
                <w:rFonts w:hint="eastAsia" w:ascii="宋体" w:hAnsi="宋体"/>
                <w:b/>
                <w:bCs/>
                <w:color w:val="000000"/>
                <w:sz w:val="24"/>
                <w:szCs w:val="24"/>
              </w:rPr>
              <w:t>品牌型号</w:t>
            </w:r>
          </w:p>
        </w:tc>
        <w:tc>
          <w:tcPr>
            <w:tcW w:w="546" w:type="dxa"/>
            <w:vAlign w:val="center"/>
          </w:tcPr>
          <w:p>
            <w:pPr>
              <w:jc w:val="center"/>
              <w:rPr>
                <w:rFonts w:ascii="宋体" w:hAnsi="宋体"/>
                <w:b/>
                <w:bCs/>
                <w:color w:val="000000"/>
                <w:sz w:val="24"/>
                <w:szCs w:val="24"/>
              </w:rPr>
            </w:pPr>
            <w:r>
              <w:rPr>
                <w:rFonts w:hint="eastAsia" w:ascii="宋体" w:hAnsi="宋体"/>
                <w:b/>
                <w:bCs/>
                <w:color w:val="000000"/>
                <w:sz w:val="24"/>
                <w:szCs w:val="24"/>
              </w:rPr>
              <w:t>单位</w:t>
            </w:r>
          </w:p>
        </w:tc>
        <w:tc>
          <w:tcPr>
            <w:tcW w:w="539" w:type="dxa"/>
            <w:vAlign w:val="center"/>
          </w:tcPr>
          <w:p>
            <w:pPr>
              <w:jc w:val="center"/>
              <w:rPr>
                <w:rFonts w:ascii="宋体" w:hAnsi="宋体"/>
                <w:b/>
                <w:bCs/>
                <w:color w:val="000000"/>
                <w:sz w:val="24"/>
                <w:szCs w:val="24"/>
              </w:rPr>
            </w:pPr>
            <w:r>
              <w:rPr>
                <w:rFonts w:hint="eastAsia" w:ascii="宋体" w:hAnsi="宋体"/>
                <w:b/>
                <w:bCs/>
                <w:color w:val="000000"/>
                <w:sz w:val="24"/>
                <w:szCs w:val="24"/>
              </w:rPr>
              <w:t>数量</w:t>
            </w:r>
          </w:p>
        </w:tc>
        <w:tc>
          <w:tcPr>
            <w:tcW w:w="539" w:type="dxa"/>
            <w:vAlign w:val="center"/>
          </w:tcPr>
          <w:p>
            <w:pPr>
              <w:jc w:val="center"/>
              <w:rPr>
                <w:rFonts w:ascii="宋体" w:hAnsi="宋体"/>
                <w:b/>
                <w:bCs/>
                <w:color w:val="000000"/>
                <w:sz w:val="24"/>
                <w:szCs w:val="24"/>
              </w:rPr>
            </w:pPr>
            <w:r>
              <w:rPr>
                <w:rFonts w:hint="eastAsia" w:ascii="宋体" w:hAnsi="宋体"/>
                <w:b/>
                <w:bCs/>
                <w:color w:val="000000"/>
                <w:sz w:val="24"/>
                <w:szCs w:val="24"/>
              </w:rPr>
              <w:t>单价</w:t>
            </w:r>
          </w:p>
        </w:tc>
        <w:tc>
          <w:tcPr>
            <w:tcW w:w="539" w:type="dxa"/>
            <w:vAlign w:val="center"/>
          </w:tcPr>
          <w:p>
            <w:pPr>
              <w:jc w:val="center"/>
              <w:rPr>
                <w:rFonts w:ascii="宋体" w:hAnsi="宋体"/>
                <w:b/>
                <w:bCs/>
                <w:color w:val="000000"/>
                <w:sz w:val="24"/>
                <w:szCs w:val="24"/>
              </w:rPr>
            </w:pPr>
            <w:r>
              <w:rPr>
                <w:rFonts w:hint="eastAsia" w:ascii="宋体" w:hAnsi="宋体"/>
                <w:b/>
                <w:bCs/>
                <w:color w:val="000000"/>
                <w:sz w:val="24"/>
                <w:szCs w:val="24"/>
              </w:rPr>
              <w:t>小计</w:t>
            </w:r>
          </w:p>
        </w:tc>
        <w:tc>
          <w:tcPr>
            <w:tcW w:w="1072" w:type="dxa"/>
            <w:vAlign w:val="center"/>
          </w:tcPr>
          <w:p>
            <w:pPr>
              <w:jc w:val="center"/>
              <w:rPr>
                <w:rFonts w:ascii="宋体" w:hAnsi="宋体"/>
                <w:b/>
                <w:bCs/>
                <w:color w:val="000000"/>
                <w:sz w:val="24"/>
                <w:szCs w:val="24"/>
              </w:rPr>
            </w:pPr>
            <w:r>
              <w:rPr>
                <w:rFonts w:hint="eastAsia" w:ascii="宋体" w:hAnsi="宋体"/>
                <w:b/>
                <w:bCs/>
                <w:color w:val="000000"/>
                <w:sz w:val="24"/>
                <w:szCs w:val="24"/>
              </w:rPr>
              <w:t>运输及保险费</w:t>
            </w:r>
          </w:p>
        </w:tc>
        <w:tc>
          <w:tcPr>
            <w:tcW w:w="1072" w:type="dxa"/>
            <w:vAlign w:val="center"/>
          </w:tcPr>
          <w:p>
            <w:pPr>
              <w:jc w:val="center"/>
              <w:rPr>
                <w:rFonts w:ascii="宋体" w:hAnsi="宋体"/>
                <w:b/>
                <w:bCs/>
                <w:color w:val="000000"/>
                <w:sz w:val="24"/>
                <w:szCs w:val="24"/>
              </w:rPr>
            </w:pPr>
            <w:r>
              <w:rPr>
                <w:rFonts w:hint="eastAsia" w:ascii="宋体" w:hAnsi="宋体"/>
                <w:b/>
                <w:bCs/>
                <w:color w:val="000000"/>
                <w:sz w:val="24"/>
                <w:szCs w:val="24"/>
              </w:rPr>
              <w:t>技术服务费</w:t>
            </w:r>
          </w:p>
        </w:tc>
        <w:tc>
          <w:tcPr>
            <w:tcW w:w="539" w:type="dxa"/>
            <w:vAlign w:val="center"/>
          </w:tcPr>
          <w:p>
            <w:pPr>
              <w:jc w:val="center"/>
              <w:rPr>
                <w:rFonts w:ascii="宋体" w:hAnsi="宋体"/>
                <w:b/>
                <w:bCs/>
                <w:color w:val="000000"/>
                <w:sz w:val="24"/>
                <w:szCs w:val="24"/>
              </w:rPr>
            </w:pPr>
            <w:r>
              <w:rPr>
                <w:rFonts w:hint="eastAsia" w:ascii="宋体" w:hAnsi="宋体"/>
                <w:b/>
                <w:bCs/>
                <w:color w:val="000000"/>
                <w:sz w:val="24"/>
                <w:szCs w:val="24"/>
              </w:rPr>
              <w:t>税费</w:t>
            </w:r>
          </w:p>
        </w:tc>
        <w:tc>
          <w:tcPr>
            <w:tcW w:w="539" w:type="dxa"/>
            <w:vAlign w:val="center"/>
          </w:tcPr>
          <w:p>
            <w:pPr>
              <w:jc w:val="center"/>
              <w:rPr>
                <w:rFonts w:ascii="宋体" w:hAnsi="宋体"/>
                <w:b/>
                <w:bCs/>
                <w:color w:val="000000"/>
                <w:sz w:val="24"/>
                <w:szCs w:val="24"/>
              </w:rPr>
            </w:pPr>
            <w:r>
              <w:rPr>
                <w:rFonts w:hint="eastAsia" w:ascii="宋体" w:hAnsi="宋体"/>
                <w:b/>
                <w:bCs/>
                <w:color w:val="000000"/>
                <w:sz w:val="24"/>
                <w:szCs w:val="24"/>
              </w:rPr>
              <w:t>合计</w:t>
            </w:r>
          </w:p>
        </w:tc>
        <w:tc>
          <w:tcPr>
            <w:tcW w:w="717" w:type="dxa"/>
            <w:gridSpan w:val="2"/>
            <w:vAlign w:val="center"/>
          </w:tcPr>
          <w:p>
            <w:pPr>
              <w:jc w:val="center"/>
              <w:rPr>
                <w:rFonts w:ascii="宋体" w:hAnsi="宋体"/>
                <w:b/>
                <w:bCs/>
                <w:color w:val="000000"/>
                <w:sz w:val="24"/>
                <w:szCs w:val="24"/>
              </w:rPr>
            </w:pPr>
            <w:r>
              <w:rPr>
                <w:rFonts w:hint="eastAsia" w:ascii="宋体" w:hAnsi="宋体"/>
                <w:b/>
                <w:bCs/>
                <w:color w:val="000000"/>
                <w:sz w:val="24"/>
                <w:szCs w:val="24"/>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color w:val="000000"/>
                <w:sz w:val="24"/>
                <w:szCs w:val="24"/>
              </w:rPr>
            </w:pPr>
          </w:p>
        </w:tc>
        <w:tc>
          <w:tcPr>
            <w:tcW w:w="1062" w:type="dxa"/>
          </w:tcPr>
          <w:p>
            <w:pPr>
              <w:rPr>
                <w:rFonts w:ascii="宋体" w:hAnsi="宋体"/>
                <w:color w:val="000000"/>
                <w:sz w:val="24"/>
                <w:szCs w:val="24"/>
              </w:rPr>
            </w:pPr>
          </w:p>
        </w:tc>
        <w:tc>
          <w:tcPr>
            <w:tcW w:w="715" w:type="dxa"/>
          </w:tcPr>
          <w:p>
            <w:pPr>
              <w:rPr>
                <w:rFonts w:ascii="宋体" w:hAnsi="宋体"/>
                <w:color w:val="000000"/>
                <w:sz w:val="24"/>
                <w:szCs w:val="24"/>
              </w:rPr>
            </w:pPr>
          </w:p>
        </w:tc>
        <w:tc>
          <w:tcPr>
            <w:tcW w:w="546"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1072"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539" w:type="dxa"/>
          </w:tcPr>
          <w:p>
            <w:pPr>
              <w:rPr>
                <w:rFonts w:ascii="宋体" w:hAnsi="宋体"/>
                <w:color w:val="000000"/>
                <w:sz w:val="24"/>
                <w:szCs w:val="24"/>
              </w:rPr>
            </w:pPr>
          </w:p>
        </w:tc>
        <w:tc>
          <w:tcPr>
            <w:tcW w:w="717" w:type="dxa"/>
            <w:gridSpan w:val="2"/>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1561" w:type="dxa"/>
            <w:gridSpan w:val="2"/>
          </w:tcPr>
          <w:p>
            <w:pPr>
              <w:pStyle w:val="45"/>
              <w:rPr>
                <w:color w:val="000000"/>
                <w:szCs w:val="24"/>
              </w:rPr>
            </w:pPr>
            <w:r>
              <w:rPr>
                <w:rFonts w:hint="eastAsia"/>
                <w:color w:val="000000"/>
                <w:szCs w:val="24"/>
              </w:rPr>
              <w:t>合计</w:t>
            </w:r>
          </w:p>
        </w:tc>
        <w:tc>
          <w:tcPr>
            <w:tcW w:w="6810" w:type="dxa"/>
            <w:gridSpan w:val="10"/>
          </w:tcPr>
          <w:p>
            <w:pPr>
              <w:rPr>
                <w:rFonts w:ascii="宋体" w:hAnsi="宋体"/>
                <w:color w:val="000000"/>
                <w:sz w:val="24"/>
                <w:szCs w:val="24"/>
              </w:rPr>
            </w:pPr>
          </w:p>
        </w:tc>
      </w:tr>
    </w:tbl>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ind w:firstLine="720" w:firstLineChars="300"/>
        <w:rPr>
          <w:rFonts w:ascii="宋体" w:hAnsi="宋体"/>
          <w:color w:val="000000"/>
          <w:sz w:val="24"/>
          <w:szCs w:val="24"/>
        </w:rPr>
      </w:pPr>
    </w:p>
    <w:p>
      <w:pPr>
        <w:ind w:firstLine="435"/>
        <w:jc w:val="center"/>
        <w:rPr>
          <w:rFonts w:ascii="宋体" w:hAnsi="宋体"/>
          <w:b/>
          <w:bCs/>
          <w:color w:val="000000"/>
          <w:sz w:val="32"/>
          <w:szCs w:val="32"/>
        </w:rPr>
      </w:pPr>
      <w:r>
        <w:rPr>
          <w:rFonts w:hint="eastAsia" w:ascii="宋体" w:hAnsi="宋体"/>
          <w:color w:val="000000"/>
          <w:sz w:val="28"/>
          <w:szCs w:val="28"/>
        </w:rPr>
        <w:br w:type="page"/>
      </w:r>
      <w:r>
        <w:rPr>
          <w:rFonts w:hint="eastAsia" w:ascii="宋体" w:hAnsi="宋体"/>
          <w:b/>
          <w:bCs/>
          <w:color w:val="000000"/>
          <w:sz w:val="32"/>
          <w:szCs w:val="32"/>
        </w:rPr>
        <w:t>4.3设备（产品）规格一览表</w:t>
      </w:r>
    </w:p>
    <w:p>
      <w:pPr>
        <w:rPr>
          <w:rFonts w:ascii="宋体" w:hAnsi="宋体"/>
          <w:color w:val="000000"/>
          <w:sz w:val="24"/>
          <w:szCs w:val="24"/>
        </w:rPr>
      </w:pPr>
      <w:r>
        <w:rPr>
          <w:rFonts w:hint="eastAsia" w:ascii="宋体" w:hAnsi="宋体"/>
          <w:color w:val="000000"/>
          <w:sz w:val="24"/>
          <w:szCs w:val="24"/>
        </w:rPr>
        <w:t xml:space="preserve">项目名称：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1215" w:type="dxa"/>
            <w:vAlign w:val="center"/>
          </w:tcPr>
          <w:p>
            <w:pPr>
              <w:jc w:val="center"/>
              <w:rPr>
                <w:rFonts w:ascii="宋体" w:hAnsi="宋体"/>
                <w:color w:val="000000"/>
                <w:sz w:val="24"/>
                <w:szCs w:val="24"/>
              </w:rPr>
            </w:pPr>
            <w:r>
              <w:rPr>
                <w:rFonts w:hint="eastAsia" w:ascii="宋体" w:hAnsi="宋体"/>
                <w:color w:val="000000"/>
                <w:sz w:val="24"/>
                <w:szCs w:val="24"/>
              </w:rPr>
              <w:t>设备名称</w:t>
            </w:r>
          </w:p>
        </w:tc>
        <w:tc>
          <w:tcPr>
            <w:tcW w:w="1272" w:type="dxa"/>
            <w:vAlign w:val="center"/>
          </w:tcPr>
          <w:p>
            <w:pPr>
              <w:jc w:val="center"/>
              <w:rPr>
                <w:rFonts w:ascii="宋体" w:hAnsi="宋体"/>
                <w:color w:val="000000"/>
                <w:sz w:val="24"/>
                <w:szCs w:val="24"/>
              </w:rPr>
            </w:pPr>
            <w:r>
              <w:rPr>
                <w:rFonts w:hint="eastAsia" w:ascii="宋体" w:hAnsi="宋体"/>
                <w:color w:val="000000"/>
                <w:sz w:val="24"/>
                <w:szCs w:val="24"/>
              </w:rPr>
              <w:t>品牌型号</w:t>
            </w:r>
          </w:p>
        </w:tc>
        <w:tc>
          <w:tcPr>
            <w:tcW w:w="2670" w:type="dxa"/>
            <w:vAlign w:val="center"/>
          </w:tcPr>
          <w:p>
            <w:pPr>
              <w:jc w:val="center"/>
              <w:rPr>
                <w:rFonts w:ascii="宋体" w:hAnsi="宋体"/>
                <w:color w:val="000000"/>
                <w:sz w:val="24"/>
                <w:szCs w:val="24"/>
              </w:rPr>
            </w:pPr>
            <w:r>
              <w:rPr>
                <w:rFonts w:hint="eastAsia" w:ascii="宋体" w:hAnsi="宋体"/>
                <w:color w:val="000000"/>
                <w:sz w:val="24"/>
                <w:szCs w:val="24"/>
              </w:rPr>
              <w:t>规格及技术参数</w:t>
            </w:r>
          </w:p>
        </w:tc>
        <w:tc>
          <w:tcPr>
            <w:tcW w:w="1620" w:type="dxa"/>
            <w:vAlign w:val="center"/>
          </w:tcPr>
          <w:p>
            <w:pPr>
              <w:jc w:val="center"/>
              <w:rPr>
                <w:rFonts w:ascii="宋体" w:hAnsi="宋体"/>
                <w:color w:val="000000"/>
                <w:sz w:val="24"/>
                <w:szCs w:val="24"/>
              </w:rPr>
            </w:pPr>
            <w:r>
              <w:rPr>
                <w:rFonts w:hint="eastAsia" w:ascii="宋体" w:hAnsi="宋体"/>
                <w:color w:val="000000"/>
                <w:sz w:val="24"/>
                <w:szCs w:val="24"/>
              </w:rPr>
              <w:t>制造商</w:t>
            </w:r>
          </w:p>
        </w:tc>
        <w:tc>
          <w:tcPr>
            <w:tcW w:w="1440" w:type="dxa"/>
            <w:vAlign w:val="center"/>
          </w:tcPr>
          <w:p>
            <w:pPr>
              <w:jc w:val="center"/>
              <w:rPr>
                <w:rFonts w:ascii="宋体" w:hAnsi="宋体"/>
                <w:color w:val="000000"/>
                <w:sz w:val="24"/>
                <w:szCs w:val="24"/>
              </w:rPr>
            </w:pPr>
            <w:r>
              <w:rPr>
                <w:rFonts w:hint="eastAsia" w:ascii="宋体" w:hAnsi="宋体"/>
                <w:color w:val="000000"/>
                <w:sz w:val="24"/>
                <w:szCs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color w:val="000000"/>
                <w:sz w:val="24"/>
                <w:szCs w:val="24"/>
              </w:rPr>
            </w:pPr>
          </w:p>
        </w:tc>
        <w:tc>
          <w:tcPr>
            <w:tcW w:w="1215"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272" w:type="dxa"/>
            <w:vAlign w:val="center"/>
          </w:tcPr>
          <w:p>
            <w:pPr>
              <w:jc w:val="center"/>
              <w:rPr>
                <w:rFonts w:ascii="宋体" w:hAnsi="宋体"/>
                <w:color w:val="000000"/>
                <w:sz w:val="24"/>
                <w:szCs w:val="24"/>
              </w:rPr>
            </w:pPr>
          </w:p>
        </w:tc>
        <w:tc>
          <w:tcPr>
            <w:tcW w:w="2670" w:type="dxa"/>
            <w:vAlign w:val="center"/>
          </w:tcPr>
          <w:p>
            <w:pPr>
              <w:jc w:val="center"/>
              <w:rPr>
                <w:rFonts w:ascii="宋体" w:hAnsi="宋体"/>
                <w:color w:val="000000"/>
                <w:sz w:val="24"/>
                <w:szCs w:val="24"/>
              </w:rPr>
            </w:pPr>
          </w:p>
        </w:tc>
        <w:tc>
          <w:tcPr>
            <w:tcW w:w="1620" w:type="dxa"/>
            <w:vAlign w:val="center"/>
          </w:tcPr>
          <w:p>
            <w:pPr>
              <w:jc w:val="center"/>
              <w:rPr>
                <w:rFonts w:ascii="宋体" w:hAnsi="宋体"/>
                <w:color w:val="000000"/>
                <w:sz w:val="24"/>
                <w:szCs w:val="24"/>
              </w:rPr>
            </w:pPr>
          </w:p>
        </w:tc>
        <w:tc>
          <w:tcPr>
            <w:tcW w:w="1440" w:type="dxa"/>
            <w:vAlign w:val="center"/>
          </w:tcPr>
          <w:p>
            <w:pPr>
              <w:jc w:val="center"/>
              <w:rPr>
                <w:rFonts w:ascii="宋体" w:hAnsi="宋体"/>
                <w:color w:val="000000"/>
                <w:sz w:val="24"/>
                <w:szCs w:val="24"/>
              </w:rPr>
            </w:pPr>
          </w:p>
        </w:tc>
      </w:tr>
    </w:tbl>
    <w:p>
      <w:pPr>
        <w:rPr>
          <w:rFonts w:ascii="宋体" w:hAnsi="宋体"/>
          <w:color w:val="000000"/>
          <w:sz w:val="24"/>
          <w:szCs w:val="24"/>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spacing w:line="360" w:lineRule="auto"/>
        <w:rPr>
          <w:rFonts w:ascii="宋体" w:hAnsi="宋体"/>
          <w:color w:val="000000"/>
          <w:sz w:val="24"/>
        </w:rPr>
      </w:pPr>
    </w:p>
    <w:p>
      <w:pP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说明：1、设备规格参数如有详细描述可另作说明。</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2、投标人可对该产品的特性和优点作详细的文字说明。</w:t>
      </w:r>
    </w:p>
    <w:p>
      <w:pPr>
        <w:spacing w:line="460" w:lineRule="exact"/>
        <w:jc w:val="center"/>
        <w:rPr>
          <w:rFonts w:ascii="宋体" w:hAnsi="宋体"/>
          <w:color w:val="000000"/>
          <w:sz w:val="28"/>
          <w:szCs w:val="28"/>
        </w:rPr>
      </w:pPr>
      <w:r>
        <w:rPr>
          <w:rFonts w:hint="eastAsia" w:ascii="宋体" w:hAnsi="宋体"/>
          <w:color w:val="000000"/>
          <w:sz w:val="28"/>
          <w:szCs w:val="28"/>
        </w:rPr>
        <w:br w:type="page"/>
      </w:r>
    </w:p>
    <w:p>
      <w:pPr>
        <w:pStyle w:val="6"/>
        <w:numPr>
          <w:ilvl w:val="1"/>
          <w:numId w:val="0"/>
        </w:numPr>
        <w:ind w:left="420"/>
      </w:pPr>
      <w:bookmarkStart w:id="79" w:name="_Toc17665"/>
      <w:r>
        <w:rPr>
          <w:rFonts w:hint="eastAsia"/>
        </w:rPr>
        <w:t>5.技术规格和商务条款偏差表</w:t>
      </w:r>
      <w:bookmarkEnd w:id="79"/>
    </w:p>
    <w:p>
      <w:pPr>
        <w:pStyle w:val="8"/>
        <w:rPr>
          <w:rFonts w:ascii="宋体" w:hAnsi="宋体"/>
          <w:color w:val="000000"/>
          <w:sz w:val="24"/>
          <w:szCs w:val="24"/>
        </w:rPr>
      </w:pPr>
      <w:r>
        <w:rPr>
          <w:rFonts w:hint="eastAsia" w:ascii="宋体" w:hAnsi="宋体"/>
          <w:color w:val="000000"/>
          <w:sz w:val="24"/>
          <w:szCs w:val="24"/>
        </w:rPr>
        <w:t>项目名称：</w:t>
      </w:r>
    </w:p>
    <w:p>
      <w:pPr>
        <w:pStyle w:val="8"/>
        <w:rPr>
          <w:rFonts w:ascii="宋体" w:hAnsi="宋体"/>
          <w:color w:val="000000"/>
          <w:sz w:val="24"/>
          <w:szCs w:val="24"/>
        </w:rPr>
      </w:pPr>
      <w:r>
        <w:rPr>
          <w:rFonts w:hint="eastAsia" w:ascii="宋体" w:hAnsi="宋体"/>
          <w:color w:val="000000"/>
          <w:sz w:val="24"/>
          <w:szCs w:val="24"/>
        </w:rPr>
        <w:t>招标编号：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937"/>
        <w:gridCol w:w="1291"/>
        <w:gridCol w:w="1291"/>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582" w:type="dxa"/>
            <w:vMerge w:val="restart"/>
            <w:vAlign w:val="center"/>
          </w:tcPr>
          <w:p>
            <w:pPr>
              <w:jc w:val="center"/>
              <w:rPr>
                <w:rFonts w:ascii="宋体" w:hAnsi="宋体"/>
                <w:b/>
                <w:bCs/>
                <w:color w:val="000000"/>
                <w:sz w:val="24"/>
                <w:szCs w:val="24"/>
              </w:rPr>
            </w:pPr>
            <w:r>
              <w:rPr>
                <w:rFonts w:hint="eastAsia" w:ascii="宋体" w:hAnsi="宋体"/>
                <w:b/>
                <w:bCs/>
                <w:color w:val="000000"/>
                <w:sz w:val="24"/>
                <w:szCs w:val="24"/>
              </w:rPr>
              <w:t>序号</w:t>
            </w:r>
          </w:p>
        </w:tc>
        <w:tc>
          <w:tcPr>
            <w:tcW w:w="1937" w:type="dxa"/>
            <w:vMerge w:val="restart"/>
            <w:vAlign w:val="center"/>
          </w:tcPr>
          <w:p>
            <w:pPr>
              <w:jc w:val="center"/>
              <w:rPr>
                <w:rFonts w:ascii="宋体" w:hAnsi="宋体"/>
                <w:b/>
                <w:bCs/>
                <w:color w:val="000000"/>
                <w:sz w:val="24"/>
                <w:szCs w:val="24"/>
              </w:rPr>
            </w:pPr>
            <w:r>
              <w:rPr>
                <w:rFonts w:hint="eastAsia" w:ascii="宋体" w:hAnsi="宋体"/>
                <w:b/>
                <w:bCs/>
                <w:color w:val="000000"/>
                <w:sz w:val="24"/>
                <w:szCs w:val="24"/>
              </w:rPr>
              <w:t>设备名称或条款号</w:t>
            </w:r>
          </w:p>
        </w:tc>
        <w:tc>
          <w:tcPr>
            <w:tcW w:w="2582" w:type="dxa"/>
            <w:gridSpan w:val="2"/>
            <w:vAlign w:val="center"/>
          </w:tcPr>
          <w:p>
            <w:pPr>
              <w:jc w:val="center"/>
              <w:rPr>
                <w:rFonts w:ascii="宋体" w:hAnsi="宋体"/>
                <w:b/>
                <w:bCs/>
                <w:color w:val="000000"/>
                <w:sz w:val="24"/>
                <w:szCs w:val="24"/>
              </w:rPr>
            </w:pPr>
            <w:r>
              <w:rPr>
                <w:rFonts w:hint="eastAsia" w:ascii="宋体" w:hAnsi="宋体"/>
                <w:b/>
                <w:bCs/>
                <w:color w:val="000000"/>
                <w:sz w:val="24"/>
                <w:szCs w:val="24"/>
              </w:rPr>
              <w:t>技术参数及要求</w:t>
            </w:r>
          </w:p>
        </w:tc>
        <w:tc>
          <w:tcPr>
            <w:tcW w:w="1292" w:type="dxa"/>
            <w:vMerge w:val="restart"/>
            <w:vAlign w:val="center"/>
          </w:tcPr>
          <w:p>
            <w:pPr>
              <w:jc w:val="center"/>
              <w:rPr>
                <w:rFonts w:ascii="宋体" w:hAnsi="宋体"/>
                <w:b/>
                <w:bCs/>
                <w:color w:val="000000"/>
                <w:sz w:val="24"/>
                <w:szCs w:val="24"/>
              </w:rPr>
            </w:pPr>
            <w:r>
              <w:rPr>
                <w:rFonts w:hint="eastAsia" w:ascii="宋体" w:hAnsi="宋体"/>
                <w:b/>
                <w:bCs/>
                <w:color w:val="000000"/>
                <w:sz w:val="24"/>
                <w:szCs w:val="24"/>
              </w:rPr>
              <w:t>对招标文件  偏差</w:t>
            </w:r>
          </w:p>
        </w:tc>
        <w:tc>
          <w:tcPr>
            <w:tcW w:w="1292" w:type="dxa"/>
            <w:vMerge w:val="restart"/>
            <w:vAlign w:val="center"/>
          </w:tcPr>
          <w:p>
            <w:pPr>
              <w:jc w:val="center"/>
              <w:rPr>
                <w:rFonts w:ascii="宋体" w:hAnsi="宋体"/>
                <w:b/>
                <w:bCs/>
                <w:color w:val="000000"/>
                <w:sz w:val="24"/>
                <w:szCs w:val="24"/>
              </w:rPr>
            </w:pPr>
            <w:r>
              <w:rPr>
                <w:rFonts w:hint="eastAsia" w:ascii="宋体" w:hAnsi="宋体"/>
                <w:b/>
                <w:bCs/>
                <w:color w:val="000000"/>
                <w:sz w:val="24"/>
                <w:szCs w:val="24"/>
              </w:rPr>
              <w:t>描述</w:t>
            </w:r>
          </w:p>
        </w:tc>
        <w:tc>
          <w:tcPr>
            <w:tcW w:w="1292" w:type="dxa"/>
            <w:vMerge w:val="restart"/>
            <w:vAlign w:val="center"/>
          </w:tcPr>
          <w:p>
            <w:pPr>
              <w:jc w:val="center"/>
              <w:rPr>
                <w:rFonts w:ascii="宋体" w:hAnsi="宋体"/>
                <w:b/>
                <w:bCs/>
                <w:color w:val="000000"/>
                <w:sz w:val="24"/>
                <w:szCs w:val="24"/>
              </w:rPr>
            </w:pPr>
            <w:r>
              <w:rPr>
                <w:rFonts w:hint="eastAsia" w:ascii="宋体" w:hAnsi="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2" w:type="dxa"/>
            <w:vMerge w:val="continue"/>
          </w:tcPr>
          <w:p>
            <w:pPr>
              <w:rPr>
                <w:rFonts w:ascii="宋体" w:hAnsi="宋体"/>
                <w:color w:val="000000"/>
                <w:sz w:val="24"/>
                <w:szCs w:val="24"/>
              </w:rPr>
            </w:pPr>
          </w:p>
        </w:tc>
        <w:tc>
          <w:tcPr>
            <w:tcW w:w="1937" w:type="dxa"/>
            <w:vMerge w:val="continue"/>
          </w:tcPr>
          <w:p>
            <w:pPr>
              <w:rPr>
                <w:rFonts w:ascii="宋体" w:hAnsi="宋体"/>
                <w:color w:val="000000"/>
                <w:sz w:val="24"/>
                <w:szCs w:val="24"/>
              </w:rPr>
            </w:pPr>
          </w:p>
        </w:tc>
        <w:tc>
          <w:tcPr>
            <w:tcW w:w="1291" w:type="dxa"/>
            <w:vAlign w:val="center"/>
          </w:tcPr>
          <w:p>
            <w:pPr>
              <w:jc w:val="center"/>
              <w:rPr>
                <w:rFonts w:ascii="宋体" w:hAnsi="宋体"/>
                <w:b/>
                <w:bCs/>
                <w:color w:val="000000"/>
                <w:sz w:val="24"/>
                <w:szCs w:val="24"/>
              </w:rPr>
            </w:pPr>
            <w:r>
              <w:rPr>
                <w:rFonts w:hint="eastAsia" w:ascii="宋体" w:hAnsi="宋体"/>
                <w:b/>
                <w:bCs/>
                <w:color w:val="000000"/>
                <w:sz w:val="24"/>
                <w:szCs w:val="24"/>
              </w:rPr>
              <w:t>招 标  文 件</w:t>
            </w:r>
          </w:p>
        </w:tc>
        <w:tc>
          <w:tcPr>
            <w:tcW w:w="1291" w:type="dxa"/>
            <w:vAlign w:val="center"/>
          </w:tcPr>
          <w:p>
            <w:pPr>
              <w:jc w:val="center"/>
              <w:rPr>
                <w:rFonts w:ascii="宋体" w:hAnsi="宋体"/>
                <w:b/>
                <w:bCs/>
                <w:color w:val="000000"/>
                <w:sz w:val="24"/>
                <w:szCs w:val="24"/>
              </w:rPr>
            </w:pPr>
            <w:r>
              <w:rPr>
                <w:rFonts w:hint="eastAsia" w:ascii="宋体" w:hAnsi="宋体"/>
                <w:b/>
                <w:bCs/>
                <w:color w:val="000000"/>
                <w:sz w:val="24"/>
                <w:szCs w:val="24"/>
              </w:rPr>
              <w:t>投 标  文 件</w:t>
            </w:r>
          </w:p>
        </w:tc>
        <w:tc>
          <w:tcPr>
            <w:tcW w:w="1292" w:type="dxa"/>
            <w:vMerge w:val="continue"/>
          </w:tcPr>
          <w:p>
            <w:pPr>
              <w:rPr>
                <w:rFonts w:ascii="宋体" w:hAnsi="宋体"/>
                <w:color w:val="000000"/>
                <w:sz w:val="24"/>
                <w:szCs w:val="24"/>
              </w:rPr>
            </w:pPr>
          </w:p>
        </w:tc>
        <w:tc>
          <w:tcPr>
            <w:tcW w:w="1292" w:type="dxa"/>
            <w:vMerge w:val="continue"/>
          </w:tcPr>
          <w:p>
            <w:pPr>
              <w:rPr>
                <w:rFonts w:ascii="宋体" w:hAnsi="宋体"/>
                <w:color w:val="000000"/>
                <w:sz w:val="24"/>
                <w:szCs w:val="24"/>
              </w:rPr>
            </w:pPr>
          </w:p>
        </w:tc>
        <w:tc>
          <w:tcPr>
            <w:tcW w:w="1292" w:type="dxa"/>
            <w:vMerge w:val="continue"/>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2" w:type="dxa"/>
            <w:vMerge w:val="restart"/>
          </w:tcPr>
          <w:p>
            <w:pPr>
              <w:rPr>
                <w:rFonts w:ascii="宋体" w:hAnsi="宋体"/>
                <w:color w:val="000000"/>
                <w:sz w:val="24"/>
                <w:szCs w:val="24"/>
              </w:rPr>
            </w:pPr>
            <w:r>
              <w:rPr>
                <w:rFonts w:hint="eastAsia" w:ascii="宋体" w:hAnsi="宋体"/>
                <w:color w:val="000000"/>
                <w:sz w:val="24"/>
                <w:szCs w:val="24"/>
              </w:rPr>
              <w:t>1</w:t>
            </w:r>
          </w:p>
        </w:tc>
        <w:tc>
          <w:tcPr>
            <w:tcW w:w="1937" w:type="dxa"/>
          </w:tcPr>
          <w:p>
            <w:pPr>
              <w:rPr>
                <w:rFonts w:ascii="宋体" w:hAnsi="宋体"/>
                <w:color w:val="000000"/>
                <w:sz w:val="24"/>
                <w:szCs w:val="24"/>
              </w:rPr>
            </w:pPr>
            <w:r>
              <w:rPr>
                <w:rFonts w:hint="eastAsia" w:ascii="宋体" w:hAnsi="宋体"/>
                <w:color w:val="000000"/>
                <w:sz w:val="24"/>
                <w:szCs w:val="24"/>
              </w:rPr>
              <w:t>设备或配置名称1</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582" w:type="dxa"/>
            <w:vMerge w:val="continue"/>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参数名称1</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582" w:type="dxa"/>
            <w:vMerge w:val="continue"/>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参数名称2</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2" w:type="dxa"/>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2" w:type="dxa"/>
            <w:vMerge w:val="restart"/>
          </w:tcPr>
          <w:p>
            <w:pPr>
              <w:rPr>
                <w:rFonts w:ascii="宋体" w:hAnsi="宋体"/>
                <w:color w:val="000000"/>
                <w:sz w:val="24"/>
                <w:szCs w:val="24"/>
              </w:rPr>
            </w:pPr>
            <w:r>
              <w:rPr>
                <w:rFonts w:hint="eastAsia" w:ascii="宋体" w:hAnsi="宋体"/>
                <w:color w:val="000000"/>
                <w:sz w:val="24"/>
                <w:szCs w:val="24"/>
              </w:rPr>
              <w:t>2</w:t>
            </w:r>
          </w:p>
        </w:tc>
        <w:tc>
          <w:tcPr>
            <w:tcW w:w="1937" w:type="dxa"/>
          </w:tcPr>
          <w:p>
            <w:pPr>
              <w:rPr>
                <w:rFonts w:ascii="宋体" w:hAnsi="宋体"/>
                <w:color w:val="000000"/>
                <w:sz w:val="24"/>
                <w:szCs w:val="24"/>
              </w:rPr>
            </w:pPr>
            <w:r>
              <w:rPr>
                <w:rFonts w:hint="eastAsia" w:ascii="宋体" w:hAnsi="宋体"/>
                <w:color w:val="000000"/>
                <w:sz w:val="24"/>
                <w:szCs w:val="24"/>
              </w:rPr>
              <w:t>设备或配置名称1</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582" w:type="dxa"/>
            <w:vMerge w:val="continue"/>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参数名称1</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582" w:type="dxa"/>
            <w:vMerge w:val="continue"/>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参数名称2</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2" w:type="dxa"/>
          </w:tcPr>
          <w:p>
            <w:pPr>
              <w:rPr>
                <w:rFonts w:ascii="宋体" w:hAnsi="宋体"/>
                <w:color w:val="000000"/>
                <w:sz w:val="24"/>
                <w:szCs w:val="24"/>
              </w:rPr>
            </w:pPr>
            <w:r>
              <w:rPr>
                <w:rFonts w:hint="eastAsia" w:ascii="宋体" w:hAnsi="宋体"/>
                <w:color w:val="000000"/>
                <w:sz w:val="24"/>
                <w:szCs w:val="24"/>
              </w:rPr>
              <w:t>3</w:t>
            </w:r>
          </w:p>
        </w:tc>
        <w:tc>
          <w:tcPr>
            <w:tcW w:w="1937" w:type="dxa"/>
          </w:tcPr>
          <w:p>
            <w:pPr>
              <w:rPr>
                <w:rFonts w:ascii="宋体" w:hAnsi="宋体"/>
                <w:color w:val="000000"/>
                <w:sz w:val="24"/>
                <w:szCs w:val="24"/>
              </w:rPr>
            </w:pPr>
            <w:r>
              <w:rPr>
                <w:rFonts w:hint="eastAsia" w:ascii="宋体" w:hAnsi="宋体"/>
                <w:color w:val="000000"/>
                <w:sz w:val="24"/>
                <w:szCs w:val="24"/>
              </w:rPr>
              <w:t>商务条款号1</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2" w:type="dxa"/>
          </w:tcPr>
          <w:p>
            <w:pPr>
              <w:rPr>
                <w:rFonts w:ascii="宋体" w:hAnsi="宋体"/>
                <w:color w:val="000000"/>
                <w:sz w:val="24"/>
                <w:szCs w:val="24"/>
              </w:rPr>
            </w:pPr>
            <w:r>
              <w:rPr>
                <w:rFonts w:hint="eastAsia" w:ascii="宋体" w:hAnsi="宋体"/>
                <w:color w:val="000000"/>
                <w:sz w:val="24"/>
                <w:szCs w:val="24"/>
              </w:rPr>
              <w:t>4</w:t>
            </w:r>
          </w:p>
        </w:tc>
        <w:tc>
          <w:tcPr>
            <w:tcW w:w="1937" w:type="dxa"/>
          </w:tcPr>
          <w:p>
            <w:pPr>
              <w:rPr>
                <w:rFonts w:ascii="宋体" w:hAnsi="宋体"/>
                <w:color w:val="000000"/>
                <w:sz w:val="24"/>
                <w:szCs w:val="24"/>
              </w:rPr>
            </w:pPr>
            <w:r>
              <w:rPr>
                <w:rFonts w:hint="eastAsia" w:ascii="宋体" w:hAnsi="宋体"/>
                <w:color w:val="000000"/>
                <w:sz w:val="24"/>
                <w:szCs w:val="24"/>
              </w:rPr>
              <w:t>商务条款号2</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82" w:type="dxa"/>
          </w:tcPr>
          <w:p>
            <w:pPr>
              <w:rPr>
                <w:rFonts w:ascii="宋体" w:hAnsi="宋体"/>
                <w:color w:val="000000"/>
                <w:sz w:val="24"/>
                <w:szCs w:val="24"/>
              </w:rPr>
            </w:pPr>
          </w:p>
        </w:tc>
        <w:tc>
          <w:tcPr>
            <w:tcW w:w="1937" w:type="dxa"/>
          </w:tcPr>
          <w:p>
            <w:pPr>
              <w:rPr>
                <w:rFonts w:ascii="宋体" w:hAnsi="宋体"/>
                <w:color w:val="000000"/>
                <w:sz w:val="24"/>
                <w:szCs w:val="24"/>
              </w:rPr>
            </w:pPr>
            <w:r>
              <w:rPr>
                <w:rFonts w:hint="eastAsia" w:ascii="宋体" w:hAnsi="宋体"/>
                <w:color w:val="000000"/>
                <w:sz w:val="24"/>
                <w:szCs w:val="24"/>
              </w:rPr>
              <w:t>……</w:t>
            </w:r>
          </w:p>
        </w:tc>
        <w:tc>
          <w:tcPr>
            <w:tcW w:w="1291" w:type="dxa"/>
          </w:tcPr>
          <w:p>
            <w:pPr>
              <w:rPr>
                <w:rFonts w:ascii="宋体" w:hAnsi="宋体"/>
                <w:color w:val="000000"/>
                <w:sz w:val="24"/>
                <w:szCs w:val="24"/>
              </w:rPr>
            </w:pPr>
          </w:p>
        </w:tc>
        <w:tc>
          <w:tcPr>
            <w:tcW w:w="1291"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c>
          <w:tcPr>
            <w:tcW w:w="1292" w:type="dxa"/>
          </w:tcPr>
          <w:p>
            <w:pPr>
              <w:rPr>
                <w:rFonts w:ascii="宋体" w:hAnsi="宋体"/>
                <w:color w:val="000000"/>
                <w:sz w:val="24"/>
                <w:szCs w:val="24"/>
              </w:rPr>
            </w:pPr>
          </w:p>
        </w:tc>
      </w:tr>
    </w:tbl>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pStyle w:val="6"/>
        <w:numPr>
          <w:ilvl w:val="1"/>
          <w:numId w:val="0"/>
        </w:numPr>
        <w:ind w:left="420"/>
      </w:pPr>
      <w:r>
        <w:rPr>
          <w:rFonts w:hint="eastAsia" w:ascii="宋体" w:hAnsi="宋体"/>
          <w:color w:val="000000"/>
          <w:sz w:val="28"/>
          <w:szCs w:val="28"/>
        </w:rPr>
        <w:br w:type="page"/>
      </w:r>
      <w:bookmarkStart w:id="80" w:name="_Toc30464"/>
      <w:r>
        <w:rPr>
          <w:rFonts w:hint="eastAsia"/>
        </w:rPr>
        <w:t>6.售后服务与承诺</w:t>
      </w:r>
      <w:bookmarkEnd w:id="80"/>
    </w:p>
    <w:p>
      <w:pPr>
        <w:autoSpaceDE w:val="0"/>
        <w:autoSpaceDN w:val="0"/>
        <w:adjustRightInd w:val="0"/>
        <w:spacing w:line="360" w:lineRule="auto"/>
        <w:jc w:val="center"/>
        <w:rPr>
          <w:rFonts w:ascii="宋体" w:hAnsi="宋体"/>
          <w:b/>
          <w:color w:val="000000"/>
          <w:spacing w:val="10"/>
          <w:kern w:val="0"/>
          <w:sz w:val="28"/>
          <w:szCs w:val="28"/>
        </w:rPr>
      </w:pPr>
    </w:p>
    <w:p>
      <w:pPr>
        <w:pStyle w:val="71"/>
        <w:spacing w:line="360" w:lineRule="auto"/>
        <w:rPr>
          <w:rFonts w:ascii="宋体" w:hAnsi="宋体"/>
          <w:color w:val="000000"/>
          <w:szCs w:val="24"/>
        </w:rPr>
      </w:pPr>
      <w:r>
        <w:rPr>
          <w:rFonts w:hint="eastAsia" w:ascii="宋体" w:hAnsi="宋体"/>
          <w:color w:val="000000"/>
          <w:szCs w:val="24"/>
        </w:rPr>
        <w:t>投标人必须提供但不限于提供以下内容：</w:t>
      </w:r>
    </w:p>
    <w:p>
      <w:pPr>
        <w:pStyle w:val="71"/>
        <w:spacing w:line="360" w:lineRule="auto"/>
        <w:ind w:firstLine="480" w:firstLineChars="200"/>
        <w:rPr>
          <w:rFonts w:ascii="宋体" w:hAnsi="宋体"/>
          <w:color w:val="000000"/>
          <w:szCs w:val="24"/>
        </w:rPr>
      </w:pPr>
      <w:r>
        <w:rPr>
          <w:rFonts w:hint="eastAsia" w:ascii="宋体" w:hAnsi="宋体"/>
          <w:color w:val="000000"/>
          <w:szCs w:val="24"/>
        </w:rPr>
        <w:t>1、详细说明售后服务的内容、形式、含免费维修时间、解决质量或操作问题的响应时间、解决问题时间、维修单位名称、地点。</w:t>
      </w:r>
    </w:p>
    <w:p>
      <w:pPr>
        <w:tabs>
          <w:tab w:val="left" w:pos="840"/>
        </w:tabs>
        <w:autoSpaceDE w:val="0"/>
        <w:autoSpaceDN w:val="0"/>
        <w:adjustRightInd w:val="0"/>
        <w:spacing w:line="360" w:lineRule="auto"/>
        <w:ind w:firstLine="520" w:firstLineChars="200"/>
        <w:jc w:val="left"/>
        <w:rPr>
          <w:rFonts w:ascii="宋体" w:hAnsi="宋体"/>
          <w:color w:val="000000"/>
          <w:spacing w:val="10"/>
          <w:kern w:val="0"/>
          <w:sz w:val="24"/>
          <w:szCs w:val="24"/>
        </w:rPr>
      </w:pPr>
      <w:r>
        <w:rPr>
          <w:rFonts w:hint="eastAsia" w:ascii="宋体" w:hAnsi="宋体"/>
          <w:color w:val="000000"/>
          <w:spacing w:val="10"/>
          <w:kern w:val="0"/>
          <w:sz w:val="24"/>
          <w:szCs w:val="24"/>
        </w:rPr>
        <w:t>2、技术培训、质量保证措施。</w:t>
      </w:r>
    </w:p>
    <w:p>
      <w:pPr>
        <w:tabs>
          <w:tab w:val="left" w:pos="840"/>
        </w:tabs>
        <w:autoSpaceDE w:val="0"/>
        <w:autoSpaceDN w:val="0"/>
        <w:adjustRightInd w:val="0"/>
        <w:spacing w:line="360" w:lineRule="auto"/>
        <w:ind w:firstLine="520" w:firstLineChars="200"/>
        <w:jc w:val="left"/>
        <w:rPr>
          <w:rFonts w:ascii="宋体" w:hAnsi="宋体"/>
          <w:color w:val="000000"/>
          <w:spacing w:val="10"/>
          <w:kern w:val="0"/>
          <w:sz w:val="24"/>
          <w:szCs w:val="24"/>
        </w:rPr>
      </w:pPr>
      <w:r>
        <w:rPr>
          <w:rFonts w:hint="eastAsia" w:ascii="宋体" w:hAnsi="宋体"/>
          <w:color w:val="000000"/>
          <w:spacing w:val="10"/>
          <w:kern w:val="0"/>
          <w:sz w:val="24"/>
          <w:szCs w:val="24"/>
        </w:rPr>
        <w:t>3、该项目所提供的其它免费物品或服务。</w:t>
      </w:r>
    </w:p>
    <w:p>
      <w:pPr>
        <w:tabs>
          <w:tab w:val="left" w:pos="840"/>
        </w:tabs>
        <w:autoSpaceDE w:val="0"/>
        <w:autoSpaceDN w:val="0"/>
        <w:adjustRightInd w:val="0"/>
        <w:spacing w:line="360" w:lineRule="auto"/>
        <w:ind w:firstLine="735"/>
        <w:jc w:val="left"/>
        <w:rPr>
          <w:rFonts w:ascii="宋体" w:hAnsi="宋体"/>
          <w:color w:val="000000"/>
          <w:spacing w:val="10"/>
          <w:kern w:val="0"/>
          <w:sz w:val="28"/>
          <w:szCs w:val="28"/>
        </w:rPr>
      </w:pP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tabs>
          <w:tab w:val="left" w:pos="840"/>
        </w:tabs>
        <w:autoSpaceDE w:val="0"/>
        <w:autoSpaceDN w:val="0"/>
        <w:adjustRightInd w:val="0"/>
        <w:spacing w:line="360" w:lineRule="auto"/>
        <w:jc w:val="left"/>
        <w:rPr>
          <w:rFonts w:ascii="宋体" w:hAnsi="宋体"/>
          <w:color w:val="000000"/>
          <w:spacing w:val="10"/>
          <w:kern w:val="0"/>
          <w:sz w:val="28"/>
          <w:szCs w:val="28"/>
        </w:rPr>
      </w:pPr>
    </w:p>
    <w:p>
      <w:pPr>
        <w:pStyle w:val="6"/>
        <w:numPr>
          <w:ilvl w:val="1"/>
          <w:numId w:val="0"/>
        </w:numPr>
        <w:ind w:left="420"/>
      </w:pPr>
      <w:r>
        <w:rPr>
          <w:rFonts w:hint="eastAsia" w:ascii="宋体" w:hAnsi="宋体"/>
          <w:color w:val="000000"/>
          <w:spacing w:val="10"/>
          <w:sz w:val="28"/>
          <w:szCs w:val="28"/>
        </w:rPr>
        <w:br w:type="page"/>
      </w:r>
      <w:bookmarkStart w:id="81" w:name="_Toc25891"/>
      <w:r>
        <w:rPr>
          <w:rFonts w:hint="eastAsia"/>
        </w:rPr>
        <w:t>7.政府采购反商业贿赂承诺书</w:t>
      </w:r>
      <w:bookmarkEnd w:id="81"/>
    </w:p>
    <w:p>
      <w:pPr>
        <w:rPr>
          <w:color w:val="000000"/>
        </w:rPr>
      </w:pPr>
    </w:p>
    <w:p>
      <w:pPr>
        <w:autoSpaceDE w:val="0"/>
        <w:autoSpaceDN w:val="0"/>
        <w:adjustRightInd w:val="0"/>
        <w:spacing w:line="360" w:lineRule="auto"/>
        <w:rPr>
          <w:rFonts w:ascii="宋体" w:hAnsi="宋体"/>
          <w:bCs/>
          <w:color w:val="000000"/>
          <w:spacing w:val="10"/>
          <w:kern w:val="0"/>
          <w:sz w:val="24"/>
          <w:szCs w:val="24"/>
        </w:rPr>
      </w:pPr>
      <w:r>
        <w:rPr>
          <w:rFonts w:hint="eastAsia" w:ascii="宋体" w:hAnsi="宋体"/>
          <w:bCs/>
          <w:color w:val="000000"/>
          <w:spacing w:val="10"/>
          <w:kern w:val="0"/>
          <w:sz w:val="24"/>
          <w:szCs w:val="24"/>
        </w:rPr>
        <w:t>我公司承诺：</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在</w:t>
      </w:r>
      <w:r>
        <w:rPr>
          <w:rFonts w:hint="eastAsia" w:ascii="宋体" w:hAnsi="宋体"/>
          <w:bCs/>
          <w:color w:val="000000"/>
          <w:spacing w:val="10"/>
          <w:kern w:val="0"/>
          <w:sz w:val="24"/>
          <w:szCs w:val="24"/>
          <w:u w:val="single"/>
        </w:rPr>
        <w:t xml:space="preserve"> （投标项目名称）</w:t>
      </w:r>
      <w:r>
        <w:rPr>
          <w:rFonts w:hint="eastAsia" w:ascii="宋体" w:hAnsi="宋体"/>
          <w:bCs/>
          <w:color w:val="000000"/>
          <w:spacing w:val="10"/>
          <w:kern w:val="0"/>
          <w:sz w:val="24"/>
          <w:szCs w:val="24"/>
        </w:rPr>
        <w:t>招标活动中，我公司保证做到：</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一、公平竞争参加本次招标活动。</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520" w:firstLineChars="200"/>
        <w:rPr>
          <w:rFonts w:ascii="宋体" w:hAnsi="宋体"/>
          <w:bCs/>
          <w:color w:val="000000"/>
          <w:spacing w:val="10"/>
          <w:kern w:val="0"/>
          <w:sz w:val="24"/>
          <w:szCs w:val="24"/>
        </w:rPr>
      </w:pPr>
      <w:r>
        <w:rPr>
          <w:rFonts w:hint="eastAsia" w:ascii="宋体" w:hAnsi="宋体"/>
          <w:bCs/>
          <w:color w:val="000000"/>
          <w:spacing w:val="10"/>
          <w:kern w:val="0"/>
          <w:sz w:val="24"/>
          <w:szCs w:val="24"/>
        </w:rPr>
        <w:t>三、若出现上述行为，我公司及参与投标的工作人员愿意接受按照国家法律法规等有关规定给予的处罚。</w:t>
      </w:r>
    </w:p>
    <w:p>
      <w:pPr>
        <w:autoSpaceDE w:val="0"/>
        <w:autoSpaceDN w:val="0"/>
        <w:adjustRightInd w:val="0"/>
        <w:spacing w:line="360" w:lineRule="auto"/>
        <w:ind w:firstLine="520" w:firstLineChars="200"/>
        <w:rPr>
          <w:rFonts w:ascii="宋体" w:hAnsi="宋体"/>
          <w:bCs/>
          <w:color w:val="000000"/>
          <w:spacing w:val="10"/>
          <w:kern w:val="0"/>
          <w:sz w:val="24"/>
          <w:szCs w:val="24"/>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autoSpaceDE w:val="0"/>
        <w:autoSpaceDN w:val="0"/>
        <w:adjustRightInd w:val="0"/>
        <w:spacing w:line="360" w:lineRule="auto"/>
        <w:ind w:firstLine="520" w:firstLineChars="200"/>
        <w:rPr>
          <w:rFonts w:ascii="宋体" w:hAnsi="宋体"/>
          <w:bCs/>
          <w:color w:val="000000"/>
          <w:spacing w:val="10"/>
          <w:kern w:val="0"/>
          <w:sz w:val="24"/>
          <w:szCs w:val="24"/>
        </w:rPr>
      </w:pPr>
    </w:p>
    <w:p>
      <w:pPr>
        <w:autoSpaceDE w:val="0"/>
        <w:autoSpaceDN w:val="0"/>
        <w:adjustRightInd w:val="0"/>
        <w:spacing w:line="360" w:lineRule="auto"/>
        <w:ind w:right="600" w:firstLine="5070" w:firstLineChars="1950"/>
        <w:rPr>
          <w:rFonts w:ascii="宋体" w:hAnsi="宋体"/>
          <w:bCs/>
          <w:color w:val="000000"/>
          <w:spacing w:val="10"/>
          <w:kern w:val="0"/>
          <w:sz w:val="24"/>
          <w:szCs w:val="24"/>
        </w:rPr>
      </w:pPr>
      <w:r>
        <w:rPr>
          <w:rFonts w:hint="eastAsia" w:ascii="宋体" w:hAnsi="宋体"/>
          <w:bCs/>
          <w:color w:val="000000"/>
          <w:spacing w:val="10"/>
          <w:kern w:val="0"/>
          <w:sz w:val="24"/>
          <w:szCs w:val="24"/>
        </w:rPr>
        <w:t>年  月  日</w:t>
      </w:r>
    </w:p>
    <w:p>
      <w:pPr>
        <w:autoSpaceDE w:val="0"/>
        <w:autoSpaceDN w:val="0"/>
        <w:adjustRightInd w:val="0"/>
        <w:spacing w:line="360" w:lineRule="auto"/>
        <w:rPr>
          <w:rFonts w:ascii="宋体" w:hAnsi="宋体"/>
          <w:bCs/>
          <w:color w:val="000000"/>
          <w:spacing w:val="10"/>
          <w:kern w:val="0"/>
          <w:sz w:val="24"/>
          <w:szCs w:val="24"/>
        </w:rPr>
      </w:pPr>
    </w:p>
    <w:p>
      <w:pPr>
        <w:autoSpaceDE w:val="0"/>
        <w:autoSpaceDN w:val="0"/>
        <w:adjustRightInd w:val="0"/>
        <w:spacing w:line="360" w:lineRule="auto"/>
        <w:rPr>
          <w:rFonts w:ascii="宋体" w:hAnsi="宋体"/>
          <w:color w:val="000000"/>
          <w:kern w:val="0"/>
          <w:sz w:val="24"/>
          <w:szCs w:val="24"/>
        </w:rPr>
      </w:pPr>
    </w:p>
    <w:p>
      <w:pPr>
        <w:spacing w:afterLines="100"/>
        <w:jc w:val="center"/>
        <w:rPr>
          <w:rFonts w:ascii="宋体" w:hAnsi="宋体"/>
          <w:color w:val="000000"/>
          <w:kern w:val="0"/>
          <w:sz w:val="28"/>
          <w:szCs w:val="28"/>
        </w:rPr>
      </w:pPr>
      <w:r>
        <w:rPr>
          <w:rFonts w:ascii="宋体" w:hAnsi="宋体"/>
          <w:color w:val="000000"/>
          <w:kern w:val="0"/>
          <w:sz w:val="28"/>
          <w:szCs w:val="28"/>
        </w:rPr>
        <w:br w:type="page"/>
      </w:r>
    </w:p>
    <w:p>
      <w:pPr>
        <w:pStyle w:val="6"/>
        <w:ind w:left="420" w:firstLine="0"/>
      </w:pPr>
      <w:bookmarkStart w:id="82" w:name="_Toc1028"/>
      <w:r>
        <w:rPr>
          <w:rFonts w:hint="eastAsia"/>
        </w:rPr>
        <w:t>8. 无重大违法记录的声明函</w:t>
      </w:r>
      <w:bookmarkEnd w:id="82"/>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为进一步规范政府采购行为，提供更加优质的服务，我公司郑重做出如下声明（包括但不仅限于以下）：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参加政府采购活动前三年内在经营活动中没有重大违法记录。</w:t>
      </w:r>
    </w:p>
    <w:p>
      <w:pPr>
        <w:rPr>
          <w:color w:val="000000"/>
        </w:rPr>
      </w:pPr>
    </w:p>
    <w:p>
      <w:pPr>
        <w:pStyle w:val="527"/>
        <w:rPr>
          <w:color w:val="000000"/>
        </w:rPr>
      </w:pPr>
    </w:p>
    <w:p>
      <w:pPr>
        <w:pStyle w:val="527"/>
        <w:rPr>
          <w:color w:val="000000"/>
        </w:rPr>
      </w:pPr>
    </w:p>
    <w:p>
      <w:pPr>
        <w:pStyle w:val="527"/>
        <w:rPr>
          <w:color w:val="000000"/>
        </w:rPr>
      </w:pPr>
    </w:p>
    <w:p>
      <w:pPr>
        <w:pStyle w:val="527"/>
        <w:rPr>
          <w:color w:val="000000"/>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spacing w:line="360" w:lineRule="auto"/>
        <w:rPr>
          <w:rFonts w:ascii="宋体" w:hAnsi="宋体"/>
          <w:color w:val="000000"/>
          <w:sz w:val="24"/>
        </w:rPr>
      </w:pPr>
    </w:p>
    <w:p>
      <w:pPr>
        <w:spacing w:line="400" w:lineRule="exact"/>
        <w:jc w:val="right"/>
        <w:rPr>
          <w:rFonts w:ascii="宋体" w:hAnsi="宋体"/>
          <w:color w:val="000000"/>
          <w:sz w:val="24"/>
          <w:szCs w:val="24"/>
        </w:rPr>
      </w:pPr>
    </w:p>
    <w:p>
      <w:pPr>
        <w:spacing w:line="400" w:lineRule="exact"/>
        <w:jc w:val="right"/>
        <w:rPr>
          <w:rFonts w:ascii="宋体" w:hAnsi="宋体"/>
          <w:color w:val="000000"/>
          <w:sz w:val="24"/>
          <w:szCs w:val="24"/>
        </w:rPr>
      </w:pPr>
    </w:p>
    <w:p>
      <w:pPr>
        <w:spacing w:line="400" w:lineRule="exact"/>
        <w:jc w:val="right"/>
        <w:rPr>
          <w:rFonts w:hint="eastAsia" w:ascii="宋体" w:hAnsi="宋体"/>
          <w:color w:val="000000"/>
          <w:sz w:val="24"/>
          <w:szCs w:val="24"/>
        </w:rPr>
      </w:pPr>
      <w:r>
        <w:rPr>
          <w:rFonts w:hint="eastAsia" w:ascii="宋体" w:hAnsi="宋体"/>
          <w:color w:val="000000"/>
          <w:sz w:val="24"/>
          <w:szCs w:val="24"/>
        </w:rPr>
        <w:t>年  月  日</w:t>
      </w:r>
    </w:p>
    <w:p>
      <w:pPr>
        <w:rPr>
          <w:rFonts w:hint="eastAsia" w:ascii="宋体" w:hAnsi="宋体"/>
          <w:color w:val="000000"/>
          <w:sz w:val="24"/>
          <w:szCs w:val="24"/>
        </w:rPr>
      </w:pPr>
      <w:r>
        <w:rPr>
          <w:rFonts w:hint="eastAsia" w:ascii="宋体" w:hAnsi="宋体"/>
          <w:color w:val="000000"/>
          <w:sz w:val="24"/>
          <w:szCs w:val="24"/>
        </w:rPr>
        <w:br w:type="page"/>
      </w:r>
    </w:p>
    <w:p>
      <w:pPr>
        <w:pStyle w:val="6"/>
        <w:numPr>
          <w:ilvl w:val="0"/>
          <w:numId w:val="63"/>
        </w:numPr>
        <w:rPr>
          <w:sz w:val="28"/>
          <w:szCs w:val="13"/>
        </w:rPr>
      </w:pPr>
      <w:bookmarkStart w:id="83" w:name="_Toc19057"/>
      <w:r>
        <w:rPr>
          <w:rFonts w:hint="eastAsia"/>
        </w:rPr>
        <w:t>单位负责人为同一人或者存在直接控股、管理关系的不同供应商，不得参加同一合同项下的政府采购活动</w:t>
      </w:r>
      <w:r>
        <w:rPr>
          <w:rFonts w:hint="eastAsia"/>
          <w:lang w:eastAsia="zh-CN"/>
        </w:rPr>
        <w:t>的承诺书</w:t>
      </w:r>
      <w:bookmarkEnd w:id="83"/>
    </w:p>
    <w:p>
      <w:pPr>
        <w:rPr>
          <w:rFonts w:hint="eastAsia"/>
          <w:lang w:eastAsia="zh-CN"/>
        </w:rPr>
      </w:pPr>
    </w:p>
    <w:p>
      <w:pPr>
        <w:pStyle w:val="2"/>
        <w:rPr>
          <w:rFonts w:hint="eastAsia"/>
          <w:lang w:eastAsia="zh-CN"/>
        </w:rPr>
      </w:pPr>
    </w:p>
    <w:p>
      <w:pPr>
        <w:pStyle w:val="2"/>
        <w:jc w:val="center"/>
        <w:rPr>
          <w:rFonts w:hint="eastAsia"/>
          <w:lang w:eastAsia="zh-CN"/>
        </w:rPr>
      </w:pPr>
      <w:r>
        <w:rPr>
          <w:rFonts w:hint="eastAsia"/>
          <w:lang w:eastAsia="zh-CN"/>
        </w:rPr>
        <w:t>（格式自拟）</w:t>
      </w:r>
    </w:p>
    <w:p>
      <w:pPr>
        <w:pStyle w:val="6"/>
        <w:numPr>
          <w:ilvl w:val="0"/>
          <w:numId w:val="63"/>
        </w:numPr>
        <w:rPr>
          <w:sz w:val="28"/>
          <w:szCs w:val="13"/>
        </w:rPr>
      </w:pPr>
      <w:r>
        <w:rPr>
          <w:rFonts w:ascii="宋体" w:hAnsi="宋体"/>
          <w:color w:val="000000"/>
          <w:sz w:val="28"/>
          <w:szCs w:val="28"/>
        </w:rPr>
        <w:br w:type="page"/>
      </w:r>
      <w:bookmarkStart w:id="84" w:name="_Toc477795018"/>
      <w:bookmarkStart w:id="85" w:name="_Toc718"/>
      <w:bookmarkStart w:id="86" w:name="_Toc12588"/>
      <w:r>
        <w:rPr>
          <w:rFonts w:hint="eastAsia"/>
        </w:rPr>
        <w:t>类似项目业绩</w:t>
      </w:r>
      <w:bookmarkEnd w:id="84"/>
      <w:bookmarkEnd w:id="85"/>
      <w:bookmarkEnd w:id="86"/>
    </w:p>
    <w:p>
      <w:pPr>
        <w:autoSpaceDE w:val="0"/>
        <w:autoSpaceDN w:val="0"/>
        <w:adjustRightInd w:val="0"/>
        <w:spacing w:line="360" w:lineRule="auto"/>
        <w:jc w:val="center"/>
        <w:rPr>
          <w:rFonts w:ascii="宋体" w:hAnsi="宋体"/>
          <w:color w:val="000000"/>
          <w:kern w:val="0"/>
          <w:sz w:val="28"/>
          <w:szCs w:val="28"/>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项目名称</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项目所在地</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需方名称</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需方地址</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需方电话</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合同价格</w:t>
            </w:r>
          </w:p>
        </w:tc>
        <w:tc>
          <w:tcPr>
            <w:tcW w:w="6258" w:type="dxa"/>
          </w:tcPr>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rPr>
                <w:rFonts w:ascii="宋体" w:hAnsi="宋体" w:cs="宋体"/>
                <w:b/>
                <w:color w:val="000000"/>
                <w:sz w:val="24"/>
              </w:rPr>
            </w:pPr>
            <w:r>
              <w:rPr>
                <w:rFonts w:hint="eastAsia" w:ascii="宋体" w:hAnsi="宋体" w:cs="宋体"/>
                <w:b/>
                <w:color w:val="000000"/>
                <w:sz w:val="24"/>
              </w:rPr>
              <w:t>主要内容</w:t>
            </w:r>
          </w:p>
        </w:tc>
        <w:tc>
          <w:tcPr>
            <w:tcW w:w="6258" w:type="dxa"/>
          </w:tcPr>
          <w:p>
            <w:pPr>
              <w:topLinePunct/>
              <w:spacing w:line="440" w:lineRule="exact"/>
              <w:ind w:left="1470"/>
              <w:rPr>
                <w:rFonts w:ascii="宋体" w:hAnsi="宋体" w:cs="宋体"/>
                <w:b/>
                <w:color w:val="000000"/>
                <w:sz w:val="24"/>
              </w:rPr>
            </w:pPr>
          </w:p>
          <w:p>
            <w:pPr>
              <w:topLinePunct/>
              <w:spacing w:line="440" w:lineRule="exact"/>
              <w:ind w:left="1470"/>
              <w:rPr>
                <w:rFonts w:ascii="宋体" w:hAnsi="宋体" w:cs="宋体"/>
                <w:b/>
                <w:color w:val="000000"/>
                <w:sz w:val="24"/>
              </w:rPr>
            </w:pPr>
          </w:p>
          <w:p>
            <w:pPr>
              <w:topLinePunct/>
              <w:spacing w:line="440" w:lineRule="exact"/>
              <w:ind w:left="1470"/>
              <w:rPr>
                <w:rFonts w:ascii="宋体" w:hAnsi="宋体" w:cs="宋体"/>
                <w:b/>
                <w:color w:val="000000"/>
                <w:sz w:val="24"/>
              </w:rPr>
            </w:pPr>
          </w:p>
          <w:p>
            <w:pPr>
              <w:topLinePunct/>
              <w:spacing w:line="440" w:lineRule="exact"/>
              <w:ind w:left="1470"/>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70" w:type="dxa"/>
            <w:vAlign w:val="center"/>
          </w:tcPr>
          <w:p>
            <w:pPr>
              <w:rPr>
                <w:rFonts w:ascii="宋体" w:hAnsi="宋体" w:cs="宋体"/>
                <w:b/>
                <w:color w:val="000000"/>
                <w:sz w:val="24"/>
              </w:rPr>
            </w:pPr>
            <w:r>
              <w:rPr>
                <w:rFonts w:hint="eastAsia" w:ascii="宋体" w:hAnsi="宋体" w:cs="宋体"/>
                <w:b/>
                <w:color w:val="000000"/>
                <w:sz w:val="24"/>
              </w:rPr>
              <w:t>备注</w:t>
            </w:r>
          </w:p>
        </w:tc>
        <w:tc>
          <w:tcPr>
            <w:tcW w:w="6258" w:type="dxa"/>
          </w:tcPr>
          <w:p>
            <w:pPr>
              <w:spacing w:line="400" w:lineRule="exact"/>
              <w:rPr>
                <w:rFonts w:ascii="宋体" w:hAnsi="宋体" w:cs="宋体"/>
                <w:color w:val="000000"/>
                <w:sz w:val="24"/>
              </w:rPr>
            </w:pPr>
          </w:p>
        </w:tc>
      </w:tr>
    </w:tbl>
    <w:p>
      <w:pPr>
        <w:pStyle w:val="6"/>
        <w:bidi w:val="0"/>
        <w:rPr>
          <w:sz w:val="28"/>
          <w:szCs w:val="13"/>
        </w:rPr>
      </w:pPr>
      <w:r>
        <w:rPr>
          <w:rFonts w:ascii="宋体" w:hAnsi="宋体"/>
          <w:color w:val="000000"/>
          <w:sz w:val="28"/>
          <w:szCs w:val="28"/>
        </w:rPr>
        <w:br w:type="page"/>
      </w:r>
      <w:bookmarkStart w:id="87" w:name="_Toc10236"/>
      <w:bookmarkStart w:id="88" w:name="_Toc9572"/>
      <w:r>
        <w:rPr>
          <w:rFonts w:hint="eastAsia" w:ascii="宋体" w:hAnsi="宋体"/>
          <w:color w:val="000000"/>
          <w:sz w:val="28"/>
          <w:szCs w:val="28"/>
          <w:lang w:val="en-US" w:eastAsia="zh-CN"/>
        </w:rPr>
        <w:t>11、</w:t>
      </w:r>
      <w:r>
        <w:rPr>
          <w:rFonts w:hint="eastAsia"/>
          <w:sz w:val="28"/>
          <w:szCs w:val="13"/>
        </w:rPr>
        <w:t>拟派至本项目专业人员配备一览表</w:t>
      </w:r>
      <w:bookmarkEnd w:id="87"/>
      <w:bookmarkEnd w:id="88"/>
    </w:p>
    <w:p>
      <w:pPr>
        <w:spacing w:line="480" w:lineRule="exact"/>
        <w:rPr>
          <w:rFonts w:ascii="宋体" w:cs="宋体"/>
          <w:kern w:val="0"/>
          <w:sz w:val="24"/>
          <w:szCs w:val="28"/>
        </w:rPr>
      </w:pPr>
      <w:r>
        <w:rPr>
          <w:rFonts w:hint="eastAsia" w:ascii="宋体" w:cs="宋体"/>
          <w:kern w:val="0"/>
          <w:sz w:val="24"/>
          <w:szCs w:val="28"/>
        </w:rPr>
        <w:t>项目名称：</w:t>
      </w:r>
    </w:p>
    <w:p>
      <w:pPr>
        <w:pStyle w:val="8"/>
        <w:ind w:firstLine="0"/>
        <w:rPr>
          <w:rFonts w:ascii="宋体" w:hAnsi="宋体"/>
          <w:color w:val="000000"/>
          <w:sz w:val="24"/>
          <w:szCs w:val="24"/>
        </w:rPr>
      </w:pPr>
      <w:r>
        <w:rPr>
          <w:rFonts w:hint="eastAsia" w:ascii="宋体" w:hAnsi="宋体"/>
          <w:color w:val="000000"/>
          <w:sz w:val="24"/>
          <w:szCs w:val="24"/>
        </w:rPr>
        <w:t>招标编号：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3"/>
        <w:gridCol w:w="823"/>
        <w:gridCol w:w="825"/>
        <w:gridCol w:w="1192"/>
        <w:gridCol w:w="1192"/>
        <w:gridCol w:w="1192"/>
        <w:gridCol w:w="119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23" w:type="dxa"/>
            <w:vMerge w:val="restart"/>
            <w:vAlign w:val="center"/>
          </w:tcPr>
          <w:p>
            <w:pPr>
              <w:spacing w:line="480" w:lineRule="exact"/>
              <w:jc w:val="center"/>
              <w:rPr>
                <w:rFonts w:ascii="宋体" w:cs="宋体"/>
                <w:kern w:val="0"/>
                <w:sz w:val="24"/>
              </w:rPr>
            </w:pPr>
            <w:r>
              <w:rPr>
                <w:rFonts w:hint="eastAsia" w:ascii="宋体" w:cs="宋体"/>
                <w:kern w:val="0"/>
                <w:sz w:val="24"/>
              </w:rPr>
              <w:t>序号</w:t>
            </w:r>
          </w:p>
        </w:tc>
        <w:tc>
          <w:tcPr>
            <w:tcW w:w="823" w:type="dxa"/>
            <w:vMerge w:val="restart"/>
            <w:vAlign w:val="center"/>
          </w:tcPr>
          <w:p>
            <w:pPr>
              <w:spacing w:line="480" w:lineRule="exact"/>
              <w:jc w:val="center"/>
              <w:rPr>
                <w:rFonts w:ascii="宋体" w:cs="宋体"/>
                <w:kern w:val="0"/>
                <w:sz w:val="24"/>
              </w:rPr>
            </w:pPr>
            <w:r>
              <w:rPr>
                <w:rFonts w:hint="eastAsia" w:ascii="宋体" w:cs="宋体"/>
                <w:kern w:val="0"/>
                <w:sz w:val="24"/>
              </w:rPr>
              <w:t>职务</w:t>
            </w:r>
          </w:p>
        </w:tc>
        <w:tc>
          <w:tcPr>
            <w:tcW w:w="823" w:type="dxa"/>
            <w:vMerge w:val="restart"/>
            <w:vAlign w:val="center"/>
          </w:tcPr>
          <w:p>
            <w:pPr>
              <w:spacing w:line="480" w:lineRule="exact"/>
              <w:jc w:val="center"/>
              <w:rPr>
                <w:rFonts w:ascii="宋体" w:cs="宋体"/>
                <w:kern w:val="0"/>
                <w:sz w:val="24"/>
              </w:rPr>
            </w:pPr>
            <w:r>
              <w:rPr>
                <w:rFonts w:hint="eastAsia" w:ascii="宋体" w:cs="宋体"/>
                <w:kern w:val="0"/>
                <w:sz w:val="24"/>
              </w:rPr>
              <w:t>姓名</w:t>
            </w:r>
          </w:p>
        </w:tc>
        <w:tc>
          <w:tcPr>
            <w:tcW w:w="825" w:type="dxa"/>
            <w:vMerge w:val="restart"/>
            <w:vAlign w:val="center"/>
          </w:tcPr>
          <w:p>
            <w:pPr>
              <w:spacing w:line="480" w:lineRule="exact"/>
              <w:jc w:val="center"/>
              <w:rPr>
                <w:rFonts w:ascii="宋体" w:cs="宋体"/>
                <w:kern w:val="0"/>
                <w:sz w:val="24"/>
              </w:rPr>
            </w:pPr>
            <w:r>
              <w:rPr>
                <w:rFonts w:hint="eastAsia" w:ascii="宋体" w:cs="宋体"/>
                <w:kern w:val="0"/>
                <w:sz w:val="24"/>
              </w:rPr>
              <w:t>职称</w:t>
            </w:r>
          </w:p>
        </w:tc>
        <w:tc>
          <w:tcPr>
            <w:tcW w:w="5965" w:type="dxa"/>
            <w:gridSpan w:val="5"/>
            <w:vAlign w:val="center"/>
          </w:tcPr>
          <w:p>
            <w:pPr>
              <w:spacing w:line="480" w:lineRule="exact"/>
              <w:jc w:val="center"/>
              <w:rPr>
                <w:rFonts w:ascii="宋体" w:cs="宋体"/>
                <w:kern w:val="0"/>
                <w:sz w:val="24"/>
              </w:rPr>
            </w:pPr>
            <w:r>
              <w:rPr>
                <w:rFonts w:hint="eastAsia" w:ascii="宋体" w:cs="宋体"/>
                <w:kern w:val="0"/>
                <w:sz w:val="24"/>
              </w:rPr>
              <w:t>相关资格证明（如有）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823" w:type="dxa"/>
            <w:vMerge w:val="continue"/>
          </w:tcPr>
          <w:p>
            <w:pPr>
              <w:spacing w:line="480" w:lineRule="exact"/>
              <w:rPr>
                <w:rFonts w:ascii="宋体" w:cs="宋体"/>
                <w:kern w:val="0"/>
                <w:sz w:val="24"/>
              </w:rPr>
            </w:pPr>
          </w:p>
        </w:tc>
        <w:tc>
          <w:tcPr>
            <w:tcW w:w="823" w:type="dxa"/>
            <w:vMerge w:val="continue"/>
          </w:tcPr>
          <w:p>
            <w:pPr>
              <w:spacing w:line="480" w:lineRule="exact"/>
              <w:rPr>
                <w:rFonts w:ascii="宋体" w:cs="宋体"/>
                <w:kern w:val="0"/>
                <w:sz w:val="24"/>
              </w:rPr>
            </w:pPr>
          </w:p>
        </w:tc>
        <w:tc>
          <w:tcPr>
            <w:tcW w:w="823" w:type="dxa"/>
            <w:vMerge w:val="continue"/>
          </w:tcPr>
          <w:p>
            <w:pPr>
              <w:spacing w:line="480" w:lineRule="exact"/>
              <w:rPr>
                <w:rFonts w:ascii="宋体" w:cs="宋体"/>
                <w:kern w:val="0"/>
                <w:sz w:val="24"/>
              </w:rPr>
            </w:pPr>
          </w:p>
        </w:tc>
        <w:tc>
          <w:tcPr>
            <w:tcW w:w="825" w:type="dxa"/>
            <w:vMerge w:val="continue"/>
          </w:tcPr>
          <w:p>
            <w:pPr>
              <w:spacing w:line="480" w:lineRule="exact"/>
              <w:rPr>
                <w:rFonts w:ascii="宋体" w:cs="宋体"/>
                <w:kern w:val="0"/>
                <w:sz w:val="24"/>
              </w:rPr>
            </w:pPr>
          </w:p>
        </w:tc>
        <w:tc>
          <w:tcPr>
            <w:tcW w:w="1192" w:type="dxa"/>
            <w:vAlign w:val="center"/>
          </w:tcPr>
          <w:p>
            <w:pPr>
              <w:spacing w:line="480" w:lineRule="exact"/>
              <w:jc w:val="center"/>
              <w:rPr>
                <w:rFonts w:ascii="宋体" w:cs="宋体"/>
                <w:kern w:val="0"/>
                <w:sz w:val="24"/>
              </w:rPr>
            </w:pPr>
            <w:r>
              <w:rPr>
                <w:rFonts w:hint="eastAsia" w:ascii="宋体" w:cs="宋体"/>
                <w:kern w:val="0"/>
                <w:sz w:val="24"/>
              </w:rPr>
              <w:t>证书</w:t>
            </w:r>
          </w:p>
          <w:p>
            <w:pPr>
              <w:spacing w:line="480" w:lineRule="exact"/>
              <w:jc w:val="center"/>
              <w:rPr>
                <w:rFonts w:ascii="宋体" w:cs="宋体"/>
                <w:kern w:val="0"/>
                <w:sz w:val="24"/>
              </w:rPr>
            </w:pPr>
            <w:r>
              <w:rPr>
                <w:rFonts w:hint="eastAsia" w:ascii="宋体" w:cs="宋体"/>
                <w:kern w:val="0"/>
                <w:sz w:val="24"/>
              </w:rPr>
              <w:t>名称</w:t>
            </w:r>
          </w:p>
        </w:tc>
        <w:tc>
          <w:tcPr>
            <w:tcW w:w="1192" w:type="dxa"/>
            <w:vAlign w:val="center"/>
          </w:tcPr>
          <w:p>
            <w:pPr>
              <w:spacing w:line="480" w:lineRule="exact"/>
              <w:jc w:val="center"/>
              <w:rPr>
                <w:rFonts w:ascii="宋体" w:cs="宋体"/>
                <w:kern w:val="0"/>
                <w:sz w:val="24"/>
              </w:rPr>
            </w:pPr>
            <w:r>
              <w:rPr>
                <w:rFonts w:hint="eastAsia" w:ascii="宋体" w:cs="宋体"/>
                <w:kern w:val="0"/>
                <w:sz w:val="24"/>
              </w:rPr>
              <w:t>级别</w:t>
            </w:r>
          </w:p>
        </w:tc>
        <w:tc>
          <w:tcPr>
            <w:tcW w:w="1192" w:type="dxa"/>
            <w:vAlign w:val="center"/>
          </w:tcPr>
          <w:p>
            <w:pPr>
              <w:spacing w:line="480" w:lineRule="exact"/>
              <w:jc w:val="center"/>
              <w:rPr>
                <w:rFonts w:ascii="宋体" w:cs="宋体"/>
                <w:kern w:val="0"/>
                <w:sz w:val="24"/>
              </w:rPr>
            </w:pPr>
            <w:r>
              <w:rPr>
                <w:rFonts w:hint="eastAsia" w:ascii="宋体" w:cs="宋体"/>
                <w:kern w:val="0"/>
                <w:sz w:val="24"/>
              </w:rPr>
              <w:t>证号</w:t>
            </w:r>
          </w:p>
        </w:tc>
        <w:tc>
          <w:tcPr>
            <w:tcW w:w="1192" w:type="dxa"/>
            <w:vAlign w:val="center"/>
          </w:tcPr>
          <w:p>
            <w:pPr>
              <w:spacing w:line="480" w:lineRule="exact"/>
              <w:jc w:val="center"/>
              <w:rPr>
                <w:rFonts w:ascii="宋体" w:cs="宋体"/>
                <w:kern w:val="0"/>
                <w:sz w:val="24"/>
              </w:rPr>
            </w:pPr>
            <w:r>
              <w:rPr>
                <w:rFonts w:hint="eastAsia" w:ascii="宋体" w:cs="宋体"/>
                <w:kern w:val="0"/>
                <w:sz w:val="24"/>
              </w:rPr>
              <w:t>专业</w:t>
            </w:r>
          </w:p>
        </w:tc>
        <w:tc>
          <w:tcPr>
            <w:tcW w:w="1197" w:type="dxa"/>
            <w:vAlign w:val="center"/>
          </w:tcPr>
          <w:p>
            <w:pPr>
              <w:spacing w:line="480" w:lineRule="exact"/>
              <w:jc w:val="center"/>
              <w:rPr>
                <w:rFonts w:ascii="宋体" w:cs="宋体"/>
                <w:kern w:val="0"/>
                <w:sz w:val="24"/>
              </w:rPr>
            </w:pPr>
            <w:r>
              <w:rPr>
                <w:rFonts w:hint="eastAsia" w:ascii="宋体" w:cs="宋体"/>
                <w:kern w:val="0"/>
                <w:sz w:val="24"/>
              </w:rPr>
              <w:t>专业年限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823" w:type="dxa"/>
          </w:tcPr>
          <w:p>
            <w:pPr>
              <w:spacing w:line="480" w:lineRule="exact"/>
              <w:rPr>
                <w:rFonts w:ascii="宋体" w:cs="宋体"/>
                <w:kern w:val="0"/>
                <w:sz w:val="24"/>
              </w:rPr>
            </w:pPr>
          </w:p>
        </w:tc>
        <w:tc>
          <w:tcPr>
            <w:tcW w:w="823" w:type="dxa"/>
          </w:tcPr>
          <w:p>
            <w:pPr>
              <w:spacing w:line="276" w:lineRule="auto"/>
              <w:rPr>
                <w:rFonts w:ascii="宋体" w:cs="宋体"/>
                <w:kern w:val="0"/>
                <w:sz w:val="24"/>
              </w:rPr>
            </w:pPr>
          </w:p>
        </w:tc>
        <w:tc>
          <w:tcPr>
            <w:tcW w:w="823" w:type="dxa"/>
          </w:tcPr>
          <w:p>
            <w:pPr>
              <w:spacing w:line="276" w:lineRule="auto"/>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823" w:type="dxa"/>
          </w:tcPr>
          <w:p>
            <w:pPr>
              <w:spacing w:line="480" w:lineRule="exact"/>
              <w:rPr>
                <w:rFonts w:ascii="宋体" w:cs="宋体"/>
                <w:kern w:val="0"/>
                <w:sz w:val="24"/>
              </w:rPr>
            </w:pPr>
          </w:p>
        </w:tc>
        <w:tc>
          <w:tcPr>
            <w:tcW w:w="823" w:type="dxa"/>
          </w:tcPr>
          <w:p>
            <w:pPr>
              <w:spacing w:line="480" w:lineRule="exact"/>
              <w:rPr>
                <w:rFonts w:ascii="宋体" w:cs="宋体"/>
                <w:kern w:val="0"/>
                <w:sz w:val="24"/>
              </w:rPr>
            </w:pPr>
          </w:p>
        </w:tc>
        <w:tc>
          <w:tcPr>
            <w:tcW w:w="823" w:type="dxa"/>
          </w:tcPr>
          <w:p>
            <w:pPr>
              <w:spacing w:line="480" w:lineRule="exact"/>
              <w:rPr>
                <w:rFonts w:ascii="宋体" w:cs="宋体"/>
                <w:kern w:val="0"/>
                <w:sz w:val="24"/>
              </w:rPr>
            </w:pPr>
          </w:p>
        </w:tc>
        <w:tc>
          <w:tcPr>
            <w:tcW w:w="825" w:type="dxa"/>
          </w:tcPr>
          <w:p>
            <w:pPr>
              <w:spacing w:line="276" w:lineRule="auto"/>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2" w:type="dxa"/>
          </w:tcPr>
          <w:p>
            <w:pPr>
              <w:spacing w:line="480" w:lineRule="exact"/>
              <w:rPr>
                <w:rFonts w:ascii="宋体" w:cs="宋体"/>
                <w:kern w:val="0"/>
                <w:sz w:val="24"/>
              </w:rPr>
            </w:pPr>
          </w:p>
        </w:tc>
        <w:tc>
          <w:tcPr>
            <w:tcW w:w="1197" w:type="dxa"/>
          </w:tcPr>
          <w:p>
            <w:pPr>
              <w:spacing w:line="480" w:lineRule="exact"/>
              <w:rPr>
                <w:rFonts w:ascii="宋体" w:cs="宋体"/>
                <w:kern w:val="0"/>
                <w:sz w:val="24"/>
              </w:rPr>
            </w:pPr>
          </w:p>
        </w:tc>
      </w:tr>
    </w:tbl>
    <w:p>
      <w:pPr>
        <w:spacing w:line="480" w:lineRule="exact"/>
        <w:rPr>
          <w:rFonts w:ascii="宋体" w:cs="宋体"/>
          <w:kern w:val="0"/>
          <w:sz w:val="22"/>
        </w:rPr>
      </w:pPr>
      <w:r>
        <w:rPr>
          <w:rFonts w:hint="eastAsia" w:ascii="宋体" w:cs="宋体"/>
          <w:kern w:val="0"/>
          <w:sz w:val="22"/>
        </w:rPr>
        <w:t>注：需在此表后附相关证件（如有），此表供应商可自行添加。</w:t>
      </w:r>
    </w:p>
    <w:p>
      <w:pPr>
        <w:ind w:right="2"/>
        <w:rPr>
          <w:rFonts w:ascii="宋体" w:hAnsi="宋体" w:cs="宋体"/>
          <w:sz w:val="24"/>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pStyle w:val="8"/>
        <w:spacing w:line="360" w:lineRule="auto"/>
        <w:ind w:firstLine="0"/>
        <w:rPr>
          <w:rFonts w:hint="eastAsia" w:ascii="宋体" w:hAnsi="宋体" w:eastAsia="宋体"/>
          <w:color w:val="000000"/>
          <w:sz w:val="24"/>
          <w:lang w:eastAsia="zh-CN"/>
        </w:rPr>
      </w:pPr>
      <w:r>
        <w:rPr>
          <w:rFonts w:hint="eastAsia" w:ascii="宋体" w:hAnsi="宋体"/>
          <w:color w:val="000000"/>
          <w:sz w:val="24"/>
        </w:rPr>
        <w:t>法定代表人（个人电子签章或盖章或签字）</w:t>
      </w:r>
      <w:r>
        <w:rPr>
          <w:rFonts w:hint="eastAsia" w:ascii="宋体" w:hAnsi="宋体"/>
          <w:color w:val="000000"/>
          <w:sz w:val="24"/>
          <w:lang w:eastAsia="zh-CN"/>
        </w:rPr>
        <w:t>：</w:t>
      </w:r>
    </w:p>
    <w:p>
      <w:pPr>
        <w:pStyle w:val="8"/>
        <w:spacing w:line="360" w:lineRule="auto"/>
        <w:ind w:firstLine="0"/>
        <w:rPr>
          <w:rFonts w:hint="eastAsia" w:ascii="宋体" w:hAnsi="宋体" w:eastAsia="宋体"/>
          <w:color w:val="000000"/>
          <w:sz w:val="24"/>
          <w:lang w:val="en-US" w:eastAsia="zh-CN"/>
        </w:rPr>
      </w:pPr>
      <w:r>
        <w:rPr>
          <w:rFonts w:hint="eastAsia" w:ascii="宋体" w:hAnsi="宋体"/>
          <w:color w:val="000000"/>
          <w:sz w:val="24"/>
          <w:lang w:eastAsia="zh-CN"/>
        </w:rPr>
        <w:t>日</w:t>
      </w:r>
      <w:r>
        <w:rPr>
          <w:rFonts w:hint="eastAsia" w:ascii="宋体" w:hAnsi="宋体"/>
          <w:color w:val="000000"/>
          <w:sz w:val="24"/>
          <w:lang w:val="en-US" w:eastAsia="zh-CN"/>
        </w:rPr>
        <w:t xml:space="preserve">  </w:t>
      </w:r>
      <w:r>
        <w:rPr>
          <w:rFonts w:hint="eastAsia" w:ascii="宋体" w:hAnsi="宋体"/>
          <w:color w:val="000000"/>
          <w:sz w:val="24"/>
          <w:lang w:eastAsia="zh-CN"/>
        </w:rPr>
        <w:t>期：</w:t>
      </w:r>
    </w:p>
    <w:p>
      <w:pPr>
        <w:pStyle w:val="2"/>
        <w:ind w:firstLine="241"/>
        <w:rPr>
          <w:rFonts w:ascii="宋体" w:hAnsi="宋体" w:cs="宋体"/>
          <w:b/>
          <w:color w:val="000000"/>
          <w:highlight w:val="yellow"/>
        </w:rPr>
      </w:pPr>
    </w:p>
    <w:p>
      <w:pPr>
        <w:bidi w:val="0"/>
      </w:pPr>
    </w:p>
    <w:p>
      <w:pPr>
        <w:pStyle w:val="2"/>
        <w:rPr>
          <w:rFonts w:ascii="宋体" w:hAnsi="宋体" w:cs="宋体"/>
          <w:b/>
          <w:color w:val="000000"/>
          <w:sz w:val="24"/>
          <w:highlight w:val="yellow"/>
        </w:rPr>
      </w:pPr>
    </w:p>
    <w:p>
      <w:pPr>
        <w:pStyle w:val="2"/>
        <w:rPr>
          <w:rFonts w:ascii="宋体" w:hAnsi="宋体" w:cs="宋体"/>
          <w:b/>
          <w:color w:val="000000"/>
          <w:sz w:val="24"/>
          <w:highlight w:val="yellow"/>
        </w:rPr>
      </w:pPr>
    </w:p>
    <w:p>
      <w:pPr>
        <w:pStyle w:val="2"/>
        <w:rPr>
          <w:rFonts w:ascii="宋体" w:hAnsi="宋体" w:cs="宋体"/>
          <w:b/>
          <w:color w:val="000000"/>
          <w:sz w:val="24"/>
          <w:highlight w:val="yellow"/>
        </w:rPr>
      </w:pPr>
    </w:p>
    <w:p>
      <w:pPr>
        <w:pStyle w:val="2"/>
        <w:ind w:firstLine="0"/>
        <w:rPr>
          <w:rFonts w:ascii="宋体" w:hAnsi="宋体" w:cs="宋体"/>
          <w:b/>
          <w:color w:val="000000"/>
          <w:sz w:val="24"/>
          <w:highlight w:val="yellow"/>
        </w:rPr>
      </w:pPr>
    </w:p>
    <w:p>
      <w:pPr>
        <w:pStyle w:val="6"/>
        <w:ind w:left="420" w:firstLine="0"/>
      </w:pPr>
      <w:bookmarkStart w:id="89" w:name="_Toc3124"/>
      <w:r>
        <w:rPr>
          <w:rFonts w:hint="eastAsia"/>
        </w:rPr>
        <w:t>1</w:t>
      </w:r>
      <w:r>
        <w:rPr>
          <w:rFonts w:hint="eastAsia"/>
          <w:lang w:val="en-US" w:eastAsia="zh-CN"/>
        </w:rPr>
        <w:t>2</w:t>
      </w:r>
      <w:r>
        <w:rPr>
          <w:rFonts w:hint="eastAsia"/>
        </w:rPr>
        <w:t>. 设计方案</w:t>
      </w:r>
      <w:bookmarkEnd w:id="89"/>
    </w:p>
    <w:p>
      <w:pPr>
        <w:spacing w:line="360" w:lineRule="auto"/>
        <w:rPr>
          <w:color w:val="FF0000"/>
        </w:rPr>
      </w:pPr>
      <w:r>
        <w:rPr>
          <w:rFonts w:hint="eastAsia" w:ascii="宋体" w:hAnsi="宋体"/>
          <w:color w:val="000000"/>
          <w:sz w:val="24"/>
        </w:rPr>
        <w:t>由投标人自行提供，格式不限。</w:t>
      </w:r>
    </w:p>
    <w:p>
      <w:pPr>
        <w:autoSpaceDE w:val="0"/>
        <w:autoSpaceDN w:val="0"/>
        <w:adjustRightInd w:val="0"/>
        <w:spacing w:line="360" w:lineRule="auto"/>
        <w:jc w:val="center"/>
        <w:rPr>
          <w:rFonts w:ascii="宋体" w:hAnsi="宋体"/>
          <w:color w:val="000000"/>
          <w:kern w:val="0"/>
          <w:sz w:val="28"/>
          <w:szCs w:val="28"/>
        </w:rPr>
      </w:pPr>
      <w:r>
        <w:rPr>
          <w:rFonts w:ascii="宋体" w:hAnsi="宋体"/>
          <w:color w:val="000000"/>
          <w:kern w:val="0"/>
          <w:sz w:val="28"/>
          <w:szCs w:val="28"/>
        </w:rPr>
        <w:br w:type="page"/>
      </w:r>
    </w:p>
    <w:p>
      <w:pPr>
        <w:pStyle w:val="6"/>
        <w:ind w:left="420" w:firstLine="0"/>
      </w:pPr>
      <w:bookmarkStart w:id="90" w:name="_Toc5960"/>
      <w:r>
        <w:rPr>
          <w:rFonts w:hint="eastAsia"/>
        </w:rPr>
        <w:t>1</w:t>
      </w:r>
      <w:r>
        <w:rPr>
          <w:rFonts w:hint="eastAsia"/>
          <w:lang w:val="en-US" w:eastAsia="zh-CN"/>
        </w:rPr>
        <w:t>3</w:t>
      </w:r>
      <w:r>
        <w:rPr>
          <w:rFonts w:hint="eastAsia"/>
        </w:rPr>
        <w:t>. 安装实施方案</w:t>
      </w:r>
      <w:bookmarkEnd w:id="90"/>
    </w:p>
    <w:p>
      <w:pPr>
        <w:spacing w:line="360" w:lineRule="auto"/>
      </w:pPr>
      <w:r>
        <w:rPr>
          <w:rFonts w:hint="eastAsia" w:ascii="宋体" w:hAnsi="宋体"/>
          <w:color w:val="000000"/>
          <w:sz w:val="24"/>
        </w:rPr>
        <w:t>由投标人自行提供，格式不限。</w:t>
      </w:r>
    </w:p>
    <w:p>
      <w:pPr>
        <w:autoSpaceDE w:val="0"/>
        <w:autoSpaceDN w:val="0"/>
        <w:adjustRightInd w:val="0"/>
        <w:spacing w:line="360" w:lineRule="auto"/>
        <w:jc w:val="center"/>
        <w:rPr>
          <w:rFonts w:ascii="宋体" w:hAnsi="宋体"/>
          <w:color w:val="000000"/>
          <w:kern w:val="0"/>
          <w:sz w:val="28"/>
          <w:szCs w:val="28"/>
        </w:rPr>
      </w:pPr>
      <w:r>
        <w:rPr>
          <w:rFonts w:ascii="宋体" w:hAnsi="宋体"/>
          <w:color w:val="000000"/>
          <w:kern w:val="0"/>
          <w:sz w:val="28"/>
          <w:szCs w:val="28"/>
        </w:rPr>
        <w:br w:type="page"/>
      </w:r>
    </w:p>
    <w:p>
      <w:pPr>
        <w:pStyle w:val="6"/>
        <w:ind w:left="420" w:firstLine="0"/>
      </w:pPr>
      <w:bookmarkStart w:id="91" w:name="_Toc22963"/>
      <w:r>
        <w:rPr>
          <w:rFonts w:hint="eastAsia"/>
        </w:rPr>
        <w:t>1</w:t>
      </w:r>
      <w:r>
        <w:rPr>
          <w:rFonts w:hint="eastAsia"/>
          <w:lang w:val="en-US" w:eastAsia="zh-CN"/>
        </w:rPr>
        <w:t>4</w:t>
      </w:r>
      <w:r>
        <w:rPr>
          <w:rFonts w:hint="eastAsia"/>
        </w:rPr>
        <w:t>. 中小企业声明函</w:t>
      </w:r>
      <w:bookmarkEnd w:id="91"/>
    </w:p>
    <w:p>
      <w:pPr>
        <w:spacing w:line="588" w:lineRule="exact"/>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w:t>
      </w:r>
      <w:bookmarkStart w:id="92" w:name="OLE_LINK5"/>
      <w:r>
        <w:rPr>
          <w:rFonts w:hint="eastAsia" w:ascii="宋体" w:hAnsi="宋体"/>
          <w:color w:val="000000"/>
          <w:spacing w:val="6"/>
          <w:sz w:val="24"/>
        </w:rPr>
        <w:t>______（请填写：中型、小型、微型）企业</w:t>
      </w:r>
      <w:bookmarkEnd w:id="92"/>
      <w:r>
        <w:rPr>
          <w:rFonts w:hint="eastAsia" w:ascii="宋体" w:hAnsi="宋体"/>
          <w:color w:val="000000"/>
          <w:spacing w:val="6"/>
          <w:sz w:val="24"/>
        </w:rPr>
        <w:t>。即，本公司同时满足以下条件：</w:t>
      </w:r>
    </w:p>
    <w:p>
      <w:pPr>
        <w:spacing w:line="588" w:lineRule="exact"/>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spacing w:line="588" w:lineRule="exact"/>
        <w:ind w:firstLine="504" w:firstLineChars="200"/>
        <w:rPr>
          <w:rFonts w:ascii="宋体" w:hAnsi="宋体"/>
          <w:color w:val="000000"/>
          <w:spacing w:val="6"/>
          <w:sz w:val="24"/>
        </w:rPr>
      </w:pPr>
    </w:p>
    <w:p>
      <w:pPr>
        <w:spacing w:line="360" w:lineRule="auto"/>
        <w:rPr>
          <w:rFonts w:ascii="宋体" w:hAnsi="宋体"/>
          <w:color w:val="000000"/>
          <w:sz w:val="24"/>
        </w:rPr>
      </w:pP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autoSpaceDE w:val="0"/>
        <w:autoSpaceDN w:val="0"/>
        <w:adjustRightInd w:val="0"/>
        <w:spacing w:line="360" w:lineRule="auto"/>
        <w:rPr>
          <w:rFonts w:ascii="宋体" w:hAnsi="宋体"/>
          <w:color w:val="000000"/>
          <w:spacing w:val="6"/>
          <w:sz w:val="24"/>
        </w:rPr>
      </w:pPr>
      <w:r>
        <w:rPr>
          <w:rFonts w:hint="eastAsia" w:ascii="宋体" w:hAnsi="宋体"/>
          <w:color w:val="000000"/>
          <w:spacing w:val="6"/>
          <w:sz w:val="24"/>
        </w:rPr>
        <w:t>日    期：</w:t>
      </w:r>
    </w:p>
    <w:p>
      <w:pPr>
        <w:spacing w:line="360" w:lineRule="auto"/>
        <w:rPr>
          <w:color w:val="000000"/>
          <w:sz w:val="24"/>
        </w:rPr>
      </w:pPr>
      <w:r>
        <w:rPr>
          <w:rFonts w:hint="eastAsia"/>
          <w:color w:val="000000"/>
          <w:sz w:val="24"/>
        </w:rPr>
        <w:t>说明：</w:t>
      </w:r>
    </w:p>
    <w:p>
      <w:pPr>
        <w:spacing w:line="360" w:lineRule="auto"/>
        <w:rPr>
          <w:color w:val="000000"/>
          <w:sz w:val="24"/>
        </w:rPr>
      </w:pPr>
      <w:r>
        <w:rPr>
          <w:rFonts w:hint="eastAsia"/>
          <w:color w:val="000000"/>
          <w:sz w:val="24"/>
        </w:rPr>
        <w:t>1、该声明函是针对小、微型企业的，非小型、微型企业投标时不用提供该声明。</w:t>
      </w:r>
    </w:p>
    <w:p>
      <w:pPr>
        <w:spacing w:line="360" w:lineRule="auto"/>
        <w:rPr>
          <w:color w:val="000000"/>
          <w:sz w:val="24"/>
        </w:rPr>
      </w:pPr>
      <w:r>
        <w:rPr>
          <w:rFonts w:hint="eastAsia"/>
          <w:color w:val="000000"/>
          <w:sz w:val="24"/>
        </w:rPr>
        <w:t>2、根据《政府采购促进中小企业发展暂行办法》(财库[2011]181 号)的规定，对于非专门面向中小企业的项目，对小型和微型企业产品的价格给予6%的扣除，用扣除后的价格参与评审。</w:t>
      </w:r>
    </w:p>
    <w:p>
      <w:pPr>
        <w:spacing w:afterLines="100"/>
        <w:jc w:val="center"/>
        <w:rPr>
          <w:color w:val="000000"/>
          <w:sz w:val="24"/>
        </w:rPr>
      </w:pPr>
      <w:r>
        <w:rPr>
          <w:color w:val="000000"/>
          <w:sz w:val="24"/>
        </w:rPr>
        <w:br w:type="page"/>
      </w:r>
      <w:bookmarkStart w:id="93" w:name="OLE_LINK13"/>
      <w:bookmarkStart w:id="94" w:name="OLE_LINK14"/>
    </w:p>
    <w:p>
      <w:pPr>
        <w:pStyle w:val="6"/>
        <w:ind w:left="420" w:firstLine="0"/>
      </w:pPr>
      <w:bookmarkStart w:id="95" w:name="_Toc16619"/>
      <w:r>
        <w:rPr>
          <w:rFonts w:hint="eastAsia"/>
        </w:rPr>
        <w:t>1</w:t>
      </w:r>
      <w:r>
        <w:rPr>
          <w:rFonts w:hint="eastAsia"/>
          <w:lang w:val="en-US" w:eastAsia="zh-CN"/>
        </w:rPr>
        <w:t>5</w:t>
      </w:r>
      <w:r>
        <w:rPr>
          <w:rFonts w:hint="eastAsia"/>
        </w:rPr>
        <w:t>.  残疾人福利性单位声明函</w:t>
      </w:r>
      <w:bookmarkEnd w:id="95"/>
    </w:p>
    <w:bookmarkEnd w:id="93"/>
    <w:bookmarkEnd w:id="94"/>
    <w:p>
      <w:pPr>
        <w:spacing w:line="588" w:lineRule="exact"/>
        <w:rPr>
          <w:rFonts w:ascii="宋体" w:hAnsi="宋体"/>
          <w:b/>
          <w:color w:val="000000"/>
          <w:spacing w:val="6"/>
          <w:sz w:val="24"/>
          <w:szCs w:val="24"/>
        </w:rPr>
      </w:pPr>
    </w:p>
    <w:p>
      <w:pPr>
        <w:spacing w:line="588" w:lineRule="exact"/>
        <w:ind w:firstLine="504" w:firstLineChars="200"/>
        <w:rPr>
          <w:rFonts w:ascii="宋体" w:hAnsi="宋体"/>
          <w:color w:val="000000"/>
          <w:spacing w:val="6"/>
          <w:sz w:val="24"/>
          <w:szCs w:val="24"/>
        </w:rPr>
      </w:pPr>
      <w:r>
        <w:rPr>
          <w:rFonts w:hint="eastAsia" w:ascii="宋体" w:hAnsi="宋体"/>
          <w:color w:val="000000"/>
          <w:spacing w:val="6"/>
          <w:sz w:val="24"/>
          <w:szCs w:val="24"/>
        </w:rPr>
        <w:t>本单位郑重声明，根据《财政部 民政部 中国残疾人联合会关于促进残疾人就业政府采购政策的通知》（财库</w:t>
      </w:r>
      <w:r>
        <w:rPr>
          <w:rFonts w:hint="eastAsia" w:ascii="宋体" w:hAnsi="宋体"/>
          <w:color w:val="000000"/>
          <w:sz w:val="24"/>
          <w:szCs w:val="24"/>
        </w:rPr>
        <w:t>〔2017〕 141</w:t>
      </w:r>
      <w:r>
        <w:rPr>
          <w:rFonts w:hint="eastAsia" w:ascii="宋体" w:hAnsi="宋体"/>
          <w:color w:val="000000"/>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000000"/>
          <w:spacing w:val="6"/>
          <w:sz w:val="24"/>
          <w:szCs w:val="24"/>
        </w:rPr>
      </w:pPr>
      <w:r>
        <w:rPr>
          <w:rFonts w:hint="eastAsia" w:ascii="宋体" w:hAnsi="宋体"/>
          <w:color w:val="000000"/>
          <w:spacing w:val="6"/>
          <w:sz w:val="24"/>
          <w:szCs w:val="24"/>
        </w:rPr>
        <w:t>本单位对上述声明的真实性负责。如有虚假，将依法承担相应责任。</w:t>
      </w:r>
    </w:p>
    <w:p>
      <w:pPr>
        <w:spacing w:line="588" w:lineRule="exact"/>
        <w:ind w:firstLine="504" w:firstLineChars="200"/>
        <w:rPr>
          <w:rFonts w:ascii="宋体" w:hAnsi="宋体"/>
          <w:color w:val="000000"/>
          <w:spacing w:val="6"/>
          <w:sz w:val="24"/>
          <w:szCs w:val="24"/>
        </w:rPr>
      </w:pPr>
    </w:p>
    <w:p>
      <w:pPr>
        <w:spacing w:line="588" w:lineRule="exact"/>
        <w:ind w:firstLine="504" w:firstLineChars="200"/>
        <w:rPr>
          <w:rFonts w:ascii="宋体" w:hAnsi="宋体"/>
          <w:color w:val="000000"/>
          <w:spacing w:val="6"/>
          <w:sz w:val="24"/>
          <w:szCs w:val="24"/>
        </w:rPr>
      </w:pPr>
    </w:p>
    <w:p>
      <w:pPr>
        <w:tabs>
          <w:tab w:val="left" w:pos="4860"/>
        </w:tabs>
        <w:spacing w:line="588" w:lineRule="exact"/>
        <w:ind w:right="1560" w:firstLine="504" w:firstLineChars="200"/>
        <w:jc w:val="center"/>
        <w:rPr>
          <w:rFonts w:ascii="宋体" w:hAnsi="宋体"/>
          <w:color w:val="000000"/>
          <w:spacing w:val="6"/>
          <w:sz w:val="24"/>
          <w:szCs w:val="24"/>
        </w:rPr>
      </w:pPr>
      <w:r>
        <w:rPr>
          <w:rFonts w:hint="eastAsia" w:ascii="宋体" w:hAnsi="宋体"/>
          <w:color w:val="000000"/>
          <w:spacing w:val="6"/>
          <w:sz w:val="24"/>
          <w:szCs w:val="24"/>
        </w:rPr>
        <w:t xml:space="preserve">               </w:t>
      </w:r>
      <w:r>
        <w:rPr>
          <w:rFonts w:hint="eastAsia" w:ascii="宋体" w:hAnsi="宋体"/>
          <w:color w:val="000000"/>
          <w:sz w:val="24"/>
        </w:rPr>
        <w:t>投标人（</w:t>
      </w:r>
      <w:r>
        <w:rPr>
          <w:rFonts w:ascii="宋体" w:hAnsi="宋体"/>
          <w:color w:val="000000"/>
          <w:sz w:val="24"/>
        </w:rPr>
        <w:t>企业电子签章</w:t>
      </w:r>
      <w:r>
        <w:rPr>
          <w:rFonts w:hint="eastAsia" w:ascii="宋体" w:hAnsi="宋体"/>
          <w:color w:val="000000"/>
          <w:sz w:val="24"/>
        </w:rPr>
        <w:t>或公章）：</w:t>
      </w:r>
    </w:p>
    <w:p>
      <w:pPr>
        <w:jc w:val="center"/>
        <w:rPr>
          <w:rFonts w:ascii="宋体" w:hAnsi="宋体"/>
          <w:color w:val="000000"/>
          <w:spacing w:val="6"/>
          <w:sz w:val="24"/>
          <w:szCs w:val="24"/>
        </w:rPr>
      </w:pPr>
      <w:r>
        <w:rPr>
          <w:rFonts w:hint="eastAsia" w:ascii="宋体" w:hAnsi="宋体"/>
          <w:color w:val="000000"/>
          <w:spacing w:val="6"/>
          <w:sz w:val="24"/>
          <w:szCs w:val="24"/>
        </w:rPr>
        <w:t>日  期：</w:t>
      </w:r>
    </w:p>
    <w:p>
      <w:pPr>
        <w:jc w:val="center"/>
        <w:rPr>
          <w:rFonts w:ascii="宋体" w:hAnsi="宋体"/>
          <w:color w:val="000000"/>
          <w:spacing w:val="6"/>
          <w:sz w:val="24"/>
          <w:szCs w:val="24"/>
        </w:rPr>
      </w:pPr>
    </w:p>
    <w:p>
      <w:pPr>
        <w:jc w:val="center"/>
        <w:rPr>
          <w:rFonts w:ascii="宋体" w:hAnsi="宋体"/>
          <w:color w:val="000000"/>
          <w:spacing w:val="6"/>
          <w:sz w:val="24"/>
          <w:szCs w:val="24"/>
        </w:rPr>
      </w:pPr>
    </w:p>
    <w:p>
      <w:pPr>
        <w:jc w:val="center"/>
        <w:rPr>
          <w:rFonts w:ascii="宋体" w:hAnsi="宋体"/>
          <w:color w:val="000000"/>
          <w:spacing w:val="6"/>
          <w:sz w:val="24"/>
          <w:szCs w:val="24"/>
        </w:rPr>
      </w:pPr>
    </w:p>
    <w:p>
      <w:pPr>
        <w:jc w:val="center"/>
        <w:rPr>
          <w:rFonts w:ascii="宋体" w:hAnsi="宋体"/>
          <w:color w:val="000000"/>
          <w:spacing w:val="6"/>
          <w:sz w:val="24"/>
          <w:szCs w:val="24"/>
        </w:rPr>
      </w:pPr>
    </w:p>
    <w:p>
      <w:pPr>
        <w:jc w:val="center"/>
        <w:rPr>
          <w:rFonts w:ascii="宋体" w:hAnsi="宋体"/>
          <w:color w:val="000000"/>
          <w:spacing w:val="6"/>
          <w:sz w:val="24"/>
          <w:szCs w:val="24"/>
        </w:rPr>
      </w:pPr>
    </w:p>
    <w:p>
      <w:pPr>
        <w:jc w:val="center"/>
        <w:rPr>
          <w:rFonts w:ascii="宋体" w:hAnsi="宋体"/>
          <w:color w:val="000000"/>
          <w:spacing w:val="6"/>
          <w:sz w:val="24"/>
          <w:szCs w:val="24"/>
        </w:rPr>
      </w:pPr>
    </w:p>
    <w:p>
      <w:pPr>
        <w:pStyle w:val="6"/>
        <w:ind w:left="420" w:firstLine="0"/>
      </w:pPr>
      <w:r>
        <w:rPr>
          <w:color w:val="000000"/>
          <w:sz w:val="24"/>
        </w:rPr>
        <w:br w:type="page"/>
      </w:r>
      <w:bookmarkStart w:id="96" w:name="_Toc8398"/>
      <w:bookmarkStart w:id="97" w:name="_Toc13192"/>
      <w:r>
        <w:rPr>
          <w:rFonts w:hint="eastAsia"/>
        </w:rPr>
        <w:t>1</w:t>
      </w:r>
      <w:r>
        <w:rPr>
          <w:rFonts w:hint="eastAsia"/>
          <w:lang w:val="en-US" w:eastAsia="zh-CN"/>
        </w:rPr>
        <w:t>6</w:t>
      </w:r>
      <w:r>
        <w:rPr>
          <w:rFonts w:hint="eastAsia"/>
        </w:rPr>
        <w:t>.其他材料</w:t>
      </w:r>
      <w:bookmarkEnd w:id="96"/>
      <w:bookmarkEnd w:id="97"/>
    </w:p>
    <w:p>
      <w:pPr>
        <w:jc w:val="center"/>
      </w:pPr>
      <w:r>
        <w:rPr>
          <w:rFonts w:hint="eastAsia"/>
        </w:rPr>
        <w:t>招标文件、评分办法中要求的如体系认证证书等其他相关材料</w:t>
      </w:r>
    </w:p>
    <w:p/>
    <w:p>
      <w:pPr>
        <w:jc w:val="center"/>
        <w:rPr>
          <w:color w:val="000000"/>
          <w:sz w:val="24"/>
        </w:rPr>
      </w:pPr>
    </w:p>
    <w:p>
      <w:pPr>
        <w:jc w:val="center"/>
        <w:rPr>
          <w:color w:val="000000"/>
          <w:sz w:val="24"/>
        </w:rPr>
      </w:pPr>
    </w:p>
    <w:p>
      <w:pPr>
        <w:spacing w:line="400" w:lineRule="exact"/>
        <w:jc w:val="left"/>
        <w:rPr>
          <w:rFonts w:ascii="宋体" w:hAnsi="宋体"/>
          <w:b/>
          <w:color w:val="000000"/>
          <w:sz w:val="30"/>
          <w:szCs w:val="24"/>
        </w:rPr>
      </w:pPr>
      <w:r>
        <w:rPr>
          <w:rFonts w:hint="eastAsia"/>
          <w:color w:val="000000"/>
          <w:sz w:val="24"/>
        </w:rPr>
        <w:br w:type="page"/>
      </w:r>
    </w:p>
    <w:p>
      <w:pPr>
        <w:pStyle w:val="5"/>
      </w:pPr>
      <w:bookmarkStart w:id="98" w:name="_Toc2004"/>
      <w:r>
        <w:rPr>
          <w:rFonts w:hint="eastAsia"/>
        </w:rPr>
        <w:t>第六章 招标项目资料表</w:t>
      </w:r>
      <w:bookmarkEnd w:id="98"/>
    </w:p>
    <w:p>
      <w:pPr>
        <w:spacing w:line="400" w:lineRule="exact"/>
        <w:rPr>
          <w:rFonts w:ascii="宋体" w:hAnsi="宋体"/>
          <w:color w:val="000000"/>
          <w:sz w:val="24"/>
          <w:szCs w:val="24"/>
        </w:rPr>
      </w:pPr>
      <w:r>
        <w:rPr>
          <w:rFonts w:hint="eastAsia" w:ascii="宋体" w:hAnsi="宋体"/>
          <w:color w:val="000000"/>
          <w:sz w:val="24"/>
          <w:szCs w:val="24"/>
        </w:rPr>
        <w:t xml:space="preserve">    本表关于要采购的货物的具体资料是对投标人须知的具体补充和修改，如有矛盾，应以本资料表为准。</w:t>
      </w:r>
      <w:r>
        <w:rPr>
          <w:rFonts w:hint="eastAsia" w:ascii="宋体" w:hAnsi="宋体"/>
          <w:b/>
          <w:color w:val="000000"/>
          <w:sz w:val="24"/>
          <w:szCs w:val="24"/>
          <w:u w:val="single"/>
        </w:rPr>
        <w:t>招标文件中标注“*”为投标人必须满足的条件，如不满足，可导致无效投标或投标不予接收。</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0"/>
        <w:gridCol w:w="74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30" w:type="dxa"/>
            <w:tcBorders>
              <w:top w:val="double" w:color="auto" w:sz="4"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条款号</w:t>
            </w:r>
          </w:p>
        </w:tc>
        <w:tc>
          <w:tcPr>
            <w:tcW w:w="7432" w:type="dxa"/>
            <w:tcBorders>
              <w:top w:val="double" w:color="auto" w:sz="4" w:space="0"/>
              <w:left w:val="single" w:color="auto" w:sz="6" w:space="0"/>
              <w:bottom w:val="single" w:color="auto" w:sz="6" w:space="0"/>
              <w:right w:val="double" w:color="auto" w:sz="4" w:space="0"/>
            </w:tcBorders>
            <w:vAlign w:val="center"/>
          </w:tcPr>
          <w:p>
            <w:pPr>
              <w:spacing w:line="400" w:lineRule="exact"/>
              <w:jc w:val="center"/>
              <w:rPr>
                <w:rFonts w:ascii="宋体" w:hAnsi="宋体"/>
                <w:b/>
                <w:bCs/>
                <w:color w:val="000000"/>
                <w:sz w:val="24"/>
                <w:szCs w:val="24"/>
              </w:rPr>
            </w:pPr>
            <w:r>
              <w:rPr>
                <w:rFonts w:hint="eastAsia" w:ascii="宋体" w:hAnsi="宋体"/>
                <w:b/>
                <w:bCs/>
                <w:color w:val="000000"/>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8362" w:type="dxa"/>
            <w:gridSpan w:val="2"/>
            <w:tcBorders>
              <w:top w:val="single" w:color="auto" w:sz="6" w:space="0"/>
              <w:left w:val="double" w:color="auto" w:sz="4" w:space="0"/>
              <w:bottom w:val="single" w:color="auto" w:sz="6" w:space="0"/>
              <w:right w:val="double" w:color="auto" w:sz="4" w:space="0"/>
            </w:tcBorders>
            <w:vAlign w:val="center"/>
          </w:tcPr>
          <w:p>
            <w:pPr>
              <w:spacing w:line="400" w:lineRule="exact"/>
              <w:jc w:val="center"/>
              <w:rPr>
                <w:rFonts w:ascii="宋体" w:hAnsi="宋体"/>
                <w:b/>
                <w:bCs/>
                <w:color w:val="000000"/>
                <w:sz w:val="24"/>
                <w:szCs w:val="24"/>
              </w:rPr>
            </w:pPr>
            <w:r>
              <w:rPr>
                <w:rFonts w:hint="eastAsia" w:ascii="宋体" w:hAnsi="宋体"/>
                <w:b/>
                <w:bCs/>
                <w:color w:val="000000"/>
                <w:sz w:val="24"/>
                <w:szCs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930" w:type="dxa"/>
            <w:tcBorders>
              <w:top w:val="single" w:color="auto" w:sz="6" w:space="0"/>
              <w:left w:val="double" w:color="auto" w:sz="4" w:space="0"/>
              <w:bottom w:val="single" w:color="auto" w:sz="4"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2.1</w:t>
            </w:r>
          </w:p>
        </w:tc>
        <w:tc>
          <w:tcPr>
            <w:tcW w:w="7432" w:type="dxa"/>
            <w:tcBorders>
              <w:top w:val="single" w:color="auto" w:sz="6" w:space="0"/>
              <w:left w:val="single" w:color="auto" w:sz="6" w:space="0"/>
              <w:bottom w:val="single" w:color="auto" w:sz="4" w:space="0"/>
              <w:right w:val="double" w:color="auto" w:sz="4" w:space="0"/>
            </w:tcBorders>
            <w:vAlign w:val="center"/>
          </w:tcPr>
          <w:p>
            <w:pPr>
              <w:rPr>
                <w:rFonts w:ascii="宋体" w:hAnsi="宋体"/>
                <w:color w:val="000000"/>
                <w:sz w:val="24"/>
                <w:szCs w:val="24"/>
              </w:rPr>
            </w:pPr>
            <w:r>
              <w:rPr>
                <w:rFonts w:hint="eastAsia" w:ascii="宋体" w:hAnsi="宋体"/>
                <w:color w:val="000000"/>
                <w:sz w:val="24"/>
                <w:szCs w:val="24"/>
              </w:rPr>
              <w:t>项目名称：</w:t>
            </w:r>
            <w:r>
              <w:rPr>
                <w:rFonts w:hint="eastAsia" w:ascii="宋体" w:hAnsi="宋体"/>
                <w:sz w:val="24"/>
                <w:szCs w:val="24"/>
              </w:rPr>
              <w:t>河南省体育中心游泳跳水馆臭氧设备更换项目</w:t>
            </w:r>
          </w:p>
          <w:p>
            <w:pPr>
              <w:tabs>
                <w:tab w:val="left" w:pos="900"/>
              </w:tabs>
              <w:rPr>
                <w:rFonts w:ascii="宋体" w:hAnsi="宋体"/>
                <w:color w:val="FF0000"/>
                <w:sz w:val="24"/>
                <w:szCs w:val="24"/>
              </w:rPr>
            </w:pPr>
            <w:r>
              <w:rPr>
                <w:rFonts w:hint="eastAsia" w:ascii="宋体" w:hAnsi="宋体"/>
                <w:color w:val="000000"/>
                <w:sz w:val="24"/>
                <w:szCs w:val="24"/>
              </w:rPr>
              <w:t>招标编号：</w:t>
            </w:r>
            <w:r>
              <w:rPr>
                <w:rFonts w:hint="eastAsia" w:ascii="宋体" w:hAnsi="宋体"/>
                <w:sz w:val="24"/>
                <w:szCs w:val="24"/>
              </w:rPr>
              <w:t>豫财招标采购-2020-457</w:t>
            </w:r>
          </w:p>
          <w:p>
            <w:pPr>
              <w:widowControl/>
              <w:spacing w:line="360" w:lineRule="auto"/>
              <w:jc w:val="left"/>
              <w:rPr>
                <w:rFonts w:ascii="宋体" w:hAnsi="宋体" w:cs="宋体"/>
                <w:color w:val="444444"/>
                <w:kern w:val="0"/>
                <w:sz w:val="24"/>
                <w:szCs w:val="24"/>
              </w:rPr>
            </w:pPr>
            <w:r>
              <w:rPr>
                <w:rFonts w:hint="eastAsia" w:ascii="宋体" w:hAnsi="宋体" w:cs="宋体"/>
                <w:color w:val="444444"/>
                <w:kern w:val="0"/>
                <w:sz w:val="24"/>
                <w:szCs w:val="24"/>
              </w:rPr>
              <w:t>名称：河南省体育中心</w:t>
            </w:r>
          </w:p>
          <w:p>
            <w:pPr>
              <w:widowControl/>
              <w:spacing w:line="360" w:lineRule="auto"/>
              <w:jc w:val="left"/>
              <w:rPr>
                <w:rFonts w:ascii="宋体" w:hAnsi="宋体" w:cs="宋体"/>
                <w:color w:val="444444"/>
                <w:kern w:val="0"/>
                <w:sz w:val="24"/>
                <w:szCs w:val="24"/>
              </w:rPr>
            </w:pPr>
            <w:r>
              <w:rPr>
                <w:rFonts w:hint="eastAsia" w:ascii="宋体" w:hAnsi="宋体" w:cs="宋体"/>
                <w:color w:val="444444"/>
                <w:kern w:val="0"/>
                <w:sz w:val="24"/>
                <w:szCs w:val="24"/>
              </w:rPr>
              <w:t>地址：郑州市长兴路38号</w:t>
            </w:r>
          </w:p>
          <w:p>
            <w:pPr>
              <w:widowControl/>
              <w:spacing w:line="360" w:lineRule="auto"/>
              <w:jc w:val="left"/>
              <w:rPr>
                <w:rFonts w:ascii="宋体" w:hAnsi="宋体" w:cs="宋体"/>
                <w:color w:val="444444"/>
                <w:kern w:val="0"/>
                <w:sz w:val="24"/>
                <w:szCs w:val="24"/>
              </w:rPr>
            </w:pPr>
            <w:r>
              <w:rPr>
                <w:rFonts w:hint="eastAsia" w:ascii="宋体" w:hAnsi="宋体" w:cs="宋体"/>
                <w:color w:val="444444"/>
                <w:kern w:val="0"/>
                <w:sz w:val="24"/>
                <w:szCs w:val="24"/>
              </w:rPr>
              <w:t>联系人：刘老师</w:t>
            </w:r>
          </w:p>
          <w:p>
            <w:pPr>
              <w:spacing w:line="360" w:lineRule="auto"/>
              <w:rPr>
                <w:rFonts w:ascii="宋体" w:hAnsi="宋体"/>
                <w:color w:val="000000"/>
                <w:sz w:val="24"/>
                <w:szCs w:val="24"/>
              </w:rPr>
            </w:pPr>
            <w:r>
              <w:rPr>
                <w:rFonts w:hint="eastAsia" w:ascii="宋体" w:hAnsi="宋体" w:cs="宋体"/>
                <w:color w:val="444444"/>
                <w:kern w:val="0"/>
                <w:sz w:val="24"/>
                <w:szCs w:val="24"/>
              </w:rPr>
              <w:t>联系方式：</w:t>
            </w:r>
            <w:r>
              <w:rPr>
                <w:rFonts w:hint="eastAsia" w:ascii="宋体" w:hAnsi="宋体"/>
                <w:sz w:val="24"/>
                <w:szCs w:val="24"/>
              </w:rPr>
              <w:t>0371-6363 1180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2.2</w:t>
            </w:r>
          </w:p>
        </w:tc>
        <w:tc>
          <w:tcPr>
            <w:tcW w:w="7432" w:type="dxa"/>
            <w:tcBorders>
              <w:top w:val="single" w:color="auto" w:sz="6" w:space="0"/>
              <w:left w:val="single" w:color="auto" w:sz="6" w:space="0"/>
              <w:bottom w:val="single" w:color="auto" w:sz="6" w:space="0"/>
              <w:right w:val="double" w:color="auto" w:sz="4" w:space="0"/>
            </w:tcBorders>
          </w:tcPr>
          <w:p>
            <w:pPr>
              <w:widowControl/>
              <w:spacing w:line="360" w:lineRule="auto"/>
              <w:jc w:val="left"/>
              <w:rPr>
                <w:rFonts w:ascii="宋体" w:hAnsi="宋体" w:cs="宋体"/>
                <w:color w:val="444444"/>
                <w:kern w:val="0"/>
                <w:sz w:val="24"/>
                <w:szCs w:val="24"/>
              </w:rPr>
            </w:pPr>
            <w:r>
              <w:rPr>
                <w:rFonts w:hint="eastAsia" w:ascii="宋体" w:hAnsi="宋体"/>
                <w:color w:val="000000"/>
                <w:sz w:val="24"/>
                <w:szCs w:val="24"/>
              </w:rPr>
              <w:t>招标代理机构名称：</w:t>
            </w:r>
            <w:r>
              <w:rPr>
                <w:rFonts w:hint="eastAsia" w:ascii="宋体" w:hAnsi="宋体" w:cs="宋体"/>
                <w:color w:val="444444"/>
                <w:kern w:val="0"/>
                <w:sz w:val="24"/>
                <w:szCs w:val="24"/>
              </w:rPr>
              <w:t>河南招标采购服务有限公司</w:t>
            </w:r>
          </w:p>
          <w:p>
            <w:pPr>
              <w:widowControl/>
              <w:spacing w:line="360" w:lineRule="auto"/>
              <w:jc w:val="left"/>
              <w:rPr>
                <w:rFonts w:ascii="宋体" w:hAnsi="宋体" w:cs="宋体"/>
                <w:color w:val="444444"/>
                <w:kern w:val="0"/>
                <w:sz w:val="24"/>
                <w:szCs w:val="24"/>
              </w:rPr>
            </w:pPr>
            <w:r>
              <w:rPr>
                <w:rFonts w:hint="eastAsia" w:ascii="宋体" w:hAnsi="宋体" w:cs="宋体"/>
                <w:color w:val="444444"/>
                <w:kern w:val="0"/>
                <w:sz w:val="24"/>
                <w:szCs w:val="24"/>
              </w:rPr>
              <w:t>地址：郑州市纬四路13号（花园路与纬四路交叉口东50米路北）</w:t>
            </w:r>
          </w:p>
          <w:p>
            <w:pPr>
              <w:widowControl/>
              <w:spacing w:line="360" w:lineRule="auto"/>
              <w:jc w:val="left"/>
              <w:rPr>
                <w:rFonts w:ascii="宋体" w:hAnsi="宋体" w:cs="宋体"/>
                <w:color w:val="444444"/>
                <w:kern w:val="0"/>
                <w:sz w:val="24"/>
                <w:szCs w:val="24"/>
              </w:rPr>
            </w:pPr>
            <w:r>
              <w:rPr>
                <w:rFonts w:hint="eastAsia" w:ascii="宋体" w:hAnsi="宋体" w:cs="宋体"/>
                <w:color w:val="444444"/>
                <w:kern w:val="0"/>
                <w:sz w:val="24"/>
                <w:szCs w:val="24"/>
              </w:rPr>
              <w:t>联系人：贾海洋</w:t>
            </w:r>
          </w:p>
          <w:p>
            <w:pPr>
              <w:spacing w:line="400" w:lineRule="exact"/>
              <w:rPr>
                <w:rFonts w:ascii="宋体" w:hAnsi="宋体"/>
                <w:color w:val="000000"/>
                <w:sz w:val="24"/>
                <w:szCs w:val="24"/>
              </w:rPr>
            </w:pPr>
            <w:r>
              <w:rPr>
                <w:rFonts w:hint="eastAsia" w:ascii="宋体" w:hAnsi="宋体" w:cs="宋体"/>
                <w:color w:val="444444"/>
                <w:kern w:val="0"/>
                <w:sz w:val="24"/>
                <w:szCs w:val="24"/>
              </w:rPr>
              <w:t>联系方式：0371-65900691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2.3</w:t>
            </w:r>
          </w:p>
        </w:tc>
        <w:tc>
          <w:tcPr>
            <w:tcW w:w="7432" w:type="dxa"/>
            <w:tcBorders>
              <w:top w:val="single" w:color="auto" w:sz="6" w:space="0"/>
              <w:left w:val="single" w:color="auto" w:sz="6" w:space="0"/>
              <w:bottom w:val="single" w:color="auto" w:sz="6" w:space="0"/>
              <w:right w:val="double" w:color="auto" w:sz="4" w:space="0"/>
            </w:tcBorders>
          </w:tcPr>
          <w:p>
            <w:pPr>
              <w:spacing w:line="360" w:lineRule="auto"/>
              <w:rPr>
                <w:rFonts w:ascii="宋体" w:hAnsi="宋体"/>
                <w:color w:val="000000"/>
                <w:sz w:val="24"/>
                <w:szCs w:val="24"/>
              </w:rPr>
            </w:pPr>
            <w:r>
              <w:rPr>
                <w:rFonts w:hint="eastAsia" w:ascii="宋体" w:hAnsi="宋体"/>
                <w:color w:val="000000"/>
                <w:sz w:val="24"/>
                <w:szCs w:val="24"/>
              </w:rPr>
              <w:t>*投标人资格要求：</w:t>
            </w:r>
          </w:p>
          <w:p>
            <w:pPr>
              <w:spacing w:line="360" w:lineRule="auto"/>
              <w:jc w:val="left"/>
              <w:rPr>
                <w:rFonts w:ascii="宋体" w:hAnsi="宋体"/>
                <w:sz w:val="24"/>
                <w:szCs w:val="24"/>
              </w:rPr>
            </w:pPr>
            <w:r>
              <w:rPr>
                <w:rFonts w:hint="eastAsia" w:ascii="宋体" w:hAnsi="宋体"/>
                <w:sz w:val="24"/>
                <w:szCs w:val="24"/>
              </w:rPr>
              <w:t>符合《政府采购法》第二十二条规定，并同时具备下列资料：</w:t>
            </w:r>
          </w:p>
          <w:p>
            <w:pPr>
              <w:spacing w:line="360" w:lineRule="auto"/>
              <w:jc w:val="left"/>
              <w:rPr>
                <w:rFonts w:ascii="宋体" w:hAnsi="宋体"/>
                <w:sz w:val="24"/>
                <w:szCs w:val="24"/>
              </w:rPr>
            </w:pPr>
            <w:r>
              <w:rPr>
                <w:rFonts w:hint="eastAsia" w:ascii="宋体" w:hAnsi="宋体"/>
                <w:sz w:val="24"/>
                <w:szCs w:val="24"/>
              </w:rPr>
              <w:t>1.具有完善的售后服务体系，在法律和财务方面独立并与采购人无任何隶属关系的独立企业法人或其他组织；</w:t>
            </w:r>
          </w:p>
          <w:p>
            <w:pPr>
              <w:spacing w:line="360" w:lineRule="auto"/>
              <w:jc w:val="left"/>
              <w:rPr>
                <w:rFonts w:ascii="宋体" w:hAnsi="宋体"/>
                <w:sz w:val="24"/>
                <w:szCs w:val="24"/>
              </w:rPr>
            </w:pPr>
            <w:r>
              <w:rPr>
                <w:rFonts w:hint="eastAsia" w:ascii="宋体" w:hAnsi="宋体"/>
                <w:sz w:val="24"/>
                <w:szCs w:val="24"/>
              </w:rPr>
              <w:t>2.提供财务状况报告（</w:t>
            </w:r>
            <w:r>
              <w:rPr>
                <w:rFonts w:hint="eastAsia" w:ascii="宋体" w:hAnsi="宋体"/>
                <w:sz w:val="24"/>
              </w:rPr>
              <w:t>提供2018或2019年度财务报告</w:t>
            </w:r>
            <w:r>
              <w:rPr>
                <w:rFonts w:hint="eastAsia" w:ascii="宋体" w:hAnsi="宋体"/>
                <w:sz w:val="24"/>
                <w:lang w:val="en-US" w:eastAsia="zh-CN"/>
              </w:rPr>
              <w:t>/审计报告</w:t>
            </w:r>
            <w:r>
              <w:rPr>
                <w:rFonts w:hint="eastAsia" w:ascii="宋体" w:hAnsi="宋体"/>
                <w:sz w:val="24"/>
              </w:rPr>
              <w:t>或银行出具的资信证明或财政部门认可的政府采购专业担保机构出具的投标担保函</w:t>
            </w:r>
            <w:r>
              <w:rPr>
                <w:rFonts w:hint="eastAsia" w:ascii="宋体" w:hAnsi="宋体"/>
                <w:sz w:val="24"/>
                <w:szCs w:val="24"/>
              </w:rPr>
              <w:t>）；</w:t>
            </w:r>
          </w:p>
          <w:p>
            <w:pPr>
              <w:spacing w:line="360" w:lineRule="auto"/>
              <w:jc w:val="left"/>
              <w:rPr>
                <w:rFonts w:ascii="宋体" w:hAnsi="宋体"/>
                <w:sz w:val="24"/>
                <w:szCs w:val="24"/>
              </w:rPr>
            </w:pPr>
            <w:r>
              <w:rPr>
                <w:rFonts w:hint="eastAsia" w:ascii="宋体" w:hAnsi="宋体"/>
                <w:sz w:val="24"/>
                <w:szCs w:val="24"/>
              </w:rPr>
              <w:t>3.提供依法缴纳税收和社会保障资金的相关材料（20</w:t>
            </w:r>
            <w:r>
              <w:rPr>
                <w:rFonts w:ascii="宋体" w:hAnsi="宋体"/>
                <w:sz w:val="24"/>
                <w:szCs w:val="24"/>
              </w:rPr>
              <w:t>20</w:t>
            </w:r>
            <w:r>
              <w:rPr>
                <w:rFonts w:hint="eastAsia" w:ascii="宋体" w:hAnsi="宋体"/>
                <w:sz w:val="24"/>
                <w:szCs w:val="24"/>
              </w:rPr>
              <w:t>年1月1日以来至少一个月）；</w:t>
            </w:r>
          </w:p>
          <w:p>
            <w:pPr>
              <w:spacing w:line="360" w:lineRule="auto"/>
              <w:jc w:val="left"/>
              <w:rPr>
                <w:rFonts w:ascii="宋体" w:hAnsi="宋体"/>
                <w:sz w:val="24"/>
                <w:szCs w:val="24"/>
              </w:rPr>
            </w:pPr>
            <w:r>
              <w:rPr>
                <w:rFonts w:hint="eastAsia" w:ascii="宋体" w:hAnsi="宋体"/>
                <w:sz w:val="24"/>
                <w:szCs w:val="24"/>
              </w:rPr>
              <w:t>4.提供政府采购反商业贿赂承诺书；</w:t>
            </w:r>
          </w:p>
          <w:p>
            <w:pPr>
              <w:spacing w:line="360" w:lineRule="auto"/>
              <w:jc w:val="left"/>
              <w:rPr>
                <w:rFonts w:ascii="宋体" w:hAnsi="宋体"/>
                <w:sz w:val="24"/>
                <w:szCs w:val="24"/>
              </w:rPr>
            </w:pPr>
            <w:r>
              <w:rPr>
                <w:rFonts w:hint="eastAsia" w:ascii="宋体" w:hAnsi="宋体"/>
                <w:sz w:val="24"/>
                <w:szCs w:val="24"/>
              </w:rPr>
              <w:t>5.参加政府采购活动前三年内在经营活动中没有重大违法记录；</w:t>
            </w:r>
          </w:p>
          <w:p>
            <w:pPr>
              <w:spacing w:line="360" w:lineRule="auto"/>
              <w:jc w:val="left"/>
              <w:rPr>
                <w:rFonts w:ascii="宋体" w:hAnsi="宋体"/>
                <w:sz w:val="24"/>
                <w:szCs w:val="24"/>
              </w:rPr>
            </w:pPr>
            <w:r>
              <w:rPr>
                <w:rFonts w:hint="eastAsia" w:ascii="宋体" w:hAnsi="宋体"/>
                <w:sz w:val="24"/>
                <w:szCs w:val="24"/>
              </w:rPr>
              <w:t>6.单位负责人为同一人或者存在直接控股、管理关系的不同供应商，不得参加同一合同项下的政府采购活动；</w:t>
            </w:r>
          </w:p>
          <w:p>
            <w:pPr>
              <w:spacing w:line="360" w:lineRule="auto"/>
              <w:jc w:val="left"/>
              <w:rPr>
                <w:rFonts w:ascii="宋体" w:hAnsi="宋体"/>
                <w:sz w:val="24"/>
                <w:szCs w:val="24"/>
              </w:rPr>
            </w:pPr>
            <w:r>
              <w:rPr>
                <w:rFonts w:hint="eastAsia" w:ascii="宋体" w:hAnsi="宋体"/>
                <w:sz w:val="24"/>
                <w:szCs w:val="24"/>
              </w:rPr>
              <w:t>7.</w:t>
            </w:r>
            <w:r>
              <w:rPr>
                <w:rFonts w:hint="eastAsia" w:ascii="宋体" w:hAnsi="宋体"/>
                <w:color w:val="000000"/>
                <w:sz w:val="24"/>
              </w:rPr>
              <w:t>具备建设主管部门颁发的建筑</w:t>
            </w:r>
            <w:r>
              <w:rPr>
                <w:rFonts w:hint="eastAsia" w:ascii="宋体" w:hAnsi="宋体"/>
                <w:sz w:val="24"/>
                <w:szCs w:val="24"/>
              </w:rPr>
              <w:t>机电安装专业承包叁级及以上</w:t>
            </w:r>
            <w:r>
              <w:rPr>
                <w:rFonts w:hint="eastAsia" w:ascii="宋体" w:hAnsi="宋体"/>
                <w:color w:val="000000"/>
                <w:sz w:val="24"/>
              </w:rPr>
              <w:t>资质；</w:t>
            </w:r>
          </w:p>
          <w:p>
            <w:pPr>
              <w:spacing w:line="360" w:lineRule="auto"/>
              <w:jc w:val="left"/>
              <w:rPr>
                <w:rFonts w:ascii="宋体" w:hAnsi="宋体"/>
                <w:sz w:val="24"/>
                <w:szCs w:val="24"/>
              </w:rPr>
            </w:pPr>
            <w:r>
              <w:rPr>
                <w:rFonts w:hint="eastAsia" w:ascii="宋体" w:hAnsi="宋体"/>
                <w:sz w:val="24"/>
                <w:szCs w:val="24"/>
              </w:rPr>
              <w:t xml:space="preserve">8. </w:t>
            </w:r>
            <w:r>
              <w:rPr>
                <w:rFonts w:hint="eastAsia" w:ascii="宋体" w:hAnsi="宋体"/>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截止时间为投标截止时间；</w:t>
            </w:r>
          </w:p>
          <w:p>
            <w:pPr>
              <w:spacing w:line="360" w:lineRule="auto"/>
              <w:jc w:val="left"/>
              <w:rPr>
                <w:rFonts w:ascii="宋体" w:hAnsi="宋体"/>
                <w:color w:val="000000"/>
                <w:sz w:val="24"/>
                <w:szCs w:val="24"/>
              </w:rPr>
            </w:pPr>
            <w:r>
              <w:rPr>
                <w:rFonts w:hint="eastAsia" w:ascii="宋体" w:hAnsi="宋体"/>
                <w:sz w:val="24"/>
                <w:szCs w:val="24"/>
              </w:rPr>
              <w:t>9.法律法规要求的其他情况。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10.1</w:t>
            </w:r>
          </w:p>
        </w:tc>
        <w:tc>
          <w:tcPr>
            <w:tcW w:w="7432" w:type="dxa"/>
            <w:tcBorders>
              <w:top w:val="single" w:color="auto" w:sz="6" w:space="0"/>
              <w:left w:val="single" w:color="auto" w:sz="6" w:space="0"/>
              <w:bottom w:val="single" w:color="auto" w:sz="6" w:space="0"/>
              <w:right w:val="double" w:color="auto" w:sz="4" w:space="0"/>
            </w:tcBorders>
          </w:tcPr>
          <w:p>
            <w:pPr>
              <w:spacing w:line="400" w:lineRule="exact"/>
              <w:rPr>
                <w:rFonts w:ascii="宋体" w:hAnsi="宋体"/>
                <w:color w:val="000000"/>
                <w:sz w:val="24"/>
                <w:szCs w:val="24"/>
              </w:rPr>
            </w:pPr>
            <w:r>
              <w:rPr>
                <w:rFonts w:hint="eastAsia" w:ascii="宋体" w:hAnsi="宋体"/>
                <w:color w:val="000000"/>
                <w:sz w:val="24"/>
                <w:szCs w:val="24"/>
              </w:rPr>
              <w:t>投标语言：中文，投标人提供的外文资料应附有相应的中文译本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8362" w:type="dxa"/>
            <w:gridSpan w:val="2"/>
            <w:tcBorders>
              <w:top w:val="single" w:color="auto" w:sz="6" w:space="0"/>
              <w:left w:val="double" w:color="auto" w:sz="4" w:space="0"/>
              <w:bottom w:val="single" w:color="auto" w:sz="6" w:space="0"/>
              <w:right w:val="double" w:color="auto" w:sz="4" w:space="0"/>
            </w:tcBorders>
            <w:vAlign w:val="center"/>
          </w:tcPr>
          <w:p>
            <w:pPr>
              <w:spacing w:line="400" w:lineRule="exact"/>
              <w:jc w:val="center"/>
              <w:rPr>
                <w:rFonts w:ascii="宋体" w:hAnsi="宋体"/>
                <w:b/>
                <w:bCs/>
                <w:color w:val="000000"/>
                <w:sz w:val="24"/>
                <w:szCs w:val="24"/>
              </w:rPr>
            </w:pPr>
            <w:r>
              <w:rPr>
                <w:rFonts w:hint="eastAsia" w:ascii="宋体" w:hAnsi="宋体"/>
                <w:b/>
                <w:bCs/>
                <w:color w:val="000000"/>
                <w:sz w:val="24"/>
                <w:szCs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7" w:hRule="atLeast"/>
          <w:jc w:val="center"/>
        </w:trPr>
        <w:tc>
          <w:tcPr>
            <w:tcW w:w="930" w:type="dxa"/>
            <w:tcBorders>
              <w:top w:val="single" w:color="auto" w:sz="6" w:space="0"/>
              <w:left w:val="double" w:color="auto" w:sz="4" w:space="0"/>
              <w:right w:val="single" w:color="auto" w:sz="6" w:space="0"/>
            </w:tcBorders>
            <w:vAlign w:val="center"/>
          </w:tcPr>
          <w:p>
            <w:pPr>
              <w:jc w:val="center"/>
              <w:rPr>
                <w:rFonts w:ascii="宋体" w:hAnsi="宋体"/>
                <w:color w:val="000000"/>
                <w:sz w:val="24"/>
                <w:szCs w:val="24"/>
              </w:rPr>
            </w:pPr>
            <w:r>
              <w:rPr>
                <w:rFonts w:hint="eastAsia" w:ascii="宋体" w:hAnsi="宋体"/>
                <w:color w:val="000000"/>
                <w:sz w:val="24"/>
                <w:szCs w:val="24"/>
              </w:rPr>
              <w:t>14</w:t>
            </w:r>
          </w:p>
        </w:tc>
        <w:tc>
          <w:tcPr>
            <w:tcW w:w="7432" w:type="dxa"/>
            <w:tcBorders>
              <w:top w:val="single" w:color="auto" w:sz="6" w:space="0"/>
              <w:left w:val="single" w:color="auto" w:sz="6" w:space="0"/>
              <w:right w:val="doub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投标报价为目的地交货价（含货物运保费、安装调试培训、售后服务等相关费用）。</w:t>
            </w:r>
          </w:p>
          <w:p>
            <w:pPr>
              <w:spacing w:line="400" w:lineRule="exact"/>
              <w:rPr>
                <w:rFonts w:ascii="宋体" w:hAnsi="宋体"/>
                <w:color w:val="000000"/>
                <w:sz w:val="24"/>
                <w:szCs w:val="24"/>
              </w:rPr>
            </w:pPr>
            <w:r>
              <w:rPr>
                <w:rFonts w:hint="eastAsia" w:ascii="宋体" w:hAnsi="宋体"/>
                <w:color w:val="000000"/>
                <w:sz w:val="24"/>
                <w:szCs w:val="24"/>
              </w:rPr>
              <w:t>相关费用（由中标人承担的费用）：包括运保费、伴随服务费和招标代理服务费。</w:t>
            </w:r>
          </w:p>
          <w:p>
            <w:pPr>
              <w:spacing w:line="400" w:lineRule="exact"/>
              <w:rPr>
                <w:rFonts w:ascii="宋体" w:hAnsi="宋体"/>
                <w:color w:val="000000"/>
                <w:sz w:val="24"/>
                <w:szCs w:val="24"/>
              </w:rPr>
            </w:pPr>
            <w:r>
              <w:rPr>
                <w:rFonts w:hint="eastAsia" w:ascii="宋体" w:hAnsi="宋体"/>
                <w:color w:val="000000"/>
                <w:sz w:val="24"/>
                <w:szCs w:val="24"/>
              </w:rPr>
              <w:t>招标代理服务费：参照(</w:t>
            </w:r>
            <w:r>
              <w:rPr>
                <w:rFonts w:ascii="宋体" w:hAnsi="宋体"/>
                <w:color w:val="000000"/>
                <w:sz w:val="24"/>
                <w:szCs w:val="24"/>
              </w:rPr>
              <w:t>国家计委计价格[2002]1980号文件</w:t>
            </w:r>
            <w:r>
              <w:rPr>
                <w:rFonts w:hint="eastAsia" w:ascii="宋体" w:hAnsi="宋体"/>
                <w:color w:val="000000"/>
                <w:sz w:val="24"/>
                <w:szCs w:val="24"/>
              </w:rPr>
              <w:t>)规定向中标人收取。</w:t>
            </w:r>
          </w:p>
          <w:p>
            <w:pPr>
              <w:spacing w:line="460" w:lineRule="exact"/>
              <w:rPr>
                <w:rFonts w:ascii="宋体" w:hAnsi="宋体"/>
                <w:color w:val="000000"/>
                <w:sz w:val="24"/>
                <w:szCs w:val="24"/>
              </w:rPr>
            </w:pPr>
            <w:r>
              <w:rPr>
                <w:rFonts w:hint="eastAsia" w:ascii="宋体" w:hAnsi="宋体"/>
                <w:color w:val="000000"/>
                <w:sz w:val="24"/>
                <w:szCs w:val="24"/>
              </w:rPr>
              <w:t>中标人应在中标公告发布后将代理服务费汇款至以下账户（请备注：豫财招标采购-2020-</w:t>
            </w:r>
            <w:r>
              <w:rPr>
                <w:rStyle w:val="246"/>
                <w:rFonts w:hint="eastAsia" w:ascii="宋体" w:hAnsi="宋体"/>
                <w:sz w:val="24"/>
                <w:szCs w:val="24"/>
              </w:rPr>
              <w:t>457</w:t>
            </w:r>
            <w:r>
              <w:rPr>
                <w:rFonts w:hint="eastAsia" w:ascii="宋体" w:hAnsi="宋体"/>
                <w:color w:val="000000"/>
                <w:sz w:val="24"/>
                <w:szCs w:val="24"/>
                <w:lang w:val="en-US" w:eastAsia="zh-CN"/>
              </w:rPr>
              <w:t xml:space="preserve">    (</w:t>
            </w:r>
            <w:r>
              <w:rPr>
                <w:rFonts w:hint="eastAsia" w:ascii="宋体" w:hAnsi="宋体"/>
                <w:color w:val="000000"/>
                <w:sz w:val="24"/>
                <w:szCs w:val="24"/>
              </w:rPr>
              <w:t>代理服务费）：</w:t>
            </w:r>
          </w:p>
          <w:p>
            <w:pPr>
              <w:spacing w:line="460" w:lineRule="exact"/>
              <w:rPr>
                <w:rFonts w:ascii="宋体" w:hAnsi="宋体"/>
                <w:color w:val="000000"/>
                <w:sz w:val="24"/>
                <w:szCs w:val="24"/>
              </w:rPr>
            </w:pPr>
            <w:r>
              <w:rPr>
                <w:rFonts w:hint="eastAsia" w:ascii="宋体" w:hAnsi="宋体"/>
                <w:color w:val="000000"/>
                <w:sz w:val="24"/>
                <w:szCs w:val="24"/>
              </w:rPr>
              <w:t>收款单位：河南招标采购服务有限公司</w:t>
            </w:r>
          </w:p>
          <w:p>
            <w:pPr>
              <w:tabs>
                <w:tab w:val="left" w:pos="900"/>
              </w:tabs>
              <w:snapToGrid w:val="0"/>
              <w:ind w:left="7" w:hanging="7" w:hangingChars="3"/>
              <w:rPr>
                <w:rFonts w:ascii="宋体" w:hAnsi="宋体"/>
                <w:color w:val="000000"/>
                <w:sz w:val="24"/>
                <w:szCs w:val="24"/>
              </w:rPr>
            </w:pPr>
            <w:r>
              <w:rPr>
                <w:rFonts w:hint="eastAsia" w:ascii="宋体" w:hAnsi="宋体"/>
                <w:color w:val="000000"/>
                <w:sz w:val="24"/>
                <w:szCs w:val="24"/>
              </w:rPr>
              <w:t>开户行：广发银行郑州行政区支行</w:t>
            </w:r>
          </w:p>
          <w:p>
            <w:pPr>
              <w:spacing w:line="460" w:lineRule="exact"/>
              <w:rPr>
                <w:rFonts w:ascii="宋体" w:hAnsi="宋体"/>
                <w:color w:val="000000"/>
                <w:sz w:val="24"/>
                <w:szCs w:val="24"/>
              </w:rPr>
            </w:pPr>
            <w:r>
              <w:rPr>
                <w:rFonts w:hint="eastAsia" w:ascii="宋体" w:hAnsi="宋体"/>
                <w:color w:val="000000"/>
                <w:sz w:val="24"/>
                <w:szCs w:val="24"/>
              </w:rPr>
              <w:t>账号：8898516010005452</w:t>
            </w:r>
          </w:p>
          <w:p>
            <w:pPr>
              <w:rPr>
                <w:rFonts w:ascii="宋体" w:hAnsi="宋体"/>
                <w:color w:val="000000"/>
                <w:sz w:val="24"/>
                <w:szCs w:val="24"/>
              </w:rPr>
            </w:pPr>
            <w:r>
              <w:rPr>
                <w:rFonts w:hint="eastAsia" w:ascii="宋体" w:hAnsi="宋体"/>
                <w:color w:val="000000"/>
                <w:sz w:val="24"/>
                <w:szCs w:val="24"/>
              </w:rPr>
              <w:t>中标人凭汇款凭证至河南招标采购服务有限公司403房间领取中标通知书。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15.1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sz w:val="24"/>
                <w:szCs w:val="24"/>
              </w:rPr>
            </w:pPr>
            <w:r>
              <w:rPr>
                <w:rFonts w:hint="eastAsia" w:ascii="宋体" w:hAnsi="宋体"/>
                <w:color w:val="000000"/>
                <w:sz w:val="24"/>
                <w:szCs w:val="24"/>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8362" w:type="dxa"/>
            <w:gridSpan w:val="2"/>
            <w:tcBorders>
              <w:top w:val="single" w:color="auto" w:sz="6" w:space="0"/>
              <w:left w:val="double" w:color="auto" w:sz="4" w:space="0"/>
              <w:bottom w:val="single" w:color="auto" w:sz="6" w:space="0"/>
              <w:right w:val="double" w:color="auto" w:sz="4" w:space="0"/>
            </w:tcBorders>
            <w:vAlign w:val="center"/>
          </w:tcPr>
          <w:p>
            <w:pPr>
              <w:spacing w:line="400" w:lineRule="exact"/>
              <w:jc w:val="center"/>
              <w:rPr>
                <w:rFonts w:ascii="宋体" w:hAnsi="宋体"/>
                <w:b/>
                <w:bCs/>
                <w:color w:val="000000"/>
                <w:sz w:val="24"/>
                <w:szCs w:val="24"/>
              </w:rPr>
            </w:pPr>
            <w:r>
              <w:rPr>
                <w:rFonts w:hint="eastAsia" w:ascii="宋体" w:hAnsi="宋体"/>
                <w:b/>
                <w:bCs/>
                <w:color w:val="000000"/>
                <w:sz w:val="24"/>
                <w:szCs w:val="24"/>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30" w:type="dxa"/>
            <w:tcBorders>
              <w:top w:val="single" w:color="auto" w:sz="6" w:space="0"/>
              <w:left w:val="double" w:color="auto" w:sz="4" w:space="0"/>
              <w:bottom w:val="single" w:color="auto" w:sz="4"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16.1</w:t>
            </w:r>
          </w:p>
        </w:tc>
        <w:tc>
          <w:tcPr>
            <w:tcW w:w="7432" w:type="dxa"/>
            <w:tcBorders>
              <w:top w:val="single" w:color="auto" w:sz="6" w:space="0"/>
              <w:left w:val="single" w:color="auto" w:sz="6" w:space="0"/>
              <w:bottom w:val="single" w:color="auto" w:sz="4" w:space="0"/>
              <w:right w:val="double" w:color="auto" w:sz="4" w:space="0"/>
            </w:tcBorders>
            <w:vAlign w:val="center"/>
          </w:tcPr>
          <w:p>
            <w:pPr>
              <w:tabs>
                <w:tab w:val="left" w:pos="152"/>
                <w:tab w:val="left" w:pos="588"/>
              </w:tabs>
              <w:rPr>
                <w:rFonts w:ascii="宋体" w:hAnsi="宋体"/>
                <w:color w:val="000000"/>
                <w:sz w:val="24"/>
                <w:szCs w:val="24"/>
              </w:rPr>
            </w:pPr>
            <w:r>
              <w:rPr>
                <w:rFonts w:hint="eastAsia" w:ascii="宋体" w:hAnsi="宋体"/>
                <w:color w:val="000000"/>
                <w:sz w:val="24"/>
                <w:szCs w:val="24"/>
              </w:rPr>
              <w:t>资质证明文件：</w:t>
            </w:r>
            <w:r>
              <w:rPr>
                <w:rFonts w:ascii="宋体" w:hAnsi="宋体"/>
                <w:color w:val="000000"/>
                <w:sz w:val="24"/>
                <w:szCs w:val="24"/>
              </w:rPr>
              <w:t xml:space="preserve"> </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w:t>
            </w:r>
            <w:r>
              <w:rPr>
                <w:rFonts w:hint="eastAsia" w:ascii="宋体" w:hAnsi="宋体"/>
                <w:sz w:val="24"/>
              </w:rPr>
              <w:t>营业执照</w:t>
            </w:r>
            <w:r>
              <w:rPr>
                <w:rFonts w:hint="eastAsia" w:ascii="宋体" w:hAnsi="宋体"/>
                <w:color w:val="000000"/>
                <w:sz w:val="24"/>
                <w:szCs w:val="24"/>
              </w:rPr>
              <w:t>；</w:t>
            </w:r>
            <w:r>
              <w:rPr>
                <w:rFonts w:ascii="宋体" w:hAnsi="宋体"/>
                <w:color w:val="000000"/>
                <w:sz w:val="24"/>
                <w:szCs w:val="24"/>
              </w:rPr>
              <w:t xml:space="preserve"> </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、法定代表人授权委托书（附法定代表人身份证及</w:t>
            </w:r>
            <w:r>
              <w:rPr>
                <w:rFonts w:hint="eastAsia" w:ascii="宋体" w:hAnsi="宋体"/>
                <w:sz w:val="24"/>
              </w:rPr>
              <w:t>授权代理人身</w:t>
            </w:r>
            <w:r>
              <w:rPr>
                <w:rFonts w:hint="eastAsia" w:ascii="宋体" w:hAnsi="宋体"/>
                <w:color w:val="000000"/>
                <w:sz w:val="24"/>
                <w:szCs w:val="24"/>
              </w:rPr>
              <w:t>份证）；</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*3、投标人提供参加政府采购活动前三年内在经营活动中无重大违法记录的书面声明；</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*4、投标人提供财务状况报告（</w:t>
            </w:r>
            <w:r>
              <w:rPr>
                <w:rFonts w:hint="eastAsia" w:ascii="宋体" w:hAnsi="宋体"/>
                <w:sz w:val="24"/>
              </w:rPr>
              <w:t>提供2018或2019年度财务报告</w:t>
            </w:r>
            <w:r>
              <w:rPr>
                <w:rFonts w:hint="eastAsia" w:ascii="宋体" w:hAnsi="宋体"/>
                <w:sz w:val="24"/>
                <w:lang w:val="en-US" w:eastAsia="zh-CN"/>
              </w:rPr>
              <w:t>/审计报告</w:t>
            </w:r>
            <w:r>
              <w:rPr>
                <w:rFonts w:hint="eastAsia" w:ascii="宋体" w:hAnsi="宋体"/>
                <w:sz w:val="24"/>
              </w:rPr>
              <w:t>或银行出具的资信证明或财政部门认可的政府采购专业担保机构出具的投标担保函</w:t>
            </w:r>
            <w:r>
              <w:rPr>
                <w:rFonts w:hint="eastAsia" w:ascii="宋体" w:hAnsi="宋体"/>
                <w:color w:val="000000"/>
                <w:sz w:val="24"/>
                <w:szCs w:val="24"/>
              </w:rPr>
              <w:t>）；</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*5、投标人提供纳税证明材料和社会保障资金缴纳证明资料（20</w:t>
            </w:r>
            <w:r>
              <w:rPr>
                <w:rFonts w:ascii="宋体" w:hAnsi="宋体"/>
                <w:color w:val="000000"/>
                <w:sz w:val="24"/>
                <w:szCs w:val="24"/>
              </w:rPr>
              <w:t>20</w:t>
            </w:r>
            <w:r>
              <w:rPr>
                <w:rFonts w:hint="eastAsia" w:ascii="宋体" w:hAnsi="宋体"/>
                <w:color w:val="000000"/>
                <w:sz w:val="24"/>
                <w:szCs w:val="24"/>
              </w:rPr>
              <w:t>年1月1日以来至少一个月）；</w:t>
            </w:r>
          </w:p>
          <w:p>
            <w:pPr>
              <w:pStyle w:val="87"/>
              <w:ind w:left="0" w:leftChars="0" w:firstLine="0" w:firstLineChars="0"/>
            </w:pPr>
            <w:r>
              <w:rPr>
                <w:rFonts w:hint="eastAsia" w:ascii="宋体" w:hAnsi="宋体"/>
                <w:color w:val="000000"/>
                <w:sz w:val="24"/>
              </w:rPr>
              <w:t>*6、具备建设主管部门颁发的建筑</w:t>
            </w:r>
            <w:r>
              <w:rPr>
                <w:rFonts w:hint="eastAsia" w:ascii="宋体" w:hAnsi="宋体"/>
                <w:sz w:val="24"/>
              </w:rPr>
              <w:t>机电安装专业承包叁级及以上</w:t>
            </w:r>
            <w:r>
              <w:rPr>
                <w:rFonts w:hint="eastAsia" w:ascii="宋体" w:hAnsi="宋体"/>
                <w:color w:val="000000"/>
                <w:sz w:val="24"/>
              </w:rPr>
              <w:t>资质；</w:t>
            </w:r>
          </w:p>
          <w:p>
            <w:pPr>
              <w:spacing w:line="440" w:lineRule="exact"/>
              <w:rPr>
                <w:rFonts w:ascii="宋体" w:hAnsi="宋体"/>
                <w:color w:val="000000"/>
                <w:sz w:val="24"/>
                <w:szCs w:val="24"/>
              </w:rPr>
            </w:pPr>
            <w:r>
              <w:rPr>
                <w:rFonts w:hint="eastAsia" w:ascii="宋体" w:hAnsi="宋体"/>
                <w:color w:val="000000"/>
                <w:sz w:val="24"/>
                <w:szCs w:val="24"/>
              </w:rPr>
              <w:t>*7、反商业贿赂承诺书；</w:t>
            </w:r>
          </w:p>
          <w:p>
            <w:pPr>
              <w:tabs>
                <w:tab w:val="left" w:pos="152"/>
                <w:tab w:val="left" w:pos="588"/>
              </w:tabs>
              <w:spacing w:line="360" w:lineRule="auto"/>
              <w:rPr>
                <w:rFonts w:ascii="宋体" w:hAnsi="宋体"/>
                <w:color w:val="000000"/>
                <w:sz w:val="24"/>
                <w:szCs w:val="24"/>
              </w:rPr>
            </w:pPr>
            <w:r>
              <w:rPr>
                <w:rFonts w:hint="eastAsia" w:ascii="宋体" w:hAnsi="宋体"/>
                <w:color w:val="000000"/>
                <w:sz w:val="24"/>
                <w:szCs w:val="24"/>
              </w:rPr>
              <w:t>8、招标文件要求的其它资格证明文件。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30" w:type="dxa"/>
            <w:tcBorders>
              <w:top w:val="single" w:color="auto" w:sz="4"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17</w:t>
            </w:r>
          </w:p>
        </w:tc>
        <w:tc>
          <w:tcPr>
            <w:tcW w:w="7432" w:type="dxa"/>
            <w:tcBorders>
              <w:top w:val="single" w:color="auto" w:sz="4" w:space="0"/>
              <w:left w:val="single" w:color="auto" w:sz="6" w:space="0"/>
              <w:bottom w:val="single" w:color="auto" w:sz="6" w:space="0"/>
              <w:right w:val="double" w:color="auto" w:sz="4" w:space="0"/>
            </w:tcBorders>
            <w:vAlign w:val="center"/>
          </w:tcPr>
          <w:p>
            <w:pPr>
              <w:tabs>
                <w:tab w:val="left" w:pos="152"/>
                <w:tab w:val="left" w:pos="588"/>
              </w:tabs>
              <w:spacing w:line="360" w:lineRule="auto"/>
              <w:rPr>
                <w:rFonts w:ascii="宋体" w:hAnsi="宋体"/>
                <w:sz w:val="24"/>
              </w:rPr>
            </w:pPr>
            <w:r>
              <w:rPr>
                <w:rFonts w:hint="eastAsia" w:ascii="宋体" w:hAnsi="宋体"/>
                <w:color w:val="000000"/>
                <w:sz w:val="24"/>
                <w:szCs w:val="24"/>
              </w:rPr>
              <w:t>技术</w:t>
            </w:r>
            <w:r>
              <w:rPr>
                <w:rFonts w:hint="eastAsia" w:ascii="宋体" w:hAnsi="宋体"/>
                <w:sz w:val="24"/>
              </w:rPr>
              <w:t>证明文件：</w:t>
            </w:r>
          </w:p>
          <w:p>
            <w:pPr>
              <w:numPr>
                <w:ilvl w:val="0"/>
                <w:numId w:val="64"/>
              </w:numPr>
              <w:tabs>
                <w:tab w:val="left" w:pos="152"/>
                <w:tab w:val="left" w:pos="588"/>
              </w:tabs>
              <w:spacing w:line="360" w:lineRule="auto"/>
              <w:rPr>
                <w:rFonts w:ascii="宋体" w:hAnsi="宋体"/>
                <w:sz w:val="24"/>
              </w:rPr>
            </w:pPr>
            <w:r>
              <w:rPr>
                <w:rFonts w:hint="eastAsia" w:ascii="宋体" w:hAnsi="宋体"/>
                <w:sz w:val="24"/>
              </w:rPr>
              <w:t>投标人提供详细描述主要产品性能特点的原厂商技术文件或彩页或检验报告或技术证明资料供评标参考，并保证这些技术证明材料与投标货物的真实功能、性能参数的一致性。投标产品的彩页仅限于对产品外观、能够通过目视看到的外观性指标的证明。</w:t>
            </w:r>
          </w:p>
          <w:p>
            <w:pPr>
              <w:numPr>
                <w:ilvl w:val="0"/>
                <w:numId w:val="64"/>
              </w:numPr>
              <w:tabs>
                <w:tab w:val="left" w:pos="152"/>
                <w:tab w:val="left" w:pos="588"/>
              </w:tabs>
              <w:spacing w:line="360" w:lineRule="auto"/>
            </w:pPr>
            <w:r>
              <w:rPr>
                <w:rFonts w:hint="eastAsia"/>
                <w:sz w:val="24"/>
              </w:rPr>
              <w:t>投标人提供技术参数相应功能对应的实际应用软件的相关截图证明供评标参考，并保证这些截图与投标货物的真实功能具有一致性</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18.1</w:t>
            </w:r>
          </w:p>
        </w:tc>
        <w:tc>
          <w:tcPr>
            <w:tcW w:w="7432" w:type="dxa"/>
            <w:tcBorders>
              <w:top w:val="single" w:color="auto" w:sz="12" w:space="0"/>
              <w:left w:val="single" w:color="auto" w:sz="6" w:space="0"/>
              <w:bottom w:val="single" w:color="auto" w:sz="6" w:space="0"/>
              <w:right w:val="double" w:color="auto" w:sz="4" w:space="0"/>
            </w:tcBorders>
          </w:tcPr>
          <w:p>
            <w:pPr>
              <w:spacing w:line="400" w:lineRule="exact"/>
              <w:rPr>
                <w:rFonts w:ascii="宋体" w:hAnsi="宋体"/>
                <w:b/>
                <w:color w:val="000000"/>
                <w:sz w:val="24"/>
              </w:rPr>
            </w:pPr>
            <w:r>
              <w:rPr>
                <w:rFonts w:hint="eastAsia" w:ascii="宋体" w:hAnsi="宋体"/>
                <w:color w:val="000000"/>
                <w:sz w:val="24"/>
                <w:szCs w:val="24"/>
              </w:rPr>
              <w:t>投标保证金：本项目不设置投标保证金。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19.1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sz w:val="24"/>
                <w:szCs w:val="24"/>
              </w:rPr>
            </w:pPr>
            <w:r>
              <w:rPr>
                <w:rFonts w:hint="eastAsia" w:ascii="宋体" w:hAnsi="宋体"/>
                <w:color w:val="000000"/>
                <w:sz w:val="24"/>
                <w:szCs w:val="24"/>
              </w:rPr>
              <w:t>*投标有效期：从开标之日起60天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21.1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b/>
                <w:color w:val="000000"/>
                <w:sz w:val="24"/>
                <w:highlight w:val="yellow"/>
              </w:rPr>
            </w:pPr>
            <w:r>
              <w:rPr>
                <w:rFonts w:hint="eastAsia" w:ascii="宋体" w:hAnsi="宋体"/>
                <w:b/>
                <w:color w:val="000000"/>
                <w:sz w:val="24"/>
              </w:rPr>
              <w:t>投标人必须在投标截止时间前提供</w:t>
            </w:r>
            <w:r>
              <w:rPr>
                <w:rFonts w:hint="eastAsia" w:ascii="宋体" w:hAnsi="宋体"/>
                <w:color w:val="000000"/>
                <w:sz w:val="24"/>
              </w:rPr>
              <w:t>加密的电子投标文件（*.hntf 格式，在会员系统指定位置上传）。</w:t>
            </w:r>
          </w:p>
          <w:p>
            <w:pPr>
              <w:spacing w:line="400" w:lineRule="exact"/>
              <w:rPr>
                <w:rFonts w:ascii="宋体" w:hAnsi="宋体"/>
                <w:b/>
                <w:color w:val="000000"/>
                <w:sz w:val="24"/>
              </w:rPr>
            </w:pPr>
            <w:r>
              <w:rPr>
                <w:rFonts w:hint="eastAsia" w:ascii="宋体" w:hAnsi="宋体"/>
                <w:b/>
                <w:color w:val="000000"/>
                <w:sz w:val="24"/>
              </w:rPr>
              <w:t>注：投标人在制作电子投标文件时应按照 “河南省公共资源交易中心（</w:t>
            </w:r>
            <w:r>
              <w:fldChar w:fldCharType="begin"/>
            </w:r>
            <w:r>
              <w:instrText xml:space="preserve"> HYPERLINK "http://www.hnggzy.com" </w:instrText>
            </w:r>
            <w:r>
              <w:fldChar w:fldCharType="separate"/>
            </w:r>
            <w:r>
              <w:rPr>
                <w:rStyle w:val="98"/>
                <w:rFonts w:hint="eastAsia" w:ascii="宋体" w:hAnsi="宋体"/>
                <w:b/>
                <w:color w:val="000000"/>
                <w:sz w:val="24"/>
              </w:rPr>
              <w:t>www.hnggzy.com</w:t>
            </w:r>
            <w:r>
              <w:rPr>
                <w:rStyle w:val="98"/>
                <w:rFonts w:hint="eastAsia" w:ascii="宋体" w:hAnsi="宋体"/>
                <w:b/>
                <w:color w:val="000000"/>
                <w:sz w:val="24"/>
              </w:rPr>
              <w:fldChar w:fldCharType="end"/>
            </w:r>
            <w:r>
              <w:rPr>
                <w:rFonts w:hint="eastAsia" w:ascii="宋体" w:hAnsi="宋体"/>
                <w:b/>
                <w:color w:val="000000"/>
                <w:sz w:val="24"/>
              </w:rPr>
              <w:t>）” 网站提供的“投标文件制作工具”及招标文件要求进行电子签章。</w:t>
            </w:r>
          </w:p>
          <w:p>
            <w:pPr>
              <w:spacing w:line="360" w:lineRule="exact"/>
              <w:jc w:val="left"/>
              <w:rPr>
                <w:rFonts w:ascii="宋体" w:hAnsi="宋体"/>
                <w:b/>
                <w:color w:val="000000"/>
                <w:sz w:val="24"/>
                <w:szCs w:val="24"/>
              </w:rPr>
            </w:pPr>
            <w:r>
              <w:rPr>
                <w:rFonts w:hint="eastAsia" w:ascii="宋体" w:hAnsi="宋体"/>
                <w:b/>
                <w:color w:val="000000"/>
                <w:sz w:val="24"/>
                <w:szCs w:val="24"/>
              </w:rPr>
              <w:t>（</w:t>
            </w:r>
            <w:r>
              <w:rPr>
                <w:rFonts w:ascii="宋体" w:hAnsi="宋体"/>
                <w:b/>
                <w:color w:val="000000"/>
                <w:sz w:val="24"/>
                <w:szCs w:val="24"/>
              </w:rPr>
              <w:t>1</w:t>
            </w:r>
            <w:r>
              <w:rPr>
                <w:rFonts w:hint="eastAsia" w:ascii="宋体" w:hAnsi="宋体"/>
                <w:b/>
                <w:color w:val="000000"/>
                <w:sz w:val="24"/>
                <w:szCs w:val="24"/>
              </w:rPr>
              <w:t>）所有要求投标人加盖公章的地方都应用投标人单位的</w:t>
            </w:r>
            <w:r>
              <w:rPr>
                <w:rFonts w:ascii="宋体" w:hAnsi="宋体"/>
                <w:b/>
                <w:color w:val="000000"/>
                <w:sz w:val="24"/>
                <w:szCs w:val="24"/>
              </w:rPr>
              <w:t>CA</w:t>
            </w:r>
            <w:r>
              <w:rPr>
                <w:rFonts w:hint="eastAsia" w:ascii="宋体" w:hAnsi="宋体"/>
                <w:b/>
                <w:color w:val="000000"/>
                <w:sz w:val="24"/>
                <w:szCs w:val="24"/>
              </w:rPr>
              <w:t>印章。</w:t>
            </w:r>
          </w:p>
          <w:p>
            <w:pPr>
              <w:spacing w:line="400" w:lineRule="exact"/>
              <w:rPr>
                <w:rFonts w:ascii="宋体" w:hAnsi="宋体"/>
                <w:color w:val="000000"/>
                <w:sz w:val="24"/>
                <w:szCs w:val="24"/>
              </w:rPr>
            </w:pPr>
            <w:r>
              <w:rPr>
                <w:rFonts w:hint="eastAsia" w:ascii="宋体" w:hAnsi="宋体"/>
                <w:b/>
                <w:color w:val="000000"/>
                <w:sz w:val="24"/>
                <w:szCs w:val="24"/>
              </w:rPr>
              <w:t>（</w:t>
            </w:r>
            <w:r>
              <w:rPr>
                <w:rFonts w:ascii="宋体" w:hAnsi="宋体"/>
                <w:b/>
                <w:color w:val="000000"/>
                <w:sz w:val="24"/>
                <w:szCs w:val="24"/>
              </w:rPr>
              <w:t>2</w:t>
            </w:r>
            <w:r>
              <w:rPr>
                <w:rFonts w:hint="eastAsia" w:ascii="宋体" w:hAnsi="宋体"/>
                <w:b/>
                <w:color w:val="000000"/>
                <w:sz w:val="24"/>
                <w:szCs w:val="24"/>
              </w:rPr>
              <w:t>）所有要求法定代表人签字的地方都应用法定代表人的</w:t>
            </w:r>
            <w:r>
              <w:rPr>
                <w:rFonts w:ascii="宋体" w:hAnsi="宋体"/>
                <w:b/>
                <w:color w:val="000000"/>
                <w:sz w:val="24"/>
                <w:szCs w:val="24"/>
              </w:rPr>
              <w:t>CA</w:t>
            </w:r>
            <w:r>
              <w:rPr>
                <w:rFonts w:hint="eastAsia" w:ascii="宋体" w:hAnsi="宋体"/>
                <w:b/>
                <w:color w:val="000000"/>
                <w:sz w:val="24"/>
                <w:szCs w:val="24"/>
              </w:rPr>
              <w:t>印章。若有授权代理人，且授权代理人没有</w:t>
            </w:r>
            <w:r>
              <w:rPr>
                <w:rFonts w:ascii="宋体" w:hAnsi="宋体"/>
                <w:b/>
                <w:color w:val="000000"/>
                <w:sz w:val="24"/>
                <w:szCs w:val="24"/>
              </w:rPr>
              <w:t>CA</w:t>
            </w:r>
            <w:r>
              <w:rPr>
                <w:rFonts w:hint="eastAsia" w:ascii="宋体" w:hAnsi="宋体"/>
                <w:b/>
                <w:color w:val="000000"/>
                <w:sz w:val="24"/>
                <w:szCs w:val="24"/>
              </w:rPr>
              <w:t>锁，则投标文件需上传有授权代理人手写签名的扫描件。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auto"/>
                <w:sz w:val="24"/>
                <w:szCs w:val="24"/>
              </w:rPr>
            </w:pPr>
            <w:r>
              <w:rPr>
                <w:rFonts w:hint="eastAsia" w:ascii="宋体" w:hAnsi="宋体"/>
                <w:color w:val="auto"/>
                <w:sz w:val="24"/>
                <w:szCs w:val="24"/>
              </w:rPr>
              <w:t>23.1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auto"/>
                <w:sz w:val="24"/>
                <w:szCs w:val="24"/>
              </w:rPr>
            </w:pPr>
            <w:r>
              <w:rPr>
                <w:rFonts w:hint="eastAsia" w:ascii="宋体" w:hAnsi="宋体"/>
                <w:color w:val="auto"/>
                <w:sz w:val="24"/>
                <w:szCs w:val="24"/>
              </w:rPr>
              <w:t>开标地点：河南</w:t>
            </w:r>
            <w:r>
              <w:rPr>
                <w:rFonts w:hint="eastAsia" w:ascii="宋体" w:hAnsi="宋体"/>
                <w:color w:val="auto"/>
                <w:kern w:val="0"/>
                <w:sz w:val="24"/>
              </w:rPr>
              <w:t>省公共资源交易中心（郑州市农业路东41号投资大厦A座）远程开标室(二)-4。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23.1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sz w:val="24"/>
                <w:szCs w:val="24"/>
              </w:rPr>
            </w:pPr>
            <w:r>
              <w:rPr>
                <w:rFonts w:hint="eastAsia" w:ascii="宋体" w:hAnsi="宋体"/>
                <w:color w:val="000000"/>
                <w:sz w:val="24"/>
                <w:szCs w:val="24"/>
              </w:rPr>
              <w:t>投标文件递交截止时间：</w:t>
            </w:r>
            <w:r>
              <w:rPr>
                <w:rFonts w:hint="eastAsia" w:ascii="宋体" w:hAnsi="宋体"/>
                <w:color w:val="000000"/>
                <w:kern w:val="0"/>
                <w:sz w:val="24"/>
              </w:rPr>
              <w:t>2020年</w:t>
            </w:r>
            <w:r>
              <w:rPr>
                <w:rFonts w:hint="eastAsia" w:ascii="宋体" w:hAnsi="宋体"/>
                <w:color w:val="000000"/>
                <w:kern w:val="0"/>
                <w:sz w:val="24"/>
                <w:lang w:val="en-US" w:eastAsia="zh-CN"/>
              </w:rPr>
              <w:t>10</w:t>
            </w:r>
            <w:r>
              <w:rPr>
                <w:rFonts w:hint="eastAsia" w:ascii="宋体" w:hAnsi="宋体"/>
                <w:color w:val="000000"/>
                <w:kern w:val="0"/>
                <w:sz w:val="24"/>
              </w:rPr>
              <w:t>月</w:t>
            </w:r>
            <w:r>
              <w:rPr>
                <w:rFonts w:hint="eastAsia" w:ascii="宋体" w:hAnsi="宋体"/>
                <w:color w:val="000000"/>
                <w:kern w:val="0"/>
                <w:sz w:val="24"/>
                <w:lang w:val="en-US" w:eastAsia="zh-CN"/>
              </w:rPr>
              <w:t>14</w:t>
            </w:r>
            <w:r>
              <w:rPr>
                <w:rFonts w:hint="eastAsia" w:ascii="宋体" w:hAnsi="宋体"/>
                <w:color w:val="000000"/>
                <w:kern w:val="0"/>
                <w:sz w:val="24"/>
              </w:rPr>
              <w:t>日9时00分（北京时间）。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26.1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sz w:val="24"/>
                <w:szCs w:val="24"/>
              </w:rPr>
            </w:pPr>
            <w:r>
              <w:rPr>
                <w:rFonts w:hint="eastAsia" w:ascii="宋体" w:hAnsi="宋体"/>
                <w:color w:val="000000"/>
                <w:sz w:val="24"/>
                <w:szCs w:val="24"/>
              </w:rPr>
              <w:t>开标时间：</w:t>
            </w:r>
            <w:r>
              <w:rPr>
                <w:rFonts w:hint="eastAsia" w:ascii="宋体" w:hAnsi="宋体"/>
                <w:color w:val="000000"/>
                <w:kern w:val="0"/>
                <w:sz w:val="24"/>
              </w:rPr>
              <w:t>同投标文件递交截止时间。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kern w:val="0"/>
                <w:sz w:val="24"/>
              </w:rPr>
            </w:pPr>
            <w:r>
              <w:rPr>
                <w:rFonts w:hint="eastAsia" w:ascii="宋体" w:hAnsi="宋体"/>
                <w:color w:val="000000"/>
                <w:kern w:val="0"/>
                <w:sz w:val="24"/>
              </w:rPr>
              <w:t>26.1</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kern w:val="0"/>
                <w:sz w:val="24"/>
              </w:rPr>
            </w:pPr>
            <w:r>
              <w:rPr>
                <w:rFonts w:hint="eastAsia" w:ascii="宋体" w:hAnsi="宋体"/>
                <w:color w:val="000000"/>
                <w:kern w:val="0"/>
                <w:sz w:val="24"/>
              </w:rPr>
              <w:t>本次招标项目河南省公共资源交易中心现采用“远程不见面”开标方式，投标人须提前进入远程开标大厅（</w:t>
            </w:r>
            <w:r>
              <w:rPr>
                <w:rFonts w:ascii="宋体" w:hAnsi="宋体"/>
                <w:color w:val="000000"/>
                <w:kern w:val="0"/>
                <w:sz w:val="24"/>
              </w:rPr>
              <w:t>http://www.hnggzy.com/</w:t>
            </w:r>
            <w:r>
              <w:rPr>
                <w:rFonts w:hint="eastAsia" w:ascii="宋体" w:hAnsi="宋体"/>
                <w:color w:val="000000"/>
                <w:kern w:val="0"/>
                <w:sz w:val="24"/>
              </w:rPr>
              <w:t>）进行开标操作和投标文件的解密。具体操作流程及程序，请投标人查阅河南省公共资源交易平台“办事指南”专区的《河南省公共资源交易平台不见面服务系统使用指南》。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7" w:hRule="atLeast"/>
          <w:jc w:val="center"/>
        </w:trPr>
        <w:tc>
          <w:tcPr>
            <w:tcW w:w="8362" w:type="dxa"/>
            <w:gridSpan w:val="2"/>
            <w:tcBorders>
              <w:top w:val="single" w:color="auto" w:sz="6" w:space="0"/>
              <w:left w:val="double" w:color="auto" w:sz="4" w:space="0"/>
              <w:bottom w:val="single" w:color="auto" w:sz="6" w:space="0"/>
              <w:right w:val="double" w:color="auto" w:sz="4" w:space="0"/>
            </w:tcBorders>
          </w:tcPr>
          <w:p>
            <w:pPr>
              <w:spacing w:line="400" w:lineRule="exact"/>
              <w:jc w:val="center"/>
              <w:rPr>
                <w:rFonts w:ascii="宋体" w:hAnsi="宋体"/>
                <w:b/>
                <w:bCs/>
                <w:color w:val="000000"/>
                <w:sz w:val="24"/>
                <w:szCs w:val="24"/>
              </w:rPr>
            </w:pPr>
            <w:r>
              <w:rPr>
                <w:rFonts w:hint="eastAsia" w:ascii="宋体" w:hAnsi="宋体"/>
                <w:b/>
                <w:bCs/>
                <w:color w:val="000000"/>
                <w:sz w:val="24"/>
                <w:szCs w:val="24"/>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30" w:type="dxa"/>
            <w:tcBorders>
              <w:top w:val="single" w:color="auto" w:sz="6" w:space="0"/>
              <w:left w:val="double" w:color="auto" w:sz="4" w:space="0"/>
              <w:bottom w:val="single" w:color="auto" w:sz="4"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30</w:t>
            </w:r>
          </w:p>
        </w:tc>
        <w:tc>
          <w:tcPr>
            <w:tcW w:w="7432" w:type="dxa"/>
            <w:tcBorders>
              <w:top w:val="single" w:color="auto" w:sz="6" w:space="0"/>
              <w:left w:val="single" w:color="auto" w:sz="6" w:space="0"/>
              <w:bottom w:val="single" w:color="auto" w:sz="4" w:space="0"/>
              <w:right w:val="double" w:color="auto" w:sz="4" w:space="0"/>
            </w:tcBorders>
          </w:tcPr>
          <w:p>
            <w:pPr>
              <w:spacing w:line="360" w:lineRule="auto"/>
              <w:rPr>
                <w:rFonts w:ascii="宋体" w:hAnsi="宋体"/>
                <w:color w:val="000000"/>
                <w:sz w:val="24"/>
              </w:rPr>
            </w:pPr>
            <w:r>
              <w:rPr>
                <w:rFonts w:hint="eastAsia" w:ascii="宋体" w:hAnsi="宋体"/>
                <w:color w:val="000000"/>
                <w:sz w:val="24"/>
              </w:rPr>
              <w:t>评标方法：综合评分法（详见后附表）</w:t>
            </w:r>
          </w:p>
          <w:p>
            <w:pPr>
              <w:spacing w:line="360" w:lineRule="auto"/>
              <w:rPr>
                <w:rFonts w:ascii="宋体" w:hAnsi="宋体"/>
                <w:color w:val="000000"/>
                <w:sz w:val="24"/>
              </w:rPr>
            </w:pPr>
            <w:r>
              <w:rPr>
                <w:rFonts w:hint="eastAsia" w:ascii="宋体" w:hAnsi="宋体"/>
                <w:color w:val="000000"/>
                <w:sz w:val="24"/>
              </w:rPr>
              <w:t>一、评标原则</w:t>
            </w:r>
          </w:p>
          <w:p>
            <w:pPr>
              <w:spacing w:line="360" w:lineRule="auto"/>
              <w:ind w:firstLine="210"/>
              <w:rPr>
                <w:rFonts w:ascii="宋体" w:hAnsi="宋体"/>
                <w:color w:val="000000"/>
                <w:sz w:val="24"/>
              </w:rPr>
            </w:pPr>
            <w:r>
              <w:rPr>
                <w:rFonts w:ascii="宋体" w:hAnsi="宋体"/>
                <w:color w:val="000000"/>
                <w:sz w:val="24"/>
              </w:rPr>
              <w:t>1</w:t>
            </w:r>
            <w:r>
              <w:rPr>
                <w:rFonts w:hint="eastAsia" w:ascii="宋体" w:hAnsi="宋体"/>
                <w:color w:val="000000"/>
                <w:sz w:val="24"/>
              </w:rPr>
              <w:t>、按照“公正、公平、公开”的原则对待所有投标人；</w:t>
            </w:r>
          </w:p>
          <w:p>
            <w:pPr>
              <w:spacing w:line="360" w:lineRule="auto"/>
              <w:ind w:firstLine="210"/>
              <w:rPr>
                <w:rFonts w:ascii="宋体" w:hAnsi="宋体"/>
                <w:color w:val="000000"/>
                <w:sz w:val="24"/>
              </w:rPr>
            </w:pPr>
            <w:r>
              <w:rPr>
                <w:rFonts w:ascii="宋体" w:hAnsi="宋体"/>
                <w:color w:val="000000"/>
                <w:sz w:val="24"/>
              </w:rPr>
              <w:t>2</w:t>
            </w:r>
            <w:r>
              <w:rPr>
                <w:rFonts w:hint="eastAsia" w:ascii="宋体" w:hAnsi="宋体"/>
                <w:color w:val="000000"/>
                <w:sz w:val="24"/>
              </w:rPr>
              <w:t>、坚持招标文件的所有相关规定，公平评标。</w:t>
            </w:r>
          </w:p>
          <w:p>
            <w:pPr>
              <w:spacing w:line="360" w:lineRule="auto"/>
              <w:rPr>
                <w:rFonts w:ascii="宋体" w:hAnsi="宋体"/>
                <w:color w:val="000000"/>
                <w:sz w:val="24"/>
              </w:rPr>
            </w:pPr>
            <w:r>
              <w:rPr>
                <w:rFonts w:hint="eastAsia" w:ascii="宋体" w:hAnsi="宋体"/>
                <w:color w:val="000000"/>
                <w:sz w:val="24"/>
              </w:rPr>
              <w:t>二、评标方法</w:t>
            </w:r>
          </w:p>
          <w:p>
            <w:pPr>
              <w:spacing w:line="500" w:lineRule="exact"/>
              <w:ind w:firstLine="480" w:firstLineChars="200"/>
              <w:rPr>
                <w:rFonts w:ascii="宋体" w:hAnsi="宋体" w:cs="宋体"/>
                <w:sz w:val="24"/>
              </w:rPr>
            </w:pPr>
            <w:r>
              <w:rPr>
                <w:rFonts w:hint="eastAsia" w:ascii="宋体" w:hAnsi="宋体"/>
                <w:color w:val="000000"/>
                <w:sz w:val="24"/>
              </w:rPr>
              <w:t>综合评分法，评标委员会根据评标原则和办法对所有资格性审查合格的投标文件进行集中审核，分别评标，对实质响应招标文件的投标综合评定并计算打分，</w:t>
            </w:r>
            <w:r>
              <w:rPr>
                <w:rFonts w:hint="eastAsia" w:ascii="宋体" w:hAnsi="宋体" w:cs="宋体"/>
                <w:sz w:val="24"/>
              </w:rPr>
              <w:t>按照综合得分由高到低的顺序推荐3名中标候选人，由采购人依法确定中标人。</w:t>
            </w:r>
          </w:p>
          <w:p>
            <w:pPr>
              <w:spacing w:line="360" w:lineRule="auto"/>
              <w:ind w:left="60"/>
              <w:jc w:val="left"/>
              <w:rPr>
                <w:rFonts w:ascii="宋体" w:hAnsi="宋体"/>
                <w:color w:val="000000"/>
                <w:sz w:val="24"/>
              </w:rPr>
            </w:pPr>
            <w:r>
              <w:rPr>
                <w:rFonts w:hint="eastAsia" w:ascii="宋体" w:hAnsi="宋体" w:cs="宋体"/>
                <w:b/>
                <w:bCs/>
                <w:color w:val="000000"/>
                <w:sz w:val="24"/>
              </w:rPr>
              <w:t>评标细则见后附表。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26</w:t>
            </w:r>
          </w:p>
        </w:tc>
        <w:tc>
          <w:tcPr>
            <w:tcW w:w="7432" w:type="dxa"/>
            <w:tcBorders>
              <w:top w:val="single" w:color="auto" w:sz="6" w:space="0"/>
              <w:left w:val="single" w:color="auto" w:sz="6" w:space="0"/>
              <w:bottom w:val="single" w:color="auto" w:sz="6" w:space="0"/>
              <w:right w:val="double" w:color="auto" w:sz="4" w:space="0"/>
            </w:tcBorders>
          </w:tcPr>
          <w:p>
            <w:pPr>
              <w:spacing w:line="400" w:lineRule="exact"/>
              <w:rPr>
                <w:rFonts w:ascii="宋体" w:hAnsi="宋体"/>
                <w:color w:val="000000"/>
                <w:sz w:val="24"/>
                <w:szCs w:val="24"/>
              </w:rPr>
            </w:pPr>
            <w:r>
              <w:rPr>
                <w:rFonts w:hint="eastAsia" w:ascii="宋体" w:hAnsi="宋体"/>
                <w:color w:val="000000"/>
                <w:sz w:val="24"/>
                <w:szCs w:val="24"/>
              </w:rPr>
              <w:t>付款条件的偏离：不接受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8362" w:type="dxa"/>
            <w:gridSpan w:val="2"/>
            <w:tcBorders>
              <w:top w:val="single" w:color="auto" w:sz="6" w:space="0"/>
              <w:left w:val="double" w:color="auto" w:sz="4" w:space="0"/>
              <w:bottom w:val="single" w:color="auto" w:sz="6" w:space="0"/>
              <w:right w:val="double" w:color="auto" w:sz="4" w:space="0"/>
            </w:tcBorders>
            <w:vAlign w:val="center"/>
          </w:tcPr>
          <w:p>
            <w:pPr>
              <w:spacing w:line="400" w:lineRule="exact"/>
              <w:jc w:val="center"/>
              <w:rPr>
                <w:rFonts w:ascii="宋体" w:hAnsi="宋体"/>
                <w:b/>
                <w:bCs/>
                <w:color w:val="000000"/>
                <w:sz w:val="24"/>
                <w:szCs w:val="24"/>
              </w:rPr>
            </w:pPr>
            <w:r>
              <w:rPr>
                <w:rFonts w:hint="eastAsia" w:ascii="宋体" w:hAnsi="宋体"/>
                <w:b/>
                <w:bCs/>
                <w:color w:val="000000"/>
                <w:sz w:val="24"/>
                <w:szCs w:val="24"/>
              </w:rPr>
              <w:t>授  予  合   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30" w:type="dxa"/>
            <w:tcBorders>
              <w:top w:val="single" w:color="auto" w:sz="6" w:space="0"/>
              <w:left w:val="double" w:color="auto" w:sz="4" w:space="0"/>
              <w:bottom w:val="single" w:color="auto" w:sz="6" w:space="0"/>
              <w:right w:val="single" w:color="auto" w:sz="6" w:space="0"/>
            </w:tcBorders>
            <w:vAlign w:val="center"/>
          </w:tcPr>
          <w:p>
            <w:pPr>
              <w:spacing w:line="400" w:lineRule="exact"/>
              <w:jc w:val="center"/>
              <w:rPr>
                <w:rFonts w:ascii="宋体" w:hAnsi="宋体"/>
                <w:color w:val="000000"/>
                <w:sz w:val="24"/>
                <w:szCs w:val="24"/>
              </w:rPr>
            </w:pPr>
            <w:r>
              <w:rPr>
                <w:rFonts w:hint="eastAsia" w:ascii="宋体" w:hAnsi="宋体"/>
                <w:color w:val="000000"/>
                <w:sz w:val="24"/>
                <w:szCs w:val="24"/>
              </w:rPr>
              <w:t>38</w:t>
            </w:r>
          </w:p>
        </w:tc>
        <w:tc>
          <w:tcPr>
            <w:tcW w:w="7432" w:type="dxa"/>
            <w:tcBorders>
              <w:top w:val="single" w:color="auto" w:sz="6" w:space="0"/>
              <w:left w:val="single" w:color="auto" w:sz="6" w:space="0"/>
              <w:bottom w:val="single" w:color="auto" w:sz="6" w:space="0"/>
              <w:right w:val="double" w:color="auto" w:sz="4" w:space="0"/>
            </w:tcBorders>
            <w:vAlign w:val="center"/>
          </w:tcPr>
          <w:p>
            <w:pPr>
              <w:spacing w:line="400" w:lineRule="exact"/>
              <w:rPr>
                <w:rFonts w:ascii="宋体" w:hAnsi="宋体"/>
                <w:color w:val="000000"/>
                <w:sz w:val="24"/>
                <w:szCs w:val="24"/>
              </w:rPr>
            </w:pPr>
            <w:r>
              <w:rPr>
                <w:rFonts w:hint="eastAsia" w:ascii="宋体" w:hAnsi="宋体"/>
                <w:color w:val="000000"/>
                <w:sz w:val="24"/>
                <w:szCs w:val="24"/>
              </w:rPr>
              <w:t>数量增减范围：</w:t>
            </w:r>
            <w:r>
              <w:rPr>
                <w:color w:val="000000"/>
                <w:sz w:val="24"/>
                <w:szCs w:val="24"/>
              </w:rPr>
              <w:t>≤10%</w:t>
            </w:r>
          </w:p>
        </w:tc>
      </w:tr>
    </w:tbl>
    <w:p>
      <w:pPr>
        <w:adjustRightInd w:val="0"/>
        <w:rPr>
          <w:rFonts w:ascii="宋体" w:hAnsi="宋体"/>
          <w:b/>
          <w:color w:val="000000"/>
          <w:kern w:val="0"/>
          <w:sz w:val="24"/>
          <w:szCs w:val="20"/>
        </w:rPr>
      </w:pPr>
      <w:r>
        <w:rPr>
          <w:rFonts w:ascii="宋体" w:hAnsi="宋体"/>
          <w:b/>
          <w:color w:val="000000"/>
          <w:kern w:val="0"/>
          <w:sz w:val="24"/>
          <w:szCs w:val="20"/>
        </w:rPr>
        <w:br w:type="page"/>
      </w:r>
    </w:p>
    <w:p>
      <w:pPr>
        <w:pStyle w:val="5"/>
      </w:pPr>
      <w:bookmarkStart w:id="99" w:name="_Toc22455"/>
      <w:r>
        <w:rPr>
          <w:rFonts w:hint="eastAsia"/>
        </w:rPr>
        <w:t>第七章 合同条款资料表</w:t>
      </w:r>
      <w:bookmarkEnd w:id="99"/>
    </w:p>
    <w:p>
      <w:pPr>
        <w:adjustRightInd w:val="0"/>
        <w:ind w:firstLine="560"/>
        <w:rPr>
          <w:rFonts w:ascii="宋体" w:hAnsi="宋体"/>
          <w:color w:val="000000"/>
          <w:kern w:val="0"/>
          <w:sz w:val="24"/>
          <w:szCs w:val="24"/>
        </w:rPr>
      </w:pPr>
      <w:r>
        <w:rPr>
          <w:rFonts w:hint="eastAsia" w:ascii="宋体" w:hAnsi="宋体"/>
          <w:color w:val="000000"/>
          <w:kern w:val="0"/>
          <w:sz w:val="24"/>
          <w:szCs w:val="24"/>
        </w:rPr>
        <w:t>本表关于要采购的货物的具体资料是对合同条款的具体补充和修改，如有矛盾，应以本资料表为准。</w:t>
      </w:r>
    </w:p>
    <w:tbl>
      <w:tblPr>
        <w:tblStyle w:val="88"/>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0"/>
        <w:gridCol w:w="703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4" w:hRule="atLeast"/>
          <w:jc w:val="center"/>
        </w:trPr>
        <w:tc>
          <w:tcPr>
            <w:tcW w:w="1470" w:type="dxa"/>
            <w:tcBorders>
              <w:top w:val="doub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aps/>
                <w:color w:val="000000"/>
                <w:spacing w:val="2"/>
                <w:sz w:val="24"/>
                <w:szCs w:val="24"/>
              </w:rPr>
            </w:pPr>
            <w:r>
              <w:rPr>
                <w:rFonts w:hint="eastAsia" w:ascii="宋体" w:hAnsi="宋体"/>
                <w:caps/>
                <w:color w:val="000000"/>
                <w:spacing w:val="2"/>
                <w:sz w:val="24"/>
                <w:szCs w:val="24"/>
              </w:rPr>
              <w:t>条款号</w:t>
            </w:r>
          </w:p>
        </w:tc>
        <w:tc>
          <w:tcPr>
            <w:tcW w:w="7035" w:type="dxa"/>
            <w:tcBorders>
              <w:top w:val="double" w:color="000000" w:sz="6" w:space="0"/>
              <w:left w:val="single" w:color="000000" w:sz="6" w:space="0"/>
              <w:bottom w:val="single" w:color="000000" w:sz="6" w:space="0"/>
              <w:right w:val="double" w:color="000000" w:sz="6" w:space="0"/>
            </w:tcBorders>
            <w:vAlign w:val="center"/>
          </w:tcPr>
          <w:p>
            <w:pPr>
              <w:spacing w:line="300" w:lineRule="auto"/>
              <w:jc w:val="center"/>
              <w:rPr>
                <w:rFonts w:ascii="宋体" w:hAnsi="宋体"/>
                <w:b/>
                <w:caps/>
                <w:color w:val="000000"/>
                <w:spacing w:val="2"/>
                <w:sz w:val="24"/>
                <w:szCs w:val="24"/>
              </w:rPr>
            </w:pPr>
            <w:r>
              <w:rPr>
                <w:rFonts w:hint="eastAsia" w:ascii="宋体" w:hAnsi="宋体"/>
                <w:b/>
                <w:caps/>
                <w:color w:val="000000"/>
                <w:spacing w:val="2"/>
                <w:sz w:val="24"/>
                <w:szCs w:val="24"/>
              </w:rPr>
              <w:t>内容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6" w:hRule="atLeast"/>
          <w:jc w:val="center"/>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1.1</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买方名称：河南省体育中心</w:t>
            </w:r>
          </w:p>
          <w:p>
            <w:pPr>
              <w:spacing w:line="360" w:lineRule="auto"/>
              <w:rPr>
                <w:rFonts w:ascii="宋体" w:hAnsi="宋体"/>
                <w:color w:val="000000"/>
                <w:sz w:val="24"/>
                <w:szCs w:val="24"/>
              </w:rPr>
            </w:pPr>
            <w:r>
              <w:rPr>
                <w:rFonts w:hint="eastAsia" w:ascii="宋体" w:hAnsi="宋体"/>
                <w:bCs/>
                <w:color w:val="000000"/>
                <w:sz w:val="24"/>
                <w:szCs w:val="24"/>
              </w:rPr>
              <w:t>交货地点：用户指定地点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1" w:hRule="atLeast"/>
          <w:jc w:val="center"/>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7.1</w:t>
            </w:r>
          </w:p>
        </w:tc>
        <w:tc>
          <w:tcPr>
            <w:tcW w:w="7035" w:type="dxa"/>
            <w:tcBorders>
              <w:top w:val="single" w:color="000000" w:sz="6" w:space="0"/>
              <w:left w:val="single" w:color="000000" w:sz="6" w:space="0"/>
              <w:bottom w:val="single" w:color="000000" w:sz="6" w:space="0"/>
              <w:right w:val="double" w:color="000000" w:sz="6" w:space="0"/>
            </w:tcBorders>
            <w:vAlign w:val="center"/>
          </w:tcPr>
          <w:p>
            <w:pPr>
              <w:pStyle w:val="336"/>
              <w:spacing w:line="380" w:lineRule="exact"/>
              <w:rPr>
                <w:rFonts w:hAnsi="宋体"/>
                <w:bCs/>
                <w:color w:val="auto"/>
              </w:rPr>
            </w:pPr>
            <w:r>
              <w:rPr>
                <w:rFonts w:hint="eastAsia" w:hAnsi="宋体"/>
                <w:bCs/>
                <w:color w:val="auto"/>
              </w:rPr>
              <w:t>履约保证金金额：</w:t>
            </w:r>
            <w:r>
              <w:rPr>
                <w:rFonts w:hint="eastAsia" w:hAnsi="宋体"/>
                <w:color w:val="auto"/>
              </w:rPr>
              <w:t>中标供应商在签订合同之前应将中标总价的5%交至采购人指定账户。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13" w:hRule="atLeast"/>
          <w:jc w:val="center"/>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17.2</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sz w:val="24"/>
                <w:szCs w:val="24"/>
              </w:rPr>
            </w:pPr>
            <w:r>
              <w:rPr>
                <w:rFonts w:hint="eastAsia" w:ascii="宋体" w:hAnsi="宋体"/>
                <w:sz w:val="24"/>
                <w:szCs w:val="24"/>
              </w:rPr>
              <w:t>备品备件要求 ：投标人自行承诺。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jc w:val="center"/>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18.2</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360" w:lineRule="auto"/>
              <w:rPr>
                <w:rFonts w:ascii="宋体" w:hAnsi="宋体"/>
                <w:sz w:val="24"/>
                <w:szCs w:val="24"/>
              </w:rPr>
            </w:pPr>
            <w:r>
              <w:rPr>
                <w:rFonts w:hint="eastAsia" w:ascii="宋体" w:hAnsi="宋体"/>
                <w:sz w:val="24"/>
                <w:szCs w:val="24"/>
              </w:rPr>
              <w:t>质量保证期：2年。</w:t>
            </w:r>
            <w:r>
              <w:rPr>
                <w:rFonts w:ascii="宋体" w:hAnsi="宋体"/>
                <w:sz w:val="24"/>
                <w:szCs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470" w:type="dxa"/>
            <w:tcBorders>
              <w:top w:val="single" w:color="000000" w:sz="6" w:space="0"/>
              <w:left w:val="double" w:color="000000" w:sz="6" w:space="0"/>
              <w:bottom w:val="sing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18.4</w:t>
            </w:r>
          </w:p>
        </w:tc>
        <w:tc>
          <w:tcPr>
            <w:tcW w:w="7035" w:type="dxa"/>
            <w:tcBorders>
              <w:top w:val="single" w:color="000000" w:sz="6" w:space="0"/>
              <w:left w:val="single" w:color="000000" w:sz="6" w:space="0"/>
              <w:bottom w:val="single" w:color="000000" w:sz="6" w:space="0"/>
              <w:right w:val="double" w:color="000000" w:sz="6" w:space="0"/>
            </w:tcBorders>
            <w:vAlign w:val="center"/>
          </w:tcPr>
          <w:p>
            <w:pPr>
              <w:spacing w:line="400" w:lineRule="exact"/>
              <w:rPr>
                <w:rFonts w:ascii="宋体" w:hAnsi="宋体"/>
                <w:sz w:val="24"/>
                <w:szCs w:val="24"/>
              </w:rPr>
            </w:pPr>
            <w:r>
              <w:rPr>
                <w:rFonts w:hint="eastAsia" w:ascii="宋体" w:hAnsi="宋体"/>
                <w:sz w:val="24"/>
                <w:szCs w:val="24"/>
              </w:rPr>
              <w:t>应提供的服务：</w:t>
            </w:r>
            <w:r>
              <w:rPr>
                <w:rFonts w:hint="eastAsia" w:ascii="宋体" w:hAnsi="宋体"/>
                <w:sz w:val="24"/>
              </w:rPr>
              <w:t>按照招标文件要求提供服务。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1" w:hRule="atLeast"/>
          <w:jc w:val="center"/>
        </w:trPr>
        <w:tc>
          <w:tcPr>
            <w:tcW w:w="1470" w:type="dxa"/>
            <w:tcBorders>
              <w:top w:val="single" w:color="000000" w:sz="6" w:space="0"/>
              <w:left w:val="double" w:color="000000" w:sz="6" w:space="0"/>
              <w:bottom w:val="double" w:color="000000" w:sz="6" w:space="0"/>
              <w:right w:val="single" w:color="000000" w:sz="6" w:space="0"/>
            </w:tcBorders>
            <w:vAlign w:val="center"/>
          </w:tcPr>
          <w:p>
            <w:pPr>
              <w:spacing w:line="300" w:lineRule="auto"/>
              <w:jc w:val="center"/>
              <w:rPr>
                <w:rFonts w:ascii="宋体" w:hAnsi="宋体"/>
                <w:color w:val="000000"/>
                <w:spacing w:val="2"/>
                <w:sz w:val="24"/>
                <w:szCs w:val="24"/>
              </w:rPr>
            </w:pPr>
            <w:r>
              <w:rPr>
                <w:rFonts w:ascii="宋体" w:hAnsi="宋体"/>
                <w:color w:val="000000"/>
                <w:spacing w:val="2"/>
                <w:sz w:val="24"/>
                <w:szCs w:val="24"/>
              </w:rPr>
              <w:t>20.1</w:t>
            </w:r>
          </w:p>
        </w:tc>
        <w:tc>
          <w:tcPr>
            <w:tcW w:w="7035" w:type="dxa"/>
            <w:tcBorders>
              <w:top w:val="single" w:color="000000" w:sz="6" w:space="0"/>
              <w:left w:val="single" w:color="000000" w:sz="6" w:space="0"/>
              <w:bottom w:val="double" w:color="000000" w:sz="6" w:space="0"/>
              <w:right w:val="double" w:color="000000" w:sz="6" w:space="0"/>
            </w:tcBorders>
            <w:vAlign w:val="center"/>
          </w:tcPr>
          <w:p>
            <w:pPr>
              <w:spacing w:line="400" w:lineRule="exact"/>
              <w:rPr>
                <w:rFonts w:ascii="宋体"/>
                <w:sz w:val="24"/>
              </w:rPr>
            </w:pPr>
            <w:r>
              <w:rPr>
                <w:rFonts w:hint="eastAsia" w:ascii="宋体" w:hAnsi="宋体"/>
                <w:sz w:val="24"/>
              </w:rPr>
              <w:t>付款和验收：</w:t>
            </w:r>
          </w:p>
          <w:p>
            <w:pPr>
              <w:spacing w:line="360" w:lineRule="auto"/>
              <w:rPr>
                <w:sz w:val="24"/>
              </w:rPr>
            </w:pPr>
            <w:r>
              <w:rPr>
                <w:sz w:val="24"/>
              </w:rPr>
              <w:t>1</w:t>
            </w:r>
            <w:r>
              <w:rPr>
                <w:rFonts w:hint="eastAsia"/>
                <w:sz w:val="24"/>
              </w:rPr>
              <w:t>、合同由中标人凭招标机构签发的《中标通知书》，按规定时间和地点与需方签订，合同一式六份，需方、中标人、财政部门、招标机构各一份。</w:t>
            </w:r>
          </w:p>
          <w:p>
            <w:pPr>
              <w:spacing w:line="360" w:lineRule="auto"/>
              <w:rPr>
                <w:sz w:val="24"/>
              </w:rPr>
            </w:pPr>
            <w:r>
              <w:rPr>
                <w:sz w:val="24"/>
              </w:rPr>
              <w:t>2</w:t>
            </w:r>
            <w:r>
              <w:rPr>
                <w:rFonts w:hint="eastAsia"/>
                <w:sz w:val="24"/>
              </w:rPr>
              <w:t>、验收：需方在供方所交的货物安装、调试，正常运行</w:t>
            </w:r>
            <w:r>
              <w:rPr>
                <w:sz w:val="24"/>
              </w:rPr>
              <w:t>15</w:t>
            </w:r>
            <w:r>
              <w:rPr>
                <w:rFonts w:hint="eastAsia"/>
                <w:sz w:val="24"/>
              </w:rPr>
              <w:t>日内进行验收，填写设备验收证明。由中标方将验收证明一式五份上报河南省体育中心。</w:t>
            </w:r>
          </w:p>
          <w:p>
            <w:pPr>
              <w:spacing w:line="360" w:lineRule="auto"/>
              <w:rPr>
                <w:rFonts w:ascii="宋体" w:hAnsi="宋体"/>
                <w:sz w:val="24"/>
                <w:szCs w:val="24"/>
              </w:rPr>
            </w:pPr>
            <w:r>
              <w:rPr>
                <w:sz w:val="24"/>
              </w:rPr>
              <w:t>3</w:t>
            </w:r>
            <w:r>
              <w:rPr>
                <w:rFonts w:hint="eastAsia"/>
                <w:sz w:val="24"/>
              </w:rPr>
              <w:t>、付款方式：合同签订前乙方向甲方支付合同总价的5%作为履约保证金。主要设备全部到场后支付合同价款的50%，设备安装调试完毕验收合格后，支付至合同总价的97%，剩余3%质量保证金。自设备验收合格之日起正常运行满二年后，无质量和服务问题一次性无息退还质量保证金。</w:t>
            </w:r>
            <w:r>
              <w:rPr>
                <w:rFonts w:ascii="宋体" w:hAnsi="宋体"/>
                <w:sz w:val="24"/>
                <w:szCs w:val="24"/>
              </w:rPr>
              <w:t xml:space="preserve"> </w:t>
            </w:r>
          </w:p>
        </w:tc>
      </w:tr>
    </w:tbl>
    <w:p>
      <w:pPr>
        <w:adjustRightInd w:val="0"/>
        <w:jc w:val="center"/>
        <w:rPr>
          <w:rFonts w:ascii="宋体" w:hAnsi="宋体"/>
          <w:color w:val="000000"/>
          <w:kern w:val="0"/>
          <w:sz w:val="24"/>
          <w:szCs w:val="24"/>
        </w:rPr>
      </w:pPr>
    </w:p>
    <w:p>
      <w:pPr>
        <w:adjustRightInd w:val="0"/>
        <w:jc w:val="left"/>
        <w:rPr>
          <w:rFonts w:ascii="宋体" w:hAnsi="宋体"/>
          <w:color w:val="000000"/>
          <w:kern w:val="0"/>
          <w:sz w:val="24"/>
          <w:szCs w:val="24"/>
        </w:rPr>
      </w:pPr>
    </w:p>
    <w:p>
      <w:pPr>
        <w:pStyle w:val="5"/>
      </w:pPr>
      <w:r>
        <w:rPr>
          <w:rFonts w:hint="eastAsia" w:ascii="宋体" w:hAnsi="宋体"/>
          <w:color w:val="000000"/>
          <w:kern w:val="0"/>
          <w:sz w:val="24"/>
        </w:rPr>
        <w:br w:type="page"/>
      </w:r>
      <w:bookmarkStart w:id="100" w:name="_Toc20005"/>
      <w:r>
        <w:rPr>
          <w:rFonts w:hint="eastAsia"/>
        </w:rPr>
        <w:t>第八章 货物需求及技术规格要求</w:t>
      </w:r>
      <w:bookmarkEnd w:id="100"/>
    </w:p>
    <w:p>
      <w:pPr>
        <w:spacing w:line="360" w:lineRule="auto"/>
        <w:ind w:left="420"/>
        <w:rPr>
          <w:rFonts w:ascii="宋体" w:hAnsi="宋体" w:cs="微软雅黑"/>
          <w:sz w:val="24"/>
          <w:szCs w:val="24"/>
          <w:shd w:val="clear" w:color="auto" w:fill="FFFFFF"/>
        </w:rPr>
      </w:pPr>
      <w:r>
        <w:rPr>
          <w:rFonts w:hint="eastAsia" w:ascii="宋体" w:hAnsi="宋体" w:cs="微软雅黑"/>
          <w:sz w:val="24"/>
          <w:szCs w:val="24"/>
          <w:shd w:val="clear" w:color="auto" w:fill="FFFFFF"/>
        </w:rPr>
        <w:t>一、项目名称及项目概况：</w:t>
      </w:r>
    </w:p>
    <w:p>
      <w:pPr>
        <w:spacing w:line="360" w:lineRule="auto"/>
        <w:ind w:firstLine="424" w:firstLineChars="177"/>
        <w:rPr>
          <w:rFonts w:ascii="宋体" w:hAnsi="宋体" w:cs="微软雅黑"/>
          <w:sz w:val="24"/>
          <w:szCs w:val="24"/>
          <w:shd w:val="clear" w:color="auto" w:fill="FFFFFF"/>
        </w:rPr>
      </w:pPr>
      <w:r>
        <w:rPr>
          <w:rFonts w:hint="eastAsia" w:ascii="宋体" w:hAnsi="宋体" w:cs="微软雅黑"/>
          <w:sz w:val="24"/>
          <w:szCs w:val="24"/>
          <w:shd w:val="clear" w:color="auto" w:fill="FFFFFF"/>
        </w:rPr>
        <w:t>1、项目名称：河南省体育中心游泳跳水馆臭氧设备更换项目。</w:t>
      </w:r>
    </w:p>
    <w:p>
      <w:pPr>
        <w:spacing w:line="360" w:lineRule="auto"/>
        <w:ind w:firstLine="424" w:firstLineChars="177"/>
        <w:rPr>
          <w:rFonts w:ascii="宋体" w:hAnsi="宋体" w:cs="微软雅黑"/>
          <w:sz w:val="24"/>
          <w:szCs w:val="24"/>
          <w:shd w:val="clear" w:color="auto" w:fill="FFFFFF"/>
        </w:rPr>
      </w:pPr>
      <w:r>
        <w:rPr>
          <w:rFonts w:hint="eastAsia" w:ascii="宋体" w:hAnsi="宋体" w:cs="微软雅黑"/>
          <w:sz w:val="24"/>
          <w:szCs w:val="24"/>
          <w:shd w:val="clear" w:color="auto" w:fill="FFFFFF"/>
        </w:rPr>
        <w:t>2、质量保证期：2年。</w:t>
      </w:r>
    </w:p>
    <w:p>
      <w:pPr>
        <w:spacing w:line="360" w:lineRule="auto"/>
        <w:ind w:firstLine="424" w:firstLineChars="177"/>
        <w:rPr>
          <w:rFonts w:ascii="宋体" w:hAnsi="宋体" w:cs="微软雅黑"/>
          <w:sz w:val="24"/>
          <w:szCs w:val="24"/>
          <w:shd w:val="clear" w:color="auto" w:fill="FFFFFF"/>
        </w:rPr>
      </w:pPr>
      <w:r>
        <w:rPr>
          <w:rFonts w:hint="eastAsia" w:ascii="宋体" w:hAnsi="宋体" w:cs="微软雅黑"/>
          <w:sz w:val="24"/>
          <w:szCs w:val="24"/>
          <w:shd w:val="clear" w:color="auto" w:fill="FFFFFF"/>
        </w:rPr>
        <w:t>3、本次项目共分1个包，预算为</w:t>
      </w:r>
      <w:r>
        <w:rPr>
          <w:rFonts w:hint="eastAsia" w:ascii="宋体" w:hAnsi="宋体"/>
          <w:sz w:val="24"/>
          <w:szCs w:val="24"/>
        </w:rPr>
        <w:t>1764390</w:t>
      </w:r>
      <w:r>
        <w:rPr>
          <w:rFonts w:hint="eastAsia" w:ascii="宋体" w:hAnsi="宋体" w:cs="微软雅黑"/>
          <w:sz w:val="24"/>
          <w:szCs w:val="24"/>
          <w:shd w:val="clear" w:color="auto" w:fill="FFFFFF"/>
        </w:rPr>
        <w:t>元人民币。投标人投标报价不得超出采购预算，否则将被视为无效投标。</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040"/>
        <w:gridCol w:w="900"/>
        <w:gridCol w:w="1523"/>
        <w:gridCol w:w="207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80"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项目名称</w:t>
            </w:r>
          </w:p>
        </w:tc>
        <w:tc>
          <w:tcPr>
            <w:tcW w:w="2040"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货物名称</w:t>
            </w:r>
          </w:p>
        </w:tc>
        <w:tc>
          <w:tcPr>
            <w:tcW w:w="900" w:type="dxa"/>
            <w:vAlign w:val="center"/>
          </w:tcPr>
          <w:p>
            <w:pPr>
              <w:snapToGrid w:val="0"/>
              <w:spacing w:line="360" w:lineRule="auto"/>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数量</w:t>
            </w:r>
          </w:p>
        </w:tc>
        <w:tc>
          <w:tcPr>
            <w:tcW w:w="1523"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预算价</w:t>
            </w:r>
          </w:p>
        </w:tc>
        <w:tc>
          <w:tcPr>
            <w:tcW w:w="2077"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交货期</w:t>
            </w:r>
          </w:p>
        </w:tc>
        <w:tc>
          <w:tcPr>
            <w:tcW w:w="1329" w:type="dxa"/>
          </w:tcPr>
          <w:p>
            <w:pPr>
              <w:snapToGrid w:val="0"/>
              <w:spacing w:line="360" w:lineRule="auto"/>
              <w:rPr>
                <w:rFonts w:ascii="宋体" w:hAnsi="宋体" w:cs="微软雅黑"/>
                <w:sz w:val="24"/>
                <w:szCs w:val="24"/>
                <w:shd w:val="clear" w:color="auto" w:fill="FFFFFF"/>
              </w:rPr>
            </w:pPr>
            <w:r>
              <w:rPr>
                <w:rFonts w:hint="eastAsia" w:ascii="宋体" w:hAnsi="宋体" w:cs="微软雅黑"/>
                <w:sz w:val="24"/>
                <w:szCs w:val="24"/>
                <w:shd w:val="clear" w:color="auto" w:fill="FFFFFF"/>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780" w:type="dxa"/>
            <w:vAlign w:val="center"/>
          </w:tcPr>
          <w:p>
            <w:pPr>
              <w:widowControl/>
              <w:spacing w:line="240" w:lineRule="atLeast"/>
              <w:jc w:val="center"/>
              <w:rPr>
                <w:rFonts w:ascii="宋体" w:hAnsi="宋体" w:cs="微软雅黑"/>
                <w:sz w:val="24"/>
                <w:szCs w:val="24"/>
                <w:shd w:val="clear" w:color="auto" w:fill="FFFFFF"/>
              </w:rPr>
            </w:pPr>
            <w:r>
              <w:rPr>
                <w:rFonts w:ascii="宋体" w:hAnsi="宋体" w:cs="微软雅黑"/>
                <w:sz w:val="24"/>
                <w:szCs w:val="24"/>
                <w:shd w:val="clear" w:color="auto" w:fill="FFFFFF"/>
              </w:rPr>
              <w:t>1</w:t>
            </w:r>
          </w:p>
        </w:tc>
        <w:tc>
          <w:tcPr>
            <w:tcW w:w="2040"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游泳跳水馆臭氧设备更换项目</w:t>
            </w:r>
          </w:p>
        </w:tc>
        <w:tc>
          <w:tcPr>
            <w:tcW w:w="900" w:type="dxa"/>
            <w:vAlign w:val="center"/>
          </w:tcPr>
          <w:p>
            <w:pPr>
              <w:snapToGrid w:val="0"/>
              <w:spacing w:line="360" w:lineRule="auto"/>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1批</w:t>
            </w:r>
          </w:p>
        </w:tc>
        <w:tc>
          <w:tcPr>
            <w:tcW w:w="1523"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人民币</w:t>
            </w:r>
            <w:r>
              <w:rPr>
                <w:rFonts w:hint="eastAsia" w:ascii="宋体" w:hAnsi="宋体"/>
                <w:sz w:val="24"/>
                <w:szCs w:val="24"/>
              </w:rPr>
              <w:t>1764390</w:t>
            </w:r>
            <w:r>
              <w:rPr>
                <w:rFonts w:hint="eastAsia" w:ascii="宋体" w:hAnsi="宋体" w:cs="微软雅黑"/>
                <w:sz w:val="24"/>
                <w:szCs w:val="24"/>
                <w:shd w:val="clear" w:color="auto" w:fill="FFFFFF"/>
              </w:rPr>
              <w:t>元</w:t>
            </w:r>
          </w:p>
        </w:tc>
        <w:tc>
          <w:tcPr>
            <w:tcW w:w="2077" w:type="dxa"/>
            <w:vAlign w:val="center"/>
          </w:tcPr>
          <w:p>
            <w:pPr>
              <w:widowControl/>
              <w:spacing w:line="240" w:lineRule="atLeast"/>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合同签订后3</w:t>
            </w:r>
            <w:r>
              <w:rPr>
                <w:rFonts w:ascii="宋体" w:hAnsi="宋体" w:cs="微软雅黑"/>
                <w:sz w:val="24"/>
                <w:szCs w:val="24"/>
                <w:shd w:val="clear" w:color="auto" w:fill="FFFFFF"/>
              </w:rPr>
              <w:t>0日内交货，包含安装施工并验收合格</w:t>
            </w:r>
            <w:r>
              <w:rPr>
                <w:rFonts w:hint="eastAsia" w:ascii="宋体" w:hAnsi="宋体" w:cs="微软雅黑"/>
                <w:sz w:val="24"/>
                <w:szCs w:val="24"/>
                <w:shd w:val="clear" w:color="auto" w:fill="FFFFFF"/>
              </w:rPr>
              <w:t>。</w:t>
            </w:r>
          </w:p>
        </w:tc>
        <w:tc>
          <w:tcPr>
            <w:tcW w:w="1329" w:type="dxa"/>
            <w:vAlign w:val="center"/>
          </w:tcPr>
          <w:p>
            <w:pPr>
              <w:snapToGrid w:val="0"/>
              <w:spacing w:line="360" w:lineRule="auto"/>
              <w:jc w:val="center"/>
              <w:rPr>
                <w:rFonts w:ascii="宋体" w:hAnsi="宋体" w:cs="微软雅黑"/>
                <w:sz w:val="24"/>
                <w:szCs w:val="24"/>
                <w:shd w:val="clear" w:color="auto" w:fill="FFFFFF"/>
              </w:rPr>
            </w:pPr>
            <w:r>
              <w:rPr>
                <w:rFonts w:hint="eastAsia" w:ascii="宋体" w:hAnsi="宋体" w:cs="微软雅黑"/>
                <w:sz w:val="24"/>
                <w:szCs w:val="24"/>
                <w:shd w:val="clear" w:color="auto" w:fill="FFFFFF"/>
              </w:rPr>
              <w:t>采购单位指定地点</w:t>
            </w:r>
          </w:p>
        </w:tc>
      </w:tr>
    </w:tbl>
    <w:p>
      <w:pPr>
        <w:spacing w:line="360" w:lineRule="auto"/>
        <w:rPr>
          <w:b/>
          <w:sz w:val="24"/>
          <w:szCs w:val="24"/>
          <w:lang w:bidi="en-US"/>
        </w:rPr>
      </w:pPr>
      <w:r>
        <w:rPr>
          <w:rFonts w:hint="eastAsia"/>
          <w:b/>
          <w:sz w:val="24"/>
          <w:szCs w:val="24"/>
          <w:lang w:bidi="en-US"/>
        </w:rPr>
        <w:t>二、建设内容</w:t>
      </w:r>
      <w:r>
        <w:rPr>
          <w:b/>
          <w:sz w:val="24"/>
          <w:szCs w:val="24"/>
          <w:lang w:bidi="en-US"/>
        </w:rPr>
        <w:t>：</w:t>
      </w:r>
    </w:p>
    <w:p>
      <w:pPr>
        <w:spacing w:line="360" w:lineRule="auto"/>
        <w:rPr>
          <w:b/>
          <w:bCs/>
          <w:sz w:val="24"/>
          <w:szCs w:val="24"/>
          <w:lang w:bidi="en-US"/>
        </w:rPr>
      </w:pPr>
      <w:r>
        <w:rPr>
          <w:rFonts w:hint="eastAsia"/>
          <w:b/>
          <w:bCs/>
          <w:sz w:val="24"/>
          <w:szCs w:val="24"/>
          <w:lang w:bidi="en-US"/>
        </w:rPr>
        <w:t>1.</w:t>
      </w:r>
      <w:r>
        <w:rPr>
          <w:b/>
          <w:bCs/>
          <w:sz w:val="24"/>
          <w:szCs w:val="24"/>
          <w:lang w:bidi="en-US"/>
        </w:rPr>
        <w:t>建设</w:t>
      </w:r>
      <w:r>
        <w:rPr>
          <w:rFonts w:hint="eastAsia"/>
          <w:b/>
          <w:bCs/>
          <w:sz w:val="24"/>
          <w:szCs w:val="24"/>
          <w:lang w:bidi="en-US"/>
        </w:rPr>
        <w:t>目标：</w:t>
      </w:r>
    </w:p>
    <w:p>
      <w:pPr>
        <w:pStyle w:val="87"/>
        <w:spacing w:after="0" w:line="360" w:lineRule="auto"/>
        <w:ind w:left="0" w:leftChars="0" w:firstLine="0" w:firstLineChars="0"/>
        <w:rPr>
          <w:rFonts w:ascii="宋体" w:hAnsi="宋体" w:cs="宋体"/>
          <w:sz w:val="24"/>
        </w:rPr>
      </w:pPr>
      <w:r>
        <w:rPr>
          <w:rFonts w:hint="eastAsia" w:ascii="宋体" w:hAnsi="宋体" w:cs="宋体"/>
          <w:sz w:val="24"/>
        </w:rPr>
        <w:t>2.1建设地点：郑州市长兴路38号省体育中心游泳跳水馆</w:t>
      </w:r>
    </w:p>
    <w:p>
      <w:pPr>
        <w:spacing w:line="360" w:lineRule="auto"/>
        <w:rPr>
          <w:rFonts w:ascii="宋体" w:hAnsi="宋体" w:cs="宋体"/>
          <w:sz w:val="24"/>
          <w:szCs w:val="24"/>
        </w:rPr>
      </w:pPr>
      <w:r>
        <w:rPr>
          <w:rFonts w:hint="eastAsia" w:ascii="宋体" w:hAnsi="宋体" w:cs="宋体"/>
          <w:sz w:val="24"/>
          <w:szCs w:val="24"/>
        </w:rPr>
        <w:t>2.2项目信息：河南省体育中心游泳跳水馆，位于省体育中心北区东南侧，占地面积43531平方米，建筑面积28910平方米。设有观众席3000座，为甲级体育建筑。功能兼顾专业比赛、 专业训练和业余训练，以及群众水上健身娱乐。能够举办游泳、跳水、花样游泳、水球的全国性和国际单项比赛。省体育中心游泳跳水馆池水净化系统配备的臭氧设备承担着水质净化的杀菌消毒功能，确保水质符合要求，满足运动队训练比赛和全民游泳健身的需求。</w:t>
      </w:r>
    </w:p>
    <w:p>
      <w:pPr>
        <w:spacing w:line="360" w:lineRule="auto"/>
        <w:rPr>
          <w:rFonts w:ascii="宋体" w:hAnsi="宋体" w:cs="宋体"/>
          <w:sz w:val="24"/>
          <w:szCs w:val="24"/>
        </w:rPr>
      </w:pPr>
      <w:r>
        <w:rPr>
          <w:rFonts w:hint="eastAsia" w:ascii="宋体" w:hAnsi="宋体" w:cs="宋体"/>
          <w:sz w:val="24"/>
          <w:szCs w:val="24"/>
        </w:rPr>
        <w:t>现有臭氧设备自建馆运行至今已九年有余。</w:t>
      </w:r>
    </w:p>
    <w:p>
      <w:pPr>
        <w:spacing w:line="360" w:lineRule="auto"/>
        <w:rPr>
          <w:rFonts w:ascii="宋体" w:hAnsi="宋体" w:cs="宋体"/>
          <w:sz w:val="24"/>
          <w:szCs w:val="24"/>
        </w:rPr>
      </w:pPr>
      <w:r>
        <w:rPr>
          <w:rFonts w:hint="eastAsia" w:ascii="宋体" w:hAnsi="宋体" w:cs="宋体"/>
          <w:sz w:val="24"/>
          <w:szCs w:val="24"/>
        </w:rPr>
        <w:t>目前，现有臭氧设备的主机已经无法正常运行，臭氧反应罐不同程度地出现氧化腐蚀，场馆池水臭氧系统无法进行正常的杀菌消毒，严重地影响到运动队训练比赛和全民健身。现对臭氧发生器等旧设备进行拆除，新设备更换安装调试，将原臭氧反应罐罐体进行维护维修。</w:t>
      </w:r>
    </w:p>
    <w:p>
      <w:pPr>
        <w:spacing w:line="360" w:lineRule="auto"/>
        <w:rPr>
          <w:rFonts w:ascii="宋体" w:hAnsi="宋体" w:cs="宋体"/>
          <w:sz w:val="24"/>
          <w:szCs w:val="24"/>
        </w:rPr>
      </w:pPr>
      <w:r>
        <w:rPr>
          <w:rFonts w:hint="eastAsia" w:ascii="宋体" w:hAnsi="宋体" w:cs="宋体"/>
          <w:sz w:val="24"/>
          <w:szCs w:val="24"/>
        </w:rPr>
        <w:t>设备更换范围包括：比赛池水处理臭氧消毒系统、跳水池水处理臭氧消毒系统、热身池水处理臭氧消毒系统、儿童池水处理臭氧消毒系统。</w:t>
      </w:r>
    </w:p>
    <w:p>
      <w:pPr>
        <w:pStyle w:val="87"/>
        <w:spacing w:after="0" w:line="360" w:lineRule="auto"/>
        <w:ind w:left="0" w:leftChars="0" w:firstLine="0" w:firstLineChars="0"/>
        <w:rPr>
          <w:rFonts w:ascii="宋体" w:hAnsi="宋体" w:cs="宋体"/>
          <w:sz w:val="24"/>
        </w:rPr>
      </w:pPr>
      <w:r>
        <w:rPr>
          <w:rFonts w:hint="eastAsia" w:ascii="宋体" w:hAnsi="宋体" w:cs="宋体"/>
          <w:sz w:val="24"/>
        </w:rPr>
        <w:t>3.项目范围及工程量</w:t>
      </w:r>
    </w:p>
    <w:p>
      <w:pPr>
        <w:pStyle w:val="3"/>
        <w:kinsoku w:val="0"/>
        <w:overflowPunct w:val="0"/>
        <w:spacing w:line="360" w:lineRule="auto"/>
        <w:rPr>
          <w:rFonts w:ascii="宋体" w:hAnsi="宋体" w:cs="宋体"/>
          <w:sz w:val="24"/>
        </w:rPr>
      </w:pPr>
      <w:r>
        <w:rPr>
          <w:rFonts w:hint="eastAsia" w:ascii="宋体" w:hAnsi="宋体" w:cs="宋体"/>
          <w:sz w:val="24"/>
        </w:rPr>
        <w:t>3.1区域面积：臭氧设备间内，32㎡；门：宽192（包含门185）高217</w:t>
      </w:r>
    </w:p>
    <w:p>
      <w:pPr>
        <w:pStyle w:val="3"/>
        <w:kinsoku w:val="0"/>
        <w:overflowPunct w:val="0"/>
        <w:spacing w:line="360" w:lineRule="auto"/>
        <w:rPr>
          <w:rFonts w:ascii="宋体" w:hAnsi="宋体" w:cs="宋体"/>
          <w:sz w:val="24"/>
        </w:rPr>
      </w:pPr>
      <w:r>
        <w:rPr>
          <w:rFonts w:hint="eastAsia" w:ascii="宋体" w:hAnsi="宋体" w:cs="宋体"/>
          <w:sz w:val="24"/>
        </w:rPr>
        <w:t xml:space="preserve">    房间：长690宽435高310（线槽以下）单位cm</w:t>
      </w:r>
    </w:p>
    <w:p>
      <w:pPr>
        <w:pStyle w:val="3"/>
        <w:kinsoku w:val="0"/>
        <w:overflowPunct w:val="0"/>
        <w:spacing w:line="360" w:lineRule="auto"/>
        <w:rPr>
          <w:rFonts w:ascii="宋体" w:hAnsi="宋体" w:cs="宋体"/>
          <w:sz w:val="24"/>
        </w:rPr>
      </w:pPr>
      <w:r>
        <w:rPr>
          <w:rFonts w:hint="eastAsia" w:ascii="宋体" w:hAnsi="宋体" w:cs="宋体"/>
          <w:sz w:val="24"/>
        </w:rPr>
        <w:t>3.2数量：</w:t>
      </w:r>
      <w:r>
        <w:rPr>
          <w:rFonts w:hint="eastAsia" w:ascii="宋体" w:hAnsi="宋体" w:cs="宋体"/>
          <w:b/>
          <w:sz w:val="24"/>
        </w:rPr>
        <w:t>臭氧制备系统：</w:t>
      </w:r>
      <w:r>
        <w:rPr>
          <w:rFonts w:hint="eastAsia" w:ascii="宋体" w:hAnsi="宋体" w:cs="宋体"/>
          <w:sz w:val="24"/>
        </w:rPr>
        <w:t>主要包括臭氧机柜，内含臭氧发生器（产量600g/h、350g/h、250/h、150g/h）、配电系统、风冷系统、电器控制系统、流量控制等：4套。</w:t>
      </w:r>
    </w:p>
    <w:p>
      <w:pPr>
        <w:pStyle w:val="3"/>
        <w:kinsoku w:val="0"/>
        <w:overflowPunct w:val="0"/>
        <w:spacing w:line="360" w:lineRule="auto"/>
        <w:ind w:firstLine="480" w:firstLineChars="200"/>
        <w:rPr>
          <w:rFonts w:ascii="宋体" w:hAnsi="宋体" w:cs="宋体"/>
          <w:color w:val="000000" w:themeColor="text1"/>
          <w:sz w:val="24"/>
        </w:rPr>
      </w:pPr>
      <w:r>
        <w:rPr>
          <w:rFonts w:hint="eastAsia" w:ascii="宋体" w:hAnsi="宋体" w:cs="宋体"/>
          <w:sz w:val="24"/>
        </w:rPr>
        <w:t>臭氧发生器单元以高纯高密度的陶瓷为介质，钛合金电极，散热系统采用风冷却，可靠性高；配套的启动电源采用模块设计，稳定可靠的高频高压电源使臭氧发生效率更高，释放稳定，使用寿命更长；具有过热、过流、自动保护功能；臭氧输出浓度可达到5%以上，产品性能稳定；根据作用要求不同，可在额定臭氧产量0-100%的范围可调；体积小，重量轻，维护简单，安装方便。配置碳钢烤漆外壳，风冷钛陶瓷反应箱，标准高频高压电源模块，标准控制面板，散热系统，进气流量控制器，制氧机。混气单元包括：增压泵、射流器、尾气分解系统。包含臭氧毁灭器</w:t>
      </w:r>
      <w:r>
        <w:rPr>
          <w:rFonts w:hint="eastAsia" w:ascii="宋体" w:hAnsi="宋体" w:cs="宋体"/>
          <w:color w:val="0000FF"/>
          <w:sz w:val="24"/>
        </w:rPr>
        <w:t>。</w:t>
      </w:r>
      <w:r>
        <w:rPr>
          <w:rFonts w:hint="eastAsia" w:ascii="宋体" w:hAnsi="宋体" w:cs="宋体"/>
          <w:color w:val="000000" w:themeColor="text1"/>
          <w:sz w:val="24"/>
        </w:rPr>
        <w:t>整机具有CE认证或CCC认证或UL认证。</w:t>
      </w:r>
    </w:p>
    <w:p>
      <w:pPr>
        <w:pStyle w:val="3"/>
        <w:kinsoku w:val="0"/>
        <w:overflowPunct w:val="0"/>
        <w:spacing w:line="360" w:lineRule="auto"/>
        <w:rPr>
          <w:rFonts w:ascii="宋体" w:hAnsi="宋体" w:cs="宋体"/>
          <w:sz w:val="24"/>
        </w:rPr>
      </w:pPr>
      <w:r>
        <w:rPr>
          <w:rFonts w:hint="eastAsia" w:ascii="宋体" w:hAnsi="宋体" w:cs="宋体"/>
          <w:sz w:val="24"/>
        </w:rPr>
        <w:t>3.3预计达到效果：杀菌消毒，还可以让水更清澈。</w:t>
      </w:r>
    </w:p>
    <w:p>
      <w:pPr>
        <w:pStyle w:val="3"/>
        <w:kinsoku w:val="0"/>
        <w:overflowPunct w:val="0"/>
        <w:spacing w:line="360" w:lineRule="auto"/>
        <w:rPr>
          <w:rFonts w:ascii="宋体" w:hAnsi="宋体" w:cs="宋体"/>
          <w:sz w:val="24"/>
        </w:rPr>
      </w:pPr>
      <w:r>
        <w:rPr>
          <w:rFonts w:hint="eastAsia" w:ascii="宋体" w:hAnsi="宋体" w:cs="宋体"/>
          <w:sz w:val="24"/>
        </w:rPr>
        <w:t>4.项目施工方法说明。</w:t>
      </w:r>
    </w:p>
    <w:p>
      <w:pPr>
        <w:adjustRightInd w:val="0"/>
        <w:spacing w:line="360" w:lineRule="auto"/>
        <w:ind w:left="1260" w:leftChars="600"/>
        <w:rPr>
          <w:rFonts w:ascii="微软雅黑" w:hAnsi="微软雅黑" w:eastAsia="微软雅黑"/>
          <w:sz w:val="24"/>
          <w:szCs w:val="24"/>
        </w:rPr>
      </w:pPr>
    </w:p>
    <w:p>
      <w:pPr>
        <w:spacing w:line="360" w:lineRule="auto"/>
        <w:rPr>
          <w:rFonts w:ascii="宋体" w:hAnsi="宋体"/>
          <w:b/>
          <w:bCs/>
          <w:sz w:val="24"/>
          <w:szCs w:val="24"/>
        </w:rPr>
      </w:pPr>
      <w:r>
        <w:rPr>
          <w:b/>
          <w:sz w:val="24"/>
          <w:szCs w:val="24"/>
          <w:lang w:bidi="en-US"/>
        </w:rPr>
        <w:br w:type="page"/>
      </w:r>
      <w:r>
        <w:rPr>
          <w:rFonts w:hint="eastAsia" w:ascii="宋体" w:hAnsi="宋体"/>
          <w:b/>
          <w:bCs/>
          <w:sz w:val="24"/>
          <w:szCs w:val="24"/>
        </w:rPr>
        <w:t>参数要求：</w:t>
      </w:r>
    </w:p>
    <w:p>
      <w:pPr>
        <w:spacing w:line="360" w:lineRule="auto"/>
        <w:jc w:val="left"/>
        <w:rPr>
          <w:rFonts w:ascii="宋体" w:hAnsi="宋体" w:cs="宋体"/>
          <w:b/>
          <w:sz w:val="24"/>
          <w:szCs w:val="24"/>
        </w:rPr>
      </w:pPr>
      <w:r>
        <w:rPr>
          <w:rFonts w:hint="eastAsia" w:ascii="宋体" w:hAnsi="宋体" w:cs="宋体"/>
          <w:b/>
          <w:sz w:val="24"/>
          <w:szCs w:val="24"/>
        </w:rPr>
        <w:t>设备清单：</w:t>
      </w:r>
    </w:p>
    <w:tbl>
      <w:tblPr>
        <w:tblStyle w:val="88"/>
        <w:tblW w:w="0" w:type="auto"/>
        <w:tblInd w:w="-461" w:type="dxa"/>
        <w:tblLayout w:type="fixed"/>
        <w:tblCellMar>
          <w:top w:w="0" w:type="dxa"/>
          <w:left w:w="0" w:type="dxa"/>
          <w:bottom w:w="0" w:type="dxa"/>
          <w:right w:w="0" w:type="dxa"/>
        </w:tblCellMar>
      </w:tblPr>
      <w:tblGrid>
        <w:gridCol w:w="842"/>
        <w:gridCol w:w="611"/>
        <w:gridCol w:w="1562"/>
        <w:gridCol w:w="856"/>
        <w:gridCol w:w="143"/>
        <w:gridCol w:w="3155"/>
        <w:gridCol w:w="660"/>
        <w:gridCol w:w="526"/>
        <w:gridCol w:w="1022"/>
      </w:tblGrid>
      <w:tr>
        <w:tblPrEx>
          <w:tblCellMar>
            <w:top w:w="0" w:type="dxa"/>
            <w:left w:w="0" w:type="dxa"/>
            <w:bottom w:w="0" w:type="dxa"/>
            <w:right w:w="0" w:type="dxa"/>
          </w:tblCellMar>
        </w:tblPrEx>
        <w:trPr>
          <w:trHeight w:val="696" w:hRule="exact"/>
        </w:trPr>
        <w:tc>
          <w:tcPr>
            <w:tcW w:w="8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序号</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主材名称</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型号规格及参数</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单位</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数量</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1836" w:hRule="exact"/>
        </w:trPr>
        <w:tc>
          <w:tcPr>
            <w:tcW w:w="8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r>
              <w:rPr>
                <w:rFonts w:hint="eastAsia" w:ascii="宋体" w:hAnsi="宋体" w:cs="宋体"/>
                <w:b/>
                <w:sz w:val="24"/>
              </w:rPr>
              <w:t>臭氧制备系统</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主要包括臭氧机柜，内含臭氧发生器、配电系统、风冷系统、电器控制系统、流量控制等</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2272" w:hRule="exact"/>
        </w:trPr>
        <w:tc>
          <w:tcPr>
            <w:tcW w:w="8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1.1</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臭氧发生器</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★产量</w:t>
            </w:r>
            <w:r>
              <w:rPr>
                <w:rFonts w:ascii="Arial" w:hAnsi="Arial" w:cs="Arial"/>
                <w:sz w:val="24"/>
              </w:rPr>
              <w:t>≥</w:t>
            </w:r>
            <w:r>
              <w:rPr>
                <w:rFonts w:hint="eastAsia" w:ascii="宋体" w:hAnsi="宋体" w:cs="宋体"/>
                <w:sz w:val="24"/>
              </w:rPr>
              <w:t>600g/h、</w:t>
            </w:r>
            <w:r>
              <w:rPr>
                <w:rFonts w:ascii="Arial" w:hAnsi="Arial" w:cs="Arial"/>
                <w:sz w:val="24"/>
              </w:rPr>
              <w:t>≥</w:t>
            </w:r>
            <w:r>
              <w:rPr>
                <w:rFonts w:hint="eastAsia" w:ascii="宋体" w:hAnsi="宋体" w:cs="宋体"/>
                <w:sz w:val="24"/>
              </w:rPr>
              <w:t>350g/h、</w:t>
            </w:r>
            <w:r>
              <w:rPr>
                <w:rFonts w:ascii="Arial" w:hAnsi="Arial" w:cs="Arial"/>
                <w:sz w:val="24"/>
              </w:rPr>
              <w:t>≥</w:t>
            </w:r>
            <w:r>
              <w:rPr>
                <w:rFonts w:hint="eastAsia" w:ascii="宋体" w:hAnsi="宋体" w:cs="宋体"/>
                <w:sz w:val="24"/>
              </w:rPr>
              <w:t>250/h、150g/h，产量可调；自带事故监控装置。成套设备， 含钛电极陶瓷平板式放电体、风冷系统、模块化臭氧反应室等所有设备。</w:t>
            </w:r>
            <w:r>
              <w:rPr>
                <w:rStyle w:val="108"/>
                <w:color w:val="000000" w:themeColor="text1"/>
                <w:sz w:val="24"/>
                <w:szCs w:val="24"/>
              </w:rPr>
              <w:t>整机具有CE认证或CCC认证或UL认证。</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臭氧气体产生装置</w:t>
            </w:r>
          </w:p>
        </w:tc>
      </w:tr>
      <w:tr>
        <w:tblPrEx>
          <w:tblCellMar>
            <w:top w:w="0" w:type="dxa"/>
            <w:left w:w="0" w:type="dxa"/>
            <w:bottom w:w="0" w:type="dxa"/>
            <w:right w:w="0" w:type="dxa"/>
          </w:tblCellMar>
        </w:tblPrEx>
        <w:trPr>
          <w:trHeight w:val="704" w:hRule="exact"/>
        </w:trPr>
        <w:tc>
          <w:tcPr>
            <w:tcW w:w="84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1.2</w:t>
            </w:r>
          </w:p>
        </w:tc>
        <w:tc>
          <w:tcPr>
            <w:tcW w:w="611" w:type="dxa"/>
            <w:vMerge w:val="restart"/>
            <w:tcBorders>
              <w:top w:val="single" w:color="000000" w:sz="4" w:space="0"/>
              <w:left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臭氧机柜</w:t>
            </w:r>
          </w:p>
        </w:tc>
        <w:tc>
          <w:tcPr>
            <w:tcW w:w="156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电源输入</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成套设备</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提供设备主路供电</w:t>
            </w:r>
          </w:p>
        </w:tc>
      </w:tr>
      <w:tr>
        <w:tblPrEx>
          <w:tblCellMar>
            <w:top w:w="0" w:type="dxa"/>
            <w:left w:w="0" w:type="dxa"/>
            <w:bottom w:w="0" w:type="dxa"/>
            <w:right w:w="0" w:type="dxa"/>
          </w:tblCellMar>
        </w:tblPrEx>
        <w:trPr>
          <w:trHeight w:val="704"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控制电路</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配套</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设备自动化控制</w:t>
            </w:r>
          </w:p>
        </w:tc>
      </w:tr>
      <w:tr>
        <w:tblPrEx>
          <w:tblCellMar>
            <w:top w:w="0" w:type="dxa"/>
            <w:left w:w="0" w:type="dxa"/>
            <w:bottom w:w="0" w:type="dxa"/>
            <w:right w:w="0" w:type="dxa"/>
          </w:tblCellMar>
        </w:tblPrEx>
        <w:trPr>
          <w:trHeight w:val="704" w:hRule="exact"/>
        </w:trPr>
        <w:tc>
          <w:tcPr>
            <w:tcW w:w="842" w:type="dxa"/>
            <w:tcBorders>
              <w:left w:val="single" w:color="000000" w:sz="4" w:space="0"/>
              <w:right w:val="single" w:color="000000" w:sz="4" w:space="0"/>
            </w:tcBorders>
            <w:vAlign w:val="center"/>
          </w:tcPr>
          <w:p>
            <w:pPr>
              <w:jc w:val="center"/>
              <w:rPr>
                <w:rFonts w:ascii="宋体" w:hAnsi="宋体" w:cs="宋体"/>
                <w:sz w:val="24"/>
              </w:rPr>
            </w:pPr>
          </w:p>
        </w:tc>
        <w:tc>
          <w:tcPr>
            <w:tcW w:w="611" w:type="dxa"/>
            <w:tcBorders>
              <w:left w:val="single" w:color="000000" w:sz="4" w:space="0"/>
              <w:right w:val="single" w:color="auto" w:sz="4" w:space="0"/>
            </w:tcBorders>
            <w:vAlign w:val="center"/>
          </w:tcPr>
          <w:p>
            <w:pPr>
              <w:jc w:val="center"/>
              <w:rPr>
                <w:rFonts w:ascii="宋体" w:hAnsi="宋体" w:cs="宋体"/>
                <w:sz w:val="24"/>
              </w:rPr>
            </w:pPr>
          </w:p>
        </w:tc>
        <w:tc>
          <w:tcPr>
            <w:tcW w:w="1562"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配电及控制</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控制间配电、控制元器件等</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992" w:hRule="exact"/>
        </w:trPr>
        <w:tc>
          <w:tcPr>
            <w:tcW w:w="842" w:type="dxa"/>
            <w:vMerge w:val="restart"/>
            <w:tcBorders>
              <w:top w:val="single" w:color="auto"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1.3</w:t>
            </w:r>
          </w:p>
          <w:p>
            <w:pPr>
              <w:jc w:val="center"/>
              <w:rPr>
                <w:rFonts w:ascii="宋体" w:hAnsi="宋体" w:cs="宋体"/>
                <w:sz w:val="24"/>
              </w:rPr>
            </w:pPr>
          </w:p>
        </w:tc>
        <w:tc>
          <w:tcPr>
            <w:tcW w:w="611" w:type="dxa"/>
            <w:vMerge w:val="restart"/>
            <w:tcBorders>
              <w:top w:val="single" w:color="auto" w:sz="4" w:space="0"/>
              <w:left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标准臭氧高压电路模块</w:t>
            </w:r>
          </w:p>
        </w:tc>
        <w:tc>
          <w:tcPr>
            <w:tcW w:w="1562" w:type="dxa"/>
            <w:vMerge w:val="restart"/>
            <w:tcBorders>
              <w:top w:val="single" w:color="000000" w:sz="4" w:space="0"/>
              <w:left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变流器</w:t>
            </w:r>
          </w:p>
          <w:p>
            <w:pPr>
              <w:jc w:val="center"/>
              <w:rPr>
                <w:rFonts w:ascii="宋体" w:hAnsi="宋体" w:cs="宋体"/>
                <w:sz w:val="24"/>
              </w:rPr>
            </w:pPr>
            <w:r>
              <w:rPr>
                <w:rFonts w:hint="eastAsia" w:ascii="宋体" w:hAnsi="宋体" w:cs="宋体"/>
                <w:sz w:val="24"/>
              </w:rPr>
              <w:t>（逆变器）</w:t>
            </w:r>
          </w:p>
        </w:tc>
        <w:tc>
          <w:tcPr>
            <w:tcW w:w="856"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298" w:type="dxa"/>
            <w:gridSpan w:val="2"/>
            <w:tcBorders>
              <w:top w:val="single" w:color="000000" w:sz="4" w:space="0"/>
              <w:left w:val="single" w:color="auto" w:sz="4" w:space="0"/>
              <w:bottom w:val="single" w:color="auto" w:sz="4" w:space="0"/>
              <w:right w:val="single" w:color="000000" w:sz="4" w:space="0"/>
            </w:tcBorders>
            <w:vAlign w:val="center"/>
          </w:tcPr>
          <w:p>
            <w:pPr>
              <w:rPr>
                <w:rFonts w:ascii="宋体" w:hAnsi="宋体" w:cs="宋体"/>
                <w:sz w:val="24"/>
              </w:rPr>
            </w:pPr>
            <w:r>
              <w:rPr>
                <w:rFonts w:hint="eastAsia" w:ascii="宋体" w:hAnsi="宋体" w:cs="宋体"/>
                <w:sz w:val="24"/>
              </w:rPr>
              <w:t>PWM脉宽调制，IGBT逆变工作方式，风机散热冷却,具有过流过压保护；</w:t>
            </w: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tc>
        <w:tc>
          <w:tcPr>
            <w:tcW w:w="66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p>
            <w:pPr>
              <w:jc w:val="center"/>
              <w:rPr>
                <w:rFonts w:ascii="宋体" w:hAnsi="宋体" w:cs="宋体"/>
                <w:sz w:val="24"/>
              </w:rPr>
            </w:pPr>
            <w:r>
              <w:rPr>
                <w:rFonts w:hint="eastAsia" w:ascii="宋体" w:hAnsi="宋体" w:cs="宋体"/>
                <w:sz w:val="24"/>
              </w:rPr>
              <w:t>（每套多个模块）</w:t>
            </w:r>
          </w:p>
          <w:p>
            <w:pPr>
              <w:pStyle w:val="87"/>
              <w:spacing w:after="0"/>
              <w:ind w:left="0" w:leftChars="0" w:firstLine="0" w:firstLineChars="0"/>
              <w:rPr>
                <w:rFonts w:ascii="宋体" w:hAnsi="宋体" w:cs="宋体"/>
                <w:sz w:val="24"/>
              </w:rPr>
            </w:pPr>
          </w:p>
        </w:tc>
        <w:tc>
          <w:tcPr>
            <w:tcW w:w="526"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产生频率、电压可控的激励电源</w:t>
            </w:r>
          </w:p>
        </w:tc>
      </w:tr>
      <w:tr>
        <w:tblPrEx>
          <w:tblCellMar>
            <w:top w:w="0" w:type="dxa"/>
            <w:left w:w="0" w:type="dxa"/>
            <w:bottom w:w="0" w:type="dxa"/>
            <w:right w:w="0" w:type="dxa"/>
          </w:tblCellMar>
        </w:tblPrEx>
        <w:trPr>
          <w:trHeight w:val="424"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continue"/>
            <w:tcBorders>
              <w:left w:val="single" w:color="auto"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功率</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≥300W</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513"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continue"/>
            <w:tcBorders>
              <w:left w:val="single" w:color="auto"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输入</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AC220V/50HZ</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906"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continue"/>
            <w:tcBorders>
              <w:left w:val="single" w:color="auto"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输出</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 xml:space="preserve">0-380V </w:t>
            </w:r>
          </w:p>
          <w:p>
            <w:pPr>
              <w:jc w:val="center"/>
              <w:rPr>
                <w:rFonts w:ascii="宋体" w:hAnsi="宋体" w:cs="宋体"/>
                <w:sz w:val="24"/>
              </w:rPr>
            </w:pPr>
            <w:r>
              <w:rPr>
                <w:rFonts w:hint="eastAsia" w:ascii="宋体" w:hAnsi="宋体" w:cs="宋体"/>
                <w:sz w:val="24"/>
              </w:rPr>
              <w:t>4.8KHZ-6.8KHZ</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039"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restart"/>
            <w:tcBorders>
              <w:top w:val="single" w:color="000000" w:sz="4" w:space="0"/>
              <w:left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高压包</w:t>
            </w:r>
          </w:p>
        </w:tc>
        <w:tc>
          <w:tcPr>
            <w:tcW w:w="856"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p>
            <w:pPr>
              <w:jc w:val="center"/>
              <w:rPr>
                <w:rFonts w:ascii="宋体" w:hAnsi="宋体" w:cs="宋体"/>
                <w:sz w:val="24"/>
              </w:rPr>
            </w:pPr>
          </w:p>
        </w:tc>
        <w:tc>
          <w:tcPr>
            <w:tcW w:w="3298"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臭氧发生专用高压包(一体化结构紧凑）</w:t>
            </w:r>
          </w:p>
        </w:tc>
        <w:tc>
          <w:tcPr>
            <w:tcW w:w="66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套</w:t>
            </w:r>
          </w:p>
          <w:p>
            <w:pPr>
              <w:jc w:val="center"/>
              <w:rPr>
                <w:rFonts w:ascii="宋体" w:hAnsi="宋体" w:cs="宋体"/>
                <w:sz w:val="24"/>
              </w:rPr>
            </w:pPr>
            <w:r>
              <w:rPr>
                <w:rFonts w:hint="eastAsia" w:ascii="宋体" w:hAnsi="宋体" w:cs="宋体"/>
                <w:sz w:val="24"/>
              </w:rPr>
              <w:t>（每套多个模块）</w:t>
            </w:r>
          </w:p>
          <w:p>
            <w:pPr>
              <w:jc w:val="center"/>
              <w:rPr>
                <w:rFonts w:ascii="宋体" w:hAnsi="宋体" w:cs="宋体"/>
                <w:sz w:val="24"/>
              </w:rPr>
            </w:pPr>
          </w:p>
        </w:tc>
        <w:tc>
          <w:tcPr>
            <w:tcW w:w="526"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产生高压驱动臭氧反应室</w:t>
            </w:r>
          </w:p>
        </w:tc>
      </w:tr>
      <w:tr>
        <w:tblPrEx>
          <w:tblCellMar>
            <w:top w:w="0" w:type="dxa"/>
            <w:left w:w="0" w:type="dxa"/>
            <w:bottom w:w="0" w:type="dxa"/>
            <w:right w:w="0" w:type="dxa"/>
          </w:tblCellMar>
        </w:tblPrEx>
        <w:trPr>
          <w:trHeight w:val="792"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continue"/>
            <w:tcBorders>
              <w:left w:val="single" w:color="auto"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容量功率</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450VA</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76"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611" w:type="dxa"/>
            <w:vMerge w:val="continue"/>
            <w:tcBorders>
              <w:left w:val="single" w:color="000000" w:sz="4" w:space="0"/>
              <w:right w:val="single" w:color="auto" w:sz="4" w:space="0"/>
            </w:tcBorders>
            <w:vAlign w:val="center"/>
          </w:tcPr>
          <w:p>
            <w:pPr>
              <w:jc w:val="center"/>
              <w:rPr>
                <w:rFonts w:ascii="宋体" w:hAnsi="宋体" w:cs="宋体"/>
                <w:sz w:val="24"/>
              </w:rPr>
            </w:pPr>
          </w:p>
        </w:tc>
        <w:tc>
          <w:tcPr>
            <w:tcW w:w="1562" w:type="dxa"/>
            <w:vMerge w:val="continue"/>
            <w:tcBorders>
              <w:left w:val="single" w:color="auto"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输出</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5-6KV高压</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927" w:hRule="exact"/>
        </w:trPr>
        <w:tc>
          <w:tcPr>
            <w:tcW w:w="84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1.4</w:t>
            </w:r>
          </w:p>
        </w:tc>
        <w:tc>
          <w:tcPr>
            <w:tcW w:w="2173"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流量计</w:t>
            </w:r>
          </w:p>
        </w:tc>
        <w:tc>
          <w:tcPr>
            <w:tcW w:w="856"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298"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实时监测输出气量及调节</w:t>
            </w:r>
          </w:p>
        </w:tc>
        <w:tc>
          <w:tcPr>
            <w:tcW w:w="66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个</w:t>
            </w:r>
          </w:p>
        </w:tc>
        <w:tc>
          <w:tcPr>
            <w:tcW w:w="526"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对气体供给有效调节及监测气体</w:t>
            </w:r>
          </w:p>
        </w:tc>
      </w:tr>
      <w:tr>
        <w:tblPrEx>
          <w:tblCellMar>
            <w:top w:w="0" w:type="dxa"/>
            <w:left w:w="0" w:type="dxa"/>
            <w:bottom w:w="0" w:type="dxa"/>
            <w:right w:w="0" w:type="dxa"/>
          </w:tblCellMar>
        </w:tblPrEx>
        <w:trPr>
          <w:trHeight w:val="804"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类型</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浮子式流量计</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02" w:hRule="exact"/>
        </w:trPr>
        <w:tc>
          <w:tcPr>
            <w:tcW w:w="84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材质</w:t>
            </w:r>
          </w:p>
        </w:tc>
        <w:tc>
          <w:tcPr>
            <w:tcW w:w="3298"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有机玻璃</w:t>
            </w:r>
          </w:p>
        </w:tc>
        <w:tc>
          <w:tcPr>
            <w:tcW w:w="66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22"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接口</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1/4外牙</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14"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精度</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989" w:hRule="exact"/>
        </w:trPr>
        <w:tc>
          <w:tcPr>
            <w:tcW w:w="84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1.5</w:t>
            </w:r>
          </w:p>
        </w:tc>
        <w:tc>
          <w:tcPr>
            <w:tcW w:w="2173"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压力显示表</w:t>
            </w:r>
          </w:p>
        </w:tc>
        <w:tc>
          <w:tcPr>
            <w:tcW w:w="856"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298"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正负压力指针式显示</w:t>
            </w:r>
          </w:p>
        </w:tc>
        <w:tc>
          <w:tcPr>
            <w:tcW w:w="66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个</w:t>
            </w:r>
          </w:p>
        </w:tc>
        <w:tc>
          <w:tcPr>
            <w:tcW w:w="526"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检测臭氧气体压力</w:t>
            </w:r>
          </w:p>
        </w:tc>
      </w:tr>
      <w:tr>
        <w:tblPrEx>
          <w:tblCellMar>
            <w:top w:w="0" w:type="dxa"/>
            <w:left w:w="0" w:type="dxa"/>
            <w:bottom w:w="0" w:type="dxa"/>
            <w:right w:w="0" w:type="dxa"/>
          </w:tblCellMar>
        </w:tblPrEx>
        <w:trPr>
          <w:trHeight w:val="651" w:hRule="exact"/>
        </w:trPr>
        <w:tc>
          <w:tcPr>
            <w:tcW w:w="842"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范围</w:t>
            </w:r>
          </w:p>
        </w:tc>
        <w:tc>
          <w:tcPr>
            <w:tcW w:w="3298" w:type="dxa"/>
            <w:gridSpan w:val="2"/>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量程：-0.1～0.1Mpa</w:t>
            </w:r>
          </w:p>
        </w:tc>
        <w:tc>
          <w:tcPr>
            <w:tcW w:w="660"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57" w:hRule="exact"/>
        </w:trPr>
        <w:tc>
          <w:tcPr>
            <w:tcW w:w="84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856"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 xml:space="preserve"> 安装方式</w:t>
            </w:r>
          </w:p>
        </w:tc>
        <w:tc>
          <w:tcPr>
            <w:tcW w:w="3298"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面板式</w:t>
            </w:r>
          </w:p>
        </w:tc>
        <w:tc>
          <w:tcPr>
            <w:tcW w:w="66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526"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161"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1</w:t>
            </w:r>
            <w:r>
              <w:rPr>
                <w:rFonts w:hint="eastAsia"/>
                <w:sz w:val="24"/>
              </w:rPr>
              <w:t>.</w:t>
            </w:r>
            <w:r>
              <w:rPr>
                <w:rFonts w:hint="eastAsia"/>
                <w:spacing w:val="-2"/>
                <w:sz w:val="24"/>
              </w:rPr>
              <w:t>6</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安装附件</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系统配套</w:t>
            </w:r>
            <w:r>
              <w:rPr>
                <w:rFonts w:hint="eastAsia"/>
                <w:spacing w:val="-15"/>
                <w:sz w:val="24"/>
              </w:rPr>
              <w:t>，</w:t>
            </w:r>
            <w:r>
              <w:rPr>
                <w:rFonts w:hint="eastAsia"/>
                <w:spacing w:val="-3"/>
                <w:sz w:val="24"/>
              </w:rPr>
              <w:t>含压缩气源输送管、</w:t>
            </w:r>
            <w:r>
              <w:rPr>
                <w:rFonts w:hint="eastAsia"/>
                <w:sz w:val="24"/>
              </w:rPr>
              <w:t>氧气输送管和臭氧输送管</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4</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97"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2</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b/>
                <w:sz w:val="24"/>
              </w:rPr>
            </w:pPr>
            <w:r>
              <w:rPr>
                <w:rFonts w:hint="eastAsia"/>
                <w:b/>
                <w:sz w:val="24"/>
              </w:rPr>
              <w:t>制氧系统</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012"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2</w:t>
            </w:r>
            <w:r>
              <w:rPr>
                <w:rFonts w:hint="eastAsia"/>
                <w:sz w:val="24"/>
              </w:rPr>
              <w:t>.1</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1#全无油空气压缩机组</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噪音</w:t>
            </w:r>
            <w:r>
              <w:rPr>
                <w:rFonts w:ascii="Arial" w:hAnsi="Arial" w:cs="Arial"/>
                <w:sz w:val="24"/>
              </w:rPr>
              <w:t>≤</w:t>
            </w:r>
            <w:r>
              <w:rPr>
                <w:rFonts w:hint="eastAsia"/>
                <w:sz w:val="24"/>
              </w:rPr>
              <w:t>63dB,风冷冷却，</w:t>
            </w:r>
            <w:r>
              <w:rPr>
                <w:rFonts w:hint="eastAsia"/>
                <w:spacing w:val="1"/>
                <w:sz w:val="24"/>
              </w:rPr>
              <w:t>排气量0.2Mpa/2.16m³/min</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为制氧机提供高压气源</w:t>
            </w:r>
          </w:p>
        </w:tc>
      </w:tr>
      <w:tr>
        <w:tblPrEx>
          <w:tblCellMar>
            <w:top w:w="0" w:type="dxa"/>
            <w:left w:w="0" w:type="dxa"/>
            <w:bottom w:w="0" w:type="dxa"/>
            <w:right w:w="0" w:type="dxa"/>
          </w:tblCellMar>
        </w:tblPrEx>
        <w:trPr>
          <w:trHeight w:val="101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2#全无油空气压缩机组</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噪音</w:t>
            </w:r>
            <w:r>
              <w:rPr>
                <w:rFonts w:ascii="Arial" w:hAnsi="Arial" w:cs="Arial"/>
                <w:sz w:val="24"/>
              </w:rPr>
              <w:t>≤</w:t>
            </w:r>
            <w:r>
              <w:rPr>
                <w:rFonts w:hint="eastAsia"/>
                <w:sz w:val="24"/>
              </w:rPr>
              <w:t>63dB,风冷冷却，</w:t>
            </w:r>
            <w:r>
              <w:rPr>
                <w:rFonts w:hint="eastAsia"/>
                <w:spacing w:val="1"/>
                <w:sz w:val="24"/>
              </w:rPr>
              <w:t>排气量0.2Mpa/0.99m³/min</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为制氧机提供高压气源</w:t>
            </w:r>
          </w:p>
        </w:tc>
      </w:tr>
      <w:tr>
        <w:tblPrEx>
          <w:tblCellMar>
            <w:top w:w="0" w:type="dxa"/>
            <w:left w:w="0" w:type="dxa"/>
            <w:bottom w:w="0" w:type="dxa"/>
            <w:right w:w="0" w:type="dxa"/>
          </w:tblCellMar>
        </w:tblPrEx>
        <w:trPr>
          <w:trHeight w:val="101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3#全无油空气压缩机组(臭氧柜内置)</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噪音</w:t>
            </w:r>
            <w:r>
              <w:rPr>
                <w:rFonts w:ascii="Arial" w:hAnsi="Arial" w:cs="Arial"/>
                <w:sz w:val="24"/>
              </w:rPr>
              <w:t>≤</w:t>
            </w:r>
            <w:r>
              <w:rPr>
                <w:rFonts w:hint="eastAsia"/>
                <w:sz w:val="24"/>
              </w:rPr>
              <w:t>63dB,风冷冷却，</w:t>
            </w:r>
            <w:r>
              <w:rPr>
                <w:rFonts w:hint="eastAsia"/>
                <w:spacing w:val="1"/>
                <w:sz w:val="24"/>
              </w:rPr>
              <w:t>排气量0.2Mpa/0.81m³/min</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为制氧机提供高压气源</w:t>
            </w:r>
          </w:p>
        </w:tc>
      </w:tr>
      <w:tr>
        <w:tblPrEx>
          <w:tblCellMar>
            <w:top w:w="0" w:type="dxa"/>
            <w:left w:w="0" w:type="dxa"/>
            <w:bottom w:w="0" w:type="dxa"/>
            <w:right w:w="0" w:type="dxa"/>
          </w:tblCellMar>
        </w:tblPrEx>
        <w:trPr>
          <w:trHeight w:val="1012" w:hRule="exact"/>
        </w:trPr>
        <w:tc>
          <w:tcPr>
            <w:tcW w:w="842"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4#全无油空气压缩机组(臭氧柜内置)</w:t>
            </w:r>
          </w:p>
          <w:p>
            <w:pPr>
              <w:pStyle w:val="818"/>
              <w:kinsoku w:val="0"/>
              <w:overflowPunct w:val="0"/>
              <w:jc w:val="center"/>
              <w:rPr>
                <w:sz w:val="24"/>
              </w:rPr>
            </w:pP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噪音</w:t>
            </w:r>
            <w:r>
              <w:rPr>
                <w:rFonts w:ascii="Arial" w:hAnsi="Arial" w:cs="Arial"/>
                <w:sz w:val="24"/>
              </w:rPr>
              <w:t>≤</w:t>
            </w:r>
            <w:r>
              <w:rPr>
                <w:rFonts w:hint="eastAsia"/>
                <w:sz w:val="24"/>
              </w:rPr>
              <w:t>63dB,风冷冷却，</w:t>
            </w:r>
            <w:r>
              <w:rPr>
                <w:rFonts w:hint="eastAsia"/>
                <w:spacing w:val="1"/>
                <w:sz w:val="24"/>
              </w:rPr>
              <w:t>排气量0.2Mpa/0.45m³/min</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为制氧机提供高压气源</w:t>
            </w:r>
          </w:p>
        </w:tc>
      </w:tr>
      <w:tr>
        <w:tblPrEx>
          <w:tblCellMar>
            <w:top w:w="0" w:type="dxa"/>
            <w:left w:w="0" w:type="dxa"/>
            <w:bottom w:w="0" w:type="dxa"/>
            <w:right w:w="0" w:type="dxa"/>
          </w:tblCellMar>
        </w:tblPrEx>
        <w:trPr>
          <w:trHeight w:val="1991"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2.2</w:t>
            </w:r>
          </w:p>
        </w:tc>
        <w:tc>
          <w:tcPr>
            <w:tcW w:w="2173" w:type="dxa"/>
            <w:gridSpan w:val="2"/>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1#制氧机</w:t>
            </w:r>
          </w:p>
        </w:tc>
        <w:tc>
          <w:tcPr>
            <w:tcW w:w="4154" w:type="dxa"/>
            <w:gridSpan w:val="3"/>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电源：AC220V/50HZ</w:t>
            </w:r>
          </w:p>
          <w:p>
            <w:pPr>
              <w:pStyle w:val="818"/>
              <w:kinsoku w:val="0"/>
              <w:overflowPunct w:val="0"/>
              <w:jc w:val="center"/>
              <w:rPr>
                <w:spacing w:val="1"/>
                <w:sz w:val="24"/>
              </w:rPr>
            </w:pPr>
            <w:r>
              <w:rPr>
                <w:rFonts w:hint="eastAsia"/>
                <w:spacing w:val="1"/>
                <w:sz w:val="24"/>
              </w:rPr>
              <w:t>氧气纯度≥85%</w:t>
            </w:r>
          </w:p>
          <w:p>
            <w:pPr>
              <w:pStyle w:val="818"/>
              <w:kinsoku w:val="0"/>
              <w:overflowPunct w:val="0"/>
              <w:jc w:val="center"/>
              <w:rPr>
                <w:spacing w:val="1"/>
                <w:sz w:val="24"/>
              </w:rPr>
            </w:pPr>
            <w:r>
              <w:rPr>
                <w:rFonts w:hint="eastAsia"/>
                <w:spacing w:val="1"/>
                <w:sz w:val="24"/>
              </w:rPr>
              <w:t>产量</w:t>
            </w:r>
            <w:r>
              <w:rPr>
                <w:rFonts w:hint="eastAsia"/>
                <w:sz w:val="24"/>
              </w:rPr>
              <w:t>≥</w:t>
            </w:r>
            <w:r>
              <w:rPr>
                <w:rFonts w:hint="eastAsia"/>
                <w:spacing w:val="1"/>
                <w:sz w:val="24"/>
              </w:rPr>
              <w:t>7.2m³/h</w:t>
            </w:r>
          </w:p>
          <w:p>
            <w:pPr>
              <w:pStyle w:val="818"/>
              <w:kinsoku w:val="0"/>
              <w:overflowPunct w:val="0"/>
              <w:jc w:val="center"/>
              <w:rPr>
                <w:spacing w:val="1"/>
                <w:sz w:val="24"/>
              </w:rPr>
            </w:pPr>
            <w:r>
              <w:rPr>
                <w:rFonts w:hint="eastAsia"/>
                <w:spacing w:val="1"/>
                <w:sz w:val="24"/>
              </w:rPr>
              <w:t>分子筛为进口品质</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利用PSA空分原理制取原料氧气</w:t>
            </w:r>
          </w:p>
        </w:tc>
      </w:tr>
      <w:tr>
        <w:tblPrEx>
          <w:tblCellMar>
            <w:top w:w="0" w:type="dxa"/>
            <w:left w:w="0" w:type="dxa"/>
            <w:bottom w:w="0" w:type="dxa"/>
            <w:right w:w="0" w:type="dxa"/>
          </w:tblCellMar>
        </w:tblPrEx>
        <w:trPr>
          <w:trHeight w:val="1991"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2#制氧机</w:t>
            </w:r>
          </w:p>
        </w:tc>
        <w:tc>
          <w:tcPr>
            <w:tcW w:w="4154" w:type="dxa"/>
            <w:gridSpan w:val="3"/>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电源：AC220V/50HZ</w:t>
            </w:r>
          </w:p>
          <w:p>
            <w:pPr>
              <w:pStyle w:val="818"/>
              <w:kinsoku w:val="0"/>
              <w:overflowPunct w:val="0"/>
              <w:jc w:val="center"/>
              <w:rPr>
                <w:spacing w:val="1"/>
                <w:sz w:val="24"/>
              </w:rPr>
            </w:pPr>
            <w:r>
              <w:rPr>
                <w:rFonts w:hint="eastAsia"/>
                <w:spacing w:val="1"/>
                <w:sz w:val="24"/>
              </w:rPr>
              <w:t>氧气纯度≥85%</w:t>
            </w:r>
          </w:p>
          <w:p>
            <w:pPr>
              <w:pStyle w:val="818"/>
              <w:kinsoku w:val="0"/>
              <w:overflowPunct w:val="0"/>
              <w:jc w:val="center"/>
              <w:rPr>
                <w:spacing w:val="1"/>
                <w:sz w:val="24"/>
              </w:rPr>
            </w:pPr>
            <w:r>
              <w:rPr>
                <w:rFonts w:hint="eastAsia"/>
                <w:spacing w:val="1"/>
                <w:sz w:val="24"/>
              </w:rPr>
              <w:t>产量</w:t>
            </w:r>
            <w:r>
              <w:rPr>
                <w:rFonts w:hint="eastAsia"/>
                <w:sz w:val="24"/>
              </w:rPr>
              <w:t>≥</w:t>
            </w:r>
            <w:r>
              <w:rPr>
                <w:rFonts w:hint="eastAsia"/>
                <w:spacing w:val="1"/>
                <w:sz w:val="24"/>
              </w:rPr>
              <w:t>3m³/h</w:t>
            </w:r>
          </w:p>
          <w:p>
            <w:pPr>
              <w:pStyle w:val="818"/>
              <w:kinsoku w:val="0"/>
              <w:overflowPunct w:val="0"/>
              <w:jc w:val="center"/>
              <w:rPr>
                <w:spacing w:val="1"/>
                <w:sz w:val="24"/>
              </w:rPr>
            </w:pPr>
            <w:r>
              <w:rPr>
                <w:rFonts w:hint="eastAsia"/>
                <w:spacing w:val="1"/>
                <w:sz w:val="24"/>
              </w:rPr>
              <w:t>分子筛为进口品质</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利用PSA空分原理制取原料氧气</w:t>
            </w:r>
          </w:p>
        </w:tc>
      </w:tr>
      <w:tr>
        <w:tblPrEx>
          <w:tblCellMar>
            <w:top w:w="0" w:type="dxa"/>
            <w:left w:w="0" w:type="dxa"/>
            <w:bottom w:w="0" w:type="dxa"/>
            <w:right w:w="0" w:type="dxa"/>
          </w:tblCellMar>
        </w:tblPrEx>
        <w:trPr>
          <w:trHeight w:val="1991"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3#制氧机</w:t>
            </w:r>
          </w:p>
          <w:p>
            <w:pPr>
              <w:pStyle w:val="818"/>
              <w:kinsoku w:val="0"/>
              <w:overflowPunct w:val="0"/>
              <w:jc w:val="center"/>
              <w:rPr>
                <w:spacing w:val="1"/>
                <w:sz w:val="24"/>
              </w:rPr>
            </w:pPr>
            <w:r>
              <w:rPr>
                <w:rFonts w:hint="eastAsia"/>
                <w:spacing w:val="1"/>
                <w:sz w:val="24"/>
              </w:rPr>
              <w:t>(臭氧柜内置)</w:t>
            </w:r>
          </w:p>
          <w:p>
            <w:pPr>
              <w:pStyle w:val="818"/>
              <w:kinsoku w:val="0"/>
              <w:overflowPunct w:val="0"/>
              <w:jc w:val="center"/>
              <w:rPr>
                <w:spacing w:val="1"/>
                <w:sz w:val="24"/>
              </w:rPr>
            </w:pPr>
          </w:p>
        </w:tc>
        <w:tc>
          <w:tcPr>
            <w:tcW w:w="4154" w:type="dxa"/>
            <w:gridSpan w:val="3"/>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电源：AC220V/50HZ</w:t>
            </w:r>
          </w:p>
          <w:p>
            <w:pPr>
              <w:pStyle w:val="818"/>
              <w:kinsoku w:val="0"/>
              <w:overflowPunct w:val="0"/>
              <w:jc w:val="center"/>
              <w:rPr>
                <w:spacing w:val="1"/>
                <w:sz w:val="24"/>
              </w:rPr>
            </w:pPr>
            <w:r>
              <w:rPr>
                <w:rFonts w:hint="eastAsia"/>
                <w:spacing w:val="1"/>
                <w:sz w:val="24"/>
              </w:rPr>
              <w:t>氧气纯度≥85%</w:t>
            </w:r>
          </w:p>
          <w:p>
            <w:pPr>
              <w:pStyle w:val="818"/>
              <w:kinsoku w:val="0"/>
              <w:overflowPunct w:val="0"/>
              <w:jc w:val="center"/>
              <w:rPr>
                <w:spacing w:val="1"/>
                <w:sz w:val="24"/>
              </w:rPr>
            </w:pPr>
            <w:r>
              <w:rPr>
                <w:rFonts w:hint="eastAsia"/>
                <w:spacing w:val="1"/>
                <w:sz w:val="24"/>
              </w:rPr>
              <w:t>产量</w:t>
            </w:r>
            <w:r>
              <w:rPr>
                <w:rFonts w:hint="eastAsia"/>
                <w:sz w:val="24"/>
              </w:rPr>
              <w:t>≥</w:t>
            </w:r>
            <w:r>
              <w:rPr>
                <w:rFonts w:hint="eastAsia"/>
                <w:spacing w:val="1"/>
                <w:sz w:val="24"/>
              </w:rPr>
              <w:t>2.7m³/h</w:t>
            </w:r>
          </w:p>
          <w:p>
            <w:pPr>
              <w:pStyle w:val="818"/>
              <w:kinsoku w:val="0"/>
              <w:overflowPunct w:val="0"/>
              <w:jc w:val="center"/>
              <w:rPr>
                <w:spacing w:val="1"/>
                <w:sz w:val="24"/>
              </w:rPr>
            </w:pPr>
            <w:r>
              <w:rPr>
                <w:rFonts w:hint="eastAsia"/>
                <w:spacing w:val="1"/>
                <w:sz w:val="24"/>
              </w:rPr>
              <w:t>分子筛为进口品质</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利用PSA空分原理制取原料氧气</w:t>
            </w:r>
          </w:p>
        </w:tc>
      </w:tr>
      <w:tr>
        <w:tblPrEx>
          <w:tblCellMar>
            <w:top w:w="0" w:type="dxa"/>
            <w:left w:w="0" w:type="dxa"/>
            <w:bottom w:w="0" w:type="dxa"/>
            <w:right w:w="0" w:type="dxa"/>
          </w:tblCellMar>
        </w:tblPrEx>
        <w:trPr>
          <w:trHeight w:val="1991" w:hRule="exact"/>
        </w:trPr>
        <w:tc>
          <w:tcPr>
            <w:tcW w:w="842"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4#制氧机</w:t>
            </w:r>
          </w:p>
          <w:p>
            <w:pPr>
              <w:pStyle w:val="818"/>
              <w:kinsoku w:val="0"/>
              <w:overflowPunct w:val="0"/>
              <w:jc w:val="center"/>
              <w:rPr>
                <w:spacing w:val="1"/>
                <w:sz w:val="24"/>
              </w:rPr>
            </w:pPr>
            <w:r>
              <w:rPr>
                <w:rFonts w:hint="eastAsia"/>
                <w:spacing w:val="1"/>
                <w:sz w:val="24"/>
              </w:rPr>
              <w:t>(臭氧柜内置)</w:t>
            </w:r>
          </w:p>
          <w:p>
            <w:pPr>
              <w:pStyle w:val="818"/>
              <w:kinsoku w:val="0"/>
              <w:overflowPunct w:val="0"/>
              <w:jc w:val="center"/>
              <w:rPr>
                <w:spacing w:val="1"/>
                <w:sz w:val="24"/>
              </w:rPr>
            </w:pPr>
          </w:p>
        </w:tc>
        <w:tc>
          <w:tcPr>
            <w:tcW w:w="4154" w:type="dxa"/>
            <w:gridSpan w:val="3"/>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pacing w:val="1"/>
                <w:sz w:val="24"/>
              </w:rPr>
              <w:t>电源：AC220V/50HZ</w:t>
            </w:r>
          </w:p>
          <w:p>
            <w:pPr>
              <w:pStyle w:val="818"/>
              <w:kinsoku w:val="0"/>
              <w:overflowPunct w:val="0"/>
              <w:jc w:val="center"/>
              <w:rPr>
                <w:spacing w:val="1"/>
                <w:sz w:val="24"/>
              </w:rPr>
            </w:pPr>
            <w:r>
              <w:rPr>
                <w:rFonts w:hint="eastAsia"/>
                <w:spacing w:val="1"/>
                <w:sz w:val="24"/>
              </w:rPr>
              <w:t>氧气纯度≥85%</w:t>
            </w:r>
          </w:p>
          <w:p>
            <w:pPr>
              <w:pStyle w:val="818"/>
              <w:kinsoku w:val="0"/>
              <w:overflowPunct w:val="0"/>
              <w:jc w:val="center"/>
              <w:rPr>
                <w:spacing w:val="1"/>
                <w:sz w:val="24"/>
              </w:rPr>
            </w:pPr>
            <w:r>
              <w:rPr>
                <w:rFonts w:hint="eastAsia"/>
                <w:spacing w:val="1"/>
                <w:sz w:val="24"/>
              </w:rPr>
              <w:t>产量</w:t>
            </w:r>
            <w:r>
              <w:rPr>
                <w:rFonts w:hint="eastAsia"/>
                <w:sz w:val="24"/>
              </w:rPr>
              <w:t>≥</w:t>
            </w:r>
            <w:r>
              <w:rPr>
                <w:rFonts w:hint="eastAsia"/>
                <w:spacing w:val="1"/>
                <w:sz w:val="24"/>
              </w:rPr>
              <w:t>1.5m³/h</w:t>
            </w:r>
          </w:p>
          <w:p>
            <w:pPr>
              <w:pStyle w:val="818"/>
              <w:kinsoku w:val="0"/>
              <w:overflowPunct w:val="0"/>
              <w:jc w:val="center"/>
              <w:rPr>
                <w:spacing w:val="1"/>
                <w:sz w:val="24"/>
              </w:rPr>
            </w:pPr>
            <w:r>
              <w:rPr>
                <w:rFonts w:hint="eastAsia"/>
                <w:spacing w:val="1"/>
                <w:sz w:val="24"/>
              </w:rPr>
              <w:t>分子筛为进口品质</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利用PSA空分原理制取原料氧气</w:t>
            </w:r>
          </w:p>
        </w:tc>
      </w:tr>
      <w:tr>
        <w:tblPrEx>
          <w:tblCellMar>
            <w:top w:w="0" w:type="dxa"/>
            <w:left w:w="0" w:type="dxa"/>
            <w:bottom w:w="0" w:type="dxa"/>
            <w:right w:w="0" w:type="dxa"/>
          </w:tblCellMar>
        </w:tblPrEx>
        <w:trPr>
          <w:trHeight w:val="1395"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2.3</w:t>
            </w:r>
          </w:p>
        </w:tc>
        <w:tc>
          <w:tcPr>
            <w:tcW w:w="2173" w:type="dxa"/>
            <w:gridSpan w:val="2"/>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减压阀、流量计、止回阀等</w:t>
            </w:r>
          </w:p>
        </w:tc>
        <w:tc>
          <w:tcPr>
            <w:tcW w:w="4154" w:type="dxa"/>
            <w:gridSpan w:val="3"/>
            <w:tcBorders>
              <w:top w:val="single" w:color="auto"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制氧机配套</w:t>
            </w:r>
          </w:p>
        </w:tc>
        <w:tc>
          <w:tcPr>
            <w:tcW w:w="660"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43"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3</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b/>
                <w:sz w:val="24"/>
              </w:rPr>
            </w:pPr>
            <w:r>
              <w:rPr>
                <w:rFonts w:hint="eastAsia"/>
                <w:b/>
                <w:sz w:val="24"/>
              </w:rPr>
              <w:t>臭氧混气投加装置</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293"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3</w:t>
            </w:r>
            <w:r>
              <w:rPr>
                <w:rFonts w:hint="eastAsia"/>
                <w:sz w:val="24"/>
              </w:rPr>
              <w:t>.1</w:t>
            </w: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配套不锈钢多级</w:t>
            </w:r>
          </w:p>
          <w:p>
            <w:pPr>
              <w:pStyle w:val="818"/>
              <w:kinsoku w:val="0"/>
              <w:overflowPunct w:val="0"/>
              <w:jc w:val="center"/>
              <w:rPr>
                <w:sz w:val="24"/>
              </w:rPr>
            </w:pPr>
            <w:r>
              <w:rPr>
                <w:rFonts w:hint="eastAsia"/>
                <w:sz w:val="24"/>
              </w:rPr>
              <w:t>离心水泵</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155" w:type="dxa"/>
            <w:tcBorders>
              <w:top w:val="single" w:color="000000" w:sz="4" w:space="0"/>
              <w:left w:val="single" w:color="auto" w:sz="4" w:space="0"/>
              <w:bottom w:val="single" w:color="auto" w:sz="4" w:space="0"/>
              <w:right w:val="single" w:color="000000" w:sz="4" w:space="0"/>
            </w:tcBorders>
            <w:vAlign w:val="center"/>
          </w:tcPr>
          <w:p>
            <w:pPr>
              <w:jc w:val="left"/>
              <w:rPr>
                <w:sz w:val="24"/>
              </w:rPr>
            </w:pPr>
            <w:r>
              <w:rPr>
                <w:rFonts w:hint="eastAsia" w:ascii="宋体" w:hAnsi="宋体" w:cs="宋体"/>
                <w:sz w:val="24"/>
              </w:rPr>
              <w:t>★电机为全封闭，风冷式二极标准电机，过流部件为304不锈钢，具有CCC或CE或UL认证。</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3</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为气液混合提供动力</w:t>
            </w:r>
          </w:p>
        </w:tc>
      </w:tr>
      <w:tr>
        <w:tblPrEx>
          <w:tblCellMar>
            <w:top w:w="0" w:type="dxa"/>
            <w:left w:w="0" w:type="dxa"/>
            <w:bottom w:w="0" w:type="dxa"/>
            <w:right w:w="0" w:type="dxa"/>
          </w:tblCellMar>
        </w:tblPrEx>
        <w:trPr>
          <w:trHeight w:val="84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功能参数</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流量：26m³/h，扬程：47m，</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14"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电量参数</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lang w:val="en-US"/>
              </w:rPr>
            </w:pPr>
            <w:r>
              <w:rPr>
                <w:rFonts w:hint="eastAsia"/>
                <w:sz w:val="24"/>
              </w:rPr>
              <w:t>功率</w:t>
            </w:r>
            <w:r>
              <w:rPr>
                <w:rFonts w:hint="eastAsia"/>
                <w:sz w:val="24"/>
                <w:lang w:val="en-US"/>
              </w:rPr>
              <w:t>：≥5.5kw；</w:t>
            </w:r>
            <w:r>
              <w:rPr>
                <w:rFonts w:hint="eastAsia"/>
                <w:sz w:val="24"/>
              </w:rPr>
              <w:t>三相</w:t>
            </w:r>
            <w:r>
              <w:rPr>
                <w:rFonts w:hint="eastAsia"/>
                <w:sz w:val="24"/>
                <w:lang w:val="en-US"/>
              </w:rPr>
              <w:t>380V/50HZ</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08"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lang w:val="en-US"/>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防护等级</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IP55</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70"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bottom w:val="single" w:color="auto"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绝缘等级</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F</w:t>
            </w:r>
          </w:p>
        </w:tc>
        <w:tc>
          <w:tcPr>
            <w:tcW w:w="660" w:type="dxa"/>
            <w:vMerge w:val="continue"/>
            <w:tcBorders>
              <w:left w:val="single" w:color="000000" w:sz="4" w:space="0"/>
              <w:bottom w:val="single" w:color="auto"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bottom w:val="single" w:color="auto"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22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配套不锈钢多级</w:t>
            </w:r>
          </w:p>
          <w:p>
            <w:pPr>
              <w:pStyle w:val="818"/>
              <w:kinsoku w:val="0"/>
              <w:overflowPunct w:val="0"/>
              <w:jc w:val="center"/>
              <w:rPr>
                <w:sz w:val="24"/>
              </w:rPr>
            </w:pPr>
            <w:r>
              <w:rPr>
                <w:rFonts w:hint="eastAsia"/>
                <w:sz w:val="24"/>
              </w:rPr>
              <w:t>离心水泵</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155" w:type="dxa"/>
            <w:tcBorders>
              <w:top w:val="single" w:color="000000" w:sz="4" w:space="0"/>
              <w:left w:val="single" w:color="auto" w:sz="4" w:space="0"/>
              <w:bottom w:val="single" w:color="auto" w:sz="4" w:space="0"/>
              <w:right w:val="single" w:color="000000" w:sz="4" w:space="0"/>
            </w:tcBorders>
            <w:vAlign w:val="center"/>
          </w:tcPr>
          <w:p>
            <w:pPr>
              <w:jc w:val="left"/>
              <w:rPr>
                <w:rFonts w:ascii="宋体" w:hAnsi="宋体" w:cs="宋体"/>
                <w:sz w:val="24"/>
              </w:rPr>
            </w:pPr>
            <w:r>
              <w:rPr>
                <w:rFonts w:hint="eastAsia" w:ascii="宋体" w:hAnsi="宋体" w:cs="宋体"/>
                <w:sz w:val="24"/>
              </w:rPr>
              <w:t>★电机为全封闭，风冷式二极标准电机，过流部件为304不锈钢材质。具有CCC或CE或UL认证。</w:t>
            </w:r>
          </w:p>
          <w:p>
            <w:pPr>
              <w:pStyle w:val="818"/>
              <w:kinsoku w:val="0"/>
              <w:overflowPunct w:val="0"/>
              <w:jc w:val="center"/>
              <w:rPr>
                <w:sz w:val="24"/>
              </w:rPr>
            </w:pP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为气液混合提供动力</w:t>
            </w:r>
          </w:p>
        </w:tc>
      </w:tr>
      <w:tr>
        <w:tblPrEx>
          <w:tblCellMar>
            <w:top w:w="0" w:type="dxa"/>
            <w:left w:w="0" w:type="dxa"/>
            <w:bottom w:w="0" w:type="dxa"/>
            <w:right w:w="0" w:type="dxa"/>
          </w:tblCellMar>
        </w:tblPrEx>
        <w:trPr>
          <w:trHeight w:val="764"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功能参数</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流量：15m³/h，</w:t>
            </w:r>
          </w:p>
          <w:p>
            <w:pPr>
              <w:pStyle w:val="818"/>
              <w:kinsoku w:val="0"/>
              <w:overflowPunct w:val="0"/>
              <w:jc w:val="center"/>
              <w:rPr>
                <w:sz w:val="24"/>
              </w:rPr>
            </w:pPr>
            <w:r>
              <w:rPr>
                <w:rFonts w:hint="eastAsia"/>
                <w:sz w:val="24"/>
              </w:rPr>
              <w:t>扬程：34.5m，</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07"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电量参数</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lang w:val="en-US"/>
              </w:rPr>
            </w:pPr>
            <w:r>
              <w:rPr>
                <w:rFonts w:hint="eastAsia"/>
                <w:sz w:val="24"/>
              </w:rPr>
              <w:t>功率</w:t>
            </w:r>
            <w:r>
              <w:rPr>
                <w:rFonts w:hint="eastAsia"/>
                <w:sz w:val="24"/>
                <w:lang w:val="en-US"/>
              </w:rPr>
              <w:t>：≥3kw；</w:t>
            </w:r>
            <w:r>
              <w:rPr>
                <w:rFonts w:hint="eastAsia"/>
                <w:sz w:val="24"/>
              </w:rPr>
              <w:t>三相</w:t>
            </w:r>
          </w:p>
          <w:p>
            <w:pPr>
              <w:pStyle w:val="818"/>
              <w:kinsoku w:val="0"/>
              <w:overflowPunct w:val="0"/>
              <w:jc w:val="center"/>
              <w:rPr>
                <w:sz w:val="24"/>
                <w:lang w:val="en-US"/>
              </w:rPr>
            </w:pPr>
            <w:r>
              <w:rPr>
                <w:rFonts w:hint="eastAsia"/>
                <w:sz w:val="24"/>
                <w:lang w:val="en-US"/>
              </w:rPr>
              <w:t>380V/50HZ</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6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lang w:val="en-US"/>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lang w:val="en-US"/>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防护等级等级</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IP55</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62"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绝缘等级</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F</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90" w:hRule="exact"/>
        </w:trPr>
        <w:tc>
          <w:tcPr>
            <w:tcW w:w="842" w:type="dxa"/>
            <w:vMerge w:val="restart"/>
            <w:tcBorders>
              <w:top w:val="single" w:color="auto"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3</w:t>
            </w:r>
            <w:r>
              <w:rPr>
                <w:rFonts w:hint="eastAsia"/>
                <w:sz w:val="24"/>
              </w:rPr>
              <w:t>.2</w:t>
            </w:r>
          </w:p>
        </w:tc>
        <w:tc>
          <w:tcPr>
            <w:tcW w:w="2173" w:type="dxa"/>
            <w:gridSpan w:val="2"/>
            <w:vMerge w:val="restart"/>
            <w:tcBorders>
              <w:top w:val="single" w:color="auto"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射流器</w:t>
            </w:r>
          </w:p>
        </w:tc>
        <w:tc>
          <w:tcPr>
            <w:tcW w:w="999" w:type="dxa"/>
            <w:gridSpan w:val="2"/>
            <w:tcBorders>
              <w:top w:val="single" w:color="auto"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材质</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PVDF材质</w:t>
            </w:r>
          </w:p>
        </w:tc>
        <w:tc>
          <w:tcPr>
            <w:tcW w:w="660" w:type="dxa"/>
            <w:vMerge w:val="restart"/>
            <w:tcBorders>
              <w:top w:val="single" w:color="auto"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个</w:t>
            </w:r>
          </w:p>
        </w:tc>
        <w:tc>
          <w:tcPr>
            <w:tcW w:w="526" w:type="dxa"/>
            <w:vMerge w:val="restart"/>
            <w:tcBorders>
              <w:top w:val="single" w:color="auto"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3</w:t>
            </w:r>
          </w:p>
        </w:tc>
        <w:tc>
          <w:tcPr>
            <w:tcW w:w="1022" w:type="dxa"/>
            <w:vMerge w:val="restart"/>
            <w:tcBorders>
              <w:top w:val="single" w:color="auto"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配产量600g/h、350g/h、250/h</w:t>
            </w:r>
          </w:p>
        </w:tc>
      </w:tr>
      <w:tr>
        <w:tblPrEx>
          <w:tblCellMar>
            <w:top w:w="0" w:type="dxa"/>
            <w:left w:w="0" w:type="dxa"/>
            <w:bottom w:w="0" w:type="dxa"/>
            <w:right w:w="0" w:type="dxa"/>
          </w:tblCellMar>
        </w:tblPrEx>
        <w:trPr>
          <w:trHeight w:val="1148"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000000" w:sz="4" w:space="0"/>
              <w:right w:val="single" w:color="auto" w:sz="4" w:space="0"/>
            </w:tcBorders>
            <w:vAlign w:val="center"/>
          </w:tcPr>
          <w:p>
            <w:pPr>
              <w:pStyle w:val="818"/>
              <w:kinsoku w:val="0"/>
              <w:overflowPunct w:val="0"/>
              <w:jc w:val="center"/>
              <w:rPr>
                <w:sz w:val="24"/>
              </w:rPr>
            </w:pPr>
            <w:r>
              <w:rPr>
                <w:rFonts w:hint="eastAsia"/>
                <w:sz w:val="24"/>
              </w:rPr>
              <w:t>尺寸</w:t>
            </w:r>
          </w:p>
        </w:tc>
        <w:tc>
          <w:tcPr>
            <w:tcW w:w="3155" w:type="dxa"/>
            <w:tcBorders>
              <w:top w:val="single" w:color="auto" w:sz="4" w:space="0"/>
              <w:left w:val="single" w:color="auto"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长度11.7寸，进出接口口径：2"MNPT、吸气口口径：1 1/4"MNPT</w:t>
            </w:r>
          </w:p>
        </w:tc>
        <w:tc>
          <w:tcPr>
            <w:tcW w:w="660"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79"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射流器</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材质</w:t>
            </w:r>
          </w:p>
        </w:tc>
        <w:tc>
          <w:tcPr>
            <w:tcW w:w="3155" w:type="dxa"/>
            <w:tcBorders>
              <w:top w:val="single" w:color="000000"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PVDF材质，</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个</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配产量150g/h</w:t>
            </w:r>
          </w:p>
        </w:tc>
      </w:tr>
      <w:tr>
        <w:tblPrEx>
          <w:tblCellMar>
            <w:top w:w="0" w:type="dxa"/>
            <w:left w:w="0" w:type="dxa"/>
            <w:bottom w:w="0" w:type="dxa"/>
            <w:right w:w="0" w:type="dxa"/>
          </w:tblCellMar>
        </w:tblPrEx>
        <w:trPr>
          <w:trHeight w:val="1283" w:hRule="exact"/>
        </w:trPr>
        <w:tc>
          <w:tcPr>
            <w:tcW w:w="842"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000000" w:sz="4" w:space="0"/>
              <w:right w:val="single" w:color="auto" w:sz="4" w:space="0"/>
            </w:tcBorders>
            <w:vAlign w:val="center"/>
          </w:tcPr>
          <w:p>
            <w:pPr>
              <w:pStyle w:val="818"/>
              <w:kinsoku w:val="0"/>
              <w:overflowPunct w:val="0"/>
              <w:jc w:val="center"/>
              <w:rPr>
                <w:sz w:val="24"/>
              </w:rPr>
            </w:pPr>
            <w:r>
              <w:rPr>
                <w:rFonts w:hint="eastAsia"/>
                <w:sz w:val="24"/>
              </w:rPr>
              <w:t>尺寸</w:t>
            </w:r>
          </w:p>
        </w:tc>
        <w:tc>
          <w:tcPr>
            <w:tcW w:w="3155" w:type="dxa"/>
            <w:tcBorders>
              <w:top w:val="single" w:color="auto" w:sz="4" w:space="0"/>
              <w:left w:val="single" w:color="auto"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长度约11寸，进出接口口径：1 1/2"MNPT、吸气口口径：1/2"MNPT</w:t>
            </w:r>
          </w:p>
        </w:tc>
        <w:tc>
          <w:tcPr>
            <w:tcW w:w="660"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15"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3</w:t>
            </w:r>
            <w:r>
              <w:rPr>
                <w:rFonts w:hint="eastAsia"/>
                <w:sz w:val="24"/>
              </w:rPr>
              <w:t>.</w:t>
            </w:r>
            <w:r>
              <w:rPr>
                <w:rFonts w:hint="eastAsia"/>
                <w:spacing w:val="-2"/>
                <w:sz w:val="24"/>
              </w:rPr>
              <w:t>3</w:t>
            </w:r>
          </w:p>
          <w:p>
            <w:pPr>
              <w:pStyle w:val="818"/>
              <w:kinsoku w:val="0"/>
              <w:overflowPunct w:val="0"/>
              <w:jc w:val="center"/>
              <w:rPr>
                <w:sz w:val="24"/>
              </w:rPr>
            </w:pPr>
          </w:p>
        </w:tc>
        <w:tc>
          <w:tcPr>
            <w:tcW w:w="2173"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单向阀</w:t>
            </w:r>
          </w:p>
        </w:tc>
        <w:tc>
          <w:tcPr>
            <w:tcW w:w="99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说明</w:t>
            </w:r>
          </w:p>
        </w:tc>
        <w:tc>
          <w:tcPr>
            <w:tcW w:w="31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 xml:space="preserve">配套发生器、射流器， </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个</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7</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89"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right w:val="single" w:color="000000" w:sz="4" w:space="0"/>
            </w:tcBorders>
            <w:vAlign w:val="center"/>
          </w:tcPr>
          <w:p>
            <w:pPr>
              <w:jc w:val="center"/>
              <w:rPr>
                <w:rFonts w:ascii="宋体" w:hAnsi="宋体" w:cs="宋体"/>
                <w:sz w:val="24"/>
              </w:rPr>
            </w:pPr>
          </w:p>
        </w:tc>
        <w:tc>
          <w:tcPr>
            <w:tcW w:w="99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接口</w:t>
            </w:r>
          </w:p>
        </w:tc>
        <w:tc>
          <w:tcPr>
            <w:tcW w:w="31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≥DN15 外牙</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003" w:hRule="exact"/>
        </w:trPr>
        <w:tc>
          <w:tcPr>
            <w:tcW w:w="842"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999"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材质</w:t>
            </w:r>
          </w:p>
        </w:tc>
        <w:tc>
          <w:tcPr>
            <w:tcW w:w="31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外壳PVDF</w:t>
            </w:r>
          </w:p>
        </w:tc>
        <w:tc>
          <w:tcPr>
            <w:tcW w:w="660"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94"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4</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b/>
                <w:sz w:val="24"/>
              </w:rPr>
            </w:pPr>
            <w:r>
              <w:rPr>
                <w:rFonts w:hint="eastAsia"/>
                <w:b/>
                <w:sz w:val="24"/>
              </w:rPr>
              <w:t>仪器仪表</w:t>
            </w:r>
          </w:p>
        </w:tc>
        <w:tc>
          <w:tcPr>
            <w:tcW w:w="415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565"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4.1</w:t>
            </w: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rPr>
                <w:sz w:val="24"/>
              </w:rPr>
            </w:pPr>
            <w:r>
              <w:rPr>
                <w:rFonts w:hint="eastAsia"/>
                <w:sz w:val="24"/>
              </w:rPr>
              <w:t>臭氧浓度检测仪</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说明</w:t>
            </w:r>
          </w:p>
        </w:tc>
        <w:tc>
          <w:tcPr>
            <w:tcW w:w="3155" w:type="dxa"/>
            <w:tcBorders>
              <w:top w:val="single" w:color="000000"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范围0-20ppm,精度0.01，通信485接口，4-20MA输出，2路继电器输出</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50"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防护等级</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IP65</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988"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4.2</w:t>
            </w: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臭氧泄露报警仪</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说明</w:t>
            </w:r>
          </w:p>
        </w:tc>
        <w:tc>
          <w:tcPr>
            <w:tcW w:w="3155" w:type="dxa"/>
            <w:tcBorders>
              <w:top w:val="single" w:color="000000"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安装方式：壁挂式，带声光报警</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台</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检测臭氧间内臭氧泄露</w:t>
            </w:r>
          </w:p>
        </w:tc>
      </w:tr>
      <w:tr>
        <w:tblPrEx>
          <w:tblCellMar>
            <w:top w:w="0" w:type="dxa"/>
            <w:left w:w="0" w:type="dxa"/>
            <w:bottom w:w="0" w:type="dxa"/>
            <w:right w:w="0" w:type="dxa"/>
          </w:tblCellMar>
        </w:tblPrEx>
        <w:trPr>
          <w:trHeight w:val="1143"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电源信号</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 xml:space="preserve">DC24V 4-20mA、RS485、两总线， </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46"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测量范围</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0-5PM   精度：0.01ppm</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131" w:hRule="exact"/>
        </w:trPr>
        <w:tc>
          <w:tcPr>
            <w:tcW w:w="842"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pacing w:val="1"/>
                <w:sz w:val="24"/>
              </w:rPr>
              <w:t>5</w:t>
            </w:r>
            <w:r>
              <w:rPr>
                <w:rFonts w:hint="eastAsia"/>
                <w:sz w:val="24"/>
              </w:rPr>
              <w:t>.1</w:t>
            </w:r>
          </w:p>
        </w:tc>
        <w:tc>
          <w:tcPr>
            <w:tcW w:w="2173" w:type="dxa"/>
            <w:gridSpan w:val="2"/>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臭氧毁灭器</w:t>
            </w:r>
          </w:p>
        </w:tc>
        <w:tc>
          <w:tcPr>
            <w:tcW w:w="999" w:type="dxa"/>
            <w:gridSpan w:val="2"/>
            <w:tcBorders>
              <w:top w:val="single" w:color="000000"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说明</w:t>
            </w:r>
          </w:p>
        </w:tc>
        <w:tc>
          <w:tcPr>
            <w:tcW w:w="3155" w:type="dxa"/>
            <w:tcBorders>
              <w:top w:val="single" w:color="000000"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按处理氧气源臭氧反</w:t>
            </w:r>
            <w:r>
              <w:rPr>
                <w:rFonts w:hint="eastAsia"/>
                <w:spacing w:val="-3"/>
                <w:sz w:val="24"/>
              </w:rPr>
              <w:t>应</w:t>
            </w:r>
            <w:r>
              <w:rPr>
                <w:rFonts w:hint="eastAsia"/>
                <w:sz w:val="24"/>
              </w:rPr>
              <w:t>后的尾气设计，成</w:t>
            </w:r>
            <w:r>
              <w:rPr>
                <w:rFonts w:hint="eastAsia"/>
                <w:spacing w:val="-3"/>
                <w:sz w:val="24"/>
              </w:rPr>
              <w:t>套</w:t>
            </w:r>
            <w:r>
              <w:rPr>
                <w:rFonts w:hint="eastAsia"/>
                <w:sz w:val="24"/>
              </w:rPr>
              <w:t>设备带机座</w:t>
            </w:r>
          </w:p>
        </w:tc>
        <w:tc>
          <w:tcPr>
            <w:tcW w:w="660"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vMerge w:val="restart"/>
            <w:tcBorders>
              <w:top w:val="single" w:color="000000" w:sz="4" w:space="0"/>
              <w:left w:val="single" w:color="000000" w:sz="4" w:space="0"/>
              <w:right w:val="single" w:color="000000" w:sz="4" w:space="0"/>
            </w:tcBorders>
            <w:vAlign w:val="center"/>
          </w:tcPr>
          <w:p>
            <w:pPr>
              <w:pStyle w:val="818"/>
              <w:kinsoku w:val="0"/>
              <w:overflowPunct w:val="0"/>
              <w:jc w:val="center"/>
              <w:rPr>
                <w:sz w:val="24"/>
              </w:rPr>
            </w:pPr>
            <w:r>
              <w:rPr>
                <w:rFonts w:hint="eastAsia"/>
                <w:sz w:val="24"/>
              </w:rPr>
              <w:t>4</w:t>
            </w:r>
          </w:p>
        </w:tc>
        <w:tc>
          <w:tcPr>
            <w:tcW w:w="102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配套臭氧发生器</w:t>
            </w:r>
          </w:p>
        </w:tc>
      </w:tr>
      <w:tr>
        <w:tblPrEx>
          <w:tblCellMar>
            <w:top w:w="0" w:type="dxa"/>
            <w:left w:w="0" w:type="dxa"/>
            <w:bottom w:w="0" w:type="dxa"/>
            <w:right w:w="0" w:type="dxa"/>
          </w:tblCellMar>
        </w:tblPrEx>
        <w:trPr>
          <w:trHeight w:val="708" w:hRule="exact"/>
        </w:trPr>
        <w:tc>
          <w:tcPr>
            <w:tcW w:w="842" w:type="dxa"/>
            <w:vMerge w:val="continue"/>
            <w:tcBorders>
              <w:left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auto" w:sz="4" w:space="0"/>
              <w:right w:val="single" w:color="auto" w:sz="4" w:space="0"/>
            </w:tcBorders>
            <w:vAlign w:val="center"/>
          </w:tcPr>
          <w:p>
            <w:pPr>
              <w:pStyle w:val="818"/>
              <w:kinsoku w:val="0"/>
              <w:overflowPunct w:val="0"/>
              <w:jc w:val="center"/>
              <w:rPr>
                <w:sz w:val="24"/>
              </w:rPr>
            </w:pPr>
            <w:r>
              <w:rPr>
                <w:rFonts w:hint="eastAsia"/>
                <w:sz w:val="24"/>
              </w:rPr>
              <w:t>毁灭方式</w:t>
            </w:r>
          </w:p>
        </w:tc>
        <w:tc>
          <w:tcPr>
            <w:tcW w:w="3155" w:type="dxa"/>
            <w:tcBorders>
              <w:top w:val="single" w:color="auto" w:sz="4" w:space="0"/>
              <w:left w:val="single" w:color="auto"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电辅助加热，催化剂毁灭臭氧</w:t>
            </w:r>
          </w:p>
        </w:tc>
        <w:tc>
          <w:tcPr>
            <w:tcW w:w="660"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704" w:hRule="exact"/>
        </w:trPr>
        <w:tc>
          <w:tcPr>
            <w:tcW w:w="842"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p>
        </w:tc>
        <w:tc>
          <w:tcPr>
            <w:tcW w:w="2173" w:type="dxa"/>
            <w:gridSpan w:val="2"/>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999" w:type="dxa"/>
            <w:gridSpan w:val="2"/>
            <w:tcBorders>
              <w:top w:val="single" w:color="auto" w:sz="4" w:space="0"/>
              <w:left w:val="single" w:color="000000" w:sz="4" w:space="0"/>
              <w:bottom w:val="single" w:color="000000" w:sz="4" w:space="0"/>
              <w:right w:val="single" w:color="auto" w:sz="4" w:space="0"/>
            </w:tcBorders>
            <w:vAlign w:val="center"/>
          </w:tcPr>
          <w:p>
            <w:pPr>
              <w:pStyle w:val="818"/>
              <w:kinsoku w:val="0"/>
              <w:overflowPunct w:val="0"/>
              <w:jc w:val="center"/>
              <w:rPr>
                <w:sz w:val="24"/>
              </w:rPr>
            </w:pPr>
            <w:r>
              <w:rPr>
                <w:rFonts w:hint="eastAsia"/>
                <w:sz w:val="24"/>
              </w:rPr>
              <w:t>电源</w:t>
            </w:r>
          </w:p>
        </w:tc>
        <w:tc>
          <w:tcPr>
            <w:tcW w:w="3155" w:type="dxa"/>
            <w:tcBorders>
              <w:top w:val="single" w:color="auto" w:sz="4" w:space="0"/>
              <w:left w:val="single" w:color="auto"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 xml:space="preserve">220V/50HZ </w:t>
            </w:r>
          </w:p>
        </w:tc>
        <w:tc>
          <w:tcPr>
            <w:tcW w:w="660"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526" w:type="dxa"/>
            <w:vMerge w:val="continue"/>
            <w:tcBorders>
              <w:left w:val="single" w:color="000000" w:sz="4" w:space="0"/>
              <w:bottom w:val="single" w:color="000000" w:sz="4" w:space="0"/>
              <w:right w:val="single" w:color="000000" w:sz="4" w:space="0"/>
            </w:tcBorders>
            <w:vAlign w:val="center"/>
          </w:tcPr>
          <w:p>
            <w:pPr>
              <w:pStyle w:val="818"/>
              <w:kinsoku w:val="0"/>
              <w:overflowPunct w:val="0"/>
              <w:jc w:val="center"/>
              <w:rPr>
                <w:sz w:val="24"/>
              </w:rPr>
            </w:pPr>
          </w:p>
        </w:tc>
        <w:tc>
          <w:tcPr>
            <w:tcW w:w="102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89"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6</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b/>
                <w:sz w:val="24"/>
              </w:rPr>
            </w:pPr>
            <w:r>
              <w:rPr>
                <w:rFonts w:hint="eastAsia"/>
                <w:b/>
                <w:sz w:val="24"/>
              </w:rPr>
              <w:t>安装材料</w:t>
            </w:r>
          </w:p>
        </w:tc>
        <w:tc>
          <w:tcPr>
            <w:tcW w:w="4154"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c>
          <w:tcPr>
            <w:tcW w:w="660"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c>
          <w:tcPr>
            <w:tcW w:w="526"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c>
          <w:tcPr>
            <w:tcW w:w="102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886"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6</w:t>
            </w:r>
            <w:r>
              <w:rPr>
                <w:rFonts w:hint="eastAsia"/>
                <w:spacing w:val="-2"/>
                <w:sz w:val="24"/>
              </w:rPr>
              <w:t>.</w:t>
            </w:r>
            <w:r>
              <w:rPr>
                <w:rFonts w:hint="eastAsia"/>
                <w:sz w:val="24"/>
              </w:rPr>
              <w:t>1</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连接管道及附件</w:t>
            </w:r>
          </w:p>
        </w:tc>
        <w:tc>
          <w:tcPr>
            <w:tcW w:w="4154"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臭氧输送管道PVDF材质</w:t>
            </w:r>
          </w:p>
        </w:tc>
        <w:tc>
          <w:tcPr>
            <w:tcW w:w="660" w:type="dxa"/>
            <w:tcBorders>
              <w:top w:val="single" w:color="auto" w:sz="4" w:space="0"/>
              <w:left w:val="single" w:color="000000"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auto" w:sz="4" w:space="0"/>
              <w:left w:val="single" w:color="000000"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1181" w:hRule="exact"/>
        </w:trPr>
        <w:tc>
          <w:tcPr>
            <w:tcW w:w="842" w:type="dxa"/>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pacing w:val="1"/>
                <w:sz w:val="24"/>
              </w:rPr>
            </w:pPr>
            <w:r>
              <w:rPr>
                <w:rFonts w:hint="eastAsia"/>
                <w:sz w:val="24"/>
              </w:rPr>
              <w:t>6</w:t>
            </w:r>
            <w:r>
              <w:rPr>
                <w:rFonts w:hint="eastAsia"/>
                <w:spacing w:val="-2"/>
                <w:sz w:val="24"/>
              </w:rPr>
              <w:t>.</w:t>
            </w:r>
            <w:r>
              <w:rPr>
                <w:rFonts w:hint="eastAsia"/>
                <w:sz w:val="24"/>
              </w:rPr>
              <w:t>2</w:t>
            </w:r>
          </w:p>
        </w:tc>
        <w:tc>
          <w:tcPr>
            <w:tcW w:w="2173" w:type="dxa"/>
            <w:gridSpan w:val="2"/>
            <w:tcBorders>
              <w:top w:val="single" w:color="000000" w:sz="4" w:space="0"/>
              <w:left w:val="single" w:color="000000" w:sz="4" w:space="0"/>
              <w:bottom w:val="single" w:color="000000" w:sz="4" w:space="0"/>
              <w:right w:val="single" w:color="000000" w:sz="4" w:space="0"/>
            </w:tcBorders>
            <w:vAlign w:val="center"/>
          </w:tcPr>
          <w:p>
            <w:pPr>
              <w:pStyle w:val="818"/>
              <w:kinsoku w:val="0"/>
              <w:overflowPunct w:val="0"/>
              <w:jc w:val="center"/>
              <w:rPr>
                <w:sz w:val="24"/>
              </w:rPr>
            </w:pPr>
            <w:r>
              <w:rPr>
                <w:rFonts w:hint="eastAsia"/>
                <w:sz w:val="24"/>
              </w:rPr>
              <w:t>电缆线</w:t>
            </w:r>
          </w:p>
        </w:tc>
        <w:tc>
          <w:tcPr>
            <w:tcW w:w="4154"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 w:val="24"/>
              </w:rPr>
            </w:pPr>
            <w:r>
              <w:rPr>
                <w:rFonts w:hint="eastAsia" w:ascii="宋体" w:hAnsi="宋体" w:cs="宋体"/>
                <w:sz w:val="24"/>
              </w:rPr>
              <w:t>★配套</w:t>
            </w:r>
          </w:p>
          <w:p>
            <w:pPr>
              <w:jc w:val="center"/>
            </w:pPr>
            <w:r>
              <w:rPr>
                <w:rFonts w:hint="eastAsia" w:ascii="宋体" w:hAnsi="宋体" w:cs="宋体"/>
                <w:sz w:val="24"/>
              </w:rPr>
              <w:t>电线具有CCC认证。</w:t>
            </w:r>
          </w:p>
        </w:tc>
        <w:tc>
          <w:tcPr>
            <w:tcW w:w="660" w:type="dxa"/>
            <w:tcBorders>
              <w:top w:val="single" w:color="auto" w:sz="4" w:space="0"/>
              <w:left w:val="single" w:color="000000"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套</w:t>
            </w:r>
          </w:p>
        </w:tc>
        <w:tc>
          <w:tcPr>
            <w:tcW w:w="526" w:type="dxa"/>
            <w:tcBorders>
              <w:top w:val="single" w:color="auto" w:sz="4" w:space="0"/>
              <w:left w:val="single" w:color="000000" w:sz="4" w:space="0"/>
              <w:bottom w:val="single" w:color="auto" w:sz="4" w:space="0"/>
              <w:right w:val="single" w:color="000000" w:sz="4" w:space="0"/>
            </w:tcBorders>
            <w:vAlign w:val="center"/>
          </w:tcPr>
          <w:p>
            <w:pPr>
              <w:pStyle w:val="818"/>
              <w:kinsoku w:val="0"/>
              <w:overflowPunct w:val="0"/>
              <w:jc w:val="center"/>
              <w:rPr>
                <w:sz w:val="24"/>
              </w:rPr>
            </w:pPr>
            <w:r>
              <w:rPr>
                <w:rFonts w:hint="eastAsia"/>
                <w:sz w:val="24"/>
              </w:rPr>
              <w:t>1</w:t>
            </w:r>
          </w:p>
        </w:tc>
        <w:tc>
          <w:tcPr>
            <w:tcW w:w="102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sz w:val="24"/>
              </w:rPr>
            </w:pPr>
            <w:r>
              <w:rPr>
                <w:rFonts w:hint="eastAsia" w:ascii="宋体" w:hAnsi="宋体" w:cs="宋体"/>
                <w:sz w:val="24"/>
              </w:rPr>
              <w:t>臭氧柜自带</w:t>
            </w:r>
          </w:p>
        </w:tc>
      </w:tr>
    </w:tbl>
    <w:p>
      <w:pPr>
        <w:spacing w:line="360" w:lineRule="auto"/>
        <w:rPr>
          <w:color w:val="000000" w:themeColor="text1"/>
          <w:sz w:val="24"/>
          <w:szCs w:val="24"/>
        </w:rPr>
      </w:pPr>
      <w:r>
        <w:rPr>
          <w:rFonts w:hint="eastAsia" w:ascii="宋体" w:hAnsi="宋体" w:cs="宋体"/>
          <w:b/>
          <w:color w:val="000000" w:themeColor="text1"/>
          <w:sz w:val="24"/>
          <w:szCs w:val="24"/>
        </w:rPr>
        <w:t>注：臭氧发生器核心产品。</w:t>
      </w:r>
    </w:p>
    <w:p>
      <w:pPr>
        <w:jc w:val="center"/>
        <w:rPr>
          <w:b/>
          <w:bCs/>
          <w:sz w:val="32"/>
          <w:szCs w:val="36"/>
        </w:rPr>
      </w:pPr>
      <w:r>
        <w:br w:type="page"/>
      </w:r>
      <w:r>
        <w:rPr>
          <w:rFonts w:hint="eastAsia"/>
          <w:b/>
          <w:bCs/>
          <w:sz w:val="32"/>
          <w:szCs w:val="36"/>
        </w:rPr>
        <w:t>气源系统设备技术参数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00"/>
        <w:gridCol w:w="50"/>
        <w:gridCol w:w="2532"/>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Align w:val="center"/>
          </w:tcPr>
          <w:p>
            <w:pPr>
              <w:jc w:val="center"/>
              <w:rPr>
                <w:rFonts w:ascii="宋体" w:hAnsi="宋体" w:cs="宋体"/>
                <w:color w:val="000000"/>
                <w:sz w:val="24"/>
              </w:rPr>
            </w:pPr>
            <w:r>
              <w:rPr>
                <w:rFonts w:hint="eastAsia" w:ascii="宋体" w:hAnsi="宋体" w:cs="宋体"/>
                <w:color w:val="000000"/>
                <w:sz w:val="24"/>
              </w:rPr>
              <w:t>序号</w:t>
            </w:r>
          </w:p>
        </w:tc>
        <w:tc>
          <w:tcPr>
            <w:tcW w:w="3682" w:type="dxa"/>
            <w:gridSpan w:val="3"/>
            <w:vAlign w:val="center"/>
          </w:tcPr>
          <w:p>
            <w:pPr>
              <w:rPr>
                <w:rFonts w:ascii="宋体" w:hAnsi="宋体" w:cs="宋体"/>
                <w:color w:val="000000"/>
                <w:sz w:val="24"/>
              </w:rPr>
            </w:pPr>
            <w:r>
              <w:rPr>
                <w:rFonts w:hint="eastAsia" w:ascii="宋体" w:hAnsi="宋体" w:cs="宋体"/>
                <w:color w:val="000000"/>
                <w:sz w:val="24"/>
              </w:rPr>
              <w:t>名  称</w:t>
            </w:r>
          </w:p>
        </w:tc>
        <w:tc>
          <w:tcPr>
            <w:tcW w:w="4258" w:type="dxa"/>
            <w:vAlign w:val="center"/>
          </w:tcPr>
          <w:p>
            <w:pPr>
              <w:rPr>
                <w:rFonts w:ascii="宋体" w:hAnsi="宋体" w:cs="宋体"/>
                <w:color w:val="000000"/>
                <w:sz w:val="24"/>
              </w:rPr>
            </w:pPr>
            <w:r>
              <w:rPr>
                <w:rFonts w:hint="eastAsia" w:ascii="宋体" w:hAnsi="宋体" w:cs="宋体"/>
                <w:color w:val="00000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709" w:type="dxa"/>
            <w:gridSpan w:val="5"/>
            <w:vAlign w:val="center"/>
          </w:tcPr>
          <w:p>
            <w:pPr>
              <w:jc w:val="center"/>
              <w:rPr>
                <w:rFonts w:ascii="宋体" w:hAnsi="宋体" w:cs="宋体"/>
                <w:b/>
                <w:color w:val="000000"/>
                <w:sz w:val="24"/>
              </w:rPr>
            </w:pPr>
            <w:r>
              <w:rPr>
                <w:rFonts w:hint="eastAsia" w:ascii="宋体" w:hAnsi="宋体" w:cs="宋体"/>
                <w:b/>
                <w:color w:val="000000"/>
                <w:sz w:val="24"/>
              </w:rPr>
              <w:t>1、制氧系统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9" w:type="dxa"/>
            <w:vAlign w:val="center"/>
          </w:tcPr>
          <w:p>
            <w:pPr>
              <w:jc w:val="center"/>
              <w:rPr>
                <w:rFonts w:ascii="宋体" w:hAnsi="宋体" w:cs="宋体"/>
                <w:b/>
                <w:color w:val="000000"/>
                <w:sz w:val="24"/>
              </w:rPr>
            </w:pPr>
            <w:r>
              <w:rPr>
                <w:rFonts w:hint="eastAsia" w:ascii="宋体" w:hAnsi="宋体" w:cs="宋体"/>
                <w:b/>
                <w:color w:val="000000"/>
                <w:sz w:val="24"/>
              </w:rPr>
              <w:t>1</w:t>
            </w:r>
          </w:p>
        </w:tc>
        <w:tc>
          <w:tcPr>
            <w:tcW w:w="3682" w:type="dxa"/>
            <w:gridSpan w:val="3"/>
            <w:vAlign w:val="center"/>
          </w:tcPr>
          <w:p>
            <w:pPr>
              <w:rPr>
                <w:rFonts w:ascii="宋体" w:hAnsi="宋体" w:cs="宋体"/>
                <w:b/>
                <w:color w:val="000000"/>
                <w:sz w:val="24"/>
              </w:rPr>
            </w:pPr>
            <w:r>
              <w:rPr>
                <w:rFonts w:hint="eastAsia" w:ascii="宋体" w:hAnsi="宋体" w:cs="宋体"/>
                <w:b/>
                <w:color w:val="000000"/>
                <w:sz w:val="24"/>
              </w:rPr>
              <w:t>全无油空气压缩机组</w:t>
            </w:r>
          </w:p>
        </w:tc>
        <w:tc>
          <w:tcPr>
            <w:tcW w:w="4258" w:type="dxa"/>
            <w:vAlign w:val="center"/>
          </w:tcPr>
          <w:p>
            <w:pPr>
              <w:rPr>
                <w:rFonts w:ascii="宋体" w:hAnsi="宋体" w:cs="宋体"/>
                <w:color w:val="000000"/>
                <w:sz w:val="24"/>
              </w:rPr>
            </w:pPr>
            <w:r>
              <w:rPr>
                <w:rFonts w:hint="eastAsia" w:ascii="宋体" w:hAnsi="宋体" w:cs="宋体"/>
                <w:color w:val="000000"/>
                <w:sz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1.1</w:t>
            </w:r>
          </w:p>
        </w:tc>
        <w:tc>
          <w:tcPr>
            <w:tcW w:w="1100" w:type="dxa"/>
            <w:vMerge w:val="restart"/>
            <w:vAlign w:val="center"/>
          </w:tcPr>
          <w:p>
            <w:pPr>
              <w:rPr>
                <w:rFonts w:ascii="宋体" w:hAnsi="宋体" w:cs="宋体"/>
                <w:color w:val="000000"/>
                <w:sz w:val="24"/>
              </w:rPr>
            </w:pPr>
            <w:r>
              <w:rPr>
                <w:rFonts w:hint="eastAsia" w:ascii="宋体" w:hAnsi="宋体" w:cs="宋体"/>
                <w:color w:val="000000"/>
                <w:sz w:val="24"/>
              </w:rPr>
              <w:t>1#机组</w:t>
            </w: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排气量（m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0.2Mpa/2.16m³/min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7.8kw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电源</w:t>
            </w:r>
          </w:p>
        </w:tc>
        <w:tc>
          <w:tcPr>
            <w:tcW w:w="4258" w:type="dxa"/>
            <w:vAlign w:val="center"/>
          </w:tcPr>
          <w:p>
            <w:pPr>
              <w:rPr>
                <w:rFonts w:ascii="宋体" w:hAnsi="宋体" w:cs="宋体"/>
                <w:color w:val="000000"/>
                <w:sz w:val="24"/>
              </w:rPr>
            </w:pPr>
            <w:r>
              <w:rPr>
                <w:rFonts w:hint="eastAsia" w:ascii="宋体" w:hAnsi="宋体" w:cs="宋体"/>
                <w:color w:val="000000"/>
                <w:sz w:val="24"/>
              </w:rPr>
              <w:t>380v/50Hz(三相五线）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1.2</w:t>
            </w:r>
          </w:p>
        </w:tc>
        <w:tc>
          <w:tcPr>
            <w:tcW w:w="1100" w:type="dxa"/>
            <w:vMerge w:val="restart"/>
            <w:vAlign w:val="center"/>
          </w:tcPr>
          <w:p>
            <w:pPr>
              <w:rPr>
                <w:rFonts w:ascii="宋体" w:hAnsi="宋体" w:cs="宋体"/>
                <w:b/>
                <w:color w:val="000000"/>
                <w:sz w:val="24"/>
              </w:rPr>
            </w:pPr>
            <w:r>
              <w:rPr>
                <w:rFonts w:hint="eastAsia" w:ascii="宋体" w:hAnsi="宋体" w:cs="宋体"/>
                <w:color w:val="000000"/>
                <w:sz w:val="24"/>
              </w:rPr>
              <w:t>2#机组</w:t>
            </w: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排气量（m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0.2Mpa/0.99m³/min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5.5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电源</w:t>
            </w:r>
          </w:p>
        </w:tc>
        <w:tc>
          <w:tcPr>
            <w:tcW w:w="4258" w:type="dxa"/>
            <w:vAlign w:val="center"/>
          </w:tcPr>
          <w:p>
            <w:pPr>
              <w:rPr>
                <w:rFonts w:ascii="宋体" w:hAnsi="宋体" w:cs="宋体"/>
                <w:color w:val="000000"/>
                <w:sz w:val="24"/>
              </w:rPr>
            </w:pPr>
            <w:r>
              <w:rPr>
                <w:rFonts w:hint="eastAsia" w:ascii="宋体" w:hAnsi="宋体" w:cs="宋体"/>
                <w:color w:val="000000"/>
                <w:sz w:val="24"/>
              </w:rPr>
              <w:t>380v/50Hz(三相五线）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1.3</w:t>
            </w:r>
          </w:p>
        </w:tc>
        <w:tc>
          <w:tcPr>
            <w:tcW w:w="1100" w:type="dxa"/>
            <w:vMerge w:val="restart"/>
            <w:vAlign w:val="center"/>
          </w:tcPr>
          <w:p>
            <w:pPr>
              <w:rPr>
                <w:rFonts w:ascii="宋体" w:hAnsi="宋体" w:cs="宋体"/>
                <w:color w:val="000000"/>
                <w:sz w:val="24"/>
              </w:rPr>
            </w:pPr>
            <w:r>
              <w:rPr>
                <w:rFonts w:hint="eastAsia" w:ascii="宋体" w:hAnsi="宋体" w:cs="宋体"/>
                <w:color w:val="000000"/>
                <w:sz w:val="24"/>
              </w:rPr>
              <w:t>3#机组（臭氧机柜内置）</w:t>
            </w: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排气量（m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0.2Mpa/0.81m³/min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4.5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电源</w:t>
            </w:r>
          </w:p>
        </w:tc>
        <w:tc>
          <w:tcPr>
            <w:tcW w:w="4258" w:type="dxa"/>
            <w:vAlign w:val="center"/>
          </w:tcPr>
          <w:p>
            <w:pPr>
              <w:rPr>
                <w:rFonts w:ascii="宋体" w:hAnsi="宋体" w:cs="宋体"/>
                <w:color w:val="000000"/>
                <w:sz w:val="24"/>
              </w:rPr>
            </w:pPr>
            <w:r>
              <w:rPr>
                <w:rFonts w:hint="eastAsia" w:ascii="宋体" w:hAnsi="宋体" w:cs="宋体"/>
                <w:color w:val="000000"/>
                <w:sz w:val="24"/>
              </w:rPr>
              <w:t>380v/50Hz(三相五线）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1.4</w:t>
            </w:r>
          </w:p>
        </w:tc>
        <w:tc>
          <w:tcPr>
            <w:tcW w:w="1100" w:type="dxa"/>
            <w:vMerge w:val="restart"/>
            <w:vAlign w:val="center"/>
          </w:tcPr>
          <w:p>
            <w:pPr>
              <w:rPr>
                <w:rFonts w:ascii="宋体" w:hAnsi="宋体" w:cs="宋体"/>
                <w:color w:val="000000"/>
                <w:sz w:val="24"/>
              </w:rPr>
            </w:pPr>
            <w:r>
              <w:rPr>
                <w:rFonts w:hint="eastAsia" w:ascii="宋体" w:hAnsi="宋体" w:cs="宋体"/>
                <w:color w:val="000000"/>
                <w:sz w:val="24"/>
              </w:rPr>
              <w:t>4#机组（臭氧机柜内置）</w:t>
            </w: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排气量（m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0.2Mpa/0.45m³/min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2.5kw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00" w:type="dxa"/>
            <w:vMerge w:val="continue"/>
            <w:vAlign w:val="center"/>
          </w:tcPr>
          <w:p>
            <w:pPr>
              <w:rPr>
                <w:rFonts w:ascii="宋体" w:hAnsi="宋体" w:cs="宋体"/>
                <w:color w:val="000000"/>
                <w:sz w:val="24"/>
              </w:rPr>
            </w:pPr>
          </w:p>
        </w:tc>
        <w:tc>
          <w:tcPr>
            <w:tcW w:w="2582" w:type="dxa"/>
            <w:gridSpan w:val="2"/>
            <w:vAlign w:val="center"/>
          </w:tcPr>
          <w:p>
            <w:pPr>
              <w:rPr>
                <w:rFonts w:ascii="宋体" w:hAnsi="宋体" w:cs="宋体"/>
                <w:color w:val="000000"/>
                <w:sz w:val="24"/>
              </w:rPr>
            </w:pPr>
            <w:r>
              <w:rPr>
                <w:rFonts w:hint="eastAsia" w:ascii="宋体" w:hAnsi="宋体" w:cs="宋体"/>
                <w:color w:val="000000"/>
                <w:sz w:val="24"/>
              </w:rPr>
              <w:t xml:space="preserve">   电源</w:t>
            </w:r>
          </w:p>
        </w:tc>
        <w:tc>
          <w:tcPr>
            <w:tcW w:w="4258" w:type="dxa"/>
            <w:vAlign w:val="center"/>
          </w:tcPr>
          <w:p>
            <w:pPr>
              <w:rPr>
                <w:rFonts w:ascii="宋体" w:hAnsi="宋体" w:cs="宋体"/>
                <w:color w:val="000000"/>
                <w:sz w:val="24"/>
              </w:rPr>
            </w:pPr>
            <w:r>
              <w:rPr>
                <w:rFonts w:hint="eastAsia" w:ascii="宋体" w:hAnsi="宋体" w:cs="宋体"/>
                <w:color w:val="000000"/>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Align w:val="center"/>
          </w:tcPr>
          <w:p>
            <w:pPr>
              <w:jc w:val="center"/>
              <w:rPr>
                <w:rFonts w:ascii="宋体" w:hAnsi="宋体" w:cs="宋体"/>
                <w:b/>
                <w:color w:val="000000"/>
                <w:sz w:val="24"/>
              </w:rPr>
            </w:pPr>
            <w:r>
              <w:rPr>
                <w:rFonts w:hint="eastAsia" w:ascii="宋体" w:hAnsi="宋体" w:cs="宋体"/>
                <w:b/>
                <w:color w:val="000000"/>
                <w:sz w:val="24"/>
              </w:rPr>
              <w:t>2</w:t>
            </w:r>
          </w:p>
        </w:tc>
        <w:tc>
          <w:tcPr>
            <w:tcW w:w="3682" w:type="dxa"/>
            <w:gridSpan w:val="3"/>
            <w:vAlign w:val="center"/>
          </w:tcPr>
          <w:p>
            <w:pPr>
              <w:jc w:val="left"/>
              <w:rPr>
                <w:rFonts w:ascii="宋体" w:hAnsi="宋体" w:cs="宋体"/>
                <w:b/>
                <w:color w:val="000000"/>
                <w:sz w:val="24"/>
              </w:rPr>
            </w:pPr>
            <w:r>
              <w:rPr>
                <w:rFonts w:hint="eastAsia" w:ascii="宋体" w:hAnsi="宋体" w:cs="宋体"/>
                <w:b/>
                <w:color w:val="000000"/>
                <w:sz w:val="24"/>
              </w:rPr>
              <w:t>PSA 制氧机</w:t>
            </w:r>
          </w:p>
        </w:tc>
        <w:tc>
          <w:tcPr>
            <w:tcW w:w="4258" w:type="dxa"/>
            <w:vAlign w:val="center"/>
          </w:tcPr>
          <w:p>
            <w:pPr>
              <w:rPr>
                <w:rFonts w:ascii="宋体" w:hAnsi="宋体" w:cs="宋体"/>
                <w:color w:val="000000"/>
                <w:sz w:val="24"/>
              </w:rPr>
            </w:pPr>
            <w:r>
              <w:rPr>
                <w:rFonts w:hint="eastAsia" w:ascii="宋体" w:hAnsi="宋体" w:cs="宋体"/>
                <w:color w:val="000000"/>
                <w:sz w:val="24"/>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2.1</w:t>
            </w:r>
          </w:p>
        </w:tc>
        <w:tc>
          <w:tcPr>
            <w:tcW w:w="1150" w:type="dxa"/>
            <w:gridSpan w:val="2"/>
            <w:vMerge w:val="restart"/>
            <w:vAlign w:val="center"/>
          </w:tcPr>
          <w:p>
            <w:pPr>
              <w:jc w:val="left"/>
              <w:rPr>
                <w:rFonts w:ascii="宋体" w:hAnsi="宋体" w:cs="宋体"/>
                <w:color w:val="000000"/>
                <w:sz w:val="24"/>
              </w:rPr>
            </w:pPr>
            <w:r>
              <w:rPr>
                <w:rFonts w:hint="eastAsia" w:ascii="宋体" w:hAnsi="宋体" w:cs="宋体"/>
                <w:color w:val="000000"/>
                <w:sz w:val="24"/>
              </w:rPr>
              <w:t>配套</w:t>
            </w:r>
            <w:r>
              <w:rPr>
                <w:rFonts w:hint="eastAsia" w:ascii="宋体" w:hAnsi="宋体" w:cs="宋体"/>
                <w:sz w:val="24"/>
              </w:rPr>
              <w:t>600g/h</w:t>
            </w:r>
          </w:p>
        </w:tc>
        <w:tc>
          <w:tcPr>
            <w:tcW w:w="2532" w:type="dxa"/>
            <w:vAlign w:val="center"/>
          </w:tcPr>
          <w:p>
            <w:pPr>
              <w:rPr>
                <w:rFonts w:ascii="宋体" w:hAnsi="宋体" w:cs="宋体"/>
                <w:color w:val="000000"/>
                <w:sz w:val="24"/>
              </w:rPr>
            </w:pPr>
            <w:r>
              <w:rPr>
                <w:rFonts w:hint="eastAsia" w:ascii="宋体" w:hAnsi="宋体" w:cs="宋体"/>
                <w:color w:val="000000"/>
                <w:sz w:val="24"/>
              </w:rPr>
              <w:t>处理量（m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7.2m³/h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50" w:type="dxa"/>
            <w:gridSpan w:val="2"/>
            <w:vMerge w:val="continue"/>
            <w:vAlign w:val="center"/>
          </w:tcPr>
          <w:p>
            <w:pPr>
              <w:jc w:val="left"/>
              <w:rPr>
                <w:rFonts w:ascii="宋体" w:hAnsi="宋体" w:cs="宋体"/>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额定功率（kw）</w:t>
            </w:r>
          </w:p>
        </w:tc>
        <w:tc>
          <w:tcPr>
            <w:tcW w:w="4258" w:type="dxa"/>
            <w:vAlign w:val="center"/>
          </w:tcPr>
          <w:p>
            <w:pPr>
              <w:rPr>
                <w:rFonts w:ascii="宋体" w:hAnsi="宋体" w:cs="宋体"/>
                <w:color w:val="000000"/>
                <w:sz w:val="24"/>
              </w:rPr>
            </w:pPr>
            <w:r>
              <w:rPr>
                <w:rFonts w:hint="eastAsia" w:ascii="宋体" w:hAnsi="宋体" w:cs="宋体"/>
                <w:sz w:val="24"/>
              </w:rPr>
              <w:t>≥0.</w:t>
            </w:r>
            <w:r>
              <w:rPr>
                <w:rFonts w:hint="eastAsia" w:ascii="宋体" w:hAnsi="宋体" w:cs="宋体"/>
                <w:color w:val="000000"/>
                <w:sz w:val="24"/>
              </w:rPr>
              <w:t>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50" w:type="dxa"/>
            <w:gridSpan w:val="2"/>
            <w:vMerge w:val="continue"/>
            <w:vAlign w:val="center"/>
          </w:tcPr>
          <w:p>
            <w:pPr>
              <w:jc w:val="left"/>
              <w:rPr>
                <w:rFonts w:ascii="宋体" w:hAnsi="宋体" w:cs="宋体"/>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电源</w:t>
            </w:r>
          </w:p>
        </w:tc>
        <w:tc>
          <w:tcPr>
            <w:tcW w:w="4258" w:type="dxa"/>
            <w:vAlign w:val="center"/>
          </w:tcPr>
          <w:p>
            <w:pPr>
              <w:rPr>
                <w:rFonts w:ascii="宋体" w:hAnsi="宋体" w:cs="宋体"/>
                <w:color w:val="000000"/>
                <w:sz w:val="24"/>
              </w:rPr>
            </w:pPr>
            <w:r>
              <w:rPr>
                <w:rFonts w:hint="eastAsia" w:ascii="宋体" w:hAnsi="宋体" w:cs="宋体"/>
                <w:color w:val="000000"/>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2.2</w:t>
            </w:r>
          </w:p>
        </w:tc>
        <w:tc>
          <w:tcPr>
            <w:tcW w:w="1150" w:type="dxa"/>
            <w:gridSpan w:val="2"/>
            <w:vMerge w:val="restart"/>
            <w:vAlign w:val="center"/>
          </w:tcPr>
          <w:p>
            <w:pPr>
              <w:jc w:val="left"/>
              <w:rPr>
                <w:rFonts w:ascii="宋体" w:hAnsi="宋体" w:cs="宋体"/>
                <w:color w:val="000000"/>
                <w:sz w:val="24"/>
              </w:rPr>
            </w:pPr>
            <w:r>
              <w:rPr>
                <w:rFonts w:hint="eastAsia" w:ascii="宋体" w:hAnsi="宋体" w:cs="宋体"/>
                <w:color w:val="000000"/>
                <w:sz w:val="24"/>
              </w:rPr>
              <w:t>配套</w:t>
            </w:r>
            <w:r>
              <w:rPr>
                <w:rFonts w:hint="eastAsia" w:ascii="宋体" w:hAnsi="宋体" w:cs="宋体"/>
                <w:sz w:val="24"/>
              </w:rPr>
              <w:t>350g/h</w:t>
            </w:r>
          </w:p>
        </w:tc>
        <w:tc>
          <w:tcPr>
            <w:tcW w:w="2532" w:type="dxa"/>
            <w:vAlign w:val="center"/>
          </w:tcPr>
          <w:p>
            <w:pPr>
              <w:rPr>
                <w:rFonts w:ascii="宋体" w:hAnsi="宋体" w:cs="宋体"/>
                <w:color w:val="000000"/>
                <w:sz w:val="24"/>
              </w:rPr>
            </w:pPr>
            <w:r>
              <w:rPr>
                <w:rFonts w:hint="eastAsia" w:ascii="宋体" w:hAnsi="宋体" w:cs="宋体"/>
                <w:color w:val="000000"/>
                <w:sz w:val="24"/>
              </w:rPr>
              <w:t>处理量（m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3m³/h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b/>
                <w:color w:val="000000"/>
                <w:sz w:val="24"/>
              </w:rPr>
            </w:pPr>
          </w:p>
        </w:tc>
        <w:tc>
          <w:tcPr>
            <w:tcW w:w="1150" w:type="dxa"/>
            <w:gridSpan w:val="2"/>
            <w:vMerge w:val="continue"/>
            <w:vAlign w:val="center"/>
          </w:tcPr>
          <w:p>
            <w:pPr>
              <w:jc w:val="left"/>
              <w:rPr>
                <w:rFonts w:ascii="宋体" w:hAnsi="宋体" w:cs="宋体"/>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额定功率（kw）</w:t>
            </w:r>
          </w:p>
        </w:tc>
        <w:tc>
          <w:tcPr>
            <w:tcW w:w="4258" w:type="dxa"/>
            <w:vAlign w:val="center"/>
          </w:tcPr>
          <w:p>
            <w:pPr>
              <w:rPr>
                <w:rFonts w:ascii="宋体" w:hAnsi="宋体" w:cs="宋体"/>
                <w:color w:val="000000"/>
                <w:sz w:val="24"/>
              </w:rPr>
            </w:pPr>
            <w:r>
              <w:rPr>
                <w:rFonts w:hint="eastAsia" w:ascii="宋体" w:hAnsi="宋体" w:cs="宋体"/>
                <w:sz w:val="24"/>
              </w:rPr>
              <w:t>≥0.</w:t>
            </w:r>
            <w:r>
              <w:rPr>
                <w:rFonts w:hint="eastAsia" w:ascii="宋体" w:hAnsi="宋体" w:cs="宋体"/>
                <w:color w:val="000000"/>
                <w:sz w:val="24"/>
              </w:rPr>
              <w:t>14kw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b/>
                <w:color w:val="000000"/>
                <w:sz w:val="24"/>
              </w:rPr>
            </w:pPr>
          </w:p>
        </w:tc>
        <w:tc>
          <w:tcPr>
            <w:tcW w:w="1150" w:type="dxa"/>
            <w:gridSpan w:val="2"/>
            <w:vMerge w:val="continue"/>
            <w:vAlign w:val="center"/>
          </w:tcPr>
          <w:p>
            <w:pPr>
              <w:jc w:val="left"/>
              <w:rPr>
                <w:rFonts w:ascii="宋体" w:hAnsi="宋体" w:cs="宋体"/>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电源</w:t>
            </w:r>
          </w:p>
        </w:tc>
        <w:tc>
          <w:tcPr>
            <w:tcW w:w="4258" w:type="dxa"/>
            <w:vAlign w:val="center"/>
          </w:tcPr>
          <w:p>
            <w:pPr>
              <w:rPr>
                <w:rFonts w:ascii="宋体" w:hAnsi="宋体" w:cs="宋体"/>
                <w:color w:val="000000"/>
                <w:sz w:val="24"/>
              </w:rPr>
            </w:pPr>
            <w:r>
              <w:rPr>
                <w:rFonts w:hint="eastAsia" w:ascii="宋体" w:hAnsi="宋体" w:cs="宋体"/>
                <w:color w:val="000000"/>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2.3</w:t>
            </w:r>
          </w:p>
        </w:tc>
        <w:tc>
          <w:tcPr>
            <w:tcW w:w="1150" w:type="dxa"/>
            <w:gridSpan w:val="2"/>
            <w:vMerge w:val="restart"/>
            <w:vAlign w:val="center"/>
          </w:tcPr>
          <w:p>
            <w:pPr>
              <w:jc w:val="left"/>
              <w:rPr>
                <w:rFonts w:ascii="宋体" w:hAnsi="宋体" w:cs="宋体"/>
                <w:b/>
                <w:color w:val="000000"/>
                <w:sz w:val="24"/>
              </w:rPr>
            </w:pPr>
            <w:r>
              <w:rPr>
                <w:rFonts w:hint="eastAsia" w:ascii="宋体" w:hAnsi="宋体" w:cs="宋体"/>
                <w:color w:val="000000"/>
                <w:sz w:val="24"/>
              </w:rPr>
              <w:t>配套</w:t>
            </w:r>
            <w:r>
              <w:rPr>
                <w:rFonts w:hint="eastAsia" w:ascii="宋体" w:hAnsi="宋体" w:cs="宋体"/>
                <w:sz w:val="24"/>
              </w:rPr>
              <w:t>250g/h</w:t>
            </w:r>
            <w:r>
              <w:rPr>
                <w:rFonts w:hint="eastAsia" w:ascii="宋体" w:hAnsi="宋体" w:cs="宋体"/>
                <w:color w:val="000000"/>
                <w:sz w:val="24"/>
              </w:rPr>
              <w:t>（臭氧机柜内置）</w:t>
            </w:r>
          </w:p>
        </w:tc>
        <w:tc>
          <w:tcPr>
            <w:tcW w:w="2532" w:type="dxa"/>
            <w:vAlign w:val="center"/>
          </w:tcPr>
          <w:p>
            <w:pPr>
              <w:rPr>
                <w:rFonts w:ascii="宋体" w:hAnsi="宋体" w:cs="宋体"/>
                <w:color w:val="000000"/>
                <w:sz w:val="24"/>
              </w:rPr>
            </w:pPr>
            <w:r>
              <w:rPr>
                <w:rFonts w:hint="eastAsia" w:ascii="宋体" w:hAnsi="宋体" w:cs="宋体"/>
                <w:color w:val="000000"/>
                <w:sz w:val="24"/>
              </w:rPr>
              <w:t>处理量（m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2.7m³/h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9" w:type="dxa"/>
            <w:vMerge w:val="continue"/>
            <w:vAlign w:val="center"/>
          </w:tcPr>
          <w:p>
            <w:pPr>
              <w:jc w:val="center"/>
              <w:rPr>
                <w:rFonts w:ascii="宋体" w:hAnsi="宋体" w:cs="宋体"/>
                <w:color w:val="000000"/>
                <w:sz w:val="24"/>
              </w:rPr>
            </w:pPr>
          </w:p>
        </w:tc>
        <w:tc>
          <w:tcPr>
            <w:tcW w:w="1150" w:type="dxa"/>
            <w:gridSpan w:val="2"/>
            <w:vMerge w:val="continue"/>
            <w:vAlign w:val="center"/>
          </w:tcPr>
          <w:p>
            <w:pPr>
              <w:jc w:val="left"/>
              <w:rPr>
                <w:rFonts w:ascii="宋体" w:hAnsi="宋体" w:cs="宋体"/>
                <w:b/>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0.11kw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color w:val="000000"/>
                <w:sz w:val="24"/>
              </w:rPr>
            </w:pPr>
          </w:p>
        </w:tc>
        <w:tc>
          <w:tcPr>
            <w:tcW w:w="1150" w:type="dxa"/>
            <w:gridSpan w:val="2"/>
            <w:vMerge w:val="continue"/>
            <w:vAlign w:val="center"/>
          </w:tcPr>
          <w:p>
            <w:pPr>
              <w:jc w:val="left"/>
              <w:rPr>
                <w:rFonts w:ascii="宋体" w:hAnsi="宋体" w:cs="宋体"/>
                <w:b/>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电源</w:t>
            </w:r>
          </w:p>
        </w:tc>
        <w:tc>
          <w:tcPr>
            <w:tcW w:w="4258" w:type="dxa"/>
            <w:vAlign w:val="center"/>
          </w:tcPr>
          <w:p>
            <w:pPr>
              <w:rPr>
                <w:rFonts w:ascii="宋体" w:hAnsi="宋体" w:cs="宋体"/>
                <w:color w:val="000000"/>
                <w:sz w:val="24"/>
              </w:rPr>
            </w:pPr>
            <w:r>
              <w:rPr>
                <w:rFonts w:hint="eastAsia" w:ascii="宋体" w:hAnsi="宋体" w:cs="宋体"/>
                <w:color w:val="000000"/>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9" w:type="dxa"/>
            <w:vMerge w:val="restart"/>
            <w:vAlign w:val="center"/>
          </w:tcPr>
          <w:p>
            <w:pPr>
              <w:jc w:val="center"/>
              <w:rPr>
                <w:rFonts w:ascii="宋体" w:hAnsi="宋体" w:cs="宋体"/>
                <w:color w:val="000000"/>
                <w:sz w:val="24"/>
              </w:rPr>
            </w:pPr>
            <w:r>
              <w:rPr>
                <w:rFonts w:hint="eastAsia" w:ascii="宋体" w:hAnsi="宋体" w:cs="宋体"/>
                <w:color w:val="000000"/>
                <w:sz w:val="24"/>
              </w:rPr>
              <w:t>2.4</w:t>
            </w:r>
          </w:p>
        </w:tc>
        <w:tc>
          <w:tcPr>
            <w:tcW w:w="1150" w:type="dxa"/>
            <w:gridSpan w:val="2"/>
            <w:vMerge w:val="restart"/>
            <w:vAlign w:val="center"/>
          </w:tcPr>
          <w:p>
            <w:pPr>
              <w:jc w:val="left"/>
              <w:rPr>
                <w:rFonts w:ascii="宋体" w:hAnsi="宋体" w:cs="宋体"/>
                <w:b/>
                <w:color w:val="000000"/>
                <w:sz w:val="24"/>
              </w:rPr>
            </w:pPr>
            <w:r>
              <w:rPr>
                <w:rFonts w:hint="eastAsia" w:ascii="宋体" w:hAnsi="宋体" w:cs="宋体"/>
                <w:color w:val="000000"/>
                <w:sz w:val="24"/>
              </w:rPr>
              <w:t>配套</w:t>
            </w:r>
            <w:r>
              <w:rPr>
                <w:rFonts w:hint="eastAsia" w:ascii="宋体" w:hAnsi="宋体" w:cs="宋体"/>
                <w:sz w:val="24"/>
              </w:rPr>
              <w:t>150g/h</w:t>
            </w:r>
            <w:r>
              <w:rPr>
                <w:rFonts w:hint="eastAsia" w:ascii="宋体" w:hAnsi="宋体" w:cs="宋体"/>
                <w:color w:val="000000"/>
                <w:sz w:val="24"/>
              </w:rPr>
              <w:t>（臭氧机柜内置）</w:t>
            </w:r>
          </w:p>
        </w:tc>
        <w:tc>
          <w:tcPr>
            <w:tcW w:w="2532" w:type="dxa"/>
            <w:vAlign w:val="center"/>
          </w:tcPr>
          <w:p>
            <w:pPr>
              <w:rPr>
                <w:rFonts w:ascii="宋体" w:hAnsi="宋体" w:cs="宋体"/>
                <w:color w:val="000000"/>
                <w:sz w:val="24"/>
              </w:rPr>
            </w:pPr>
            <w:r>
              <w:rPr>
                <w:rFonts w:hint="eastAsia" w:ascii="宋体" w:hAnsi="宋体" w:cs="宋体"/>
                <w:color w:val="000000"/>
                <w:sz w:val="24"/>
              </w:rPr>
              <w:t>处理量（m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4258" w:type="dxa"/>
            <w:vAlign w:val="center"/>
          </w:tcPr>
          <w:p>
            <w:pPr>
              <w:rPr>
                <w:rFonts w:ascii="宋体" w:hAnsi="宋体" w:cs="宋体"/>
                <w:color w:val="000000"/>
                <w:sz w:val="24"/>
              </w:rPr>
            </w:pPr>
            <w:r>
              <w:rPr>
                <w:rFonts w:hint="eastAsia" w:ascii="宋体" w:hAnsi="宋体" w:cs="宋体"/>
                <w:color w:val="000000"/>
                <w:sz w:val="24"/>
              </w:rPr>
              <w:t>1.5m³/h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69" w:type="dxa"/>
            <w:vMerge w:val="continue"/>
            <w:vAlign w:val="center"/>
          </w:tcPr>
          <w:p>
            <w:pPr>
              <w:jc w:val="center"/>
              <w:rPr>
                <w:rFonts w:ascii="宋体" w:hAnsi="宋体" w:cs="宋体"/>
                <w:b/>
                <w:color w:val="000000"/>
                <w:sz w:val="24"/>
              </w:rPr>
            </w:pPr>
          </w:p>
        </w:tc>
        <w:tc>
          <w:tcPr>
            <w:tcW w:w="1150" w:type="dxa"/>
            <w:gridSpan w:val="2"/>
            <w:vMerge w:val="continue"/>
            <w:vAlign w:val="center"/>
          </w:tcPr>
          <w:p>
            <w:pPr>
              <w:jc w:val="left"/>
              <w:rPr>
                <w:rFonts w:ascii="宋体" w:hAnsi="宋体" w:cs="宋体"/>
                <w:b/>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额定功率（kw）</w:t>
            </w:r>
          </w:p>
        </w:tc>
        <w:tc>
          <w:tcPr>
            <w:tcW w:w="4258"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0.05kw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9" w:type="dxa"/>
            <w:vMerge w:val="continue"/>
            <w:vAlign w:val="center"/>
          </w:tcPr>
          <w:p>
            <w:pPr>
              <w:jc w:val="center"/>
              <w:rPr>
                <w:rFonts w:ascii="宋体" w:hAnsi="宋体" w:cs="宋体"/>
                <w:b/>
                <w:color w:val="000000"/>
                <w:sz w:val="24"/>
              </w:rPr>
            </w:pPr>
          </w:p>
        </w:tc>
        <w:tc>
          <w:tcPr>
            <w:tcW w:w="1150" w:type="dxa"/>
            <w:gridSpan w:val="2"/>
            <w:vMerge w:val="continue"/>
            <w:vAlign w:val="center"/>
          </w:tcPr>
          <w:p>
            <w:pPr>
              <w:jc w:val="left"/>
              <w:rPr>
                <w:rFonts w:ascii="宋体" w:hAnsi="宋体" w:cs="宋体"/>
                <w:b/>
                <w:color w:val="000000"/>
                <w:sz w:val="24"/>
              </w:rPr>
            </w:pPr>
          </w:p>
        </w:tc>
        <w:tc>
          <w:tcPr>
            <w:tcW w:w="2532" w:type="dxa"/>
            <w:vAlign w:val="center"/>
          </w:tcPr>
          <w:p>
            <w:pPr>
              <w:rPr>
                <w:rFonts w:ascii="宋体" w:hAnsi="宋体" w:cs="宋体"/>
                <w:color w:val="000000"/>
                <w:sz w:val="24"/>
              </w:rPr>
            </w:pPr>
            <w:r>
              <w:rPr>
                <w:rFonts w:hint="eastAsia" w:ascii="宋体" w:hAnsi="宋体" w:cs="宋体"/>
                <w:color w:val="000000"/>
                <w:sz w:val="24"/>
              </w:rPr>
              <w:t>电源</w:t>
            </w:r>
          </w:p>
        </w:tc>
        <w:tc>
          <w:tcPr>
            <w:tcW w:w="4258" w:type="dxa"/>
            <w:vAlign w:val="center"/>
          </w:tcPr>
          <w:p>
            <w:pPr>
              <w:rPr>
                <w:rFonts w:ascii="宋体" w:hAnsi="宋体" w:cs="宋体"/>
                <w:color w:val="000000"/>
                <w:sz w:val="24"/>
              </w:rPr>
            </w:pPr>
            <w:r>
              <w:rPr>
                <w:rFonts w:hint="eastAsia" w:ascii="宋体" w:hAnsi="宋体" w:cs="宋体"/>
                <w:color w:val="000000"/>
                <w:sz w:val="24"/>
              </w:rPr>
              <w:t>220v/50Hz</w:t>
            </w:r>
          </w:p>
        </w:tc>
      </w:tr>
    </w:tbl>
    <w:p>
      <w:pPr>
        <w:rPr>
          <w:rFonts w:ascii="宋体" w:hAnsi="宋体" w:cs="宋体"/>
          <w:b/>
          <w:sz w:val="24"/>
        </w:rPr>
      </w:pPr>
      <w:r>
        <w:rPr>
          <w:rFonts w:hint="eastAsia" w:ascii="宋体" w:hAnsi="宋体" w:cs="宋体"/>
          <w:b/>
          <w:sz w:val="24"/>
        </w:rPr>
        <w:br w:type="page"/>
      </w:r>
    </w:p>
    <w:p>
      <w:pPr>
        <w:jc w:val="center"/>
        <w:rPr>
          <w:b/>
          <w:bCs/>
          <w:sz w:val="32"/>
          <w:szCs w:val="36"/>
        </w:rPr>
      </w:pPr>
      <w:r>
        <w:rPr>
          <w:rFonts w:hint="eastAsia"/>
          <w:b/>
          <w:bCs/>
          <w:sz w:val="32"/>
          <w:szCs w:val="36"/>
        </w:rPr>
        <w:t>臭氧系统设备技术参数</w:t>
      </w:r>
    </w:p>
    <w:p>
      <w:pPr>
        <w:rPr>
          <w:rFonts w:ascii="宋体" w:hAnsi="宋体" w:cs="宋体"/>
          <w:sz w:val="24"/>
          <w:lang w:val="zh-CN"/>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55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序号</w:t>
            </w:r>
          </w:p>
        </w:tc>
        <w:tc>
          <w:tcPr>
            <w:tcW w:w="3550" w:type="dxa"/>
            <w:vAlign w:val="center"/>
          </w:tcPr>
          <w:p>
            <w:pPr>
              <w:rPr>
                <w:rFonts w:ascii="宋体" w:hAnsi="宋体" w:cs="宋体"/>
                <w:color w:val="000000"/>
                <w:sz w:val="24"/>
              </w:rPr>
            </w:pPr>
            <w:r>
              <w:rPr>
                <w:rFonts w:hint="eastAsia" w:ascii="宋体" w:hAnsi="宋体" w:cs="宋体"/>
                <w:color w:val="000000"/>
                <w:sz w:val="24"/>
              </w:rPr>
              <w:t>名  称</w:t>
            </w:r>
          </w:p>
        </w:tc>
        <w:tc>
          <w:tcPr>
            <w:tcW w:w="4111" w:type="dxa"/>
            <w:vAlign w:val="center"/>
          </w:tcPr>
          <w:p>
            <w:pPr>
              <w:rPr>
                <w:rFonts w:ascii="宋体" w:hAnsi="宋体" w:cs="宋体"/>
                <w:color w:val="000000"/>
                <w:sz w:val="24"/>
              </w:rPr>
            </w:pPr>
            <w:r>
              <w:rPr>
                <w:rFonts w:hint="eastAsia" w:ascii="宋体" w:hAnsi="宋体" w:cs="宋体"/>
                <w:color w:val="00000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404" w:type="dxa"/>
            <w:gridSpan w:val="3"/>
            <w:vAlign w:val="center"/>
          </w:tcPr>
          <w:p>
            <w:pPr>
              <w:numPr>
                <w:ilvl w:val="0"/>
                <w:numId w:val="65"/>
              </w:numPr>
              <w:ind w:left="0" w:firstLine="0"/>
              <w:jc w:val="center"/>
              <w:rPr>
                <w:rFonts w:ascii="宋体" w:hAnsi="宋体" w:cs="宋体"/>
                <w:b/>
                <w:sz w:val="24"/>
              </w:rPr>
            </w:pPr>
            <w:r>
              <w:rPr>
                <w:rFonts w:hint="eastAsia" w:ascii="宋体" w:hAnsi="宋体" w:cs="宋体"/>
                <w:b/>
                <w:sz w:val="24"/>
              </w:rPr>
              <w:t>600g臭氧主机系统（整体撬装供货）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550" w:type="dxa"/>
            <w:vAlign w:val="center"/>
          </w:tcPr>
          <w:p>
            <w:pPr>
              <w:rPr>
                <w:rFonts w:ascii="宋体" w:hAnsi="宋体" w:cs="宋体"/>
                <w:color w:val="000000"/>
                <w:sz w:val="24"/>
              </w:rPr>
            </w:pPr>
            <w:r>
              <w:rPr>
                <w:rFonts w:hint="eastAsia" w:ascii="宋体" w:hAnsi="宋体" w:cs="宋体"/>
                <w:color w:val="000000"/>
                <w:sz w:val="24"/>
              </w:rPr>
              <w:t>类型</w:t>
            </w:r>
          </w:p>
        </w:tc>
        <w:tc>
          <w:tcPr>
            <w:tcW w:w="4111" w:type="dxa"/>
            <w:vAlign w:val="center"/>
          </w:tcPr>
          <w:p>
            <w:pPr>
              <w:rPr>
                <w:rFonts w:ascii="宋体" w:hAnsi="宋体" w:cs="宋体"/>
                <w:color w:val="000000"/>
                <w:sz w:val="24"/>
              </w:rPr>
            </w:pPr>
            <w:r>
              <w:rPr>
                <w:rFonts w:hint="eastAsia" w:ascii="宋体" w:hAnsi="宋体" w:cs="宋体"/>
                <w:color w:val="000000"/>
                <w:sz w:val="24"/>
              </w:rPr>
              <w:t>氧气源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550" w:type="dxa"/>
            <w:vAlign w:val="center"/>
          </w:tcPr>
          <w:p>
            <w:pPr>
              <w:rPr>
                <w:rFonts w:ascii="宋体" w:hAnsi="宋体" w:cs="宋体"/>
                <w:color w:val="000000"/>
                <w:sz w:val="24"/>
              </w:rPr>
            </w:pPr>
            <w:r>
              <w:rPr>
                <w:rFonts w:hint="eastAsia" w:ascii="宋体" w:hAnsi="宋体" w:cs="宋体"/>
                <w:color w:val="000000"/>
                <w:sz w:val="24"/>
              </w:rPr>
              <w:t>设计臭氧产量（kg/h）</w:t>
            </w:r>
          </w:p>
        </w:tc>
        <w:tc>
          <w:tcPr>
            <w:tcW w:w="4111" w:type="dxa"/>
            <w:vAlign w:val="center"/>
          </w:tcPr>
          <w:p>
            <w:pPr>
              <w:rPr>
                <w:rFonts w:ascii="宋体" w:hAnsi="宋体" w:cs="宋体"/>
                <w:color w:val="000000"/>
                <w:sz w:val="24"/>
              </w:rPr>
            </w:pPr>
            <w:r>
              <w:rPr>
                <w:rFonts w:hint="eastAsia" w:ascii="宋体" w:hAnsi="宋体" w:cs="宋体"/>
                <w:color w:val="000000"/>
                <w:sz w:val="24"/>
              </w:rPr>
              <w:t>≥600g/h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1.3</w:t>
            </w:r>
          </w:p>
        </w:tc>
        <w:tc>
          <w:tcPr>
            <w:tcW w:w="3550" w:type="dxa"/>
            <w:vAlign w:val="center"/>
          </w:tcPr>
          <w:p>
            <w:pPr>
              <w:rPr>
                <w:rFonts w:ascii="宋体" w:hAnsi="宋体" w:cs="宋体"/>
                <w:color w:val="000000" w:themeColor="text1"/>
                <w:sz w:val="24"/>
              </w:rPr>
            </w:pPr>
            <w:r>
              <w:rPr>
                <w:rFonts w:hint="eastAsia" w:ascii="宋体" w:hAnsi="宋体" w:cs="宋体"/>
                <w:color w:val="000000" w:themeColor="text1"/>
                <w:sz w:val="24"/>
              </w:rPr>
              <w:t>需气量（m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c>
          <w:tcPr>
            <w:tcW w:w="4111" w:type="dxa"/>
            <w:vAlign w:val="center"/>
          </w:tcPr>
          <w:p>
            <w:pPr>
              <w:rPr>
                <w:rFonts w:ascii="宋体" w:hAnsi="宋体" w:cs="宋体"/>
                <w:color w:val="000000" w:themeColor="text1"/>
                <w:sz w:val="24"/>
              </w:rPr>
            </w:pPr>
            <w:r>
              <w:rPr>
                <w:rFonts w:hint="eastAsia" w:ascii="宋体" w:hAnsi="宋体" w:cs="宋体"/>
                <w:color w:val="000000" w:themeColor="text1"/>
                <w:sz w:val="24"/>
              </w:rPr>
              <w:t>≥7.2 Nm³/h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550" w:type="dxa"/>
            <w:vAlign w:val="center"/>
          </w:tcPr>
          <w:p>
            <w:pPr>
              <w:rPr>
                <w:rFonts w:ascii="宋体" w:hAnsi="宋体" w:cs="宋体"/>
                <w:color w:val="000000"/>
                <w:sz w:val="24"/>
              </w:rPr>
            </w:pPr>
            <w:r>
              <w:rPr>
                <w:rFonts w:hint="eastAsia" w:ascii="宋体" w:hAnsi="宋体" w:cs="宋体"/>
                <w:color w:val="000000"/>
                <w:sz w:val="24"/>
              </w:rPr>
              <w:t>运行压力(mpa)</w:t>
            </w:r>
          </w:p>
        </w:tc>
        <w:tc>
          <w:tcPr>
            <w:tcW w:w="4111" w:type="dxa"/>
            <w:vAlign w:val="center"/>
          </w:tcPr>
          <w:p>
            <w:pPr>
              <w:rPr>
                <w:rFonts w:ascii="宋体" w:hAnsi="宋体" w:cs="宋体"/>
                <w:color w:val="000000"/>
                <w:sz w:val="24"/>
              </w:rPr>
            </w:pPr>
            <w:r>
              <w:rPr>
                <w:rFonts w:hint="eastAsia" w:ascii="宋体" w:hAnsi="宋体" w:cs="宋体"/>
                <w:sz w:val="24"/>
              </w:rPr>
              <w:t>0-0.03Mpa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550" w:type="dxa"/>
            <w:vAlign w:val="center"/>
          </w:tcPr>
          <w:p>
            <w:pPr>
              <w:rPr>
                <w:rFonts w:ascii="宋体" w:hAnsi="宋体" w:cs="宋体"/>
                <w:color w:val="000000"/>
                <w:sz w:val="24"/>
              </w:rPr>
            </w:pPr>
            <w:r>
              <w:rPr>
                <w:rFonts w:hint="eastAsia" w:ascii="宋体" w:hAnsi="宋体" w:cs="宋体"/>
                <w:color w:val="000000"/>
                <w:sz w:val="24"/>
              </w:rPr>
              <w:t>额定功率（kw）</w:t>
            </w:r>
          </w:p>
        </w:tc>
        <w:tc>
          <w:tcPr>
            <w:tcW w:w="4111" w:type="dxa"/>
            <w:vAlign w:val="center"/>
          </w:tcPr>
          <w:p>
            <w:pPr>
              <w:rPr>
                <w:rFonts w:ascii="宋体" w:hAnsi="宋体" w:cs="宋体"/>
                <w:sz w:val="24"/>
              </w:rPr>
            </w:pPr>
            <w:r>
              <w:rPr>
                <w:rFonts w:hint="eastAsia" w:ascii="宋体" w:hAnsi="宋体" w:cs="宋体"/>
                <w:sz w:val="24"/>
              </w:rPr>
              <w:t>≥9.6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1.6</w:t>
            </w:r>
          </w:p>
        </w:tc>
        <w:tc>
          <w:tcPr>
            <w:tcW w:w="3550" w:type="dxa"/>
            <w:vAlign w:val="center"/>
          </w:tcPr>
          <w:p>
            <w:pPr>
              <w:rPr>
                <w:rFonts w:ascii="宋体" w:hAnsi="宋体" w:cs="宋体"/>
                <w:color w:val="000000"/>
                <w:sz w:val="24"/>
              </w:rPr>
            </w:pPr>
            <w:r>
              <w:rPr>
                <w:rFonts w:hint="eastAsia" w:ascii="宋体" w:hAnsi="宋体" w:cs="宋体"/>
                <w:color w:val="000000"/>
                <w:sz w:val="24"/>
              </w:rPr>
              <w:t>电源</w:t>
            </w:r>
          </w:p>
        </w:tc>
        <w:tc>
          <w:tcPr>
            <w:tcW w:w="4111" w:type="dxa"/>
            <w:vAlign w:val="center"/>
          </w:tcPr>
          <w:p>
            <w:pPr>
              <w:rPr>
                <w:rFonts w:ascii="宋体" w:hAnsi="宋体" w:cs="宋体"/>
                <w:color w:val="000000"/>
                <w:sz w:val="24"/>
              </w:rPr>
            </w:pPr>
            <w:r>
              <w:rPr>
                <w:rFonts w:hint="eastAsia" w:ascii="宋体" w:hAnsi="宋体" w:cs="宋体"/>
                <w:color w:val="000000"/>
                <w:sz w:val="24"/>
              </w:rPr>
              <w:t>380v/50Hz/3ph（三相五线）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3" w:type="dxa"/>
            <w:vAlign w:val="center"/>
          </w:tcPr>
          <w:p>
            <w:pPr>
              <w:jc w:val="center"/>
              <w:rPr>
                <w:rFonts w:ascii="宋体" w:hAnsi="宋体" w:cs="宋体"/>
                <w:color w:val="000000"/>
                <w:sz w:val="24"/>
              </w:rPr>
            </w:pPr>
            <w:r>
              <w:rPr>
                <w:rFonts w:hint="eastAsia" w:ascii="宋体" w:hAnsi="宋体" w:cs="宋体"/>
                <w:color w:val="000000"/>
                <w:sz w:val="24"/>
              </w:rPr>
              <w:t>1.7</w:t>
            </w:r>
          </w:p>
        </w:tc>
        <w:tc>
          <w:tcPr>
            <w:tcW w:w="3550" w:type="dxa"/>
            <w:vAlign w:val="center"/>
          </w:tcPr>
          <w:p>
            <w:pPr>
              <w:rPr>
                <w:rFonts w:ascii="宋体" w:hAnsi="宋体" w:cs="宋体"/>
                <w:color w:val="000000"/>
                <w:sz w:val="24"/>
              </w:rPr>
            </w:pPr>
            <w:r>
              <w:rPr>
                <w:rFonts w:hint="eastAsia" w:ascii="宋体" w:hAnsi="宋体" w:cs="宋体"/>
                <w:color w:val="000000"/>
                <w:sz w:val="24"/>
              </w:rPr>
              <w:t xml:space="preserve">进出气管径 </w:t>
            </w:r>
          </w:p>
        </w:tc>
        <w:tc>
          <w:tcPr>
            <w:tcW w:w="4111" w:type="dxa"/>
            <w:vAlign w:val="center"/>
          </w:tcPr>
          <w:p>
            <w:pPr>
              <w:rPr>
                <w:rFonts w:ascii="宋体" w:hAnsi="宋体" w:cs="宋体"/>
                <w:sz w:val="24"/>
              </w:rPr>
            </w:pPr>
            <w:r>
              <w:rPr>
                <w:rFonts w:ascii="Arial" w:hAnsi="Arial" w:cs="Arial"/>
                <w:sz w:val="24"/>
              </w:rPr>
              <w:t>≥</w:t>
            </w:r>
            <w:r>
              <w:rPr>
                <w:rFonts w:hint="eastAsia" w:ascii="宋体" w:hAnsi="宋体" w:cs="宋体"/>
                <w:sz w:val="24"/>
              </w:rPr>
              <w:t>DN15</w:t>
            </w:r>
          </w:p>
        </w:tc>
      </w:tr>
    </w:tbl>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516"/>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323" w:type="dxa"/>
            <w:gridSpan w:val="3"/>
            <w:vAlign w:val="center"/>
          </w:tcPr>
          <w:p>
            <w:pPr>
              <w:numPr>
                <w:ilvl w:val="0"/>
                <w:numId w:val="65"/>
              </w:numPr>
              <w:ind w:left="0" w:firstLine="0"/>
              <w:jc w:val="center"/>
              <w:rPr>
                <w:rFonts w:ascii="宋体" w:hAnsi="宋体" w:cs="宋体"/>
                <w:b/>
                <w:sz w:val="24"/>
              </w:rPr>
            </w:pPr>
            <w:r>
              <w:rPr>
                <w:rFonts w:hint="eastAsia" w:ascii="宋体" w:hAnsi="宋体" w:cs="宋体"/>
                <w:b/>
                <w:sz w:val="24"/>
              </w:rPr>
              <w:t>350g臭氧主机系统（整体撬装供货）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516" w:type="dxa"/>
            <w:vAlign w:val="center"/>
          </w:tcPr>
          <w:p>
            <w:pPr>
              <w:rPr>
                <w:rFonts w:ascii="宋体" w:hAnsi="宋体" w:cs="宋体"/>
                <w:color w:val="000000"/>
                <w:sz w:val="24"/>
              </w:rPr>
            </w:pPr>
            <w:r>
              <w:rPr>
                <w:rFonts w:hint="eastAsia" w:ascii="宋体" w:hAnsi="宋体" w:cs="宋体"/>
                <w:color w:val="000000"/>
                <w:sz w:val="24"/>
              </w:rPr>
              <w:t>类型</w:t>
            </w:r>
          </w:p>
        </w:tc>
        <w:tc>
          <w:tcPr>
            <w:tcW w:w="4071" w:type="dxa"/>
            <w:vAlign w:val="center"/>
          </w:tcPr>
          <w:p>
            <w:pPr>
              <w:rPr>
                <w:rFonts w:ascii="宋体" w:hAnsi="宋体" w:cs="宋体"/>
                <w:color w:val="000000"/>
                <w:sz w:val="24"/>
              </w:rPr>
            </w:pPr>
            <w:r>
              <w:rPr>
                <w:rFonts w:hint="eastAsia" w:ascii="宋体" w:hAnsi="宋体" w:cs="宋体"/>
                <w:color w:val="000000"/>
                <w:sz w:val="24"/>
              </w:rPr>
              <w:t>氧气源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516" w:type="dxa"/>
            <w:vAlign w:val="center"/>
          </w:tcPr>
          <w:p>
            <w:pPr>
              <w:rPr>
                <w:rFonts w:ascii="宋体" w:hAnsi="宋体" w:cs="宋体"/>
                <w:color w:val="000000"/>
                <w:sz w:val="24"/>
              </w:rPr>
            </w:pPr>
            <w:r>
              <w:rPr>
                <w:rFonts w:hint="eastAsia" w:ascii="宋体" w:hAnsi="宋体" w:cs="宋体"/>
                <w:color w:val="000000"/>
                <w:sz w:val="24"/>
              </w:rPr>
              <w:t>设计臭氧产量（kg/h）</w:t>
            </w:r>
          </w:p>
        </w:tc>
        <w:tc>
          <w:tcPr>
            <w:tcW w:w="4071" w:type="dxa"/>
            <w:vAlign w:val="center"/>
          </w:tcPr>
          <w:p>
            <w:pPr>
              <w:rPr>
                <w:rFonts w:ascii="宋体" w:hAnsi="宋体" w:cs="宋体"/>
                <w:color w:val="000000"/>
                <w:sz w:val="24"/>
              </w:rPr>
            </w:pPr>
            <w:r>
              <w:rPr>
                <w:rFonts w:hint="eastAsia" w:ascii="宋体" w:hAnsi="宋体" w:cs="宋体"/>
                <w:color w:val="000000"/>
                <w:sz w:val="24"/>
              </w:rPr>
              <w:t>≥350g/h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1.3</w:t>
            </w:r>
          </w:p>
        </w:tc>
        <w:tc>
          <w:tcPr>
            <w:tcW w:w="3516" w:type="dxa"/>
            <w:vAlign w:val="center"/>
          </w:tcPr>
          <w:p>
            <w:pPr>
              <w:rPr>
                <w:rFonts w:ascii="宋体" w:hAnsi="宋体" w:cs="宋体"/>
                <w:color w:val="000000" w:themeColor="text1"/>
                <w:sz w:val="24"/>
              </w:rPr>
            </w:pPr>
            <w:r>
              <w:rPr>
                <w:rFonts w:hint="eastAsia" w:ascii="宋体" w:hAnsi="宋体" w:cs="宋体"/>
                <w:color w:val="000000" w:themeColor="text1"/>
                <w:sz w:val="24"/>
              </w:rPr>
              <w:t>需气量（m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c>
          <w:tcPr>
            <w:tcW w:w="4071" w:type="dxa"/>
            <w:vAlign w:val="center"/>
          </w:tcPr>
          <w:p>
            <w:pPr>
              <w:rPr>
                <w:rFonts w:ascii="宋体" w:hAnsi="宋体" w:cs="宋体"/>
                <w:color w:val="000000" w:themeColor="text1"/>
                <w:sz w:val="24"/>
              </w:rPr>
            </w:pPr>
            <w:r>
              <w:rPr>
                <w:rFonts w:hint="eastAsia" w:ascii="宋体" w:hAnsi="宋体" w:cs="宋体"/>
                <w:color w:val="000000" w:themeColor="text1"/>
                <w:sz w:val="24"/>
              </w:rPr>
              <w:t>≥3 Nm³/h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516" w:type="dxa"/>
            <w:vAlign w:val="center"/>
          </w:tcPr>
          <w:p>
            <w:pPr>
              <w:rPr>
                <w:rFonts w:ascii="宋体" w:hAnsi="宋体" w:cs="宋体"/>
                <w:color w:val="000000"/>
                <w:sz w:val="24"/>
              </w:rPr>
            </w:pPr>
            <w:r>
              <w:rPr>
                <w:rFonts w:hint="eastAsia" w:ascii="宋体" w:hAnsi="宋体" w:cs="宋体"/>
                <w:color w:val="000000"/>
                <w:sz w:val="24"/>
              </w:rPr>
              <w:t>运行压力(mpa)</w:t>
            </w:r>
          </w:p>
        </w:tc>
        <w:tc>
          <w:tcPr>
            <w:tcW w:w="4071" w:type="dxa"/>
            <w:vAlign w:val="center"/>
          </w:tcPr>
          <w:p>
            <w:pPr>
              <w:rPr>
                <w:rFonts w:ascii="宋体" w:hAnsi="宋体" w:cs="宋体"/>
                <w:color w:val="000000"/>
                <w:sz w:val="24"/>
              </w:rPr>
            </w:pPr>
            <w:r>
              <w:rPr>
                <w:rFonts w:hint="eastAsia" w:ascii="宋体" w:hAnsi="宋体" w:cs="宋体"/>
                <w:sz w:val="24"/>
              </w:rPr>
              <w:t>0-0.03Mpa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516" w:type="dxa"/>
            <w:vAlign w:val="center"/>
          </w:tcPr>
          <w:p>
            <w:pPr>
              <w:rPr>
                <w:rFonts w:ascii="宋体" w:hAnsi="宋体" w:cs="宋体"/>
                <w:color w:val="000000"/>
                <w:sz w:val="24"/>
              </w:rPr>
            </w:pPr>
            <w:r>
              <w:rPr>
                <w:rFonts w:hint="eastAsia" w:ascii="宋体" w:hAnsi="宋体" w:cs="宋体"/>
                <w:color w:val="000000"/>
                <w:sz w:val="24"/>
              </w:rPr>
              <w:t>额定功率（kw）</w:t>
            </w:r>
          </w:p>
        </w:tc>
        <w:tc>
          <w:tcPr>
            <w:tcW w:w="4071" w:type="dxa"/>
            <w:vAlign w:val="center"/>
          </w:tcPr>
          <w:p>
            <w:pPr>
              <w:rPr>
                <w:rFonts w:ascii="宋体" w:hAnsi="宋体" w:cs="宋体"/>
                <w:sz w:val="24"/>
              </w:rPr>
            </w:pPr>
            <w:r>
              <w:rPr>
                <w:rFonts w:hint="eastAsia" w:ascii="宋体" w:hAnsi="宋体" w:cs="宋体"/>
                <w:sz w:val="24"/>
              </w:rPr>
              <w:t>≥4.4kw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1.6</w:t>
            </w:r>
          </w:p>
        </w:tc>
        <w:tc>
          <w:tcPr>
            <w:tcW w:w="3516" w:type="dxa"/>
            <w:vAlign w:val="center"/>
          </w:tcPr>
          <w:p>
            <w:pPr>
              <w:rPr>
                <w:rFonts w:ascii="宋体" w:hAnsi="宋体" w:cs="宋体"/>
                <w:color w:val="000000"/>
                <w:sz w:val="24"/>
              </w:rPr>
            </w:pPr>
            <w:r>
              <w:rPr>
                <w:rFonts w:hint="eastAsia" w:ascii="宋体" w:hAnsi="宋体" w:cs="宋体"/>
                <w:color w:val="000000"/>
                <w:sz w:val="24"/>
              </w:rPr>
              <w:t>电源</w:t>
            </w:r>
          </w:p>
        </w:tc>
        <w:tc>
          <w:tcPr>
            <w:tcW w:w="4071" w:type="dxa"/>
            <w:vAlign w:val="center"/>
          </w:tcPr>
          <w:p>
            <w:pPr>
              <w:rPr>
                <w:rFonts w:ascii="宋体" w:hAnsi="宋体" w:cs="宋体"/>
                <w:color w:val="000000"/>
                <w:sz w:val="24"/>
              </w:rPr>
            </w:pPr>
            <w:r>
              <w:rPr>
                <w:rFonts w:hint="eastAsia" w:ascii="宋体" w:hAnsi="宋体" w:cs="宋体"/>
                <w:color w:val="000000"/>
                <w:sz w:val="24"/>
              </w:rPr>
              <w:t>380v/50Hz/3ph（三相五线）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6" w:type="dxa"/>
            <w:vAlign w:val="center"/>
          </w:tcPr>
          <w:p>
            <w:pPr>
              <w:jc w:val="center"/>
              <w:rPr>
                <w:rFonts w:ascii="宋体" w:hAnsi="宋体" w:cs="宋体"/>
                <w:color w:val="000000"/>
                <w:sz w:val="24"/>
              </w:rPr>
            </w:pPr>
            <w:r>
              <w:rPr>
                <w:rFonts w:hint="eastAsia" w:ascii="宋体" w:hAnsi="宋体" w:cs="宋体"/>
                <w:color w:val="000000"/>
                <w:sz w:val="24"/>
              </w:rPr>
              <w:t>1.7</w:t>
            </w:r>
          </w:p>
        </w:tc>
        <w:tc>
          <w:tcPr>
            <w:tcW w:w="3516" w:type="dxa"/>
            <w:vAlign w:val="center"/>
          </w:tcPr>
          <w:p>
            <w:pPr>
              <w:rPr>
                <w:rFonts w:ascii="宋体" w:hAnsi="宋体" w:cs="宋体"/>
                <w:color w:val="000000"/>
                <w:sz w:val="24"/>
              </w:rPr>
            </w:pPr>
            <w:r>
              <w:rPr>
                <w:rFonts w:hint="eastAsia" w:ascii="宋体" w:hAnsi="宋体" w:cs="宋体"/>
                <w:color w:val="000000"/>
                <w:sz w:val="24"/>
              </w:rPr>
              <w:t xml:space="preserve">进出气管径 </w:t>
            </w:r>
          </w:p>
        </w:tc>
        <w:tc>
          <w:tcPr>
            <w:tcW w:w="4071" w:type="dxa"/>
            <w:vAlign w:val="center"/>
          </w:tcPr>
          <w:p>
            <w:pPr>
              <w:rPr>
                <w:rFonts w:ascii="宋体" w:hAnsi="宋体" w:cs="宋体"/>
                <w:sz w:val="24"/>
              </w:rPr>
            </w:pPr>
            <w:r>
              <w:rPr>
                <w:rFonts w:ascii="Arial" w:hAnsi="Arial" w:cs="Arial"/>
                <w:sz w:val="24"/>
              </w:rPr>
              <w:t>≥</w:t>
            </w:r>
            <w:r>
              <w:rPr>
                <w:rFonts w:hint="eastAsia" w:ascii="宋体" w:hAnsi="宋体" w:cs="宋体"/>
                <w:sz w:val="24"/>
              </w:rPr>
              <w:t>DN15</w:t>
            </w:r>
          </w:p>
        </w:tc>
      </w:tr>
    </w:tbl>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555"/>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439" w:type="dxa"/>
            <w:gridSpan w:val="3"/>
            <w:vAlign w:val="center"/>
          </w:tcPr>
          <w:p>
            <w:pPr>
              <w:numPr>
                <w:ilvl w:val="0"/>
                <w:numId w:val="65"/>
              </w:numPr>
              <w:ind w:left="0" w:firstLine="0"/>
              <w:jc w:val="center"/>
              <w:rPr>
                <w:rFonts w:ascii="宋体" w:hAnsi="宋体" w:cs="宋体"/>
                <w:b/>
                <w:sz w:val="24"/>
              </w:rPr>
            </w:pPr>
            <w:r>
              <w:rPr>
                <w:rFonts w:hint="eastAsia" w:ascii="宋体" w:hAnsi="宋体" w:cs="宋体"/>
                <w:b/>
                <w:sz w:val="24"/>
              </w:rPr>
              <w:t>250g氧主机系统（整体撬装供货）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555" w:type="dxa"/>
            <w:vAlign w:val="center"/>
          </w:tcPr>
          <w:p>
            <w:pPr>
              <w:rPr>
                <w:rFonts w:ascii="宋体" w:hAnsi="宋体" w:cs="宋体"/>
                <w:color w:val="000000"/>
                <w:sz w:val="24"/>
              </w:rPr>
            </w:pPr>
            <w:r>
              <w:rPr>
                <w:rFonts w:hint="eastAsia" w:ascii="宋体" w:hAnsi="宋体" w:cs="宋体"/>
                <w:color w:val="000000"/>
                <w:sz w:val="24"/>
              </w:rPr>
              <w:t>类型</w:t>
            </w:r>
          </w:p>
        </w:tc>
        <w:tc>
          <w:tcPr>
            <w:tcW w:w="4128" w:type="dxa"/>
            <w:vAlign w:val="center"/>
          </w:tcPr>
          <w:p>
            <w:pPr>
              <w:rPr>
                <w:rFonts w:ascii="宋体" w:hAnsi="宋体" w:cs="宋体"/>
                <w:color w:val="000000"/>
                <w:sz w:val="24"/>
              </w:rPr>
            </w:pPr>
            <w:r>
              <w:rPr>
                <w:rFonts w:hint="eastAsia" w:ascii="宋体" w:hAnsi="宋体" w:cs="宋体"/>
                <w:color w:val="000000"/>
                <w:sz w:val="24"/>
              </w:rPr>
              <w:t>氧气源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555" w:type="dxa"/>
            <w:vAlign w:val="center"/>
          </w:tcPr>
          <w:p>
            <w:pPr>
              <w:rPr>
                <w:rFonts w:ascii="宋体" w:hAnsi="宋体" w:cs="宋体"/>
                <w:color w:val="000000"/>
                <w:sz w:val="24"/>
              </w:rPr>
            </w:pPr>
            <w:r>
              <w:rPr>
                <w:rFonts w:hint="eastAsia" w:ascii="宋体" w:hAnsi="宋体" w:cs="宋体"/>
                <w:color w:val="000000"/>
                <w:sz w:val="24"/>
              </w:rPr>
              <w:t>设计臭氧产量（kg/h）</w:t>
            </w:r>
          </w:p>
        </w:tc>
        <w:tc>
          <w:tcPr>
            <w:tcW w:w="4128" w:type="dxa"/>
            <w:vAlign w:val="center"/>
          </w:tcPr>
          <w:p>
            <w:pPr>
              <w:rPr>
                <w:rFonts w:ascii="宋体" w:hAnsi="宋体" w:cs="宋体"/>
                <w:color w:val="000000"/>
                <w:sz w:val="24"/>
              </w:rPr>
            </w:pPr>
            <w:r>
              <w:rPr>
                <w:rFonts w:hint="eastAsia" w:ascii="宋体" w:hAnsi="宋体" w:cs="宋体"/>
                <w:color w:val="000000"/>
                <w:sz w:val="24"/>
              </w:rPr>
              <w:t>≥250g/h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1.3</w:t>
            </w:r>
          </w:p>
        </w:tc>
        <w:tc>
          <w:tcPr>
            <w:tcW w:w="3555" w:type="dxa"/>
            <w:vAlign w:val="center"/>
          </w:tcPr>
          <w:p>
            <w:pPr>
              <w:rPr>
                <w:rFonts w:ascii="宋体" w:hAnsi="宋体" w:cs="宋体"/>
                <w:color w:val="000000" w:themeColor="text1"/>
                <w:sz w:val="24"/>
              </w:rPr>
            </w:pPr>
            <w:r>
              <w:rPr>
                <w:rFonts w:hint="eastAsia" w:ascii="宋体" w:hAnsi="宋体" w:cs="宋体"/>
                <w:color w:val="000000" w:themeColor="text1"/>
                <w:sz w:val="24"/>
              </w:rPr>
              <w:t>需气量（m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c>
          <w:tcPr>
            <w:tcW w:w="4128" w:type="dxa"/>
            <w:vAlign w:val="center"/>
          </w:tcPr>
          <w:p>
            <w:pPr>
              <w:rPr>
                <w:rFonts w:ascii="宋体" w:hAnsi="宋体" w:cs="宋体"/>
                <w:color w:val="000000" w:themeColor="text1"/>
                <w:sz w:val="24"/>
              </w:rPr>
            </w:pPr>
            <w:r>
              <w:rPr>
                <w:rFonts w:hint="eastAsia" w:ascii="宋体" w:hAnsi="宋体" w:cs="宋体"/>
                <w:color w:val="000000" w:themeColor="text1"/>
                <w:sz w:val="24"/>
              </w:rPr>
              <w:t>≥2.7 Nm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555" w:type="dxa"/>
            <w:vAlign w:val="center"/>
          </w:tcPr>
          <w:p>
            <w:pPr>
              <w:rPr>
                <w:rFonts w:ascii="宋体" w:hAnsi="宋体" w:cs="宋体"/>
                <w:color w:val="000000"/>
                <w:sz w:val="24"/>
              </w:rPr>
            </w:pPr>
            <w:r>
              <w:rPr>
                <w:rFonts w:hint="eastAsia" w:ascii="宋体" w:hAnsi="宋体" w:cs="宋体"/>
                <w:color w:val="000000"/>
                <w:sz w:val="24"/>
              </w:rPr>
              <w:t>运行压力(mpa)</w:t>
            </w:r>
          </w:p>
        </w:tc>
        <w:tc>
          <w:tcPr>
            <w:tcW w:w="4128" w:type="dxa"/>
            <w:vAlign w:val="center"/>
          </w:tcPr>
          <w:p>
            <w:pPr>
              <w:rPr>
                <w:rFonts w:ascii="宋体" w:hAnsi="宋体" w:cs="宋体"/>
                <w:color w:val="000000"/>
                <w:sz w:val="24"/>
              </w:rPr>
            </w:pPr>
            <w:r>
              <w:rPr>
                <w:rFonts w:hint="eastAsia" w:ascii="宋体" w:hAnsi="宋体" w:cs="宋体"/>
                <w:sz w:val="24"/>
              </w:rPr>
              <w:t>0-0.03Mpa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555" w:type="dxa"/>
            <w:vAlign w:val="center"/>
          </w:tcPr>
          <w:p>
            <w:pPr>
              <w:rPr>
                <w:rFonts w:ascii="宋体" w:hAnsi="宋体" w:cs="宋体"/>
                <w:color w:val="000000"/>
                <w:sz w:val="24"/>
              </w:rPr>
            </w:pPr>
            <w:r>
              <w:rPr>
                <w:rFonts w:hint="eastAsia" w:ascii="宋体" w:hAnsi="宋体" w:cs="宋体"/>
                <w:color w:val="000000"/>
                <w:sz w:val="24"/>
              </w:rPr>
              <w:t>额定功率（kw）</w:t>
            </w:r>
          </w:p>
        </w:tc>
        <w:tc>
          <w:tcPr>
            <w:tcW w:w="4128" w:type="dxa"/>
            <w:vAlign w:val="center"/>
          </w:tcPr>
          <w:p>
            <w:pPr>
              <w:rPr>
                <w:rFonts w:ascii="宋体" w:hAnsi="宋体" w:cs="宋体"/>
                <w:sz w:val="24"/>
              </w:rPr>
            </w:pPr>
            <w:r>
              <w:rPr>
                <w:rFonts w:hint="eastAsia" w:ascii="宋体" w:hAnsi="宋体" w:cs="宋体"/>
                <w:sz w:val="24"/>
              </w:rPr>
              <w:t>≥3.6kw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1.6</w:t>
            </w:r>
          </w:p>
        </w:tc>
        <w:tc>
          <w:tcPr>
            <w:tcW w:w="3555" w:type="dxa"/>
            <w:vAlign w:val="center"/>
          </w:tcPr>
          <w:p>
            <w:pPr>
              <w:rPr>
                <w:rFonts w:ascii="宋体" w:hAnsi="宋体" w:cs="宋体"/>
                <w:color w:val="000000"/>
                <w:sz w:val="24"/>
              </w:rPr>
            </w:pPr>
            <w:r>
              <w:rPr>
                <w:rFonts w:hint="eastAsia" w:ascii="宋体" w:hAnsi="宋体" w:cs="宋体"/>
                <w:color w:val="000000"/>
                <w:sz w:val="24"/>
              </w:rPr>
              <w:t>电源</w:t>
            </w:r>
          </w:p>
        </w:tc>
        <w:tc>
          <w:tcPr>
            <w:tcW w:w="4128" w:type="dxa"/>
            <w:vAlign w:val="center"/>
          </w:tcPr>
          <w:p>
            <w:pPr>
              <w:rPr>
                <w:rFonts w:ascii="宋体" w:hAnsi="宋体" w:cs="宋体"/>
                <w:color w:val="000000"/>
                <w:sz w:val="24"/>
              </w:rPr>
            </w:pPr>
            <w:r>
              <w:rPr>
                <w:rFonts w:hint="eastAsia" w:ascii="宋体" w:hAnsi="宋体" w:cs="宋体"/>
                <w:color w:val="000000"/>
                <w:sz w:val="24"/>
              </w:rPr>
              <w:t>380v/50Hz/3ph（三相五线）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Align w:val="center"/>
          </w:tcPr>
          <w:p>
            <w:pPr>
              <w:jc w:val="center"/>
              <w:rPr>
                <w:rFonts w:ascii="宋体" w:hAnsi="宋体" w:cs="宋体"/>
                <w:color w:val="000000"/>
                <w:sz w:val="24"/>
              </w:rPr>
            </w:pPr>
            <w:r>
              <w:rPr>
                <w:rFonts w:hint="eastAsia" w:ascii="宋体" w:hAnsi="宋体" w:cs="宋体"/>
                <w:color w:val="000000"/>
                <w:sz w:val="24"/>
              </w:rPr>
              <w:t>1.7</w:t>
            </w:r>
          </w:p>
        </w:tc>
        <w:tc>
          <w:tcPr>
            <w:tcW w:w="3555" w:type="dxa"/>
            <w:vAlign w:val="center"/>
          </w:tcPr>
          <w:p>
            <w:pPr>
              <w:rPr>
                <w:rFonts w:ascii="宋体" w:hAnsi="宋体" w:cs="宋体"/>
                <w:color w:val="000000"/>
                <w:sz w:val="24"/>
              </w:rPr>
            </w:pPr>
            <w:r>
              <w:rPr>
                <w:rFonts w:hint="eastAsia" w:ascii="宋体" w:hAnsi="宋体" w:cs="宋体"/>
                <w:color w:val="000000"/>
                <w:sz w:val="24"/>
              </w:rPr>
              <w:t xml:space="preserve">进出气管径 </w:t>
            </w:r>
          </w:p>
        </w:tc>
        <w:tc>
          <w:tcPr>
            <w:tcW w:w="4128" w:type="dxa"/>
            <w:vAlign w:val="center"/>
          </w:tcPr>
          <w:p>
            <w:pPr>
              <w:rPr>
                <w:rFonts w:ascii="宋体" w:hAnsi="宋体" w:cs="宋体"/>
                <w:sz w:val="24"/>
              </w:rPr>
            </w:pPr>
            <w:r>
              <w:rPr>
                <w:rFonts w:ascii="Arial" w:hAnsi="Arial" w:cs="Arial"/>
                <w:sz w:val="24"/>
              </w:rPr>
              <w:t>≥</w:t>
            </w:r>
            <w:r>
              <w:rPr>
                <w:rFonts w:hint="eastAsia" w:ascii="宋体" w:hAnsi="宋体" w:cs="宋体"/>
                <w:sz w:val="24"/>
              </w:rPr>
              <w:t>DN15</w:t>
            </w:r>
          </w:p>
        </w:tc>
      </w:tr>
    </w:tbl>
    <w:p>
      <w:pPr>
        <w:rPr>
          <w:rFonts w:ascii="宋体" w:hAnsi="宋体" w:cs="宋体"/>
          <w:sz w:val="24"/>
        </w:rPr>
      </w:pPr>
    </w:p>
    <w:p>
      <w:pPr>
        <w:rPr>
          <w:rFonts w:ascii="宋体" w:hAnsi="宋体" w:cs="宋体"/>
          <w:sz w:val="24"/>
        </w:rPr>
      </w:pPr>
    </w:p>
    <w:p>
      <w:pPr>
        <w:rPr>
          <w:rFonts w:ascii="宋体" w:hAnsi="宋体" w:cs="宋体"/>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525"/>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350" w:type="dxa"/>
            <w:gridSpan w:val="3"/>
            <w:vAlign w:val="center"/>
          </w:tcPr>
          <w:p>
            <w:pPr>
              <w:numPr>
                <w:ilvl w:val="0"/>
                <w:numId w:val="65"/>
              </w:numPr>
              <w:ind w:left="0" w:firstLine="0"/>
              <w:jc w:val="center"/>
              <w:rPr>
                <w:rFonts w:ascii="宋体" w:hAnsi="宋体" w:cs="宋体"/>
                <w:b/>
                <w:sz w:val="24"/>
              </w:rPr>
            </w:pPr>
            <w:r>
              <w:rPr>
                <w:rFonts w:hint="eastAsia" w:ascii="宋体" w:hAnsi="宋体" w:cs="宋体"/>
                <w:b/>
                <w:sz w:val="24"/>
              </w:rPr>
              <w:t>150g臭氧主机系统（整体撬装供货）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525" w:type="dxa"/>
            <w:vAlign w:val="center"/>
          </w:tcPr>
          <w:p>
            <w:pPr>
              <w:rPr>
                <w:rFonts w:ascii="宋体" w:hAnsi="宋体" w:cs="宋体"/>
                <w:color w:val="000000"/>
                <w:sz w:val="24"/>
              </w:rPr>
            </w:pPr>
            <w:r>
              <w:rPr>
                <w:rFonts w:hint="eastAsia" w:ascii="宋体" w:hAnsi="宋体" w:cs="宋体"/>
                <w:color w:val="000000"/>
                <w:sz w:val="24"/>
              </w:rPr>
              <w:t>类型</w:t>
            </w:r>
          </w:p>
        </w:tc>
        <w:tc>
          <w:tcPr>
            <w:tcW w:w="4087" w:type="dxa"/>
            <w:vAlign w:val="center"/>
          </w:tcPr>
          <w:p>
            <w:pPr>
              <w:rPr>
                <w:rFonts w:ascii="宋体" w:hAnsi="宋体" w:cs="宋体"/>
                <w:color w:val="000000"/>
                <w:sz w:val="24"/>
              </w:rPr>
            </w:pPr>
            <w:r>
              <w:rPr>
                <w:rFonts w:hint="eastAsia" w:ascii="宋体" w:hAnsi="宋体" w:cs="宋体"/>
                <w:color w:val="000000"/>
                <w:sz w:val="24"/>
              </w:rPr>
              <w:t>氧气源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525" w:type="dxa"/>
            <w:vAlign w:val="center"/>
          </w:tcPr>
          <w:p>
            <w:pPr>
              <w:rPr>
                <w:rFonts w:ascii="宋体" w:hAnsi="宋体" w:cs="宋体"/>
                <w:color w:val="000000"/>
                <w:sz w:val="24"/>
              </w:rPr>
            </w:pPr>
            <w:r>
              <w:rPr>
                <w:rFonts w:hint="eastAsia" w:ascii="宋体" w:hAnsi="宋体" w:cs="宋体"/>
                <w:color w:val="000000"/>
                <w:sz w:val="24"/>
              </w:rPr>
              <w:t>设计臭氧产量（kg/h）</w:t>
            </w:r>
          </w:p>
        </w:tc>
        <w:tc>
          <w:tcPr>
            <w:tcW w:w="4087" w:type="dxa"/>
            <w:vAlign w:val="center"/>
          </w:tcPr>
          <w:p>
            <w:pPr>
              <w:rPr>
                <w:rFonts w:ascii="宋体" w:hAnsi="宋体" w:cs="宋体"/>
                <w:color w:val="000000"/>
                <w:sz w:val="24"/>
              </w:rPr>
            </w:pPr>
            <w:r>
              <w:rPr>
                <w:rFonts w:hint="eastAsia" w:ascii="宋体" w:hAnsi="宋体" w:cs="宋体"/>
                <w:color w:val="000000"/>
                <w:sz w:val="24"/>
              </w:rPr>
              <w:t>≥250g/h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1.3</w:t>
            </w:r>
          </w:p>
        </w:tc>
        <w:tc>
          <w:tcPr>
            <w:tcW w:w="3525" w:type="dxa"/>
            <w:vAlign w:val="center"/>
          </w:tcPr>
          <w:p>
            <w:pPr>
              <w:rPr>
                <w:rFonts w:ascii="宋体" w:hAnsi="宋体" w:cs="宋体"/>
                <w:color w:val="000000" w:themeColor="text1"/>
                <w:sz w:val="24"/>
              </w:rPr>
            </w:pPr>
            <w:r>
              <w:rPr>
                <w:rFonts w:hint="eastAsia" w:ascii="宋体" w:hAnsi="宋体" w:cs="宋体"/>
                <w:color w:val="000000" w:themeColor="text1"/>
                <w:sz w:val="24"/>
              </w:rPr>
              <w:t>需气量（m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c>
          <w:tcPr>
            <w:tcW w:w="4087" w:type="dxa"/>
            <w:vAlign w:val="center"/>
          </w:tcPr>
          <w:p>
            <w:pPr>
              <w:rPr>
                <w:rFonts w:ascii="宋体" w:hAnsi="宋体" w:cs="宋体"/>
                <w:color w:val="000000" w:themeColor="text1"/>
                <w:sz w:val="24"/>
              </w:rPr>
            </w:pPr>
            <w:r>
              <w:rPr>
                <w:rFonts w:hint="eastAsia" w:ascii="宋体" w:hAnsi="宋体" w:cs="宋体"/>
                <w:color w:val="000000" w:themeColor="text1"/>
                <w:sz w:val="24"/>
              </w:rPr>
              <w:t>≥1.5N 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525" w:type="dxa"/>
            <w:vAlign w:val="center"/>
          </w:tcPr>
          <w:p>
            <w:pPr>
              <w:rPr>
                <w:rFonts w:ascii="宋体" w:hAnsi="宋体" w:cs="宋体"/>
                <w:color w:val="000000"/>
                <w:sz w:val="24"/>
              </w:rPr>
            </w:pPr>
            <w:r>
              <w:rPr>
                <w:rFonts w:hint="eastAsia" w:ascii="宋体" w:hAnsi="宋体" w:cs="宋体"/>
                <w:color w:val="000000"/>
                <w:sz w:val="24"/>
              </w:rPr>
              <w:t>运行压力(mpa)</w:t>
            </w:r>
          </w:p>
        </w:tc>
        <w:tc>
          <w:tcPr>
            <w:tcW w:w="4087" w:type="dxa"/>
            <w:vAlign w:val="center"/>
          </w:tcPr>
          <w:p>
            <w:pPr>
              <w:rPr>
                <w:rFonts w:ascii="宋体" w:hAnsi="宋体" w:cs="宋体"/>
                <w:color w:val="000000"/>
                <w:sz w:val="24"/>
              </w:rPr>
            </w:pPr>
            <w:r>
              <w:rPr>
                <w:rFonts w:hint="eastAsia" w:ascii="宋体" w:hAnsi="宋体" w:cs="宋体"/>
                <w:sz w:val="24"/>
              </w:rPr>
              <w:t>0-0.03Mpa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525" w:type="dxa"/>
            <w:vAlign w:val="center"/>
          </w:tcPr>
          <w:p>
            <w:pPr>
              <w:rPr>
                <w:rFonts w:ascii="宋体" w:hAnsi="宋体" w:cs="宋体"/>
                <w:color w:val="000000"/>
                <w:sz w:val="24"/>
              </w:rPr>
            </w:pPr>
            <w:r>
              <w:rPr>
                <w:rFonts w:hint="eastAsia" w:ascii="宋体" w:hAnsi="宋体" w:cs="宋体"/>
                <w:color w:val="000000"/>
                <w:sz w:val="24"/>
              </w:rPr>
              <w:t>额定功率（kw）</w:t>
            </w:r>
          </w:p>
        </w:tc>
        <w:tc>
          <w:tcPr>
            <w:tcW w:w="4087" w:type="dxa"/>
            <w:vAlign w:val="center"/>
          </w:tcPr>
          <w:p>
            <w:pPr>
              <w:rPr>
                <w:rFonts w:ascii="宋体" w:hAnsi="宋体" w:cs="宋体"/>
                <w:sz w:val="24"/>
              </w:rPr>
            </w:pPr>
            <w:r>
              <w:rPr>
                <w:rFonts w:hint="eastAsia" w:ascii="宋体" w:hAnsi="宋体" w:cs="宋体"/>
                <w:sz w:val="24"/>
              </w:rPr>
              <w:t>≥2kw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1.6</w:t>
            </w:r>
          </w:p>
        </w:tc>
        <w:tc>
          <w:tcPr>
            <w:tcW w:w="3525" w:type="dxa"/>
            <w:vAlign w:val="center"/>
          </w:tcPr>
          <w:p>
            <w:pPr>
              <w:rPr>
                <w:rFonts w:ascii="宋体" w:hAnsi="宋体" w:cs="宋体"/>
                <w:color w:val="000000"/>
                <w:sz w:val="24"/>
              </w:rPr>
            </w:pPr>
            <w:r>
              <w:rPr>
                <w:rFonts w:hint="eastAsia" w:ascii="宋体" w:hAnsi="宋体" w:cs="宋体"/>
                <w:color w:val="000000"/>
                <w:sz w:val="24"/>
              </w:rPr>
              <w:t>电源</w:t>
            </w:r>
          </w:p>
        </w:tc>
        <w:tc>
          <w:tcPr>
            <w:tcW w:w="4087" w:type="dxa"/>
            <w:vAlign w:val="center"/>
          </w:tcPr>
          <w:p>
            <w:pPr>
              <w:rPr>
                <w:rFonts w:ascii="宋体" w:hAnsi="宋体" w:cs="宋体"/>
                <w:color w:val="000000"/>
                <w:sz w:val="24"/>
              </w:rPr>
            </w:pPr>
            <w:r>
              <w:rPr>
                <w:rFonts w:hint="eastAsia" w:ascii="宋体" w:hAnsi="宋体" w:cs="宋体"/>
                <w:color w:val="000000"/>
                <w:sz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8" w:type="dxa"/>
            <w:vAlign w:val="center"/>
          </w:tcPr>
          <w:p>
            <w:pPr>
              <w:jc w:val="center"/>
              <w:rPr>
                <w:rFonts w:ascii="宋体" w:hAnsi="宋体" w:cs="宋体"/>
                <w:color w:val="000000"/>
                <w:sz w:val="24"/>
              </w:rPr>
            </w:pPr>
            <w:r>
              <w:rPr>
                <w:rFonts w:hint="eastAsia" w:ascii="宋体" w:hAnsi="宋体" w:cs="宋体"/>
                <w:color w:val="000000"/>
                <w:sz w:val="24"/>
              </w:rPr>
              <w:t>1.7</w:t>
            </w:r>
          </w:p>
        </w:tc>
        <w:tc>
          <w:tcPr>
            <w:tcW w:w="3525" w:type="dxa"/>
            <w:vAlign w:val="center"/>
          </w:tcPr>
          <w:p>
            <w:pPr>
              <w:rPr>
                <w:rFonts w:ascii="宋体" w:hAnsi="宋体" w:cs="宋体"/>
                <w:color w:val="000000"/>
                <w:sz w:val="24"/>
              </w:rPr>
            </w:pPr>
            <w:r>
              <w:rPr>
                <w:rFonts w:hint="eastAsia" w:ascii="宋体" w:hAnsi="宋体" w:cs="宋体"/>
                <w:color w:val="000000"/>
                <w:sz w:val="24"/>
              </w:rPr>
              <w:t xml:space="preserve">进出气管径 </w:t>
            </w:r>
          </w:p>
        </w:tc>
        <w:tc>
          <w:tcPr>
            <w:tcW w:w="4087" w:type="dxa"/>
            <w:vAlign w:val="center"/>
          </w:tcPr>
          <w:p>
            <w:pPr>
              <w:rPr>
                <w:rFonts w:ascii="宋体" w:hAnsi="宋体" w:cs="宋体"/>
                <w:sz w:val="24"/>
              </w:rPr>
            </w:pPr>
            <w:r>
              <w:rPr>
                <w:rFonts w:ascii="Arial" w:hAnsi="Arial" w:cs="Arial"/>
                <w:sz w:val="24"/>
              </w:rPr>
              <w:t>≥</w:t>
            </w:r>
            <w:r>
              <w:rPr>
                <w:rFonts w:hint="eastAsia" w:ascii="宋体" w:hAnsi="宋体" w:cs="宋体"/>
                <w:sz w:val="24"/>
              </w:rPr>
              <w:t>DN15</w:t>
            </w:r>
          </w:p>
        </w:tc>
      </w:tr>
    </w:tbl>
    <w:p>
      <w:pPr>
        <w:pStyle w:val="87"/>
        <w:spacing w:after="0"/>
        <w:ind w:left="0" w:leftChars="0" w:firstLine="0" w:firstLineChars="0"/>
        <w:rPr>
          <w:rFonts w:ascii="宋体" w:hAnsi="宋体" w:cs="宋体"/>
          <w:sz w:val="24"/>
        </w:rPr>
      </w:pPr>
    </w:p>
    <w:p/>
    <w:p>
      <w:pPr>
        <w:jc w:val="center"/>
        <w:rPr>
          <w:b/>
          <w:bCs/>
          <w:sz w:val="32"/>
          <w:szCs w:val="36"/>
        </w:rPr>
      </w:pPr>
      <w:r>
        <w:rPr>
          <w:rFonts w:hint="eastAsia"/>
          <w:b/>
          <w:bCs/>
          <w:sz w:val="32"/>
          <w:szCs w:val="36"/>
        </w:rPr>
        <w:t>臭氧毁灭系统设备技术参数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47"/>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61" w:type="dxa"/>
            <w:gridSpan w:val="3"/>
            <w:vAlign w:val="center"/>
          </w:tcPr>
          <w:p>
            <w:pPr>
              <w:jc w:val="center"/>
              <w:rPr>
                <w:rFonts w:ascii="宋体" w:hAnsi="宋体" w:cs="宋体"/>
                <w:b/>
                <w:sz w:val="24"/>
              </w:rPr>
            </w:pPr>
            <w:r>
              <w:rPr>
                <w:rFonts w:hint="eastAsia" w:ascii="宋体" w:hAnsi="宋体" w:cs="宋体"/>
                <w:b/>
                <w:sz w:val="24"/>
              </w:rPr>
              <w:t>臭氧毁灭器（</w:t>
            </w:r>
            <w:r>
              <w:rPr>
                <w:rFonts w:hint="eastAsia" w:ascii="宋体" w:hAnsi="宋体" w:cs="宋体"/>
                <w:sz w:val="24"/>
              </w:rPr>
              <w:t>配套600g/h 350g/h 250g/h</w:t>
            </w:r>
            <w:r>
              <w:rPr>
                <w:rFonts w:hint="eastAsia" w:ascii="宋体" w:hAnsi="宋体" w:cs="宋体"/>
                <w:b/>
                <w:sz w:val="24"/>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447" w:type="dxa"/>
            <w:vAlign w:val="center"/>
          </w:tcPr>
          <w:p>
            <w:pPr>
              <w:rPr>
                <w:rFonts w:ascii="宋体" w:hAnsi="宋体" w:cs="宋体"/>
                <w:color w:val="000000"/>
                <w:sz w:val="24"/>
              </w:rPr>
            </w:pPr>
            <w:r>
              <w:rPr>
                <w:rFonts w:hint="eastAsia" w:ascii="宋体" w:hAnsi="宋体" w:cs="宋体"/>
                <w:color w:val="000000"/>
                <w:sz w:val="24"/>
              </w:rPr>
              <w:t>类型</w:t>
            </w:r>
          </w:p>
        </w:tc>
        <w:tc>
          <w:tcPr>
            <w:tcW w:w="3993" w:type="dxa"/>
            <w:vAlign w:val="center"/>
          </w:tcPr>
          <w:p>
            <w:pPr>
              <w:rPr>
                <w:rFonts w:ascii="宋体" w:hAnsi="宋体" w:cs="宋体"/>
                <w:color w:val="000000"/>
                <w:sz w:val="24"/>
              </w:rPr>
            </w:pPr>
            <w:r>
              <w:rPr>
                <w:rFonts w:hint="eastAsia" w:ascii="宋体" w:hAnsi="宋体" w:cs="宋体"/>
                <w:color w:val="000000"/>
                <w:sz w:val="24"/>
              </w:rPr>
              <w:t>辅助加热催化剂型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447" w:type="dxa"/>
            <w:vAlign w:val="center"/>
          </w:tcPr>
          <w:p>
            <w:pPr>
              <w:rPr>
                <w:rFonts w:ascii="宋体" w:hAnsi="宋体" w:cs="宋体"/>
                <w:color w:val="000000"/>
                <w:sz w:val="24"/>
              </w:rPr>
            </w:pPr>
            <w:r>
              <w:rPr>
                <w:rFonts w:hint="eastAsia" w:ascii="宋体" w:hAnsi="宋体" w:cs="宋体"/>
                <w:color w:val="000000"/>
                <w:sz w:val="24"/>
              </w:rPr>
              <w:t>处理量（m</w:t>
            </w:r>
            <w:r>
              <w:rPr>
                <w:rFonts w:hint="eastAsia" w:ascii="宋体" w:hAnsi="宋体" w:cs="宋体"/>
                <w:color w:val="000000"/>
                <w:sz w:val="24"/>
                <w:vertAlign w:val="superscript"/>
              </w:rPr>
              <w:t>3</w:t>
            </w:r>
            <w:r>
              <w:rPr>
                <w:rFonts w:hint="eastAsia" w:ascii="宋体" w:hAnsi="宋体" w:cs="宋体"/>
                <w:color w:val="000000"/>
                <w:sz w:val="24"/>
              </w:rPr>
              <w:t>/min）</w:t>
            </w:r>
          </w:p>
        </w:tc>
        <w:tc>
          <w:tcPr>
            <w:tcW w:w="3993" w:type="dxa"/>
            <w:vAlign w:val="center"/>
          </w:tcPr>
          <w:p>
            <w:pPr>
              <w:rPr>
                <w:rFonts w:ascii="宋体" w:hAnsi="宋体" w:cs="宋体"/>
                <w:color w:val="000000"/>
                <w:sz w:val="24"/>
              </w:rPr>
            </w:pPr>
            <w:r>
              <w:rPr>
                <w:rFonts w:hint="eastAsia" w:ascii="宋体" w:hAnsi="宋体" w:cs="宋体"/>
                <w:color w:val="000000"/>
                <w:sz w:val="24"/>
              </w:rPr>
              <w:t>8m³/h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1.3</w:t>
            </w:r>
          </w:p>
        </w:tc>
        <w:tc>
          <w:tcPr>
            <w:tcW w:w="3447" w:type="dxa"/>
            <w:vAlign w:val="center"/>
          </w:tcPr>
          <w:p>
            <w:pPr>
              <w:rPr>
                <w:rFonts w:ascii="宋体" w:hAnsi="宋体" w:cs="宋体"/>
                <w:sz w:val="24"/>
              </w:rPr>
            </w:pPr>
            <w:r>
              <w:rPr>
                <w:rFonts w:hint="eastAsia" w:ascii="宋体" w:hAnsi="宋体" w:cs="宋体"/>
                <w:sz w:val="24"/>
              </w:rPr>
              <w:t>额定功率（w）</w:t>
            </w:r>
          </w:p>
        </w:tc>
        <w:tc>
          <w:tcPr>
            <w:tcW w:w="3993" w:type="dxa"/>
            <w:vAlign w:val="center"/>
          </w:tcPr>
          <w:p>
            <w:pPr>
              <w:rPr>
                <w:rFonts w:ascii="宋体" w:hAnsi="宋体" w:cs="宋体"/>
                <w:sz w:val="24"/>
              </w:rPr>
            </w:pPr>
            <w:r>
              <w:rPr>
                <w:rFonts w:hint="eastAsia" w:ascii="宋体" w:hAnsi="宋体" w:cs="宋体"/>
                <w:sz w:val="24"/>
              </w:rPr>
              <w:t>≥80w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1.4</w:t>
            </w:r>
          </w:p>
        </w:tc>
        <w:tc>
          <w:tcPr>
            <w:tcW w:w="3447" w:type="dxa"/>
            <w:vAlign w:val="center"/>
          </w:tcPr>
          <w:p>
            <w:pPr>
              <w:rPr>
                <w:rFonts w:ascii="宋体" w:hAnsi="宋体" w:cs="宋体"/>
                <w:sz w:val="24"/>
              </w:rPr>
            </w:pPr>
            <w:r>
              <w:rPr>
                <w:rFonts w:hint="eastAsia" w:ascii="宋体" w:hAnsi="宋体" w:cs="宋体"/>
                <w:sz w:val="24"/>
              </w:rPr>
              <w:t>接口口径</w:t>
            </w:r>
          </w:p>
        </w:tc>
        <w:tc>
          <w:tcPr>
            <w:tcW w:w="3993" w:type="dxa"/>
            <w:vAlign w:val="center"/>
          </w:tcPr>
          <w:p>
            <w:pPr>
              <w:rPr>
                <w:rFonts w:ascii="宋体" w:hAnsi="宋体" w:cs="宋体"/>
                <w:sz w:val="24"/>
              </w:rPr>
            </w:pPr>
            <w:r>
              <w:rPr>
                <w:rFonts w:ascii="Arial" w:hAnsi="Arial" w:cs="Arial"/>
                <w:sz w:val="24"/>
              </w:rPr>
              <w:t>≥</w:t>
            </w:r>
            <w:r>
              <w:rPr>
                <w:rFonts w:hint="eastAsia" w:ascii="宋体" w:hAnsi="宋体" w:cs="宋体"/>
                <w:sz w:val="24"/>
              </w:rPr>
              <w:t>DN25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1" w:type="dxa"/>
            <w:vAlign w:val="center"/>
          </w:tcPr>
          <w:p>
            <w:pPr>
              <w:jc w:val="center"/>
              <w:rPr>
                <w:rFonts w:ascii="宋体" w:hAnsi="宋体" w:cs="宋体"/>
                <w:sz w:val="24"/>
              </w:rPr>
            </w:pPr>
            <w:r>
              <w:rPr>
                <w:rFonts w:hint="eastAsia" w:ascii="宋体" w:hAnsi="宋体" w:cs="宋体"/>
                <w:sz w:val="24"/>
              </w:rPr>
              <w:t>1.5</w:t>
            </w:r>
          </w:p>
        </w:tc>
        <w:tc>
          <w:tcPr>
            <w:tcW w:w="3447" w:type="dxa"/>
            <w:vAlign w:val="center"/>
          </w:tcPr>
          <w:p>
            <w:pPr>
              <w:rPr>
                <w:rFonts w:ascii="宋体" w:hAnsi="宋体" w:cs="宋体"/>
                <w:sz w:val="24"/>
              </w:rPr>
            </w:pPr>
            <w:r>
              <w:rPr>
                <w:rFonts w:hint="eastAsia" w:ascii="宋体" w:hAnsi="宋体" w:cs="宋体"/>
                <w:sz w:val="24"/>
              </w:rPr>
              <w:t>电源</w:t>
            </w:r>
          </w:p>
        </w:tc>
        <w:tc>
          <w:tcPr>
            <w:tcW w:w="3993" w:type="dxa"/>
            <w:vAlign w:val="center"/>
          </w:tcPr>
          <w:p>
            <w:pPr>
              <w:rPr>
                <w:rFonts w:ascii="宋体" w:hAnsi="宋体" w:cs="宋体"/>
                <w:sz w:val="24"/>
              </w:rPr>
            </w:pPr>
            <w:r>
              <w:rPr>
                <w:rFonts w:hint="eastAsia" w:ascii="宋体" w:hAnsi="宋体" w:cs="宋体"/>
                <w:sz w:val="24"/>
              </w:rPr>
              <w:t>220v/50Hz</w:t>
            </w:r>
          </w:p>
        </w:tc>
      </w:tr>
    </w:tbl>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47"/>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161" w:type="dxa"/>
            <w:gridSpan w:val="3"/>
            <w:vAlign w:val="center"/>
          </w:tcPr>
          <w:p>
            <w:pPr>
              <w:jc w:val="center"/>
              <w:rPr>
                <w:rFonts w:ascii="宋体" w:hAnsi="宋体" w:cs="宋体"/>
                <w:b/>
                <w:sz w:val="24"/>
              </w:rPr>
            </w:pPr>
            <w:r>
              <w:rPr>
                <w:rFonts w:hint="eastAsia" w:ascii="宋体" w:hAnsi="宋体" w:cs="宋体"/>
                <w:b/>
                <w:sz w:val="24"/>
              </w:rPr>
              <w:t>臭氧毁灭器（配套</w:t>
            </w:r>
            <w:r>
              <w:rPr>
                <w:rFonts w:hint="eastAsia" w:ascii="宋体" w:hAnsi="宋体" w:cs="宋体"/>
                <w:sz w:val="24"/>
              </w:rPr>
              <w:t>150g/h</w:t>
            </w:r>
            <w:r>
              <w:rPr>
                <w:rFonts w:hint="eastAsia" w:ascii="宋体" w:hAnsi="宋体" w:cs="宋体"/>
                <w:b/>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1.1</w:t>
            </w:r>
          </w:p>
        </w:tc>
        <w:tc>
          <w:tcPr>
            <w:tcW w:w="3447" w:type="dxa"/>
            <w:vAlign w:val="center"/>
          </w:tcPr>
          <w:p>
            <w:pPr>
              <w:rPr>
                <w:rFonts w:ascii="宋体" w:hAnsi="宋体" w:cs="宋体"/>
                <w:sz w:val="24"/>
              </w:rPr>
            </w:pPr>
            <w:r>
              <w:rPr>
                <w:rFonts w:hint="eastAsia" w:ascii="宋体" w:hAnsi="宋体" w:cs="宋体"/>
                <w:sz w:val="24"/>
              </w:rPr>
              <w:t>类型</w:t>
            </w:r>
          </w:p>
        </w:tc>
        <w:tc>
          <w:tcPr>
            <w:tcW w:w="3993" w:type="dxa"/>
            <w:vAlign w:val="center"/>
          </w:tcPr>
          <w:p>
            <w:pPr>
              <w:rPr>
                <w:rFonts w:ascii="宋体" w:hAnsi="宋体" w:cs="宋体"/>
                <w:sz w:val="24"/>
              </w:rPr>
            </w:pPr>
            <w:r>
              <w:rPr>
                <w:rFonts w:hint="eastAsia" w:ascii="宋体" w:hAnsi="宋体" w:cs="宋体"/>
                <w:color w:val="000000"/>
                <w:sz w:val="24"/>
              </w:rPr>
              <w:t>辅助加热催化剂型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1.2</w:t>
            </w:r>
          </w:p>
        </w:tc>
        <w:tc>
          <w:tcPr>
            <w:tcW w:w="3447" w:type="dxa"/>
            <w:vAlign w:val="center"/>
          </w:tcPr>
          <w:p>
            <w:pPr>
              <w:rPr>
                <w:rFonts w:ascii="宋体" w:hAnsi="宋体" w:cs="宋体"/>
                <w:sz w:val="24"/>
              </w:rPr>
            </w:pPr>
            <w:r>
              <w:rPr>
                <w:rFonts w:hint="eastAsia" w:ascii="宋体" w:hAnsi="宋体" w:cs="宋体"/>
                <w:sz w:val="24"/>
              </w:rPr>
              <w:t>处理量（m</w:t>
            </w:r>
            <w:r>
              <w:rPr>
                <w:rFonts w:hint="eastAsia" w:ascii="宋体" w:hAnsi="宋体" w:cs="宋体"/>
                <w:sz w:val="24"/>
                <w:vertAlign w:val="superscript"/>
              </w:rPr>
              <w:t>3</w:t>
            </w:r>
            <w:r>
              <w:rPr>
                <w:rFonts w:hint="eastAsia" w:ascii="宋体" w:hAnsi="宋体" w:cs="宋体"/>
                <w:sz w:val="24"/>
              </w:rPr>
              <w:t>/min）</w:t>
            </w:r>
          </w:p>
        </w:tc>
        <w:tc>
          <w:tcPr>
            <w:tcW w:w="3993" w:type="dxa"/>
            <w:vAlign w:val="center"/>
          </w:tcPr>
          <w:p>
            <w:pPr>
              <w:rPr>
                <w:rFonts w:ascii="宋体" w:hAnsi="宋体" w:cs="宋体"/>
                <w:sz w:val="24"/>
              </w:rPr>
            </w:pPr>
            <w:r>
              <w:rPr>
                <w:rFonts w:hint="eastAsia" w:ascii="宋体" w:hAnsi="宋体" w:cs="宋体"/>
                <w:sz w:val="24"/>
              </w:rPr>
              <w:t>3m³/h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1.3</w:t>
            </w:r>
          </w:p>
        </w:tc>
        <w:tc>
          <w:tcPr>
            <w:tcW w:w="3447" w:type="dxa"/>
            <w:vAlign w:val="center"/>
          </w:tcPr>
          <w:p>
            <w:pPr>
              <w:rPr>
                <w:rFonts w:ascii="宋体" w:hAnsi="宋体" w:cs="宋体"/>
                <w:sz w:val="24"/>
              </w:rPr>
            </w:pPr>
            <w:r>
              <w:rPr>
                <w:rFonts w:hint="eastAsia" w:ascii="宋体" w:hAnsi="宋体" w:cs="宋体"/>
                <w:sz w:val="24"/>
              </w:rPr>
              <w:t>额定功率（w）</w:t>
            </w:r>
          </w:p>
        </w:tc>
        <w:tc>
          <w:tcPr>
            <w:tcW w:w="3993" w:type="dxa"/>
            <w:vAlign w:val="center"/>
          </w:tcPr>
          <w:p>
            <w:pPr>
              <w:rPr>
                <w:rFonts w:ascii="宋体" w:hAnsi="宋体" w:cs="宋体"/>
                <w:sz w:val="24"/>
              </w:rPr>
            </w:pPr>
            <w:r>
              <w:rPr>
                <w:rFonts w:hint="eastAsia" w:ascii="宋体" w:hAnsi="宋体" w:cs="宋体"/>
                <w:sz w:val="24"/>
              </w:rPr>
              <w:t>≥30w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1" w:type="dxa"/>
            <w:vAlign w:val="center"/>
          </w:tcPr>
          <w:p>
            <w:pPr>
              <w:jc w:val="center"/>
              <w:rPr>
                <w:rFonts w:ascii="宋体" w:hAnsi="宋体" w:cs="宋体"/>
                <w:sz w:val="24"/>
              </w:rPr>
            </w:pPr>
            <w:r>
              <w:rPr>
                <w:rFonts w:hint="eastAsia" w:ascii="宋体" w:hAnsi="宋体" w:cs="宋体"/>
                <w:sz w:val="24"/>
              </w:rPr>
              <w:t>1.4</w:t>
            </w:r>
          </w:p>
        </w:tc>
        <w:tc>
          <w:tcPr>
            <w:tcW w:w="3447" w:type="dxa"/>
            <w:vAlign w:val="center"/>
          </w:tcPr>
          <w:p>
            <w:pPr>
              <w:rPr>
                <w:rFonts w:ascii="宋体" w:hAnsi="宋体" w:cs="宋体"/>
                <w:sz w:val="24"/>
              </w:rPr>
            </w:pPr>
            <w:r>
              <w:rPr>
                <w:rFonts w:hint="eastAsia" w:ascii="宋体" w:hAnsi="宋体" w:cs="宋体"/>
                <w:sz w:val="24"/>
              </w:rPr>
              <w:t>接口口径</w:t>
            </w:r>
          </w:p>
        </w:tc>
        <w:tc>
          <w:tcPr>
            <w:tcW w:w="3993" w:type="dxa"/>
            <w:vAlign w:val="center"/>
          </w:tcPr>
          <w:p>
            <w:pPr>
              <w:rPr>
                <w:rFonts w:ascii="宋体" w:hAnsi="宋体" w:cs="宋体"/>
                <w:sz w:val="24"/>
              </w:rPr>
            </w:pPr>
            <w:r>
              <w:rPr>
                <w:rFonts w:ascii="Arial" w:hAnsi="Arial" w:cs="Arial"/>
                <w:sz w:val="24"/>
              </w:rPr>
              <w:t>≥</w:t>
            </w:r>
            <w:r>
              <w:rPr>
                <w:rFonts w:hint="eastAsia" w:ascii="宋体" w:hAnsi="宋体" w:cs="宋体"/>
                <w:sz w:val="24"/>
              </w:rPr>
              <w:t>DN10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1"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447" w:type="dxa"/>
            <w:vAlign w:val="center"/>
          </w:tcPr>
          <w:p>
            <w:pPr>
              <w:rPr>
                <w:rFonts w:ascii="宋体" w:hAnsi="宋体" w:cs="宋体"/>
                <w:color w:val="000000"/>
                <w:sz w:val="24"/>
              </w:rPr>
            </w:pPr>
            <w:r>
              <w:rPr>
                <w:rFonts w:hint="eastAsia" w:ascii="宋体" w:hAnsi="宋体" w:cs="宋体"/>
                <w:color w:val="000000"/>
                <w:sz w:val="24"/>
              </w:rPr>
              <w:t>电源</w:t>
            </w:r>
          </w:p>
        </w:tc>
        <w:tc>
          <w:tcPr>
            <w:tcW w:w="3993" w:type="dxa"/>
            <w:vAlign w:val="center"/>
          </w:tcPr>
          <w:p>
            <w:pPr>
              <w:rPr>
                <w:rFonts w:ascii="宋体" w:hAnsi="宋体" w:cs="宋体"/>
                <w:color w:val="000000"/>
                <w:sz w:val="24"/>
              </w:rPr>
            </w:pPr>
            <w:r>
              <w:rPr>
                <w:rFonts w:hint="eastAsia" w:ascii="宋体" w:hAnsi="宋体" w:cs="宋体"/>
                <w:color w:val="000000"/>
                <w:sz w:val="24"/>
              </w:rPr>
              <w:t>220v/50Hz</w:t>
            </w:r>
          </w:p>
        </w:tc>
      </w:tr>
    </w:tbl>
    <w:p>
      <w:pPr>
        <w:pStyle w:val="87"/>
        <w:spacing w:after="0"/>
        <w:ind w:left="0" w:leftChars="0" w:firstLine="0" w:firstLineChars="0"/>
        <w:rPr>
          <w:rFonts w:ascii="宋体" w:hAnsi="宋体" w:cs="宋体"/>
          <w:sz w:val="24"/>
        </w:rPr>
      </w:pPr>
    </w:p>
    <w:p>
      <w:pPr>
        <w:rPr>
          <w:rFonts w:ascii="宋体" w:hAnsi="宋体" w:cs="宋体"/>
          <w:b/>
          <w:bCs/>
          <w:sz w:val="24"/>
        </w:rPr>
      </w:pPr>
      <w:r>
        <w:rPr>
          <w:rFonts w:hint="eastAsia" w:ascii="宋体" w:hAnsi="宋体" w:cs="宋体"/>
          <w:b/>
          <w:sz w:val="24"/>
        </w:rPr>
        <w:br w:type="page"/>
      </w:r>
      <w:r>
        <w:rPr>
          <w:rFonts w:hint="eastAsia" w:ascii="宋体" w:hAnsi="宋体" w:cs="宋体"/>
          <w:b/>
          <w:sz w:val="24"/>
        </w:rPr>
        <w:t>气液混合系统设备技术参数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350"/>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1" w:type="dxa"/>
            <w:vAlign w:val="center"/>
          </w:tcPr>
          <w:p>
            <w:pPr>
              <w:jc w:val="center"/>
              <w:rPr>
                <w:rFonts w:ascii="宋体" w:hAnsi="宋体" w:cs="宋体"/>
                <w:b/>
                <w:color w:val="000000"/>
                <w:sz w:val="24"/>
              </w:rPr>
            </w:pPr>
            <w:r>
              <w:rPr>
                <w:rFonts w:hint="eastAsia" w:ascii="宋体" w:hAnsi="宋体" w:cs="宋体"/>
                <w:b/>
                <w:color w:val="000000"/>
                <w:sz w:val="24"/>
              </w:rPr>
              <w:t>1</w:t>
            </w:r>
          </w:p>
        </w:tc>
        <w:tc>
          <w:tcPr>
            <w:tcW w:w="3350" w:type="dxa"/>
            <w:vAlign w:val="center"/>
          </w:tcPr>
          <w:p>
            <w:pPr>
              <w:rPr>
                <w:rFonts w:ascii="宋体" w:hAnsi="宋体" w:cs="宋体"/>
                <w:b/>
                <w:color w:val="000000"/>
                <w:sz w:val="24"/>
              </w:rPr>
            </w:pPr>
            <w:r>
              <w:rPr>
                <w:rFonts w:hint="eastAsia" w:ascii="宋体" w:hAnsi="宋体" w:cs="宋体"/>
                <w:b/>
                <w:color w:val="000000"/>
                <w:sz w:val="24"/>
              </w:rPr>
              <w:t>增压泵</w:t>
            </w:r>
          </w:p>
        </w:tc>
        <w:tc>
          <w:tcPr>
            <w:tcW w:w="3879" w:type="dxa"/>
            <w:vAlign w:val="center"/>
          </w:tcPr>
          <w:p>
            <w:pPr>
              <w:rPr>
                <w:rFonts w:ascii="宋体" w:hAnsi="宋体" w:cs="宋体"/>
                <w:color w:val="000000"/>
                <w:sz w:val="24"/>
              </w:rPr>
            </w:pPr>
            <w:r>
              <w:rPr>
                <w:rFonts w:hint="eastAsia" w:ascii="宋体" w:hAnsi="宋体" w:cs="宋体"/>
                <w:color w:val="000000"/>
                <w:sz w:val="24"/>
              </w:rPr>
              <w:t xml:space="preserve">3台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1"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1.1</w:t>
            </w:r>
          </w:p>
        </w:tc>
        <w:tc>
          <w:tcPr>
            <w:tcW w:w="3350" w:type="dxa"/>
            <w:vAlign w:val="center"/>
          </w:tcPr>
          <w:p>
            <w:pPr>
              <w:rPr>
                <w:rFonts w:ascii="宋体" w:hAnsi="宋体" w:cs="宋体"/>
                <w:color w:val="000000" w:themeColor="text1"/>
                <w:sz w:val="24"/>
              </w:rPr>
            </w:pPr>
            <w:r>
              <w:rPr>
                <w:rFonts w:hint="eastAsia" w:ascii="宋体" w:hAnsi="宋体" w:cs="宋体"/>
                <w:color w:val="000000" w:themeColor="text1"/>
                <w:sz w:val="24"/>
              </w:rPr>
              <w:t>水流量（m</w:t>
            </w:r>
            <w:r>
              <w:rPr>
                <w:rFonts w:hint="eastAsia" w:ascii="宋体" w:hAnsi="宋体" w:cs="宋体"/>
                <w:color w:val="000000" w:themeColor="text1"/>
                <w:sz w:val="24"/>
                <w:vertAlign w:val="superscript"/>
              </w:rPr>
              <w:t>3</w:t>
            </w:r>
            <w:r>
              <w:rPr>
                <w:rFonts w:hint="eastAsia" w:ascii="宋体" w:hAnsi="宋体" w:cs="宋体"/>
                <w:color w:val="000000" w:themeColor="text1"/>
                <w:sz w:val="24"/>
              </w:rPr>
              <w:t>/h）</w:t>
            </w:r>
          </w:p>
        </w:tc>
        <w:tc>
          <w:tcPr>
            <w:tcW w:w="3879" w:type="dxa"/>
            <w:vAlign w:val="center"/>
          </w:tcPr>
          <w:p>
            <w:pPr>
              <w:rPr>
                <w:rFonts w:ascii="宋体" w:hAnsi="宋体" w:cs="宋体"/>
                <w:color w:val="000000" w:themeColor="text1"/>
                <w:sz w:val="24"/>
              </w:rPr>
            </w:pPr>
            <w:r>
              <w:rPr>
                <w:rFonts w:ascii="Arial" w:hAnsi="Arial" w:cs="Arial"/>
                <w:color w:val="000000" w:themeColor="text1"/>
                <w:sz w:val="24"/>
              </w:rPr>
              <w:t>≥</w:t>
            </w:r>
            <w:r>
              <w:rPr>
                <w:rFonts w:hint="eastAsia" w:ascii="宋体" w:hAnsi="宋体" w:cs="宋体"/>
                <w:color w:val="000000" w:themeColor="text1"/>
                <w:sz w:val="24"/>
              </w:rPr>
              <w:t>26m³/h ，47M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350" w:type="dxa"/>
            <w:vAlign w:val="center"/>
          </w:tcPr>
          <w:p>
            <w:pPr>
              <w:rPr>
                <w:rFonts w:ascii="宋体" w:hAnsi="宋体" w:cs="宋体"/>
                <w:color w:val="000000"/>
                <w:sz w:val="24"/>
              </w:rPr>
            </w:pPr>
            <w:r>
              <w:rPr>
                <w:rFonts w:hint="eastAsia" w:ascii="宋体" w:hAnsi="宋体" w:cs="宋体"/>
                <w:color w:val="000000"/>
                <w:sz w:val="24"/>
              </w:rPr>
              <w:t>额定功率（kw）</w:t>
            </w:r>
          </w:p>
        </w:tc>
        <w:tc>
          <w:tcPr>
            <w:tcW w:w="3879"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5.5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350" w:type="dxa"/>
            <w:vAlign w:val="center"/>
          </w:tcPr>
          <w:p>
            <w:pPr>
              <w:rPr>
                <w:rFonts w:ascii="宋体" w:hAnsi="宋体" w:cs="宋体"/>
                <w:color w:val="000000"/>
                <w:sz w:val="24"/>
              </w:rPr>
            </w:pPr>
            <w:r>
              <w:rPr>
                <w:rFonts w:hint="eastAsia" w:ascii="宋体" w:hAnsi="宋体" w:cs="宋体"/>
                <w:color w:val="000000"/>
                <w:sz w:val="24"/>
              </w:rPr>
              <w:t>接口口径</w:t>
            </w:r>
          </w:p>
        </w:tc>
        <w:tc>
          <w:tcPr>
            <w:tcW w:w="3879" w:type="dxa"/>
            <w:vAlign w:val="center"/>
          </w:tcPr>
          <w:p>
            <w:pPr>
              <w:rPr>
                <w:rFonts w:ascii="宋体" w:hAnsi="宋体" w:cs="宋体"/>
                <w:color w:val="000000"/>
                <w:sz w:val="24"/>
              </w:rPr>
            </w:pPr>
            <w:r>
              <w:rPr>
                <w:rFonts w:hint="eastAsia" w:ascii="宋体" w:hAnsi="宋体" w:cs="宋体"/>
                <w:sz w:val="24"/>
              </w:rPr>
              <w:t>PN25/DN50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1.5</w:t>
            </w:r>
          </w:p>
        </w:tc>
        <w:tc>
          <w:tcPr>
            <w:tcW w:w="3350" w:type="dxa"/>
            <w:vAlign w:val="center"/>
          </w:tcPr>
          <w:p>
            <w:pPr>
              <w:rPr>
                <w:rFonts w:ascii="宋体" w:hAnsi="宋体" w:cs="宋体"/>
                <w:color w:val="000000"/>
                <w:sz w:val="24"/>
              </w:rPr>
            </w:pPr>
            <w:r>
              <w:rPr>
                <w:rFonts w:hint="eastAsia" w:ascii="宋体" w:hAnsi="宋体" w:cs="宋体"/>
                <w:color w:val="000000"/>
                <w:sz w:val="24"/>
              </w:rPr>
              <w:t>电源</w:t>
            </w:r>
          </w:p>
        </w:tc>
        <w:tc>
          <w:tcPr>
            <w:tcW w:w="3879" w:type="dxa"/>
            <w:vAlign w:val="center"/>
          </w:tcPr>
          <w:p>
            <w:pPr>
              <w:rPr>
                <w:rFonts w:ascii="宋体" w:hAnsi="宋体" w:cs="宋体"/>
                <w:color w:val="000000"/>
                <w:sz w:val="24"/>
              </w:rPr>
            </w:pPr>
            <w:r>
              <w:rPr>
                <w:rFonts w:hint="eastAsia" w:ascii="宋体" w:hAnsi="宋体" w:cs="宋体"/>
                <w:color w:val="000000"/>
                <w:sz w:val="24"/>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b/>
                <w:color w:val="000000"/>
                <w:sz w:val="24"/>
              </w:rPr>
            </w:pPr>
            <w:r>
              <w:rPr>
                <w:rFonts w:hint="eastAsia" w:ascii="宋体" w:hAnsi="宋体" w:cs="宋体"/>
                <w:b/>
                <w:color w:val="000000"/>
                <w:sz w:val="24"/>
              </w:rPr>
              <w:t>2</w:t>
            </w:r>
          </w:p>
        </w:tc>
        <w:tc>
          <w:tcPr>
            <w:tcW w:w="3350" w:type="dxa"/>
            <w:vAlign w:val="center"/>
          </w:tcPr>
          <w:p>
            <w:pPr>
              <w:rPr>
                <w:rFonts w:ascii="宋体" w:hAnsi="宋体" w:cs="宋体"/>
                <w:b/>
                <w:color w:val="000000"/>
                <w:sz w:val="24"/>
              </w:rPr>
            </w:pPr>
            <w:r>
              <w:rPr>
                <w:rFonts w:hint="eastAsia" w:ascii="宋体" w:hAnsi="宋体" w:cs="宋体"/>
                <w:b/>
                <w:color w:val="000000"/>
                <w:sz w:val="24"/>
              </w:rPr>
              <w:t>增压泵</w:t>
            </w:r>
          </w:p>
        </w:tc>
        <w:tc>
          <w:tcPr>
            <w:tcW w:w="3879" w:type="dxa"/>
            <w:vAlign w:val="center"/>
          </w:tcPr>
          <w:p>
            <w:pPr>
              <w:rPr>
                <w:rFonts w:ascii="宋体" w:hAnsi="宋体" w:cs="宋体"/>
                <w:color w:val="000000"/>
                <w:sz w:val="24"/>
              </w:rPr>
            </w:pPr>
            <w:r>
              <w:rPr>
                <w:rFonts w:hint="eastAsia" w:ascii="宋体" w:hAnsi="宋体" w:cs="宋体"/>
                <w:color w:val="00000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2.1</w:t>
            </w:r>
          </w:p>
        </w:tc>
        <w:tc>
          <w:tcPr>
            <w:tcW w:w="3350" w:type="dxa"/>
            <w:vAlign w:val="center"/>
          </w:tcPr>
          <w:p>
            <w:pPr>
              <w:rPr>
                <w:rFonts w:ascii="宋体" w:hAnsi="宋体" w:cs="宋体"/>
                <w:color w:val="000000"/>
                <w:sz w:val="24"/>
              </w:rPr>
            </w:pPr>
            <w:r>
              <w:rPr>
                <w:rFonts w:hint="eastAsia" w:ascii="宋体" w:hAnsi="宋体" w:cs="宋体"/>
                <w:color w:val="000000"/>
                <w:sz w:val="24"/>
              </w:rPr>
              <w:t>水流量（m</w:t>
            </w:r>
            <w:r>
              <w:rPr>
                <w:rFonts w:hint="eastAsia" w:ascii="宋体" w:hAnsi="宋体" w:cs="宋体"/>
                <w:color w:val="000000"/>
                <w:sz w:val="24"/>
                <w:vertAlign w:val="superscript"/>
              </w:rPr>
              <w:t>3</w:t>
            </w:r>
            <w:r>
              <w:rPr>
                <w:rFonts w:hint="eastAsia" w:ascii="宋体" w:hAnsi="宋体" w:cs="宋体"/>
                <w:color w:val="000000"/>
                <w:sz w:val="24"/>
              </w:rPr>
              <w:t>/h）</w:t>
            </w:r>
          </w:p>
        </w:tc>
        <w:tc>
          <w:tcPr>
            <w:tcW w:w="3879" w:type="dxa"/>
            <w:vAlign w:val="center"/>
          </w:tcPr>
          <w:p>
            <w:pPr>
              <w:rPr>
                <w:rFonts w:ascii="宋体" w:hAnsi="宋体" w:cs="宋体"/>
                <w:color w:val="000000"/>
                <w:sz w:val="24"/>
              </w:rPr>
            </w:pPr>
            <w:r>
              <w:rPr>
                <w:rFonts w:ascii="Arial" w:hAnsi="Arial" w:cs="Arial"/>
                <w:color w:val="FF0000"/>
                <w:sz w:val="24"/>
              </w:rPr>
              <w:t>≥</w:t>
            </w:r>
            <w:r>
              <w:rPr>
                <w:rFonts w:hint="eastAsia" w:ascii="宋体" w:hAnsi="宋体" w:cs="宋体"/>
                <w:color w:val="000000"/>
                <w:sz w:val="24"/>
              </w:rPr>
              <w:t>15 m</w:t>
            </w:r>
            <w:r>
              <w:rPr>
                <w:rFonts w:hint="eastAsia" w:ascii="宋体" w:hAnsi="宋体" w:cs="宋体"/>
                <w:color w:val="000000"/>
                <w:sz w:val="24"/>
                <w:vertAlign w:val="superscript"/>
              </w:rPr>
              <w:t>3</w:t>
            </w:r>
            <w:r>
              <w:rPr>
                <w:rFonts w:hint="eastAsia" w:ascii="宋体" w:hAnsi="宋体" w:cs="宋体"/>
                <w:color w:val="000000"/>
                <w:sz w:val="24"/>
              </w:rPr>
              <w:t>/h，34.5M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2.2</w:t>
            </w:r>
          </w:p>
        </w:tc>
        <w:tc>
          <w:tcPr>
            <w:tcW w:w="3350" w:type="dxa"/>
            <w:vAlign w:val="center"/>
          </w:tcPr>
          <w:p>
            <w:pPr>
              <w:rPr>
                <w:rFonts w:ascii="宋体" w:hAnsi="宋体" w:cs="宋体"/>
                <w:color w:val="000000"/>
                <w:sz w:val="24"/>
              </w:rPr>
            </w:pPr>
            <w:r>
              <w:rPr>
                <w:rFonts w:hint="eastAsia" w:ascii="宋体" w:hAnsi="宋体" w:cs="宋体"/>
                <w:color w:val="000000"/>
                <w:sz w:val="24"/>
              </w:rPr>
              <w:t>额定功率（kw）</w:t>
            </w:r>
          </w:p>
        </w:tc>
        <w:tc>
          <w:tcPr>
            <w:tcW w:w="3879" w:type="dxa"/>
            <w:vAlign w:val="center"/>
          </w:tcPr>
          <w:p>
            <w:pPr>
              <w:rPr>
                <w:rFonts w:ascii="宋体" w:hAnsi="宋体" w:cs="宋体"/>
                <w:color w:val="000000"/>
                <w:sz w:val="24"/>
              </w:rPr>
            </w:pPr>
            <w:r>
              <w:rPr>
                <w:rFonts w:hint="eastAsia" w:ascii="宋体" w:hAnsi="宋体" w:cs="宋体"/>
                <w:sz w:val="24"/>
              </w:rPr>
              <w:t>≥</w:t>
            </w:r>
            <w:r>
              <w:rPr>
                <w:rFonts w:hint="eastAsia" w:ascii="宋体" w:hAnsi="宋体" w:cs="宋体"/>
                <w:color w:val="000000"/>
                <w:sz w:val="24"/>
              </w:rPr>
              <w:t>3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2.4</w:t>
            </w:r>
          </w:p>
        </w:tc>
        <w:tc>
          <w:tcPr>
            <w:tcW w:w="3350" w:type="dxa"/>
            <w:vAlign w:val="center"/>
          </w:tcPr>
          <w:p>
            <w:pPr>
              <w:rPr>
                <w:rFonts w:ascii="宋体" w:hAnsi="宋体" w:cs="宋体"/>
                <w:color w:val="000000"/>
                <w:sz w:val="24"/>
              </w:rPr>
            </w:pPr>
            <w:r>
              <w:rPr>
                <w:rFonts w:hint="eastAsia" w:ascii="宋体" w:hAnsi="宋体" w:cs="宋体"/>
                <w:color w:val="000000"/>
                <w:sz w:val="24"/>
              </w:rPr>
              <w:t>接口口径</w:t>
            </w:r>
          </w:p>
        </w:tc>
        <w:tc>
          <w:tcPr>
            <w:tcW w:w="3879" w:type="dxa"/>
            <w:vAlign w:val="center"/>
          </w:tcPr>
          <w:p>
            <w:pPr>
              <w:rPr>
                <w:rFonts w:ascii="宋体" w:hAnsi="宋体" w:cs="宋体"/>
                <w:color w:val="000000"/>
                <w:sz w:val="24"/>
              </w:rPr>
            </w:pPr>
            <w:r>
              <w:rPr>
                <w:rFonts w:hint="eastAsia" w:ascii="宋体" w:hAnsi="宋体" w:cs="宋体"/>
                <w:sz w:val="24"/>
              </w:rPr>
              <w:t>PN25/DN50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2.5</w:t>
            </w:r>
          </w:p>
        </w:tc>
        <w:tc>
          <w:tcPr>
            <w:tcW w:w="3350" w:type="dxa"/>
            <w:vAlign w:val="center"/>
          </w:tcPr>
          <w:p>
            <w:pPr>
              <w:rPr>
                <w:rFonts w:ascii="宋体" w:hAnsi="宋体" w:cs="宋体"/>
                <w:color w:val="000000"/>
                <w:sz w:val="24"/>
              </w:rPr>
            </w:pPr>
            <w:r>
              <w:rPr>
                <w:rFonts w:hint="eastAsia" w:ascii="宋体" w:hAnsi="宋体" w:cs="宋体"/>
                <w:color w:val="000000"/>
                <w:sz w:val="24"/>
              </w:rPr>
              <w:t>电源</w:t>
            </w:r>
          </w:p>
        </w:tc>
        <w:tc>
          <w:tcPr>
            <w:tcW w:w="3879" w:type="dxa"/>
            <w:vAlign w:val="center"/>
          </w:tcPr>
          <w:p>
            <w:pPr>
              <w:rPr>
                <w:rFonts w:ascii="宋体" w:hAnsi="宋体" w:cs="宋体"/>
                <w:color w:val="000000"/>
                <w:sz w:val="24"/>
              </w:rPr>
            </w:pPr>
            <w:r>
              <w:rPr>
                <w:rFonts w:hint="eastAsia" w:ascii="宋体" w:hAnsi="宋体" w:cs="宋体"/>
                <w:color w:val="000000"/>
                <w:sz w:val="24"/>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b/>
                <w:color w:val="000000"/>
                <w:sz w:val="24"/>
              </w:rPr>
            </w:pPr>
            <w:r>
              <w:rPr>
                <w:rFonts w:hint="eastAsia" w:ascii="宋体" w:hAnsi="宋体" w:cs="宋体"/>
                <w:b/>
                <w:color w:val="000000"/>
                <w:sz w:val="24"/>
              </w:rPr>
              <w:t>1</w:t>
            </w:r>
          </w:p>
        </w:tc>
        <w:tc>
          <w:tcPr>
            <w:tcW w:w="3350" w:type="dxa"/>
            <w:vAlign w:val="center"/>
          </w:tcPr>
          <w:p>
            <w:pPr>
              <w:rPr>
                <w:rFonts w:ascii="宋体" w:hAnsi="宋体" w:cs="宋体"/>
                <w:b/>
                <w:color w:val="000000"/>
                <w:sz w:val="24"/>
              </w:rPr>
            </w:pPr>
            <w:r>
              <w:rPr>
                <w:rFonts w:hint="eastAsia" w:ascii="宋体" w:hAnsi="宋体" w:cs="宋体"/>
                <w:b/>
                <w:color w:val="000000"/>
                <w:sz w:val="24"/>
              </w:rPr>
              <w:t>射流器</w:t>
            </w:r>
          </w:p>
        </w:tc>
        <w:tc>
          <w:tcPr>
            <w:tcW w:w="3879" w:type="dxa"/>
            <w:vAlign w:val="center"/>
          </w:tcPr>
          <w:p>
            <w:pPr>
              <w:rPr>
                <w:rFonts w:ascii="宋体" w:hAnsi="宋体" w:cs="宋体"/>
                <w:color w:val="000000"/>
                <w:sz w:val="24"/>
              </w:rPr>
            </w:pPr>
            <w:r>
              <w:rPr>
                <w:rFonts w:hint="eastAsia" w:ascii="宋体" w:hAnsi="宋体" w:cs="宋体"/>
                <w:color w:val="000000"/>
                <w:sz w:val="24"/>
              </w:rPr>
              <w:t xml:space="preserve">3台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1.1</w:t>
            </w:r>
          </w:p>
        </w:tc>
        <w:tc>
          <w:tcPr>
            <w:tcW w:w="3350" w:type="dxa"/>
            <w:vAlign w:val="center"/>
          </w:tcPr>
          <w:p>
            <w:pPr>
              <w:rPr>
                <w:rFonts w:ascii="宋体" w:hAnsi="宋体" w:cs="宋体"/>
                <w:color w:val="000000"/>
                <w:sz w:val="24"/>
              </w:rPr>
            </w:pPr>
            <w:r>
              <w:rPr>
                <w:rFonts w:hint="eastAsia" w:ascii="宋体" w:hAnsi="宋体" w:cs="宋体"/>
                <w:sz w:val="24"/>
              </w:rPr>
              <w:t>进出接口口径</w:t>
            </w:r>
          </w:p>
        </w:tc>
        <w:tc>
          <w:tcPr>
            <w:tcW w:w="3879" w:type="dxa"/>
            <w:vAlign w:val="center"/>
          </w:tcPr>
          <w:p>
            <w:pPr>
              <w:rPr>
                <w:rFonts w:ascii="宋体" w:hAnsi="宋体" w:cs="宋体"/>
                <w:color w:val="000000"/>
                <w:sz w:val="24"/>
              </w:rPr>
            </w:pPr>
            <w:r>
              <w:rPr>
                <w:rFonts w:hint="eastAsia" w:ascii="宋体" w:hAnsi="宋体" w:cs="宋体"/>
                <w:sz w:val="24"/>
              </w:rPr>
              <w:t>2"MNPT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1.2</w:t>
            </w:r>
          </w:p>
        </w:tc>
        <w:tc>
          <w:tcPr>
            <w:tcW w:w="3350" w:type="dxa"/>
            <w:vAlign w:val="center"/>
          </w:tcPr>
          <w:p>
            <w:pPr>
              <w:rPr>
                <w:rFonts w:ascii="宋体" w:hAnsi="宋体" w:cs="宋体"/>
                <w:color w:val="000000"/>
                <w:sz w:val="24"/>
              </w:rPr>
            </w:pPr>
            <w:r>
              <w:rPr>
                <w:rFonts w:hint="eastAsia" w:ascii="宋体" w:hAnsi="宋体" w:cs="宋体"/>
                <w:sz w:val="24"/>
              </w:rPr>
              <w:t>吸气口口径</w:t>
            </w:r>
          </w:p>
        </w:tc>
        <w:tc>
          <w:tcPr>
            <w:tcW w:w="3879" w:type="dxa"/>
            <w:vAlign w:val="center"/>
          </w:tcPr>
          <w:p>
            <w:pPr>
              <w:rPr>
                <w:rFonts w:ascii="宋体" w:hAnsi="宋体" w:cs="宋体"/>
                <w:color w:val="000000"/>
                <w:sz w:val="24"/>
              </w:rPr>
            </w:pPr>
            <w:r>
              <w:rPr>
                <w:rFonts w:hint="eastAsia" w:ascii="宋体" w:hAnsi="宋体" w:cs="宋体"/>
                <w:sz w:val="24"/>
              </w:rPr>
              <w:t>1 1/4"MNPT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1.3</w:t>
            </w:r>
          </w:p>
        </w:tc>
        <w:tc>
          <w:tcPr>
            <w:tcW w:w="3350" w:type="dxa"/>
            <w:vAlign w:val="center"/>
          </w:tcPr>
          <w:p>
            <w:pPr>
              <w:rPr>
                <w:rFonts w:ascii="宋体" w:hAnsi="宋体" w:cs="宋体"/>
                <w:color w:val="000000"/>
                <w:sz w:val="24"/>
              </w:rPr>
            </w:pPr>
            <w:r>
              <w:rPr>
                <w:rFonts w:hint="eastAsia" w:ascii="宋体" w:hAnsi="宋体" w:cs="宋体"/>
                <w:color w:val="000000"/>
                <w:sz w:val="24"/>
              </w:rPr>
              <w:t>材质</w:t>
            </w:r>
          </w:p>
        </w:tc>
        <w:tc>
          <w:tcPr>
            <w:tcW w:w="3879" w:type="dxa"/>
            <w:vAlign w:val="center"/>
          </w:tcPr>
          <w:p>
            <w:pPr>
              <w:rPr>
                <w:rFonts w:ascii="宋体" w:hAnsi="宋体" w:cs="宋体"/>
                <w:color w:val="000000"/>
                <w:sz w:val="24"/>
              </w:rPr>
            </w:pPr>
            <w:r>
              <w:rPr>
                <w:rFonts w:hint="eastAsia" w:ascii="宋体" w:hAnsi="宋体" w:cs="宋体"/>
                <w:color w:val="000000"/>
                <w:sz w:val="24"/>
              </w:rPr>
              <w:t>PVDF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1.4</w:t>
            </w:r>
          </w:p>
        </w:tc>
        <w:tc>
          <w:tcPr>
            <w:tcW w:w="3350" w:type="dxa"/>
            <w:vAlign w:val="center"/>
          </w:tcPr>
          <w:p>
            <w:pPr>
              <w:rPr>
                <w:rFonts w:ascii="宋体" w:hAnsi="宋体" w:cs="宋体"/>
                <w:color w:val="000000"/>
                <w:sz w:val="24"/>
              </w:rPr>
            </w:pPr>
            <w:r>
              <w:rPr>
                <w:rFonts w:hint="eastAsia" w:ascii="宋体" w:hAnsi="宋体" w:cs="宋体"/>
                <w:color w:val="000000"/>
                <w:sz w:val="24"/>
              </w:rPr>
              <w:t>长度</w:t>
            </w:r>
          </w:p>
        </w:tc>
        <w:tc>
          <w:tcPr>
            <w:tcW w:w="3879" w:type="dxa"/>
            <w:vAlign w:val="center"/>
          </w:tcPr>
          <w:p>
            <w:pPr>
              <w:rPr>
                <w:rFonts w:ascii="宋体" w:hAnsi="宋体" w:cs="宋体"/>
                <w:color w:val="000000"/>
                <w:sz w:val="24"/>
              </w:rPr>
            </w:pPr>
            <w:r>
              <w:rPr>
                <w:rFonts w:hint="eastAsia" w:ascii="宋体" w:hAnsi="宋体" w:cs="宋体"/>
                <w:color w:val="000000"/>
                <w:sz w:val="24"/>
              </w:rPr>
              <w:t>11.7</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b/>
                <w:color w:val="000000"/>
                <w:sz w:val="24"/>
              </w:rPr>
            </w:pPr>
            <w:r>
              <w:rPr>
                <w:rFonts w:hint="eastAsia" w:ascii="宋体" w:hAnsi="宋体" w:cs="宋体"/>
                <w:b/>
                <w:color w:val="000000"/>
                <w:sz w:val="24"/>
              </w:rPr>
              <w:t>2</w:t>
            </w:r>
          </w:p>
        </w:tc>
        <w:tc>
          <w:tcPr>
            <w:tcW w:w="3350" w:type="dxa"/>
            <w:vAlign w:val="center"/>
          </w:tcPr>
          <w:p>
            <w:pPr>
              <w:rPr>
                <w:rFonts w:ascii="宋体" w:hAnsi="宋体" w:cs="宋体"/>
                <w:b/>
                <w:color w:val="000000"/>
                <w:sz w:val="24"/>
              </w:rPr>
            </w:pPr>
            <w:r>
              <w:rPr>
                <w:rFonts w:hint="eastAsia" w:ascii="宋体" w:hAnsi="宋体" w:cs="宋体"/>
                <w:b/>
                <w:color w:val="000000"/>
                <w:sz w:val="24"/>
              </w:rPr>
              <w:t>射流器</w:t>
            </w:r>
          </w:p>
        </w:tc>
        <w:tc>
          <w:tcPr>
            <w:tcW w:w="3879" w:type="dxa"/>
            <w:vAlign w:val="center"/>
          </w:tcPr>
          <w:p>
            <w:pPr>
              <w:rPr>
                <w:rFonts w:ascii="宋体" w:hAnsi="宋体" w:cs="宋体"/>
                <w:color w:val="000000"/>
                <w:sz w:val="24"/>
              </w:rPr>
            </w:pPr>
            <w:r>
              <w:rPr>
                <w:rFonts w:hint="eastAsia" w:ascii="宋体" w:hAnsi="宋体" w:cs="宋体"/>
                <w:color w:val="00000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2.1</w:t>
            </w:r>
          </w:p>
        </w:tc>
        <w:tc>
          <w:tcPr>
            <w:tcW w:w="3350" w:type="dxa"/>
            <w:vAlign w:val="center"/>
          </w:tcPr>
          <w:p>
            <w:pPr>
              <w:rPr>
                <w:rFonts w:ascii="宋体" w:hAnsi="宋体" w:cs="宋体"/>
                <w:color w:val="000000"/>
                <w:sz w:val="24"/>
              </w:rPr>
            </w:pPr>
            <w:r>
              <w:rPr>
                <w:rFonts w:hint="eastAsia" w:ascii="宋体" w:hAnsi="宋体" w:cs="宋体"/>
                <w:sz w:val="24"/>
              </w:rPr>
              <w:t>进出接口口径</w:t>
            </w:r>
          </w:p>
        </w:tc>
        <w:tc>
          <w:tcPr>
            <w:tcW w:w="3879" w:type="dxa"/>
            <w:vAlign w:val="center"/>
          </w:tcPr>
          <w:p>
            <w:pPr>
              <w:rPr>
                <w:rFonts w:ascii="宋体" w:hAnsi="宋体" w:cs="宋体"/>
                <w:color w:val="000000"/>
                <w:sz w:val="24"/>
              </w:rPr>
            </w:pPr>
            <w:r>
              <w:rPr>
                <w:rFonts w:hint="eastAsia" w:ascii="宋体" w:hAnsi="宋体" w:cs="宋体"/>
                <w:sz w:val="24"/>
              </w:rPr>
              <w:t>1 1/2"MNPT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2.2</w:t>
            </w:r>
          </w:p>
        </w:tc>
        <w:tc>
          <w:tcPr>
            <w:tcW w:w="3350" w:type="dxa"/>
            <w:vAlign w:val="center"/>
          </w:tcPr>
          <w:p>
            <w:pPr>
              <w:rPr>
                <w:rFonts w:ascii="宋体" w:hAnsi="宋体" w:cs="宋体"/>
                <w:color w:val="000000"/>
                <w:sz w:val="24"/>
              </w:rPr>
            </w:pPr>
            <w:r>
              <w:rPr>
                <w:rFonts w:hint="eastAsia" w:ascii="宋体" w:hAnsi="宋体" w:cs="宋体"/>
                <w:sz w:val="24"/>
              </w:rPr>
              <w:t>吸气口口径</w:t>
            </w:r>
          </w:p>
        </w:tc>
        <w:tc>
          <w:tcPr>
            <w:tcW w:w="3879" w:type="dxa"/>
            <w:vAlign w:val="center"/>
          </w:tcPr>
          <w:p>
            <w:pPr>
              <w:rPr>
                <w:rFonts w:ascii="宋体" w:hAnsi="宋体" w:cs="宋体"/>
                <w:color w:val="000000"/>
                <w:sz w:val="24"/>
              </w:rPr>
            </w:pPr>
            <w:r>
              <w:rPr>
                <w:rFonts w:hint="eastAsia" w:ascii="宋体" w:hAnsi="宋体" w:cs="宋体"/>
                <w:sz w:val="24"/>
              </w:rPr>
              <w:t>1/2"MNPT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2.3</w:t>
            </w:r>
          </w:p>
        </w:tc>
        <w:tc>
          <w:tcPr>
            <w:tcW w:w="3350" w:type="dxa"/>
            <w:vAlign w:val="center"/>
          </w:tcPr>
          <w:p>
            <w:pPr>
              <w:rPr>
                <w:rFonts w:ascii="宋体" w:hAnsi="宋体" w:cs="宋体"/>
                <w:color w:val="000000"/>
                <w:sz w:val="24"/>
              </w:rPr>
            </w:pPr>
            <w:r>
              <w:rPr>
                <w:rFonts w:hint="eastAsia" w:ascii="宋体" w:hAnsi="宋体" w:cs="宋体"/>
                <w:color w:val="000000"/>
                <w:sz w:val="24"/>
              </w:rPr>
              <w:t>材质</w:t>
            </w:r>
          </w:p>
        </w:tc>
        <w:tc>
          <w:tcPr>
            <w:tcW w:w="3879" w:type="dxa"/>
            <w:vAlign w:val="center"/>
          </w:tcPr>
          <w:p>
            <w:pPr>
              <w:rPr>
                <w:rFonts w:ascii="宋体" w:hAnsi="宋体" w:cs="宋体"/>
                <w:color w:val="000000"/>
                <w:sz w:val="24"/>
              </w:rPr>
            </w:pPr>
            <w:r>
              <w:rPr>
                <w:rFonts w:hint="eastAsia" w:ascii="宋体" w:hAnsi="宋体" w:cs="宋体"/>
                <w:color w:val="000000"/>
                <w:sz w:val="24"/>
              </w:rPr>
              <w:t>PVDF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1" w:type="dxa"/>
            <w:vAlign w:val="center"/>
          </w:tcPr>
          <w:p>
            <w:pPr>
              <w:jc w:val="center"/>
              <w:rPr>
                <w:rFonts w:ascii="宋体" w:hAnsi="宋体" w:cs="宋体"/>
                <w:color w:val="000000"/>
                <w:sz w:val="24"/>
              </w:rPr>
            </w:pPr>
            <w:r>
              <w:rPr>
                <w:rFonts w:hint="eastAsia" w:ascii="宋体" w:hAnsi="宋体" w:cs="宋体"/>
                <w:color w:val="000000"/>
                <w:sz w:val="24"/>
              </w:rPr>
              <w:t>2.4</w:t>
            </w:r>
          </w:p>
        </w:tc>
        <w:tc>
          <w:tcPr>
            <w:tcW w:w="3350" w:type="dxa"/>
            <w:vAlign w:val="center"/>
          </w:tcPr>
          <w:p>
            <w:pPr>
              <w:rPr>
                <w:rFonts w:ascii="宋体" w:hAnsi="宋体" w:cs="宋体"/>
                <w:color w:val="000000"/>
                <w:sz w:val="24"/>
              </w:rPr>
            </w:pPr>
            <w:r>
              <w:rPr>
                <w:rFonts w:hint="eastAsia" w:ascii="宋体" w:hAnsi="宋体" w:cs="宋体"/>
                <w:color w:val="000000"/>
                <w:sz w:val="24"/>
              </w:rPr>
              <w:t>长度</w:t>
            </w:r>
          </w:p>
        </w:tc>
        <w:tc>
          <w:tcPr>
            <w:tcW w:w="3879" w:type="dxa"/>
            <w:vAlign w:val="center"/>
          </w:tcPr>
          <w:p>
            <w:pPr>
              <w:rPr>
                <w:rFonts w:ascii="宋体" w:hAnsi="宋体" w:cs="宋体"/>
                <w:color w:val="000000"/>
                <w:sz w:val="24"/>
              </w:rPr>
            </w:pPr>
            <w:r>
              <w:rPr>
                <w:rFonts w:hint="eastAsia" w:ascii="宋体" w:hAnsi="宋体" w:cs="宋体"/>
                <w:color w:val="000000"/>
                <w:sz w:val="24"/>
              </w:rPr>
              <w:t>11</w:t>
            </w:r>
            <w:r>
              <w:rPr>
                <w:rFonts w:hint="eastAsia" w:ascii="宋体" w:hAnsi="宋体" w:cs="宋体"/>
                <w:sz w:val="24"/>
              </w:rPr>
              <w:t>"</w:t>
            </w:r>
          </w:p>
        </w:tc>
      </w:tr>
    </w:tbl>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Pr>
        <w:pStyle w:val="87"/>
        <w:spacing w:after="0"/>
        <w:ind w:left="0" w:leftChars="0" w:firstLine="0" w:firstLineChars="0"/>
        <w:rPr>
          <w:rFonts w:ascii="宋体" w:hAnsi="宋体" w:cs="宋体"/>
          <w:sz w:val="24"/>
        </w:rPr>
      </w:pPr>
    </w:p>
    <w:p/>
    <w:p>
      <w:pPr>
        <w:pStyle w:val="87"/>
        <w:spacing w:after="0"/>
        <w:ind w:left="0" w:leftChars="0" w:firstLine="0" w:firstLineChars="0"/>
        <w:rPr>
          <w:rFonts w:ascii="宋体" w:hAnsi="宋体" w:cs="宋体"/>
          <w:sz w:val="24"/>
        </w:rPr>
      </w:pPr>
    </w:p>
    <w:p>
      <w:pPr>
        <w:jc w:val="center"/>
      </w:pPr>
      <w:r>
        <w:rPr>
          <w:rFonts w:hint="eastAsia"/>
        </w:rPr>
        <w:t>1安装管道材料的材质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3420"/>
        <w:gridCol w:w="2549"/>
        <w:gridCol w:w="2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序号</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范围</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材质</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1</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与臭氧接触的管道</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PVDF</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直径16mm  10米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2</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与臭氧接触的管道</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PVDF</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直径12mm  20米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3</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与臭氧接触的管道</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PVDF</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直径10mm  10米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4</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氧气输送管道</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PU</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直径16mm  2米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773" w:type="dxa"/>
            <w:vAlign w:val="center"/>
          </w:tcPr>
          <w:p>
            <w:pPr>
              <w:pStyle w:val="661"/>
              <w:jc w:val="center"/>
              <w:rPr>
                <w:rFonts w:ascii="宋体" w:hAnsi="宋体" w:cs="宋体"/>
                <w:sz w:val="24"/>
                <w:szCs w:val="24"/>
              </w:rPr>
            </w:pPr>
            <w:r>
              <w:rPr>
                <w:rFonts w:hint="eastAsia" w:ascii="宋体" w:hAnsi="宋体" w:cs="宋体"/>
                <w:sz w:val="24"/>
                <w:szCs w:val="24"/>
              </w:rPr>
              <w:t>5</w:t>
            </w:r>
          </w:p>
        </w:tc>
        <w:tc>
          <w:tcPr>
            <w:tcW w:w="3420" w:type="dxa"/>
            <w:vAlign w:val="center"/>
          </w:tcPr>
          <w:p>
            <w:pPr>
              <w:pStyle w:val="661"/>
              <w:jc w:val="center"/>
              <w:rPr>
                <w:rFonts w:ascii="宋体" w:hAnsi="宋体" w:cs="宋体"/>
                <w:sz w:val="24"/>
                <w:szCs w:val="24"/>
              </w:rPr>
            </w:pPr>
            <w:r>
              <w:rPr>
                <w:rFonts w:hint="eastAsia" w:ascii="宋体" w:hAnsi="宋体" w:cs="宋体"/>
                <w:sz w:val="24"/>
                <w:szCs w:val="24"/>
              </w:rPr>
              <w:t>氧气输送管道</w:t>
            </w:r>
          </w:p>
        </w:tc>
        <w:tc>
          <w:tcPr>
            <w:tcW w:w="2549" w:type="dxa"/>
            <w:vAlign w:val="center"/>
          </w:tcPr>
          <w:p>
            <w:pPr>
              <w:pStyle w:val="661"/>
              <w:jc w:val="center"/>
              <w:rPr>
                <w:rFonts w:ascii="宋体" w:hAnsi="宋体" w:cs="宋体"/>
                <w:sz w:val="24"/>
                <w:szCs w:val="24"/>
              </w:rPr>
            </w:pPr>
            <w:r>
              <w:rPr>
                <w:rFonts w:hint="eastAsia" w:ascii="宋体" w:hAnsi="宋体" w:cs="宋体"/>
                <w:sz w:val="24"/>
                <w:szCs w:val="24"/>
              </w:rPr>
              <w:t>PU</w:t>
            </w:r>
          </w:p>
        </w:tc>
        <w:tc>
          <w:tcPr>
            <w:tcW w:w="2583" w:type="dxa"/>
            <w:vAlign w:val="center"/>
          </w:tcPr>
          <w:p>
            <w:pPr>
              <w:pStyle w:val="661"/>
              <w:jc w:val="center"/>
              <w:rPr>
                <w:rFonts w:ascii="宋体" w:hAnsi="宋体" w:cs="宋体"/>
                <w:sz w:val="24"/>
                <w:szCs w:val="24"/>
              </w:rPr>
            </w:pPr>
            <w:r>
              <w:rPr>
                <w:rFonts w:hint="eastAsia" w:ascii="宋体" w:hAnsi="宋体" w:cs="宋体"/>
                <w:sz w:val="24"/>
                <w:szCs w:val="24"/>
              </w:rPr>
              <w:t>直径12mm  4米</w:t>
            </w:r>
          </w:p>
        </w:tc>
      </w:tr>
    </w:tbl>
    <w:p>
      <w:pPr>
        <w:rPr>
          <w:rFonts w:ascii="宋体" w:hAnsi="宋体" w:cs="宋体"/>
          <w:sz w:val="24"/>
        </w:rPr>
      </w:pPr>
    </w:p>
    <w:p>
      <w:pPr>
        <w:pStyle w:val="3"/>
        <w:kinsoku w:val="0"/>
        <w:overflowPunct w:val="0"/>
        <w:spacing w:line="360" w:lineRule="auto"/>
        <w:rPr>
          <w:rFonts w:ascii="宋体" w:hAnsi="宋体" w:cs="宋体"/>
          <w:sz w:val="24"/>
        </w:rPr>
      </w:pPr>
      <w:r>
        <w:rPr>
          <w:rFonts w:hint="eastAsia" w:ascii="宋体" w:hAnsi="宋体" w:cs="宋体"/>
          <w:sz w:val="24"/>
        </w:rPr>
        <w:t>技术方案要求：</w:t>
      </w:r>
    </w:p>
    <w:p>
      <w:pPr>
        <w:spacing w:line="360" w:lineRule="auto"/>
        <w:rPr>
          <w:rFonts w:ascii="宋体" w:hAnsi="宋体" w:cs="宋体"/>
          <w:sz w:val="24"/>
          <w:szCs w:val="24"/>
        </w:rPr>
      </w:pPr>
      <w:r>
        <w:rPr>
          <w:rFonts w:hint="eastAsia" w:ascii="宋体" w:hAnsi="宋体" w:cs="宋体"/>
          <w:sz w:val="24"/>
          <w:szCs w:val="24"/>
        </w:rPr>
        <w:t>臭氧发生器安装</w:t>
      </w:r>
    </w:p>
    <w:p>
      <w:pPr>
        <w:spacing w:line="360" w:lineRule="auto"/>
        <w:rPr>
          <w:rFonts w:ascii="宋体" w:hAnsi="宋体" w:cs="宋体"/>
          <w:sz w:val="24"/>
          <w:szCs w:val="24"/>
        </w:rPr>
      </w:pPr>
      <w:r>
        <w:rPr>
          <w:rFonts w:hint="eastAsia" w:ascii="宋体" w:hAnsi="宋体" w:cs="宋体"/>
          <w:sz w:val="24"/>
          <w:szCs w:val="24"/>
        </w:rPr>
        <w:t>1）臭氧发生器必须安装一个提升的基础上，基础高度至少有100mm，水平尺寸应与技术数据中规定的箱体尺寸相配。</w:t>
      </w:r>
    </w:p>
    <w:p>
      <w:pPr>
        <w:spacing w:line="360" w:lineRule="auto"/>
        <w:rPr>
          <w:rFonts w:ascii="宋体" w:hAnsi="宋体" w:cs="宋体"/>
          <w:sz w:val="24"/>
          <w:szCs w:val="24"/>
        </w:rPr>
      </w:pPr>
      <w:r>
        <w:rPr>
          <w:rFonts w:hint="eastAsia" w:ascii="宋体" w:hAnsi="宋体" w:cs="宋体"/>
          <w:sz w:val="24"/>
          <w:szCs w:val="24"/>
        </w:rPr>
        <w:t>2）安装和搬运过程中要防止磕碰，避免元件、仪表及油漆损坏。</w:t>
      </w:r>
    </w:p>
    <w:p>
      <w:pPr>
        <w:spacing w:line="360" w:lineRule="auto"/>
        <w:rPr>
          <w:rFonts w:ascii="宋体" w:hAnsi="宋体" w:cs="宋体"/>
          <w:sz w:val="24"/>
          <w:szCs w:val="24"/>
        </w:rPr>
      </w:pPr>
      <w:r>
        <w:rPr>
          <w:rFonts w:hint="eastAsia" w:ascii="宋体" w:hAnsi="宋体" w:cs="宋体"/>
          <w:sz w:val="24"/>
          <w:szCs w:val="24"/>
        </w:rPr>
        <w:t>3）臭氧发生器安装位置原则上是按施工图，同时满足以下条件：</w:t>
      </w:r>
    </w:p>
    <w:p>
      <w:pPr>
        <w:spacing w:line="360" w:lineRule="auto"/>
        <w:rPr>
          <w:rFonts w:ascii="宋体" w:hAnsi="宋体" w:cs="宋体"/>
          <w:sz w:val="24"/>
          <w:szCs w:val="24"/>
        </w:rPr>
      </w:pPr>
      <w:r>
        <w:rPr>
          <w:rFonts w:hint="eastAsia" w:ascii="宋体" w:hAnsi="宋体" w:cs="宋体"/>
          <w:sz w:val="24"/>
          <w:szCs w:val="24"/>
        </w:rPr>
        <w:t>臭氧发生器面板前至少有1000mm的操作通道，其余三周至少有一条宽为500mm的维修通道。</w:t>
      </w:r>
    </w:p>
    <w:p>
      <w:pPr>
        <w:spacing w:line="360" w:lineRule="auto"/>
        <w:rPr>
          <w:rFonts w:ascii="宋体" w:hAnsi="宋体" w:cs="宋体"/>
          <w:sz w:val="24"/>
          <w:szCs w:val="24"/>
        </w:rPr>
      </w:pPr>
      <w:r>
        <w:rPr>
          <w:rFonts w:hint="eastAsia" w:ascii="宋体" w:hAnsi="宋体" w:cs="宋体"/>
          <w:sz w:val="24"/>
          <w:szCs w:val="24"/>
        </w:rPr>
        <w:t>4）安装时应找好臭氧发生器正面和侧面的垂直高度，找正调整。</w:t>
      </w:r>
    </w:p>
    <w:p>
      <w:pPr>
        <w:spacing w:line="360" w:lineRule="auto"/>
        <w:rPr>
          <w:rFonts w:ascii="宋体" w:hAnsi="宋体" w:cs="宋体"/>
          <w:sz w:val="24"/>
          <w:szCs w:val="24"/>
        </w:rPr>
      </w:pPr>
      <w:r>
        <w:rPr>
          <w:rFonts w:hint="eastAsia" w:ascii="宋体" w:hAnsi="宋体" w:cs="宋体"/>
          <w:sz w:val="24"/>
          <w:szCs w:val="24"/>
        </w:rPr>
        <w:t>5）箱体接地应牢固良好。</w:t>
      </w:r>
    </w:p>
    <w:p>
      <w:pPr>
        <w:spacing w:line="360" w:lineRule="auto"/>
        <w:rPr>
          <w:rFonts w:ascii="宋体" w:hAnsi="宋体" w:cs="宋体"/>
          <w:b/>
          <w:sz w:val="24"/>
          <w:szCs w:val="24"/>
        </w:rPr>
      </w:pPr>
      <w:r>
        <w:rPr>
          <w:rFonts w:hint="eastAsia" w:ascii="宋体" w:hAnsi="宋体" w:cs="宋体"/>
          <w:b/>
          <w:sz w:val="24"/>
          <w:szCs w:val="24"/>
        </w:rPr>
        <w:t>附件安装：</w:t>
      </w:r>
    </w:p>
    <w:p>
      <w:pPr>
        <w:spacing w:line="360" w:lineRule="auto"/>
        <w:rPr>
          <w:rFonts w:ascii="宋体" w:hAnsi="宋体" w:cs="宋体"/>
          <w:b/>
          <w:sz w:val="24"/>
          <w:szCs w:val="24"/>
        </w:rPr>
      </w:pPr>
      <w:r>
        <w:rPr>
          <w:rFonts w:hint="eastAsia" w:ascii="宋体" w:hAnsi="宋体" w:cs="宋体"/>
          <w:b/>
          <w:sz w:val="24"/>
          <w:szCs w:val="24"/>
        </w:rPr>
        <w:t>a、臭氧投加装置：</w:t>
      </w:r>
    </w:p>
    <w:p>
      <w:pPr>
        <w:spacing w:line="360" w:lineRule="auto"/>
        <w:rPr>
          <w:rFonts w:ascii="宋体" w:hAnsi="宋体" w:cs="宋体"/>
          <w:sz w:val="24"/>
          <w:szCs w:val="24"/>
        </w:rPr>
      </w:pPr>
      <w:r>
        <w:rPr>
          <w:rFonts w:hint="eastAsia" w:ascii="宋体" w:hAnsi="宋体" w:cs="宋体"/>
          <w:sz w:val="24"/>
          <w:szCs w:val="24"/>
        </w:rPr>
        <w:t>主要组件有：加压泵、射流器。</w:t>
      </w:r>
    </w:p>
    <w:p>
      <w:pPr>
        <w:spacing w:line="360" w:lineRule="auto"/>
        <w:rPr>
          <w:rFonts w:ascii="宋体" w:hAnsi="宋体" w:cs="宋体"/>
          <w:sz w:val="24"/>
          <w:szCs w:val="24"/>
        </w:rPr>
      </w:pPr>
      <w:r>
        <w:rPr>
          <w:rFonts w:hint="eastAsia" w:ascii="宋体" w:hAnsi="宋体" w:cs="宋体"/>
          <w:sz w:val="24"/>
          <w:szCs w:val="24"/>
        </w:rPr>
        <w:t>臭氧投加装置管材采用PVDF。</w:t>
      </w:r>
    </w:p>
    <w:p>
      <w:pPr>
        <w:spacing w:line="360" w:lineRule="auto"/>
        <w:rPr>
          <w:rFonts w:ascii="宋体" w:hAnsi="宋体" w:cs="宋体"/>
          <w:sz w:val="24"/>
          <w:szCs w:val="24"/>
        </w:rPr>
      </w:pPr>
      <w:r>
        <w:rPr>
          <w:rFonts w:hint="eastAsia" w:ascii="宋体" w:hAnsi="宋体" w:cs="宋体"/>
          <w:sz w:val="24"/>
          <w:szCs w:val="24"/>
        </w:rPr>
        <w:t>首先增压泵对水加压，通过射流器，使射流器产生负压，射流器从与臭氧发生器连接气管抽取臭氧气体，在射流器里和水混合后再进入管道，气管上的单向阀防止水回流到臭氧发生器内。</w:t>
      </w:r>
    </w:p>
    <w:p>
      <w:pPr>
        <w:spacing w:line="360" w:lineRule="auto"/>
        <w:rPr>
          <w:rFonts w:ascii="宋体" w:hAnsi="宋体" w:cs="宋体"/>
          <w:sz w:val="24"/>
          <w:szCs w:val="24"/>
        </w:rPr>
      </w:pPr>
      <w:r>
        <w:rPr>
          <w:rFonts w:hint="eastAsia" w:ascii="宋体" w:hAnsi="宋体" w:cs="宋体"/>
          <w:sz w:val="24"/>
          <w:szCs w:val="24"/>
        </w:rPr>
        <w:t>臭氧设备安装工艺流程应按生产厂家说明书的要求进行。</w:t>
      </w:r>
    </w:p>
    <w:p>
      <w:pPr>
        <w:spacing w:line="360" w:lineRule="auto"/>
        <w:rPr>
          <w:rFonts w:ascii="宋体" w:hAnsi="宋体" w:cs="宋体"/>
          <w:b/>
          <w:sz w:val="24"/>
          <w:szCs w:val="24"/>
        </w:rPr>
      </w:pPr>
      <w:r>
        <w:rPr>
          <w:rFonts w:hint="eastAsia" w:ascii="宋体" w:hAnsi="宋体" w:cs="宋体"/>
          <w:b/>
          <w:sz w:val="24"/>
          <w:szCs w:val="24"/>
        </w:rPr>
        <w:t>b 、臭氧毁灭器</w:t>
      </w:r>
    </w:p>
    <w:p>
      <w:pPr>
        <w:spacing w:line="360" w:lineRule="auto"/>
        <w:rPr>
          <w:rFonts w:ascii="宋体" w:hAnsi="宋体" w:cs="宋体"/>
          <w:sz w:val="24"/>
          <w:szCs w:val="24"/>
        </w:rPr>
      </w:pPr>
      <w:r>
        <w:rPr>
          <w:rFonts w:hint="eastAsia" w:ascii="宋体" w:hAnsi="宋体" w:cs="宋体"/>
          <w:sz w:val="24"/>
          <w:szCs w:val="24"/>
        </w:rPr>
        <w:t>臭氧毁灭器在墙上安装，其底面边距地面高度宜1.0m-1.5m。臭氧毁灭器器应安装牢固，不得倾斜。出气通往室外。</w:t>
      </w:r>
    </w:p>
    <w:p>
      <w:pPr>
        <w:spacing w:line="360" w:lineRule="auto"/>
        <w:rPr>
          <w:rFonts w:ascii="宋体" w:hAnsi="宋体" w:cs="宋体"/>
          <w:b/>
          <w:sz w:val="24"/>
          <w:szCs w:val="24"/>
        </w:rPr>
      </w:pPr>
      <w:r>
        <w:rPr>
          <w:rFonts w:hint="eastAsia" w:ascii="宋体" w:hAnsi="宋体" w:cs="宋体"/>
          <w:b/>
          <w:sz w:val="24"/>
          <w:szCs w:val="24"/>
        </w:rPr>
        <w:t>c臭氧浓度检测仪的安装</w:t>
      </w:r>
    </w:p>
    <w:p>
      <w:pPr>
        <w:spacing w:line="360" w:lineRule="auto"/>
        <w:rPr>
          <w:rFonts w:ascii="宋体" w:hAnsi="宋体" w:cs="宋体"/>
          <w:sz w:val="24"/>
          <w:szCs w:val="24"/>
        </w:rPr>
      </w:pPr>
      <w:r>
        <w:rPr>
          <w:rFonts w:hint="eastAsia" w:ascii="宋体" w:hAnsi="宋体" w:cs="宋体"/>
          <w:sz w:val="24"/>
          <w:szCs w:val="24"/>
        </w:rPr>
        <w:t>1）、臭氧测控仪表挂墙安装，采用金属膨胀螺栓固定，其底边距1.2-1.5米。</w:t>
      </w:r>
    </w:p>
    <w:p>
      <w:pPr>
        <w:spacing w:line="360" w:lineRule="auto"/>
        <w:rPr>
          <w:rFonts w:ascii="宋体" w:hAnsi="宋体" w:cs="宋体"/>
          <w:sz w:val="24"/>
          <w:szCs w:val="24"/>
        </w:rPr>
      </w:pPr>
      <w:r>
        <w:rPr>
          <w:rFonts w:hint="eastAsia" w:ascii="宋体" w:hAnsi="宋体" w:cs="宋体"/>
          <w:sz w:val="24"/>
          <w:szCs w:val="24"/>
        </w:rPr>
        <w:t>2）、臭氧测控仪表应安装牢固，平正，排列整齐。</w:t>
      </w:r>
    </w:p>
    <w:p>
      <w:pPr>
        <w:spacing w:line="360" w:lineRule="auto"/>
        <w:rPr>
          <w:rFonts w:ascii="宋体" w:hAnsi="宋体" w:cs="宋体"/>
          <w:sz w:val="24"/>
          <w:szCs w:val="24"/>
        </w:rPr>
      </w:pPr>
      <w:r>
        <w:rPr>
          <w:rFonts w:hint="eastAsia" w:ascii="宋体" w:hAnsi="宋体" w:cs="宋体"/>
          <w:sz w:val="24"/>
          <w:szCs w:val="24"/>
        </w:rPr>
        <w:t>3）、测控仪表按箭头方向朝上安装。</w:t>
      </w:r>
    </w:p>
    <w:p>
      <w:pPr>
        <w:spacing w:line="360" w:lineRule="auto"/>
        <w:rPr>
          <w:rFonts w:ascii="宋体" w:hAnsi="宋体" w:cs="宋体"/>
          <w:sz w:val="24"/>
          <w:szCs w:val="24"/>
        </w:rPr>
      </w:pPr>
      <w:r>
        <w:rPr>
          <w:rFonts w:hint="eastAsia" w:ascii="宋体" w:hAnsi="宋体" w:cs="宋体"/>
          <w:sz w:val="24"/>
          <w:szCs w:val="24"/>
        </w:rPr>
        <w:t>4）、测控仪表安装位置应便于读数和操作，且距感应探头的距离不大于5米。</w:t>
      </w:r>
    </w:p>
    <w:p>
      <w:pPr>
        <w:spacing w:line="360" w:lineRule="auto"/>
        <w:rPr>
          <w:rFonts w:ascii="宋体" w:hAnsi="宋体" w:cs="宋体"/>
          <w:sz w:val="24"/>
          <w:szCs w:val="24"/>
        </w:rPr>
      </w:pPr>
      <w:r>
        <w:rPr>
          <w:rFonts w:hint="eastAsia" w:ascii="宋体" w:hAnsi="宋体" w:cs="宋体"/>
          <w:sz w:val="24"/>
          <w:szCs w:val="24"/>
        </w:rPr>
        <w:t>5）、取样点应在泳池进水口，实时检测水中臭氧浓度不超标，达到安全用水。</w:t>
      </w:r>
    </w:p>
    <w:p>
      <w:pPr>
        <w:pStyle w:val="697"/>
        <w:rPr>
          <w:rFonts w:ascii="宋体" w:hAnsi="宋体" w:eastAsia="宋体" w:cs="宋体"/>
          <w:szCs w:val="24"/>
        </w:rPr>
      </w:pPr>
      <w:r>
        <w:rPr>
          <w:rFonts w:hint="eastAsia" w:ascii="宋体" w:hAnsi="宋体" w:eastAsia="宋体" w:cs="宋体"/>
          <w:szCs w:val="24"/>
        </w:rPr>
        <w:t>d、臭氧泄露报警仪安装</w:t>
      </w:r>
    </w:p>
    <w:p>
      <w:pPr>
        <w:spacing w:line="360" w:lineRule="auto"/>
        <w:rPr>
          <w:rFonts w:ascii="宋体" w:hAnsi="宋体" w:cs="宋体"/>
          <w:sz w:val="24"/>
          <w:szCs w:val="24"/>
        </w:rPr>
      </w:pPr>
      <w:r>
        <w:rPr>
          <w:rFonts w:hint="eastAsia" w:ascii="宋体" w:hAnsi="宋体" w:cs="宋体"/>
          <w:sz w:val="24"/>
          <w:szCs w:val="24"/>
        </w:rPr>
        <w:t>1）、臭氧泄露报警仪表挂墙安装，采用金属膨胀螺栓固定，其底边距1.2-1.5米。</w:t>
      </w:r>
    </w:p>
    <w:p>
      <w:pPr>
        <w:spacing w:line="360" w:lineRule="auto"/>
        <w:rPr>
          <w:rFonts w:ascii="宋体" w:hAnsi="宋体" w:cs="宋体"/>
          <w:sz w:val="24"/>
          <w:szCs w:val="24"/>
        </w:rPr>
      </w:pPr>
      <w:r>
        <w:rPr>
          <w:rFonts w:hint="eastAsia" w:ascii="宋体" w:hAnsi="宋体" w:cs="宋体"/>
          <w:sz w:val="24"/>
          <w:szCs w:val="24"/>
        </w:rPr>
        <w:t>2）、臭氧泄露报警仪表应安装牢固，平正，排列整齐。</w:t>
      </w:r>
    </w:p>
    <w:p>
      <w:pPr>
        <w:spacing w:line="360" w:lineRule="auto"/>
        <w:rPr>
          <w:rFonts w:ascii="宋体" w:hAnsi="宋体" w:cs="宋体"/>
          <w:sz w:val="24"/>
          <w:szCs w:val="24"/>
        </w:rPr>
      </w:pPr>
      <w:r>
        <w:rPr>
          <w:rFonts w:hint="eastAsia" w:ascii="宋体" w:hAnsi="宋体" w:cs="宋体"/>
          <w:sz w:val="24"/>
          <w:szCs w:val="24"/>
        </w:rPr>
        <w:t>3）、臭氧泄露报警仪表按显示屏，字体正面安装。</w:t>
      </w:r>
    </w:p>
    <w:p>
      <w:pPr>
        <w:spacing w:line="360" w:lineRule="auto"/>
        <w:rPr>
          <w:rFonts w:ascii="宋体" w:hAnsi="宋体" w:cs="宋体"/>
          <w:sz w:val="24"/>
          <w:szCs w:val="24"/>
        </w:rPr>
      </w:pPr>
      <w:r>
        <w:rPr>
          <w:rFonts w:hint="eastAsia" w:ascii="宋体" w:hAnsi="宋体" w:cs="宋体"/>
          <w:sz w:val="24"/>
          <w:szCs w:val="24"/>
        </w:rPr>
        <w:t>4）、臭氧泄露报警仪表安装位置应便于读数和操作，且距臭氧机房门口距离不大于3米，方便查看。</w:t>
      </w:r>
    </w:p>
    <w:p>
      <w:pPr>
        <w:spacing w:line="360" w:lineRule="auto"/>
        <w:rPr>
          <w:rFonts w:ascii="宋体" w:hAnsi="宋体" w:cs="宋体"/>
          <w:sz w:val="24"/>
          <w:szCs w:val="24"/>
        </w:rPr>
      </w:pPr>
      <w:r>
        <w:rPr>
          <w:rFonts w:hint="eastAsia" w:ascii="宋体" w:hAnsi="宋体" w:cs="宋体"/>
          <w:sz w:val="24"/>
          <w:szCs w:val="24"/>
        </w:rPr>
        <w:t>5）、取样点应尽可能离臭氧发生器不远的地方怕，达到实时监控臭氧泄露情况。</w:t>
      </w:r>
    </w:p>
    <w:p>
      <w:pPr>
        <w:pStyle w:val="697"/>
        <w:rPr>
          <w:rFonts w:ascii="宋体" w:hAnsi="宋体" w:eastAsia="宋体" w:cs="宋体"/>
          <w:szCs w:val="24"/>
        </w:rPr>
      </w:pPr>
    </w:p>
    <w:p>
      <w:pPr>
        <w:spacing w:line="360" w:lineRule="auto"/>
        <w:rPr>
          <w:rFonts w:ascii="宋体" w:hAnsi="宋体" w:cs="宋体"/>
          <w:b/>
          <w:sz w:val="24"/>
          <w:szCs w:val="24"/>
        </w:rPr>
      </w:pPr>
      <w:r>
        <w:rPr>
          <w:rFonts w:hint="eastAsia" w:ascii="宋体" w:hAnsi="宋体" w:cs="宋体"/>
          <w:b/>
          <w:sz w:val="24"/>
          <w:szCs w:val="24"/>
        </w:rPr>
        <w:t>系统调试</w:t>
      </w:r>
    </w:p>
    <w:p>
      <w:pPr>
        <w:spacing w:line="360" w:lineRule="auto"/>
        <w:rPr>
          <w:rFonts w:ascii="宋体" w:hAnsi="宋体" w:cs="宋体"/>
          <w:b/>
          <w:sz w:val="24"/>
          <w:szCs w:val="24"/>
        </w:rPr>
      </w:pPr>
      <w:r>
        <w:rPr>
          <w:rFonts w:hint="eastAsia" w:ascii="宋体" w:hAnsi="宋体" w:cs="宋体"/>
          <w:b/>
          <w:sz w:val="24"/>
          <w:szCs w:val="24"/>
        </w:rPr>
        <w:t>1 ）调试前要求及准备工作</w:t>
      </w:r>
    </w:p>
    <w:p>
      <w:pPr>
        <w:spacing w:line="360" w:lineRule="auto"/>
        <w:rPr>
          <w:rFonts w:ascii="宋体" w:hAnsi="宋体" w:cs="宋体"/>
          <w:sz w:val="24"/>
          <w:szCs w:val="24"/>
        </w:rPr>
      </w:pPr>
      <w:r>
        <w:rPr>
          <w:rFonts w:hint="eastAsia" w:ascii="宋体" w:hAnsi="宋体" w:cs="宋体"/>
          <w:sz w:val="24"/>
          <w:szCs w:val="24"/>
        </w:rPr>
        <w:t>（1）检查设备及管道安装是否规范。</w:t>
      </w:r>
    </w:p>
    <w:p>
      <w:pPr>
        <w:spacing w:line="360" w:lineRule="auto"/>
        <w:rPr>
          <w:rFonts w:ascii="宋体" w:hAnsi="宋体" w:cs="宋体"/>
          <w:sz w:val="24"/>
          <w:szCs w:val="24"/>
        </w:rPr>
      </w:pPr>
      <w:r>
        <w:rPr>
          <w:rFonts w:hint="eastAsia" w:ascii="宋体" w:hAnsi="宋体" w:cs="宋体"/>
          <w:sz w:val="24"/>
          <w:szCs w:val="24"/>
        </w:rPr>
        <w:t>（2）机房内污水泵是否可以正常使用。</w:t>
      </w:r>
    </w:p>
    <w:p>
      <w:pPr>
        <w:spacing w:line="360" w:lineRule="auto"/>
        <w:rPr>
          <w:rFonts w:ascii="宋体" w:hAnsi="宋体" w:cs="宋体"/>
          <w:sz w:val="24"/>
          <w:szCs w:val="24"/>
        </w:rPr>
      </w:pPr>
      <w:r>
        <w:rPr>
          <w:rFonts w:hint="eastAsia" w:ascii="宋体" w:hAnsi="宋体" w:cs="宋体"/>
          <w:sz w:val="24"/>
          <w:szCs w:val="24"/>
        </w:rPr>
        <w:t>（3）电器设备接线是否紧密。</w:t>
      </w:r>
    </w:p>
    <w:p>
      <w:pPr>
        <w:spacing w:line="360" w:lineRule="auto"/>
        <w:rPr>
          <w:rFonts w:ascii="宋体" w:hAnsi="宋体" w:cs="宋体"/>
          <w:sz w:val="24"/>
          <w:szCs w:val="24"/>
        </w:rPr>
      </w:pPr>
      <w:r>
        <w:rPr>
          <w:rFonts w:hint="eastAsia" w:ascii="宋体" w:hAnsi="宋体" w:cs="宋体"/>
          <w:sz w:val="24"/>
          <w:szCs w:val="24"/>
        </w:rPr>
        <w:t>（4）水箱、游泳池池体、池壁是否清理干净卫生。</w:t>
      </w:r>
    </w:p>
    <w:p>
      <w:pPr>
        <w:spacing w:line="360" w:lineRule="auto"/>
        <w:rPr>
          <w:rFonts w:ascii="宋体" w:hAnsi="宋体" w:cs="宋体"/>
          <w:sz w:val="24"/>
          <w:szCs w:val="24"/>
        </w:rPr>
      </w:pPr>
      <w:r>
        <w:rPr>
          <w:rFonts w:hint="eastAsia" w:ascii="宋体" w:hAnsi="宋体" w:cs="宋体"/>
          <w:sz w:val="24"/>
          <w:szCs w:val="24"/>
        </w:rPr>
        <w:t>（5）游泳池放水过程中检查设备及管道是否漏水。</w:t>
      </w:r>
    </w:p>
    <w:p>
      <w:pPr>
        <w:pStyle w:val="697"/>
        <w:rPr>
          <w:rFonts w:ascii="宋体" w:hAnsi="宋体" w:eastAsia="宋体" w:cs="宋体"/>
          <w:b w:val="0"/>
          <w:kern w:val="2"/>
          <w:szCs w:val="24"/>
        </w:rPr>
      </w:pPr>
      <w:r>
        <w:rPr>
          <w:rFonts w:hint="eastAsia" w:ascii="宋体" w:hAnsi="宋体" w:eastAsia="宋体" w:cs="宋体"/>
          <w:b w:val="0"/>
          <w:kern w:val="2"/>
          <w:szCs w:val="24"/>
        </w:rPr>
        <w:t>（6）检查臭氧系统防回水装置。确定防回水装置是否良好。</w:t>
      </w:r>
    </w:p>
    <w:p>
      <w:pPr>
        <w:spacing w:line="360" w:lineRule="auto"/>
        <w:rPr>
          <w:rFonts w:ascii="宋体" w:hAnsi="宋体" w:cs="宋体"/>
          <w:sz w:val="24"/>
          <w:szCs w:val="24"/>
        </w:rPr>
      </w:pPr>
    </w:p>
    <w:p>
      <w:pPr>
        <w:spacing w:line="360" w:lineRule="auto"/>
        <w:rPr>
          <w:rFonts w:ascii="宋体" w:hAnsi="宋体" w:cs="宋体"/>
          <w:b/>
          <w:sz w:val="24"/>
          <w:szCs w:val="24"/>
        </w:rPr>
      </w:pPr>
      <w:r>
        <w:rPr>
          <w:rFonts w:hint="eastAsia" w:ascii="宋体" w:hAnsi="宋体" w:cs="宋体"/>
          <w:b/>
          <w:sz w:val="24"/>
          <w:szCs w:val="24"/>
        </w:rPr>
        <w:t>2 ）调试工作</w:t>
      </w:r>
    </w:p>
    <w:p>
      <w:pPr>
        <w:spacing w:line="360" w:lineRule="auto"/>
        <w:rPr>
          <w:rFonts w:ascii="宋体" w:hAnsi="宋体" w:cs="宋体"/>
          <w:sz w:val="24"/>
          <w:szCs w:val="24"/>
        </w:rPr>
      </w:pPr>
      <w:r>
        <w:rPr>
          <w:rFonts w:hint="eastAsia" w:ascii="宋体" w:hAnsi="宋体" w:cs="宋体"/>
          <w:sz w:val="24"/>
          <w:szCs w:val="24"/>
        </w:rPr>
        <w:t>（1）砂缸反冲洗及活性炭清洗</w:t>
      </w:r>
    </w:p>
    <w:p>
      <w:pPr>
        <w:spacing w:line="360" w:lineRule="auto"/>
        <w:rPr>
          <w:rFonts w:ascii="宋体" w:hAnsi="宋体" w:cs="宋体"/>
          <w:sz w:val="24"/>
          <w:szCs w:val="24"/>
        </w:rPr>
      </w:pPr>
      <w:r>
        <w:rPr>
          <w:rFonts w:hint="eastAsia" w:ascii="宋体" w:hAnsi="宋体" w:cs="宋体"/>
          <w:sz w:val="24"/>
          <w:szCs w:val="24"/>
        </w:rPr>
        <w:t xml:space="preserve">    设备循环前需对过滤砂缸进行反冲洗，将砂缸阀门调整到反冲洗状态，开动循环水泵，一边反洗一边观察排水管上的玻璃镜，当水色已渐渐变消之后，停泵并将阀门调到“过水”通道，开泵10秒到20秒，停泵并将阀门调到过滤通道上，开泵作循环过滤运转。在反冲洗过程中需时时观测水箱水位防止水箱缺水，检查集水坑水位排污泵是否正常工作。</w:t>
      </w:r>
    </w:p>
    <w:p>
      <w:pPr>
        <w:spacing w:line="360" w:lineRule="auto"/>
        <w:rPr>
          <w:rFonts w:ascii="宋体" w:hAnsi="宋体" w:cs="宋体"/>
          <w:sz w:val="24"/>
          <w:szCs w:val="24"/>
        </w:rPr>
      </w:pPr>
      <w:r>
        <w:rPr>
          <w:rFonts w:hint="eastAsia" w:ascii="宋体" w:hAnsi="宋体" w:cs="宋体"/>
          <w:sz w:val="24"/>
          <w:szCs w:val="24"/>
        </w:rPr>
        <w:t>（2）消毒及水质处理系统的运转</w:t>
      </w:r>
    </w:p>
    <w:p>
      <w:pPr>
        <w:spacing w:line="360" w:lineRule="auto"/>
        <w:rPr>
          <w:rFonts w:ascii="宋体" w:hAnsi="宋体" w:cs="宋体"/>
          <w:sz w:val="24"/>
          <w:szCs w:val="24"/>
        </w:rPr>
      </w:pPr>
      <w:r>
        <w:rPr>
          <w:rFonts w:hint="eastAsia" w:ascii="宋体" w:hAnsi="宋体" w:cs="宋体"/>
          <w:sz w:val="24"/>
          <w:szCs w:val="24"/>
        </w:rPr>
        <w:t xml:space="preserve">    启动投药泵，加入高效絮凝剂过滤。当游泳池须要消毒及调节水的PH值时，在循环过滤的同时开动消毒药剂泵。开动消毒药剂泵之前，必须检查药剂输送系统连接无误，以免漂水或药液溅出伤人。检查药桶药水，无污，量足。开动消毒药剂泵，直至水质正常为止。</w:t>
      </w:r>
    </w:p>
    <w:p>
      <w:pPr>
        <w:spacing w:line="360" w:lineRule="auto"/>
        <w:rPr>
          <w:rFonts w:ascii="宋体" w:hAnsi="宋体" w:cs="宋体"/>
          <w:sz w:val="24"/>
          <w:szCs w:val="24"/>
        </w:rPr>
      </w:pPr>
      <w:r>
        <w:rPr>
          <w:rFonts w:hint="eastAsia" w:ascii="宋体" w:hAnsi="宋体" w:cs="宋体"/>
          <w:sz w:val="24"/>
          <w:szCs w:val="24"/>
        </w:rPr>
        <w:t>（3）臭氧消毒加压泵先启动，再启动臭氧发生器。开启臭氧电源开关，调节“臭氧浓度”旋钮由最小位置缓慢增大。</w:t>
      </w:r>
    </w:p>
    <w:p>
      <w:pPr>
        <w:spacing w:line="360" w:lineRule="auto"/>
        <w:rPr>
          <w:rFonts w:ascii="宋体" w:hAnsi="宋体" w:cs="宋体"/>
          <w:sz w:val="24"/>
          <w:szCs w:val="24"/>
        </w:rPr>
      </w:pPr>
      <w:r>
        <w:rPr>
          <w:rFonts w:hint="eastAsia" w:ascii="宋体" w:hAnsi="宋体" w:cs="宋体"/>
          <w:sz w:val="24"/>
          <w:szCs w:val="24"/>
        </w:rPr>
        <w:t>（4）过滤器的操作</w:t>
      </w:r>
    </w:p>
    <w:p>
      <w:pPr>
        <w:spacing w:line="360" w:lineRule="auto"/>
        <w:rPr>
          <w:rFonts w:ascii="宋体" w:hAnsi="宋体" w:cs="宋体"/>
          <w:sz w:val="24"/>
          <w:szCs w:val="24"/>
        </w:rPr>
      </w:pPr>
      <w:r>
        <w:rPr>
          <w:rFonts w:hint="eastAsia" w:ascii="宋体" w:hAnsi="宋体" w:cs="宋体"/>
          <w:sz w:val="24"/>
          <w:szCs w:val="24"/>
        </w:rPr>
        <w:t>人工操作时，必须定时观察过滤器上的压力表。当压力表的压力差（滤砂污染后的表压力减去滤干净时的表压力）大于0.1MPa时， 过滤器必须反洗。反洗时要先停泵，将需要反洗的过滤器打开其排水阀门，并将阀门调到“反洗”通道，其它不反洗的，保持原状态，开泵。</w:t>
      </w:r>
    </w:p>
    <w:p>
      <w:pPr>
        <w:spacing w:line="360" w:lineRule="auto"/>
        <w:rPr>
          <w:rFonts w:ascii="宋体" w:hAnsi="宋体" w:cs="宋体"/>
          <w:sz w:val="24"/>
          <w:szCs w:val="24"/>
        </w:rPr>
      </w:pPr>
      <w:r>
        <w:rPr>
          <w:rFonts w:hint="eastAsia" w:ascii="宋体" w:hAnsi="宋体" w:cs="宋体"/>
          <w:sz w:val="24"/>
          <w:szCs w:val="24"/>
        </w:rPr>
        <w:t>（5）检测池水的pH值并控制在7.0-7.8之间，游离氯在0.2-1.0mg/l。</w:t>
      </w:r>
    </w:p>
    <w:p>
      <w:pPr>
        <w:spacing w:line="360" w:lineRule="auto"/>
        <w:rPr>
          <w:rFonts w:ascii="宋体" w:hAnsi="宋体" w:cs="宋体"/>
          <w:sz w:val="24"/>
          <w:szCs w:val="24"/>
        </w:rPr>
      </w:pPr>
      <w:r>
        <w:rPr>
          <w:rFonts w:hint="eastAsia" w:ascii="宋体" w:hAnsi="宋体" w:cs="宋体"/>
          <w:sz w:val="24"/>
          <w:szCs w:val="24"/>
        </w:rPr>
        <w:t>（6）观察池水是否变清。</w:t>
      </w: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r>
        <w:rPr>
          <w:rFonts w:hint="eastAsia" w:ascii="宋体" w:hAnsi="宋体" w:cs="宋体"/>
          <w:sz w:val="24"/>
        </w:rPr>
        <w:t>执行标准：（参考游泳池给水排水工程技术规程CJJ122-2017）</w:t>
      </w:r>
    </w:p>
    <w:p>
      <w:pPr>
        <w:pStyle w:val="3"/>
        <w:kinsoku w:val="0"/>
        <w:overflowPunct w:val="0"/>
        <w:spacing w:line="360" w:lineRule="auto"/>
        <w:rPr>
          <w:rFonts w:ascii="宋体" w:hAnsi="宋体" w:cs="宋体"/>
          <w:sz w:val="24"/>
        </w:rPr>
      </w:pPr>
      <w:r>
        <w:rPr>
          <w:rFonts w:hint="eastAsia" w:ascii="宋体" w:hAnsi="宋体" w:cs="宋体"/>
          <w:sz w:val="24"/>
        </w:rPr>
        <w:t>臭氧的消毒方式、工艺工序及设备、装置配置应符合下列规定：</w:t>
      </w:r>
    </w:p>
    <w:p>
      <w:pPr>
        <w:pStyle w:val="3"/>
        <w:kinsoku w:val="0"/>
        <w:overflowPunct w:val="0"/>
        <w:spacing w:line="360" w:lineRule="auto"/>
        <w:rPr>
          <w:rFonts w:ascii="宋体" w:hAnsi="宋体" w:cs="宋体"/>
          <w:sz w:val="24"/>
        </w:rPr>
      </w:pPr>
      <w:r>
        <w:rPr>
          <w:rFonts w:hint="eastAsia" w:ascii="宋体" w:hAnsi="宋体" w:cs="宋体"/>
          <w:sz w:val="24"/>
        </w:rPr>
        <w:t>1 臭氧消毒系统应辅以长效消毒剂系统；</w:t>
      </w:r>
    </w:p>
    <w:p>
      <w:pPr>
        <w:pStyle w:val="3"/>
        <w:kinsoku w:val="0"/>
        <w:overflowPunct w:val="0"/>
        <w:spacing w:line="360" w:lineRule="auto"/>
        <w:rPr>
          <w:rFonts w:ascii="宋体" w:hAnsi="宋体" w:cs="宋体"/>
          <w:sz w:val="24"/>
        </w:rPr>
      </w:pPr>
      <w:r>
        <w:rPr>
          <w:rFonts w:hint="eastAsia" w:ascii="宋体" w:hAnsi="宋体" w:cs="宋体"/>
          <w:sz w:val="24"/>
        </w:rPr>
        <w:t>2 竞赛类游泳池及公共类游泳池的消毒工艺应在池水过滤工序之后加热工序之前设置，宜采用全流量半程式臭氧消毒工艺；</w:t>
      </w:r>
    </w:p>
    <w:p>
      <w:pPr>
        <w:pStyle w:val="3"/>
        <w:kinsoku w:val="0"/>
        <w:overflowPunct w:val="0"/>
        <w:spacing w:line="360" w:lineRule="auto"/>
        <w:rPr>
          <w:rFonts w:ascii="宋体" w:hAnsi="宋体" w:cs="宋体"/>
          <w:sz w:val="24"/>
        </w:rPr>
      </w:pPr>
      <w:r>
        <w:rPr>
          <w:rFonts w:hint="eastAsia" w:ascii="宋体" w:hAnsi="宋体" w:cs="宋体"/>
          <w:sz w:val="24"/>
        </w:rPr>
        <w:t>3 游泳负荷稳定的游泳池和原有游泳池增设臭氧消毒时，消毒工艺流程宜在池水过滤净化工序之后加热工序之前设置，宜采用分流量全程式臭氧消毒工艺。</w:t>
      </w: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p>
    <w:p>
      <w:pPr>
        <w:pStyle w:val="3"/>
        <w:kinsoku w:val="0"/>
        <w:overflowPunct w:val="0"/>
        <w:spacing w:line="360" w:lineRule="auto"/>
        <w:rPr>
          <w:rFonts w:ascii="宋体" w:hAnsi="宋体" w:cs="宋体"/>
          <w:sz w:val="24"/>
        </w:rPr>
      </w:pPr>
    </w:p>
    <w:p>
      <w:pPr>
        <w:pStyle w:val="3"/>
        <w:numPr>
          <w:ilvl w:val="0"/>
          <w:numId w:val="66"/>
        </w:numPr>
        <w:kinsoku w:val="0"/>
        <w:overflowPunct w:val="0"/>
        <w:spacing w:line="360" w:lineRule="auto"/>
        <w:rPr>
          <w:rFonts w:ascii="宋体" w:hAnsi="宋体" w:cs="宋体"/>
          <w:sz w:val="24"/>
        </w:rPr>
      </w:pPr>
      <w:r>
        <w:rPr>
          <w:rFonts w:hint="eastAsia" w:ascii="宋体" w:hAnsi="宋体" w:cs="宋体"/>
          <w:sz w:val="24"/>
        </w:rPr>
        <w:t>项目主要材质、设备说明</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8"/>
        <w:gridCol w:w="5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8" w:type="dxa"/>
            <w:vAlign w:val="center"/>
          </w:tcPr>
          <w:p>
            <w:pPr>
              <w:pStyle w:val="697"/>
              <w:rPr>
                <w:rFonts w:ascii="宋体" w:hAnsi="宋体" w:eastAsia="宋体" w:cs="宋体"/>
                <w:b w:val="0"/>
                <w:szCs w:val="24"/>
              </w:rPr>
            </w:pPr>
            <w:r>
              <w:rPr>
                <w:rFonts w:hint="eastAsia" w:ascii="宋体" w:hAnsi="宋体" w:eastAsia="宋体" w:cs="宋体"/>
                <w:b w:val="0"/>
                <w:szCs w:val="24"/>
              </w:rPr>
              <w:t>产量</w:t>
            </w:r>
          </w:p>
        </w:tc>
        <w:tc>
          <w:tcPr>
            <w:tcW w:w="5987" w:type="dxa"/>
            <w:vAlign w:val="center"/>
          </w:tcPr>
          <w:p>
            <w:pPr>
              <w:pStyle w:val="697"/>
              <w:rPr>
                <w:rFonts w:ascii="宋体" w:hAnsi="宋体" w:eastAsia="宋体" w:cs="宋体"/>
                <w:b w:val="0"/>
                <w:szCs w:val="24"/>
              </w:rPr>
            </w:pPr>
            <w:r>
              <w:rPr>
                <w:rFonts w:hint="eastAsia" w:ascii="宋体" w:hAnsi="宋体" w:eastAsia="宋体" w:cs="宋体"/>
                <w:b w:val="0"/>
                <w:szCs w:val="24"/>
              </w:rPr>
              <w:t>技术参数说明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8" w:type="dxa"/>
            <w:vAlign w:val="center"/>
          </w:tcPr>
          <w:p>
            <w:pPr>
              <w:pStyle w:val="697"/>
              <w:rPr>
                <w:rFonts w:ascii="宋体" w:hAnsi="宋体" w:eastAsia="宋体" w:cs="宋体"/>
                <w:b w:val="0"/>
                <w:szCs w:val="24"/>
              </w:rPr>
            </w:pPr>
            <w:r>
              <w:rPr>
                <w:rFonts w:hint="eastAsia" w:ascii="宋体" w:hAnsi="宋体" w:eastAsia="宋体" w:cs="宋体"/>
                <w:b w:val="0"/>
                <w:szCs w:val="24"/>
              </w:rPr>
              <w:t>600g/h</w:t>
            </w:r>
          </w:p>
        </w:tc>
        <w:tc>
          <w:tcPr>
            <w:tcW w:w="5987" w:type="dxa"/>
            <w:vAlign w:val="center"/>
          </w:tcPr>
          <w:p>
            <w:pPr>
              <w:spacing w:line="360" w:lineRule="auto"/>
              <w:jc w:val="center"/>
              <w:rPr>
                <w:rFonts w:ascii="宋体" w:hAnsi="宋体" w:cs="宋体"/>
                <w:sz w:val="24"/>
                <w:szCs w:val="24"/>
              </w:rPr>
            </w:pPr>
            <w:r>
              <w:rPr>
                <w:rFonts w:hint="eastAsia" w:ascii="宋体" w:hAnsi="宋体" w:cs="宋体"/>
                <w:sz w:val="24"/>
                <w:szCs w:val="24"/>
              </w:rPr>
              <w:t>臭氧机柜及制氧机柜采用碳钢烤漆，箱体白色，板厚1.5mm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8" w:type="dxa"/>
            <w:vAlign w:val="center"/>
          </w:tcPr>
          <w:p>
            <w:pPr>
              <w:pStyle w:val="697"/>
              <w:rPr>
                <w:rFonts w:ascii="宋体" w:hAnsi="宋体" w:eastAsia="宋体" w:cs="宋体"/>
                <w:b w:val="0"/>
                <w:szCs w:val="24"/>
              </w:rPr>
            </w:pPr>
            <w:r>
              <w:rPr>
                <w:rFonts w:hint="eastAsia" w:ascii="宋体" w:hAnsi="宋体" w:eastAsia="宋体" w:cs="宋体"/>
                <w:b w:val="0"/>
                <w:szCs w:val="24"/>
              </w:rPr>
              <w:t>350g/h</w:t>
            </w:r>
          </w:p>
        </w:tc>
        <w:tc>
          <w:tcPr>
            <w:tcW w:w="5987" w:type="dxa"/>
            <w:vAlign w:val="center"/>
          </w:tcPr>
          <w:p>
            <w:pPr>
              <w:spacing w:line="360" w:lineRule="auto"/>
              <w:jc w:val="center"/>
              <w:rPr>
                <w:rFonts w:ascii="宋体" w:hAnsi="宋体" w:cs="宋体"/>
                <w:sz w:val="24"/>
                <w:szCs w:val="24"/>
              </w:rPr>
            </w:pPr>
            <w:r>
              <w:rPr>
                <w:rFonts w:hint="eastAsia" w:ascii="宋体" w:hAnsi="宋体" w:cs="宋体"/>
                <w:sz w:val="24"/>
                <w:szCs w:val="24"/>
              </w:rPr>
              <w:t>臭氧机柜及制氧机柜采用碳钢烤漆，箱体白色，板厚1.5mm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8" w:type="dxa"/>
            <w:vAlign w:val="center"/>
          </w:tcPr>
          <w:p>
            <w:pPr>
              <w:pStyle w:val="697"/>
              <w:rPr>
                <w:rFonts w:ascii="宋体" w:hAnsi="宋体" w:eastAsia="宋体" w:cs="宋体"/>
                <w:b w:val="0"/>
                <w:szCs w:val="24"/>
              </w:rPr>
            </w:pPr>
            <w:r>
              <w:rPr>
                <w:rFonts w:hint="eastAsia" w:ascii="宋体" w:hAnsi="宋体" w:eastAsia="宋体" w:cs="宋体"/>
                <w:b w:val="0"/>
                <w:szCs w:val="24"/>
              </w:rPr>
              <w:t>250g/h</w:t>
            </w:r>
          </w:p>
        </w:tc>
        <w:tc>
          <w:tcPr>
            <w:tcW w:w="5987" w:type="dxa"/>
            <w:vAlign w:val="center"/>
          </w:tcPr>
          <w:p>
            <w:pPr>
              <w:spacing w:line="360" w:lineRule="auto"/>
              <w:jc w:val="center"/>
              <w:rPr>
                <w:rFonts w:ascii="宋体" w:hAnsi="宋体" w:cs="宋体"/>
                <w:sz w:val="24"/>
                <w:szCs w:val="24"/>
              </w:rPr>
            </w:pPr>
            <w:r>
              <w:rPr>
                <w:rFonts w:hint="eastAsia" w:ascii="宋体" w:hAnsi="宋体" w:cs="宋体"/>
                <w:sz w:val="24"/>
                <w:szCs w:val="24"/>
              </w:rPr>
              <w:t>臭氧机柜及制氧机柜采用碳钢烤漆，箱体白色，板厚1.5mm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8" w:type="dxa"/>
            <w:vAlign w:val="center"/>
          </w:tcPr>
          <w:p>
            <w:pPr>
              <w:pStyle w:val="697"/>
              <w:rPr>
                <w:rFonts w:ascii="宋体" w:hAnsi="宋体" w:eastAsia="宋体" w:cs="宋体"/>
                <w:b w:val="0"/>
                <w:szCs w:val="24"/>
              </w:rPr>
            </w:pPr>
            <w:r>
              <w:rPr>
                <w:rFonts w:hint="eastAsia" w:ascii="宋体" w:hAnsi="宋体" w:eastAsia="宋体" w:cs="宋体"/>
                <w:b w:val="0"/>
                <w:szCs w:val="24"/>
              </w:rPr>
              <w:t>150g/h</w:t>
            </w:r>
          </w:p>
        </w:tc>
        <w:tc>
          <w:tcPr>
            <w:tcW w:w="5987" w:type="dxa"/>
            <w:vAlign w:val="center"/>
          </w:tcPr>
          <w:p>
            <w:pPr>
              <w:spacing w:line="360" w:lineRule="auto"/>
              <w:jc w:val="center"/>
              <w:rPr>
                <w:rFonts w:ascii="宋体" w:hAnsi="宋体" w:cs="宋体"/>
                <w:sz w:val="24"/>
                <w:szCs w:val="24"/>
              </w:rPr>
            </w:pPr>
            <w:r>
              <w:rPr>
                <w:rFonts w:hint="eastAsia" w:ascii="宋体" w:hAnsi="宋体" w:cs="宋体"/>
                <w:sz w:val="24"/>
                <w:szCs w:val="24"/>
              </w:rPr>
              <w:t>臭氧机柜及制氧机柜采用碳钢烤漆，箱体白色，板厚1.5mm</w:t>
            </w:r>
          </w:p>
        </w:tc>
      </w:tr>
    </w:tbl>
    <w:p>
      <w:pPr>
        <w:pStyle w:val="6"/>
        <w:keepNext w:val="0"/>
        <w:keepLines w:val="0"/>
        <w:spacing w:line="400" w:lineRule="exact"/>
        <w:jc w:val="both"/>
        <w:rPr>
          <w:rFonts w:ascii="宋体" w:hAnsi="宋体" w:eastAsia="宋体" w:cs="宋体"/>
          <w:kern w:val="2"/>
          <w:sz w:val="24"/>
          <w:szCs w:val="24"/>
        </w:rPr>
      </w:pPr>
      <w:bookmarkStart w:id="101" w:name="_Toc4934"/>
      <w:r>
        <w:rPr>
          <w:rFonts w:hint="eastAsia" w:ascii="宋体" w:hAnsi="宋体" w:eastAsia="宋体" w:cs="宋体"/>
          <w:kern w:val="2"/>
          <w:sz w:val="24"/>
          <w:szCs w:val="24"/>
        </w:rPr>
        <w:t>附件：评标标准</w:t>
      </w:r>
      <w:r>
        <w:rPr>
          <w:rFonts w:ascii="宋体" w:hAnsi="宋体" w:eastAsia="宋体" w:cs="宋体"/>
          <w:kern w:val="2"/>
          <w:sz w:val="24"/>
          <w:szCs w:val="24"/>
        </w:rPr>
        <w:t>：</w:t>
      </w:r>
      <w:bookmarkEnd w:id="101"/>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1200"/>
        <w:gridCol w:w="6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jc w:val="center"/>
        </w:trPr>
        <w:tc>
          <w:tcPr>
            <w:tcW w:w="927" w:type="dxa"/>
            <w:vAlign w:val="center"/>
          </w:tcPr>
          <w:p>
            <w:pPr>
              <w:widowControl/>
              <w:tabs>
                <w:tab w:val="left" w:pos="210"/>
              </w:tabs>
              <w:jc w:val="center"/>
              <w:rPr>
                <w:rFonts w:ascii="宋体" w:hAnsi="宋体" w:cs="宋体"/>
                <w:szCs w:val="21"/>
              </w:rPr>
            </w:pPr>
            <w:r>
              <w:rPr>
                <w:rFonts w:hint="eastAsia" w:ascii="宋体" w:hAnsi="宋体" w:cs="宋体"/>
                <w:szCs w:val="21"/>
              </w:rPr>
              <w:t>分类</w:t>
            </w:r>
          </w:p>
        </w:tc>
        <w:tc>
          <w:tcPr>
            <w:tcW w:w="1200" w:type="dxa"/>
            <w:vAlign w:val="center"/>
          </w:tcPr>
          <w:p>
            <w:pPr>
              <w:widowControl/>
              <w:jc w:val="center"/>
              <w:rPr>
                <w:rFonts w:ascii="宋体" w:hAnsi="宋体" w:cs="宋体"/>
                <w:szCs w:val="21"/>
              </w:rPr>
            </w:pPr>
            <w:r>
              <w:rPr>
                <w:rFonts w:hint="eastAsia" w:ascii="宋体" w:hAnsi="宋体" w:cs="宋体"/>
                <w:szCs w:val="21"/>
              </w:rPr>
              <w:t>分值</w:t>
            </w:r>
          </w:p>
        </w:tc>
        <w:tc>
          <w:tcPr>
            <w:tcW w:w="6345" w:type="dxa"/>
            <w:vAlign w:val="center"/>
          </w:tcPr>
          <w:p>
            <w:pPr>
              <w:widowControl/>
              <w:jc w:val="center"/>
              <w:rPr>
                <w:rFonts w:ascii="宋体" w:hAnsi="宋体" w:cs="宋体"/>
                <w:szCs w:val="21"/>
              </w:rPr>
            </w:pPr>
            <w:r>
              <w:rPr>
                <w:rFonts w:hint="eastAsia" w:ascii="宋体" w:hAnsi="宋体" w:cs="宋体"/>
                <w:szCs w:val="21"/>
              </w:rPr>
              <w:t>分值细则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Align w:val="center"/>
          </w:tcPr>
          <w:p>
            <w:pPr>
              <w:widowControl/>
              <w:jc w:val="center"/>
              <w:rPr>
                <w:rFonts w:ascii="宋体" w:hAnsi="宋体"/>
                <w:color w:val="000000"/>
                <w:szCs w:val="21"/>
              </w:rPr>
            </w:pPr>
            <w:r>
              <w:rPr>
                <w:rFonts w:hint="eastAsia" w:ascii="宋体" w:hAnsi="宋体" w:cs="宋体"/>
                <w:color w:val="000000"/>
                <w:szCs w:val="21"/>
              </w:rPr>
              <w:t>报价部分</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0分)</w:t>
            </w:r>
          </w:p>
        </w:tc>
        <w:tc>
          <w:tcPr>
            <w:tcW w:w="1200" w:type="dxa"/>
            <w:vAlign w:val="center"/>
          </w:tcPr>
          <w:p>
            <w:pPr>
              <w:widowControl/>
              <w:jc w:val="center"/>
              <w:rPr>
                <w:rFonts w:ascii="宋体" w:hAnsi="宋体" w:cs="宋体"/>
                <w:color w:val="000000"/>
                <w:szCs w:val="21"/>
              </w:rPr>
            </w:pPr>
            <w:r>
              <w:rPr>
                <w:rFonts w:hint="eastAsia" w:ascii="宋体" w:hAnsi="宋体" w:cs="宋体"/>
                <w:color w:val="000000"/>
                <w:szCs w:val="21"/>
              </w:rPr>
              <w:t>报价</w:t>
            </w:r>
          </w:p>
          <w:p>
            <w:pPr>
              <w:widowControl/>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0分</w:t>
            </w:r>
          </w:p>
        </w:tc>
        <w:tc>
          <w:tcPr>
            <w:tcW w:w="6345" w:type="dxa"/>
            <w:vAlign w:val="center"/>
          </w:tcPr>
          <w:p>
            <w:pPr>
              <w:rPr>
                <w:rFonts w:ascii="宋体" w:hAnsi="宋体" w:cs="宋体"/>
                <w:color w:val="000000"/>
                <w:kern w:val="0"/>
                <w:szCs w:val="21"/>
              </w:rPr>
            </w:pPr>
            <w:r>
              <w:rPr>
                <w:rFonts w:hint="eastAsia" w:ascii="宋体" w:hAnsi="宋体" w:cs="宋体"/>
                <w:color w:val="000000"/>
                <w:kern w:val="0"/>
                <w:szCs w:val="21"/>
              </w:rPr>
              <w:t>Sn =（Cmin/Cn）×</w:t>
            </w:r>
            <w:r>
              <w:rPr>
                <w:rFonts w:ascii="宋体" w:hAnsi="宋体" w:cs="宋体"/>
                <w:color w:val="000000"/>
                <w:kern w:val="0"/>
                <w:szCs w:val="21"/>
              </w:rPr>
              <w:t>3</w:t>
            </w:r>
            <w:r>
              <w:rPr>
                <w:rFonts w:hint="eastAsia" w:ascii="宋体" w:hAnsi="宋体" w:cs="宋体"/>
                <w:color w:val="000000"/>
                <w:kern w:val="0"/>
                <w:szCs w:val="21"/>
              </w:rPr>
              <w:t>0</w:t>
            </w:r>
          </w:p>
          <w:p>
            <w:pPr>
              <w:rPr>
                <w:rFonts w:ascii="宋体" w:hAnsi="宋体" w:cs="宋体"/>
                <w:color w:val="000000"/>
                <w:kern w:val="0"/>
                <w:szCs w:val="21"/>
              </w:rPr>
            </w:pPr>
            <w:r>
              <w:rPr>
                <w:rFonts w:hint="eastAsia" w:ascii="宋体" w:hAnsi="宋体" w:cs="宋体"/>
                <w:color w:val="000000"/>
                <w:kern w:val="0"/>
                <w:szCs w:val="21"/>
              </w:rPr>
              <w:t>Sn：第n个供应商的价格得分</w:t>
            </w:r>
          </w:p>
          <w:p>
            <w:pPr>
              <w:rPr>
                <w:rFonts w:ascii="宋体" w:hAnsi="宋体" w:cs="宋体"/>
                <w:color w:val="000000"/>
                <w:kern w:val="0"/>
                <w:szCs w:val="21"/>
              </w:rPr>
            </w:pPr>
            <w:r>
              <w:rPr>
                <w:rFonts w:hint="eastAsia" w:ascii="宋体" w:hAnsi="宋体" w:cs="宋体"/>
                <w:color w:val="000000"/>
                <w:kern w:val="0"/>
                <w:szCs w:val="21"/>
              </w:rPr>
              <w:t>Cmin：技术和商务初审符合的所有供应商的最低价格</w:t>
            </w:r>
          </w:p>
          <w:p>
            <w:pPr>
              <w:rPr>
                <w:rFonts w:ascii="宋体" w:hAnsi="宋体" w:cs="宋体"/>
                <w:color w:val="000000"/>
                <w:szCs w:val="21"/>
              </w:rPr>
            </w:pPr>
            <w:r>
              <w:rPr>
                <w:rFonts w:hint="eastAsia" w:ascii="宋体" w:hAnsi="宋体" w:cs="宋体"/>
                <w:color w:val="000000"/>
                <w:kern w:val="0"/>
                <w:szCs w:val="21"/>
              </w:rPr>
              <w:t>Cn：第n 个技术和商务初审符合的供应商的投标报价</w:t>
            </w:r>
          </w:p>
          <w:p>
            <w:pPr>
              <w:rPr>
                <w:rFonts w:ascii="宋体" w:hAnsi="宋体" w:cs="宋体"/>
                <w:color w:val="000000"/>
                <w:szCs w:val="21"/>
              </w:rPr>
            </w:pPr>
            <w:r>
              <w:rPr>
                <w:rFonts w:hint="eastAsia" w:ascii="宋体" w:hAnsi="宋体" w:cs="宋体"/>
                <w:bCs/>
                <w:color w:val="000000"/>
                <w:kern w:val="0"/>
                <w:szCs w:val="21"/>
              </w:rPr>
              <w:t>价格扣除：对小型和微型企业产品的价格给予6%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927" w:type="dxa"/>
            <w:vMerge w:val="restart"/>
            <w:vAlign w:val="center"/>
          </w:tcPr>
          <w:p>
            <w:pPr>
              <w:widowControl/>
              <w:jc w:val="center"/>
              <w:rPr>
                <w:rFonts w:ascii="宋体" w:hAnsi="宋体" w:cs="宋体"/>
                <w:szCs w:val="21"/>
              </w:rPr>
            </w:pPr>
            <w:r>
              <w:rPr>
                <w:rFonts w:hint="eastAsia" w:ascii="宋体" w:hAnsi="宋体" w:cs="宋体"/>
                <w:szCs w:val="21"/>
              </w:rPr>
              <w:t>技术</w:t>
            </w:r>
          </w:p>
          <w:p>
            <w:pPr>
              <w:widowControl/>
              <w:jc w:val="center"/>
              <w:rPr>
                <w:rFonts w:ascii="宋体" w:hAnsi="宋体" w:cs="宋体"/>
                <w:szCs w:val="21"/>
              </w:rPr>
            </w:pPr>
            <w:r>
              <w:rPr>
                <w:rFonts w:hint="eastAsia" w:ascii="宋体" w:hAnsi="宋体" w:cs="宋体"/>
                <w:szCs w:val="21"/>
              </w:rPr>
              <w:t>部分</w:t>
            </w:r>
          </w:p>
          <w:p>
            <w:pPr>
              <w:widowControl/>
              <w:jc w:val="center"/>
              <w:rPr>
                <w:rFonts w:ascii="宋体" w:hAnsi="宋体" w:cs="宋体"/>
                <w:szCs w:val="21"/>
              </w:rPr>
            </w:pPr>
            <w:r>
              <w:rPr>
                <w:rFonts w:hint="eastAsia" w:ascii="宋体" w:hAnsi="宋体" w:cs="宋体"/>
                <w:szCs w:val="21"/>
              </w:rPr>
              <w:t>(45分)</w:t>
            </w:r>
          </w:p>
        </w:tc>
        <w:tc>
          <w:tcPr>
            <w:tcW w:w="1200" w:type="dxa"/>
            <w:vAlign w:val="center"/>
          </w:tcPr>
          <w:p>
            <w:pPr>
              <w:widowControl/>
              <w:jc w:val="center"/>
              <w:rPr>
                <w:rFonts w:ascii="宋体" w:hAnsi="宋体" w:cs="宋体"/>
                <w:szCs w:val="21"/>
              </w:rPr>
            </w:pPr>
            <w:r>
              <w:rPr>
                <w:rFonts w:hint="eastAsia" w:ascii="宋体" w:hAnsi="宋体" w:cs="宋体"/>
                <w:szCs w:val="21"/>
              </w:rPr>
              <w:t>技术参数24分</w:t>
            </w:r>
          </w:p>
        </w:tc>
        <w:tc>
          <w:tcPr>
            <w:tcW w:w="6345" w:type="dxa"/>
            <w:vAlign w:val="center"/>
          </w:tcPr>
          <w:p>
            <w:pPr>
              <w:widowControl/>
              <w:rPr>
                <w:rFonts w:ascii="宋体" w:hAnsi="宋体" w:cs="宋体"/>
                <w:szCs w:val="21"/>
              </w:rPr>
            </w:pPr>
            <w:r>
              <w:rPr>
                <w:rFonts w:hint="eastAsia" w:ascii="宋体" w:hAnsi="宋体" w:cs="宋体"/>
                <w:szCs w:val="21"/>
              </w:rPr>
              <w:t>投标人所投设备技术参数及要求完全满足要求得满分24分。</w:t>
            </w:r>
          </w:p>
          <w:p>
            <w:pPr>
              <w:widowControl/>
              <w:rPr>
                <w:rFonts w:ascii="宋体" w:hAnsi="宋体" w:cs="宋体"/>
                <w:szCs w:val="21"/>
              </w:rPr>
            </w:pPr>
            <w:r>
              <w:rPr>
                <w:rFonts w:hint="eastAsia" w:ascii="宋体" w:hAnsi="宋体" w:cs="宋体"/>
                <w:szCs w:val="21"/>
              </w:rPr>
              <w:t>（1）招标文件技术参数详细技术要求带“★”项为重要技术指标，每一项不满足扣2分。</w:t>
            </w:r>
          </w:p>
          <w:p>
            <w:pPr>
              <w:widowControl/>
              <w:rPr>
                <w:rFonts w:ascii="宋体" w:hAnsi="宋体" w:cs="宋体"/>
                <w:szCs w:val="21"/>
              </w:rPr>
            </w:pPr>
            <w:r>
              <w:rPr>
                <w:rFonts w:hint="eastAsia" w:ascii="宋体" w:hAnsi="宋体" w:cs="宋体"/>
                <w:szCs w:val="21"/>
              </w:rPr>
              <w:t>（2）没有标记的指标为非重要技术指标，每有一项不满足的扣1分。</w:t>
            </w:r>
          </w:p>
          <w:p>
            <w:pPr>
              <w:widowControl/>
              <w:rPr>
                <w:rFonts w:ascii="宋体" w:hAnsi="宋体" w:cs="宋体"/>
                <w:szCs w:val="21"/>
              </w:rPr>
            </w:pPr>
            <w:r>
              <w:rPr>
                <w:rFonts w:hint="eastAsia" w:ascii="宋体" w:hAnsi="宋体" w:cs="宋体"/>
                <w:szCs w:val="21"/>
              </w:rPr>
              <w:t>（3）投标人技术参数分24分扣完视为无效投标。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927" w:type="dxa"/>
            <w:vMerge w:val="continue"/>
            <w:vAlign w:val="center"/>
          </w:tcPr>
          <w:p>
            <w:pPr>
              <w:widowControl/>
              <w:jc w:val="center"/>
              <w:rPr>
                <w:rFonts w:ascii="宋体" w:hAnsi="宋体" w:cs="宋体"/>
                <w:szCs w:val="21"/>
              </w:rPr>
            </w:pPr>
          </w:p>
        </w:tc>
        <w:tc>
          <w:tcPr>
            <w:tcW w:w="1200" w:type="dxa"/>
            <w:vAlign w:val="center"/>
          </w:tcPr>
          <w:p>
            <w:pPr>
              <w:widowControl/>
              <w:jc w:val="center"/>
              <w:rPr>
                <w:rFonts w:ascii="宋体" w:hAnsi="宋体" w:cs="宋体"/>
                <w:szCs w:val="21"/>
              </w:rPr>
            </w:pPr>
            <w:r>
              <w:rPr>
                <w:rFonts w:hint="eastAsia" w:ascii="宋体" w:hAnsi="宋体" w:cs="宋体"/>
                <w:szCs w:val="21"/>
              </w:rPr>
              <w:t>节能环保（1分）</w:t>
            </w:r>
          </w:p>
        </w:tc>
        <w:tc>
          <w:tcPr>
            <w:tcW w:w="6345" w:type="dxa"/>
          </w:tcPr>
          <w:p>
            <w:pPr>
              <w:pStyle w:val="3"/>
              <w:rPr>
                <w:rFonts w:ascii="宋体" w:hAnsi="宋体" w:cs="宋体"/>
                <w:sz w:val="21"/>
                <w:szCs w:val="21"/>
              </w:rPr>
            </w:pPr>
            <w:r>
              <w:rPr>
                <w:rFonts w:hint="eastAsia" w:ascii="宋体" w:hAnsi="宋体" w:cs="宋体"/>
                <w:sz w:val="21"/>
                <w:szCs w:val="21"/>
              </w:rPr>
              <w:t>采购人采购产品属于节能产品或环境标志产品品目清单范围内的，对于投标产品属于“节能清单”中非标记“★”产品的以及属于 “环保清单”产品并经“机构名录”中的认证机构出具相应的产品认证证书的，每提供一种优先采购产品得0.</w:t>
            </w:r>
            <w:r>
              <w:rPr>
                <w:rFonts w:ascii="宋体" w:hAnsi="宋体" w:cs="宋体"/>
                <w:sz w:val="21"/>
                <w:szCs w:val="21"/>
              </w:rPr>
              <w:t>5</w:t>
            </w:r>
            <w:r>
              <w:rPr>
                <w:rFonts w:hint="eastAsia" w:ascii="宋体" w:hAnsi="宋体" w:cs="宋体"/>
                <w:sz w:val="21"/>
                <w:szCs w:val="21"/>
              </w:rPr>
              <w:t>分，最多得1分。</w:t>
            </w:r>
          </w:p>
          <w:p>
            <w:pPr>
              <w:pStyle w:val="3"/>
              <w:rPr>
                <w:rFonts w:ascii="宋体" w:hAnsi="宋体" w:cs="宋体"/>
                <w:sz w:val="21"/>
                <w:szCs w:val="21"/>
              </w:rPr>
            </w:pPr>
            <w:r>
              <w:rPr>
                <w:rFonts w:hint="eastAsia" w:ascii="宋体" w:hAnsi="宋体" w:cs="宋体"/>
                <w:sz w:val="21"/>
                <w:szCs w:val="21"/>
              </w:rPr>
              <w:t>对于同时获得节能产品（强制采购节能产品除外）和环境标志产品认证证书产品，按一种产品优先采购。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pPr>
              <w:widowControl/>
              <w:jc w:val="center"/>
              <w:rPr>
                <w:rFonts w:ascii="宋体" w:hAnsi="宋体" w:cs="宋体"/>
                <w:szCs w:val="21"/>
              </w:rPr>
            </w:pPr>
          </w:p>
        </w:tc>
        <w:tc>
          <w:tcPr>
            <w:tcW w:w="1200" w:type="dxa"/>
            <w:vMerge w:val="restart"/>
            <w:vAlign w:val="center"/>
          </w:tcPr>
          <w:p>
            <w:pPr>
              <w:widowControl/>
              <w:jc w:val="center"/>
              <w:rPr>
                <w:rFonts w:ascii="宋体" w:hAnsi="宋体" w:cs="宋体"/>
                <w:color w:val="000000"/>
                <w:szCs w:val="21"/>
              </w:rPr>
            </w:pPr>
            <w:r>
              <w:rPr>
                <w:rFonts w:hint="eastAsia" w:ascii="宋体" w:hAnsi="宋体" w:cs="宋体"/>
                <w:color w:val="000000"/>
                <w:szCs w:val="21"/>
              </w:rPr>
              <w:t>技术方案（20分）</w:t>
            </w:r>
          </w:p>
        </w:tc>
        <w:tc>
          <w:tcPr>
            <w:tcW w:w="6345" w:type="dxa"/>
          </w:tcPr>
          <w:p>
            <w:pPr>
              <w:pStyle w:val="30"/>
              <w:rPr>
                <w:rFonts w:ascii="宋体" w:hAnsi="宋体" w:cs="宋体"/>
                <w:color w:val="000000"/>
                <w:sz w:val="21"/>
                <w:szCs w:val="21"/>
              </w:rPr>
            </w:pPr>
            <w:r>
              <w:rPr>
                <w:rFonts w:hint="eastAsia" w:ascii="宋体" w:hAnsi="宋体" w:cs="宋体"/>
                <w:color w:val="000000"/>
                <w:sz w:val="21"/>
                <w:szCs w:val="21"/>
              </w:rPr>
              <w:t>设计方案（10分）</w:t>
            </w:r>
          </w:p>
          <w:p>
            <w:pPr>
              <w:pStyle w:val="30"/>
              <w:rPr>
                <w:rFonts w:ascii="宋体" w:hAnsi="宋体" w:cs="宋体"/>
                <w:color w:val="000000"/>
                <w:sz w:val="21"/>
                <w:szCs w:val="21"/>
              </w:rPr>
            </w:pPr>
            <w:r>
              <w:rPr>
                <w:rFonts w:hint="eastAsia" w:ascii="宋体" w:hAnsi="宋体" w:cs="宋体"/>
                <w:color w:val="000000"/>
                <w:sz w:val="21"/>
                <w:szCs w:val="21"/>
              </w:rPr>
              <w:t>投标人需自行踏勘现场并根据现场勘查的情况提供详细的设计方案及施工图。</w:t>
            </w:r>
          </w:p>
          <w:p>
            <w:pPr>
              <w:pStyle w:val="30"/>
              <w:numPr>
                <w:ilvl w:val="0"/>
                <w:numId w:val="67"/>
              </w:numPr>
              <w:rPr>
                <w:rFonts w:ascii="宋体" w:hAnsi="宋体" w:cs="宋体"/>
                <w:color w:val="000000"/>
                <w:sz w:val="21"/>
                <w:szCs w:val="21"/>
              </w:rPr>
            </w:pPr>
            <w:r>
              <w:rPr>
                <w:rFonts w:hint="eastAsia" w:ascii="宋体" w:hAnsi="宋体" w:cs="宋体"/>
                <w:color w:val="000000"/>
                <w:sz w:val="21"/>
                <w:szCs w:val="21"/>
              </w:rPr>
              <w:t>方案描述详尽合理，具有较强的可操作性，得 10分；</w:t>
            </w:r>
          </w:p>
          <w:p>
            <w:pPr>
              <w:pStyle w:val="30"/>
              <w:numPr>
                <w:ilvl w:val="0"/>
                <w:numId w:val="67"/>
              </w:numPr>
              <w:rPr>
                <w:rFonts w:ascii="宋体" w:hAnsi="宋体" w:cs="宋体"/>
                <w:color w:val="000000"/>
                <w:sz w:val="21"/>
                <w:szCs w:val="21"/>
              </w:rPr>
            </w:pPr>
            <w:r>
              <w:rPr>
                <w:rFonts w:hint="eastAsia" w:ascii="宋体" w:hAnsi="宋体" w:cs="宋体"/>
                <w:color w:val="000000"/>
                <w:sz w:val="21"/>
                <w:szCs w:val="21"/>
              </w:rPr>
              <w:t>方案相对合理，描述一般，具有基本可操作性，得8分；</w:t>
            </w:r>
          </w:p>
          <w:p>
            <w:pPr>
              <w:pStyle w:val="30"/>
              <w:numPr>
                <w:ilvl w:val="0"/>
                <w:numId w:val="67"/>
              </w:numPr>
              <w:rPr>
                <w:rFonts w:ascii="宋体" w:hAnsi="宋体" w:cs="宋体"/>
                <w:color w:val="000000"/>
                <w:sz w:val="21"/>
                <w:szCs w:val="21"/>
              </w:rPr>
            </w:pPr>
            <w:r>
              <w:rPr>
                <w:rFonts w:hint="eastAsia" w:ascii="宋体" w:hAnsi="宋体" w:cs="宋体"/>
                <w:color w:val="000000"/>
                <w:sz w:val="21"/>
                <w:szCs w:val="21"/>
              </w:rPr>
              <w:t>方案一般，描述不详细，可操作性差的得4分，未提供的不得分。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1" w:hRule="atLeast"/>
          <w:jc w:val="center"/>
        </w:trPr>
        <w:tc>
          <w:tcPr>
            <w:tcW w:w="927" w:type="dxa"/>
            <w:vMerge w:val="continue"/>
            <w:vAlign w:val="center"/>
          </w:tcPr>
          <w:p>
            <w:pPr>
              <w:widowControl/>
              <w:jc w:val="center"/>
              <w:rPr>
                <w:rFonts w:ascii="宋体" w:hAnsi="宋体" w:cs="宋体"/>
                <w:szCs w:val="21"/>
              </w:rPr>
            </w:pPr>
          </w:p>
        </w:tc>
        <w:tc>
          <w:tcPr>
            <w:tcW w:w="1200" w:type="dxa"/>
            <w:vMerge w:val="continue"/>
            <w:vAlign w:val="center"/>
          </w:tcPr>
          <w:p>
            <w:pPr>
              <w:widowControl/>
              <w:jc w:val="center"/>
              <w:rPr>
                <w:rFonts w:ascii="宋体" w:hAnsi="宋体" w:cs="宋体"/>
                <w:color w:val="000000"/>
                <w:szCs w:val="21"/>
              </w:rPr>
            </w:pPr>
          </w:p>
        </w:tc>
        <w:tc>
          <w:tcPr>
            <w:tcW w:w="6345" w:type="dxa"/>
          </w:tcPr>
          <w:p>
            <w:pPr>
              <w:pStyle w:val="30"/>
              <w:rPr>
                <w:rFonts w:ascii="宋体" w:hAnsi="宋体" w:cs="宋体"/>
                <w:color w:val="000000"/>
                <w:sz w:val="21"/>
                <w:szCs w:val="21"/>
              </w:rPr>
            </w:pPr>
            <w:r>
              <w:rPr>
                <w:rFonts w:hint="eastAsia" w:ascii="宋体" w:hAnsi="宋体" w:cs="宋体"/>
                <w:color w:val="000000"/>
                <w:sz w:val="21"/>
                <w:szCs w:val="21"/>
              </w:rPr>
              <w:t>施工安装方案（10分）投标人应提供详细的项目安装实施方案，包括理解采购人的技术需求、项目安装实施过程中的难点及重点、项目实施计划的合理性等方面。由评标委员会根据各投标人提供情况进行打分：项目安装实施方案详尽、切实可行、全面具体的得10分，项目安装实施方案比较详实，能满足采购实际需求，有具体的项目实施计划的得8分，项目安装实施方案一般，仅符合招标文件要求的得5分；项目安装实施方案略差的得3分；未提供者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27" w:type="dxa"/>
            <w:vMerge w:val="restart"/>
            <w:vAlign w:val="center"/>
          </w:tcPr>
          <w:p>
            <w:pPr>
              <w:widowControl/>
              <w:jc w:val="center"/>
              <w:rPr>
                <w:rFonts w:ascii="宋体" w:hAnsi="宋体" w:cs="宋体"/>
                <w:color w:val="000000" w:themeColor="text1"/>
                <w:szCs w:val="21"/>
              </w:rPr>
            </w:pPr>
            <w:r>
              <w:rPr>
                <w:rFonts w:hint="eastAsia" w:ascii="宋体" w:hAnsi="宋体" w:cs="宋体"/>
                <w:color w:val="000000" w:themeColor="text1"/>
                <w:szCs w:val="21"/>
              </w:rPr>
              <w:t>商务</w:t>
            </w:r>
          </w:p>
          <w:p>
            <w:pPr>
              <w:widowControl/>
              <w:jc w:val="center"/>
              <w:rPr>
                <w:rFonts w:ascii="宋体" w:hAnsi="宋体" w:cs="宋体"/>
                <w:color w:val="000000" w:themeColor="text1"/>
                <w:szCs w:val="21"/>
              </w:rPr>
            </w:pPr>
            <w:r>
              <w:rPr>
                <w:rFonts w:hint="eastAsia" w:ascii="宋体" w:hAnsi="宋体" w:cs="宋体"/>
                <w:color w:val="000000" w:themeColor="text1"/>
                <w:szCs w:val="21"/>
              </w:rPr>
              <w:t>部分</w:t>
            </w:r>
          </w:p>
          <w:p>
            <w:pPr>
              <w:jc w:val="center"/>
              <w:rPr>
                <w:rFonts w:ascii="宋体" w:hAnsi="宋体" w:cs="宋体"/>
                <w:color w:val="000000" w:themeColor="text1"/>
                <w:szCs w:val="21"/>
              </w:rPr>
            </w:pPr>
            <w:r>
              <w:rPr>
                <w:rFonts w:hint="eastAsia" w:ascii="宋体" w:hAnsi="宋体" w:cs="宋体"/>
                <w:color w:val="000000" w:themeColor="text1"/>
                <w:szCs w:val="21"/>
              </w:rPr>
              <w:t>(25分)</w:t>
            </w:r>
          </w:p>
        </w:tc>
        <w:tc>
          <w:tcPr>
            <w:tcW w:w="1200" w:type="dxa"/>
            <w:vAlign w:val="center"/>
          </w:tcPr>
          <w:p>
            <w:pPr>
              <w:jc w:val="center"/>
              <w:rPr>
                <w:rFonts w:ascii="宋体" w:hAnsi="宋体" w:cs="宋体"/>
                <w:color w:val="000000" w:themeColor="text1"/>
                <w:szCs w:val="21"/>
              </w:rPr>
            </w:pPr>
            <w:r>
              <w:rPr>
                <w:rFonts w:hint="eastAsia" w:ascii="宋体" w:hAnsi="宋体" w:cs="宋体"/>
                <w:color w:val="000000" w:themeColor="text1"/>
                <w:szCs w:val="21"/>
              </w:rPr>
              <w:t>企业实力</w:t>
            </w:r>
            <w:r>
              <w:rPr>
                <w:rFonts w:ascii="宋体" w:hAnsi="宋体" w:cs="宋体"/>
                <w:color w:val="000000" w:themeColor="text1"/>
                <w:szCs w:val="21"/>
              </w:rPr>
              <w:t>3</w:t>
            </w:r>
            <w:r>
              <w:rPr>
                <w:rFonts w:hint="eastAsia" w:ascii="宋体" w:hAnsi="宋体" w:cs="宋体"/>
                <w:color w:val="000000" w:themeColor="text1"/>
                <w:szCs w:val="21"/>
              </w:rPr>
              <w:t>分</w:t>
            </w:r>
          </w:p>
        </w:tc>
        <w:tc>
          <w:tcPr>
            <w:tcW w:w="6345" w:type="dxa"/>
            <w:vAlign w:val="center"/>
          </w:tcPr>
          <w:p>
            <w:pPr>
              <w:jc w:val="left"/>
              <w:rPr>
                <w:color w:val="000000" w:themeColor="text1"/>
                <w:szCs w:val="21"/>
              </w:rPr>
            </w:pPr>
            <w:r>
              <w:rPr>
                <w:rFonts w:hint="eastAsia"/>
                <w:color w:val="000000" w:themeColor="text1"/>
                <w:szCs w:val="21"/>
              </w:rPr>
              <w:t>1.投标人具有有效期内质量管理体系认证、环境管理体系认证、职业健康安全管理体系认证，每项证书得 1 分，最多得3分，没有不得分。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pPr>
              <w:widowControl/>
              <w:jc w:val="center"/>
              <w:rPr>
                <w:rFonts w:ascii="宋体" w:hAnsi="宋体" w:cs="宋体"/>
                <w:color w:val="000000" w:themeColor="text1"/>
                <w:szCs w:val="21"/>
              </w:rPr>
            </w:pPr>
          </w:p>
        </w:tc>
        <w:tc>
          <w:tcPr>
            <w:tcW w:w="1200" w:type="dxa"/>
            <w:vAlign w:val="center"/>
          </w:tcPr>
          <w:p>
            <w:pPr>
              <w:widowControl/>
              <w:jc w:val="center"/>
              <w:rPr>
                <w:rFonts w:ascii="宋体" w:hAnsi="宋体" w:cs="宋体"/>
                <w:color w:val="000000" w:themeColor="text1"/>
                <w:szCs w:val="21"/>
              </w:rPr>
            </w:pPr>
            <w:r>
              <w:rPr>
                <w:rFonts w:hint="eastAsia" w:ascii="宋体" w:hAnsi="宋体" w:cs="宋体"/>
                <w:color w:val="000000" w:themeColor="text1"/>
                <w:szCs w:val="21"/>
              </w:rPr>
              <w:t>企业业绩</w:t>
            </w:r>
            <w:r>
              <w:rPr>
                <w:rFonts w:ascii="宋体" w:hAnsi="宋体" w:cs="宋体"/>
                <w:color w:val="000000" w:themeColor="text1"/>
                <w:szCs w:val="21"/>
              </w:rPr>
              <w:t>8</w:t>
            </w:r>
            <w:r>
              <w:rPr>
                <w:rFonts w:hint="eastAsia" w:ascii="宋体" w:hAnsi="宋体" w:cs="宋体"/>
                <w:color w:val="000000" w:themeColor="text1"/>
                <w:szCs w:val="21"/>
              </w:rPr>
              <w:t>分</w:t>
            </w:r>
          </w:p>
        </w:tc>
        <w:tc>
          <w:tcPr>
            <w:tcW w:w="6345" w:type="dxa"/>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投标人提供2017年1月1日以来自身履行完成的同类项目业绩合同。每提供一份，得2分，最多得</w:t>
            </w:r>
            <w:r>
              <w:rPr>
                <w:rFonts w:ascii="宋体" w:hAnsi="宋体" w:cs="宋体"/>
                <w:color w:val="000000" w:themeColor="text1"/>
                <w:kern w:val="0"/>
                <w:szCs w:val="21"/>
              </w:rPr>
              <w:t>8</w:t>
            </w:r>
            <w:r>
              <w:rPr>
                <w:rFonts w:hint="eastAsia" w:ascii="宋体" w:hAnsi="宋体" w:cs="宋体"/>
                <w:color w:val="000000" w:themeColor="text1"/>
                <w:kern w:val="0"/>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vAlign w:val="center"/>
          </w:tcPr>
          <w:p>
            <w:pPr>
              <w:widowControl/>
              <w:jc w:val="center"/>
              <w:rPr>
                <w:rFonts w:ascii="宋体" w:hAnsi="宋体" w:cs="宋体"/>
                <w:color w:val="000000" w:themeColor="text1"/>
                <w:szCs w:val="21"/>
              </w:rPr>
            </w:pPr>
          </w:p>
        </w:tc>
        <w:tc>
          <w:tcPr>
            <w:tcW w:w="1200" w:type="dxa"/>
            <w:vAlign w:val="center"/>
          </w:tcPr>
          <w:p>
            <w:pPr>
              <w:widowControl/>
              <w:jc w:val="center"/>
              <w:rPr>
                <w:rFonts w:ascii="宋体" w:hAnsi="宋体" w:cs="宋体"/>
                <w:color w:val="000000" w:themeColor="text1"/>
                <w:szCs w:val="21"/>
              </w:rPr>
            </w:pPr>
            <w:r>
              <w:rPr>
                <w:rFonts w:hint="eastAsia" w:ascii="宋体" w:hAnsi="宋体" w:cs="宋体"/>
                <w:color w:val="000000" w:themeColor="text1"/>
                <w:szCs w:val="21"/>
              </w:rPr>
              <w:t>拟投入本次项目的人员</w:t>
            </w:r>
            <w:r>
              <w:rPr>
                <w:rFonts w:ascii="宋体" w:hAnsi="宋体" w:cs="宋体"/>
                <w:color w:val="000000" w:themeColor="text1"/>
                <w:szCs w:val="21"/>
              </w:rPr>
              <w:t>6</w:t>
            </w:r>
            <w:r>
              <w:rPr>
                <w:rFonts w:hint="eastAsia" w:ascii="宋体" w:hAnsi="宋体" w:cs="宋体"/>
                <w:color w:val="000000" w:themeColor="text1"/>
                <w:szCs w:val="21"/>
              </w:rPr>
              <w:t>分</w:t>
            </w:r>
          </w:p>
        </w:tc>
        <w:tc>
          <w:tcPr>
            <w:tcW w:w="6345" w:type="dxa"/>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投标人配备的人员每提供一个中级职称或技师/工（水、电）证书每提供一个得2分，本项最多得</w:t>
            </w:r>
            <w:r>
              <w:rPr>
                <w:rFonts w:ascii="宋体" w:hAnsi="宋体" w:cs="宋体"/>
                <w:color w:val="000000" w:themeColor="text1"/>
                <w:kern w:val="0"/>
                <w:szCs w:val="21"/>
              </w:rPr>
              <w:t>6</w:t>
            </w:r>
            <w:r>
              <w:rPr>
                <w:rFonts w:hint="eastAsia" w:ascii="宋体" w:hAnsi="宋体" w:cs="宋体"/>
                <w:color w:val="000000" w:themeColor="text1"/>
                <w:kern w:val="0"/>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27" w:type="dxa"/>
            <w:vMerge w:val="continue"/>
            <w:vAlign w:val="center"/>
          </w:tcPr>
          <w:p>
            <w:pPr>
              <w:jc w:val="center"/>
              <w:rPr>
                <w:rFonts w:ascii="宋体" w:hAnsi="宋体" w:cs="宋体"/>
                <w:color w:val="000000" w:themeColor="text1"/>
                <w:szCs w:val="21"/>
              </w:rPr>
            </w:pPr>
          </w:p>
        </w:tc>
        <w:tc>
          <w:tcPr>
            <w:tcW w:w="1200" w:type="dxa"/>
            <w:vAlign w:val="center"/>
          </w:tcPr>
          <w:p>
            <w:pPr>
              <w:widowControl/>
              <w:jc w:val="center"/>
              <w:rPr>
                <w:rFonts w:ascii="宋体" w:hAnsi="宋体" w:cs="宋体"/>
                <w:color w:val="000000" w:themeColor="text1"/>
                <w:szCs w:val="21"/>
              </w:rPr>
            </w:pPr>
            <w:r>
              <w:rPr>
                <w:rFonts w:hint="eastAsia" w:ascii="宋体" w:hAnsi="宋体" w:cs="宋体"/>
                <w:color w:val="000000" w:themeColor="text1"/>
                <w:szCs w:val="21"/>
              </w:rPr>
              <w:t>售后服务与承诺</w:t>
            </w:r>
          </w:p>
          <w:p>
            <w:pPr>
              <w:widowControl/>
              <w:jc w:val="center"/>
              <w:rPr>
                <w:rFonts w:ascii="宋体" w:hAnsi="宋体" w:cs="宋体"/>
                <w:color w:val="000000" w:themeColor="text1"/>
                <w:szCs w:val="21"/>
              </w:rPr>
            </w:pPr>
            <w:r>
              <w:rPr>
                <w:rFonts w:ascii="宋体" w:hAnsi="宋体" w:cs="宋体"/>
                <w:color w:val="000000" w:themeColor="text1"/>
                <w:szCs w:val="21"/>
              </w:rPr>
              <w:t>8</w:t>
            </w:r>
            <w:r>
              <w:rPr>
                <w:rFonts w:hint="eastAsia" w:ascii="宋体" w:hAnsi="宋体" w:cs="宋体"/>
                <w:color w:val="000000" w:themeColor="text1"/>
                <w:szCs w:val="21"/>
              </w:rPr>
              <w:t>分</w:t>
            </w:r>
          </w:p>
        </w:tc>
        <w:tc>
          <w:tcPr>
            <w:tcW w:w="6345" w:type="dxa"/>
            <w:vAlign w:val="center"/>
          </w:tcPr>
          <w:p>
            <w:pPr>
              <w:pStyle w:val="30"/>
              <w:rPr>
                <w:rFonts w:ascii="宋体" w:hAnsi="宋体" w:cs="宋体"/>
                <w:color w:val="000000" w:themeColor="text1"/>
                <w:sz w:val="21"/>
                <w:szCs w:val="21"/>
              </w:rPr>
            </w:pPr>
            <w:r>
              <w:rPr>
                <w:rFonts w:hint="eastAsia"/>
                <w:bCs/>
                <w:color w:val="000000" w:themeColor="text1"/>
                <w:sz w:val="21"/>
                <w:szCs w:val="21"/>
              </w:rPr>
              <w:t>投标人售后服务方案（</w:t>
            </w:r>
            <w:r>
              <w:rPr>
                <w:bCs/>
                <w:color w:val="000000" w:themeColor="text1"/>
                <w:sz w:val="21"/>
                <w:szCs w:val="21"/>
              </w:rPr>
              <w:t>8</w:t>
            </w:r>
            <w:r>
              <w:rPr>
                <w:rFonts w:hint="eastAsia"/>
                <w:bCs/>
                <w:color w:val="000000" w:themeColor="text1"/>
                <w:sz w:val="21"/>
                <w:szCs w:val="21"/>
              </w:rPr>
              <w:t>分）</w:t>
            </w:r>
          </w:p>
          <w:p>
            <w:pPr>
              <w:widowControl/>
              <w:jc w:val="left"/>
              <w:rPr>
                <w:rFonts w:ascii="宋体" w:hAnsi="宋体" w:cs="宋体"/>
                <w:color w:val="000000" w:themeColor="text1"/>
                <w:szCs w:val="21"/>
              </w:rPr>
            </w:pPr>
            <w:r>
              <w:rPr>
                <w:rFonts w:hint="eastAsia"/>
                <w:bCs/>
                <w:color w:val="000000" w:themeColor="text1"/>
                <w:szCs w:val="21"/>
              </w:rPr>
              <w:t>投标人</w:t>
            </w:r>
            <w:r>
              <w:rPr>
                <w:rFonts w:hint="eastAsia" w:ascii="宋体" w:hAnsi="宋体" w:cs="宋体"/>
                <w:color w:val="000000" w:themeColor="text1"/>
                <w:szCs w:val="21"/>
              </w:rPr>
              <w:t>针对本项目提供售后服务方案（包括服务人员的配备、响应时间、响应程度、解决问题的能力、紧急故障处理预案、备品备件、培训、技术指导等）</w:t>
            </w:r>
          </w:p>
          <w:p>
            <w:pPr>
              <w:pStyle w:val="129"/>
              <w:widowControl/>
              <w:numPr>
                <w:ilvl w:val="0"/>
                <w:numId w:val="68"/>
              </w:numPr>
              <w:ind w:firstLineChars="0"/>
              <w:jc w:val="left"/>
              <w:rPr>
                <w:rFonts w:ascii="宋体" w:hAnsi="宋体"/>
                <w:color w:val="000000" w:themeColor="text1"/>
                <w:sz w:val="21"/>
                <w:szCs w:val="21"/>
              </w:rPr>
            </w:pPr>
            <w:r>
              <w:rPr>
                <w:rFonts w:hint="eastAsia" w:ascii="宋体" w:hAnsi="宋体"/>
                <w:color w:val="000000" w:themeColor="text1"/>
                <w:sz w:val="21"/>
                <w:szCs w:val="21"/>
              </w:rPr>
              <w:t>服务方案全面细致、保障的难点分析准确，有针对性措施的得</w:t>
            </w:r>
            <w:r>
              <w:rPr>
                <w:rFonts w:ascii="宋体" w:hAnsi="宋体"/>
                <w:color w:val="000000" w:themeColor="text1"/>
                <w:sz w:val="21"/>
                <w:szCs w:val="21"/>
              </w:rPr>
              <w:t>8</w:t>
            </w:r>
            <w:r>
              <w:rPr>
                <w:rFonts w:hint="eastAsia" w:ascii="宋体" w:hAnsi="宋体"/>
                <w:color w:val="000000" w:themeColor="text1"/>
                <w:sz w:val="21"/>
                <w:szCs w:val="21"/>
              </w:rPr>
              <w:t>分；</w:t>
            </w:r>
          </w:p>
          <w:p>
            <w:pPr>
              <w:pStyle w:val="129"/>
              <w:widowControl/>
              <w:numPr>
                <w:ilvl w:val="0"/>
                <w:numId w:val="68"/>
              </w:numPr>
              <w:ind w:firstLineChars="0"/>
              <w:jc w:val="left"/>
              <w:rPr>
                <w:rFonts w:ascii="宋体" w:hAnsi="宋体"/>
                <w:color w:val="000000" w:themeColor="text1"/>
                <w:sz w:val="21"/>
                <w:szCs w:val="21"/>
              </w:rPr>
            </w:pPr>
            <w:r>
              <w:rPr>
                <w:rFonts w:hint="eastAsia" w:ascii="宋体" w:hAnsi="宋体"/>
                <w:color w:val="000000" w:themeColor="text1"/>
                <w:sz w:val="21"/>
                <w:szCs w:val="21"/>
              </w:rPr>
              <w:t>服务方案、保障的难点分析、针对性措施一般的得</w:t>
            </w:r>
            <w:r>
              <w:rPr>
                <w:rFonts w:ascii="宋体" w:hAnsi="宋体"/>
                <w:color w:val="000000" w:themeColor="text1"/>
                <w:sz w:val="21"/>
                <w:szCs w:val="21"/>
              </w:rPr>
              <w:t>6</w:t>
            </w:r>
            <w:r>
              <w:rPr>
                <w:rFonts w:hint="eastAsia" w:ascii="宋体" w:hAnsi="宋体"/>
                <w:color w:val="000000" w:themeColor="text1"/>
                <w:sz w:val="21"/>
                <w:szCs w:val="21"/>
              </w:rPr>
              <w:t>分；</w:t>
            </w:r>
          </w:p>
          <w:p>
            <w:pPr>
              <w:pStyle w:val="129"/>
              <w:widowControl/>
              <w:numPr>
                <w:ilvl w:val="0"/>
                <w:numId w:val="68"/>
              </w:numPr>
              <w:ind w:firstLineChars="0"/>
              <w:jc w:val="left"/>
              <w:rPr>
                <w:rFonts w:ascii="宋体" w:hAnsi="宋体"/>
                <w:color w:val="000000" w:themeColor="text1"/>
                <w:sz w:val="21"/>
                <w:szCs w:val="21"/>
              </w:rPr>
            </w:pPr>
            <w:r>
              <w:rPr>
                <w:rFonts w:hint="eastAsia" w:ascii="宋体" w:hAnsi="宋体"/>
                <w:color w:val="000000" w:themeColor="text1"/>
                <w:sz w:val="21"/>
                <w:szCs w:val="21"/>
              </w:rPr>
              <w:t>服务方案、保障的难点分析、针对性措施差的，得</w:t>
            </w:r>
            <w:r>
              <w:rPr>
                <w:rFonts w:ascii="宋体" w:hAnsi="宋体"/>
                <w:color w:val="000000" w:themeColor="text1"/>
                <w:sz w:val="21"/>
                <w:szCs w:val="21"/>
              </w:rPr>
              <w:t>3</w:t>
            </w:r>
            <w:r>
              <w:rPr>
                <w:rFonts w:hint="eastAsia" w:ascii="宋体" w:hAnsi="宋体"/>
                <w:color w:val="000000" w:themeColor="text1"/>
                <w:sz w:val="21"/>
                <w:szCs w:val="21"/>
              </w:rPr>
              <w:t>分；</w:t>
            </w:r>
          </w:p>
          <w:p>
            <w:pPr>
              <w:pStyle w:val="129"/>
              <w:widowControl/>
              <w:numPr>
                <w:ilvl w:val="0"/>
                <w:numId w:val="68"/>
              </w:numPr>
              <w:ind w:firstLineChars="0"/>
              <w:jc w:val="left"/>
              <w:rPr>
                <w:rFonts w:ascii="宋体" w:hAnsi="宋体"/>
                <w:color w:val="000000" w:themeColor="text1"/>
                <w:sz w:val="21"/>
                <w:szCs w:val="21"/>
              </w:rPr>
            </w:pPr>
            <w:r>
              <w:rPr>
                <w:rFonts w:hint="eastAsia"/>
                <w:color w:val="000000" w:themeColor="text1"/>
                <w:sz w:val="21"/>
                <w:szCs w:val="21"/>
              </w:rPr>
              <w:t>未提供服务方案得0分</w:t>
            </w:r>
          </w:p>
        </w:tc>
      </w:tr>
    </w:tbl>
    <w:p>
      <w:pPr>
        <w:spacing w:line="400" w:lineRule="exact"/>
        <w:rPr>
          <w:rFonts w:ascii="宋体" w:hAnsi="宋体" w:cs="宋体"/>
          <w:b/>
          <w:color w:val="FF0000"/>
          <w:sz w:val="24"/>
          <w:szCs w:val="24"/>
        </w:rPr>
      </w:pPr>
    </w:p>
    <w:p>
      <w:pPr>
        <w:pStyle w:val="638"/>
        <w:keepNext w:val="0"/>
        <w:keepLines w:val="0"/>
        <w:spacing w:line="400" w:lineRule="exact"/>
        <w:rPr>
          <w:b w:val="0"/>
          <w:sz w:val="24"/>
          <w:szCs w:val="24"/>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0000000000000000000"/>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Microsoft YaHei UI">
    <w:altName w:val="宋体"/>
    <w:panose1 w:val="00000000000000000000"/>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ourier">
    <w:panose1 w:val="02060409020205090404"/>
    <w:charset w:val="00"/>
    <w:family w:val="modern"/>
    <w:pitch w:val="default"/>
    <w:sig w:usb0="00000000" w:usb1="00000000" w:usb2="00000000" w:usb3="00000000" w:csb0="00000000" w:csb1="00000000"/>
  </w:font>
  <w:font w:name="五">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G Omega">
    <w:panose1 w:val="020B0502050508090304"/>
    <w:charset w:val="00"/>
    <w:family w:val="swiss"/>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Arial Bold">
    <w:altName w:val="Times New Roman"/>
    <w:panose1 w:val="020B0704020202020204"/>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FrutigerNext LT Regular">
    <w:altName w:val="Tahoma"/>
    <w:panose1 w:val="00000000000000000000"/>
    <w:charset w:val="00"/>
    <w:family w:val="swiss"/>
    <w:pitch w:val="default"/>
    <w:sig w:usb0="00000000" w:usb1="00000000" w:usb2="00000000" w:usb3="00000000" w:csb0="00000111" w:csb1="00000000"/>
  </w:font>
  <w:font w:name="长城仿宋">
    <w:altName w:val="宋体"/>
    <w:panose1 w:val="00000000000000000000"/>
    <w:charset w:val="86"/>
    <w:family w:val="modern"/>
    <w:pitch w:val="default"/>
    <w:sig w:usb0="00000000" w:usb1="00000000" w:usb2="00000010" w:usb3="00000000" w:csb0="00040000" w:csb1="00000000"/>
  </w:font>
  <w:font w:name="ヒラギノ角ゴ Pro W3">
    <w:altName w:val="MS UI Gothic"/>
    <w:panose1 w:val="00000000000000000000"/>
    <w:charset w:val="80"/>
    <w:family w:val="swiss"/>
    <w:pitch w:val="default"/>
    <w:sig w:usb0="00000000" w:usb1="00000000" w:usb2="00000012" w:usb3="00000000" w:csb0="0002000D" w:csb1="00000000"/>
  </w:font>
  <w:font w:name="CG Times (W1)">
    <w:altName w:val="Times New Roman"/>
    <w:panose1 w:val="00000000000000000000"/>
    <w:charset w:val="00"/>
    <w:family w:val="auto"/>
    <w:pitch w:val="default"/>
    <w:sig w:usb0="00000000" w:usb1="00000000" w:usb2="00000000" w:usb3="00000000" w:csb0="00040001" w:csb1="00000000"/>
  </w:font>
  <w:font w:name="汉仪大黑简+Arial">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汉仪中等线简+Helvetica">
    <w:altName w:val="宋体"/>
    <w:panose1 w:val="00000000000000000000"/>
    <w:charset w:val="86"/>
    <w:family w:val="swiss"/>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中等线简体">
    <w:altName w:val="宋体"/>
    <w:panose1 w:val="00000000000000000000"/>
    <w:charset w:val="86"/>
    <w:family w:val="auto"/>
    <w:pitch w:val="default"/>
    <w:sig w:usb0="00000000" w:usb1="00000000" w:usb2="00000010" w:usb3="00000000" w:csb0="00040000" w:csb1="00000000"/>
  </w:font>
  <w:font w:name="Vrinda">
    <w:panose1 w:val="020B0502040204020203"/>
    <w:charset w:val="00"/>
    <w:family w:val="swiss"/>
    <w:pitch w:val="default"/>
    <w:sig w:usb0="00010003"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separate"/>
    </w:r>
    <w:r>
      <w:rPr>
        <w:rStyle w:val="94"/>
      </w:rPr>
      <w:t>64</w:t>
    </w:r>
    <w:r>
      <w:fldChar w:fldCharType="end"/>
    </w:r>
  </w:p>
  <w:p>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separate"/>
    </w:r>
    <w:r>
      <w:rPr>
        <w:rStyle w:val="94"/>
      </w:rPr>
      <w:t>5</w:t>
    </w:r>
    <w:r>
      <w:fldChar w:fldCharType="end"/>
    </w:r>
  </w:p>
  <w:p>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E6267"/>
    <w:multiLevelType w:val="singleLevel"/>
    <w:tmpl w:val="BE9E6267"/>
    <w:lvl w:ilvl="0" w:tentative="0">
      <w:start w:val="1"/>
      <w:numFmt w:val="decimal"/>
      <w:lvlText w:val="%1."/>
      <w:lvlJc w:val="left"/>
      <w:pPr>
        <w:tabs>
          <w:tab w:val="left" w:pos="312"/>
        </w:tabs>
      </w:pPr>
    </w:lvl>
  </w:abstractNum>
  <w:abstractNum w:abstractNumId="1">
    <w:nsid w:val="BEC34860"/>
    <w:multiLevelType w:val="singleLevel"/>
    <w:tmpl w:val="BEC34860"/>
    <w:lvl w:ilvl="0" w:tentative="0">
      <w:start w:val="9"/>
      <w:numFmt w:val="decimal"/>
      <w:suff w:val="space"/>
      <w:lvlText w:val="%1."/>
      <w:lvlJc w:val="left"/>
    </w:lvl>
  </w:abstractNum>
  <w:abstractNum w:abstractNumId="2">
    <w:nsid w:val="00000004"/>
    <w:multiLevelType w:val="multilevel"/>
    <w:tmpl w:val="000000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9"/>
    <w:multiLevelType w:val="multilevel"/>
    <w:tmpl w:val="0000000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1)"/>
      <w:lvlJc w:val="left"/>
      <w:pPr>
        <w:tabs>
          <w:tab w:val="left" w:pos="1180"/>
        </w:tabs>
        <w:ind w:left="1180" w:hanging="420"/>
      </w:pPr>
    </w:lvl>
    <w:lvl w:ilvl="1" w:tentative="0">
      <w:start w:val="1"/>
      <w:numFmt w:val="lowerLetter"/>
      <w:lvlText w:val="%2)"/>
      <w:lvlJc w:val="left"/>
      <w:pPr>
        <w:tabs>
          <w:tab w:val="left" w:pos="1600"/>
        </w:tabs>
        <w:ind w:left="1600" w:hanging="420"/>
      </w:p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5">
    <w:nsid w:val="01973298"/>
    <w:multiLevelType w:val="singleLevel"/>
    <w:tmpl w:val="01973298"/>
    <w:lvl w:ilvl="0" w:tentative="0">
      <w:start w:val="1"/>
      <w:numFmt w:val="decimal"/>
      <w:lvlText w:val="%1)"/>
      <w:lvlJc w:val="left"/>
      <w:pPr>
        <w:tabs>
          <w:tab w:val="left" w:pos="930"/>
        </w:tabs>
        <w:ind w:left="930" w:hanging="240"/>
      </w:pPr>
      <w:rPr>
        <w:rFonts w:hint="eastAsia"/>
      </w:rPr>
    </w:lvl>
  </w:abstractNum>
  <w:abstractNum w:abstractNumId="6">
    <w:nsid w:val="02A22642"/>
    <w:multiLevelType w:val="multilevel"/>
    <w:tmpl w:val="02A22642"/>
    <w:lvl w:ilvl="0" w:tentative="0">
      <w:start w:val="3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7">
    <w:nsid w:val="034C1D6C"/>
    <w:multiLevelType w:val="singleLevel"/>
    <w:tmpl w:val="034C1D6C"/>
    <w:lvl w:ilvl="0" w:tentative="0">
      <w:start w:val="1"/>
      <w:numFmt w:val="decimal"/>
      <w:lvlText w:val="%1)"/>
      <w:lvlJc w:val="left"/>
      <w:pPr>
        <w:tabs>
          <w:tab w:val="left" w:pos="1050"/>
        </w:tabs>
        <w:ind w:left="1050" w:hanging="240"/>
      </w:pPr>
      <w:rPr>
        <w:rFonts w:hint="eastAsia"/>
      </w:rPr>
    </w:lvl>
  </w:abstractNum>
  <w:abstractNum w:abstractNumId="8">
    <w:nsid w:val="05D1574C"/>
    <w:multiLevelType w:val="multilevel"/>
    <w:tmpl w:val="05D1574C"/>
    <w:lvl w:ilvl="0" w:tentative="0">
      <w:start w:val="10"/>
      <w:numFmt w:val="decimal"/>
      <w:lvlText w:val="%1"/>
      <w:lvlJc w:val="left"/>
      <w:pPr>
        <w:tabs>
          <w:tab w:val="left" w:pos="840"/>
        </w:tabs>
        <w:ind w:left="840" w:hanging="840"/>
      </w:pPr>
    </w:lvl>
    <w:lvl w:ilvl="1" w:tentative="0">
      <w:start w:val="1"/>
      <w:numFmt w:val="decimal"/>
      <w:lvlText w:val="%1．%2"/>
      <w:lvlJc w:val="left"/>
      <w:pPr>
        <w:tabs>
          <w:tab w:val="left" w:pos="840"/>
        </w:tabs>
        <w:ind w:left="840" w:hanging="840"/>
      </w:pPr>
    </w:lvl>
    <w:lvl w:ilvl="2" w:tentative="0">
      <w:start w:val="1"/>
      <w:numFmt w:val="decimal"/>
      <w:lvlText w:val="%1．%2.%3"/>
      <w:lvlJc w:val="left"/>
      <w:pPr>
        <w:tabs>
          <w:tab w:val="left" w:pos="840"/>
        </w:tabs>
        <w:ind w:left="840" w:hanging="840"/>
      </w:pPr>
    </w:lvl>
    <w:lvl w:ilvl="3" w:tentative="0">
      <w:start w:val="1"/>
      <w:numFmt w:val="decimal"/>
      <w:lvlText w:val="%1．%2.%3.%4"/>
      <w:lvlJc w:val="left"/>
      <w:pPr>
        <w:tabs>
          <w:tab w:val="left" w:pos="840"/>
        </w:tabs>
        <w:ind w:left="840" w:hanging="840"/>
      </w:pPr>
    </w:lvl>
    <w:lvl w:ilvl="4" w:tentative="0">
      <w:start w:val="1"/>
      <w:numFmt w:val="decimal"/>
      <w:lvlText w:val="%1．%2.%3.%4.%5"/>
      <w:lvlJc w:val="left"/>
      <w:pPr>
        <w:tabs>
          <w:tab w:val="left" w:pos="840"/>
        </w:tabs>
        <w:ind w:left="840" w:hanging="840"/>
      </w:pPr>
    </w:lvl>
    <w:lvl w:ilvl="5" w:tentative="0">
      <w:start w:val="1"/>
      <w:numFmt w:val="decimal"/>
      <w:lvlText w:val="%1．%2.%3.%4.%5.%6"/>
      <w:lvlJc w:val="left"/>
      <w:pPr>
        <w:tabs>
          <w:tab w:val="left" w:pos="840"/>
        </w:tabs>
        <w:ind w:left="840" w:hanging="840"/>
      </w:pPr>
    </w:lvl>
    <w:lvl w:ilvl="6" w:tentative="0">
      <w:start w:val="1"/>
      <w:numFmt w:val="decimal"/>
      <w:lvlText w:val="%1．%2.%3.%4.%5.%6.%7"/>
      <w:lvlJc w:val="left"/>
      <w:pPr>
        <w:tabs>
          <w:tab w:val="left" w:pos="840"/>
        </w:tabs>
        <w:ind w:left="840" w:hanging="840"/>
      </w:pPr>
    </w:lvl>
    <w:lvl w:ilvl="7" w:tentative="0">
      <w:start w:val="1"/>
      <w:numFmt w:val="decimal"/>
      <w:lvlText w:val="%1．%2.%3.%4.%5.%6.%7.%8"/>
      <w:lvlJc w:val="left"/>
      <w:pPr>
        <w:tabs>
          <w:tab w:val="left" w:pos="840"/>
        </w:tabs>
        <w:ind w:left="840" w:hanging="840"/>
      </w:pPr>
    </w:lvl>
    <w:lvl w:ilvl="8" w:tentative="0">
      <w:start w:val="1"/>
      <w:numFmt w:val="decimal"/>
      <w:lvlText w:val="%1．%2.%3.%4.%5.%6.%7.%8.%9"/>
      <w:lvlJc w:val="left"/>
      <w:pPr>
        <w:tabs>
          <w:tab w:val="left" w:pos="840"/>
        </w:tabs>
        <w:ind w:left="840" w:hanging="840"/>
      </w:pPr>
    </w:lvl>
  </w:abstractNum>
  <w:abstractNum w:abstractNumId="9">
    <w:nsid w:val="062A259D"/>
    <w:multiLevelType w:val="multilevel"/>
    <w:tmpl w:val="062A259D"/>
    <w:lvl w:ilvl="0" w:tentative="0">
      <w:start w:val="7"/>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10">
    <w:nsid w:val="067C75B6"/>
    <w:multiLevelType w:val="multilevel"/>
    <w:tmpl w:val="067C75B6"/>
    <w:lvl w:ilvl="0" w:tentative="0">
      <w:start w:val="1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1">
    <w:nsid w:val="07305F17"/>
    <w:multiLevelType w:val="multilevel"/>
    <w:tmpl w:val="07305F17"/>
    <w:lvl w:ilvl="0" w:tentative="0">
      <w:start w:val="2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2">
    <w:nsid w:val="0A633AA3"/>
    <w:multiLevelType w:val="multilevel"/>
    <w:tmpl w:val="0A633AA3"/>
    <w:lvl w:ilvl="0" w:tentative="0">
      <w:start w:val="3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3">
    <w:nsid w:val="0B2C5011"/>
    <w:multiLevelType w:val="multilevel"/>
    <w:tmpl w:val="0B2C5011"/>
    <w:lvl w:ilvl="0" w:tentative="0">
      <w:start w:val="3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4">
    <w:nsid w:val="0B6D1811"/>
    <w:multiLevelType w:val="multilevel"/>
    <w:tmpl w:val="0B6D1811"/>
    <w:lvl w:ilvl="0" w:tentative="0">
      <w:start w:val="3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5">
    <w:nsid w:val="0C6CDC0A"/>
    <w:multiLevelType w:val="singleLevel"/>
    <w:tmpl w:val="0C6CDC0A"/>
    <w:lvl w:ilvl="0" w:tentative="0">
      <w:start w:val="5"/>
      <w:numFmt w:val="decimal"/>
      <w:lvlText w:val="%1."/>
      <w:lvlJc w:val="left"/>
      <w:pPr>
        <w:tabs>
          <w:tab w:val="left" w:pos="312"/>
        </w:tabs>
      </w:pPr>
    </w:lvl>
  </w:abstractNum>
  <w:abstractNum w:abstractNumId="16">
    <w:nsid w:val="0D55205A"/>
    <w:multiLevelType w:val="multilevel"/>
    <w:tmpl w:val="0D55205A"/>
    <w:lvl w:ilvl="0" w:tentative="0">
      <w:start w:val="1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7">
    <w:nsid w:val="0E754979"/>
    <w:multiLevelType w:val="multilevel"/>
    <w:tmpl w:val="0E754979"/>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18">
    <w:nsid w:val="12B9062D"/>
    <w:multiLevelType w:val="multilevel"/>
    <w:tmpl w:val="12B9062D"/>
    <w:lvl w:ilvl="0" w:tentative="0">
      <w:start w:val="1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9">
    <w:nsid w:val="16F32296"/>
    <w:multiLevelType w:val="multilevel"/>
    <w:tmpl w:val="16F32296"/>
    <w:lvl w:ilvl="0" w:tentative="0">
      <w:start w:val="28"/>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0">
    <w:nsid w:val="171A6FB2"/>
    <w:multiLevelType w:val="singleLevel"/>
    <w:tmpl w:val="171A6FB2"/>
    <w:lvl w:ilvl="0" w:tentative="0">
      <w:start w:val="1"/>
      <w:numFmt w:val="decimal"/>
      <w:lvlText w:val="%1）"/>
      <w:lvlJc w:val="left"/>
      <w:pPr>
        <w:tabs>
          <w:tab w:val="left" w:pos="890"/>
        </w:tabs>
        <w:ind w:left="890" w:hanging="465"/>
      </w:pPr>
    </w:lvl>
  </w:abstractNum>
  <w:abstractNum w:abstractNumId="21">
    <w:nsid w:val="1830205C"/>
    <w:multiLevelType w:val="multilevel"/>
    <w:tmpl w:val="1830205C"/>
    <w:lvl w:ilvl="0" w:tentative="0">
      <w:start w:val="1"/>
      <w:numFmt w:val="decimal"/>
      <w:lvlText w:val="%1)"/>
      <w:lvlJc w:val="left"/>
      <w:pPr>
        <w:tabs>
          <w:tab w:val="left" w:pos="960"/>
        </w:tabs>
        <w:ind w:left="960" w:hanging="420"/>
      </w:pPr>
    </w:lvl>
    <w:lvl w:ilvl="1" w:tentative="0">
      <w:start w:val="1"/>
      <w:numFmt w:val="decimal"/>
      <w:lvlText w:val="%2、"/>
      <w:lvlJc w:val="left"/>
      <w:pPr>
        <w:tabs>
          <w:tab w:val="left" w:pos="1320"/>
        </w:tabs>
        <w:ind w:left="1320" w:hanging="360"/>
      </w:pPr>
      <w:rPr>
        <w:rFonts w:hint="eastAsia"/>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2">
    <w:nsid w:val="1A95737C"/>
    <w:multiLevelType w:val="multilevel"/>
    <w:tmpl w:val="1A95737C"/>
    <w:lvl w:ilvl="0" w:tentative="0">
      <w:start w:val="1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3">
    <w:nsid w:val="1B681982"/>
    <w:multiLevelType w:val="singleLevel"/>
    <w:tmpl w:val="1B681982"/>
    <w:lvl w:ilvl="0" w:tentative="0">
      <w:start w:val="1"/>
      <w:numFmt w:val="decimal"/>
      <w:lvlText w:val="%1)"/>
      <w:lvlJc w:val="left"/>
      <w:pPr>
        <w:tabs>
          <w:tab w:val="left" w:pos="1140"/>
        </w:tabs>
        <w:ind w:left="1140" w:hanging="240"/>
      </w:pPr>
    </w:lvl>
  </w:abstractNum>
  <w:abstractNum w:abstractNumId="24">
    <w:nsid w:val="1EEB5251"/>
    <w:multiLevelType w:val="multilevel"/>
    <w:tmpl w:val="1EEB5251"/>
    <w:lvl w:ilvl="0" w:tentative="0">
      <w:start w:val="2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5">
    <w:nsid w:val="20837F67"/>
    <w:multiLevelType w:val="multilevel"/>
    <w:tmpl w:val="20837F6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2AC583B"/>
    <w:multiLevelType w:val="multilevel"/>
    <w:tmpl w:val="22AC583B"/>
    <w:lvl w:ilvl="0" w:tentative="0">
      <w:start w:val="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27">
    <w:nsid w:val="297C2FEC"/>
    <w:multiLevelType w:val="multilevel"/>
    <w:tmpl w:val="297C2FEC"/>
    <w:lvl w:ilvl="0" w:tentative="0">
      <w:start w:val="2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8">
    <w:nsid w:val="299F661F"/>
    <w:multiLevelType w:val="singleLevel"/>
    <w:tmpl w:val="299F661F"/>
    <w:lvl w:ilvl="0" w:tentative="0">
      <w:start w:val="1"/>
      <w:numFmt w:val="decimal"/>
      <w:lvlText w:val="%1)"/>
      <w:lvlJc w:val="left"/>
      <w:pPr>
        <w:tabs>
          <w:tab w:val="left" w:pos="1080"/>
        </w:tabs>
        <w:ind w:left="1080" w:hanging="240"/>
      </w:pPr>
      <w:rPr>
        <w:rFonts w:hint="eastAsia"/>
      </w:rPr>
    </w:lvl>
  </w:abstractNum>
  <w:abstractNum w:abstractNumId="29">
    <w:nsid w:val="2B0E6635"/>
    <w:multiLevelType w:val="singleLevel"/>
    <w:tmpl w:val="2B0E6635"/>
    <w:lvl w:ilvl="0" w:tentative="0">
      <w:start w:val="1"/>
      <w:numFmt w:val="decimal"/>
      <w:lvlText w:val="%1)"/>
      <w:lvlJc w:val="left"/>
      <w:pPr>
        <w:tabs>
          <w:tab w:val="left" w:pos="1200"/>
        </w:tabs>
        <w:ind w:left="1200" w:hanging="240"/>
      </w:pPr>
      <w:rPr>
        <w:rFonts w:hint="eastAsia"/>
      </w:rPr>
    </w:lvl>
  </w:abstractNum>
  <w:abstractNum w:abstractNumId="30">
    <w:nsid w:val="2CD36470"/>
    <w:multiLevelType w:val="multilevel"/>
    <w:tmpl w:val="2CD36470"/>
    <w:lvl w:ilvl="0" w:tentative="0">
      <w:start w:val="1"/>
      <w:numFmt w:val="chineseCountingThousand"/>
      <w:lvlText w:val="%1"/>
      <w:lvlJc w:val="left"/>
      <w:pPr>
        <w:tabs>
          <w:tab w:val="left" w:pos="3405"/>
        </w:tabs>
        <w:ind w:left="3405" w:hanging="465"/>
      </w:pPr>
      <w:rPr>
        <w:rFonts w:hint="eastAsia"/>
      </w:r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710"/>
        </w:tabs>
        <w:ind w:left="1710" w:hanging="870"/>
      </w:pPr>
      <w:rPr>
        <w:rFonts w:hint="eastAsia"/>
      </w:rPr>
    </w:lvl>
    <w:lvl w:ilvl="3" w:tentative="0">
      <w:start w:val="3"/>
      <w:numFmt w:val="decimal"/>
      <w:lvlText w:val="%4．"/>
      <w:lvlJc w:val="left"/>
      <w:pPr>
        <w:tabs>
          <w:tab w:val="left" w:pos="900"/>
        </w:tabs>
        <w:ind w:left="90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2E3F6AB9"/>
    <w:multiLevelType w:val="multilevel"/>
    <w:tmpl w:val="2E3F6AB9"/>
    <w:lvl w:ilvl="0" w:tentative="0">
      <w:start w:val="5"/>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2">
    <w:nsid w:val="2F6E4008"/>
    <w:multiLevelType w:val="singleLevel"/>
    <w:tmpl w:val="2F6E4008"/>
    <w:lvl w:ilvl="0" w:tentative="0">
      <w:start w:val="1"/>
      <w:numFmt w:val="decimal"/>
      <w:lvlText w:val="%1)"/>
      <w:lvlJc w:val="left"/>
      <w:pPr>
        <w:tabs>
          <w:tab w:val="left" w:pos="719"/>
        </w:tabs>
        <w:ind w:left="719" w:hanging="240"/>
      </w:pPr>
      <w:rPr>
        <w:rFonts w:hint="eastAsia"/>
      </w:rPr>
    </w:lvl>
  </w:abstractNum>
  <w:abstractNum w:abstractNumId="33">
    <w:nsid w:val="2FEA6790"/>
    <w:multiLevelType w:val="multilevel"/>
    <w:tmpl w:val="2FEA6790"/>
    <w:lvl w:ilvl="0" w:tentative="0">
      <w:start w:val="1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4">
    <w:nsid w:val="32216081"/>
    <w:multiLevelType w:val="multilevel"/>
    <w:tmpl w:val="32216081"/>
    <w:lvl w:ilvl="0" w:tentative="0">
      <w:start w:val="3"/>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5">
    <w:nsid w:val="34CB7BAC"/>
    <w:multiLevelType w:val="singleLevel"/>
    <w:tmpl w:val="34CB7BAC"/>
    <w:lvl w:ilvl="0" w:tentative="0">
      <w:start w:val="1"/>
      <w:numFmt w:val="decimal"/>
      <w:lvlText w:val="%1)"/>
      <w:lvlJc w:val="left"/>
      <w:pPr>
        <w:tabs>
          <w:tab w:val="left" w:pos="660"/>
        </w:tabs>
        <w:ind w:left="660" w:hanging="240"/>
      </w:pPr>
      <w:rPr>
        <w:rFonts w:hint="eastAsia"/>
      </w:rPr>
    </w:lvl>
  </w:abstractNum>
  <w:abstractNum w:abstractNumId="36">
    <w:nsid w:val="39B87DCE"/>
    <w:multiLevelType w:val="multilevel"/>
    <w:tmpl w:val="39B87DCE"/>
    <w:lvl w:ilvl="0" w:tentative="0">
      <w:start w:val="20"/>
      <w:numFmt w:val="decimal"/>
      <w:lvlText w:val="%1"/>
      <w:lvlJc w:val="left"/>
      <w:pPr>
        <w:ind w:left="480" w:hanging="480"/>
      </w:pPr>
      <w:rPr>
        <w:rFonts w:hint="default"/>
      </w:rPr>
    </w:lvl>
    <w:lvl w:ilvl="1" w:tentative="0">
      <w:start w:val="6"/>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7">
    <w:nsid w:val="3A0B7DA4"/>
    <w:multiLevelType w:val="multilevel"/>
    <w:tmpl w:val="3A0B7DA4"/>
    <w:lvl w:ilvl="0" w:tentative="0">
      <w:start w:val="3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8">
    <w:nsid w:val="3C0957A7"/>
    <w:multiLevelType w:val="multilevel"/>
    <w:tmpl w:val="3C0957A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C111650"/>
    <w:multiLevelType w:val="multilevel"/>
    <w:tmpl w:val="3C111650"/>
    <w:lvl w:ilvl="0" w:tentative="0">
      <w:start w:val="1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0">
    <w:nsid w:val="43596953"/>
    <w:multiLevelType w:val="singleLevel"/>
    <w:tmpl w:val="43596953"/>
    <w:lvl w:ilvl="0" w:tentative="0">
      <w:start w:val="1"/>
      <w:numFmt w:val="decimal"/>
      <w:suff w:val="nothing"/>
      <w:lvlText w:val="%1、"/>
      <w:lvlJc w:val="left"/>
    </w:lvl>
  </w:abstractNum>
  <w:abstractNum w:abstractNumId="41">
    <w:nsid w:val="439155A5"/>
    <w:multiLevelType w:val="multilevel"/>
    <w:tmpl w:val="439155A5"/>
    <w:lvl w:ilvl="0" w:tentative="0">
      <w:start w:val="1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2">
    <w:nsid w:val="4433187F"/>
    <w:multiLevelType w:val="multilevel"/>
    <w:tmpl w:val="4433187F"/>
    <w:lvl w:ilvl="0" w:tentative="0">
      <w:start w:val="1"/>
      <w:numFmt w:val="chineseCountingThousand"/>
      <w:lvlText w:val="%1"/>
      <w:lvlJc w:val="left"/>
      <w:pPr>
        <w:tabs>
          <w:tab w:val="left" w:pos="4360"/>
        </w:tabs>
        <w:ind w:left="4360" w:hanging="425"/>
      </w:pPr>
      <w:rPr>
        <w:rFonts w:hint="eastAsia" w:eastAsia="黑体"/>
        <w:b/>
        <w:i w:val="0"/>
        <w:sz w:val="30"/>
      </w:rPr>
    </w:lvl>
    <w:lvl w:ilvl="1" w:tentative="0">
      <w:start w:val="1"/>
      <w:numFmt w:val="decimal"/>
      <w:lvlText w:val="(%2)"/>
      <w:lvlJc w:val="left"/>
      <w:pPr>
        <w:tabs>
          <w:tab w:val="left" w:pos="900"/>
        </w:tabs>
        <w:ind w:left="900" w:hanging="480"/>
      </w:pPr>
      <w:rPr>
        <w:rFonts w:hint="eastAsia"/>
      </w:rPr>
    </w:lvl>
    <w:lvl w:ilvl="2" w:tentative="0">
      <w:start w:val="1"/>
      <w:numFmt w:val="decimal"/>
      <w:lvlText w:val="(%3)"/>
      <w:lvlJc w:val="left"/>
      <w:pPr>
        <w:tabs>
          <w:tab w:val="left" w:pos="1200"/>
        </w:tabs>
        <w:ind w:left="1200" w:hanging="360"/>
      </w:pPr>
      <w:rPr>
        <w:rFonts w:hint="eastAsia"/>
      </w:rPr>
    </w:lvl>
    <w:lvl w:ilvl="3" w:tentative="0">
      <w:start w:val="11"/>
      <w:numFmt w:val="decimal"/>
      <w:lvlText w:val="%4、"/>
      <w:lvlJc w:val="left"/>
      <w:pPr>
        <w:ind w:left="1980" w:hanging="720"/>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492B33A3"/>
    <w:multiLevelType w:val="multilevel"/>
    <w:tmpl w:val="492B33A3"/>
    <w:lvl w:ilvl="0" w:tentative="0">
      <w:start w:val="2"/>
      <w:numFmt w:val="decimal"/>
      <w:lvlText w:val="%1"/>
      <w:lvlJc w:val="left"/>
      <w:pPr>
        <w:tabs>
          <w:tab w:val="left" w:pos="360"/>
        </w:tabs>
        <w:ind w:left="360" w:hanging="360"/>
      </w:pPr>
      <w:rPr>
        <w:rFonts w:hint="eastAsia"/>
        <w:b w:val="0"/>
      </w:rPr>
    </w:lvl>
    <w:lvl w:ilvl="1" w:tentative="0">
      <w:start w:val="2"/>
      <w:numFmt w:val="decimal"/>
      <w:lvlText w:val="%1.%2"/>
      <w:lvlJc w:val="left"/>
      <w:pPr>
        <w:tabs>
          <w:tab w:val="left" w:pos="720"/>
        </w:tabs>
        <w:ind w:left="720" w:hanging="720"/>
      </w:pPr>
      <w:rPr>
        <w:rFonts w:hint="eastAsia"/>
        <w:b w:val="0"/>
      </w:rPr>
    </w:lvl>
    <w:lvl w:ilvl="2" w:tentative="0">
      <w:start w:val="1"/>
      <w:numFmt w:val="decimal"/>
      <w:lvlText w:val="%1.%2.%3"/>
      <w:lvlJc w:val="left"/>
      <w:pPr>
        <w:tabs>
          <w:tab w:val="left" w:pos="720"/>
        </w:tabs>
        <w:ind w:left="720" w:hanging="720"/>
      </w:pPr>
      <w:rPr>
        <w:rFonts w:hint="eastAsia"/>
        <w:b w:val="0"/>
      </w:rPr>
    </w:lvl>
    <w:lvl w:ilvl="3" w:tentative="0">
      <w:start w:val="1"/>
      <w:numFmt w:val="decimal"/>
      <w:lvlText w:val="%1.%2.%3.%4"/>
      <w:lvlJc w:val="left"/>
      <w:pPr>
        <w:tabs>
          <w:tab w:val="left" w:pos="1080"/>
        </w:tabs>
        <w:ind w:left="1080" w:hanging="1080"/>
      </w:pPr>
      <w:rPr>
        <w:rFonts w:hint="eastAsia"/>
        <w:b w:val="0"/>
      </w:rPr>
    </w:lvl>
    <w:lvl w:ilvl="4" w:tentative="0">
      <w:start w:val="1"/>
      <w:numFmt w:val="decimal"/>
      <w:lvlText w:val="%1.%2.%3.%4.%5"/>
      <w:lvlJc w:val="left"/>
      <w:pPr>
        <w:tabs>
          <w:tab w:val="left" w:pos="1440"/>
        </w:tabs>
        <w:ind w:left="1440" w:hanging="1440"/>
      </w:pPr>
      <w:rPr>
        <w:rFonts w:hint="eastAsia"/>
        <w:b w:val="0"/>
      </w:rPr>
    </w:lvl>
    <w:lvl w:ilvl="5" w:tentative="0">
      <w:start w:val="1"/>
      <w:numFmt w:val="decimal"/>
      <w:lvlText w:val="%1.%2.%3.%4.%5.%6"/>
      <w:lvlJc w:val="left"/>
      <w:pPr>
        <w:tabs>
          <w:tab w:val="left" w:pos="1440"/>
        </w:tabs>
        <w:ind w:left="1440" w:hanging="1440"/>
      </w:pPr>
      <w:rPr>
        <w:rFonts w:hint="eastAsia"/>
        <w:b w:val="0"/>
      </w:rPr>
    </w:lvl>
    <w:lvl w:ilvl="6" w:tentative="0">
      <w:start w:val="1"/>
      <w:numFmt w:val="decimal"/>
      <w:lvlText w:val="%1.%2.%3.%4.%5.%6.%7"/>
      <w:lvlJc w:val="left"/>
      <w:pPr>
        <w:tabs>
          <w:tab w:val="left" w:pos="1800"/>
        </w:tabs>
        <w:ind w:left="1800" w:hanging="1800"/>
      </w:pPr>
      <w:rPr>
        <w:rFonts w:hint="eastAsia"/>
        <w:b w:val="0"/>
      </w:rPr>
    </w:lvl>
    <w:lvl w:ilvl="7" w:tentative="0">
      <w:start w:val="1"/>
      <w:numFmt w:val="decimal"/>
      <w:lvlText w:val="%1.%2.%3.%4.%5.%6.%7.%8"/>
      <w:lvlJc w:val="left"/>
      <w:pPr>
        <w:tabs>
          <w:tab w:val="left" w:pos="2160"/>
        </w:tabs>
        <w:ind w:left="2160" w:hanging="2160"/>
      </w:pPr>
      <w:rPr>
        <w:rFonts w:hint="eastAsia"/>
        <w:b w:val="0"/>
      </w:rPr>
    </w:lvl>
    <w:lvl w:ilvl="8" w:tentative="0">
      <w:start w:val="1"/>
      <w:numFmt w:val="decimal"/>
      <w:lvlText w:val="%1.%2.%3.%4.%5.%6.%7.%8.%9"/>
      <w:lvlJc w:val="left"/>
      <w:pPr>
        <w:tabs>
          <w:tab w:val="left" w:pos="2160"/>
        </w:tabs>
        <w:ind w:left="2160" w:hanging="2160"/>
      </w:pPr>
      <w:rPr>
        <w:rFonts w:hint="eastAsia"/>
        <w:b w:val="0"/>
      </w:rPr>
    </w:lvl>
  </w:abstractNum>
  <w:abstractNum w:abstractNumId="44">
    <w:nsid w:val="49C55FEF"/>
    <w:multiLevelType w:val="multilevel"/>
    <w:tmpl w:val="49C55FEF"/>
    <w:lvl w:ilvl="0" w:tentative="0">
      <w:start w:val="3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5">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upperLetter"/>
      <w:lvlText w:val="%3."/>
      <w:lvlJc w:val="left"/>
      <w:pPr>
        <w:tabs>
          <w:tab w:val="left" w:pos="2115"/>
        </w:tabs>
        <w:ind w:left="2115" w:hanging="555"/>
      </w:pPr>
      <w:rPr>
        <w:rFonts w:hint="eastAsia"/>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6">
    <w:nsid w:val="4D6A1EDC"/>
    <w:multiLevelType w:val="multilevel"/>
    <w:tmpl w:val="4D6A1EDC"/>
    <w:lvl w:ilvl="0" w:tentative="0">
      <w:start w:val="2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7">
    <w:nsid w:val="4FD61139"/>
    <w:multiLevelType w:val="multilevel"/>
    <w:tmpl w:val="4FD61139"/>
    <w:lvl w:ilvl="0" w:tentative="0">
      <w:start w:val="1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8">
    <w:nsid w:val="53EA6E03"/>
    <w:multiLevelType w:val="multilevel"/>
    <w:tmpl w:val="53EA6E03"/>
    <w:lvl w:ilvl="0" w:tentative="0">
      <w:start w:val="8"/>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9">
    <w:nsid w:val="55724361"/>
    <w:multiLevelType w:val="multilevel"/>
    <w:tmpl w:val="55724361"/>
    <w:lvl w:ilvl="0" w:tentative="0">
      <w:start w:val="2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0">
    <w:nsid w:val="576B645B"/>
    <w:multiLevelType w:val="multilevel"/>
    <w:tmpl w:val="576B645B"/>
    <w:lvl w:ilvl="0" w:tentative="0">
      <w:start w:val="21"/>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1">
    <w:nsid w:val="57941581"/>
    <w:multiLevelType w:val="singleLevel"/>
    <w:tmpl w:val="57941581"/>
    <w:lvl w:ilvl="0" w:tentative="0">
      <w:start w:val="1"/>
      <w:numFmt w:val="japaneseCounting"/>
      <w:lvlText w:val="%1."/>
      <w:lvlJc w:val="left"/>
      <w:pPr>
        <w:tabs>
          <w:tab w:val="left" w:pos="405"/>
        </w:tabs>
        <w:ind w:left="405" w:hanging="405"/>
      </w:pPr>
      <w:rPr>
        <w:rFonts w:hint="eastAsia"/>
      </w:rPr>
    </w:lvl>
  </w:abstractNum>
  <w:abstractNum w:abstractNumId="52">
    <w:nsid w:val="5A6106A6"/>
    <w:multiLevelType w:val="multilevel"/>
    <w:tmpl w:val="5A6106A6"/>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B4000A3"/>
    <w:multiLevelType w:val="multilevel"/>
    <w:tmpl w:val="5B4000A3"/>
    <w:lvl w:ilvl="0" w:tentative="0">
      <w:start w:val="25"/>
      <w:numFmt w:val="decimal"/>
      <w:lvlText w:val="%1"/>
      <w:lvlJc w:val="left"/>
      <w:pPr>
        <w:ind w:left="480" w:hanging="480"/>
      </w:pPr>
      <w:rPr>
        <w:rFonts w:hint="default"/>
      </w:rPr>
    </w:lvl>
    <w:lvl w:ilvl="1" w:tentative="0">
      <w:start w:val="6"/>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4">
    <w:nsid w:val="5E543958"/>
    <w:multiLevelType w:val="singleLevel"/>
    <w:tmpl w:val="5E543958"/>
    <w:lvl w:ilvl="0" w:tentative="0">
      <w:start w:val="5"/>
      <w:numFmt w:val="decimal"/>
      <w:suff w:val="nothing"/>
      <w:lvlText w:val="%1、"/>
      <w:lvlJc w:val="left"/>
    </w:lvl>
  </w:abstractNum>
  <w:abstractNum w:abstractNumId="55">
    <w:nsid w:val="5F6D2720"/>
    <w:multiLevelType w:val="multilevel"/>
    <w:tmpl w:val="5F6D2720"/>
    <w:lvl w:ilvl="0" w:tentative="0">
      <w:start w:val="3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6">
    <w:nsid w:val="618F6D61"/>
    <w:multiLevelType w:val="multilevel"/>
    <w:tmpl w:val="618F6D61"/>
    <w:lvl w:ilvl="0" w:tentative="0">
      <w:start w:val="2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57">
    <w:nsid w:val="64C060A2"/>
    <w:multiLevelType w:val="multilevel"/>
    <w:tmpl w:val="64C060A2"/>
    <w:lvl w:ilvl="0" w:tentative="0">
      <w:start w:val="4"/>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58">
    <w:nsid w:val="677E0E1F"/>
    <w:multiLevelType w:val="multilevel"/>
    <w:tmpl w:val="677E0E1F"/>
    <w:lvl w:ilvl="0" w:tentative="0">
      <w:start w:val="1"/>
      <w:numFmt w:val="decimal"/>
      <w:lvlText w:val="%1."/>
      <w:lvlJc w:val="left"/>
      <w:pPr>
        <w:tabs>
          <w:tab w:val="left" w:pos="420"/>
        </w:tabs>
        <w:ind w:left="420"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9">
    <w:nsid w:val="69412735"/>
    <w:multiLevelType w:val="multilevel"/>
    <w:tmpl w:val="69412735"/>
    <w:lvl w:ilvl="0" w:tentative="0">
      <w:start w:val="2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60">
    <w:nsid w:val="6B377381"/>
    <w:multiLevelType w:val="multilevel"/>
    <w:tmpl w:val="6B377381"/>
    <w:lvl w:ilvl="0" w:tentative="0">
      <w:start w:val="3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61">
    <w:nsid w:val="6D1631D3"/>
    <w:multiLevelType w:val="singleLevel"/>
    <w:tmpl w:val="6D1631D3"/>
    <w:lvl w:ilvl="0" w:tentative="0">
      <w:start w:val="1"/>
      <w:numFmt w:val="decimal"/>
      <w:lvlText w:val="%1)"/>
      <w:lvlJc w:val="left"/>
      <w:pPr>
        <w:tabs>
          <w:tab w:val="left" w:pos="1080"/>
        </w:tabs>
        <w:ind w:left="1080" w:hanging="240"/>
      </w:pPr>
      <w:rPr>
        <w:rFonts w:hint="eastAsia"/>
      </w:rPr>
    </w:lvl>
  </w:abstractNum>
  <w:abstractNum w:abstractNumId="62">
    <w:nsid w:val="76F43925"/>
    <w:multiLevelType w:val="multilevel"/>
    <w:tmpl w:val="76F43925"/>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3">
    <w:nsid w:val="789B1B11"/>
    <w:multiLevelType w:val="singleLevel"/>
    <w:tmpl w:val="789B1B11"/>
    <w:lvl w:ilvl="0" w:tentative="0">
      <w:start w:val="1"/>
      <w:numFmt w:val="decimal"/>
      <w:lvlText w:val="%1)"/>
      <w:lvlJc w:val="left"/>
      <w:pPr>
        <w:tabs>
          <w:tab w:val="left" w:pos="720"/>
        </w:tabs>
        <w:ind w:left="720" w:hanging="240"/>
      </w:pPr>
      <w:rPr>
        <w:rFonts w:hint="eastAsia"/>
      </w:rPr>
    </w:lvl>
  </w:abstractNum>
  <w:abstractNum w:abstractNumId="64">
    <w:nsid w:val="7B7A3CBF"/>
    <w:multiLevelType w:val="multilevel"/>
    <w:tmpl w:val="7B7A3CBF"/>
    <w:lvl w:ilvl="0" w:tentative="0">
      <w:start w:val="2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65">
    <w:nsid w:val="7EB37FD6"/>
    <w:multiLevelType w:val="multilevel"/>
    <w:tmpl w:val="7EB37F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F3F6DCB"/>
    <w:multiLevelType w:val="multilevel"/>
    <w:tmpl w:val="7F3F6DCB"/>
    <w:lvl w:ilvl="0" w:tentative="0">
      <w:start w:val="1"/>
      <w:numFmt w:val="decimal"/>
      <w:lvlText w:val="3.%1"/>
      <w:lvlJc w:val="left"/>
      <w:pPr>
        <w:tabs>
          <w:tab w:val="left" w:pos="425"/>
        </w:tabs>
        <w:ind w:left="425" w:hanging="425"/>
      </w:pPr>
      <w:rPr>
        <w:rFonts w:hint="eastAsia"/>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7">
    <w:nsid w:val="7F4555C4"/>
    <w:multiLevelType w:val="multilevel"/>
    <w:tmpl w:val="7F4555C4"/>
    <w:lvl w:ilvl="0" w:tentative="0">
      <w:start w:val="2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num w:numId="1">
    <w:abstractNumId w:val="52"/>
  </w:num>
  <w:num w:numId="2">
    <w:abstractNumId w:val="54"/>
  </w:num>
  <w:num w:numId="3">
    <w:abstractNumId w:val="51"/>
  </w:num>
  <w:num w:numId="4">
    <w:abstractNumId w:val="17"/>
  </w:num>
  <w:num w:numId="5">
    <w:abstractNumId w:val="43"/>
  </w:num>
  <w:num w:numId="6">
    <w:abstractNumId w:val="26"/>
  </w:num>
  <w:num w:numId="7">
    <w:abstractNumId w:val="45"/>
  </w:num>
  <w:num w:numId="8">
    <w:abstractNumId w:val="36"/>
  </w:num>
  <w:num w:numId="9">
    <w:abstractNumId w:val="50"/>
  </w:num>
  <w:num w:numId="10">
    <w:abstractNumId w:val="53"/>
  </w:num>
  <w:num w:numId="11">
    <w:abstractNumId w:val="42"/>
  </w:num>
  <w:num w:numId="12">
    <w:abstractNumId w:val="38"/>
  </w:num>
  <w:num w:numId="13">
    <w:abstractNumId w:val="20"/>
  </w:num>
  <w:num w:numId="14">
    <w:abstractNumId w:val="34"/>
  </w:num>
  <w:num w:numId="15">
    <w:abstractNumId w:val="57"/>
  </w:num>
  <w:num w:numId="16">
    <w:abstractNumId w:val="31"/>
  </w:num>
  <w:num w:numId="17">
    <w:abstractNumId w:val="9"/>
  </w:num>
  <w:num w:numId="18">
    <w:abstractNumId w:val="48"/>
  </w:num>
  <w:num w:numId="19">
    <w:abstractNumId w:val="8"/>
  </w:num>
  <w:num w:numId="20">
    <w:abstractNumId w:val="23"/>
  </w:num>
  <w:num w:numId="21">
    <w:abstractNumId w:val="10"/>
  </w:num>
  <w:num w:numId="22">
    <w:abstractNumId w:val="32"/>
  </w:num>
  <w:num w:numId="23">
    <w:abstractNumId w:val="41"/>
  </w:num>
  <w:num w:numId="24">
    <w:abstractNumId w:val="39"/>
  </w:num>
  <w:num w:numId="25">
    <w:abstractNumId w:val="22"/>
  </w:num>
  <w:num w:numId="26">
    <w:abstractNumId w:val="47"/>
  </w:num>
  <w:num w:numId="27">
    <w:abstractNumId w:val="33"/>
  </w:num>
  <w:num w:numId="28">
    <w:abstractNumId w:val="63"/>
  </w:num>
  <w:num w:numId="29">
    <w:abstractNumId w:val="18"/>
  </w:num>
  <w:num w:numId="30">
    <w:abstractNumId w:val="35"/>
  </w:num>
  <w:num w:numId="31">
    <w:abstractNumId w:val="16"/>
  </w:num>
  <w:num w:numId="32">
    <w:abstractNumId w:val="5"/>
  </w:num>
  <w:num w:numId="33">
    <w:abstractNumId w:val="24"/>
  </w:num>
  <w:num w:numId="34">
    <w:abstractNumId w:val="59"/>
  </w:num>
  <w:num w:numId="35">
    <w:abstractNumId w:val="27"/>
  </w:num>
  <w:num w:numId="36">
    <w:abstractNumId w:val="28"/>
  </w:num>
  <w:num w:numId="37">
    <w:abstractNumId w:val="56"/>
  </w:num>
  <w:num w:numId="38">
    <w:abstractNumId w:val="64"/>
  </w:num>
  <w:num w:numId="39">
    <w:abstractNumId w:val="11"/>
  </w:num>
  <w:num w:numId="40">
    <w:abstractNumId w:val="49"/>
  </w:num>
  <w:num w:numId="41">
    <w:abstractNumId w:val="46"/>
  </w:num>
  <w:num w:numId="42">
    <w:abstractNumId w:val="19"/>
  </w:num>
  <w:num w:numId="43">
    <w:abstractNumId w:val="7"/>
  </w:num>
  <w:num w:numId="44">
    <w:abstractNumId w:val="67"/>
  </w:num>
  <w:num w:numId="45">
    <w:abstractNumId w:val="14"/>
  </w:num>
  <w:num w:numId="46">
    <w:abstractNumId w:val="13"/>
  </w:num>
  <w:num w:numId="47">
    <w:abstractNumId w:val="61"/>
  </w:num>
  <w:num w:numId="48">
    <w:abstractNumId w:val="12"/>
  </w:num>
  <w:num w:numId="49">
    <w:abstractNumId w:val="37"/>
  </w:num>
  <w:num w:numId="50">
    <w:abstractNumId w:val="6"/>
  </w:num>
  <w:num w:numId="51">
    <w:abstractNumId w:val="44"/>
  </w:num>
  <w:num w:numId="52">
    <w:abstractNumId w:val="60"/>
  </w:num>
  <w:num w:numId="53">
    <w:abstractNumId w:val="55"/>
  </w:num>
  <w:num w:numId="54">
    <w:abstractNumId w:val="29"/>
  </w:num>
  <w:num w:numId="55">
    <w:abstractNumId w:val="58"/>
  </w:num>
  <w:num w:numId="56">
    <w:abstractNumId w:val="4"/>
  </w:num>
  <w:num w:numId="57">
    <w:abstractNumId w:val="3"/>
  </w:num>
  <w:num w:numId="58">
    <w:abstractNumId w:val="25"/>
  </w:num>
  <w:num w:numId="59">
    <w:abstractNumId w:val="66"/>
  </w:num>
  <w:num w:numId="60">
    <w:abstractNumId w:val="30"/>
  </w:num>
  <w:num w:numId="61">
    <w:abstractNumId w:val="21"/>
  </w:num>
  <w:num w:numId="62">
    <w:abstractNumId w:val="62"/>
  </w:num>
  <w:num w:numId="63">
    <w:abstractNumId w:val="1"/>
  </w:num>
  <w:num w:numId="64">
    <w:abstractNumId w:val="40"/>
  </w:num>
  <w:num w:numId="65">
    <w:abstractNumId w:val="2"/>
  </w:num>
  <w:num w:numId="66">
    <w:abstractNumId w:val="15"/>
  </w:num>
  <w:num w:numId="67">
    <w:abstractNumId w:val="0"/>
  </w:num>
  <w:num w:numId="6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46"/>
    <w:rsid w:val="00000109"/>
    <w:rsid w:val="00000AC2"/>
    <w:rsid w:val="00000D76"/>
    <w:rsid w:val="00002263"/>
    <w:rsid w:val="000026A8"/>
    <w:rsid w:val="00002E71"/>
    <w:rsid w:val="000046B4"/>
    <w:rsid w:val="0000492C"/>
    <w:rsid w:val="00004FAA"/>
    <w:rsid w:val="00006C37"/>
    <w:rsid w:val="00007577"/>
    <w:rsid w:val="00010012"/>
    <w:rsid w:val="0001021B"/>
    <w:rsid w:val="0001296A"/>
    <w:rsid w:val="0001355B"/>
    <w:rsid w:val="00013883"/>
    <w:rsid w:val="00014645"/>
    <w:rsid w:val="0001529C"/>
    <w:rsid w:val="0001551C"/>
    <w:rsid w:val="00015649"/>
    <w:rsid w:val="00016365"/>
    <w:rsid w:val="00016B52"/>
    <w:rsid w:val="00017454"/>
    <w:rsid w:val="00017AA3"/>
    <w:rsid w:val="00020421"/>
    <w:rsid w:val="0002139A"/>
    <w:rsid w:val="00021551"/>
    <w:rsid w:val="000227FA"/>
    <w:rsid w:val="000235AD"/>
    <w:rsid w:val="00023670"/>
    <w:rsid w:val="00023928"/>
    <w:rsid w:val="00024528"/>
    <w:rsid w:val="00024BD9"/>
    <w:rsid w:val="0002540E"/>
    <w:rsid w:val="00025E7B"/>
    <w:rsid w:val="00026061"/>
    <w:rsid w:val="000276DB"/>
    <w:rsid w:val="00027C7D"/>
    <w:rsid w:val="00027D2F"/>
    <w:rsid w:val="00030432"/>
    <w:rsid w:val="000307FF"/>
    <w:rsid w:val="00030B73"/>
    <w:rsid w:val="00030F01"/>
    <w:rsid w:val="00031353"/>
    <w:rsid w:val="000317C3"/>
    <w:rsid w:val="00031C32"/>
    <w:rsid w:val="00031E13"/>
    <w:rsid w:val="00033714"/>
    <w:rsid w:val="000352AC"/>
    <w:rsid w:val="000353A4"/>
    <w:rsid w:val="00035DC7"/>
    <w:rsid w:val="00036C04"/>
    <w:rsid w:val="00036E95"/>
    <w:rsid w:val="00036F47"/>
    <w:rsid w:val="00037163"/>
    <w:rsid w:val="00037183"/>
    <w:rsid w:val="0003757E"/>
    <w:rsid w:val="00037F92"/>
    <w:rsid w:val="00040488"/>
    <w:rsid w:val="00040935"/>
    <w:rsid w:val="00040F9A"/>
    <w:rsid w:val="000414CD"/>
    <w:rsid w:val="00041861"/>
    <w:rsid w:val="000426FC"/>
    <w:rsid w:val="00044272"/>
    <w:rsid w:val="0004459D"/>
    <w:rsid w:val="00044DC7"/>
    <w:rsid w:val="0004592F"/>
    <w:rsid w:val="00046605"/>
    <w:rsid w:val="00047FCD"/>
    <w:rsid w:val="00050706"/>
    <w:rsid w:val="000510DF"/>
    <w:rsid w:val="00052C28"/>
    <w:rsid w:val="00053346"/>
    <w:rsid w:val="000546FE"/>
    <w:rsid w:val="0005744C"/>
    <w:rsid w:val="000604D6"/>
    <w:rsid w:val="0006050F"/>
    <w:rsid w:val="00060824"/>
    <w:rsid w:val="00060C83"/>
    <w:rsid w:val="0006105D"/>
    <w:rsid w:val="0006124C"/>
    <w:rsid w:val="000612C2"/>
    <w:rsid w:val="0006168B"/>
    <w:rsid w:val="000618BF"/>
    <w:rsid w:val="00061C88"/>
    <w:rsid w:val="00061E25"/>
    <w:rsid w:val="00062D4E"/>
    <w:rsid w:val="00062F8D"/>
    <w:rsid w:val="00063351"/>
    <w:rsid w:val="00065938"/>
    <w:rsid w:val="00065D36"/>
    <w:rsid w:val="00066036"/>
    <w:rsid w:val="000661E9"/>
    <w:rsid w:val="0006692A"/>
    <w:rsid w:val="00066DB8"/>
    <w:rsid w:val="000672C1"/>
    <w:rsid w:val="000675D2"/>
    <w:rsid w:val="00067C93"/>
    <w:rsid w:val="000705EA"/>
    <w:rsid w:val="00073317"/>
    <w:rsid w:val="00073B71"/>
    <w:rsid w:val="000743C5"/>
    <w:rsid w:val="0007481D"/>
    <w:rsid w:val="000749F7"/>
    <w:rsid w:val="00074DD3"/>
    <w:rsid w:val="00074EF9"/>
    <w:rsid w:val="00074FE1"/>
    <w:rsid w:val="000752D6"/>
    <w:rsid w:val="00076CB6"/>
    <w:rsid w:val="000777DC"/>
    <w:rsid w:val="00080599"/>
    <w:rsid w:val="0008087B"/>
    <w:rsid w:val="000809CC"/>
    <w:rsid w:val="00080E19"/>
    <w:rsid w:val="0008134E"/>
    <w:rsid w:val="00082E62"/>
    <w:rsid w:val="00083C48"/>
    <w:rsid w:val="00086B27"/>
    <w:rsid w:val="00086F0D"/>
    <w:rsid w:val="00087642"/>
    <w:rsid w:val="00087E15"/>
    <w:rsid w:val="0009027E"/>
    <w:rsid w:val="00090581"/>
    <w:rsid w:val="0009099F"/>
    <w:rsid w:val="00091643"/>
    <w:rsid w:val="000927A4"/>
    <w:rsid w:val="0009330F"/>
    <w:rsid w:val="00093B7C"/>
    <w:rsid w:val="00094235"/>
    <w:rsid w:val="00094A1F"/>
    <w:rsid w:val="00094E45"/>
    <w:rsid w:val="000959DC"/>
    <w:rsid w:val="00095DF9"/>
    <w:rsid w:val="000A1353"/>
    <w:rsid w:val="000A202F"/>
    <w:rsid w:val="000A285D"/>
    <w:rsid w:val="000A3396"/>
    <w:rsid w:val="000A3B47"/>
    <w:rsid w:val="000A4524"/>
    <w:rsid w:val="000A4A47"/>
    <w:rsid w:val="000A4FDC"/>
    <w:rsid w:val="000A5345"/>
    <w:rsid w:val="000A5607"/>
    <w:rsid w:val="000A5E11"/>
    <w:rsid w:val="000A5F81"/>
    <w:rsid w:val="000A6B78"/>
    <w:rsid w:val="000A6C54"/>
    <w:rsid w:val="000A6D49"/>
    <w:rsid w:val="000A73C8"/>
    <w:rsid w:val="000A7DAB"/>
    <w:rsid w:val="000B05A4"/>
    <w:rsid w:val="000B106D"/>
    <w:rsid w:val="000B1479"/>
    <w:rsid w:val="000B25E8"/>
    <w:rsid w:val="000B2B18"/>
    <w:rsid w:val="000B2D39"/>
    <w:rsid w:val="000B37BA"/>
    <w:rsid w:val="000B45CB"/>
    <w:rsid w:val="000B5568"/>
    <w:rsid w:val="000B55B9"/>
    <w:rsid w:val="000B5E36"/>
    <w:rsid w:val="000B6340"/>
    <w:rsid w:val="000B675B"/>
    <w:rsid w:val="000B6DD1"/>
    <w:rsid w:val="000C1444"/>
    <w:rsid w:val="000C1E69"/>
    <w:rsid w:val="000C2000"/>
    <w:rsid w:val="000C4B86"/>
    <w:rsid w:val="000C58D1"/>
    <w:rsid w:val="000C5AC1"/>
    <w:rsid w:val="000C7C5D"/>
    <w:rsid w:val="000C7E2A"/>
    <w:rsid w:val="000D0192"/>
    <w:rsid w:val="000D019A"/>
    <w:rsid w:val="000D03F6"/>
    <w:rsid w:val="000D098F"/>
    <w:rsid w:val="000D0E34"/>
    <w:rsid w:val="000D143D"/>
    <w:rsid w:val="000D161E"/>
    <w:rsid w:val="000D17C6"/>
    <w:rsid w:val="000D1995"/>
    <w:rsid w:val="000D2490"/>
    <w:rsid w:val="000D2F5F"/>
    <w:rsid w:val="000D45E6"/>
    <w:rsid w:val="000D4900"/>
    <w:rsid w:val="000D496D"/>
    <w:rsid w:val="000D5272"/>
    <w:rsid w:val="000D58CB"/>
    <w:rsid w:val="000D5D84"/>
    <w:rsid w:val="000D6769"/>
    <w:rsid w:val="000D6D8C"/>
    <w:rsid w:val="000D7239"/>
    <w:rsid w:val="000E0BC3"/>
    <w:rsid w:val="000E0D64"/>
    <w:rsid w:val="000E1455"/>
    <w:rsid w:val="000E23A9"/>
    <w:rsid w:val="000E2985"/>
    <w:rsid w:val="000E4009"/>
    <w:rsid w:val="000E5130"/>
    <w:rsid w:val="000E58D3"/>
    <w:rsid w:val="000E6735"/>
    <w:rsid w:val="000E6A3B"/>
    <w:rsid w:val="000E72D9"/>
    <w:rsid w:val="000E75BF"/>
    <w:rsid w:val="000E77A8"/>
    <w:rsid w:val="000E77E6"/>
    <w:rsid w:val="000E78F6"/>
    <w:rsid w:val="000F06CC"/>
    <w:rsid w:val="000F0D07"/>
    <w:rsid w:val="000F0FD7"/>
    <w:rsid w:val="000F13C8"/>
    <w:rsid w:val="000F154B"/>
    <w:rsid w:val="000F1BF7"/>
    <w:rsid w:val="000F3742"/>
    <w:rsid w:val="000F3F17"/>
    <w:rsid w:val="000F4C9A"/>
    <w:rsid w:val="000F4E0E"/>
    <w:rsid w:val="000F6B2E"/>
    <w:rsid w:val="000F6C0C"/>
    <w:rsid w:val="000F7158"/>
    <w:rsid w:val="000F7A7A"/>
    <w:rsid w:val="000F7DD8"/>
    <w:rsid w:val="001013F0"/>
    <w:rsid w:val="00102056"/>
    <w:rsid w:val="001020F1"/>
    <w:rsid w:val="001022DF"/>
    <w:rsid w:val="00102656"/>
    <w:rsid w:val="0010330E"/>
    <w:rsid w:val="00103B38"/>
    <w:rsid w:val="00105040"/>
    <w:rsid w:val="001055D1"/>
    <w:rsid w:val="00105CED"/>
    <w:rsid w:val="00106680"/>
    <w:rsid w:val="00107BBC"/>
    <w:rsid w:val="00107D86"/>
    <w:rsid w:val="00110364"/>
    <w:rsid w:val="00111364"/>
    <w:rsid w:val="001126C1"/>
    <w:rsid w:val="00112AE6"/>
    <w:rsid w:val="00112C08"/>
    <w:rsid w:val="00113B4D"/>
    <w:rsid w:val="00113D53"/>
    <w:rsid w:val="0011493E"/>
    <w:rsid w:val="00114FC6"/>
    <w:rsid w:val="001153D5"/>
    <w:rsid w:val="00116845"/>
    <w:rsid w:val="001169F9"/>
    <w:rsid w:val="00116A92"/>
    <w:rsid w:val="001176E3"/>
    <w:rsid w:val="00117872"/>
    <w:rsid w:val="00117CE7"/>
    <w:rsid w:val="001204B8"/>
    <w:rsid w:val="00120626"/>
    <w:rsid w:val="00121B17"/>
    <w:rsid w:val="001224B5"/>
    <w:rsid w:val="00122A65"/>
    <w:rsid w:val="00122F6C"/>
    <w:rsid w:val="00122F96"/>
    <w:rsid w:val="00123537"/>
    <w:rsid w:val="001235C5"/>
    <w:rsid w:val="00123F27"/>
    <w:rsid w:val="0012429A"/>
    <w:rsid w:val="00124C5A"/>
    <w:rsid w:val="0012510B"/>
    <w:rsid w:val="00125968"/>
    <w:rsid w:val="00125AC1"/>
    <w:rsid w:val="0013103A"/>
    <w:rsid w:val="00131320"/>
    <w:rsid w:val="001321AB"/>
    <w:rsid w:val="00132233"/>
    <w:rsid w:val="00132DDB"/>
    <w:rsid w:val="00132F92"/>
    <w:rsid w:val="00133CCB"/>
    <w:rsid w:val="001355B9"/>
    <w:rsid w:val="00136C92"/>
    <w:rsid w:val="00136CEE"/>
    <w:rsid w:val="00136D58"/>
    <w:rsid w:val="00137126"/>
    <w:rsid w:val="00137EF3"/>
    <w:rsid w:val="001401D5"/>
    <w:rsid w:val="001405D9"/>
    <w:rsid w:val="00140E47"/>
    <w:rsid w:val="00140F6E"/>
    <w:rsid w:val="00141079"/>
    <w:rsid w:val="001428E7"/>
    <w:rsid w:val="00143C54"/>
    <w:rsid w:val="0014440B"/>
    <w:rsid w:val="00144527"/>
    <w:rsid w:val="001459D8"/>
    <w:rsid w:val="00145C94"/>
    <w:rsid w:val="00145EF3"/>
    <w:rsid w:val="0014654D"/>
    <w:rsid w:val="00146B0F"/>
    <w:rsid w:val="001470EE"/>
    <w:rsid w:val="001471AE"/>
    <w:rsid w:val="001478EA"/>
    <w:rsid w:val="00147BE4"/>
    <w:rsid w:val="00147CEF"/>
    <w:rsid w:val="001509C6"/>
    <w:rsid w:val="001509F4"/>
    <w:rsid w:val="00150DE8"/>
    <w:rsid w:val="001516AF"/>
    <w:rsid w:val="00151A5E"/>
    <w:rsid w:val="00152821"/>
    <w:rsid w:val="001540A7"/>
    <w:rsid w:val="00155251"/>
    <w:rsid w:val="001564D5"/>
    <w:rsid w:val="001571C2"/>
    <w:rsid w:val="001573DF"/>
    <w:rsid w:val="00157745"/>
    <w:rsid w:val="00157746"/>
    <w:rsid w:val="0016016B"/>
    <w:rsid w:val="00160EAA"/>
    <w:rsid w:val="001614F3"/>
    <w:rsid w:val="00161BBF"/>
    <w:rsid w:val="00163286"/>
    <w:rsid w:val="00163D2F"/>
    <w:rsid w:val="00163E43"/>
    <w:rsid w:val="001644F7"/>
    <w:rsid w:val="00165408"/>
    <w:rsid w:val="001657C7"/>
    <w:rsid w:val="0016594E"/>
    <w:rsid w:val="0016600B"/>
    <w:rsid w:val="001663AB"/>
    <w:rsid w:val="00166DC2"/>
    <w:rsid w:val="00166F59"/>
    <w:rsid w:val="00167253"/>
    <w:rsid w:val="0016750D"/>
    <w:rsid w:val="0016792F"/>
    <w:rsid w:val="00167DF4"/>
    <w:rsid w:val="00167F22"/>
    <w:rsid w:val="00167FBB"/>
    <w:rsid w:val="00170568"/>
    <w:rsid w:val="001705E4"/>
    <w:rsid w:val="00170747"/>
    <w:rsid w:val="0017093F"/>
    <w:rsid w:val="00170AC8"/>
    <w:rsid w:val="00171F4D"/>
    <w:rsid w:val="0017272C"/>
    <w:rsid w:val="00172A27"/>
    <w:rsid w:val="0017332F"/>
    <w:rsid w:val="0017382C"/>
    <w:rsid w:val="00174041"/>
    <w:rsid w:val="001756EA"/>
    <w:rsid w:val="00175A38"/>
    <w:rsid w:val="0017620C"/>
    <w:rsid w:val="001762A2"/>
    <w:rsid w:val="001765F4"/>
    <w:rsid w:val="00176B8D"/>
    <w:rsid w:val="00180016"/>
    <w:rsid w:val="00180E91"/>
    <w:rsid w:val="0018156B"/>
    <w:rsid w:val="0018215F"/>
    <w:rsid w:val="001833CF"/>
    <w:rsid w:val="00184867"/>
    <w:rsid w:val="00184BFC"/>
    <w:rsid w:val="00185138"/>
    <w:rsid w:val="001853C4"/>
    <w:rsid w:val="0018553C"/>
    <w:rsid w:val="00185B55"/>
    <w:rsid w:val="00186EBC"/>
    <w:rsid w:val="0019035D"/>
    <w:rsid w:val="00190362"/>
    <w:rsid w:val="0019153F"/>
    <w:rsid w:val="0019276B"/>
    <w:rsid w:val="00192BF5"/>
    <w:rsid w:val="0019311C"/>
    <w:rsid w:val="00193606"/>
    <w:rsid w:val="001943F2"/>
    <w:rsid w:val="00194D46"/>
    <w:rsid w:val="00194D7B"/>
    <w:rsid w:val="00195E8E"/>
    <w:rsid w:val="00196C04"/>
    <w:rsid w:val="001A06BF"/>
    <w:rsid w:val="001A1572"/>
    <w:rsid w:val="001A19BB"/>
    <w:rsid w:val="001A3478"/>
    <w:rsid w:val="001A35F3"/>
    <w:rsid w:val="001A5B1E"/>
    <w:rsid w:val="001A5D4F"/>
    <w:rsid w:val="001A6B09"/>
    <w:rsid w:val="001A74B1"/>
    <w:rsid w:val="001A75AE"/>
    <w:rsid w:val="001A75EE"/>
    <w:rsid w:val="001B008C"/>
    <w:rsid w:val="001B06FE"/>
    <w:rsid w:val="001B0774"/>
    <w:rsid w:val="001B0910"/>
    <w:rsid w:val="001B094A"/>
    <w:rsid w:val="001B1293"/>
    <w:rsid w:val="001B1396"/>
    <w:rsid w:val="001B25D2"/>
    <w:rsid w:val="001B3365"/>
    <w:rsid w:val="001B3DC6"/>
    <w:rsid w:val="001B4776"/>
    <w:rsid w:val="001B4AB6"/>
    <w:rsid w:val="001B4BC7"/>
    <w:rsid w:val="001B7491"/>
    <w:rsid w:val="001B7BD1"/>
    <w:rsid w:val="001B7F76"/>
    <w:rsid w:val="001C0120"/>
    <w:rsid w:val="001C11C6"/>
    <w:rsid w:val="001C180E"/>
    <w:rsid w:val="001C20F2"/>
    <w:rsid w:val="001C3009"/>
    <w:rsid w:val="001C363E"/>
    <w:rsid w:val="001C3DCF"/>
    <w:rsid w:val="001C3E76"/>
    <w:rsid w:val="001C43C4"/>
    <w:rsid w:val="001C4EC0"/>
    <w:rsid w:val="001C50E8"/>
    <w:rsid w:val="001C736B"/>
    <w:rsid w:val="001C7A21"/>
    <w:rsid w:val="001D0579"/>
    <w:rsid w:val="001D0F62"/>
    <w:rsid w:val="001D2166"/>
    <w:rsid w:val="001D2366"/>
    <w:rsid w:val="001D3733"/>
    <w:rsid w:val="001D41E8"/>
    <w:rsid w:val="001D4A5A"/>
    <w:rsid w:val="001D4A6A"/>
    <w:rsid w:val="001D5016"/>
    <w:rsid w:val="001D5737"/>
    <w:rsid w:val="001D5C0E"/>
    <w:rsid w:val="001D5CAF"/>
    <w:rsid w:val="001D64F2"/>
    <w:rsid w:val="001D6851"/>
    <w:rsid w:val="001D6E06"/>
    <w:rsid w:val="001E095F"/>
    <w:rsid w:val="001E0A0E"/>
    <w:rsid w:val="001E0C22"/>
    <w:rsid w:val="001E2640"/>
    <w:rsid w:val="001E2ABC"/>
    <w:rsid w:val="001E41AB"/>
    <w:rsid w:val="001E4838"/>
    <w:rsid w:val="001E5FCE"/>
    <w:rsid w:val="001E6257"/>
    <w:rsid w:val="001E65E5"/>
    <w:rsid w:val="001E6818"/>
    <w:rsid w:val="001E6B26"/>
    <w:rsid w:val="001E70D9"/>
    <w:rsid w:val="001E764B"/>
    <w:rsid w:val="001E7ACC"/>
    <w:rsid w:val="001F02D4"/>
    <w:rsid w:val="001F190F"/>
    <w:rsid w:val="001F1C38"/>
    <w:rsid w:val="001F24DC"/>
    <w:rsid w:val="001F25EC"/>
    <w:rsid w:val="001F2805"/>
    <w:rsid w:val="001F33FD"/>
    <w:rsid w:val="001F360F"/>
    <w:rsid w:val="001F41D3"/>
    <w:rsid w:val="001F4BDA"/>
    <w:rsid w:val="001F4C58"/>
    <w:rsid w:val="001F5D91"/>
    <w:rsid w:val="001F76B2"/>
    <w:rsid w:val="00200790"/>
    <w:rsid w:val="00200AC6"/>
    <w:rsid w:val="00200C11"/>
    <w:rsid w:val="00201213"/>
    <w:rsid w:val="0020136F"/>
    <w:rsid w:val="00201EB4"/>
    <w:rsid w:val="00202757"/>
    <w:rsid w:val="002027F4"/>
    <w:rsid w:val="00202E07"/>
    <w:rsid w:val="00203211"/>
    <w:rsid w:val="00204409"/>
    <w:rsid w:val="00205852"/>
    <w:rsid w:val="00205DF9"/>
    <w:rsid w:val="00206054"/>
    <w:rsid w:val="002065DA"/>
    <w:rsid w:val="00206864"/>
    <w:rsid w:val="0020767F"/>
    <w:rsid w:val="00207AEE"/>
    <w:rsid w:val="00210751"/>
    <w:rsid w:val="00210BCC"/>
    <w:rsid w:val="002136CC"/>
    <w:rsid w:val="00213DFE"/>
    <w:rsid w:val="002146D8"/>
    <w:rsid w:val="00214D26"/>
    <w:rsid w:val="002156DD"/>
    <w:rsid w:val="00215CD3"/>
    <w:rsid w:val="00215EED"/>
    <w:rsid w:val="0021776D"/>
    <w:rsid w:val="00217813"/>
    <w:rsid w:val="002205E1"/>
    <w:rsid w:val="00221030"/>
    <w:rsid w:val="0022152B"/>
    <w:rsid w:val="00221B92"/>
    <w:rsid w:val="00221CBE"/>
    <w:rsid w:val="00222017"/>
    <w:rsid w:val="002237C4"/>
    <w:rsid w:val="002248B7"/>
    <w:rsid w:val="00225292"/>
    <w:rsid w:val="0022667D"/>
    <w:rsid w:val="0023066F"/>
    <w:rsid w:val="00230DED"/>
    <w:rsid w:val="00230E06"/>
    <w:rsid w:val="00231393"/>
    <w:rsid w:val="0023230A"/>
    <w:rsid w:val="00234DDE"/>
    <w:rsid w:val="00234E8E"/>
    <w:rsid w:val="00235037"/>
    <w:rsid w:val="00235C36"/>
    <w:rsid w:val="00235D62"/>
    <w:rsid w:val="00236A99"/>
    <w:rsid w:val="00237237"/>
    <w:rsid w:val="002372C5"/>
    <w:rsid w:val="0023741F"/>
    <w:rsid w:val="002377DB"/>
    <w:rsid w:val="00237A13"/>
    <w:rsid w:val="00237B47"/>
    <w:rsid w:val="002405C1"/>
    <w:rsid w:val="00240749"/>
    <w:rsid w:val="0024091D"/>
    <w:rsid w:val="00240DEF"/>
    <w:rsid w:val="00240F1E"/>
    <w:rsid w:val="00241082"/>
    <w:rsid w:val="00241D9E"/>
    <w:rsid w:val="00241E68"/>
    <w:rsid w:val="0024244F"/>
    <w:rsid w:val="00242AED"/>
    <w:rsid w:val="00242B82"/>
    <w:rsid w:val="00243927"/>
    <w:rsid w:val="0024418E"/>
    <w:rsid w:val="0024432C"/>
    <w:rsid w:val="00244861"/>
    <w:rsid w:val="00244F9C"/>
    <w:rsid w:val="00246804"/>
    <w:rsid w:val="002468DD"/>
    <w:rsid w:val="002468F2"/>
    <w:rsid w:val="0024707B"/>
    <w:rsid w:val="00247578"/>
    <w:rsid w:val="002515DB"/>
    <w:rsid w:val="0025236E"/>
    <w:rsid w:val="002541BB"/>
    <w:rsid w:val="00254B3C"/>
    <w:rsid w:val="002551AF"/>
    <w:rsid w:val="00255549"/>
    <w:rsid w:val="0025662E"/>
    <w:rsid w:val="00257893"/>
    <w:rsid w:val="002603FF"/>
    <w:rsid w:val="002611A2"/>
    <w:rsid w:val="00261913"/>
    <w:rsid w:val="00263E19"/>
    <w:rsid w:val="0026401D"/>
    <w:rsid w:val="0026457C"/>
    <w:rsid w:val="002645B1"/>
    <w:rsid w:val="00265B3B"/>
    <w:rsid w:val="002667E3"/>
    <w:rsid w:val="00266ABD"/>
    <w:rsid w:val="00266F7B"/>
    <w:rsid w:val="00267668"/>
    <w:rsid w:val="002706B7"/>
    <w:rsid w:val="00270BE1"/>
    <w:rsid w:val="0027107E"/>
    <w:rsid w:val="00271F9C"/>
    <w:rsid w:val="00272368"/>
    <w:rsid w:val="002734C7"/>
    <w:rsid w:val="00273548"/>
    <w:rsid w:val="00275165"/>
    <w:rsid w:val="002762C3"/>
    <w:rsid w:val="002766C0"/>
    <w:rsid w:val="00276E99"/>
    <w:rsid w:val="002770DC"/>
    <w:rsid w:val="00277535"/>
    <w:rsid w:val="00277992"/>
    <w:rsid w:val="00277A79"/>
    <w:rsid w:val="002801F0"/>
    <w:rsid w:val="00280AB7"/>
    <w:rsid w:val="002811EE"/>
    <w:rsid w:val="002817AA"/>
    <w:rsid w:val="00281E6E"/>
    <w:rsid w:val="00281EF3"/>
    <w:rsid w:val="00281F0B"/>
    <w:rsid w:val="00282562"/>
    <w:rsid w:val="00282A07"/>
    <w:rsid w:val="002834F9"/>
    <w:rsid w:val="00285B4D"/>
    <w:rsid w:val="00286424"/>
    <w:rsid w:val="002864AE"/>
    <w:rsid w:val="0028748A"/>
    <w:rsid w:val="00290CC8"/>
    <w:rsid w:val="00292317"/>
    <w:rsid w:val="00292729"/>
    <w:rsid w:val="00293E01"/>
    <w:rsid w:val="00293F86"/>
    <w:rsid w:val="00294D23"/>
    <w:rsid w:val="0029566D"/>
    <w:rsid w:val="002958F2"/>
    <w:rsid w:val="00295ADB"/>
    <w:rsid w:val="00297160"/>
    <w:rsid w:val="002973F8"/>
    <w:rsid w:val="00297B5E"/>
    <w:rsid w:val="002A0062"/>
    <w:rsid w:val="002A07F5"/>
    <w:rsid w:val="002A0882"/>
    <w:rsid w:val="002A0D9A"/>
    <w:rsid w:val="002A1972"/>
    <w:rsid w:val="002A1AEA"/>
    <w:rsid w:val="002A1FB6"/>
    <w:rsid w:val="002A26F2"/>
    <w:rsid w:val="002A29D9"/>
    <w:rsid w:val="002A2F16"/>
    <w:rsid w:val="002A4556"/>
    <w:rsid w:val="002A4EDF"/>
    <w:rsid w:val="002A6C7F"/>
    <w:rsid w:val="002A7591"/>
    <w:rsid w:val="002A77D9"/>
    <w:rsid w:val="002B0111"/>
    <w:rsid w:val="002B02D0"/>
    <w:rsid w:val="002B1531"/>
    <w:rsid w:val="002B2213"/>
    <w:rsid w:val="002B27DC"/>
    <w:rsid w:val="002B2D07"/>
    <w:rsid w:val="002B35A7"/>
    <w:rsid w:val="002B3C6E"/>
    <w:rsid w:val="002B5398"/>
    <w:rsid w:val="002B54C0"/>
    <w:rsid w:val="002B7766"/>
    <w:rsid w:val="002B79CF"/>
    <w:rsid w:val="002C0018"/>
    <w:rsid w:val="002C031E"/>
    <w:rsid w:val="002C0379"/>
    <w:rsid w:val="002C03AE"/>
    <w:rsid w:val="002C0DFA"/>
    <w:rsid w:val="002C1308"/>
    <w:rsid w:val="002C1BF9"/>
    <w:rsid w:val="002C1C64"/>
    <w:rsid w:val="002C1D11"/>
    <w:rsid w:val="002C1E3B"/>
    <w:rsid w:val="002C3072"/>
    <w:rsid w:val="002C37D9"/>
    <w:rsid w:val="002C3BF1"/>
    <w:rsid w:val="002C4681"/>
    <w:rsid w:val="002C491B"/>
    <w:rsid w:val="002C54B0"/>
    <w:rsid w:val="002C5941"/>
    <w:rsid w:val="002C60B8"/>
    <w:rsid w:val="002C6126"/>
    <w:rsid w:val="002C63AA"/>
    <w:rsid w:val="002C7072"/>
    <w:rsid w:val="002C74E4"/>
    <w:rsid w:val="002C7877"/>
    <w:rsid w:val="002C7A25"/>
    <w:rsid w:val="002C7A2F"/>
    <w:rsid w:val="002C7BF7"/>
    <w:rsid w:val="002D00D1"/>
    <w:rsid w:val="002D0515"/>
    <w:rsid w:val="002D051A"/>
    <w:rsid w:val="002D0557"/>
    <w:rsid w:val="002D108C"/>
    <w:rsid w:val="002D14DF"/>
    <w:rsid w:val="002D2692"/>
    <w:rsid w:val="002D39C5"/>
    <w:rsid w:val="002D39C8"/>
    <w:rsid w:val="002D42A4"/>
    <w:rsid w:val="002D4324"/>
    <w:rsid w:val="002D456E"/>
    <w:rsid w:val="002D463A"/>
    <w:rsid w:val="002D4717"/>
    <w:rsid w:val="002D4A54"/>
    <w:rsid w:val="002D4CCA"/>
    <w:rsid w:val="002D5089"/>
    <w:rsid w:val="002D5EB6"/>
    <w:rsid w:val="002D6116"/>
    <w:rsid w:val="002D706E"/>
    <w:rsid w:val="002D741D"/>
    <w:rsid w:val="002D76CC"/>
    <w:rsid w:val="002D7824"/>
    <w:rsid w:val="002D7E0F"/>
    <w:rsid w:val="002E0E21"/>
    <w:rsid w:val="002E1967"/>
    <w:rsid w:val="002E276B"/>
    <w:rsid w:val="002E2E99"/>
    <w:rsid w:val="002E30F0"/>
    <w:rsid w:val="002E39DE"/>
    <w:rsid w:val="002E3C76"/>
    <w:rsid w:val="002E4496"/>
    <w:rsid w:val="002E50E7"/>
    <w:rsid w:val="002E5F02"/>
    <w:rsid w:val="002E6FFD"/>
    <w:rsid w:val="002E7EAA"/>
    <w:rsid w:val="002F1FD5"/>
    <w:rsid w:val="002F2879"/>
    <w:rsid w:val="002F28F0"/>
    <w:rsid w:val="002F356C"/>
    <w:rsid w:val="002F37C3"/>
    <w:rsid w:val="002F4299"/>
    <w:rsid w:val="002F4333"/>
    <w:rsid w:val="002F5E32"/>
    <w:rsid w:val="002F5F76"/>
    <w:rsid w:val="00300CA3"/>
    <w:rsid w:val="00300FA1"/>
    <w:rsid w:val="00301304"/>
    <w:rsid w:val="0030217F"/>
    <w:rsid w:val="00302C4D"/>
    <w:rsid w:val="00303628"/>
    <w:rsid w:val="00303FDD"/>
    <w:rsid w:val="003041D6"/>
    <w:rsid w:val="003047FC"/>
    <w:rsid w:val="00304DD1"/>
    <w:rsid w:val="00307631"/>
    <w:rsid w:val="00307C9B"/>
    <w:rsid w:val="003102D1"/>
    <w:rsid w:val="00311F9C"/>
    <w:rsid w:val="0031213F"/>
    <w:rsid w:val="00312252"/>
    <w:rsid w:val="00312513"/>
    <w:rsid w:val="003132F3"/>
    <w:rsid w:val="00313360"/>
    <w:rsid w:val="00313977"/>
    <w:rsid w:val="00314698"/>
    <w:rsid w:val="00315263"/>
    <w:rsid w:val="00316D39"/>
    <w:rsid w:val="00317414"/>
    <w:rsid w:val="00317B02"/>
    <w:rsid w:val="00320177"/>
    <w:rsid w:val="00320429"/>
    <w:rsid w:val="0032095B"/>
    <w:rsid w:val="00321047"/>
    <w:rsid w:val="00321F70"/>
    <w:rsid w:val="003225D3"/>
    <w:rsid w:val="00323315"/>
    <w:rsid w:val="00323FB3"/>
    <w:rsid w:val="0032583C"/>
    <w:rsid w:val="00325BDE"/>
    <w:rsid w:val="00327313"/>
    <w:rsid w:val="00330DAE"/>
    <w:rsid w:val="00331274"/>
    <w:rsid w:val="00331600"/>
    <w:rsid w:val="00331C48"/>
    <w:rsid w:val="0033201E"/>
    <w:rsid w:val="003322F0"/>
    <w:rsid w:val="00332A28"/>
    <w:rsid w:val="00333506"/>
    <w:rsid w:val="0033435F"/>
    <w:rsid w:val="00335309"/>
    <w:rsid w:val="00335536"/>
    <w:rsid w:val="00335F64"/>
    <w:rsid w:val="00336157"/>
    <w:rsid w:val="00336AB1"/>
    <w:rsid w:val="00336F0D"/>
    <w:rsid w:val="00337ADE"/>
    <w:rsid w:val="00340093"/>
    <w:rsid w:val="003408BD"/>
    <w:rsid w:val="00340E61"/>
    <w:rsid w:val="0034105B"/>
    <w:rsid w:val="0034192D"/>
    <w:rsid w:val="00341D24"/>
    <w:rsid w:val="00341ECA"/>
    <w:rsid w:val="00343968"/>
    <w:rsid w:val="00343CED"/>
    <w:rsid w:val="003451D4"/>
    <w:rsid w:val="0034598F"/>
    <w:rsid w:val="003475EE"/>
    <w:rsid w:val="00347A0E"/>
    <w:rsid w:val="00350F05"/>
    <w:rsid w:val="0035202D"/>
    <w:rsid w:val="003526B8"/>
    <w:rsid w:val="00352EA1"/>
    <w:rsid w:val="0035322F"/>
    <w:rsid w:val="00353410"/>
    <w:rsid w:val="003536EE"/>
    <w:rsid w:val="00353CBA"/>
    <w:rsid w:val="003543CE"/>
    <w:rsid w:val="00354553"/>
    <w:rsid w:val="00354A8D"/>
    <w:rsid w:val="00356146"/>
    <w:rsid w:val="0035735A"/>
    <w:rsid w:val="0036073A"/>
    <w:rsid w:val="00361293"/>
    <w:rsid w:val="003612CB"/>
    <w:rsid w:val="003626A9"/>
    <w:rsid w:val="00364959"/>
    <w:rsid w:val="0036567B"/>
    <w:rsid w:val="0036568C"/>
    <w:rsid w:val="00365821"/>
    <w:rsid w:val="0036641E"/>
    <w:rsid w:val="0037011A"/>
    <w:rsid w:val="0037016E"/>
    <w:rsid w:val="003701FA"/>
    <w:rsid w:val="00370653"/>
    <w:rsid w:val="00370A93"/>
    <w:rsid w:val="00370D89"/>
    <w:rsid w:val="00371956"/>
    <w:rsid w:val="00371A3B"/>
    <w:rsid w:val="00373160"/>
    <w:rsid w:val="00373622"/>
    <w:rsid w:val="0037386A"/>
    <w:rsid w:val="00373A6D"/>
    <w:rsid w:val="00373D15"/>
    <w:rsid w:val="003752E7"/>
    <w:rsid w:val="00375BA5"/>
    <w:rsid w:val="00376602"/>
    <w:rsid w:val="00376853"/>
    <w:rsid w:val="00376A53"/>
    <w:rsid w:val="00380552"/>
    <w:rsid w:val="00380585"/>
    <w:rsid w:val="003817CA"/>
    <w:rsid w:val="00381D71"/>
    <w:rsid w:val="00382A17"/>
    <w:rsid w:val="00383735"/>
    <w:rsid w:val="00383EFC"/>
    <w:rsid w:val="003857A8"/>
    <w:rsid w:val="00386873"/>
    <w:rsid w:val="003870DB"/>
    <w:rsid w:val="00387852"/>
    <w:rsid w:val="00387C5C"/>
    <w:rsid w:val="00387D31"/>
    <w:rsid w:val="0039003B"/>
    <w:rsid w:val="00390574"/>
    <w:rsid w:val="003917CE"/>
    <w:rsid w:val="00391FAF"/>
    <w:rsid w:val="003923EC"/>
    <w:rsid w:val="0039288A"/>
    <w:rsid w:val="00392A0B"/>
    <w:rsid w:val="00392A28"/>
    <w:rsid w:val="00392F76"/>
    <w:rsid w:val="00393E42"/>
    <w:rsid w:val="003969DE"/>
    <w:rsid w:val="00396C64"/>
    <w:rsid w:val="00397A7F"/>
    <w:rsid w:val="00397B9D"/>
    <w:rsid w:val="003A055F"/>
    <w:rsid w:val="003A06D9"/>
    <w:rsid w:val="003A06EC"/>
    <w:rsid w:val="003A1075"/>
    <w:rsid w:val="003A1313"/>
    <w:rsid w:val="003A132E"/>
    <w:rsid w:val="003A1780"/>
    <w:rsid w:val="003A19B0"/>
    <w:rsid w:val="003A1A2C"/>
    <w:rsid w:val="003A1B1F"/>
    <w:rsid w:val="003A1E78"/>
    <w:rsid w:val="003A2233"/>
    <w:rsid w:val="003A3118"/>
    <w:rsid w:val="003A3919"/>
    <w:rsid w:val="003A3CF2"/>
    <w:rsid w:val="003A3D11"/>
    <w:rsid w:val="003A44DB"/>
    <w:rsid w:val="003A48BD"/>
    <w:rsid w:val="003A4B55"/>
    <w:rsid w:val="003A4CE1"/>
    <w:rsid w:val="003A51B4"/>
    <w:rsid w:val="003A61C5"/>
    <w:rsid w:val="003A6306"/>
    <w:rsid w:val="003A6501"/>
    <w:rsid w:val="003A67C7"/>
    <w:rsid w:val="003B0349"/>
    <w:rsid w:val="003B0BDC"/>
    <w:rsid w:val="003B0C8D"/>
    <w:rsid w:val="003B0EEA"/>
    <w:rsid w:val="003B178D"/>
    <w:rsid w:val="003B1B53"/>
    <w:rsid w:val="003B214A"/>
    <w:rsid w:val="003B3176"/>
    <w:rsid w:val="003B31B8"/>
    <w:rsid w:val="003B34A8"/>
    <w:rsid w:val="003B4B08"/>
    <w:rsid w:val="003B5106"/>
    <w:rsid w:val="003B59CF"/>
    <w:rsid w:val="003B6095"/>
    <w:rsid w:val="003B6CD0"/>
    <w:rsid w:val="003B7023"/>
    <w:rsid w:val="003B7A3F"/>
    <w:rsid w:val="003B7DAC"/>
    <w:rsid w:val="003C031F"/>
    <w:rsid w:val="003C0C5B"/>
    <w:rsid w:val="003C1634"/>
    <w:rsid w:val="003C1837"/>
    <w:rsid w:val="003C1C8E"/>
    <w:rsid w:val="003C1CCE"/>
    <w:rsid w:val="003C1E54"/>
    <w:rsid w:val="003C2239"/>
    <w:rsid w:val="003C2A74"/>
    <w:rsid w:val="003C2ECD"/>
    <w:rsid w:val="003C3C44"/>
    <w:rsid w:val="003C4938"/>
    <w:rsid w:val="003C57AB"/>
    <w:rsid w:val="003C6054"/>
    <w:rsid w:val="003C7D47"/>
    <w:rsid w:val="003D01DB"/>
    <w:rsid w:val="003D0838"/>
    <w:rsid w:val="003D0A5E"/>
    <w:rsid w:val="003D16BF"/>
    <w:rsid w:val="003D1D97"/>
    <w:rsid w:val="003D1D9C"/>
    <w:rsid w:val="003D2A23"/>
    <w:rsid w:val="003D4CB0"/>
    <w:rsid w:val="003D68B6"/>
    <w:rsid w:val="003D6D4A"/>
    <w:rsid w:val="003D7302"/>
    <w:rsid w:val="003E044D"/>
    <w:rsid w:val="003E1E16"/>
    <w:rsid w:val="003E3193"/>
    <w:rsid w:val="003E3299"/>
    <w:rsid w:val="003E3ABC"/>
    <w:rsid w:val="003E40F7"/>
    <w:rsid w:val="003E4DC8"/>
    <w:rsid w:val="003E53B5"/>
    <w:rsid w:val="003E5D15"/>
    <w:rsid w:val="003E7684"/>
    <w:rsid w:val="003F1248"/>
    <w:rsid w:val="003F17B0"/>
    <w:rsid w:val="003F1FF0"/>
    <w:rsid w:val="003F260B"/>
    <w:rsid w:val="003F2D8B"/>
    <w:rsid w:val="003F36ED"/>
    <w:rsid w:val="003F543A"/>
    <w:rsid w:val="003F5C7B"/>
    <w:rsid w:val="003F63FF"/>
    <w:rsid w:val="003F681B"/>
    <w:rsid w:val="003F6875"/>
    <w:rsid w:val="003F7D43"/>
    <w:rsid w:val="003F7E32"/>
    <w:rsid w:val="00400275"/>
    <w:rsid w:val="00400E56"/>
    <w:rsid w:val="00400F36"/>
    <w:rsid w:val="00401175"/>
    <w:rsid w:val="00401256"/>
    <w:rsid w:val="0040154B"/>
    <w:rsid w:val="00401AFD"/>
    <w:rsid w:val="00402C2B"/>
    <w:rsid w:val="00403378"/>
    <w:rsid w:val="00403808"/>
    <w:rsid w:val="00404B58"/>
    <w:rsid w:val="00404E61"/>
    <w:rsid w:val="00404F09"/>
    <w:rsid w:val="004050B6"/>
    <w:rsid w:val="00405268"/>
    <w:rsid w:val="004057C7"/>
    <w:rsid w:val="004066B1"/>
    <w:rsid w:val="0040723D"/>
    <w:rsid w:val="00410A93"/>
    <w:rsid w:val="00410D10"/>
    <w:rsid w:val="00411614"/>
    <w:rsid w:val="00412437"/>
    <w:rsid w:val="00414719"/>
    <w:rsid w:val="0041552C"/>
    <w:rsid w:val="00415858"/>
    <w:rsid w:val="004159E2"/>
    <w:rsid w:val="00415A27"/>
    <w:rsid w:val="00415C35"/>
    <w:rsid w:val="00416376"/>
    <w:rsid w:val="00416711"/>
    <w:rsid w:val="00416CDC"/>
    <w:rsid w:val="004173DA"/>
    <w:rsid w:val="004176A1"/>
    <w:rsid w:val="00417AC0"/>
    <w:rsid w:val="00417AD5"/>
    <w:rsid w:val="004200BA"/>
    <w:rsid w:val="004207DA"/>
    <w:rsid w:val="0042095A"/>
    <w:rsid w:val="00423A6B"/>
    <w:rsid w:val="00423C57"/>
    <w:rsid w:val="004245CE"/>
    <w:rsid w:val="00427CF5"/>
    <w:rsid w:val="00430457"/>
    <w:rsid w:val="00430A82"/>
    <w:rsid w:val="00430D1C"/>
    <w:rsid w:val="00430DE2"/>
    <w:rsid w:val="00430F4A"/>
    <w:rsid w:val="004329BC"/>
    <w:rsid w:val="004343F7"/>
    <w:rsid w:val="004347AD"/>
    <w:rsid w:val="00435621"/>
    <w:rsid w:val="00435732"/>
    <w:rsid w:val="00435774"/>
    <w:rsid w:val="00435923"/>
    <w:rsid w:val="00435C6F"/>
    <w:rsid w:val="00436D39"/>
    <w:rsid w:val="00437114"/>
    <w:rsid w:val="004401D5"/>
    <w:rsid w:val="00440D48"/>
    <w:rsid w:val="00441A57"/>
    <w:rsid w:val="00441BF9"/>
    <w:rsid w:val="00442009"/>
    <w:rsid w:val="004429A7"/>
    <w:rsid w:val="00443282"/>
    <w:rsid w:val="00443F3A"/>
    <w:rsid w:val="00444A85"/>
    <w:rsid w:val="00445724"/>
    <w:rsid w:val="00445AD8"/>
    <w:rsid w:val="0044632B"/>
    <w:rsid w:val="00446395"/>
    <w:rsid w:val="0044668E"/>
    <w:rsid w:val="00446C05"/>
    <w:rsid w:val="00446DAD"/>
    <w:rsid w:val="004478D0"/>
    <w:rsid w:val="0045025A"/>
    <w:rsid w:val="00450DC4"/>
    <w:rsid w:val="004515A2"/>
    <w:rsid w:val="00451818"/>
    <w:rsid w:val="004529A2"/>
    <w:rsid w:val="00452F05"/>
    <w:rsid w:val="0045330C"/>
    <w:rsid w:val="00453E11"/>
    <w:rsid w:val="0045431C"/>
    <w:rsid w:val="004548A2"/>
    <w:rsid w:val="00454DE0"/>
    <w:rsid w:val="0045515B"/>
    <w:rsid w:val="00455572"/>
    <w:rsid w:val="00455620"/>
    <w:rsid w:val="0045567C"/>
    <w:rsid w:val="004558E7"/>
    <w:rsid w:val="00456CC6"/>
    <w:rsid w:val="00456CF6"/>
    <w:rsid w:val="00457120"/>
    <w:rsid w:val="00460A39"/>
    <w:rsid w:val="00460F31"/>
    <w:rsid w:val="00463010"/>
    <w:rsid w:val="0046373F"/>
    <w:rsid w:val="0046409E"/>
    <w:rsid w:val="00464D0D"/>
    <w:rsid w:val="00467084"/>
    <w:rsid w:val="004678E6"/>
    <w:rsid w:val="00467966"/>
    <w:rsid w:val="00471893"/>
    <w:rsid w:val="00474961"/>
    <w:rsid w:val="004751BC"/>
    <w:rsid w:val="00475F33"/>
    <w:rsid w:val="004762A0"/>
    <w:rsid w:val="004768A4"/>
    <w:rsid w:val="00476C1C"/>
    <w:rsid w:val="00476DC7"/>
    <w:rsid w:val="00477E82"/>
    <w:rsid w:val="00480D74"/>
    <w:rsid w:val="00480DD5"/>
    <w:rsid w:val="0048157A"/>
    <w:rsid w:val="00481A72"/>
    <w:rsid w:val="00482708"/>
    <w:rsid w:val="0048271E"/>
    <w:rsid w:val="00482C57"/>
    <w:rsid w:val="0048325D"/>
    <w:rsid w:val="00483614"/>
    <w:rsid w:val="004840BB"/>
    <w:rsid w:val="00484A4D"/>
    <w:rsid w:val="004871EE"/>
    <w:rsid w:val="00487775"/>
    <w:rsid w:val="0049171F"/>
    <w:rsid w:val="00491EC7"/>
    <w:rsid w:val="004922CA"/>
    <w:rsid w:val="004925B7"/>
    <w:rsid w:val="00492BDA"/>
    <w:rsid w:val="00492F8A"/>
    <w:rsid w:val="00493329"/>
    <w:rsid w:val="00494009"/>
    <w:rsid w:val="00494ABB"/>
    <w:rsid w:val="00494B21"/>
    <w:rsid w:val="004958D7"/>
    <w:rsid w:val="004969A0"/>
    <w:rsid w:val="00496FE8"/>
    <w:rsid w:val="00497978"/>
    <w:rsid w:val="00497DB3"/>
    <w:rsid w:val="004A013F"/>
    <w:rsid w:val="004A03F4"/>
    <w:rsid w:val="004A0A3A"/>
    <w:rsid w:val="004A102D"/>
    <w:rsid w:val="004A1251"/>
    <w:rsid w:val="004A18AD"/>
    <w:rsid w:val="004A26CA"/>
    <w:rsid w:val="004A28ED"/>
    <w:rsid w:val="004A2D33"/>
    <w:rsid w:val="004A3901"/>
    <w:rsid w:val="004A48BC"/>
    <w:rsid w:val="004A52A1"/>
    <w:rsid w:val="004A5A56"/>
    <w:rsid w:val="004A7202"/>
    <w:rsid w:val="004A74E2"/>
    <w:rsid w:val="004A76BD"/>
    <w:rsid w:val="004B0A18"/>
    <w:rsid w:val="004B1DE4"/>
    <w:rsid w:val="004B232F"/>
    <w:rsid w:val="004B2528"/>
    <w:rsid w:val="004B2C4C"/>
    <w:rsid w:val="004B32F4"/>
    <w:rsid w:val="004B3377"/>
    <w:rsid w:val="004B352D"/>
    <w:rsid w:val="004B3AB3"/>
    <w:rsid w:val="004B468A"/>
    <w:rsid w:val="004B52D1"/>
    <w:rsid w:val="004B6B0F"/>
    <w:rsid w:val="004B6B6A"/>
    <w:rsid w:val="004B6DEC"/>
    <w:rsid w:val="004B72A9"/>
    <w:rsid w:val="004C0192"/>
    <w:rsid w:val="004C02B7"/>
    <w:rsid w:val="004C0765"/>
    <w:rsid w:val="004C07F2"/>
    <w:rsid w:val="004C2767"/>
    <w:rsid w:val="004C2AE5"/>
    <w:rsid w:val="004C3200"/>
    <w:rsid w:val="004C38BE"/>
    <w:rsid w:val="004C3A57"/>
    <w:rsid w:val="004C3E33"/>
    <w:rsid w:val="004C3E39"/>
    <w:rsid w:val="004C4BF5"/>
    <w:rsid w:val="004C5257"/>
    <w:rsid w:val="004C5335"/>
    <w:rsid w:val="004C5A94"/>
    <w:rsid w:val="004C5C37"/>
    <w:rsid w:val="004C5FDE"/>
    <w:rsid w:val="004D0403"/>
    <w:rsid w:val="004D3743"/>
    <w:rsid w:val="004D3C59"/>
    <w:rsid w:val="004D3D24"/>
    <w:rsid w:val="004D50CC"/>
    <w:rsid w:val="004D5450"/>
    <w:rsid w:val="004D55DC"/>
    <w:rsid w:val="004D573F"/>
    <w:rsid w:val="004D632B"/>
    <w:rsid w:val="004D670B"/>
    <w:rsid w:val="004D6B42"/>
    <w:rsid w:val="004D6E42"/>
    <w:rsid w:val="004D7D46"/>
    <w:rsid w:val="004D7F53"/>
    <w:rsid w:val="004E0C23"/>
    <w:rsid w:val="004E11EE"/>
    <w:rsid w:val="004E17E8"/>
    <w:rsid w:val="004E28B2"/>
    <w:rsid w:val="004E2B39"/>
    <w:rsid w:val="004E36FC"/>
    <w:rsid w:val="004E417C"/>
    <w:rsid w:val="004E4710"/>
    <w:rsid w:val="004E52A1"/>
    <w:rsid w:val="004E62F6"/>
    <w:rsid w:val="004E716E"/>
    <w:rsid w:val="004E721A"/>
    <w:rsid w:val="004F0EAB"/>
    <w:rsid w:val="004F10DA"/>
    <w:rsid w:val="004F188D"/>
    <w:rsid w:val="004F2FDB"/>
    <w:rsid w:val="004F308F"/>
    <w:rsid w:val="004F3522"/>
    <w:rsid w:val="004F36DE"/>
    <w:rsid w:val="004F412A"/>
    <w:rsid w:val="004F41FB"/>
    <w:rsid w:val="004F4ABB"/>
    <w:rsid w:val="004F4C14"/>
    <w:rsid w:val="004F4EDA"/>
    <w:rsid w:val="004F598D"/>
    <w:rsid w:val="004F5F5B"/>
    <w:rsid w:val="004F6290"/>
    <w:rsid w:val="004F64C5"/>
    <w:rsid w:val="004F7111"/>
    <w:rsid w:val="004F7C52"/>
    <w:rsid w:val="0050003D"/>
    <w:rsid w:val="00500A91"/>
    <w:rsid w:val="00501199"/>
    <w:rsid w:val="00501419"/>
    <w:rsid w:val="00501AFB"/>
    <w:rsid w:val="00501C2A"/>
    <w:rsid w:val="00502FC1"/>
    <w:rsid w:val="0050307F"/>
    <w:rsid w:val="00503A4A"/>
    <w:rsid w:val="00503A62"/>
    <w:rsid w:val="00503C12"/>
    <w:rsid w:val="005048BF"/>
    <w:rsid w:val="00507041"/>
    <w:rsid w:val="00507403"/>
    <w:rsid w:val="00507726"/>
    <w:rsid w:val="00507A29"/>
    <w:rsid w:val="00507DB2"/>
    <w:rsid w:val="00510AF2"/>
    <w:rsid w:val="00510B14"/>
    <w:rsid w:val="00511CAB"/>
    <w:rsid w:val="00512C65"/>
    <w:rsid w:val="0051353F"/>
    <w:rsid w:val="005136F7"/>
    <w:rsid w:val="00513BBF"/>
    <w:rsid w:val="00514193"/>
    <w:rsid w:val="005146EF"/>
    <w:rsid w:val="00514AC4"/>
    <w:rsid w:val="00515028"/>
    <w:rsid w:val="00515184"/>
    <w:rsid w:val="005158BD"/>
    <w:rsid w:val="00515C6D"/>
    <w:rsid w:val="00515D5D"/>
    <w:rsid w:val="005161AE"/>
    <w:rsid w:val="00516461"/>
    <w:rsid w:val="0051697E"/>
    <w:rsid w:val="00516CBF"/>
    <w:rsid w:val="00517E6A"/>
    <w:rsid w:val="00517E9D"/>
    <w:rsid w:val="005217EA"/>
    <w:rsid w:val="00521DCC"/>
    <w:rsid w:val="00523DE6"/>
    <w:rsid w:val="0052418F"/>
    <w:rsid w:val="00524B84"/>
    <w:rsid w:val="00525BA6"/>
    <w:rsid w:val="0052608A"/>
    <w:rsid w:val="00526551"/>
    <w:rsid w:val="00526C5F"/>
    <w:rsid w:val="0052701E"/>
    <w:rsid w:val="005302E5"/>
    <w:rsid w:val="005308CE"/>
    <w:rsid w:val="005309EB"/>
    <w:rsid w:val="00531425"/>
    <w:rsid w:val="00531E2D"/>
    <w:rsid w:val="00533F12"/>
    <w:rsid w:val="00534717"/>
    <w:rsid w:val="005353F5"/>
    <w:rsid w:val="005358BF"/>
    <w:rsid w:val="0053757A"/>
    <w:rsid w:val="00540E3A"/>
    <w:rsid w:val="00540EAC"/>
    <w:rsid w:val="005434F1"/>
    <w:rsid w:val="00543B1A"/>
    <w:rsid w:val="00543B43"/>
    <w:rsid w:val="00543F9F"/>
    <w:rsid w:val="00544329"/>
    <w:rsid w:val="005443A5"/>
    <w:rsid w:val="00545E35"/>
    <w:rsid w:val="005460AA"/>
    <w:rsid w:val="005461D8"/>
    <w:rsid w:val="0054711D"/>
    <w:rsid w:val="005501C1"/>
    <w:rsid w:val="00550424"/>
    <w:rsid w:val="00550E72"/>
    <w:rsid w:val="0055114E"/>
    <w:rsid w:val="005519A0"/>
    <w:rsid w:val="00553A55"/>
    <w:rsid w:val="00554F20"/>
    <w:rsid w:val="00556222"/>
    <w:rsid w:val="005566B2"/>
    <w:rsid w:val="00556A2A"/>
    <w:rsid w:val="00557B42"/>
    <w:rsid w:val="005605FE"/>
    <w:rsid w:val="00562D85"/>
    <w:rsid w:val="00562F24"/>
    <w:rsid w:val="00562FA0"/>
    <w:rsid w:val="00565621"/>
    <w:rsid w:val="0056614C"/>
    <w:rsid w:val="005672B6"/>
    <w:rsid w:val="005673A4"/>
    <w:rsid w:val="00567BA5"/>
    <w:rsid w:val="00570464"/>
    <w:rsid w:val="005707CD"/>
    <w:rsid w:val="00570B82"/>
    <w:rsid w:val="0057117F"/>
    <w:rsid w:val="00571DAC"/>
    <w:rsid w:val="00571E52"/>
    <w:rsid w:val="00571FD5"/>
    <w:rsid w:val="00572696"/>
    <w:rsid w:val="00572F75"/>
    <w:rsid w:val="00573307"/>
    <w:rsid w:val="005749B6"/>
    <w:rsid w:val="0057760E"/>
    <w:rsid w:val="00577C61"/>
    <w:rsid w:val="00577D06"/>
    <w:rsid w:val="00580C01"/>
    <w:rsid w:val="005811CD"/>
    <w:rsid w:val="00582B69"/>
    <w:rsid w:val="00583522"/>
    <w:rsid w:val="005843C6"/>
    <w:rsid w:val="00584E95"/>
    <w:rsid w:val="005859A2"/>
    <w:rsid w:val="005869DE"/>
    <w:rsid w:val="00587161"/>
    <w:rsid w:val="005871C1"/>
    <w:rsid w:val="00587292"/>
    <w:rsid w:val="0059065B"/>
    <w:rsid w:val="005908F3"/>
    <w:rsid w:val="00590B39"/>
    <w:rsid w:val="00591898"/>
    <w:rsid w:val="00595FAA"/>
    <w:rsid w:val="005A0186"/>
    <w:rsid w:val="005A034A"/>
    <w:rsid w:val="005A2E8A"/>
    <w:rsid w:val="005A3DFE"/>
    <w:rsid w:val="005A595E"/>
    <w:rsid w:val="005A5B75"/>
    <w:rsid w:val="005A7224"/>
    <w:rsid w:val="005A79E0"/>
    <w:rsid w:val="005B073E"/>
    <w:rsid w:val="005B0A51"/>
    <w:rsid w:val="005B0F6E"/>
    <w:rsid w:val="005B1835"/>
    <w:rsid w:val="005B2C86"/>
    <w:rsid w:val="005B2D6E"/>
    <w:rsid w:val="005B374A"/>
    <w:rsid w:val="005B3CA7"/>
    <w:rsid w:val="005B4D84"/>
    <w:rsid w:val="005B50D9"/>
    <w:rsid w:val="005B5790"/>
    <w:rsid w:val="005B63CD"/>
    <w:rsid w:val="005B646E"/>
    <w:rsid w:val="005B6845"/>
    <w:rsid w:val="005B6B1E"/>
    <w:rsid w:val="005B6DB5"/>
    <w:rsid w:val="005B7A07"/>
    <w:rsid w:val="005B7DB6"/>
    <w:rsid w:val="005C0286"/>
    <w:rsid w:val="005C18D5"/>
    <w:rsid w:val="005C1E66"/>
    <w:rsid w:val="005C2091"/>
    <w:rsid w:val="005C2807"/>
    <w:rsid w:val="005C35A3"/>
    <w:rsid w:val="005C39A1"/>
    <w:rsid w:val="005C4446"/>
    <w:rsid w:val="005C6028"/>
    <w:rsid w:val="005C674F"/>
    <w:rsid w:val="005C6B1B"/>
    <w:rsid w:val="005C7166"/>
    <w:rsid w:val="005C758D"/>
    <w:rsid w:val="005C7D06"/>
    <w:rsid w:val="005D0073"/>
    <w:rsid w:val="005D0C21"/>
    <w:rsid w:val="005D1295"/>
    <w:rsid w:val="005D184F"/>
    <w:rsid w:val="005D20AE"/>
    <w:rsid w:val="005D25AF"/>
    <w:rsid w:val="005D2891"/>
    <w:rsid w:val="005D31C3"/>
    <w:rsid w:val="005D45B4"/>
    <w:rsid w:val="005D4A08"/>
    <w:rsid w:val="005D4DBD"/>
    <w:rsid w:val="005D4ECA"/>
    <w:rsid w:val="005D579F"/>
    <w:rsid w:val="005D57F1"/>
    <w:rsid w:val="005D65CE"/>
    <w:rsid w:val="005D6A73"/>
    <w:rsid w:val="005D789E"/>
    <w:rsid w:val="005D7D76"/>
    <w:rsid w:val="005E1298"/>
    <w:rsid w:val="005E2556"/>
    <w:rsid w:val="005E31FC"/>
    <w:rsid w:val="005E351A"/>
    <w:rsid w:val="005E3B46"/>
    <w:rsid w:val="005E431F"/>
    <w:rsid w:val="005E50A2"/>
    <w:rsid w:val="005E54BB"/>
    <w:rsid w:val="005E79CB"/>
    <w:rsid w:val="005F06AA"/>
    <w:rsid w:val="005F0748"/>
    <w:rsid w:val="005F07CB"/>
    <w:rsid w:val="005F0CE7"/>
    <w:rsid w:val="005F0E5A"/>
    <w:rsid w:val="005F1B91"/>
    <w:rsid w:val="005F29FC"/>
    <w:rsid w:val="005F31EC"/>
    <w:rsid w:val="005F3F89"/>
    <w:rsid w:val="005F45B5"/>
    <w:rsid w:val="005F5499"/>
    <w:rsid w:val="005F587B"/>
    <w:rsid w:val="005F6571"/>
    <w:rsid w:val="005F71AB"/>
    <w:rsid w:val="005F7917"/>
    <w:rsid w:val="00600AC8"/>
    <w:rsid w:val="0060106A"/>
    <w:rsid w:val="00601339"/>
    <w:rsid w:val="0060214A"/>
    <w:rsid w:val="006032AB"/>
    <w:rsid w:val="00603C0B"/>
    <w:rsid w:val="00604F4D"/>
    <w:rsid w:val="006051E3"/>
    <w:rsid w:val="0060547F"/>
    <w:rsid w:val="006059E3"/>
    <w:rsid w:val="00606662"/>
    <w:rsid w:val="0060719B"/>
    <w:rsid w:val="00607763"/>
    <w:rsid w:val="006101A7"/>
    <w:rsid w:val="0061193B"/>
    <w:rsid w:val="006121C1"/>
    <w:rsid w:val="00612394"/>
    <w:rsid w:val="006124F7"/>
    <w:rsid w:val="006135B8"/>
    <w:rsid w:val="00613F1A"/>
    <w:rsid w:val="00614147"/>
    <w:rsid w:val="00614B9B"/>
    <w:rsid w:val="00614FBF"/>
    <w:rsid w:val="00615CF2"/>
    <w:rsid w:val="00620BE7"/>
    <w:rsid w:val="00622514"/>
    <w:rsid w:val="00622EC0"/>
    <w:rsid w:val="00623D84"/>
    <w:rsid w:val="006257CB"/>
    <w:rsid w:val="006259FE"/>
    <w:rsid w:val="00626686"/>
    <w:rsid w:val="0062766F"/>
    <w:rsid w:val="00630424"/>
    <w:rsid w:val="00630CD7"/>
    <w:rsid w:val="00630F14"/>
    <w:rsid w:val="00631715"/>
    <w:rsid w:val="00631E88"/>
    <w:rsid w:val="00632378"/>
    <w:rsid w:val="00632710"/>
    <w:rsid w:val="00633489"/>
    <w:rsid w:val="00633E65"/>
    <w:rsid w:val="00635697"/>
    <w:rsid w:val="00636C42"/>
    <w:rsid w:val="00637177"/>
    <w:rsid w:val="006401A2"/>
    <w:rsid w:val="006407CF"/>
    <w:rsid w:val="00641CAE"/>
    <w:rsid w:val="00643374"/>
    <w:rsid w:val="00643D94"/>
    <w:rsid w:val="00644128"/>
    <w:rsid w:val="0064453E"/>
    <w:rsid w:val="006450C2"/>
    <w:rsid w:val="00645875"/>
    <w:rsid w:val="00645FB5"/>
    <w:rsid w:val="0064665B"/>
    <w:rsid w:val="0064788F"/>
    <w:rsid w:val="006531F5"/>
    <w:rsid w:val="00653F04"/>
    <w:rsid w:val="0065425E"/>
    <w:rsid w:val="00654504"/>
    <w:rsid w:val="0065479D"/>
    <w:rsid w:val="00655484"/>
    <w:rsid w:val="00655937"/>
    <w:rsid w:val="0065661F"/>
    <w:rsid w:val="00656858"/>
    <w:rsid w:val="00656FB5"/>
    <w:rsid w:val="006572EB"/>
    <w:rsid w:val="00657500"/>
    <w:rsid w:val="006603F1"/>
    <w:rsid w:val="00660719"/>
    <w:rsid w:val="0066073D"/>
    <w:rsid w:val="00660BCE"/>
    <w:rsid w:val="00660CAD"/>
    <w:rsid w:val="00661803"/>
    <w:rsid w:val="0066181D"/>
    <w:rsid w:val="006636CE"/>
    <w:rsid w:val="00663891"/>
    <w:rsid w:val="006639B3"/>
    <w:rsid w:val="006641A6"/>
    <w:rsid w:val="00664597"/>
    <w:rsid w:val="00664FCA"/>
    <w:rsid w:val="0066517F"/>
    <w:rsid w:val="00665522"/>
    <w:rsid w:val="006704E1"/>
    <w:rsid w:val="00670A25"/>
    <w:rsid w:val="00670F4F"/>
    <w:rsid w:val="00671499"/>
    <w:rsid w:val="00671B4F"/>
    <w:rsid w:val="00671B76"/>
    <w:rsid w:val="006727FA"/>
    <w:rsid w:val="00672C39"/>
    <w:rsid w:val="006733F1"/>
    <w:rsid w:val="0067374F"/>
    <w:rsid w:val="0067387C"/>
    <w:rsid w:val="00673A95"/>
    <w:rsid w:val="0067522D"/>
    <w:rsid w:val="006765B0"/>
    <w:rsid w:val="0067794B"/>
    <w:rsid w:val="00680024"/>
    <w:rsid w:val="00680458"/>
    <w:rsid w:val="0068060E"/>
    <w:rsid w:val="0068085D"/>
    <w:rsid w:val="006813C8"/>
    <w:rsid w:val="00682036"/>
    <w:rsid w:val="00682052"/>
    <w:rsid w:val="00682934"/>
    <w:rsid w:val="00683E51"/>
    <w:rsid w:val="0068456B"/>
    <w:rsid w:val="006848BF"/>
    <w:rsid w:val="00685A79"/>
    <w:rsid w:val="00686694"/>
    <w:rsid w:val="00686F17"/>
    <w:rsid w:val="006872D4"/>
    <w:rsid w:val="006876AD"/>
    <w:rsid w:val="00690052"/>
    <w:rsid w:val="006902BC"/>
    <w:rsid w:val="00690631"/>
    <w:rsid w:val="0069114B"/>
    <w:rsid w:val="00691344"/>
    <w:rsid w:val="00691648"/>
    <w:rsid w:val="00691677"/>
    <w:rsid w:val="00691B86"/>
    <w:rsid w:val="00692367"/>
    <w:rsid w:val="006924C9"/>
    <w:rsid w:val="00693360"/>
    <w:rsid w:val="00693DE5"/>
    <w:rsid w:val="00693F96"/>
    <w:rsid w:val="00694538"/>
    <w:rsid w:val="00696552"/>
    <w:rsid w:val="006A07FF"/>
    <w:rsid w:val="006A0AD8"/>
    <w:rsid w:val="006A0D4A"/>
    <w:rsid w:val="006A2728"/>
    <w:rsid w:val="006A2A14"/>
    <w:rsid w:val="006A33C5"/>
    <w:rsid w:val="006A34B2"/>
    <w:rsid w:val="006A4F57"/>
    <w:rsid w:val="006A5D44"/>
    <w:rsid w:val="006A66C7"/>
    <w:rsid w:val="006A6C55"/>
    <w:rsid w:val="006A6DD3"/>
    <w:rsid w:val="006B0BFC"/>
    <w:rsid w:val="006B0DB3"/>
    <w:rsid w:val="006B0E72"/>
    <w:rsid w:val="006B18D6"/>
    <w:rsid w:val="006B1ECA"/>
    <w:rsid w:val="006B203F"/>
    <w:rsid w:val="006B2829"/>
    <w:rsid w:val="006B2CD1"/>
    <w:rsid w:val="006B30EE"/>
    <w:rsid w:val="006B3571"/>
    <w:rsid w:val="006B3BD1"/>
    <w:rsid w:val="006B4862"/>
    <w:rsid w:val="006B48B8"/>
    <w:rsid w:val="006B503C"/>
    <w:rsid w:val="006B5169"/>
    <w:rsid w:val="006B57F3"/>
    <w:rsid w:val="006B6408"/>
    <w:rsid w:val="006B6B7E"/>
    <w:rsid w:val="006B7193"/>
    <w:rsid w:val="006B7365"/>
    <w:rsid w:val="006B7396"/>
    <w:rsid w:val="006B7933"/>
    <w:rsid w:val="006B7F6E"/>
    <w:rsid w:val="006C0394"/>
    <w:rsid w:val="006C171B"/>
    <w:rsid w:val="006C3CE5"/>
    <w:rsid w:val="006C3D52"/>
    <w:rsid w:val="006C470E"/>
    <w:rsid w:val="006C4CFC"/>
    <w:rsid w:val="006C4ECF"/>
    <w:rsid w:val="006C5AFD"/>
    <w:rsid w:val="006C5FF4"/>
    <w:rsid w:val="006C612A"/>
    <w:rsid w:val="006C6A40"/>
    <w:rsid w:val="006C7051"/>
    <w:rsid w:val="006C7A41"/>
    <w:rsid w:val="006C7AA5"/>
    <w:rsid w:val="006D00AF"/>
    <w:rsid w:val="006D0B20"/>
    <w:rsid w:val="006D1E5E"/>
    <w:rsid w:val="006D3126"/>
    <w:rsid w:val="006D453B"/>
    <w:rsid w:val="006D47CB"/>
    <w:rsid w:val="006D4A4D"/>
    <w:rsid w:val="006D4B05"/>
    <w:rsid w:val="006D4FBD"/>
    <w:rsid w:val="006D5B94"/>
    <w:rsid w:val="006D5FA9"/>
    <w:rsid w:val="006D6099"/>
    <w:rsid w:val="006D69FF"/>
    <w:rsid w:val="006E0A65"/>
    <w:rsid w:val="006E114A"/>
    <w:rsid w:val="006E1C39"/>
    <w:rsid w:val="006E2EF0"/>
    <w:rsid w:val="006E40EA"/>
    <w:rsid w:val="006E43DA"/>
    <w:rsid w:val="006E53AA"/>
    <w:rsid w:val="006E5A20"/>
    <w:rsid w:val="006E5E57"/>
    <w:rsid w:val="006E67A0"/>
    <w:rsid w:val="006E6A31"/>
    <w:rsid w:val="006E720B"/>
    <w:rsid w:val="006E7DBF"/>
    <w:rsid w:val="006F0777"/>
    <w:rsid w:val="006F2502"/>
    <w:rsid w:val="006F3B00"/>
    <w:rsid w:val="006F407F"/>
    <w:rsid w:val="006F527E"/>
    <w:rsid w:val="006F5580"/>
    <w:rsid w:val="006F63B9"/>
    <w:rsid w:val="006F688F"/>
    <w:rsid w:val="006F6E30"/>
    <w:rsid w:val="006F7074"/>
    <w:rsid w:val="006F7BC8"/>
    <w:rsid w:val="007009C3"/>
    <w:rsid w:val="00701856"/>
    <w:rsid w:val="007020EA"/>
    <w:rsid w:val="0070222A"/>
    <w:rsid w:val="0070228B"/>
    <w:rsid w:val="007023E4"/>
    <w:rsid w:val="00704336"/>
    <w:rsid w:val="007044C8"/>
    <w:rsid w:val="0070571D"/>
    <w:rsid w:val="007066CA"/>
    <w:rsid w:val="00706D83"/>
    <w:rsid w:val="00707F8E"/>
    <w:rsid w:val="0071058C"/>
    <w:rsid w:val="007115B0"/>
    <w:rsid w:val="00712527"/>
    <w:rsid w:val="0071324C"/>
    <w:rsid w:val="0071486F"/>
    <w:rsid w:val="007167B7"/>
    <w:rsid w:val="0071758C"/>
    <w:rsid w:val="00720249"/>
    <w:rsid w:val="00720F18"/>
    <w:rsid w:val="00720F86"/>
    <w:rsid w:val="0072139D"/>
    <w:rsid w:val="007232AB"/>
    <w:rsid w:val="00723314"/>
    <w:rsid w:val="00723388"/>
    <w:rsid w:val="00723FAB"/>
    <w:rsid w:val="007246D6"/>
    <w:rsid w:val="0072606C"/>
    <w:rsid w:val="007275C7"/>
    <w:rsid w:val="00727690"/>
    <w:rsid w:val="0073050A"/>
    <w:rsid w:val="00731390"/>
    <w:rsid w:val="007313F1"/>
    <w:rsid w:val="0073163E"/>
    <w:rsid w:val="00732429"/>
    <w:rsid w:val="0073255F"/>
    <w:rsid w:val="007325C0"/>
    <w:rsid w:val="0073357A"/>
    <w:rsid w:val="00733A77"/>
    <w:rsid w:val="007341AD"/>
    <w:rsid w:val="00734ED3"/>
    <w:rsid w:val="00735264"/>
    <w:rsid w:val="00735994"/>
    <w:rsid w:val="00735E0E"/>
    <w:rsid w:val="00736239"/>
    <w:rsid w:val="00736C40"/>
    <w:rsid w:val="00736CA3"/>
    <w:rsid w:val="007372C1"/>
    <w:rsid w:val="00737526"/>
    <w:rsid w:val="00740467"/>
    <w:rsid w:val="0074076D"/>
    <w:rsid w:val="00741310"/>
    <w:rsid w:val="00741A57"/>
    <w:rsid w:val="00741B5C"/>
    <w:rsid w:val="00741B90"/>
    <w:rsid w:val="00742438"/>
    <w:rsid w:val="007458F9"/>
    <w:rsid w:val="00746B6A"/>
    <w:rsid w:val="0074739E"/>
    <w:rsid w:val="00747AD1"/>
    <w:rsid w:val="00747C28"/>
    <w:rsid w:val="007508E0"/>
    <w:rsid w:val="00750DCB"/>
    <w:rsid w:val="00751039"/>
    <w:rsid w:val="00751350"/>
    <w:rsid w:val="007522DB"/>
    <w:rsid w:val="007526BA"/>
    <w:rsid w:val="00752C82"/>
    <w:rsid w:val="00753425"/>
    <w:rsid w:val="00753B01"/>
    <w:rsid w:val="0075462A"/>
    <w:rsid w:val="00755F86"/>
    <w:rsid w:val="007562B8"/>
    <w:rsid w:val="00756E06"/>
    <w:rsid w:val="007573A5"/>
    <w:rsid w:val="007573BD"/>
    <w:rsid w:val="00757480"/>
    <w:rsid w:val="007579BD"/>
    <w:rsid w:val="0076032F"/>
    <w:rsid w:val="007609B4"/>
    <w:rsid w:val="007618F4"/>
    <w:rsid w:val="00761B3A"/>
    <w:rsid w:val="00762BC2"/>
    <w:rsid w:val="00762FD5"/>
    <w:rsid w:val="00763356"/>
    <w:rsid w:val="007633A4"/>
    <w:rsid w:val="0076366C"/>
    <w:rsid w:val="007639AC"/>
    <w:rsid w:val="00764543"/>
    <w:rsid w:val="00765D3C"/>
    <w:rsid w:val="00767058"/>
    <w:rsid w:val="0076719D"/>
    <w:rsid w:val="007672AD"/>
    <w:rsid w:val="007674C0"/>
    <w:rsid w:val="00767578"/>
    <w:rsid w:val="00770057"/>
    <w:rsid w:val="0077027A"/>
    <w:rsid w:val="0077043A"/>
    <w:rsid w:val="00770E02"/>
    <w:rsid w:val="0077104B"/>
    <w:rsid w:val="00771D57"/>
    <w:rsid w:val="007722FD"/>
    <w:rsid w:val="0077282F"/>
    <w:rsid w:val="00773596"/>
    <w:rsid w:val="007740F9"/>
    <w:rsid w:val="007745DF"/>
    <w:rsid w:val="007749E2"/>
    <w:rsid w:val="00774CBD"/>
    <w:rsid w:val="00775941"/>
    <w:rsid w:val="0077696F"/>
    <w:rsid w:val="00776E6C"/>
    <w:rsid w:val="00776EA2"/>
    <w:rsid w:val="007771B3"/>
    <w:rsid w:val="0077787F"/>
    <w:rsid w:val="0078061D"/>
    <w:rsid w:val="00781548"/>
    <w:rsid w:val="00782341"/>
    <w:rsid w:val="00782B11"/>
    <w:rsid w:val="00783710"/>
    <w:rsid w:val="00783B1E"/>
    <w:rsid w:val="00783E4B"/>
    <w:rsid w:val="007840B7"/>
    <w:rsid w:val="00784C1B"/>
    <w:rsid w:val="0078501E"/>
    <w:rsid w:val="00785AE7"/>
    <w:rsid w:val="007860FC"/>
    <w:rsid w:val="007871D2"/>
    <w:rsid w:val="00787BB4"/>
    <w:rsid w:val="00791214"/>
    <w:rsid w:val="0079126A"/>
    <w:rsid w:val="00791B65"/>
    <w:rsid w:val="007930EA"/>
    <w:rsid w:val="0079334F"/>
    <w:rsid w:val="00794627"/>
    <w:rsid w:val="00794AAB"/>
    <w:rsid w:val="00794CF5"/>
    <w:rsid w:val="00794FAC"/>
    <w:rsid w:val="007950CD"/>
    <w:rsid w:val="007959EF"/>
    <w:rsid w:val="0079621A"/>
    <w:rsid w:val="007964DE"/>
    <w:rsid w:val="0079671A"/>
    <w:rsid w:val="007968B1"/>
    <w:rsid w:val="00796D2C"/>
    <w:rsid w:val="0079728A"/>
    <w:rsid w:val="00797E16"/>
    <w:rsid w:val="007A0768"/>
    <w:rsid w:val="007A1459"/>
    <w:rsid w:val="007A18DD"/>
    <w:rsid w:val="007A212C"/>
    <w:rsid w:val="007A2BDE"/>
    <w:rsid w:val="007A2EBD"/>
    <w:rsid w:val="007A3522"/>
    <w:rsid w:val="007A51BE"/>
    <w:rsid w:val="007A57DA"/>
    <w:rsid w:val="007A610B"/>
    <w:rsid w:val="007A6763"/>
    <w:rsid w:val="007A68BD"/>
    <w:rsid w:val="007A6B2F"/>
    <w:rsid w:val="007A6F9F"/>
    <w:rsid w:val="007B07B4"/>
    <w:rsid w:val="007B0B18"/>
    <w:rsid w:val="007B0FBD"/>
    <w:rsid w:val="007B0FD7"/>
    <w:rsid w:val="007B1325"/>
    <w:rsid w:val="007B1CCD"/>
    <w:rsid w:val="007B2307"/>
    <w:rsid w:val="007B2434"/>
    <w:rsid w:val="007B4807"/>
    <w:rsid w:val="007B4833"/>
    <w:rsid w:val="007B4DCC"/>
    <w:rsid w:val="007B5D78"/>
    <w:rsid w:val="007B5FC8"/>
    <w:rsid w:val="007C0075"/>
    <w:rsid w:val="007C0A6A"/>
    <w:rsid w:val="007C2499"/>
    <w:rsid w:val="007C2807"/>
    <w:rsid w:val="007C32DA"/>
    <w:rsid w:val="007C3448"/>
    <w:rsid w:val="007C49E8"/>
    <w:rsid w:val="007C57F5"/>
    <w:rsid w:val="007C7134"/>
    <w:rsid w:val="007C71F0"/>
    <w:rsid w:val="007C7305"/>
    <w:rsid w:val="007C7B79"/>
    <w:rsid w:val="007D0432"/>
    <w:rsid w:val="007D08FE"/>
    <w:rsid w:val="007D0BA0"/>
    <w:rsid w:val="007D27E1"/>
    <w:rsid w:val="007D2F08"/>
    <w:rsid w:val="007D5016"/>
    <w:rsid w:val="007D63F7"/>
    <w:rsid w:val="007D644E"/>
    <w:rsid w:val="007E0414"/>
    <w:rsid w:val="007E0FD4"/>
    <w:rsid w:val="007E12E0"/>
    <w:rsid w:val="007E1671"/>
    <w:rsid w:val="007E1DA6"/>
    <w:rsid w:val="007E219A"/>
    <w:rsid w:val="007E28AB"/>
    <w:rsid w:val="007E2BF6"/>
    <w:rsid w:val="007E4E8F"/>
    <w:rsid w:val="007E5751"/>
    <w:rsid w:val="007E5E8F"/>
    <w:rsid w:val="007E5FB7"/>
    <w:rsid w:val="007E625B"/>
    <w:rsid w:val="007E635C"/>
    <w:rsid w:val="007E63A8"/>
    <w:rsid w:val="007E6997"/>
    <w:rsid w:val="007E6B8C"/>
    <w:rsid w:val="007E7540"/>
    <w:rsid w:val="007F0DBC"/>
    <w:rsid w:val="007F0FC4"/>
    <w:rsid w:val="007F1DC1"/>
    <w:rsid w:val="007F1EC9"/>
    <w:rsid w:val="007F206A"/>
    <w:rsid w:val="007F22D8"/>
    <w:rsid w:val="007F2BD3"/>
    <w:rsid w:val="007F3995"/>
    <w:rsid w:val="007F4267"/>
    <w:rsid w:val="007F45D3"/>
    <w:rsid w:val="007F53F8"/>
    <w:rsid w:val="007F5E03"/>
    <w:rsid w:val="007F64FF"/>
    <w:rsid w:val="007F7881"/>
    <w:rsid w:val="00800A64"/>
    <w:rsid w:val="00801CD2"/>
    <w:rsid w:val="00802B18"/>
    <w:rsid w:val="00804122"/>
    <w:rsid w:val="008074C2"/>
    <w:rsid w:val="00807BEE"/>
    <w:rsid w:val="00807D2B"/>
    <w:rsid w:val="008105CF"/>
    <w:rsid w:val="008109B7"/>
    <w:rsid w:val="00811205"/>
    <w:rsid w:val="008114BB"/>
    <w:rsid w:val="0081180C"/>
    <w:rsid w:val="00811EB3"/>
    <w:rsid w:val="008120C5"/>
    <w:rsid w:val="00813696"/>
    <w:rsid w:val="00813766"/>
    <w:rsid w:val="0081394D"/>
    <w:rsid w:val="00813997"/>
    <w:rsid w:val="0081440D"/>
    <w:rsid w:val="00815BCC"/>
    <w:rsid w:val="00815DB0"/>
    <w:rsid w:val="00815EA2"/>
    <w:rsid w:val="00815ECC"/>
    <w:rsid w:val="008166AB"/>
    <w:rsid w:val="00816918"/>
    <w:rsid w:val="00817B85"/>
    <w:rsid w:val="00820C66"/>
    <w:rsid w:val="00820D60"/>
    <w:rsid w:val="008216CE"/>
    <w:rsid w:val="00821702"/>
    <w:rsid w:val="00821D0C"/>
    <w:rsid w:val="00821F36"/>
    <w:rsid w:val="008229C4"/>
    <w:rsid w:val="00822CAA"/>
    <w:rsid w:val="008232BD"/>
    <w:rsid w:val="00823A17"/>
    <w:rsid w:val="00824A5A"/>
    <w:rsid w:val="00824E7E"/>
    <w:rsid w:val="0082530F"/>
    <w:rsid w:val="00825891"/>
    <w:rsid w:val="00825DD5"/>
    <w:rsid w:val="00826364"/>
    <w:rsid w:val="00826479"/>
    <w:rsid w:val="00826555"/>
    <w:rsid w:val="00826DDF"/>
    <w:rsid w:val="0082751F"/>
    <w:rsid w:val="00830D16"/>
    <w:rsid w:val="00831840"/>
    <w:rsid w:val="008321F0"/>
    <w:rsid w:val="0083264F"/>
    <w:rsid w:val="008333BB"/>
    <w:rsid w:val="00833506"/>
    <w:rsid w:val="00835387"/>
    <w:rsid w:val="00835701"/>
    <w:rsid w:val="008368CF"/>
    <w:rsid w:val="00837178"/>
    <w:rsid w:val="008374CF"/>
    <w:rsid w:val="00837798"/>
    <w:rsid w:val="008377D7"/>
    <w:rsid w:val="00837843"/>
    <w:rsid w:val="008407D0"/>
    <w:rsid w:val="00841C7D"/>
    <w:rsid w:val="00843AC8"/>
    <w:rsid w:val="0084428C"/>
    <w:rsid w:val="0084482D"/>
    <w:rsid w:val="00844ED9"/>
    <w:rsid w:val="00845241"/>
    <w:rsid w:val="00845C82"/>
    <w:rsid w:val="0084631B"/>
    <w:rsid w:val="00846476"/>
    <w:rsid w:val="00851331"/>
    <w:rsid w:val="0085171A"/>
    <w:rsid w:val="008528BE"/>
    <w:rsid w:val="00853B16"/>
    <w:rsid w:val="00855007"/>
    <w:rsid w:val="0085511D"/>
    <w:rsid w:val="00855868"/>
    <w:rsid w:val="00855BF6"/>
    <w:rsid w:val="00857524"/>
    <w:rsid w:val="0086036B"/>
    <w:rsid w:val="00860AEC"/>
    <w:rsid w:val="00860FF1"/>
    <w:rsid w:val="00861E15"/>
    <w:rsid w:val="008627FD"/>
    <w:rsid w:val="008629E2"/>
    <w:rsid w:val="00862AC7"/>
    <w:rsid w:val="00862DBD"/>
    <w:rsid w:val="00864446"/>
    <w:rsid w:val="00865423"/>
    <w:rsid w:val="00865EC0"/>
    <w:rsid w:val="00866470"/>
    <w:rsid w:val="00866BF2"/>
    <w:rsid w:val="008670E2"/>
    <w:rsid w:val="00867213"/>
    <w:rsid w:val="00867666"/>
    <w:rsid w:val="0086795A"/>
    <w:rsid w:val="0086799F"/>
    <w:rsid w:val="008725AF"/>
    <w:rsid w:val="0087293E"/>
    <w:rsid w:val="008730D7"/>
    <w:rsid w:val="00873A0A"/>
    <w:rsid w:val="00873A0C"/>
    <w:rsid w:val="008751EC"/>
    <w:rsid w:val="0087538D"/>
    <w:rsid w:val="0087597B"/>
    <w:rsid w:val="00875AB0"/>
    <w:rsid w:val="008767A6"/>
    <w:rsid w:val="00876D48"/>
    <w:rsid w:val="00876D54"/>
    <w:rsid w:val="00877160"/>
    <w:rsid w:val="008771E0"/>
    <w:rsid w:val="008777E6"/>
    <w:rsid w:val="0088147D"/>
    <w:rsid w:val="008829E0"/>
    <w:rsid w:val="0088474C"/>
    <w:rsid w:val="008848E8"/>
    <w:rsid w:val="00884D91"/>
    <w:rsid w:val="00885EFD"/>
    <w:rsid w:val="00886EA3"/>
    <w:rsid w:val="00887A76"/>
    <w:rsid w:val="0089014B"/>
    <w:rsid w:val="00890335"/>
    <w:rsid w:val="008916F5"/>
    <w:rsid w:val="0089178F"/>
    <w:rsid w:val="0089215D"/>
    <w:rsid w:val="008954C2"/>
    <w:rsid w:val="00895DEC"/>
    <w:rsid w:val="00896ACC"/>
    <w:rsid w:val="00896D59"/>
    <w:rsid w:val="00897511"/>
    <w:rsid w:val="008A0842"/>
    <w:rsid w:val="008A0D43"/>
    <w:rsid w:val="008A15B5"/>
    <w:rsid w:val="008A1C95"/>
    <w:rsid w:val="008A2034"/>
    <w:rsid w:val="008A2BB8"/>
    <w:rsid w:val="008A5B8C"/>
    <w:rsid w:val="008A5F5A"/>
    <w:rsid w:val="008A67CC"/>
    <w:rsid w:val="008A7538"/>
    <w:rsid w:val="008A7A3C"/>
    <w:rsid w:val="008B00F3"/>
    <w:rsid w:val="008B0428"/>
    <w:rsid w:val="008B0C5A"/>
    <w:rsid w:val="008B0F86"/>
    <w:rsid w:val="008B2879"/>
    <w:rsid w:val="008B2C68"/>
    <w:rsid w:val="008B57B0"/>
    <w:rsid w:val="008B626B"/>
    <w:rsid w:val="008B7360"/>
    <w:rsid w:val="008B73B8"/>
    <w:rsid w:val="008B7D94"/>
    <w:rsid w:val="008B7E20"/>
    <w:rsid w:val="008C0736"/>
    <w:rsid w:val="008C1240"/>
    <w:rsid w:val="008C149A"/>
    <w:rsid w:val="008C215A"/>
    <w:rsid w:val="008C2AD5"/>
    <w:rsid w:val="008C2F6C"/>
    <w:rsid w:val="008C3224"/>
    <w:rsid w:val="008C3B1C"/>
    <w:rsid w:val="008C5FD7"/>
    <w:rsid w:val="008C65DD"/>
    <w:rsid w:val="008C729C"/>
    <w:rsid w:val="008C794F"/>
    <w:rsid w:val="008C7D6B"/>
    <w:rsid w:val="008D03EC"/>
    <w:rsid w:val="008D0D5B"/>
    <w:rsid w:val="008D0EA6"/>
    <w:rsid w:val="008D22DA"/>
    <w:rsid w:val="008D25AF"/>
    <w:rsid w:val="008D26BC"/>
    <w:rsid w:val="008D2C31"/>
    <w:rsid w:val="008D3B91"/>
    <w:rsid w:val="008D3F5A"/>
    <w:rsid w:val="008D3F60"/>
    <w:rsid w:val="008D605A"/>
    <w:rsid w:val="008D633E"/>
    <w:rsid w:val="008D63C9"/>
    <w:rsid w:val="008D66E6"/>
    <w:rsid w:val="008D6B39"/>
    <w:rsid w:val="008D6CDC"/>
    <w:rsid w:val="008D7330"/>
    <w:rsid w:val="008D7871"/>
    <w:rsid w:val="008D7D87"/>
    <w:rsid w:val="008E0F34"/>
    <w:rsid w:val="008E104A"/>
    <w:rsid w:val="008E1407"/>
    <w:rsid w:val="008E140A"/>
    <w:rsid w:val="008E3C93"/>
    <w:rsid w:val="008E43CB"/>
    <w:rsid w:val="008E51A6"/>
    <w:rsid w:val="008E51B5"/>
    <w:rsid w:val="008E75BF"/>
    <w:rsid w:val="008E75CA"/>
    <w:rsid w:val="008E7D27"/>
    <w:rsid w:val="008E7F0C"/>
    <w:rsid w:val="008F0000"/>
    <w:rsid w:val="008F074C"/>
    <w:rsid w:val="008F0C9A"/>
    <w:rsid w:val="008F11C5"/>
    <w:rsid w:val="008F26BE"/>
    <w:rsid w:val="008F3C87"/>
    <w:rsid w:val="008F5C18"/>
    <w:rsid w:val="008F7216"/>
    <w:rsid w:val="008F7533"/>
    <w:rsid w:val="008F79E4"/>
    <w:rsid w:val="00901306"/>
    <w:rsid w:val="00901696"/>
    <w:rsid w:val="009029B5"/>
    <w:rsid w:val="009030A1"/>
    <w:rsid w:val="00903C30"/>
    <w:rsid w:val="00903ECB"/>
    <w:rsid w:val="00904826"/>
    <w:rsid w:val="00904CA3"/>
    <w:rsid w:val="0090551A"/>
    <w:rsid w:val="00905689"/>
    <w:rsid w:val="00905D87"/>
    <w:rsid w:val="00906501"/>
    <w:rsid w:val="00907A52"/>
    <w:rsid w:val="009108F7"/>
    <w:rsid w:val="00910B03"/>
    <w:rsid w:val="00910B34"/>
    <w:rsid w:val="009116A9"/>
    <w:rsid w:val="0091447C"/>
    <w:rsid w:val="009157CA"/>
    <w:rsid w:val="0091607D"/>
    <w:rsid w:val="0091777D"/>
    <w:rsid w:val="00917AF5"/>
    <w:rsid w:val="0092011F"/>
    <w:rsid w:val="00920499"/>
    <w:rsid w:val="00920959"/>
    <w:rsid w:val="0092185E"/>
    <w:rsid w:val="00921D9F"/>
    <w:rsid w:val="009224B1"/>
    <w:rsid w:val="009227FC"/>
    <w:rsid w:val="00923065"/>
    <w:rsid w:val="00923D8A"/>
    <w:rsid w:val="009251DC"/>
    <w:rsid w:val="00925B83"/>
    <w:rsid w:val="00926F25"/>
    <w:rsid w:val="00927486"/>
    <w:rsid w:val="00927CC6"/>
    <w:rsid w:val="00927F95"/>
    <w:rsid w:val="00930010"/>
    <w:rsid w:val="00930591"/>
    <w:rsid w:val="0093186A"/>
    <w:rsid w:val="00931B38"/>
    <w:rsid w:val="00931C10"/>
    <w:rsid w:val="00932373"/>
    <w:rsid w:val="00932A86"/>
    <w:rsid w:val="00933B78"/>
    <w:rsid w:val="00933DB7"/>
    <w:rsid w:val="009341BD"/>
    <w:rsid w:val="00934756"/>
    <w:rsid w:val="009348C1"/>
    <w:rsid w:val="00935793"/>
    <w:rsid w:val="00935827"/>
    <w:rsid w:val="00935909"/>
    <w:rsid w:val="009366E6"/>
    <w:rsid w:val="0093681D"/>
    <w:rsid w:val="00936E43"/>
    <w:rsid w:val="0094019E"/>
    <w:rsid w:val="009416E8"/>
    <w:rsid w:val="00941830"/>
    <w:rsid w:val="00941C71"/>
    <w:rsid w:val="00941E28"/>
    <w:rsid w:val="00941E69"/>
    <w:rsid w:val="009425BD"/>
    <w:rsid w:val="00943BAF"/>
    <w:rsid w:val="00943EBB"/>
    <w:rsid w:val="00944283"/>
    <w:rsid w:val="009444BE"/>
    <w:rsid w:val="0094468F"/>
    <w:rsid w:val="0094532C"/>
    <w:rsid w:val="00945337"/>
    <w:rsid w:val="0094561F"/>
    <w:rsid w:val="00945D38"/>
    <w:rsid w:val="009463E6"/>
    <w:rsid w:val="00946F3E"/>
    <w:rsid w:val="009474F6"/>
    <w:rsid w:val="00947AF7"/>
    <w:rsid w:val="009508A3"/>
    <w:rsid w:val="00950A84"/>
    <w:rsid w:val="00951030"/>
    <w:rsid w:val="00955282"/>
    <w:rsid w:val="0095541B"/>
    <w:rsid w:val="00955C35"/>
    <w:rsid w:val="00955FBC"/>
    <w:rsid w:val="0095616E"/>
    <w:rsid w:val="00956748"/>
    <w:rsid w:val="009571BE"/>
    <w:rsid w:val="00957B18"/>
    <w:rsid w:val="00957D62"/>
    <w:rsid w:val="009610B8"/>
    <w:rsid w:val="00961B51"/>
    <w:rsid w:val="009630EB"/>
    <w:rsid w:val="0096334A"/>
    <w:rsid w:val="00965C57"/>
    <w:rsid w:val="00965D5F"/>
    <w:rsid w:val="0096612E"/>
    <w:rsid w:val="009661D6"/>
    <w:rsid w:val="009669C8"/>
    <w:rsid w:val="00966DB2"/>
    <w:rsid w:val="00967F5F"/>
    <w:rsid w:val="00971772"/>
    <w:rsid w:val="00972E67"/>
    <w:rsid w:val="0097309B"/>
    <w:rsid w:val="00974E5D"/>
    <w:rsid w:val="009753FB"/>
    <w:rsid w:val="00975869"/>
    <w:rsid w:val="00975889"/>
    <w:rsid w:val="00975A81"/>
    <w:rsid w:val="00976217"/>
    <w:rsid w:val="009768E9"/>
    <w:rsid w:val="0097767B"/>
    <w:rsid w:val="00980812"/>
    <w:rsid w:val="00980AB9"/>
    <w:rsid w:val="0098165E"/>
    <w:rsid w:val="009819EB"/>
    <w:rsid w:val="0098359B"/>
    <w:rsid w:val="00983AFC"/>
    <w:rsid w:val="00983D09"/>
    <w:rsid w:val="0098553E"/>
    <w:rsid w:val="0098640E"/>
    <w:rsid w:val="00986493"/>
    <w:rsid w:val="00986946"/>
    <w:rsid w:val="00986DBE"/>
    <w:rsid w:val="009877DB"/>
    <w:rsid w:val="009915CE"/>
    <w:rsid w:val="00991CA1"/>
    <w:rsid w:val="00993181"/>
    <w:rsid w:val="009932A1"/>
    <w:rsid w:val="009936CF"/>
    <w:rsid w:val="009938DB"/>
    <w:rsid w:val="00993DC8"/>
    <w:rsid w:val="00994857"/>
    <w:rsid w:val="00994936"/>
    <w:rsid w:val="00995443"/>
    <w:rsid w:val="0099550B"/>
    <w:rsid w:val="009962DA"/>
    <w:rsid w:val="00996563"/>
    <w:rsid w:val="00996CDE"/>
    <w:rsid w:val="009A0C7F"/>
    <w:rsid w:val="009A146E"/>
    <w:rsid w:val="009A21C3"/>
    <w:rsid w:val="009A3BE9"/>
    <w:rsid w:val="009A3CB2"/>
    <w:rsid w:val="009A430A"/>
    <w:rsid w:val="009A455A"/>
    <w:rsid w:val="009A4BAA"/>
    <w:rsid w:val="009A4FAC"/>
    <w:rsid w:val="009A6192"/>
    <w:rsid w:val="009A64AA"/>
    <w:rsid w:val="009A7BEA"/>
    <w:rsid w:val="009A7EDA"/>
    <w:rsid w:val="009B0E43"/>
    <w:rsid w:val="009B17B0"/>
    <w:rsid w:val="009B1B2B"/>
    <w:rsid w:val="009B3022"/>
    <w:rsid w:val="009B3A4C"/>
    <w:rsid w:val="009B3AEF"/>
    <w:rsid w:val="009B45E8"/>
    <w:rsid w:val="009B6802"/>
    <w:rsid w:val="009B6A7B"/>
    <w:rsid w:val="009B6D6C"/>
    <w:rsid w:val="009B734B"/>
    <w:rsid w:val="009C0D86"/>
    <w:rsid w:val="009C125D"/>
    <w:rsid w:val="009C1652"/>
    <w:rsid w:val="009C1B4A"/>
    <w:rsid w:val="009C2351"/>
    <w:rsid w:val="009C2501"/>
    <w:rsid w:val="009C2825"/>
    <w:rsid w:val="009C3BE7"/>
    <w:rsid w:val="009C5926"/>
    <w:rsid w:val="009C5F2B"/>
    <w:rsid w:val="009C684E"/>
    <w:rsid w:val="009C6B73"/>
    <w:rsid w:val="009C7214"/>
    <w:rsid w:val="009C7C11"/>
    <w:rsid w:val="009C7F00"/>
    <w:rsid w:val="009D0176"/>
    <w:rsid w:val="009D0A95"/>
    <w:rsid w:val="009D10C9"/>
    <w:rsid w:val="009D199B"/>
    <w:rsid w:val="009D1EED"/>
    <w:rsid w:val="009D1FFE"/>
    <w:rsid w:val="009D2A9D"/>
    <w:rsid w:val="009D2DFB"/>
    <w:rsid w:val="009D334C"/>
    <w:rsid w:val="009D4B00"/>
    <w:rsid w:val="009D4D79"/>
    <w:rsid w:val="009D523F"/>
    <w:rsid w:val="009D6523"/>
    <w:rsid w:val="009D692C"/>
    <w:rsid w:val="009D6A90"/>
    <w:rsid w:val="009D6E5F"/>
    <w:rsid w:val="009D7576"/>
    <w:rsid w:val="009D7B60"/>
    <w:rsid w:val="009E00A7"/>
    <w:rsid w:val="009E133B"/>
    <w:rsid w:val="009E16E0"/>
    <w:rsid w:val="009E1816"/>
    <w:rsid w:val="009E2053"/>
    <w:rsid w:val="009E3EA2"/>
    <w:rsid w:val="009E5015"/>
    <w:rsid w:val="009E5376"/>
    <w:rsid w:val="009E6942"/>
    <w:rsid w:val="009E7394"/>
    <w:rsid w:val="009F14A9"/>
    <w:rsid w:val="009F1C85"/>
    <w:rsid w:val="009F2B1B"/>
    <w:rsid w:val="009F2F6D"/>
    <w:rsid w:val="009F3471"/>
    <w:rsid w:val="009F3650"/>
    <w:rsid w:val="009F3769"/>
    <w:rsid w:val="009F3B94"/>
    <w:rsid w:val="009F4E69"/>
    <w:rsid w:val="009F50E0"/>
    <w:rsid w:val="009F50FF"/>
    <w:rsid w:val="009F5186"/>
    <w:rsid w:val="009F53F3"/>
    <w:rsid w:val="009F6118"/>
    <w:rsid w:val="009F7844"/>
    <w:rsid w:val="009F7B47"/>
    <w:rsid w:val="00A00081"/>
    <w:rsid w:val="00A00309"/>
    <w:rsid w:val="00A007AC"/>
    <w:rsid w:val="00A00A77"/>
    <w:rsid w:val="00A01621"/>
    <w:rsid w:val="00A01851"/>
    <w:rsid w:val="00A019A7"/>
    <w:rsid w:val="00A01DD4"/>
    <w:rsid w:val="00A02333"/>
    <w:rsid w:val="00A0268E"/>
    <w:rsid w:val="00A0282B"/>
    <w:rsid w:val="00A032B9"/>
    <w:rsid w:val="00A03DF3"/>
    <w:rsid w:val="00A048F3"/>
    <w:rsid w:val="00A04B61"/>
    <w:rsid w:val="00A06244"/>
    <w:rsid w:val="00A0668A"/>
    <w:rsid w:val="00A06E6B"/>
    <w:rsid w:val="00A074E9"/>
    <w:rsid w:val="00A1113C"/>
    <w:rsid w:val="00A11302"/>
    <w:rsid w:val="00A1511D"/>
    <w:rsid w:val="00A15940"/>
    <w:rsid w:val="00A15A69"/>
    <w:rsid w:val="00A17595"/>
    <w:rsid w:val="00A176E2"/>
    <w:rsid w:val="00A20904"/>
    <w:rsid w:val="00A21565"/>
    <w:rsid w:val="00A21FCD"/>
    <w:rsid w:val="00A22CC9"/>
    <w:rsid w:val="00A22EF0"/>
    <w:rsid w:val="00A234A3"/>
    <w:rsid w:val="00A260A7"/>
    <w:rsid w:val="00A269E9"/>
    <w:rsid w:val="00A26F67"/>
    <w:rsid w:val="00A301BE"/>
    <w:rsid w:val="00A30432"/>
    <w:rsid w:val="00A310DF"/>
    <w:rsid w:val="00A32CD4"/>
    <w:rsid w:val="00A32DD6"/>
    <w:rsid w:val="00A33D14"/>
    <w:rsid w:val="00A34AB3"/>
    <w:rsid w:val="00A34F72"/>
    <w:rsid w:val="00A351BF"/>
    <w:rsid w:val="00A35E5B"/>
    <w:rsid w:val="00A36F74"/>
    <w:rsid w:val="00A375D2"/>
    <w:rsid w:val="00A376BB"/>
    <w:rsid w:val="00A37B43"/>
    <w:rsid w:val="00A40059"/>
    <w:rsid w:val="00A40D95"/>
    <w:rsid w:val="00A41E80"/>
    <w:rsid w:val="00A41F27"/>
    <w:rsid w:val="00A42131"/>
    <w:rsid w:val="00A4306A"/>
    <w:rsid w:val="00A443F5"/>
    <w:rsid w:val="00A449CB"/>
    <w:rsid w:val="00A44C10"/>
    <w:rsid w:val="00A44C3E"/>
    <w:rsid w:val="00A44C6A"/>
    <w:rsid w:val="00A44DED"/>
    <w:rsid w:val="00A45CF1"/>
    <w:rsid w:val="00A463D6"/>
    <w:rsid w:val="00A46919"/>
    <w:rsid w:val="00A46A14"/>
    <w:rsid w:val="00A46BB9"/>
    <w:rsid w:val="00A46F7D"/>
    <w:rsid w:val="00A47773"/>
    <w:rsid w:val="00A47D44"/>
    <w:rsid w:val="00A505BF"/>
    <w:rsid w:val="00A50B7F"/>
    <w:rsid w:val="00A53AF0"/>
    <w:rsid w:val="00A540A3"/>
    <w:rsid w:val="00A6017F"/>
    <w:rsid w:val="00A610B7"/>
    <w:rsid w:val="00A61A90"/>
    <w:rsid w:val="00A61C2F"/>
    <w:rsid w:val="00A61E28"/>
    <w:rsid w:val="00A6238B"/>
    <w:rsid w:val="00A62A53"/>
    <w:rsid w:val="00A62F08"/>
    <w:rsid w:val="00A632B7"/>
    <w:rsid w:val="00A6372D"/>
    <w:rsid w:val="00A64836"/>
    <w:rsid w:val="00A66933"/>
    <w:rsid w:val="00A66A6E"/>
    <w:rsid w:val="00A66D2B"/>
    <w:rsid w:val="00A703BC"/>
    <w:rsid w:val="00A709E1"/>
    <w:rsid w:val="00A71AB8"/>
    <w:rsid w:val="00A71C26"/>
    <w:rsid w:val="00A71EDB"/>
    <w:rsid w:val="00A747D6"/>
    <w:rsid w:val="00A74EDD"/>
    <w:rsid w:val="00A75472"/>
    <w:rsid w:val="00A777D1"/>
    <w:rsid w:val="00A77E08"/>
    <w:rsid w:val="00A81352"/>
    <w:rsid w:val="00A815B6"/>
    <w:rsid w:val="00A81A64"/>
    <w:rsid w:val="00A81CA4"/>
    <w:rsid w:val="00A81D2C"/>
    <w:rsid w:val="00A8209F"/>
    <w:rsid w:val="00A82BC2"/>
    <w:rsid w:val="00A82C89"/>
    <w:rsid w:val="00A82D7B"/>
    <w:rsid w:val="00A82F50"/>
    <w:rsid w:val="00A83881"/>
    <w:rsid w:val="00A841A8"/>
    <w:rsid w:val="00A8487F"/>
    <w:rsid w:val="00A84C43"/>
    <w:rsid w:val="00A863D8"/>
    <w:rsid w:val="00A90113"/>
    <w:rsid w:val="00A90BD3"/>
    <w:rsid w:val="00A90E4F"/>
    <w:rsid w:val="00A9113D"/>
    <w:rsid w:val="00A915D4"/>
    <w:rsid w:val="00A917FC"/>
    <w:rsid w:val="00A93DB8"/>
    <w:rsid w:val="00A93E48"/>
    <w:rsid w:val="00A94751"/>
    <w:rsid w:val="00A94B4E"/>
    <w:rsid w:val="00A94EC0"/>
    <w:rsid w:val="00A95040"/>
    <w:rsid w:val="00A95597"/>
    <w:rsid w:val="00A978B1"/>
    <w:rsid w:val="00A97A9D"/>
    <w:rsid w:val="00A97BAC"/>
    <w:rsid w:val="00AA070B"/>
    <w:rsid w:val="00AA0D39"/>
    <w:rsid w:val="00AA1348"/>
    <w:rsid w:val="00AA167F"/>
    <w:rsid w:val="00AA1C86"/>
    <w:rsid w:val="00AA2749"/>
    <w:rsid w:val="00AA2AEA"/>
    <w:rsid w:val="00AA2B9F"/>
    <w:rsid w:val="00AA2BC7"/>
    <w:rsid w:val="00AA2C17"/>
    <w:rsid w:val="00AA2F5D"/>
    <w:rsid w:val="00AA3901"/>
    <w:rsid w:val="00AA3CBD"/>
    <w:rsid w:val="00AA4AAC"/>
    <w:rsid w:val="00AA6A49"/>
    <w:rsid w:val="00AA78CA"/>
    <w:rsid w:val="00AA7A9C"/>
    <w:rsid w:val="00AB06CB"/>
    <w:rsid w:val="00AB0BDD"/>
    <w:rsid w:val="00AB17A6"/>
    <w:rsid w:val="00AB17AE"/>
    <w:rsid w:val="00AB2130"/>
    <w:rsid w:val="00AB387A"/>
    <w:rsid w:val="00AB4869"/>
    <w:rsid w:val="00AB57B3"/>
    <w:rsid w:val="00AB5988"/>
    <w:rsid w:val="00AB5A72"/>
    <w:rsid w:val="00AB5BD0"/>
    <w:rsid w:val="00AB608D"/>
    <w:rsid w:val="00AB653A"/>
    <w:rsid w:val="00AB6592"/>
    <w:rsid w:val="00AB7C05"/>
    <w:rsid w:val="00AC07FB"/>
    <w:rsid w:val="00AC0BD7"/>
    <w:rsid w:val="00AC1711"/>
    <w:rsid w:val="00AC1DDD"/>
    <w:rsid w:val="00AC2A7C"/>
    <w:rsid w:val="00AC3143"/>
    <w:rsid w:val="00AC4566"/>
    <w:rsid w:val="00AC48ED"/>
    <w:rsid w:val="00AC5C96"/>
    <w:rsid w:val="00AC63AB"/>
    <w:rsid w:val="00AC6F9F"/>
    <w:rsid w:val="00AC706E"/>
    <w:rsid w:val="00AC72FB"/>
    <w:rsid w:val="00AC7CD9"/>
    <w:rsid w:val="00AD02E0"/>
    <w:rsid w:val="00AD0673"/>
    <w:rsid w:val="00AD0E61"/>
    <w:rsid w:val="00AD109D"/>
    <w:rsid w:val="00AD11D1"/>
    <w:rsid w:val="00AD1865"/>
    <w:rsid w:val="00AD1EBC"/>
    <w:rsid w:val="00AD2A07"/>
    <w:rsid w:val="00AD2F69"/>
    <w:rsid w:val="00AD4CF2"/>
    <w:rsid w:val="00AD4DC2"/>
    <w:rsid w:val="00AD502B"/>
    <w:rsid w:val="00AD55A8"/>
    <w:rsid w:val="00AD73BD"/>
    <w:rsid w:val="00AD760E"/>
    <w:rsid w:val="00AE01EB"/>
    <w:rsid w:val="00AE1A2C"/>
    <w:rsid w:val="00AE1DD4"/>
    <w:rsid w:val="00AE28A7"/>
    <w:rsid w:val="00AE317F"/>
    <w:rsid w:val="00AE3342"/>
    <w:rsid w:val="00AE3DFE"/>
    <w:rsid w:val="00AE557D"/>
    <w:rsid w:val="00AE5B37"/>
    <w:rsid w:val="00AE68C6"/>
    <w:rsid w:val="00AF0002"/>
    <w:rsid w:val="00AF0C69"/>
    <w:rsid w:val="00AF0F88"/>
    <w:rsid w:val="00AF1123"/>
    <w:rsid w:val="00AF18FF"/>
    <w:rsid w:val="00AF2133"/>
    <w:rsid w:val="00AF26A5"/>
    <w:rsid w:val="00AF2909"/>
    <w:rsid w:val="00AF3828"/>
    <w:rsid w:val="00AF4006"/>
    <w:rsid w:val="00AF5244"/>
    <w:rsid w:val="00AF53E7"/>
    <w:rsid w:val="00AF5CFC"/>
    <w:rsid w:val="00AF69D9"/>
    <w:rsid w:val="00AF6A28"/>
    <w:rsid w:val="00AF6DEF"/>
    <w:rsid w:val="00AF7257"/>
    <w:rsid w:val="00AF7505"/>
    <w:rsid w:val="00AF7706"/>
    <w:rsid w:val="00AF7ABC"/>
    <w:rsid w:val="00B00217"/>
    <w:rsid w:val="00B004A4"/>
    <w:rsid w:val="00B015E6"/>
    <w:rsid w:val="00B017E7"/>
    <w:rsid w:val="00B028C7"/>
    <w:rsid w:val="00B02C05"/>
    <w:rsid w:val="00B03E6E"/>
    <w:rsid w:val="00B03F8F"/>
    <w:rsid w:val="00B04931"/>
    <w:rsid w:val="00B04B31"/>
    <w:rsid w:val="00B05153"/>
    <w:rsid w:val="00B060D7"/>
    <w:rsid w:val="00B06E0D"/>
    <w:rsid w:val="00B10BF5"/>
    <w:rsid w:val="00B1127E"/>
    <w:rsid w:val="00B11C5D"/>
    <w:rsid w:val="00B127B9"/>
    <w:rsid w:val="00B128AC"/>
    <w:rsid w:val="00B14637"/>
    <w:rsid w:val="00B14662"/>
    <w:rsid w:val="00B15098"/>
    <w:rsid w:val="00B150D5"/>
    <w:rsid w:val="00B15D57"/>
    <w:rsid w:val="00B17976"/>
    <w:rsid w:val="00B17C55"/>
    <w:rsid w:val="00B201C8"/>
    <w:rsid w:val="00B218CF"/>
    <w:rsid w:val="00B21D03"/>
    <w:rsid w:val="00B231F4"/>
    <w:rsid w:val="00B23B19"/>
    <w:rsid w:val="00B23E32"/>
    <w:rsid w:val="00B2415A"/>
    <w:rsid w:val="00B247DC"/>
    <w:rsid w:val="00B25431"/>
    <w:rsid w:val="00B260AD"/>
    <w:rsid w:val="00B2713F"/>
    <w:rsid w:val="00B278AC"/>
    <w:rsid w:val="00B27FE8"/>
    <w:rsid w:val="00B30AD3"/>
    <w:rsid w:val="00B3380C"/>
    <w:rsid w:val="00B338AE"/>
    <w:rsid w:val="00B343D3"/>
    <w:rsid w:val="00B3440C"/>
    <w:rsid w:val="00B3553F"/>
    <w:rsid w:val="00B3591F"/>
    <w:rsid w:val="00B35D07"/>
    <w:rsid w:val="00B35F70"/>
    <w:rsid w:val="00B36823"/>
    <w:rsid w:val="00B3684D"/>
    <w:rsid w:val="00B37694"/>
    <w:rsid w:val="00B3774C"/>
    <w:rsid w:val="00B401D9"/>
    <w:rsid w:val="00B40397"/>
    <w:rsid w:val="00B407DF"/>
    <w:rsid w:val="00B40C6F"/>
    <w:rsid w:val="00B41243"/>
    <w:rsid w:val="00B413AB"/>
    <w:rsid w:val="00B41EA9"/>
    <w:rsid w:val="00B421B7"/>
    <w:rsid w:val="00B425A8"/>
    <w:rsid w:val="00B44454"/>
    <w:rsid w:val="00B44FCE"/>
    <w:rsid w:val="00B451F7"/>
    <w:rsid w:val="00B4643F"/>
    <w:rsid w:val="00B467F1"/>
    <w:rsid w:val="00B46EAC"/>
    <w:rsid w:val="00B46EC8"/>
    <w:rsid w:val="00B47112"/>
    <w:rsid w:val="00B471B9"/>
    <w:rsid w:val="00B47652"/>
    <w:rsid w:val="00B47AA3"/>
    <w:rsid w:val="00B50009"/>
    <w:rsid w:val="00B50CF2"/>
    <w:rsid w:val="00B50F36"/>
    <w:rsid w:val="00B51AD4"/>
    <w:rsid w:val="00B520EE"/>
    <w:rsid w:val="00B528C2"/>
    <w:rsid w:val="00B5349D"/>
    <w:rsid w:val="00B54357"/>
    <w:rsid w:val="00B55421"/>
    <w:rsid w:val="00B554A0"/>
    <w:rsid w:val="00B565D3"/>
    <w:rsid w:val="00B5668C"/>
    <w:rsid w:val="00B5669E"/>
    <w:rsid w:val="00B57A2E"/>
    <w:rsid w:val="00B57DDA"/>
    <w:rsid w:val="00B609B4"/>
    <w:rsid w:val="00B60BA4"/>
    <w:rsid w:val="00B613F1"/>
    <w:rsid w:val="00B6148A"/>
    <w:rsid w:val="00B61C18"/>
    <w:rsid w:val="00B620D2"/>
    <w:rsid w:val="00B629D5"/>
    <w:rsid w:val="00B64C0D"/>
    <w:rsid w:val="00B65066"/>
    <w:rsid w:val="00B654AF"/>
    <w:rsid w:val="00B65AE7"/>
    <w:rsid w:val="00B6690C"/>
    <w:rsid w:val="00B672E6"/>
    <w:rsid w:val="00B67C53"/>
    <w:rsid w:val="00B67DC9"/>
    <w:rsid w:val="00B70322"/>
    <w:rsid w:val="00B70A74"/>
    <w:rsid w:val="00B70EAD"/>
    <w:rsid w:val="00B71610"/>
    <w:rsid w:val="00B71C5A"/>
    <w:rsid w:val="00B738CF"/>
    <w:rsid w:val="00B73E78"/>
    <w:rsid w:val="00B75229"/>
    <w:rsid w:val="00B752C7"/>
    <w:rsid w:val="00B75421"/>
    <w:rsid w:val="00B75CA8"/>
    <w:rsid w:val="00B760A0"/>
    <w:rsid w:val="00B760B2"/>
    <w:rsid w:val="00B772B8"/>
    <w:rsid w:val="00B80A6D"/>
    <w:rsid w:val="00B80E2E"/>
    <w:rsid w:val="00B812F1"/>
    <w:rsid w:val="00B81988"/>
    <w:rsid w:val="00B8230B"/>
    <w:rsid w:val="00B82728"/>
    <w:rsid w:val="00B82EDB"/>
    <w:rsid w:val="00B83352"/>
    <w:rsid w:val="00B83546"/>
    <w:rsid w:val="00B83AB2"/>
    <w:rsid w:val="00B83BCB"/>
    <w:rsid w:val="00B84134"/>
    <w:rsid w:val="00B85CA7"/>
    <w:rsid w:val="00B862A6"/>
    <w:rsid w:val="00B8693F"/>
    <w:rsid w:val="00B86D5A"/>
    <w:rsid w:val="00B8719C"/>
    <w:rsid w:val="00B8732B"/>
    <w:rsid w:val="00B87414"/>
    <w:rsid w:val="00B87D16"/>
    <w:rsid w:val="00B921B0"/>
    <w:rsid w:val="00B9226B"/>
    <w:rsid w:val="00B9245A"/>
    <w:rsid w:val="00B92F07"/>
    <w:rsid w:val="00B93C03"/>
    <w:rsid w:val="00B93C05"/>
    <w:rsid w:val="00B947F0"/>
    <w:rsid w:val="00B94BC8"/>
    <w:rsid w:val="00B967DD"/>
    <w:rsid w:val="00B97DA7"/>
    <w:rsid w:val="00B97E58"/>
    <w:rsid w:val="00BA0589"/>
    <w:rsid w:val="00BA0AA8"/>
    <w:rsid w:val="00BA0D64"/>
    <w:rsid w:val="00BA10F7"/>
    <w:rsid w:val="00BA12DA"/>
    <w:rsid w:val="00BA2497"/>
    <w:rsid w:val="00BA31FF"/>
    <w:rsid w:val="00BA398D"/>
    <w:rsid w:val="00BA42D8"/>
    <w:rsid w:val="00BA4B2E"/>
    <w:rsid w:val="00BA5822"/>
    <w:rsid w:val="00BA5BA9"/>
    <w:rsid w:val="00BA6FFA"/>
    <w:rsid w:val="00BA7A4E"/>
    <w:rsid w:val="00BB0C52"/>
    <w:rsid w:val="00BB1927"/>
    <w:rsid w:val="00BB19E0"/>
    <w:rsid w:val="00BB1F26"/>
    <w:rsid w:val="00BB24D0"/>
    <w:rsid w:val="00BB2693"/>
    <w:rsid w:val="00BB27C9"/>
    <w:rsid w:val="00BB27F1"/>
    <w:rsid w:val="00BB2A0F"/>
    <w:rsid w:val="00BB2B8C"/>
    <w:rsid w:val="00BB3E1D"/>
    <w:rsid w:val="00BB43E6"/>
    <w:rsid w:val="00BB455B"/>
    <w:rsid w:val="00BB580A"/>
    <w:rsid w:val="00BB66F3"/>
    <w:rsid w:val="00BB78BD"/>
    <w:rsid w:val="00BC08C0"/>
    <w:rsid w:val="00BC0C88"/>
    <w:rsid w:val="00BC294A"/>
    <w:rsid w:val="00BC2E0A"/>
    <w:rsid w:val="00BC2F13"/>
    <w:rsid w:val="00BC3334"/>
    <w:rsid w:val="00BC37BE"/>
    <w:rsid w:val="00BC3DAB"/>
    <w:rsid w:val="00BC594E"/>
    <w:rsid w:val="00BC5EA8"/>
    <w:rsid w:val="00BC63FD"/>
    <w:rsid w:val="00BD12BA"/>
    <w:rsid w:val="00BD13E4"/>
    <w:rsid w:val="00BD15C2"/>
    <w:rsid w:val="00BD167F"/>
    <w:rsid w:val="00BD175D"/>
    <w:rsid w:val="00BD1AC1"/>
    <w:rsid w:val="00BD25F7"/>
    <w:rsid w:val="00BD27D5"/>
    <w:rsid w:val="00BD27FC"/>
    <w:rsid w:val="00BD2C0F"/>
    <w:rsid w:val="00BD2EEC"/>
    <w:rsid w:val="00BD3F5B"/>
    <w:rsid w:val="00BD4784"/>
    <w:rsid w:val="00BD4D11"/>
    <w:rsid w:val="00BD58E9"/>
    <w:rsid w:val="00BD5B61"/>
    <w:rsid w:val="00BD664E"/>
    <w:rsid w:val="00BD7375"/>
    <w:rsid w:val="00BD7B27"/>
    <w:rsid w:val="00BE0579"/>
    <w:rsid w:val="00BE09DD"/>
    <w:rsid w:val="00BE1BAA"/>
    <w:rsid w:val="00BE21D4"/>
    <w:rsid w:val="00BE2836"/>
    <w:rsid w:val="00BE43A5"/>
    <w:rsid w:val="00BE4AC4"/>
    <w:rsid w:val="00BE54AE"/>
    <w:rsid w:val="00BE589C"/>
    <w:rsid w:val="00BE5D1F"/>
    <w:rsid w:val="00BE5E1B"/>
    <w:rsid w:val="00BE7473"/>
    <w:rsid w:val="00BF08FA"/>
    <w:rsid w:val="00BF2914"/>
    <w:rsid w:val="00BF29AE"/>
    <w:rsid w:val="00BF309C"/>
    <w:rsid w:val="00BF3386"/>
    <w:rsid w:val="00BF3CD2"/>
    <w:rsid w:val="00C003B3"/>
    <w:rsid w:val="00C01079"/>
    <w:rsid w:val="00C01283"/>
    <w:rsid w:val="00C017D4"/>
    <w:rsid w:val="00C02615"/>
    <w:rsid w:val="00C02DA7"/>
    <w:rsid w:val="00C02F68"/>
    <w:rsid w:val="00C03059"/>
    <w:rsid w:val="00C03A67"/>
    <w:rsid w:val="00C0539B"/>
    <w:rsid w:val="00C055E7"/>
    <w:rsid w:val="00C05940"/>
    <w:rsid w:val="00C05B5D"/>
    <w:rsid w:val="00C05C23"/>
    <w:rsid w:val="00C06C8E"/>
    <w:rsid w:val="00C06EEA"/>
    <w:rsid w:val="00C07545"/>
    <w:rsid w:val="00C07578"/>
    <w:rsid w:val="00C07B90"/>
    <w:rsid w:val="00C11D93"/>
    <w:rsid w:val="00C12B49"/>
    <w:rsid w:val="00C131AD"/>
    <w:rsid w:val="00C1458E"/>
    <w:rsid w:val="00C14D75"/>
    <w:rsid w:val="00C15BAB"/>
    <w:rsid w:val="00C201B0"/>
    <w:rsid w:val="00C214A6"/>
    <w:rsid w:val="00C220E4"/>
    <w:rsid w:val="00C22516"/>
    <w:rsid w:val="00C2256F"/>
    <w:rsid w:val="00C2264F"/>
    <w:rsid w:val="00C23A4A"/>
    <w:rsid w:val="00C243AC"/>
    <w:rsid w:val="00C251E1"/>
    <w:rsid w:val="00C252B2"/>
    <w:rsid w:val="00C25BD9"/>
    <w:rsid w:val="00C26157"/>
    <w:rsid w:val="00C2676D"/>
    <w:rsid w:val="00C267AC"/>
    <w:rsid w:val="00C26872"/>
    <w:rsid w:val="00C278B1"/>
    <w:rsid w:val="00C27CED"/>
    <w:rsid w:val="00C3002C"/>
    <w:rsid w:val="00C31121"/>
    <w:rsid w:val="00C31679"/>
    <w:rsid w:val="00C329DB"/>
    <w:rsid w:val="00C33198"/>
    <w:rsid w:val="00C336C6"/>
    <w:rsid w:val="00C34108"/>
    <w:rsid w:val="00C34B11"/>
    <w:rsid w:val="00C35226"/>
    <w:rsid w:val="00C359F6"/>
    <w:rsid w:val="00C35B98"/>
    <w:rsid w:val="00C364C6"/>
    <w:rsid w:val="00C3658E"/>
    <w:rsid w:val="00C3665E"/>
    <w:rsid w:val="00C366B1"/>
    <w:rsid w:val="00C36C47"/>
    <w:rsid w:val="00C36FDD"/>
    <w:rsid w:val="00C370F0"/>
    <w:rsid w:val="00C373D1"/>
    <w:rsid w:val="00C37631"/>
    <w:rsid w:val="00C416C1"/>
    <w:rsid w:val="00C41B88"/>
    <w:rsid w:val="00C42FB8"/>
    <w:rsid w:val="00C432DE"/>
    <w:rsid w:val="00C43881"/>
    <w:rsid w:val="00C43906"/>
    <w:rsid w:val="00C43C64"/>
    <w:rsid w:val="00C43F92"/>
    <w:rsid w:val="00C4492A"/>
    <w:rsid w:val="00C45923"/>
    <w:rsid w:val="00C45CB2"/>
    <w:rsid w:val="00C45FD9"/>
    <w:rsid w:val="00C46158"/>
    <w:rsid w:val="00C50C85"/>
    <w:rsid w:val="00C5242E"/>
    <w:rsid w:val="00C54424"/>
    <w:rsid w:val="00C547DD"/>
    <w:rsid w:val="00C54D8A"/>
    <w:rsid w:val="00C54F5B"/>
    <w:rsid w:val="00C5576E"/>
    <w:rsid w:val="00C55CBF"/>
    <w:rsid w:val="00C55EA6"/>
    <w:rsid w:val="00C6003C"/>
    <w:rsid w:val="00C62362"/>
    <w:rsid w:val="00C62D70"/>
    <w:rsid w:val="00C62DB9"/>
    <w:rsid w:val="00C638BE"/>
    <w:rsid w:val="00C63ABF"/>
    <w:rsid w:val="00C63D32"/>
    <w:rsid w:val="00C6430B"/>
    <w:rsid w:val="00C6518C"/>
    <w:rsid w:val="00C65A85"/>
    <w:rsid w:val="00C65C9D"/>
    <w:rsid w:val="00C6698B"/>
    <w:rsid w:val="00C669D9"/>
    <w:rsid w:val="00C674E1"/>
    <w:rsid w:val="00C71044"/>
    <w:rsid w:val="00C72134"/>
    <w:rsid w:val="00C723DC"/>
    <w:rsid w:val="00C72AAF"/>
    <w:rsid w:val="00C7339D"/>
    <w:rsid w:val="00C7379B"/>
    <w:rsid w:val="00C7472B"/>
    <w:rsid w:val="00C74E7F"/>
    <w:rsid w:val="00C74F3E"/>
    <w:rsid w:val="00C7511B"/>
    <w:rsid w:val="00C76D08"/>
    <w:rsid w:val="00C77BD2"/>
    <w:rsid w:val="00C80A90"/>
    <w:rsid w:val="00C818EA"/>
    <w:rsid w:val="00C81BD1"/>
    <w:rsid w:val="00C81EC4"/>
    <w:rsid w:val="00C82B42"/>
    <w:rsid w:val="00C84D8F"/>
    <w:rsid w:val="00C85185"/>
    <w:rsid w:val="00C85F43"/>
    <w:rsid w:val="00C8679D"/>
    <w:rsid w:val="00C87C9A"/>
    <w:rsid w:val="00C9011A"/>
    <w:rsid w:val="00C930B1"/>
    <w:rsid w:val="00C937DD"/>
    <w:rsid w:val="00C94436"/>
    <w:rsid w:val="00C94919"/>
    <w:rsid w:val="00C94B5A"/>
    <w:rsid w:val="00C950C3"/>
    <w:rsid w:val="00C95271"/>
    <w:rsid w:val="00C954ED"/>
    <w:rsid w:val="00C960F0"/>
    <w:rsid w:val="00C961DE"/>
    <w:rsid w:val="00C9683E"/>
    <w:rsid w:val="00C974E6"/>
    <w:rsid w:val="00C974FD"/>
    <w:rsid w:val="00CA0C9C"/>
    <w:rsid w:val="00CA0D38"/>
    <w:rsid w:val="00CA127F"/>
    <w:rsid w:val="00CA1707"/>
    <w:rsid w:val="00CA1AB4"/>
    <w:rsid w:val="00CA2959"/>
    <w:rsid w:val="00CA32E4"/>
    <w:rsid w:val="00CA35AB"/>
    <w:rsid w:val="00CA3FA4"/>
    <w:rsid w:val="00CA5FF4"/>
    <w:rsid w:val="00CA62FD"/>
    <w:rsid w:val="00CA6361"/>
    <w:rsid w:val="00CA6CD8"/>
    <w:rsid w:val="00CB1B13"/>
    <w:rsid w:val="00CB32AA"/>
    <w:rsid w:val="00CB4CC8"/>
    <w:rsid w:val="00CB4E35"/>
    <w:rsid w:val="00CB65DF"/>
    <w:rsid w:val="00CB6C58"/>
    <w:rsid w:val="00CB753A"/>
    <w:rsid w:val="00CB75FB"/>
    <w:rsid w:val="00CB7EF0"/>
    <w:rsid w:val="00CC1774"/>
    <w:rsid w:val="00CC2E2A"/>
    <w:rsid w:val="00CC3187"/>
    <w:rsid w:val="00CC3BF4"/>
    <w:rsid w:val="00CC4325"/>
    <w:rsid w:val="00CC5ECB"/>
    <w:rsid w:val="00CC69FF"/>
    <w:rsid w:val="00CC725B"/>
    <w:rsid w:val="00CC7BEF"/>
    <w:rsid w:val="00CD005D"/>
    <w:rsid w:val="00CD059F"/>
    <w:rsid w:val="00CD0EC5"/>
    <w:rsid w:val="00CD113C"/>
    <w:rsid w:val="00CD235C"/>
    <w:rsid w:val="00CD2D32"/>
    <w:rsid w:val="00CD3FB3"/>
    <w:rsid w:val="00CD4448"/>
    <w:rsid w:val="00CD44DC"/>
    <w:rsid w:val="00CD55EB"/>
    <w:rsid w:val="00CD670F"/>
    <w:rsid w:val="00CD77A6"/>
    <w:rsid w:val="00CD7B5A"/>
    <w:rsid w:val="00CE1783"/>
    <w:rsid w:val="00CE1B60"/>
    <w:rsid w:val="00CE1F78"/>
    <w:rsid w:val="00CE1F92"/>
    <w:rsid w:val="00CE25F0"/>
    <w:rsid w:val="00CE3993"/>
    <w:rsid w:val="00CE3A5C"/>
    <w:rsid w:val="00CE4407"/>
    <w:rsid w:val="00CE44BA"/>
    <w:rsid w:val="00CE4809"/>
    <w:rsid w:val="00CE7806"/>
    <w:rsid w:val="00CE7AE4"/>
    <w:rsid w:val="00CF0997"/>
    <w:rsid w:val="00CF1623"/>
    <w:rsid w:val="00CF290A"/>
    <w:rsid w:val="00CF2C44"/>
    <w:rsid w:val="00CF31BF"/>
    <w:rsid w:val="00CF3430"/>
    <w:rsid w:val="00CF41CB"/>
    <w:rsid w:val="00CF4859"/>
    <w:rsid w:val="00CF5901"/>
    <w:rsid w:val="00CF6FFA"/>
    <w:rsid w:val="00D0030E"/>
    <w:rsid w:val="00D0190E"/>
    <w:rsid w:val="00D020B6"/>
    <w:rsid w:val="00D023A9"/>
    <w:rsid w:val="00D02476"/>
    <w:rsid w:val="00D04786"/>
    <w:rsid w:val="00D04CF9"/>
    <w:rsid w:val="00D0555F"/>
    <w:rsid w:val="00D0584D"/>
    <w:rsid w:val="00D060BB"/>
    <w:rsid w:val="00D062F2"/>
    <w:rsid w:val="00D078CE"/>
    <w:rsid w:val="00D103EB"/>
    <w:rsid w:val="00D10A55"/>
    <w:rsid w:val="00D110EC"/>
    <w:rsid w:val="00D115F1"/>
    <w:rsid w:val="00D133D8"/>
    <w:rsid w:val="00D137DF"/>
    <w:rsid w:val="00D1406C"/>
    <w:rsid w:val="00D16928"/>
    <w:rsid w:val="00D1768C"/>
    <w:rsid w:val="00D209C4"/>
    <w:rsid w:val="00D20A3C"/>
    <w:rsid w:val="00D21682"/>
    <w:rsid w:val="00D22278"/>
    <w:rsid w:val="00D2299F"/>
    <w:rsid w:val="00D23DB3"/>
    <w:rsid w:val="00D24CC5"/>
    <w:rsid w:val="00D24CF3"/>
    <w:rsid w:val="00D24CF5"/>
    <w:rsid w:val="00D24D04"/>
    <w:rsid w:val="00D26041"/>
    <w:rsid w:val="00D26223"/>
    <w:rsid w:val="00D26859"/>
    <w:rsid w:val="00D26908"/>
    <w:rsid w:val="00D3110E"/>
    <w:rsid w:val="00D314B9"/>
    <w:rsid w:val="00D3150F"/>
    <w:rsid w:val="00D323BA"/>
    <w:rsid w:val="00D3242C"/>
    <w:rsid w:val="00D32B5A"/>
    <w:rsid w:val="00D346EE"/>
    <w:rsid w:val="00D35342"/>
    <w:rsid w:val="00D354CF"/>
    <w:rsid w:val="00D35FDA"/>
    <w:rsid w:val="00D360A7"/>
    <w:rsid w:val="00D36197"/>
    <w:rsid w:val="00D36745"/>
    <w:rsid w:val="00D36ED0"/>
    <w:rsid w:val="00D374BF"/>
    <w:rsid w:val="00D42C5C"/>
    <w:rsid w:val="00D43A60"/>
    <w:rsid w:val="00D44C64"/>
    <w:rsid w:val="00D46A39"/>
    <w:rsid w:val="00D47466"/>
    <w:rsid w:val="00D47D33"/>
    <w:rsid w:val="00D51F81"/>
    <w:rsid w:val="00D521AC"/>
    <w:rsid w:val="00D52350"/>
    <w:rsid w:val="00D525EB"/>
    <w:rsid w:val="00D53508"/>
    <w:rsid w:val="00D5360B"/>
    <w:rsid w:val="00D5372D"/>
    <w:rsid w:val="00D53C8C"/>
    <w:rsid w:val="00D5439F"/>
    <w:rsid w:val="00D559BF"/>
    <w:rsid w:val="00D56CF4"/>
    <w:rsid w:val="00D57360"/>
    <w:rsid w:val="00D60236"/>
    <w:rsid w:val="00D60D01"/>
    <w:rsid w:val="00D61102"/>
    <w:rsid w:val="00D62988"/>
    <w:rsid w:val="00D634E8"/>
    <w:rsid w:val="00D645AC"/>
    <w:rsid w:val="00D645FC"/>
    <w:rsid w:val="00D6473C"/>
    <w:rsid w:val="00D64827"/>
    <w:rsid w:val="00D655C4"/>
    <w:rsid w:val="00D66A63"/>
    <w:rsid w:val="00D67533"/>
    <w:rsid w:val="00D67F16"/>
    <w:rsid w:val="00D70415"/>
    <w:rsid w:val="00D70624"/>
    <w:rsid w:val="00D70E6B"/>
    <w:rsid w:val="00D719B1"/>
    <w:rsid w:val="00D71D3A"/>
    <w:rsid w:val="00D7282B"/>
    <w:rsid w:val="00D74024"/>
    <w:rsid w:val="00D752B6"/>
    <w:rsid w:val="00D760F5"/>
    <w:rsid w:val="00D7758A"/>
    <w:rsid w:val="00D77949"/>
    <w:rsid w:val="00D80099"/>
    <w:rsid w:val="00D802E4"/>
    <w:rsid w:val="00D80425"/>
    <w:rsid w:val="00D8093A"/>
    <w:rsid w:val="00D80A11"/>
    <w:rsid w:val="00D81AFF"/>
    <w:rsid w:val="00D81BE1"/>
    <w:rsid w:val="00D81D80"/>
    <w:rsid w:val="00D81EC1"/>
    <w:rsid w:val="00D81F65"/>
    <w:rsid w:val="00D83AC3"/>
    <w:rsid w:val="00D84051"/>
    <w:rsid w:val="00D8473E"/>
    <w:rsid w:val="00D8537E"/>
    <w:rsid w:val="00D8640A"/>
    <w:rsid w:val="00D8648F"/>
    <w:rsid w:val="00D87995"/>
    <w:rsid w:val="00D87A13"/>
    <w:rsid w:val="00D91410"/>
    <w:rsid w:val="00D9191D"/>
    <w:rsid w:val="00D91F32"/>
    <w:rsid w:val="00D93644"/>
    <w:rsid w:val="00D93671"/>
    <w:rsid w:val="00D94509"/>
    <w:rsid w:val="00D950CA"/>
    <w:rsid w:val="00D958A9"/>
    <w:rsid w:val="00D970F0"/>
    <w:rsid w:val="00D9747D"/>
    <w:rsid w:val="00D977A0"/>
    <w:rsid w:val="00DA0A6E"/>
    <w:rsid w:val="00DA0EB4"/>
    <w:rsid w:val="00DA3133"/>
    <w:rsid w:val="00DA42DC"/>
    <w:rsid w:val="00DA4455"/>
    <w:rsid w:val="00DA6009"/>
    <w:rsid w:val="00DA61EB"/>
    <w:rsid w:val="00DA68CF"/>
    <w:rsid w:val="00DA6D8F"/>
    <w:rsid w:val="00DA6EDE"/>
    <w:rsid w:val="00DA74D5"/>
    <w:rsid w:val="00DA7BC2"/>
    <w:rsid w:val="00DA7C5E"/>
    <w:rsid w:val="00DB10E6"/>
    <w:rsid w:val="00DB4F37"/>
    <w:rsid w:val="00DB6DBA"/>
    <w:rsid w:val="00DB74DE"/>
    <w:rsid w:val="00DB798A"/>
    <w:rsid w:val="00DB7B91"/>
    <w:rsid w:val="00DC01BC"/>
    <w:rsid w:val="00DC19AC"/>
    <w:rsid w:val="00DC2013"/>
    <w:rsid w:val="00DC22D5"/>
    <w:rsid w:val="00DC2DF9"/>
    <w:rsid w:val="00DC37FA"/>
    <w:rsid w:val="00DC59A1"/>
    <w:rsid w:val="00DC6237"/>
    <w:rsid w:val="00DC73F1"/>
    <w:rsid w:val="00DC7AB7"/>
    <w:rsid w:val="00DC7FE1"/>
    <w:rsid w:val="00DD111C"/>
    <w:rsid w:val="00DD1B01"/>
    <w:rsid w:val="00DD2573"/>
    <w:rsid w:val="00DD2D9D"/>
    <w:rsid w:val="00DD36B9"/>
    <w:rsid w:val="00DD3B2D"/>
    <w:rsid w:val="00DD41C3"/>
    <w:rsid w:val="00DD4F3A"/>
    <w:rsid w:val="00DD5248"/>
    <w:rsid w:val="00DD52C9"/>
    <w:rsid w:val="00DD55E0"/>
    <w:rsid w:val="00DD5AFD"/>
    <w:rsid w:val="00DD683C"/>
    <w:rsid w:val="00DD7D2D"/>
    <w:rsid w:val="00DE1184"/>
    <w:rsid w:val="00DE1519"/>
    <w:rsid w:val="00DE19AF"/>
    <w:rsid w:val="00DE25BE"/>
    <w:rsid w:val="00DE25CC"/>
    <w:rsid w:val="00DE26FA"/>
    <w:rsid w:val="00DE293A"/>
    <w:rsid w:val="00DE2A69"/>
    <w:rsid w:val="00DE3147"/>
    <w:rsid w:val="00DE3BAA"/>
    <w:rsid w:val="00DE4045"/>
    <w:rsid w:val="00DE48B9"/>
    <w:rsid w:val="00DE4B9A"/>
    <w:rsid w:val="00DE58C3"/>
    <w:rsid w:val="00DE631C"/>
    <w:rsid w:val="00DE762E"/>
    <w:rsid w:val="00DE764D"/>
    <w:rsid w:val="00DE77BE"/>
    <w:rsid w:val="00DF0121"/>
    <w:rsid w:val="00DF0973"/>
    <w:rsid w:val="00DF0A05"/>
    <w:rsid w:val="00DF1EAD"/>
    <w:rsid w:val="00DF23E5"/>
    <w:rsid w:val="00DF2B32"/>
    <w:rsid w:val="00DF3822"/>
    <w:rsid w:val="00DF3A4F"/>
    <w:rsid w:val="00DF3EDE"/>
    <w:rsid w:val="00DF43DB"/>
    <w:rsid w:val="00DF4866"/>
    <w:rsid w:val="00DF4E6F"/>
    <w:rsid w:val="00DF51A3"/>
    <w:rsid w:val="00DF72D8"/>
    <w:rsid w:val="00DF77D2"/>
    <w:rsid w:val="00E002FE"/>
    <w:rsid w:val="00E0068B"/>
    <w:rsid w:val="00E014DC"/>
    <w:rsid w:val="00E01668"/>
    <w:rsid w:val="00E01E70"/>
    <w:rsid w:val="00E044E3"/>
    <w:rsid w:val="00E0451A"/>
    <w:rsid w:val="00E0477F"/>
    <w:rsid w:val="00E04C1B"/>
    <w:rsid w:val="00E04CBC"/>
    <w:rsid w:val="00E057E7"/>
    <w:rsid w:val="00E061EB"/>
    <w:rsid w:val="00E065FE"/>
    <w:rsid w:val="00E07D1C"/>
    <w:rsid w:val="00E1077C"/>
    <w:rsid w:val="00E109A0"/>
    <w:rsid w:val="00E10A3B"/>
    <w:rsid w:val="00E115DF"/>
    <w:rsid w:val="00E11E76"/>
    <w:rsid w:val="00E1293D"/>
    <w:rsid w:val="00E12F9B"/>
    <w:rsid w:val="00E1320D"/>
    <w:rsid w:val="00E13F5C"/>
    <w:rsid w:val="00E14153"/>
    <w:rsid w:val="00E1418A"/>
    <w:rsid w:val="00E14A4A"/>
    <w:rsid w:val="00E15110"/>
    <w:rsid w:val="00E155B1"/>
    <w:rsid w:val="00E15827"/>
    <w:rsid w:val="00E16173"/>
    <w:rsid w:val="00E16197"/>
    <w:rsid w:val="00E16669"/>
    <w:rsid w:val="00E16848"/>
    <w:rsid w:val="00E179F1"/>
    <w:rsid w:val="00E17B28"/>
    <w:rsid w:val="00E209DB"/>
    <w:rsid w:val="00E21418"/>
    <w:rsid w:val="00E217E6"/>
    <w:rsid w:val="00E2272F"/>
    <w:rsid w:val="00E22EE0"/>
    <w:rsid w:val="00E2326A"/>
    <w:rsid w:val="00E23B89"/>
    <w:rsid w:val="00E23FCD"/>
    <w:rsid w:val="00E2565A"/>
    <w:rsid w:val="00E257DB"/>
    <w:rsid w:val="00E2655D"/>
    <w:rsid w:val="00E268B4"/>
    <w:rsid w:val="00E27B5C"/>
    <w:rsid w:val="00E30A78"/>
    <w:rsid w:val="00E30D00"/>
    <w:rsid w:val="00E30D95"/>
    <w:rsid w:val="00E30FBF"/>
    <w:rsid w:val="00E31417"/>
    <w:rsid w:val="00E3158A"/>
    <w:rsid w:val="00E31A0E"/>
    <w:rsid w:val="00E31FAB"/>
    <w:rsid w:val="00E32C9A"/>
    <w:rsid w:val="00E335A8"/>
    <w:rsid w:val="00E339BF"/>
    <w:rsid w:val="00E33CB4"/>
    <w:rsid w:val="00E33E0D"/>
    <w:rsid w:val="00E34478"/>
    <w:rsid w:val="00E35095"/>
    <w:rsid w:val="00E3518A"/>
    <w:rsid w:val="00E374CF"/>
    <w:rsid w:val="00E37A63"/>
    <w:rsid w:val="00E37C67"/>
    <w:rsid w:val="00E41076"/>
    <w:rsid w:val="00E41199"/>
    <w:rsid w:val="00E41C49"/>
    <w:rsid w:val="00E41E0D"/>
    <w:rsid w:val="00E421F6"/>
    <w:rsid w:val="00E42707"/>
    <w:rsid w:val="00E44195"/>
    <w:rsid w:val="00E448C6"/>
    <w:rsid w:val="00E44AA4"/>
    <w:rsid w:val="00E46CF4"/>
    <w:rsid w:val="00E46F2F"/>
    <w:rsid w:val="00E50076"/>
    <w:rsid w:val="00E508A6"/>
    <w:rsid w:val="00E535AD"/>
    <w:rsid w:val="00E53F5F"/>
    <w:rsid w:val="00E5443B"/>
    <w:rsid w:val="00E545B9"/>
    <w:rsid w:val="00E5465B"/>
    <w:rsid w:val="00E54991"/>
    <w:rsid w:val="00E54AFE"/>
    <w:rsid w:val="00E5555F"/>
    <w:rsid w:val="00E55887"/>
    <w:rsid w:val="00E563A6"/>
    <w:rsid w:val="00E57987"/>
    <w:rsid w:val="00E57D7E"/>
    <w:rsid w:val="00E600E8"/>
    <w:rsid w:val="00E60E20"/>
    <w:rsid w:val="00E61B34"/>
    <w:rsid w:val="00E640C8"/>
    <w:rsid w:val="00E6459C"/>
    <w:rsid w:val="00E64B3A"/>
    <w:rsid w:val="00E6707F"/>
    <w:rsid w:val="00E6710F"/>
    <w:rsid w:val="00E6749B"/>
    <w:rsid w:val="00E674BC"/>
    <w:rsid w:val="00E6751C"/>
    <w:rsid w:val="00E67541"/>
    <w:rsid w:val="00E67A3E"/>
    <w:rsid w:val="00E70161"/>
    <w:rsid w:val="00E7021E"/>
    <w:rsid w:val="00E70AAE"/>
    <w:rsid w:val="00E71C34"/>
    <w:rsid w:val="00E729A4"/>
    <w:rsid w:val="00E729DF"/>
    <w:rsid w:val="00E72CF7"/>
    <w:rsid w:val="00E72F84"/>
    <w:rsid w:val="00E744AA"/>
    <w:rsid w:val="00E74867"/>
    <w:rsid w:val="00E74A71"/>
    <w:rsid w:val="00E753B0"/>
    <w:rsid w:val="00E75999"/>
    <w:rsid w:val="00E76282"/>
    <w:rsid w:val="00E7784A"/>
    <w:rsid w:val="00E77FFC"/>
    <w:rsid w:val="00E80878"/>
    <w:rsid w:val="00E8104B"/>
    <w:rsid w:val="00E81295"/>
    <w:rsid w:val="00E8167C"/>
    <w:rsid w:val="00E82749"/>
    <w:rsid w:val="00E83234"/>
    <w:rsid w:val="00E8382C"/>
    <w:rsid w:val="00E83936"/>
    <w:rsid w:val="00E84424"/>
    <w:rsid w:val="00E84ABA"/>
    <w:rsid w:val="00E85AD5"/>
    <w:rsid w:val="00E8629E"/>
    <w:rsid w:val="00E87476"/>
    <w:rsid w:val="00E874CD"/>
    <w:rsid w:val="00E876A7"/>
    <w:rsid w:val="00E90669"/>
    <w:rsid w:val="00E90B27"/>
    <w:rsid w:val="00E91036"/>
    <w:rsid w:val="00E9112C"/>
    <w:rsid w:val="00E91E8E"/>
    <w:rsid w:val="00E92299"/>
    <w:rsid w:val="00E95382"/>
    <w:rsid w:val="00E954D6"/>
    <w:rsid w:val="00E97C48"/>
    <w:rsid w:val="00EA026E"/>
    <w:rsid w:val="00EA091D"/>
    <w:rsid w:val="00EA1018"/>
    <w:rsid w:val="00EA1672"/>
    <w:rsid w:val="00EA2EF9"/>
    <w:rsid w:val="00EA3994"/>
    <w:rsid w:val="00EA3E5B"/>
    <w:rsid w:val="00EA3E66"/>
    <w:rsid w:val="00EA41F0"/>
    <w:rsid w:val="00EA4C69"/>
    <w:rsid w:val="00EA4D68"/>
    <w:rsid w:val="00EA538E"/>
    <w:rsid w:val="00EA58D5"/>
    <w:rsid w:val="00EA6B59"/>
    <w:rsid w:val="00EA6BB1"/>
    <w:rsid w:val="00EA6F28"/>
    <w:rsid w:val="00EA731B"/>
    <w:rsid w:val="00EA7C09"/>
    <w:rsid w:val="00EA7F14"/>
    <w:rsid w:val="00EA7F71"/>
    <w:rsid w:val="00EB05CD"/>
    <w:rsid w:val="00EB0DD0"/>
    <w:rsid w:val="00EB22EE"/>
    <w:rsid w:val="00EB2882"/>
    <w:rsid w:val="00EB3703"/>
    <w:rsid w:val="00EB48EC"/>
    <w:rsid w:val="00EB5033"/>
    <w:rsid w:val="00EB52B4"/>
    <w:rsid w:val="00EB53DA"/>
    <w:rsid w:val="00EB5997"/>
    <w:rsid w:val="00EB6164"/>
    <w:rsid w:val="00EB6304"/>
    <w:rsid w:val="00EB6852"/>
    <w:rsid w:val="00EB6C1F"/>
    <w:rsid w:val="00EB6D46"/>
    <w:rsid w:val="00EB7094"/>
    <w:rsid w:val="00EB7AEF"/>
    <w:rsid w:val="00EC02AA"/>
    <w:rsid w:val="00EC0429"/>
    <w:rsid w:val="00EC09E4"/>
    <w:rsid w:val="00EC0CC7"/>
    <w:rsid w:val="00EC0D50"/>
    <w:rsid w:val="00EC15B7"/>
    <w:rsid w:val="00EC215B"/>
    <w:rsid w:val="00EC2505"/>
    <w:rsid w:val="00EC25D3"/>
    <w:rsid w:val="00EC27C4"/>
    <w:rsid w:val="00EC3D14"/>
    <w:rsid w:val="00EC4030"/>
    <w:rsid w:val="00EC4BF9"/>
    <w:rsid w:val="00EC4F3E"/>
    <w:rsid w:val="00EC5197"/>
    <w:rsid w:val="00EC5413"/>
    <w:rsid w:val="00EC5961"/>
    <w:rsid w:val="00EC5F92"/>
    <w:rsid w:val="00EC7054"/>
    <w:rsid w:val="00EC78AD"/>
    <w:rsid w:val="00EC7B56"/>
    <w:rsid w:val="00EC7DEF"/>
    <w:rsid w:val="00ED14B1"/>
    <w:rsid w:val="00ED3509"/>
    <w:rsid w:val="00ED4B5A"/>
    <w:rsid w:val="00ED57BC"/>
    <w:rsid w:val="00ED5987"/>
    <w:rsid w:val="00ED5C27"/>
    <w:rsid w:val="00ED5CFF"/>
    <w:rsid w:val="00ED61CD"/>
    <w:rsid w:val="00EE01F8"/>
    <w:rsid w:val="00EE04B5"/>
    <w:rsid w:val="00EE0A4F"/>
    <w:rsid w:val="00EE105B"/>
    <w:rsid w:val="00EE1697"/>
    <w:rsid w:val="00EE1768"/>
    <w:rsid w:val="00EE18B7"/>
    <w:rsid w:val="00EE22F3"/>
    <w:rsid w:val="00EE242E"/>
    <w:rsid w:val="00EE3458"/>
    <w:rsid w:val="00EE4AC5"/>
    <w:rsid w:val="00EE566F"/>
    <w:rsid w:val="00EE56B9"/>
    <w:rsid w:val="00EE68B5"/>
    <w:rsid w:val="00EE724D"/>
    <w:rsid w:val="00EE73E8"/>
    <w:rsid w:val="00EF03F7"/>
    <w:rsid w:val="00EF1DBE"/>
    <w:rsid w:val="00EF218A"/>
    <w:rsid w:val="00EF2E53"/>
    <w:rsid w:val="00EF2E64"/>
    <w:rsid w:val="00EF3978"/>
    <w:rsid w:val="00EF4607"/>
    <w:rsid w:val="00EF4771"/>
    <w:rsid w:val="00EF5238"/>
    <w:rsid w:val="00EF603F"/>
    <w:rsid w:val="00EF62C1"/>
    <w:rsid w:val="00EF6469"/>
    <w:rsid w:val="00EF6991"/>
    <w:rsid w:val="00EF6F68"/>
    <w:rsid w:val="00EF735F"/>
    <w:rsid w:val="00F0047B"/>
    <w:rsid w:val="00F00A24"/>
    <w:rsid w:val="00F00C8F"/>
    <w:rsid w:val="00F00DB1"/>
    <w:rsid w:val="00F01C90"/>
    <w:rsid w:val="00F01E0E"/>
    <w:rsid w:val="00F02FF4"/>
    <w:rsid w:val="00F0377B"/>
    <w:rsid w:val="00F03990"/>
    <w:rsid w:val="00F05787"/>
    <w:rsid w:val="00F062C9"/>
    <w:rsid w:val="00F06687"/>
    <w:rsid w:val="00F06803"/>
    <w:rsid w:val="00F06CED"/>
    <w:rsid w:val="00F071D6"/>
    <w:rsid w:val="00F106A4"/>
    <w:rsid w:val="00F10823"/>
    <w:rsid w:val="00F10FBF"/>
    <w:rsid w:val="00F11DDE"/>
    <w:rsid w:val="00F13236"/>
    <w:rsid w:val="00F13F36"/>
    <w:rsid w:val="00F14A84"/>
    <w:rsid w:val="00F15137"/>
    <w:rsid w:val="00F159EF"/>
    <w:rsid w:val="00F1756C"/>
    <w:rsid w:val="00F17A32"/>
    <w:rsid w:val="00F17D27"/>
    <w:rsid w:val="00F17F27"/>
    <w:rsid w:val="00F20112"/>
    <w:rsid w:val="00F202CD"/>
    <w:rsid w:val="00F202FB"/>
    <w:rsid w:val="00F20A12"/>
    <w:rsid w:val="00F20C5F"/>
    <w:rsid w:val="00F21480"/>
    <w:rsid w:val="00F21588"/>
    <w:rsid w:val="00F21AEC"/>
    <w:rsid w:val="00F2251A"/>
    <w:rsid w:val="00F231C0"/>
    <w:rsid w:val="00F2361C"/>
    <w:rsid w:val="00F2462A"/>
    <w:rsid w:val="00F249DA"/>
    <w:rsid w:val="00F25636"/>
    <w:rsid w:val="00F26996"/>
    <w:rsid w:val="00F27706"/>
    <w:rsid w:val="00F27C9E"/>
    <w:rsid w:val="00F27D88"/>
    <w:rsid w:val="00F3025A"/>
    <w:rsid w:val="00F31AE1"/>
    <w:rsid w:val="00F31C9D"/>
    <w:rsid w:val="00F32BEB"/>
    <w:rsid w:val="00F33687"/>
    <w:rsid w:val="00F3444F"/>
    <w:rsid w:val="00F34BA9"/>
    <w:rsid w:val="00F34F50"/>
    <w:rsid w:val="00F35346"/>
    <w:rsid w:val="00F35472"/>
    <w:rsid w:val="00F35512"/>
    <w:rsid w:val="00F35DC7"/>
    <w:rsid w:val="00F35FAE"/>
    <w:rsid w:val="00F36493"/>
    <w:rsid w:val="00F36879"/>
    <w:rsid w:val="00F40318"/>
    <w:rsid w:val="00F4147F"/>
    <w:rsid w:val="00F41EAF"/>
    <w:rsid w:val="00F42017"/>
    <w:rsid w:val="00F4279F"/>
    <w:rsid w:val="00F430E1"/>
    <w:rsid w:val="00F43602"/>
    <w:rsid w:val="00F43F0F"/>
    <w:rsid w:val="00F43F58"/>
    <w:rsid w:val="00F44101"/>
    <w:rsid w:val="00F44574"/>
    <w:rsid w:val="00F45D6E"/>
    <w:rsid w:val="00F45E94"/>
    <w:rsid w:val="00F46ACF"/>
    <w:rsid w:val="00F478F6"/>
    <w:rsid w:val="00F47B0C"/>
    <w:rsid w:val="00F50015"/>
    <w:rsid w:val="00F504FB"/>
    <w:rsid w:val="00F5120A"/>
    <w:rsid w:val="00F517F3"/>
    <w:rsid w:val="00F518DF"/>
    <w:rsid w:val="00F53199"/>
    <w:rsid w:val="00F53C2B"/>
    <w:rsid w:val="00F54169"/>
    <w:rsid w:val="00F54523"/>
    <w:rsid w:val="00F56782"/>
    <w:rsid w:val="00F5765B"/>
    <w:rsid w:val="00F57B44"/>
    <w:rsid w:val="00F6109F"/>
    <w:rsid w:val="00F61341"/>
    <w:rsid w:val="00F61994"/>
    <w:rsid w:val="00F61DC9"/>
    <w:rsid w:val="00F6249A"/>
    <w:rsid w:val="00F627C8"/>
    <w:rsid w:val="00F62FCC"/>
    <w:rsid w:val="00F63426"/>
    <w:rsid w:val="00F63B93"/>
    <w:rsid w:val="00F63D59"/>
    <w:rsid w:val="00F63E21"/>
    <w:rsid w:val="00F64564"/>
    <w:rsid w:val="00F64AEE"/>
    <w:rsid w:val="00F65841"/>
    <w:rsid w:val="00F65CBD"/>
    <w:rsid w:val="00F662C6"/>
    <w:rsid w:val="00F66584"/>
    <w:rsid w:val="00F665D7"/>
    <w:rsid w:val="00F666A9"/>
    <w:rsid w:val="00F66D59"/>
    <w:rsid w:val="00F67601"/>
    <w:rsid w:val="00F67956"/>
    <w:rsid w:val="00F7009B"/>
    <w:rsid w:val="00F7097E"/>
    <w:rsid w:val="00F70D24"/>
    <w:rsid w:val="00F71B68"/>
    <w:rsid w:val="00F733BB"/>
    <w:rsid w:val="00F73457"/>
    <w:rsid w:val="00F7432E"/>
    <w:rsid w:val="00F75353"/>
    <w:rsid w:val="00F75A78"/>
    <w:rsid w:val="00F76B16"/>
    <w:rsid w:val="00F76CA8"/>
    <w:rsid w:val="00F76F9E"/>
    <w:rsid w:val="00F770E2"/>
    <w:rsid w:val="00F7726F"/>
    <w:rsid w:val="00F7743B"/>
    <w:rsid w:val="00F80F06"/>
    <w:rsid w:val="00F813E7"/>
    <w:rsid w:val="00F814E2"/>
    <w:rsid w:val="00F81CDB"/>
    <w:rsid w:val="00F82DD0"/>
    <w:rsid w:val="00F82F08"/>
    <w:rsid w:val="00F82F23"/>
    <w:rsid w:val="00F83856"/>
    <w:rsid w:val="00F83888"/>
    <w:rsid w:val="00F8430C"/>
    <w:rsid w:val="00F8499D"/>
    <w:rsid w:val="00F8629C"/>
    <w:rsid w:val="00F87090"/>
    <w:rsid w:val="00F90313"/>
    <w:rsid w:val="00F9065E"/>
    <w:rsid w:val="00F919BE"/>
    <w:rsid w:val="00F92AD7"/>
    <w:rsid w:val="00F92ADA"/>
    <w:rsid w:val="00F93496"/>
    <w:rsid w:val="00F93E07"/>
    <w:rsid w:val="00F93FD8"/>
    <w:rsid w:val="00F9400B"/>
    <w:rsid w:val="00F942AB"/>
    <w:rsid w:val="00F94AB4"/>
    <w:rsid w:val="00F953DF"/>
    <w:rsid w:val="00F96B43"/>
    <w:rsid w:val="00F96E4B"/>
    <w:rsid w:val="00F97981"/>
    <w:rsid w:val="00F97F14"/>
    <w:rsid w:val="00FA09AB"/>
    <w:rsid w:val="00FA0DCB"/>
    <w:rsid w:val="00FA1858"/>
    <w:rsid w:val="00FA2E85"/>
    <w:rsid w:val="00FA3561"/>
    <w:rsid w:val="00FA3C9C"/>
    <w:rsid w:val="00FA5090"/>
    <w:rsid w:val="00FA54EE"/>
    <w:rsid w:val="00FA5591"/>
    <w:rsid w:val="00FA57C5"/>
    <w:rsid w:val="00FA6FDB"/>
    <w:rsid w:val="00FA726C"/>
    <w:rsid w:val="00FA747E"/>
    <w:rsid w:val="00FA7887"/>
    <w:rsid w:val="00FA7953"/>
    <w:rsid w:val="00FB0ADA"/>
    <w:rsid w:val="00FB24BB"/>
    <w:rsid w:val="00FB291F"/>
    <w:rsid w:val="00FB2AE4"/>
    <w:rsid w:val="00FB3040"/>
    <w:rsid w:val="00FB3D59"/>
    <w:rsid w:val="00FB4361"/>
    <w:rsid w:val="00FB4D76"/>
    <w:rsid w:val="00FB516F"/>
    <w:rsid w:val="00FB583E"/>
    <w:rsid w:val="00FB627E"/>
    <w:rsid w:val="00FB6D40"/>
    <w:rsid w:val="00FB71E2"/>
    <w:rsid w:val="00FC1662"/>
    <w:rsid w:val="00FC1C2A"/>
    <w:rsid w:val="00FC2399"/>
    <w:rsid w:val="00FC2471"/>
    <w:rsid w:val="00FC2B69"/>
    <w:rsid w:val="00FC30A8"/>
    <w:rsid w:val="00FC3690"/>
    <w:rsid w:val="00FC3B96"/>
    <w:rsid w:val="00FC4B82"/>
    <w:rsid w:val="00FC5E81"/>
    <w:rsid w:val="00FC65D9"/>
    <w:rsid w:val="00FC68C2"/>
    <w:rsid w:val="00FC6D4B"/>
    <w:rsid w:val="00FC71DE"/>
    <w:rsid w:val="00FC72F2"/>
    <w:rsid w:val="00FC7879"/>
    <w:rsid w:val="00FD0D38"/>
    <w:rsid w:val="00FD1567"/>
    <w:rsid w:val="00FD259F"/>
    <w:rsid w:val="00FD2704"/>
    <w:rsid w:val="00FD2AE1"/>
    <w:rsid w:val="00FD3989"/>
    <w:rsid w:val="00FD4D5F"/>
    <w:rsid w:val="00FD53B3"/>
    <w:rsid w:val="00FD566D"/>
    <w:rsid w:val="00FD686C"/>
    <w:rsid w:val="00FD6881"/>
    <w:rsid w:val="00FD712A"/>
    <w:rsid w:val="00FD71F1"/>
    <w:rsid w:val="00FD768D"/>
    <w:rsid w:val="00FD7DD4"/>
    <w:rsid w:val="00FE106E"/>
    <w:rsid w:val="00FE1F0B"/>
    <w:rsid w:val="00FE2327"/>
    <w:rsid w:val="00FE3D5B"/>
    <w:rsid w:val="00FE4765"/>
    <w:rsid w:val="00FE5025"/>
    <w:rsid w:val="00FE51E6"/>
    <w:rsid w:val="00FE529F"/>
    <w:rsid w:val="00FE555F"/>
    <w:rsid w:val="00FE62CF"/>
    <w:rsid w:val="00FE73E6"/>
    <w:rsid w:val="00FE7B93"/>
    <w:rsid w:val="00FF0DAC"/>
    <w:rsid w:val="00FF1402"/>
    <w:rsid w:val="00FF22D1"/>
    <w:rsid w:val="00FF25C0"/>
    <w:rsid w:val="00FF2761"/>
    <w:rsid w:val="00FF3344"/>
    <w:rsid w:val="00FF33F6"/>
    <w:rsid w:val="00FF391E"/>
    <w:rsid w:val="00FF55AF"/>
    <w:rsid w:val="00FF5719"/>
    <w:rsid w:val="00FF639A"/>
    <w:rsid w:val="00FF6585"/>
    <w:rsid w:val="00FF7650"/>
    <w:rsid w:val="00FF79CB"/>
    <w:rsid w:val="00FF7CF4"/>
    <w:rsid w:val="012000E1"/>
    <w:rsid w:val="021F298B"/>
    <w:rsid w:val="024D517C"/>
    <w:rsid w:val="02BF2FA6"/>
    <w:rsid w:val="02CD2189"/>
    <w:rsid w:val="02F24ABA"/>
    <w:rsid w:val="03724919"/>
    <w:rsid w:val="03936C6A"/>
    <w:rsid w:val="03B73B48"/>
    <w:rsid w:val="03D541C7"/>
    <w:rsid w:val="04571EE1"/>
    <w:rsid w:val="04935312"/>
    <w:rsid w:val="04DF2D18"/>
    <w:rsid w:val="053A476B"/>
    <w:rsid w:val="05484F13"/>
    <w:rsid w:val="05A60C53"/>
    <w:rsid w:val="05A9742A"/>
    <w:rsid w:val="05B61870"/>
    <w:rsid w:val="05B7415D"/>
    <w:rsid w:val="060E0A6A"/>
    <w:rsid w:val="06711DE5"/>
    <w:rsid w:val="06C745AE"/>
    <w:rsid w:val="06EA7FE5"/>
    <w:rsid w:val="074D5156"/>
    <w:rsid w:val="074F11A8"/>
    <w:rsid w:val="08544153"/>
    <w:rsid w:val="08D32ACE"/>
    <w:rsid w:val="08EE77B6"/>
    <w:rsid w:val="094E0784"/>
    <w:rsid w:val="095345F9"/>
    <w:rsid w:val="09546815"/>
    <w:rsid w:val="09A97B1C"/>
    <w:rsid w:val="09CF5B02"/>
    <w:rsid w:val="09DE74ED"/>
    <w:rsid w:val="0A154F57"/>
    <w:rsid w:val="0A6E70FE"/>
    <w:rsid w:val="0AD84D58"/>
    <w:rsid w:val="0AE91464"/>
    <w:rsid w:val="0B241D0C"/>
    <w:rsid w:val="0B530231"/>
    <w:rsid w:val="0BC06A16"/>
    <w:rsid w:val="0BC7026C"/>
    <w:rsid w:val="0C7864CF"/>
    <w:rsid w:val="0CC16862"/>
    <w:rsid w:val="0D5B4A77"/>
    <w:rsid w:val="0D906FAF"/>
    <w:rsid w:val="0DBA61DC"/>
    <w:rsid w:val="0DE32956"/>
    <w:rsid w:val="0E3634E0"/>
    <w:rsid w:val="0EC005B1"/>
    <w:rsid w:val="0F207A4A"/>
    <w:rsid w:val="0F4D4D74"/>
    <w:rsid w:val="0F4F4035"/>
    <w:rsid w:val="0F6B5ADC"/>
    <w:rsid w:val="11447504"/>
    <w:rsid w:val="116773F0"/>
    <w:rsid w:val="11C61683"/>
    <w:rsid w:val="11D708E1"/>
    <w:rsid w:val="11F46D80"/>
    <w:rsid w:val="12341DF4"/>
    <w:rsid w:val="124A5F38"/>
    <w:rsid w:val="12681E0E"/>
    <w:rsid w:val="12995C93"/>
    <w:rsid w:val="12F5554D"/>
    <w:rsid w:val="13456C16"/>
    <w:rsid w:val="137963C6"/>
    <w:rsid w:val="139F773F"/>
    <w:rsid w:val="13D13A19"/>
    <w:rsid w:val="142179D4"/>
    <w:rsid w:val="149F50E4"/>
    <w:rsid w:val="14A73B20"/>
    <w:rsid w:val="14AE4770"/>
    <w:rsid w:val="14D5409C"/>
    <w:rsid w:val="1505030B"/>
    <w:rsid w:val="15870C7A"/>
    <w:rsid w:val="161F0A58"/>
    <w:rsid w:val="165215C9"/>
    <w:rsid w:val="16A6772C"/>
    <w:rsid w:val="16E25F04"/>
    <w:rsid w:val="17761940"/>
    <w:rsid w:val="17824C70"/>
    <w:rsid w:val="17B44371"/>
    <w:rsid w:val="17D766F6"/>
    <w:rsid w:val="183C3A92"/>
    <w:rsid w:val="18E82679"/>
    <w:rsid w:val="192D5FA5"/>
    <w:rsid w:val="1953639C"/>
    <w:rsid w:val="1A3B5015"/>
    <w:rsid w:val="1A7154EF"/>
    <w:rsid w:val="1A7D662A"/>
    <w:rsid w:val="1B1011AB"/>
    <w:rsid w:val="1B61067A"/>
    <w:rsid w:val="1B640162"/>
    <w:rsid w:val="1BBD31A4"/>
    <w:rsid w:val="1BDF78A9"/>
    <w:rsid w:val="1C216355"/>
    <w:rsid w:val="1C361728"/>
    <w:rsid w:val="1C656C23"/>
    <w:rsid w:val="1D3C6C87"/>
    <w:rsid w:val="1D475330"/>
    <w:rsid w:val="1D5A63E9"/>
    <w:rsid w:val="1D5F0394"/>
    <w:rsid w:val="1E145ED1"/>
    <w:rsid w:val="1E79088D"/>
    <w:rsid w:val="1EDF1755"/>
    <w:rsid w:val="1F091CDD"/>
    <w:rsid w:val="20221D83"/>
    <w:rsid w:val="2053080C"/>
    <w:rsid w:val="212579C9"/>
    <w:rsid w:val="21AA57FC"/>
    <w:rsid w:val="21B26831"/>
    <w:rsid w:val="21CC08C4"/>
    <w:rsid w:val="21D65D10"/>
    <w:rsid w:val="227569A7"/>
    <w:rsid w:val="22837518"/>
    <w:rsid w:val="22900A47"/>
    <w:rsid w:val="22B84105"/>
    <w:rsid w:val="22CA7885"/>
    <w:rsid w:val="232C558A"/>
    <w:rsid w:val="235505B4"/>
    <w:rsid w:val="23725232"/>
    <w:rsid w:val="23AA09DB"/>
    <w:rsid w:val="23B94281"/>
    <w:rsid w:val="24061828"/>
    <w:rsid w:val="24462612"/>
    <w:rsid w:val="24EE2DBF"/>
    <w:rsid w:val="24F26508"/>
    <w:rsid w:val="2537321F"/>
    <w:rsid w:val="25671BDB"/>
    <w:rsid w:val="259D05A0"/>
    <w:rsid w:val="263E2686"/>
    <w:rsid w:val="268438C1"/>
    <w:rsid w:val="26E842B4"/>
    <w:rsid w:val="274034BB"/>
    <w:rsid w:val="277C4114"/>
    <w:rsid w:val="27E53D82"/>
    <w:rsid w:val="28BF2D9C"/>
    <w:rsid w:val="2981525B"/>
    <w:rsid w:val="29857285"/>
    <w:rsid w:val="29D636C8"/>
    <w:rsid w:val="29F360E4"/>
    <w:rsid w:val="2A927D3A"/>
    <w:rsid w:val="2AD52C07"/>
    <w:rsid w:val="2AEF71FD"/>
    <w:rsid w:val="2B107731"/>
    <w:rsid w:val="2BD90EA2"/>
    <w:rsid w:val="2BE544C5"/>
    <w:rsid w:val="2BFE3B29"/>
    <w:rsid w:val="2C164A61"/>
    <w:rsid w:val="2C5567A9"/>
    <w:rsid w:val="2CCA2706"/>
    <w:rsid w:val="2D1E1A3A"/>
    <w:rsid w:val="2D367F52"/>
    <w:rsid w:val="2D491D9A"/>
    <w:rsid w:val="2DC74427"/>
    <w:rsid w:val="2DD14D37"/>
    <w:rsid w:val="2E0B00D1"/>
    <w:rsid w:val="2F1D1D07"/>
    <w:rsid w:val="2F397309"/>
    <w:rsid w:val="2F6376CB"/>
    <w:rsid w:val="2F973D3C"/>
    <w:rsid w:val="2FFD1692"/>
    <w:rsid w:val="30626B60"/>
    <w:rsid w:val="307851CD"/>
    <w:rsid w:val="30A22F66"/>
    <w:rsid w:val="30A63FA5"/>
    <w:rsid w:val="30E03740"/>
    <w:rsid w:val="310F74E3"/>
    <w:rsid w:val="311D1A59"/>
    <w:rsid w:val="31203F8F"/>
    <w:rsid w:val="314D62F2"/>
    <w:rsid w:val="322B0076"/>
    <w:rsid w:val="32BE36CB"/>
    <w:rsid w:val="32C25F3C"/>
    <w:rsid w:val="3330622A"/>
    <w:rsid w:val="33616C57"/>
    <w:rsid w:val="338F477A"/>
    <w:rsid w:val="3430602A"/>
    <w:rsid w:val="34C42121"/>
    <w:rsid w:val="351412D1"/>
    <w:rsid w:val="35FA1CFC"/>
    <w:rsid w:val="35FE4542"/>
    <w:rsid w:val="36284BDA"/>
    <w:rsid w:val="36504523"/>
    <w:rsid w:val="36AD5137"/>
    <w:rsid w:val="374C62C8"/>
    <w:rsid w:val="378B49EF"/>
    <w:rsid w:val="37E92864"/>
    <w:rsid w:val="37FF15EF"/>
    <w:rsid w:val="38033BAE"/>
    <w:rsid w:val="381D531B"/>
    <w:rsid w:val="3831783F"/>
    <w:rsid w:val="384C5FF5"/>
    <w:rsid w:val="38CB4916"/>
    <w:rsid w:val="38F1010D"/>
    <w:rsid w:val="39BE4A47"/>
    <w:rsid w:val="3A273FAA"/>
    <w:rsid w:val="3AD76819"/>
    <w:rsid w:val="3B016DFD"/>
    <w:rsid w:val="3B0C59EE"/>
    <w:rsid w:val="3B8C5E0C"/>
    <w:rsid w:val="3B8D04C4"/>
    <w:rsid w:val="3B914382"/>
    <w:rsid w:val="3C2F2ACB"/>
    <w:rsid w:val="3C8D3042"/>
    <w:rsid w:val="3C911482"/>
    <w:rsid w:val="3CC15F4F"/>
    <w:rsid w:val="3CD67290"/>
    <w:rsid w:val="3CEF7843"/>
    <w:rsid w:val="3CFF5E1E"/>
    <w:rsid w:val="3D307C72"/>
    <w:rsid w:val="3D6313C6"/>
    <w:rsid w:val="3DA8494A"/>
    <w:rsid w:val="3DB95528"/>
    <w:rsid w:val="3E0D4766"/>
    <w:rsid w:val="3E145966"/>
    <w:rsid w:val="3E731992"/>
    <w:rsid w:val="3F1B182F"/>
    <w:rsid w:val="3F7B2864"/>
    <w:rsid w:val="3FBC18A5"/>
    <w:rsid w:val="3FEB57E8"/>
    <w:rsid w:val="3FED2FEE"/>
    <w:rsid w:val="3FF22CF9"/>
    <w:rsid w:val="40362892"/>
    <w:rsid w:val="40543C53"/>
    <w:rsid w:val="408D3E57"/>
    <w:rsid w:val="41742F9D"/>
    <w:rsid w:val="41856C5F"/>
    <w:rsid w:val="42075972"/>
    <w:rsid w:val="42931FC8"/>
    <w:rsid w:val="42AA7B33"/>
    <w:rsid w:val="42B57492"/>
    <w:rsid w:val="42BE13BC"/>
    <w:rsid w:val="43667A5E"/>
    <w:rsid w:val="43720D8F"/>
    <w:rsid w:val="438660D8"/>
    <w:rsid w:val="43A525B1"/>
    <w:rsid w:val="43B00423"/>
    <w:rsid w:val="445F7DD3"/>
    <w:rsid w:val="44E41BDB"/>
    <w:rsid w:val="4553444D"/>
    <w:rsid w:val="45C04959"/>
    <w:rsid w:val="460C6D7B"/>
    <w:rsid w:val="460F51E4"/>
    <w:rsid w:val="461C7016"/>
    <w:rsid w:val="462C182F"/>
    <w:rsid w:val="464026FA"/>
    <w:rsid w:val="46BA5504"/>
    <w:rsid w:val="471776CB"/>
    <w:rsid w:val="476A065E"/>
    <w:rsid w:val="47825B50"/>
    <w:rsid w:val="47BA1F3A"/>
    <w:rsid w:val="47F94FA6"/>
    <w:rsid w:val="48112949"/>
    <w:rsid w:val="488866EC"/>
    <w:rsid w:val="48966027"/>
    <w:rsid w:val="4943234C"/>
    <w:rsid w:val="49666BCB"/>
    <w:rsid w:val="49EF3540"/>
    <w:rsid w:val="49F15459"/>
    <w:rsid w:val="49F343C7"/>
    <w:rsid w:val="4A092A83"/>
    <w:rsid w:val="4A2B44CA"/>
    <w:rsid w:val="4AC4558F"/>
    <w:rsid w:val="4AFB34D8"/>
    <w:rsid w:val="4B005DC7"/>
    <w:rsid w:val="4BA51C59"/>
    <w:rsid w:val="4BC30B5B"/>
    <w:rsid w:val="4BE701F1"/>
    <w:rsid w:val="4C1F67F7"/>
    <w:rsid w:val="4CC63413"/>
    <w:rsid w:val="4CD928A1"/>
    <w:rsid w:val="4CFC1A01"/>
    <w:rsid w:val="4D152B8E"/>
    <w:rsid w:val="4DA1721B"/>
    <w:rsid w:val="4DAD2F6F"/>
    <w:rsid w:val="4DC266E9"/>
    <w:rsid w:val="4DF84C76"/>
    <w:rsid w:val="4F3229E4"/>
    <w:rsid w:val="4F44447D"/>
    <w:rsid w:val="4F6A06AA"/>
    <w:rsid w:val="4FE3324B"/>
    <w:rsid w:val="4FFB39D4"/>
    <w:rsid w:val="501B3C78"/>
    <w:rsid w:val="50B532DF"/>
    <w:rsid w:val="511F4FAE"/>
    <w:rsid w:val="52A25CB4"/>
    <w:rsid w:val="52E5410B"/>
    <w:rsid w:val="52EC7F88"/>
    <w:rsid w:val="53B30BEF"/>
    <w:rsid w:val="53EB75A9"/>
    <w:rsid w:val="545A5E5A"/>
    <w:rsid w:val="553B7027"/>
    <w:rsid w:val="55C45E3F"/>
    <w:rsid w:val="55CD01B7"/>
    <w:rsid w:val="561D10D3"/>
    <w:rsid w:val="564D6A26"/>
    <w:rsid w:val="573127C9"/>
    <w:rsid w:val="57455939"/>
    <w:rsid w:val="58206426"/>
    <w:rsid w:val="58257FFC"/>
    <w:rsid w:val="5852693B"/>
    <w:rsid w:val="58832166"/>
    <w:rsid w:val="58AE184D"/>
    <w:rsid w:val="591757BA"/>
    <w:rsid w:val="59BA2AB7"/>
    <w:rsid w:val="59C56DAA"/>
    <w:rsid w:val="59FE5B32"/>
    <w:rsid w:val="5A3A7927"/>
    <w:rsid w:val="5A521F36"/>
    <w:rsid w:val="5A72055D"/>
    <w:rsid w:val="5AC9060E"/>
    <w:rsid w:val="5AD1170E"/>
    <w:rsid w:val="5B1130CF"/>
    <w:rsid w:val="5B8B65BE"/>
    <w:rsid w:val="5BDB650E"/>
    <w:rsid w:val="5C335B3C"/>
    <w:rsid w:val="5C411BF1"/>
    <w:rsid w:val="5C5C0E94"/>
    <w:rsid w:val="5CDD0772"/>
    <w:rsid w:val="5D7471CD"/>
    <w:rsid w:val="5D942216"/>
    <w:rsid w:val="5E4F2949"/>
    <w:rsid w:val="5ED77C7E"/>
    <w:rsid w:val="5F574A32"/>
    <w:rsid w:val="5FA27514"/>
    <w:rsid w:val="5FA33596"/>
    <w:rsid w:val="5FA46D08"/>
    <w:rsid w:val="5FE274DC"/>
    <w:rsid w:val="601B50B8"/>
    <w:rsid w:val="60D75B98"/>
    <w:rsid w:val="61782DF6"/>
    <w:rsid w:val="61BD76F5"/>
    <w:rsid w:val="61ED04CB"/>
    <w:rsid w:val="61EE77DA"/>
    <w:rsid w:val="62C76F52"/>
    <w:rsid w:val="63033694"/>
    <w:rsid w:val="63515EFF"/>
    <w:rsid w:val="63D37ED0"/>
    <w:rsid w:val="63D42C55"/>
    <w:rsid w:val="63EA322D"/>
    <w:rsid w:val="64907584"/>
    <w:rsid w:val="65214386"/>
    <w:rsid w:val="65533A24"/>
    <w:rsid w:val="657105B6"/>
    <w:rsid w:val="657D2626"/>
    <w:rsid w:val="65BE3A7A"/>
    <w:rsid w:val="65E84B9C"/>
    <w:rsid w:val="65F01CCB"/>
    <w:rsid w:val="66014F3C"/>
    <w:rsid w:val="66402D4F"/>
    <w:rsid w:val="66606BD6"/>
    <w:rsid w:val="66CA6915"/>
    <w:rsid w:val="67244835"/>
    <w:rsid w:val="67562817"/>
    <w:rsid w:val="676B3AB5"/>
    <w:rsid w:val="68380417"/>
    <w:rsid w:val="688B32D7"/>
    <w:rsid w:val="68DA664E"/>
    <w:rsid w:val="69276746"/>
    <w:rsid w:val="696632D5"/>
    <w:rsid w:val="696E0D08"/>
    <w:rsid w:val="69AE2AFF"/>
    <w:rsid w:val="6A0D405A"/>
    <w:rsid w:val="6B3040EA"/>
    <w:rsid w:val="6B4C569B"/>
    <w:rsid w:val="6BCB614C"/>
    <w:rsid w:val="6BD5555A"/>
    <w:rsid w:val="6BF40E5C"/>
    <w:rsid w:val="6C22305E"/>
    <w:rsid w:val="6C3E4F0F"/>
    <w:rsid w:val="6CC851F7"/>
    <w:rsid w:val="6D1C03DF"/>
    <w:rsid w:val="6D3F3EFF"/>
    <w:rsid w:val="6D82247E"/>
    <w:rsid w:val="6D98205C"/>
    <w:rsid w:val="6E6707C3"/>
    <w:rsid w:val="6E69397B"/>
    <w:rsid w:val="6E924AA9"/>
    <w:rsid w:val="6F2C3410"/>
    <w:rsid w:val="703716AB"/>
    <w:rsid w:val="70CC7F49"/>
    <w:rsid w:val="711E06A4"/>
    <w:rsid w:val="71E87E2E"/>
    <w:rsid w:val="71F411CB"/>
    <w:rsid w:val="7204769D"/>
    <w:rsid w:val="725305DD"/>
    <w:rsid w:val="728E17FF"/>
    <w:rsid w:val="730C09B8"/>
    <w:rsid w:val="730E5833"/>
    <w:rsid w:val="73121DD9"/>
    <w:rsid w:val="737B5CB8"/>
    <w:rsid w:val="739F26B4"/>
    <w:rsid w:val="73AF723F"/>
    <w:rsid w:val="73BA34EB"/>
    <w:rsid w:val="73E535A9"/>
    <w:rsid w:val="74027BF9"/>
    <w:rsid w:val="74144DFC"/>
    <w:rsid w:val="741C1B71"/>
    <w:rsid w:val="7443214A"/>
    <w:rsid w:val="74684490"/>
    <w:rsid w:val="746D6EE3"/>
    <w:rsid w:val="74BF2D99"/>
    <w:rsid w:val="75072EF1"/>
    <w:rsid w:val="75D274D7"/>
    <w:rsid w:val="765E373E"/>
    <w:rsid w:val="76644756"/>
    <w:rsid w:val="76E91218"/>
    <w:rsid w:val="77051288"/>
    <w:rsid w:val="77C32229"/>
    <w:rsid w:val="77EE41CF"/>
    <w:rsid w:val="78497989"/>
    <w:rsid w:val="78846614"/>
    <w:rsid w:val="79013A84"/>
    <w:rsid w:val="793366E5"/>
    <w:rsid w:val="79590554"/>
    <w:rsid w:val="79710B4E"/>
    <w:rsid w:val="7A094544"/>
    <w:rsid w:val="7A430EA6"/>
    <w:rsid w:val="7AB8496A"/>
    <w:rsid w:val="7AD960B3"/>
    <w:rsid w:val="7B1B79A3"/>
    <w:rsid w:val="7B590EDC"/>
    <w:rsid w:val="7BBF3C16"/>
    <w:rsid w:val="7C126185"/>
    <w:rsid w:val="7C1D0E67"/>
    <w:rsid w:val="7C342726"/>
    <w:rsid w:val="7C3927E8"/>
    <w:rsid w:val="7C7062F8"/>
    <w:rsid w:val="7C8C3CD9"/>
    <w:rsid w:val="7CBA7331"/>
    <w:rsid w:val="7CC51E3F"/>
    <w:rsid w:val="7CCC58C3"/>
    <w:rsid w:val="7D48401E"/>
    <w:rsid w:val="7D4B4C02"/>
    <w:rsid w:val="7D566ADD"/>
    <w:rsid w:val="7D6F01D5"/>
    <w:rsid w:val="7DC14660"/>
    <w:rsid w:val="7E3F6A12"/>
    <w:rsid w:val="7ED05EAD"/>
    <w:rsid w:val="7EE2070E"/>
    <w:rsid w:val="7F563C0C"/>
    <w:rsid w:val="7FEF0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iPriority="0"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99" w:semiHidden="0" w:name="Body Text"/>
    <w:lsdException w:qFormat="1" w:uiPriority="0" w:semiHidden="0" w:name="Body Text Indent"/>
    <w:lsdException w:qFormat="1"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qFormat="1" w:unhideWhenUsed="0" w:uiPriority="0" w:semiHidden="0" w:name="E-mail Signature"/>
    <w:lsdException w:qFormat="1"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12"/>
    <w:qFormat/>
    <w:uiPriority w:val="0"/>
    <w:pPr>
      <w:keepNext/>
      <w:keepLines/>
      <w:spacing w:before="340" w:after="330" w:line="576" w:lineRule="auto"/>
      <w:jc w:val="center"/>
      <w:outlineLvl w:val="0"/>
    </w:pPr>
    <w:rPr>
      <w:rFonts w:eastAsia="楷体_GB2312"/>
      <w:b/>
      <w:kern w:val="44"/>
      <w:sz w:val="44"/>
      <w:szCs w:val="20"/>
    </w:rPr>
  </w:style>
  <w:style w:type="paragraph" w:styleId="6">
    <w:name w:val="heading 2"/>
    <w:basedOn w:val="1"/>
    <w:next w:val="1"/>
    <w:link w:val="136"/>
    <w:qFormat/>
    <w:uiPriority w:val="0"/>
    <w:pPr>
      <w:keepNext/>
      <w:keepLines/>
      <w:tabs>
        <w:tab w:val="left" w:pos="840"/>
      </w:tabs>
      <w:spacing w:before="260" w:after="260" w:line="415" w:lineRule="auto"/>
      <w:ind w:left="840" w:hanging="420"/>
      <w:jc w:val="center"/>
      <w:outlineLvl w:val="1"/>
    </w:pPr>
    <w:rPr>
      <w:rFonts w:ascii="Arial" w:hAnsi="Arial" w:eastAsia="黑体"/>
      <w:b/>
      <w:kern w:val="0"/>
      <w:sz w:val="32"/>
      <w:szCs w:val="20"/>
    </w:rPr>
  </w:style>
  <w:style w:type="paragraph" w:styleId="7">
    <w:name w:val="heading 3"/>
    <w:basedOn w:val="1"/>
    <w:next w:val="8"/>
    <w:link w:val="254"/>
    <w:qFormat/>
    <w:uiPriority w:val="0"/>
    <w:pPr>
      <w:keepNext/>
      <w:keepLines/>
      <w:spacing w:before="260" w:after="260" w:line="415" w:lineRule="auto"/>
      <w:outlineLvl w:val="2"/>
    </w:pPr>
    <w:rPr>
      <w:b/>
      <w:kern w:val="0"/>
      <w:sz w:val="32"/>
      <w:szCs w:val="20"/>
    </w:rPr>
  </w:style>
  <w:style w:type="paragraph" w:styleId="9">
    <w:name w:val="heading 4"/>
    <w:basedOn w:val="1"/>
    <w:next w:val="1"/>
    <w:link w:val="301"/>
    <w:qFormat/>
    <w:uiPriority w:val="0"/>
    <w:pPr>
      <w:keepNext/>
      <w:outlineLvl w:val="3"/>
    </w:pPr>
    <w:rPr>
      <w:kern w:val="0"/>
      <w:sz w:val="32"/>
      <w:szCs w:val="20"/>
    </w:rPr>
  </w:style>
  <w:style w:type="paragraph" w:styleId="10">
    <w:name w:val="heading 5"/>
    <w:basedOn w:val="1"/>
    <w:next w:val="1"/>
    <w:link w:val="113"/>
    <w:qFormat/>
    <w:uiPriority w:val="9"/>
    <w:pPr>
      <w:spacing w:before="120" w:line="60" w:lineRule="atLeast"/>
      <w:outlineLvl w:val="4"/>
    </w:pPr>
    <w:rPr>
      <w:rFonts w:ascii="Arial" w:hAnsi="Arial"/>
      <w:b/>
      <w:kern w:val="0"/>
      <w:sz w:val="28"/>
      <w:szCs w:val="20"/>
    </w:rPr>
  </w:style>
  <w:style w:type="paragraph" w:styleId="11">
    <w:name w:val="heading 6"/>
    <w:basedOn w:val="1"/>
    <w:next w:val="1"/>
    <w:link w:val="138"/>
    <w:qFormat/>
    <w:uiPriority w:val="9"/>
    <w:pPr>
      <w:keepNext/>
      <w:keepLines/>
      <w:spacing w:before="240" w:after="64" w:line="316" w:lineRule="auto"/>
      <w:outlineLvl w:val="5"/>
    </w:pPr>
    <w:rPr>
      <w:rFonts w:ascii="宋体" w:hAnsi="宋体"/>
      <w:b/>
      <w:kern w:val="0"/>
      <w:sz w:val="24"/>
      <w:szCs w:val="20"/>
    </w:rPr>
  </w:style>
  <w:style w:type="paragraph" w:styleId="12">
    <w:name w:val="heading 7"/>
    <w:basedOn w:val="1"/>
    <w:next w:val="1"/>
    <w:link w:val="243"/>
    <w:qFormat/>
    <w:uiPriority w:val="9"/>
    <w:pPr>
      <w:keepNext/>
      <w:keepLines/>
      <w:tabs>
        <w:tab w:val="left" w:pos="1440"/>
      </w:tabs>
      <w:adjustRightInd w:val="0"/>
      <w:snapToGrid w:val="0"/>
      <w:spacing w:before="240" w:after="64" w:line="320" w:lineRule="atLeast"/>
      <w:ind w:left="1440" w:hanging="1440"/>
      <w:outlineLvl w:val="6"/>
    </w:pPr>
    <w:rPr>
      <w:rFonts w:ascii="宋体" w:eastAsia="仿宋_GB2312"/>
      <w:b/>
      <w:kern w:val="0"/>
      <w:sz w:val="24"/>
      <w:szCs w:val="20"/>
    </w:rPr>
  </w:style>
  <w:style w:type="paragraph" w:styleId="13">
    <w:name w:val="heading 8"/>
    <w:basedOn w:val="1"/>
    <w:next w:val="1"/>
    <w:link w:val="162"/>
    <w:qFormat/>
    <w:uiPriority w:val="9"/>
    <w:pPr>
      <w:keepNext/>
      <w:keepLines/>
      <w:tabs>
        <w:tab w:val="left" w:pos="1800"/>
      </w:tabs>
      <w:adjustRightInd w:val="0"/>
      <w:snapToGrid w:val="0"/>
      <w:spacing w:before="240" w:after="64" w:line="320" w:lineRule="atLeast"/>
      <w:ind w:left="1800" w:hanging="1800"/>
      <w:outlineLvl w:val="7"/>
    </w:pPr>
    <w:rPr>
      <w:rFonts w:ascii="Arial" w:hAnsi="Arial" w:eastAsia="黑体"/>
      <w:kern w:val="0"/>
      <w:sz w:val="24"/>
      <w:szCs w:val="20"/>
    </w:rPr>
  </w:style>
  <w:style w:type="paragraph" w:styleId="14">
    <w:name w:val="heading 9"/>
    <w:basedOn w:val="1"/>
    <w:next w:val="1"/>
    <w:link w:val="164"/>
    <w:qFormat/>
    <w:uiPriority w:val="9"/>
    <w:pPr>
      <w:keepNext/>
      <w:keepLines/>
      <w:tabs>
        <w:tab w:val="left" w:pos="1800"/>
      </w:tabs>
      <w:adjustRightInd w:val="0"/>
      <w:snapToGrid w:val="0"/>
      <w:spacing w:before="240" w:after="64" w:line="320" w:lineRule="atLeast"/>
      <w:ind w:left="1800" w:hanging="1800"/>
      <w:outlineLvl w:val="8"/>
    </w:pPr>
    <w:rPr>
      <w:rFonts w:ascii="Arial" w:hAnsi="Arial" w:eastAsia="黑体"/>
      <w:kern w:val="0"/>
      <w:sz w:val="28"/>
      <w:szCs w:val="20"/>
    </w:rPr>
  </w:style>
  <w:style w:type="character" w:default="1" w:styleId="92">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93"/>
    <w:unhideWhenUsed/>
    <w:qFormat/>
    <w:uiPriority w:val="0"/>
    <w:pPr>
      <w:ind w:firstLine="420"/>
    </w:pPr>
    <w:rPr>
      <w:rFonts w:eastAsia="楷体_GB2312"/>
      <w:sz w:val="32"/>
      <w:szCs w:val="20"/>
    </w:rPr>
  </w:style>
  <w:style w:type="paragraph" w:styleId="3">
    <w:name w:val="Body Text"/>
    <w:basedOn w:val="1"/>
    <w:link w:val="170"/>
    <w:unhideWhenUsed/>
    <w:qFormat/>
    <w:uiPriority w:val="99"/>
    <w:pPr>
      <w:spacing w:after="120"/>
    </w:pPr>
    <w:rPr>
      <w:kern w:val="0"/>
      <w:sz w:val="20"/>
      <w:szCs w:val="24"/>
    </w:rPr>
  </w:style>
  <w:style w:type="paragraph" w:styleId="4">
    <w:name w:val="macro"/>
    <w:basedOn w:val="1"/>
    <w:link w:val="184"/>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eastAsia="黑体"/>
      <w:b/>
      <w:kern w:val="0"/>
      <w:sz w:val="24"/>
      <w:szCs w:val="28"/>
    </w:rPr>
  </w:style>
  <w:style w:type="paragraph" w:styleId="8">
    <w:name w:val="Normal Indent"/>
    <w:basedOn w:val="1"/>
    <w:link w:val="271"/>
    <w:unhideWhenUsed/>
    <w:qFormat/>
    <w:uiPriority w:val="0"/>
    <w:pPr>
      <w:ind w:firstLine="420"/>
    </w:pPr>
    <w:rPr>
      <w:kern w:val="0"/>
      <w:sz w:val="20"/>
      <w:szCs w:val="20"/>
    </w:rPr>
  </w:style>
  <w:style w:type="paragraph" w:styleId="15">
    <w:name w:val="List 3"/>
    <w:basedOn w:val="1"/>
    <w:unhideWhenUsed/>
    <w:qFormat/>
    <w:uiPriority w:val="0"/>
    <w:pPr>
      <w:ind w:left="100" w:leftChars="400" w:hanging="200" w:hangingChars="200"/>
    </w:pPr>
    <w:rPr>
      <w:szCs w:val="24"/>
    </w:rPr>
  </w:style>
  <w:style w:type="paragraph" w:styleId="16">
    <w:name w:val="toc 7"/>
    <w:basedOn w:val="1"/>
    <w:next w:val="1"/>
    <w:qFormat/>
    <w:uiPriority w:val="39"/>
    <w:pPr>
      <w:ind w:left="1050"/>
      <w:jc w:val="left"/>
    </w:pPr>
    <w:rPr>
      <w:rFonts w:hAnsi="Arial" w:eastAsia="黑体"/>
      <w:b/>
      <w:kern w:val="0"/>
      <w:sz w:val="20"/>
      <w:szCs w:val="20"/>
    </w:rPr>
  </w:style>
  <w:style w:type="paragraph" w:styleId="17">
    <w:name w:val="List Number 2"/>
    <w:basedOn w:val="1"/>
    <w:qFormat/>
    <w:uiPriority w:val="0"/>
    <w:pPr>
      <w:tabs>
        <w:tab w:val="left" w:pos="780"/>
      </w:tabs>
      <w:ind w:left="400" w:leftChars="200" w:hanging="200" w:hangingChars="200"/>
      <w:jc w:val="center"/>
    </w:pPr>
    <w:rPr>
      <w:rFonts w:hAnsi="Arial" w:eastAsia="黑体"/>
      <w:b/>
      <w:kern w:val="0"/>
      <w:sz w:val="28"/>
      <w:szCs w:val="28"/>
    </w:rPr>
  </w:style>
  <w:style w:type="paragraph" w:styleId="18">
    <w:name w:val="table of authorities"/>
    <w:basedOn w:val="1"/>
    <w:next w:val="1"/>
    <w:qFormat/>
    <w:uiPriority w:val="0"/>
    <w:pPr>
      <w:spacing w:line="480" w:lineRule="exact"/>
      <w:ind w:left="420"/>
      <w:jc w:val="center"/>
    </w:pPr>
    <w:rPr>
      <w:rFonts w:hAnsi="Arial" w:eastAsia="黑体"/>
      <w:b/>
      <w:kern w:val="0"/>
      <w:sz w:val="24"/>
      <w:szCs w:val="20"/>
    </w:rPr>
  </w:style>
  <w:style w:type="paragraph" w:styleId="19">
    <w:name w:val="Note Heading"/>
    <w:basedOn w:val="1"/>
    <w:next w:val="1"/>
    <w:link w:val="364"/>
    <w:qFormat/>
    <w:uiPriority w:val="0"/>
    <w:pPr>
      <w:jc w:val="center"/>
    </w:pPr>
    <w:rPr>
      <w:rFonts w:hAnsi="Arial" w:eastAsia="黑体"/>
      <w:b/>
      <w:kern w:val="0"/>
      <w:sz w:val="28"/>
      <w:szCs w:val="28"/>
    </w:rPr>
  </w:style>
  <w:style w:type="paragraph" w:styleId="20">
    <w:name w:val="List Bullet 4"/>
    <w:basedOn w:val="1"/>
    <w:unhideWhenUsed/>
    <w:qFormat/>
    <w:uiPriority w:val="0"/>
    <w:pPr>
      <w:tabs>
        <w:tab w:val="left" w:pos="1620"/>
      </w:tabs>
      <w:ind w:left="1620" w:leftChars="600" w:hanging="360" w:hangingChars="200"/>
    </w:pPr>
    <w:rPr>
      <w:szCs w:val="20"/>
    </w:rPr>
  </w:style>
  <w:style w:type="paragraph" w:styleId="21">
    <w:name w:val="index 8"/>
    <w:basedOn w:val="1"/>
    <w:next w:val="1"/>
    <w:qFormat/>
    <w:uiPriority w:val="0"/>
    <w:pPr>
      <w:ind w:left="1400" w:leftChars="1400"/>
      <w:jc w:val="center"/>
    </w:pPr>
    <w:rPr>
      <w:rFonts w:hAnsi="Arial" w:eastAsia="黑体"/>
      <w:b/>
      <w:kern w:val="0"/>
      <w:sz w:val="28"/>
      <w:szCs w:val="28"/>
    </w:rPr>
  </w:style>
  <w:style w:type="paragraph" w:styleId="22">
    <w:name w:val="E-mail Signature"/>
    <w:basedOn w:val="1"/>
    <w:link w:val="185"/>
    <w:qFormat/>
    <w:uiPriority w:val="0"/>
    <w:pPr>
      <w:jc w:val="center"/>
    </w:pPr>
    <w:rPr>
      <w:rFonts w:hAnsi="Arial" w:eastAsia="黑体"/>
      <w:b/>
      <w:kern w:val="0"/>
      <w:sz w:val="28"/>
      <w:szCs w:val="28"/>
    </w:rPr>
  </w:style>
  <w:style w:type="paragraph" w:styleId="23">
    <w:name w:val="List Number"/>
    <w:basedOn w:val="1"/>
    <w:qFormat/>
    <w:uiPriority w:val="0"/>
    <w:pPr>
      <w:widowControl/>
      <w:spacing w:before="120" w:after="60"/>
      <w:ind w:left="720" w:hanging="360"/>
      <w:jc w:val="center"/>
    </w:pPr>
    <w:rPr>
      <w:rFonts w:hAnsi="Arial" w:eastAsia="黑体"/>
      <w:b/>
      <w:kern w:val="0"/>
      <w:sz w:val="28"/>
      <w:szCs w:val="28"/>
    </w:rPr>
  </w:style>
  <w:style w:type="paragraph" w:styleId="24">
    <w:name w:val="caption"/>
    <w:basedOn w:val="1"/>
    <w:next w:val="1"/>
    <w:qFormat/>
    <w:uiPriority w:val="35"/>
    <w:rPr>
      <w:rFonts w:ascii="Arial" w:hAnsi="Arial" w:eastAsia="黑体" w:cs="Arial"/>
      <w:sz w:val="20"/>
      <w:szCs w:val="20"/>
    </w:rPr>
  </w:style>
  <w:style w:type="paragraph" w:styleId="25">
    <w:name w:val="index 5"/>
    <w:basedOn w:val="1"/>
    <w:next w:val="1"/>
    <w:qFormat/>
    <w:uiPriority w:val="0"/>
    <w:pPr>
      <w:ind w:left="800" w:leftChars="800"/>
      <w:jc w:val="center"/>
    </w:pPr>
    <w:rPr>
      <w:rFonts w:hAnsi="Arial" w:eastAsia="黑体"/>
      <w:b/>
      <w:kern w:val="0"/>
      <w:sz w:val="28"/>
      <w:szCs w:val="28"/>
    </w:rPr>
  </w:style>
  <w:style w:type="paragraph" w:styleId="26">
    <w:name w:val="List Bullet"/>
    <w:basedOn w:val="1"/>
    <w:qFormat/>
    <w:uiPriority w:val="0"/>
    <w:pPr>
      <w:tabs>
        <w:tab w:val="left" w:pos="425"/>
      </w:tabs>
      <w:spacing w:line="480" w:lineRule="exact"/>
      <w:ind w:left="425" w:hanging="425"/>
      <w:jc w:val="center"/>
    </w:pPr>
    <w:rPr>
      <w:rFonts w:hAnsi="Arial" w:eastAsia="黑体"/>
      <w:b/>
      <w:kern w:val="0"/>
      <w:sz w:val="24"/>
      <w:szCs w:val="20"/>
    </w:rPr>
  </w:style>
  <w:style w:type="paragraph" w:styleId="27">
    <w:name w:val="envelope address"/>
    <w:basedOn w:val="1"/>
    <w:qFormat/>
    <w:uiPriority w:val="0"/>
    <w:pPr>
      <w:snapToGrid w:val="0"/>
      <w:ind w:left="1400" w:leftChars="1400"/>
      <w:jc w:val="center"/>
    </w:pPr>
    <w:rPr>
      <w:rFonts w:ascii="Arial" w:hAnsi="Arial" w:eastAsia="黑体" w:cs="Arial"/>
      <w:b/>
      <w:kern w:val="0"/>
      <w:sz w:val="24"/>
      <w:szCs w:val="28"/>
    </w:rPr>
  </w:style>
  <w:style w:type="paragraph" w:styleId="28">
    <w:name w:val="Document Map"/>
    <w:basedOn w:val="1"/>
    <w:link w:val="151"/>
    <w:unhideWhenUsed/>
    <w:qFormat/>
    <w:uiPriority w:val="99"/>
    <w:pPr>
      <w:shd w:val="clear" w:color="auto" w:fill="000080"/>
    </w:pPr>
    <w:rPr>
      <w:kern w:val="0"/>
      <w:sz w:val="20"/>
      <w:szCs w:val="20"/>
    </w:rPr>
  </w:style>
  <w:style w:type="paragraph" w:styleId="29">
    <w:name w:val="toa heading"/>
    <w:basedOn w:val="1"/>
    <w:next w:val="1"/>
    <w:qFormat/>
    <w:uiPriority w:val="0"/>
    <w:pPr>
      <w:adjustRightInd w:val="0"/>
      <w:spacing w:before="120" w:line="360" w:lineRule="atLeast"/>
      <w:jc w:val="left"/>
      <w:textAlignment w:val="baseline"/>
    </w:pPr>
    <w:rPr>
      <w:rFonts w:ascii="Arial" w:hAnsi="Arial" w:eastAsia="黑体"/>
      <w:b/>
      <w:kern w:val="0"/>
      <w:sz w:val="24"/>
      <w:szCs w:val="20"/>
    </w:rPr>
  </w:style>
  <w:style w:type="paragraph" w:styleId="30">
    <w:name w:val="annotation text"/>
    <w:basedOn w:val="1"/>
    <w:link w:val="152"/>
    <w:unhideWhenUsed/>
    <w:qFormat/>
    <w:uiPriority w:val="0"/>
    <w:pPr>
      <w:jc w:val="left"/>
    </w:pPr>
    <w:rPr>
      <w:kern w:val="0"/>
      <w:sz w:val="20"/>
      <w:szCs w:val="20"/>
    </w:rPr>
  </w:style>
  <w:style w:type="paragraph" w:styleId="31">
    <w:name w:val="index 6"/>
    <w:basedOn w:val="1"/>
    <w:next w:val="1"/>
    <w:unhideWhenUsed/>
    <w:qFormat/>
    <w:uiPriority w:val="0"/>
    <w:pPr>
      <w:ind w:left="1260" w:hanging="210"/>
      <w:jc w:val="left"/>
    </w:pPr>
    <w:rPr>
      <w:sz w:val="18"/>
      <w:szCs w:val="18"/>
    </w:rPr>
  </w:style>
  <w:style w:type="paragraph" w:styleId="32">
    <w:name w:val="Salutation"/>
    <w:basedOn w:val="1"/>
    <w:next w:val="1"/>
    <w:link w:val="210"/>
    <w:qFormat/>
    <w:uiPriority w:val="0"/>
    <w:pPr>
      <w:jc w:val="center"/>
    </w:pPr>
    <w:rPr>
      <w:rFonts w:hAnsi="Arial" w:eastAsia="黑体"/>
      <w:b/>
      <w:kern w:val="0"/>
      <w:sz w:val="28"/>
      <w:szCs w:val="28"/>
    </w:rPr>
  </w:style>
  <w:style w:type="paragraph" w:styleId="33">
    <w:name w:val="Body Text 3"/>
    <w:basedOn w:val="1"/>
    <w:link w:val="297"/>
    <w:unhideWhenUsed/>
    <w:qFormat/>
    <w:uiPriority w:val="0"/>
    <w:rPr>
      <w:b/>
      <w:bCs/>
      <w:kern w:val="0"/>
      <w:sz w:val="24"/>
      <w:szCs w:val="24"/>
    </w:rPr>
  </w:style>
  <w:style w:type="paragraph" w:styleId="34">
    <w:name w:val="Closing"/>
    <w:basedOn w:val="1"/>
    <w:link w:val="167"/>
    <w:qFormat/>
    <w:uiPriority w:val="0"/>
    <w:pPr>
      <w:ind w:left="2100" w:leftChars="2100"/>
      <w:jc w:val="center"/>
    </w:pPr>
    <w:rPr>
      <w:rFonts w:hAnsi="Arial" w:eastAsia="黑体"/>
      <w:b/>
      <w:kern w:val="0"/>
      <w:sz w:val="28"/>
      <w:szCs w:val="28"/>
    </w:rPr>
  </w:style>
  <w:style w:type="paragraph" w:styleId="35">
    <w:name w:val="List Bullet 3"/>
    <w:basedOn w:val="1"/>
    <w:unhideWhenUsed/>
    <w:qFormat/>
    <w:uiPriority w:val="0"/>
    <w:pPr>
      <w:tabs>
        <w:tab w:val="left" w:pos="1200"/>
      </w:tabs>
      <w:ind w:left="1200" w:leftChars="400" w:hanging="360" w:hangingChars="200"/>
    </w:pPr>
    <w:rPr>
      <w:szCs w:val="20"/>
    </w:rPr>
  </w:style>
  <w:style w:type="paragraph" w:styleId="36">
    <w:name w:val="Body Text Indent"/>
    <w:basedOn w:val="1"/>
    <w:link w:val="346"/>
    <w:unhideWhenUsed/>
    <w:qFormat/>
    <w:uiPriority w:val="0"/>
    <w:pPr>
      <w:adjustRightInd w:val="0"/>
      <w:ind w:left="960"/>
      <w:jc w:val="left"/>
    </w:pPr>
    <w:rPr>
      <w:rFonts w:ascii="楷体_GB2312" w:eastAsia="楷体_GB2312"/>
      <w:kern w:val="0"/>
      <w:sz w:val="28"/>
      <w:szCs w:val="20"/>
    </w:rPr>
  </w:style>
  <w:style w:type="paragraph" w:styleId="37">
    <w:name w:val="List Number 3"/>
    <w:basedOn w:val="1"/>
    <w:qFormat/>
    <w:uiPriority w:val="0"/>
    <w:pPr>
      <w:tabs>
        <w:tab w:val="left" w:pos="1200"/>
      </w:tabs>
      <w:ind w:left="600" w:leftChars="400" w:hanging="200" w:hangingChars="200"/>
      <w:jc w:val="center"/>
    </w:pPr>
    <w:rPr>
      <w:rFonts w:hAnsi="Arial" w:eastAsia="黑体"/>
      <w:b/>
      <w:kern w:val="0"/>
      <w:sz w:val="28"/>
      <w:szCs w:val="28"/>
    </w:rPr>
  </w:style>
  <w:style w:type="paragraph" w:styleId="38">
    <w:name w:val="List 2"/>
    <w:basedOn w:val="1"/>
    <w:unhideWhenUsed/>
    <w:qFormat/>
    <w:uiPriority w:val="0"/>
    <w:pPr>
      <w:ind w:left="100" w:leftChars="200" w:hanging="200" w:hangingChars="200"/>
    </w:pPr>
    <w:rPr>
      <w:szCs w:val="24"/>
    </w:rPr>
  </w:style>
  <w:style w:type="paragraph" w:styleId="39">
    <w:name w:val="List Continue"/>
    <w:basedOn w:val="1"/>
    <w:unhideWhenUsed/>
    <w:qFormat/>
    <w:uiPriority w:val="0"/>
    <w:pPr>
      <w:spacing w:after="120"/>
      <w:ind w:left="420"/>
    </w:pPr>
    <w:rPr>
      <w:rFonts w:eastAsia="楷体_GB2312"/>
      <w:sz w:val="32"/>
      <w:szCs w:val="20"/>
    </w:rPr>
  </w:style>
  <w:style w:type="paragraph" w:styleId="40">
    <w:name w:val="Block Text"/>
    <w:basedOn w:val="1"/>
    <w:qFormat/>
    <w:uiPriority w:val="0"/>
    <w:pPr>
      <w:spacing w:before="120" w:after="120" w:line="360" w:lineRule="auto"/>
      <w:ind w:left="630" w:right="202"/>
      <w:jc w:val="center"/>
    </w:pPr>
    <w:rPr>
      <w:rFonts w:ascii="宋体" w:hAnsi="Arial" w:eastAsia="黑体"/>
      <w:b/>
      <w:kern w:val="0"/>
      <w:sz w:val="24"/>
      <w:szCs w:val="20"/>
    </w:rPr>
  </w:style>
  <w:style w:type="paragraph" w:styleId="41">
    <w:name w:val="List Bullet 2"/>
    <w:basedOn w:val="1"/>
    <w:unhideWhenUsed/>
    <w:qFormat/>
    <w:uiPriority w:val="0"/>
    <w:pPr>
      <w:widowControl/>
      <w:spacing w:line="0" w:lineRule="atLeast"/>
    </w:pPr>
    <w:rPr>
      <w:rFonts w:ascii="宋体" w:hAnsi="宋体"/>
      <w:kern w:val="0"/>
      <w:sz w:val="24"/>
      <w:szCs w:val="24"/>
    </w:rPr>
  </w:style>
  <w:style w:type="paragraph" w:styleId="42">
    <w:name w:val="HTML Address"/>
    <w:basedOn w:val="1"/>
    <w:link w:val="383"/>
    <w:qFormat/>
    <w:uiPriority w:val="0"/>
    <w:pPr>
      <w:jc w:val="center"/>
    </w:pPr>
    <w:rPr>
      <w:rFonts w:hAnsi="Arial" w:eastAsia="黑体"/>
      <w:b/>
      <w:i/>
      <w:iCs/>
      <w:kern w:val="0"/>
      <w:sz w:val="28"/>
      <w:szCs w:val="28"/>
    </w:rPr>
  </w:style>
  <w:style w:type="paragraph" w:styleId="43">
    <w:name w:val="index 4"/>
    <w:basedOn w:val="1"/>
    <w:next w:val="1"/>
    <w:qFormat/>
    <w:uiPriority w:val="0"/>
    <w:pPr>
      <w:ind w:left="600" w:leftChars="600"/>
      <w:jc w:val="center"/>
    </w:pPr>
    <w:rPr>
      <w:rFonts w:hAnsi="Arial" w:eastAsia="黑体"/>
      <w:b/>
      <w:kern w:val="0"/>
      <w:sz w:val="28"/>
      <w:szCs w:val="28"/>
    </w:rPr>
  </w:style>
  <w:style w:type="paragraph" w:styleId="44">
    <w:name w:val="toc 5"/>
    <w:basedOn w:val="1"/>
    <w:next w:val="1"/>
    <w:qFormat/>
    <w:uiPriority w:val="39"/>
    <w:pPr>
      <w:ind w:left="630"/>
      <w:jc w:val="left"/>
    </w:pPr>
    <w:rPr>
      <w:rFonts w:hAnsi="Arial" w:eastAsia="黑体"/>
      <w:b/>
      <w:kern w:val="0"/>
      <w:sz w:val="20"/>
      <w:szCs w:val="20"/>
    </w:rPr>
  </w:style>
  <w:style w:type="paragraph" w:styleId="45">
    <w:name w:val="toc 3"/>
    <w:basedOn w:val="1"/>
    <w:next w:val="1"/>
    <w:unhideWhenUsed/>
    <w:qFormat/>
    <w:uiPriority w:val="39"/>
    <w:pPr>
      <w:jc w:val="center"/>
    </w:pPr>
    <w:rPr>
      <w:rFonts w:ascii="宋体" w:hAnsi="宋体"/>
      <w:sz w:val="24"/>
      <w:szCs w:val="20"/>
    </w:rPr>
  </w:style>
  <w:style w:type="paragraph" w:styleId="46">
    <w:name w:val="Plain Text"/>
    <w:basedOn w:val="1"/>
    <w:link w:val="272"/>
    <w:unhideWhenUsed/>
    <w:qFormat/>
    <w:uiPriority w:val="0"/>
    <w:rPr>
      <w:rFonts w:ascii="宋体" w:hAnsi="Courier New"/>
      <w:kern w:val="0"/>
      <w:sz w:val="20"/>
      <w:szCs w:val="20"/>
    </w:rPr>
  </w:style>
  <w:style w:type="paragraph" w:styleId="47">
    <w:name w:val="List Bullet 5"/>
    <w:basedOn w:val="1"/>
    <w:unhideWhenUsed/>
    <w:qFormat/>
    <w:uiPriority w:val="0"/>
    <w:pPr>
      <w:tabs>
        <w:tab w:val="left" w:pos="2040"/>
      </w:tabs>
      <w:ind w:left="2040" w:leftChars="800" w:hanging="360" w:hangingChars="200"/>
    </w:pPr>
    <w:rPr>
      <w:szCs w:val="20"/>
    </w:rPr>
  </w:style>
  <w:style w:type="paragraph" w:styleId="48">
    <w:name w:val="List Number 4"/>
    <w:basedOn w:val="1"/>
    <w:qFormat/>
    <w:uiPriority w:val="0"/>
    <w:pPr>
      <w:tabs>
        <w:tab w:val="left" w:pos="1620"/>
      </w:tabs>
      <w:ind w:left="800" w:leftChars="600" w:hanging="200" w:hangingChars="200"/>
      <w:jc w:val="center"/>
    </w:pPr>
    <w:rPr>
      <w:rFonts w:hAnsi="Arial" w:eastAsia="黑体"/>
      <w:b/>
      <w:kern w:val="0"/>
      <w:sz w:val="28"/>
      <w:szCs w:val="28"/>
    </w:rPr>
  </w:style>
  <w:style w:type="paragraph" w:styleId="49">
    <w:name w:val="toc 8"/>
    <w:basedOn w:val="1"/>
    <w:next w:val="1"/>
    <w:qFormat/>
    <w:uiPriority w:val="39"/>
    <w:pPr>
      <w:ind w:left="1260"/>
      <w:jc w:val="left"/>
    </w:pPr>
    <w:rPr>
      <w:rFonts w:hAnsi="Arial" w:eastAsia="黑体"/>
      <w:b/>
      <w:kern w:val="0"/>
      <w:sz w:val="20"/>
      <w:szCs w:val="20"/>
    </w:rPr>
  </w:style>
  <w:style w:type="paragraph" w:styleId="50">
    <w:name w:val="index 3"/>
    <w:basedOn w:val="1"/>
    <w:next w:val="1"/>
    <w:qFormat/>
    <w:uiPriority w:val="0"/>
    <w:pPr>
      <w:ind w:left="400" w:leftChars="400"/>
      <w:jc w:val="center"/>
    </w:pPr>
    <w:rPr>
      <w:rFonts w:hAnsi="Arial" w:eastAsia="黑体"/>
      <w:b/>
      <w:kern w:val="0"/>
      <w:sz w:val="28"/>
      <w:szCs w:val="28"/>
    </w:rPr>
  </w:style>
  <w:style w:type="paragraph" w:styleId="51">
    <w:name w:val="Date"/>
    <w:basedOn w:val="1"/>
    <w:next w:val="1"/>
    <w:link w:val="261"/>
    <w:unhideWhenUsed/>
    <w:qFormat/>
    <w:uiPriority w:val="0"/>
    <w:pPr>
      <w:adjustRightInd w:val="0"/>
      <w:spacing w:line="360" w:lineRule="atLeast"/>
    </w:pPr>
    <w:rPr>
      <w:kern w:val="0"/>
      <w:sz w:val="28"/>
      <w:szCs w:val="20"/>
    </w:rPr>
  </w:style>
  <w:style w:type="paragraph" w:styleId="52">
    <w:name w:val="Body Text Indent 2"/>
    <w:basedOn w:val="1"/>
    <w:link w:val="375"/>
    <w:unhideWhenUsed/>
    <w:qFormat/>
    <w:uiPriority w:val="0"/>
    <w:pPr>
      <w:spacing w:line="360" w:lineRule="auto"/>
      <w:ind w:left="1140"/>
    </w:pPr>
    <w:rPr>
      <w:rFonts w:ascii="宋体"/>
      <w:kern w:val="0"/>
      <w:sz w:val="24"/>
      <w:szCs w:val="20"/>
    </w:rPr>
  </w:style>
  <w:style w:type="paragraph" w:styleId="53">
    <w:name w:val="endnote text"/>
    <w:basedOn w:val="1"/>
    <w:link w:val="277"/>
    <w:qFormat/>
    <w:uiPriority w:val="0"/>
    <w:pPr>
      <w:snapToGrid w:val="0"/>
      <w:jc w:val="left"/>
    </w:pPr>
    <w:rPr>
      <w:rFonts w:hAnsi="Arial" w:eastAsia="黑体"/>
      <w:b/>
      <w:kern w:val="0"/>
      <w:sz w:val="28"/>
      <w:szCs w:val="28"/>
    </w:rPr>
  </w:style>
  <w:style w:type="paragraph" w:styleId="54">
    <w:name w:val="List Continue 5"/>
    <w:basedOn w:val="1"/>
    <w:qFormat/>
    <w:uiPriority w:val="0"/>
    <w:pPr>
      <w:spacing w:after="120"/>
      <w:ind w:left="1000" w:leftChars="1000"/>
      <w:jc w:val="center"/>
    </w:pPr>
    <w:rPr>
      <w:rFonts w:hAnsi="Arial" w:eastAsia="黑体"/>
      <w:b/>
      <w:kern w:val="0"/>
      <w:sz w:val="28"/>
      <w:szCs w:val="28"/>
    </w:rPr>
  </w:style>
  <w:style w:type="paragraph" w:styleId="55">
    <w:name w:val="Balloon Text"/>
    <w:basedOn w:val="1"/>
    <w:link w:val="168"/>
    <w:unhideWhenUsed/>
    <w:qFormat/>
    <w:uiPriority w:val="99"/>
    <w:rPr>
      <w:kern w:val="0"/>
      <w:sz w:val="18"/>
      <w:szCs w:val="18"/>
    </w:rPr>
  </w:style>
  <w:style w:type="paragraph" w:styleId="56">
    <w:name w:val="footer"/>
    <w:basedOn w:val="1"/>
    <w:link w:val="143"/>
    <w:unhideWhenUsed/>
    <w:qFormat/>
    <w:uiPriority w:val="0"/>
    <w:pPr>
      <w:tabs>
        <w:tab w:val="center" w:pos="4153"/>
        <w:tab w:val="right" w:pos="8306"/>
      </w:tabs>
      <w:snapToGrid w:val="0"/>
      <w:jc w:val="left"/>
    </w:pPr>
    <w:rPr>
      <w:kern w:val="0"/>
      <w:sz w:val="18"/>
      <w:szCs w:val="18"/>
    </w:rPr>
  </w:style>
  <w:style w:type="paragraph" w:styleId="57">
    <w:name w:val="envelope return"/>
    <w:basedOn w:val="1"/>
    <w:qFormat/>
    <w:uiPriority w:val="0"/>
    <w:pPr>
      <w:snapToGrid w:val="0"/>
      <w:jc w:val="center"/>
    </w:pPr>
    <w:rPr>
      <w:rFonts w:ascii="Arial" w:hAnsi="Arial" w:eastAsia="黑体" w:cs="Arial"/>
      <w:b/>
      <w:kern w:val="0"/>
      <w:sz w:val="28"/>
      <w:szCs w:val="28"/>
    </w:rPr>
  </w:style>
  <w:style w:type="paragraph" w:styleId="58">
    <w:name w:val="header"/>
    <w:basedOn w:val="1"/>
    <w:link w:val="32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9">
    <w:name w:val="Signature"/>
    <w:basedOn w:val="1"/>
    <w:link w:val="133"/>
    <w:qFormat/>
    <w:uiPriority w:val="0"/>
    <w:pPr>
      <w:ind w:left="2100" w:leftChars="2100"/>
      <w:jc w:val="center"/>
    </w:pPr>
    <w:rPr>
      <w:rFonts w:hAnsi="Arial" w:eastAsia="黑体"/>
      <w:b/>
      <w:kern w:val="0"/>
      <w:sz w:val="28"/>
      <w:szCs w:val="28"/>
    </w:rPr>
  </w:style>
  <w:style w:type="paragraph" w:styleId="60">
    <w:name w:val="toc 1"/>
    <w:basedOn w:val="1"/>
    <w:next w:val="1"/>
    <w:unhideWhenUsed/>
    <w:qFormat/>
    <w:uiPriority w:val="0"/>
    <w:pPr>
      <w:spacing w:before="120" w:after="120"/>
      <w:jc w:val="left"/>
    </w:pPr>
    <w:rPr>
      <w:b/>
      <w:caps/>
      <w:szCs w:val="20"/>
    </w:rPr>
  </w:style>
  <w:style w:type="paragraph" w:styleId="61">
    <w:name w:val="List Continue 4"/>
    <w:basedOn w:val="1"/>
    <w:qFormat/>
    <w:uiPriority w:val="0"/>
    <w:pPr>
      <w:spacing w:after="120"/>
      <w:ind w:left="800" w:leftChars="800"/>
      <w:jc w:val="center"/>
    </w:pPr>
    <w:rPr>
      <w:rFonts w:hAnsi="Arial" w:eastAsia="黑体"/>
      <w:b/>
      <w:kern w:val="0"/>
      <w:sz w:val="28"/>
      <w:szCs w:val="28"/>
    </w:rPr>
  </w:style>
  <w:style w:type="paragraph" w:styleId="62">
    <w:name w:val="toc 4"/>
    <w:basedOn w:val="1"/>
    <w:next w:val="1"/>
    <w:qFormat/>
    <w:uiPriority w:val="39"/>
    <w:pPr>
      <w:ind w:left="420"/>
      <w:jc w:val="left"/>
    </w:pPr>
    <w:rPr>
      <w:rFonts w:hAnsi="Arial" w:eastAsia="黑体"/>
      <w:b/>
      <w:kern w:val="0"/>
      <w:sz w:val="20"/>
      <w:szCs w:val="20"/>
    </w:rPr>
  </w:style>
  <w:style w:type="paragraph" w:styleId="63">
    <w:name w:val="index heading"/>
    <w:basedOn w:val="1"/>
    <w:next w:val="64"/>
    <w:qFormat/>
    <w:uiPriority w:val="0"/>
    <w:pPr>
      <w:jc w:val="center"/>
    </w:pPr>
    <w:rPr>
      <w:rFonts w:ascii="Arial" w:hAnsi="Arial" w:eastAsia="黑体" w:cs="Arial"/>
      <w:bCs/>
      <w:kern w:val="0"/>
      <w:sz w:val="28"/>
      <w:szCs w:val="28"/>
    </w:rPr>
  </w:style>
  <w:style w:type="paragraph" w:styleId="64">
    <w:name w:val="index 1"/>
    <w:basedOn w:val="1"/>
    <w:next w:val="1"/>
    <w:unhideWhenUsed/>
    <w:qFormat/>
    <w:uiPriority w:val="0"/>
    <w:pPr>
      <w:spacing w:line="360" w:lineRule="auto"/>
    </w:pPr>
    <w:rPr>
      <w:rFonts w:ascii="宋体" w:hAnsi="宋体"/>
      <w:b/>
      <w:kern w:val="0"/>
      <w:szCs w:val="21"/>
    </w:rPr>
  </w:style>
  <w:style w:type="paragraph" w:styleId="65">
    <w:name w:val="Subtitle"/>
    <w:basedOn w:val="1"/>
    <w:next w:val="1"/>
    <w:link w:val="377"/>
    <w:qFormat/>
    <w:uiPriority w:val="11"/>
    <w:pPr>
      <w:tabs>
        <w:tab w:val="left" w:pos="420"/>
      </w:tabs>
      <w:spacing w:beforeLines="50" w:afterLines="50" w:line="360" w:lineRule="auto"/>
      <w:ind w:left="420"/>
      <w:jc w:val="left"/>
      <w:outlineLvl w:val="1"/>
    </w:pPr>
    <w:rPr>
      <w:rFonts w:ascii="Cambria" w:hAnsi="Cambria"/>
      <w:b/>
      <w:bCs/>
      <w:kern w:val="28"/>
      <w:sz w:val="24"/>
      <w:szCs w:val="32"/>
    </w:rPr>
  </w:style>
  <w:style w:type="paragraph" w:styleId="66">
    <w:name w:val="List Number 5"/>
    <w:basedOn w:val="1"/>
    <w:qFormat/>
    <w:uiPriority w:val="0"/>
    <w:pPr>
      <w:tabs>
        <w:tab w:val="left" w:pos="2040"/>
      </w:tabs>
      <w:ind w:left="1000" w:leftChars="800" w:hanging="200" w:hangingChars="200"/>
      <w:jc w:val="center"/>
    </w:pPr>
    <w:rPr>
      <w:rFonts w:hAnsi="Arial" w:eastAsia="黑体"/>
      <w:b/>
      <w:kern w:val="0"/>
      <w:sz w:val="28"/>
      <w:szCs w:val="28"/>
    </w:rPr>
  </w:style>
  <w:style w:type="paragraph" w:styleId="67">
    <w:name w:val="List"/>
    <w:basedOn w:val="1"/>
    <w:unhideWhenUsed/>
    <w:qFormat/>
    <w:uiPriority w:val="0"/>
    <w:pPr>
      <w:ind w:left="420" w:hanging="420"/>
    </w:pPr>
    <w:rPr>
      <w:rFonts w:eastAsia="楷体_GB2312"/>
      <w:sz w:val="32"/>
      <w:szCs w:val="20"/>
    </w:rPr>
  </w:style>
  <w:style w:type="paragraph" w:styleId="68">
    <w:name w:val="footnote text"/>
    <w:basedOn w:val="1"/>
    <w:link w:val="218"/>
    <w:qFormat/>
    <w:uiPriority w:val="0"/>
    <w:pPr>
      <w:snapToGrid w:val="0"/>
      <w:jc w:val="center"/>
    </w:pPr>
    <w:rPr>
      <w:rFonts w:hAnsi="Arial" w:eastAsia="黑体"/>
      <w:b/>
      <w:kern w:val="0"/>
      <w:sz w:val="18"/>
      <w:szCs w:val="20"/>
    </w:rPr>
  </w:style>
  <w:style w:type="paragraph" w:styleId="69">
    <w:name w:val="toc 6"/>
    <w:basedOn w:val="1"/>
    <w:next w:val="1"/>
    <w:qFormat/>
    <w:uiPriority w:val="39"/>
    <w:pPr>
      <w:ind w:left="840"/>
      <w:jc w:val="left"/>
    </w:pPr>
    <w:rPr>
      <w:rFonts w:hAnsi="Arial" w:eastAsia="黑体"/>
      <w:b/>
      <w:kern w:val="0"/>
      <w:sz w:val="20"/>
      <w:szCs w:val="20"/>
    </w:rPr>
  </w:style>
  <w:style w:type="paragraph" w:styleId="70">
    <w:name w:val="List 5"/>
    <w:basedOn w:val="1"/>
    <w:unhideWhenUsed/>
    <w:qFormat/>
    <w:uiPriority w:val="0"/>
    <w:pPr>
      <w:ind w:left="2100" w:hanging="420"/>
    </w:pPr>
    <w:rPr>
      <w:rFonts w:eastAsia="楷体_GB2312"/>
      <w:sz w:val="32"/>
      <w:szCs w:val="20"/>
    </w:rPr>
  </w:style>
  <w:style w:type="paragraph" w:styleId="71">
    <w:name w:val="Body Text Indent 3"/>
    <w:basedOn w:val="1"/>
    <w:link w:val="267"/>
    <w:unhideWhenUsed/>
    <w:qFormat/>
    <w:uiPriority w:val="0"/>
    <w:pPr>
      <w:ind w:firstLine="540" w:firstLineChars="225"/>
    </w:pPr>
    <w:rPr>
      <w:kern w:val="0"/>
      <w:sz w:val="24"/>
      <w:szCs w:val="20"/>
    </w:rPr>
  </w:style>
  <w:style w:type="paragraph" w:styleId="72">
    <w:name w:val="index 7"/>
    <w:basedOn w:val="1"/>
    <w:next w:val="1"/>
    <w:qFormat/>
    <w:uiPriority w:val="0"/>
    <w:pPr>
      <w:ind w:left="1200" w:leftChars="1200"/>
      <w:jc w:val="center"/>
    </w:pPr>
    <w:rPr>
      <w:rFonts w:hAnsi="Arial" w:eastAsia="黑体"/>
      <w:b/>
      <w:kern w:val="0"/>
      <w:sz w:val="28"/>
      <w:szCs w:val="28"/>
    </w:rPr>
  </w:style>
  <w:style w:type="paragraph" w:styleId="73">
    <w:name w:val="index 9"/>
    <w:basedOn w:val="1"/>
    <w:next w:val="1"/>
    <w:qFormat/>
    <w:uiPriority w:val="0"/>
    <w:pPr>
      <w:ind w:left="1600" w:leftChars="1600"/>
      <w:jc w:val="center"/>
    </w:pPr>
    <w:rPr>
      <w:rFonts w:hAnsi="Arial" w:eastAsia="黑体"/>
      <w:b/>
      <w:kern w:val="0"/>
      <w:sz w:val="28"/>
      <w:szCs w:val="28"/>
    </w:rPr>
  </w:style>
  <w:style w:type="paragraph" w:styleId="74">
    <w:name w:val="table of figures"/>
    <w:basedOn w:val="1"/>
    <w:next w:val="1"/>
    <w:qFormat/>
    <w:uiPriority w:val="0"/>
    <w:pPr>
      <w:ind w:left="400" w:leftChars="200" w:hanging="200" w:hangingChars="200"/>
      <w:jc w:val="center"/>
    </w:pPr>
    <w:rPr>
      <w:rFonts w:hAnsi="Arial" w:eastAsia="黑体"/>
      <w:b/>
      <w:kern w:val="0"/>
      <w:sz w:val="28"/>
      <w:szCs w:val="28"/>
    </w:rPr>
  </w:style>
  <w:style w:type="paragraph" w:styleId="75">
    <w:name w:val="toc 2"/>
    <w:basedOn w:val="1"/>
    <w:next w:val="1"/>
    <w:unhideWhenUsed/>
    <w:qFormat/>
    <w:uiPriority w:val="0"/>
    <w:pPr>
      <w:ind w:left="210"/>
      <w:jc w:val="left"/>
    </w:pPr>
    <w:rPr>
      <w:smallCaps/>
      <w:szCs w:val="20"/>
    </w:rPr>
  </w:style>
  <w:style w:type="paragraph" w:styleId="76">
    <w:name w:val="toc 9"/>
    <w:basedOn w:val="1"/>
    <w:next w:val="1"/>
    <w:qFormat/>
    <w:uiPriority w:val="39"/>
    <w:pPr>
      <w:ind w:left="1470"/>
      <w:jc w:val="left"/>
    </w:pPr>
    <w:rPr>
      <w:rFonts w:hAnsi="Arial" w:eastAsia="黑体"/>
      <w:b/>
      <w:kern w:val="0"/>
      <w:sz w:val="20"/>
      <w:szCs w:val="20"/>
    </w:rPr>
  </w:style>
  <w:style w:type="paragraph" w:styleId="77">
    <w:name w:val="Body Text 2"/>
    <w:basedOn w:val="1"/>
    <w:link w:val="239"/>
    <w:unhideWhenUsed/>
    <w:qFormat/>
    <w:uiPriority w:val="0"/>
    <w:pPr>
      <w:spacing w:line="360" w:lineRule="auto"/>
    </w:pPr>
    <w:rPr>
      <w:kern w:val="0"/>
      <w:sz w:val="24"/>
      <w:szCs w:val="20"/>
    </w:rPr>
  </w:style>
  <w:style w:type="paragraph" w:styleId="78">
    <w:name w:val="List 4"/>
    <w:basedOn w:val="1"/>
    <w:unhideWhenUsed/>
    <w:qFormat/>
    <w:uiPriority w:val="0"/>
    <w:pPr>
      <w:ind w:left="1680" w:hanging="420"/>
    </w:pPr>
    <w:rPr>
      <w:rFonts w:eastAsia="楷体_GB2312"/>
      <w:sz w:val="32"/>
      <w:szCs w:val="20"/>
    </w:rPr>
  </w:style>
  <w:style w:type="paragraph" w:styleId="79">
    <w:name w:val="List Continue 2"/>
    <w:basedOn w:val="1"/>
    <w:qFormat/>
    <w:uiPriority w:val="0"/>
    <w:pPr>
      <w:spacing w:after="120"/>
      <w:ind w:left="400" w:leftChars="400"/>
      <w:jc w:val="center"/>
    </w:pPr>
    <w:rPr>
      <w:rFonts w:hAnsi="Arial" w:eastAsia="黑体"/>
      <w:b/>
      <w:kern w:val="0"/>
      <w:sz w:val="28"/>
      <w:szCs w:val="28"/>
    </w:rPr>
  </w:style>
  <w:style w:type="paragraph" w:styleId="80">
    <w:name w:val="Message Header"/>
    <w:basedOn w:val="1"/>
    <w:link w:val="202"/>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center"/>
    </w:pPr>
    <w:rPr>
      <w:rFonts w:ascii="Arial" w:hAnsi="Arial" w:eastAsia="黑体"/>
      <w:b/>
      <w:kern w:val="0"/>
      <w:sz w:val="24"/>
      <w:szCs w:val="28"/>
    </w:rPr>
  </w:style>
  <w:style w:type="paragraph" w:styleId="81">
    <w:name w:val="HTML Preformatted"/>
    <w:basedOn w:val="1"/>
    <w:link w:val="25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styleId="82">
    <w:name w:val="Normal (Web)"/>
    <w:basedOn w:val="1"/>
    <w:unhideWhenUsed/>
    <w:qFormat/>
    <w:uiPriority w:val="0"/>
    <w:pPr>
      <w:widowControl/>
      <w:spacing w:before="100" w:beforeAutospacing="1" w:after="100" w:afterAutospacing="1"/>
      <w:jc w:val="left"/>
    </w:pPr>
    <w:rPr>
      <w:rFonts w:ascii="宋体" w:hAnsi="宋体"/>
      <w:kern w:val="0"/>
      <w:sz w:val="24"/>
      <w:szCs w:val="20"/>
    </w:rPr>
  </w:style>
  <w:style w:type="paragraph" w:styleId="83">
    <w:name w:val="List Continue 3"/>
    <w:basedOn w:val="1"/>
    <w:qFormat/>
    <w:uiPriority w:val="0"/>
    <w:pPr>
      <w:spacing w:after="120"/>
      <w:ind w:left="600" w:leftChars="600"/>
      <w:jc w:val="center"/>
    </w:pPr>
    <w:rPr>
      <w:rFonts w:hAnsi="Arial" w:eastAsia="黑体"/>
      <w:b/>
      <w:kern w:val="0"/>
      <w:sz w:val="28"/>
      <w:szCs w:val="28"/>
    </w:rPr>
  </w:style>
  <w:style w:type="paragraph" w:styleId="84">
    <w:name w:val="index 2"/>
    <w:basedOn w:val="1"/>
    <w:next w:val="1"/>
    <w:qFormat/>
    <w:uiPriority w:val="0"/>
    <w:pPr>
      <w:widowControl/>
      <w:tabs>
        <w:tab w:val="left" w:leader="dot" w:pos="9000"/>
        <w:tab w:val="right" w:pos="9360"/>
      </w:tabs>
      <w:suppressAutoHyphens/>
      <w:ind w:left="1440" w:right="720" w:hanging="720"/>
      <w:jc w:val="center"/>
    </w:pPr>
    <w:rPr>
      <w:rFonts w:ascii="Courier New" w:hAnsi="Courier New" w:eastAsia="黑体"/>
      <w:b/>
      <w:kern w:val="0"/>
      <w:sz w:val="20"/>
      <w:szCs w:val="28"/>
    </w:rPr>
  </w:style>
  <w:style w:type="paragraph" w:styleId="85">
    <w:name w:val="Title"/>
    <w:basedOn w:val="1"/>
    <w:link w:val="282"/>
    <w:qFormat/>
    <w:uiPriority w:val="10"/>
    <w:pPr>
      <w:spacing w:before="240" w:after="60"/>
      <w:jc w:val="center"/>
      <w:outlineLvl w:val="0"/>
    </w:pPr>
    <w:rPr>
      <w:rFonts w:ascii="Cambria" w:hAnsi="Cambria"/>
      <w:b/>
      <w:bCs/>
      <w:sz w:val="32"/>
      <w:szCs w:val="32"/>
    </w:rPr>
  </w:style>
  <w:style w:type="paragraph" w:styleId="86">
    <w:name w:val="annotation subject"/>
    <w:basedOn w:val="30"/>
    <w:next w:val="30"/>
    <w:link w:val="216"/>
    <w:unhideWhenUsed/>
    <w:qFormat/>
    <w:uiPriority w:val="99"/>
    <w:rPr>
      <w:b/>
      <w:bCs/>
    </w:rPr>
  </w:style>
  <w:style w:type="paragraph" w:styleId="87">
    <w:name w:val="Body Text First Indent 2"/>
    <w:basedOn w:val="36"/>
    <w:next w:val="1"/>
    <w:link w:val="204"/>
    <w:unhideWhenUsed/>
    <w:qFormat/>
    <w:uiPriority w:val="0"/>
    <w:pPr>
      <w:adjustRightInd/>
      <w:spacing w:after="120"/>
      <w:ind w:left="420" w:leftChars="200" w:firstLine="420" w:firstLineChars="200"/>
      <w:jc w:val="both"/>
    </w:pPr>
    <w:rPr>
      <w:rFonts w:ascii="Times New Roman" w:eastAsia="宋体"/>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spacing w:before="60" w:after="60"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93">
    <w:name w:val="Strong"/>
    <w:qFormat/>
    <w:uiPriority w:val="0"/>
    <w:rPr>
      <w:b/>
      <w:bCs/>
    </w:rPr>
  </w:style>
  <w:style w:type="character" w:styleId="94">
    <w:name w:val="page number"/>
    <w:basedOn w:val="92"/>
    <w:qFormat/>
    <w:uiPriority w:val="0"/>
  </w:style>
  <w:style w:type="character" w:styleId="95">
    <w:name w:val="FollowedHyperlink"/>
    <w:basedOn w:val="92"/>
    <w:unhideWhenUsed/>
    <w:qFormat/>
    <w:uiPriority w:val="0"/>
    <w:rPr>
      <w:color w:val="333333"/>
      <w:u w:val="none"/>
    </w:rPr>
  </w:style>
  <w:style w:type="character" w:styleId="96">
    <w:name w:val="Emphasis"/>
    <w:qFormat/>
    <w:uiPriority w:val="20"/>
    <w:rPr>
      <w:rFonts w:ascii="宋体" w:hAnsi="宋体" w:eastAsia="宋体"/>
      <w:b/>
      <w:iCs/>
      <w:color w:val="auto"/>
      <w:sz w:val="24"/>
      <w:u w:val="single"/>
    </w:rPr>
  </w:style>
  <w:style w:type="character" w:styleId="97">
    <w:name w:val="HTML Typewriter"/>
    <w:qFormat/>
    <w:uiPriority w:val="0"/>
    <w:rPr>
      <w:rFonts w:hint="eastAsia" w:ascii="宋体" w:hAnsi="宋体" w:eastAsia="宋体" w:cs="宋体"/>
      <w:sz w:val="18"/>
      <w:szCs w:val="18"/>
    </w:rPr>
  </w:style>
  <w:style w:type="character" w:styleId="98">
    <w:name w:val="Hyperlink"/>
    <w:basedOn w:val="92"/>
    <w:unhideWhenUsed/>
    <w:qFormat/>
    <w:uiPriority w:val="0"/>
    <w:rPr>
      <w:color w:val="333333"/>
      <w:u w:val="none"/>
    </w:rPr>
  </w:style>
  <w:style w:type="character" w:styleId="99">
    <w:name w:val="annotation reference"/>
    <w:unhideWhenUsed/>
    <w:qFormat/>
    <w:uiPriority w:val="0"/>
    <w:rPr>
      <w:sz w:val="21"/>
      <w:szCs w:val="21"/>
    </w:rPr>
  </w:style>
  <w:style w:type="character" w:styleId="100">
    <w:name w:val="footnote reference"/>
    <w:qFormat/>
    <w:uiPriority w:val="0"/>
  </w:style>
  <w:style w:type="character" w:customStyle="1" w:styleId="101">
    <w:name w:val="GW-标题1 Char"/>
    <w:link w:val="102"/>
    <w:qFormat/>
    <w:uiPriority w:val="0"/>
    <w:rPr>
      <w:rFonts w:ascii="宋体" w:hAnsi="宋体" w:eastAsia="宋体" w:cs="Times New Roman"/>
      <w:b/>
      <w:color w:val="0D0D0D"/>
      <w:kern w:val="2"/>
      <w:sz w:val="52"/>
      <w:szCs w:val="52"/>
    </w:rPr>
  </w:style>
  <w:style w:type="paragraph" w:customStyle="1" w:styleId="102">
    <w:name w:val="GW-标题1"/>
    <w:basedOn w:val="5"/>
    <w:next w:val="1"/>
    <w:link w:val="101"/>
    <w:qFormat/>
    <w:uiPriority w:val="0"/>
    <w:pPr>
      <w:widowControl/>
      <w:adjustRightInd w:val="0"/>
      <w:snapToGrid w:val="0"/>
      <w:spacing w:before="100" w:beforeAutospacing="1" w:after="0" w:line="360" w:lineRule="auto"/>
      <w:jc w:val="left"/>
    </w:pPr>
    <w:rPr>
      <w:rFonts w:ascii="宋体" w:hAnsi="宋体" w:eastAsia="宋体"/>
      <w:color w:val="0D0D0D"/>
      <w:kern w:val="2"/>
      <w:sz w:val="52"/>
      <w:szCs w:val="52"/>
    </w:rPr>
  </w:style>
  <w:style w:type="character" w:customStyle="1" w:styleId="103">
    <w:name w:val="样式 标题 1 + 居中 Char"/>
    <w:link w:val="104"/>
    <w:qFormat/>
    <w:locked/>
    <w:uiPriority w:val="0"/>
    <w:rPr>
      <w:rFonts w:ascii="黑体" w:hAnsi="黑体" w:eastAsia="黑体" w:cs="宋体"/>
      <w:b/>
      <w:bCs/>
      <w:kern w:val="44"/>
      <w:sz w:val="28"/>
      <w:szCs w:val="44"/>
    </w:rPr>
  </w:style>
  <w:style w:type="paragraph" w:customStyle="1" w:styleId="104">
    <w:name w:val="样式 标题 1 + 居中"/>
    <w:basedOn w:val="5"/>
    <w:link w:val="103"/>
    <w:qFormat/>
    <w:uiPriority w:val="0"/>
    <w:pPr>
      <w:tabs>
        <w:tab w:val="left" w:pos="360"/>
        <w:tab w:val="left" w:pos="567"/>
      </w:tabs>
      <w:ind w:left="360" w:hanging="360"/>
    </w:pPr>
    <w:rPr>
      <w:rFonts w:ascii="黑体" w:hAnsi="黑体" w:eastAsia="黑体"/>
      <w:bCs/>
      <w:sz w:val="28"/>
      <w:szCs w:val="44"/>
    </w:rPr>
  </w:style>
  <w:style w:type="character" w:customStyle="1" w:styleId="105">
    <w:name w:val="title1"/>
    <w:qFormat/>
    <w:uiPriority w:val="0"/>
    <w:rPr>
      <w:rFonts w:hint="default" w:ascii="Arial" w:hAnsi="Arial" w:cs="Arial"/>
      <w:color w:val="000000"/>
      <w:sz w:val="28"/>
      <w:szCs w:val="28"/>
    </w:rPr>
  </w:style>
  <w:style w:type="character" w:customStyle="1" w:styleId="106">
    <w:name w:val="标题 3 字符1"/>
    <w:qFormat/>
    <w:uiPriority w:val="0"/>
    <w:rPr>
      <w:rFonts w:hAnsi="Arial" w:eastAsia="黑体"/>
      <w:bCs/>
      <w:sz w:val="32"/>
      <w:szCs w:val="32"/>
    </w:rPr>
  </w:style>
  <w:style w:type="character" w:customStyle="1" w:styleId="107">
    <w:name w:val="签名 字符1"/>
    <w:qFormat/>
    <w:uiPriority w:val="0"/>
    <w:rPr>
      <w:rFonts w:hAnsi="Arial" w:eastAsia="黑体"/>
      <w:b/>
      <w:sz w:val="28"/>
      <w:szCs w:val="28"/>
    </w:rPr>
  </w:style>
  <w:style w:type="character" w:customStyle="1" w:styleId="108">
    <w:name w:val="font41"/>
    <w:qFormat/>
    <w:uiPriority w:val="0"/>
    <w:rPr>
      <w:rFonts w:ascii="Calibri" w:hAnsi="Calibri" w:cs="Calibri"/>
      <w:color w:val="000000"/>
      <w:sz w:val="20"/>
      <w:szCs w:val="20"/>
      <w:u w:val="none"/>
    </w:rPr>
  </w:style>
  <w:style w:type="character" w:customStyle="1" w:styleId="109">
    <w:name w:val="huei12b1"/>
    <w:qFormat/>
    <w:uiPriority w:val="0"/>
    <w:rPr>
      <w:b/>
      <w:bCs/>
      <w:color w:val="333333"/>
      <w:sz w:val="18"/>
      <w:szCs w:val="18"/>
    </w:rPr>
  </w:style>
  <w:style w:type="character" w:customStyle="1" w:styleId="110">
    <w:name w:val="纯文本 Char1"/>
    <w:qFormat/>
    <w:locked/>
    <w:uiPriority w:val="0"/>
    <w:rPr>
      <w:rFonts w:ascii="宋体" w:hAnsi="Courier New" w:cs="Courier New"/>
      <w:kern w:val="2"/>
      <w:sz w:val="21"/>
      <w:szCs w:val="21"/>
    </w:rPr>
  </w:style>
  <w:style w:type="character" w:customStyle="1" w:styleId="111">
    <w:name w:val="_Equation Caption"/>
    <w:qFormat/>
    <w:uiPriority w:val="0"/>
  </w:style>
  <w:style w:type="character" w:customStyle="1" w:styleId="112">
    <w:name w:val="标题 1 Char"/>
    <w:qFormat/>
    <w:uiPriority w:val="0"/>
    <w:rPr>
      <w:rFonts w:ascii="Times New Roman" w:hAnsi="Times New Roman" w:eastAsia="楷体_GB2312" w:cs="Times New Roman"/>
      <w:b/>
      <w:kern w:val="44"/>
      <w:sz w:val="44"/>
      <w:szCs w:val="20"/>
    </w:rPr>
  </w:style>
  <w:style w:type="character" w:customStyle="1" w:styleId="113">
    <w:name w:val="标题 5 Char"/>
    <w:link w:val="10"/>
    <w:qFormat/>
    <w:uiPriority w:val="9"/>
    <w:rPr>
      <w:rFonts w:ascii="Arial" w:hAnsi="Arial" w:eastAsia="宋体" w:cs="Times New Roman"/>
      <w:b/>
      <w:sz w:val="28"/>
      <w:szCs w:val="20"/>
    </w:rPr>
  </w:style>
  <w:style w:type="character" w:customStyle="1" w:styleId="114">
    <w:name w:val="标题 4 Char1"/>
    <w:semiHidden/>
    <w:qFormat/>
    <w:uiPriority w:val="0"/>
    <w:rPr>
      <w:rFonts w:ascii="Cambria" w:hAnsi="Cambria" w:eastAsia="宋体" w:cs="Times New Roman"/>
      <w:b/>
      <w:bCs/>
      <w:kern w:val="2"/>
      <w:sz w:val="28"/>
      <w:szCs w:val="28"/>
    </w:rPr>
  </w:style>
  <w:style w:type="character" w:customStyle="1" w:styleId="115">
    <w:name w:val="Char Char1"/>
    <w:qFormat/>
    <w:uiPriority w:val="0"/>
    <w:rPr>
      <w:rFonts w:ascii="Cambria" w:hAnsi="Cambria"/>
      <w:b/>
      <w:bCs/>
      <w:kern w:val="2"/>
      <w:sz w:val="32"/>
      <w:szCs w:val="32"/>
    </w:rPr>
  </w:style>
  <w:style w:type="character" w:customStyle="1" w:styleId="116">
    <w:name w:val="GW-正文 Char Char"/>
    <w:qFormat/>
    <w:uiPriority w:val="0"/>
    <w:rPr>
      <w:rFonts w:ascii="宋体" w:hAnsi="宋体"/>
      <w:sz w:val="24"/>
    </w:rPr>
  </w:style>
  <w:style w:type="character" w:customStyle="1" w:styleId="117">
    <w:name w:val="脚注文本 字符1"/>
    <w:qFormat/>
    <w:uiPriority w:val="0"/>
    <w:rPr>
      <w:rFonts w:hAnsi="Arial" w:eastAsia="黑体"/>
      <w:b/>
      <w:sz w:val="18"/>
    </w:rPr>
  </w:style>
  <w:style w:type="character" w:customStyle="1" w:styleId="118">
    <w:name w:val="无 A"/>
    <w:qFormat/>
    <w:uiPriority w:val="0"/>
  </w:style>
  <w:style w:type="character" w:customStyle="1" w:styleId="119">
    <w:name w:val="正文文本 字符1"/>
    <w:qFormat/>
    <w:uiPriority w:val="0"/>
    <w:rPr>
      <w:kern w:val="2"/>
      <w:sz w:val="21"/>
      <w:szCs w:val="24"/>
    </w:rPr>
  </w:style>
  <w:style w:type="character" w:customStyle="1" w:styleId="120">
    <w:name w:val="标题 6 字符1"/>
    <w:qFormat/>
    <w:uiPriority w:val="0"/>
    <w:rPr>
      <w:rFonts w:ascii="Arial" w:hAnsi="Arial" w:eastAsia="黑体"/>
      <w:bCs/>
      <w:sz w:val="24"/>
      <w:szCs w:val="28"/>
    </w:rPr>
  </w:style>
  <w:style w:type="character" w:customStyle="1" w:styleId="121">
    <w:name w:val="标题2 Char Char"/>
    <w:qFormat/>
    <w:uiPriority w:val="0"/>
    <w:rPr>
      <w:rFonts w:ascii="Arial" w:hAnsi="Arial" w:eastAsia="宋体"/>
      <w:b/>
      <w:sz w:val="24"/>
      <w:lang w:val="en-US" w:eastAsia="zh-CN"/>
    </w:rPr>
  </w:style>
  <w:style w:type="character" w:customStyle="1" w:styleId="122">
    <w:name w:val="HTML 预设格式 字符"/>
    <w:semiHidden/>
    <w:qFormat/>
    <w:uiPriority w:val="99"/>
    <w:rPr>
      <w:rFonts w:ascii="Courier New" w:hAnsi="Courier New" w:cs="Courier New"/>
      <w:kern w:val="2"/>
    </w:rPr>
  </w:style>
  <w:style w:type="character" w:customStyle="1" w:styleId="123">
    <w:name w:val="正文文本缩进 字符1"/>
    <w:qFormat/>
    <w:uiPriority w:val="0"/>
    <w:rPr>
      <w:rFonts w:ascii="宋体" w:hAnsi="Arial" w:eastAsia="黑体"/>
      <w:b/>
      <w:sz w:val="28"/>
      <w:szCs w:val="28"/>
    </w:rPr>
  </w:style>
  <w:style w:type="character" w:customStyle="1" w:styleId="124">
    <w:name w:val="HTML 地址 Char1"/>
    <w:semiHidden/>
    <w:qFormat/>
    <w:uiPriority w:val="99"/>
    <w:rPr>
      <w:i/>
      <w:iCs/>
      <w:kern w:val="2"/>
      <w:sz w:val="21"/>
      <w:szCs w:val="22"/>
    </w:rPr>
  </w:style>
  <w:style w:type="character" w:customStyle="1" w:styleId="125">
    <w:name w:val="ALT+Z Char"/>
    <w:qFormat/>
    <w:uiPriority w:val="0"/>
    <w:rPr>
      <w:rFonts w:eastAsia="宋体"/>
      <w:kern w:val="2"/>
      <w:sz w:val="21"/>
      <w:szCs w:val="24"/>
      <w:lang w:val="en-US" w:eastAsia="zh-CN" w:bidi="ar-SA"/>
    </w:rPr>
  </w:style>
  <w:style w:type="character" w:customStyle="1" w:styleId="126">
    <w:name w:val="正文文本 3 字符1"/>
    <w:qFormat/>
    <w:uiPriority w:val="0"/>
    <w:rPr>
      <w:rFonts w:ascii="Arial" w:hAnsi="Arial" w:eastAsia="黑体"/>
      <w:b/>
      <w:bCs/>
      <w:sz w:val="18"/>
      <w:szCs w:val="28"/>
    </w:rPr>
  </w:style>
  <w:style w:type="character" w:customStyle="1" w:styleId="127">
    <w:name w:val="列表段落 字符"/>
    <w:link w:val="128"/>
    <w:qFormat/>
    <w:uiPriority w:val="34"/>
    <w:rPr>
      <w:rFonts w:ascii="宋体" w:hAnsi="宋体"/>
      <w:kern w:val="2"/>
      <w:sz w:val="24"/>
    </w:rPr>
  </w:style>
  <w:style w:type="paragraph" w:customStyle="1" w:styleId="128">
    <w:name w:val="_Style 444"/>
    <w:basedOn w:val="1"/>
    <w:next w:val="129"/>
    <w:link w:val="127"/>
    <w:qFormat/>
    <w:uiPriority w:val="34"/>
    <w:pPr>
      <w:spacing w:line="360" w:lineRule="auto"/>
      <w:ind w:firstLine="420" w:firstLineChars="200"/>
    </w:pPr>
    <w:rPr>
      <w:rFonts w:ascii="宋体" w:hAnsi="宋体"/>
      <w:sz w:val="24"/>
      <w:szCs w:val="20"/>
    </w:rPr>
  </w:style>
  <w:style w:type="paragraph" w:styleId="129">
    <w:name w:val="List Paragraph"/>
    <w:basedOn w:val="1"/>
    <w:link w:val="289"/>
    <w:qFormat/>
    <w:uiPriority w:val="34"/>
    <w:pPr>
      <w:ind w:firstLine="420" w:firstLineChars="200"/>
    </w:pPr>
    <w:rPr>
      <w:kern w:val="0"/>
      <w:sz w:val="20"/>
      <w:szCs w:val="20"/>
    </w:rPr>
  </w:style>
  <w:style w:type="character" w:customStyle="1" w:styleId="130">
    <w:name w:val="p91"/>
    <w:basedOn w:val="92"/>
    <w:qFormat/>
    <w:uiPriority w:val="0"/>
  </w:style>
  <w:style w:type="character" w:customStyle="1" w:styleId="131">
    <w:name w:val="正文首行缩进 2 字符"/>
    <w:semiHidden/>
    <w:qFormat/>
    <w:uiPriority w:val="99"/>
  </w:style>
  <w:style w:type="character" w:customStyle="1" w:styleId="132">
    <w:name w:val="p11"/>
    <w:qFormat/>
    <w:uiPriority w:val="0"/>
    <w:rPr>
      <w:sz w:val="18"/>
      <w:szCs w:val="18"/>
    </w:rPr>
  </w:style>
  <w:style w:type="character" w:customStyle="1" w:styleId="133">
    <w:name w:val="签名 Char"/>
    <w:link w:val="59"/>
    <w:qFormat/>
    <w:uiPriority w:val="0"/>
    <w:rPr>
      <w:rFonts w:hAnsi="Arial" w:eastAsia="黑体"/>
      <w:b/>
      <w:sz w:val="28"/>
      <w:szCs w:val="28"/>
    </w:rPr>
  </w:style>
  <w:style w:type="character" w:customStyle="1" w:styleId="134">
    <w:name w:val="正文不 Char"/>
    <w:qFormat/>
    <w:uiPriority w:val="0"/>
    <w:rPr>
      <w:rFonts w:eastAsia="宋体"/>
      <w:kern w:val="2"/>
      <w:sz w:val="21"/>
      <w:szCs w:val="24"/>
      <w:lang w:val="en-US" w:eastAsia="zh-CN" w:bidi="ar-SA"/>
    </w:rPr>
  </w:style>
  <w:style w:type="character" w:customStyle="1" w:styleId="135">
    <w:name w:val="信息标题 字符1"/>
    <w:qFormat/>
    <w:uiPriority w:val="0"/>
    <w:rPr>
      <w:rFonts w:ascii="Arial" w:hAnsi="Arial" w:eastAsia="黑体" w:cs="Arial"/>
      <w:b/>
      <w:sz w:val="24"/>
      <w:szCs w:val="28"/>
      <w:shd w:val="pct20" w:color="auto" w:fill="auto"/>
    </w:rPr>
  </w:style>
  <w:style w:type="character" w:customStyle="1" w:styleId="136">
    <w:name w:val="标题 2 Char2"/>
    <w:link w:val="6"/>
    <w:qFormat/>
    <w:uiPriority w:val="0"/>
    <w:rPr>
      <w:rFonts w:ascii="Arial" w:hAnsi="Arial" w:eastAsia="黑体"/>
      <w:b/>
      <w:sz w:val="32"/>
    </w:rPr>
  </w:style>
  <w:style w:type="character" w:customStyle="1" w:styleId="137">
    <w:name w:val="样式4 Char Char"/>
    <w:qFormat/>
    <w:uiPriority w:val="0"/>
    <w:rPr>
      <w:rFonts w:ascii="宋体" w:eastAsia="宋体"/>
      <w:b/>
      <w:kern w:val="2"/>
      <w:sz w:val="28"/>
      <w:szCs w:val="28"/>
      <w:lang w:val="en-US" w:eastAsia="zh-CN"/>
    </w:rPr>
  </w:style>
  <w:style w:type="character" w:customStyle="1" w:styleId="138">
    <w:name w:val="标题 6 Char"/>
    <w:link w:val="11"/>
    <w:qFormat/>
    <w:uiPriority w:val="9"/>
    <w:rPr>
      <w:rFonts w:ascii="宋体" w:hAnsi="宋体" w:eastAsia="宋体" w:cs="宋体"/>
      <w:b/>
      <w:sz w:val="24"/>
      <w:szCs w:val="20"/>
    </w:rPr>
  </w:style>
  <w:style w:type="character" w:customStyle="1" w:styleId="139">
    <w:name w:val="标题 8 字符"/>
    <w:semiHidden/>
    <w:qFormat/>
    <w:uiPriority w:val="9"/>
    <w:rPr>
      <w:rFonts w:ascii="等线 Light" w:hAnsi="等线 Light" w:eastAsia="等线 Light" w:cs="Times New Roman"/>
      <w:kern w:val="2"/>
      <w:sz w:val="24"/>
      <w:szCs w:val="24"/>
    </w:rPr>
  </w:style>
  <w:style w:type="character" w:customStyle="1" w:styleId="140">
    <w:name w:val="普通文字 Char Char"/>
    <w:qFormat/>
    <w:uiPriority w:val="0"/>
    <w:rPr>
      <w:rFonts w:hint="eastAsia" w:ascii="宋体" w:hAnsi="Courier New" w:eastAsia="宋体"/>
      <w:kern w:val="2"/>
      <w:sz w:val="21"/>
      <w:lang w:val="en-US" w:eastAsia="zh-CN"/>
    </w:rPr>
  </w:style>
  <w:style w:type="character" w:customStyle="1" w:styleId="141">
    <w:name w:val="正文文本缩进 3 字符1"/>
    <w:qFormat/>
    <w:uiPriority w:val="0"/>
    <w:rPr>
      <w:rFonts w:ascii="Arial" w:hAnsi="Arial" w:eastAsia="楷体_GB2312"/>
      <w:b/>
      <w:sz w:val="28"/>
      <w:szCs w:val="28"/>
    </w:rPr>
  </w:style>
  <w:style w:type="character" w:customStyle="1" w:styleId="142">
    <w:name w:val="纯文本 字符1"/>
    <w:qFormat/>
    <w:uiPriority w:val="0"/>
    <w:rPr>
      <w:rFonts w:ascii="宋体"/>
      <w:kern w:val="2"/>
      <w:sz w:val="21"/>
    </w:rPr>
  </w:style>
  <w:style w:type="character" w:customStyle="1" w:styleId="143">
    <w:name w:val="页脚 Char2"/>
    <w:link w:val="56"/>
    <w:qFormat/>
    <w:uiPriority w:val="0"/>
    <w:rPr>
      <w:rFonts w:ascii="Times New Roman" w:hAnsi="Times New Roman" w:eastAsia="宋体" w:cs="Times New Roman"/>
      <w:sz w:val="18"/>
      <w:szCs w:val="18"/>
    </w:rPr>
  </w:style>
  <w:style w:type="character" w:customStyle="1" w:styleId="144">
    <w:name w:val="bodysubtitle1"/>
    <w:qFormat/>
    <w:uiPriority w:val="0"/>
    <w:rPr>
      <w:rFonts w:hint="default" w:ascii="Arial" w:hAnsi="Arial" w:cs="Arial"/>
      <w:b/>
      <w:bCs/>
      <w:color w:val="000000"/>
      <w:sz w:val="22"/>
      <w:szCs w:val="22"/>
    </w:rPr>
  </w:style>
  <w:style w:type="character" w:customStyle="1" w:styleId="145">
    <w:name w:val="font21"/>
    <w:qFormat/>
    <w:uiPriority w:val="0"/>
    <w:rPr>
      <w:rFonts w:hint="eastAsia" w:ascii="宋体" w:hAnsi="宋体" w:eastAsia="宋体" w:cs="宋体"/>
      <w:color w:val="000000"/>
      <w:sz w:val="24"/>
      <w:szCs w:val="24"/>
      <w:u w:val="none"/>
    </w:rPr>
  </w:style>
  <w:style w:type="character" w:customStyle="1" w:styleId="146">
    <w:name w:val="结束语 字符1"/>
    <w:uiPriority w:val="0"/>
    <w:rPr>
      <w:rFonts w:hAnsi="Arial" w:eastAsia="黑体"/>
      <w:b/>
      <w:sz w:val="28"/>
      <w:szCs w:val="28"/>
    </w:rPr>
  </w:style>
  <w:style w:type="character" w:customStyle="1" w:styleId="147">
    <w:name w:val="HH5 Char"/>
    <w:link w:val="148"/>
    <w:locked/>
    <w:uiPriority w:val="0"/>
    <w:rPr>
      <w:rFonts w:ascii="宋体" w:hAnsi="宋体" w:eastAsia="宋体"/>
      <w:b/>
      <w:bCs/>
      <w:sz w:val="24"/>
      <w:lang w:bidi="en-US"/>
    </w:rPr>
  </w:style>
  <w:style w:type="paragraph" w:customStyle="1" w:styleId="148">
    <w:name w:val="HH5"/>
    <w:basedOn w:val="7"/>
    <w:link w:val="147"/>
    <w:qFormat/>
    <w:uiPriority w:val="0"/>
    <w:pPr>
      <w:widowControl/>
      <w:spacing w:line="276" w:lineRule="auto"/>
      <w:ind w:firstLine="140" w:firstLineChars="58"/>
      <w:jc w:val="left"/>
    </w:pPr>
    <w:rPr>
      <w:rFonts w:ascii="宋体" w:hAnsi="宋体"/>
      <w:bCs/>
      <w:sz w:val="24"/>
      <w:lang w:bidi="en-US"/>
    </w:rPr>
  </w:style>
  <w:style w:type="character" w:customStyle="1" w:styleId="149">
    <w:name w:val="新闻－正文 Char"/>
    <w:link w:val="150"/>
    <w:locked/>
    <w:uiPriority w:val="0"/>
    <w:rPr>
      <w:rFonts w:ascii="宋体" w:hAnsi="宋体" w:eastAsia="宋体" w:cs="宋体"/>
    </w:rPr>
  </w:style>
  <w:style w:type="paragraph" w:customStyle="1" w:styleId="150">
    <w:name w:val="新闻－正文"/>
    <w:basedOn w:val="1"/>
    <w:link w:val="149"/>
    <w:uiPriority w:val="0"/>
    <w:pPr>
      <w:spacing w:beforeLines="50"/>
      <w:ind w:firstLine="200" w:firstLineChars="200"/>
    </w:pPr>
    <w:rPr>
      <w:rFonts w:ascii="宋体" w:hAnsi="宋体"/>
      <w:kern w:val="0"/>
      <w:sz w:val="20"/>
      <w:szCs w:val="20"/>
    </w:rPr>
  </w:style>
  <w:style w:type="character" w:customStyle="1" w:styleId="151">
    <w:name w:val="文档结构图 Char"/>
    <w:link w:val="28"/>
    <w:qFormat/>
    <w:uiPriority w:val="99"/>
    <w:rPr>
      <w:rFonts w:ascii="Times New Roman" w:hAnsi="Times New Roman" w:eastAsia="宋体" w:cs="Times New Roman"/>
      <w:szCs w:val="20"/>
      <w:shd w:val="clear" w:color="auto" w:fill="000080"/>
    </w:rPr>
  </w:style>
  <w:style w:type="character" w:customStyle="1" w:styleId="152">
    <w:name w:val="批注文字 Char"/>
    <w:link w:val="30"/>
    <w:qFormat/>
    <w:uiPriority w:val="0"/>
    <w:rPr>
      <w:rFonts w:ascii="Times New Roman" w:hAnsi="Times New Roman" w:eastAsia="宋体" w:cs="Times New Roman"/>
      <w:szCs w:val="20"/>
    </w:rPr>
  </w:style>
  <w:style w:type="character" w:customStyle="1" w:styleId="153">
    <w:name w:val="样式3 Char Char"/>
    <w:uiPriority w:val="0"/>
    <w:rPr>
      <w:rFonts w:eastAsia="宋体"/>
      <w:b/>
      <w:color w:val="000000"/>
      <w:kern w:val="2"/>
      <w:sz w:val="32"/>
      <w:szCs w:val="24"/>
      <w:lang w:val="en-US" w:eastAsia="zh-CN"/>
    </w:rPr>
  </w:style>
  <w:style w:type="character" w:customStyle="1" w:styleId="154">
    <w:name w:val="脚注文本 Char1"/>
    <w:semiHidden/>
    <w:uiPriority w:val="99"/>
    <w:rPr>
      <w:kern w:val="2"/>
      <w:sz w:val="18"/>
      <w:szCs w:val="18"/>
    </w:rPr>
  </w:style>
  <w:style w:type="character" w:customStyle="1" w:styleId="155">
    <w:name w:val="标题 1 字符1"/>
    <w:uiPriority w:val="0"/>
    <w:rPr>
      <w:rFonts w:hAnsi="Arial" w:eastAsia="黑体"/>
      <w:bCs/>
      <w:kern w:val="44"/>
      <w:sz w:val="44"/>
      <w:szCs w:val="44"/>
    </w:rPr>
  </w:style>
  <w:style w:type="character" w:customStyle="1" w:styleId="156">
    <w:name w:val="日期 字符1"/>
    <w:uiPriority w:val="0"/>
    <w:rPr>
      <w:rFonts w:ascii="宋体" w:hAnsi="Arial" w:eastAsia="黑体"/>
      <w:sz w:val="32"/>
    </w:rPr>
  </w:style>
  <w:style w:type="character" w:customStyle="1" w:styleId="157">
    <w:name w:val="style15"/>
    <w:basedOn w:val="92"/>
    <w:uiPriority w:val="0"/>
  </w:style>
  <w:style w:type="character" w:customStyle="1" w:styleId="158">
    <w:name w:val="subtitle1"/>
    <w:qFormat/>
    <w:uiPriority w:val="0"/>
    <w:rPr>
      <w:rFonts w:hint="default" w:ascii="Arial" w:hAnsi="Arial" w:cs="Arial"/>
      <w:sz w:val="23"/>
      <w:szCs w:val="23"/>
    </w:rPr>
  </w:style>
  <w:style w:type="character" w:customStyle="1" w:styleId="159">
    <w:name w:val="GW-标题4 Char"/>
    <w:link w:val="160"/>
    <w:qFormat/>
    <w:uiPriority w:val="0"/>
    <w:rPr>
      <w:rFonts w:ascii="Cambria" w:hAnsi="Cambria" w:eastAsia="宋体" w:cs="Times New Roman"/>
      <w:b/>
      <w:color w:val="0D0D0D"/>
      <w:kern w:val="2"/>
      <w:sz w:val="32"/>
      <w:szCs w:val="24"/>
    </w:rPr>
  </w:style>
  <w:style w:type="paragraph" w:customStyle="1" w:styleId="160">
    <w:name w:val="GW-标题4"/>
    <w:basedOn w:val="9"/>
    <w:next w:val="1"/>
    <w:link w:val="159"/>
    <w:qFormat/>
    <w:uiPriority w:val="0"/>
    <w:pPr>
      <w:keepLines/>
      <w:widowControl/>
      <w:adjustRightInd w:val="0"/>
      <w:snapToGrid w:val="0"/>
      <w:spacing w:line="360" w:lineRule="auto"/>
      <w:jc w:val="left"/>
    </w:pPr>
    <w:rPr>
      <w:rFonts w:ascii="Cambria" w:hAnsi="Cambria"/>
      <w:b/>
      <w:color w:val="0D0D0D"/>
      <w:kern w:val="2"/>
      <w:szCs w:val="24"/>
    </w:rPr>
  </w:style>
  <w:style w:type="character" w:customStyle="1" w:styleId="161">
    <w:name w:val="正文首行缩进 字符"/>
    <w:semiHidden/>
    <w:uiPriority w:val="99"/>
  </w:style>
  <w:style w:type="character" w:customStyle="1" w:styleId="162">
    <w:name w:val="标题 8 Char"/>
    <w:link w:val="13"/>
    <w:qFormat/>
    <w:uiPriority w:val="9"/>
    <w:rPr>
      <w:rFonts w:ascii="Arial" w:hAnsi="Arial" w:eastAsia="黑体" w:cs="Times New Roman"/>
      <w:kern w:val="0"/>
      <w:sz w:val="24"/>
      <w:szCs w:val="20"/>
    </w:rPr>
  </w:style>
  <w:style w:type="character" w:customStyle="1" w:styleId="163">
    <w:name w:val="标题 5 Char1"/>
    <w:semiHidden/>
    <w:uiPriority w:val="0"/>
    <w:rPr>
      <w:b/>
      <w:bCs/>
      <w:kern w:val="2"/>
      <w:sz w:val="28"/>
      <w:szCs w:val="28"/>
    </w:rPr>
  </w:style>
  <w:style w:type="character" w:customStyle="1" w:styleId="164">
    <w:name w:val="标题 9 Char"/>
    <w:link w:val="14"/>
    <w:qFormat/>
    <w:uiPriority w:val="9"/>
    <w:rPr>
      <w:rFonts w:ascii="Arial" w:hAnsi="Arial" w:eastAsia="黑体" w:cs="Times New Roman"/>
      <w:kern w:val="0"/>
      <w:sz w:val="28"/>
      <w:szCs w:val="20"/>
    </w:rPr>
  </w:style>
  <w:style w:type="character" w:customStyle="1" w:styleId="165">
    <w:name w:val="样式 标题2 + 字距调整8 磅 Char"/>
    <w:uiPriority w:val="0"/>
    <w:rPr>
      <w:rFonts w:eastAsia="宋体"/>
      <w:kern w:val="16"/>
      <w:sz w:val="24"/>
    </w:rPr>
  </w:style>
  <w:style w:type="character" w:customStyle="1" w:styleId="166">
    <w:name w:val="font51"/>
    <w:qFormat/>
    <w:uiPriority w:val="0"/>
    <w:rPr>
      <w:rFonts w:hint="eastAsia" w:ascii="宋体" w:hAnsi="宋体" w:eastAsia="宋体" w:cs="宋体"/>
      <w:color w:val="000000"/>
      <w:sz w:val="24"/>
      <w:szCs w:val="24"/>
      <w:u w:val="none"/>
    </w:rPr>
  </w:style>
  <w:style w:type="character" w:customStyle="1" w:styleId="167">
    <w:name w:val="结束语 Char"/>
    <w:link w:val="34"/>
    <w:uiPriority w:val="0"/>
    <w:rPr>
      <w:rFonts w:hAnsi="Arial" w:eastAsia="黑体"/>
      <w:b/>
      <w:sz w:val="28"/>
      <w:szCs w:val="28"/>
    </w:rPr>
  </w:style>
  <w:style w:type="character" w:customStyle="1" w:styleId="168">
    <w:name w:val="批注框文本 Char"/>
    <w:link w:val="55"/>
    <w:qFormat/>
    <w:uiPriority w:val="99"/>
    <w:rPr>
      <w:rFonts w:ascii="Times New Roman" w:hAnsi="Times New Roman" w:eastAsia="宋体" w:cs="Times New Roman"/>
      <w:sz w:val="18"/>
      <w:szCs w:val="18"/>
    </w:rPr>
  </w:style>
  <w:style w:type="character" w:customStyle="1" w:styleId="169">
    <w:name w:val="fontblank12"/>
    <w:basedOn w:val="92"/>
    <w:uiPriority w:val="0"/>
  </w:style>
  <w:style w:type="character" w:customStyle="1" w:styleId="170">
    <w:name w:val="正文文本 Char"/>
    <w:link w:val="3"/>
    <w:qFormat/>
    <w:locked/>
    <w:uiPriority w:val="99"/>
    <w:rPr>
      <w:szCs w:val="24"/>
    </w:rPr>
  </w:style>
  <w:style w:type="character" w:customStyle="1" w:styleId="171">
    <w:name w:val="纯文本 Char2"/>
    <w:qFormat/>
    <w:locked/>
    <w:uiPriority w:val="0"/>
    <w:rPr>
      <w:rFonts w:ascii="宋体" w:hAnsi="Courier New"/>
      <w:sz w:val="21"/>
    </w:rPr>
  </w:style>
  <w:style w:type="character" w:customStyle="1" w:styleId="172">
    <w:name w:val="标题 7 Char1"/>
    <w:semiHidden/>
    <w:uiPriority w:val="0"/>
    <w:rPr>
      <w:b/>
      <w:bCs/>
      <w:kern w:val="2"/>
      <w:sz w:val="24"/>
      <w:szCs w:val="24"/>
    </w:rPr>
  </w:style>
  <w:style w:type="character" w:customStyle="1" w:styleId="173">
    <w:name w:val="normal1"/>
    <w:uiPriority w:val="0"/>
    <w:rPr>
      <w:rFonts w:hint="default" w:ascii="ˎ̥" w:hAnsi="ˎ̥"/>
      <w:sz w:val="20"/>
      <w:u w:val="none"/>
    </w:rPr>
  </w:style>
  <w:style w:type="character" w:customStyle="1" w:styleId="174">
    <w:name w:val="标题 2 字符1"/>
    <w:uiPriority w:val="0"/>
    <w:rPr>
      <w:rFonts w:ascii="Arial" w:hAnsi="Arial" w:eastAsia="黑体"/>
      <w:b/>
      <w:sz w:val="32"/>
    </w:rPr>
  </w:style>
  <w:style w:type="character" w:customStyle="1" w:styleId="175">
    <w:name w:val="上标e"/>
    <w:uiPriority w:val="0"/>
    <w:rPr>
      <w:rFonts w:ascii="宋体" w:hAnsi="Times New Roman" w:eastAsia="宋体"/>
      <w:color w:val="FF00FF"/>
      <w:kern w:val="22"/>
      <w:sz w:val="22"/>
      <w:vertAlign w:val="superscript"/>
    </w:rPr>
  </w:style>
  <w:style w:type="character" w:customStyle="1" w:styleId="176">
    <w:name w:val="尾注文本 Char1"/>
    <w:semiHidden/>
    <w:uiPriority w:val="99"/>
    <w:rPr>
      <w:kern w:val="2"/>
      <w:sz w:val="21"/>
      <w:szCs w:val="22"/>
    </w:rPr>
  </w:style>
  <w:style w:type="character" w:customStyle="1" w:styleId="177">
    <w:name w:val="列表1 Char Char"/>
    <w:link w:val="178"/>
    <w:locked/>
    <w:uiPriority w:val="0"/>
    <w:rPr>
      <w:rFonts w:ascii="Century" w:hAnsi="Century"/>
      <w:szCs w:val="21"/>
    </w:rPr>
  </w:style>
  <w:style w:type="paragraph" w:customStyle="1" w:styleId="178">
    <w:name w:val="列表1"/>
    <w:basedOn w:val="1"/>
    <w:link w:val="177"/>
    <w:uiPriority w:val="0"/>
    <w:pPr>
      <w:tabs>
        <w:tab w:val="left" w:pos="735"/>
      </w:tabs>
      <w:spacing w:line="360" w:lineRule="auto"/>
      <w:ind w:left="735" w:hanging="735"/>
      <w:jc w:val="left"/>
    </w:pPr>
    <w:rPr>
      <w:rFonts w:ascii="Century" w:hAnsi="Century"/>
      <w:kern w:val="0"/>
      <w:sz w:val="20"/>
      <w:szCs w:val="21"/>
    </w:rPr>
  </w:style>
  <w:style w:type="character" w:customStyle="1" w:styleId="179">
    <w:name w:val="HTML 预设格式 字符1"/>
    <w:uiPriority w:val="0"/>
    <w:rPr>
      <w:rFonts w:ascii="Arial Unicode MS" w:hAnsi="Arial Unicode MS" w:eastAsia="Courier New" w:cs="Courier New"/>
      <w:b/>
    </w:rPr>
  </w:style>
  <w:style w:type="character" w:customStyle="1" w:styleId="180">
    <w:name w:val="批注框文本 字符"/>
    <w:uiPriority w:val="0"/>
    <w:rPr>
      <w:kern w:val="2"/>
      <w:sz w:val="18"/>
      <w:szCs w:val="18"/>
    </w:rPr>
  </w:style>
  <w:style w:type="character" w:customStyle="1" w:styleId="181">
    <w:name w:val="批注主题 字符1"/>
    <w:uiPriority w:val="0"/>
    <w:rPr>
      <w:b/>
      <w:bCs/>
      <w:kern w:val="2"/>
      <w:sz w:val="21"/>
      <w:szCs w:val="24"/>
    </w:rPr>
  </w:style>
  <w:style w:type="character" w:customStyle="1" w:styleId="182">
    <w:name w:val="样式 样式 标题 1 + 居中 + 小四 加粗 Char"/>
    <w:link w:val="183"/>
    <w:locked/>
    <w:uiPriority w:val="0"/>
    <w:rPr>
      <w:rFonts w:ascii="黑体" w:hAnsi="黑体" w:eastAsia="黑体" w:cs="宋体"/>
      <w:b/>
      <w:bCs/>
      <w:sz w:val="28"/>
      <w:szCs w:val="44"/>
    </w:rPr>
  </w:style>
  <w:style w:type="paragraph" w:customStyle="1" w:styleId="183">
    <w:name w:val="样式 样式 标题 1 + 居中 + 小四 加粗"/>
    <w:basedOn w:val="104"/>
    <w:link w:val="182"/>
    <w:uiPriority w:val="0"/>
    <w:rPr>
      <w:kern w:val="0"/>
    </w:rPr>
  </w:style>
  <w:style w:type="character" w:customStyle="1" w:styleId="184">
    <w:name w:val="宏文本 Char"/>
    <w:link w:val="4"/>
    <w:uiPriority w:val="0"/>
    <w:rPr>
      <w:rFonts w:ascii="Courier New" w:hAnsi="Courier New" w:eastAsia="黑体" w:cs="Courier New"/>
      <w:b/>
      <w:sz w:val="24"/>
      <w:szCs w:val="28"/>
    </w:rPr>
  </w:style>
  <w:style w:type="character" w:customStyle="1" w:styleId="185">
    <w:name w:val="电子邮件签名 Char"/>
    <w:link w:val="22"/>
    <w:uiPriority w:val="0"/>
    <w:rPr>
      <w:rFonts w:hAnsi="Arial" w:eastAsia="黑体"/>
      <w:b/>
      <w:sz w:val="28"/>
      <w:szCs w:val="28"/>
    </w:rPr>
  </w:style>
  <w:style w:type="character" w:customStyle="1" w:styleId="186">
    <w:name w:val="副标题 字符1"/>
    <w:uiPriority w:val="0"/>
    <w:rPr>
      <w:rFonts w:ascii="Arial" w:hAnsi="Arial" w:eastAsia="黑体" w:cs="Arial"/>
      <w:bCs/>
      <w:kern w:val="28"/>
      <w:sz w:val="32"/>
      <w:szCs w:val="32"/>
    </w:rPr>
  </w:style>
  <w:style w:type="character" w:customStyle="1" w:styleId="187">
    <w:name w:val="标题 2 Char"/>
    <w:qFormat/>
    <w:uiPriority w:val="0"/>
    <w:rPr>
      <w:rFonts w:ascii="Arial" w:hAnsi="Arial" w:eastAsia="黑体" w:cs="Times New Roman"/>
      <w:b/>
      <w:kern w:val="0"/>
      <w:sz w:val="32"/>
      <w:szCs w:val="20"/>
    </w:rPr>
  </w:style>
  <w:style w:type="character" w:customStyle="1" w:styleId="188">
    <w:name w:val="Table Text Char1"/>
    <w:link w:val="189"/>
    <w:locked/>
    <w:uiPriority w:val="0"/>
    <w:rPr>
      <w:rFonts w:ascii="Arial" w:hAnsi="Arial" w:cs="Arial"/>
      <w:kern w:val="2"/>
      <w:sz w:val="18"/>
      <w:szCs w:val="22"/>
      <w:lang w:val="en-US" w:eastAsia="zh-CN" w:bidi="ar-SA"/>
    </w:rPr>
  </w:style>
  <w:style w:type="paragraph" w:customStyle="1" w:styleId="189">
    <w:name w:val="Table Text"/>
    <w:link w:val="188"/>
    <w:qFormat/>
    <w:uiPriority w:val="0"/>
    <w:pPr>
      <w:snapToGrid w:val="0"/>
      <w:spacing w:before="80" w:after="80"/>
    </w:pPr>
    <w:rPr>
      <w:rFonts w:ascii="Arial" w:hAnsi="Arial" w:eastAsia="宋体" w:cs="Arial"/>
      <w:kern w:val="2"/>
      <w:sz w:val="18"/>
      <w:szCs w:val="22"/>
      <w:lang w:val="en-US" w:eastAsia="zh-CN" w:bidi="ar-SA"/>
    </w:rPr>
  </w:style>
  <w:style w:type="character" w:customStyle="1" w:styleId="190">
    <w:name w:val="Char Char"/>
    <w:uiPriority w:val="0"/>
    <w:rPr>
      <w:rFonts w:eastAsia="宋体"/>
      <w:kern w:val="2"/>
      <w:sz w:val="18"/>
      <w:szCs w:val="18"/>
      <w:lang w:val="en-US" w:eastAsia="zh-CN" w:bidi="ar-SA"/>
    </w:rPr>
  </w:style>
  <w:style w:type="character" w:customStyle="1" w:styleId="191">
    <w:name w:val="批注主题 字符"/>
    <w:semiHidden/>
    <w:uiPriority w:val="99"/>
    <w:rPr>
      <w:b/>
      <w:bCs/>
      <w:kern w:val="2"/>
      <w:sz w:val="21"/>
      <w:szCs w:val="24"/>
    </w:rPr>
  </w:style>
  <w:style w:type="character" w:customStyle="1" w:styleId="192">
    <w:name w:val="large1"/>
    <w:uiPriority w:val="0"/>
    <w:rPr>
      <w:sz w:val="22"/>
      <w:szCs w:val="22"/>
    </w:rPr>
  </w:style>
  <w:style w:type="character" w:customStyle="1" w:styleId="193">
    <w:name w:val="正文首行缩进 Char"/>
    <w:link w:val="2"/>
    <w:qFormat/>
    <w:uiPriority w:val="0"/>
    <w:rPr>
      <w:rFonts w:eastAsia="楷体_GB2312"/>
      <w:sz w:val="32"/>
      <w:szCs w:val="20"/>
    </w:rPr>
  </w:style>
  <w:style w:type="character" w:customStyle="1" w:styleId="194">
    <w:name w:val="article1"/>
    <w:basedOn w:val="92"/>
    <w:qFormat/>
    <w:uiPriority w:val="0"/>
  </w:style>
  <w:style w:type="character" w:customStyle="1" w:styleId="195">
    <w:name w:val="页脚 Char"/>
    <w:qFormat/>
    <w:uiPriority w:val="99"/>
    <w:rPr>
      <w:rFonts w:hint="default" w:ascii="Times New Roman" w:hAnsi="Times New Roman" w:cs="Times New Roman"/>
      <w:sz w:val="18"/>
      <w:szCs w:val="18"/>
    </w:rPr>
  </w:style>
  <w:style w:type="character" w:customStyle="1" w:styleId="196">
    <w:name w:val="GW-标题5 Char Char"/>
    <w:unhideWhenUsed/>
    <w:qFormat/>
    <w:uiPriority w:val="0"/>
    <w:rPr>
      <w:b/>
      <w:sz w:val="28"/>
      <w:szCs w:val="22"/>
    </w:rPr>
  </w:style>
  <w:style w:type="character" w:customStyle="1" w:styleId="197">
    <w:name w:val="标题 字符"/>
    <w:uiPriority w:val="10"/>
    <w:rPr>
      <w:rFonts w:ascii="等线 Light" w:hAnsi="等线 Light" w:eastAsia="等线 Light" w:cs="Times New Roman"/>
      <w:b/>
      <w:bCs/>
      <w:kern w:val="2"/>
      <w:sz w:val="32"/>
      <w:szCs w:val="32"/>
    </w:rPr>
  </w:style>
  <w:style w:type="character" w:customStyle="1" w:styleId="198">
    <w:name w:val="text1"/>
    <w:uiPriority w:val="0"/>
    <w:rPr>
      <w:color w:val="000000"/>
      <w:sz w:val="20"/>
    </w:rPr>
  </w:style>
  <w:style w:type="character" w:customStyle="1" w:styleId="199">
    <w:name w:val="明显引用 Char"/>
    <w:link w:val="200"/>
    <w:qFormat/>
    <w:uiPriority w:val="30"/>
    <w:rPr>
      <w:rFonts w:ascii="Microsoft YaHei UI" w:hAnsi="Microsoft YaHei UI" w:eastAsia="Microsoft YaHei UI" w:cs="Times New Roman"/>
      <w:b/>
      <w:bCs/>
      <w:i/>
      <w:iCs/>
      <w:color w:val="4F81BD"/>
      <w:sz w:val="22"/>
      <w:szCs w:val="22"/>
      <w:lang w:val="zh-CN"/>
    </w:rPr>
  </w:style>
  <w:style w:type="paragraph" w:styleId="200">
    <w:name w:val="Intense Quote"/>
    <w:basedOn w:val="1"/>
    <w:next w:val="1"/>
    <w:link w:val="199"/>
    <w:qFormat/>
    <w:uiPriority w:val="30"/>
    <w:pPr>
      <w:widowControl/>
      <w:pBdr>
        <w:bottom w:val="single" w:color="4F81BD" w:sz="4" w:space="4"/>
      </w:pBdr>
      <w:adjustRightInd w:val="0"/>
      <w:snapToGrid w:val="0"/>
      <w:spacing w:before="200" w:after="280" w:line="276" w:lineRule="auto"/>
      <w:ind w:left="936" w:right="936" w:firstLine="200" w:firstLineChars="200"/>
      <w:jc w:val="left"/>
    </w:pPr>
    <w:rPr>
      <w:rFonts w:ascii="Microsoft YaHei UI" w:hAnsi="Microsoft YaHei UI" w:eastAsia="Microsoft YaHei UI"/>
      <w:b/>
      <w:bCs/>
      <w:i/>
      <w:iCs/>
      <w:color w:val="4F81BD"/>
      <w:kern w:val="0"/>
      <w:sz w:val="22"/>
      <w:lang w:val="zh-CN"/>
    </w:rPr>
  </w:style>
  <w:style w:type="character" w:customStyle="1" w:styleId="201">
    <w:name w:val="Intense Emphasis"/>
    <w:qFormat/>
    <w:uiPriority w:val="21"/>
    <w:rPr>
      <w:rFonts w:ascii="宋体" w:hAnsi="宋体" w:eastAsia="宋体"/>
      <w:bCs/>
      <w:iCs/>
      <w:color w:val="FF0000"/>
      <w:sz w:val="24"/>
    </w:rPr>
  </w:style>
  <w:style w:type="character" w:customStyle="1" w:styleId="202">
    <w:name w:val="信息标题 Char"/>
    <w:link w:val="80"/>
    <w:uiPriority w:val="0"/>
    <w:rPr>
      <w:rFonts w:ascii="Arial" w:hAnsi="Arial" w:eastAsia="黑体" w:cs="Arial"/>
      <w:b/>
      <w:sz w:val="24"/>
      <w:szCs w:val="28"/>
      <w:shd w:val="pct20" w:color="auto" w:fill="auto"/>
    </w:rPr>
  </w:style>
  <w:style w:type="character" w:customStyle="1" w:styleId="203">
    <w:name w:val="para"/>
    <w:basedOn w:val="92"/>
    <w:uiPriority w:val="0"/>
  </w:style>
  <w:style w:type="character" w:customStyle="1" w:styleId="204">
    <w:name w:val="正文首行缩进 2 Char"/>
    <w:link w:val="87"/>
    <w:qFormat/>
    <w:uiPriority w:val="0"/>
    <w:rPr>
      <w:rFonts w:ascii="Times New Roman" w:hAnsi="Times New Roman" w:eastAsia="宋体" w:cs="Times New Roman"/>
      <w:kern w:val="0"/>
      <w:sz w:val="28"/>
      <w:szCs w:val="24"/>
    </w:rPr>
  </w:style>
  <w:style w:type="character" w:customStyle="1" w:styleId="205">
    <w:name w:val="lineitems1"/>
    <w:uiPriority w:val="0"/>
    <w:rPr>
      <w:sz w:val="17"/>
    </w:rPr>
  </w:style>
  <w:style w:type="character" w:customStyle="1" w:styleId="206">
    <w:name w:val="正文首行缩进 2 Char1"/>
    <w:qFormat/>
    <w:uiPriority w:val="0"/>
    <w:rPr>
      <w:rFonts w:ascii="Arial" w:hAnsi="Arial" w:eastAsia="楷体_GB2312" w:cs="宋体"/>
      <w:kern w:val="2"/>
      <w:sz w:val="24"/>
      <w:szCs w:val="22"/>
    </w:rPr>
  </w:style>
  <w:style w:type="character" w:customStyle="1" w:styleId="207">
    <w:name w:val="不明显强调1"/>
    <w:qFormat/>
    <w:uiPriority w:val="19"/>
    <w:rPr>
      <w:i/>
      <w:iCs/>
      <w:color w:val="7F7F7F"/>
    </w:rPr>
  </w:style>
  <w:style w:type="character" w:customStyle="1" w:styleId="208">
    <w:name w:val="b2 Char Char"/>
    <w:uiPriority w:val="0"/>
    <w:rPr>
      <w:rFonts w:eastAsia="宋体"/>
      <w:sz w:val="28"/>
      <w:lang w:val="en-US" w:eastAsia="zh-CN"/>
    </w:rPr>
  </w:style>
  <w:style w:type="character" w:customStyle="1" w:styleId="209">
    <w:name w:val="medium_text1"/>
    <w:uiPriority w:val="0"/>
    <w:rPr>
      <w:sz w:val="24"/>
      <w:szCs w:val="24"/>
    </w:rPr>
  </w:style>
  <w:style w:type="character" w:customStyle="1" w:styleId="210">
    <w:name w:val="称呼 Char"/>
    <w:link w:val="32"/>
    <w:uiPriority w:val="0"/>
    <w:rPr>
      <w:rFonts w:hAnsi="Arial" w:eastAsia="黑体"/>
      <w:b/>
      <w:sz w:val="28"/>
      <w:szCs w:val="28"/>
    </w:rPr>
  </w:style>
  <w:style w:type="character" w:customStyle="1" w:styleId="211">
    <w:name w:val="签名 Char1"/>
    <w:semiHidden/>
    <w:uiPriority w:val="99"/>
    <w:rPr>
      <w:kern w:val="2"/>
      <w:sz w:val="21"/>
      <w:szCs w:val="22"/>
    </w:rPr>
  </w:style>
  <w:style w:type="character" w:customStyle="1" w:styleId="212">
    <w:name w:val="标题 1 Char2"/>
    <w:link w:val="5"/>
    <w:qFormat/>
    <w:uiPriority w:val="0"/>
    <w:rPr>
      <w:rFonts w:ascii="Times New Roman" w:hAnsi="Times New Roman" w:eastAsia="楷体_GB2312" w:cs="Times New Roman"/>
      <w:b/>
      <w:kern w:val="44"/>
      <w:sz w:val="44"/>
      <w:szCs w:val="20"/>
    </w:rPr>
  </w:style>
  <w:style w:type="character" w:customStyle="1" w:styleId="213">
    <w:name w:val="high-light-bg4"/>
    <w:basedOn w:val="92"/>
    <w:qFormat/>
    <w:uiPriority w:val="0"/>
  </w:style>
  <w:style w:type="character" w:customStyle="1" w:styleId="214">
    <w:name w:val="批注文字 字符"/>
    <w:semiHidden/>
    <w:uiPriority w:val="99"/>
    <w:rPr>
      <w:kern w:val="2"/>
      <w:sz w:val="21"/>
      <w:szCs w:val="24"/>
    </w:rPr>
  </w:style>
  <w:style w:type="character" w:customStyle="1" w:styleId="215">
    <w:name w:val="电子邮件签名 字符"/>
    <w:semiHidden/>
    <w:uiPriority w:val="99"/>
    <w:rPr>
      <w:kern w:val="2"/>
      <w:sz w:val="21"/>
      <w:szCs w:val="24"/>
    </w:rPr>
  </w:style>
  <w:style w:type="character" w:customStyle="1" w:styleId="216">
    <w:name w:val="批注主题 Char"/>
    <w:link w:val="86"/>
    <w:qFormat/>
    <w:uiPriority w:val="99"/>
    <w:rPr>
      <w:rFonts w:ascii="Times New Roman" w:hAnsi="Times New Roman" w:eastAsia="宋体" w:cs="Times New Roman"/>
      <w:b/>
      <w:bCs/>
      <w:szCs w:val="20"/>
    </w:rPr>
  </w:style>
  <w:style w:type="character" w:customStyle="1" w:styleId="217">
    <w:name w:val="webdict"/>
    <w:basedOn w:val="92"/>
    <w:uiPriority w:val="0"/>
  </w:style>
  <w:style w:type="character" w:customStyle="1" w:styleId="218">
    <w:name w:val="脚注文本 Char"/>
    <w:link w:val="68"/>
    <w:qFormat/>
    <w:uiPriority w:val="0"/>
    <w:rPr>
      <w:rFonts w:hAnsi="Arial" w:eastAsia="黑体"/>
      <w:b/>
      <w:sz w:val="18"/>
    </w:rPr>
  </w:style>
  <w:style w:type="character" w:customStyle="1" w:styleId="219">
    <w:name w:val="text11"/>
    <w:uiPriority w:val="0"/>
    <w:rPr>
      <w:rFonts w:hint="default" w:ascii="Verdana" w:hAnsi="Verdana"/>
      <w:color w:val="4E4E4E"/>
      <w:sz w:val="18"/>
      <w:szCs w:val="18"/>
    </w:rPr>
  </w:style>
  <w:style w:type="character" w:customStyle="1" w:styleId="220">
    <w:name w:val="原文22"/>
    <w:uiPriority w:val="0"/>
    <w:rPr>
      <w:rFonts w:ascii="Times New Roman" w:hAnsi="Times New Roman" w:eastAsia="宋体"/>
      <w:color w:val="0000FF"/>
      <w:kern w:val="22"/>
      <w:sz w:val="22"/>
    </w:rPr>
  </w:style>
  <w:style w:type="character" w:customStyle="1" w:styleId="221">
    <w:name w:val="注释标题 Char1"/>
    <w:semiHidden/>
    <w:uiPriority w:val="99"/>
    <w:rPr>
      <w:kern w:val="2"/>
      <w:sz w:val="21"/>
      <w:szCs w:val="22"/>
    </w:rPr>
  </w:style>
  <w:style w:type="character" w:customStyle="1" w:styleId="222">
    <w:name w:val="下标e"/>
    <w:uiPriority w:val="0"/>
    <w:rPr>
      <w:rFonts w:ascii="宋体" w:hAnsi="Times New Roman" w:eastAsia="宋体"/>
      <w:color w:val="FF00FF"/>
      <w:kern w:val="22"/>
      <w:sz w:val="22"/>
      <w:vertAlign w:val="subscript"/>
    </w:rPr>
  </w:style>
  <w:style w:type="character" w:customStyle="1" w:styleId="223">
    <w:name w:val="样式 样式 标题 1 + 居中 + 小四 加粗4 Char"/>
    <w:link w:val="224"/>
    <w:locked/>
    <w:uiPriority w:val="0"/>
    <w:rPr>
      <w:rFonts w:ascii="黑体" w:hAnsi="黑体" w:eastAsia="黑体" w:cs="宋体"/>
      <w:b/>
      <w:bCs/>
      <w:sz w:val="28"/>
      <w:szCs w:val="44"/>
    </w:rPr>
  </w:style>
  <w:style w:type="paragraph" w:customStyle="1" w:styleId="224">
    <w:name w:val="样式 样式 标题 1 + 居中 + 小四 加粗4"/>
    <w:basedOn w:val="104"/>
    <w:link w:val="223"/>
    <w:qFormat/>
    <w:uiPriority w:val="0"/>
    <w:rPr>
      <w:kern w:val="0"/>
    </w:rPr>
  </w:style>
  <w:style w:type="character" w:customStyle="1" w:styleId="225">
    <w:name w:val="small"/>
    <w:basedOn w:val="92"/>
    <w:qFormat/>
    <w:uiPriority w:val="0"/>
  </w:style>
  <w:style w:type="character" w:customStyle="1" w:styleId="226">
    <w:name w:val="正文文本 3 字符"/>
    <w:semiHidden/>
    <w:uiPriority w:val="99"/>
    <w:rPr>
      <w:kern w:val="2"/>
      <w:sz w:val="16"/>
      <w:szCs w:val="16"/>
    </w:rPr>
  </w:style>
  <w:style w:type="character" w:customStyle="1" w:styleId="227">
    <w:name w:val="宏文本 字符"/>
    <w:semiHidden/>
    <w:uiPriority w:val="99"/>
    <w:rPr>
      <w:rFonts w:ascii="Courier New" w:hAnsi="Courier New" w:cs="Courier New"/>
      <w:kern w:val="2"/>
      <w:sz w:val="24"/>
      <w:szCs w:val="24"/>
    </w:rPr>
  </w:style>
  <w:style w:type="character" w:customStyle="1" w:styleId="228">
    <w:name w:val="标书正文 Char"/>
    <w:link w:val="229"/>
    <w:uiPriority w:val="0"/>
    <w:rPr>
      <w:rFonts w:eastAsia="微软雅黑"/>
      <w:kern w:val="2"/>
      <w:sz w:val="24"/>
      <w:szCs w:val="22"/>
      <w:lang w:val="en-US" w:eastAsia="zh-CN" w:bidi="ar-SA"/>
    </w:rPr>
  </w:style>
  <w:style w:type="paragraph" w:customStyle="1" w:styleId="229">
    <w:name w:val="标书正文"/>
    <w:link w:val="228"/>
    <w:qFormat/>
    <w:uiPriority w:val="0"/>
    <w:pPr>
      <w:spacing w:line="360" w:lineRule="auto"/>
      <w:ind w:firstLine="200" w:firstLineChars="200"/>
    </w:pPr>
    <w:rPr>
      <w:rFonts w:ascii="Times New Roman" w:hAnsi="Times New Roman" w:eastAsia="微软雅黑" w:cs="Times New Roman"/>
      <w:kern w:val="2"/>
      <w:sz w:val="24"/>
      <w:szCs w:val="22"/>
      <w:lang w:val="en-US" w:eastAsia="zh-CN" w:bidi="ar-SA"/>
    </w:rPr>
  </w:style>
  <w:style w:type="character" w:customStyle="1" w:styleId="230">
    <w:name w:val="无间隔 Char"/>
    <w:link w:val="231"/>
    <w:qFormat/>
    <w:uiPriority w:val="1"/>
    <w:rPr>
      <w:kern w:val="2"/>
      <w:sz w:val="21"/>
      <w:szCs w:val="24"/>
      <w:lang w:val="en-US" w:eastAsia="zh-CN" w:bidi="ar-SA"/>
    </w:rPr>
  </w:style>
  <w:style w:type="paragraph" w:styleId="231">
    <w:name w:val="No Spacing"/>
    <w:link w:val="230"/>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2">
    <w:name w:val="标题 9 字符"/>
    <w:semiHidden/>
    <w:uiPriority w:val="9"/>
    <w:rPr>
      <w:rFonts w:ascii="等线 Light" w:hAnsi="等线 Light" w:eastAsia="等线 Light" w:cs="Times New Roman"/>
      <w:kern w:val="2"/>
      <w:sz w:val="21"/>
      <w:szCs w:val="21"/>
    </w:rPr>
  </w:style>
  <w:style w:type="character" w:customStyle="1" w:styleId="233">
    <w:name w:val="样式 样式 标题 1 + 居中 + 小四 加粗1 Char"/>
    <w:link w:val="234"/>
    <w:locked/>
    <w:uiPriority w:val="0"/>
    <w:rPr>
      <w:rFonts w:ascii="黑体" w:hAnsi="黑体" w:eastAsia="黑体" w:cs="宋体"/>
      <w:b/>
      <w:bCs/>
      <w:sz w:val="28"/>
      <w:szCs w:val="44"/>
    </w:rPr>
  </w:style>
  <w:style w:type="paragraph" w:customStyle="1" w:styleId="234">
    <w:name w:val="样式 样式 标题 1 + 居中 + 小四 加粗1"/>
    <w:basedOn w:val="104"/>
    <w:link w:val="233"/>
    <w:uiPriority w:val="0"/>
    <w:rPr>
      <w:kern w:val="0"/>
    </w:rPr>
  </w:style>
  <w:style w:type="character" w:customStyle="1" w:styleId="235">
    <w:name w:val="标题 8 Char1"/>
    <w:semiHidden/>
    <w:uiPriority w:val="0"/>
    <w:rPr>
      <w:rFonts w:ascii="Cambria" w:hAnsi="Cambria" w:eastAsia="宋体" w:cs="Times New Roman"/>
      <w:kern w:val="2"/>
      <w:sz w:val="24"/>
      <w:szCs w:val="24"/>
    </w:rPr>
  </w:style>
  <w:style w:type="character" w:customStyle="1" w:styleId="236">
    <w:name w:val="GW-标题5 Char"/>
    <w:link w:val="237"/>
    <w:qFormat/>
    <w:uiPriority w:val="0"/>
    <w:rPr>
      <w:rFonts w:ascii="Cambria" w:hAnsi="Cambria"/>
      <w:b/>
      <w:caps/>
      <w:sz w:val="24"/>
      <w:szCs w:val="24"/>
    </w:rPr>
  </w:style>
  <w:style w:type="paragraph" w:customStyle="1" w:styleId="237">
    <w:name w:val="GW-标题5"/>
    <w:basedOn w:val="10"/>
    <w:next w:val="238"/>
    <w:link w:val="236"/>
    <w:qFormat/>
    <w:uiPriority w:val="0"/>
    <w:pPr>
      <w:adjustRightInd w:val="0"/>
      <w:snapToGrid w:val="0"/>
      <w:spacing w:after="120" w:line="360" w:lineRule="auto"/>
      <w:ind w:left="1008" w:hanging="1008"/>
      <w:jc w:val="left"/>
    </w:pPr>
    <w:rPr>
      <w:rFonts w:ascii="Cambria" w:hAnsi="Cambria"/>
      <w:caps/>
      <w:sz w:val="24"/>
      <w:szCs w:val="24"/>
    </w:rPr>
  </w:style>
  <w:style w:type="paragraph" w:customStyle="1" w:styleId="238">
    <w:name w:val="GW-正文"/>
    <w:basedOn w:val="1"/>
    <w:link w:val="324"/>
    <w:qFormat/>
    <w:uiPriority w:val="0"/>
    <w:pPr>
      <w:widowControl/>
      <w:tabs>
        <w:tab w:val="left" w:pos="3255"/>
      </w:tabs>
      <w:adjustRightInd w:val="0"/>
      <w:snapToGrid w:val="0"/>
      <w:spacing w:line="360" w:lineRule="auto"/>
      <w:ind w:left="420" w:hanging="420"/>
      <w:jc w:val="left"/>
    </w:pPr>
    <w:rPr>
      <w:rFonts w:ascii="宋体" w:hAnsi="宋体"/>
      <w:bCs/>
      <w:kern w:val="0"/>
      <w:sz w:val="24"/>
      <w:szCs w:val="24"/>
    </w:rPr>
  </w:style>
  <w:style w:type="character" w:customStyle="1" w:styleId="239">
    <w:name w:val="正文文本 2 Char"/>
    <w:link w:val="77"/>
    <w:qFormat/>
    <w:uiPriority w:val="0"/>
    <w:rPr>
      <w:rFonts w:ascii="Times New Roman" w:hAnsi="Times New Roman" w:eastAsia="宋体" w:cs="Times New Roman"/>
      <w:sz w:val="24"/>
      <w:szCs w:val="20"/>
    </w:rPr>
  </w:style>
  <w:style w:type="character" w:customStyle="1" w:styleId="240">
    <w:name w:val="标题 2 Char1"/>
    <w:semiHidden/>
    <w:uiPriority w:val="0"/>
    <w:rPr>
      <w:rFonts w:ascii="Cambria" w:hAnsi="Cambria" w:eastAsia="宋体" w:cs="Times New Roman"/>
      <w:b/>
      <w:bCs/>
      <w:kern w:val="2"/>
      <w:sz w:val="32"/>
      <w:szCs w:val="32"/>
    </w:rPr>
  </w:style>
  <w:style w:type="character" w:customStyle="1" w:styleId="241">
    <w:name w:val="正文文本缩进 2 字符"/>
    <w:semiHidden/>
    <w:uiPriority w:val="99"/>
    <w:rPr>
      <w:kern w:val="2"/>
      <w:sz w:val="21"/>
      <w:szCs w:val="24"/>
    </w:rPr>
  </w:style>
  <w:style w:type="character" w:customStyle="1" w:styleId="242">
    <w:name w:val="书籍标题1"/>
    <w:qFormat/>
    <w:uiPriority w:val="33"/>
    <w:rPr>
      <w:b/>
      <w:bCs/>
      <w:smallCaps/>
      <w:spacing w:val="5"/>
    </w:rPr>
  </w:style>
  <w:style w:type="character" w:customStyle="1" w:styleId="243">
    <w:name w:val="标题 7 Char"/>
    <w:link w:val="12"/>
    <w:qFormat/>
    <w:uiPriority w:val="9"/>
    <w:rPr>
      <w:rFonts w:ascii="宋体" w:hAnsi="Times New Roman" w:eastAsia="仿宋_GB2312" w:cs="Times New Roman"/>
      <w:b/>
      <w:kern w:val="0"/>
      <w:sz w:val="24"/>
      <w:szCs w:val="20"/>
    </w:rPr>
  </w:style>
  <w:style w:type="character" w:customStyle="1" w:styleId="244">
    <w:name w:val="标题 2 字符"/>
    <w:semiHidden/>
    <w:uiPriority w:val="9"/>
    <w:rPr>
      <w:rFonts w:ascii="等线 Light" w:hAnsi="等线 Light" w:eastAsia="等线 Light" w:cs="Times New Roman"/>
      <w:b/>
      <w:bCs/>
      <w:kern w:val="2"/>
      <w:sz w:val="32"/>
      <w:szCs w:val="32"/>
    </w:rPr>
  </w:style>
  <w:style w:type="character" w:customStyle="1" w:styleId="245">
    <w:name w:val="普通文字 Char Char2"/>
    <w:uiPriority w:val="0"/>
    <w:rPr>
      <w:rFonts w:ascii="宋体" w:hAnsi="Courier New" w:eastAsia="宋体"/>
      <w:lang w:val="en-US" w:eastAsia="zh-CN" w:bidi="ar-SA"/>
    </w:rPr>
  </w:style>
  <w:style w:type="character" w:customStyle="1" w:styleId="246">
    <w:name w:val="NormalCharacter"/>
    <w:semiHidden/>
    <w:uiPriority w:val="0"/>
  </w:style>
  <w:style w:type="character" w:customStyle="1" w:styleId="247">
    <w:name w:val="称呼 字符1"/>
    <w:uiPriority w:val="0"/>
    <w:rPr>
      <w:rFonts w:hAnsi="Arial" w:eastAsia="黑体"/>
      <w:b/>
      <w:sz w:val="28"/>
      <w:szCs w:val="28"/>
    </w:rPr>
  </w:style>
  <w:style w:type="character" w:customStyle="1" w:styleId="248">
    <w:name w:val="页眉 字符"/>
    <w:qFormat/>
    <w:uiPriority w:val="0"/>
    <w:rPr>
      <w:kern w:val="2"/>
      <w:sz w:val="18"/>
      <w:szCs w:val="18"/>
    </w:rPr>
  </w:style>
  <w:style w:type="character" w:customStyle="1" w:styleId="249">
    <w:name w:val="签名 字符"/>
    <w:semiHidden/>
    <w:uiPriority w:val="99"/>
    <w:rPr>
      <w:kern w:val="2"/>
      <w:sz w:val="21"/>
      <w:szCs w:val="24"/>
    </w:rPr>
  </w:style>
  <w:style w:type="character" w:customStyle="1" w:styleId="250">
    <w:name w:val="称呼 Char1"/>
    <w:semiHidden/>
    <w:uiPriority w:val="99"/>
    <w:rPr>
      <w:kern w:val="2"/>
      <w:sz w:val="21"/>
      <w:szCs w:val="22"/>
    </w:rPr>
  </w:style>
  <w:style w:type="character" w:customStyle="1" w:styleId="251">
    <w:name w:val="信息标题 Char1"/>
    <w:semiHidden/>
    <w:uiPriority w:val="99"/>
    <w:rPr>
      <w:rFonts w:ascii="Cambria" w:hAnsi="Cambria" w:eastAsia="宋体" w:cs="Times New Roman"/>
      <w:kern w:val="2"/>
      <w:sz w:val="24"/>
      <w:szCs w:val="24"/>
      <w:shd w:val="pct20" w:color="auto" w:fill="auto"/>
    </w:rPr>
  </w:style>
  <w:style w:type="character" w:customStyle="1" w:styleId="252">
    <w:name w:val="正文文本缩进 字符"/>
    <w:semiHidden/>
    <w:uiPriority w:val="99"/>
    <w:rPr>
      <w:kern w:val="2"/>
      <w:sz w:val="21"/>
      <w:szCs w:val="24"/>
    </w:rPr>
  </w:style>
  <w:style w:type="character" w:customStyle="1" w:styleId="253">
    <w:name w:val="HTML 预设格式 Char"/>
    <w:link w:val="81"/>
    <w:uiPriority w:val="99"/>
    <w:rPr>
      <w:rFonts w:ascii="Arial Unicode MS" w:hAnsi="Arial Unicode MS" w:eastAsia="Courier New" w:cs="Times New Roman"/>
      <w:kern w:val="0"/>
      <w:sz w:val="20"/>
      <w:szCs w:val="20"/>
    </w:rPr>
  </w:style>
  <w:style w:type="character" w:customStyle="1" w:styleId="254">
    <w:name w:val="标题 3 Char2"/>
    <w:link w:val="7"/>
    <w:qFormat/>
    <w:uiPriority w:val="0"/>
    <w:rPr>
      <w:rFonts w:ascii="Times New Roman" w:hAnsi="Times New Roman" w:eastAsia="宋体" w:cs="Times New Roman"/>
      <w:b/>
      <w:sz w:val="32"/>
      <w:szCs w:val="20"/>
    </w:rPr>
  </w:style>
  <w:style w:type="character" w:customStyle="1" w:styleId="255">
    <w:name w:val="pagetitle1"/>
    <w:qFormat/>
    <w:uiPriority w:val="0"/>
    <w:rPr>
      <w:rFonts w:hint="default" w:ascii="Arial" w:hAnsi="Arial" w:cs="Arial"/>
      <w:b/>
      <w:bCs/>
      <w:sz w:val="36"/>
      <w:szCs w:val="36"/>
    </w:rPr>
  </w:style>
  <w:style w:type="character" w:customStyle="1" w:styleId="256">
    <w:name w:val="标题 8 字符1"/>
    <w:uiPriority w:val="0"/>
    <w:rPr>
      <w:rFonts w:ascii="Arial" w:hAnsi="Arial" w:eastAsia="黑体"/>
      <w:b/>
      <w:sz w:val="24"/>
      <w:szCs w:val="28"/>
    </w:rPr>
  </w:style>
  <w:style w:type="character" w:customStyle="1" w:styleId="257">
    <w:name w:val="apple-converted-space"/>
    <w:basedOn w:val="92"/>
    <w:uiPriority w:val="0"/>
  </w:style>
  <w:style w:type="character" w:customStyle="1" w:styleId="258">
    <w:name w:val="宏文本 Char1"/>
    <w:semiHidden/>
    <w:uiPriority w:val="99"/>
    <w:rPr>
      <w:rFonts w:ascii="Courier New" w:hAnsi="Courier New" w:cs="Courier New"/>
      <w:kern w:val="2"/>
      <w:sz w:val="24"/>
      <w:szCs w:val="24"/>
    </w:rPr>
  </w:style>
  <w:style w:type="character" w:customStyle="1" w:styleId="259">
    <w:name w:val="html_txt1"/>
    <w:uiPriority w:val="0"/>
    <w:rPr>
      <w:color w:val="000000"/>
    </w:rPr>
  </w:style>
  <w:style w:type="character" w:customStyle="1" w:styleId="260">
    <w:name w:val="Char Char3"/>
    <w:uiPriority w:val="0"/>
    <w:rPr>
      <w:rFonts w:ascii="宋体" w:hAnsi="Courier New"/>
      <w:kern w:val="2"/>
      <w:sz w:val="21"/>
    </w:rPr>
  </w:style>
  <w:style w:type="character" w:customStyle="1" w:styleId="261">
    <w:name w:val="日期 Char"/>
    <w:link w:val="51"/>
    <w:qFormat/>
    <w:uiPriority w:val="0"/>
    <w:rPr>
      <w:rFonts w:ascii="Times New Roman" w:hAnsi="Times New Roman" w:eastAsia="宋体" w:cs="Times New Roman"/>
      <w:kern w:val="0"/>
      <w:sz w:val="28"/>
      <w:szCs w:val="20"/>
    </w:rPr>
  </w:style>
  <w:style w:type="character" w:customStyle="1" w:styleId="262">
    <w:name w:val="页脚 字符"/>
    <w:qFormat/>
    <w:uiPriority w:val="0"/>
    <w:rPr>
      <w:kern w:val="2"/>
      <w:sz w:val="18"/>
      <w:szCs w:val="18"/>
    </w:rPr>
  </w:style>
  <w:style w:type="character" w:customStyle="1" w:styleId="263">
    <w:name w:val="postbody1"/>
    <w:uiPriority w:val="0"/>
    <w:rPr>
      <w:sz w:val="18"/>
    </w:rPr>
  </w:style>
  <w:style w:type="character" w:customStyle="1" w:styleId="264">
    <w:name w:val="param-name"/>
    <w:basedOn w:val="92"/>
    <w:uiPriority w:val="0"/>
  </w:style>
  <w:style w:type="character" w:customStyle="1" w:styleId="265">
    <w:name w:val="结束语 Char1"/>
    <w:semiHidden/>
    <w:uiPriority w:val="99"/>
    <w:rPr>
      <w:kern w:val="2"/>
      <w:sz w:val="21"/>
      <w:szCs w:val="22"/>
    </w:rPr>
  </w:style>
  <w:style w:type="character" w:customStyle="1" w:styleId="266">
    <w:name w:val="明显参考1"/>
    <w:qFormat/>
    <w:uiPriority w:val="32"/>
    <w:rPr>
      <w:b/>
      <w:bCs/>
      <w:smallCaps/>
      <w:color w:val="C0504D"/>
      <w:spacing w:val="5"/>
      <w:u w:val="single"/>
    </w:rPr>
  </w:style>
  <w:style w:type="character" w:customStyle="1" w:styleId="267">
    <w:name w:val="正文文本缩进 3 Char"/>
    <w:link w:val="71"/>
    <w:qFormat/>
    <w:uiPriority w:val="0"/>
    <w:rPr>
      <w:rFonts w:ascii="Times New Roman" w:hAnsi="Times New Roman" w:eastAsia="宋体" w:cs="Times New Roman"/>
      <w:sz w:val="24"/>
      <w:szCs w:val="20"/>
    </w:rPr>
  </w:style>
  <w:style w:type="character" w:customStyle="1" w:styleId="268">
    <w:name w:val="电子邮件签名 Char1"/>
    <w:semiHidden/>
    <w:uiPriority w:val="99"/>
    <w:rPr>
      <w:kern w:val="2"/>
      <w:sz w:val="21"/>
      <w:szCs w:val="22"/>
    </w:rPr>
  </w:style>
  <w:style w:type="character" w:customStyle="1" w:styleId="269">
    <w:name w:val="CSET标题3 Char"/>
    <w:link w:val="270"/>
    <w:uiPriority w:val="0"/>
    <w:rPr>
      <w:rFonts w:ascii="宋体" w:hAnsi="宋体" w:cs="宋体"/>
      <w:b/>
      <w:bCs/>
      <w:shadow/>
      <w:color w:val="0000FF"/>
      <w:sz w:val="32"/>
      <w:szCs w:val="32"/>
    </w:rPr>
  </w:style>
  <w:style w:type="paragraph" w:customStyle="1" w:styleId="270">
    <w:name w:val="CSET标题3"/>
    <w:basedOn w:val="1"/>
    <w:link w:val="269"/>
    <w:uiPriority w:val="0"/>
    <w:pPr>
      <w:keepNext/>
      <w:keepLines/>
      <w:widowControl/>
      <w:adjustRightInd w:val="0"/>
      <w:snapToGrid w:val="0"/>
      <w:spacing w:line="500" w:lineRule="exact"/>
      <w:ind w:left="400" w:leftChars="-171" w:hanging="360" w:hangingChars="112"/>
      <w:jc w:val="left"/>
      <w:outlineLvl w:val="1"/>
    </w:pPr>
    <w:rPr>
      <w:rFonts w:ascii="宋体" w:hAnsi="宋体"/>
      <w:b/>
      <w:bCs/>
      <w:shadow/>
      <w:color w:val="0000FF"/>
      <w:kern w:val="0"/>
      <w:sz w:val="32"/>
      <w:szCs w:val="32"/>
    </w:rPr>
  </w:style>
  <w:style w:type="character" w:customStyle="1" w:styleId="271">
    <w:name w:val="正文缩进 Char"/>
    <w:link w:val="8"/>
    <w:qFormat/>
    <w:locked/>
    <w:uiPriority w:val="0"/>
    <w:rPr>
      <w:rFonts w:ascii="Times New Roman" w:hAnsi="Times New Roman" w:eastAsia="宋体" w:cs="Times New Roman"/>
      <w:szCs w:val="20"/>
    </w:rPr>
  </w:style>
  <w:style w:type="character" w:customStyle="1" w:styleId="272">
    <w:name w:val="纯文本 Char"/>
    <w:link w:val="46"/>
    <w:qFormat/>
    <w:uiPriority w:val="0"/>
    <w:rPr>
      <w:rFonts w:ascii="宋体" w:hAnsi="Courier New" w:eastAsia="宋体" w:cs="Times New Roman"/>
      <w:szCs w:val="20"/>
    </w:rPr>
  </w:style>
  <w:style w:type="character" w:customStyle="1" w:styleId="273">
    <w:name w:val="尾注文本 字符1"/>
    <w:uiPriority w:val="0"/>
    <w:rPr>
      <w:rFonts w:hAnsi="Arial" w:eastAsia="黑体"/>
      <w:b/>
      <w:sz w:val="28"/>
      <w:szCs w:val="28"/>
    </w:rPr>
  </w:style>
  <w:style w:type="character" w:customStyle="1" w:styleId="274">
    <w:name w:val="不同e"/>
    <w:uiPriority w:val="0"/>
    <w:rPr>
      <w:rFonts w:ascii="宋体" w:hAnsi="Times New Roman" w:eastAsia="宋体"/>
      <w:color w:val="FF0000"/>
      <w:kern w:val="22"/>
      <w:sz w:val="22"/>
    </w:rPr>
  </w:style>
  <w:style w:type="character" w:customStyle="1" w:styleId="275">
    <w:name w:val="正文文字 Char"/>
    <w:link w:val="276"/>
    <w:locked/>
    <w:uiPriority w:val="0"/>
    <w:rPr>
      <w:rFonts w:ascii="宋体" w:hAnsi="ˎ̥" w:eastAsia="宋体"/>
      <w:sz w:val="24"/>
      <w:szCs w:val="24"/>
    </w:rPr>
  </w:style>
  <w:style w:type="paragraph" w:customStyle="1" w:styleId="276">
    <w:name w:val="正文文字"/>
    <w:basedOn w:val="1"/>
    <w:link w:val="275"/>
    <w:uiPriority w:val="0"/>
    <w:pPr>
      <w:adjustRightInd w:val="0"/>
      <w:snapToGrid w:val="0"/>
      <w:spacing w:line="360" w:lineRule="auto"/>
      <w:ind w:firstLine="200" w:firstLineChars="200"/>
    </w:pPr>
    <w:rPr>
      <w:rFonts w:ascii="宋体" w:hAnsi="ˎ̥"/>
      <w:kern w:val="0"/>
      <w:sz w:val="24"/>
      <w:szCs w:val="24"/>
    </w:rPr>
  </w:style>
  <w:style w:type="character" w:customStyle="1" w:styleId="277">
    <w:name w:val="尾注文本 Char"/>
    <w:link w:val="53"/>
    <w:uiPriority w:val="0"/>
    <w:rPr>
      <w:rFonts w:hAnsi="Arial" w:eastAsia="黑体"/>
      <w:b/>
      <w:sz w:val="28"/>
      <w:szCs w:val="28"/>
    </w:rPr>
  </w:style>
  <w:style w:type="character" w:customStyle="1" w:styleId="278">
    <w:name w:val="标准文本 Char"/>
    <w:link w:val="279"/>
    <w:qFormat/>
    <w:uiPriority w:val="0"/>
    <w:rPr>
      <w:rFonts w:ascii="Times New Roman" w:hAnsi="Times New Roman" w:cs="宋体"/>
      <w:kern w:val="2"/>
      <w:sz w:val="24"/>
    </w:rPr>
  </w:style>
  <w:style w:type="paragraph" w:customStyle="1" w:styleId="279">
    <w:name w:val="标准文本"/>
    <w:basedOn w:val="1"/>
    <w:link w:val="278"/>
    <w:qFormat/>
    <w:uiPriority w:val="0"/>
    <w:pPr>
      <w:adjustRightInd w:val="0"/>
      <w:snapToGrid w:val="0"/>
      <w:spacing w:line="360" w:lineRule="auto"/>
      <w:ind w:firstLine="480" w:firstLineChars="200"/>
      <w:jc w:val="left"/>
    </w:pPr>
    <w:rPr>
      <w:sz w:val="24"/>
      <w:szCs w:val="20"/>
    </w:rPr>
  </w:style>
  <w:style w:type="character" w:customStyle="1" w:styleId="280">
    <w:name w:val="Char Char11"/>
    <w:uiPriority w:val="0"/>
    <w:rPr>
      <w:rFonts w:hint="eastAsia" w:ascii="宋体" w:hAnsi="宋体" w:eastAsia="宋体"/>
      <w:b/>
      <w:kern w:val="2"/>
      <w:sz w:val="32"/>
      <w:lang w:val="en-US" w:eastAsia="zh-CN" w:bidi="ar-SA"/>
    </w:rPr>
  </w:style>
  <w:style w:type="character" w:customStyle="1" w:styleId="281">
    <w:name w:val="font01"/>
    <w:qFormat/>
    <w:uiPriority w:val="0"/>
    <w:rPr>
      <w:rFonts w:hint="eastAsia" w:ascii="宋体" w:hAnsi="宋体" w:eastAsia="宋体" w:cs="宋体"/>
      <w:color w:val="000000"/>
      <w:sz w:val="20"/>
      <w:szCs w:val="20"/>
      <w:u w:val="none"/>
    </w:rPr>
  </w:style>
  <w:style w:type="character" w:customStyle="1" w:styleId="282">
    <w:name w:val="标题 Char"/>
    <w:link w:val="85"/>
    <w:qFormat/>
    <w:uiPriority w:val="10"/>
    <w:rPr>
      <w:rFonts w:ascii="Cambria" w:hAnsi="Cambria"/>
      <w:b/>
      <w:bCs/>
      <w:kern w:val="2"/>
      <w:sz w:val="32"/>
      <w:szCs w:val="32"/>
    </w:rPr>
  </w:style>
  <w:style w:type="character" w:customStyle="1" w:styleId="283">
    <w:name w:val="列举 Char"/>
    <w:link w:val="284"/>
    <w:locked/>
    <w:uiPriority w:val="0"/>
    <w:rPr>
      <w:b/>
      <w:sz w:val="24"/>
    </w:rPr>
  </w:style>
  <w:style w:type="paragraph" w:customStyle="1" w:styleId="284">
    <w:name w:val="列举"/>
    <w:basedOn w:val="1"/>
    <w:link w:val="283"/>
    <w:uiPriority w:val="0"/>
    <w:pPr>
      <w:tabs>
        <w:tab w:val="left" w:pos="735"/>
      </w:tabs>
      <w:spacing w:before="156" w:after="156"/>
      <w:ind w:left="735" w:hanging="735"/>
    </w:pPr>
    <w:rPr>
      <w:b/>
      <w:kern w:val="0"/>
      <w:sz w:val="24"/>
      <w:szCs w:val="20"/>
    </w:rPr>
  </w:style>
  <w:style w:type="character" w:customStyle="1" w:styleId="285">
    <w:name w:val="正文文本缩进 3 字符"/>
    <w:semiHidden/>
    <w:uiPriority w:val="99"/>
    <w:rPr>
      <w:kern w:val="2"/>
      <w:sz w:val="16"/>
      <w:szCs w:val="16"/>
    </w:rPr>
  </w:style>
  <w:style w:type="character" w:customStyle="1" w:styleId="286">
    <w:name w:val="!OSS12 Heading 3 Char"/>
    <w:link w:val="287"/>
    <w:qFormat/>
    <w:locked/>
    <w:uiPriority w:val="0"/>
    <w:rPr>
      <w:rFonts w:ascii="Arial" w:hAnsi="Arial" w:cs="Arial"/>
      <w:b/>
      <w:bCs/>
      <w:color w:val="000000"/>
      <w:sz w:val="24"/>
      <w:szCs w:val="24"/>
    </w:rPr>
  </w:style>
  <w:style w:type="paragraph" w:customStyle="1" w:styleId="287">
    <w:name w:val="!OSS12 Heading 3"/>
    <w:basedOn w:val="7"/>
    <w:next w:val="1"/>
    <w:link w:val="286"/>
    <w:qFormat/>
    <w:uiPriority w:val="0"/>
    <w:pPr>
      <w:keepLines w:val="0"/>
      <w:widowControl/>
      <w:adjustRightInd w:val="0"/>
      <w:snapToGrid w:val="0"/>
      <w:spacing w:before="0" w:after="0" w:line="240" w:lineRule="auto"/>
      <w:jc w:val="left"/>
    </w:pPr>
    <w:rPr>
      <w:rFonts w:ascii="Arial" w:hAnsi="Arial"/>
      <w:bCs/>
      <w:color w:val="000000"/>
      <w:sz w:val="24"/>
      <w:szCs w:val="24"/>
    </w:rPr>
  </w:style>
  <w:style w:type="character" w:customStyle="1" w:styleId="288">
    <w:name w:val="h3 Char"/>
    <w:qFormat/>
    <w:uiPriority w:val="0"/>
    <w:rPr>
      <w:rFonts w:eastAsia="宋体"/>
      <w:b/>
      <w:bCs/>
      <w:kern w:val="2"/>
      <w:sz w:val="32"/>
      <w:szCs w:val="32"/>
      <w:lang w:val="en-US" w:eastAsia="zh-CN" w:bidi="ar-SA"/>
    </w:rPr>
  </w:style>
  <w:style w:type="character" w:customStyle="1" w:styleId="289">
    <w:name w:val="列出段落 Char1"/>
    <w:link w:val="129"/>
    <w:qFormat/>
    <w:locked/>
    <w:uiPriority w:val="34"/>
    <w:rPr>
      <w:rFonts w:ascii="Calibri" w:hAnsi="Calibri" w:cs="Calibri"/>
    </w:rPr>
  </w:style>
  <w:style w:type="character" w:customStyle="1" w:styleId="290">
    <w:name w:val="style181"/>
    <w:qFormat/>
    <w:uiPriority w:val="0"/>
    <w:rPr>
      <w:color w:val="003399"/>
    </w:rPr>
  </w:style>
  <w:style w:type="character" w:customStyle="1" w:styleId="291">
    <w:name w:val="标题 字符1"/>
    <w:uiPriority w:val="0"/>
    <w:rPr>
      <w:rFonts w:hAnsi="Arial" w:eastAsia="黑体" w:cs="Arial"/>
      <w:bCs/>
      <w:sz w:val="32"/>
      <w:szCs w:val="32"/>
    </w:rPr>
  </w:style>
  <w:style w:type="character" w:customStyle="1" w:styleId="292">
    <w:name w:val="bodytext1"/>
    <w:qFormat/>
    <w:uiPriority w:val="0"/>
    <w:rPr>
      <w:rFonts w:hint="default" w:ascii="Arial" w:hAnsi="Arial" w:cs="Arial"/>
      <w:color w:val="000000"/>
      <w:sz w:val="20"/>
      <w:szCs w:val="20"/>
    </w:rPr>
  </w:style>
  <w:style w:type="character" w:customStyle="1" w:styleId="293">
    <w:name w:val="标题 3 Char1"/>
    <w:semiHidden/>
    <w:uiPriority w:val="0"/>
    <w:rPr>
      <w:b/>
      <w:bCs/>
      <w:kern w:val="2"/>
      <w:sz w:val="32"/>
      <w:szCs w:val="32"/>
    </w:rPr>
  </w:style>
  <w:style w:type="character" w:customStyle="1" w:styleId="294">
    <w:name w:val="标题 2 Char Char Char1"/>
    <w:qFormat/>
    <w:uiPriority w:val="0"/>
    <w:rPr>
      <w:rFonts w:ascii="Arial" w:hAnsi="Arial" w:eastAsia="黑体"/>
      <w:b/>
      <w:bCs/>
      <w:kern w:val="2"/>
      <w:sz w:val="32"/>
      <w:szCs w:val="32"/>
      <w:lang w:val="en-US" w:eastAsia="zh-CN" w:bidi="ar-SA"/>
    </w:rPr>
  </w:style>
  <w:style w:type="character" w:customStyle="1" w:styleId="295">
    <w:name w:val="nowrap"/>
    <w:basedOn w:val="92"/>
    <w:uiPriority w:val="0"/>
  </w:style>
  <w:style w:type="character" w:customStyle="1" w:styleId="296">
    <w:name w:val="para1"/>
    <w:uiPriority w:val="0"/>
    <w:rPr>
      <w:rFonts w:hint="default" w:ascii="Arial" w:hAnsi="Arial" w:cs="Arial"/>
      <w:sz w:val="18"/>
    </w:rPr>
  </w:style>
  <w:style w:type="character" w:customStyle="1" w:styleId="297">
    <w:name w:val="正文文本 3 Char"/>
    <w:link w:val="33"/>
    <w:qFormat/>
    <w:uiPriority w:val="0"/>
    <w:rPr>
      <w:rFonts w:ascii="Times New Roman" w:hAnsi="Times New Roman" w:eastAsia="宋体" w:cs="Times New Roman"/>
      <w:b/>
      <w:bCs/>
      <w:sz w:val="24"/>
      <w:szCs w:val="24"/>
    </w:rPr>
  </w:style>
  <w:style w:type="character" w:customStyle="1" w:styleId="298">
    <w:name w:val="引用 Char"/>
    <w:link w:val="299"/>
    <w:qFormat/>
    <w:uiPriority w:val="29"/>
    <w:rPr>
      <w:rFonts w:ascii="Calibri" w:hAnsi="Calibri" w:eastAsia="宋体" w:cs="Times New Roman"/>
      <w:iCs/>
      <w:color w:val="000000"/>
      <w:kern w:val="2"/>
      <w:sz w:val="24"/>
      <w:szCs w:val="22"/>
    </w:rPr>
  </w:style>
  <w:style w:type="paragraph" w:styleId="299">
    <w:name w:val="Quote"/>
    <w:basedOn w:val="1"/>
    <w:next w:val="1"/>
    <w:link w:val="298"/>
    <w:qFormat/>
    <w:uiPriority w:val="29"/>
    <w:pPr>
      <w:spacing w:line="360" w:lineRule="auto"/>
      <w:ind w:firstLine="200" w:firstLineChars="200"/>
    </w:pPr>
    <w:rPr>
      <w:iCs/>
      <w:color w:val="000000"/>
      <w:sz w:val="24"/>
    </w:rPr>
  </w:style>
  <w:style w:type="character" w:customStyle="1" w:styleId="300">
    <w:name w:val="正文文本 字符"/>
    <w:semiHidden/>
    <w:uiPriority w:val="99"/>
    <w:rPr>
      <w:kern w:val="2"/>
      <w:sz w:val="21"/>
      <w:szCs w:val="24"/>
    </w:rPr>
  </w:style>
  <w:style w:type="character" w:customStyle="1" w:styleId="301">
    <w:name w:val="标题 4 Char"/>
    <w:link w:val="9"/>
    <w:qFormat/>
    <w:uiPriority w:val="0"/>
    <w:rPr>
      <w:rFonts w:ascii="Times New Roman" w:hAnsi="Times New Roman" w:eastAsia="宋体" w:cs="Times New Roman"/>
      <w:sz w:val="32"/>
      <w:szCs w:val="20"/>
    </w:rPr>
  </w:style>
  <w:style w:type="character" w:customStyle="1" w:styleId="302">
    <w:name w:val="电子邮件签名 字符1"/>
    <w:uiPriority w:val="0"/>
    <w:rPr>
      <w:rFonts w:hAnsi="Arial" w:eastAsia="黑体"/>
      <w:b/>
      <w:sz w:val="28"/>
      <w:szCs w:val="28"/>
    </w:rPr>
  </w:style>
  <w:style w:type="character" w:customStyle="1" w:styleId="303">
    <w:name w:val="正文加粗 Char"/>
    <w:link w:val="304"/>
    <w:locked/>
    <w:uiPriority w:val="0"/>
    <w:rPr>
      <w:rFonts w:ascii="Arial" w:hAnsi="Arial" w:cs="Arial"/>
      <w:b/>
      <w:sz w:val="24"/>
    </w:rPr>
  </w:style>
  <w:style w:type="paragraph" w:customStyle="1" w:styleId="304">
    <w:name w:val="正文加粗"/>
    <w:basedOn w:val="1"/>
    <w:link w:val="303"/>
    <w:uiPriority w:val="0"/>
    <w:pPr>
      <w:widowControl/>
      <w:spacing w:line="360" w:lineRule="auto"/>
      <w:ind w:firstLine="200" w:firstLineChars="200"/>
      <w:jc w:val="left"/>
    </w:pPr>
    <w:rPr>
      <w:rFonts w:ascii="Arial" w:hAnsi="Arial"/>
      <w:b/>
      <w:kern w:val="0"/>
      <w:sz w:val="24"/>
      <w:szCs w:val="20"/>
    </w:rPr>
  </w:style>
  <w:style w:type="character" w:customStyle="1" w:styleId="305">
    <w:name w:val="宏文本 字符1"/>
    <w:uiPriority w:val="0"/>
    <w:rPr>
      <w:rFonts w:ascii="Courier New" w:hAnsi="Courier New" w:eastAsia="黑体" w:cs="Courier New"/>
      <w:b/>
      <w:sz w:val="24"/>
      <w:szCs w:val="28"/>
    </w:rPr>
  </w:style>
  <w:style w:type="character" w:customStyle="1" w:styleId="306">
    <w:name w:val="apple-style-span"/>
    <w:basedOn w:val="92"/>
    <w:uiPriority w:val="0"/>
  </w:style>
  <w:style w:type="character" w:customStyle="1" w:styleId="307">
    <w:name w:val="正文文本首行缩进 字符"/>
    <w:uiPriority w:val="0"/>
    <w:rPr>
      <w:rFonts w:hAnsi="Arial" w:eastAsia="黑体"/>
      <w:b/>
      <w:kern w:val="2"/>
      <w:sz w:val="28"/>
      <w:szCs w:val="21"/>
    </w:rPr>
  </w:style>
  <w:style w:type="character" w:customStyle="1" w:styleId="308">
    <w:name w:val="正文缩进1"/>
    <w:qFormat/>
    <w:uiPriority w:val="0"/>
    <w:rPr>
      <w:rFonts w:eastAsia="宋体"/>
      <w:kern w:val="2"/>
      <w:sz w:val="21"/>
      <w:szCs w:val="24"/>
      <w:lang w:val="en-US" w:eastAsia="zh-CN" w:bidi="ar-SA"/>
    </w:rPr>
  </w:style>
  <w:style w:type="character" w:customStyle="1" w:styleId="309">
    <w:name w:val="标题 4 字符"/>
    <w:semiHidden/>
    <w:uiPriority w:val="9"/>
    <w:rPr>
      <w:rFonts w:ascii="等线 Light" w:hAnsi="等线 Light" w:eastAsia="等线 Light" w:cs="Times New Roman"/>
      <w:b/>
      <w:bCs/>
      <w:kern w:val="2"/>
      <w:sz w:val="28"/>
      <w:szCs w:val="28"/>
    </w:rPr>
  </w:style>
  <w:style w:type="character" w:customStyle="1" w:styleId="310">
    <w:name w:val="标题 4 字符1"/>
    <w:uiPriority w:val="0"/>
    <w:rPr>
      <w:rFonts w:ascii="Arial" w:hAnsi="Arial" w:eastAsia="黑体"/>
      <w:bCs/>
      <w:sz w:val="28"/>
      <w:szCs w:val="28"/>
    </w:rPr>
  </w:style>
  <w:style w:type="character" w:customStyle="1" w:styleId="311">
    <w:name w:val="页眉 字符1"/>
    <w:uiPriority w:val="99"/>
    <w:rPr>
      <w:kern w:val="2"/>
      <w:sz w:val="18"/>
      <w:szCs w:val="18"/>
    </w:rPr>
  </w:style>
  <w:style w:type="character" w:customStyle="1" w:styleId="312">
    <w:name w:val="注释标题 字符"/>
    <w:semiHidden/>
    <w:uiPriority w:val="99"/>
    <w:rPr>
      <w:kern w:val="2"/>
      <w:sz w:val="21"/>
      <w:szCs w:val="24"/>
    </w:rPr>
  </w:style>
  <w:style w:type="character" w:customStyle="1" w:styleId="313">
    <w:name w:val="GW-标题2 Char"/>
    <w:link w:val="314"/>
    <w:qFormat/>
    <w:uiPriority w:val="0"/>
    <w:rPr>
      <w:rFonts w:ascii="Cambria" w:hAnsi="Cambria" w:eastAsia="宋体" w:cs="Times New Roman"/>
      <w:b/>
      <w:color w:val="0D0D0D"/>
      <w:kern w:val="2"/>
      <w:sz w:val="44"/>
      <w:szCs w:val="44"/>
    </w:rPr>
  </w:style>
  <w:style w:type="paragraph" w:customStyle="1" w:styleId="314">
    <w:name w:val="GW-标题2"/>
    <w:basedOn w:val="6"/>
    <w:next w:val="1"/>
    <w:link w:val="313"/>
    <w:qFormat/>
    <w:uiPriority w:val="0"/>
    <w:pPr>
      <w:widowControl/>
      <w:adjustRightInd w:val="0"/>
      <w:snapToGrid w:val="0"/>
      <w:spacing w:before="0" w:after="0" w:line="360" w:lineRule="auto"/>
      <w:ind w:left="840" w:hanging="420"/>
      <w:jc w:val="left"/>
    </w:pPr>
    <w:rPr>
      <w:rFonts w:ascii="Cambria" w:hAnsi="Cambria" w:eastAsia="宋体"/>
      <w:color w:val="0D0D0D"/>
      <w:kern w:val="2"/>
      <w:sz w:val="44"/>
      <w:szCs w:val="44"/>
    </w:rPr>
  </w:style>
  <w:style w:type="character" w:customStyle="1" w:styleId="315">
    <w:name w:val="列出段落 Char"/>
    <w:link w:val="316"/>
    <w:qFormat/>
    <w:locked/>
    <w:uiPriority w:val="34"/>
    <w:rPr>
      <w:rFonts w:ascii="Calibri" w:hAnsi="Calibri" w:eastAsia="宋体" w:cs="Times New Roman"/>
      <w:kern w:val="2"/>
      <w:sz w:val="21"/>
      <w:szCs w:val="22"/>
    </w:rPr>
  </w:style>
  <w:style w:type="paragraph" w:customStyle="1" w:styleId="316">
    <w:name w:val="列表段落1"/>
    <w:basedOn w:val="1"/>
    <w:link w:val="315"/>
    <w:qFormat/>
    <w:uiPriority w:val="34"/>
    <w:pPr>
      <w:ind w:firstLine="420" w:firstLineChars="200"/>
    </w:pPr>
  </w:style>
  <w:style w:type="character" w:customStyle="1" w:styleId="317">
    <w:name w:val="样式 样式 标题 1 + 居中 + 小四 加粗2 Char"/>
    <w:link w:val="318"/>
    <w:locked/>
    <w:uiPriority w:val="0"/>
    <w:rPr>
      <w:rFonts w:ascii="黑体" w:hAnsi="黑体" w:eastAsia="黑体" w:cs="宋体"/>
      <w:b/>
      <w:bCs/>
      <w:sz w:val="28"/>
      <w:szCs w:val="44"/>
    </w:rPr>
  </w:style>
  <w:style w:type="paragraph" w:customStyle="1" w:styleId="318">
    <w:name w:val="样式 样式 标题 1 + 居中 + 小四 加粗2"/>
    <w:basedOn w:val="104"/>
    <w:link w:val="317"/>
    <w:uiPriority w:val="0"/>
    <w:rPr>
      <w:kern w:val="0"/>
    </w:rPr>
  </w:style>
  <w:style w:type="character" w:customStyle="1" w:styleId="319">
    <w:name w:val="日期 字符"/>
    <w:semiHidden/>
    <w:uiPriority w:val="99"/>
    <w:rPr>
      <w:kern w:val="2"/>
      <w:sz w:val="21"/>
      <w:szCs w:val="24"/>
    </w:rPr>
  </w:style>
  <w:style w:type="character" w:customStyle="1" w:styleId="320">
    <w:name w:val="link1"/>
    <w:qFormat/>
    <w:uiPriority w:val="0"/>
    <w:rPr>
      <w:rFonts w:hint="default" w:ascii="Arial" w:hAnsi="Arial" w:cs="Arial"/>
      <w:color w:val="000000"/>
      <w:sz w:val="20"/>
      <w:szCs w:val="20"/>
    </w:rPr>
  </w:style>
  <w:style w:type="character" w:customStyle="1" w:styleId="321">
    <w:name w:val="称呼 字符"/>
    <w:semiHidden/>
    <w:uiPriority w:val="99"/>
    <w:rPr>
      <w:kern w:val="2"/>
      <w:sz w:val="21"/>
      <w:szCs w:val="24"/>
    </w:rPr>
  </w:style>
  <w:style w:type="character" w:customStyle="1" w:styleId="322">
    <w:name w:val="标题 1 Char1"/>
    <w:uiPriority w:val="0"/>
    <w:rPr>
      <w:b/>
      <w:bCs/>
      <w:kern w:val="44"/>
      <w:sz w:val="44"/>
      <w:szCs w:val="44"/>
    </w:rPr>
  </w:style>
  <w:style w:type="character" w:customStyle="1" w:styleId="323">
    <w:name w:val="脚注文本 字符"/>
    <w:semiHidden/>
    <w:uiPriority w:val="99"/>
    <w:rPr>
      <w:kern w:val="2"/>
      <w:sz w:val="18"/>
      <w:szCs w:val="18"/>
    </w:rPr>
  </w:style>
  <w:style w:type="character" w:customStyle="1" w:styleId="324">
    <w:name w:val="GW-正文 Char"/>
    <w:link w:val="238"/>
    <w:qFormat/>
    <w:uiPriority w:val="0"/>
    <w:rPr>
      <w:rFonts w:ascii="宋体" w:hAnsi="宋体"/>
      <w:bCs/>
      <w:sz w:val="24"/>
      <w:szCs w:val="24"/>
    </w:rPr>
  </w:style>
  <w:style w:type="character" w:customStyle="1" w:styleId="325">
    <w:name w:val="标题 5 字符"/>
    <w:semiHidden/>
    <w:uiPriority w:val="9"/>
    <w:rPr>
      <w:b/>
      <w:bCs/>
      <w:kern w:val="2"/>
      <w:sz w:val="28"/>
      <w:szCs w:val="28"/>
    </w:rPr>
  </w:style>
  <w:style w:type="character" w:customStyle="1" w:styleId="326">
    <w:name w:val="正文文本 2 字符"/>
    <w:semiHidden/>
    <w:uiPriority w:val="99"/>
    <w:rPr>
      <w:kern w:val="2"/>
      <w:sz w:val="21"/>
      <w:szCs w:val="24"/>
    </w:rPr>
  </w:style>
  <w:style w:type="character" w:customStyle="1" w:styleId="327">
    <w:name w:val="页眉 Char1"/>
    <w:link w:val="58"/>
    <w:qFormat/>
    <w:uiPriority w:val="0"/>
    <w:rPr>
      <w:rFonts w:ascii="Times New Roman" w:hAnsi="Times New Roman" w:eastAsia="宋体" w:cs="Times New Roman"/>
      <w:sz w:val="18"/>
      <w:szCs w:val="18"/>
    </w:rPr>
  </w:style>
  <w:style w:type="character" w:customStyle="1" w:styleId="328">
    <w:name w:val="文档结构图 字符1"/>
    <w:uiPriority w:val="0"/>
    <w:rPr>
      <w:rFonts w:hAnsi="Arial" w:eastAsia="黑体"/>
      <w:b/>
      <w:sz w:val="28"/>
      <w:szCs w:val="28"/>
      <w:shd w:val="clear" w:color="auto" w:fill="000080"/>
    </w:rPr>
  </w:style>
  <w:style w:type="character" w:customStyle="1" w:styleId="329">
    <w:name w:val="纯文本 字符"/>
    <w:semiHidden/>
    <w:uiPriority w:val="99"/>
    <w:rPr>
      <w:rFonts w:ascii="等线" w:hAnsi="Courier New" w:eastAsia="等线" w:cs="Courier New"/>
      <w:kern w:val="2"/>
      <w:sz w:val="21"/>
      <w:szCs w:val="24"/>
    </w:rPr>
  </w:style>
  <w:style w:type="character" w:customStyle="1" w:styleId="330">
    <w:name w:val="正文文本缩进 2 字符1"/>
    <w:uiPriority w:val="0"/>
    <w:rPr>
      <w:rFonts w:hAnsi="Arial" w:eastAsia="黑体"/>
      <w:b/>
      <w:sz w:val="28"/>
      <w:szCs w:val="28"/>
    </w:rPr>
  </w:style>
  <w:style w:type="character" w:customStyle="1" w:styleId="331">
    <w:name w:val="尾注文本 字符"/>
    <w:semiHidden/>
    <w:uiPriority w:val="99"/>
    <w:rPr>
      <w:kern w:val="2"/>
      <w:sz w:val="21"/>
      <w:szCs w:val="24"/>
    </w:rPr>
  </w:style>
  <w:style w:type="character" w:customStyle="1" w:styleId="332">
    <w:name w:val="标题 7 字符1"/>
    <w:uiPriority w:val="0"/>
    <w:rPr>
      <w:rFonts w:hAnsi="Arial" w:eastAsia="黑体"/>
      <w:bCs/>
      <w:sz w:val="24"/>
      <w:szCs w:val="28"/>
    </w:rPr>
  </w:style>
  <w:style w:type="character" w:customStyle="1" w:styleId="333">
    <w:name w:val="复选框"/>
    <w:uiPriority w:val="0"/>
    <w:rPr>
      <w:spacing w:val="0"/>
      <w:sz w:val="22"/>
      <w:lang w:eastAsia="zh-CN"/>
    </w:rPr>
  </w:style>
  <w:style w:type="character" w:customStyle="1" w:styleId="334">
    <w:name w:val="标题 6 字符"/>
    <w:semiHidden/>
    <w:uiPriority w:val="9"/>
    <w:rPr>
      <w:rFonts w:ascii="等线 Light" w:hAnsi="等线 Light" w:eastAsia="等线 Light" w:cs="Times New Roman"/>
      <w:b/>
      <w:bCs/>
      <w:kern w:val="2"/>
      <w:sz w:val="24"/>
      <w:szCs w:val="24"/>
    </w:rPr>
  </w:style>
  <w:style w:type="character" w:customStyle="1" w:styleId="335">
    <w:name w:val="Default Char Char"/>
    <w:link w:val="336"/>
    <w:locked/>
    <w:uiPriority w:val="0"/>
    <w:rPr>
      <w:rFonts w:ascii="宋体" w:hAnsi="Times New Roman" w:cs="宋体"/>
      <w:color w:val="000000"/>
      <w:sz w:val="24"/>
      <w:szCs w:val="24"/>
      <w:lang w:val="en-US" w:eastAsia="zh-CN" w:bidi="he-IL"/>
    </w:rPr>
  </w:style>
  <w:style w:type="paragraph" w:customStyle="1" w:styleId="336">
    <w:name w:val="Default"/>
    <w:link w:val="335"/>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character" w:customStyle="1" w:styleId="337">
    <w:name w:val="页脚 字符1"/>
    <w:uiPriority w:val="99"/>
    <w:rPr>
      <w:kern w:val="2"/>
      <w:sz w:val="18"/>
      <w:szCs w:val="18"/>
    </w:rPr>
  </w:style>
  <w:style w:type="character" w:customStyle="1" w:styleId="338">
    <w:name w:val="HTML 地址 字符"/>
    <w:semiHidden/>
    <w:uiPriority w:val="99"/>
    <w:rPr>
      <w:i/>
      <w:iCs/>
      <w:kern w:val="2"/>
      <w:sz w:val="21"/>
      <w:szCs w:val="24"/>
    </w:rPr>
  </w:style>
  <w:style w:type="character" w:customStyle="1" w:styleId="339">
    <w:name w:val="文档结构图 字符"/>
    <w:semiHidden/>
    <w:uiPriority w:val="99"/>
    <w:rPr>
      <w:rFonts w:ascii="Microsoft YaHei UI" w:eastAsia="Microsoft YaHei UI"/>
      <w:kern w:val="2"/>
      <w:sz w:val="18"/>
      <w:szCs w:val="18"/>
    </w:rPr>
  </w:style>
  <w:style w:type="character" w:customStyle="1" w:styleId="340">
    <w:name w:val="font61"/>
    <w:qFormat/>
    <w:uiPriority w:val="0"/>
    <w:rPr>
      <w:rFonts w:hint="eastAsia" w:ascii="宋体" w:hAnsi="宋体" w:eastAsia="宋体" w:cs="宋体"/>
      <w:color w:val="000000"/>
      <w:sz w:val="20"/>
      <w:szCs w:val="20"/>
      <w:u w:val="none"/>
    </w:rPr>
  </w:style>
  <w:style w:type="character" w:customStyle="1" w:styleId="341">
    <w:name w:val="标题4 Char"/>
    <w:uiPriority w:val="0"/>
    <w:rPr>
      <w:rFonts w:ascii="Arial" w:hAnsi="Arial" w:eastAsia="宋体"/>
      <w:b/>
      <w:sz w:val="24"/>
      <w:lang w:val="en-US" w:eastAsia="zh-CN"/>
    </w:rPr>
  </w:style>
  <w:style w:type="character" w:customStyle="1" w:styleId="342">
    <w:name w:val="font91"/>
    <w:qFormat/>
    <w:uiPriority w:val="0"/>
    <w:rPr>
      <w:rFonts w:hint="eastAsia" w:ascii="宋体" w:hAnsi="宋体" w:eastAsia="宋体" w:cs="宋体"/>
      <w:color w:val="000000"/>
      <w:sz w:val="20"/>
      <w:szCs w:val="20"/>
      <w:u w:val="none"/>
    </w:rPr>
  </w:style>
  <w:style w:type="character" w:customStyle="1" w:styleId="343">
    <w:name w:val="样式 样式 标题 1 + 居中 + 小四 加粗3 Char"/>
    <w:link w:val="344"/>
    <w:locked/>
    <w:uiPriority w:val="0"/>
    <w:rPr>
      <w:rFonts w:ascii="黑体" w:hAnsi="黑体" w:eastAsia="黑体" w:cs="宋体"/>
      <w:b/>
      <w:bCs/>
      <w:sz w:val="28"/>
      <w:szCs w:val="44"/>
    </w:rPr>
  </w:style>
  <w:style w:type="paragraph" w:customStyle="1" w:styleId="344">
    <w:name w:val="样式 样式 标题 1 + 居中 + 小四 加粗3"/>
    <w:basedOn w:val="104"/>
    <w:link w:val="343"/>
    <w:uiPriority w:val="0"/>
    <w:rPr>
      <w:kern w:val="0"/>
    </w:rPr>
  </w:style>
  <w:style w:type="character" w:customStyle="1" w:styleId="345">
    <w:name w:val="页脚 Char1"/>
    <w:qFormat/>
    <w:uiPriority w:val="0"/>
    <w:rPr>
      <w:kern w:val="2"/>
      <w:sz w:val="18"/>
      <w:szCs w:val="18"/>
    </w:rPr>
  </w:style>
  <w:style w:type="character" w:customStyle="1" w:styleId="346">
    <w:name w:val="正文文本缩进 Char"/>
    <w:link w:val="36"/>
    <w:qFormat/>
    <w:uiPriority w:val="0"/>
    <w:rPr>
      <w:rFonts w:ascii="楷体_GB2312" w:hAnsi="Times New Roman" w:eastAsia="楷体_GB2312" w:cs="Times New Roman"/>
      <w:kern w:val="0"/>
      <w:sz w:val="28"/>
      <w:szCs w:val="20"/>
    </w:rPr>
  </w:style>
  <w:style w:type="character" w:customStyle="1" w:styleId="347">
    <w:name w:val="标题 7 字符"/>
    <w:semiHidden/>
    <w:uiPriority w:val="9"/>
    <w:rPr>
      <w:b/>
      <w:bCs/>
      <w:kern w:val="2"/>
      <w:sz w:val="24"/>
      <w:szCs w:val="24"/>
    </w:rPr>
  </w:style>
  <w:style w:type="character" w:customStyle="1" w:styleId="348">
    <w:name w:val="标题 3 字符"/>
    <w:semiHidden/>
    <w:uiPriority w:val="9"/>
    <w:rPr>
      <w:b/>
      <w:bCs/>
      <w:kern w:val="2"/>
      <w:sz w:val="32"/>
      <w:szCs w:val="32"/>
    </w:rPr>
  </w:style>
  <w:style w:type="character" w:customStyle="1" w:styleId="349">
    <w:name w:val="标题 6 Char1"/>
    <w:semiHidden/>
    <w:uiPriority w:val="0"/>
    <w:rPr>
      <w:rFonts w:ascii="Cambria" w:hAnsi="Cambria" w:eastAsia="宋体" w:cs="Times New Roman"/>
      <w:b/>
      <w:bCs/>
      <w:kern w:val="2"/>
      <w:sz w:val="24"/>
      <w:szCs w:val="24"/>
    </w:rPr>
  </w:style>
  <w:style w:type="character" w:customStyle="1" w:styleId="350">
    <w:name w:val="正文文本首行缩进 2 字符"/>
    <w:basedOn w:val="123"/>
    <w:uiPriority w:val="0"/>
  </w:style>
  <w:style w:type="character" w:customStyle="1" w:styleId="351">
    <w:name w:val="标题 9 字符1"/>
    <w:uiPriority w:val="0"/>
    <w:rPr>
      <w:rFonts w:ascii="Arial" w:hAnsi="Arial" w:eastAsia="黑体"/>
      <w:b/>
      <w:sz w:val="28"/>
      <w:szCs w:val="21"/>
    </w:rPr>
  </w:style>
  <w:style w:type="character" w:customStyle="1" w:styleId="352">
    <w:name w:val="标题 9 Char1"/>
    <w:semiHidden/>
    <w:uiPriority w:val="0"/>
    <w:rPr>
      <w:rFonts w:ascii="Cambria" w:hAnsi="Cambria" w:eastAsia="宋体" w:cs="Times New Roman"/>
      <w:kern w:val="2"/>
      <w:sz w:val="21"/>
      <w:szCs w:val="21"/>
    </w:rPr>
  </w:style>
  <w:style w:type="character" w:customStyle="1" w:styleId="353">
    <w:name w:val="HTML 地址 字符1"/>
    <w:uiPriority w:val="0"/>
    <w:rPr>
      <w:rFonts w:hAnsi="Arial" w:eastAsia="黑体"/>
      <w:b/>
      <w:i/>
      <w:iCs/>
      <w:sz w:val="28"/>
      <w:szCs w:val="28"/>
    </w:rPr>
  </w:style>
  <w:style w:type="character" w:customStyle="1" w:styleId="354">
    <w:name w:val="明显强调1"/>
    <w:qFormat/>
    <w:uiPriority w:val="21"/>
    <w:rPr>
      <w:b/>
      <w:bCs/>
      <w:i/>
      <w:iCs/>
      <w:color w:val="4F81BD"/>
    </w:rPr>
  </w:style>
  <w:style w:type="character" w:customStyle="1" w:styleId="355">
    <w:name w:val="标题 Char2"/>
    <w:qFormat/>
    <w:uiPriority w:val="10"/>
    <w:rPr>
      <w:rFonts w:ascii="Cambria" w:hAnsi="Cambria" w:cs="Times New Roman"/>
      <w:b/>
      <w:bCs/>
      <w:kern w:val="2"/>
      <w:sz w:val="32"/>
      <w:szCs w:val="32"/>
    </w:rPr>
  </w:style>
  <w:style w:type="character" w:customStyle="1" w:styleId="356">
    <w:name w:val="text-normal"/>
    <w:uiPriority w:val="0"/>
  </w:style>
  <w:style w:type="character" w:customStyle="1" w:styleId="357">
    <w:name w:val="条标题1.1.1 Char"/>
    <w:uiPriority w:val="0"/>
    <w:rPr>
      <w:rFonts w:eastAsia="黑体"/>
      <w:b/>
      <w:sz w:val="28"/>
      <w:lang w:val="en-US" w:eastAsia="zh-CN"/>
    </w:rPr>
  </w:style>
  <w:style w:type="character" w:customStyle="1" w:styleId="358">
    <w:name w:val="正文文本 2 字符1"/>
    <w:uiPriority w:val="0"/>
    <w:rPr>
      <w:rFonts w:hAnsi="Arial" w:eastAsia="黑体"/>
      <w:b/>
      <w:sz w:val="28"/>
      <w:szCs w:val="28"/>
    </w:rPr>
  </w:style>
  <w:style w:type="character" w:customStyle="1" w:styleId="359">
    <w:name w:val="gray9pt1"/>
    <w:uiPriority w:val="0"/>
    <w:rPr>
      <w:rFonts w:hint="default" w:ascii="Arial" w:hAnsi="Arial" w:cs="Arial"/>
      <w:color w:val="666666"/>
      <w:sz w:val="18"/>
    </w:rPr>
  </w:style>
  <w:style w:type="character" w:customStyle="1" w:styleId="360">
    <w:name w:val="标题1 Char"/>
    <w:link w:val="361"/>
    <w:qFormat/>
    <w:uiPriority w:val="0"/>
    <w:rPr>
      <w:rFonts w:ascii="Times New Roman" w:hAnsi="Arial" w:eastAsia="黑体"/>
      <w:bCs/>
      <w:kern w:val="44"/>
      <w:sz w:val="28"/>
      <w:szCs w:val="28"/>
    </w:rPr>
  </w:style>
  <w:style w:type="paragraph" w:customStyle="1" w:styleId="361">
    <w:name w:val="标题1"/>
    <w:basedOn w:val="5"/>
    <w:link w:val="360"/>
    <w:qFormat/>
    <w:uiPriority w:val="0"/>
    <w:pPr>
      <w:tabs>
        <w:tab w:val="left" w:pos="360"/>
      </w:tabs>
      <w:adjustRightInd w:val="0"/>
      <w:spacing w:before="120" w:after="0" w:line="360" w:lineRule="auto"/>
      <w:ind w:left="360" w:hanging="360"/>
      <w:jc w:val="left"/>
      <w:textAlignment w:val="baseline"/>
    </w:pPr>
    <w:rPr>
      <w:rFonts w:hAnsi="Arial" w:eastAsia="黑体"/>
      <w:b w:val="0"/>
      <w:bCs/>
      <w:sz w:val="28"/>
      <w:szCs w:val="28"/>
    </w:rPr>
  </w:style>
  <w:style w:type="character" w:customStyle="1" w:styleId="362">
    <w:name w:val="批注文字 字符1"/>
    <w:uiPriority w:val="0"/>
    <w:rPr>
      <w:kern w:val="2"/>
      <w:sz w:val="28"/>
    </w:rPr>
  </w:style>
  <w:style w:type="character" w:customStyle="1" w:styleId="363">
    <w:name w:val="point_normal1"/>
    <w:uiPriority w:val="0"/>
    <w:rPr>
      <w:rFonts w:hint="default" w:ascii="Arial" w:hAnsi="Arial" w:cs="Arial"/>
      <w:sz w:val="18"/>
    </w:rPr>
  </w:style>
  <w:style w:type="character" w:customStyle="1" w:styleId="364">
    <w:name w:val="注释标题 Char"/>
    <w:link w:val="19"/>
    <w:uiPriority w:val="0"/>
    <w:rPr>
      <w:rFonts w:hAnsi="Arial" w:eastAsia="黑体"/>
      <w:b/>
      <w:sz w:val="28"/>
      <w:szCs w:val="28"/>
    </w:rPr>
  </w:style>
  <w:style w:type="character" w:customStyle="1" w:styleId="365">
    <w:name w:val="不明显参考1"/>
    <w:qFormat/>
    <w:uiPriority w:val="31"/>
    <w:rPr>
      <w:smallCaps/>
      <w:color w:val="C0504D"/>
      <w:u w:val="single"/>
    </w:rPr>
  </w:style>
  <w:style w:type="character" w:customStyle="1" w:styleId="366">
    <w:name w:val="副标题 字符"/>
    <w:uiPriority w:val="11"/>
    <w:rPr>
      <w:rFonts w:ascii="等线" w:hAnsi="等线" w:eastAsia="等线" w:cs="Times New Roman"/>
      <w:b/>
      <w:bCs/>
      <w:kern w:val="28"/>
      <w:sz w:val="32"/>
      <w:szCs w:val="32"/>
    </w:rPr>
  </w:style>
  <w:style w:type="character" w:customStyle="1" w:styleId="367">
    <w:name w:val="表格 Char Char"/>
    <w:link w:val="368"/>
    <w:locked/>
    <w:uiPriority w:val="0"/>
    <w:rPr>
      <w:rFonts w:ascii="宋体" w:hAnsi="宋体" w:eastAsia="宋体"/>
    </w:rPr>
  </w:style>
  <w:style w:type="paragraph" w:customStyle="1" w:styleId="368">
    <w:name w:val="表格"/>
    <w:basedOn w:val="1"/>
    <w:link w:val="367"/>
    <w:qFormat/>
    <w:uiPriority w:val="0"/>
    <w:pPr>
      <w:snapToGrid w:val="0"/>
      <w:ind w:firstLine="42" w:firstLineChars="21"/>
    </w:pPr>
    <w:rPr>
      <w:rFonts w:ascii="宋体" w:hAnsi="宋体"/>
      <w:kern w:val="0"/>
      <w:sz w:val="20"/>
      <w:szCs w:val="20"/>
    </w:rPr>
  </w:style>
  <w:style w:type="character" w:customStyle="1" w:styleId="369">
    <w:name w:val="font101"/>
    <w:qFormat/>
    <w:uiPriority w:val="0"/>
    <w:rPr>
      <w:rFonts w:hint="eastAsia" w:ascii="微软雅黑" w:hAnsi="微软雅黑" w:eastAsia="微软雅黑" w:cs="微软雅黑"/>
      <w:color w:val="FF0000"/>
      <w:sz w:val="24"/>
      <w:szCs w:val="24"/>
      <w:u w:val="none"/>
    </w:rPr>
  </w:style>
  <w:style w:type="character" w:customStyle="1" w:styleId="370">
    <w:name w:val="l151"/>
    <w:basedOn w:val="92"/>
    <w:qFormat/>
    <w:uiPriority w:val="0"/>
  </w:style>
  <w:style w:type="character" w:customStyle="1" w:styleId="371">
    <w:name w:val="标题 5 字符1"/>
    <w:uiPriority w:val="0"/>
    <w:rPr>
      <w:rFonts w:hAnsi="Arial" w:eastAsia="黑体"/>
      <w:bCs/>
      <w:sz w:val="28"/>
      <w:szCs w:val="28"/>
    </w:rPr>
  </w:style>
  <w:style w:type="character" w:customStyle="1" w:styleId="372">
    <w:name w:val="页眉 Char"/>
    <w:uiPriority w:val="0"/>
    <w:rPr>
      <w:rFonts w:hint="default" w:ascii="Times New Roman" w:hAnsi="Times New Roman" w:cs="Times New Roman"/>
      <w:sz w:val="18"/>
      <w:szCs w:val="18"/>
    </w:rPr>
  </w:style>
  <w:style w:type="character" w:customStyle="1" w:styleId="373">
    <w:name w:val="±íÕýÎÄ"/>
    <w:qFormat/>
    <w:uiPriority w:val="0"/>
    <w:rPr>
      <w:rFonts w:eastAsia="宋体"/>
      <w:kern w:val="2"/>
      <w:sz w:val="21"/>
      <w:szCs w:val="24"/>
      <w:lang w:val="en-US" w:eastAsia="zh-CN" w:bidi="ar-SA"/>
    </w:rPr>
  </w:style>
  <w:style w:type="character" w:customStyle="1" w:styleId="374">
    <w:name w:val="Char Char2"/>
    <w:locked/>
    <w:uiPriority w:val="0"/>
    <w:rPr>
      <w:rFonts w:ascii="宋体" w:hAnsi="Courier New" w:eastAsia="宋体" w:cs="宋体"/>
      <w:kern w:val="2"/>
      <w:sz w:val="21"/>
      <w:szCs w:val="21"/>
      <w:lang w:val="en-US" w:eastAsia="zh-CN" w:bidi="ar-SA"/>
    </w:rPr>
  </w:style>
  <w:style w:type="character" w:customStyle="1" w:styleId="375">
    <w:name w:val="正文文本缩进 2 Char"/>
    <w:link w:val="52"/>
    <w:qFormat/>
    <w:uiPriority w:val="0"/>
    <w:rPr>
      <w:rFonts w:ascii="宋体" w:hAnsi="Times New Roman" w:eastAsia="宋体" w:cs="Times New Roman"/>
      <w:sz w:val="24"/>
      <w:szCs w:val="20"/>
    </w:rPr>
  </w:style>
  <w:style w:type="character" w:customStyle="1" w:styleId="376">
    <w:name w:val="point_normal"/>
    <w:basedOn w:val="92"/>
    <w:uiPriority w:val="0"/>
  </w:style>
  <w:style w:type="character" w:customStyle="1" w:styleId="377">
    <w:name w:val="副标题 Char"/>
    <w:link w:val="65"/>
    <w:qFormat/>
    <w:uiPriority w:val="11"/>
    <w:rPr>
      <w:rFonts w:ascii="Cambria" w:hAnsi="Cambria" w:cs="Times New Roman"/>
      <w:b/>
      <w:bCs/>
      <w:kern w:val="28"/>
      <w:sz w:val="24"/>
      <w:szCs w:val="32"/>
    </w:rPr>
  </w:style>
  <w:style w:type="character" w:customStyle="1" w:styleId="378">
    <w:name w:val="font31"/>
    <w:qFormat/>
    <w:uiPriority w:val="0"/>
    <w:rPr>
      <w:rFonts w:hint="default" w:ascii="Calibri" w:hAnsi="Calibri" w:cs="Calibri"/>
      <w:color w:val="000000"/>
      <w:sz w:val="20"/>
      <w:szCs w:val="20"/>
      <w:u w:val="none"/>
    </w:rPr>
  </w:style>
  <w:style w:type="character" w:customStyle="1" w:styleId="379">
    <w:name w:val="Char Char21"/>
    <w:semiHidden/>
    <w:uiPriority w:val="0"/>
    <w:rPr>
      <w:sz w:val="18"/>
      <w:szCs w:val="18"/>
    </w:rPr>
  </w:style>
  <w:style w:type="character" w:customStyle="1" w:styleId="380">
    <w:name w:val="结束语 字符"/>
    <w:semiHidden/>
    <w:uiPriority w:val="99"/>
    <w:rPr>
      <w:kern w:val="2"/>
      <w:sz w:val="21"/>
      <w:szCs w:val="24"/>
    </w:rPr>
  </w:style>
  <w:style w:type="character" w:customStyle="1" w:styleId="381">
    <w:name w:val="font71"/>
    <w:qFormat/>
    <w:uiPriority w:val="0"/>
    <w:rPr>
      <w:rFonts w:hint="eastAsia" w:ascii="宋体" w:hAnsi="宋体" w:eastAsia="宋体" w:cs="宋体"/>
      <w:b/>
      <w:color w:val="000000"/>
      <w:sz w:val="20"/>
      <w:szCs w:val="20"/>
      <w:u w:val="none"/>
    </w:rPr>
  </w:style>
  <w:style w:type="character" w:customStyle="1" w:styleId="382">
    <w:name w:val="标题 Char1"/>
    <w:uiPriority w:val="10"/>
    <w:rPr>
      <w:rFonts w:ascii="Cambria" w:hAnsi="Cambria" w:cs="Times New Roman"/>
      <w:b/>
      <w:bCs/>
      <w:kern w:val="2"/>
      <w:sz w:val="32"/>
      <w:szCs w:val="32"/>
    </w:rPr>
  </w:style>
  <w:style w:type="character" w:customStyle="1" w:styleId="383">
    <w:name w:val="HTML 地址 Char"/>
    <w:link w:val="42"/>
    <w:uiPriority w:val="0"/>
    <w:rPr>
      <w:rFonts w:hAnsi="Arial" w:eastAsia="黑体"/>
      <w:b/>
      <w:i/>
      <w:iCs/>
      <w:sz w:val="28"/>
      <w:szCs w:val="28"/>
    </w:rPr>
  </w:style>
  <w:style w:type="character" w:customStyle="1" w:styleId="384">
    <w:name w:val="标题 1 字符"/>
    <w:uiPriority w:val="9"/>
    <w:rPr>
      <w:b/>
      <w:bCs/>
      <w:kern w:val="44"/>
      <w:sz w:val="44"/>
      <w:szCs w:val="44"/>
    </w:rPr>
  </w:style>
  <w:style w:type="character" w:customStyle="1" w:styleId="385">
    <w:name w:val="注释标题 字符1"/>
    <w:uiPriority w:val="0"/>
    <w:rPr>
      <w:rFonts w:hAnsi="Arial" w:eastAsia="黑体"/>
      <w:b/>
      <w:sz w:val="28"/>
      <w:szCs w:val="28"/>
    </w:rPr>
  </w:style>
  <w:style w:type="character" w:customStyle="1" w:styleId="386">
    <w:name w:val="标题 3 Char"/>
    <w:qFormat/>
    <w:uiPriority w:val="0"/>
    <w:rPr>
      <w:b/>
      <w:bCs/>
      <w:sz w:val="32"/>
      <w:szCs w:val="32"/>
    </w:rPr>
  </w:style>
  <w:style w:type="character" w:customStyle="1" w:styleId="387">
    <w:name w:val="正文文本 Char1"/>
    <w:basedOn w:val="92"/>
    <w:semiHidden/>
    <w:uiPriority w:val="99"/>
  </w:style>
  <w:style w:type="character" w:customStyle="1" w:styleId="388">
    <w:name w:val="信息标题 字符"/>
    <w:semiHidden/>
    <w:uiPriority w:val="99"/>
    <w:rPr>
      <w:rFonts w:ascii="等线 Light" w:hAnsi="等线 Light" w:eastAsia="等线 Light" w:cs="Times New Roman"/>
      <w:kern w:val="2"/>
      <w:sz w:val="24"/>
      <w:szCs w:val="24"/>
      <w:shd w:val="pct20" w:color="auto" w:fill="auto"/>
    </w:rPr>
  </w:style>
  <w:style w:type="character" w:customStyle="1" w:styleId="389">
    <w:name w:val="lh131"/>
    <w:basedOn w:val="92"/>
    <w:uiPriority w:val="0"/>
  </w:style>
  <w:style w:type="character" w:customStyle="1" w:styleId="390">
    <w:name w:val="正文首行缩进 2 Char Char"/>
    <w:uiPriority w:val="0"/>
    <w:rPr>
      <w:rFonts w:hint="default" w:ascii="Arial" w:hAnsi="Arial" w:eastAsia="宋体" w:cs="Arial"/>
      <w:kern w:val="2"/>
      <w:sz w:val="21"/>
      <w:szCs w:val="24"/>
      <w:lang w:val="en-US" w:eastAsia="zh-CN" w:bidi="ar-SA"/>
    </w:rPr>
  </w:style>
  <w:style w:type="paragraph" w:customStyle="1" w:styleId="391">
    <w:name w:val="xl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2">
    <w:name w:val="样式10"/>
    <w:basedOn w:val="393"/>
    <w:uiPriority w:val="0"/>
    <w:pPr>
      <w:pBdr>
        <w:bottom w:val="none" w:color="auto" w:sz="0" w:space="0"/>
      </w:pBdr>
      <w:tabs>
        <w:tab w:val="left" w:pos="945"/>
      </w:tabs>
      <w:spacing w:line="360" w:lineRule="exact"/>
      <w:ind w:left="973" w:hanging="448"/>
    </w:pPr>
    <w:rPr>
      <w:rFonts w:ascii="宋体"/>
      <w:color w:val="000000"/>
      <w:sz w:val="28"/>
      <w:szCs w:val="20"/>
    </w:rPr>
  </w:style>
  <w:style w:type="paragraph" w:customStyle="1" w:styleId="393">
    <w:name w:val="样式8"/>
    <w:basedOn w:val="1"/>
    <w:uiPriority w:val="0"/>
    <w:pPr>
      <w:pBdr>
        <w:bottom w:val="single" w:color="auto" w:sz="4" w:space="1"/>
      </w:pBdr>
      <w:jc w:val="center"/>
    </w:pPr>
    <w:rPr>
      <w:rFonts w:hAnsi="Arial" w:eastAsia="黑体"/>
      <w:b/>
      <w:kern w:val="0"/>
      <w:sz w:val="18"/>
      <w:szCs w:val="18"/>
    </w:rPr>
  </w:style>
  <w:style w:type="paragraph" w:customStyle="1" w:styleId="394">
    <w:name w:val="paragraph justified"/>
    <w:basedOn w:val="1"/>
    <w:uiPriority w:val="0"/>
    <w:pPr>
      <w:widowControl/>
      <w:spacing w:after="240"/>
      <w:jc w:val="center"/>
    </w:pPr>
    <w:rPr>
      <w:rFonts w:hAnsi="Arial" w:eastAsia="黑体"/>
      <w:b/>
      <w:kern w:val="0"/>
      <w:sz w:val="28"/>
      <w:szCs w:val="28"/>
    </w:rPr>
  </w:style>
  <w:style w:type="paragraph" w:customStyle="1" w:styleId="395">
    <w:name w:val="Char1"/>
    <w:basedOn w:val="28"/>
    <w:qFormat/>
    <w:uiPriority w:val="0"/>
    <w:rPr>
      <w:rFonts w:ascii="Tahoma" w:hAnsi="Tahoma"/>
      <w:sz w:val="24"/>
      <w:szCs w:val="24"/>
    </w:rPr>
  </w:style>
  <w:style w:type="paragraph" w:customStyle="1" w:styleId="396">
    <w:name w:val="xl124"/>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Arial" w:eastAsia="黑体"/>
      <w:b/>
      <w:kern w:val="0"/>
      <w:sz w:val="18"/>
      <w:szCs w:val="18"/>
    </w:rPr>
  </w:style>
  <w:style w:type="paragraph" w:customStyle="1" w:styleId="397">
    <w:name w:val="xl4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398">
    <w:name w:val="Char Char Char Char Char2 Char"/>
    <w:basedOn w:val="1"/>
    <w:next w:val="1"/>
    <w:qFormat/>
    <w:uiPriority w:val="0"/>
    <w:pPr>
      <w:widowControl/>
      <w:adjustRightInd w:val="0"/>
      <w:snapToGrid w:val="0"/>
      <w:spacing w:after="160" w:line="240" w:lineRule="exact"/>
      <w:jc w:val="left"/>
    </w:pPr>
    <w:rPr>
      <w:rFonts w:ascii="Verdana" w:hAnsi="Verdana"/>
      <w:kern w:val="0"/>
      <w:sz w:val="20"/>
      <w:szCs w:val="20"/>
      <w:lang w:eastAsia="en-US"/>
    </w:rPr>
  </w:style>
  <w:style w:type="paragraph" w:customStyle="1" w:styleId="399">
    <w:name w:val="表格编号正文"/>
    <w:basedOn w:val="1"/>
    <w:uiPriority w:val="0"/>
    <w:pPr>
      <w:tabs>
        <w:tab w:val="left" w:pos="735"/>
      </w:tabs>
      <w:ind w:left="735" w:hanging="735"/>
    </w:pPr>
    <w:rPr>
      <w:szCs w:val="20"/>
    </w:rPr>
  </w:style>
  <w:style w:type="paragraph" w:customStyle="1" w:styleId="400">
    <w:name w:val="Char1 Char Char Char Char"/>
    <w:basedOn w:val="1"/>
    <w:uiPriority w:val="0"/>
    <w:pPr>
      <w:widowControl/>
      <w:spacing w:after="160" w:line="240" w:lineRule="exact"/>
      <w:jc w:val="left"/>
    </w:pPr>
    <w:rPr>
      <w:rFonts w:ascii="Arial" w:hAnsi="Arial" w:eastAsia="Times New Roman" w:cs="Verdana"/>
      <w:b/>
      <w:kern w:val="0"/>
      <w:szCs w:val="20"/>
      <w:lang w:eastAsia="en-US"/>
    </w:rPr>
  </w:style>
  <w:style w:type="paragraph" w:customStyle="1" w:styleId="401">
    <w:name w:val="标准正文 Char Char"/>
    <w:basedOn w:val="1"/>
    <w:uiPriority w:val="0"/>
    <w:pPr>
      <w:adjustRightInd w:val="0"/>
      <w:spacing w:line="360" w:lineRule="atLeast"/>
      <w:ind w:firstLine="454"/>
      <w:jc w:val="left"/>
      <w:textAlignment w:val="baseline"/>
    </w:pPr>
    <w:rPr>
      <w:rFonts w:ascii="宋体" w:hAnsi="Arial" w:eastAsia="黑体"/>
      <w:b/>
      <w:kern w:val="0"/>
      <w:sz w:val="24"/>
      <w:szCs w:val="20"/>
    </w:rPr>
  </w:style>
  <w:style w:type="paragraph" w:customStyle="1" w:styleId="402">
    <w:name w:val="标书_正文"/>
    <w:basedOn w:val="1"/>
    <w:qFormat/>
    <w:uiPriority w:val="0"/>
    <w:pPr>
      <w:adjustRightInd w:val="0"/>
      <w:snapToGrid w:val="0"/>
      <w:spacing w:line="300" w:lineRule="auto"/>
      <w:ind w:firstLine="420"/>
      <w:jc w:val="left"/>
    </w:pPr>
    <w:rPr>
      <w:rFonts w:ascii="宋体"/>
      <w:bCs/>
      <w:kern w:val="0"/>
      <w:szCs w:val="24"/>
    </w:rPr>
  </w:style>
  <w:style w:type="paragraph" w:customStyle="1" w:styleId="403">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Arial" w:eastAsia="黑体"/>
      <w:b/>
      <w:kern w:val="0"/>
      <w:sz w:val="18"/>
      <w:szCs w:val="18"/>
    </w:rPr>
  </w:style>
  <w:style w:type="paragraph" w:customStyle="1" w:styleId="404">
    <w:name w:val="xl65"/>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4"/>
      <w:szCs w:val="24"/>
    </w:rPr>
  </w:style>
  <w:style w:type="paragraph" w:customStyle="1" w:styleId="405">
    <w:name w:val="xl13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Arial" w:eastAsia="黑体"/>
      <w:b/>
      <w:color w:val="FF0000"/>
      <w:kern w:val="0"/>
      <w:sz w:val="20"/>
      <w:szCs w:val="20"/>
    </w:rPr>
  </w:style>
  <w:style w:type="paragraph" w:customStyle="1" w:styleId="406">
    <w:name w:val="Liwb_Item_8"/>
    <w:basedOn w:val="1"/>
    <w:uiPriority w:val="0"/>
    <w:pPr>
      <w:widowControl/>
      <w:jc w:val="left"/>
      <w:outlineLvl w:val="8"/>
    </w:pPr>
    <w:rPr>
      <w:rFonts w:ascii="宋体" w:hAnsi="Arial" w:eastAsia="黑体"/>
      <w:b/>
      <w:kern w:val="0"/>
      <w:sz w:val="28"/>
      <w:szCs w:val="20"/>
    </w:rPr>
  </w:style>
  <w:style w:type="paragraph" w:customStyle="1" w:styleId="407">
    <w:name w:val="Liwb_Item_7"/>
    <w:basedOn w:val="1"/>
    <w:uiPriority w:val="0"/>
    <w:pPr>
      <w:widowControl/>
      <w:jc w:val="left"/>
      <w:outlineLvl w:val="7"/>
    </w:pPr>
    <w:rPr>
      <w:rFonts w:ascii="宋体" w:hAnsi="Arial" w:eastAsia="黑体"/>
      <w:b/>
      <w:kern w:val="0"/>
      <w:sz w:val="28"/>
      <w:szCs w:val="20"/>
    </w:rPr>
  </w:style>
  <w:style w:type="paragraph" w:customStyle="1" w:styleId="408">
    <w:name w:val="表格文字"/>
    <w:qFormat/>
    <w:uiPriority w:val="0"/>
    <w:pPr>
      <w:ind w:left="-1" w:leftChars="-5" w:hanging="13" w:hangingChars="6"/>
    </w:pPr>
    <w:rPr>
      <w:rFonts w:ascii="Times New Roman" w:hAnsi="Times New Roman" w:eastAsia="宋体" w:cs="Times New Roman"/>
      <w:iCs/>
      <w:kern w:val="2"/>
      <w:sz w:val="21"/>
      <w:szCs w:val="21"/>
      <w:lang w:val="zh-CN" w:eastAsia="zh-CN" w:bidi="ar-SA"/>
    </w:rPr>
  </w:style>
  <w:style w:type="paragraph" w:customStyle="1" w:styleId="409">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hAnsi="Arial" w:eastAsia="黑体"/>
      <w:b/>
      <w:kern w:val="0"/>
      <w:sz w:val="24"/>
      <w:szCs w:val="28"/>
    </w:rPr>
  </w:style>
  <w:style w:type="paragraph" w:customStyle="1" w:styleId="410">
    <w:name w:val="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411">
    <w:name w:val="样式 标题 3条标题1.1.1 + (符号) 宋体 黑色"/>
    <w:basedOn w:val="7"/>
    <w:uiPriority w:val="0"/>
    <w:pPr>
      <w:keepNext w:val="0"/>
      <w:keepLines w:val="0"/>
      <w:tabs>
        <w:tab w:val="right" w:pos="6521"/>
        <w:tab w:val="left" w:pos="6804"/>
      </w:tabs>
      <w:adjustRightInd w:val="0"/>
      <w:spacing w:before="120" w:after="0" w:line="240" w:lineRule="atLeast"/>
      <w:jc w:val="left"/>
      <w:textAlignment w:val="bottom"/>
    </w:pPr>
    <w:rPr>
      <w:rFonts w:ascii="Arial" w:hAnsi="Arial" w:eastAsia="黑体"/>
      <w:color w:val="000000"/>
      <w:sz w:val="24"/>
    </w:rPr>
  </w:style>
  <w:style w:type="paragraph" w:customStyle="1" w:styleId="412">
    <w:name w:val="样式 标题 44th levelh444headingPIM 4Fab-4T5H41H42H43H44H..."/>
    <w:basedOn w:val="9"/>
    <w:qFormat/>
    <w:uiPriority w:val="0"/>
    <w:pPr>
      <w:keepLines/>
      <w:tabs>
        <w:tab w:val="left" w:pos="864"/>
      </w:tabs>
      <w:adjustRightInd w:val="0"/>
      <w:snapToGrid w:val="0"/>
      <w:spacing w:line="377" w:lineRule="auto"/>
      <w:ind w:left="1262" w:leftChars="400" w:hanging="862"/>
    </w:pPr>
    <w:rPr>
      <w:rFonts w:ascii="Arial" w:hAnsi="Arial" w:cs="宋体"/>
      <w:b/>
      <w:bCs/>
      <w:kern w:val="2"/>
      <w:sz w:val="24"/>
    </w:rPr>
  </w:style>
  <w:style w:type="paragraph" w:customStyle="1" w:styleId="413">
    <w:name w:val="标题2"/>
    <w:basedOn w:val="6"/>
    <w:uiPriority w:val="0"/>
    <w:pPr>
      <w:keepNext w:val="0"/>
      <w:keepLines w:val="0"/>
      <w:tabs>
        <w:tab w:val="left" w:pos="567"/>
        <w:tab w:val="left" w:pos="992"/>
      </w:tabs>
      <w:adjustRightInd w:val="0"/>
      <w:spacing w:before="0" w:after="0" w:line="480" w:lineRule="exact"/>
      <w:ind w:left="990" w:hanging="567"/>
      <w:textAlignment w:val="baseline"/>
    </w:pPr>
    <w:rPr>
      <w:rFonts w:ascii="宋体" w:eastAsia="宋体"/>
      <w:b w:val="0"/>
      <w:color w:val="000000"/>
      <w:sz w:val="24"/>
      <w:szCs w:val="24"/>
    </w:rPr>
  </w:style>
  <w:style w:type="paragraph" w:customStyle="1" w:styleId="41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5">
    <w:name w:val="xl118"/>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Arial" w:eastAsia="黑体"/>
      <w:bCs/>
      <w:kern w:val="0"/>
      <w:sz w:val="20"/>
      <w:szCs w:val="20"/>
    </w:rPr>
  </w:style>
  <w:style w:type="paragraph" w:customStyle="1" w:styleId="416">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17">
    <w:name w:val="font12"/>
    <w:basedOn w:val="1"/>
    <w:uiPriority w:val="0"/>
    <w:pPr>
      <w:widowControl/>
      <w:spacing w:before="100" w:beforeAutospacing="1" w:after="100" w:afterAutospacing="1"/>
      <w:jc w:val="left"/>
    </w:pPr>
    <w:rPr>
      <w:rFonts w:ascii="新宋体" w:hAnsi="新宋体" w:eastAsia="新宋体" w:cs="宋体"/>
      <w:color w:val="000000"/>
      <w:kern w:val="0"/>
      <w:sz w:val="20"/>
      <w:szCs w:val="20"/>
    </w:rPr>
  </w:style>
  <w:style w:type="paragraph" w:customStyle="1" w:styleId="418">
    <w:name w:val="xl74"/>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419">
    <w:name w:val="xl123"/>
    <w:basedOn w:val="1"/>
    <w:uiPriority w:val="0"/>
    <w:pPr>
      <w:widowControl/>
      <w:pBdr>
        <w:right w:val="single" w:color="auto" w:sz="8" w:space="0"/>
      </w:pBdr>
      <w:spacing w:before="100" w:beforeAutospacing="1" w:after="100" w:afterAutospacing="1"/>
      <w:jc w:val="left"/>
      <w:textAlignment w:val="center"/>
    </w:pPr>
    <w:rPr>
      <w:rFonts w:ascii="宋体" w:hAnsi="Arial" w:eastAsia="黑体"/>
      <w:b/>
      <w:kern w:val="0"/>
      <w:sz w:val="20"/>
      <w:szCs w:val="20"/>
    </w:rPr>
  </w:style>
  <w:style w:type="paragraph" w:customStyle="1" w:styleId="420">
    <w:name w:val="标准正文 Char"/>
    <w:basedOn w:val="1"/>
    <w:uiPriority w:val="0"/>
    <w:pPr>
      <w:adjustRightInd w:val="0"/>
      <w:spacing w:line="360" w:lineRule="atLeast"/>
      <w:ind w:firstLine="454"/>
      <w:jc w:val="left"/>
      <w:textAlignment w:val="baseline"/>
    </w:pPr>
    <w:rPr>
      <w:rFonts w:ascii="宋体" w:hAnsi="Arial" w:eastAsia="黑体"/>
      <w:b/>
      <w:kern w:val="0"/>
      <w:sz w:val="24"/>
      <w:szCs w:val="20"/>
    </w:rPr>
  </w:style>
  <w:style w:type="paragraph" w:customStyle="1" w:styleId="421">
    <w:name w:val="_Style 5"/>
    <w:basedOn w:val="5"/>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422">
    <w:name w:val="内容文本"/>
    <w:basedOn w:val="423"/>
    <w:qFormat/>
    <w:uiPriority w:val="0"/>
    <w:pPr>
      <w:adjustRightInd w:val="0"/>
      <w:snapToGrid w:val="0"/>
      <w:spacing w:line="360" w:lineRule="auto"/>
      <w:ind w:firstLine="200" w:firstLineChars="0"/>
      <w:contextualSpacing/>
      <w:jc w:val="left"/>
    </w:pPr>
    <w:rPr>
      <w:rFonts w:ascii="宋体" w:hAnsi="宋体"/>
      <w:kern w:val="0"/>
      <w:sz w:val="24"/>
      <w:szCs w:val="24"/>
      <w:lang w:eastAsia="en-US" w:bidi="en-US"/>
    </w:rPr>
  </w:style>
  <w:style w:type="paragraph" w:customStyle="1" w:styleId="423">
    <w:name w:val="列出段落1"/>
    <w:basedOn w:val="1"/>
    <w:qFormat/>
    <w:uiPriority w:val="0"/>
    <w:pPr>
      <w:ind w:firstLine="420" w:firstLineChars="200"/>
    </w:pPr>
    <w:rPr>
      <w:rFonts w:ascii="Calibri" w:hAnsi="Calibri"/>
    </w:rPr>
  </w:style>
  <w:style w:type="paragraph" w:customStyle="1" w:styleId="424">
    <w:name w:val="Char1 Char Char Char"/>
    <w:basedOn w:val="28"/>
    <w:qFormat/>
    <w:uiPriority w:val="0"/>
    <w:rPr>
      <w:rFonts w:ascii="Tahoma" w:hAnsi="Tahoma"/>
      <w:sz w:val="24"/>
      <w:szCs w:val="24"/>
    </w:rPr>
  </w:style>
  <w:style w:type="paragraph" w:customStyle="1" w:styleId="425">
    <w:name w:val="Default Paragraph Font Para Char"/>
    <w:basedOn w:val="1"/>
    <w:qFormat/>
    <w:uiPriority w:val="0"/>
    <w:pPr>
      <w:widowControl/>
      <w:adjustRightInd w:val="0"/>
      <w:snapToGrid w:val="0"/>
      <w:spacing w:after="160" w:line="240" w:lineRule="exact"/>
      <w:jc w:val="left"/>
    </w:pPr>
    <w:rPr>
      <w:rFonts w:ascii="宋体" w:hAnsi="宋体"/>
      <w:b/>
      <w:bCs/>
      <w:sz w:val="24"/>
      <w:szCs w:val="28"/>
    </w:rPr>
  </w:style>
  <w:style w:type="paragraph" w:customStyle="1" w:styleId="426">
    <w:name w:val="a"/>
    <w:basedOn w:val="1"/>
    <w:qFormat/>
    <w:uiPriority w:val="0"/>
    <w:pPr>
      <w:widowControl/>
      <w:adjustRightInd w:val="0"/>
      <w:snapToGrid w:val="0"/>
      <w:spacing w:before="100" w:beforeAutospacing="1" w:after="100" w:afterAutospacing="1" w:line="240" w:lineRule="atLeast"/>
      <w:jc w:val="left"/>
    </w:pPr>
    <w:rPr>
      <w:rFonts w:ascii="宋体" w:hAnsi="宋体" w:cs="宋体"/>
      <w:kern w:val="0"/>
      <w:sz w:val="18"/>
      <w:szCs w:val="18"/>
    </w:rPr>
  </w:style>
  <w:style w:type="paragraph" w:customStyle="1" w:styleId="427">
    <w:name w:val="lastincell"/>
    <w:basedOn w:val="1"/>
    <w:qFormat/>
    <w:uiPriority w:val="0"/>
    <w:pPr>
      <w:widowControl/>
      <w:adjustRightInd w:val="0"/>
      <w:snapToGrid w:val="0"/>
      <w:spacing w:line="336" w:lineRule="auto"/>
      <w:jc w:val="left"/>
    </w:pPr>
    <w:rPr>
      <w:rFonts w:ascii="Verdana" w:hAnsi="Verdana" w:cs="宋体"/>
      <w:kern w:val="0"/>
      <w:sz w:val="17"/>
      <w:szCs w:val="17"/>
    </w:rPr>
  </w:style>
  <w:style w:type="paragraph" w:customStyle="1" w:styleId="428">
    <w:name w:val="页脚2"/>
    <w:basedOn w:val="1"/>
    <w:next w:val="429"/>
    <w:uiPriority w:val="0"/>
    <w:pPr>
      <w:adjustRightInd w:val="0"/>
      <w:jc w:val="left"/>
      <w:textAlignment w:val="baseline"/>
    </w:pPr>
    <w:rPr>
      <w:rFonts w:ascii="宋体" w:hAnsi="Arial" w:eastAsia="黑体"/>
      <w:b/>
      <w:kern w:val="28"/>
      <w:sz w:val="28"/>
      <w:szCs w:val="20"/>
    </w:rPr>
  </w:style>
  <w:style w:type="paragraph" w:customStyle="1" w:styleId="429">
    <w:name w:val="页眉2"/>
    <w:basedOn w:val="1"/>
    <w:uiPriority w:val="0"/>
    <w:pPr>
      <w:adjustRightInd w:val="0"/>
      <w:spacing w:after="280"/>
      <w:jc w:val="left"/>
      <w:textAlignment w:val="baseline"/>
    </w:pPr>
    <w:rPr>
      <w:rFonts w:ascii="宋体" w:hAnsi="Arial" w:eastAsia="黑体"/>
      <w:b/>
      <w:kern w:val="28"/>
      <w:sz w:val="28"/>
      <w:szCs w:val="20"/>
    </w:rPr>
  </w:style>
  <w:style w:type="paragraph" w:customStyle="1" w:styleId="430">
    <w:name w:val="Body Text1"/>
    <w:basedOn w:val="1"/>
    <w:next w:val="71"/>
    <w:qFormat/>
    <w:uiPriority w:val="0"/>
    <w:pPr>
      <w:adjustRightInd w:val="0"/>
      <w:snapToGrid w:val="0"/>
      <w:spacing w:beforeLines="50" w:afterLines="50" w:line="360" w:lineRule="auto"/>
      <w:ind w:firstLine="480" w:firstLineChars="200"/>
      <w:jc w:val="left"/>
    </w:pPr>
    <w:rPr>
      <w:rFonts w:ascii="Arial" w:hAnsi="Arial" w:cs="Arial"/>
      <w:sz w:val="24"/>
      <w:szCs w:val="20"/>
    </w:rPr>
  </w:style>
  <w:style w:type="paragraph" w:customStyle="1" w:styleId="431">
    <w:name w:val="Level 1"/>
    <w:basedOn w:val="1"/>
    <w:uiPriority w:val="0"/>
    <w:pPr>
      <w:ind w:left="720" w:hanging="720"/>
      <w:jc w:val="center"/>
    </w:pPr>
    <w:rPr>
      <w:rFonts w:ascii="Courier" w:hAnsi="Courier" w:eastAsia="黑体"/>
      <w:b/>
      <w:kern w:val="0"/>
      <w:sz w:val="28"/>
      <w:szCs w:val="28"/>
    </w:rPr>
  </w:style>
  <w:style w:type="paragraph" w:customStyle="1" w:styleId="432">
    <w:name w:val="xl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33">
    <w:name w:val="样式 标题 1章节标题 + 三号 段前: 6 磅 段后: 6 磅 行距: 单倍行距"/>
    <w:basedOn w:val="5"/>
    <w:uiPriority w:val="0"/>
    <w:pPr>
      <w:keepNext w:val="0"/>
      <w:keepLines w:val="0"/>
      <w:adjustRightInd w:val="0"/>
      <w:spacing w:before="120" w:after="120" w:line="240" w:lineRule="auto"/>
      <w:jc w:val="left"/>
      <w:textAlignment w:val="baseline"/>
    </w:pPr>
    <w:rPr>
      <w:rFonts w:hAnsi="Arial" w:eastAsia="黑体" w:cs="宋体"/>
      <w:b w:val="0"/>
      <w:bCs/>
      <w:sz w:val="32"/>
    </w:rPr>
  </w:style>
  <w:style w:type="paragraph" w:customStyle="1" w:styleId="434">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35">
    <w:name w:val="xl4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6">
    <w:name w:val="List Paragraph1"/>
    <w:basedOn w:val="1"/>
    <w:uiPriority w:val="0"/>
    <w:pPr>
      <w:ind w:firstLine="420" w:firstLineChars="200"/>
    </w:pPr>
    <w:rPr>
      <w:szCs w:val="20"/>
    </w:rPr>
  </w:style>
  <w:style w:type="paragraph" w:customStyle="1" w:styleId="437">
    <w:name w:val="xl106"/>
    <w:basedOn w:val="1"/>
    <w:uiPriority w:val="0"/>
    <w:pPr>
      <w:widowControl/>
      <w:spacing w:before="100" w:beforeAutospacing="1" w:after="100" w:afterAutospacing="1"/>
      <w:jc w:val="left"/>
      <w:textAlignment w:val="center"/>
    </w:pPr>
    <w:rPr>
      <w:rFonts w:ascii="宋体" w:hAnsi="Arial" w:eastAsia="黑体"/>
      <w:b/>
      <w:kern w:val="0"/>
      <w:sz w:val="20"/>
      <w:szCs w:val="20"/>
    </w:rPr>
  </w:style>
  <w:style w:type="paragraph" w:customStyle="1" w:styleId="438">
    <w:name w:val="font10"/>
    <w:basedOn w:val="1"/>
    <w:uiPriority w:val="0"/>
    <w:pPr>
      <w:widowControl/>
      <w:spacing w:before="100" w:beforeAutospacing="1" w:after="100" w:afterAutospacing="1"/>
      <w:jc w:val="left"/>
    </w:pPr>
    <w:rPr>
      <w:color w:val="000000"/>
      <w:kern w:val="0"/>
      <w:sz w:val="20"/>
      <w:szCs w:val="20"/>
    </w:rPr>
  </w:style>
  <w:style w:type="paragraph" w:customStyle="1" w:styleId="439">
    <w:name w:val="样式 正文缩进 + 段前: 0.25 行"/>
    <w:basedOn w:val="8"/>
    <w:qFormat/>
    <w:uiPriority w:val="0"/>
    <w:pPr>
      <w:snapToGrid w:val="0"/>
      <w:spacing w:beforeLines="45" w:after="80" w:line="0" w:lineRule="atLeast"/>
      <w:ind w:firstLine="200" w:firstLineChars="200"/>
      <w:jc w:val="left"/>
    </w:pPr>
    <w:rPr>
      <w:rFonts w:cs="宋体"/>
      <w:kern w:val="2"/>
      <w:sz w:val="24"/>
    </w:rPr>
  </w:style>
  <w:style w:type="paragraph" w:customStyle="1" w:styleId="440">
    <w:name w:val="c"/>
    <w:basedOn w:val="1"/>
    <w:uiPriority w:val="0"/>
    <w:pPr>
      <w:autoSpaceDE w:val="0"/>
      <w:autoSpaceDN w:val="0"/>
      <w:adjustRightInd w:val="0"/>
      <w:jc w:val="center"/>
    </w:pPr>
    <w:rPr>
      <w:rFonts w:ascii="五" w:hAnsi="Arial" w:eastAsia="五"/>
      <w:b/>
      <w:kern w:val="0"/>
      <w:sz w:val="24"/>
      <w:szCs w:val="28"/>
    </w:rPr>
  </w:style>
  <w:style w:type="paragraph" w:customStyle="1" w:styleId="44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2">
    <w:name w:val="edoc-title3"/>
    <w:basedOn w:val="1"/>
    <w:qFormat/>
    <w:uiPriority w:val="0"/>
    <w:pPr>
      <w:adjustRightInd w:val="0"/>
      <w:snapToGrid w:val="0"/>
      <w:spacing w:beforeLines="50" w:afterLines="50"/>
      <w:jc w:val="left"/>
      <w:outlineLvl w:val="3"/>
    </w:pPr>
    <w:rPr>
      <w:b/>
      <w:bCs/>
      <w:color w:val="000000"/>
      <w:kern w:val="28"/>
      <w:sz w:val="24"/>
      <w:szCs w:val="24"/>
    </w:rPr>
  </w:style>
  <w:style w:type="paragraph" w:customStyle="1" w:styleId="443">
    <w:name w:val="List 2 - No Bullet"/>
    <w:basedOn w:val="41"/>
    <w:uiPriority w:val="0"/>
    <w:pPr>
      <w:spacing w:line="240" w:lineRule="auto"/>
      <w:jc w:val="center"/>
    </w:pPr>
    <w:rPr>
      <w:rFonts w:ascii="Times New Roman" w:hAnsi="Arial" w:eastAsia="黑体"/>
      <w:b/>
      <w:szCs w:val="28"/>
    </w:rPr>
  </w:style>
  <w:style w:type="paragraph" w:customStyle="1" w:styleId="444">
    <w:name w:val="样式 小四 行距: 1.5 倍行距 首行缩进:  2.25 字符"/>
    <w:basedOn w:val="1"/>
    <w:uiPriority w:val="0"/>
    <w:pPr>
      <w:widowControl/>
      <w:tabs>
        <w:tab w:val="left" w:pos="735"/>
      </w:tabs>
      <w:spacing w:after="200" w:line="360" w:lineRule="auto"/>
      <w:ind w:left="735" w:hanging="735"/>
      <w:jc w:val="left"/>
    </w:pPr>
    <w:rPr>
      <w:rFonts w:ascii="宋体" w:hAnsi="宋体"/>
      <w:spacing w:val="-8"/>
      <w:kern w:val="0"/>
      <w:sz w:val="24"/>
      <w:szCs w:val="24"/>
      <w:lang w:eastAsia="en-US" w:bidi="en-US"/>
    </w:rPr>
  </w:style>
  <w:style w:type="paragraph" w:customStyle="1" w:styleId="445">
    <w:name w:val="xl4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FF6600"/>
      <w:kern w:val="0"/>
      <w:sz w:val="18"/>
      <w:szCs w:val="18"/>
    </w:rPr>
  </w:style>
  <w:style w:type="paragraph" w:customStyle="1" w:styleId="446">
    <w:name w:val="Char Char Char Char Char2 Char Char Char Char Char Char Char Char Char Char"/>
    <w:basedOn w:val="1"/>
    <w:next w:val="1"/>
    <w:qFormat/>
    <w:uiPriority w:val="0"/>
    <w:pPr>
      <w:widowControl/>
      <w:adjustRightInd w:val="0"/>
      <w:snapToGrid w:val="0"/>
      <w:spacing w:after="160" w:line="240" w:lineRule="exact"/>
      <w:jc w:val="left"/>
    </w:pPr>
    <w:rPr>
      <w:rFonts w:ascii="Verdana" w:hAnsi="Verdana"/>
      <w:kern w:val="0"/>
      <w:sz w:val="20"/>
      <w:szCs w:val="20"/>
      <w:lang w:eastAsia="en-US"/>
    </w:rPr>
  </w:style>
  <w:style w:type="paragraph" w:customStyle="1" w:styleId="447">
    <w:name w:val="bt4"/>
    <w:basedOn w:val="9"/>
    <w:uiPriority w:val="0"/>
    <w:pPr>
      <w:keepNext w:val="0"/>
      <w:tabs>
        <w:tab w:val="left" w:pos="0"/>
        <w:tab w:val="left" w:pos="851"/>
      </w:tabs>
      <w:adjustRightInd w:val="0"/>
      <w:spacing w:before="120" w:after="120" w:line="360" w:lineRule="auto"/>
      <w:ind w:right="192"/>
      <w:jc w:val="left"/>
      <w:textAlignment w:val="baseline"/>
      <w:outlineLvl w:val="9"/>
    </w:pPr>
    <w:rPr>
      <w:rFonts w:ascii="Arial" w:hAnsi="Arial"/>
      <w:b/>
      <w:color w:val="FF0000"/>
      <w:sz w:val="24"/>
      <w:szCs w:val="24"/>
    </w:rPr>
  </w:style>
  <w:style w:type="paragraph" w:customStyle="1" w:styleId="448">
    <w:name w:val="contentlabel"/>
    <w:basedOn w:val="1"/>
    <w:qFormat/>
    <w:uiPriority w:val="0"/>
    <w:pPr>
      <w:widowControl/>
      <w:adjustRightInd w:val="0"/>
      <w:snapToGrid w:val="0"/>
      <w:spacing w:before="30" w:after="100" w:afterAutospacing="1"/>
      <w:ind w:left="90"/>
      <w:jc w:val="left"/>
    </w:pPr>
    <w:rPr>
      <w:rFonts w:ascii="宋体" w:hAnsi="宋体" w:cs="宋体"/>
      <w:color w:val="336666"/>
      <w:kern w:val="0"/>
      <w:sz w:val="18"/>
      <w:szCs w:val="18"/>
    </w:rPr>
  </w:style>
  <w:style w:type="paragraph" w:customStyle="1" w:styleId="449">
    <w:name w:val="序言称呼"/>
    <w:basedOn w:val="1"/>
    <w:qFormat/>
    <w:uiPriority w:val="0"/>
    <w:pPr>
      <w:adjustRightInd w:val="0"/>
      <w:snapToGrid w:val="0"/>
      <w:spacing w:before="60" w:after="60" w:line="300" w:lineRule="auto"/>
      <w:jc w:val="left"/>
    </w:pPr>
    <w:rPr>
      <w:rFonts w:eastAsia="楷体_GB2312"/>
      <w:b/>
      <w:spacing w:val="20"/>
      <w:sz w:val="28"/>
      <w:szCs w:val="20"/>
    </w:rPr>
  </w:style>
  <w:style w:type="paragraph" w:customStyle="1" w:styleId="450">
    <w:name w:val="TOC 标题2"/>
    <w:basedOn w:val="5"/>
    <w:next w:val="1"/>
    <w:unhideWhenUsed/>
    <w:qFormat/>
    <w:uiPriority w:val="39"/>
    <w:pPr>
      <w:widowControl/>
      <w:adjustRightInd w:val="0"/>
      <w:snapToGrid w:val="0"/>
      <w:spacing w:before="100" w:beforeAutospacing="1" w:after="0" w:line="276" w:lineRule="auto"/>
      <w:jc w:val="left"/>
      <w:outlineLvl w:val="9"/>
    </w:pPr>
    <w:rPr>
      <w:rFonts w:ascii="Cambria" w:hAnsi="Cambria" w:eastAsia="宋体"/>
      <w:bCs/>
      <w:color w:val="365F91"/>
      <w:kern w:val="0"/>
      <w:sz w:val="28"/>
      <w:szCs w:val="28"/>
    </w:rPr>
  </w:style>
  <w:style w:type="paragraph" w:customStyle="1" w:styleId="451">
    <w:name w:val="样式5"/>
    <w:basedOn w:val="1"/>
    <w:qFormat/>
    <w:uiPriority w:val="0"/>
    <w:pPr>
      <w:tabs>
        <w:tab w:val="left" w:pos="1140"/>
      </w:tabs>
      <w:spacing w:line="540" w:lineRule="exact"/>
      <w:ind w:left="1140" w:hanging="420"/>
      <w:jc w:val="center"/>
    </w:pPr>
    <w:rPr>
      <w:rFonts w:hAnsi="Arial" w:eastAsia="黑体"/>
      <w:b/>
      <w:kern w:val="0"/>
      <w:sz w:val="28"/>
      <w:szCs w:val="20"/>
    </w:rPr>
  </w:style>
  <w:style w:type="paragraph" w:customStyle="1" w:styleId="452">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楷体" w:hAnsi="Arial" w:eastAsia="楷体"/>
      <w:b/>
      <w:kern w:val="0"/>
      <w:sz w:val="24"/>
      <w:szCs w:val="28"/>
    </w:rPr>
  </w:style>
  <w:style w:type="paragraph" w:customStyle="1" w:styleId="453">
    <w:name w:val="江西-正文"/>
    <w:basedOn w:val="1"/>
    <w:qFormat/>
    <w:uiPriority w:val="0"/>
    <w:pPr>
      <w:adjustRightInd w:val="0"/>
      <w:snapToGrid w:val="0"/>
      <w:ind w:firstLine="200" w:firstLineChars="200"/>
      <w:jc w:val="left"/>
    </w:pPr>
    <w:rPr>
      <w:rFonts w:eastAsia="华文中宋"/>
      <w:kern w:val="0"/>
      <w:sz w:val="24"/>
    </w:rPr>
  </w:style>
  <w:style w:type="paragraph" w:customStyle="1" w:styleId="454">
    <w:name w:val="xl7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455">
    <w:name w:val="样式 左侧:  0.74 厘米1"/>
    <w:basedOn w:val="1"/>
    <w:qFormat/>
    <w:uiPriority w:val="0"/>
    <w:pPr>
      <w:ind w:left="620" w:hanging="200" w:hangingChars="200"/>
    </w:pPr>
    <w:rPr>
      <w:rFonts w:cs="宋体"/>
      <w:szCs w:val="20"/>
    </w:rPr>
  </w:style>
  <w:style w:type="paragraph" w:customStyle="1" w:styleId="456">
    <w:name w:val="sanxiang2"/>
    <w:basedOn w:val="1"/>
    <w:uiPriority w:val="0"/>
    <w:pPr>
      <w:keepNext/>
      <w:snapToGrid w:val="0"/>
      <w:spacing w:line="500" w:lineRule="exact"/>
      <w:jc w:val="center"/>
      <w:outlineLvl w:val="1"/>
    </w:pPr>
    <w:rPr>
      <w:rFonts w:ascii="黑体" w:hAnsi="宋体" w:eastAsia="黑体"/>
      <w:w w:val="90"/>
      <w:sz w:val="36"/>
      <w:szCs w:val="30"/>
      <w:lang w:eastAsia="en-US" w:bidi="en-US"/>
    </w:rPr>
  </w:style>
  <w:style w:type="paragraph" w:customStyle="1" w:styleId="457">
    <w:name w:val="xl121"/>
    <w:basedOn w:val="1"/>
    <w:uiPriority w:val="0"/>
    <w:pPr>
      <w:widowControl/>
      <w:spacing w:before="100" w:beforeAutospacing="1" w:after="100" w:afterAutospacing="1"/>
      <w:jc w:val="center"/>
      <w:textAlignment w:val="center"/>
    </w:pPr>
    <w:rPr>
      <w:rFonts w:ascii="宋体" w:hAnsi="Arial" w:eastAsia="黑体"/>
      <w:b/>
      <w:kern w:val="0"/>
      <w:sz w:val="20"/>
      <w:szCs w:val="20"/>
    </w:rPr>
  </w:style>
  <w:style w:type="paragraph" w:customStyle="1" w:styleId="458">
    <w:name w:val="段"/>
    <w:basedOn w:val="1"/>
    <w:uiPriority w:val="0"/>
    <w:pPr>
      <w:autoSpaceDE w:val="0"/>
      <w:autoSpaceDN w:val="0"/>
      <w:ind w:firstLine="200" w:firstLineChars="200"/>
      <w:jc w:val="center"/>
    </w:pPr>
    <w:rPr>
      <w:rFonts w:ascii="宋体" w:hAnsi="Arial" w:eastAsia="黑体"/>
      <w:b/>
      <w:kern w:val="0"/>
      <w:sz w:val="28"/>
      <w:szCs w:val="28"/>
    </w:rPr>
  </w:style>
  <w:style w:type="paragraph" w:customStyle="1" w:styleId="459">
    <w:name w:val="xl4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0">
    <w:name w:val="xl7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61">
    <w:name w:val="样式 列出段落 + 首行缩进:  2 字符"/>
    <w:basedOn w:val="1"/>
    <w:qFormat/>
    <w:uiPriority w:val="0"/>
    <w:pPr>
      <w:adjustRightInd w:val="0"/>
      <w:snapToGrid w:val="0"/>
      <w:spacing w:line="300" w:lineRule="auto"/>
      <w:ind w:firstLine="200" w:firstLineChars="200"/>
      <w:jc w:val="left"/>
    </w:pPr>
    <w:rPr>
      <w:rFonts w:cs="宋体"/>
      <w:sz w:val="24"/>
    </w:rPr>
  </w:style>
  <w:style w:type="paragraph" w:customStyle="1" w:styleId="462">
    <w:name w:val="xl98"/>
    <w:basedOn w:val="1"/>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楷体" w:hAnsi="Arial" w:eastAsia="楷体"/>
      <w:b/>
      <w:kern w:val="0"/>
      <w:sz w:val="20"/>
      <w:szCs w:val="20"/>
    </w:rPr>
  </w:style>
  <w:style w:type="paragraph" w:customStyle="1" w:styleId="463">
    <w:name w:val="lin"/>
    <w:basedOn w:val="1"/>
    <w:uiPriority w:val="0"/>
    <w:pPr>
      <w:widowControl/>
      <w:tabs>
        <w:tab w:val="right" w:leader="underscore" w:pos="3312"/>
      </w:tabs>
      <w:jc w:val="center"/>
    </w:pPr>
    <w:rPr>
      <w:rFonts w:ascii="CG Omega" w:hAnsi="CG Omega" w:eastAsia="MS Mincho"/>
      <w:b/>
      <w:kern w:val="0"/>
      <w:sz w:val="20"/>
      <w:szCs w:val="28"/>
      <w:lang w:eastAsia="ja-JP"/>
    </w:rPr>
  </w:style>
  <w:style w:type="paragraph" w:customStyle="1" w:styleId="464">
    <w:name w:val="正文4"/>
    <w:basedOn w:val="1"/>
    <w:qFormat/>
    <w:uiPriority w:val="0"/>
    <w:pPr>
      <w:tabs>
        <w:tab w:val="left" w:pos="360"/>
      </w:tabs>
      <w:adjustRightInd w:val="0"/>
      <w:snapToGrid w:val="0"/>
      <w:spacing w:before="60" w:after="60" w:line="360" w:lineRule="auto"/>
      <w:ind w:left="820" w:leftChars="400" w:hanging="360" w:hangingChars="200"/>
      <w:jc w:val="left"/>
    </w:pPr>
    <w:rPr>
      <w:sz w:val="24"/>
      <w:szCs w:val="20"/>
    </w:rPr>
  </w:style>
  <w:style w:type="paragraph" w:customStyle="1" w:styleId="465">
    <w:name w:val="xl76"/>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466">
    <w:name w:val="表格正文"/>
    <w:basedOn w:val="1"/>
    <w:qFormat/>
    <w:uiPriority w:val="0"/>
    <w:pPr>
      <w:adjustRightInd w:val="0"/>
      <w:snapToGrid w:val="0"/>
      <w:spacing w:line="240" w:lineRule="atLeast"/>
      <w:ind w:firstLine="540"/>
      <w:jc w:val="left"/>
    </w:pPr>
    <w:rPr>
      <w:rFonts w:eastAsia="楷体_GB2312"/>
      <w:sz w:val="24"/>
      <w:szCs w:val="24"/>
    </w:rPr>
  </w:style>
  <w:style w:type="paragraph" w:customStyle="1" w:styleId="467">
    <w:name w:val="textbullet"/>
    <w:basedOn w:val="1"/>
    <w:uiPriority w:val="0"/>
    <w:pPr>
      <w:overflowPunct w:val="0"/>
      <w:autoSpaceDE w:val="0"/>
      <w:autoSpaceDN w:val="0"/>
      <w:adjustRightInd w:val="0"/>
      <w:spacing w:line="360" w:lineRule="auto"/>
      <w:ind w:left="680" w:hanging="680"/>
      <w:jc w:val="center"/>
      <w:textAlignment w:val="baseline"/>
    </w:pPr>
    <w:rPr>
      <w:rFonts w:ascii="宋体" w:hAnsi="Arial" w:eastAsia="黑体"/>
      <w:b/>
      <w:spacing w:val="-14"/>
      <w:kern w:val="0"/>
      <w:sz w:val="22"/>
      <w:szCs w:val="20"/>
    </w:rPr>
  </w:style>
  <w:style w:type="paragraph" w:customStyle="1" w:styleId="468">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469">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Arial" w:eastAsia="黑体"/>
      <w:b/>
      <w:kern w:val="0"/>
      <w:sz w:val="24"/>
      <w:szCs w:val="28"/>
    </w:rPr>
  </w:style>
  <w:style w:type="paragraph" w:customStyle="1" w:styleId="470">
    <w:name w:val="Revision"/>
    <w:semiHidden/>
    <w:uiPriority w:val="99"/>
    <w:rPr>
      <w:rFonts w:ascii="Times New Roman" w:hAnsi="Arial" w:eastAsia="黑体" w:cs="Times New Roman"/>
      <w:b/>
      <w:sz w:val="28"/>
      <w:szCs w:val="28"/>
      <w:lang w:val="en-US" w:eastAsia="zh-CN" w:bidi="ar-SA"/>
    </w:rPr>
  </w:style>
  <w:style w:type="paragraph" w:customStyle="1" w:styleId="471">
    <w:name w:val="ST20-2"/>
    <w:basedOn w:val="1"/>
    <w:uiPriority w:val="0"/>
    <w:pPr>
      <w:tabs>
        <w:tab w:val="left" w:pos="567"/>
        <w:tab w:val="left" w:pos="1080"/>
      </w:tabs>
      <w:adjustRightInd w:val="0"/>
      <w:snapToGrid w:val="0"/>
      <w:spacing w:after="120" w:line="300" w:lineRule="auto"/>
      <w:ind w:left="1247"/>
      <w:jc w:val="center"/>
    </w:pPr>
    <w:rPr>
      <w:rFonts w:ascii="宋体" w:hAnsi="Arial" w:eastAsia="黑体"/>
      <w:b/>
      <w:kern w:val="0"/>
      <w:sz w:val="24"/>
      <w:szCs w:val="28"/>
    </w:rPr>
  </w:style>
  <w:style w:type="paragraph" w:customStyle="1" w:styleId="472">
    <w:name w:val="xl30"/>
    <w:basedOn w:val="1"/>
    <w:qFormat/>
    <w:uiPriority w:val="0"/>
    <w:pPr>
      <w:widowControl/>
      <w:spacing w:before="100" w:beforeAutospacing="1" w:after="100" w:afterAutospacing="1"/>
      <w:jc w:val="left"/>
    </w:pPr>
    <w:rPr>
      <w:rFonts w:ascii="仿宋_GB2312" w:hAnsi="宋体" w:eastAsia="仿宋_GB2312"/>
      <w:b/>
      <w:bCs/>
      <w:kern w:val="0"/>
      <w:sz w:val="32"/>
      <w:szCs w:val="32"/>
    </w:rPr>
  </w:style>
  <w:style w:type="paragraph" w:customStyle="1" w:styleId="473">
    <w:name w:val="L标题2"/>
    <w:basedOn w:val="6"/>
    <w:uiPriority w:val="0"/>
    <w:pPr>
      <w:tabs>
        <w:tab w:val="left" w:pos="992"/>
        <w:tab w:val="clear" w:pos="840"/>
      </w:tabs>
      <w:overflowPunct w:val="0"/>
      <w:autoSpaceDE w:val="0"/>
      <w:autoSpaceDN w:val="0"/>
      <w:adjustRightInd w:val="0"/>
      <w:spacing w:before="100" w:beforeAutospacing="1" w:after="100" w:afterAutospacing="1" w:line="240" w:lineRule="auto"/>
      <w:ind w:left="990" w:hanging="567"/>
      <w:textAlignment w:val="baseline"/>
    </w:pPr>
    <w:rPr>
      <w:rFonts w:ascii="宋体" w:eastAsia="宋体" w:cs="Arial"/>
      <w:b w:val="0"/>
      <w:sz w:val="28"/>
    </w:rPr>
  </w:style>
  <w:style w:type="paragraph" w:customStyle="1" w:styleId="474">
    <w:name w:val="有符号正文"/>
    <w:basedOn w:val="1"/>
    <w:qFormat/>
    <w:uiPriority w:val="0"/>
    <w:pPr>
      <w:adjustRightInd w:val="0"/>
      <w:snapToGrid w:val="0"/>
      <w:spacing w:line="400" w:lineRule="exact"/>
      <w:ind w:firstLine="200" w:firstLineChars="200"/>
      <w:jc w:val="left"/>
    </w:pPr>
    <w:rPr>
      <w:rFonts w:ascii="Arial" w:hAnsi="Arial"/>
      <w:szCs w:val="24"/>
    </w:rPr>
  </w:style>
  <w:style w:type="paragraph" w:customStyle="1" w:styleId="475">
    <w:name w:val="xl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4"/>
    </w:rPr>
  </w:style>
  <w:style w:type="paragraph" w:customStyle="1" w:styleId="476">
    <w:name w:val="0- 正文"/>
    <w:basedOn w:val="1"/>
    <w:qFormat/>
    <w:uiPriority w:val="0"/>
    <w:pPr>
      <w:widowControl/>
      <w:spacing w:line="360" w:lineRule="auto"/>
      <w:ind w:firstLine="482"/>
      <w:jc w:val="left"/>
    </w:pPr>
    <w:rPr>
      <w:rFonts w:ascii="Calibri" w:hAnsi="Calibri"/>
      <w:sz w:val="24"/>
      <w:lang w:val="zh-CN"/>
    </w:rPr>
  </w:style>
  <w:style w:type="paragraph" w:customStyle="1" w:styleId="477">
    <w:name w:val="xl94"/>
    <w:basedOn w:val="1"/>
    <w:uiPriority w:val="0"/>
    <w:pPr>
      <w:widowControl/>
      <w:spacing w:before="100" w:beforeAutospacing="1" w:after="100" w:afterAutospacing="1"/>
      <w:jc w:val="center"/>
    </w:pPr>
    <w:rPr>
      <w:rFonts w:ascii="楷体" w:hAnsi="Arial" w:eastAsia="楷体"/>
      <w:bCs/>
      <w:kern w:val="0"/>
      <w:sz w:val="28"/>
      <w:szCs w:val="28"/>
    </w:rPr>
  </w:style>
  <w:style w:type="paragraph" w:customStyle="1" w:styleId="478">
    <w:name w:val="ttl1"/>
    <w:basedOn w:val="1"/>
    <w:uiPriority w:val="0"/>
    <w:pPr>
      <w:overflowPunct w:val="0"/>
      <w:autoSpaceDE w:val="0"/>
      <w:autoSpaceDN w:val="0"/>
      <w:adjustRightInd w:val="0"/>
      <w:spacing w:before="240" w:after="360" w:line="360" w:lineRule="atLeast"/>
      <w:jc w:val="center"/>
      <w:textAlignment w:val="baseline"/>
    </w:pPr>
    <w:rPr>
      <w:rFonts w:ascii="黑体" w:hAnsi="Arial" w:eastAsia="黑体"/>
      <w:b/>
      <w:spacing w:val="-10"/>
      <w:kern w:val="0"/>
      <w:sz w:val="28"/>
      <w:szCs w:val="20"/>
    </w:rPr>
  </w:style>
  <w:style w:type="paragraph" w:customStyle="1" w:styleId="479">
    <w:name w:val="正文，段落，小四，22磅行距"/>
    <w:basedOn w:val="1"/>
    <w:qFormat/>
    <w:uiPriority w:val="0"/>
    <w:pPr>
      <w:adjustRightInd w:val="0"/>
      <w:snapToGrid w:val="0"/>
      <w:spacing w:line="360" w:lineRule="auto"/>
      <w:ind w:firstLine="420"/>
      <w:jc w:val="left"/>
    </w:pPr>
    <w:rPr>
      <w:sz w:val="24"/>
      <w:szCs w:val="24"/>
    </w:rPr>
  </w:style>
  <w:style w:type="paragraph" w:customStyle="1" w:styleId="480">
    <w:name w:val="ttl1-1-1-1"/>
    <w:basedOn w:val="1"/>
    <w:uiPriority w:val="0"/>
    <w:pPr>
      <w:overflowPunct w:val="0"/>
      <w:autoSpaceDE w:val="0"/>
      <w:autoSpaceDN w:val="0"/>
      <w:adjustRightInd w:val="0"/>
      <w:spacing w:before="120" w:after="120" w:line="360" w:lineRule="atLeast"/>
      <w:jc w:val="center"/>
      <w:textAlignment w:val="baseline"/>
    </w:pPr>
    <w:rPr>
      <w:rFonts w:ascii="宋体" w:hAnsi="Arial" w:eastAsia="黑体"/>
      <w:b/>
      <w:spacing w:val="-14"/>
      <w:kern w:val="0"/>
      <w:sz w:val="22"/>
      <w:szCs w:val="20"/>
    </w:rPr>
  </w:style>
  <w:style w:type="paragraph" w:customStyle="1" w:styleId="481">
    <w:name w:val="正文编号1"/>
    <w:basedOn w:val="1"/>
    <w:qFormat/>
    <w:uiPriority w:val="0"/>
    <w:pPr>
      <w:tabs>
        <w:tab w:val="left" w:pos="1140"/>
      </w:tabs>
      <w:adjustRightInd w:val="0"/>
      <w:snapToGrid w:val="0"/>
      <w:ind w:left="1140" w:hanging="720"/>
      <w:jc w:val="left"/>
    </w:pPr>
    <w:rPr>
      <w:kern w:val="0"/>
      <w:szCs w:val="24"/>
    </w:rPr>
  </w:style>
  <w:style w:type="paragraph" w:customStyle="1" w:styleId="482">
    <w:name w:val="xl1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Arial" w:eastAsia="黑体"/>
      <w:b/>
      <w:color w:val="FF0000"/>
      <w:kern w:val="0"/>
      <w:sz w:val="20"/>
      <w:szCs w:val="20"/>
    </w:rPr>
  </w:style>
  <w:style w:type="paragraph" w:customStyle="1" w:styleId="483">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hAnsi="Arial" w:eastAsia="黑体"/>
      <w:b/>
      <w:kern w:val="0"/>
      <w:sz w:val="24"/>
      <w:szCs w:val="28"/>
    </w:rPr>
  </w:style>
  <w:style w:type="paragraph" w:customStyle="1" w:styleId="484">
    <w:name w:val="Char Char Char"/>
    <w:basedOn w:val="28"/>
    <w:uiPriority w:val="0"/>
    <w:rPr>
      <w:rFonts w:ascii="Tahoma" w:hAnsi="Tahoma"/>
      <w:kern w:val="2"/>
      <w:sz w:val="24"/>
      <w:szCs w:val="24"/>
    </w:rPr>
  </w:style>
  <w:style w:type="paragraph" w:customStyle="1" w:styleId="485">
    <w:name w:val="题注5"/>
    <w:basedOn w:val="1"/>
    <w:next w:val="24"/>
    <w:uiPriority w:val="0"/>
    <w:pPr>
      <w:spacing w:beforeLines="20" w:afterLines="20" w:line="360" w:lineRule="auto"/>
      <w:ind w:left="420" w:firstLine="560" w:firstLineChars="200"/>
    </w:pPr>
    <w:rPr>
      <w:rFonts w:ascii="宋体" w:hAnsi="宋体"/>
      <w:sz w:val="28"/>
      <w:szCs w:val="28"/>
    </w:rPr>
  </w:style>
  <w:style w:type="paragraph" w:customStyle="1" w:styleId="486">
    <w:name w:val="列项——（一级）"/>
    <w:uiPriority w:val="0"/>
    <w:pPr>
      <w:widowControl w:val="0"/>
      <w:tabs>
        <w:tab w:val="left" w:pos="1140"/>
      </w:tabs>
      <w:ind w:left="1140" w:hanging="240"/>
      <w:jc w:val="both"/>
    </w:pPr>
    <w:rPr>
      <w:rFonts w:ascii="宋体" w:hAnsi="Times New Roman" w:eastAsia="宋体" w:cs="Times New Roman"/>
      <w:sz w:val="21"/>
      <w:lang w:val="en-US" w:eastAsia="zh-CN" w:bidi="ar-SA"/>
    </w:rPr>
  </w:style>
  <w:style w:type="paragraph" w:customStyle="1" w:styleId="487">
    <w:name w:val="xl31"/>
    <w:basedOn w:val="1"/>
    <w:uiPriority w:val="0"/>
    <w:pPr>
      <w:widowControl/>
      <w:spacing w:before="100" w:beforeAutospacing="1" w:after="100" w:afterAutospacing="1"/>
      <w:jc w:val="left"/>
    </w:pPr>
    <w:rPr>
      <w:rFonts w:ascii="仿宋_GB2312" w:hAnsi="宋体" w:eastAsia="仿宋_GB2312"/>
      <w:b/>
      <w:bCs/>
      <w:color w:val="000000"/>
      <w:kern w:val="0"/>
      <w:sz w:val="32"/>
      <w:szCs w:val="32"/>
    </w:rPr>
  </w:style>
  <w:style w:type="paragraph" w:customStyle="1" w:styleId="488">
    <w:name w:val="Simone"/>
    <w:basedOn w:val="1"/>
    <w:uiPriority w:val="0"/>
    <w:pPr>
      <w:widowControl/>
      <w:jc w:val="left"/>
    </w:pPr>
    <w:rPr>
      <w:rFonts w:ascii="Arial" w:hAnsi="Arial" w:eastAsia="PMingLiU"/>
      <w:bCs/>
      <w:kern w:val="0"/>
      <w:sz w:val="24"/>
      <w:szCs w:val="28"/>
      <w:u w:val="single"/>
      <w:lang w:eastAsia="de-DE"/>
    </w:rPr>
  </w:style>
  <w:style w:type="paragraph" w:customStyle="1" w:styleId="489">
    <w:name w:val="正文文本 21"/>
    <w:basedOn w:val="1"/>
    <w:uiPriority w:val="0"/>
    <w:pPr>
      <w:adjustRightInd w:val="0"/>
      <w:spacing w:line="396" w:lineRule="atLeast"/>
      <w:jc w:val="left"/>
      <w:textAlignment w:val="baseline"/>
    </w:pPr>
    <w:rPr>
      <w:rFonts w:hAnsi="Arial" w:eastAsia="黑体"/>
      <w:b/>
      <w:kern w:val="0"/>
      <w:sz w:val="24"/>
      <w:szCs w:val="20"/>
    </w:rPr>
  </w:style>
  <w:style w:type="paragraph" w:customStyle="1" w:styleId="490">
    <w:name w:val="!OSS12 Table Feature Status"/>
    <w:basedOn w:val="1"/>
    <w:qFormat/>
    <w:uiPriority w:val="0"/>
    <w:pPr>
      <w:widowControl/>
      <w:adjustRightInd w:val="0"/>
      <w:snapToGrid w:val="0"/>
      <w:jc w:val="left"/>
    </w:pPr>
    <w:rPr>
      <w:rFonts w:ascii="Verdana" w:hAnsi="Verdana" w:cs="Verdana"/>
      <w:b/>
      <w:bCs/>
      <w:color w:val="FF6600"/>
      <w:kern w:val="0"/>
      <w:sz w:val="19"/>
      <w:szCs w:val="19"/>
    </w:rPr>
  </w:style>
  <w:style w:type="paragraph" w:customStyle="1" w:styleId="491">
    <w:name w:val="K01"/>
    <w:basedOn w:val="1"/>
    <w:uiPriority w:val="0"/>
    <w:pPr>
      <w:widowControl/>
      <w:autoSpaceDE w:val="0"/>
      <w:autoSpaceDN w:val="0"/>
      <w:adjustRightInd w:val="0"/>
      <w:spacing w:line="480" w:lineRule="atLeast"/>
      <w:ind w:left="840" w:hanging="360"/>
      <w:jc w:val="left"/>
      <w:textAlignment w:val="bottom"/>
    </w:pPr>
    <w:rPr>
      <w:rFonts w:ascii="宋体" w:hAnsi="Arial" w:eastAsia="黑体"/>
      <w:b/>
      <w:kern w:val="0"/>
      <w:sz w:val="24"/>
      <w:szCs w:val="28"/>
    </w:rPr>
  </w:style>
  <w:style w:type="paragraph" w:customStyle="1" w:styleId="492">
    <w:name w:val="xl80"/>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493">
    <w:name w:val="标题4"/>
    <w:basedOn w:val="9"/>
    <w:uiPriority w:val="0"/>
    <w:pPr>
      <w:tabs>
        <w:tab w:val="left" w:pos="0"/>
        <w:tab w:val="left" w:pos="1960"/>
      </w:tabs>
      <w:adjustRightInd w:val="0"/>
      <w:spacing w:line="360" w:lineRule="auto"/>
      <w:ind w:left="425" w:hanging="425"/>
      <w:jc w:val="center"/>
      <w:textAlignment w:val="baseline"/>
    </w:pPr>
    <w:rPr>
      <w:rFonts w:ascii="Arial" w:hAnsi="Arial"/>
      <w:b/>
      <w:sz w:val="24"/>
    </w:rPr>
  </w:style>
  <w:style w:type="paragraph" w:customStyle="1" w:styleId="494">
    <w:name w:val="正文1 Char Char Char"/>
    <w:basedOn w:val="1"/>
    <w:uiPriority w:val="0"/>
    <w:pPr>
      <w:adjustRightInd w:val="0"/>
      <w:snapToGrid w:val="0"/>
      <w:jc w:val="center"/>
    </w:pPr>
    <w:rPr>
      <w:rFonts w:hAnsi="Arial" w:eastAsia="黑体"/>
      <w:b/>
      <w:kern w:val="0"/>
      <w:sz w:val="24"/>
      <w:szCs w:val="28"/>
    </w:rPr>
  </w:style>
  <w:style w:type="paragraph" w:customStyle="1" w:styleId="495">
    <w:name w:val="_Style 1"/>
    <w:basedOn w:val="1"/>
    <w:qFormat/>
    <w:uiPriority w:val="34"/>
    <w:pPr>
      <w:spacing w:line="360" w:lineRule="auto"/>
      <w:ind w:firstLine="420" w:firstLineChars="200"/>
    </w:pPr>
    <w:rPr>
      <w:sz w:val="24"/>
    </w:rPr>
  </w:style>
  <w:style w:type="paragraph" w:customStyle="1" w:styleId="496">
    <w:name w:val="ST20_1"/>
    <w:basedOn w:val="1"/>
    <w:next w:val="1"/>
    <w:uiPriority w:val="0"/>
    <w:pPr>
      <w:keepNext/>
      <w:keepLines/>
      <w:tabs>
        <w:tab w:val="left" w:pos="907"/>
        <w:tab w:val="left" w:pos="1080"/>
        <w:tab w:val="right" w:leader="dot" w:pos="8400"/>
      </w:tabs>
      <w:adjustRightInd w:val="0"/>
      <w:snapToGrid w:val="0"/>
      <w:spacing w:before="120" w:after="120" w:line="300" w:lineRule="auto"/>
      <w:ind w:left="906" w:hanging="510"/>
      <w:jc w:val="left"/>
    </w:pPr>
    <w:rPr>
      <w:rFonts w:ascii="Arial" w:hAnsi="Arial" w:eastAsia="黑体"/>
      <w:b/>
      <w:kern w:val="0"/>
      <w:sz w:val="24"/>
      <w:szCs w:val="28"/>
    </w:rPr>
  </w:style>
  <w:style w:type="paragraph" w:customStyle="1" w:styleId="497">
    <w:name w:val="xl110"/>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Arial" w:eastAsia="黑体"/>
      <w:b/>
      <w:kern w:val="0"/>
      <w:sz w:val="18"/>
      <w:szCs w:val="18"/>
    </w:rPr>
  </w:style>
  <w:style w:type="paragraph" w:customStyle="1" w:styleId="498">
    <w:name w:val="xl117"/>
    <w:basedOn w:val="1"/>
    <w:uiPriority w:val="0"/>
    <w:pPr>
      <w:widowControl/>
      <w:spacing w:before="100" w:beforeAutospacing="1" w:after="100" w:afterAutospacing="1"/>
      <w:jc w:val="center"/>
      <w:textAlignment w:val="center"/>
    </w:pPr>
    <w:rPr>
      <w:rFonts w:ascii="宋体" w:hAnsi="Arial" w:eastAsia="黑体"/>
      <w:bCs/>
      <w:kern w:val="0"/>
      <w:sz w:val="20"/>
      <w:szCs w:val="20"/>
    </w:rPr>
  </w:style>
  <w:style w:type="paragraph" w:customStyle="1" w:styleId="499">
    <w:name w:val="Liwb_Pagragraph_Normal"/>
    <w:basedOn w:val="1"/>
    <w:uiPriority w:val="0"/>
    <w:pPr>
      <w:widowControl/>
      <w:ind w:firstLine="200" w:firstLineChars="200"/>
      <w:jc w:val="left"/>
    </w:pPr>
    <w:rPr>
      <w:rFonts w:ascii="宋体" w:hAnsi="Arial" w:eastAsia="黑体"/>
      <w:b/>
      <w:kern w:val="0"/>
      <w:sz w:val="28"/>
      <w:szCs w:val="20"/>
    </w:rPr>
  </w:style>
  <w:style w:type="paragraph" w:customStyle="1" w:styleId="500">
    <w:name w:val="文件正文版式"/>
    <w:basedOn w:val="1"/>
    <w:uiPriority w:val="0"/>
    <w:rPr>
      <w:rFonts w:ascii="宋体" w:hAnsi="宋体"/>
      <w:b/>
      <w:sz w:val="32"/>
      <w:szCs w:val="20"/>
    </w:rPr>
  </w:style>
  <w:style w:type="paragraph" w:customStyle="1" w:styleId="501">
    <w:name w:val="GG"/>
    <w:uiPriority w:val="0"/>
    <w:pPr>
      <w:spacing w:line="440" w:lineRule="exact"/>
      <w:ind w:firstLine="596" w:firstLineChars="198"/>
    </w:pPr>
    <w:rPr>
      <w:rFonts w:ascii="宋体" w:hAnsi="宋体" w:eastAsia="宋体" w:cs="Times New Roman"/>
      <w:b/>
      <w:shadow/>
      <w:color w:val="0000FF"/>
      <w:sz w:val="30"/>
      <w:szCs w:val="30"/>
      <w:lang w:val="en-US" w:eastAsia="zh-CN" w:bidi="ar-SA"/>
    </w:rPr>
  </w:style>
  <w:style w:type="paragraph" w:customStyle="1" w:styleId="502">
    <w:name w:val="标题章 1"/>
    <w:basedOn w:val="1"/>
    <w:qFormat/>
    <w:uiPriority w:val="0"/>
    <w:pPr>
      <w:adjustRightInd w:val="0"/>
      <w:snapToGrid w:val="0"/>
      <w:spacing w:line="360" w:lineRule="auto"/>
      <w:ind w:left="4680"/>
      <w:jc w:val="center"/>
      <w:outlineLvl w:val="0"/>
    </w:pPr>
    <w:rPr>
      <w:b/>
      <w:sz w:val="52"/>
      <w:szCs w:val="20"/>
    </w:rPr>
  </w:style>
  <w:style w:type="paragraph" w:customStyle="1" w:styleId="503">
    <w:name w:val="xl99"/>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Arial" w:eastAsia="黑体"/>
      <w:b/>
      <w:kern w:val="0"/>
      <w:sz w:val="20"/>
      <w:szCs w:val="20"/>
    </w:rPr>
  </w:style>
  <w:style w:type="paragraph" w:customStyle="1" w:styleId="504">
    <w:name w:val="大标题"/>
    <w:basedOn w:val="29"/>
    <w:next w:val="505"/>
    <w:uiPriority w:val="0"/>
    <w:pPr>
      <w:spacing w:before="360" w:after="120" w:line="360" w:lineRule="auto"/>
      <w:outlineLvl w:val="0"/>
    </w:pPr>
    <w:rPr>
      <w:rFonts w:ascii="Times New Roman" w:hAnsi="Times New Roman" w:eastAsia="宋体"/>
      <w:kern w:val="28"/>
    </w:rPr>
  </w:style>
  <w:style w:type="paragraph" w:customStyle="1" w:styleId="505">
    <w:name w:val="标准正文"/>
    <w:basedOn w:val="1"/>
    <w:uiPriority w:val="0"/>
    <w:pPr>
      <w:adjustRightInd w:val="0"/>
      <w:spacing w:line="360" w:lineRule="atLeast"/>
      <w:ind w:firstLine="454"/>
      <w:jc w:val="left"/>
      <w:textAlignment w:val="baseline"/>
    </w:pPr>
    <w:rPr>
      <w:rFonts w:ascii="宋体" w:hAnsi="Arial" w:eastAsia="黑体"/>
      <w:b/>
      <w:kern w:val="0"/>
      <w:sz w:val="24"/>
      <w:szCs w:val="20"/>
    </w:rPr>
  </w:style>
  <w:style w:type="paragraph" w:customStyle="1" w:styleId="506">
    <w:name w:val="xl13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Arial" w:eastAsia="黑体"/>
      <w:b/>
      <w:color w:val="FF0000"/>
      <w:kern w:val="0"/>
      <w:sz w:val="20"/>
      <w:szCs w:val="20"/>
    </w:rPr>
  </w:style>
  <w:style w:type="paragraph" w:customStyle="1" w:styleId="507">
    <w:name w:val="Char"/>
    <w:basedOn w:val="1"/>
    <w:uiPriority w:val="0"/>
    <w:rPr>
      <w:rFonts w:ascii="仿宋_GB2312" w:eastAsia="仿宋_GB2312"/>
      <w:b/>
      <w:sz w:val="32"/>
      <w:szCs w:val="32"/>
    </w:rPr>
  </w:style>
  <w:style w:type="paragraph" w:customStyle="1" w:styleId="508">
    <w:name w:val="xl3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509">
    <w:name w:val="ttl1-1-1"/>
    <w:basedOn w:val="1"/>
    <w:uiPriority w:val="0"/>
    <w:pPr>
      <w:overflowPunct w:val="0"/>
      <w:autoSpaceDE w:val="0"/>
      <w:autoSpaceDN w:val="0"/>
      <w:adjustRightInd w:val="0"/>
      <w:spacing w:before="120" w:after="120" w:line="360" w:lineRule="atLeast"/>
      <w:jc w:val="center"/>
      <w:textAlignment w:val="baseline"/>
    </w:pPr>
    <w:rPr>
      <w:rFonts w:ascii="黑体" w:hAnsi="Arial" w:eastAsia="黑体"/>
      <w:b/>
      <w:spacing w:val="-10"/>
      <w:kern w:val="0"/>
      <w:sz w:val="22"/>
      <w:szCs w:val="20"/>
    </w:rPr>
  </w:style>
  <w:style w:type="paragraph" w:customStyle="1" w:styleId="510">
    <w:name w:val="style18"/>
    <w:basedOn w:val="1"/>
    <w:qFormat/>
    <w:uiPriority w:val="0"/>
    <w:pPr>
      <w:widowControl/>
      <w:adjustRightInd w:val="0"/>
      <w:snapToGrid w:val="0"/>
      <w:spacing w:before="100" w:beforeAutospacing="1" w:after="100" w:afterAutospacing="1"/>
      <w:jc w:val="left"/>
    </w:pPr>
    <w:rPr>
      <w:rFonts w:ascii="宋体" w:hAnsi="宋体" w:cs="宋体"/>
      <w:color w:val="003399"/>
      <w:kern w:val="0"/>
      <w:sz w:val="24"/>
      <w:szCs w:val="24"/>
    </w:rPr>
  </w:style>
  <w:style w:type="paragraph" w:customStyle="1" w:styleId="511">
    <w:name w:val="xl3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512">
    <w:name w:val="Heading 4 new"/>
    <w:basedOn w:val="1"/>
    <w:uiPriority w:val="0"/>
    <w:pPr>
      <w:keepNext/>
      <w:tabs>
        <w:tab w:val="left" w:pos="1080"/>
      </w:tabs>
      <w:spacing w:after="240"/>
      <w:jc w:val="center"/>
    </w:pPr>
    <w:rPr>
      <w:rFonts w:ascii="Arial Bold" w:hAnsi="Arial Bold" w:eastAsia="黑体"/>
      <w:kern w:val="0"/>
      <w:sz w:val="28"/>
      <w:szCs w:val="28"/>
    </w:rPr>
  </w:style>
  <w:style w:type="paragraph" w:customStyle="1" w:styleId="513">
    <w:name w:val="xl122"/>
    <w:basedOn w:val="1"/>
    <w:uiPriority w:val="0"/>
    <w:pPr>
      <w:widowControl/>
      <w:spacing w:before="100" w:beforeAutospacing="1" w:after="100" w:afterAutospacing="1"/>
      <w:jc w:val="left"/>
      <w:textAlignment w:val="center"/>
    </w:pPr>
    <w:rPr>
      <w:rFonts w:ascii="宋体" w:hAnsi="Arial" w:eastAsia="黑体"/>
      <w:b/>
      <w:kern w:val="0"/>
      <w:sz w:val="20"/>
      <w:szCs w:val="20"/>
    </w:rPr>
  </w:style>
  <w:style w:type="paragraph" w:customStyle="1" w:styleId="514">
    <w:name w:val="标准"/>
    <w:basedOn w:val="1"/>
    <w:uiPriority w:val="0"/>
    <w:pPr>
      <w:adjustRightInd w:val="0"/>
      <w:spacing w:line="240" w:lineRule="atLeast"/>
      <w:jc w:val="center"/>
      <w:textAlignment w:val="baseline"/>
    </w:pPr>
    <w:rPr>
      <w:rFonts w:ascii="仿宋_GB2312" w:hAnsi="Arial" w:eastAsia="仿宋_GB2312"/>
      <w:b/>
      <w:kern w:val="0"/>
      <w:sz w:val="28"/>
      <w:szCs w:val="20"/>
    </w:rPr>
  </w:style>
  <w:style w:type="paragraph" w:customStyle="1" w:styleId="515">
    <w:name w:val="表头"/>
    <w:basedOn w:val="1"/>
    <w:uiPriority w:val="0"/>
    <w:pPr>
      <w:autoSpaceDE w:val="0"/>
      <w:autoSpaceDN w:val="0"/>
      <w:adjustRightInd w:val="0"/>
      <w:spacing w:line="312" w:lineRule="atLeast"/>
      <w:jc w:val="center"/>
      <w:textAlignment w:val="baseline"/>
    </w:pPr>
    <w:rPr>
      <w:rFonts w:ascii="黑体" w:hAnsi="Tms Rmn" w:eastAsia="黑体"/>
      <w:kern w:val="0"/>
      <w:szCs w:val="20"/>
    </w:rPr>
  </w:style>
  <w:style w:type="paragraph" w:customStyle="1" w:styleId="516">
    <w:name w:val="Char Char Char1 Char Char Char Char Char Char Char"/>
    <w:basedOn w:val="1"/>
    <w:uiPriority w:val="0"/>
    <w:pPr>
      <w:jc w:val="center"/>
    </w:pPr>
    <w:rPr>
      <w:rFonts w:hAnsi="Arial" w:eastAsia="黑体"/>
      <w:b/>
      <w:kern w:val="0"/>
      <w:sz w:val="28"/>
      <w:szCs w:val="28"/>
    </w:rPr>
  </w:style>
  <w:style w:type="paragraph" w:customStyle="1" w:styleId="517">
    <w:name w:val="xl32"/>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518">
    <w:name w:val="xl7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19">
    <w:name w:val="我的正文格式"/>
    <w:basedOn w:val="1"/>
    <w:next w:val="1"/>
    <w:uiPriority w:val="0"/>
    <w:pPr>
      <w:snapToGrid w:val="0"/>
      <w:spacing w:line="360" w:lineRule="auto"/>
      <w:jc w:val="center"/>
    </w:pPr>
    <w:rPr>
      <w:rFonts w:hAnsi="Arial" w:eastAsia="黑体"/>
      <w:b/>
      <w:kern w:val="16"/>
      <w:sz w:val="24"/>
      <w:szCs w:val="28"/>
    </w:rPr>
  </w:style>
  <w:style w:type="paragraph" w:customStyle="1" w:styleId="520">
    <w:name w:val="xl108"/>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Arial" w:eastAsia="黑体"/>
      <w:b/>
      <w:kern w:val="0"/>
      <w:sz w:val="20"/>
      <w:szCs w:val="20"/>
    </w:rPr>
  </w:style>
  <w:style w:type="paragraph" w:customStyle="1" w:styleId="521">
    <w:name w:val="默认段落字体 Para Char Char Char Char Char Char Char Char Char Char1 Char Char Char Char Char Char Char Char Char Char Char"/>
    <w:basedOn w:val="1"/>
    <w:uiPriority w:val="0"/>
    <w:pPr>
      <w:jc w:val="center"/>
    </w:pPr>
    <w:rPr>
      <w:rFonts w:hAnsi="Arial" w:eastAsia="黑体"/>
      <w:b/>
      <w:kern w:val="0"/>
      <w:sz w:val="28"/>
      <w:szCs w:val="28"/>
    </w:rPr>
  </w:style>
  <w:style w:type="paragraph" w:customStyle="1" w:styleId="522">
    <w:name w:val="ST20-3"/>
    <w:basedOn w:val="1"/>
    <w:uiPriority w:val="0"/>
    <w:pPr>
      <w:tabs>
        <w:tab w:val="left" w:pos="680"/>
        <w:tab w:val="left" w:pos="720"/>
      </w:tabs>
      <w:adjustRightInd w:val="0"/>
      <w:snapToGrid w:val="0"/>
      <w:spacing w:after="160" w:line="300" w:lineRule="auto"/>
      <w:ind w:left="794" w:hanging="170"/>
      <w:jc w:val="center"/>
    </w:pPr>
    <w:rPr>
      <w:rFonts w:ascii="Arial" w:hAnsi="Arial" w:eastAsia="黑体"/>
      <w:b/>
      <w:kern w:val="0"/>
      <w:sz w:val="24"/>
      <w:szCs w:val="28"/>
    </w:rPr>
  </w:style>
  <w:style w:type="paragraph" w:customStyle="1" w:styleId="52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Arial" w:eastAsia="楷体"/>
      <w:b/>
      <w:kern w:val="0"/>
      <w:sz w:val="24"/>
      <w:szCs w:val="28"/>
    </w:rPr>
  </w:style>
  <w:style w:type="paragraph" w:customStyle="1" w:styleId="524">
    <w:name w:val="Liwb_Item_2"/>
    <w:basedOn w:val="1"/>
    <w:uiPriority w:val="0"/>
    <w:pPr>
      <w:widowControl/>
      <w:tabs>
        <w:tab w:val="left" w:pos="425"/>
      </w:tabs>
      <w:ind w:left="425" w:hanging="425"/>
      <w:jc w:val="left"/>
      <w:outlineLvl w:val="2"/>
    </w:pPr>
    <w:rPr>
      <w:rFonts w:ascii="宋体" w:hAnsi="Arial" w:eastAsia="黑体"/>
      <w:b/>
      <w:kern w:val="0"/>
      <w:sz w:val="28"/>
      <w:szCs w:val="20"/>
    </w:rPr>
  </w:style>
  <w:style w:type="paragraph" w:customStyle="1" w:styleId="525">
    <w:name w:val="应答"/>
    <w:basedOn w:val="77"/>
    <w:uiPriority w:val="0"/>
    <w:pPr>
      <w:overflowPunct w:val="0"/>
      <w:autoSpaceDE w:val="0"/>
      <w:autoSpaceDN w:val="0"/>
      <w:adjustRightInd w:val="0"/>
      <w:spacing w:before="100" w:beforeAutospacing="1" w:after="100" w:afterAutospacing="1" w:line="240" w:lineRule="auto"/>
      <w:ind w:left="541" w:leftChars="250" w:hanging="291" w:hangingChars="291"/>
      <w:jc w:val="center"/>
      <w:textAlignment w:val="baseline"/>
    </w:pPr>
    <w:rPr>
      <w:rFonts w:ascii="宋体" w:hAnsi="Arial" w:eastAsia="黑体"/>
      <w:u w:val="single"/>
    </w:rPr>
  </w:style>
  <w:style w:type="paragraph" w:customStyle="1" w:styleId="526">
    <w:name w:val="xl109"/>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Arial" w:eastAsia="黑体"/>
      <w:b/>
      <w:kern w:val="0"/>
      <w:sz w:val="20"/>
      <w:szCs w:val="20"/>
    </w:rPr>
  </w:style>
  <w:style w:type="paragraph" w:customStyle="1" w:styleId="527">
    <w:name w:val="正文+缩进2"/>
    <w:basedOn w:val="1"/>
    <w:qFormat/>
    <w:uiPriority w:val="0"/>
    <w:pPr>
      <w:widowControl/>
      <w:spacing w:line="360" w:lineRule="auto"/>
      <w:ind w:firstLine="480" w:firstLineChars="200"/>
      <w:jc w:val="left"/>
    </w:pPr>
    <w:rPr>
      <w:rFonts w:ascii="Arial" w:hAnsi="宋体" w:eastAsia="Arial" w:cs="Arial"/>
      <w:kern w:val="0"/>
      <w:sz w:val="24"/>
      <w:szCs w:val="21"/>
      <w:lang w:bidi="en-US"/>
    </w:rPr>
  </w:style>
  <w:style w:type="paragraph" w:customStyle="1" w:styleId="528">
    <w:name w:val="2.1.1小标题"/>
    <w:basedOn w:val="7"/>
    <w:uiPriority w:val="0"/>
    <w:pPr>
      <w:overflowPunct w:val="0"/>
      <w:autoSpaceDE w:val="0"/>
      <w:autoSpaceDN w:val="0"/>
      <w:adjustRightInd w:val="0"/>
      <w:spacing w:before="100" w:beforeAutospacing="1" w:after="100" w:afterAutospacing="1" w:line="240" w:lineRule="auto"/>
      <w:ind w:left="425"/>
      <w:jc w:val="center"/>
      <w:textAlignment w:val="baseline"/>
    </w:pPr>
    <w:rPr>
      <w:rFonts w:hAnsi="Arial" w:eastAsia="黑体"/>
      <w:b w:val="0"/>
      <w:sz w:val="28"/>
    </w:rPr>
  </w:style>
  <w:style w:type="paragraph" w:customStyle="1" w:styleId="529">
    <w:name w:val="正文缩进William Char"/>
    <w:basedOn w:val="1"/>
    <w:next w:val="8"/>
    <w:qFormat/>
    <w:uiPriority w:val="0"/>
    <w:pPr>
      <w:adjustRightInd w:val="0"/>
      <w:snapToGrid w:val="0"/>
      <w:ind w:firstLine="480"/>
      <w:jc w:val="left"/>
    </w:pPr>
    <w:rPr>
      <w:color w:val="0000FF"/>
      <w:sz w:val="24"/>
      <w:szCs w:val="20"/>
    </w:rPr>
  </w:style>
  <w:style w:type="paragraph" w:customStyle="1" w:styleId="530">
    <w:name w:val="xl105"/>
    <w:basedOn w:val="1"/>
    <w:uiPriority w:val="0"/>
    <w:pPr>
      <w:widowControl/>
      <w:pBdr>
        <w:left w:val="single" w:color="auto" w:sz="4" w:space="0"/>
        <w:bottom w:val="single" w:color="auto" w:sz="4" w:space="0"/>
        <w:right w:val="single" w:color="auto" w:sz="8" w:space="0"/>
      </w:pBdr>
      <w:spacing w:before="100" w:beforeAutospacing="1" w:after="100" w:afterAutospacing="1"/>
      <w:jc w:val="left"/>
      <w:textAlignment w:val="center"/>
    </w:pPr>
    <w:rPr>
      <w:rFonts w:ascii="宋体" w:hAnsi="Arial" w:eastAsia="黑体"/>
      <w:b/>
      <w:kern w:val="0"/>
      <w:sz w:val="20"/>
      <w:szCs w:val="20"/>
    </w:rPr>
  </w:style>
  <w:style w:type="paragraph" w:customStyle="1" w:styleId="531">
    <w:name w:val="List 2 - No Bullet Small"/>
    <w:basedOn w:val="1"/>
    <w:uiPriority w:val="0"/>
    <w:pPr>
      <w:widowControl/>
      <w:spacing w:before="60" w:after="60"/>
      <w:jc w:val="center"/>
    </w:pPr>
    <w:rPr>
      <w:rFonts w:hAnsi="Arial" w:eastAsia="黑体"/>
      <w:b/>
      <w:kern w:val="0"/>
      <w:sz w:val="20"/>
      <w:szCs w:val="28"/>
    </w:rPr>
  </w:style>
  <w:style w:type="paragraph" w:customStyle="1" w:styleId="532">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3">
    <w:name w:val="样式 正文缩进正文（首行缩进两字）表正文正文非缩进特点ALT+Z正文缩进William水上软件 + 左侧:  2 ...1"/>
    <w:basedOn w:val="8"/>
    <w:qFormat/>
    <w:uiPriority w:val="0"/>
    <w:pPr>
      <w:snapToGrid w:val="0"/>
      <w:ind w:left="200" w:leftChars="200" w:firstLine="200" w:firstLineChars="200"/>
      <w:jc w:val="left"/>
    </w:pPr>
    <w:rPr>
      <w:rFonts w:ascii="宋体" w:hAnsi="宋体"/>
      <w:kern w:val="2"/>
      <w:sz w:val="24"/>
    </w:rPr>
  </w:style>
  <w:style w:type="paragraph" w:customStyle="1" w:styleId="534">
    <w:name w:val="样式 正文首行缩进 + 宋体 五号 首行缩进:  0 厘米 行距: 最小值 20 磅"/>
    <w:basedOn w:val="2"/>
    <w:qFormat/>
    <w:uiPriority w:val="0"/>
    <w:pPr>
      <w:adjustRightInd w:val="0"/>
      <w:snapToGrid w:val="0"/>
      <w:spacing w:after="40" w:line="400" w:lineRule="atLeast"/>
      <w:ind w:firstLine="0"/>
      <w:jc w:val="left"/>
      <w:textAlignment w:val="baseline"/>
    </w:pPr>
    <w:rPr>
      <w:rFonts w:ascii="宋体" w:hAnsi="宋体" w:eastAsia="宋体"/>
      <w:sz w:val="21"/>
    </w:rPr>
  </w:style>
  <w:style w:type="paragraph" w:customStyle="1" w:styleId="535">
    <w:name w:val="图样式"/>
    <w:basedOn w:val="1"/>
    <w:uiPriority w:val="0"/>
    <w:pPr>
      <w:keepNext/>
      <w:widowControl/>
      <w:autoSpaceDE w:val="0"/>
      <w:autoSpaceDN w:val="0"/>
      <w:adjustRightInd w:val="0"/>
      <w:snapToGrid w:val="0"/>
      <w:spacing w:before="80" w:after="80" w:line="360" w:lineRule="auto"/>
      <w:jc w:val="center"/>
    </w:pPr>
    <w:rPr>
      <w:rFonts w:ascii="FrutigerNext LT Regular" w:hAnsi="FrutigerNext LT Regular"/>
      <w:kern w:val="0"/>
      <w:szCs w:val="21"/>
    </w:rPr>
  </w:style>
  <w:style w:type="paragraph" w:customStyle="1" w:styleId="536">
    <w:name w:val="xl22"/>
    <w:basedOn w:val="1"/>
    <w:uiPriority w:val="0"/>
    <w:pPr>
      <w:widowControl/>
      <w:spacing w:before="100" w:beforeAutospacing="1" w:after="100" w:afterAutospacing="1"/>
      <w:jc w:val="center"/>
    </w:pPr>
    <w:rPr>
      <w:rFonts w:ascii="宋体" w:hAnsi="Arial" w:eastAsia="黑体"/>
      <w:b/>
      <w:kern w:val="0"/>
      <w:sz w:val="24"/>
      <w:szCs w:val="28"/>
    </w:rPr>
  </w:style>
  <w:style w:type="paragraph" w:customStyle="1" w:styleId="537">
    <w:name w:val="正文首行缩进2字"/>
    <w:basedOn w:val="1"/>
    <w:qFormat/>
    <w:uiPriority w:val="0"/>
    <w:pPr>
      <w:adjustRightInd w:val="0"/>
      <w:snapToGrid w:val="0"/>
      <w:spacing w:before="100" w:beforeAutospacing="1" w:after="100" w:afterAutospacing="1"/>
      <w:ind w:firstLine="567"/>
      <w:jc w:val="left"/>
    </w:pPr>
    <w:rPr>
      <w:rFonts w:eastAsia="楷体_GB2312"/>
      <w:kern w:val="0"/>
      <w:sz w:val="28"/>
      <w:szCs w:val="24"/>
    </w:rPr>
  </w:style>
  <w:style w:type="paragraph" w:customStyle="1" w:styleId="538">
    <w:name w:val="xl7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9">
    <w:name w:val="xl7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540">
    <w:name w:val="A"/>
    <w:basedOn w:val="1"/>
    <w:uiPriority w:val="0"/>
    <w:pPr>
      <w:adjustRightInd w:val="0"/>
      <w:spacing w:line="480" w:lineRule="atLeast"/>
      <w:jc w:val="center"/>
      <w:textAlignment w:val="baseline"/>
    </w:pPr>
    <w:rPr>
      <w:rFonts w:ascii="宋体" w:hAnsi="Arial" w:eastAsia="黑体"/>
      <w:b/>
      <w:kern w:val="0"/>
      <w:sz w:val="32"/>
      <w:szCs w:val="20"/>
    </w:rPr>
  </w:style>
  <w:style w:type="paragraph" w:customStyle="1" w:styleId="541">
    <w:name w:val="目录 21"/>
    <w:basedOn w:val="1"/>
    <w:next w:val="1"/>
    <w:qFormat/>
    <w:uiPriority w:val="39"/>
    <w:pPr>
      <w:spacing w:before="240"/>
      <w:jc w:val="left"/>
    </w:pPr>
    <w:rPr>
      <w:rFonts w:hAnsi="Arial" w:eastAsia="黑体"/>
      <w:bCs/>
      <w:kern w:val="0"/>
      <w:sz w:val="20"/>
      <w:szCs w:val="20"/>
    </w:rPr>
  </w:style>
  <w:style w:type="paragraph" w:customStyle="1" w:styleId="542">
    <w:name w:val="表格侧编号"/>
    <w:basedOn w:val="1"/>
    <w:next w:val="1"/>
    <w:uiPriority w:val="0"/>
    <w:pPr>
      <w:adjustRightInd w:val="0"/>
      <w:snapToGrid w:val="0"/>
      <w:jc w:val="center"/>
      <w:textAlignment w:val="baseline"/>
    </w:pPr>
    <w:rPr>
      <w:rFonts w:ascii="宋体" w:hAnsi="Arial" w:eastAsia="黑体"/>
      <w:b/>
      <w:kern w:val="0"/>
      <w:sz w:val="24"/>
      <w:szCs w:val="28"/>
    </w:rPr>
  </w:style>
  <w:style w:type="paragraph" w:customStyle="1" w:styleId="543">
    <w:name w:val="Sub Text 4"/>
    <w:basedOn w:val="1"/>
    <w:uiPriority w:val="0"/>
    <w:pPr>
      <w:widowControl/>
      <w:spacing w:before="120" w:after="60"/>
      <w:ind w:left="2160"/>
      <w:jc w:val="center"/>
    </w:pPr>
    <w:rPr>
      <w:rFonts w:hAnsi="Arial" w:eastAsia="黑体"/>
      <w:b/>
      <w:kern w:val="0"/>
      <w:sz w:val="22"/>
      <w:szCs w:val="28"/>
    </w:rPr>
  </w:style>
  <w:style w:type="paragraph" w:customStyle="1" w:styleId="544">
    <w:name w:val="xl120"/>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Arial" w:eastAsia="黑体"/>
      <w:b/>
      <w:kern w:val="0"/>
      <w:sz w:val="20"/>
      <w:szCs w:val="20"/>
    </w:rPr>
  </w:style>
  <w:style w:type="paragraph" w:customStyle="1" w:styleId="545">
    <w:name w:val="图片标题"/>
    <w:basedOn w:val="1"/>
    <w:qFormat/>
    <w:uiPriority w:val="0"/>
    <w:pPr>
      <w:adjustRightInd w:val="0"/>
      <w:snapToGrid w:val="0"/>
      <w:spacing w:before="120" w:after="120"/>
      <w:jc w:val="center"/>
    </w:pPr>
    <w:rPr>
      <w:rFonts w:cs="宋体"/>
      <w:szCs w:val="20"/>
    </w:rPr>
  </w:style>
  <w:style w:type="paragraph" w:customStyle="1" w:styleId="546">
    <w:name w:val="样式 标题 1Heading 0PIM 1H1h1l1Head 1 (Chapter heading)Head 1..."/>
    <w:basedOn w:val="5"/>
    <w:qFormat/>
    <w:uiPriority w:val="0"/>
    <w:pPr>
      <w:tabs>
        <w:tab w:val="left" w:pos="180"/>
      </w:tabs>
      <w:adjustRightInd w:val="0"/>
      <w:snapToGrid w:val="0"/>
      <w:spacing w:before="100" w:beforeAutospacing="1" w:after="0" w:line="360" w:lineRule="auto"/>
      <w:ind w:left="425" w:hanging="425"/>
      <w:jc w:val="left"/>
    </w:pPr>
    <w:rPr>
      <w:rFonts w:eastAsia="宋体" w:cs="宋体"/>
      <w:bCs/>
      <w:sz w:val="36"/>
    </w:rPr>
  </w:style>
  <w:style w:type="paragraph" w:customStyle="1" w:styleId="547">
    <w:name w:val="Char Char Char Char Char Char Char Char Char Char Char Char Char Char Char Char Char Char Char Char Char Char Char Char Char"/>
    <w:basedOn w:val="1"/>
    <w:uiPriority w:val="0"/>
    <w:rPr>
      <w:rFonts w:ascii="Tahoma" w:hAnsi="Tahoma"/>
      <w:sz w:val="24"/>
      <w:szCs w:val="20"/>
    </w:rPr>
  </w:style>
  <w:style w:type="paragraph" w:customStyle="1" w:styleId="548">
    <w:name w:val="LOA - Numbered"/>
    <w:basedOn w:val="41"/>
    <w:uiPriority w:val="0"/>
    <w:pPr>
      <w:tabs>
        <w:tab w:val="left" w:pos="1152"/>
      </w:tabs>
      <w:spacing w:line="240" w:lineRule="auto"/>
      <w:ind w:left="1080" w:hanging="360"/>
      <w:jc w:val="center"/>
    </w:pPr>
    <w:rPr>
      <w:rFonts w:ascii="Times New Roman" w:hAnsi="Arial" w:eastAsia="黑体"/>
      <w:b/>
      <w:sz w:val="22"/>
      <w:szCs w:val="28"/>
    </w:rPr>
  </w:style>
  <w:style w:type="paragraph" w:customStyle="1" w:styleId="549">
    <w:name w:val="标书正文1"/>
    <w:basedOn w:val="1"/>
    <w:qFormat/>
    <w:uiPriority w:val="0"/>
    <w:pPr>
      <w:widowControl/>
      <w:adjustRightInd w:val="0"/>
      <w:snapToGrid w:val="0"/>
      <w:spacing w:line="360" w:lineRule="auto"/>
      <w:ind w:firstLine="470" w:firstLineChars="196"/>
      <w:jc w:val="left"/>
    </w:pPr>
    <w:rPr>
      <w:rFonts w:ascii="宋体" w:hAnsi="宋体"/>
      <w:sz w:val="24"/>
      <w:szCs w:val="24"/>
    </w:rPr>
  </w:style>
  <w:style w:type="paragraph" w:customStyle="1" w:styleId="550">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Arial" w:eastAsia="黑体"/>
      <w:bCs/>
      <w:kern w:val="0"/>
      <w:sz w:val="40"/>
      <w:szCs w:val="40"/>
    </w:rPr>
  </w:style>
  <w:style w:type="paragraph" w:customStyle="1" w:styleId="551">
    <w:name w:val="Char Char Char Char Char Char Char Char Char Char"/>
    <w:basedOn w:val="1"/>
    <w:next w:val="1"/>
    <w:qFormat/>
    <w:uiPriority w:val="0"/>
    <w:pPr>
      <w:widowControl/>
      <w:adjustRightInd w:val="0"/>
      <w:snapToGrid w:val="0"/>
      <w:spacing w:after="160" w:line="240" w:lineRule="exact"/>
      <w:jc w:val="left"/>
    </w:pPr>
    <w:rPr>
      <w:rFonts w:ascii="Verdana" w:hAnsi="Verdana"/>
      <w:kern w:val="0"/>
      <w:sz w:val="20"/>
      <w:szCs w:val="20"/>
      <w:lang w:eastAsia="en-US"/>
    </w:rPr>
  </w:style>
  <w:style w:type="paragraph" w:customStyle="1" w:styleId="552">
    <w:name w:val="font7"/>
    <w:basedOn w:val="1"/>
    <w:uiPriority w:val="0"/>
    <w:pPr>
      <w:widowControl/>
      <w:spacing w:before="100" w:beforeAutospacing="1" w:after="100" w:afterAutospacing="1"/>
      <w:jc w:val="left"/>
    </w:pPr>
    <w:rPr>
      <w:kern w:val="0"/>
      <w:sz w:val="24"/>
      <w:szCs w:val="24"/>
    </w:rPr>
  </w:style>
  <w:style w:type="paragraph" w:customStyle="1" w:styleId="553">
    <w:name w:val="xl33"/>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554">
    <w:name w:val="Char Char Char Char Char Char Char"/>
    <w:basedOn w:val="28"/>
    <w:qFormat/>
    <w:uiPriority w:val="0"/>
    <w:pPr>
      <w:jc w:val="center"/>
    </w:pPr>
    <w:rPr>
      <w:rFonts w:ascii="Tahoma" w:hAnsi="Tahoma"/>
      <w:b/>
      <w:szCs w:val="21"/>
    </w:rPr>
  </w:style>
  <w:style w:type="paragraph" w:customStyle="1" w:styleId="55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Arial" w:eastAsia="楷体"/>
      <w:b/>
      <w:kern w:val="0"/>
      <w:sz w:val="24"/>
      <w:szCs w:val="28"/>
    </w:rPr>
  </w:style>
  <w:style w:type="paragraph" w:customStyle="1" w:styleId="556">
    <w:name w:val="xl104"/>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Arial" w:eastAsia="黑体"/>
      <w:b/>
      <w:kern w:val="0"/>
      <w:sz w:val="20"/>
      <w:szCs w:val="20"/>
    </w:rPr>
  </w:style>
  <w:style w:type="paragraph" w:customStyle="1" w:styleId="557">
    <w:name w:val="英文标号正文"/>
    <w:basedOn w:val="1"/>
    <w:uiPriority w:val="0"/>
    <w:pPr>
      <w:widowControl/>
      <w:autoSpaceDE w:val="0"/>
      <w:autoSpaceDN w:val="0"/>
      <w:spacing w:line="530" w:lineRule="exact"/>
      <w:jc w:val="center"/>
    </w:pPr>
    <w:rPr>
      <w:rFonts w:hAnsi="Arial" w:eastAsia="仿宋_GB2312"/>
      <w:b/>
      <w:kern w:val="0"/>
      <w:sz w:val="30"/>
      <w:szCs w:val="20"/>
    </w:rPr>
  </w:style>
  <w:style w:type="paragraph" w:customStyle="1" w:styleId="5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59">
    <w:name w:val="TOC Heading"/>
    <w:basedOn w:val="5"/>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560">
    <w:name w:val="font8"/>
    <w:basedOn w:val="1"/>
    <w:uiPriority w:val="0"/>
    <w:pPr>
      <w:widowControl/>
      <w:spacing w:before="100" w:beforeAutospacing="1" w:after="100" w:afterAutospacing="1"/>
      <w:jc w:val="left"/>
    </w:pPr>
    <w:rPr>
      <w:rFonts w:ascii="宋体" w:hAnsi="宋体"/>
      <w:b/>
      <w:bCs/>
      <w:i/>
      <w:iCs/>
      <w:kern w:val="0"/>
      <w:sz w:val="24"/>
      <w:szCs w:val="24"/>
    </w:rPr>
  </w:style>
  <w:style w:type="paragraph" w:customStyle="1" w:styleId="561">
    <w:name w:val="文档正文"/>
    <w:basedOn w:val="1"/>
    <w:qFormat/>
    <w:uiPriority w:val="0"/>
    <w:pPr>
      <w:adjustRightInd w:val="0"/>
      <w:spacing w:line="312" w:lineRule="atLeast"/>
      <w:ind w:firstLine="567"/>
    </w:pPr>
    <w:rPr>
      <w:rFonts w:ascii="长城仿宋" w:eastAsia="长城仿宋"/>
      <w:kern w:val="0"/>
      <w:sz w:val="28"/>
      <w:szCs w:val="20"/>
    </w:rPr>
  </w:style>
  <w:style w:type="paragraph" w:customStyle="1" w:styleId="562">
    <w:name w:val="标题1 Char Char Char"/>
    <w:basedOn w:val="5"/>
    <w:uiPriority w:val="0"/>
    <w:pPr>
      <w:tabs>
        <w:tab w:val="left" w:pos="540"/>
      </w:tabs>
      <w:adjustRightInd w:val="0"/>
      <w:snapToGrid w:val="0"/>
      <w:spacing w:before="0" w:afterLines="50" w:line="400" w:lineRule="exact"/>
      <w:textAlignment w:val="baseline"/>
    </w:pPr>
    <w:rPr>
      <w:rFonts w:hAnsi="Arial" w:eastAsia="黑体"/>
      <w:b w:val="0"/>
      <w:bCs/>
    </w:rPr>
  </w:style>
  <w:style w:type="paragraph" w:customStyle="1" w:styleId="563">
    <w:name w:val="正文 A"/>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564">
    <w:name w:val="默认段落字体 Para Char Char Char Char Char Char Char Char Char Char Char Char Char Char Char Char"/>
    <w:basedOn w:val="1"/>
    <w:uiPriority w:val="0"/>
    <w:rPr>
      <w:rFonts w:ascii="Tahoma" w:hAnsi="Tahoma"/>
      <w:sz w:val="24"/>
      <w:szCs w:val="20"/>
    </w:rPr>
  </w:style>
  <w:style w:type="paragraph" w:customStyle="1" w:styleId="565">
    <w:name w:val="l标题4"/>
    <w:basedOn w:val="1"/>
    <w:next w:val="1"/>
    <w:qFormat/>
    <w:uiPriority w:val="0"/>
    <w:pPr>
      <w:widowControl/>
      <w:tabs>
        <w:tab w:val="left" w:pos="425"/>
        <w:tab w:val="left" w:pos="1080"/>
        <w:tab w:val="left" w:pos="2040"/>
      </w:tabs>
      <w:adjustRightInd w:val="0"/>
      <w:snapToGrid w:val="0"/>
      <w:spacing w:line="360" w:lineRule="auto"/>
      <w:ind w:left="2040"/>
      <w:jc w:val="left"/>
      <w:outlineLvl w:val="3"/>
    </w:pPr>
    <w:rPr>
      <w:b/>
      <w:kern w:val="0"/>
      <w:sz w:val="28"/>
      <w:szCs w:val="20"/>
    </w:rPr>
  </w:style>
  <w:style w:type="paragraph" w:customStyle="1" w:styleId="566">
    <w:name w:val="样式 标题 1123321Heading 0卷标题PIM 1h1标书1L1bocSection Headl1..."/>
    <w:basedOn w:val="5"/>
    <w:qFormat/>
    <w:uiPriority w:val="0"/>
    <w:pPr>
      <w:tabs>
        <w:tab w:val="left" w:pos="425"/>
      </w:tabs>
      <w:adjustRightInd w:val="0"/>
      <w:snapToGrid w:val="0"/>
      <w:spacing w:beforeLines="50" w:beforeAutospacing="1" w:after="120" w:line="360" w:lineRule="auto"/>
      <w:ind w:left="425" w:hanging="425"/>
    </w:pPr>
    <w:rPr>
      <w:rFonts w:ascii="黑体" w:hAnsi="黑体" w:eastAsia="黑体" w:cs="宋体"/>
      <w:bCs/>
      <w:sz w:val="36"/>
    </w:rPr>
  </w:style>
  <w:style w:type="paragraph" w:customStyle="1" w:styleId="567">
    <w:name w:val="表格1"/>
    <w:basedOn w:val="1"/>
    <w:uiPriority w:val="0"/>
    <w:pPr>
      <w:spacing w:before="100" w:beforeAutospacing="1" w:after="100" w:afterAutospacing="1"/>
    </w:pPr>
    <w:rPr>
      <w:rFonts w:ascii="仿宋_GB2312" w:eastAsia="仿宋_GB2312"/>
      <w:sz w:val="28"/>
      <w:szCs w:val="28"/>
    </w:rPr>
  </w:style>
  <w:style w:type="paragraph" w:customStyle="1" w:styleId="568">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6600"/>
      <w:kern w:val="0"/>
      <w:sz w:val="18"/>
      <w:szCs w:val="18"/>
    </w:rPr>
  </w:style>
  <w:style w:type="paragraph" w:customStyle="1" w:styleId="569">
    <w:name w:val="Char2"/>
    <w:basedOn w:val="1"/>
    <w:qFormat/>
    <w:uiPriority w:val="0"/>
    <w:rPr>
      <w:rFonts w:ascii="仿宋_GB2312" w:eastAsia="仿宋_GB2312"/>
      <w:b/>
      <w:sz w:val="32"/>
      <w:szCs w:val="20"/>
    </w:rPr>
  </w:style>
  <w:style w:type="paragraph" w:customStyle="1" w:styleId="570">
    <w:name w:val="Plain Text1"/>
    <w:basedOn w:val="1"/>
    <w:uiPriority w:val="0"/>
    <w:pPr>
      <w:overflowPunct w:val="0"/>
      <w:autoSpaceDE w:val="0"/>
      <w:autoSpaceDN w:val="0"/>
      <w:adjustRightInd w:val="0"/>
      <w:jc w:val="center"/>
      <w:textAlignment w:val="baseline"/>
    </w:pPr>
    <w:rPr>
      <w:rFonts w:ascii="宋体" w:hAnsi="Arial" w:eastAsia="黑体"/>
      <w:b/>
      <w:kern w:val="0"/>
      <w:sz w:val="28"/>
      <w:szCs w:val="28"/>
    </w:rPr>
  </w:style>
  <w:style w:type="paragraph" w:customStyle="1" w:styleId="571">
    <w:name w:val="Q/19LGT01—2001"/>
    <w:basedOn w:val="1"/>
    <w:uiPriority w:val="0"/>
    <w:pPr>
      <w:tabs>
        <w:tab w:val="left" w:pos="555"/>
      </w:tabs>
      <w:spacing w:line="360" w:lineRule="auto"/>
    </w:pPr>
    <w:rPr>
      <w:rFonts w:ascii="宋体" w:hAnsi="宋体"/>
      <w:bCs/>
      <w:szCs w:val="21"/>
    </w:rPr>
  </w:style>
  <w:style w:type="paragraph" w:customStyle="1" w:styleId="572">
    <w:name w:val="GW-标题8"/>
    <w:basedOn w:val="573"/>
    <w:next w:val="238"/>
    <w:unhideWhenUsed/>
    <w:qFormat/>
    <w:uiPriority w:val="0"/>
    <w:pPr>
      <w:ind w:left="1986" w:hanging="1418"/>
      <w:outlineLvl w:val="7"/>
    </w:pPr>
    <w:rPr>
      <w:bCs w:val="0"/>
      <w:color w:val="auto"/>
      <w:kern w:val="2"/>
      <w:sz w:val="21"/>
      <w:szCs w:val="20"/>
    </w:rPr>
  </w:style>
  <w:style w:type="paragraph" w:customStyle="1" w:styleId="573">
    <w:name w:val="GW-标题7"/>
    <w:basedOn w:val="12"/>
    <w:next w:val="1"/>
    <w:qFormat/>
    <w:uiPriority w:val="0"/>
    <w:pPr>
      <w:widowControl/>
      <w:tabs>
        <w:tab w:val="clear" w:pos="1440"/>
      </w:tabs>
      <w:spacing w:before="40" w:after="0" w:line="259" w:lineRule="auto"/>
      <w:ind w:left="1296" w:hanging="1440"/>
      <w:jc w:val="left"/>
    </w:pPr>
    <w:rPr>
      <w:rFonts w:ascii="Cambria" w:hAnsi="Cambria" w:eastAsia="宋体"/>
      <w:bCs/>
      <w:color w:val="244061"/>
      <w:sz w:val="22"/>
      <w:szCs w:val="22"/>
    </w:rPr>
  </w:style>
  <w:style w:type="paragraph" w:customStyle="1" w:styleId="574">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Arial" w:eastAsia="楷体"/>
      <w:b/>
      <w:kern w:val="0"/>
      <w:sz w:val="24"/>
      <w:szCs w:val="28"/>
    </w:rPr>
  </w:style>
  <w:style w:type="paragraph" w:customStyle="1" w:styleId="575">
    <w:name w:val="reader-word-layer reader-word-s1-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76">
    <w:name w:val="xl25"/>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577">
    <w:name w:val="xl4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8">
    <w:name w:val="样式"/>
    <w:basedOn w:val="1"/>
    <w:uiPriority w:val="0"/>
    <w:pPr>
      <w:spacing w:line="360" w:lineRule="auto"/>
      <w:ind w:firstLine="420"/>
      <w:jc w:val="center"/>
    </w:pPr>
    <w:rPr>
      <w:rFonts w:ascii="宋体" w:hAnsi="Arial" w:eastAsia="黑体"/>
      <w:b/>
      <w:kern w:val="0"/>
      <w:sz w:val="24"/>
      <w:szCs w:val="28"/>
    </w:rPr>
  </w:style>
  <w:style w:type="paragraph" w:customStyle="1" w:styleId="579">
    <w:name w:val="修订1"/>
    <w:semiHidden/>
    <w:qFormat/>
    <w:uiPriority w:val="99"/>
    <w:rPr>
      <w:rFonts w:ascii="Times New Roman" w:hAnsi="Times New Roman" w:eastAsia="宋体" w:cs="Times New Roman"/>
      <w:kern w:val="2"/>
      <w:sz w:val="24"/>
      <w:szCs w:val="22"/>
      <w:lang w:val="en-US" w:eastAsia="zh-CN" w:bidi="ar-SA"/>
    </w:rPr>
  </w:style>
  <w:style w:type="paragraph" w:customStyle="1" w:styleId="580">
    <w:name w:val="Char Char1 Char"/>
    <w:basedOn w:val="1"/>
    <w:uiPriority w:val="0"/>
    <w:pPr>
      <w:jc w:val="center"/>
    </w:pPr>
    <w:rPr>
      <w:rFonts w:hAnsi="Arial" w:eastAsia="黑体"/>
      <w:b/>
      <w:kern w:val="0"/>
      <w:sz w:val="28"/>
      <w:szCs w:val="28"/>
    </w:rPr>
  </w:style>
  <w:style w:type="paragraph" w:customStyle="1" w:styleId="581">
    <w:name w:val="项目2"/>
    <w:basedOn w:val="1"/>
    <w:uiPriority w:val="0"/>
    <w:pPr>
      <w:tabs>
        <w:tab w:val="left" w:pos="718"/>
      </w:tabs>
      <w:adjustRightInd w:val="0"/>
      <w:spacing w:before="120" w:after="120" w:line="360" w:lineRule="auto"/>
      <w:ind w:left="665" w:hanging="307"/>
      <w:jc w:val="left"/>
    </w:pPr>
    <w:rPr>
      <w:rFonts w:ascii="宋体" w:hAnsi="宋体"/>
      <w:kern w:val="0"/>
      <w:sz w:val="24"/>
      <w:szCs w:val="20"/>
    </w:rPr>
  </w:style>
  <w:style w:type="paragraph" w:customStyle="1" w:styleId="582">
    <w:name w:val="xl119"/>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Arial" w:eastAsia="黑体"/>
      <w:bCs/>
      <w:kern w:val="0"/>
      <w:sz w:val="20"/>
      <w:szCs w:val="20"/>
    </w:rPr>
  </w:style>
  <w:style w:type="paragraph" w:customStyle="1" w:styleId="583">
    <w:name w:val="正文文本缩进 21"/>
    <w:basedOn w:val="1"/>
    <w:uiPriority w:val="0"/>
    <w:pPr>
      <w:autoSpaceDE w:val="0"/>
      <w:autoSpaceDN w:val="0"/>
      <w:adjustRightInd w:val="0"/>
      <w:spacing w:before="60" w:after="60" w:line="240" w:lineRule="atLeast"/>
      <w:ind w:firstLine="567"/>
      <w:jc w:val="center"/>
      <w:textAlignment w:val="baseline"/>
    </w:pPr>
    <w:rPr>
      <w:rFonts w:hAnsi="Arial" w:eastAsia="黑体"/>
      <w:b/>
      <w:kern w:val="0"/>
      <w:sz w:val="28"/>
      <w:szCs w:val="20"/>
    </w:rPr>
  </w:style>
  <w:style w:type="paragraph" w:customStyle="1" w:styleId="584">
    <w:name w:val="标题3"/>
    <w:basedOn w:val="7"/>
    <w:uiPriority w:val="0"/>
    <w:pPr>
      <w:keepNext w:val="0"/>
      <w:keepLines w:val="0"/>
      <w:adjustRightInd w:val="0"/>
      <w:snapToGrid w:val="0"/>
      <w:spacing w:before="0" w:after="0" w:line="360" w:lineRule="auto"/>
      <w:ind w:firstLine="150" w:firstLineChars="150"/>
      <w:jc w:val="center"/>
      <w:outlineLvl w:val="9"/>
    </w:pPr>
    <w:rPr>
      <w:rFonts w:hAnsi="Arial" w:eastAsia="黑体"/>
      <w:sz w:val="24"/>
    </w:rPr>
  </w:style>
  <w:style w:type="paragraph" w:customStyle="1" w:styleId="585">
    <w:name w:val="复选框1"/>
    <w:basedOn w:val="1"/>
    <w:uiPriority w:val="0"/>
    <w:pPr>
      <w:widowControl/>
      <w:spacing w:before="360" w:after="360"/>
      <w:jc w:val="left"/>
    </w:pPr>
    <w:rPr>
      <w:rFonts w:hAnsi="Arial" w:eastAsia="黑体"/>
      <w:b/>
      <w:kern w:val="0"/>
      <w:sz w:val="20"/>
      <w:szCs w:val="20"/>
    </w:rPr>
  </w:style>
  <w:style w:type="paragraph" w:customStyle="1" w:styleId="586">
    <w:name w:val="xl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7">
    <w:name w:val="正文文本缩进 31"/>
    <w:basedOn w:val="1"/>
    <w:uiPriority w:val="0"/>
    <w:pPr>
      <w:adjustRightInd w:val="0"/>
      <w:spacing w:before="60" w:after="60" w:line="240" w:lineRule="atLeast"/>
      <w:ind w:firstLine="567"/>
      <w:jc w:val="center"/>
      <w:textAlignment w:val="baseline"/>
    </w:pPr>
    <w:rPr>
      <w:rFonts w:hAnsi="Arial" w:eastAsia="黑体"/>
      <w:b/>
      <w:color w:val="FF0000"/>
      <w:kern w:val="0"/>
      <w:sz w:val="28"/>
      <w:szCs w:val="20"/>
    </w:rPr>
  </w:style>
  <w:style w:type="paragraph" w:customStyle="1" w:styleId="588">
    <w:name w:val="para_small"/>
    <w:basedOn w:val="1"/>
    <w:uiPriority w:val="0"/>
    <w:pPr>
      <w:spacing w:before="100" w:beforeAutospacing="1" w:after="100" w:afterAutospacing="1" w:line="360" w:lineRule="atLeast"/>
      <w:jc w:val="center"/>
    </w:pPr>
    <w:rPr>
      <w:rFonts w:ascii="宋体" w:hAnsi="Arial" w:eastAsia="黑体"/>
      <w:b/>
      <w:color w:val="000000"/>
      <w:kern w:val="0"/>
      <w:sz w:val="24"/>
      <w:szCs w:val="28"/>
    </w:rPr>
  </w:style>
  <w:style w:type="paragraph" w:customStyle="1" w:styleId="589">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Arial" w:eastAsia="黑体"/>
      <w:b/>
      <w:kern w:val="0"/>
      <w:sz w:val="20"/>
      <w:szCs w:val="20"/>
    </w:rPr>
  </w:style>
  <w:style w:type="paragraph" w:customStyle="1" w:styleId="590">
    <w:name w:val="无间距"/>
    <w:qFormat/>
    <w:uiPriority w:val="0"/>
    <w:pPr>
      <w:widowControl w:val="0"/>
      <w:jc w:val="both"/>
    </w:pPr>
    <w:rPr>
      <w:rFonts w:ascii="Cambria" w:hAnsi="Cambria" w:eastAsia="宋体" w:cs="Times New Roman"/>
      <w:kern w:val="2"/>
      <w:sz w:val="24"/>
      <w:szCs w:val="24"/>
      <w:lang w:val="en-US" w:eastAsia="zh-CN" w:bidi="ar-SA"/>
    </w:rPr>
  </w:style>
  <w:style w:type="paragraph" w:customStyle="1" w:styleId="591">
    <w:name w:val="正文文本 31"/>
    <w:basedOn w:val="1"/>
    <w:uiPriority w:val="0"/>
    <w:pPr>
      <w:adjustRightInd w:val="0"/>
      <w:spacing w:line="360" w:lineRule="auto"/>
      <w:jc w:val="center"/>
      <w:textAlignment w:val="baseline"/>
    </w:pPr>
    <w:rPr>
      <w:rFonts w:ascii="宋体" w:hAnsi="Arial" w:eastAsia="黑体"/>
      <w:color w:val="FF0000"/>
      <w:kern w:val="0"/>
      <w:sz w:val="24"/>
      <w:szCs w:val="20"/>
      <w:u w:val="single"/>
    </w:rPr>
  </w:style>
  <w:style w:type="paragraph" w:customStyle="1" w:styleId="592">
    <w:name w:val="标准1 段落"/>
    <w:basedOn w:val="1"/>
    <w:uiPriority w:val="0"/>
    <w:pPr>
      <w:tabs>
        <w:tab w:val="left" w:pos="890"/>
      </w:tabs>
      <w:spacing w:beforeLines="50" w:line="360" w:lineRule="auto"/>
      <w:ind w:left="890" w:hanging="465"/>
    </w:pPr>
    <w:rPr>
      <w:sz w:val="24"/>
      <w:szCs w:val="24"/>
    </w:rPr>
  </w:style>
  <w:style w:type="paragraph" w:customStyle="1" w:styleId="593">
    <w:name w:val="标题1 Char Char Char Char Char Char Char Char Char Char"/>
    <w:basedOn w:val="1"/>
    <w:next w:val="1"/>
    <w:uiPriority w:val="0"/>
    <w:pPr>
      <w:spacing w:line="360" w:lineRule="auto"/>
      <w:jc w:val="center"/>
    </w:pPr>
    <w:rPr>
      <w:rFonts w:hAnsi="Arial" w:eastAsia="黑体"/>
      <w:bCs/>
      <w:kern w:val="44"/>
      <w:sz w:val="32"/>
      <w:szCs w:val="32"/>
    </w:rPr>
  </w:style>
  <w:style w:type="paragraph" w:customStyle="1" w:styleId="594">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Arial" w:eastAsia="黑体"/>
      <w:b/>
      <w:kern w:val="0"/>
      <w:sz w:val="18"/>
      <w:szCs w:val="18"/>
    </w:rPr>
  </w:style>
  <w:style w:type="paragraph" w:customStyle="1" w:styleId="595">
    <w:name w:val="xl93"/>
    <w:basedOn w:val="1"/>
    <w:uiPriority w:val="0"/>
    <w:pPr>
      <w:widowControl/>
      <w:spacing w:before="100" w:beforeAutospacing="1" w:after="100" w:afterAutospacing="1"/>
      <w:jc w:val="left"/>
    </w:pPr>
    <w:rPr>
      <w:rFonts w:ascii="楷体" w:hAnsi="Arial" w:eastAsia="楷体"/>
      <w:bCs/>
      <w:kern w:val="0"/>
      <w:sz w:val="28"/>
      <w:szCs w:val="28"/>
    </w:rPr>
  </w:style>
  <w:style w:type="paragraph" w:customStyle="1" w:styleId="596">
    <w:name w:val="xl7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7">
    <w:name w:val="样式9"/>
    <w:basedOn w:val="46"/>
    <w:uiPriority w:val="0"/>
    <w:pPr>
      <w:tabs>
        <w:tab w:val="left" w:pos="1548"/>
      </w:tabs>
      <w:spacing w:line="560" w:lineRule="exact"/>
      <w:ind w:left="1548" w:hanging="420"/>
      <w:jc w:val="center"/>
    </w:pPr>
    <w:rPr>
      <w:rFonts w:hAnsi="Times New Roman"/>
      <w:kern w:val="2"/>
      <w:sz w:val="28"/>
    </w:rPr>
  </w:style>
  <w:style w:type="paragraph" w:customStyle="1" w:styleId="598">
    <w:name w:val="xl101"/>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Ansi="Arial" w:eastAsia="黑体"/>
      <w:b/>
      <w:kern w:val="0"/>
      <w:sz w:val="20"/>
      <w:szCs w:val="20"/>
    </w:rPr>
  </w:style>
  <w:style w:type="paragraph" w:customStyle="1" w:styleId="599">
    <w:name w:val="xl81"/>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600">
    <w:name w:val="日期1"/>
    <w:basedOn w:val="1"/>
    <w:next w:val="1"/>
    <w:uiPriority w:val="0"/>
    <w:pPr>
      <w:adjustRightInd w:val="0"/>
      <w:spacing w:line="360" w:lineRule="atLeast"/>
      <w:jc w:val="center"/>
    </w:pPr>
    <w:rPr>
      <w:rFonts w:ascii="宋体" w:hAnsi="Arial" w:eastAsia="黑体"/>
      <w:b/>
      <w:color w:val="000000"/>
      <w:kern w:val="0"/>
      <w:sz w:val="24"/>
      <w:szCs w:val="20"/>
    </w:rPr>
  </w:style>
  <w:style w:type="paragraph" w:customStyle="1" w:styleId="601">
    <w:name w:val="p0"/>
    <w:basedOn w:val="1"/>
    <w:uiPriority w:val="0"/>
    <w:pPr>
      <w:widowControl/>
    </w:pPr>
    <w:rPr>
      <w:kern w:val="0"/>
      <w:szCs w:val="21"/>
    </w:rPr>
  </w:style>
  <w:style w:type="paragraph" w:customStyle="1" w:styleId="602">
    <w:name w:val="bt3"/>
    <w:basedOn w:val="1"/>
    <w:qFormat/>
    <w:uiPriority w:val="0"/>
    <w:pPr>
      <w:tabs>
        <w:tab w:val="left" w:pos="1418"/>
      </w:tabs>
      <w:adjustRightInd w:val="0"/>
      <w:spacing w:before="120" w:after="120" w:line="240" w:lineRule="atLeast"/>
      <w:ind w:firstLine="510"/>
      <w:jc w:val="center"/>
      <w:textAlignment w:val="baseline"/>
    </w:pPr>
    <w:rPr>
      <w:rFonts w:ascii="Arial" w:hAnsi="Arial" w:eastAsia="黑体"/>
      <w:b/>
      <w:color w:val="000000"/>
      <w:kern w:val="0"/>
      <w:sz w:val="24"/>
      <w:szCs w:val="20"/>
    </w:rPr>
  </w:style>
  <w:style w:type="paragraph" w:customStyle="1" w:styleId="603">
    <w:name w:val="Char Char Char Char Char Char"/>
    <w:basedOn w:val="1"/>
    <w:uiPriority w:val="0"/>
    <w:pPr>
      <w:jc w:val="center"/>
    </w:pPr>
    <w:rPr>
      <w:rFonts w:hAnsi="Arial" w:eastAsia="黑体"/>
      <w:b/>
      <w:kern w:val="0"/>
      <w:sz w:val="28"/>
      <w:szCs w:val="28"/>
    </w:rPr>
  </w:style>
  <w:style w:type="paragraph" w:customStyle="1" w:styleId="604">
    <w:name w:val="标题2 Char"/>
    <w:basedOn w:val="605"/>
    <w:uiPriority w:val="0"/>
    <w:pPr>
      <w:keepLines w:val="0"/>
      <w:adjustRightInd w:val="0"/>
      <w:spacing w:afterLines="0"/>
      <w:jc w:val="both"/>
      <w:textAlignment w:val="baseline"/>
    </w:pPr>
    <w:rPr>
      <w:rFonts w:ascii="Times New Roman" w:hAnsi="Times New Roman"/>
      <w:b/>
      <w:bCs w:val="0"/>
      <w:sz w:val="24"/>
      <w:szCs w:val="24"/>
    </w:rPr>
  </w:style>
  <w:style w:type="paragraph" w:customStyle="1" w:styleId="605">
    <w:name w:val="heading"/>
    <w:basedOn w:val="1"/>
    <w:next w:val="1"/>
    <w:uiPriority w:val="0"/>
    <w:pPr>
      <w:keepNext/>
      <w:keepLines/>
      <w:spacing w:afterLines="50" w:line="360" w:lineRule="auto"/>
      <w:jc w:val="center"/>
      <w:outlineLvl w:val="1"/>
    </w:pPr>
    <w:rPr>
      <w:rFonts w:ascii="Arial" w:hAnsi="Arial" w:eastAsia="黑体"/>
      <w:bCs/>
      <w:kern w:val="0"/>
      <w:sz w:val="30"/>
      <w:szCs w:val="30"/>
    </w:rPr>
  </w:style>
  <w:style w:type="paragraph" w:customStyle="1" w:styleId="606">
    <w:name w:val="Liwb_Item_5"/>
    <w:basedOn w:val="1"/>
    <w:uiPriority w:val="0"/>
    <w:pPr>
      <w:widowControl/>
      <w:jc w:val="left"/>
      <w:outlineLvl w:val="5"/>
    </w:pPr>
    <w:rPr>
      <w:rFonts w:ascii="宋体" w:hAnsi="Arial" w:eastAsia="黑体"/>
      <w:b/>
      <w:kern w:val="0"/>
      <w:sz w:val="28"/>
      <w:szCs w:val="20"/>
    </w:rPr>
  </w:style>
  <w:style w:type="paragraph" w:customStyle="1" w:styleId="607">
    <w:name w:val="样式6"/>
    <w:basedOn w:val="1"/>
    <w:uiPriority w:val="0"/>
    <w:pPr>
      <w:tabs>
        <w:tab w:val="left" w:pos="1140"/>
      </w:tabs>
      <w:ind w:left="1140" w:hanging="420"/>
      <w:jc w:val="center"/>
    </w:pPr>
    <w:rPr>
      <w:rFonts w:hAnsi="Arial" w:eastAsia="黑体"/>
      <w:b/>
      <w:kern w:val="0"/>
      <w:sz w:val="28"/>
      <w:szCs w:val="20"/>
    </w:rPr>
  </w:style>
  <w:style w:type="paragraph" w:customStyle="1" w:styleId="608">
    <w:name w:val="xl130"/>
    <w:basedOn w:val="1"/>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Arial" w:eastAsia="黑体"/>
      <w:bCs/>
      <w:kern w:val="0"/>
      <w:sz w:val="20"/>
      <w:szCs w:val="20"/>
    </w:rPr>
  </w:style>
  <w:style w:type="paragraph" w:customStyle="1" w:styleId="609">
    <w:name w:val="标题一"/>
    <w:basedOn w:val="85"/>
    <w:uiPriority w:val="0"/>
    <w:pPr>
      <w:tabs>
        <w:tab w:val="center" w:pos="4680"/>
      </w:tabs>
      <w:spacing w:before="0" w:after="0"/>
      <w:ind w:left="1080" w:right="360"/>
    </w:pPr>
    <w:rPr>
      <w:rFonts w:ascii="CG Times (W1)" w:hAnsi="CG Times (W1)" w:eastAsia="黑体"/>
      <w:b w:val="0"/>
      <w:bCs w:val="0"/>
      <w:sz w:val="44"/>
      <w:szCs w:val="24"/>
    </w:rPr>
  </w:style>
  <w:style w:type="paragraph" w:customStyle="1" w:styleId="610">
    <w:name w:val="Char11"/>
    <w:basedOn w:val="28"/>
    <w:uiPriority w:val="0"/>
    <w:rPr>
      <w:rFonts w:ascii="Tahoma" w:hAnsi="Tahoma"/>
      <w:kern w:val="2"/>
      <w:sz w:val="24"/>
      <w:szCs w:val="24"/>
    </w:rPr>
  </w:style>
  <w:style w:type="paragraph" w:customStyle="1" w:styleId="611">
    <w:name w:val="xl115"/>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Ansi="Arial" w:eastAsia="黑体"/>
      <w:b/>
      <w:kern w:val="0"/>
      <w:sz w:val="20"/>
      <w:szCs w:val="20"/>
    </w:rPr>
  </w:style>
  <w:style w:type="paragraph" w:customStyle="1" w:styleId="612">
    <w:name w:val="图中文字"/>
    <w:basedOn w:val="1"/>
    <w:uiPriority w:val="0"/>
    <w:pPr>
      <w:autoSpaceDE w:val="0"/>
      <w:autoSpaceDN w:val="0"/>
      <w:adjustRightInd w:val="0"/>
      <w:spacing w:line="320" w:lineRule="exact"/>
      <w:jc w:val="center"/>
    </w:pPr>
    <w:rPr>
      <w:rFonts w:ascii="宋体" w:hAnsi="Arial" w:eastAsia="黑体"/>
      <w:b/>
      <w:iCs/>
      <w:kern w:val="0"/>
      <w:sz w:val="28"/>
      <w:szCs w:val="20"/>
    </w:rPr>
  </w:style>
  <w:style w:type="paragraph" w:customStyle="1" w:styleId="613">
    <w:name w:val="WW-正文（首行缩进两字）"/>
    <w:basedOn w:val="1"/>
    <w:qFormat/>
    <w:uiPriority w:val="0"/>
    <w:pPr>
      <w:suppressAutoHyphens/>
      <w:adjustRightInd w:val="0"/>
      <w:snapToGrid w:val="0"/>
      <w:ind w:firstLine="420"/>
      <w:jc w:val="left"/>
    </w:pPr>
    <w:rPr>
      <w:kern w:val="1"/>
      <w:szCs w:val="20"/>
      <w:lang w:eastAsia="ar-SA"/>
    </w:rPr>
  </w:style>
  <w:style w:type="paragraph" w:customStyle="1" w:styleId="614">
    <w:name w:val="序言文字"/>
    <w:basedOn w:val="1"/>
    <w:qFormat/>
    <w:uiPriority w:val="0"/>
    <w:pPr>
      <w:adjustRightInd w:val="0"/>
      <w:snapToGrid w:val="0"/>
      <w:spacing w:before="60" w:after="60" w:line="300" w:lineRule="auto"/>
      <w:ind w:firstLine="510"/>
      <w:jc w:val="left"/>
    </w:pPr>
    <w:rPr>
      <w:rFonts w:eastAsia="楷体_GB2312"/>
      <w:spacing w:val="10"/>
      <w:sz w:val="24"/>
      <w:szCs w:val="20"/>
    </w:rPr>
  </w:style>
  <w:style w:type="paragraph" w:customStyle="1" w:styleId="615">
    <w:name w:val="xl29"/>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616">
    <w:name w:val="_Style 4441"/>
    <w:basedOn w:val="1"/>
    <w:next w:val="129"/>
    <w:qFormat/>
    <w:uiPriority w:val="34"/>
    <w:pPr>
      <w:spacing w:line="360" w:lineRule="auto"/>
      <w:ind w:firstLine="420" w:firstLineChars="200"/>
    </w:pPr>
    <w:rPr>
      <w:rFonts w:ascii="宋体" w:hAnsi="宋体"/>
      <w:sz w:val="24"/>
      <w:szCs w:val="20"/>
    </w:rPr>
  </w:style>
  <w:style w:type="paragraph" w:customStyle="1" w:styleId="617">
    <w:name w:val="样式 正文首行缩进 2 + 首行缩进:  2 字符"/>
    <w:basedOn w:val="87"/>
    <w:qFormat/>
    <w:uiPriority w:val="0"/>
    <w:pPr>
      <w:tabs>
        <w:tab w:val="left" w:pos="420"/>
      </w:tabs>
      <w:adjustRightInd w:val="0"/>
      <w:snapToGrid w:val="0"/>
      <w:spacing w:line="300" w:lineRule="auto"/>
      <w:ind w:left="0" w:leftChars="0" w:firstLine="0" w:firstLineChars="0"/>
      <w:jc w:val="left"/>
    </w:pPr>
    <w:rPr>
      <w:rFonts w:cs="宋体"/>
      <w:b/>
      <w:kern w:val="2"/>
      <w:sz w:val="24"/>
    </w:rPr>
  </w:style>
  <w:style w:type="paragraph" w:customStyle="1" w:styleId="618">
    <w:name w:val="xl1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Arial" w:eastAsia="黑体"/>
      <w:b/>
      <w:color w:val="FF0000"/>
      <w:kern w:val="0"/>
      <w:sz w:val="20"/>
      <w:szCs w:val="20"/>
    </w:rPr>
  </w:style>
  <w:style w:type="paragraph" w:customStyle="1" w:styleId="619">
    <w:name w:val="正文符号1"/>
    <w:basedOn w:val="1"/>
    <w:qFormat/>
    <w:uiPriority w:val="0"/>
    <w:pPr>
      <w:tabs>
        <w:tab w:val="left" w:pos="1080"/>
      </w:tabs>
      <w:adjustRightInd w:val="0"/>
      <w:snapToGrid w:val="0"/>
      <w:spacing w:before="100" w:beforeAutospacing="1" w:after="100" w:afterAutospacing="1"/>
      <w:jc w:val="left"/>
    </w:pPr>
    <w:rPr>
      <w:rFonts w:eastAsia="楷体_GB2312"/>
      <w:kern w:val="0"/>
      <w:sz w:val="28"/>
      <w:szCs w:val="24"/>
    </w:rPr>
  </w:style>
  <w:style w:type="paragraph" w:customStyle="1" w:styleId="620">
    <w:name w:val="Fliestext/Aufz."/>
    <w:basedOn w:val="1"/>
    <w:uiPriority w:val="0"/>
    <w:pPr>
      <w:widowControl/>
      <w:overflowPunct w:val="0"/>
      <w:autoSpaceDE w:val="0"/>
      <w:autoSpaceDN w:val="0"/>
      <w:adjustRightInd w:val="0"/>
      <w:spacing w:after="120"/>
      <w:jc w:val="center"/>
      <w:textAlignment w:val="baseline"/>
    </w:pPr>
    <w:rPr>
      <w:rFonts w:ascii="Arial" w:hAnsi="Arial" w:eastAsia="MS Mincho"/>
      <w:b/>
      <w:kern w:val="0"/>
      <w:sz w:val="22"/>
      <w:lang w:val="de-DE" w:eastAsia="ja-JP"/>
    </w:rPr>
  </w:style>
  <w:style w:type="paragraph" w:customStyle="1" w:styleId="621">
    <w:name w:val="正文标题"/>
    <w:basedOn w:val="1"/>
    <w:qFormat/>
    <w:uiPriority w:val="0"/>
    <w:pPr>
      <w:suppressAutoHyphens/>
      <w:autoSpaceDE w:val="0"/>
      <w:autoSpaceDN w:val="0"/>
      <w:adjustRightInd w:val="0"/>
      <w:snapToGrid w:val="0"/>
      <w:spacing w:line="360" w:lineRule="auto"/>
      <w:jc w:val="left"/>
      <w:textAlignment w:val="center"/>
    </w:pPr>
    <w:rPr>
      <w:rFonts w:ascii="汉仪大黑简+Arial" w:eastAsia="汉仪大黑简+Arial"/>
      <w:color w:val="000000"/>
      <w:kern w:val="0"/>
      <w:sz w:val="22"/>
      <w:lang w:val="zh-CN"/>
    </w:rPr>
  </w:style>
  <w:style w:type="paragraph" w:customStyle="1" w:styleId="622">
    <w:name w:val="xl114"/>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Arial" w:eastAsia="黑体"/>
      <w:b/>
      <w:kern w:val="0"/>
      <w:sz w:val="18"/>
      <w:szCs w:val="18"/>
    </w:rPr>
  </w:style>
  <w:style w:type="paragraph" w:customStyle="1" w:styleId="623">
    <w:name w:val="嘉定标题1"/>
    <w:basedOn w:val="1"/>
    <w:next w:val="1"/>
    <w:qFormat/>
    <w:uiPriority w:val="0"/>
    <w:pPr>
      <w:widowControl/>
      <w:tabs>
        <w:tab w:val="left" w:pos="1709"/>
      </w:tabs>
      <w:adjustRightInd w:val="0"/>
      <w:snapToGrid w:val="0"/>
      <w:spacing w:after="160" w:line="240" w:lineRule="exact"/>
      <w:ind w:left="1709" w:hanging="431"/>
      <w:jc w:val="left"/>
    </w:pPr>
    <w:rPr>
      <w:rFonts w:ascii="宋体" w:hAnsi="Verdana"/>
      <w:b/>
      <w:kern w:val="0"/>
      <w:sz w:val="28"/>
      <w:szCs w:val="28"/>
      <w:lang w:eastAsia="en-US"/>
    </w:rPr>
  </w:style>
  <w:style w:type="paragraph" w:customStyle="1" w:styleId="624">
    <w:name w:val="列出段落2"/>
    <w:basedOn w:val="1"/>
    <w:qFormat/>
    <w:uiPriority w:val="34"/>
    <w:pPr>
      <w:ind w:firstLine="420" w:firstLineChars="200"/>
    </w:pPr>
    <w:rPr>
      <w:szCs w:val="21"/>
    </w:rPr>
  </w:style>
  <w:style w:type="paragraph" w:customStyle="1" w:styleId="625">
    <w:name w:val="正文(标准)"/>
    <w:basedOn w:val="1"/>
    <w:qFormat/>
    <w:uiPriority w:val="0"/>
    <w:pPr>
      <w:tabs>
        <w:tab w:val="left" w:pos="840"/>
      </w:tabs>
      <w:adjustRightInd w:val="0"/>
      <w:snapToGrid w:val="0"/>
      <w:ind w:left="840" w:hanging="420"/>
      <w:jc w:val="left"/>
    </w:pPr>
    <w:rPr>
      <w:sz w:val="24"/>
      <w:szCs w:val="24"/>
    </w:rPr>
  </w:style>
  <w:style w:type="paragraph" w:customStyle="1" w:styleId="626">
    <w:name w:val="Style1"/>
    <w:basedOn w:val="1"/>
    <w:uiPriority w:val="0"/>
    <w:pPr>
      <w:overflowPunct w:val="0"/>
      <w:autoSpaceDE w:val="0"/>
      <w:autoSpaceDN w:val="0"/>
      <w:adjustRightInd w:val="0"/>
      <w:spacing w:line="360" w:lineRule="atLeast"/>
      <w:ind w:left="1080" w:hanging="360"/>
      <w:jc w:val="center"/>
      <w:textAlignment w:val="baseline"/>
    </w:pPr>
    <w:rPr>
      <w:rFonts w:ascii="宋体" w:hAnsi="Arial" w:eastAsia="黑体"/>
      <w:b/>
      <w:spacing w:val="-20"/>
      <w:kern w:val="0"/>
      <w:sz w:val="24"/>
      <w:szCs w:val="20"/>
      <w:lang w:val="en-GB" w:eastAsia="en-GB"/>
    </w:rPr>
  </w:style>
  <w:style w:type="paragraph" w:customStyle="1" w:styleId="627">
    <w:name w:val="正文格式"/>
    <w:basedOn w:val="1"/>
    <w:qFormat/>
    <w:uiPriority w:val="0"/>
    <w:pPr>
      <w:widowControl/>
      <w:adjustRightInd w:val="0"/>
      <w:snapToGrid w:val="0"/>
      <w:spacing w:line="360" w:lineRule="atLeast"/>
      <w:ind w:firstLine="482"/>
      <w:jc w:val="left"/>
      <w:textAlignment w:val="baseline"/>
    </w:pPr>
    <w:rPr>
      <w:rFonts w:ascii="宋体" w:hAnsi="宋体" w:cs="宋体"/>
      <w:kern w:val="0"/>
      <w:sz w:val="24"/>
    </w:rPr>
  </w:style>
  <w:style w:type="paragraph" w:customStyle="1" w:styleId="628">
    <w:name w:val="sanxiang3"/>
    <w:basedOn w:val="1"/>
    <w:uiPriority w:val="0"/>
    <w:pPr>
      <w:widowControl/>
      <w:tabs>
        <w:tab w:val="left" w:pos="686"/>
        <w:tab w:val="left" w:pos="728"/>
        <w:tab w:val="left" w:pos="966"/>
      </w:tabs>
      <w:spacing w:beforeLines="100" w:after="156" w:line="360" w:lineRule="auto"/>
      <w:ind w:left="359" w:hanging="359" w:hangingChars="149"/>
      <w:jc w:val="left"/>
      <w:outlineLvl w:val="2"/>
    </w:pPr>
    <w:rPr>
      <w:rFonts w:ascii="黑体" w:eastAsia="黑体"/>
      <w:b/>
      <w:kern w:val="0"/>
      <w:sz w:val="24"/>
      <w:szCs w:val="24"/>
    </w:rPr>
  </w:style>
  <w:style w:type="paragraph" w:customStyle="1" w:styleId="629">
    <w:name w:val="表序与表题"/>
    <w:next w:val="8"/>
    <w:qFormat/>
    <w:uiPriority w:val="0"/>
    <w:pPr>
      <w:keepNext/>
      <w:tabs>
        <w:tab w:val="left" w:pos="720"/>
      </w:tabs>
      <w:spacing w:before="120" w:after="40" w:line="120" w:lineRule="atLeast"/>
      <w:jc w:val="center"/>
    </w:pPr>
    <w:rPr>
      <w:rFonts w:ascii="Times New Roman" w:hAnsi="Times New Roman" w:eastAsia="宋体" w:cs="Times New Roman"/>
      <w:sz w:val="21"/>
      <w:lang w:val="en-US" w:eastAsia="zh-CN" w:bidi="ar-SA"/>
    </w:rPr>
  </w:style>
  <w:style w:type="paragraph" w:customStyle="1" w:styleId="630">
    <w:name w:val="样式 首行缩进:  2 字符"/>
    <w:basedOn w:val="1"/>
    <w:qFormat/>
    <w:uiPriority w:val="0"/>
    <w:pPr>
      <w:adjustRightInd w:val="0"/>
      <w:snapToGrid w:val="0"/>
      <w:spacing w:beforeLines="50" w:line="360" w:lineRule="auto"/>
      <w:ind w:firstLine="480" w:firstLineChars="200"/>
      <w:jc w:val="left"/>
    </w:pPr>
    <w:rPr>
      <w:rFonts w:cs="宋体"/>
      <w:sz w:val="24"/>
      <w:szCs w:val="20"/>
    </w:rPr>
  </w:style>
  <w:style w:type="paragraph" w:customStyle="1" w:styleId="631">
    <w:name w:val="xl26"/>
    <w:basedOn w:val="1"/>
    <w:qFormat/>
    <w:uiPriority w:val="0"/>
    <w:pPr>
      <w:widowControl/>
      <w:spacing w:before="100" w:beforeAutospacing="1" w:after="100" w:afterAutospacing="1"/>
      <w:jc w:val="left"/>
    </w:pPr>
    <w:rPr>
      <w:rFonts w:ascii="仿宋_GB2312" w:hAnsi="宋体" w:eastAsia="仿宋_GB2312"/>
      <w:kern w:val="0"/>
      <w:sz w:val="32"/>
      <w:szCs w:val="32"/>
    </w:rPr>
  </w:style>
  <w:style w:type="paragraph" w:customStyle="1" w:styleId="632">
    <w:name w:val="xl12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Arial" w:eastAsia="黑体"/>
      <w:b/>
      <w:kern w:val="0"/>
      <w:sz w:val="18"/>
      <w:szCs w:val="18"/>
    </w:rPr>
  </w:style>
  <w:style w:type="paragraph" w:customStyle="1" w:styleId="633">
    <w:name w:val="我的正文"/>
    <w:basedOn w:val="1"/>
    <w:uiPriority w:val="0"/>
    <w:pPr>
      <w:widowControl/>
      <w:spacing w:afterLines="50"/>
      <w:jc w:val="left"/>
    </w:pPr>
    <w:rPr>
      <w:rFonts w:ascii="宋体" w:hAnsi="宋体" w:cs="Arial"/>
      <w:b/>
      <w:bCs/>
      <w:spacing w:val="6"/>
      <w:kern w:val="0"/>
      <w:sz w:val="24"/>
      <w:szCs w:val="24"/>
    </w:rPr>
  </w:style>
  <w:style w:type="paragraph" w:customStyle="1" w:styleId="634">
    <w:name w:val="ttl1-1"/>
    <w:basedOn w:val="1"/>
    <w:uiPriority w:val="0"/>
    <w:pPr>
      <w:overflowPunct w:val="0"/>
      <w:autoSpaceDE w:val="0"/>
      <w:autoSpaceDN w:val="0"/>
      <w:adjustRightInd w:val="0"/>
      <w:spacing w:before="240" w:after="240" w:line="360" w:lineRule="atLeast"/>
      <w:jc w:val="center"/>
      <w:textAlignment w:val="baseline"/>
    </w:pPr>
    <w:rPr>
      <w:rFonts w:ascii="黑体" w:hAnsi="Arial" w:eastAsia="黑体"/>
      <w:b/>
      <w:spacing w:val="-10"/>
      <w:kern w:val="0"/>
      <w:sz w:val="24"/>
      <w:szCs w:val="20"/>
    </w:rPr>
  </w:style>
  <w:style w:type="paragraph" w:customStyle="1" w:styleId="635">
    <w:name w:val="纯文本1"/>
    <w:basedOn w:val="1"/>
    <w:uiPriority w:val="0"/>
    <w:pPr>
      <w:adjustRightInd w:val="0"/>
      <w:jc w:val="center"/>
      <w:textAlignment w:val="baseline"/>
    </w:pPr>
    <w:rPr>
      <w:rFonts w:ascii="宋体" w:hAnsi="Arial" w:eastAsia="黑体"/>
      <w:b/>
      <w:kern w:val="0"/>
      <w:sz w:val="28"/>
      <w:szCs w:val="20"/>
    </w:rPr>
  </w:style>
  <w:style w:type="paragraph" w:customStyle="1" w:styleId="636">
    <w:name w:val="xl116"/>
    <w:basedOn w:val="1"/>
    <w:uiPriority w:val="0"/>
    <w:pPr>
      <w:widowControl/>
      <w:spacing w:before="100" w:beforeAutospacing="1" w:after="100" w:afterAutospacing="1"/>
      <w:jc w:val="left"/>
    </w:pPr>
    <w:rPr>
      <w:rFonts w:hAnsi="Arial" w:eastAsia="黑体"/>
      <w:b/>
      <w:kern w:val="0"/>
      <w:sz w:val="20"/>
      <w:szCs w:val="20"/>
    </w:rPr>
  </w:style>
  <w:style w:type="paragraph" w:customStyle="1" w:styleId="637">
    <w:name w:val="xl23"/>
    <w:basedOn w:val="1"/>
    <w:uiPriority w:val="0"/>
    <w:pPr>
      <w:widowControl/>
      <w:spacing w:before="100" w:beforeAutospacing="1" w:after="100" w:afterAutospacing="1" w:line="360" w:lineRule="auto"/>
    </w:pPr>
    <w:rPr>
      <w:kern w:val="0"/>
      <w:sz w:val="24"/>
      <w:szCs w:val="24"/>
    </w:rPr>
  </w:style>
  <w:style w:type="paragraph" w:customStyle="1" w:styleId="638">
    <w:name w:val="样式1"/>
    <w:basedOn w:val="9"/>
    <w:qFormat/>
    <w:uiPriority w:val="99"/>
    <w:pPr>
      <w:keepLines/>
      <w:spacing w:before="280" w:after="290" w:line="360" w:lineRule="auto"/>
    </w:pPr>
    <w:rPr>
      <w:rFonts w:ascii="Arial" w:hAnsi="Arial" w:eastAsia="黑体"/>
      <w:b/>
      <w:sz w:val="28"/>
    </w:rPr>
  </w:style>
  <w:style w:type="paragraph" w:customStyle="1" w:styleId="639">
    <w:name w:val="WW-正文缩进"/>
    <w:basedOn w:val="1"/>
    <w:uiPriority w:val="0"/>
    <w:pPr>
      <w:suppressAutoHyphens/>
      <w:ind w:firstLine="420"/>
    </w:pPr>
    <w:rPr>
      <w:sz w:val="18"/>
      <w:szCs w:val="18"/>
      <w:lang w:eastAsia="ar-SA"/>
    </w:rPr>
  </w:style>
  <w:style w:type="paragraph" w:customStyle="1" w:styleId="640">
    <w:name w:val="表格标题1"/>
    <w:basedOn w:val="368"/>
    <w:uiPriority w:val="0"/>
    <w:pPr>
      <w:tabs>
        <w:tab w:val="left" w:pos="567"/>
      </w:tabs>
      <w:adjustRightInd w:val="0"/>
      <w:snapToGrid/>
      <w:spacing w:before="60" w:after="60"/>
      <w:ind w:left="567" w:hanging="567" w:firstLineChars="0"/>
      <w:textAlignment w:val="bottom"/>
    </w:pPr>
    <w:rPr>
      <w:rFonts w:ascii="Times New Roman" w:hAnsi="Arial" w:eastAsia="黑体"/>
      <w:b/>
      <w:sz w:val="21"/>
      <w:szCs w:val="21"/>
    </w:rPr>
  </w:style>
  <w:style w:type="paragraph" w:customStyle="1" w:styleId="641">
    <w:name w:val="xl27"/>
    <w:basedOn w:val="1"/>
    <w:qFormat/>
    <w:uiPriority w:val="0"/>
    <w:pPr>
      <w:widowControl/>
      <w:spacing w:before="100" w:beforeAutospacing="1" w:after="100" w:afterAutospacing="1"/>
      <w:jc w:val="center"/>
    </w:pPr>
    <w:rPr>
      <w:rFonts w:ascii="黑体" w:hAnsi="宋体" w:eastAsia="黑体"/>
      <w:kern w:val="0"/>
      <w:sz w:val="32"/>
      <w:szCs w:val="32"/>
    </w:rPr>
  </w:style>
  <w:style w:type="paragraph" w:customStyle="1" w:styleId="642">
    <w:name w:val="项目1"/>
    <w:basedOn w:val="1"/>
    <w:uiPriority w:val="0"/>
    <w:pPr>
      <w:widowControl/>
      <w:tabs>
        <w:tab w:val="left" w:pos="720"/>
      </w:tabs>
      <w:autoSpaceDE w:val="0"/>
      <w:autoSpaceDN w:val="0"/>
      <w:adjustRightInd w:val="0"/>
      <w:spacing w:before="120" w:after="120" w:line="300" w:lineRule="auto"/>
      <w:ind w:left="720" w:hanging="720"/>
      <w:jc w:val="left"/>
    </w:pPr>
    <w:rPr>
      <w:rFonts w:eastAsia="楷体_GB2312"/>
      <w:kern w:val="0"/>
      <w:sz w:val="24"/>
      <w:szCs w:val="20"/>
    </w:rPr>
  </w:style>
  <w:style w:type="paragraph" w:customStyle="1" w:styleId="643">
    <w:name w:val="目录文字"/>
    <w:basedOn w:val="1"/>
    <w:uiPriority w:val="0"/>
    <w:pPr>
      <w:widowControl/>
      <w:spacing w:line="480" w:lineRule="auto"/>
      <w:jc w:val="left"/>
    </w:pPr>
    <w:rPr>
      <w:rFonts w:ascii="宋体" w:hAnsi="Arial" w:eastAsia="黑体"/>
      <w:b/>
      <w:kern w:val="0"/>
      <w:sz w:val="24"/>
      <w:szCs w:val="20"/>
    </w:rPr>
  </w:style>
  <w:style w:type="paragraph" w:customStyle="1" w:styleId="644">
    <w:name w:val="文字"/>
    <w:basedOn w:val="1"/>
    <w:uiPriority w:val="0"/>
    <w:pPr>
      <w:tabs>
        <w:tab w:val="left" w:pos="5670"/>
        <w:tab w:val="left" w:pos="8520"/>
      </w:tabs>
      <w:spacing w:line="312" w:lineRule="auto"/>
      <w:ind w:right="-210" w:firstLine="556"/>
      <w:jc w:val="center"/>
    </w:pPr>
    <w:rPr>
      <w:rFonts w:ascii="楷体_GB2312" w:hAnsi="Arial" w:eastAsia="楷体_GB2312"/>
      <w:b/>
      <w:kern w:val="0"/>
      <w:sz w:val="28"/>
      <w:szCs w:val="20"/>
    </w:rPr>
  </w:style>
  <w:style w:type="paragraph" w:customStyle="1" w:styleId="645">
    <w:name w:val="*正文"/>
    <w:basedOn w:val="1"/>
    <w:qFormat/>
    <w:uiPriority w:val="0"/>
    <w:pPr>
      <w:adjustRightInd w:val="0"/>
      <w:snapToGrid w:val="0"/>
      <w:spacing w:line="300" w:lineRule="auto"/>
      <w:ind w:firstLine="480"/>
      <w:jc w:val="left"/>
    </w:pPr>
    <w:rPr>
      <w:rFonts w:ascii="宋体" w:hAnsi="宋体" w:cs="仿宋_GB2312"/>
      <w:sz w:val="24"/>
      <w:szCs w:val="24"/>
    </w:rPr>
  </w:style>
  <w:style w:type="paragraph" w:customStyle="1" w:styleId="646">
    <w:name w:val="xl102"/>
    <w:basedOn w:val="1"/>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Arial" w:eastAsia="黑体"/>
      <w:b/>
      <w:kern w:val="0"/>
      <w:sz w:val="20"/>
      <w:szCs w:val="20"/>
    </w:rPr>
  </w:style>
  <w:style w:type="paragraph" w:customStyle="1" w:styleId="64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Arial" w:eastAsia="楷体"/>
      <w:b/>
      <w:kern w:val="0"/>
      <w:sz w:val="24"/>
      <w:szCs w:val="28"/>
    </w:rPr>
  </w:style>
  <w:style w:type="paragraph" w:customStyle="1" w:styleId="648">
    <w:name w:val="xl46"/>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rPr>
  </w:style>
  <w:style w:type="paragraph" w:customStyle="1" w:styleId="649">
    <w:name w:val="表正文"/>
    <w:basedOn w:val="1"/>
    <w:next w:val="8"/>
    <w:qFormat/>
    <w:uiPriority w:val="0"/>
    <w:pPr>
      <w:adjustRightInd w:val="0"/>
      <w:snapToGrid w:val="0"/>
      <w:ind w:firstLine="420"/>
      <w:jc w:val="left"/>
    </w:pPr>
    <w:rPr>
      <w:sz w:val="24"/>
      <w:szCs w:val="20"/>
    </w:rPr>
  </w:style>
  <w:style w:type="paragraph" w:customStyle="1" w:styleId="650">
    <w:name w:val="列出段落11"/>
    <w:basedOn w:val="1"/>
    <w:qFormat/>
    <w:uiPriority w:val="0"/>
    <w:pPr>
      <w:ind w:firstLine="420" w:firstLineChars="200"/>
    </w:pPr>
  </w:style>
  <w:style w:type="paragraph" w:customStyle="1" w:styleId="651">
    <w:name w:val="样式 样式 标题 1b1章节标题标题 1 1章标题 1标题yjm1标题2H1-*+h11st levelSect... + 段前..."/>
    <w:basedOn w:val="1"/>
    <w:uiPriority w:val="0"/>
    <w:pPr>
      <w:keepNext/>
      <w:keepLines/>
      <w:tabs>
        <w:tab w:val="left" w:pos="432"/>
        <w:tab w:val="left" w:pos="1140"/>
      </w:tabs>
      <w:spacing w:before="100" w:beforeAutospacing="1" w:after="100" w:afterAutospacing="1"/>
      <w:ind w:left="1140" w:hanging="240"/>
      <w:jc w:val="center"/>
      <w:outlineLvl w:val="0"/>
    </w:pPr>
    <w:rPr>
      <w:rFonts w:ascii="黑体" w:hAnsi="宋体" w:eastAsia="黑体" w:cs="宋体"/>
      <w:b/>
      <w:color w:val="000000"/>
      <w:kern w:val="44"/>
      <w:sz w:val="28"/>
      <w:szCs w:val="20"/>
    </w:rPr>
  </w:style>
  <w:style w:type="paragraph" w:customStyle="1" w:styleId="652">
    <w:name w:val="目录"/>
    <w:basedOn w:val="1"/>
    <w:uiPriority w:val="0"/>
    <w:pPr>
      <w:widowControl/>
      <w:jc w:val="center"/>
    </w:pPr>
    <w:rPr>
      <w:rFonts w:ascii="宋体" w:hAnsi="Arial" w:eastAsia="黑体"/>
      <w:kern w:val="0"/>
      <w:sz w:val="36"/>
      <w:szCs w:val="20"/>
    </w:rPr>
  </w:style>
  <w:style w:type="paragraph" w:customStyle="1" w:styleId="653">
    <w:name w:val="1"/>
    <w:basedOn w:val="1"/>
    <w:next w:val="3"/>
    <w:qFormat/>
    <w:uiPriority w:val="0"/>
    <w:pPr>
      <w:overflowPunct w:val="0"/>
      <w:autoSpaceDE w:val="0"/>
      <w:autoSpaceDN w:val="0"/>
      <w:adjustRightInd w:val="0"/>
      <w:spacing w:after="120" w:line="360" w:lineRule="atLeast"/>
      <w:jc w:val="center"/>
      <w:textAlignment w:val="baseline"/>
    </w:pPr>
    <w:rPr>
      <w:rFonts w:hAnsi="Arial" w:eastAsia="黑体"/>
      <w:b/>
      <w:kern w:val="0"/>
      <w:sz w:val="20"/>
      <w:szCs w:val="20"/>
    </w:rPr>
  </w:style>
  <w:style w:type="paragraph" w:customStyle="1" w:styleId="654">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5">
    <w:name w:val="正文－5"/>
    <w:uiPriority w:val="0"/>
    <w:pPr>
      <w:tabs>
        <w:tab w:val="left" w:pos="354"/>
      </w:tabs>
      <w:jc w:val="center"/>
    </w:pPr>
    <w:rPr>
      <w:rFonts w:ascii="宋体" w:hAnsi="宋体" w:eastAsia="宋体" w:cs="Times New Roman"/>
      <w:kern w:val="2"/>
      <w:sz w:val="24"/>
      <w:szCs w:val="24"/>
      <w:lang w:val="en-US" w:eastAsia="zh-CN" w:bidi="ar-SA"/>
    </w:rPr>
  </w:style>
  <w:style w:type="paragraph" w:customStyle="1" w:styleId="656">
    <w:name w:val="列出段落3"/>
    <w:basedOn w:val="1"/>
    <w:uiPriority w:val="0"/>
    <w:pPr>
      <w:ind w:firstLine="420" w:firstLineChars="200"/>
    </w:pPr>
    <w:rPr>
      <w:rFonts w:ascii="Calibri" w:hAnsi="Calibri"/>
    </w:rPr>
  </w:style>
  <w:style w:type="paragraph" w:customStyle="1" w:styleId="657">
    <w:name w:val="_Style 15"/>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1.1"/>
    <w:basedOn w:val="1"/>
    <w:next w:val="1"/>
    <w:uiPriority w:val="0"/>
    <w:pPr>
      <w:adjustRightInd w:val="0"/>
      <w:spacing w:line="360" w:lineRule="atLeast"/>
      <w:ind w:firstLine="480"/>
      <w:jc w:val="center"/>
      <w:textAlignment w:val="baseline"/>
    </w:pPr>
    <w:rPr>
      <w:rFonts w:hAnsi="Arial" w:eastAsia="黑体"/>
      <w:b/>
      <w:kern w:val="0"/>
      <w:sz w:val="24"/>
      <w:szCs w:val="20"/>
    </w:rPr>
  </w:style>
  <w:style w:type="paragraph" w:customStyle="1" w:styleId="659">
    <w:name w:val="_Style 23"/>
    <w:basedOn w:val="1"/>
    <w:next w:val="316"/>
    <w:qFormat/>
    <w:uiPriority w:val="34"/>
    <w:pPr>
      <w:ind w:firstLine="420" w:firstLineChars="200"/>
    </w:pPr>
    <w:rPr>
      <w:kern w:val="0"/>
      <w:sz w:val="20"/>
      <w:szCs w:val="20"/>
      <w:lang w:val="zh-CN"/>
    </w:rPr>
  </w:style>
  <w:style w:type="paragraph" w:customStyle="1" w:styleId="660">
    <w:name w:val="样式 标题 2H2PIM2Heading 2 HiddenHeading 2 CCBSheading 2Titre3..."/>
    <w:basedOn w:val="6"/>
    <w:qFormat/>
    <w:uiPriority w:val="0"/>
    <w:pPr>
      <w:tabs>
        <w:tab w:val="left" w:pos="1116"/>
      </w:tabs>
      <w:adjustRightInd w:val="0"/>
      <w:snapToGrid w:val="0"/>
      <w:spacing w:before="0" w:after="0" w:line="360" w:lineRule="auto"/>
      <w:ind w:left="1116" w:hanging="420"/>
      <w:jc w:val="both"/>
    </w:pPr>
    <w:rPr>
      <w:rFonts w:cs="宋体"/>
      <w:bCs/>
      <w:kern w:val="2"/>
      <w:sz w:val="40"/>
    </w:rPr>
  </w:style>
  <w:style w:type="paragraph" w:customStyle="1" w:styleId="661">
    <w:name w:val="国林"/>
    <w:basedOn w:val="1"/>
    <w:qFormat/>
    <w:uiPriority w:val="0"/>
    <w:rPr>
      <w:sz w:val="28"/>
      <w:szCs w:val="20"/>
    </w:rPr>
  </w:style>
  <w:style w:type="paragraph" w:customStyle="1" w:styleId="662">
    <w:name w:val="附件"/>
    <w:basedOn w:val="1"/>
    <w:uiPriority w:val="0"/>
    <w:pPr>
      <w:adjustRightInd w:val="0"/>
      <w:spacing w:before="120" w:after="60"/>
      <w:jc w:val="center"/>
      <w:textAlignment w:val="center"/>
    </w:pPr>
    <w:rPr>
      <w:rFonts w:ascii="黑体" w:hAnsi="Arial" w:eastAsia="黑体"/>
      <w:bCs/>
      <w:kern w:val="0"/>
      <w:sz w:val="32"/>
      <w:szCs w:val="32"/>
    </w:rPr>
  </w:style>
  <w:style w:type="paragraph" w:customStyle="1" w:styleId="663">
    <w:name w:val="样式4"/>
    <w:basedOn w:val="77"/>
    <w:uiPriority w:val="0"/>
    <w:pPr>
      <w:spacing w:after="120" w:line="480" w:lineRule="auto"/>
      <w:jc w:val="center"/>
      <w:outlineLvl w:val="1"/>
    </w:pPr>
    <w:rPr>
      <w:rFonts w:ascii="宋体" w:hAnsi="Arial" w:eastAsia="黑体"/>
      <w:sz w:val="28"/>
      <w:szCs w:val="28"/>
    </w:rPr>
  </w:style>
  <w:style w:type="paragraph" w:customStyle="1" w:styleId="66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65">
    <w:name w:val="2.1小标题"/>
    <w:basedOn w:val="6"/>
    <w:qFormat/>
    <w:uiPriority w:val="0"/>
    <w:pPr>
      <w:tabs>
        <w:tab w:val="left" w:pos="992"/>
        <w:tab w:val="clear" w:pos="840"/>
      </w:tabs>
      <w:overflowPunct w:val="0"/>
      <w:autoSpaceDE w:val="0"/>
      <w:autoSpaceDN w:val="0"/>
      <w:adjustRightInd w:val="0"/>
      <w:spacing w:before="100" w:beforeAutospacing="1" w:after="100" w:afterAutospacing="1" w:line="240" w:lineRule="auto"/>
      <w:ind w:left="990" w:hanging="567"/>
      <w:textAlignment w:val="baseline"/>
    </w:pPr>
    <w:rPr>
      <w:rFonts w:ascii="宋体" w:eastAsia="宋体" w:cs="Arial"/>
      <w:b w:val="0"/>
      <w:sz w:val="28"/>
    </w:rPr>
  </w:style>
  <w:style w:type="paragraph" w:customStyle="1" w:styleId="666">
    <w:name w:val="样式 首行缩进:  0 字符"/>
    <w:basedOn w:val="1"/>
    <w:qFormat/>
    <w:uiPriority w:val="0"/>
    <w:pPr>
      <w:adjustRightInd w:val="0"/>
      <w:snapToGrid w:val="0"/>
      <w:spacing w:line="360" w:lineRule="auto"/>
      <w:jc w:val="left"/>
    </w:pPr>
    <w:rPr>
      <w:rFonts w:ascii="Arial" w:hAnsi="Arial" w:cs="宋体"/>
      <w:sz w:val="24"/>
    </w:rPr>
  </w:style>
  <w:style w:type="paragraph" w:customStyle="1" w:styleId="667">
    <w:name w:val="_Style 361"/>
    <w:basedOn w:val="1"/>
    <w:next w:val="1"/>
    <w:uiPriority w:val="0"/>
    <w:rPr>
      <w:szCs w:val="24"/>
    </w:rPr>
  </w:style>
  <w:style w:type="paragraph" w:customStyle="1" w:styleId="668">
    <w:name w:val="TOC 标题1"/>
    <w:basedOn w:val="5"/>
    <w:next w:val="1"/>
    <w:unhideWhenUsed/>
    <w:qFormat/>
    <w:uiPriority w:val="39"/>
    <w:pPr>
      <w:widowControl/>
      <w:spacing w:before="0" w:after="0" w:line="259" w:lineRule="auto"/>
      <w:jc w:val="left"/>
      <w:outlineLvl w:val="9"/>
    </w:pPr>
    <w:rPr>
      <w:rFonts w:ascii="Cambria" w:hAnsi="Cambria" w:eastAsia="宋体"/>
      <w:b w:val="0"/>
      <w:color w:val="365F91"/>
      <w:kern w:val="0"/>
      <w:sz w:val="32"/>
      <w:szCs w:val="32"/>
    </w:rPr>
  </w:style>
  <w:style w:type="paragraph" w:customStyle="1" w:styleId="669">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Arial" w:eastAsia="黑体"/>
      <w:b/>
      <w:kern w:val="0"/>
      <w:sz w:val="24"/>
      <w:szCs w:val="28"/>
    </w:rPr>
  </w:style>
  <w:style w:type="paragraph" w:customStyle="1" w:styleId="670">
    <w:name w:val="正文6"/>
    <w:basedOn w:val="1"/>
    <w:qFormat/>
    <w:uiPriority w:val="0"/>
    <w:pPr>
      <w:adjustRightInd w:val="0"/>
      <w:snapToGrid w:val="0"/>
      <w:spacing w:line="300" w:lineRule="auto"/>
      <w:jc w:val="left"/>
    </w:pPr>
    <w:rPr>
      <w:rFonts w:ascii="宋体" w:hAnsi="宋体" w:cs="宋体"/>
      <w:szCs w:val="20"/>
    </w:rPr>
  </w:style>
  <w:style w:type="paragraph" w:customStyle="1" w:styleId="671">
    <w:name w:val="Liwb_Chapter"/>
    <w:basedOn w:val="1"/>
    <w:uiPriority w:val="0"/>
    <w:pPr>
      <w:widowControl/>
      <w:tabs>
        <w:tab w:val="left" w:pos="845"/>
      </w:tabs>
      <w:spacing w:beforeLines="50" w:afterLines="50"/>
      <w:ind w:left="845" w:hanging="420"/>
      <w:jc w:val="left"/>
      <w:outlineLvl w:val="0"/>
    </w:pPr>
    <w:rPr>
      <w:rFonts w:ascii="黑体" w:hAnsi="Arial" w:eastAsia="黑体"/>
      <w:kern w:val="0"/>
      <w:sz w:val="28"/>
      <w:szCs w:val="20"/>
    </w:rPr>
  </w:style>
  <w:style w:type="paragraph" w:customStyle="1" w:styleId="672">
    <w:name w:val="样式 标题 2 + (中文) 楷体_GB2312 小三 段前: 24 磅 段后: 24 磅 行距: 单倍行距"/>
    <w:basedOn w:val="6"/>
    <w:uiPriority w:val="0"/>
    <w:pPr>
      <w:tabs>
        <w:tab w:val="left" w:pos="425"/>
        <w:tab w:val="clear" w:pos="840"/>
      </w:tabs>
      <w:spacing w:before="480" w:after="480" w:line="240" w:lineRule="auto"/>
      <w:ind w:left="425" w:hanging="425"/>
    </w:pPr>
    <w:rPr>
      <w:rFonts w:ascii="宋体" w:hAnsi="宋体" w:eastAsia="楷体_GB2312" w:cs="宋体"/>
      <w:b w:val="0"/>
      <w:bCs/>
      <w:sz w:val="28"/>
    </w:rPr>
  </w:style>
  <w:style w:type="paragraph" w:customStyle="1" w:styleId="673">
    <w:name w:val="Liwb_Item_6"/>
    <w:basedOn w:val="1"/>
    <w:uiPriority w:val="0"/>
    <w:pPr>
      <w:widowControl/>
      <w:jc w:val="left"/>
      <w:outlineLvl w:val="6"/>
    </w:pPr>
    <w:rPr>
      <w:rFonts w:ascii="宋体" w:hAnsi="Arial" w:eastAsia="黑体"/>
      <w:b/>
      <w:kern w:val="0"/>
      <w:sz w:val="28"/>
      <w:szCs w:val="20"/>
    </w:rPr>
  </w:style>
  <w:style w:type="paragraph" w:customStyle="1" w:styleId="674">
    <w:name w:val="wen_2"/>
    <w:basedOn w:val="1"/>
    <w:qFormat/>
    <w:uiPriority w:val="0"/>
    <w:pPr>
      <w:widowControl/>
      <w:adjustRightInd w:val="0"/>
      <w:snapToGrid w:val="0"/>
      <w:spacing w:before="100" w:beforeAutospacing="1" w:after="100" w:afterAutospacing="1" w:line="324" w:lineRule="auto"/>
      <w:jc w:val="left"/>
    </w:pPr>
    <w:rPr>
      <w:color w:val="000000"/>
      <w:kern w:val="0"/>
      <w:sz w:val="18"/>
      <w:szCs w:val="18"/>
    </w:rPr>
  </w:style>
  <w:style w:type="paragraph" w:customStyle="1" w:styleId="675">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6">
    <w:name w:val="二级标题"/>
    <w:basedOn w:val="6"/>
    <w:qFormat/>
    <w:uiPriority w:val="0"/>
    <w:pPr>
      <w:tabs>
        <w:tab w:val="left" w:pos="425"/>
        <w:tab w:val="left" w:pos="567"/>
        <w:tab w:val="clear" w:pos="840"/>
      </w:tabs>
      <w:adjustRightInd w:val="0"/>
      <w:snapToGrid w:val="0"/>
      <w:spacing w:beforeLines="50" w:afterLines="50" w:line="360" w:lineRule="auto"/>
      <w:ind w:left="567" w:hanging="567"/>
      <w:jc w:val="both"/>
    </w:pPr>
    <w:rPr>
      <w:rFonts w:ascii="黑体" w:hAnsi="宋体"/>
      <w:bCs/>
      <w:kern w:val="2"/>
      <w:sz w:val="40"/>
      <w:szCs w:val="32"/>
    </w:rPr>
  </w:style>
  <w:style w:type="paragraph" w:customStyle="1" w:styleId="677">
    <w:name w:val="样式 标题 2 + 左侧:  0 厘米 首行缩进:  0 厘米 右侧:  2 字符"/>
    <w:basedOn w:val="6"/>
    <w:qFormat/>
    <w:uiPriority w:val="0"/>
    <w:pPr>
      <w:adjustRightInd w:val="0"/>
      <w:snapToGrid w:val="0"/>
      <w:spacing w:before="120" w:after="0" w:line="180" w:lineRule="auto"/>
      <w:ind w:left="840" w:right="420" w:rightChars="200" w:hanging="420"/>
      <w:jc w:val="both"/>
    </w:pPr>
    <w:rPr>
      <w:rFonts w:ascii="宋体" w:hAnsi="宋体" w:eastAsia="宋体"/>
      <w:bCs/>
      <w:kern w:val="2"/>
      <w:sz w:val="24"/>
      <w:szCs w:val="21"/>
    </w:rPr>
  </w:style>
  <w:style w:type="paragraph" w:customStyle="1" w:styleId="678">
    <w:name w:val="font9"/>
    <w:basedOn w:val="1"/>
    <w:uiPriority w:val="0"/>
    <w:pPr>
      <w:widowControl/>
      <w:spacing w:before="100" w:beforeAutospacing="1" w:after="100" w:afterAutospacing="1"/>
      <w:jc w:val="left"/>
    </w:pPr>
    <w:rPr>
      <w:b/>
      <w:bCs/>
      <w:kern w:val="0"/>
      <w:sz w:val="20"/>
      <w:szCs w:val="20"/>
    </w:rPr>
  </w:style>
  <w:style w:type="paragraph" w:customStyle="1" w:styleId="679">
    <w:name w:val="xl28"/>
    <w:basedOn w:val="1"/>
    <w:qFormat/>
    <w:uiPriority w:val="0"/>
    <w:pPr>
      <w:widowControl/>
      <w:spacing w:before="100" w:beforeAutospacing="1" w:after="100" w:afterAutospacing="1"/>
      <w:jc w:val="left"/>
    </w:pPr>
    <w:rPr>
      <w:rFonts w:ascii="仿宋_GB2312" w:hAnsi="宋体" w:eastAsia="仿宋_GB2312"/>
      <w:color w:val="000000"/>
      <w:kern w:val="0"/>
      <w:sz w:val="32"/>
      <w:szCs w:val="32"/>
    </w:rPr>
  </w:style>
  <w:style w:type="paragraph" w:customStyle="1" w:styleId="680">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Arial" w:eastAsia="黑体"/>
      <w:b/>
      <w:kern w:val="0"/>
      <w:sz w:val="24"/>
      <w:szCs w:val="28"/>
    </w:rPr>
  </w:style>
  <w:style w:type="paragraph" w:customStyle="1" w:styleId="681">
    <w:name w:val="text"/>
    <w:basedOn w:val="1"/>
    <w:uiPriority w:val="0"/>
    <w:pPr>
      <w:overflowPunct w:val="0"/>
      <w:autoSpaceDE w:val="0"/>
      <w:autoSpaceDN w:val="0"/>
      <w:adjustRightInd w:val="0"/>
      <w:spacing w:line="360" w:lineRule="auto"/>
      <w:ind w:firstLine="454"/>
      <w:jc w:val="center"/>
      <w:textAlignment w:val="baseline"/>
    </w:pPr>
    <w:rPr>
      <w:rFonts w:ascii="宋体" w:hAnsi="Arial" w:eastAsia="黑体"/>
      <w:b/>
      <w:spacing w:val="-14"/>
      <w:kern w:val="0"/>
      <w:sz w:val="22"/>
      <w:szCs w:val="20"/>
    </w:rPr>
  </w:style>
  <w:style w:type="paragraph" w:customStyle="1" w:styleId="682">
    <w:name w:val="正文文本缩进 211"/>
    <w:basedOn w:val="1"/>
    <w:uiPriority w:val="0"/>
    <w:pPr>
      <w:spacing w:line="360" w:lineRule="auto"/>
      <w:ind w:left="1140"/>
    </w:pPr>
    <w:rPr>
      <w:rFonts w:ascii="宋体" w:hAnsi="宋体" w:cs="宋体"/>
      <w:sz w:val="24"/>
      <w:szCs w:val="20"/>
    </w:rPr>
  </w:style>
  <w:style w:type="paragraph" w:customStyle="1" w:styleId="683">
    <w:name w:val="Nor"/>
    <w:basedOn w:val="1"/>
    <w:uiPriority w:val="0"/>
    <w:pPr>
      <w:jc w:val="center"/>
    </w:pPr>
    <w:rPr>
      <w:rFonts w:hAnsi="Arial" w:eastAsia="黑体"/>
      <w:b/>
      <w:kern w:val="0"/>
      <w:sz w:val="28"/>
      <w:szCs w:val="20"/>
    </w:rPr>
  </w:style>
  <w:style w:type="paragraph" w:customStyle="1" w:styleId="684">
    <w:name w:val="font11"/>
    <w:basedOn w:val="1"/>
    <w:uiPriority w:val="0"/>
    <w:pPr>
      <w:widowControl/>
      <w:spacing w:before="100" w:beforeAutospacing="1" w:after="100" w:afterAutospacing="1"/>
      <w:jc w:val="left"/>
    </w:pPr>
    <w:rPr>
      <w:b/>
      <w:bCs/>
      <w:color w:val="000000"/>
      <w:kern w:val="0"/>
      <w:sz w:val="20"/>
      <w:szCs w:val="20"/>
    </w:rPr>
  </w:style>
  <w:style w:type="paragraph" w:customStyle="1" w:styleId="685">
    <w:name w:val="Liwb_Item_3"/>
    <w:basedOn w:val="1"/>
    <w:uiPriority w:val="0"/>
    <w:pPr>
      <w:widowControl/>
      <w:jc w:val="left"/>
      <w:outlineLvl w:val="3"/>
    </w:pPr>
    <w:rPr>
      <w:rFonts w:ascii="宋体" w:hAnsi="Arial" w:eastAsia="黑体"/>
      <w:b/>
      <w:kern w:val="0"/>
      <w:sz w:val="28"/>
      <w:szCs w:val="20"/>
    </w:rPr>
  </w:style>
  <w:style w:type="paragraph" w:customStyle="1" w:styleId="686">
    <w:name w:val="通用"/>
    <w:basedOn w:val="1"/>
    <w:qFormat/>
    <w:uiPriority w:val="0"/>
    <w:pPr>
      <w:widowControl/>
      <w:overflowPunct w:val="0"/>
      <w:autoSpaceDE w:val="0"/>
      <w:autoSpaceDN w:val="0"/>
      <w:adjustRightInd w:val="0"/>
      <w:snapToGrid w:val="0"/>
      <w:spacing w:before="120" w:after="120" w:line="300" w:lineRule="exact"/>
      <w:ind w:right="216"/>
      <w:jc w:val="left"/>
    </w:pPr>
    <w:rPr>
      <w:spacing w:val="40"/>
      <w:kern w:val="0"/>
      <w:sz w:val="24"/>
      <w:szCs w:val="20"/>
      <w:lang w:bidi="he-IL"/>
    </w:rPr>
  </w:style>
  <w:style w:type="paragraph" w:customStyle="1" w:styleId="687">
    <w:name w:val="xl125"/>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宋体" w:hAnsi="Arial" w:eastAsia="黑体"/>
      <w:b/>
      <w:kern w:val="0"/>
      <w:sz w:val="18"/>
      <w:szCs w:val="18"/>
    </w:rPr>
  </w:style>
  <w:style w:type="paragraph" w:customStyle="1" w:styleId="688">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 w:hAnsi="Arial" w:eastAsia="楷体"/>
      <w:b/>
      <w:kern w:val="0"/>
      <w:sz w:val="24"/>
      <w:szCs w:val="28"/>
    </w:rPr>
  </w:style>
  <w:style w:type="paragraph" w:customStyle="1" w:styleId="689">
    <w:name w:val="GW-标题3"/>
    <w:basedOn w:val="7"/>
    <w:next w:val="1"/>
    <w:qFormat/>
    <w:uiPriority w:val="0"/>
    <w:pPr>
      <w:widowControl/>
      <w:adjustRightInd w:val="0"/>
      <w:snapToGrid w:val="0"/>
      <w:spacing w:before="0" w:after="0" w:line="360" w:lineRule="auto"/>
      <w:jc w:val="left"/>
    </w:pPr>
    <w:rPr>
      <w:rFonts w:ascii="宋体" w:hAnsi="宋体"/>
      <w:bCs/>
      <w:color w:val="000000"/>
      <w:kern w:val="2"/>
      <w:sz w:val="36"/>
      <w:szCs w:val="28"/>
    </w:rPr>
  </w:style>
  <w:style w:type="paragraph" w:customStyle="1" w:styleId="690">
    <w:name w:val="itemlistintable"/>
    <w:basedOn w:val="1"/>
    <w:uiPriority w:val="0"/>
    <w:pPr>
      <w:widowControl/>
      <w:spacing w:line="300" w:lineRule="atLeast"/>
      <w:jc w:val="left"/>
    </w:pPr>
    <w:rPr>
      <w:rFonts w:ascii="宋体" w:hAnsi="宋体" w:cs="宋体"/>
      <w:kern w:val="0"/>
      <w:sz w:val="18"/>
      <w:szCs w:val="18"/>
    </w:rPr>
  </w:style>
  <w:style w:type="paragraph" w:customStyle="1" w:styleId="691">
    <w:name w:val="ch中文正文"/>
    <w:basedOn w:val="1"/>
    <w:uiPriority w:val="0"/>
    <w:pPr>
      <w:spacing w:beforeLines="50" w:afterLines="50" w:line="360" w:lineRule="auto"/>
      <w:ind w:firstLine="200" w:firstLineChars="200"/>
      <w:jc w:val="center"/>
    </w:pPr>
    <w:rPr>
      <w:rFonts w:hAnsi="Arial" w:eastAsia="黑体"/>
      <w:b/>
      <w:kern w:val="0"/>
      <w:sz w:val="24"/>
      <w:szCs w:val="28"/>
    </w:rPr>
  </w:style>
  <w:style w:type="paragraph" w:customStyle="1" w:styleId="692">
    <w:name w:val="tll"/>
    <w:basedOn w:val="1"/>
    <w:uiPriority w:val="0"/>
    <w:pPr>
      <w:autoSpaceDE w:val="0"/>
      <w:autoSpaceDN w:val="0"/>
      <w:adjustRightInd w:val="0"/>
      <w:jc w:val="left"/>
      <w:textAlignment w:val="baseline"/>
    </w:pPr>
    <w:rPr>
      <w:rFonts w:ascii="仿宋_GB2312" w:hAnsi="Arial" w:eastAsia="仿宋_GB2312"/>
      <w:b/>
      <w:kern w:val="0"/>
      <w:sz w:val="28"/>
      <w:szCs w:val="21"/>
    </w:rPr>
  </w:style>
  <w:style w:type="paragraph" w:customStyle="1" w:styleId="693">
    <w:name w:val="1AutoList4"/>
    <w:basedOn w:val="1"/>
    <w:uiPriority w:val="0"/>
    <w:pPr>
      <w:tabs>
        <w:tab w:val="left" w:pos="720"/>
      </w:tabs>
      <w:autoSpaceDE w:val="0"/>
      <w:autoSpaceDN w:val="0"/>
      <w:adjustRightInd w:val="0"/>
      <w:ind w:left="720" w:hanging="720"/>
      <w:jc w:val="center"/>
    </w:pPr>
    <w:rPr>
      <w:rFonts w:hAnsi="Arial" w:eastAsia="黑体"/>
      <w:b/>
      <w:kern w:val="0"/>
      <w:sz w:val="20"/>
      <w:szCs w:val="28"/>
      <w:lang w:eastAsia="en-US"/>
    </w:rPr>
  </w:style>
  <w:style w:type="paragraph" w:customStyle="1" w:styleId="694">
    <w:name w:val="contentnoteheader"/>
    <w:basedOn w:val="1"/>
    <w:qFormat/>
    <w:uiPriority w:val="0"/>
    <w:pPr>
      <w:widowControl/>
      <w:adjustRightInd w:val="0"/>
      <w:snapToGrid w:val="0"/>
      <w:spacing w:before="30" w:after="100" w:afterAutospacing="1"/>
      <w:ind w:left="90"/>
      <w:jc w:val="left"/>
    </w:pPr>
    <w:rPr>
      <w:rFonts w:ascii="宋体" w:hAnsi="宋体" w:cs="宋体"/>
      <w:b/>
      <w:bCs/>
      <w:color w:val="990000"/>
      <w:kern w:val="0"/>
      <w:sz w:val="18"/>
      <w:szCs w:val="18"/>
    </w:rPr>
  </w:style>
  <w:style w:type="paragraph" w:customStyle="1" w:styleId="695">
    <w:name w:val="样式 正文缩进 + 首行缩进:  2 字符"/>
    <w:basedOn w:val="1"/>
    <w:uiPriority w:val="0"/>
    <w:pPr>
      <w:suppressAutoHyphens/>
      <w:spacing w:line="360" w:lineRule="auto"/>
      <w:ind w:firstLine="200"/>
    </w:pPr>
    <w:rPr>
      <w:rFonts w:cs="宋体"/>
      <w:sz w:val="24"/>
      <w:szCs w:val="20"/>
      <w:lang w:eastAsia="ar-SA"/>
    </w:rPr>
  </w:style>
  <w:style w:type="paragraph" w:customStyle="1" w:styleId="696">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7">
    <w:name w:val="正文3"/>
    <w:basedOn w:val="1"/>
    <w:uiPriority w:val="0"/>
    <w:pPr>
      <w:tabs>
        <w:tab w:val="left" w:pos="360"/>
      </w:tabs>
      <w:spacing w:line="360" w:lineRule="auto"/>
      <w:jc w:val="center"/>
    </w:pPr>
    <w:rPr>
      <w:rFonts w:hAnsi="Arial" w:eastAsia="黑体"/>
      <w:b/>
      <w:kern w:val="0"/>
      <w:sz w:val="24"/>
      <w:szCs w:val="28"/>
    </w:rPr>
  </w:style>
  <w:style w:type="paragraph" w:customStyle="1" w:styleId="698">
    <w:name w:val="style3"/>
    <w:basedOn w:val="1"/>
    <w:qFormat/>
    <w:uiPriority w:val="0"/>
    <w:pPr>
      <w:widowControl/>
      <w:adjustRightInd w:val="0"/>
      <w:snapToGrid w:val="0"/>
      <w:spacing w:before="100" w:beforeAutospacing="1" w:after="100" w:afterAutospacing="1"/>
      <w:jc w:val="left"/>
    </w:pPr>
    <w:rPr>
      <w:rFonts w:ascii="宋体" w:hAnsi="宋体" w:cs="宋体"/>
      <w:color w:val="FF0000"/>
      <w:kern w:val="0"/>
      <w:sz w:val="24"/>
      <w:szCs w:val="24"/>
    </w:rPr>
  </w:style>
  <w:style w:type="paragraph" w:customStyle="1" w:styleId="699">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0">
    <w:name w:val="xl4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2"/>
    </w:rPr>
  </w:style>
  <w:style w:type="paragraph" w:customStyle="1" w:styleId="701">
    <w:name w:val="2级列举"/>
    <w:basedOn w:val="1"/>
    <w:uiPriority w:val="0"/>
    <w:pPr>
      <w:tabs>
        <w:tab w:val="left" w:pos="735"/>
      </w:tabs>
      <w:spacing w:before="156" w:after="156"/>
      <w:ind w:left="735" w:hanging="735"/>
    </w:pPr>
    <w:rPr>
      <w:sz w:val="24"/>
      <w:szCs w:val="20"/>
    </w:rPr>
  </w:style>
  <w:style w:type="paragraph" w:customStyle="1" w:styleId="702">
    <w:name w:val="批注主题1"/>
    <w:basedOn w:val="30"/>
    <w:next w:val="30"/>
    <w:uiPriority w:val="0"/>
    <w:rPr>
      <w:b/>
      <w:bCs/>
      <w:kern w:val="2"/>
      <w:sz w:val="21"/>
      <w:szCs w:val="21"/>
    </w:rPr>
  </w:style>
  <w:style w:type="paragraph" w:customStyle="1" w:styleId="703">
    <w:name w:val="xl103"/>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Arial" w:eastAsia="黑体"/>
      <w:b/>
      <w:kern w:val="0"/>
      <w:sz w:val="20"/>
      <w:szCs w:val="20"/>
    </w:rPr>
  </w:style>
  <w:style w:type="paragraph" w:customStyle="1" w:styleId="704">
    <w:name w:val="xl128"/>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hAnsi="Arial" w:eastAsia="黑体"/>
      <w:b/>
      <w:kern w:val="0"/>
      <w:sz w:val="20"/>
      <w:szCs w:val="20"/>
    </w:rPr>
  </w:style>
  <w:style w:type="paragraph" w:customStyle="1" w:styleId="705">
    <w:name w:val="样式 标题 3标题 3 CharBold Head Charbh Charh3 CharH3 Charlevel_3..."/>
    <w:basedOn w:val="7"/>
    <w:qFormat/>
    <w:uiPriority w:val="0"/>
    <w:pPr>
      <w:tabs>
        <w:tab w:val="left" w:pos="720"/>
      </w:tabs>
      <w:adjustRightInd w:val="0"/>
      <w:snapToGrid w:val="0"/>
      <w:spacing w:before="0" w:after="0" w:line="360" w:lineRule="auto"/>
    </w:pPr>
    <w:rPr>
      <w:rFonts w:cs="宋体"/>
      <w:bCs/>
      <w:kern w:val="2"/>
      <w:sz w:val="36"/>
    </w:rPr>
  </w:style>
  <w:style w:type="paragraph" w:customStyle="1" w:styleId="706">
    <w:name w:val="font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样式 样式 标题 3标题 3 Char Charh3level_3PIM 3Level 3 HeadHeading 3 -......"/>
    <w:basedOn w:val="1"/>
    <w:qFormat/>
    <w:uiPriority w:val="0"/>
    <w:pPr>
      <w:keepNext/>
      <w:keepLines/>
      <w:tabs>
        <w:tab w:val="left" w:pos="720"/>
      </w:tabs>
      <w:adjustRightInd w:val="0"/>
      <w:snapToGrid w:val="0"/>
      <w:spacing w:before="156" w:after="260" w:line="415" w:lineRule="auto"/>
      <w:ind w:left="994" w:leftChars="200" w:hanging="794"/>
      <w:jc w:val="left"/>
      <w:outlineLvl w:val="2"/>
    </w:pPr>
    <w:rPr>
      <w:rFonts w:cs="宋体"/>
      <w:b/>
      <w:bCs/>
      <w:sz w:val="24"/>
      <w:szCs w:val="20"/>
    </w:rPr>
  </w:style>
  <w:style w:type="paragraph" w:customStyle="1" w:styleId="708">
    <w:name w:val="xl95"/>
    <w:basedOn w:val="1"/>
    <w:uiPriority w:val="0"/>
    <w:pPr>
      <w:widowControl/>
      <w:spacing w:before="100" w:beforeAutospacing="1" w:after="100" w:afterAutospacing="1"/>
      <w:jc w:val="left"/>
    </w:pPr>
    <w:rPr>
      <w:rFonts w:ascii="楷体" w:hAnsi="Arial" w:eastAsia="楷体"/>
      <w:bCs/>
      <w:kern w:val="0"/>
      <w:sz w:val="28"/>
      <w:szCs w:val="28"/>
    </w:rPr>
  </w:style>
  <w:style w:type="paragraph" w:customStyle="1" w:styleId="709">
    <w:name w:val="Chinese indent two words"/>
    <w:basedOn w:val="8"/>
    <w:qFormat/>
    <w:uiPriority w:val="0"/>
    <w:pPr>
      <w:autoSpaceDE w:val="0"/>
      <w:autoSpaceDN w:val="0"/>
      <w:snapToGrid w:val="0"/>
      <w:spacing w:after="120"/>
      <w:ind w:firstLine="0"/>
      <w:jc w:val="left"/>
    </w:pPr>
    <w:rPr>
      <w:kern w:val="2"/>
      <w:sz w:val="21"/>
      <w:szCs w:val="21"/>
    </w:rPr>
  </w:style>
  <w:style w:type="paragraph" w:customStyle="1" w:styleId="710">
    <w:name w:val="样式3"/>
    <w:basedOn w:val="1"/>
    <w:uiPriority w:val="0"/>
    <w:pPr>
      <w:snapToGrid w:val="0"/>
      <w:spacing w:line="240" w:lineRule="atLeast"/>
      <w:jc w:val="center"/>
      <w:outlineLvl w:val="0"/>
    </w:pPr>
    <w:rPr>
      <w:rFonts w:hAnsi="Arial" w:eastAsia="黑体"/>
      <w:color w:val="000000"/>
      <w:kern w:val="0"/>
      <w:sz w:val="32"/>
      <w:szCs w:val="28"/>
    </w:rPr>
  </w:style>
  <w:style w:type="paragraph" w:customStyle="1" w:styleId="711">
    <w:name w:val="xl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2">
    <w:name w:val="!OSS12 Table Bulleted List 1"/>
    <w:basedOn w:val="713"/>
    <w:qFormat/>
    <w:uiPriority w:val="0"/>
    <w:pPr>
      <w:tabs>
        <w:tab w:val="left" w:pos="360"/>
      </w:tabs>
      <w:spacing w:before="40" w:after="40"/>
      <w:ind w:left="360" w:hanging="360"/>
    </w:pPr>
  </w:style>
  <w:style w:type="paragraph" w:customStyle="1" w:styleId="713">
    <w:name w:val="!OSS12 Table Text"/>
    <w:basedOn w:val="1"/>
    <w:qFormat/>
    <w:uiPriority w:val="0"/>
    <w:pPr>
      <w:widowControl/>
      <w:adjustRightInd w:val="0"/>
      <w:snapToGrid w:val="0"/>
      <w:spacing w:before="60" w:after="60" w:line="360" w:lineRule="auto"/>
      <w:jc w:val="left"/>
    </w:pPr>
    <w:rPr>
      <w:rFonts w:ascii="Verdana" w:hAnsi="Verdana" w:cs="Verdana"/>
      <w:color w:val="000000"/>
      <w:kern w:val="0"/>
      <w:sz w:val="19"/>
      <w:szCs w:val="19"/>
    </w:rPr>
  </w:style>
  <w:style w:type="paragraph" w:customStyle="1" w:styleId="714">
    <w:name w:val="样式 首行缩进:  0.85 厘米"/>
    <w:basedOn w:val="1"/>
    <w:qFormat/>
    <w:uiPriority w:val="0"/>
    <w:pPr>
      <w:adjustRightInd w:val="0"/>
      <w:snapToGrid w:val="0"/>
      <w:spacing w:line="271" w:lineRule="auto"/>
      <w:ind w:firstLine="482"/>
      <w:jc w:val="left"/>
    </w:pPr>
    <w:rPr>
      <w:rFonts w:cs="宋体"/>
      <w:sz w:val="24"/>
      <w:szCs w:val="20"/>
    </w:rPr>
  </w:style>
  <w:style w:type="paragraph" w:customStyle="1" w:styleId="715">
    <w:name w:val="样式7"/>
    <w:basedOn w:val="1"/>
    <w:uiPriority w:val="0"/>
    <w:pPr>
      <w:adjustRightInd w:val="0"/>
      <w:spacing w:beforeLines="50" w:afterLines="50" w:line="360" w:lineRule="auto"/>
      <w:ind w:firstLine="669"/>
    </w:pPr>
    <w:rPr>
      <w:rFonts w:ascii="宋体" w:hAnsi="宋体"/>
      <w:kern w:val="0"/>
      <w:sz w:val="28"/>
      <w:szCs w:val="20"/>
    </w:rPr>
  </w:style>
  <w:style w:type="paragraph" w:customStyle="1" w:styleId="716">
    <w:name w:val="Char Char Char Char1 Char Char"/>
    <w:basedOn w:val="1"/>
    <w:qFormat/>
    <w:uiPriority w:val="0"/>
    <w:pPr>
      <w:widowControl/>
      <w:spacing w:after="160" w:line="240" w:lineRule="exact"/>
      <w:jc w:val="left"/>
    </w:pPr>
    <w:rPr>
      <w:rFonts w:ascii="Verdana" w:hAnsi="Verdana"/>
      <w:kern w:val="0"/>
      <w:szCs w:val="20"/>
      <w:lang w:eastAsia="en-US"/>
    </w:rPr>
  </w:style>
  <w:style w:type="paragraph" w:customStyle="1" w:styleId="717">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718">
    <w:name w:val="xl7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19">
    <w:name w:val="Liwb_Item_1"/>
    <w:basedOn w:val="1"/>
    <w:uiPriority w:val="0"/>
    <w:pPr>
      <w:widowControl/>
      <w:tabs>
        <w:tab w:val="left" w:pos="425"/>
      </w:tabs>
      <w:ind w:left="425" w:hanging="425"/>
      <w:jc w:val="left"/>
      <w:outlineLvl w:val="1"/>
    </w:pPr>
    <w:rPr>
      <w:rFonts w:ascii="黑体" w:hAnsi="Arial" w:eastAsia="黑体"/>
      <w:kern w:val="0"/>
      <w:sz w:val="28"/>
      <w:szCs w:val="20"/>
    </w:rPr>
  </w:style>
  <w:style w:type="paragraph" w:customStyle="1" w:styleId="720">
    <w:name w:val="正文段"/>
    <w:basedOn w:val="1"/>
    <w:uiPriority w:val="0"/>
    <w:pPr>
      <w:adjustRightInd w:val="0"/>
      <w:spacing w:line="380" w:lineRule="atLeast"/>
      <w:ind w:firstLine="601"/>
      <w:jc w:val="center"/>
      <w:textAlignment w:val="baseline"/>
    </w:pPr>
    <w:rPr>
      <w:rFonts w:hAnsi="Arial" w:eastAsia="黑体"/>
      <w:b/>
      <w:kern w:val="0"/>
      <w:sz w:val="28"/>
      <w:szCs w:val="20"/>
    </w:rPr>
  </w:style>
  <w:style w:type="paragraph" w:customStyle="1" w:styleId="721">
    <w:name w:val="p"/>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22">
    <w:name w:val="正文文本缩进1"/>
    <w:basedOn w:val="1"/>
    <w:uiPriority w:val="0"/>
    <w:pPr>
      <w:autoSpaceDE w:val="0"/>
      <w:autoSpaceDN w:val="0"/>
      <w:adjustRightInd w:val="0"/>
      <w:spacing w:after="120" w:line="360" w:lineRule="atLeast"/>
      <w:ind w:left="625" w:leftChars="200" w:hanging="425"/>
      <w:jc w:val="left"/>
      <w:textAlignment w:val="bottom"/>
    </w:pPr>
    <w:rPr>
      <w:rFonts w:ascii="宋体" w:hAnsi="Arial" w:eastAsia="黑体"/>
      <w:b/>
      <w:kern w:val="0"/>
      <w:position w:val="-6"/>
      <w:sz w:val="32"/>
      <w:szCs w:val="32"/>
    </w:rPr>
  </w:style>
  <w:style w:type="paragraph" w:customStyle="1" w:styleId="723">
    <w:name w:val="NAP Normal"/>
    <w:basedOn w:val="1"/>
    <w:uiPriority w:val="0"/>
    <w:pPr>
      <w:spacing w:line="240" w:lineRule="exact"/>
    </w:pPr>
    <w:rPr>
      <w:kern w:val="0"/>
      <w:sz w:val="22"/>
      <w:szCs w:val="20"/>
    </w:rPr>
  </w:style>
  <w:style w:type="paragraph" w:customStyle="1" w:styleId="724">
    <w:name w:val="正文 t"/>
    <w:basedOn w:val="1"/>
    <w:uiPriority w:val="0"/>
    <w:pPr>
      <w:spacing w:before="120" w:after="120" w:line="240" w:lineRule="atLeast"/>
      <w:jc w:val="center"/>
    </w:pPr>
    <w:rPr>
      <w:rFonts w:ascii="Arial" w:hAnsi="Arial" w:eastAsia="黑体"/>
      <w:b/>
      <w:kern w:val="0"/>
      <w:sz w:val="24"/>
      <w:szCs w:val="20"/>
    </w:rPr>
  </w:style>
  <w:style w:type="paragraph" w:customStyle="1" w:styleId="725">
    <w:name w:val="批注框文本1"/>
    <w:basedOn w:val="1"/>
    <w:uiPriority w:val="0"/>
    <w:pPr>
      <w:jc w:val="center"/>
    </w:pPr>
    <w:rPr>
      <w:rFonts w:hAnsi="Arial" w:eastAsia="黑体"/>
      <w:b/>
      <w:kern w:val="0"/>
      <w:sz w:val="18"/>
      <w:szCs w:val="18"/>
    </w:rPr>
  </w:style>
  <w:style w:type="paragraph" w:customStyle="1" w:styleId="726">
    <w:name w:val="font1"/>
    <w:basedOn w:val="1"/>
    <w:uiPriority w:val="0"/>
    <w:pPr>
      <w:widowControl/>
      <w:spacing w:before="100" w:beforeAutospacing="1" w:after="100" w:afterAutospacing="1"/>
      <w:jc w:val="left"/>
    </w:pPr>
    <w:rPr>
      <w:rFonts w:ascii="宋体" w:hAnsi="Arial" w:eastAsia="黑体"/>
      <w:b/>
      <w:kern w:val="0"/>
      <w:sz w:val="24"/>
      <w:szCs w:val="28"/>
    </w:rPr>
  </w:style>
  <w:style w:type="paragraph" w:customStyle="1" w:styleId="727">
    <w:name w:val="列表2"/>
    <w:basedOn w:val="1"/>
    <w:qFormat/>
    <w:uiPriority w:val="0"/>
    <w:pPr>
      <w:tabs>
        <w:tab w:val="left" w:pos="0"/>
      </w:tabs>
      <w:spacing w:line="360" w:lineRule="auto"/>
      <w:ind w:firstLine="400"/>
    </w:pPr>
    <w:rPr>
      <w:sz w:val="24"/>
      <w:szCs w:val="24"/>
    </w:rPr>
  </w:style>
  <w:style w:type="paragraph" w:customStyle="1" w:styleId="728">
    <w:name w:val="Header 4"/>
    <w:basedOn w:val="7"/>
    <w:uiPriority w:val="0"/>
    <w:pPr>
      <w:keepLines w:val="0"/>
      <w:tabs>
        <w:tab w:val="left" w:pos="720"/>
        <w:tab w:val="left" w:pos="1080"/>
      </w:tabs>
      <w:spacing w:before="120" w:after="240" w:line="240" w:lineRule="auto"/>
      <w:ind w:left="720" w:right="360" w:hanging="720"/>
      <w:jc w:val="center"/>
      <w:outlineLvl w:val="9"/>
    </w:pPr>
    <w:rPr>
      <w:rFonts w:ascii="Arial" w:hAnsi="Arial" w:eastAsia="黑体"/>
      <w:b w:val="0"/>
      <w:sz w:val="21"/>
      <w:szCs w:val="24"/>
    </w:rPr>
  </w:style>
  <w:style w:type="paragraph" w:customStyle="1" w:styleId="729">
    <w:name w:val="庄制定的正文"/>
    <w:basedOn w:val="1"/>
    <w:qFormat/>
    <w:uiPriority w:val="0"/>
    <w:pPr>
      <w:adjustRightInd w:val="0"/>
      <w:snapToGrid w:val="0"/>
      <w:spacing w:after="50" w:line="360" w:lineRule="auto"/>
      <w:ind w:firstLine="454"/>
      <w:jc w:val="left"/>
    </w:pPr>
    <w:rPr>
      <w:rFonts w:ascii="宋体" w:hAnsi="宋体" w:cs="宋体"/>
      <w:kern w:val="44"/>
      <w:sz w:val="24"/>
      <w:szCs w:val="20"/>
    </w:rPr>
  </w:style>
  <w:style w:type="paragraph" w:customStyle="1" w:styleId="730">
    <w:name w:val="Char Char Char Char Char Char1"/>
    <w:basedOn w:val="1"/>
    <w:uiPriority w:val="0"/>
    <w:rPr>
      <w:rFonts w:cs="Arial"/>
      <w:szCs w:val="21"/>
    </w:rPr>
  </w:style>
  <w:style w:type="paragraph" w:customStyle="1" w:styleId="731">
    <w:name w:val="正文_skzhang"/>
    <w:basedOn w:val="1"/>
    <w:qFormat/>
    <w:uiPriority w:val="0"/>
    <w:pPr>
      <w:widowControl/>
      <w:adjustRightInd w:val="0"/>
      <w:snapToGrid w:val="0"/>
      <w:spacing w:before="80" w:after="100" w:line="360" w:lineRule="auto"/>
      <w:ind w:left="61" w:leftChars="29" w:firstLine="200" w:firstLineChars="200"/>
      <w:jc w:val="left"/>
    </w:pPr>
    <w:rPr>
      <w:rFonts w:ascii="宋体" w:hAnsi="宋体"/>
      <w:kern w:val="0"/>
      <w:sz w:val="24"/>
      <w:szCs w:val="24"/>
    </w:rPr>
  </w:style>
  <w:style w:type="paragraph" w:customStyle="1" w:styleId="732">
    <w:name w:val="Liwb_Pagragraph_ABC123"/>
    <w:basedOn w:val="1"/>
    <w:uiPriority w:val="0"/>
    <w:pPr>
      <w:widowControl/>
      <w:ind w:left="1276" w:hanging="425"/>
      <w:jc w:val="left"/>
    </w:pPr>
    <w:rPr>
      <w:rFonts w:ascii="宋体" w:hAnsi="Arial" w:eastAsia="黑体"/>
      <w:b/>
      <w:kern w:val="0"/>
      <w:sz w:val="28"/>
      <w:szCs w:val="20"/>
    </w:rPr>
  </w:style>
  <w:style w:type="paragraph" w:customStyle="1" w:styleId="733">
    <w:name w:val="应答正文"/>
    <w:basedOn w:val="77"/>
    <w:uiPriority w:val="0"/>
    <w:pPr>
      <w:overflowPunct w:val="0"/>
      <w:autoSpaceDE w:val="0"/>
      <w:autoSpaceDN w:val="0"/>
      <w:adjustRightInd w:val="0"/>
      <w:spacing w:before="100" w:beforeAutospacing="1" w:after="100" w:afterAutospacing="1" w:line="240" w:lineRule="auto"/>
      <w:ind w:left="250" w:leftChars="250"/>
      <w:jc w:val="center"/>
      <w:textAlignment w:val="baseline"/>
    </w:pPr>
    <w:rPr>
      <w:rFonts w:ascii="宋体" w:hAnsi="Arial" w:eastAsia="黑体"/>
      <w:b/>
    </w:rPr>
  </w:style>
  <w:style w:type="paragraph" w:customStyle="1" w:styleId="734">
    <w:name w:val="缺省文本"/>
    <w:qFormat/>
    <w:uiPriority w:val="0"/>
    <w:pPr>
      <w:autoSpaceDE w:val="0"/>
      <w:autoSpaceDN w:val="0"/>
      <w:adjustRightInd w:val="0"/>
      <w:spacing w:before="120" w:after="120" w:line="360" w:lineRule="auto"/>
      <w:ind w:firstLine="425"/>
    </w:pPr>
    <w:rPr>
      <w:rFonts w:ascii="Times New Roman" w:hAnsi="Times New Roman" w:eastAsia="宋体" w:cs="Times New Roman"/>
      <w:sz w:val="24"/>
      <w:lang w:val="en-US" w:eastAsia="zh-CN" w:bidi="ar-SA"/>
    </w:rPr>
  </w:style>
  <w:style w:type="paragraph" w:customStyle="1" w:styleId="735">
    <w:name w:val="样式 样式 标题 3标题 3 Char Charh3level_3PIM 3Level 3 HeadHeading 3 -......1"/>
    <w:basedOn w:val="1"/>
    <w:qFormat/>
    <w:uiPriority w:val="0"/>
    <w:pPr>
      <w:keepNext/>
      <w:keepLines/>
      <w:tabs>
        <w:tab w:val="left" w:pos="720"/>
      </w:tabs>
      <w:adjustRightInd w:val="0"/>
      <w:snapToGrid w:val="0"/>
      <w:spacing w:before="156" w:after="260" w:line="415" w:lineRule="auto"/>
      <w:ind w:left="1424" w:leftChars="100" w:right="100" w:rightChars="100" w:hanging="794"/>
      <w:jc w:val="left"/>
      <w:outlineLvl w:val="2"/>
    </w:pPr>
    <w:rPr>
      <w:rFonts w:cs="宋体"/>
      <w:b/>
      <w:bCs/>
      <w:sz w:val="24"/>
      <w:szCs w:val="20"/>
    </w:rPr>
  </w:style>
  <w:style w:type="paragraph" w:customStyle="1" w:styleId="736">
    <w:name w:val="Standard.bz"/>
    <w:basedOn w:val="1"/>
    <w:uiPriority w:val="0"/>
    <w:pPr>
      <w:jc w:val="center"/>
    </w:pPr>
    <w:rPr>
      <w:rFonts w:ascii="Arial" w:hAnsi="Arial" w:eastAsia="PMingLiU"/>
      <w:b/>
      <w:kern w:val="0"/>
      <w:sz w:val="22"/>
      <w:lang w:val="de-DE" w:eastAsia="de-DE"/>
    </w:rPr>
  </w:style>
  <w:style w:type="paragraph" w:customStyle="1" w:styleId="737">
    <w:name w:val="Char1 Char Char Char1"/>
    <w:basedOn w:val="28"/>
    <w:uiPriority w:val="0"/>
    <w:rPr>
      <w:rFonts w:ascii="Tahoma" w:hAnsi="Tahoma"/>
      <w:sz w:val="24"/>
      <w:szCs w:val="24"/>
    </w:rPr>
  </w:style>
  <w:style w:type="paragraph" w:customStyle="1" w:styleId="738">
    <w:name w:val="zw"/>
    <w:basedOn w:val="1"/>
    <w:qFormat/>
    <w:uiPriority w:val="0"/>
    <w:pPr>
      <w:adjustRightInd w:val="0"/>
      <w:spacing w:line="360" w:lineRule="auto"/>
      <w:ind w:firstLine="482"/>
      <w:jc w:val="left"/>
      <w:textAlignment w:val="baseline"/>
    </w:pPr>
    <w:rPr>
      <w:rFonts w:ascii="宋体" w:hAnsi="Arial" w:eastAsia="黑体"/>
      <w:b/>
      <w:kern w:val="0"/>
      <w:sz w:val="24"/>
      <w:szCs w:val="20"/>
    </w:rPr>
  </w:style>
  <w:style w:type="paragraph" w:customStyle="1" w:styleId="739">
    <w:name w:val="样式 标题 2节标题 1.1 + 左侧:  2.12 厘米"/>
    <w:basedOn w:val="6"/>
    <w:uiPriority w:val="0"/>
    <w:pPr>
      <w:tabs>
        <w:tab w:val="clear" w:pos="840"/>
      </w:tabs>
      <w:spacing w:before="0" w:after="156" w:line="480" w:lineRule="exact"/>
      <w:ind w:left="0" w:firstLine="0"/>
    </w:pPr>
    <w:rPr>
      <w:rFonts w:ascii="Times New Roman" w:hAnsi="Times New Roman" w:eastAsia="宋体" w:cs="宋体"/>
      <w:b w:val="0"/>
      <w:bCs/>
      <w:sz w:val="24"/>
    </w:rPr>
  </w:style>
  <w:style w:type="paragraph" w:customStyle="1" w:styleId="740">
    <w:name w:val="!OSS12 Table Heading"/>
    <w:next w:val="713"/>
    <w:qFormat/>
    <w:uiPriority w:val="0"/>
    <w:pPr>
      <w:keepNext/>
    </w:pPr>
    <w:rPr>
      <w:rFonts w:ascii="Verdana" w:hAnsi="Verdana" w:eastAsia="宋体" w:cs="Verdana"/>
      <w:b/>
      <w:bCs/>
      <w:color w:val="000000"/>
      <w:sz w:val="19"/>
      <w:szCs w:val="19"/>
      <w:lang w:val="en-US" w:eastAsia="zh-CN" w:bidi="ar-SA"/>
    </w:rPr>
  </w:style>
  <w:style w:type="paragraph" w:customStyle="1" w:styleId="741">
    <w:name w:val="总标题"/>
    <w:basedOn w:val="5"/>
    <w:uiPriority w:val="0"/>
    <w:pPr>
      <w:keepLines w:val="0"/>
      <w:widowControl/>
      <w:tabs>
        <w:tab w:val="left" w:pos="425"/>
      </w:tabs>
      <w:spacing w:before="0" w:after="0" w:line="360" w:lineRule="auto"/>
      <w:ind w:left="425" w:hanging="425"/>
    </w:pPr>
    <w:rPr>
      <w:rFonts w:hAnsi="Arial" w:eastAsia="黑体"/>
      <w:spacing w:val="24"/>
      <w:kern w:val="0"/>
      <w:sz w:val="24"/>
      <w:szCs w:val="24"/>
    </w:rPr>
  </w:style>
  <w:style w:type="paragraph" w:customStyle="1" w:styleId="742">
    <w:name w:val="正文缩进2字符"/>
    <w:basedOn w:val="1"/>
    <w:uiPriority w:val="0"/>
    <w:pPr>
      <w:spacing w:line="360" w:lineRule="auto"/>
      <w:ind w:firstLine="200" w:firstLineChars="200"/>
      <w:jc w:val="left"/>
    </w:pPr>
    <w:rPr>
      <w:b/>
      <w:sz w:val="24"/>
      <w:szCs w:val="21"/>
    </w:rPr>
  </w:style>
  <w:style w:type="paragraph" w:customStyle="1" w:styleId="743">
    <w:name w:val="正文文字 首行缩进"/>
    <w:basedOn w:val="1"/>
    <w:qFormat/>
    <w:uiPriority w:val="0"/>
    <w:pPr>
      <w:autoSpaceDE w:val="0"/>
      <w:autoSpaceDN w:val="0"/>
      <w:adjustRightInd w:val="0"/>
      <w:snapToGrid w:val="0"/>
      <w:spacing w:line="360" w:lineRule="auto"/>
      <w:ind w:firstLine="454"/>
      <w:jc w:val="left"/>
    </w:pPr>
    <w:rPr>
      <w:rFonts w:ascii="System" w:cs="宋体"/>
      <w:kern w:val="0"/>
      <w:sz w:val="24"/>
      <w:szCs w:val="20"/>
    </w:rPr>
  </w:style>
  <w:style w:type="paragraph" w:customStyle="1" w:styleId="744">
    <w:name w:val="样式 标题 2PIM2H2Heading 2 HiddenHeading 2 CCBSheading 2Titre3..."/>
    <w:basedOn w:val="6"/>
    <w:uiPriority w:val="0"/>
    <w:pPr>
      <w:adjustRightInd w:val="0"/>
      <w:spacing w:before="360" w:after="360" w:line="240" w:lineRule="auto"/>
      <w:ind w:left="-171" w:leftChars="-171" w:hanging="420"/>
      <w:jc w:val="both"/>
    </w:pPr>
    <w:rPr>
      <w:rFonts w:ascii="仿宋_GB2312" w:hAnsi="Times New Roman" w:eastAsia="仿宋_GB2312"/>
      <w:b w:val="0"/>
      <w:szCs w:val="28"/>
    </w:rPr>
  </w:style>
  <w:style w:type="paragraph" w:customStyle="1" w:styleId="745">
    <w:name w:val="杠"/>
    <w:basedOn w:val="8"/>
    <w:uiPriority w:val="0"/>
    <w:pPr>
      <w:tabs>
        <w:tab w:val="left" w:pos="360"/>
        <w:tab w:val="left" w:pos="425"/>
      </w:tabs>
      <w:adjustRightInd w:val="0"/>
      <w:snapToGrid w:val="0"/>
      <w:spacing w:before="120" w:line="300" w:lineRule="auto"/>
      <w:ind w:left="1559"/>
      <w:textAlignment w:val="baseline"/>
    </w:pPr>
    <w:rPr>
      <w:rFonts w:ascii="Arial" w:hAnsi="Arial" w:eastAsia="黑体"/>
      <w:b/>
      <w:kern w:val="2"/>
      <w:sz w:val="24"/>
      <w:szCs w:val="24"/>
    </w:rPr>
  </w:style>
  <w:style w:type="paragraph" w:customStyle="1" w:styleId="746">
    <w:name w:val="xl3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47">
    <w:name w:val="item1.1"/>
    <w:basedOn w:val="1"/>
    <w:uiPriority w:val="0"/>
    <w:pPr>
      <w:adjustRightInd w:val="0"/>
      <w:spacing w:line="360" w:lineRule="auto"/>
      <w:jc w:val="left"/>
      <w:textAlignment w:val="baseline"/>
    </w:pPr>
    <w:rPr>
      <w:rFonts w:ascii="宋体" w:hAnsi="Arial" w:eastAsia="黑体"/>
      <w:b/>
      <w:kern w:val="0"/>
      <w:sz w:val="24"/>
      <w:szCs w:val="20"/>
    </w:rPr>
  </w:style>
  <w:style w:type="paragraph" w:customStyle="1" w:styleId="748">
    <w:name w:val="Formatvorlage1"/>
    <w:basedOn w:val="1"/>
    <w:uiPriority w:val="0"/>
    <w:pPr>
      <w:widowControl/>
      <w:jc w:val="left"/>
    </w:pPr>
    <w:rPr>
      <w:rFonts w:ascii="Arial" w:hAnsi="Arial" w:eastAsia="PMingLiU"/>
      <w:b/>
      <w:kern w:val="0"/>
      <w:sz w:val="22"/>
      <w:lang w:eastAsia="de-DE"/>
    </w:rPr>
  </w:style>
  <w:style w:type="paragraph" w:customStyle="1" w:styleId="749">
    <w:name w:val="xl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750">
    <w:name w:val="xl100"/>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Arial" w:eastAsia="黑体"/>
      <w:b/>
      <w:kern w:val="0"/>
      <w:sz w:val="20"/>
      <w:szCs w:val="20"/>
    </w:rPr>
  </w:style>
  <w:style w:type="paragraph" w:customStyle="1" w:styleId="751">
    <w:name w:val="_Style 2"/>
    <w:basedOn w:val="1"/>
    <w:qFormat/>
    <w:uiPriority w:val="34"/>
    <w:pPr>
      <w:ind w:firstLine="420" w:firstLineChars="200"/>
    </w:pPr>
    <w:rPr>
      <w:kern w:val="0"/>
      <w:sz w:val="20"/>
      <w:szCs w:val="20"/>
    </w:rPr>
  </w:style>
  <w:style w:type="paragraph" w:customStyle="1" w:styleId="752">
    <w:name w:val="Bulleted List 1"/>
    <w:qFormat/>
    <w:uiPriority w:val="0"/>
    <w:pPr>
      <w:tabs>
        <w:tab w:val="left" w:pos="360"/>
      </w:tabs>
      <w:spacing w:before="60" w:after="60" w:line="260" w:lineRule="exact"/>
      <w:ind w:left="360" w:hanging="360"/>
    </w:pPr>
    <w:rPr>
      <w:rFonts w:ascii="Verdana" w:hAnsi="Verdana" w:eastAsia="宋体" w:cs="Times New Roman"/>
      <w:color w:val="000000"/>
      <w:lang w:val="en-US" w:eastAsia="en-US" w:bidi="ar-SA"/>
    </w:rPr>
  </w:style>
  <w:style w:type="paragraph" w:customStyle="1" w:styleId="753">
    <w:name w:val="小标题1"/>
    <w:basedOn w:val="754"/>
    <w:next w:val="505"/>
    <w:uiPriority w:val="0"/>
    <w:pPr>
      <w:spacing w:before="0"/>
    </w:pPr>
  </w:style>
  <w:style w:type="paragraph" w:customStyle="1" w:styleId="754">
    <w:name w:val="小标题"/>
    <w:basedOn w:val="505"/>
    <w:uiPriority w:val="0"/>
    <w:pPr>
      <w:spacing w:before="140" w:after="140" w:line="240" w:lineRule="auto"/>
      <w:jc w:val="both"/>
    </w:pPr>
    <w:rPr>
      <w:sz w:val="28"/>
    </w:rPr>
  </w:style>
  <w:style w:type="paragraph" w:customStyle="1" w:styleId="755">
    <w:name w:val="bullet"/>
    <w:basedOn w:val="1"/>
    <w:uiPriority w:val="0"/>
    <w:pPr>
      <w:tabs>
        <w:tab w:val="left" w:pos="840"/>
      </w:tabs>
      <w:ind w:left="840" w:hanging="420"/>
    </w:pPr>
    <w:rPr>
      <w:szCs w:val="24"/>
    </w:rPr>
  </w:style>
  <w:style w:type="paragraph" w:customStyle="1" w:styleId="756">
    <w:name w:val="xl113"/>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Ansi="Arial" w:eastAsia="黑体"/>
      <w:b/>
      <w:kern w:val="0"/>
      <w:sz w:val="18"/>
      <w:szCs w:val="18"/>
    </w:rPr>
  </w:style>
  <w:style w:type="paragraph" w:customStyle="1" w:styleId="757">
    <w:name w:val="样式4 Char"/>
    <w:basedOn w:val="77"/>
    <w:uiPriority w:val="0"/>
    <w:pPr>
      <w:spacing w:after="120" w:line="480" w:lineRule="auto"/>
      <w:jc w:val="center"/>
    </w:pPr>
    <w:rPr>
      <w:rFonts w:ascii="宋体" w:hAnsi="Arial" w:eastAsia="黑体"/>
      <w:sz w:val="28"/>
      <w:szCs w:val="28"/>
    </w:rPr>
  </w:style>
  <w:style w:type="paragraph" w:customStyle="1" w:styleId="758">
    <w:name w:val="Char Char Char Char"/>
    <w:basedOn w:val="1"/>
    <w:uiPriority w:val="0"/>
    <w:pPr>
      <w:jc w:val="center"/>
    </w:pPr>
    <w:rPr>
      <w:rFonts w:hAnsi="Arial" w:eastAsia="黑体"/>
      <w:b/>
      <w:kern w:val="0"/>
      <w:sz w:val="28"/>
      <w:szCs w:val="28"/>
    </w:rPr>
  </w:style>
  <w:style w:type="paragraph" w:customStyle="1" w:styleId="759">
    <w:name w:val="正文报告"/>
    <w:basedOn w:val="1"/>
    <w:uiPriority w:val="0"/>
    <w:pPr>
      <w:tabs>
        <w:tab w:val="left" w:pos="510"/>
      </w:tabs>
      <w:adjustRightInd w:val="0"/>
      <w:spacing w:line="460" w:lineRule="exact"/>
      <w:ind w:firstLine="482"/>
      <w:jc w:val="center"/>
      <w:textAlignment w:val="baseline"/>
    </w:pPr>
    <w:rPr>
      <w:rFonts w:hAnsi="Arial" w:eastAsia="黑体"/>
      <w:b/>
      <w:kern w:val="0"/>
      <w:sz w:val="24"/>
      <w:szCs w:val="20"/>
    </w:rPr>
  </w:style>
  <w:style w:type="paragraph" w:customStyle="1" w:styleId="760">
    <w:name w:val="xl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761">
    <w:name w:val="四级标题"/>
    <w:basedOn w:val="51"/>
    <w:qFormat/>
    <w:uiPriority w:val="0"/>
    <w:pPr>
      <w:adjustRightInd/>
      <w:spacing w:line="360" w:lineRule="auto"/>
    </w:pPr>
    <w:rPr>
      <w:rFonts w:hAnsi="Arial" w:eastAsia="黑体"/>
      <w:b/>
      <w:kern w:val="2"/>
      <w:sz w:val="24"/>
    </w:rPr>
  </w:style>
  <w:style w:type="paragraph" w:customStyle="1" w:styleId="762">
    <w:name w:val="item1.1.1.1.1.1"/>
    <w:basedOn w:val="1"/>
    <w:uiPriority w:val="0"/>
    <w:pPr>
      <w:adjustRightInd w:val="0"/>
      <w:spacing w:line="360" w:lineRule="auto"/>
      <w:jc w:val="center"/>
      <w:textAlignment w:val="baseline"/>
    </w:pPr>
    <w:rPr>
      <w:rFonts w:ascii="宋体" w:hAnsi="Arial" w:eastAsia="黑体"/>
      <w:b/>
      <w:kern w:val="0"/>
      <w:sz w:val="24"/>
      <w:szCs w:val="28"/>
    </w:rPr>
  </w:style>
  <w:style w:type="paragraph" w:customStyle="1" w:styleId="763">
    <w:name w:val="表格居中"/>
    <w:basedOn w:val="1"/>
    <w:uiPriority w:val="0"/>
    <w:pPr>
      <w:adjustRightInd w:val="0"/>
      <w:snapToGrid w:val="0"/>
      <w:spacing w:line="360" w:lineRule="auto"/>
      <w:jc w:val="center"/>
    </w:pPr>
    <w:rPr>
      <w:rFonts w:hAnsi="Arial" w:eastAsia="黑体"/>
      <w:b/>
      <w:snapToGrid w:val="0"/>
      <w:kern w:val="0"/>
      <w:sz w:val="24"/>
      <w:szCs w:val="20"/>
    </w:rPr>
  </w:style>
  <w:style w:type="paragraph" w:customStyle="1" w:styleId="764">
    <w:name w:val="ccf"/>
    <w:basedOn w:val="1"/>
    <w:uiPriority w:val="0"/>
    <w:pPr>
      <w:adjustRightInd w:val="0"/>
      <w:spacing w:line="312" w:lineRule="atLeast"/>
      <w:ind w:left="1191" w:hanging="1191"/>
      <w:jc w:val="center"/>
      <w:textAlignment w:val="baseline"/>
    </w:pPr>
    <w:rPr>
      <w:rFonts w:hAnsi="Arial" w:eastAsia="黑体"/>
      <w:b/>
      <w:kern w:val="0"/>
      <w:sz w:val="26"/>
      <w:szCs w:val="26"/>
    </w:rPr>
  </w:style>
  <w:style w:type="paragraph" w:customStyle="1" w:styleId="765">
    <w:name w:val="样式 标题2 + 字距调整8 磅"/>
    <w:basedOn w:val="413"/>
    <w:uiPriority w:val="0"/>
    <w:pPr>
      <w:keepNext/>
      <w:keepLines/>
      <w:tabs>
        <w:tab w:val="clear" w:pos="567"/>
        <w:tab w:val="clear" w:pos="992"/>
      </w:tabs>
      <w:spacing w:line="360" w:lineRule="auto"/>
      <w:ind w:left="840" w:hanging="420"/>
    </w:pPr>
    <w:rPr>
      <w:rFonts w:ascii="Times New Roman" w:hAnsi="Times New Roman"/>
      <w:bCs/>
      <w:color w:val="auto"/>
      <w:kern w:val="16"/>
      <w:szCs w:val="20"/>
    </w:rPr>
  </w:style>
  <w:style w:type="paragraph" w:customStyle="1" w:styleId="766">
    <w:name w:val="Char Char Char Char11"/>
    <w:basedOn w:val="1"/>
    <w:qFormat/>
    <w:uiPriority w:val="0"/>
    <w:pPr>
      <w:widowControl/>
      <w:snapToGrid w:val="0"/>
      <w:spacing w:after="160" w:line="360" w:lineRule="auto"/>
      <w:jc w:val="left"/>
    </w:pPr>
    <w:rPr>
      <w:kern w:val="0"/>
      <w:sz w:val="24"/>
      <w:szCs w:val="24"/>
      <w:lang w:eastAsia="en-US"/>
    </w:rPr>
  </w:style>
  <w:style w:type="paragraph" w:customStyle="1" w:styleId="767">
    <w:name w:val="headi"/>
    <w:basedOn w:val="1"/>
    <w:next w:val="1"/>
    <w:uiPriority w:val="0"/>
    <w:pPr>
      <w:keepNext/>
      <w:keepLines/>
      <w:adjustRightInd w:val="0"/>
      <w:snapToGrid w:val="0"/>
      <w:spacing w:beforeLines="50" w:afterLines="50" w:line="360" w:lineRule="auto"/>
      <w:jc w:val="center"/>
      <w:outlineLvl w:val="1"/>
    </w:pPr>
    <w:rPr>
      <w:rFonts w:ascii="Arial" w:hAnsi="Arial" w:eastAsia="黑体"/>
      <w:bCs/>
      <w:kern w:val="0"/>
      <w:sz w:val="30"/>
      <w:szCs w:val="30"/>
    </w:rPr>
  </w:style>
  <w:style w:type="paragraph" w:customStyle="1" w:styleId="768">
    <w:name w:val="(a)"/>
    <w:basedOn w:val="1"/>
    <w:uiPriority w:val="0"/>
    <w:pPr>
      <w:tabs>
        <w:tab w:val="left" w:pos="573"/>
      </w:tabs>
      <w:adjustRightInd w:val="0"/>
      <w:snapToGrid w:val="0"/>
      <w:spacing w:before="80" w:after="100" w:line="360" w:lineRule="auto"/>
      <w:ind w:firstLine="175" w:firstLineChars="175"/>
      <w:jc w:val="center"/>
    </w:pPr>
    <w:rPr>
      <w:rFonts w:ascii="宋体" w:hAnsi="Arial" w:eastAsia="黑体"/>
      <w:b/>
      <w:kern w:val="44"/>
      <w:sz w:val="24"/>
      <w:szCs w:val="28"/>
    </w:rPr>
  </w:style>
  <w:style w:type="paragraph" w:customStyle="1" w:styleId="769">
    <w:name w:val="xl77"/>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770">
    <w:name w:val="默认段落字体 Para Char Char Char Char"/>
    <w:basedOn w:val="1"/>
    <w:uiPriority w:val="0"/>
    <w:rPr>
      <w:rFonts w:ascii="Arial" w:hAnsi="Arial" w:cs="Arial"/>
      <w:szCs w:val="21"/>
    </w:rPr>
  </w:style>
  <w:style w:type="paragraph" w:customStyle="1" w:styleId="771">
    <w:name w:val="默认段落字体 Para Char"/>
    <w:basedOn w:val="1"/>
    <w:qFormat/>
    <w:uiPriority w:val="0"/>
    <w:pPr>
      <w:tabs>
        <w:tab w:val="left" w:pos="360"/>
      </w:tabs>
      <w:ind w:left="420" w:hanging="420"/>
    </w:pPr>
    <w:rPr>
      <w:sz w:val="24"/>
      <w:szCs w:val="24"/>
    </w:rPr>
  </w:style>
  <w:style w:type="paragraph" w:customStyle="1" w:styleId="772">
    <w:name w:val="样式 标题 2 + Times New Roman 四号 非加粗 段前: 5 磅 段后: 0 磅 行距: 固定值 20..."/>
    <w:basedOn w:val="6"/>
    <w:uiPriority w:val="0"/>
    <w:pPr>
      <w:tabs>
        <w:tab w:val="clear" w:pos="840"/>
      </w:tabs>
      <w:spacing w:before="100" w:after="0" w:line="400" w:lineRule="exact"/>
      <w:ind w:left="840" w:hanging="420"/>
      <w:jc w:val="both"/>
    </w:pPr>
    <w:rPr>
      <w:rFonts w:ascii="Times New Roman" w:hAnsi="Times New Roman" w:cs="宋体"/>
      <w:b w:val="0"/>
      <w:kern w:val="2"/>
      <w:sz w:val="28"/>
    </w:rPr>
  </w:style>
  <w:style w:type="paragraph" w:customStyle="1" w:styleId="773">
    <w:name w:val="item1.1.1"/>
    <w:basedOn w:val="1"/>
    <w:uiPriority w:val="0"/>
    <w:pPr>
      <w:adjustRightInd w:val="0"/>
      <w:spacing w:line="360" w:lineRule="auto"/>
      <w:jc w:val="left"/>
      <w:textAlignment w:val="baseline"/>
    </w:pPr>
    <w:rPr>
      <w:rFonts w:ascii="宋体" w:hAnsi="Arial" w:eastAsia="黑体"/>
      <w:b/>
      <w:kern w:val="0"/>
      <w:sz w:val="24"/>
      <w:szCs w:val="20"/>
    </w:rPr>
  </w:style>
  <w:style w:type="paragraph" w:customStyle="1" w:styleId="774">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775">
    <w:name w:val="px12l140"/>
    <w:basedOn w:val="1"/>
    <w:qFormat/>
    <w:uiPriority w:val="0"/>
    <w:pPr>
      <w:widowControl/>
      <w:adjustRightInd w:val="0"/>
      <w:snapToGrid w:val="0"/>
      <w:spacing w:before="100" w:beforeAutospacing="1" w:after="100" w:afterAutospacing="1" w:line="336" w:lineRule="auto"/>
      <w:jc w:val="left"/>
    </w:pPr>
    <w:rPr>
      <w:rFonts w:ascii="ˎ̥" w:hAnsi="ˎ̥" w:cs="宋体"/>
      <w:kern w:val="0"/>
      <w:sz w:val="18"/>
      <w:szCs w:val="18"/>
    </w:rPr>
  </w:style>
  <w:style w:type="paragraph" w:customStyle="1" w:styleId="776">
    <w:name w:val="subhead2"/>
    <w:basedOn w:val="1"/>
    <w:qFormat/>
    <w:uiPriority w:val="0"/>
    <w:pPr>
      <w:widowControl/>
      <w:adjustRightInd w:val="0"/>
      <w:snapToGrid w:val="0"/>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77">
    <w:name w:val="Liwb_Item_4"/>
    <w:basedOn w:val="1"/>
    <w:uiPriority w:val="0"/>
    <w:pPr>
      <w:widowControl/>
      <w:jc w:val="left"/>
      <w:outlineLvl w:val="4"/>
    </w:pPr>
    <w:rPr>
      <w:rFonts w:ascii="宋体" w:hAnsi="Arial" w:eastAsia="黑体"/>
      <w:b/>
      <w:kern w:val="0"/>
      <w:sz w:val="28"/>
      <w:szCs w:val="20"/>
    </w:rPr>
  </w:style>
  <w:style w:type="paragraph" w:customStyle="1" w:styleId="7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9">
    <w:name w:val="Char3 Char Char Char"/>
    <w:basedOn w:val="1"/>
    <w:qFormat/>
    <w:uiPriority w:val="0"/>
    <w:pPr>
      <w:widowControl/>
      <w:adjustRightInd w:val="0"/>
      <w:snapToGrid w:val="0"/>
      <w:spacing w:after="160" w:line="240" w:lineRule="exact"/>
      <w:jc w:val="left"/>
    </w:pPr>
    <w:rPr>
      <w:rFonts w:ascii="Verdana" w:hAnsi="Verdana"/>
      <w:kern w:val="0"/>
      <w:sz w:val="20"/>
      <w:szCs w:val="20"/>
      <w:lang w:eastAsia="en-US"/>
    </w:rPr>
  </w:style>
  <w:style w:type="paragraph" w:customStyle="1" w:styleId="780">
    <w:name w:val="GW-标题6"/>
    <w:basedOn w:val="11"/>
    <w:next w:val="1"/>
    <w:qFormat/>
    <w:uiPriority w:val="0"/>
    <w:pPr>
      <w:widowControl/>
      <w:tabs>
        <w:tab w:val="left" w:pos="0"/>
      </w:tabs>
      <w:adjustRightInd w:val="0"/>
      <w:snapToGrid w:val="0"/>
      <w:spacing w:before="120" w:after="120" w:line="360" w:lineRule="auto"/>
      <w:ind w:left="1152" w:hanging="1152"/>
      <w:jc w:val="left"/>
    </w:pPr>
    <w:rPr>
      <w:rFonts w:ascii="Cambria" w:hAnsi="Cambria"/>
      <w:iCs/>
      <w:caps/>
      <w:szCs w:val="22"/>
    </w:rPr>
  </w:style>
  <w:style w:type="paragraph" w:customStyle="1" w:styleId="781">
    <w:name w:val="表格标题"/>
    <w:basedOn w:val="1"/>
    <w:qFormat/>
    <w:uiPriority w:val="0"/>
    <w:pPr>
      <w:adjustRightInd w:val="0"/>
      <w:snapToGrid w:val="0"/>
      <w:spacing w:line="240" w:lineRule="atLeast"/>
      <w:jc w:val="center"/>
    </w:pPr>
    <w:rPr>
      <w:rFonts w:eastAsia="楷体_GB2312"/>
      <w:b/>
      <w:bCs/>
      <w:sz w:val="24"/>
      <w:szCs w:val="24"/>
    </w:rPr>
  </w:style>
  <w:style w:type="paragraph" w:customStyle="1" w:styleId="782">
    <w:name w:val="xl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3">
    <w:name w:val="Char Char Char Char Char Char Char2"/>
    <w:basedOn w:val="1"/>
    <w:uiPriority w:val="0"/>
    <w:pPr>
      <w:jc w:val="center"/>
    </w:pPr>
    <w:rPr>
      <w:rFonts w:hAnsi="Arial" w:eastAsia="黑体"/>
      <w:b/>
      <w:kern w:val="0"/>
      <w:sz w:val="28"/>
      <w:szCs w:val="28"/>
    </w:rPr>
  </w:style>
  <w:style w:type="paragraph" w:customStyle="1" w:styleId="784">
    <w:name w:val="xl129"/>
    <w:basedOn w:val="1"/>
    <w:uiPriority w:val="0"/>
    <w:pPr>
      <w:widowControl/>
      <w:pBdr>
        <w:left w:val="single" w:color="auto" w:sz="4" w:space="0"/>
        <w:bottom w:val="single" w:color="auto" w:sz="4" w:space="0"/>
      </w:pBdr>
      <w:spacing w:before="100" w:beforeAutospacing="1" w:after="100" w:afterAutospacing="1"/>
      <w:jc w:val="left"/>
      <w:textAlignment w:val="center"/>
    </w:pPr>
    <w:rPr>
      <w:rFonts w:ascii="宋体" w:hAnsi="Arial" w:eastAsia="黑体"/>
      <w:bCs/>
      <w:kern w:val="0"/>
      <w:sz w:val="20"/>
      <w:szCs w:val="20"/>
    </w:rPr>
  </w:style>
  <w:style w:type="paragraph" w:customStyle="1" w:styleId="785">
    <w:name w:val="Char1 Char Char Char Char Char Char"/>
    <w:basedOn w:val="1"/>
    <w:uiPriority w:val="0"/>
    <w:rPr>
      <w:rFonts w:ascii="Tahoma" w:hAnsi="Tahoma"/>
      <w:sz w:val="24"/>
      <w:szCs w:val="20"/>
    </w:rPr>
  </w:style>
  <w:style w:type="paragraph" w:customStyle="1" w:styleId="786">
    <w:name w:val="图序与图题"/>
    <w:next w:val="8"/>
    <w:qFormat/>
    <w:uiPriority w:val="0"/>
    <w:pPr>
      <w:widowControl w:val="0"/>
      <w:tabs>
        <w:tab w:val="left" w:pos="720"/>
      </w:tabs>
      <w:kinsoku w:val="0"/>
      <w:overflowPunct w:val="0"/>
      <w:autoSpaceDE w:val="0"/>
      <w:autoSpaceDN w:val="0"/>
      <w:spacing w:before="20" w:after="240" w:line="120" w:lineRule="atLeast"/>
      <w:jc w:val="center"/>
    </w:pPr>
    <w:rPr>
      <w:rFonts w:ascii="Times New Roman" w:hAnsi="Times New Roman" w:eastAsia="楷体_GB2312" w:cs="Times New Roman"/>
      <w:sz w:val="24"/>
      <w:lang w:val="en-US" w:eastAsia="zh-CN" w:bidi="ar-SA"/>
    </w:rPr>
  </w:style>
  <w:style w:type="paragraph" w:customStyle="1" w:styleId="787">
    <w:name w:val="GP正文(首行缩进)"/>
    <w:basedOn w:val="1"/>
    <w:qFormat/>
    <w:uiPriority w:val="0"/>
    <w:pPr>
      <w:adjustRightInd w:val="0"/>
      <w:snapToGrid w:val="0"/>
      <w:spacing w:line="360" w:lineRule="auto"/>
      <w:jc w:val="left"/>
    </w:pPr>
    <w:rPr>
      <w:rFonts w:cs="黑体"/>
      <w:szCs w:val="21"/>
    </w:rPr>
  </w:style>
  <w:style w:type="paragraph" w:customStyle="1" w:styleId="788">
    <w:name w:val="表格标题2"/>
    <w:basedOn w:val="1"/>
    <w:qFormat/>
    <w:uiPriority w:val="0"/>
    <w:pPr>
      <w:tabs>
        <w:tab w:val="left" w:pos="567"/>
      </w:tabs>
      <w:adjustRightInd w:val="0"/>
      <w:spacing w:before="60" w:after="60"/>
      <w:ind w:left="567" w:hanging="567"/>
      <w:jc w:val="center"/>
      <w:textAlignment w:val="bottom"/>
    </w:pPr>
    <w:rPr>
      <w:rFonts w:hAnsi="Arial" w:eastAsia="黑体"/>
      <w:b/>
      <w:kern w:val="0"/>
      <w:sz w:val="28"/>
      <w:szCs w:val="21"/>
    </w:rPr>
  </w:style>
  <w:style w:type="paragraph" w:customStyle="1" w:styleId="789">
    <w:name w:val="Char2 Char Char Char Char Char Char"/>
    <w:basedOn w:val="1"/>
    <w:uiPriority w:val="0"/>
    <w:rPr>
      <w:rFonts w:ascii="仿宋_GB2312"/>
      <w:b/>
      <w:sz w:val="30"/>
      <w:szCs w:val="32"/>
    </w:rPr>
  </w:style>
  <w:style w:type="paragraph" w:customStyle="1" w:styleId="790">
    <w:name w:val="xl97"/>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hAnsi="Arial" w:eastAsia="黑体"/>
      <w:bCs/>
      <w:kern w:val="0"/>
      <w:sz w:val="40"/>
      <w:szCs w:val="40"/>
    </w:rPr>
  </w:style>
  <w:style w:type="paragraph" w:customStyle="1" w:styleId="791">
    <w:name w:val="!OSS12 Table Feature Name"/>
    <w:basedOn w:val="713"/>
    <w:next w:val="490"/>
    <w:qFormat/>
    <w:uiPriority w:val="0"/>
    <w:pPr>
      <w:spacing w:line="240" w:lineRule="auto"/>
    </w:pPr>
    <w:rPr>
      <w:b/>
      <w:bCs/>
    </w:rPr>
  </w:style>
  <w:style w:type="paragraph" w:customStyle="1" w:styleId="792">
    <w:name w:val="GW-标准正文"/>
    <w:basedOn w:val="1"/>
    <w:qFormat/>
    <w:uiPriority w:val="0"/>
    <w:pPr>
      <w:tabs>
        <w:tab w:val="left" w:pos="0"/>
      </w:tabs>
      <w:adjustRightInd w:val="0"/>
      <w:snapToGrid w:val="0"/>
      <w:spacing w:line="360" w:lineRule="auto"/>
      <w:ind w:firstLine="200" w:firstLineChars="200"/>
      <w:contextualSpacing/>
      <w:jc w:val="left"/>
    </w:pPr>
    <w:rPr>
      <w:rFonts w:ascii="宋体" w:hAnsi="宋体" w:cs="宋体"/>
      <w:color w:val="000000"/>
      <w:sz w:val="24"/>
      <w:szCs w:val="20"/>
    </w:rPr>
  </w:style>
  <w:style w:type="paragraph" w:customStyle="1" w:styleId="793">
    <w:name w:val="Char Char Char Char1"/>
    <w:basedOn w:val="1"/>
    <w:uiPriority w:val="0"/>
    <w:rPr>
      <w:rFonts w:ascii="Tahoma" w:hAnsi="Tahoma"/>
      <w:sz w:val="24"/>
      <w:szCs w:val="20"/>
    </w:rPr>
  </w:style>
  <w:style w:type="paragraph" w:customStyle="1" w:styleId="794">
    <w:name w:val="首行缩进"/>
    <w:basedOn w:val="1"/>
    <w:qFormat/>
    <w:uiPriority w:val="0"/>
    <w:pPr>
      <w:adjustRightInd w:val="0"/>
      <w:snapToGrid w:val="0"/>
      <w:spacing w:line="360" w:lineRule="auto"/>
      <w:ind w:firstLine="480" w:firstLineChars="200"/>
      <w:jc w:val="left"/>
    </w:pPr>
    <w:rPr>
      <w:rFonts w:ascii="Arial" w:hAnsi="Arial" w:cs="宋体"/>
      <w:sz w:val="24"/>
      <w:lang w:val="zh-CN"/>
    </w:rPr>
  </w:style>
  <w:style w:type="paragraph" w:customStyle="1" w:styleId="795">
    <w:name w:val="font6"/>
    <w:basedOn w:val="1"/>
    <w:uiPriority w:val="0"/>
    <w:pPr>
      <w:widowControl/>
      <w:spacing w:before="100" w:beforeAutospacing="1" w:after="100" w:afterAutospacing="1"/>
      <w:jc w:val="left"/>
    </w:pPr>
    <w:rPr>
      <w:rFonts w:ascii="宋体" w:hAnsi="宋体"/>
      <w:kern w:val="0"/>
      <w:sz w:val="18"/>
      <w:szCs w:val="18"/>
    </w:rPr>
  </w:style>
  <w:style w:type="paragraph" w:customStyle="1" w:styleId="796">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797">
    <w:name w:val="Text in List 1"/>
    <w:basedOn w:val="1"/>
    <w:qFormat/>
    <w:uiPriority w:val="0"/>
    <w:pPr>
      <w:widowControl/>
      <w:adjustRightInd w:val="0"/>
      <w:snapToGrid w:val="0"/>
      <w:spacing w:before="60" w:after="60" w:line="260" w:lineRule="exact"/>
      <w:ind w:left="360"/>
      <w:jc w:val="left"/>
    </w:pPr>
    <w:rPr>
      <w:rFonts w:ascii="Verdana" w:hAnsi="Verdana"/>
      <w:color w:val="000000"/>
      <w:kern w:val="0"/>
      <w:sz w:val="20"/>
      <w:szCs w:val="20"/>
      <w:lang w:eastAsia="en-US"/>
    </w:rPr>
  </w:style>
  <w:style w:type="paragraph" w:customStyle="1" w:styleId="798">
    <w:name w:val="正文1"/>
    <w:basedOn w:val="1"/>
    <w:uiPriority w:val="0"/>
    <w:pPr>
      <w:adjustRightInd w:val="0"/>
      <w:spacing w:line="410" w:lineRule="atLeast"/>
      <w:jc w:val="left"/>
      <w:textAlignment w:val="baseline"/>
    </w:pPr>
    <w:rPr>
      <w:rFonts w:ascii="宋体" w:hAnsi="Arial" w:eastAsia="黑体"/>
      <w:b/>
      <w:kern w:val="0"/>
      <w:sz w:val="24"/>
      <w:szCs w:val="20"/>
    </w:rPr>
  </w:style>
  <w:style w:type="paragraph" w:customStyle="1" w:styleId="79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0">
    <w:name w:val="样式 段前: 0.5 行"/>
    <w:basedOn w:val="1"/>
    <w:qFormat/>
    <w:uiPriority w:val="0"/>
    <w:pPr>
      <w:adjustRightInd w:val="0"/>
      <w:snapToGrid w:val="0"/>
      <w:spacing w:beforeLines="50" w:line="360" w:lineRule="auto"/>
      <w:jc w:val="left"/>
    </w:pPr>
    <w:rPr>
      <w:rFonts w:eastAsia="仿宋_GB2312" w:cs="宋体"/>
      <w:sz w:val="28"/>
      <w:szCs w:val="28"/>
    </w:rPr>
  </w:style>
  <w:style w:type="paragraph" w:customStyle="1" w:styleId="801">
    <w:name w:val="DIST标题4"/>
    <w:basedOn w:val="1"/>
    <w:uiPriority w:val="0"/>
    <w:pPr>
      <w:tabs>
        <w:tab w:val="left" w:pos="1080"/>
      </w:tabs>
      <w:spacing w:beforeLines="50" w:line="360" w:lineRule="auto"/>
      <w:ind w:left="840" w:hanging="840"/>
      <w:outlineLvl w:val="3"/>
    </w:pPr>
    <w:rPr>
      <w:rFonts w:eastAsia="仿宋_GB2312"/>
      <w:b/>
      <w:sz w:val="28"/>
      <w:szCs w:val="28"/>
    </w:rPr>
  </w:style>
  <w:style w:type="paragraph" w:customStyle="1" w:styleId="802">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03">
    <w:name w:val="1 Char Char Char Char"/>
    <w:basedOn w:val="1"/>
    <w:uiPriority w:val="0"/>
    <w:pPr>
      <w:tabs>
        <w:tab w:val="left" w:pos="360"/>
      </w:tabs>
    </w:pPr>
    <w:rPr>
      <w:sz w:val="24"/>
      <w:szCs w:val="24"/>
    </w:rPr>
  </w:style>
  <w:style w:type="paragraph" w:customStyle="1" w:styleId="804">
    <w:name w:val="正文2"/>
    <w:basedOn w:val="1"/>
    <w:uiPriority w:val="0"/>
    <w:pPr>
      <w:tabs>
        <w:tab w:val="right" w:pos="1474"/>
      </w:tabs>
      <w:spacing w:line="360" w:lineRule="auto"/>
      <w:jc w:val="center"/>
    </w:pPr>
    <w:rPr>
      <w:rFonts w:hAnsi="Arial" w:eastAsia="黑体"/>
      <w:b/>
      <w:kern w:val="0"/>
      <w:sz w:val="24"/>
      <w:szCs w:val="28"/>
    </w:rPr>
  </w:style>
  <w:style w:type="paragraph" w:customStyle="1" w:styleId="805">
    <w:name w:val="表内文"/>
    <w:basedOn w:val="1"/>
    <w:qFormat/>
    <w:uiPriority w:val="0"/>
    <w:pPr>
      <w:autoSpaceDE w:val="0"/>
      <w:autoSpaceDN w:val="0"/>
      <w:adjustRightInd w:val="0"/>
      <w:snapToGrid w:val="0"/>
      <w:spacing w:line="288" w:lineRule="auto"/>
      <w:ind w:left="113" w:right="113"/>
      <w:jc w:val="left"/>
      <w:textAlignment w:val="center"/>
    </w:pPr>
    <w:rPr>
      <w:rFonts w:ascii="汉仪中等线简+Helvetica" w:eastAsia="汉仪中等线简+Helvetica"/>
      <w:color w:val="000000"/>
      <w:kern w:val="0"/>
      <w:sz w:val="16"/>
      <w:szCs w:val="16"/>
      <w:lang w:val="zh-CN"/>
    </w:rPr>
  </w:style>
  <w:style w:type="paragraph" w:customStyle="1" w:styleId="806">
    <w:name w:val="Char Char Char1"/>
    <w:basedOn w:val="1"/>
    <w:qFormat/>
    <w:uiPriority w:val="0"/>
    <w:rPr>
      <w:rFonts w:ascii="Tahoma" w:hAnsi="Tahoma"/>
      <w:sz w:val="24"/>
      <w:szCs w:val="20"/>
    </w:rPr>
  </w:style>
  <w:style w:type="paragraph" w:customStyle="1" w:styleId="807">
    <w:name w:val="正文1 Char Char"/>
    <w:basedOn w:val="1"/>
    <w:uiPriority w:val="0"/>
    <w:pPr>
      <w:tabs>
        <w:tab w:val="left" w:pos="530"/>
      </w:tabs>
      <w:adjustRightInd w:val="0"/>
      <w:snapToGrid w:val="0"/>
      <w:ind w:firstLine="170"/>
      <w:jc w:val="center"/>
    </w:pPr>
    <w:rPr>
      <w:rFonts w:hAnsi="Arial" w:eastAsia="黑体"/>
      <w:b/>
      <w:kern w:val="0"/>
      <w:sz w:val="24"/>
      <w:szCs w:val="28"/>
    </w:rPr>
  </w:style>
  <w:style w:type="paragraph" w:customStyle="1" w:styleId="808">
    <w:name w:val="QB正文"/>
    <w:basedOn w:val="1"/>
    <w:qFormat/>
    <w:uiPriority w:val="0"/>
    <w:pPr>
      <w:widowControl/>
      <w:autoSpaceDE w:val="0"/>
      <w:autoSpaceDN w:val="0"/>
      <w:ind w:firstLine="200" w:firstLineChars="200"/>
    </w:pPr>
    <w:rPr>
      <w:rFonts w:ascii="宋体"/>
      <w:kern w:val="0"/>
      <w:sz w:val="20"/>
      <w:szCs w:val="20"/>
    </w:rPr>
  </w:style>
  <w:style w:type="paragraph" w:customStyle="1" w:styleId="809">
    <w:name w:val="xl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10">
    <w:name w:val="Char Char1 Char Char Char Char Char Char"/>
    <w:basedOn w:val="1"/>
    <w:qFormat/>
    <w:uiPriority w:val="0"/>
    <w:pPr>
      <w:widowControl/>
      <w:adjustRightInd w:val="0"/>
      <w:snapToGrid w:val="0"/>
      <w:spacing w:after="160" w:line="240" w:lineRule="exact"/>
      <w:jc w:val="left"/>
    </w:pPr>
    <w:rPr>
      <w:rFonts w:ascii="Verdana" w:hAnsi="Verdana" w:eastAsia="仿宋_GB2312"/>
      <w:kern w:val="0"/>
      <w:sz w:val="24"/>
      <w:szCs w:val="20"/>
      <w:lang w:eastAsia="en-US"/>
    </w:rPr>
  </w:style>
  <w:style w:type="paragraph" w:customStyle="1" w:styleId="811">
    <w:name w:val="Char Char3 Char Char Char Char Char Char Char"/>
    <w:basedOn w:val="1"/>
    <w:uiPriority w:val="0"/>
    <w:pPr>
      <w:jc w:val="center"/>
    </w:pPr>
    <w:rPr>
      <w:rFonts w:hAnsi="Arial" w:eastAsia="黑体"/>
      <w:b/>
      <w:kern w:val="0"/>
      <w:sz w:val="28"/>
      <w:szCs w:val="28"/>
    </w:rPr>
  </w:style>
  <w:style w:type="paragraph" w:customStyle="1" w:styleId="812">
    <w:name w:val="表格标题3"/>
    <w:basedOn w:val="788"/>
    <w:uiPriority w:val="0"/>
    <w:pPr>
      <w:tabs>
        <w:tab w:val="left" w:pos="570"/>
        <w:tab w:val="left" w:pos="720"/>
        <w:tab w:val="clear" w:pos="567"/>
      </w:tabs>
      <w:ind w:left="570" w:hanging="570"/>
    </w:pPr>
  </w:style>
  <w:style w:type="paragraph" w:customStyle="1" w:styleId="813">
    <w:name w:val="样式3 Char"/>
    <w:basedOn w:val="1"/>
    <w:uiPriority w:val="0"/>
    <w:pPr>
      <w:snapToGrid w:val="0"/>
      <w:spacing w:line="240" w:lineRule="atLeast"/>
      <w:jc w:val="right"/>
      <w:outlineLvl w:val="0"/>
    </w:pPr>
    <w:rPr>
      <w:rFonts w:hAnsi="Arial" w:eastAsia="黑体"/>
      <w:color w:val="000000"/>
      <w:kern w:val="0"/>
      <w:sz w:val="32"/>
      <w:szCs w:val="28"/>
    </w:rPr>
  </w:style>
  <w:style w:type="paragraph" w:customStyle="1" w:styleId="814">
    <w:name w:val="Normal - Small"/>
    <w:basedOn w:val="1"/>
    <w:uiPriority w:val="0"/>
    <w:pPr>
      <w:widowControl/>
      <w:jc w:val="center"/>
    </w:pPr>
    <w:rPr>
      <w:rFonts w:hAnsi="Arial" w:eastAsia="黑体"/>
      <w:b/>
      <w:kern w:val="0"/>
      <w:sz w:val="24"/>
      <w:szCs w:val="28"/>
    </w:rPr>
  </w:style>
  <w:style w:type="paragraph" w:customStyle="1" w:styleId="815">
    <w:name w:val="4号正文"/>
    <w:basedOn w:val="8"/>
    <w:qFormat/>
    <w:uiPriority w:val="0"/>
    <w:pPr>
      <w:widowControl/>
      <w:snapToGrid w:val="0"/>
      <w:spacing w:before="30" w:line="360" w:lineRule="auto"/>
      <w:ind w:firstLine="200" w:firstLineChars="200"/>
      <w:jc w:val="left"/>
    </w:pPr>
    <w:rPr>
      <w:rFonts w:ascii="Arial" w:hAnsi="Arial" w:cs="Arial"/>
      <w:spacing w:val="6"/>
      <w:kern w:val="2"/>
      <w:sz w:val="24"/>
      <w:szCs w:val="28"/>
    </w:rPr>
  </w:style>
  <w:style w:type="paragraph" w:customStyle="1" w:styleId="816">
    <w:name w:val="(1)"/>
    <w:basedOn w:val="1"/>
    <w:uiPriority w:val="0"/>
    <w:pPr>
      <w:tabs>
        <w:tab w:val="left" w:pos="573"/>
      </w:tabs>
      <w:adjustRightInd w:val="0"/>
      <w:snapToGrid w:val="0"/>
      <w:spacing w:before="80" w:after="100" w:line="240" w:lineRule="atLeast"/>
      <w:jc w:val="center"/>
      <w:textAlignment w:val="baseline"/>
    </w:pPr>
    <w:rPr>
      <w:rFonts w:ascii="Arial" w:hAnsi="Arial" w:eastAsia="黑体"/>
      <w:b/>
      <w:kern w:val="44"/>
      <w:sz w:val="24"/>
      <w:szCs w:val="28"/>
    </w:rPr>
  </w:style>
  <w:style w:type="paragraph" w:customStyle="1" w:styleId="817">
    <w:name w:val="Numbered list 2.3"/>
    <w:basedOn w:val="7"/>
    <w:next w:val="1"/>
    <w:uiPriority w:val="0"/>
    <w:pPr>
      <w:keepLines w:val="0"/>
      <w:widowControl/>
      <w:tabs>
        <w:tab w:val="left" w:pos="360"/>
        <w:tab w:val="left" w:pos="705"/>
        <w:tab w:val="left" w:pos="1080"/>
      </w:tabs>
      <w:spacing w:before="240" w:after="60" w:line="240" w:lineRule="auto"/>
      <w:ind w:left="720" w:hanging="720"/>
      <w:jc w:val="left"/>
    </w:pPr>
    <w:rPr>
      <w:rFonts w:ascii="Arial" w:hAnsi="Arial"/>
      <w:b w:val="0"/>
      <w:sz w:val="28"/>
    </w:rPr>
  </w:style>
  <w:style w:type="paragraph" w:customStyle="1" w:styleId="818">
    <w:name w:val="Table Paragraph"/>
    <w:basedOn w:val="1"/>
    <w:qFormat/>
    <w:uiPriority w:val="1"/>
    <w:rPr>
      <w:rFonts w:ascii="宋体" w:hAnsi="宋体" w:cs="宋体"/>
      <w:lang w:val="zh-CN" w:bidi="zh-CN"/>
    </w:rPr>
  </w:style>
  <w:style w:type="paragraph" w:customStyle="1" w:styleId="819">
    <w:name w:val="xl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0">
    <w:name w:val="样式 标题 2Heading 2 HiddenHeading 2 CCBS第一章 标题 2H2Underrubrik1..."/>
    <w:basedOn w:val="6"/>
    <w:qFormat/>
    <w:uiPriority w:val="0"/>
    <w:pPr>
      <w:tabs>
        <w:tab w:val="left" w:pos="425"/>
        <w:tab w:val="left" w:pos="567"/>
      </w:tabs>
      <w:adjustRightInd w:val="0"/>
      <w:snapToGrid w:val="0"/>
      <w:spacing w:before="280" w:after="290" w:line="360" w:lineRule="auto"/>
      <w:ind w:left="567" w:hanging="567"/>
      <w:jc w:val="both"/>
    </w:pPr>
    <w:rPr>
      <w:rFonts w:cs="宋体"/>
      <w:bCs/>
      <w:kern w:val="2"/>
      <w:sz w:val="40"/>
    </w:rPr>
  </w:style>
  <w:style w:type="paragraph" w:customStyle="1" w:styleId="821">
    <w:name w:val="样式2"/>
    <w:basedOn w:val="1"/>
    <w:qFormat/>
    <w:uiPriority w:val="0"/>
    <w:pPr>
      <w:adjustRightInd w:val="0"/>
      <w:spacing w:before="120" w:after="120"/>
      <w:jc w:val="center"/>
    </w:pPr>
    <w:rPr>
      <w:rFonts w:ascii="Arial" w:hAnsi="Arial" w:eastAsia="黑体"/>
      <w:b/>
      <w:spacing w:val="60"/>
      <w:kern w:val="0"/>
      <w:sz w:val="24"/>
      <w:szCs w:val="20"/>
    </w:rPr>
  </w:style>
  <w:style w:type="paragraph" w:customStyle="1" w:styleId="822">
    <w:name w:val="reader-word-layer reader-word-s1-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23">
    <w:name w:val="xl127"/>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Arial" w:eastAsia="黑体"/>
      <w:b/>
      <w:kern w:val="0"/>
      <w:sz w:val="18"/>
      <w:szCs w:val="18"/>
    </w:rPr>
  </w:style>
  <w:style w:type="paragraph" w:customStyle="1" w:styleId="824">
    <w:name w:val="正文5"/>
    <w:basedOn w:val="1"/>
    <w:uiPriority w:val="0"/>
    <w:pPr>
      <w:adjustRightInd w:val="0"/>
      <w:spacing w:line="360" w:lineRule="atLeast"/>
      <w:jc w:val="center"/>
      <w:textAlignment w:val="baseline"/>
    </w:pPr>
    <w:rPr>
      <w:rFonts w:ascii="宋体" w:hAnsi="Arial" w:eastAsia="黑体"/>
      <w:b/>
      <w:kern w:val="0"/>
      <w:sz w:val="24"/>
      <w:szCs w:val="28"/>
    </w:rPr>
  </w:style>
  <w:style w:type="paragraph" w:customStyle="1" w:styleId="825">
    <w:name w:val="Liwb_Pagragraph_ABC"/>
    <w:basedOn w:val="1"/>
    <w:uiPriority w:val="0"/>
    <w:pPr>
      <w:widowControl/>
      <w:ind w:left="850" w:hanging="425"/>
      <w:jc w:val="left"/>
    </w:pPr>
    <w:rPr>
      <w:rFonts w:ascii="宋体" w:hAnsi="Arial" w:eastAsia="黑体"/>
      <w:b/>
      <w:kern w:val="0"/>
      <w:sz w:val="28"/>
      <w:szCs w:val="20"/>
    </w:rPr>
  </w:style>
  <w:style w:type="paragraph" w:customStyle="1" w:styleId="826">
    <w:name w:val="表格正文中"/>
    <w:basedOn w:val="466"/>
    <w:qFormat/>
    <w:uiPriority w:val="0"/>
    <w:pPr>
      <w:jc w:val="center"/>
    </w:pPr>
  </w:style>
  <w:style w:type="paragraph" w:customStyle="1" w:styleId="827">
    <w:name w:val="样式 正文文本缩进 + 左  0 字符"/>
    <w:basedOn w:val="36"/>
    <w:uiPriority w:val="0"/>
    <w:pPr>
      <w:adjustRightInd/>
      <w:spacing w:line="360" w:lineRule="auto"/>
      <w:ind w:left="0" w:firstLine="250" w:firstLineChars="250"/>
      <w:jc w:val="both"/>
    </w:pPr>
    <w:rPr>
      <w:rFonts w:ascii="Times New Roman" w:eastAsia="宋体" w:cs="宋体"/>
      <w:kern w:val="2"/>
      <w:sz w:val="24"/>
    </w:rPr>
  </w:style>
  <w:style w:type="table" w:customStyle="1" w:styleId="828">
    <w:name w:val="IBM-1"/>
    <w:basedOn w:val="90"/>
    <w:qFormat/>
    <w:uiPriority w:val="0"/>
    <w:pPr>
      <w:spacing w:before="0" w:after="0" w:line="240" w:lineRule="auto"/>
      <w:jc w:val="left"/>
    </w:pPr>
    <w:rPr>
      <w:rFonts w:ascii="Helvetica" w:hAnsi="Helvetica" w:eastAsia="方正中等线简体"/>
      <w:sz w:val="16"/>
    </w:rPr>
    <w:tblPr>
      <w:tblBorders>
        <w:top w:val="single" w:color="auto" w:sz="12" w:space="0"/>
        <w:left w:val="single" w:color="auto" w:sz="12" w:space="0"/>
        <w:bottom w:val="single" w:color="auto" w:sz="12" w:space="0"/>
        <w:right w:val="single" w:color="auto" w:sz="12" w:space="0"/>
      </w:tblBorders>
      <w:tblCellMar>
        <w:top w:w="57" w:type="dxa"/>
        <w:left w:w="57" w:type="dxa"/>
        <w:bottom w:w="57" w:type="dxa"/>
        <w:right w:w="57" w:type="dxa"/>
      </w:tblCellMar>
    </w:tblPr>
    <w:tblStylePr w:type="firstRow">
      <w:rPr>
        <w:rFonts w:ascii="Vrinda" w:hAnsi="Vrinda"/>
        <w:b w:val="0"/>
        <w:sz w:val="18"/>
      </w:rPr>
    </w:tblStylePr>
  </w:style>
  <w:style w:type="table" w:customStyle="1" w:styleId="829">
    <w:name w:val="Table Normal"/>
    <w:unhideWhenUsed/>
    <w:qFormat/>
    <w:uiPriority w:val="2"/>
    <w:pPr>
      <w:widowControl w:val="0"/>
    </w:pPr>
    <w:rPr>
      <w:sz w:val="22"/>
      <w:lang w:eastAsia="en-US"/>
    </w:rPr>
    <w:tblPr>
      <w:tblCellMar>
        <w:top w:w="0" w:type="dxa"/>
        <w:left w:w="0" w:type="dxa"/>
        <w:bottom w:w="0" w:type="dxa"/>
        <w:right w:w="0" w:type="dxa"/>
      </w:tblCellMar>
    </w:tblPr>
  </w:style>
  <w:style w:type="table" w:customStyle="1" w:styleId="830">
    <w:name w:val="网格型1"/>
    <w:basedOn w:val="8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1">
    <w:name w:val="网格表 4 - 着色 11"/>
    <w:basedOn w:val="88"/>
    <w:qFormat/>
    <w:uiPriority w:val="49"/>
    <w:rPr>
      <w:kern w:val="2"/>
      <w:sz w:val="21"/>
      <w:szCs w:val="22"/>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81</Pages>
  <Words>6448</Words>
  <Characters>36754</Characters>
  <Lines>306</Lines>
  <Paragraphs>86</Paragraphs>
  <TotalTime>0</TotalTime>
  <ScaleCrop>false</ScaleCrop>
  <LinksUpToDate>false</LinksUpToDate>
  <CharactersWithSpaces>43116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2020-07-21T02:20:00Z</dcterms:created>
  <dc:creator>C。</dc:creator>
  <cp:lastModifiedBy>阿沛～</cp:lastModifiedBy>
  <cp:lastPrinted>2020-09-18T08:26:00Z</cp:lastPrinted>
  <dcterms:modified xsi:type="dcterms:W3CDTF">2020-10-13T02:51:30Z</dcterms:modified>
  <dc:title>河南省体育中心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