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Pr>
        <w:jc w:val="center"/>
        <w:rPr>
          <w:rFonts w:ascii="宋体" w:hAnsi="宋体" w:cs="宋体"/>
          <w:b/>
          <w:sz w:val="48"/>
          <w:szCs w:val="48"/>
        </w:rPr>
      </w:pPr>
      <w:r>
        <w:rPr>
          <w:rFonts w:hint="eastAsia" w:ascii="宋体" w:hAnsi="宋体"/>
          <w:b/>
          <w:bCs/>
          <w:color w:val="000000"/>
          <w:sz w:val="44"/>
          <w:szCs w:val="44"/>
        </w:rPr>
        <w:t>南阳市中级人民法院防暑处突装备（1.囚车；2.巡回审判车；3.执法执勤车）项目</w:t>
      </w:r>
    </w:p>
    <w:p>
      <w:pPr>
        <w:jc w:val="center"/>
        <w:rPr>
          <w:rFonts w:ascii="宋体" w:hAnsi="宋体" w:cs="宋体"/>
          <w:b/>
          <w:sz w:val="48"/>
          <w:szCs w:val="48"/>
        </w:rPr>
      </w:pPr>
    </w:p>
    <w:p>
      <w:pPr>
        <w:rPr>
          <w:rFonts w:ascii="宋体" w:hAnsi="宋体" w:cs="宋体"/>
          <w:b/>
          <w:sz w:val="48"/>
          <w:szCs w:val="48"/>
        </w:rPr>
      </w:pPr>
    </w:p>
    <w:p>
      <w:pPr>
        <w:pStyle w:val="2"/>
        <w:rPr>
          <w:rFonts w:ascii="宋体" w:hAnsi="宋体" w:cs="宋体"/>
          <w:b/>
          <w:sz w:val="48"/>
          <w:szCs w:val="48"/>
        </w:rPr>
      </w:pPr>
    </w:p>
    <w:p>
      <w:pPr>
        <w:pStyle w:val="2"/>
        <w:rPr>
          <w:rFonts w:ascii="宋体" w:hAnsi="宋体" w:cs="宋体"/>
          <w:b/>
          <w:sz w:val="48"/>
          <w:szCs w:val="48"/>
        </w:rPr>
      </w:pPr>
    </w:p>
    <w:p/>
    <w:p>
      <w:pPr>
        <w:jc w:val="center"/>
        <w:rPr>
          <w:rFonts w:ascii="宋体" w:hAnsi="宋体"/>
          <w:b/>
          <w:sz w:val="84"/>
        </w:rPr>
      </w:pPr>
      <w:r>
        <w:rPr>
          <w:rFonts w:hint="eastAsia" w:ascii="宋体" w:hAnsi="宋体"/>
          <w:b/>
          <w:sz w:val="84"/>
        </w:rPr>
        <w:t>招 标 文 件</w:t>
      </w:r>
    </w:p>
    <w:p>
      <w:pPr>
        <w:pStyle w:val="16"/>
        <w:ind w:firstLine="883"/>
        <w:jc w:val="center"/>
        <w:rPr>
          <w:rFonts w:ascii="宋体" w:hAnsi="宋体"/>
          <w:b/>
          <w:bCs/>
          <w:color w:val="000000"/>
          <w:sz w:val="44"/>
          <w:szCs w:val="44"/>
        </w:rPr>
      </w:pPr>
      <w:r>
        <w:rPr>
          <w:rFonts w:hint="eastAsia" w:ascii="宋体" w:hAnsi="宋体"/>
          <w:b/>
          <w:bCs/>
          <w:color w:val="000000"/>
          <w:sz w:val="44"/>
          <w:szCs w:val="44"/>
        </w:rPr>
        <w:t>(1-3标段）</w:t>
      </w:r>
    </w:p>
    <w:p>
      <w:pPr>
        <w:pStyle w:val="15"/>
      </w:pPr>
    </w:p>
    <w:p>
      <w:pPr>
        <w:jc w:val="center"/>
        <w:rPr>
          <w:rFonts w:ascii="宋体" w:hAnsi="宋体" w:cs="宋体"/>
          <w:b/>
          <w:sz w:val="32"/>
          <w:szCs w:val="22"/>
        </w:rPr>
      </w:pPr>
      <w:r>
        <w:rPr>
          <w:rFonts w:hint="eastAsia" w:ascii="宋体" w:hAnsi="宋体" w:cs="宋体"/>
          <w:b/>
          <w:sz w:val="32"/>
        </w:rPr>
        <w:t>采购编号：</w:t>
      </w:r>
      <w:r>
        <w:rPr>
          <w:rFonts w:hint="eastAsia" w:ascii="宋体" w:hAnsi="宋体"/>
          <w:b/>
          <w:color w:val="000000"/>
          <w:sz w:val="32"/>
          <w:szCs w:val="24"/>
        </w:rPr>
        <w:t>南阳政采公开-2020-152</w:t>
      </w:r>
    </w:p>
    <w:p>
      <w:pPr>
        <w:spacing w:line="360" w:lineRule="auto"/>
        <w:jc w:val="center"/>
        <w:rPr>
          <w:rFonts w:eastAsia="幼圆"/>
          <w:b/>
          <w:sz w:val="96"/>
        </w:rPr>
      </w:pPr>
      <w:r>
        <w:rPr>
          <w:rFonts w:ascii="黑体" w:eastAsia="黑体"/>
          <w:bCs/>
          <w:color w:val="000000"/>
          <w:kern w:val="0"/>
          <w:sz w:val="44"/>
          <w:szCs w:val="44"/>
        </w:rPr>
        <w:drawing>
          <wp:inline distT="0" distB="0" distL="0" distR="0">
            <wp:extent cx="2200275" cy="1390650"/>
            <wp:effectExtent l="0" t="0" r="9525" b="0"/>
            <wp:docPr id="1"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徽标"/>
                    <pic:cNvPicPr>
                      <a:picLocks noChangeAspect="1" noChangeArrowheads="1"/>
                    </pic:cNvPicPr>
                  </pic:nvPicPr>
                  <pic:blipFill>
                    <a:blip r:embed="rId8" cstate="print"/>
                    <a:srcRect l="11988" t="20188" r="9357"/>
                    <a:stretch>
                      <a:fillRect/>
                    </a:stretch>
                  </pic:blipFill>
                  <pic:spPr>
                    <a:xfrm>
                      <a:off x="0" y="0"/>
                      <a:ext cx="2200275" cy="1390650"/>
                    </a:xfrm>
                    <a:prstGeom prst="rect">
                      <a:avLst/>
                    </a:prstGeom>
                    <a:noFill/>
                    <a:ln w="9525">
                      <a:noFill/>
                      <a:miter lim="800000"/>
                      <a:headEnd/>
                      <a:tailEnd/>
                    </a:ln>
                  </pic:spPr>
                </pic:pic>
              </a:graphicData>
            </a:graphic>
          </wp:inline>
        </w:drawing>
      </w:r>
    </w:p>
    <w:p>
      <w:pPr>
        <w:rPr>
          <w:sz w:val="36"/>
        </w:rPr>
      </w:pPr>
    </w:p>
    <w:p>
      <w:pPr>
        <w:rPr>
          <w:sz w:val="36"/>
        </w:rPr>
      </w:pPr>
    </w:p>
    <w:p>
      <w:pPr>
        <w:pStyle w:val="15"/>
      </w:pPr>
    </w:p>
    <w:p/>
    <w:p>
      <w:pPr>
        <w:pStyle w:val="16"/>
        <w:ind w:firstLine="640"/>
        <w:rPr>
          <w:sz w:val="32"/>
        </w:rPr>
      </w:pPr>
    </w:p>
    <w:p>
      <w:pPr>
        <w:pStyle w:val="15"/>
        <w:rPr>
          <w:sz w:val="32"/>
        </w:rPr>
      </w:pPr>
    </w:p>
    <w:p>
      <w:pPr>
        <w:pStyle w:val="15"/>
        <w:rPr>
          <w:sz w:val="32"/>
        </w:rPr>
      </w:pPr>
    </w:p>
    <w:p>
      <w:pPr>
        <w:pStyle w:val="15"/>
        <w:rPr>
          <w:sz w:val="32"/>
        </w:rPr>
      </w:pPr>
    </w:p>
    <w:p>
      <w:pPr>
        <w:pStyle w:val="58"/>
        <w:shd w:val="clear" w:color="auto" w:fill="FFFFFF"/>
        <w:snapToGrid w:val="0"/>
        <w:spacing w:before="0" w:beforeAutospacing="0" w:after="0" w:afterAutospacing="0" w:line="500" w:lineRule="exact"/>
        <w:ind w:firstLine="1506" w:firstLineChars="500"/>
        <w:rPr>
          <w:b/>
          <w:bCs/>
          <w:color w:val="000000"/>
          <w:sz w:val="30"/>
          <w:szCs w:val="30"/>
        </w:rPr>
      </w:pPr>
      <w:r>
        <w:rPr>
          <w:rFonts w:hint="eastAsia"/>
          <w:b/>
          <w:sz w:val="30"/>
          <w:szCs w:val="30"/>
        </w:rPr>
        <w:t xml:space="preserve">采   购   人： 河南省南阳市中级人民法院    </w:t>
      </w:r>
    </w:p>
    <w:p>
      <w:pPr>
        <w:snapToGrid w:val="0"/>
        <w:spacing w:line="500" w:lineRule="exact"/>
        <w:ind w:right="105" w:rightChars="50" w:firstLine="1506" w:firstLineChars="500"/>
        <w:rPr>
          <w:rFonts w:ascii="宋体" w:hAnsi="宋体" w:cs="宋体"/>
          <w:b/>
          <w:sz w:val="30"/>
          <w:szCs w:val="30"/>
        </w:rPr>
      </w:pPr>
      <w:r>
        <w:rPr>
          <w:rFonts w:hint="eastAsia" w:ascii="宋体" w:hAnsi="宋体" w:cs="宋体"/>
          <w:b/>
          <w:sz w:val="30"/>
          <w:szCs w:val="30"/>
        </w:rPr>
        <w:t xml:space="preserve">招标代理机构： 河南招标采购服务有限公司         </w:t>
      </w:r>
    </w:p>
    <w:p>
      <w:pPr>
        <w:spacing w:line="500" w:lineRule="exact"/>
        <w:ind w:firstLine="1506" w:firstLineChars="500"/>
        <w:rPr>
          <w:rFonts w:ascii="宋体" w:hAnsi="宋体" w:cs="宋体"/>
          <w:b/>
          <w:sz w:val="30"/>
          <w:szCs w:val="30"/>
        </w:rPr>
      </w:pPr>
      <w:r>
        <w:rPr>
          <w:rFonts w:hint="eastAsia" w:ascii="宋体" w:hAnsi="宋体" w:cs="宋体"/>
          <w:b/>
          <w:sz w:val="30"/>
          <w:szCs w:val="30"/>
        </w:rPr>
        <w:t>日        期： 2020 年 9月</w:t>
      </w:r>
    </w:p>
    <w:p/>
    <w:p/>
    <w:p>
      <w:pPr>
        <w:spacing w:line="360" w:lineRule="auto"/>
        <w:jc w:val="center"/>
        <w:rPr>
          <w:rFonts w:ascii="新宋体" w:hAnsi="新宋体" w:eastAsia="新宋体"/>
          <w:b/>
          <w:sz w:val="28"/>
          <w:szCs w:val="28"/>
        </w:rPr>
      </w:pPr>
      <w:r>
        <w:rPr>
          <w:rFonts w:hint="eastAsia" w:ascii="新宋体" w:hAnsi="新宋体" w:eastAsia="新宋体"/>
          <w:b/>
          <w:sz w:val="44"/>
          <w:szCs w:val="44"/>
        </w:rPr>
        <w:t>目    录</w:t>
      </w:r>
    </w:p>
    <w:sdt>
      <w:sdtPr>
        <w:rPr>
          <w:rFonts w:ascii="宋体" w:hAnsi="宋体"/>
        </w:rPr>
        <w:id w:val="147471868"/>
        <w:docPartObj>
          <w:docPartGallery w:val="Table of Contents"/>
          <w:docPartUnique/>
        </w:docPartObj>
      </w:sdtPr>
      <w:sdtEndPr>
        <w:rPr>
          <w:rFonts w:hint="eastAsia" w:ascii="宋体" w:hAnsi="宋体" w:cs="‘Lucida Sans Unicode‘"/>
          <w:kern w:val="0"/>
          <w:sz w:val="24"/>
          <w:szCs w:val="24"/>
        </w:rPr>
      </w:sdtEndPr>
      <w:sdtContent>
        <w:p>
          <w:pPr>
            <w:jc w:val="center"/>
          </w:pPr>
        </w:p>
        <w:p>
          <w:pPr>
            <w:pStyle w:val="61"/>
            <w:tabs>
              <w:tab w:val="right" w:leader="dot" w:pos="9258"/>
            </w:tabs>
            <w:spacing w:line="360" w:lineRule="auto"/>
            <w:rPr>
              <w:sz w:val="24"/>
              <w:szCs w:val="24"/>
            </w:rPr>
          </w:pPr>
          <w:r>
            <w:rPr>
              <w:rFonts w:hint="eastAsia" w:ascii="宋体" w:hAnsi="宋体" w:cs="‘Lucida Sans Unicode‘"/>
              <w:b/>
              <w:sz w:val="24"/>
              <w:szCs w:val="24"/>
            </w:rPr>
            <w:fldChar w:fldCharType="begin"/>
          </w:r>
          <w:r>
            <w:rPr>
              <w:rFonts w:hint="eastAsia" w:ascii="宋体" w:hAnsi="宋体" w:cs="‘Lucida Sans Unicode‘"/>
              <w:b/>
              <w:sz w:val="24"/>
              <w:szCs w:val="24"/>
            </w:rPr>
            <w:instrText xml:space="preserve">TOC \o "1-1" \h \u </w:instrText>
          </w:r>
          <w:r>
            <w:rPr>
              <w:rFonts w:hint="eastAsia" w:ascii="宋体" w:hAnsi="宋体" w:cs="‘Lucida Sans Unicode‘"/>
              <w:b/>
              <w:sz w:val="24"/>
              <w:szCs w:val="24"/>
            </w:rPr>
            <w:fldChar w:fldCharType="separate"/>
          </w:r>
        </w:p>
        <w:p>
          <w:pPr>
            <w:pStyle w:val="61"/>
            <w:tabs>
              <w:tab w:val="right" w:leader="dot" w:pos="9258"/>
            </w:tabs>
            <w:spacing w:line="360" w:lineRule="auto"/>
            <w:rPr>
              <w:sz w:val="24"/>
              <w:szCs w:val="24"/>
            </w:rPr>
          </w:pPr>
          <w:r>
            <w:fldChar w:fldCharType="begin"/>
          </w:r>
          <w:r>
            <w:instrText xml:space="preserve"> HYPERLINK \l "_Toc574" </w:instrText>
          </w:r>
          <w:r>
            <w:fldChar w:fldCharType="separate"/>
          </w:r>
          <w:r>
            <w:rPr>
              <w:rFonts w:hint="eastAsia"/>
              <w:bCs/>
              <w:sz w:val="24"/>
              <w:szCs w:val="24"/>
            </w:rPr>
            <w:t>第一章  投标人须知前附表</w:t>
          </w:r>
          <w:r>
            <w:rPr>
              <w:sz w:val="24"/>
              <w:szCs w:val="24"/>
            </w:rPr>
            <w:tab/>
          </w:r>
          <w:r>
            <w:rPr>
              <w:sz w:val="24"/>
              <w:szCs w:val="24"/>
            </w:rPr>
            <w:fldChar w:fldCharType="begin"/>
          </w:r>
          <w:r>
            <w:rPr>
              <w:sz w:val="24"/>
              <w:szCs w:val="24"/>
            </w:rPr>
            <w:instrText xml:space="preserve"> PAGEREF _Toc574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61"/>
            <w:tabs>
              <w:tab w:val="right" w:leader="dot" w:pos="9258"/>
            </w:tabs>
            <w:spacing w:line="360" w:lineRule="auto"/>
            <w:rPr>
              <w:sz w:val="24"/>
              <w:szCs w:val="24"/>
            </w:rPr>
          </w:pPr>
          <w:r>
            <w:fldChar w:fldCharType="begin"/>
          </w:r>
          <w:r>
            <w:instrText xml:space="preserve"> HYPERLINK \l "_Toc31848" </w:instrText>
          </w:r>
          <w:r>
            <w:fldChar w:fldCharType="separate"/>
          </w:r>
          <w:r>
            <w:rPr>
              <w:rFonts w:hint="eastAsia" w:ascii="宋体" w:hAnsi="宋体"/>
              <w:sz w:val="24"/>
              <w:szCs w:val="24"/>
            </w:rPr>
            <w:t>第二章  投标人须知</w:t>
          </w:r>
          <w:r>
            <w:rPr>
              <w:sz w:val="24"/>
              <w:szCs w:val="24"/>
            </w:rPr>
            <w:tab/>
          </w:r>
          <w:r>
            <w:rPr>
              <w:sz w:val="24"/>
              <w:szCs w:val="24"/>
            </w:rPr>
            <w:fldChar w:fldCharType="begin"/>
          </w:r>
          <w:r>
            <w:rPr>
              <w:sz w:val="24"/>
              <w:szCs w:val="24"/>
            </w:rPr>
            <w:instrText xml:space="preserve"> PAGEREF _Toc31848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61"/>
            <w:tabs>
              <w:tab w:val="right" w:leader="dot" w:pos="9258"/>
            </w:tabs>
            <w:spacing w:line="360" w:lineRule="auto"/>
            <w:rPr>
              <w:sz w:val="24"/>
              <w:szCs w:val="24"/>
            </w:rPr>
          </w:pPr>
          <w:r>
            <w:fldChar w:fldCharType="begin"/>
          </w:r>
          <w:r>
            <w:instrText xml:space="preserve"> HYPERLINK \l "_Toc12276" </w:instrText>
          </w:r>
          <w:r>
            <w:fldChar w:fldCharType="separate"/>
          </w:r>
          <w:r>
            <w:rPr>
              <w:rFonts w:hint="eastAsia"/>
              <w:sz w:val="24"/>
              <w:szCs w:val="24"/>
            </w:rPr>
            <w:t>第三章  评标方法及标准</w:t>
          </w:r>
          <w:r>
            <w:rPr>
              <w:sz w:val="24"/>
              <w:szCs w:val="24"/>
            </w:rPr>
            <w:tab/>
          </w:r>
          <w:r>
            <w:rPr>
              <w:sz w:val="24"/>
              <w:szCs w:val="24"/>
            </w:rPr>
            <w:fldChar w:fldCharType="begin"/>
          </w:r>
          <w:r>
            <w:rPr>
              <w:sz w:val="24"/>
              <w:szCs w:val="24"/>
            </w:rPr>
            <w:instrText xml:space="preserve"> PAGEREF _Toc12276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61"/>
            <w:tabs>
              <w:tab w:val="right" w:leader="dot" w:pos="9258"/>
            </w:tabs>
            <w:spacing w:line="360" w:lineRule="auto"/>
            <w:rPr>
              <w:sz w:val="24"/>
              <w:szCs w:val="24"/>
            </w:rPr>
          </w:pPr>
          <w:r>
            <w:fldChar w:fldCharType="begin"/>
          </w:r>
          <w:r>
            <w:instrText xml:space="preserve"> HYPERLINK \l "_Toc6946" </w:instrText>
          </w:r>
          <w:r>
            <w:fldChar w:fldCharType="separate"/>
          </w:r>
          <w:r>
            <w:rPr>
              <w:rFonts w:hint="eastAsia"/>
              <w:sz w:val="24"/>
              <w:szCs w:val="24"/>
            </w:rPr>
            <w:t>第四章  技术参数及要求</w:t>
          </w:r>
          <w:r>
            <w:rPr>
              <w:sz w:val="24"/>
              <w:szCs w:val="24"/>
            </w:rPr>
            <w:tab/>
          </w:r>
          <w:r>
            <w:rPr>
              <w:sz w:val="24"/>
              <w:szCs w:val="24"/>
            </w:rPr>
            <w:fldChar w:fldCharType="begin"/>
          </w:r>
          <w:r>
            <w:rPr>
              <w:sz w:val="24"/>
              <w:szCs w:val="24"/>
            </w:rPr>
            <w:instrText xml:space="preserve"> PAGEREF _Toc6946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61"/>
            <w:tabs>
              <w:tab w:val="right" w:leader="dot" w:pos="9258"/>
            </w:tabs>
            <w:spacing w:line="360" w:lineRule="auto"/>
            <w:rPr>
              <w:sz w:val="24"/>
              <w:szCs w:val="24"/>
            </w:rPr>
          </w:pPr>
          <w:r>
            <w:fldChar w:fldCharType="begin"/>
          </w:r>
          <w:r>
            <w:instrText xml:space="preserve"> HYPERLINK \l "_Toc17493" </w:instrText>
          </w:r>
          <w:r>
            <w:fldChar w:fldCharType="separate"/>
          </w:r>
          <w:r>
            <w:rPr>
              <w:rFonts w:hint="eastAsia" w:ascii="宋体" w:hAnsi="宋体"/>
              <w:sz w:val="24"/>
              <w:szCs w:val="24"/>
            </w:rPr>
            <w:t>第五章  投标文件内容及格式</w:t>
          </w:r>
          <w:r>
            <w:rPr>
              <w:sz w:val="24"/>
              <w:szCs w:val="24"/>
            </w:rPr>
            <w:tab/>
          </w:r>
          <w:r>
            <w:rPr>
              <w:sz w:val="24"/>
              <w:szCs w:val="24"/>
            </w:rPr>
            <w:fldChar w:fldCharType="begin"/>
          </w:r>
          <w:r>
            <w:rPr>
              <w:sz w:val="24"/>
              <w:szCs w:val="24"/>
            </w:rPr>
            <w:instrText xml:space="preserve"> PAGEREF _Toc17493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61"/>
            <w:tabs>
              <w:tab w:val="right" w:leader="dot" w:pos="9258"/>
            </w:tabs>
            <w:spacing w:line="360" w:lineRule="auto"/>
            <w:rPr>
              <w:sz w:val="24"/>
              <w:szCs w:val="24"/>
            </w:rPr>
          </w:pPr>
          <w:r>
            <w:fldChar w:fldCharType="begin"/>
          </w:r>
          <w:r>
            <w:instrText xml:space="preserve"> HYPERLINK \l "_Toc21497" </w:instrText>
          </w:r>
          <w:r>
            <w:fldChar w:fldCharType="separate"/>
          </w:r>
          <w:r>
            <w:rPr>
              <w:rFonts w:hint="eastAsia"/>
              <w:sz w:val="24"/>
              <w:szCs w:val="24"/>
            </w:rPr>
            <w:t>第六章  政府采购合同格式</w:t>
          </w:r>
          <w:r>
            <w:rPr>
              <w:sz w:val="24"/>
              <w:szCs w:val="24"/>
            </w:rPr>
            <w:tab/>
          </w:r>
          <w:r>
            <w:rPr>
              <w:sz w:val="24"/>
              <w:szCs w:val="24"/>
            </w:rPr>
            <w:fldChar w:fldCharType="begin"/>
          </w:r>
          <w:r>
            <w:rPr>
              <w:sz w:val="24"/>
              <w:szCs w:val="24"/>
            </w:rPr>
            <w:instrText xml:space="preserve"> PAGEREF _Toc21497 </w:instrText>
          </w:r>
          <w:r>
            <w:rPr>
              <w:sz w:val="24"/>
              <w:szCs w:val="24"/>
            </w:rPr>
            <w:fldChar w:fldCharType="separate"/>
          </w:r>
          <w:r>
            <w:rPr>
              <w:sz w:val="24"/>
              <w:szCs w:val="24"/>
            </w:rPr>
            <w:t>59</w:t>
          </w:r>
          <w:r>
            <w:rPr>
              <w:sz w:val="24"/>
              <w:szCs w:val="24"/>
            </w:rPr>
            <w:fldChar w:fldCharType="end"/>
          </w:r>
          <w:r>
            <w:rPr>
              <w:sz w:val="24"/>
              <w:szCs w:val="24"/>
            </w:rPr>
            <w:fldChar w:fldCharType="end"/>
          </w:r>
        </w:p>
        <w:p>
          <w:pPr>
            <w:widowControl/>
            <w:wordWrap w:val="0"/>
            <w:spacing w:before="240" w:beforeLines="100" w:after="240" w:afterLines="100" w:line="360" w:lineRule="auto"/>
            <w:rPr>
              <w:rFonts w:ascii="宋体" w:hAnsi="宋体" w:cs="‘Lucida Sans Unicode‘"/>
              <w:b/>
              <w:kern w:val="0"/>
              <w:sz w:val="24"/>
              <w:szCs w:val="24"/>
            </w:rPr>
          </w:pPr>
          <w:r>
            <w:rPr>
              <w:rFonts w:hint="eastAsia" w:ascii="宋体" w:hAnsi="宋体" w:cs="‘Lucida Sans Unicode‘"/>
              <w:kern w:val="0"/>
              <w:sz w:val="24"/>
              <w:szCs w:val="24"/>
            </w:rPr>
            <w:fldChar w:fldCharType="end"/>
          </w:r>
        </w:p>
      </w:sdtContent>
    </w:sdt>
    <w:p>
      <w:pPr>
        <w:spacing w:line="360" w:lineRule="auto"/>
      </w:pPr>
    </w:p>
    <w:p>
      <w:pPr>
        <w:spacing w:line="360" w:lineRule="auto"/>
      </w:pPr>
    </w:p>
    <w:p>
      <w:pPr>
        <w:spacing w:line="400" w:lineRule="exact"/>
      </w:pPr>
    </w:p>
    <w:p>
      <w:pPr>
        <w:spacing w:line="400" w:lineRule="exact"/>
      </w:pPr>
    </w:p>
    <w:p>
      <w:pPr>
        <w:spacing w:line="360" w:lineRule="auto"/>
        <w:jc w:val="center"/>
      </w:pPr>
      <w:r>
        <w:br w:type="page"/>
      </w:r>
      <w:bookmarkStart w:id="0" w:name="_Toc17046_WPSOffice_Level1"/>
      <w:bookmarkStart w:id="1" w:name="_Toc15619"/>
      <w:bookmarkStart w:id="2" w:name="_Toc27600"/>
      <w:bookmarkStart w:id="3" w:name="_Toc25757"/>
      <w:bookmarkStart w:id="4" w:name="_Toc22451"/>
      <w:bookmarkStart w:id="5" w:name="_Toc29514"/>
    </w:p>
    <w:p/>
    <w:p>
      <w:pPr>
        <w:spacing w:line="360" w:lineRule="auto"/>
        <w:jc w:val="center"/>
        <w:rPr>
          <w:rFonts w:ascii="宋体" w:hAnsi="宋体"/>
          <w:b/>
          <w:bCs/>
          <w:sz w:val="28"/>
          <w:szCs w:val="28"/>
        </w:rPr>
      </w:pPr>
      <w:r>
        <w:rPr>
          <w:rFonts w:hint="eastAsia" w:ascii="宋体" w:hAnsi="宋体"/>
          <w:b/>
          <w:bCs/>
          <w:sz w:val="28"/>
          <w:szCs w:val="28"/>
        </w:rPr>
        <w:t>南阳市中级人民法院防暑处突装备（1.囚车；2.巡回审判车；3.执法执勤车）项目公开招标公告</w:t>
      </w:r>
    </w:p>
    <w:p>
      <w:pPr>
        <w:spacing w:line="360" w:lineRule="auto"/>
        <w:jc w:val="left"/>
        <w:rPr>
          <w:rFonts w:ascii="宋体" w:hAnsi="宋体"/>
          <w:sz w:val="24"/>
          <w:szCs w:val="24"/>
        </w:rPr>
      </w:pPr>
      <w:r>
        <w:rPr>
          <w:rFonts w:hint="eastAsia" w:ascii="宋体" w:hAnsi="宋体"/>
          <w:sz w:val="24"/>
          <w:szCs w:val="24"/>
        </w:rPr>
        <w:t>项目概况：</w:t>
      </w:r>
    </w:p>
    <w:p>
      <w:pPr>
        <w:spacing w:line="360" w:lineRule="auto"/>
        <w:ind w:firstLine="480" w:firstLineChars="200"/>
        <w:jc w:val="left"/>
        <w:rPr>
          <w:rFonts w:ascii="宋体" w:hAnsi="宋体"/>
          <w:sz w:val="24"/>
          <w:szCs w:val="24"/>
        </w:rPr>
      </w:pPr>
      <w:r>
        <w:rPr>
          <w:rFonts w:hint="eastAsia" w:ascii="宋体" w:hAnsi="宋体"/>
          <w:sz w:val="24"/>
          <w:szCs w:val="24"/>
        </w:rPr>
        <w:t>南阳市中级人民法院防暑处突装备（1.囚车；2.巡回审判车；3.执法执勤车）项目的潜在投标人</w:t>
      </w:r>
      <w:r>
        <w:rPr>
          <w:rFonts w:ascii="宋体" w:hAnsi="宋体" w:cs="宋体"/>
          <w:color w:val="444444"/>
          <w:sz w:val="24"/>
          <w:szCs w:val="24"/>
        </w:rPr>
        <w:t>应</w:t>
      </w:r>
      <w:r>
        <w:rPr>
          <w:rFonts w:hint="eastAsia" w:ascii="宋体" w:hAnsi="宋体" w:cs="宋体"/>
          <w:color w:val="444444"/>
          <w:sz w:val="24"/>
          <w:szCs w:val="24"/>
        </w:rPr>
        <w:t>到</w:t>
      </w:r>
      <w:r>
        <w:rPr>
          <w:rFonts w:hint="eastAsia" w:ascii="宋体" w:hAnsi="宋体"/>
          <w:color w:val="000000"/>
          <w:sz w:val="24"/>
        </w:rPr>
        <w:t>河南招标采购服务有限公司南阳分公司</w:t>
      </w:r>
      <w:r>
        <w:rPr>
          <w:rFonts w:ascii="宋体" w:hAnsi="宋体" w:cs="宋体"/>
          <w:color w:val="444444"/>
          <w:sz w:val="24"/>
          <w:szCs w:val="24"/>
        </w:rPr>
        <w:t>获取招标文件，</w:t>
      </w:r>
      <w:r>
        <w:rPr>
          <w:rFonts w:hint="eastAsia" w:ascii="宋体" w:hAnsi="宋体"/>
          <w:sz w:val="24"/>
          <w:szCs w:val="24"/>
        </w:rPr>
        <w:t>并于</w:t>
      </w:r>
      <w:r>
        <w:rPr>
          <w:rFonts w:ascii="宋体" w:hAnsi="宋体"/>
          <w:sz w:val="24"/>
          <w:szCs w:val="24"/>
        </w:rPr>
        <w:t>2020</w:t>
      </w:r>
      <w:r>
        <w:rPr>
          <w:rFonts w:hint="eastAsia" w:ascii="宋体" w:hAnsi="宋体"/>
          <w:sz w:val="24"/>
          <w:szCs w:val="24"/>
        </w:rPr>
        <w:t>年10月20日</w:t>
      </w:r>
      <w:r>
        <w:rPr>
          <w:rFonts w:ascii="宋体" w:hAnsi="宋体"/>
          <w:sz w:val="24"/>
          <w:szCs w:val="24"/>
        </w:rPr>
        <w:t>9</w:t>
      </w:r>
      <w:r>
        <w:rPr>
          <w:rFonts w:hint="eastAsia" w:ascii="宋体" w:hAnsi="宋体"/>
          <w:sz w:val="24"/>
          <w:szCs w:val="24"/>
        </w:rPr>
        <w:t>点</w:t>
      </w:r>
      <w:r>
        <w:rPr>
          <w:rFonts w:ascii="宋体" w:hAnsi="宋体"/>
          <w:sz w:val="24"/>
          <w:szCs w:val="24"/>
        </w:rPr>
        <w:t>00</w:t>
      </w:r>
      <w:r>
        <w:rPr>
          <w:rFonts w:hint="eastAsia" w:ascii="宋体" w:hAnsi="宋体"/>
          <w:sz w:val="24"/>
          <w:szCs w:val="24"/>
        </w:rPr>
        <w:t>分（北京时间）前递交投标</w:t>
      </w:r>
      <w:r>
        <w:rPr>
          <w:rFonts w:ascii="宋体" w:hAnsi="宋体"/>
          <w:sz w:val="24"/>
          <w:szCs w:val="24"/>
        </w:rPr>
        <w:t>文件</w:t>
      </w:r>
      <w:r>
        <w:rPr>
          <w:rFonts w:hint="eastAsia" w:ascii="宋体" w:hAnsi="宋体"/>
          <w:sz w:val="24"/>
          <w:szCs w:val="24"/>
        </w:rPr>
        <w:t>。</w:t>
      </w:r>
    </w:p>
    <w:p>
      <w:pPr>
        <w:spacing w:line="360" w:lineRule="auto"/>
        <w:jc w:val="left"/>
        <w:outlineLvl w:val="0"/>
        <w:rPr>
          <w:rFonts w:ascii="宋体" w:hAnsi="宋体"/>
          <w:sz w:val="24"/>
          <w:szCs w:val="24"/>
        </w:rPr>
      </w:pPr>
      <w:bookmarkStart w:id="6" w:name="_Toc28359079"/>
      <w:bookmarkStart w:id="7" w:name="_Toc35393790"/>
      <w:bookmarkStart w:id="8" w:name="_Toc28359002"/>
      <w:bookmarkStart w:id="9" w:name="_Toc5773"/>
      <w:bookmarkStart w:id="10" w:name="_Toc35393621"/>
      <w:bookmarkStart w:id="11" w:name="_Hlk24379207"/>
      <w:r>
        <w:rPr>
          <w:rFonts w:hint="eastAsia" w:ascii="宋体" w:hAnsi="宋体"/>
          <w:sz w:val="24"/>
          <w:szCs w:val="24"/>
        </w:rPr>
        <w:t>一、项目基本情况</w:t>
      </w:r>
      <w:bookmarkEnd w:id="6"/>
      <w:bookmarkEnd w:id="7"/>
      <w:bookmarkEnd w:id="8"/>
      <w:bookmarkEnd w:id="9"/>
      <w:bookmarkEnd w:id="10"/>
    </w:p>
    <w:p>
      <w:pPr>
        <w:spacing w:line="360" w:lineRule="auto"/>
        <w:jc w:val="left"/>
        <w:rPr>
          <w:rFonts w:ascii="宋体" w:hAnsi="宋体"/>
          <w:sz w:val="24"/>
          <w:szCs w:val="24"/>
        </w:rPr>
      </w:pPr>
      <w:r>
        <w:rPr>
          <w:rFonts w:hint="eastAsia" w:ascii="宋体" w:hAnsi="宋体"/>
          <w:sz w:val="24"/>
          <w:szCs w:val="24"/>
        </w:rPr>
        <w:t>1、项目编号：南阳政采公开-2020-152</w:t>
      </w:r>
    </w:p>
    <w:p>
      <w:pPr>
        <w:spacing w:line="360" w:lineRule="auto"/>
        <w:jc w:val="left"/>
        <w:rPr>
          <w:rFonts w:ascii="宋体" w:hAnsi="宋体"/>
          <w:sz w:val="24"/>
          <w:szCs w:val="24"/>
        </w:rPr>
      </w:pPr>
      <w:r>
        <w:rPr>
          <w:rFonts w:hint="eastAsia" w:ascii="宋体" w:hAnsi="宋体"/>
          <w:sz w:val="24"/>
          <w:szCs w:val="24"/>
        </w:rPr>
        <w:t>2、项目名称：南阳市中级人民法院防暑处突装备（1.囚车；2.巡回审判车；3.执法执勤车）项目</w:t>
      </w:r>
    </w:p>
    <w:p>
      <w:pPr>
        <w:spacing w:line="360" w:lineRule="auto"/>
        <w:jc w:val="left"/>
        <w:rPr>
          <w:rFonts w:ascii="宋体" w:hAnsi="宋体"/>
          <w:sz w:val="24"/>
          <w:szCs w:val="24"/>
        </w:rPr>
      </w:pPr>
      <w:r>
        <w:rPr>
          <w:rFonts w:hint="eastAsia" w:ascii="宋体" w:hAnsi="宋体"/>
          <w:sz w:val="24"/>
          <w:szCs w:val="24"/>
        </w:rPr>
        <w:t>3、采购方式：公开招标</w:t>
      </w:r>
    </w:p>
    <w:bookmarkEnd w:id="11"/>
    <w:p>
      <w:pPr>
        <w:spacing w:line="360" w:lineRule="auto"/>
        <w:jc w:val="left"/>
        <w:rPr>
          <w:rFonts w:ascii="宋体" w:hAnsi="宋体"/>
          <w:sz w:val="24"/>
          <w:szCs w:val="24"/>
        </w:rPr>
      </w:pPr>
      <w:r>
        <w:rPr>
          <w:rFonts w:hint="eastAsia" w:ascii="宋体" w:hAnsi="宋体"/>
          <w:sz w:val="24"/>
          <w:szCs w:val="24"/>
        </w:rPr>
        <w:t>4、预算金额：人民币2521000元；最高限价：人民币2521000元。</w:t>
      </w:r>
    </w:p>
    <w:tbl>
      <w:tblPr>
        <w:tblStyle w:val="33"/>
        <w:tblW w:w="8460"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51"/>
        <w:gridCol w:w="1838"/>
        <w:gridCol w:w="2385"/>
        <w:gridCol w:w="2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3"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序号</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标段</w:t>
            </w:r>
          </w:p>
        </w:tc>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名称</w:t>
            </w:r>
          </w:p>
        </w:tc>
        <w:tc>
          <w:tcPr>
            <w:tcW w:w="2385"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包采购预算（元）</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highlight w:val="yellow"/>
              </w:rPr>
            </w:pPr>
            <w:r>
              <w:rPr>
                <w:rStyle w:val="65"/>
                <w:rFonts w:hint="eastAsia" w:ascii="宋体" w:hAnsi="宋体"/>
                <w:sz w:val="24"/>
                <w:szCs w:val="24"/>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1</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第一标段</w:t>
            </w:r>
          </w:p>
        </w:tc>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囚车</w:t>
            </w:r>
          </w:p>
        </w:tc>
        <w:tc>
          <w:tcPr>
            <w:tcW w:w="2385"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661000</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Style w:val="65"/>
                <w:rFonts w:hint="eastAsia" w:ascii="宋体" w:hAnsi="宋体"/>
                <w:sz w:val="24"/>
                <w:szCs w:val="24"/>
              </w:rPr>
              <w:t>661000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2</w:t>
            </w:r>
          </w:p>
        </w:tc>
        <w:tc>
          <w:tcPr>
            <w:tcW w:w="1251" w:type="dxa"/>
            <w:tcBorders>
              <w:top w:val="single" w:color="000000" w:sz="4" w:space="0"/>
              <w:left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第二标段</w:t>
            </w:r>
          </w:p>
        </w:tc>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巡回审判车</w:t>
            </w:r>
          </w:p>
        </w:tc>
        <w:tc>
          <w:tcPr>
            <w:tcW w:w="23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960000</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960000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3</w:t>
            </w:r>
          </w:p>
        </w:tc>
        <w:tc>
          <w:tcPr>
            <w:tcW w:w="1251" w:type="dxa"/>
            <w:tcBorders>
              <w:left w:val="single" w:color="000000" w:sz="4" w:space="0"/>
              <w:bottom w:val="single" w:color="000000" w:sz="4" w:space="0"/>
              <w:right w:val="single" w:color="000000" w:sz="4" w:space="0"/>
            </w:tcBorders>
            <w:vAlign w:val="center"/>
          </w:tcPr>
          <w:p>
            <w:pPr>
              <w:jc w:val="center"/>
              <w:rPr>
                <w:rStyle w:val="65"/>
                <w:rFonts w:ascii="宋体" w:hAnsi="宋体"/>
                <w:sz w:val="24"/>
                <w:szCs w:val="24"/>
              </w:rPr>
            </w:pPr>
            <w:r>
              <w:rPr>
                <w:rStyle w:val="65"/>
                <w:rFonts w:hint="eastAsia" w:ascii="宋体" w:hAnsi="宋体"/>
                <w:sz w:val="24"/>
                <w:szCs w:val="24"/>
              </w:rPr>
              <w:t>第三标段</w:t>
            </w:r>
          </w:p>
        </w:tc>
        <w:tc>
          <w:tcPr>
            <w:tcW w:w="1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执法执勤车</w:t>
            </w:r>
          </w:p>
        </w:tc>
        <w:tc>
          <w:tcPr>
            <w:tcW w:w="23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900000</w:t>
            </w:r>
          </w:p>
        </w:tc>
        <w:tc>
          <w:tcPr>
            <w:tcW w:w="21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900000</w:t>
            </w:r>
          </w:p>
        </w:tc>
      </w:tr>
    </w:tbl>
    <w:p>
      <w:pPr>
        <w:spacing w:line="360" w:lineRule="auto"/>
        <w:jc w:val="left"/>
        <w:rPr>
          <w:rFonts w:ascii="宋体" w:hAnsi="宋体"/>
          <w:sz w:val="24"/>
          <w:szCs w:val="24"/>
        </w:rPr>
      </w:pPr>
      <w:r>
        <w:rPr>
          <w:rFonts w:hint="eastAsia" w:ascii="宋体" w:hAnsi="宋体"/>
          <w:sz w:val="24"/>
          <w:szCs w:val="24"/>
        </w:rPr>
        <w:t xml:space="preserve">5、采购需求： </w:t>
      </w:r>
    </w:p>
    <w:p>
      <w:pPr>
        <w:spacing w:line="360" w:lineRule="auto"/>
        <w:jc w:val="left"/>
        <w:rPr>
          <w:rFonts w:ascii="宋体" w:hAnsi="宋体"/>
          <w:sz w:val="24"/>
          <w:szCs w:val="24"/>
        </w:rPr>
      </w:pPr>
      <w:r>
        <w:rPr>
          <w:rFonts w:hint="eastAsia" w:ascii="宋体" w:hAnsi="宋体"/>
          <w:sz w:val="24"/>
          <w:szCs w:val="24"/>
        </w:rPr>
        <w:t>1).采购内容：</w:t>
      </w:r>
    </w:p>
    <w:tbl>
      <w:tblPr>
        <w:tblStyle w:val="33"/>
        <w:tblpPr w:leftFromText="180" w:rightFromText="180" w:vertAnchor="text" w:horzAnchor="page" w:tblpX="1905" w:tblpY="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572"/>
        <w:gridCol w:w="1679"/>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标段</w:t>
            </w:r>
          </w:p>
        </w:tc>
        <w:tc>
          <w:tcPr>
            <w:tcW w:w="4572"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产品（设备）名称</w:t>
            </w:r>
          </w:p>
        </w:tc>
        <w:tc>
          <w:tcPr>
            <w:tcW w:w="1679"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单位</w:t>
            </w:r>
          </w:p>
        </w:tc>
        <w:tc>
          <w:tcPr>
            <w:tcW w:w="1405"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2" w:type="dxa"/>
            <w:vAlign w:val="center"/>
          </w:tcPr>
          <w:p>
            <w:pPr>
              <w:jc w:val="center"/>
              <w:rPr>
                <w:rStyle w:val="65"/>
                <w:rFonts w:ascii="宋体" w:hAnsi="宋体"/>
                <w:sz w:val="24"/>
                <w:szCs w:val="24"/>
              </w:rPr>
            </w:pPr>
            <w:r>
              <w:rPr>
                <w:rStyle w:val="65"/>
                <w:rFonts w:hint="eastAsia" w:ascii="宋体" w:hAnsi="宋体"/>
                <w:sz w:val="24"/>
                <w:szCs w:val="24"/>
              </w:rPr>
              <w:t>1</w:t>
            </w:r>
          </w:p>
        </w:tc>
        <w:tc>
          <w:tcPr>
            <w:tcW w:w="4572" w:type="dxa"/>
            <w:vAlign w:val="center"/>
          </w:tcPr>
          <w:p>
            <w:pPr>
              <w:jc w:val="center"/>
              <w:rPr>
                <w:rStyle w:val="65"/>
                <w:rFonts w:ascii="宋体" w:hAnsi="宋体"/>
                <w:sz w:val="24"/>
                <w:szCs w:val="24"/>
              </w:rPr>
            </w:pPr>
            <w:r>
              <w:rPr>
                <w:rStyle w:val="65"/>
                <w:rFonts w:hint="eastAsia" w:ascii="宋体" w:hAnsi="宋体"/>
                <w:sz w:val="24"/>
                <w:szCs w:val="24"/>
              </w:rPr>
              <w:t>囚车</w:t>
            </w:r>
          </w:p>
        </w:tc>
        <w:tc>
          <w:tcPr>
            <w:tcW w:w="1679" w:type="dxa"/>
            <w:vAlign w:val="center"/>
          </w:tcPr>
          <w:p>
            <w:pPr>
              <w:jc w:val="center"/>
              <w:rPr>
                <w:rStyle w:val="65"/>
                <w:rFonts w:ascii="宋体" w:hAnsi="宋体"/>
                <w:sz w:val="24"/>
                <w:szCs w:val="24"/>
              </w:rPr>
            </w:pPr>
            <w:r>
              <w:rPr>
                <w:rStyle w:val="65"/>
                <w:rFonts w:hint="eastAsia" w:ascii="宋体" w:hAnsi="宋体"/>
                <w:sz w:val="24"/>
                <w:szCs w:val="24"/>
              </w:rPr>
              <w:t>辆</w:t>
            </w:r>
          </w:p>
        </w:tc>
        <w:tc>
          <w:tcPr>
            <w:tcW w:w="1405" w:type="dxa"/>
            <w:vAlign w:val="center"/>
          </w:tcPr>
          <w:p>
            <w:pPr>
              <w:jc w:val="center"/>
              <w:rPr>
                <w:rStyle w:val="65"/>
                <w:rFonts w:ascii="宋体" w:hAnsi="宋体"/>
                <w:sz w:val="24"/>
                <w:szCs w:val="24"/>
              </w:rPr>
            </w:pPr>
            <w:r>
              <w:rPr>
                <w:rStyle w:val="65"/>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2" w:type="dxa"/>
            <w:vAlign w:val="center"/>
          </w:tcPr>
          <w:p>
            <w:pPr>
              <w:jc w:val="center"/>
              <w:rPr>
                <w:rStyle w:val="65"/>
                <w:rFonts w:ascii="宋体" w:hAnsi="宋体"/>
                <w:sz w:val="24"/>
                <w:szCs w:val="24"/>
              </w:rPr>
            </w:pPr>
            <w:r>
              <w:rPr>
                <w:rStyle w:val="65"/>
                <w:rFonts w:hint="eastAsia" w:ascii="宋体" w:hAnsi="宋体"/>
                <w:sz w:val="24"/>
                <w:szCs w:val="24"/>
              </w:rPr>
              <w:t>2</w:t>
            </w:r>
          </w:p>
        </w:tc>
        <w:tc>
          <w:tcPr>
            <w:tcW w:w="4572" w:type="dxa"/>
            <w:vAlign w:val="center"/>
          </w:tcPr>
          <w:p>
            <w:pPr>
              <w:jc w:val="center"/>
              <w:rPr>
                <w:rStyle w:val="65"/>
                <w:rFonts w:ascii="宋体" w:hAnsi="宋体"/>
                <w:sz w:val="24"/>
                <w:szCs w:val="24"/>
              </w:rPr>
            </w:pPr>
            <w:r>
              <w:rPr>
                <w:rStyle w:val="65"/>
                <w:rFonts w:hint="eastAsia" w:ascii="宋体" w:hAnsi="宋体"/>
                <w:sz w:val="24"/>
                <w:szCs w:val="24"/>
              </w:rPr>
              <w:t>巡回审判车</w:t>
            </w:r>
          </w:p>
        </w:tc>
        <w:tc>
          <w:tcPr>
            <w:tcW w:w="1679" w:type="dxa"/>
            <w:vAlign w:val="center"/>
          </w:tcPr>
          <w:p>
            <w:pPr>
              <w:jc w:val="center"/>
              <w:rPr>
                <w:rStyle w:val="65"/>
                <w:rFonts w:ascii="宋体" w:hAnsi="宋体"/>
                <w:sz w:val="24"/>
                <w:szCs w:val="24"/>
              </w:rPr>
            </w:pPr>
            <w:r>
              <w:rPr>
                <w:rStyle w:val="65"/>
                <w:rFonts w:hint="eastAsia" w:ascii="宋体" w:hAnsi="宋体"/>
                <w:sz w:val="24"/>
                <w:szCs w:val="24"/>
              </w:rPr>
              <w:t>辆</w:t>
            </w:r>
          </w:p>
        </w:tc>
        <w:tc>
          <w:tcPr>
            <w:tcW w:w="1405" w:type="dxa"/>
            <w:vAlign w:val="center"/>
          </w:tcPr>
          <w:p>
            <w:pPr>
              <w:jc w:val="center"/>
              <w:rPr>
                <w:rStyle w:val="65"/>
                <w:rFonts w:ascii="宋体" w:hAnsi="宋体"/>
                <w:sz w:val="24"/>
                <w:szCs w:val="24"/>
              </w:rPr>
            </w:pPr>
            <w:r>
              <w:rPr>
                <w:rStyle w:val="65"/>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2" w:type="dxa"/>
            <w:vAlign w:val="center"/>
          </w:tcPr>
          <w:p>
            <w:pPr>
              <w:jc w:val="center"/>
              <w:rPr>
                <w:rStyle w:val="65"/>
                <w:rFonts w:ascii="宋体" w:hAnsi="宋体"/>
                <w:sz w:val="24"/>
                <w:szCs w:val="24"/>
              </w:rPr>
            </w:pPr>
            <w:r>
              <w:rPr>
                <w:rStyle w:val="65"/>
                <w:rFonts w:hint="eastAsia" w:ascii="宋体" w:hAnsi="宋体"/>
                <w:sz w:val="24"/>
                <w:szCs w:val="24"/>
              </w:rPr>
              <w:t>3</w:t>
            </w:r>
          </w:p>
        </w:tc>
        <w:tc>
          <w:tcPr>
            <w:tcW w:w="4572" w:type="dxa"/>
            <w:vAlign w:val="center"/>
          </w:tcPr>
          <w:p>
            <w:pPr>
              <w:jc w:val="center"/>
              <w:rPr>
                <w:rStyle w:val="65"/>
                <w:rFonts w:ascii="宋体" w:hAnsi="宋体"/>
                <w:sz w:val="24"/>
                <w:szCs w:val="24"/>
              </w:rPr>
            </w:pPr>
            <w:r>
              <w:rPr>
                <w:rStyle w:val="65"/>
                <w:rFonts w:hint="eastAsia" w:ascii="宋体" w:hAnsi="宋体"/>
                <w:sz w:val="24"/>
                <w:szCs w:val="24"/>
              </w:rPr>
              <w:t>执法执勤车</w:t>
            </w:r>
          </w:p>
        </w:tc>
        <w:tc>
          <w:tcPr>
            <w:tcW w:w="1679" w:type="dxa"/>
            <w:vAlign w:val="center"/>
          </w:tcPr>
          <w:p>
            <w:pPr>
              <w:jc w:val="center"/>
              <w:rPr>
                <w:rStyle w:val="65"/>
                <w:rFonts w:ascii="宋体" w:hAnsi="宋体"/>
                <w:sz w:val="24"/>
                <w:szCs w:val="24"/>
              </w:rPr>
            </w:pPr>
            <w:r>
              <w:rPr>
                <w:rStyle w:val="65"/>
                <w:rFonts w:hint="eastAsia" w:ascii="宋体" w:hAnsi="宋体"/>
                <w:sz w:val="24"/>
                <w:szCs w:val="24"/>
              </w:rPr>
              <w:t>辆</w:t>
            </w:r>
          </w:p>
        </w:tc>
        <w:tc>
          <w:tcPr>
            <w:tcW w:w="1405" w:type="dxa"/>
            <w:vAlign w:val="center"/>
          </w:tcPr>
          <w:p>
            <w:pPr>
              <w:jc w:val="center"/>
              <w:rPr>
                <w:rStyle w:val="65"/>
                <w:rFonts w:ascii="宋体" w:hAnsi="宋体"/>
                <w:sz w:val="24"/>
                <w:szCs w:val="24"/>
              </w:rPr>
            </w:pPr>
            <w:r>
              <w:rPr>
                <w:rStyle w:val="65"/>
                <w:rFonts w:hint="eastAsia" w:ascii="宋体" w:hAnsi="宋体"/>
                <w:sz w:val="24"/>
                <w:szCs w:val="24"/>
              </w:rPr>
              <w:t>5</w:t>
            </w:r>
          </w:p>
        </w:tc>
      </w:tr>
    </w:tbl>
    <w:p>
      <w:pPr>
        <w:numPr>
          <w:ilvl w:val="0"/>
          <w:numId w:val="1"/>
        </w:numPr>
        <w:spacing w:line="360" w:lineRule="auto"/>
        <w:jc w:val="left"/>
        <w:rPr>
          <w:rFonts w:ascii="宋体" w:hAnsi="宋体" w:cs="宋体"/>
          <w:sz w:val="24"/>
          <w:szCs w:val="24"/>
        </w:rPr>
      </w:pPr>
      <w:r>
        <w:rPr>
          <w:rFonts w:hint="eastAsia" w:ascii="宋体" w:hAnsi="宋体"/>
          <w:sz w:val="24"/>
          <w:szCs w:val="24"/>
        </w:rPr>
        <w:t>.质量保证期：</w:t>
      </w:r>
      <w:r>
        <w:rPr>
          <w:rFonts w:hint="eastAsia" w:ascii="宋体" w:hAnsi="宋体" w:cs="宋体"/>
          <w:sz w:val="24"/>
          <w:szCs w:val="24"/>
        </w:rPr>
        <w:t>质保3年或6万公里的整车质量保修</w:t>
      </w:r>
    </w:p>
    <w:p>
      <w:pPr>
        <w:spacing w:line="360" w:lineRule="auto"/>
        <w:jc w:val="left"/>
        <w:rPr>
          <w:rFonts w:ascii="宋体" w:hAnsi="宋体"/>
          <w:sz w:val="24"/>
          <w:szCs w:val="24"/>
        </w:rPr>
      </w:pPr>
      <w:r>
        <w:rPr>
          <w:rFonts w:hint="eastAsia" w:ascii="宋体" w:hAnsi="宋体"/>
          <w:sz w:val="24"/>
          <w:szCs w:val="24"/>
        </w:rPr>
        <w:t>3).交货期：合同签订后30日历天</w:t>
      </w:r>
    </w:p>
    <w:p>
      <w:pPr>
        <w:spacing w:line="360" w:lineRule="auto"/>
        <w:jc w:val="left"/>
        <w:rPr>
          <w:rFonts w:ascii="宋体" w:hAnsi="宋体"/>
          <w:sz w:val="24"/>
          <w:szCs w:val="24"/>
        </w:rPr>
      </w:pPr>
      <w:r>
        <w:rPr>
          <w:rFonts w:hint="eastAsia" w:ascii="宋体" w:hAnsi="宋体"/>
          <w:sz w:val="24"/>
          <w:szCs w:val="24"/>
        </w:rPr>
        <w:t>6、合同履行期限：同交货期</w:t>
      </w:r>
    </w:p>
    <w:p>
      <w:pPr>
        <w:spacing w:line="360" w:lineRule="auto"/>
        <w:jc w:val="left"/>
        <w:rPr>
          <w:rFonts w:ascii="宋体" w:hAnsi="宋体"/>
          <w:sz w:val="24"/>
          <w:szCs w:val="24"/>
        </w:rPr>
      </w:pPr>
      <w:r>
        <w:rPr>
          <w:rFonts w:hint="eastAsia" w:ascii="宋体" w:hAnsi="宋体"/>
          <w:sz w:val="24"/>
          <w:szCs w:val="24"/>
        </w:rPr>
        <w:t>7、本项目是否接受联合体投标：否</w:t>
      </w:r>
    </w:p>
    <w:p>
      <w:pPr>
        <w:spacing w:line="360" w:lineRule="auto"/>
        <w:jc w:val="left"/>
        <w:rPr>
          <w:rFonts w:ascii="宋体" w:hAnsi="宋体"/>
          <w:sz w:val="24"/>
          <w:szCs w:val="24"/>
        </w:rPr>
      </w:pPr>
      <w:r>
        <w:rPr>
          <w:rFonts w:hint="eastAsia" w:ascii="宋体" w:hAnsi="宋体"/>
          <w:sz w:val="24"/>
          <w:szCs w:val="24"/>
        </w:rPr>
        <w:t>8、是否接受进口产品：否</w:t>
      </w:r>
    </w:p>
    <w:p>
      <w:pPr>
        <w:spacing w:line="360" w:lineRule="auto"/>
        <w:jc w:val="left"/>
        <w:outlineLvl w:val="0"/>
        <w:rPr>
          <w:rFonts w:ascii="宋体" w:hAnsi="宋体"/>
          <w:sz w:val="24"/>
          <w:szCs w:val="24"/>
        </w:rPr>
      </w:pPr>
      <w:bookmarkStart w:id="12" w:name="_Toc7857"/>
      <w:bookmarkStart w:id="13" w:name="_Toc35393791"/>
      <w:bookmarkStart w:id="14" w:name="_Toc28359080"/>
      <w:bookmarkStart w:id="15" w:name="_Toc28359003"/>
      <w:bookmarkStart w:id="16" w:name="_Toc35393622"/>
      <w:r>
        <w:rPr>
          <w:rFonts w:hint="eastAsia" w:ascii="宋体" w:hAnsi="宋体"/>
          <w:sz w:val="24"/>
          <w:szCs w:val="24"/>
        </w:rPr>
        <w:t>二、申请人的资格要求：</w:t>
      </w:r>
      <w:bookmarkEnd w:id="12"/>
      <w:bookmarkEnd w:id="13"/>
      <w:bookmarkEnd w:id="14"/>
      <w:bookmarkEnd w:id="15"/>
      <w:bookmarkEnd w:id="16"/>
    </w:p>
    <w:p>
      <w:pPr>
        <w:widowControl/>
        <w:spacing w:line="360" w:lineRule="auto"/>
        <w:jc w:val="left"/>
        <w:rPr>
          <w:rFonts w:ascii="宋体" w:hAnsi="宋体" w:cs="宋体"/>
          <w:color w:val="000000"/>
          <w:kern w:val="0"/>
          <w:sz w:val="24"/>
          <w:szCs w:val="24"/>
        </w:rPr>
      </w:pPr>
      <w:bookmarkStart w:id="17" w:name="_Toc28359004"/>
      <w:bookmarkStart w:id="18" w:name="_Toc35393623"/>
      <w:bookmarkStart w:id="19" w:name="_Toc35393792"/>
      <w:bookmarkStart w:id="20" w:name="_Toc28359081"/>
      <w:r>
        <w:rPr>
          <w:rFonts w:hint="eastAsia" w:ascii="宋体" w:hAnsi="宋体" w:cs="宋体"/>
          <w:color w:val="000000"/>
          <w:kern w:val="0"/>
          <w:sz w:val="24"/>
          <w:szCs w:val="24"/>
        </w:rPr>
        <w:t>1、满足《中华人民共和国政府采购法》第二十二条规定；</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2、落实政府采购政策满足的资格要求：无</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3、本项目的特定资格要求：</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3.1投标供应商须满足《中华人民共和国政府招标法》二十二条规定的要求；</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（1）具有独立承担民事责任的能力；</w:t>
      </w:r>
    </w:p>
    <w:p>
      <w:pPr>
        <w:spacing w:line="450" w:lineRule="exact"/>
        <w:rPr>
          <w:rFonts w:ascii="宋体" w:hAnsi="宋体" w:cs="宋体"/>
          <w:kern w:val="0"/>
          <w:sz w:val="24"/>
          <w:szCs w:val="24"/>
        </w:rPr>
      </w:pPr>
      <w:r>
        <w:rPr>
          <w:rFonts w:hint="eastAsia" w:ascii="宋体" w:hAnsi="宋体" w:cs="宋体"/>
          <w:color w:val="000000"/>
          <w:kern w:val="0"/>
          <w:sz w:val="24"/>
          <w:szCs w:val="24"/>
        </w:rPr>
        <w:t>（2）具有良好的商业信誉和健全的财务会计制度；</w:t>
      </w:r>
      <w:r>
        <w:rPr>
          <w:rFonts w:hint="eastAsia" w:ascii="宋体" w:hAnsi="宋体"/>
          <w:sz w:val="24"/>
        </w:rPr>
        <w:t>（提供经审计的2018年度或2019年度财务报告或银行出具的资信证明或财政部门认可的政府采购专业担保机构出具的投标担保函）；</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（3）具有履行合同所必需的设备和专业技术能力；</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（4）有依法缴纳税收和社会保障资金的良好记录；（提供20</w:t>
      </w:r>
      <w:r>
        <w:rPr>
          <w:rFonts w:hint="eastAsia" w:ascii="宋体" w:hAnsi="宋体" w:cs="宋体"/>
          <w:kern w:val="0"/>
          <w:sz w:val="24"/>
          <w:szCs w:val="24"/>
        </w:rPr>
        <w:t>20年任意一个</w:t>
      </w:r>
      <w:r>
        <w:rPr>
          <w:rFonts w:hint="eastAsia" w:ascii="宋体" w:hAnsi="宋体" w:cs="宋体"/>
          <w:color w:val="000000"/>
          <w:kern w:val="0"/>
          <w:sz w:val="24"/>
          <w:szCs w:val="24"/>
        </w:rPr>
        <w:t>月依法缴纳税收和社会保障资金的证明，依法免税企业应提供相关证明文件；）</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（5）参加政府招标活动前三年内，在经营活动中没有重大违法记录；</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（6）法律、行政法规规定的其他条件。</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3.2投标人需提供无行贿犯罪记录承诺函（承诺对象包括：投标企业、法定代表人），并对其真实性负责，若承诺不实，所造成的后果由投标人承担；</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3.3根据《关于在政府采购活动中查询及使用信用记录有关问题的通知》(财库[2016]125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案件当事人名单、政府采购严重违法失信行为记录名单的供应商，拒绝参与本项目的磋商；【查询渠道：“信用中国”网站（www.creditchina.gov.cn）、中国政府采购网（www.ccgp.gov.cn）】；</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3.4本项目不接受联合体投标，不得分包转包；</w:t>
      </w:r>
    </w:p>
    <w:p>
      <w:pPr>
        <w:spacing w:line="360" w:lineRule="auto"/>
        <w:jc w:val="left"/>
        <w:outlineLvl w:val="0"/>
        <w:rPr>
          <w:rFonts w:ascii="宋体" w:hAnsi="宋体"/>
          <w:sz w:val="24"/>
          <w:szCs w:val="24"/>
        </w:rPr>
      </w:pPr>
      <w:bookmarkStart w:id="21" w:name="_Toc13565"/>
      <w:r>
        <w:rPr>
          <w:rFonts w:hint="eastAsia" w:ascii="宋体" w:hAnsi="宋体"/>
          <w:sz w:val="24"/>
          <w:szCs w:val="24"/>
        </w:rPr>
        <w:t>三、获取招标文件</w:t>
      </w:r>
      <w:bookmarkEnd w:id="17"/>
      <w:bookmarkEnd w:id="18"/>
      <w:bookmarkEnd w:id="19"/>
      <w:bookmarkEnd w:id="20"/>
      <w:bookmarkEnd w:id="21"/>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1.时间：2020年9月2</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日至2020年10月1</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日，每天上午08:30至12:00，下午14:30至18:00（北京时间，法定节假日除外）</w:t>
      </w:r>
    </w:p>
    <w:p>
      <w:pPr>
        <w:widowControl/>
        <w:spacing w:line="360" w:lineRule="auto"/>
        <w:jc w:val="left"/>
        <w:rPr>
          <w:rFonts w:ascii="宋体" w:hAnsi="宋体"/>
          <w:color w:val="000000"/>
          <w:sz w:val="24"/>
          <w:szCs w:val="22"/>
        </w:rPr>
      </w:pPr>
      <w:r>
        <w:rPr>
          <w:rFonts w:hint="eastAsia" w:ascii="宋体" w:hAnsi="宋体" w:cs="宋体"/>
          <w:color w:val="000000"/>
          <w:kern w:val="0"/>
          <w:sz w:val="24"/>
          <w:szCs w:val="24"/>
        </w:rPr>
        <w:t>2.地点：</w:t>
      </w:r>
      <w:r>
        <w:rPr>
          <w:rFonts w:hint="eastAsia" w:ascii="宋体" w:hAnsi="宋体"/>
          <w:color w:val="000000"/>
          <w:sz w:val="24"/>
        </w:rPr>
        <w:t>河南招标采购服务有限公司南阳分公司（南阳市孔明路与范蠡路交叉口南100米学府公寓2号楼13A层）</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3.方式：由企业法定代表人携带本人身份证原件或其委托代理人携带授权委托书、本人身份证原件，现场购买。</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4.售价：600元/标段</w:t>
      </w:r>
    </w:p>
    <w:p>
      <w:pPr>
        <w:widowControl/>
        <w:spacing w:line="360" w:lineRule="auto"/>
        <w:jc w:val="left"/>
        <w:outlineLvl w:val="0"/>
        <w:rPr>
          <w:rFonts w:ascii="宋体" w:hAnsi="宋体" w:cs="宋体"/>
          <w:color w:val="000000"/>
          <w:kern w:val="0"/>
          <w:sz w:val="24"/>
          <w:szCs w:val="24"/>
        </w:rPr>
      </w:pPr>
      <w:bookmarkStart w:id="22" w:name="_Toc11233"/>
      <w:r>
        <w:rPr>
          <w:rFonts w:hint="eastAsia" w:ascii="宋体" w:hAnsi="宋体" w:cs="宋体"/>
          <w:color w:val="000000"/>
          <w:kern w:val="0"/>
          <w:sz w:val="24"/>
          <w:szCs w:val="24"/>
        </w:rPr>
        <w:t>四、投标截止时间及地点</w:t>
      </w:r>
      <w:bookmarkEnd w:id="22"/>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1.时间：2020年10月20日09时00分（北京时间）</w:t>
      </w:r>
    </w:p>
    <w:p>
      <w:pPr>
        <w:widowControl/>
        <w:spacing w:line="360" w:lineRule="auto"/>
        <w:jc w:val="left"/>
        <w:rPr>
          <w:rFonts w:ascii="宋体" w:hAnsi="宋体"/>
          <w:color w:val="000000"/>
          <w:sz w:val="24"/>
        </w:rPr>
      </w:pPr>
      <w:r>
        <w:rPr>
          <w:rFonts w:hint="eastAsia" w:ascii="宋体" w:hAnsi="宋体" w:cs="宋体"/>
          <w:color w:val="000000"/>
          <w:kern w:val="0"/>
          <w:sz w:val="24"/>
          <w:szCs w:val="24"/>
        </w:rPr>
        <w:t>2.地点：</w:t>
      </w:r>
      <w:r>
        <w:rPr>
          <w:rFonts w:hint="eastAsia" w:ascii="宋体" w:hAnsi="宋体"/>
          <w:color w:val="000000"/>
          <w:sz w:val="24"/>
        </w:rPr>
        <w:t>河南招标采购服务有限公司南阳分公司（南阳市孔明路与范蠡路交叉口南100米学府公寓2号楼13A层）</w:t>
      </w:r>
    </w:p>
    <w:p>
      <w:pPr>
        <w:widowControl/>
        <w:spacing w:line="360" w:lineRule="auto"/>
        <w:jc w:val="left"/>
        <w:outlineLvl w:val="0"/>
        <w:rPr>
          <w:rFonts w:ascii="宋体" w:hAnsi="宋体" w:cs="宋体"/>
          <w:color w:val="000000"/>
          <w:kern w:val="0"/>
          <w:sz w:val="24"/>
          <w:szCs w:val="24"/>
        </w:rPr>
      </w:pPr>
      <w:bookmarkStart w:id="23" w:name="_Toc2067"/>
      <w:r>
        <w:rPr>
          <w:rFonts w:hint="eastAsia" w:ascii="宋体" w:hAnsi="宋体" w:cs="宋体"/>
          <w:color w:val="000000"/>
          <w:kern w:val="0"/>
          <w:sz w:val="24"/>
          <w:szCs w:val="24"/>
        </w:rPr>
        <w:t>五、开标时间及地点</w:t>
      </w:r>
      <w:bookmarkEnd w:id="23"/>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1.时间：2020年10月20日09时00分（北京时间）</w:t>
      </w:r>
    </w:p>
    <w:p>
      <w:pPr>
        <w:widowControl/>
        <w:spacing w:line="360" w:lineRule="auto"/>
        <w:jc w:val="left"/>
        <w:rPr>
          <w:rFonts w:ascii="宋体" w:hAnsi="宋体"/>
          <w:color w:val="000000"/>
          <w:sz w:val="24"/>
        </w:rPr>
      </w:pPr>
      <w:r>
        <w:rPr>
          <w:rFonts w:hint="eastAsia" w:ascii="宋体" w:hAnsi="宋体" w:cs="宋体"/>
          <w:color w:val="000000"/>
          <w:kern w:val="0"/>
          <w:sz w:val="24"/>
          <w:szCs w:val="24"/>
        </w:rPr>
        <w:t>2.地点：</w:t>
      </w:r>
      <w:r>
        <w:rPr>
          <w:rFonts w:hint="eastAsia" w:ascii="宋体" w:hAnsi="宋体"/>
          <w:color w:val="000000"/>
          <w:sz w:val="24"/>
        </w:rPr>
        <w:t>河南招标采购服务有限公司南阳分公司（南阳市孔明路与范蠡路交叉口南100米学府公寓2号楼13A层）</w:t>
      </w:r>
    </w:p>
    <w:p>
      <w:pPr>
        <w:widowControl/>
        <w:spacing w:line="360" w:lineRule="auto"/>
        <w:jc w:val="left"/>
        <w:outlineLvl w:val="0"/>
        <w:rPr>
          <w:rFonts w:ascii="宋体" w:hAnsi="宋体" w:cs="宋体"/>
          <w:color w:val="000000"/>
          <w:kern w:val="0"/>
          <w:sz w:val="24"/>
          <w:szCs w:val="24"/>
        </w:rPr>
      </w:pPr>
      <w:bookmarkStart w:id="24" w:name="_Toc9808"/>
      <w:r>
        <w:rPr>
          <w:rFonts w:hint="eastAsia" w:ascii="宋体" w:hAnsi="宋体" w:cs="宋体"/>
          <w:color w:val="000000"/>
          <w:kern w:val="0"/>
          <w:sz w:val="24"/>
          <w:szCs w:val="24"/>
        </w:rPr>
        <w:t>六、发布公告的媒介及招标公告期限</w:t>
      </w:r>
      <w:bookmarkEnd w:id="24"/>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本次招标公告在</w:t>
      </w:r>
      <w:r>
        <w:rPr>
          <w:rFonts w:hint="eastAsia"/>
          <w:sz w:val="24"/>
          <w:szCs w:val="24"/>
        </w:rPr>
        <w:t>《河南省政府采购网》、《河南省电子招标投标公共服务平台》、《南阳市政府采购网》</w:t>
      </w:r>
      <w:r>
        <w:rPr>
          <w:rFonts w:hint="eastAsia" w:ascii="宋体" w:hAnsi="宋体" w:cs="宋体"/>
          <w:color w:val="000000"/>
          <w:kern w:val="0"/>
          <w:sz w:val="24"/>
          <w:szCs w:val="24"/>
        </w:rPr>
        <w:t>上发布。 招标公告期限为五个工作日2020年9月27日至2020年10月1</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日。</w:t>
      </w:r>
    </w:p>
    <w:p>
      <w:pPr>
        <w:widowControl/>
        <w:spacing w:line="360" w:lineRule="auto"/>
        <w:jc w:val="left"/>
        <w:outlineLvl w:val="0"/>
        <w:rPr>
          <w:rFonts w:ascii="宋体" w:hAnsi="宋体" w:cs="宋体"/>
          <w:color w:val="000000"/>
          <w:kern w:val="0"/>
          <w:sz w:val="24"/>
          <w:szCs w:val="24"/>
        </w:rPr>
      </w:pPr>
      <w:bookmarkStart w:id="25" w:name="_Toc4813"/>
      <w:r>
        <w:rPr>
          <w:rFonts w:hint="eastAsia" w:ascii="宋体" w:hAnsi="宋体" w:cs="宋体"/>
          <w:color w:val="000000"/>
          <w:kern w:val="0"/>
          <w:sz w:val="24"/>
          <w:szCs w:val="24"/>
        </w:rPr>
        <w:t>七、其他补充事宜</w:t>
      </w:r>
      <w:bookmarkEnd w:id="25"/>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lang w:val="zh-CN"/>
        </w:rPr>
        <w:t>本项目需要落实的政府采购政策：促进中小企业发展、支持监狱企业发展、促进残疾人就业。</w:t>
      </w:r>
    </w:p>
    <w:p>
      <w:pPr>
        <w:spacing w:line="360" w:lineRule="auto"/>
        <w:jc w:val="left"/>
        <w:outlineLvl w:val="0"/>
        <w:rPr>
          <w:rFonts w:ascii="宋体" w:hAnsi="宋体"/>
          <w:sz w:val="24"/>
          <w:szCs w:val="24"/>
        </w:rPr>
      </w:pPr>
      <w:bookmarkStart w:id="26" w:name="_Toc28359008"/>
      <w:bookmarkStart w:id="27" w:name="_Toc28359085"/>
      <w:bookmarkStart w:id="28" w:name="_Toc35393796"/>
      <w:bookmarkStart w:id="29" w:name="_Toc35393627"/>
      <w:bookmarkStart w:id="30" w:name="_Toc6316"/>
      <w:r>
        <w:rPr>
          <w:rFonts w:hint="eastAsia" w:ascii="宋体" w:hAnsi="宋体"/>
          <w:sz w:val="24"/>
          <w:szCs w:val="24"/>
        </w:rPr>
        <w:t>八、凡对本次招标提出询问，请按照</w:t>
      </w:r>
      <w:r>
        <w:rPr>
          <w:rFonts w:ascii="宋体" w:hAnsi="宋体"/>
          <w:sz w:val="24"/>
          <w:szCs w:val="24"/>
        </w:rPr>
        <w:t>以下方式</w:t>
      </w:r>
      <w:r>
        <w:rPr>
          <w:rFonts w:hint="eastAsia" w:ascii="宋体" w:hAnsi="宋体"/>
          <w:sz w:val="24"/>
          <w:szCs w:val="24"/>
        </w:rPr>
        <w:t>联系。</w:t>
      </w:r>
      <w:bookmarkEnd w:id="26"/>
      <w:bookmarkEnd w:id="27"/>
      <w:bookmarkEnd w:id="28"/>
      <w:bookmarkEnd w:id="29"/>
      <w:bookmarkEnd w:id="30"/>
    </w:p>
    <w:p>
      <w:pPr>
        <w:spacing w:line="360" w:lineRule="auto"/>
        <w:jc w:val="left"/>
        <w:rPr>
          <w:rFonts w:ascii="宋体" w:hAnsi="宋体"/>
          <w:sz w:val="24"/>
          <w:szCs w:val="24"/>
        </w:rPr>
      </w:pPr>
      <w:bookmarkStart w:id="31" w:name="_Toc35393637"/>
      <w:bookmarkStart w:id="32" w:name="_Toc35393806"/>
      <w:bookmarkStart w:id="33" w:name="_Toc28359096"/>
      <w:bookmarkStart w:id="34" w:name="_Toc28359019"/>
      <w:r>
        <w:rPr>
          <w:rFonts w:hint="eastAsia" w:ascii="宋体" w:hAnsi="宋体"/>
          <w:sz w:val="24"/>
          <w:szCs w:val="24"/>
        </w:rPr>
        <w:t>1.采购人信息</w:t>
      </w:r>
      <w:bookmarkEnd w:id="31"/>
      <w:bookmarkEnd w:id="32"/>
      <w:bookmarkEnd w:id="33"/>
      <w:bookmarkEnd w:id="34"/>
    </w:p>
    <w:p>
      <w:pPr>
        <w:spacing w:line="360" w:lineRule="auto"/>
        <w:jc w:val="left"/>
        <w:rPr>
          <w:rFonts w:ascii="宋体" w:hAnsi="宋体"/>
          <w:sz w:val="24"/>
          <w:szCs w:val="24"/>
        </w:rPr>
      </w:pPr>
      <w:r>
        <w:rPr>
          <w:rFonts w:hint="eastAsia" w:ascii="宋体" w:hAnsi="宋体"/>
          <w:sz w:val="24"/>
          <w:szCs w:val="24"/>
        </w:rPr>
        <w:t>名    称：河南省南阳市中级人民法院</w:t>
      </w:r>
    </w:p>
    <w:p>
      <w:pPr>
        <w:spacing w:line="360" w:lineRule="auto"/>
        <w:jc w:val="left"/>
        <w:rPr>
          <w:rFonts w:ascii="宋体" w:hAnsi="宋体"/>
          <w:sz w:val="24"/>
          <w:szCs w:val="24"/>
        </w:rPr>
      </w:pPr>
      <w:r>
        <w:rPr>
          <w:rFonts w:hint="eastAsia" w:ascii="宋体" w:hAnsi="宋体"/>
          <w:sz w:val="24"/>
          <w:szCs w:val="24"/>
        </w:rPr>
        <w:t>地    址：南阳市新华东路1468号</w:t>
      </w:r>
    </w:p>
    <w:p>
      <w:pPr>
        <w:spacing w:line="360" w:lineRule="auto"/>
        <w:jc w:val="left"/>
        <w:rPr>
          <w:rFonts w:ascii="宋体" w:hAnsi="宋体"/>
          <w:sz w:val="24"/>
          <w:szCs w:val="24"/>
        </w:rPr>
      </w:pPr>
      <w:r>
        <w:rPr>
          <w:rFonts w:hint="eastAsia" w:ascii="宋体" w:hAnsi="宋体"/>
          <w:sz w:val="24"/>
          <w:szCs w:val="24"/>
        </w:rPr>
        <w:t>联 系 人：马科长</w:t>
      </w:r>
    </w:p>
    <w:p>
      <w:pPr>
        <w:spacing w:line="360" w:lineRule="auto"/>
        <w:jc w:val="left"/>
        <w:rPr>
          <w:rFonts w:ascii="宋体" w:hAnsi="宋体"/>
          <w:sz w:val="24"/>
          <w:szCs w:val="24"/>
        </w:rPr>
      </w:pPr>
      <w:r>
        <w:rPr>
          <w:rFonts w:hint="eastAsia" w:ascii="宋体" w:hAnsi="宋体"/>
          <w:sz w:val="24"/>
          <w:szCs w:val="24"/>
        </w:rPr>
        <w:t>联系方式：0377-63079933</w:t>
      </w:r>
    </w:p>
    <w:p>
      <w:pPr>
        <w:spacing w:line="360" w:lineRule="auto"/>
        <w:jc w:val="left"/>
        <w:rPr>
          <w:rFonts w:ascii="宋体" w:hAnsi="宋体"/>
          <w:sz w:val="24"/>
          <w:szCs w:val="24"/>
        </w:rPr>
      </w:pPr>
      <w:bookmarkStart w:id="35" w:name="_Toc35393638"/>
      <w:bookmarkStart w:id="36" w:name="_Toc28359020"/>
      <w:bookmarkStart w:id="37" w:name="_Toc28359097"/>
      <w:bookmarkStart w:id="38" w:name="_Toc35393807"/>
      <w:r>
        <w:rPr>
          <w:rFonts w:hint="eastAsia" w:ascii="宋体" w:hAnsi="宋体"/>
          <w:sz w:val="24"/>
          <w:szCs w:val="24"/>
        </w:rPr>
        <w:t>2.采购代理机构信息</w:t>
      </w:r>
      <w:bookmarkEnd w:id="35"/>
      <w:bookmarkEnd w:id="36"/>
      <w:bookmarkEnd w:id="37"/>
      <w:bookmarkEnd w:id="38"/>
    </w:p>
    <w:p>
      <w:pPr>
        <w:spacing w:line="360" w:lineRule="auto"/>
        <w:jc w:val="left"/>
        <w:rPr>
          <w:rFonts w:ascii="宋体" w:hAnsi="宋体"/>
          <w:sz w:val="24"/>
          <w:szCs w:val="24"/>
        </w:rPr>
      </w:pPr>
      <w:r>
        <w:rPr>
          <w:rFonts w:hint="eastAsia" w:ascii="宋体" w:hAnsi="宋体"/>
          <w:sz w:val="24"/>
          <w:szCs w:val="24"/>
        </w:rPr>
        <w:t>名    称：　河南招标采购服务有限公司　　　　　　　　　　　</w:t>
      </w:r>
    </w:p>
    <w:p>
      <w:pPr>
        <w:spacing w:line="360" w:lineRule="auto"/>
        <w:jc w:val="left"/>
        <w:rPr>
          <w:rFonts w:ascii="宋体" w:hAnsi="宋体"/>
          <w:sz w:val="24"/>
          <w:szCs w:val="24"/>
        </w:rPr>
      </w:pPr>
      <w:r>
        <w:rPr>
          <w:rFonts w:hint="eastAsia" w:ascii="宋体" w:hAnsi="宋体"/>
          <w:sz w:val="24"/>
          <w:szCs w:val="24"/>
        </w:rPr>
        <w:t>地　　址：河南省郑州市金水区纬四路13号</w:t>
      </w:r>
    </w:p>
    <w:p>
      <w:pPr>
        <w:spacing w:line="360" w:lineRule="auto"/>
        <w:jc w:val="left"/>
        <w:rPr>
          <w:rFonts w:ascii="宋体" w:hAnsi="宋体"/>
          <w:sz w:val="24"/>
          <w:szCs w:val="24"/>
        </w:rPr>
      </w:pPr>
      <w:r>
        <w:rPr>
          <w:rFonts w:hint="eastAsia" w:ascii="宋体" w:hAnsi="宋体"/>
          <w:sz w:val="24"/>
          <w:szCs w:val="24"/>
        </w:rPr>
        <w:t>联 系 人：张女士</w:t>
      </w:r>
    </w:p>
    <w:p>
      <w:pPr>
        <w:spacing w:line="360" w:lineRule="auto"/>
        <w:jc w:val="left"/>
        <w:rPr>
          <w:rFonts w:ascii="宋体" w:hAnsi="宋体"/>
          <w:sz w:val="24"/>
          <w:szCs w:val="24"/>
        </w:rPr>
      </w:pPr>
      <w:r>
        <w:rPr>
          <w:rFonts w:hint="eastAsia" w:ascii="宋体" w:hAnsi="宋体"/>
          <w:sz w:val="24"/>
          <w:szCs w:val="24"/>
        </w:rPr>
        <w:t>联系方式：0377－63533599  18537736625</w:t>
      </w:r>
    </w:p>
    <w:p>
      <w:pPr>
        <w:spacing w:line="360" w:lineRule="auto"/>
        <w:jc w:val="left"/>
        <w:rPr>
          <w:rFonts w:ascii="宋体" w:hAnsi="宋体"/>
          <w:sz w:val="24"/>
          <w:szCs w:val="24"/>
        </w:rPr>
      </w:pPr>
      <w:r>
        <w:rPr>
          <w:rFonts w:hint="eastAsia" w:ascii="宋体" w:hAnsi="宋体"/>
          <w:sz w:val="24"/>
          <w:szCs w:val="24"/>
        </w:rPr>
        <w:t>3. 项目联系方式</w:t>
      </w:r>
    </w:p>
    <w:p>
      <w:pPr>
        <w:spacing w:line="360" w:lineRule="auto"/>
        <w:jc w:val="left"/>
        <w:rPr>
          <w:rFonts w:ascii="宋体" w:hAnsi="宋体"/>
          <w:sz w:val="24"/>
          <w:szCs w:val="24"/>
        </w:rPr>
      </w:pPr>
      <w:r>
        <w:rPr>
          <w:rFonts w:hint="eastAsia" w:ascii="宋体" w:hAnsi="宋体"/>
          <w:sz w:val="24"/>
          <w:szCs w:val="24"/>
        </w:rPr>
        <w:t>联系人： 张女士</w:t>
      </w:r>
    </w:p>
    <w:p>
      <w:pPr>
        <w:spacing w:line="360" w:lineRule="auto"/>
        <w:jc w:val="left"/>
        <w:rPr>
          <w:rFonts w:ascii="宋体" w:hAnsi="宋体"/>
          <w:color w:val="000000"/>
          <w:sz w:val="24"/>
        </w:rPr>
      </w:pPr>
      <w:r>
        <w:rPr>
          <w:rFonts w:hint="eastAsia" w:ascii="宋体" w:hAnsi="宋体"/>
          <w:sz w:val="24"/>
          <w:szCs w:val="24"/>
        </w:rPr>
        <w:t>联系方式：0377-63533599</w:t>
      </w:r>
    </w:p>
    <w:p>
      <w:pPr>
        <w:spacing w:line="360" w:lineRule="auto"/>
        <w:rPr>
          <w:rStyle w:val="65"/>
          <w:rFonts w:ascii="宋体" w:hAnsi="宋体"/>
          <w:sz w:val="24"/>
          <w:szCs w:val="24"/>
        </w:rPr>
      </w:pPr>
      <w:r>
        <w:rPr>
          <w:rStyle w:val="65"/>
          <w:rFonts w:ascii="宋体" w:hAnsi="宋体"/>
          <w:sz w:val="24"/>
          <w:szCs w:val="24"/>
        </w:rPr>
        <w:t xml:space="preserve">                                招标代理机构：</w:t>
      </w:r>
      <w:r>
        <w:rPr>
          <w:rStyle w:val="65"/>
          <w:rFonts w:hint="eastAsia" w:ascii="宋体" w:hAnsi="宋体"/>
          <w:sz w:val="24"/>
          <w:szCs w:val="24"/>
        </w:rPr>
        <w:t>河南招标采购服务有限公司</w:t>
      </w:r>
    </w:p>
    <w:p>
      <w:pPr>
        <w:spacing w:line="360" w:lineRule="auto"/>
        <w:rPr>
          <w:rStyle w:val="65"/>
          <w:rFonts w:ascii="宋体" w:hAnsi="宋体"/>
          <w:sz w:val="24"/>
          <w:szCs w:val="24"/>
        </w:rPr>
      </w:pPr>
      <w:r>
        <w:rPr>
          <w:rStyle w:val="65"/>
          <w:rFonts w:ascii="宋体" w:hAnsi="宋体"/>
          <w:sz w:val="24"/>
          <w:szCs w:val="24"/>
        </w:rPr>
        <w:t xml:space="preserve">                                日  期：2020年</w:t>
      </w:r>
      <w:r>
        <w:rPr>
          <w:rStyle w:val="65"/>
          <w:rFonts w:hint="eastAsia" w:ascii="宋体" w:hAnsi="宋体"/>
          <w:sz w:val="24"/>
          <w:szCs w:val="24"/>
        </w:rPr>
        <w:t>9</w:t>
      </w:r>
      <w:r>
        <w:rPr>
          <w:rStyle w:val="65"/>
          <w:rFonts w:ascii="宋体" w:hAnsi="宋体"/>
          <w:sz w:val="24"/>
          <w:szCs w:val="24"/>
        </w:rPr>
        <w:t>月</w:t>
      </w:r>
      <w:r>
        <w:rPr>
          <w:rStyle w:val="65"/>
          <w:rFonts w:hint="eastAsia" w:ascii="宋体" w:hAnsi="宋体"/>
          <w:sz w:val="24"/>
          <w:szCs w:val="24"/>
        </w:rPr>
        <w:t>27</w:t>
      </w:r>
      <w:r>
        <w:rPr>
          <w:rStyle w:val="65"/>
          <w:rFonts w:ascii="宋体" w:hAnsi="宋体"/>
          <w:sz w:val="24"/>
          <w:szCs w:val="24"/>
        </w:rPr>
        <w:t>日</w:t>
      </w:r>
    </w:p>
    <w:p>
      <w:pPr>
        <w:pStyle w:val="16"/>
        <w:ind w:firstLine="420"/>
      </w:pPr>
    </w:p>
    <w:p>
      <w:pPr>
        <w:spacing w:line="360" w:lineRule="auto"/>
        <w:jc w:val="center"/>
        <w:outlineLvl w:val="0"/>
        <w:rPr>
          <w:b/>
          <w:bCs/>
          <w:sz w:val="30"/>
          <w:szCs w:val="30"/>
        </w:rPr>
      </w:pPr>
      <w:bookmarkStart w:id="39" w:name="_Toc574"/>
      <w:r>
        <w:rPr>
          <w:rFonts w:hint="eastAsia"/>
          <w:b/>
          <w:bCs/>
          <w:sz w:val="30"/>
          <w:szCs w:val="30"/>
        </w:rPr>
        <w:t>第一章  投标人须知前附表</w:t>
      </w:r>
      <w:bookmarkEnd w:id="0"/>
      <w:bookmarkEnd w:id="39"/>
    </w:p>
    <w:bookmarkEnd w:id="1"/>
    <w:bookmarkEnd w:id="2"/>
    <w:bookmarkEnd w:id="3"/>
    <w:bookmarkEnd w:id="4"/>
    <w:bookmarkEnd w:id="5"/>
    <w:tbl>
      <w:tblPr>
        <w:tblStyle w:val="33"/>
        <w:tblW w:w="92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858"/>
        <w:gridCol w:w="6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1" w:type="dxa"/>
            <w:vAlign w:val="center"/>
          </w:tcPr>
          <w:p>
            <w:pPr>
              <w:spacing w:line="336" w:lineRule="auto"/>
              <w:jc w:val="center"/>
              <w:rPr>
                <w:rFonts w:ascii="宋体" w:hAnsi="宋体" w:cs="宋体"/>
                <w:b/>
                <w:sz w:val="24"/>
                <w:szCs w:val="24"/>
              </w:rPr>
            </w:pPr>
            <w:r>
              <w:rPr>
                <w:rFonts w:hint="eastAsia" w:ascii="宋体" w:hAnsi="宋体" w:cs="宋体"/>
                <w:b/>
                <w:sz w:val="24"/>
                <w:szCs w:val="24"/>
              </w:rPr>
              <w:t>序号</w:t>
            </w:r>
          </w:p>
        </w:tc>
        <w:tc>
          <w:tcPr>
            <w:tcW w:w="1858" w:type="dxa"/>
            <w:vAlign w:val="center"/>
          </w:tcPr>
          <w:p>
            <w:pPr>
              <w:spacing w:line="336" w:lineRule="auto"/>
              <w:jc w:val="center"/>
              <w:rPr>
                <w:rFonts w:ascii="宋体" w:hAnsi="宋体" w:cs="宋体"/>
                <w:b/>
                <w:sz w:val="24"/>
                <w:szCs w:val="24"/>
              </w:rPr>
            </w:pPr>
            <w:r>
              <w:rPr>
                <w:rFonts w:hint="eastAsia" w:ascii="宋体" w:hAnsi="宋体" w:cs="宋体"/>
                <w:b/>
                <w:sz w:val="24"/>
                <w:szCs w:val="24"/>
              </w:rPr>
              <w:t>条款名称</w:t>
            </w:r>
          </w:p>
        </w:tc>
        <w:tc>
          <w:tcPr>
            <w:tcW w:w="6650" w:type="dxa"/>
            <w:vAlign w:val="center"/>
          </w:tcPr>
          <w:p>
            <w:pPr>
              <w:spacing w:line="336" w:lineRule="auto"/>
              <w:jc w:val="center"/>
              <w:rPr>
                <w:rFonts w:ascii="宋体" w:hAnsi="宋体" w:cs="宋体"/>
                <w:b/>
                <w:sz w:val="24"/>
                <w:szCs w:val="24"/>
              </w:rPr>
            </w:pPr>
            <w:r>
              <w:rPr>
                <w:rFonts w:hint="eastAsia" w:ascii="宋体" w:hAnsi="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采购人</w:t>
            </w:r>
          </w:p>
        </w:tc>
        <w:tc>
          <w:tcPr>
            <w:tcW w:w="6650" w:type="dxa"/>
            <w:vAlign w:val="center"/>
          </w:tcPr>
          <w:p>
            <w:pPr>
              <w:spacing w:line="336" w:lineRule="auto"/>
              <w:jc w:val="left"/>
              <w:rPr>
                <w:rFonts w:ascii="宋体" w:hAnsi="宋体" w:cs="宋体"/>
                <w:sz w:val="24"/>
                <w:szCs w:val="24"/>
              </w:rPr>
            </w:pPr>
            <w:r>
              <w:rPr>
                <w:rFonts w:hint="eastAsia" w:ascii="宋体" w:hAnsi="宋体" w:cs="宋体"/>
                <w:sz w:val="24"/>
                <w:szCs w:val="24"/>
                <w:lang w:val="zh-CN"/>
              </w:rPr>
              <w:t>采购人：河南省南阳市中级人民法院</w:t>
            </w:r>
          </w:p>
          <w:p>
            <w:pPr>
              <w:spacing w:line="336" w:lineRule="auto"/>
              <w:jc w:val="left"/>
              <w:rPr>
                <w:rFonts w:ascii="宋体" w:hAnsi="宋体" w:cs="宋体"/>
                <w:sz w:val="24"/>
                <w:szCs w:val="24"/>
                <w:lang w:val="zh-CN"/>
              </w:rPr>
            </w:pPr>
            <w:r>
              <w:rPr>
                <w:rFonts w:hint="eastAsia" w:ascii="宋体" w:hAnsi="宋体" w:cs="宋体"/>
                <w:sz w:val="24"/>
                <w:szCs w:val="24"/>
                <w:lang w:val="zh-CN"/>
              </w:rPr>
              <w:t>联系人：马科长</w:t>
            </w:r>
          </w:p>
          <w:p>
            <w:pPr>
              <w:spacing w:line="336" w:lineRule="auto"/>
              <w:jc w:val="left"/>
              <w:rPr>
                <w:rFonts w:ascii="宋体" w:hAnsi="宋体" w:cs="宋体"/>
                <w:sz w:val="24"/>
                <w:szCs w:val="24"/>
              </w:rPr>
            </w:pPr>
            <w:r>
              <w:rPr>
                <w:rFonts w:hint="eastAsia" w:ascii="宋体" w:hAnsi="宋体" w:cs="宋体"/>
                <w:sz w:val="24"/>
                <w:szCs w:val="24"/>
                <w:lang w:val="zh-CN"/>
              </w:rPr>
              <w:t>联系电话：0377-63</w:t>
            </w:r>
            <w:r>
              <w:rPr>
                <w:rFonts w:hint="eastAsia" w:ascii="宋体" w:hAnsi="宋体" w:cs="宋体"/>
                <w:sz w:val="24"/>
                <w:szCs w:val="24"/>
              </w:rPr>
              <w:t>079933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2</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采购代理机构</w:t>
            </w:r>
          </w:p>
        </w:tc>
        <w:tc>
          <w:tcPr>
            <w:tcW w:w="6650" w:type="dxa"/>
            <w:vAlign w:val="center"/>
          </w:tcPr>
          <w:p>
            <w:pPr>
              <w:spacing w:line="336" w:lineRule="auto"/>
              <w:jc w:val="left"/>
              <w:rPr>
                <w:rFonts w:ascii="宋体" w:hAnsi="宋体" w:cs="宋体"/>
                <w:sz w:val="24"/>
                <w:szCs w:val="24"/>
              </w:rPr>
            </w:pPr>
            <w:r>
              <w:rPr>
                <w:rFonts w:hint="eastAsia" w:ascii="宋体" w:hAnsi="宋体" w:cs="宋体"/>
                <w:sz w:val="24"/>
                <w:szCs w:val="24"/>
              </w:rPr>
              <w:t>招标代理机构：河南招标采购服务有限公司</w:t>
            </w:r>
          </w:p>
          <w:p>
            <w:pPr>
              <w:spacing w:line="336" w:lineRule="auto"/>
              <w:jc w:val="left"/>
              <w:rPr>
                <w:rFonts w:ascii="宋体" w:hAnsi="宋体" w:cs="宋体"/>
                <w:sz w:val="24"/>
                <w:szCs w:val="24"/>
              </w:rPr>
            </w:pPr>
            <w:r>
              <w:rPr>
                <w:rFonts w:hint="eastAsia" w:ascii="宋体" w:hAnsi="宋体" w:cs="宋体"/>
                <w:sz w:val="24"/>
                <w:szCs w:val="24"/>
              </w:rPr>
              <w:t>联系人：张女士</w:t>
            </w:r>
          </w:p>
          <w:p>
            <w:pPr>
              <w:spacing w:line="336" w:lineRule="auto"/>
              <w:jc w:val="left"/>
              <w:rPr>
                <w:rFonts w:ascii="宋体" w:hAnsi="宋体" w:cs="宋体"/>
                <w:color w:val="000000"/>
                <w:kern w:val="0"/>
                <w:sz w:val="24"/>
                <w:szCs w:val="24"/>
              </w:rPr>
            </w:pPr>
            <w:r>
              <w:rPr>
                <w:rFonts w:hint="eastAsia" w:ascii="宋体" w:hAnsi="宋体" w:cs="宋体"/>
                <w:sz w:val="24"/>
                <w:szCs w:val="24"/>
              </w:rPr>
              <w:t>联系电话：0377-63533599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3</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项目名称</w:t>
            </w:r>
          </w:p>
        </w:tc>
        <w:tc>
          <w:tcPr>
            <w:tcW w:w="6650" w:type="dxa"/>
            <w:vAlign w:val="center"/>
          </w:tcPr>
          <w:p>
            <w:pPr>
              <w:spacing w:line="336" w:lineRule="auto"/>
              <w:jc w:val="left"/>
              <w:rPr>
                <w:rFonts w:ascii="宋体" w:hAnsi="宋体" w:cs="宋体"/>
                <w:sz w:val="24"/>
                <w:szCs w:val="24"/>
              </w:rPr>
            </w:pPr>
            <w:r>
              <w:rPr>
                <w:rFonts w:hint="eastAsia" w:ascii="宋体" w:hAnsi="宋体"/>
                <w:sz w:val="24"/>
                <w:szCs w:val="24"/>
              </w:rPr>
              <w:t>南阳市中级人民法院防暑处突装备（1.囚车；2.巡回审判车；3.执法执勤车）项目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4</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采购内容</w:t>
            </w:r>
          </w:p>
        </w:tc>
        <w:tc>
          <w:tcPr>
            <w:tcW w:w="6650" w:type="dxa"/>
            <w:vAlign w:val="center"/>
          </w:tcPr>
          <w:p>
            <w:pPr>
              <w:spacing w:line="336" w:lineRule="auto"/>
              <w:jc w:val="left"/>
              <w:rPr>
                <w:rFonts w:ascii="宋体" w:hAnsi="宋体" w:cs="宋体"/>
                <w:sz w:val="24"/>
                <w:szCs w:val="24"/>
              </w:rPr>
            </w:pPr>
            <w:r>
              <w:rPr>
                <w:rFonts w:hint="eastAsia" w:ascii="宋体" w:hAnsi="宋体" w:cs="宋体"/>
                <w:sz w:val="24"/>
                <w:szCs w:val="24"/>
              </w:rPr>
              <w:t>详见招标文件要求、产品清单及技术要求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5</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资金来源</w:t>
            </w:r>
          </w:p>
        </w:tc>
        <w:tc>
          <w:tcPr>
            <w:tcW w:w="6650" w:type="dxa"/>
            <w:vAlign w:val="center"/>
          </w:tcPr>
          <w:p>
            <w:pPr>
              <w:spacing w:line="336" w:lineRule="auto"/>
              <w:jc w:val="left"/>
              <w:rPr>
                <w:rFonts w:ascii="宋体" w:hAnsi="宋体" w:cs="宋体"/>
                <w:sz w:val="24"/>
                <w:szCs w:val="24"/>
              </w:rPr>
            </w:pPr>
            <w:r>
              <w:rPr>
                <w:rFonts w:hint="eastAsia" w:ascii="宋体" w:hAnsi="宋体" w:cs="宋体"/>
                <w:sz w:val="24"/>
                <w:szCs w:val="24"/>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6</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质保期</w:t>
            </w:r>
          </w:p>
        </w:tc>
        <w:tc>
          <w:tcPr>
            <w:tcW w:w="6650" w:type="dxa"/>
            <w:vAlign w:val="center"/>
          </w:tcPr>
          <w:p>
            <w:pPr>
              <w:spacing w:line="336" w:lineRule="auto"/>
              <w:jc w:val="left"/>
              <w:rPr>
                <w:rFonts w:ascii="宋体" w:hAnsi="宋体" w:cs="宋体"/>
                <w:sz w:val="24"/>
                <w:szCs w:val="24"/>
              </w:rPr>
            </w:pPr>
            <w:r>
              <w:rPr>
                <w:rFonts w:hint="eastAsia" w:ascii="宋体" w:hAnsi="宋体" w:cs="宋体"/>
                <w:sz w:val="24"/>
                <w:szCs w:val="24"/>
              </w:rPr>
              <w:t>质保3年或6万公里的整车质量保修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7</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质量</w:t>
            </w:r>
          </w:p>
        </w:tc>
        <w:tc>
          <w:tcPr>
            <w:tcW w:w="6650" w:type="dxa"/>
            <w:vAlign w:val="center"/>
          </w:tcPr>
          <w:p>
            <w:pPr>
              <w:spacing w:line="336" w:lineRule="auto"/>
              <w:jc w:val="left"/>
              <w:rPr>
                <w:rFonts w:ascii="宋体" w:hAnsi="宋体" w:cs="宋体"/>
                <w:sz w:val="24"/>
                <w:szCs w:val="24"/>
              </w:rPr>
            </w:pPr>
            <w:r>
              <w:rPr>
                <w:rFonts w:hint="eastAsia" w:ascii="宋体" w:hAnsi="宋体" w:cs="宋体"/>
                <w:sz w:val="24"/>
                <w:szCs w:val="24"/>
              </w:rPr>
              <w:t>达到国家相关规范和要求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8</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供货期</w:t>
            </w:r>
          </w:p>
        </w:tc>
        <w:tc>
          <w:tcPr>
            <w:tcW w:w="6650" w:type="dxa"/>
            <w:vAlign w:val="center"/>
          </w:tcPr>
          <w:p>
            <w:pPr>
              <w:spacing w:line="336" w:lineRule="auto"/>
              <w:jc w:val="left"/>
              <w:rPr>
                <w:rFonts w:ascii="宋体" w:hAnsi="宋体" w:cs="宋体"/>
                <w:sz w:val="24"/>
                <w:szCs w:val="24"/>
              </w:rPr>
            </w:pPr>
            <w:r>
              <w:rPr>
                <w:rFonts w:ascii="宋体" w:hAnsi="宋体" w:cs="宋体"/>
                <w:sz w:val="24"/>
                <w:szCs w:val="24"/>
              </w:rPr>
              <w:t>自合同签订后</w:t>
            </w:r>
            <w:r>
              <w:rPr>
                <w:rFonts w:hint="eastAsia" w:ascii="宋体" w:hAnsi="宋体" w:cs="宋体"/>
                <w:sz w:val="24"/>
                <w:szCs w:val="24"/>
              </w:rPr>
              <w:t>30</w:t>
            </w:r>
            <w:r>
              <w:rPr>
                <w:rFonts w:ascii="宋体"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9</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投标人资格要求</w:t>
            </w:r>
          </w:p>
        </w:tc>
        <w:tc>
          <w:tcPr>
            <w:tcW w:w="6650" w:type="dxa"/>
            <w:vAlign w:val="center"/>
          </w:tcPr>
          <w:p>
            <w:pPr>
              <w:spacing w:line="450" w:lineRule="exact"/>
              <w:rPr>
                <w:rFonts w:ascii="宋体" w:hAnsi="宋体"/>
                <w:sz w:val="24"/>
                <w:szCs w:val="22"/>
              </w:rPr>
            </w:pPr>
            <w:r>
              <w:rPr>
                <w:rFonts w:hint="eastAsia" w:ascii="宋体" w:hAnsi="宋体" w:cs="宋体"/>
                <w:color w:val="000000"/>
                <w:kern w:val="0"/>
                <w:sz w:val="24"/>
                <w:szCs w:val="24"/>
              </w:rPr>
              <w:t>投标供应商须满足《中华人民共和国政府招标法》二十二条规定</w:t>
            </w:r>
            <w:r>
              <w:rPr>
                <w:rFonts w:hint="eastAsia" w:ascii="宋体" w:hAnsi="宋体"/>
                <w:sz w:val="24"/>
                <w:szCs w:val="22"/>
              </w:rPr>
              <w:t>的要求；</w:t>
            </w:r>
          </w:p>
          <w:p>
            <w:pPr>
              <w:spacing w:line="450" w:lineRule="exact"/>
              <w:rPr>
                <w:rFonts w:ascii="宋体" w:hAnsi="宋体"/>
                <w:sz w:val="24"/>
                <w:szCs w:val="22"/>
              </w:rPr>
            </w:pPr>
            <w:r>
              <w:rPr>
                <w:rFonts w:hint="eastAsia" w:ascii="宋体" w:hAnsi="宋体"/>
                <w:sz w:val="24"/>
                <w:szCs w:val="22"/>
              </w:rPr>
              <w:t>（1）具有独立承担民事责任的能力；</w:t>
            </w:r>
          </w:p>
          <w:p>
            <w:pPr>
              <w:spacing w:line="450" w:lineRule="exact"/>
              <w:rPr>
                <w:rFonts w:ascii="宋体" w:hAnsi="宋体" w:cs="宋体"/>
                <w:color w:val="000000"/>
                <w:kern w:val="0"/>
                <w:sz w:val="24"/>
                <w:szCs w:val="24"/>
              </w:rPr>
            </w:pPr>
            <w:r>
              <w:rPr>
                <w:rFonts w:hint="eastAsia" w:ascii="宋体" w:hAnsi="宋体"/>
                <w:sz w:val="24"/>
                <w:szCs w:val="22"/>
              </w:rPr>
              <w:t>（2）具有良</w:t>
            </w:r>
            <w:r>
              <w:rPr>
                <w:rFonts w:hint="eastAsia" w:ascii="宋体" w:hAnsi="宋体" w:cs="宋体"/>
                <w:color w:val="000000"/>
                <w:kern w:val="0"/>
                <w:sz w:val="24"/>
                <w:szCs w:val="24"/>
              </w:rPr>
              <w:t>好的商业信誉和健全的财务会计制度；</w:t>
            </w:r>
            <w:r>
              <w:rPr>
                <w:rFonts w:hint="eastAsia" w:ascii="宋体" w:hAnsi="宋体"/>
                <w:sz w:val="24"/>
                <w:szCs w:val="22"/>
              </w:rPr>
              <w:t>（提供经审计的2018年度或2019年度财务报告或银行出具的资信证明或财政部门认可的政府采购专业担保机构出具的投标担保函）；</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（3）具有履行合同所必需的设备和专业技术能力；</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（4）有依法缴纳税收和社会保障资金的良好记录；（提供2020年任意一个月依法缴纳税收和社会保障资金的证明，依法免税企业应提供相关证明文件；）</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（5）参加政府招标活动前三年内，在经营活动中没有重大违法记录；</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（6）法律、行政法规规定的其他条件。</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2.投标人需提供无行贿犯罪记录承诺函（承诺对象包括：投标企业、法定代表人），并对其真实性负责，若承诺不实，所造成的后果由投标人承担；</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案件当事人名单、政府采购严重违法失信行为记录名单的供应商，拒绝参与本项目的磋商；【查询渠道：“信用中国”网站（www.creditchina.gov.cn）、中国政府采购网（www.ccgp.gov.cn）】；</w:t>
            </w:r>
          </w:p>
          <w:p>
            <w:pPr>
              <w:widowControl/>
              <w:spacing w:line="360" w:lineRule="auto"/>
              <w:jc w:val="left"/>
              <w:rPr>
                <w:rFonts w:ascii="宋体" w:hAnsi="宋体" w:cs="宋体"/>
                <w:szCs w:val="24"/>
              </w:rPr>
            </w:pPr>
            <w:r>
              <w:rPr>
                <w:rFonts w:hint="eastAsia" w:ascii="宋体" w:hAnsi="宋体" w:cs="宋体"/>
                <w:color w:val="000000"/>
                <w:kern w:val="0"/>
                <w:sz w:val="24"/>
                <w:szCs w:val="24"/>
              </w:rPr>
              <w:t>4.本项目不接受联合体投标，不得分包转包。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10</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是否接受联合体投标</w:t>
            </w:r>
          </w:p>
        </w:tc>
        <w:tc>
          <w:tcPr>
            <w:tcW w:w="6650" w:type="dxa"/>
            <w:vAlign w:val="center"/>
          </w:tcPr>
          <w:p>
            <w:pPr>
              <w:spacing w:line="336" w:lineRule="auto"/>
              <w:rPr>
                <w:rFonts w:ascii="宋体" w:hAnsi="宋体" w:cs="宋体"/>
                <w:sz w:val="24"/>
                <w:szCs w:val="24"/>
              </w:rPr>
            </w:pPr>
            <w:r>
              <w:rPr>
                <w:rFonts w:hint="eastAsia" w:ascii="宋体" w:hAnsi="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11</w:t>
            </w:r>
          </w:p>
        </w:tc>
        <w:tc>
          <w:tcPr>
            <w:tcW w:w="1858" w:type="dxa"/>
            <w:vAlign w:val="center"/>
          </w:tcPr>
          <w:p>
            <w:pPr>
              <w:spacing w:line="336" w:lineRule="auto"/>
              <w:jc w:val="center"/>
              <w:rPr>
                <w:rFonts w:ascii="宋体" w:hAnsi="宋体" w:cs="宋体"/>
                <w:sz w:val="24"/>
                <w:szCs w:val="24"/>
              </w:rPr>
            </w:pPr>
            <w:r>
              <w:rPr>
                <w:rFonts w:hint="eastAsia" w:ascii="宋体" w:hAnsi="宋体" w:cs="宋体"/>
                <w:sz w:val="24"/>
                <w:szCs w:val="24"/>
              </w:rPr>
              <w:t>招标控制价</w:t>
            </w:r>
          </w:p>
        </w:tc>
        <w:tc>
          <w:tcPr>
            <w:tcW w:w="6650" w:type="dxa"/>
            <w:vAlign w:val="center"/>
          </w:tcPr>
          <w:p>
            <w:pPr>
              <w:spacing w:line="336" w:lineRule="auto"/>
              <w:rPr>
                <w:b/>
                <w:bCs/>
                <w:sz w:val="24"/>
                <w:szCs w:val="24"/>
              </w:rPr>
            </w:pPr>
            <w:r>
              <w:rPr>
                <w:rFonts w:hint="eastAsia"/>
                <w:b/>
                <w:bCs/>
                <w:sz w:val="24"/>
                <w:szCs w:val="24"/>
              </w:rPr>
              <w:t>一标段：661000元</w:t>
            </w:r>
          </w:p>
          <w:p>
            <w:pPr>
              <w:spacing w:line="336" w:lineRule="auto"/>
              <w:rPr>
                <w:b/>
                <w:bCs/>
                <w:sz w:val="24"/>
                <w:szCs w:val="24"/>
              </w:rPr>
            </w:pPr>
            <w:r>
              <w:rPr>
                <w:rFonts w:hint="eastAsia"/>
                <w:b/>
                <w:bCs/>
                <w:sz w:val="24"/>
                <w:szCs w:val="24"/>
              </w:rPr>
              <w:t>二标段：960000元</w:t>
            </w:r>
          </w:p>
          <w:p>
            <w:pPr>
              <w:pStyle w:val="2"/>
            </w:pPr>
            <w:r>
              <w:rPr>
                <w:rFonts w:hint="eastAsia"/>
                <w:b/>
                <w:bCs/>
                <w:sz w:val="24"/>
                <w:szCs w:val="24"/>
              </w:rPr>
              <w:t>三标段：900000元</w:t>
            </w:r>
          </w:p>
          <w:p>
            <w:pPr>
              <w:spacing w:line="336" w:lineRule="auto"/>
              <w:rPr>
                <w:rFonts w:ascii="宋体"/>
                <w:b/>
                <w:bCs/>
                <w:sz w:val="24"/>
                <w:szCs w:val="24"/>
              </w:rPr>
            </w:pPr>
            <w:r>
              <w:rPr>
                <w:rFonts w:hint="eastAsia" w:ascii="宋体"/>
                <w:b/>
                <w:bCs/>
                <w:sz w:val="24"/>
                <w:szCs w:val="24"/>
              </w:rPr>
              <w:t>（投标人报</w:t>
            </w:r>
            <w:r>
              <w:rPr>
                <w:rFonts w:hint="eastAsia"/>
                <w:b/>
                <w:bCs/>
                <w:sz w:val="24"/>
                <w:szCs w:val="24"/>
              </w:rPr>
              <w:t>价超过控制价将导致投标无效）</w:t>
            </w:r>
          </w:p>
          <w:p>
            <w:pPr>
              <w:spacing w:line="320" w:lineRule="exact"/>
              <w:ind w:firstLine="480" w:firstLineChars="200"/>
              <w:rPr>
                <w:szCs w:val="22"/>
              </w:rPr>
            </w:pPr>
            <w:r>
              <w:rPr>
                <w:rFonts w:hint="eastAsia" w:ascii="宋体"/>
                <w:sz w:val="24"/>
                <w:szCs w:val="24"/>
              </w:rPr>
              <w:t>投标报价为：目的地交货价，包括：包括货物、随配附件、备品备件、工具、厂家赠品、运抵指定交货地点费用、保险费、安装调试费、服务费、售后服务、税金及其他所有费用的总和。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12</w:t>
            </w:r>
          </w:p>
        </w:tc>
        <w:tc>
          <w:tcPr>
            <w:tcW w:w="1858" w:type="dxa"/>
            <w:vAlign w:val="center"/>
          </w:tcPr>
          <w:p>
            <w:pPr>
              <w:spacing w:line="336" w:lineRule="auto"/>
              <w:jc w:val="center"/>
              <w:rPr>
                <w:rFonts w:ascii="宋体" w:hAnsi="宋体" w:cs="宋体"/>
                <w:spacing w:val="6"/>
                <w:sz w:val="24"/>
                <w:szCs w:val="24"/>
              </w:rPr>
            </w:pPr>
            <w:r>
              <w:rPr>
                <w:rFonts w:hint="eastAsia" w:ascii="宋体" w:hAnsi="宋体" w:cs="宋体"/>
                <w:spacing w:val="6"/>
                <w:sz w:val="24"/>
                <w:szCs w:val="24"/>
              </w:rPr>
              <w:t>投标有效期</w:t>
            </w:r>
          </w:p>
        </w:tc>
        <w:tc>
          <w:tcPr>
            <w:tcW w:w="6650"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13</w:t>
            </w:r>
          </w:p>
        </w:tc>
        <w:tc>
          <w:tcPr>
            <w:tcW w:w="1858" w:type="dxa"/>
            <w:vAlign w:val="center"/>
          </w:tcPr>
          <w:p>
            <w:pPr>
              <w:spacing w:line="336" w:lineRule="auto"/>
              <w:jc w:val="center"/>
              <w:rPr>
                <w:rFonts w:ascii="宋体" w:hAnsi="宋体" w:cs="宋体"/>
                <w:sz w:val="24"/>
                <w:szCs w:val="24"/>
              </w:rPr>
            </w:pPr>
            <w:r>
              <w:rPr>
                <w:rFonts w:hint="eastAsia" w:ascii="宋体" w:hAnsi="宋体" w:cs="宋体"/>
                <w:bCs/>
                <w:sz w:val="24"/>
                <w:szCs w:val="24"/>
              </w:rPr>
              <w:t>投标保证金</w:t>
            </w:r>
          </w:p>
        </w:tc>
        <w:tc>
          <w:tcPr>
            <w:tcW w:w="6650" w:type="dxa"/>
            <w:vAlign w:val="center"/>
          </w:tcPr>
          <w:p>
            <w:pPr>
              <w:widowControl/>
              <w:spacing w:line="360" w:lineRule="auto"/>
              <w:rPr>
                <w:rFonts w:ascii="宋体" w:hAnsi="宋体" w:cs="宋体"/>
                <w:b/>
                <w:kern w:val="0"/>
                <w:sz w:val="24"/>
                <w:szCs w:val="24"/>
              </w:rPr>
            </w:pPr>
            <w:r>
              <w:rPr>
                <w:rFonts w:hint="eastAsia" w:ascii="宋体" w:hAnsi="宋体"/>
                <w:color w:val="000000"/>
                <w:sz w:val="24"/>
                <w:szCs w:val="24"/>
              </w:rPr>
              <w:t>本项目不设置投标保证金。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14</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签字或盖章要求</w:t>
            </w:r>
          </w:p>
        </w:tc>
        <w:tc>
          <w:tcPr>
            <w:tcW w:w="6650"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见投标文件的编制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15</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投标文件份数</w:t>
            </w:r>
          </w:p>
        </w:tc>
        <w:tc>
          <w:tcPr>
            <w:tcW w:w="6650"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正本壹份、副本肆份、开标一览表壹份、电子文档U盘壹份（开标一览表、电子文档单独密封）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16</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封套上写明</w:t>
            </w:r>
          </w:p>
        </w:tc>
        <w:tc>
          <w:tcPr>
            <w:tcW w:w="6650" w:type="dxa"/>
            <w:vAlign w:val="center"/>
          </w:tcPr>
          <w:p>
            <w:pPr>
              <w:spacing w:line="440" w:lineRule="exact"/>
              <w:ind w:firstLine="218" w:firstLineChars="91"/>
              <w:rPr>
                <w:rFonts w:ascii="宋体" w:hAnsi="宋体"/>
                <w:sz w:val="24"/>
                <w:szCs w:val="24"/>
              </w:rPr>
            </w:pPr>
            <w:r>
              <w:rPr>
                <w:rFonts w:hint="eastAsia" w:ascii="宋体" w:hAnsi="宋体"/>
                <w:sz w:val="24"/>
                <w:szCs w:val="24"/>
              </w:rPr>
              <w:t>投标文件（正本/副本）</w:t>
            </w:r>
          </w:p>
          <w:p>
            <w:pPr>
              <w:spacing w:line="440" w:lineRule="exact"/>
              <w:ind w:firstLine="218" w:firstLineChars="91"/>
              <w:rPr>
                <w:rFonts w:ascii="宋体" w:hAnsi="宋体"/>
                <w:sz w:val="24"/>
                <w:szCs w:val="24"/>
              </w:rPr>
            </w:pPr>
            <w:r>
              <w:rPr>
                <w:rFonts w:hint="eastAsia" w:ascii="宋体" w:hAnsi="宋体"/>
                <w:sz w:val="24"/>
                <w:szCs w:val="24"/>
              </w:rPr>
              <w:t xml:space="preserve">项目名称、标段： </w:t>
            </w:r>
          </w:p>
          <w:p>
            <w:pPr>
              <w:spacing w:line="440" w:lineRule="exact"/>
              <w:ind w:firstLine="218" w:firstLineChars="91"/>
              <w:rPr>
                <w:rFonts w:ascii="宋体" w:hAnsi="宋体"/>
                <w:sz w:val="24"/>
                <w:szCs w:val="24"/>
              </w:rPr>
            </w:pPr>
            <w:r>
              <w:rPr>
                <w:rFonts w:hint="eastAsia" w:ascii="宋体" w:hAnsi="宋体"/>
                <w:sz w:val="24"/>
                <w:szCs w:val="24"/>
              </w:rPr>
              <w:t>项目编号：</w:t>
            </w:r>
          </w:p>
          <w:p>
            <w:pPr>
              <w:spacing w:line="440" w:lineRule="exact"/>
              <w:ind w:firstLine="218" w:firstLineChars="91"/>
              <w:rPr>
                <w:rFonts w:ascii="宋体" w:hAnsi="宋体"/>
                <w:sz w:val="24"/>
                <w:szCs w:val="24"/>
              </w:rPr>
            </w:pPr>
            <w:r>
              <w:rPr>
                <w:rFonts w:hint="eastAsia" w:ascii="宋体" w:hAnsi="宋体"/>
                <w:sz w:val="24"/>
                <w:szCs w:val="24"/>
              </w:rPr>
              <w:t>投标人名称（公章）：</w:t>
            </w:r>
          </w:p>
          <w:p>
            <w:pPr>
              <w:spacing w:line="440" w:lineRule="exact"/>
              <w:ind w:firstLine="218" w:firstLineChars="91"/>
              <w:rPr>
                <w:rFonts w:ascii="宋体" w:hAnsi="宋体" w:cs="宋体"/>
                <w:spacing w:val="6"/>
                <w:sz w:val="24"/>
                <w:szCs w:val="24"/>
              </w:rPr>
            </w:pPr>
            <w:r>
              <w:rPr>
                <w:rFonts w:hint="eastAsia" w:ascii="宋体" w:hAnsi="宋体"/>
                <w:sz w:val="24"/>
                <w:szCs w:val="24"/>
              </w:rPr>
              <w:t>在  年   月   日之前不得启封：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17</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递交投标文件地点</w:t>
            </w:r>
          </w:p>
        </w:tc>
        <w:tc>
          <w:tcPr>
            <w:tcW w:w="6650" w:type="dxa"/>
            <w:vAlign w:val="center"/>
          </w:tcPr>
          <w:p>
            <w:pPr>
              <w:spacing w:line="440" w:lineRule="exact"/>
              <w:rPr>
                <w:rFonts w:ascii="宋体" w:hAnsi="宋体"/>
                <w:sz w:val="24"/>
                <w:szCs w:val="24"/>
              </w:rPr>
            </w:pPr>
            <w:r>
              <w:rPr>
                <w:rFonts w:hint="eastAsia" w:ascii="宋体" w:hAnsi="宋体"/>
                <w:sz w:val="24"/>
                <w:szCs w:val="24"/>
              </w:rPr>
              <w:t>河南招标采购服务有限公司南阳分公司（南阳市孔明路与范蠡路交叉口南100米学府公寓2号楼13A层）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18</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是否退还投标文件</w:t>
            </w:r>
          </w:p>
        </w:tc>
        <w:tc>
          <w:tcPr>
            <w:tcW w:w="6650"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19</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投标文件递交的截止时间及开标时间</w:t>
            </w:r>
          </w:p>
        </w:tc>
        <w:tc>
          <w:tcPr>
            <w:tcW w:w="6650" w:type="dxa"/>
            <w:vAlign w:val="center"/>
          </w:tcPr>
          <w:p>
            <w:pPr>
              <w:spacing w:line="336" w:lineRule="auto"/>
              <w:jc w:val="left"/>
              <w:rPr>
                <w:rFonts w:ascii="宋体" w:hAnsi="宋体" w:cs="宋体"/>
                <w:color w:val="000000"/>
                <w:spacing w:val="6"/>
                <w:sz w:val="24"/>
                <w:szCs w:val="24"/>
                <w:lang w:val="zh-CN"/>
              </w:rPr>
            </w:pPr>
            <w:r>
              <w:rPr>
                <w:rFonts w:hint="eastAsia" w:ascii="宋体" w:hAnsi="宋体" w:cs="宋体"/>
                <w:spacing w:val="6"/>
                <w:sz w:val="24"/>
                <w:szCs w:val="24"/>
              </w:rPr>
              <w:t>投标文件递交的截止时间及开标时间</w:t>
            </w:r>
            <w:r>
              <w:rPr>
                <w:rFonts w:hint="eastAsia" w:ascii="宋体" w:hAnsi="宋体" w:cs="宋体"/>
                <w:spacing w:val="6"/>
                <w:sz w:val="24"/>
                <w:szCs w:val="24"/>
                <w:lang w:val="zh-CN"/>
              </w:rPr>
              <w:t>：</w:t>
            </w:r>
            <w:r>
              <w:rPr>
                <w:rFonts w:hint="eastAsia" w:ascii="宋体" w:hAnsi="宋体" w:cs="宋体"/>
                <w:color w:val="0000FF"/>
                <w:spacing w:val="6"/>
                <w:sz w:val="24"/>
                <w:szCs w:val="24"/>
                <w:highlight w:val="yellow"/>
              </w:rPr>
              <w:t>2020年10月20日9</w:t>
            </w:r>
            <w:r>
              <w:rPr>
                <w:rFonts w:hint="eastAsia" w:ascii="宋体" w:hAnsi="宋体" w:cs="宋体"/>
                <w:spacing w:val="6"/>
                <w:sz w:val="24"/>
                <w:szCs w:val="24"/>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20</w:t>
            </w:r>
          </w:p>
        </w:tc>
        <w:tc>
          <w:tcPr>
            <w:tcW w:w="1858" w:type="dxa"/>
            <w:vAlign w:val="center"/>
          </w:tcPr>
          <w:p>
            <w:pPr>
              <w:spacing w:line="336" w:lineRule="auto"/>
              <w:jc w:val="center"/>
              <w:rPr>
                <w:rFonts w:ascii="宋体" w:hAnsi="宋体" w:cs="宋体"/>
                <w:spacing w:val="6"/>
                <w:sz w:val="24"/>
                <w:szCs w:val="24"/>
              </w:rPr>
            </w:pPr>
            <w:r>
              <w:rPr>
                <w:rFonts w:hint="eastAsia" w:ascii="宋体" w:hAnsi="宋体" w:cs="宋体"/>
                <w:spacing w:val="6"/>
                <w:sz w:val="24"/>
                <w:szCs w:val="24"/>
              </w:rPr>
              <w:t>开标程序</w:t>
            </w:r>
          </w:p>
        </w:tc>
        <w:tc>
          <w:tcPr>
            <w:tcW w:w="6650"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开标唱标：按递交投标文件的逆顺序进行，唱标以投标文件正本中的开标一览表内容为准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31" w:type="dxa"/>
            <w:vAlign w:val="center"/>
          </w:tcPr>
          <w:p>
            <w:pPr>
              <w:widowControl/>
              <w:spacing w:before="100" w:beforeAutospacing="1" w:after="100" w:afterAutospacing="1" w:line="340" w:lineRule="exact"/>
              <w:jc w:val="center"/>
              <w:rPr>
                <w:rFonts w:ascii="宋体" w:hAnsi="宋体" w:cs="宋体"/>
                <w:kern w:val="0"/>
                <w:sz w:val="24"/>
                <w:szCs w:val="24"/>
              </w:rPr>
            </w:pPr>
            <w:r>
              <w:rPr>
                <w:rFonts w:hint="eastAsia" w:ascii="宋体" w:hAnsi="宋体" w:cs="宋体"/>
                <w:kern w:val="0"/>
                <w:sz w:val="24"/>
                <w:szCs w:val="24"/>
              </w:rPr>
              <w:t>22</w:t>
            </w:r>
          </w:p>
        </w:tc>
        <w:tc>
          <w:tcPr>
            <w:tcW w:w="1858" w:type="dxa"/>
            <w:vAlign w:val="center"/>
          </w:tcPr>
          <w:p>
            <w:pPr>
              <w:widowControl/>
              <w:spacing w:before="100" w:beforeAutospacing="1" w:after="100" w:afterAutospacing="1" w:line="340" w:lineRule="exact"/>
              <w:jc w:val="center"/>
              <w:rPr>
                <w:rFonts w:ascii="宋体" w:hAnsi="宋体" w:cs="宋体"/>
                <w:kern w:val="0"/>
                <w:sz w:val="24"/>
                <w:szCs w:val="24"/>
              </w:rPr>
            </w:pPr>
            <w:r>
              <w:rPr>
                <w:rFonts w:hint="eastAsia" w:ascii="宋体" w:hAnsi="宋体" w:cs="宋体"/>
                <w:kern w:val="0"/>
                <w:sz w:val="24"/>
                <w:szCs w:val="24"/>
              </w:rPr>
              <w:t>付款方式</w:t>
            </w:r>
          </w:p>
        </w:tc>
        <w:tc>
          <w:tcPr>
            <w:tcW w:w="6650" w:type="dxa"/>
            <w:vAlign w:val="center"/>
          </w:tcPr>
          <w:p>
            <w:pPr>
              <w:adjustRightInd w:val="0"/>
              <w:spacing w:line="400" w:lineRule="exact"/>
              <w:ind w:right="-514"/>
              <w:rPr>
                <w:rFonts w:ascii="宋体" w:hAnsi="宋体" w:cs="宋体"/>
                <w:kern w:val="0"/>
                <w:sz w:val="24"/>
                <w:szCs w:val="24"/>
              </w:rPr>
            </w:pPr>
            <w:r>
              <w:rPr>
                <w:rFonts w:hint="eastAsia" w:ascii="宋体" w:hAnsi="宋体" w:cs="宋体"/>
                <w:kern w:val="0"/>
                <w:sz w:val="24"/>
                <w:szCs w:val="24"/>
              </w:rPr>
              <w:t>采购单位验收合</w:t>
            </w:r>
            <w:bookmarkStart w:id="67" w:name="_GoBack"/>
            <w:bookmarkEnd w:id="67"/>
            <w:r>
              <w:rPr>
                <w:rFonts w:hint="eastAsia" w:ascii="宋体" w:hAnsi="宋体" w:cs="宋体"/>
                <w:kern w:val="0"/>
                <w:sz w:val="24"/>
                <w:szCs w:val="24"/>
              </w:rPr>
              <w:t>格后向供方支付合同总价的100%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1" w:type="dxa"/>
            <w:vAlign w:val="center"/>
          </w:tcPr>
          <w:p>
            <w:pPr>
              <w:widowControl/>
              <w:spacing w:before="100" w:beforeAutospacing="1" w:after="100" w:afterAutospacing="1" w:line="340" w:lineRule="exact"/>
              <w:ind w:firstLine="120" w:firstLineChars="50"/>
              <w:jc w:val="center"/>
              <w:rPr>
                <w:rFonts w:ascii="宋体" w:hAnsi="宋体" w:cs="宋体"/>
                <w:kern w:val="0"/>
                <w:sz w:val="24"/>
                <w:szCs w:val="24"/>
              </w:rPr>
            </w:pPr>
            <w:r>
              <w:rPr>
                <w:rFonts w:hint="eastAsia" w:ascii="宋体" w:hAnsi="宋体" w:cs="宋体"/>
                <w:kern w:val="0"/>
                <w:sz w:val="24"/>
                <w:szCs w:val="24"/>
              </w:rPr>
              <w:t>23</w:t>
            </w:r>
          </w:p>
        </w:tc>
        <w:tc>
          <w:tcPr>
            <w:tcW w:w="1858" w:type="dxa"/>
            <w:vAlign w:val="center"/>
          </w:tcPr>
          <w:p>
            <w:pPr>
              <w:widowControl/>
              <w:spacing w:before="100" w:beforeAutospacing="1" w:after="100" w:afterAutospacing="1" w:line="340" w:lineRule="exact"/>
              <w:jc w:val="center"/>
              <w:rPr>
                <w:rFonts w:ascii="宋体" w:hAnsi="宋体" w:cs="宋体"/>
                <w:kern w:val="0"/>
                <w:sz w:val="24"/>
                <w:szCs w:val="24"/>
              </w:rPr>
            </w:pPr>
            <w:r>
              <w:rPr>
                <w:rFonts w:hint="eastAsia" w:ascii="宋体" w:hAnsi="宋体" w:cs="宋体"/>
                <w:kern w:val="0"/>
                <w:sz w:val="24"/>
                <w:szCs w:val="24"/>
              </w:rPr>
              <w:t>交货地点</w:t>
            </w:r>
          </w:p>
        </w:tc>
        <w:tc>
          <w:tcPr>
            <w:tcW w:w="6650" w:type="dxa"/>
            <w:vAlign w:val="center"/>
          </w:tcPr>
          <w:p>
            <w:pPr>
              <w:widowControl/>
              <w:spacing w:before="100" w:beforeAutospacing="1" w:after="100" w:afterAutospacing="1" w:line="340" w:lineRule="exact"/>
              <w:jc w:val="left"/>
              <w:rPr>
                <w:rFonts w:ascii="宋体" w:hAnsi="宋体"/>
                <w:b/>
                <w:sz w:val="24"/>
                <w:szCs w:val="24"/>
              </w:rPr>
            </w:pPr>
            <w:r>
              <w:rPr>
                <w:rFonts w:hint="eastAsia" w:ascii="宋体" w:hAnsi="宋体" w:cs="宋体"/>
                <w:spacing w:val="6"/>
                <w:sz w:val="24"/>
                <w:szCs w:val="24"/>
              </w:rPr>
              <w:t>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31" w:type="dxa"/>
            <w:vAlign w:val="center"/>
          </w:tcPr>
          <w:p>
            <w:pPr>
              <w:widowControl/>
              <w:spacing w:before="100" w:beforeAutospacing="1" w:after="100" w:afterAutospacing="1" w:line="340" w:lineRule="exact"/>
              <w:ind w:firstLine="120" w:firstLineChars="50"/>
              <w:jc w:val="center"/>
              <w:rPr>
                <w:rFonts w:ascii="宋体" w:hAnsi="宋体" w:cs="宋体"/>
                <w:kern w:val="0"/>
                <w:sz w:val="24"/>
                <w:szCs w:val="24"/>
              </w:rPr>
            </w:pPr>
            <w:r>
              <w:rPr>
                <w:rFonts w:hint="eastAsia" w:ascii="宋体" w:hAnsi="宋体" w:cs="宋体"/>
                <w:kern w:val="0"/>
                <w:sz w:val="24"/>
                <w:szCs w:val="24"/>
              </w:rPr>
              <w:t>24</w:t>
            </w:r>
          </w:p>
        </w:tc>
        <w:tc>
          <w:tcPr>
            <w:tcW w:w="1858" w:type="dxa"/>
          </w:tcPr>
          <w:p>
            <w:pPr>
              <w:pStyle w:val="56"/>
              <w:kinsoku w:val="0"/>
              <w:overflowPunct w:val="0"/>
              <w:spacing w:line="360" w:lineRule="exact"/>
              <w:jc w:val="center"/>
              <w:rPr>
                <w:rFonts w:hint="default" w:ascii="宋体" w:hAnsi="宋体" w:cs="宋体"/>
                <w:kern w:val="0"/>
                <w:szCs w:val="24"/>
              </w:rPr>
            </w:pPr>
            <w:r>
              <w:rPr>
                <w:rFonts w:ascii="宋体" w:hAnsi="宋体" w:cs="宋体"/>
                <w:szCs w:val="22"/>
              </w:rPr>
              <w:t>近年财务状况的年份要求</w:t>
            </w:r>
          </w:p>
        </w:tc>
        <w:tc>
          <w:tcPr>
            <w:tcW w:w="6650" w:type="dxa"/>
            <w:vAlign w:val="center"/>
          </w:tcPr>
          <w:p>
            <w:pPr>
              <w:pStyle w:val="56"/>
              <w:kinsoku w:val="0"/>
              <w:overflowPunct w:val="0"/>
              <w:spacing w:line="360" w:lineRule="exact"/>
              <w:ind w:left="102"/>
              <w:rPr>
                <w:rFonts w:hint="default" w:ascii="宋体" w:hAnsi="宋体" w:cs="宋体"/>
                <w:kern w:val="0"/>
                <w:szCs w:val="24"/>
              </w:rPr>
            </w:pPr>
            <w:r>
              <w:rPr>
                <w:rFonts w:ascii="宋体" w:hAnsi="宋体" w:cs="宋体"/>
                <w:szCs w:val="22"/>
              </w:rPr>
              <w:t>2018年度或2019年度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31" w:type="dxa"/>
            <w:vAlign w:val="center"/>
          </w:tcPr>
          <w:p>
            <w:pPr>
              <w:widowControl/>
              <w:spacing w:before="100" w:beforeAutospacing="1" w:after="100" w:afterAutospacing="1" w:line="340" w:lineRule="exact"/>
              <w:jc w:val="center"/>
              <w:rPr>
                <w:rFonts w:ascii="宋体" w:hAnsi="宋体" w:cs="宋体"/>
                <w:kern w:val="0"/>
                <w:sz w:val="24"/>
                <w:szCs w:val="24"/>
              </w:rPr>
            </w:pPr>
            <w:r>
              <w:rPr>
                <w:rFonts w:hint="eastAsia" w:ascii="宋体" w:hAnsi="宋体" w:cs="宋体"/>
                <w:kern w:val="0"/>
                <w:sz w:val="24"/>
                <w:szCs w:val="24"/>
              </w:rPr>
              <w:t>25</w:t>
            </w:r>
          </w:p>
        </w:tc>
        <w:tc>
          <w:tcPr>
            <w:tcW w:w="1858" w:type="dxa"/>
            <w:vAlign w:val="center"/>
          </w:tcPr>
          <w:p>
            <w:pPr>
              <w:widowControl/>
              <w:spacing w:before="100" w:beforeAutospacing="1" w:after="100" w:afterAutospacing="1" w:line="340" w:lineRule="exact"/>
              <w:jc w:val="center"/>
              <w:rPr>
                <w:rFonts w:ascii="宋体" w:hAnsi="宋体" w:cs="宋体"/>
                <w:bCs/>
                <w:kern w:val="0"/>
                <w:sz w:val="24"/>
                <w:szCs w:val="24"/>
              </w:rPr>
            </w:pPr>
            <w:r>
              <w:rPr>
                <w:rFonts w:hint="eastAsia" w:ascii="宋体" w:hAnsi="宋体" w:cs="宋体"/>
                <w:bCs/>
                <w:kern w:val="0"/>
                <w:sz w:val="24"/>
                <w:szCs w:val="24"/>
              </w:rPr>
              <w:t>代理服务费</w:t>
            </w:r>
          </w:p>
        </w:tc>
        <w:tc>
          <w:tcPr>
            <w:tcW w:w="6650" w:type="dxa"/>
            <w:vAlign w:val="center"/>
          </w:tcPr>
          <w:p>
            <w:pPr>
              <w:tabs>
                <w:tab w:val="left" w:pos="360"/>
                <w:tab w:val="left" w:pos="502"/>
                <w:tab w:val="left" w:pos="720"/>
              </w:tabs>
              <w:spacing w:line="360" w:lineRule="auto"/>
              <w:rPr>
                <w:szCs w:val="22"/>
              </w:rPr>
            </w:pPr>
            <w:r>
              <w:rPr>
                <w:rFonts w:hint="eastAsia" w:ascii="宋体" w:hAnsi="宋体"/>
                <w:sz w:val="24"/>
                <w:szCs w:val="24"/>
              </w:rPr>
              <w:t>由中标人按【招标代理服务收费管理暂行办法】计价格[2002]1980号文件及【发改办价格（2003）857号】的规定支付招标代理服务费、交易费（如有）、公证费（如有），在领取中标通知书前支付。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1" w:type="dxa"/>
            <w:vAlign w:val="center"/>
          </w:tcPr>
          <w:p>
            <w:pPr>
              <w:widowControl/>
              <w:spacing w:before="100" w:beforeAutospacing="1" w:after="100" w:afterAutospacing="1" w:line="340" w:lineRule="exact"/>
              <w:jc w:val="center"/>
              <w:rPr>
                <w:rFonts w:ascii="宋体" w:hAnsi="宋体" w:cs="宋体"/>
                <w:kern w:val="0"/>
                <w:sz w:val="24"/>
                <w:szCs w:val="24"/>
              </w:rPr>
            </w:pPr>
            <w:r>
              <w:rPr>
                <w:rFonts w:hint="eastAsia" w:ascii="宋体" w:hAnsi="宋体" w:cs="宋体"/>
                <w:kern w:val="0"/>
                <w:sz w:val="24"/>
                <w:szCs w:val="24"/>
              </w:rPr>
              <w:t>26</w:t>
            </w:r>
          </w:p>
        </w:tc>
        <w:tc>
          <w:tcPr>
            <w:tcW w:w="1858" w:type="dxa"/>
            <w:vAlign w:val="center"/>
          </w:tcPr>
          <w:p>
            <w:pPr>
              <w:widowControl/>
              <w:spacing w:before="100" w:beforeAutospacing="1" w:after="100" w:afterAutospacing="1" w:line="340" w:lineRule="exact"/>
              <w:jc w:val="center"/>
              <w:rPr>
                <w:rFonts w:ascii="宋体" w:hAnsi="宋体" w:cs="宋体"/>
                <w:kern w:val="0"/>
                <w:sz w:val="24"/>
                <w:szCs w:val="24"/>
              </w:rPr>
            </w:pPr>
            <w:r>
              <w:rPr>
                <w:rFonts w:hint="eastAsia" w:ascii="宋体" w:hAnsi="宋体" w:cs="宋体"/>
                <w:kern w:val="0"/>
                <w:sz w:val="24"/>
                <w:szCs w:val="24"/>
              </w:rPr>
              <w:t>招标文件的澄清</w:t>
            </w:r>
          </w:p>
        </w:tc>
        <w:tc>
          <w:tcPr>
            <w:tcW w:w="6650" w:type="dxa"/>
            <w:vAlign w:val="center"/>
          </w:tcPr>
          <w:p>
            <w:pPr>
              <w:tabs>
                <w:tab w:val="left" w:pos="360"/>
                <w:tab w:val="left" w:pos="502"/>
                <w:tab w:val="left" w:pos="720"/>
              </w:tabs>
              <w:spacing w:line="360" w:lineRule="auto"/>
              <w:ind w:left="143" w:leftChars="68" w:firstLine="480" w:firstLineChars="200"/>
              <w:rPr>
                <w:rFonts w:ascii="宋体" w:hAnsi="宋体"/>
                <w:sz w:val="24"/>
                <w:szCs w:val="24"/>
              </w:rPr>
            </w:pPr>
            <w:r>
              <w:rPr>
                <w:rFonts w:hint="eastAsia" w:ascii="宋体" w:hAnsi="宋体"/>
                <w:sz w:val="24"/>
                <w:szCs w:val="24"/>
              </w:rPr>
              <w:t>任何对招标文件认为有需要澄清的疑问的投标人，均应在自购买招标文件之日或招标文件公告期限届满之日起七（7）个工作日内，以书面方式（加盖公章且法人代表或其授权代表人签字的原件）通知到采购人和采购代理机构。采购人和采购代理机构将在规定期限内以书面方式予以答复，同时有可能将不标明疑问来源的书面答复函发至所有潜在投标人。在规定的时间内未提出疑问的，将被视为对招标文件完全认可。开标后，采购人和采购代理机构不接受任何对招标文件内容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27</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评标委员会的组建</w:t>
            </w:r>
          </w:p>
        </w:tc>
        <w:tc>
          <w:tcPr>
            <w:tcW w:w="6650" w:type="dxa"/>
            <w:vAlign w:val="center"/>
          </w:tcPr>
          <w:p>
            <w:pPr>
              <w:adjustRightInd w:val="0"/>
              <w:spacing w:line="400" w:lineRule="exact"/>
              <w:ind w:right="-21"/>
              <w:rPr>
                <w:rFonts w:ascii="宋体" w:hAnsi="宋体" w:cs="宋体"/>
                <w:spacing w:val="6"/>
                <w:sz w:val="24"/>
                <w:szCs w:val="24"/>
              </w:rPr>
            </w:pPr>
            <w:r>
              <w:rPr>
                <w:rFonts w:hint="eastAsia" w:ascii="宋体" w:hAnsi="宋体" w:cs="宋体"/>
                <w:spacing w:val="6"/>
                <w:sz w:val="24"/>
                <w:szCs w:val="24"/>
              </w:rPr>
              <w:t>评标委员会构成：共5人，由评标专家4人，业主代表1 人组成；</w:t>
            </w:r>
          </w:p>
          <w:p>
            <w:pPr>
              <w:spacing w:line="336" w:lineRule="auto"/>
              <w:jc w:val="left"/>
              <w:rPr>
                <w:rFonts w:ascii="宋体" w:hAnsi="宋体" w:cs="宋体"/>
                <w:spacing w:val="6"/>
                <w:sz w:val="24"/>
                <w:szCs w:val="24"/>
              </w:rPr>
            </w:pPr>
            <w:r>
              <w:rPr>
                <w:rFonts w:hint="eastAsia" w:ascii="宋体" w:hAnsi="宋体" w:cs="宋体"/>
                <w:spacing w:val="6"/>
                <w:sz w:val="24"/>
                <w:szCs w:val="24"/>
              </w:rPr>
              <w:t xml:space="preserve">评标专家确定方式：开标前从政府采购专家库中随机抽取；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28</w:t>
            </w:r>
          </w:p>
        </w:tc>
        <w:tc>
          <w:tcPr>
            <w:tcW w:w="1858"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是否授权评标委员会确定中标人</w:t>
            </w:r>
          </w:p>
        </w:tc>
        <w:tc>
          <w:tcPr>
            <w:tcW w:w="6650" w:type="dxa"/>
            <w:vAlign w:val="center"/>
          </w:tcPr>
          <w:p>
            <w:pPr>
              <w:spacing w:line="336" w:lineRule="auto"/>
              <w:jc w:val="left"/>
              <w:rPr>
                <w:rFonts w:ascii="宋体" w:hAnsi="宋体" w:cs="宋体"/>
                <w:spacing w:val="6"/>
                <w:sz w:val="24"/>
                <w:szCs w:val="24"/>
              </w:rPr>
            </w:pPr>
            <w:r>
              <w:rPr>
                <w:rFonts w:hint="eastAsia" w:ascii="宋体" w:hAnsi="宋体" w:cs="宋体"/>
                <w:spacing w:val="6"/>
                <w:sz w:val="24"/>
                <w:szCs w:val="24"/>
              </w:rPr>
              <w:t>否，推荐的中标候选人数:1-3人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29</w:t>
            </w:r>
          </w:p>
        </w:tc>
        <w:tc>
          <w:tcPr>
            <w:tcW w:w="1858" w:type="dxa"/>
            <w:vAlign w:val="center"/>
          </w:tcPr>
          <w:p>
            <w:pPr>
              <w:spacing w:line="336" w:lineRule="auto"/>
              <w:jc w:val="center"/>
              <w:rPr>
                <w:rFonts w:ascii="宋体" w:hAnsi="宋体" w:cs="宋体"/>
                <w:spacing w:val="6"/>
                <w:sz w:val="24"/>
                <w:szCs w:val="24"/>
              </w:rPr>
            </w:pPr>
            <w:r>
              <w:rPr>
                <w:rFonts w:hint="eastAsia" w:ascii="宋体" w:hAnsi="宋体"/>
                <w:sz w:val="24"/>
                <w:szCs w:val="24"/>
              </w:rPr>
              <w:t>转包与分包</w:t>
            </w:r>
          </w:p>
        </w:tc>
        <w:tc>
          <w:tcPr>
            <w:tcW w:w="6650" w:type="dxa"/>
            <w:vAlign w:val="center"/>
          </w:tcPr>
          <w:p>
            <w:pPr>
              <w:spacing w:line="336" w:lineRule="auto"/>
              <w:jc w:val="left"/>
              <w:rPr>
                <w:rFonts w:ascii="宋体" w:hAnsi="宋体" w:cs="宋体"/>
                <w:spacing w:val="6"/>
                <w:sz w:val="24"/>
                <w:szCs w:val="24"/>
              </w:rPr>
            </w:pPr>
            <w:r>
              <w:rPr>
                <w:rFonts w:hint="eastAsia" w:ascii="宋体" w:hAnsi="宋体"/>
                <w:sz w:val="24"/>
                <w:szCs w:val="24"/>
              </w:rPr>
              <w:t>本项目不允许采取转包和分包方式履行合同。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30</w:t>
            </w:r>
          </w:p>
        </w:tc>
        <w:tc>
          <w:tcPr>
            <w:tcW w:w="1858" w:type="dxa"/>
            <w:vAlign w:val="center"/>
          </w:tcPr>
          <w:p>
            <w:pPr>
              <w:spacing w:line="336" w:lineRule="auto"/>
              <w:jc w:val="center"/>
              <w:rPr>
                <w:rFonts w:ascii="宋体" w:hAnsi="宋体" w:cs="宋体"/>
                <w:spacing w:val="6"/>
                <w:sz w:val="24"/>
                <w:szCs w:val="24"/>
              </w:rPr>
            </w:pPr>
            <w:r>
              <w:rPr>
                <w:rFonts w:hint="eastAsia" w:ascii="宋体" w:hAnsi="宋体"/>
                <w:color w:val="000000"/>
                <w:sz w:val="24"/>
                <w:szCs w:val="24"/>
              </w:rPr>
              <w:t>现场踏勘或标前答疑</w:t>
            </w:r>
          </w:p>
        </w:tc>
        <w:tc>
          <w:tcPr>
            <w:tcW w:w="6650" w:type="dxa"/>
            <w:vAlign w:val="center"/>
          </w:tcPr>
          <w:p>
            <w:pPr>
              <w:spacing w:line="336" w:lineRule="auto"/>
              <w:jc w:val="left"/>
              <w:rPr>
                <w:rFonts w:ascii="宋体" w:hAnsi="宋体" w:cs="宋体"/>
                <w:spacing w:val="6"/>
                <w:sz w:val="24"/>
                <w:szCs w:val="24"/>
              </w:rPr>
            </w:pPr>
            <w:r>
              <w:rPr>
                <w:rFonts w:hint="eastAsia" w:ascii="宋体" w:hAnsi="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31" w:type="dxa"/>
            <w:vAlign w:val="center"/>
          </w:tcPr>
          <w:p>
            <w:pPr>
              <w:spacing w:line="336" w:lineRule="auto"/>
              <w:jc w:val="center"/>
              <w:rPr>
                <w:rFonts w:ascii="宋体" w:hAnsi="宋体" w:cs="宋体"/>
                <w:sz w:val="24"/>
                <w:szCs w:val="24"/>
              </w:rPr>
            </w:pPr>
            <w:r>
              <w:rPr>
                <w:rFonts w:hint="eastAsia" w:ascii="宋体" w:hAnsi="宋体" w:cs="宋体"/>
                <w:sz w:val="24"/>
                <w:szCs w:val="24"/>
              </w:rPr>
              <w:t>31</w:t>
            </w:r>
          </w:p>
        </w:tc>
        <w:tc>
          <w:tcPr>
            <w:tcW w:w="1858" w:type="dxa"/>
            <w:vAlign w:val="center"/>
          </w:tcPr>
          <w:p>
            <w:pPr>
              <w:spacing w:line="336" w:lineRule="auto"/>
              <w:jc w:val="center"/>
              <w:rPr>
                <w:rFonts w:ascii="宋体" w:hAnsi="宋体" w:cs="宋体"/>
                <w:spacing w:val="6"/>
                <w:sz w:val="24"/>
                <w:szCs w:val="24"/>
              </w:rPr>
            </w:pPr>
            <w:r>
              <w:rPr>
                <w:rFonts w:hint="eastAsia" w:ascii="宋体" w:hAnsi="宋体" w:cs="宋体"/>
                <w:sz w:val="24"/>
                <w:szCs w:val="22"/>
              </w:rPr>
              <w:t>政府采购政策</w:t>
            </w:r>
          </w:p>
        </w:tc>
        <w:tc>
          <w:tcPr>
            <w:tcW w:w="6650" w:type="dxa"/>
            <w:vAlign w:val="center"/>
          </w:tcPr>
          <w:p>
            <w:pPr>
              <w:spacing w:line="360" w:lineRule="auto"/>
              <w:rPr>
                <w:rFonts w:ascii="宋体" w:hAnsi="宋体" w:cs="宋体"/>
                <w:sz w:val="24"/>
                <w:szCs w:val="22"/>
              </w:rPr>
            </w:pPr>
            <w:r>
              <w:rPr>
                <w:rFonts w:hint="eastAsia" w:ascii="宋体" w:hAnsi="宋体" w:cs="宋体"/>
                <w:sz w:val="24"/>
                <w:szCs w:val="22"/>
              </w:rPr>
              <w:t>执行政府采购政策：</w:t>
            </w:r>
          </w:p>
          <w:p>
            <w:pPr>
              <w:numPr>
                <w:ilvl w:val="0"/>
                <w:numId w:val="2"/>
              </w:numPr>
              <w:spacing w:line="360" w:lineRule="auto"/>
              <w:rPr>
                <w:rFonts w:ascii="宋体" w:hAnsi="宋体" w:cs="宋体"/>
                <w:sz w:val="24"/>
                <w:szCs w:val="22"/>
              </w:rPr>
            </w:pPr>
            <w:r>
              <w:rPr>
                <w:rFonts w:hint="eastAsia" w:ascii="宋体" w:hAnsi="宋体" w:cs="宋体"/>
                <w:sz w:val="24"/>
                <w:szCs w:val="22"/>
              </w:rPr>
              <w:t>政府采购促进中小企业发展政策；</w:t>
            </w:r>
          </w:p>
          <w:p>
            <w:pPr>
              <w:numPr>
                <w:ilvl w:val="0"/>
                <w:numId w:val="2"/>
              </w:numPr>
              <w:spacing w:line="360" w:lineRule="auto"/>
              <w:rPr>
                <w:rFonts w:ascii="宋体" w:hAnsi="宋体" w:cs="宋体"/>
                <w:sz w:val="24"/>
                <w:szCs w:val="22"/>
              </w:rPr>
            </w:pPr>
            <w:r>
              <w:rPr>
                <w:rFonts w:hint="eastAsia" w:ascii="宋体" w:hAnsi="宋体" w:cs="宋体"/>
                <w:sz w:val="24"/>
                <w:szCs w:val="22"/>
              </w:rPr>
              <w:t>政府采购强制、优先采购节能产品政策；</w:t>
            </w:r>
          </w:p>
          <w:p>
            <w:pPr>
              <w:numPr>
                <w:ilvl w:val="0"/>
                <w:numId w:val="2"/>
              </w:numPr>
              <w:spacing w:line="360" w:lineRule="auto"/>
              <w:rPr>
                <w:rFonts w:ascii="宋体" w:hAnsi="宋体" w:cs="宋体"/>
                <w:sz w:val="24"/>
                <w:szCs w:val="22"/>
              </w:rPr>
            </w:pPr>
            <w:r>
              <w:rPr>
                <w:rFonts w:hint="eastAsia" w:ascii="宋体" w:hAnsi="宋体" w:cs="宋体"/>
                <w:sz w:val="24"/>
                <w:szCs w:val="22"/>
              </w:rPr>
              <w:t>政府采购优先采购环保产品政策；</w:t>
            </w:r>
          </w:p>
          <w:p>
            <w:pPr>
              <w:numPr>
                <w:ilvl w:val="0"/>
                <w:numId w:val="2"/>
              </w:numPr>
              <w:spacing w:line="360" w:lineRule="auto"/>
              <w:rPr>
                <w:rFonts w:ascii="宋体" w:hAnsi="宋体" w:cs="宋体"/>
                <w:sz w:val="24"/>
                <w:szCs w:val="22"/>
              </w:rPr>
            </w:pPr>
            <w:r>
              <w:rPr>
                <w:rFonts w:hint="eastAsia" w:ascii="宋体" w:hAnsi="宋体" w:cs="宋体"/>
                <w:sz w:val="24"/>
                <w:szCs w:val="22"/>
              </w:rPr>
              <w:t>政府采购进口产品政策；</w:t>
            </w:r>
          </w:p>
          <w:p>
            <w:pPr>
              <w:spacing w:line="360" w:lineRule="auto"/>
              <w:rPr>
                <w:rFonts w:ascii="宋体" w:hAnsi="宋体" w:cs="宋体"/>
                <w:sz w:val="24"/>
                <w:szCs w:val="22"/>
              </w:rPr>
            </w:pPr>
            <w:r>
              <w:rPr>
                <w:rFonts w:hint="eastAsia" w:ascii="宋体" w:hAnsi="宋体" w:cs="宋体"/>
                <w:sz w:val="24"/>
                <w:szCs w:val="22"/>
              </w:rPr>
              <w:t>（5）政府采购支持监狱企业发展政策；</w:t>
            </w:r>
          </w:p>
          <w:p>
            <w:pPr>
              <w:numPr>
                <w:ilvl w:val="0"/>
                <w:numId w:val="3"/>
              </w:numPr>
              <w:spacing w:line="360" w:lineRule="auto"/>
              <w:rPr>
                <w:rFonts w:ascii="宋体" w:hAnsi="宋体" w:cs="宋体"/>
                <w:sz w:val="24"/>
                <w:szCs w:val="22"/>
              </w:rPr>
            </w:pPr>
            <w:r>
              <w:rPr>
                <w:rFonts w:hint="eastAsia" w:ascii="宋体" w:hAnsi="宋体" w:cs="宋体"/>
                <w:sz w:val="24"/>
                <w:szCs w:val="22"/>
              </w:rPr>
              <w:t>政府采购促进残疾人就业政府采购政策。</w:t>
            </w:r>
          </w:p>
          <w:p>
            <w:pPr>
              <w:spacing w:line="336" w:lineRule="auto"/>
              <w:jc w:val="left"/>
              <w:rPr>
                <w:rFonts w:ascii="宋体" w:hAnsi="宋体" w:cs="宋体"/>
                <w:spacing w:val="6"/>
                <w:sz w:val="24"/>
                <w:szCs w:val="24"/>
              </w:rPr>
            </w:pPr>
            <w:r>
              <w:rPr>
                <w:rFonts w:hint="eastAsia" w:ascii="宋体" w:hAnsi="宋体" w:cs="宋体"/>
                <w:sz w:val="24"/>
                <w:szCs w:val="22"/>
              </w:rPr>
              <w:t>上述政府采购政策的具体约定详见本招标文件所述内容。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239" w:type="dxa"/>
            <w:gridSpan w:val="3"/>
            <w:vAlign w:val="center"/>
          </w:tcPr>
          <w:p>
            <w:pPr>
              <w:spacing w:line="336" w:lineRule="auto"/>
              <w:jc w:val="center"/>
              <w:rPr>
                <w:rFonts w:ascii="宋体" w:hAnsi="宋体" w:cs="宋体"/>
                <w:b/>
                <w:spacing w:val="6"/>
                <w:sz w:val="24"/>
                <w:szCs w:val="24"/>
              </w:rPr>
            </w:pPr>
            <w:r>
              <w:rPr>
                <w:rFonts w:hint="eastAsia" w:ascii="宋体" w:hAnsi="宋体" w:cs="宋体"/>
                <w:spacing w:val="6"/>
                <w:sz w:val="24"/>
                <w:szCs w:val="24"/>
              </w:rPr>
              <w:t xml:space="preserve"> 本招标文件解释权归采购人所有</w:t>
            </w:r>
          </w:p>
        </w:tc>
      </w:tr>
    </w:tbl>
    <w:p>
      <w:pPr>
        <w:spacing w:line="460" w:lineRule="exact"/>
        <w:jc w:val="center"/>
        <w:outlineLvl w:val="0"/>
        <w:rPr>
          <w:rFonts w:ascii="宋体" w:hAnsi="宋体"/>
          <w:b/>
          <w:sz w:val="30"/>
          <w:szCs w:val="30"/>
        </w:rPr>
      </w:pPr>
      <w:r>
        <w:rPr>
          <w:rFonts w:hint="eastAsia" w:ascii="宋体" w:hAnsi="宋体" w:cs="宋体"/>
          <w:b/>
          <w:szCs w:val="24"/>
        </w:rPr>
        <w:br w:type="page"/>
      </w:r>
      <w:bookmarkStart w:id="40" w:name="_Toc21164_WPSOffice_Level1"/>
      <w:bookmarkStart w:id="41" w:name="_Toc31848"/>
      <w:r>
        <w:rPr>
          <w:rFonts w:hint="eastAsia" w:ascii="宋体" w:hAnsi="宋体"/>
          <w:b/>
          <w:sz w:val="30"/>
          <w:szCs w:val="30"/>
        </w:rPr>
        <w:t>第二章  投标人须知</w:t>
      </w:r>
      <w:bookmarkEnd w:id="40"/>
      <w:bookmarkEnd w:id="41"/>
    </w:p>
    <w:p>
      <w:pPr>
        <w:spacing w:line="360" w:lineRule="auto"/>
        <w:rPr>
          <w:rFonts w:ascii="宋体" w:hAnsi="宋体"/>
          <w:sz w:val="24"/>
          <w:szCs w:val="24"/>
        </w:rPr>
      </w:pPr>
      <w:r>
        <w:rPr>
          <w:rFonts w:hint="eastAsia" w:ascii="宋体" w:hAnsi="宋体"/>
          <w:sz w:val="24"/>
          <w:szCs w:val="24"/>
        </w:rPr>
        <w:t>一、 总  则：</w:t>
      </w:r>
    </w:p>
    <w:p>
      <w:pPr>
        <w:spacing w:line="360" w:lineRule="auto"/>
        <w:ind w:firstLine="480" w:firstLineChars="200"/>
        <w:rPr>
          <w:rFonts w:ascii="宋体" w:hAnsi="宋体"/>
          <w:sz w:val="24"/>
          <w:szCs w:val="24"/>
        </w:rPr>
      </w:pPr>
      <w:r>
        <w:rPr>
          <w:rFonts w:hint="eastAsia" w:ascii="宋体" w:hAnsi="宋体"/>
          <w:sz w:val="24"/>
          <w:szCs w:val="24"/>
        </w:rPr>
        <w:t>1.资金来源：财政性资金。</w:t>
      </w:r>
    </w:p>
    <w:p>
      <w:pPr>
        <w:spacing w:line="360" w:lineRule="auto"/>
        <w:ind w:firstLine="480" w:firstLineChars="200"/>
        <w:rPr>
          <w:rFonts w:ascii="宋体" w:hAnsi="宋体"/>
          <w:sz w:val="24"/>
          <w:szCs w:val="24"/>
        </w:rPr>
      </w:pPr>
      <w:r>
        <w:rPr>
          <w:rFonts w:hint="eastAsia" w:ascii="宋体" w:hAnsi="宋体"/>
          <w:sz w:val="24"/>
          <w:szCs w:val="24"/>
        </w:rPr>
        <w:t>2.定义：</w:t>
      </w:r>
    </w:p>
    <w:p>
      <w:pPr>
        <w:spacing w:line="360" w:lineRule="auto"/>
        <w:ind w:firstLine="480" w:firstLineChars="200"/>
        <w:rPr>
          <w:rFonts w:ascii="宋体" w:hAnsi="宋体"/>
          <w:sz w:val="24"/>
          <w:szCs w:val="24"/>
        </w:rPr>
      </w:pPr>
      <w:r>
        <w:rPr>
          <w:rFonts w:hint="eastAsia" w:ascii="宋体" w:hAnsi="宋体"/>
          <w:sz w:val="24"/>
          <w:szCs w:val="24"/>
        </w:rPr>
        <w:t>2.1 “采购代理机构”指代理本项目的具体采购代理机构名称。</w:t>
      </w:r>
    </w:p>
    <w:p>
      <w:pPr>
        <w:spacing w:line="360" w:lineRule="auto"/>
        <w:ind w:firstLine="480" w:firstLineChars="200"/>
        <w:rPr>
          <w:rFonts w:ascii="宋体" w:hAnsi="宋体"/>
          <w:sz w:val="24"/>
          <w:szCs w:val="24"/>
        </w:rPr>
      </w:pPr>
      <w:r>
        <w:rPr>
          <w:rFonts w:hint="eastAsia" w:ascii="宋体" w:hAnsi="宋体"/>
          <w:sz w:val="24"/>
          <w:szCs w:val="24"/>
        </w:rPr>
        <w:t xml:space="preserve">2.2 “采购单位”指招标文件中所述所有货物及相关服务的需方。 </w:t>
      </w:r>
    </w:p>
    <w:p>
      <w:pPr>
        <w:spacing w:line="360" w:lineRule="auto"/>
        <w:ind w:firstLine="480" w:firstLineChars="200"/>
        <w:rPr>
          <w:rFonts w:ascii="宋体" w:hAnsi="宋体"/>
          <w:sz w:val="24"/>
          <w:szCs w:val="24"/>
        </w:rPr>
      </w:pPr>
      <w:r>
        <w:rPr>
          <w:rFonts w:hint="eastAsia" w:ascii="宋体" w:hAnsi="宋体"/>
          <w:sz w:val="24"/>
          <w:szCs w:val="24"/>
        </w:rPr>
        <w:t>2.3“招标采购单位”指采购单位及采购代理机构。</w:t>
      </w:r>
    </w:p>
    <w:p>
      <w:pPr>
        <w:spacing w:line="360" w:lineRule="auto"/>
        <w:ind w:firstLine="480" w:firstLineChars="200"/>
        <w:rPr>
          <w:rFonts w:ascii="宋体" w:hAnsi="宋体"/>
          <w:sz w:val="24"/>
          <w:szCs w:val="24"/>
        </w:rPr>
      </w:pPr>
      <w:r>
        <w:rPr>
          <w:rFonts w:hint="eastAsia" w:ascii="宋体" w:hAnsi="宋体"/>
          <w:sz w:val="24"/>
          <w:szCs w:val="24"/>
        </w:rPr>
        <w:t>2.4“产品”指投标人按招标文件规定，须向采购单位提供的产品、产品备件、工具、手册及其它有关技术资料和材料。</w:t>
      </w:r>
    </w:p>
    <w:p>
      <w:pPr>
        <w:spacing w:line="360" w:lineRule="auto"/>
        <w:ind w:firstLine="480" w:firstLineChars="200"/>
        <w:rPr>
          <w:rFonts w:ascii="宋体" w:hAnsi="宋体"/>
          <w:sz w:val="24"/>
          <w:szCs w:val="24"/>
        </w:rPr>
      </w:pPr>
      <w:r>
        <w:rPr>
          <w:rFonts w:hint="eastAsia" w:ascii="宋体" w:hAnsi="宋体"/>
          <w:sz w:val="24"/>
          <w:szCs w:val="24"/>
        </w:rPr>
        <w:t>2.5“服务”指按招标文件规定投标人应承担的送货、安装、调试、维护、售后服务和其他类似的义务。</w:t>
      </w:r>
    </w:p>
    <w:p>
      <w:pPr>
        <w:spacing w:line="360" w:lineRule="auto"/>
        <w:ind w:firstLine="480" w:firstLineChars="200"/>
        <w:rPr>
          <w:rFonts w:ascii="宋体" w:hAnsi="宋体"/>
          <w:sz w:val="24"/>
          <w:szCs w:val="24"/>
        </w:rPr>
      </w:pPr>
      <w:r>
        <w:rPr>
          <w:rFonts w:hint="eastAsia" w:ascii="宋体" w:hAnsi="宋体"/>
          <w:sz w:val="24"/>
          <w:szCs w:val="24"/>
        </w:rPr>
        <w:t>2.6“投标人”指按招标文件规定取得招标文件并向采购代理机构投交投标文件的供应商。</w:t>
      </w:r>
    </w:p>
    <w:p>
      <w:pPr>
        <w:spacing w:line="360" w:lineRule="auto"/>
        <w:ind w:firstLine="480" w:firstLineChars="200"/>
        <w:rPr>
          <w:rFonts w:ascii="宋体" w:hAnsi="宋体"/>
          <w:sz w:val="24"/>
          <w:szCs w:val="24"/>
        </w:rPr>
      </w:pPr>
      <w:r>
        <w:rPr>
          <w:rFonts w:hint="eastAsia" w:ascii="宋体" w:hAnsi="宋体"/>
          <w:sz w:val="24"/>
          <w:szCs w:val="24"/>
        </w:rPr>
        <w:t>2.7招投标过程中依据的法律法规</w:t>
      </w:r>
    </w:p>
    <w:p>
      <w:pPr>
        <w:spacing w:line="360" w:lineRule="auto"/>
        <w:ind w:firstLine="360" w:firstLineChars="150"/>
        <w:rPr>
          <w:rFonts w:ascii="宋体" w:hAnsi="宋体"/>
          <w:sz w:val="24"/>
          <w:szCs w:val="24"/>
        </w:rPr>
      </w:pPr>
      <w:r>
        <w:rPr>
          <w:rFonts w:hint="eastAsia" w:ascii="宋体" w:hAnsi="宋体"/>
          <w:sz w:val="24"/>
          <w:szCs w:val="24"/>
        </w:rPr>
        <w:t>《中华人民共和国政府采购法》、《中华人民共和国政府采购法实施条例》、《政府采购货物和服务招标投标管理办法（87号令）》及其它相关法律、法规。</w:t>
      </w:r>
    </w:p>
    <w:p>
      <w:pPr>
        <w:numPr>
          <w:ilvl w:val="0"/>
          <w:numId w:val="4"/>
        </w:numPr>
        <w:spacing w:line="360" w:lineRule="auto"/>
        <w:ind w:firstLine="360" w:firstLineChars="150"/>
        <w:rPr>
          <w:rFonts w:ascii="宋体" w:hAnsi="宋体"/>
          <w:sz w:val="24"/>
          <w:szCs w:val="24"/>
        </w:rPr>
      </w:pPr>
      <w:r>
        <w:rPr>
          <w:rFonts w:hint="eastAsia" w:ascii="宋体" w:hAnsi="宋体"/>
          <w:sz w:val="24"/>
          <w:szCs w:val="24"/>
        </w:rPr>
        <w:t>合格投标人的资格条件：</w:t>
      </w:r>
    </w:p>
    <w:p>
      <w:pPr>
        <w:spacing w:line="360" w:lineRule="auto"/>
        <w:ind w:firstLine="360" w:firstLineChars="150"/>
        <w:rPr>
          <w:rFonts w:ascii="宋体" w:hAnsi="宋体"/>
          <w:sz w:val="24"/>
          <w:szCs w:val="24"/>
        </w:rPr>
      </w:pPr>
      <w:r>
        <w:rPr>
          <w:rFonts w:hint="eastAsia" w:ascii="宋体" w:hAnsi="宋体"/>
          <w:sz w:val="24"/>
          <w:szCs w:val="24"/>
        </w:rPr>
        <w:t>3.1符合《中华人民共和国政府采购法》第二十二条规定的条件：第二十二条对供应商的资格要求，具有境内注册的独立法人资格；具有经营该类项目范围且具有有效的营业执照；参加政府采购活动前三年内，在经营活动中没有重大违法行为；信用记录等；</w:t>
      </w:r>
    </w:p>
    <w:p>
      <w:pPr>
        <w:spacing w:line="360" w:lineRule="auto"/>
        <w:ind w:firstLine="360" w:firstLineChars="150"/>
        <w:rPr>
          <w:rFonts w:ascii="宋体" w:hAnsi="宋体"/>
          <w:sz w:val="24"/>
          <w:szCs w:val="24"/>
        </w:rPr>
      </w:pPr>
      <w:r>
        <w:rPr>
          <w:rFonts w:hint="eastAsia" w:ascii="宋体" w:hAnsi="宋体"/>
          <w:sz w:val="24"/>
          <w:szCs w:val="24"/>
        </w:rPr>
        <w:t>3.2 满足招标文件中招标公告、“招标项目基本内容及要求”及项目要求的其它条件。</w:t>
      </w:r>
    </w:p>
    <w:p>
      <w:pPr>
        <w:spacing w:line="360" w:lineRule="auto"/>
        <w:ind w:firstLine="360" w:firstLineChars="150"/>
        <w:rPr>
          <w:rFonts w:ascii="宋体" w:hAnsi="宋体"/>
          <w:sz w:val="24"/>
          <w:szCs w:val="24"/>
        </w:rPr>
      </w:pPr>
      <w:r>
        <w:rPr>
          <w:rFonts w:hint="eastAsia" w:ascii="宋体" w:hAnsi="宋体"/>
          <w:sz w:val="24"/>
          <w:szCs w:val="24"/>
        </w:rPr>
        <w:t>3.3 联合体参加投标的规定：本项目不接受联合体投标。</w:t>
      </w:r>
    </w:p>
    <w:p>
      <w:pPr>
        <w:spacing w:line="360" w:lineRule="auto"/>
        <w:ind w:firstLine="420" w:firstLineChars="175"/>
        <w:rPr>
          <w:rFonts w:ascii="宋体" w:hAnsi="宋体"/>
          <w:sz w:val="24"/>
          <w:szCs w:val="24"/>
        </w:rPr>
      </w:pPr>
      <w:r>
        <w:rPr>
          <w:rFonts w:hint="eastAsia" w:ascii="宋体" w:hAnsi="宋体"/>
          <w:sz w:val="24"/>
          <w:szCs w:val="24"/>
        </w:rPr>
        <w:t>4.货物及伴随服务：</w:t>
      </w:r>
    </w:p>
    <w:p>
      <w:pPr>
        <w:spacing w:line="360" w:lineRule="auto"/>
        <w:ind w:firstLine="480" w:firstLineChars="200"/>
        <w:rPr>
          <w:rFonts w:ascii="宋体" w:hAnsi="宋体"/>
          <w:sz w:val="24"/>
          <w:szCs w:val="24"/>
        </w:rPr>
      </w:pPr>
      <w:r>
        <w:rPr>
          <w:rFonts w:hint="eastAsia" w:ascii="宋体" w:hAnsi="宋体"/>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采购清单中明确规定报价不含安装的除外）</w:t>
      </w:r>
    </w:p>
    <w:p>
      <w:pPr>
        <w:spacing w:line="360" w:lineRule="auto"/>
        <w:ind w:firstLine="480" w:firstLineChars="200"/>
        <w:rPr>
          <w:rFonts w:ascii="宋体" w:hAnsi="宋体"/>
          <w:sz w:val="24"/>
          <w:szCs w:val="24"/>
        </w:rPr>
      </w:pPr>
      <w:r>
        <w:rPr>
          <w:rFonts w:hint="eastAsia" w:ascii="宋体" w:hAnsi="宋体"/>
          <w:sz w:val="24"/>
          <w:szCs w:val="24"/>
        </w:rPr>
        <w:t>5.投标费用：</w:t>
      </w:r>
    </w:p>
    <w:p>
      <w:pPr>
        <w:spacing w:line="360" w:lineRule="auto"/>
        <w:ind w:firstLine="480" w:firstLineChars="200"/>
        <w:rPr>
          <w:rFonts w:ascii="宋体" w:hAnsi="宋体"/>
          <w:sz w:val="24"/>
          <w:szCs w:val="24"/>
        </w:rPr>
      </w:pPr>
      <w:r>
        <w:rPr>
          <w:rFonts w:hint="eastAsia" w:ascii="宋体" w:hAnsi="宋体"/>
          <w:sz w:val="24"/>
          <w:szCs w:val="24"/>
        </w:rPr>
        <w:t>不论投标结果如何，投标人应自行承担其参加投标所涉及的一切费用。</w:t>
      </w:r>
    </w:p>
    <w:p>
      <w:pPr>
        <w:spacing w:line="360" w:lineRule="auto"/>
        <w:ind w:firstLine="480" w:firstLineChars="200"/>
        <w:rPr>
          <w:rFonts w:ascii="宋体" w:hAnsi="宋体"/>
          <w:sz w:val="24"/>
          <w:szCs w:val="24"/>
        </w:rPr>
      </w:pPr>
      <w:r>
        <w:rPr>
          <w:rFonts w:hint="eastAsia" w:ascii="宋体" w:hAnsi="宋体"/>
          <w:sz w:val="24"/>
          <w:szCs w:val="24"/>
        </w:rPr>
        <w:t>6.现场踏勘、标前答疑会：</w:t>
      </w:r>
    </w:p>
    <w:p>
      <w:pPr>
        <w:spacing w:line="360" w:lineRule="auto"/>
        <w:ind w:firstLine="480" w:firstLineChars="200"/>
        <w:rPr>
          <w:rFonts w:ascii="宋体" w:hAnsi="宋体"/>
          <w:sz w:val="24"/>
          <w:szCs w:val="24"/>
        </w:rPr>
      </w:pPr>
      <w:r>
        <w:rPr>
          <w:rFonts w:hint="eastAsia" w:ascii="宋体" w:hAnsi="宋体"/>
          <w:sz w:val="24"/>
          <w:szCs w:val="24"/>
        </w:rPr>
        <w:t>6.1采购人、采购代理机构一般不组织统一现场踏勘和标前答疑会。</w:t>
      </w:r>
    </w:p>
    <w:p>
      <w:pPr>
        <w:spacing w:line="360" w:lineRule="auto"/>
        <w:ind w:firstLine="480" w:firstLineChars="200"/>
        <w:rPr>
          <w:rFonts w:ascii="宋体" w:hAnsi="宋体"/>
          <w:sz w:val="24"/>
          <w:szCs w:val="24"/>
        </w:rPr>
      </w:pPr>
      <w:r>
        <w:rPr>
          <w:rFonts w:hint="eastAsia" w:ascii="宋体" w:hAnsi="宋体"/>
          <w:sz w:val="24"/>
          <w:szCs w:val="24"/>
        </w:rPr>
        <w:t>6.2对需要进行标前答疑会或者踏勘现场的采购项目，采购单位将会同采购代理机构召开项目答疑会或者组织获取招标文件的潜在供应商踏勘项目现场，由采购单位对采购项目进行说明与介绍，解答潜在供应商提出的与招标项目有关的问题。</w:t>
      </w:r>
    </w:p>
    <w:p>
      <w:pPr>
        <w:spacing w:line="360" w:lineRule="auto"/>
        <w:ind w:firstLine="480" w:firstLineChars="200"/>
        <w:rPr>
          <w:rFonts w:ascii="宋体" w:hAnsi="宋体"/>
          <w:sz w:val="24"/>
          <w:szCs w:val="24"/>
        </w:rPr>
      </w:pPr>
      <w:r>
        <w:rPr>
          <w:rFonts w:hint="eastAsia" w:ascii="宋体" w:hAnsi="宋体"/>
          <w:sz w:val="24"/>
          <w:szCs w:val="24"/>
        </w:rPr>
        <w:t>6.3勘察现场及参加标前答疑会所发生的费用及一切责任由投标人自行承担。</w:t>
      </w:r>
    </w:p>
    <w:p>
      <w:pPr>
        <w:spacing w:line="360" w:lineRule="auto"/>
        <w:rPr>
          <w:rFonts w:ascii="宋体" w:hAnsi="宋体"/>
          <w:sz w:val="24"/>
          <w:szCs w:val="24"/>
        </w:rPr>
      </w:pPr>
      <w:r>
        <w:rPr>
          <w:rFonts w:hint="eastAsia" w:ascii="宋体" w:hAnsi="宋体"/>
          <w:sz w:val="24"/>
          <w:szCs w:val="24"/>
        </w:rPr>
        <w:t>二、招标文件：</w:t>
      </w:r>
    </w:p>
    <w:p>
      <w:pPr>
        <w:spacing w:line="360" w:lineRule="auto"/>
        <w:ind w:firstLine="480" w:firstLineChars="200"/>
        <w:rPr>
          <w:rFonts w:ascii="宋体" w:hAnsi="宋体"/>
          <w:sz w:val="24"/>
          <w:szCs w:val="24"/>
        </w:rPr>
      </w:pPr>
      <w:r>
        <w:rPr>
          <w:rFonts w:hint="eastAsia" w:ascii="宋体" w:hAnsi="宋体"/>
          <w:sz w:val="24"/>
          <w:szCs w:val="24"/>
        </w:rPr>
        <w:t>7.招标文件的构成</w:t>
      </w:r>
    </w:p>
    <w:p>
      <w:pPr>
        <w:spacing w:line="360" w:lineRule="auto"/>
        <w:ind w:firstLine="480" w:firstLineChars="200"/>
        <w:rPr>
          <w:rFonts w:ascii="宋体" w:hAnsi="宋体"/>
          <w:sz w:val="24"/>
          <w:szCs w:val="24"/>
        </w:rPr>
      </w:pPr>
      <w:r>
        <w:rPr>
          <w:rFonts w:hint="eastAsia" w:ascii="宋体" w:hAnsi="宋体"/>
          <w:sz w:val="24"/>
          <w:szCs w:val="24"/>
        </w:rPr>
        <w:t>7.1招标公告</w:t>
      </w:r>
    </w:p>
    <w:p>
      <w:pPr>
        <w:spacing w:line="360" w:lineRule="auto"/>
        <w:ind w:firstLine="480" w:firstLineChars="200"/>
        <w:rPr>
          <w:rFonts w:ascii="宋体" w:hAnsi="宋体"/>
          <w:sz w:val="24"/>
          <w:szCs w:val="24"/>
        </w:rPr>
      </w:pPr>
      <w:r>
        <w:rPr>
          <w:rFonts w:hint="eastAsia" w:ascii="宋体" w:hAnsi="宋体"/>
          <w:sz w:val="24"/>
          <w:szCs w:val="24"/>
        </w:rPr>
        <w:t>7.2投标人须知前附表</w:t>
      </w:r>
    </w:p>
    <w:p>
      <w:pPr>
        <w:spacing w:line="360" w:lineRule="auto"/>
        <w:ind w:firstLine="480" w:firstLineChars="200"/>
        <w:rPr>
          <w:rFonts w:ascii="宋体" w:hAnsi="宋体"/>
          <w:sz w:val="24"/>
          <w:szCs w:val="24"/>
        </w:rPr>
      </w:pPr>
      <w:r>
        <w:rPr>
          <w:rFonts w:hint="eastAsia" w:ascii="宋体" w:hAnsi="宋体"/>
          <w:sz w:val="24"/>
          <w:szCs w:val="24"/>
        </w:rPr>
        <w:t>7.3投标人须知</w:t>
      </w:r>
    </w:p>
    <w:p>
      <w:pPr>
        <w:spacing w:line="360" w:lineRule="auto"/>
        <w:ind w:firstLine="480" w:firstLineChars="200"/>
        <w:rPr>
          <w:rFonts w:ascii="宋体" w:hAnsi="宋体"/>
          <w:sz w:val="24"/>
          <w:szCs w:val="24"/>
        </w:rPr>
      </w:pPr>
      <w:r>
        <w:rPr>
          <w:rFonts w:hint="eastAsia" w:ascii="宋体" w:hAnsi="宋体"/>
          <w:sz w:val="24"/>
          <w:szCs w:val="24"/>
        </w:rPr>
        <w:t>7.4评标方法及标准</w:t>
      </w:r>
    </w:p>
    <w:p>
      <w:pPr>
        <w:spacing w:line="360" w:lineRule="auto"/>
        <w:ind w:firstLine="480" w:firstLineChars="200"/>
        <w:rPr>
          <w:rFonts w:ascii="宋体" w:hAnsi="宋体"/>
          <w:sz w:val="24"/>
          <w:szCs w:val="24"/>
        </w:rPr>
      </w:pPr>
      <w:r>
        <w:rPr>
          <w:rFonts w:hint="eastAsia" w:ascii="宋体" w:hAnsi="宋体"/>
          <w:sz w:val="24"/>
          <w:szCs w:val="24"/>
        </w:rPr>
        <w:t>7.5技术参数及格式</w:t>
      </w:r>
    </w:p>
    <w:p>
      <w:pPr>
        <w:spacing w:line="360" w:lineRule="auto"/>
        <w:ind w:firstLine="480" w:firstLineChars="200"/>
        <w:rPr>
          <w:rFonts w:ascii="宋体" w:hAnsi="宋体"/>
          <w:sz w:val="24"/>
          <w:szCs w:val="24"/>
        </w:rPr>
      </w:pPr>
      <w:r>
        <w:rPr>
          <w:rFonts w:hint="eastAsia" w:ascii="宋体" w:hAnsi="宋体"/>
          <w:sz w:val="24"/>
          <w:szCs w:val="24"/>
        </w:rPr>
        <w:t>7.6投标文件内容及格式</w:t>
      </w:r>
    </w:p>
    <w:p>
      <w:pPr>
        <w:spacing w:line="360" w:lineRule="auto"/>
        <w:ind w:firstLine="480" w:firstLineChars="200"/>
        <w:rPr>
          <w:rFonts w:ascii="宋体" w:hAnsi="宋体"/>
          <w:sz w:val="24"/>
          <w:szCs w:val="24"/>
        </w:rPr>
      </w:pPr>
      <w:r>
        <w:rPr>
          <w:rFonts w:hint="eastAsia" w:ascii="宋体" w:hAnsi="宋体"/>
          <w:sz w:val="24"/>
          <w:szCs w:val="24"/>
        </w:rPr>
        <w:t>7.7政府采购合同格式</w:t>
      </w:r>
    </w:p>
    <w:p>
      <w:pPr>
        <w:spacing w:line="360" w:lineRule="auto"/>
        <w:ind w:firstLine="480" w:firstLineChars="200"/>
        <w:rPr>
          <w:rFonts w:ascii="宋体" w:hAnsi="宋体"/>
          <w:sz w:val="24"/>
          <w:szCs w:val="24"/>
        </w:rPr>
      </w:pPr>
      <w:r>
        <w:rPr>
          <w:rFonts w:hint="eastAsia" w:ascii="宋体" w:hAnsi="宋体"/>
          <w:sz w:val="24"/>
          <w:szCs w:val="24"/>
        </w:rPr>
        <w:t>投标人应当完整地阅读、理解构成招标文件的所有内容。</w:t>
      </w:r>
    </w:p>
    <w:p>
      <w:pPr>
        <w:spacing w:line="360" w:lineRule="auto"/>
        <w:ind w:firstLine="480" w:firstLineChars="200"/>
        <w:rPr>
          <w:rFonts w:ascii="宋体" w:hAnsi="宋体"/>
          <w:sz w:val="24"/>
          <w:szCs w:val="24"/>
        </w:rPr>
      </w:pPr>
      <w:r>
        <w:rPr>
          <w:rFonts w:hint="eastAsia" w:ascii="宋体" w:hAnsi="宋体"/>
          <w:sz w:val="24"/>
          <w:szCs w:val="24"/>
        </w:rPr>
        <w:t>8.招标文件的澄清和修改：</w:t>
      </w:r>
    </w:p>
    <w:p>
      <w:pPr>
        <w:spacing w:line="360" w:lineRule="auto"/>
        <w:ind w:firstLine="480" w:firstLineChars="200"/>
        <w:rPr>
          <w:rFonts w:ascii="宋体" w:hAnsi="宋体"/>
          <w:sz w:val="24"/>
          <w:szCs w:val="24"/>
        </w:rPr>
      </w:pPr>
      <w:r>
        <w:rPr>
          <w:rFonts w:hint="eastAsia" w:ascii="宋体" w:hAnsi="宋体"/>
          <w:sz w:val="24"/>
          <w:szCs w:val="24"/>
        </w:rPr>
        <w:t>8.1投标人对招标文件如有疑议要求澄清的，应在开标时间以前以书面形式通知采购代理机构，采购代理机构将根据实际情况，决定是否答复。答复将以书面形式发给获得招标文件的所有潜在投标人。该澄清或者修改的内容为招标文件的组成部分，对所有招标文件的收受人具有约束力。</w:t>
      </w:r>
    </w:p>
    <w:p>
      <w:pPr>
        <w:spacing w:line="360" w:lineRule="auto"/>
        <w:ind w:firstLine="480" w:firstLineChars="200"/>
        <w:rPr>
          <w:rFonts w:ascii="宋体" w:hAnsi="宋体"/>
          <w:sz w:val="24"/>
          <w:szCs w:val="24"/>
        </w:rPr>
      </w:pPr>
      <w:r>
        <w:rPr>
          <w:rFonts w:hint="eastAsia" w:ascii="宋体" w:hAnsi="宋体"/>
          <w:sz w:val="24"/>
          <w:szCs w:val="24"/>
        </w:rPr>
        <w:t>8.2招标采购单位对已发出的招标文件进行必要澄清或者修改的，应当在招标文件要求提交投标文件截止时间十五日前，在财政部门指定的政府采购信息发布媒体上发布更正公告。该澄清或者修改的内容为招标文件的组成部分，对所有招标文件的收受人具有约束力。</w:t>
      </w:r>
    </w:p>
    <w:p>
      <w:pPr>
        <w:spacing w:line="360" w:lineRule="auto"/>
        <w:ind w:firstLine="480" w:firstLineChars="200"/>
        <w:rPr>
          <w:rFonts w:ascii="宋体" w:hAnsi="宋体"/>
          <w:sz w:val="24"/>
          <w:szCs w:val="24"/>
        </w:rPr>
      </w:pPr>
      <w:r>
        <w:rPr>
          <w:rFonts w:hint="eastAsia" w:ascii="宋体" w:hAnsi="宋体"/>
          <w:sz w:val="24"/>
          <w:szCs w:val="24"/>
        </w:rPr>
        <w:t>8.3 招标文件、更正公告、变更公告均以在财政部门指定的政府采购信息发布媒体上发布的为准，如果内容互相矛盾时，以最后发出的为准。</w:t>
      </w:r>
    </w:p>
    <w:p>
      <w:pPr>
        <w:spacing w:line="360" w:lineRule="auto"/>
        <w:rPr>
          <w:rFonts w:ascii="宋体" w:hAnsi="宋体"/>
          <w:sz w:val="24"/>
          <w:szCs w:val="24"/>
        </w:rPr>
      </w:pPr>
      <w:r>
        <w:rPr>
          <w:rFonts w:hint="eastAsia" w:ascii="宋体" w:hAnsi="宋体"/>
          <w:sz w:val="24"/>
          <w:szCs w:val="24"/>
        </w:rPr>
        <w:t>三、投标：</w:t>
      </w:r>
    </w:p>
    <w:p>
      <w:pPr>
        <w:spacing w:line="360" w:lineRule="auto"/>
        <w:ind w:firstLine="480" w:firstLineChars="200"/>
        <w:rPr>
          <w:rFonts w:ascii="宋体" w:hAnsi="宋体"/>
          <w:sz w:val="24"/>
          <w:szCs w:val="24"/>
        </w:rPr>
      </w:pPr>
      <w:r>
        <w:rPr>
          <w:rFonts w:hint="eastAsia" w:ascii="宋体" w:hAnsi="宋体"/>
          <w:sz w:val="24"/>
          <w:szCs w:val="24"/>
        </w:rPr>
        <w:t>9投标文件编制</w:t>
      </w:r>
    </w:p>
    <w:p>
      <w:pPr>
        <w:spacing w:line="360" w:lineRule="auto"/>
        <w:ind w:firstLine="480" w:firstLineChars="200"/>
        <w:rPr>
          <w:rFonts w:ascii="宋体" w:hAnsi="宋体"/>
          <w:sz w:val="24"/>
          <w:szCs w:val="24"/>
        </w:rPr>
      </w:pPr>
      <w:r>
        <w:rPr>
          <w:rFonts w:hint="eastAsia" w:ascii="宋体" w:hAnsi="宋体"/>
          <w:sz w:val="24"/>
          <w:szCs w:val="24"/>
        </w:rPr>
        <w:t>9.1投标人应当按照招标文件的要求编制投标文件。投标文件应当对招标文件提出的要求和条件作出明确响应。</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9.2单一产品招标项目，同一品牌只能由一个投标人参与，提供相同品牌产品的不同投标人参加同一项目投标的，以一个投标人计算。</w:t>
      </w:r>
    </w:p>
    <w:p>
      <w:pPr>
        <w:spacing w:line="360" w:lineRule="auto"/>
        <w:ind w:firstLine="570"/>
        <w:rPr>
          <w:rFonts w:ascii="宋体" w:hAnsi="宋体"/>
          <w:sz w:val="24"/>
          <w:szCs w:val="24"/>
        </w:rPr>
      </w:pPr>
      <w:r>
        <w:rPr>
          <w:rFonts w:hint="eastAsia" w:ascii="宋体" w:hAnsi="宋体"/>
          <w:sz w:val="24"/>
          <w:szCs w:val="24"/>
        </w:rPr>
        <w:t>非单一产品采购项目，采购人应当根据采购项目技术构成、产品价格比重等合理确定核心产品，并在招标文件中载明。多家投标人提供的核心产品品牌相同的，按前款规定处理。</w:t>
      </w:r>
    </w:p>
    <w:p>
      <w:pPr>
        <w:spacing w:line="360" w:lineRule="auto"/>
        <w:ind w:firstLine="480" w:firstLineChars="200"/>
        <w:rPr>
          <w:rFonts w:ascii="宋体" w:hAnsi="宋体"/>
          <w:sz w:val="24"/>
          <w:szCs w:val="24"/>
        </w:rPr>
      </w:pPr>
      <w:r>
        <w:rPr>
          <w:rFonts w:hint="eastAsia" w:ascii="宋体" w:hAnsi="宋体"/>
          <w:sz w:val="24"/>
          <w:szCs w:val="24"/>
        </w:rPr>
        <w:t>10.投标文件的构成：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投标文件由符合性证明材料、资格性证明材料、其它材料三部分组成。具体内容和格式见第五章。</w:t>
      </w:r>
    </w:p>
    <w:p>
      <w:pPr>
        <w:spacing w:line="360" w:lineRule="auto"/>
        <w:ind w:firstLine="480" w:firstLineChars="200"/>
        <w:rPr>
          <w:rFonts w:ascii="宋体" w:hAnsi="宋体"/>
          <w:sz w:val="24"/>
          <w:szCs w:val="24"/>
        </w:rPr>
      </w:pPr>
      <w:r>
        <w:rPr>
          <w:rFonts w:hint="eastAsia" w:ascii="宋体" w:hAnsi="宋体"/>
          <w:sz w:val="24"/>
          <w:szCs w:val="24"/>
        </w:rPr>
        <w:t>11.投标文件格式：</w:t>
      </w:r>
    </w:p>
    <w:p>
      <w:pPr>
        <w:spacing w:line="360" w:lineRule="auto"/>
        <w:ind w:firstLine="480" w:firstLineChars="200"/>
        <w:rPr>
          <w:rFonts w:ascii="宋体" w:hAnsi="宋体"/>
          <w:sz w:val="24"/>
          <w:szCs w:val="24"/>
        </w:rPr>
      </w:pPr>
      <w:r>
        <w:rPr>
          <w:rFonts w:hint="eastAsia" w:ascii="宋体" w:hAnsi="宋体"/>
          <w:sz w:val="24"/>
          <w:szCs w:val="24"/>
        </w:rPr>
        <w:t>投标人应按招标文件提供的格式编写投标文件，不得缺少或留空任何招标文件要求填写的表格或提交的资料。招标文件提供标准格式的按标准格式填列，未提供标准格式的可自行拟定。</w:t>
      </w:r>
    </w:p>
    <w:p>
      <w:pPr>
        <w:spacing w:line="360" w:lineRule="auto"/>
        <w:ind w:firstLine="480" w:firstLineChars="200"/>
        <w:rPr>
          <w:rFonts w:ascii="宋体" w:hAnsi="宋体"/>
          <w:sz w:val="24"/>
          <w:szCs w:val="24"/>
        </w:rPr>
      </w:pPr>
      <w:r>
        <w:rPr>
          <w:rFonts w:hint="eastAsia" w:ascii="宋体" w:hAnsi="宋体"/>
          <w:sz w:val="24"/>
          <w:szCs w:val="24"/>
        </w:rPr>
        <w:t>12.投标报价：</w:t>
      </w:r>
    </w:p>
    <w:p>
      <w:pPr>
        <w:spacing w:line="360" w:lineRule="auto"/>
        <w:ind w:firstLine="480" w:firstLineChars="200"/>
        <w:rPr>
          <w:rFonts w:ascii="宋体" w:hAnsi="宋体"/>
          <w:sz w:val="24"/>
          <w:szCs w:val="24"/>
        </w:rPr>
      </w:pPr>
      <w:r>
        <w:rPr>
          <w:rFonts w:hint="eastAsia" w:ascii="宋体" w:hAnsi="宋体"/>
          <w:sz w:val="24"/>
          <w:szCs w:val="24"/>
        </w:rPr>
        <w:t>12.1所有投标报价均以人民币元为计算单位。投标价格应为折扣后货物（服务）价格、需缴纳的所有税费及货物运送到采购单位指定地点所需的一切费用。投标人的报价超过采购预算或最高限价的作为无效投标处理。</w:t>
      </w:r>
    </w:p>
    <w:p>
      <w:pPr>
        <w:spacing w:line="360" w:lineRule="auto"/>
        <w:ind w:firstLine="480" w:firstLineChars="200"/>
        <w:rPr>
          <w:rFonts w:ascii="宋体" w:hAnsi="宋体"/>
          <w:sz w:val="24"/>
          <w:szCs w:val="24"/>
        </w:rPr>
      </w:pPr>
      <w:r>
        <w:rPr>
          <w:rFonts w:hint="eastAsia" w:ascii="宋体" w:hAnsi="宋体"/>
          <w:sz w:val="24"/>
          <w:szCs w:val="24"/>
        </w:rPr>
        <w:t>12.2投标人要按开标一览表、报价明细表的内容完整填写货物（服务）单价、小计、投标总报价及其它事项，并按照格式要求由法定代表人或其授权代表签署。</w:t>
      </w:r>
    </w:p>
    <w:p>
      <w:pPr>
        <w:spacing w:line="360" w:lineRule="auto"/>
        <w:ind w:firstLine="480" w:firstLineChars="200"/>
        <w:rPr>
          <w:rFonts w:ascii="宋体" w:hAnsi="宋体"/>
          <w:sz w:val="24"/>
          <w:szCs w:val="24"/>
        </w:rPr>
      </w:pPr>
      <w:r>
        <w:rPr>
          <w:rFonts w:hint="eastAsia" w:ascii="宋体" w:hAnsi="宋体"/>
          <w:sz w:val="24"/>
          <w:szCs w:val="24"/>
        </w:rPr>
        <w:t>12.3开标一览表中标明的价格在政府采购合同执行过程中是固定不变的，投标人不得以任何理由予以变更。</w:t>
      </w:r>
    </w:p>
    <w:p>
      <w:pPr>
        <w:spacing w:line="360" w:lineRule="auto"/>
        <w:ind w:firstLine="480" w:firstLineChars="200"/>
        <w:rPr>
          <w:rFonts w:ascii="宋体" w:hAnsi="宋体"/>
          <w:sz w:val="24"/>
          <w:szCs w:val="24"/>
        </w:rPr>
      </w:pPr>
      <w:r>
        <w:rPr>
          <w:rFonts w:hint="eastAsia" w:ascii="宋体" w:hAnsi="宋体"/>
          <w:sz w:val="24"/>
          <w:szCs w:val="24"/>
        </w:rPr>
        <w:t>12.4采购代理机构不接受任何可选择性的标的物或报价，每一种货物（服务）只能有一个报价，否则将作为无效投标处理。</w:t>
      </w:r>
    </w:p>
    <w:p>
      <w:pPr>
        <w:spacing w:line="360" w:lineRule="auto"/>
        <w:ind w:firstLine="480" w:firstLineChars="200"/>
        <w:rPr>
          <w:rFonts w:ascii="宋体" w:hAnsi="宋体"/>
          <w:sz w:val="24"/>
          <w:szCs w:val="24"/>
        </w:rPr>
      </w:pPr>
      <w:r>
        <w:rPr>
          <w:rFonts w:hint="eastAsia" w:ascii="宋体" w:hAnsi="宋体"/>
          <w:sz w:val="24"/>
          <w:szCs w:val="24"/>
        </w:rPr>
        <w:t>12.5投标文件报价出现前后不一致的，按照下列规定修正：</w:t>
      </w:r>
    </w:p>
    <w:p>
      <w:pPr>
        <w:spacing w:line="360" w:lineRule="auto"/>
        <w:rPr>
          <w:rFonts w:ascii="宋体" w:hAnsi="宋体"/>
          <w:sz w:val="24"/>
          <w:szCs w:val="24"/>
        </w:rPr>
      </w:pPr>
      <w:r>
        <w:rPr>
          <w:rFonts w:hint="eastAsia" w:ascii="宋体" w:hAnsi="宋体"/>
          <w:sz w:val="24"/>
          <w:szCs w:val="24"/>
        </w:rPr>
        <w:t>　　（一）投标文件中开标一览表（报价表）内容与投标文件中相应内容不一致的，以开标一览表（报价表）为准；</w:t>
      </w:r>
    </w:p>
    <w:p>
      <w:pPr>
        <w:spacing w:line="360" w:lineRule="auto"/>
        <w:rPr>
          <w:rFonts w:ascii="宋体" w:hAnsi="宋体"/>
          <w:sz w:val="24"/>
          <w:szCs w:val="24"/>
        </w:rPr>
      </w:pPr>
      <w:r>
        <w:rPr>
          <w:rFonts w:hint="eastAsia" w:ascii="宋体" w:hAnsi="宋体"/>
          <w:sz w:val="24"/>
          <w:szCs w:val="24"/>
        </w:rPr>
        <w:t>　　（二）大写金额和小写金额不一致的，以大写金额为准；</w:t>
      </w:r>
    </w:p>
    <w:p>
      <w:pPr>
        <w:spacing w:line="360" w:lineRule="auto"/>
        <w:rPr>
          <w:rFonts w:ascii="宋体" w:hAnsi="宋体"/>
          <w:sz w:val="24"/>
          <w:szCs w:val="24"/>
        </w:rPr>
      </w:pPr>
      <w:r>
        <w:rPr>
          <w:rFonts w:hint="eastAsia" w:ascii="宋体" w:hAnsi="宋体"/>
          <w:sz w:val="24"/>
          <w:szCs w:val="24"/>
        </w:rPr>
        <w:t>　　（三）单价金额小数点或者百分比有明显错位的，以开标一览表的总价为准，并修改单价；</w:t>
      </w:r>
    </w:p>
    <w:p>
      <w:pPr>
        <w:spacing w:line="360" w:lineRule="auto"/>
        <w:rPr>
          <w:rFonts w:ascii="宋体" w:hAnsi="宋体"/>
          <w:sz w:val="24"/>
          <w:szCs w:val="24"/>
        </w:rPr>
      </w:pPr>
      <w:r>
        <w:rPr>
          <w:rFonts w:hint="eastAsia" w:ascii="宋体" w:hAnsi="宋体"/>
          <w:sz w:val="24"/>
          <w:szCs w:val="24"/>
        </w:rPr>
        <w:t>　　（四）总价金额与按单价汇总金额不一致的，以单价金额计算结果为准。</w:t>
      </w:r>
    </w:p>
    <w:p>
      <w:pPr>
        <w:spacing w:line="360" w:lineRule="auto"/>
        <w:rPr>
          <w:rFonts w:ascii="宋体" w:hAnsi="宋体"/>
          <w:sz w:val="24"/>
          <w:szCs w:val="24"/>
        </w:rPr>
      </w:pPr>
      <w:r>
        <w:rPr>
          <w:rFonts w:hint="eastAsia" w:ascii="宋体" w:hAnsi="宋体"/>
          <w:sz w:val="24"/>
          <w:szCs w:val="24"/>
        </w:rPr>
        <w:t>　　同时出现两种以上不一致的，按照前款规定的顺序修正。修正后的报价按照本办法第五十一条第二款的规定经投标人确认后产生约束力，投标人不确认的，其投标无效。《87号令第五十九条》</w:t>
      </w:r>
    </w:p>
    <w:p>
      <w:pPr>
        <w:spacing w:line="360" w:lineRule="auto"/>
        <w:ind w:firstLine="480" w:firstLineChars="200"/>
        <w:rPr>
          <w:rFonts w:ascii="宋体" w:hAnsi="宋体"/>
          <w:sz w:val="24"/>
          <w:szCs w:val="24"/>
        </w:rPr>
      </w:pPr>
      <w:r>
        <w:rPr>
          <w:rFonts w:hint="eastAsia" w:ascii="宋体" w:hAnsi="宋体"/>
          <w:sz w:val="24"/>
          <w:szCs w:val="24"/>
        </w:rPr>
        <w:t>12.6投标人应完整地填写招标文件中的投标响应表，投标文件的技术指标响应情况应与招标文件的技术指标要求逐项对应填列，并将偏离情况在偏离栏中列出。</w:t>
      </w:r>
    </w:p>
    <w:p>
      <w:pPr>
        <w:spacing w:line="360" w:lineRule="auto"/>
        <w:ind w:firstLine="480" w:firstLineChars="200"/>
        <w:rPr>
          <w:rFonts w:ascii="宋体" w:hAnsi="宋体"/>
          <w:sz w:val="24"/>
          <w:szCs w:val="24"/>
        </w:rPr>
      </w:pPr>
      <w:r>
        <w:rPr>
          <w:rFonts w:hint="eastAsia" w:ascii="宋体" w:hAnsi="宋体"/>
          <w:sz w:val="24"/>
          <w:szCs w:val="24"/>
        </w:rPr>
        <w:t xml:space="preserve">12.7投标响应表是评标的重要依据，无论所投标的货物（服务）与招标文件的要求是否有偏离，投标人都必须一一对应填报。   </w:t>
      </w:r>
    </w:p>
    <w:p>
      <w:pPr>
        <w:spacing w:line="360" w:lineRule="auto"/>
        <w:ind w:firstLine="480" w:firstLineChars="200"/>
        <w:rPr>
          <w:rFonts w:ascii="宋体" w:hAnsi="宋体"/>
          <w:sz w:val="24"/>
          <w:szCs w:val="24"/>
        </w:rPr>
      </w:pPr>
      <w:r>
        <w:rPr>
          <w:rFonts w:hint="eastAsia" w:ascii="宋体" w:hAnsi="宋体"/>
          <w:sz w:val="24"/>
          <w:szCs w:val="24"/>
        </w:rPr>
        <w:t>13.证明投标人合格的资质证明材料：</w:t>
      </w:r>
    </w:p>
    <w:p>
      <w:pPr>
        <w:spacing w:line="360" w:lineRule="auto"/>
        <w:ind w:firstLine="480" w:firstLineChars="200"/>
        <w:rPr>
          <w:rFonts w:ascii="宋体" w:hAnsi="宋体"/>
          <w:sz w:val="24"/>
          <w:szCs w:val="24"/>
        </w:rPr>
      </w:pPr>
      <w:r>
        <w:rPr>
          <w:rFonts w:hint="eastAsia" w:ascii="宋体" w:hAnsi="宋体"/>
          <w:sz w:val="24"/>
          <w:szCs w:val="24"/>
        </w:rPr>
        <w:t>13.1投标人应按照招标文件要求提交证明其有资质参加投标和中标后有能力履行政府采购合同的文件，并作为其投标文件的一部分。</w:t>
      </w:r>
    </w:p>
    <w:p>
      <w:pPr>
        <w:spacing w:line="360" w:lineRule="auto"/>
        <w:ind w:firstLine="480" w:firstLineChars="200"/>
        <w:rPr>
          <w:rFonts w:ascii="宋体" w:hAnsi="宋体"/>
          <w:sz w:val="24"/>
          <w:szCs w:val="24"/>
        </w:rPr>
      </w:pPr>
      <w:r>
        <w:rPr>
          <w:rFonts w:hint="eastAsia" w:ascii="宋体" w:hAnsi="宋体"/>
          <w:sz w:val="24"/>
          <w:szCs w:val="24"/>
        </w:rPr>
        <w:t>13.2投标人提供“资质证明材料”必须真实、合法、有效。</w:t>
      </w:r>
    </w:p>
    <w:p>
      <w:pPr>
        <w:spacing w:line="360" w:lineRule="auto"/>
        <w:ind w:firstLine="480" w:firstLineChars="200"/>
        <w:rPr>
          <w:rFonts w:ascii="宋体" w:hAnsi="宋体"/>
          <w:sz w:val="24"/>
          <w:szCs w:val="24"/>
        </w:rPr>
      </w:pPr>
      <w:r>
        <w:rPr>
          <w:rFonts w:hint="eastAsia" w:ascii="宋体" w:hAnsi="宋体"/>
          <w:sz w:val="24"/>
          <w:szCs w:val="24"/>
        </w:rPr>
        <w:t>14.投标保证金：</w:t>
      </w:r>
    </w:p>
    <w:p>
      <w:pPr>
        <w:pStyle w:val="27"/>
        <w:tabs>
          <w:tab w:val="left" w:pos="786"/>
          <w:tab w:val="left" w:pos="900"/>
        </w:tabs>
        <w:spacing w:line="360" w:lineRule="auto"/>
        <w:ind w:left="0" w:firstLine="480" w:firstLineChars="200"/>
        <w:rPr>
          <w:rFonts w:ascii="宋体" w:hAnsi="宋体" w:eastAsia="宋体"/>
          <w:color w:val="000000"/>
          <w:sz w:val="24"/>
          <w:szCs w:val="24"/>
        </w:rPr>
      </w:pPr>
      <w:r>
        <w:rPr>
          <w:rFonts w:hint="eastAsia" w:ascii="宋体" w:hAnsi="宋体" w:eastAsia="宋体"/>
          <w:color w:val="000000"/>
          <w:sz w:val="24"/>
          <w:szCs w:val="24"/>
        </w:rPr>
        <w:t>14.1本项目不设置投标保证金。</w:t>
      </w:r>
    </w:p>
    <w:p>
      <w:pPr>
        <w:spacing w:line="360" w:lineRule="auto"/>
        <w:ind w:firstLine="480" w:firstLineChars="200"/>
        <w:rPr>
          <w:rFonts w:ascii="宋体" w:hAnsi="宋体"/>
          <w:sz w:val="24"/>
          <w:szCs w:val="24"/>
        </w:rPr>
      </w:pPr>
      <w:r>
        <w:rPr>
          <w:rFonts w:hint="eastAsia" w:ascii="宋体" w:hAnsi="宋体"/>
          <w:sz w:val="24"/>
          <w:szCs w:val="24"/>
        </w:rPr>
        <w:t>15.投标有效期：</w:t>
      </w:r>
    </w:p>
    <w:p>
      <w:pPr>
        <w:spacing w:line="360" w:lineRule="auto"/>
        <w:ind w:firstLine="480" w:firstLineChars="200"/>
        <w:rPr>
          <w:rFonts w:ascii="宋体" w:hAnsi="宋体"/>
          <w:sz w:val="24"/>
          <w:szCs w:val="24"/>
        </w:rPr>
      </w:pPr>
      <w:r>
        <w:rPr>
          <w:rFonts w:hint="eastAsia" w:ascii="宋体" w:hAnsi="宋体"/>
          <w:sz w:val="24"/>
          <w:szCs w:val="24"/>
        </w:rPr>
        <w:t>15.1投标文件有效期为自开标之时起60日历天，投标文件有效期短于规定期限的，作为无效文件处理。中标供应商的投标文件有效期与合同履行期相同。</w:t>
      </w:r>
    </w:p>
    <w:p>
      <w:pPr>
        <w:spacing w:line="360" w:lineRule="auto"/>
        <w:ind w:firstLine="480" w:firstLineChars="200"/>
        <w:rPr>
          <w:rFonts w:ascii="宋体" w:hAnsi="宋体"/>
          <w:sz w:val="24"/>
          <w:szCs w:val="24"/>
        </w:rPr>
      </w:pPr>
      <w:r>
        <w:rPr>
          <w:rFonts w:hint="eastAsia" w:ascii="宋体" w:hAnsi="宋体"/>
          <w:sz w:val="24"/>
          <w:szCs w:val="24"/>
        </w:rPr>
        <w:t>15.2在特殊情况下，采购人可与投标人协商延长投标文件的有效期，并以书面形式进行确认，投标保证金的有效期也相应延长。</w:t>
      </w:r>
    </w:p>
    <w:p>
      <w:pPr>
        <w:spacing w:line="360" w:lineRule="auto"/>
        <w:ind w:firstLine="480" w:firstLineChars="200"/>
        <w:rPr>
          <w:rFonts w:ascii="宋体" w:hAnsi="宋体"/>
          <w:sz w:val="24"/>
          <w:szCs w:val="24"/>
        </w:rPr>
      </w:pPr>
      <w:r>
        <w:rPr>
          <w:rFonts w:hint="eastAsia" w:ascii="宋体" w:hAnsi="宋体"/>
          <w:sz w:val="24"/>
          <w:szCs w:val="24"/>
        </w:rPr>
        <w:t>16.投标文件的式样：</w:t>
      </w:r>
    </w:p>
    <w:p>
      <w:pPr>
        <w:spacing w:line="360" w:lineRule="auto"/>
        <w:ind w:firstLine="480" w:firstLineChars="200"/>
        <w:rPr>
          <w:rFonts w:ascii="宋体" w:hAnsi="宋体"/>
          <w:sz w:val="24"/>
          <w:szCs w:val="24"/>
        </w:rPr>
      </w:pPr>
      <w:r>
        <w:rPr>
          <w:rFonts w:hint="eastAsia" w:ascii="宋体" w:hAnsi="宋体"/>
          <w:sz w:val="24"/>
          <w:szCs w:val="24"/>
        </w:rPr>
        <w:t>16.1投标文件需打印或用不褪色墨水书写。除了投标文件封面以外，每个页面都要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sz w:val="24"/>
          <w:szCs w:val="24"/>
        </w:rPr>
      </w:pPr>
      <w:r>
        <w:rPr>
          <w:rFonts w:hint="eastAsia" w:ascii="宋体" w:hAnsi="宋体"/>
          <w:sz w:val="24"/>
          <w:szCs w:val="24"/>
        </w:rPr>
        <w:t>17投标文件的签署和盖章</w:t>
      </w:r>
    </w:p>
    <w:p>
      <w:pPr>
        <w:spacing w:line="360" w:lineRule="auto"/>
        <w:ind w:firstLine="480" w:firstLineChars="200"/>
        <w:rPr>
          <w:rFonts w:ascii="宋体" w:hAnsi="宋体"/>
          <w:sz w:val="24"/>
          <w:szCs w:val="24"/>
        </w:rPr>
      </w:pPr>
      <w:r>
        <w:rPr>
          <w:rFonts w:hint="eastAsia" w:ascii="宋体" w:hAnsi="宋体"/>
          <w:sz w:val="24"/>
          <w:szCs w:val="24"/>
        </w:rPr>
        <w:t xml:space="preserve">17.1投标文件由法定代表人签署的，须提交以书面形式出具的“法定代表人身份证明书”；由授权代理人签署的，须提交以书面形式出具的 “法人授权委托书”。  </w:t>
      </w:r>
    </w:p>
    <w:p>
      <w:pPr>
        <w:spacing w:line="360" w:lineRule="auto"/>
        <w:ind w:firstLine="480" w:firstLineChars="200"/>
        <w:rPr>
          <w:rFonts w:ascii="宋体" w:hAnsi="宋体"/>
          <w:sz w:val="24"/>
          <w:szCs w:val="24"/>
        </w:rPr>
      </w:pPr>
      <w:r>
        <w:rPr>
          <w:rFonts w:hint="eastAsia" w:ascii="宋体" w:hAnsi="宋体"/>
          <w:sz w:val="24"/>
          <w:szCs w:val="24"/>
        </w:rPr>
        <w:t>17.2投标文件中凡是要求签署和加盖公章处均须由投标人的法定代表人本人或其授权代理人本人手书签字并加盖投标人公章。未按要求签署和盖章的投标文件为无效投标。</w:t>
      </w:r>
    </w:p>
    <w:p>
      <w:pPr>
        <w:spacing w:line="360" w:lineRule="auto"/>
        <w:ind w:firstLine="480" w:firstLineChars="200"/>
        <w:rPr>
          <w:rFonts w:ascii="宋体" w:hAnsi="宋体"/>
          <w:sz w:val="24"/>
          <w:szCs w:val="24"/>
        </w:rPr>
      </w:pPr>
      <w:r>
        <w:rPr>
          <w:rFonts w:hint="eastAsia" w:ascii="宋体" w:hAnsi="宋体"/>
          <w:sz w:val="24"/>
          <w:szCs w:val="24"/>
        </w:rPr>
        <w:t>17.3每份投标文件必须清楚地标明“正本”或“副本”，副本可以用正本复印，如果正本与副本不符，以正本为准。</w:t>
      </w:r>
    </w:p>
    <w:p>
      <w:pPr>
        <w:spacing w:line="360" w:lineRule="auto"/>
        <w:ind w:firstLine="480" w:firstLineChars="200"/>
        <w:rPr>
          <w:rFonts w:ascii="宋体" w:hAnsi="宋体"/>
          <w:sz w:val="24"/>
          <w:szCs w:val="24"/>
        </w:rPr>
      </w:pPr>
      <w:r>
        <w:rPr>
          <w:rFonts w:hint="eastAsia" w:ascii="宋体" w:hAnsi="宋体"/>
          <w:sz w:val="24"/>
          <w:szCs w:val="24"/>
        </w:rPr>
        <w:t>四、投标文件的递交：</w:t>
      </w:r>
    </w:p>
    <w:p>
      <w:pPr>
        <w:spacing w:line="360" w:lineRule="auto"/>
        <w:ind w:firstLine="480" w:firstLineChars="200"/>
        <w:rPr>
          <w:rFonts w:ascii="宋体" w:hAnsi="宋体"/>
          <w:sz w:val="24"/>
          <w:szCs w:val="24"/>
        </w:rPr>
      </w:pPr>
      <w:r>
        <w:rPr>
          <w:rFonts w:hint="eastAsia" w:ascii="宋体" w:hAnsi="宋体"/>
          <w:sz w:val="24"/>
          <w:szCs w:val="24"/>
        </w:rPr>
        <w:t>18.投标文件的密封和标记：</w:t>
      </w:r>
    </w:p>
    <w:p>
      <w:pPr>
        <w:spacing w:line="360" w:lineRule="auto"/>
        <w:ind w:firstLine="480" w:firstLineChars="200"/>
        <w:rPr>
          <w:rFonts w:ascii="宋体" w:hAnsi="宋体"/>
          <w:sz w:val="24"/>
          <w:szCs w:val="24"/>
        </w:rPr>
      </w:pPr>
      <w:r>
        <w:rPr>
          <w:rFonts w:hint="eastAsia" w:ascii="宋体" w:hAnsi="宋体"/>
          <w:sz w:val="24"/>
          <w:szCs w:val="24"/>
        </w:rPr>
        <w:t>18.1投标文件外封面、封口按照招标文件规定的格式执行。</w:t>
      </w:r>
    </w:p>
    <w:p>
      <w:pPr>
        <w:spacing w:line="360" w:lineRule="auto"/>
        <w:ind w:firstLine="480" w:firstLineChars="200"/>
        <w:rPr>
          <w:rFonts w:ascii="宋体" w:hAnsi="宋体"/>
          <w:sz w:val="24"/>
          <w:szCs w:val="24"/>
        </w:rPr>
      </w:pPr>
      <w:r>
        <w:rPr>
          <w:rFonts w:hint="eastAsia" w:ascii="宋体" w:hAnsi="宋体"/>
          <w:sz w:val="24"/>
          <w:szCs w:val="24"/>
        </w:rPr>
        <w:t>18.2投标人应将投标文件装订成册，用非透明文件袋将正本和副本分别密封，在密封袋封签处加盖公章，并标明“项目名称”、“标段”、“招标编号”、“投标人名称”及“正本”或“副本”及“在年月日时分之前不得启封”字样。</w:t>
      </w:r>
    </w:p>
    <w:p>
      <w:pPr>
        <w:spacing w:line="360" w:lineRule="auto"/>
        <w:ind w:firstLine="480" w:firstLineChars="200"/>
        <w:rPr>
          <w:rFonts w:ascii="宋体" w:hAnsi="宋体"/>
          <w:sz w:val="24"/>
          <w:szCs w:val="24"/>
        </w:rPr>
      </w:pPr>
      <w:r>
        <w:rPr>
          <w:rFonts w:hint="eastAsia" w:ascii="宋体" w:hAnsi="宋体"/>
          <w:sz w:val="24"/>
          <w:szCs w:val="24"/>
        </w:rPr>
        <w:t>18.3 投标人应提供投标文件正本（一份）和副本（肆份）、电子版一份。</w:t>
      </w:r>
    </w:p>
    <w:p>
      <w:pPr>
        <w:spacing w:line="360" w:lineRule="auto"/>
        <w:ind w:firstLine="480" w:firstLineChars="200"/>
        <w:rPr>
          <w:rFonts w:ascii="宋体" w:hAnsi="宋体"/>
          <w:sz w:val="24"/>
          <w:szCs w:val="24"/>
        </w:rPr>
      </w:pPr>
      <w:r>
        <w:rPr>
          <w:rFonts w:hint="eastAsia" w:ascii="宋体" w:hAnsi="宋体"/>
          <w:sz w:val="24"/>
          <w:szCs w:val="24"/>
        </w:rPr>
        <w:t>18.4为了方便开标，各投标人应将“开标一览表”单独装入一密封袋，在密封袋封签处加盖公章，并标明“项目名称”、“标段”、“投标人名称”、“投标项目编号”及“开标一览表”等字样，然后装入密封袋随投标文件一并递交。</w:t>
      </w:r>
    </w:p>
    <w:p>
      <w:pPr>
        <w:spacing w:line="360" w:lineRule="auto"/>
        <w:ind w:firstLine="360" w:firstLineChars="150"/>
        <w:rPr>
          <w:rFonts w:ascii="宋体" w:hAnsi="宋体"/>
          <w:sz w:val="24"/>
          <w:szCs w:val="24"/>
        </w:rPr>
      </w:pPr>
      <w:r>
        <w:rPr>
          <w:rFonts w:hint="eastAsia" w:ascii="宋体" w:hAnsi="宋体"/>
          <w:sz w:val="24"/>
          <w:szCs w:val="24"/>
        </w:rPr>
        <w:t>18.5投标人应当在招标文件要求提交投标文件的截止时间前，将投标文件密封送达投标地点。采购人或者采购代理机构收到投标文件后，将如实记载投标文件的送达时间和密封情况。任何单位和个人不得在开标前开启投标文件。</w:t>
      </w:r>
    </w:p>
    <w:p>
      <w:pPr>
        <w:spacing w:line="360" w:lineRule="auto"/>
        <w:rPr>
          <w:rFonts w:ascii="宋体" w:hAnsi="宋体"/>
          <w:sz w:val="24"/>
          <w:szCs w:val="24"/>
        </w:rPr>
      </w:pPr>
      <w:r>
        <w:rPr>
          <w:rFonts w:hint="eastAsia" w:ascii="宋体" w:hAnsi="宋体"/>
          <w:sz w:val="24"/>
          <w:szCs w:val="24"/>
        </w:rPr>
        <w:t>　18.6逾期送达或者未按照招标文件要求密封的投标文件，采购人、采购代理机构将拒收。投标人在投标截止时间前，可以对所递交的投标文件进行补充、修改或者撤回，并书面通知采购人或者采购代理机构。补充、修改的内容应当按照招标文件要求签署、盖章、密封后，作为投标文件的组成部分。</w:t>
      </w:r>
    </w:p>
    <w:p>
      <w:pPr>
        <w:spacing w:line="360" w:lineRule="auto"/>
        <w:ind w:firstLine="480" w:firstLineChars="200"/>
        <w:rPr>
          <w:rFonts w:ascii="宋体" w:hAnsi="宋体"/>
          <w:sz w:val="24"/>
          <w:szCs w:val="24"/>
        </w:rPr>
      </w:pPr>
      <w:r>
        <w:rPr>
          <w:rFonts w:hint="eastAsia" w:ascii="宋体" w:hAnsi="宋体"/>
          <w:sz w:val="24"/>
          <w:szCs w:val="24"/>
        </w:rPr>
        <w:t>18.7在投标截止时间后（即从开标之时起），投标人不得对其投标文件做任何修改。</w:t>
      </w:r>
    </w:p>
    <w:p>
      <w:pPr>
        <w:spacing w:line="360" w:lineRule="auto"/>
        <w:ind w:firstLine="480" w:firstLineChars="200"/>
        <w:rPr>
          <w:rFonts w:ascii="宋体" w:hAnsi="宋体"/>
          <w:sz w:val="24"/>
          <w:szCs w:val="24"/>
        </w:rPr>
      </w:pPr>
      <w:r>
        <w:rPr>
          <w:rFonts w:hint="eastAsia" w:ascii="宋体" w:hAnsi="宋体"/>
          <w:sz w:val="24"/>
          <w:szCs w:val="24"/>
        </w:rPr>
        <w:t>18.8从投标截止时间至投标有效期期满，投标人不得撤回投标，否则投标保证金将被没收。投标人之间恶意串通而撤回投标的，除投标保证金被没收外，还将受到根据政府采购法律法规的有关规定作出的处理。</w:t>
      </w:r>
    </w:p>
    <w:p>
      <w:pPr>
        <w:spacing w:line="360" w:lineRule="auto"/>
        <w:ind w:firstLine="480" w:firstLineChars="200"/>
        <w:rPr>
          <w:rFonts w:ascii="宋体" w:hAnsi="宋体"/>
          <w:sz w:val="24"/>
          <w:szCs w:val="24"/>
        </w:rPr>
      </w:pPr>
      <w:r>
        <w:rPr>
          <w:rFonts w:hint="eastAsia" w:ascii="宋体" w:hAnsi="宋体"/>
          <w:sz w:val="24"/>
          <w:szCs w:val="24"/>
        </w:rPr>
        <w:t>五、开标与评标：</w:t>
      </w:r>
    </w:p>
    <w:p>
      <w:pPr>
        <w:spacing w:line="360" w:lineRule="auto"/>
        <w:ind w:firstLine="480" w:firstLineChars="200"/>
        <w:rPr>
          <w:rFonts w:ascii="宋体" w:hAnsi="宋体"/>
          <w:sz w:val="24"/>
          <w:szCs w:val="24"/>
        </w:rPr>
      </w:pPr>
      <w:r>
        <w:rPr>
          <w:rFonts w:hint="eastAsia" w:ascii="宋体" w:hAnsi="宋体"/>
          <w:sz w:val="24"/>
          <w:szCs w:val="24"/>
        </w:rPr>
        <w:t>19.开标：</w:t>
      </w:r>
    </w:p>
    <w:p>
      <w:pPr>
        <w:spacing w:line="360" w:lineRule="auto"/>
        <w:ind w:firstLine="480" w:firstLineChars="200"/>
        <w:rPr>
          <w:rFonts w:ascii="宋体" w:hAnsi="宋体"/>
          <w:sz w:val="24"/>
          <w:szCs w:val="24"/>
        </w:rPr>
      </w:pPr>
      <w:r>
        <w:rPr>
          <w:rFonts w:hint="eastAsia" w:ascii="宋体" w:hAnsi="宋体"/>
          <w:sz w:val="24"/>
          <w:szCs w:val="24"/>
        </w:rPr>
        <w:t>19.1开标由采购人或者采购代理机构主持，邀请投标人参加。</w:t>
      </w:r>
    </w:p>
    <w:p>
      <w:pPr>
        <w:spacing w:line="360" w:lineRule="auto"/>
        <w:rPr>
          <w:rFonts w:ascii="宋体" w:hAnsi="宋体"/>
          <w:sz w:val="24"/>
          <w:szCs w:val="24"/>
        </w:rPr>
      </w:pPr>
      <w:r>
        <w:rPr>
          <w:rFonts w:hint="eastAsia" w:ascii="宋体" w:hAnsi="宋体"/>
          <w:sz w:val="24"/>
          <w:szCs w:val="24"/>
        </w:rPr>
        <w:t>　　19.2开标时，由投标人或者其推选的代表检查投标文件的密封情况；经确认无误后，由采购人或者采购代理机构工作人员当众拆封，宣布投标人名称、投标价格和招标文件规定的需要宣布的其他内容。</w:t>
      </w:r>
    </w:p>
    <w:p>
      <w:pPr>
        <w:spacing w:line="360" w:lineRule="auto"/>
        <w:rPr>
          <w:rFonts w:ascii="宋体" w:hAnsi="宋体"/>
          <w:sz w:val="24"/>
          <w:szCs w:val="24"/>
        </w:rPr>
      </w:pPr>
      <w:r>
        <w:rPr>
          <w:rFonts w:hint="eastAsia" w:ascii="宋体" w:hAnsi="宋体"/>
          <w:sz w:val="24"/>
          <w:szCs w:val="24"/>
        </w:rPr>
        <w:t>　  19.3开标过程由采购人或者采购代理机构负责记录，由参加开标的各投标人代表和相关工作人员签字确认后随招标文件一并存档。</w:t>
      </w:r>
    </w:p>
    <w:p>
      <w:pPr>
        <w:spacing w:line="360" w:lineRule="auto"/>
        <w:rPr>
          <w:rFonts w:ascii="宋体" w:hAnsi="宋体"/>
          <w:sz w:val="24"/>
          <w:szCs w:val="24"/>
        </w:rPr>
      </w:pPr>
      <w:r>
        <w:rPr>
          <w:rFonts w:hint="eastAsia" w:ascii="宋体" w:hAnsi="宋体"/>
          <w:sz w:val="24"/>
          <w:szCs w:val="24"/>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rPr>
          <w:rFonts w:ascii="宋体" w:hAnsi="宋体"/>
          <w:sz w:val="24"/>
          <w:szCs w:val="24"/>
        </w:rPr>
      </w:pPr>
      <w:r>
        <w:rPr>
          <w:rFonts w:hint="eastAsia" w:ascii="宋体" w:hAnsi="宋体"/>
          <w:sz w:val="24"/>
          <w:szCs w:val="24"/>
        </w:rPr>
        <w:t>　　投标人未参加开标的，视同认可开标结果。</w:t>
      </w:r>
    </w:p>
    <w:p>
      <w:pPr>
        <w:spacing w:line="360" w:lineRule="auto"/>
        <w:ind w:firstLine="480" w:firstLineChars="200"/>
        <w:rPr>
          <w:rFonts w:ascii="宋体" w:hAnsi="宋体"/>
          <w:sz w:val="24"/>
          <w:szCs w:val="24"/>
        </w:rPr>
      </w:pPr>
      <w:r>
        <w:rPr>
          <w:rFonts w:hint="eastAsia" w:ascii="宋体" w:hAnsi="宋体"/>
          <w:sz w:val="24"/>
          <w:szCs w:val="24"/>
        </w:rPr>
        <w:t>19.4开标结束后，采购人或者采购代理机构依法对投标人的资格进行审查。</w:t>
      </w:r>
    </w:p>
    <w:p>
      <w:pPr>
        <w:spacing w:line="360" w:lineRule="auto"/>
        <w:ind w:firstLine="240" w:firstLineChars="100"/>
        <w:rPr>
          <w:rFonts w:ascii="宋体" w:hAnsi="宋体"/>
          <w:sz w:val="24"/>
          <w:szCs w:val="24"/>
        </w:rPr>
      </w:pPr>
      <w:r>
        <w:rPr>
          <w:rFonts w:hint="eastAsia" w:ascii="宋体" w:hAnsi="宋体"/>
          <w:sz w:val="24"/>
          <w:szCs w:val="24"/>
        </w:rPr>
        <w:t>20.评标：</w:t>
      </w:r>
    </w:p>
    <w:p>
      <w:pPr>
        <w:spacing w:line="360" w:lineRule="auto"/>
        <w:ind w:firstLine="480" w:firstLineChars="200"/>
        <w:rPr>
          <w:rFonts w:ascii="宋体" w:hAnsi="宋体"/>
          <w:bCs/>
          <w:sz w:val="24"/>
        </w:rPr>
      </w:pPr>
      <w:r>
        <w:rPr>
          <w:rFonts w:hint="eastAsia" w:ascii="宋体" w:hAnsi="宋体"/>
          <w:bCs/>
          <w:sz w:val="24"/>
        </w:rPr>
        <w:t>20.1评委会成员为5人以上单数经济、技术专家和采购人代表组成，其中除采购人代表以外的外聘专家不少于三分之二，并按规定从政府采购专家库中随机抽取。</w:t>
      </w:r>
    </w:p>
    <w:p>
      <w:pPr>
        <w:spacing w:line="360" w:lineRule="auto"/>
        <w:ind w:firstLine="480" w:firstLineChars="200"/>
        <w:rPr>
          <w:rFonts w:ascii="宋体" w:hAnsi="宋体"/>
          <w:sz w:val="24"/>
          <w:szCs w:val="24"/>
        </w:rPr>
      </w:pPr>
      <w:r>
        <w:rPr>
          <w:rFonts w:hint="eastAsia" w:ascii="宋体" w:hAnsi="宋体"/>
          <w:sz w:val="24"/>
          <w:szCs w:val="24"/>
        </w:rPr>
        <w:t>20.2投标文件的初审：评标委员会负责具体评标事务，并独立履行下列职责：</w:t>
      </w:r>
    </w:p>
    <w:p>
      <w:pPr>
        <w:spacing w:line="360" w:lineRule="auto"/>
        <w:rPr>
          <w:rFonts w:ascii="宋体" w:hAnsi="宋体"/>
          <w:sz w:val="24"/>
          <w:szCs w:val="24"/>
        </w:rPr>
      </w:pPr>
      <w:r>
        <w:rPr>
          <w:rFonts w:hint="eastAsia" w:ascii="宋体" w:hAnsi="宋体"/>
          <w:sz w:val="24"/>
          <w:szCs w:val="24"/>
        </w:rPr>
        <w:t>　　（一）审查、评价投标文件是否符合招标文件的商务、技术等实质性要求；</w:t>
      </w:r>
    </w:p>
    <w:p>
      <w:pPr>
        <w:spacing w:line="360" w:lineRule="auto"/>
        <w:rPr>
          <w:rFonts w:ascii="宋体" w:hAnsi="宋体"/>
          <w:sz w:val="24"/>
          <w:szCs w:val="24"/>
        </w:rPr>
      </w:pPr>
      <w:r>
        <w:rPr>
          <w:rFonts w:hint="eastAsia" w:ascii="宋体" w:hAnsi="宋体"/>
          <w:sz w:val="24"/>
          <w:szCs w:val="24"/>
        </w:rPr>
        <w:t>　　（二）要求投标人对投标文件有关事项作出澄清或者说明；</w:t>
      </w:r>
    </w:p>
    <w:p>
      <w:pPr>
        <w:spacing w:line="360" w:lineRule="auto"/>
        <w:rPr>
          <w:rFonts w:ascii="宋体" w:hAnsi="宋体"/>
          <w:sz w:val="24"/>
          <w:szCs w:val="24"/>
        </w:rPr>
      </w:pPr>
      <w:r>
        <w:rPr>
          <w:rFonts w:hint="eastAsia" w:ascii="宋体" w:hAnsi="宋体"/>
          <w:sz w:val="24"/>
          <w:szCs w:val="24"/>
        </w:rPr>
        <w:t>　　（三）对投标文件进行比较和评价；</w:t>
      </w:r>
    </w:p>
    <w:p>
      <w:pPr>
        <w:spacing w:line="360" w:lineRule="auto"/>
        <w:rPr>
          <w:rFonts w:ascii="宋体" w:hAnsi="宋体"/>
          <w:sz w:val="24"/>
          <w:szCs w:val="24"/>
        </w:rPr>
      </w:pPr>
      <w:r>
        <w:rPr>
          <w:rFonts w:hint="eastAsia" w:ascii="宋体" w:hAnsi="宋体"/>
          <w:sz w:val="24"/>
          <w:szCs w:val="24"/>
        </w:rPr>
        <w:t>　　（四）确定中标候选人名单，或根据采购人委托直接确定中标人；《87号令第四十六条》</w:t>
      </w:r>
    </w:p>
    <w:p>
      <w:pPr>
        <w:spacing w:line="360" w:lineRule="auto"/>
        <w:ind w:firstLine="488"/>
        <w:rPr>
          <w:rFonts w:ascii="宋体" w:hAnsi="宋体"/>
          <w:sz w:val="24"/>
          <w:szCs w:val="24"/>
        </w:rPr>
      </w:pPr>
      <w:r>
        <w:rPr>
          <w:rFonts w:hint="eastAsia" w:ascii="宋体" w:hAnsi="宋体"/>
          <w:sz w:val="24"/>
          <w:szCs w:val="24"/>
        </w:rPr>
        <w:t>20.4评标委员会应当对符合资格的投标人的投标文件进行符合性审查，以确定其是否满足招标文件的实质性要求。</w:t>
      </w:r>
    </w:p>
    <w:p>
      <w:pPr>
        <w:spacing w:line="360" w:lineRule="auto"/>
        <w:ind w:firstLine="488"/>
        <w:rPr>
          <w:rFonts w:ascii="宋体" w:hAnsi="宋体"/>
          <w:sz w:val="24"/>
          <w:szCs w:val="24"/>
        </w:rPr>
      </w:pPr>
      <w:r>
        <w:rPr>
          <w:rFonts w:hint="eastAsia" w:ascii="宋体" w:hAnsi="宋体"/>
          <w:sz w:val="24"/>
          <w:szCs w:val="24"/>
        </w:rPr>
        <w:t>20.5对于投标文件中含义不明确、同类问题表述不一致或者有明显文字和计算错误的内容，评标委员会应当以书面形式要求投标人作出必要的澄清、说明或者补正。　</w:t>
      </w:r>
    </w:p>
    <w:p>
      <w:pPr>
        <w:spacing w:line="360" w:lineRule="auto"/>
        <w:rPr>
          <w:rFonts w:ascii="宋体" w:hAnsi="宋体"/>
          <w:sz w:val="24"/>
          <w:szCs w:val="24"/>
        </w:rPr>
      </w:pPr>
      <w:r>
        <w:rPr>
          <w:rFonts w:hint="eastAsia" w:ascii="宋体" w:hAnsi="宋体"/>
          <w:sz w:val="24"/>
          <w:szCs w:val="24"/>
        </w:rPr>
        <w:t>　　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rPr>
          <w:rFonts w:ascii="宋体" w:hAnsi="宋体"/>
          <w:sz w:val="24"/>
          <w:szCs w:val="24"/>
        </w:rPr>
      </w:pPr>
      <w:r>
        <w:rPr>
          <w:rFonts w:hint="eastAsia" w:ascii="宋体" w:hAnsi="宋体"/>
          <w:sz w:val="24"/>
          <w:szCs w:val="24"/>
        </w:rPr>
        <w:t>　　20.6评标委员会应当按照招标文件中规定的评标方法和标准，对符合性审查合格的投标文件进行商务和技术评估，综合比较与评价。</w:t>
      </w:r>
    </w:p>
    <w:p>
      <w:pPr>
        <w:spacing w:line="360" w:lineRule="auto"/>
        <w:ind w:firstLine="480" w:firstLineChars="200"/>
        <w:rPr>
          <w:rFonts w:ascii="宋体" w:hAnsi="宋体"/>
          <w:sz w:val="24"/>
          <w:szCs w:val="24"/>
        </w:rPr>
      </w:pPr>
      <w:r>
        <w:rPr>
          <w:rFonts w:hint="eastAsia" w:ascii="宋体" w:hAnsi="宋体"/>
          <w:sz w:val="24"/>
          <w:szCs w:val="24"/>
        </w:rPr>
        <w:t>20.7有下列情形之一的，视为投标人串通投标，其投标无效：</w:t>
      </w:r>
    </w:p>
    <w:p>
      <w:pPr>
        <w:spacing w:line="360" w:lineRule="auto"/>
        <w:rPr>
          <w:rFonts w:ascii="宋体" w:hAnsi="宋体"/>
          <w:sz w:val="24"/>
          <w:szCs w:val="24"/>
        </w:rPr>
      </w:pPr>
      <w:r>
        <w:rPr>
          <w:rFonts w:hint="eastAsia" w:ascii="宋体" w:hAnsi="宋体"/>
          <w:sz w:val="24"/>
          <w:szCs w:val="24"/>
        </w:rPr>
        <w:t>　　（一）不同投标人的投标文件由同一单位或者个人编制；</w:t>
      </w:r>
    </w:p>
    <w:p>
      <w:pPr>
        <w:spacing w:line="360" w:lineRule="auto"/>
        <w:rPr>
          <w:rFonts w:ascii="宋体" w:hAnsi="宋体"/>
          <w:sz w:val="24"/>
          <w:szCs w:val="24"/>
        </w:rPr>
      </w:pPr>
      <w:r>
        <w:rPr>
          <w:rFonts w:hint="eastAsia" w:ascii="宋体" w:hAnsi="宋体"/>
          <w:sz w:val="24"/>
          <w:szCs w:val="24"/>
        </w:rPr>
        <w:t>　　（二）不同投标人委托同一单位或者个人办理投标事宜；</w:t>
      </w:r>
    </w:p>
    <w:p>
      <w:pPr>
        <w:spacing w:line="360" w:lineRule="auto"/>
        <w:rPr>
          <w:rFonts w:ascii="宋体" w:hAnsi="宋体"/>
          <w:sz w:val="24"/>
          <w:szCs w:val="24"/>
        </w:rPr>
      </w:pPr>
      <w:r>
        <w:rPr>
          <w:rFonts w:hint="eastAsia" w:ascii="宋体" w:hAnsi="宋体"/>
          <w:sz w:val="24"/>
          <w:szCs w:val="24"/>
        </w:rPr>
        <w:t>　　（三）不同投标人的投标文件载明的项目管理成员或者联系人员为同一人；</w:t>
      </w:r>
    </w:p>
    <w:p>
      <w:pPr>
        <w:spacing w:line="360" w:lineRule="auto"/>
        <w:rPr>
          <w:rFonts w:ascii="宋体" w:hAnsi="宋体"/>
          <w:sz w:val="24"/>
          <w:szCs w:val="24"/>
        </w:rPr>
      </w:pPr>
      <w:r>
        <w:rPr>
          <w:rFonts w:hint="eastAsia" w:ascii="宋体" w:hAnsi="宋体"/>
          <w:sz w:val="24"/>
          <w:szCs w:val="24"/>
        </w:rPr>
        <w:t>　　（四）不同投标人的投标文件异常一致或者投标报价呈规律性差异；</w:t>
      </w:r>
    </w:p>
    <w:p>
      <w:pPr>
        <w:spacing w:line="360" w:lineRule="auto"/>
        <w:rPr>
          <w:rFonts w:ascii="宋体" w:hAnsi="宋体"/>
          <w:sz w:val="24"/>
          <w:szCs w:val="24"/>
        </w:rPr>
      </w:pPr>
      <w:r>
        <w:rPr>
          <w:rFonts w:hint="eastAsia" w:ascii="宋体" w:hAnsi="宋体"/>
          <w:sz w:val="24"/>
          <w:szCs w:val="24"/>
        </w:rPr>
        <w:t>　　（五）不同投标人的投标文件相互混装；</w:t>
      </w:r>
    </w:p>
    <w:p>
      <w:pPr>
        <w:spacing w:line="360" w:lineRule="auto"/>
        <w:rPr>
          <w:rFonts w:ascii="宋体" w:hAnsi="宋体"/>
          <w:sz w:val="24"/>
          <w:szCs w:val="24"/>
        </w:rPr>
      </w:pPr>
      <w:r>
        <w:rPr>
          <w:rFonts w:hint="eastAsia" w:ascii="宋体" w:hAnsi="宋体"/>
          <w:sz w:val="24"/>
          <w:szCs w:val="24"/>
        </w:rPr>
        <w:t>　　（六）不同投标人的投标保证金从同一单位或者个人的账户转出。</w:t>
      </w:r>
    </w:p>
    <w:p>
      <w:pPr>
        <w:spacing w:line="360" w:lineRule="auto"/>
        <w:ind w:firstLine="600" w:firstLineChars="250"/>
        <w:rPr>
          <w:rFonts w:ascii="宋体" w:hAnsi="宋体"/>
          <w:sz w:val="24"/>
          <w:szCs w:val="24"/>
        </w:rPr>
      </w:pPr>
      <w:r>
        <w:rPr>
          <w:rFonts w:hint="eastAsia" w:ascii="宋体" w:hAnsi="宋体"/>
          <w:sz w:val="24"/>
          <w:szCs w:val="24"/>
        </w:rPr>
        <w:t>20.8投标人存在下列情况之一的，投标无效</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　　（一）未按照招标文件的规定提交投标保证金的；</w:t>
      </w:r>
    </w:p>
    <w:p>
      <w:pPr>
        <w:spacing w:line="360" w:lineRule="auto"/>
        <w:rPr>
          <w:rFonts w:ascii="宋体" w:hAnsi="宋体"/>
          <w:sz w:val="24"/>
          <w:szCs w:val="24"/>
        </w:rPr>
      </w:pPr>
      <w:r>
        <w:rPr>
          <w:rFonts w:hint="eastAsia" w:ascii="宋体" w:hAnsi="宋体"/>
          <w:sz w:val="24"/>
          <w:szCs w:val="24"/>
        </w:rPr>
        <w:t>　　（二）投标文件未按招标文件要求签署、盖章的；</w:t>
      </w:r>
    </w:p>
    <w:p>
      <w:pPr>
        <w:spacing w:line="360" w:lineRule="auto"/>
        <w:rPr>
          <w:rFonts w:ascii="宋体" w:hAnsi="宋体"/>
          <w:sz w:val="24"/>
          <w:szCs w:val="24"/>
        </w:rPr>
      </w:pPr>
      <w:r>
        <w:rPr>
          <w:rFonts w:hint="eastAsia" w:ascii="宋体" w:hAnsi="宋体"/>
          <w:sz w:val="24"/>
          <w:szCs w:val="24"/>
        </w:rPr>
        <w:t>　　（三）不具备招标文件中规定的资格要求的；</w:t>
      </w:r>
    </w:p>
    <w:p>
      <w:pPr>
        <w:spacing w:line="360" w:lineRule="auto"/>
        <w:rPr>
          <w:rFonts w:ascii="宋体" w:hAnsi="宋体"/>
          <w:sz w:val="24"/>
          <w:szCs w:val="24"/>
        </w:rPr>
      </w:pPr>
      <w:r>
        <w:rPr>
          <w:rFonts w:hint="eastAsia" w:ascii="宋体" w:hAnsi="宋体"/>
          <w:sz w:val="24"/>
          <w:szCs w:val="24"/>
        </w:rPr>
        <w:t>　　（四）报价超过招标文件中规定的预算金额或者最高限价的；</w:t>
      </w:r>
    </w:p>
    <w:p>
      <w:pPr>
        <w:spacing w:line="360" w:lineRule="auto"/>
        <w:rPr>
          <w:rFonts w:ascii="宋体" w:hAnsi="宋体"/>
          <w:sz w:val="24"/>
          <w:szCs w:val="24"/>
        </w:rPr>
      </w:pPr>
      <w:r>
        <w:rPr>
          <w:rFonts w:hint="eastAsia" w:ascii="宋体" w:hAnsi="宋体"/>
          <w:sz w:val="24"/>
          <w:szCs w:val="24"/>
        </w:rPr>
        <w:t>　　（五）投标文件含有采购人不能接受的附加条件的；</w:t>
      </w:r>
    </w:p>
    <w:p>
      <w:pPr>
        <w:spacing w:line="360" w:lineRule="auto"/>
        <w:rPr>
          <w:rFonts w:ascii="宋体" w:hAnsi="宋体"/>
          <w:sz w:val="24"/>
          <w:szCs w:val="24"/>
        </w:rPr>
      </w:pPr>
      <w:r>
        <w:rPr>
          <w:rFonts w:hint="eastAsia" w:ascii="宋体" w:hAnsi="宋体"/>
          <w:sz w:val="24"/>
          <w:szCs w:val="24"/>
        </w:rPr>
        <w:t>　　（六）法律、法规和招标文件规定的其他无效情形。</w:t>
      </w:r>
    </w:p>
    <w:p>
      <w:pPr>
        <w:spacing w:line="360" w:lineRule="auto"/>
        <w:ind w:firstLine="480" w:firstLineChars="200"/>
        <w:rPr>
          <w:rFonts w:ascii="宋体" w:hAnsi="宋体"/>
          <w:sz w:val="24"/>
          <w:szCs w:val="24"/>
        </w:rPr>
      </w:pPr>
      <w:r>
        <w:rPr>
          <w:rFonts w:hint="eastAsia" w:ascii="宋体" w:hAnsi="宋体"/>
          <w:sz w:val="24"/>
          <w:szCs w:val="24"/>
        </w:rPr>
        <w:t>20.9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570"/>
        <w:rPr>
          <w:rFonts w:ascii="宋体" w:hAnsi="宋体"/>
          <w:sz w:val="24"/>
          <w:szCs w:val="24"/>
        </w:rPr>
      </w:pPr>
      <w:r>
        <w:rPr>
          <w:rFonts w:hint="eastAsia" w:ascii="宋体" w:hAnsi="宋体"/>
          <w:sz w:val="24"/>
          <w:szCs w:val="24"/>
        </w:rPr>
        <w:t>20.10评标委员会成员对需要共同认定的事项存在争议的，应当按照少数服从多数的原则作出结论。持不同意见的评标委员会成员应当在评标报告上签署不同意见及理由，否则视为同意评标报告。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638" w:firstLineChars="266"/>
        <w:rPr>
          <w:rFonts w:ascii="宋体" w:hAnsi="宋体"/>
          <w:sz w:val="24"/>
          <w:szCs w:val="24"/>
        </w:rPr>
      </w:pPr>
      <w:r>
        <w:rPr>
          <w:rFonts w:hint="eastAsia" w:ascii="宋体" w:hAnsi="宋体"/>
          <w:sz w:val="24"/>
          <w:szCs w:val="24"/>
        </w:rPr>
        <w:t>20.11评标委员会及其成员不得有下列行为：</w:t>
      </w:r>
    </w:p>
    <w:p>
      <w:pPr>
        <w:spacing w:line="360" w:lineRule="auto"/>
        <w:rPr>
          <w:rFonts w:ascii="宋体" w:hAnsi="宋体"/>
          <w:sz w:val="24"/>
          <w:szCs w:val="24"/>
        </w:rPr>
      </w:pPr>
      <w:r>
        <w:rPr>
          <w:rFonts w:hint="eastAsia" w:ascii="宋体" w:hAnsi="宋体"/>
          <w:sz w:val="24"/>
          <w:szCs w:val="24"/>
        </w:rPr>
        <w:t>　　（一）确定参与评标至评标结束前私自接触投标人；</w:t>
      </w:r>
    </w:p>
    <w:p>
      <w:pPr>
        <w:spacing w:line="360" w:lineRule="auto"/>
        <w:rPr>
          <w:rFonts w:ascii="宋体" w:hAnsi="宋体"/>
          <w:sz w:val="24"/>
          <w:szCs w:val="24"/>
        </w:rPr>
      </w:pPr>
      <w:r>
        <w:rPr>
          <w:rFonts w:hint="eastAsia" w:ascii="宋体" w:hAnsi="宋体"/>
          <w:sz w:val="24"/>
          <w:szCs w:val="24"/>
        </w:rPr>
        <w:t>　　（二）接受投标人提出的与投标文件不一致的澄清或者说明，本办法第五十一条规定的情形除外；</w:t>
      </w:r>
    </w:p>
    <w:p>
      <w:pPr>
        <w:spacing w:line="360" w:lineRule="auto"/>
        <w:rPr>
          <w:rFonts w:ascii="宋体" w:hAnsi="宋体"/>
          <w:sz w:val="24"/>
          <w:szCs w:val="24"/>
        </w:rPr>
      </w:pPr>
      <w:r>
        <w:rPr>
          <w:rFonts w:hint="eastAsia" w:ascii="宋体" w:hAnsi="宋体"/>
          <w:sz w:val="24"/>
          <w:szCs w:val="24"/>
        </w:rPr>
        <w:t>　　（三）违反评标纪律发表倾向性意见或者征询采购人的倾向性意见；</w:t>
      </w:r>
    </w:p>
    <w:p>
      <w:pPr>
        <w:spacing w:line="360" w:lineRule="auto"/>
        <w:rPr>
          <w:rFonts w:ascii="宋体" w:hAnsi="宋体"/>
          <w:sz w:val="24"/>
          <w:szCs w:val="24"/>
        </w:rPr>
      </w:pPr>
      <w:r>
        <w:rPr>
          <w:rFonts w:hint="eastAsia" w:ascii="宋体" w:hAnsi="宋体"/>
          <w:sz w:val="24"/>
          <w:szCs w:val="24"/>
        </w:rPr>
        <w:t>　　（四）对需要专业判断的主观评审因素协商评分；</w:t>
      </w:r>
    </w:p>
    <w:p>
      <w:pPr>
        <w:spacing w:line="360" w:lineRule="auto"/>
        <w:rPr>
          <w:rFonts w:ascii="宋体" w:hAnsi="宋体"/>
          <w:sz w:val="24"/>
          <w:szCs w:val="24"/>
        </w:rPr>
      </w:pPr>
      <w:r>
        <w:rPr>
          <w:rFonts w:hint="eastAsia" w:ascii="宋体" w:hAnsi="宋体"/>
          <w:sz w:val="24"/>
          <w:szCs w:val="24"/>
        </w:rPr>
        <w:t>　　（五）在评标过程中擅离职守，影响评标程序正常进行的；</w:t>
      </w:r>
    </w:p>
    <w:p>
      <w:pPr>
        <w:spacing w:line="360" w:lineRule="auto"/>
        <w:rPr>
          <w:rFonts w:ascii="宋体" w:hAnsi="宋体"/>
          <w:sz w:val="24"/>
          <w:szCs w:val="24"/>
        </w:rPr>
      </w:pPr>
      <w:r>
        <w:rPr>
          <w:rFonts w:hint="eastAsia" w:ascii="宋体" w:hAnsi="宋体"/>
          <w:sz w:val="24"/>
          <w:szCs w:val="24"/>
        </w:rPr>
        <w:t>　　（六）记录、复制或者带走任何评标资料；</w:t>
      </w:r>
    </w:p>
    <w:p>
      <w:pPr>
        <w:spacing w:line="360" w:lineRule="auto"/>
        <w:rPr>
          <w:rFonts w:ascii="宋体" w:hAnsi="宋体"/>
          <w:sz w:val="24"/>
          <w:szCs w:val="24"/>
        </w:rPr>
      </w:pPr>
      <w:r>
        <w:rPr>
          <w:rFonts w:hint="eastAsia" w:ascii="宋体" w:hAnsi="宋体"/>
          <w:sz w:val="24"/>
          <w:szCs w:val="24"/>
        </w:rPr>
        <w:t>　　（七）其他不遵守评标纪律的行为。</w:t>
      </w:r>
    </w:p>
    <w:p>
      <w:pPr>
        <w:spacing w:line="360" w:lineRule="auto"/>
        <w:ind w:firstLine="480" w:firstLineChars="200"/>
        <w:rPr>
          <w:rFonts w:ascii="宋体" w:hAnsi="宋体"/>
          <w:sz w:val="24"/>
          <w:szCs w:val="24"/>
        </w:rPr>
      </w:pPr>
      <w:r>
        <w:rPr>
          <w:rFonts w:hint="eastAsia" w:ascii="宋体" w:hAnsi="宋体"/>
          <w:sz w:val="24"/>
          <w:szCs w:val="24"/>
        </w:rPr>
        <w:t>21评标办法：</w:t>
      </w:r>
    </w:p>
    <w:p>
      <w:pPr>
        <w:spacing w:line="360" w:lineRule="auto"/>
        <w:ind w:firstLine="480" w:firstLineChars="200"/>
        <w:rPr>
          <w:rFonts w:ascii="宋体" w:hAnsi="宋体"/>
          <w:sz w:val="24"/>
          <w:szCs w:val="24"/>
        </w:rPr>
      </w:pPr>
      <w:r>
        <w:rPr>
          <w:rFonts w:hint="eastAsia" w:ascii="宋体" w:hAnsi="宋体"/>
          <w:sz w:val="24"/>
          <w:szCs w:val="24"/>
        </w:rPr>
        <w:t>21.1综合评分法：</w:t>
      </w:r>
    </w:p>
    <w:p>
      <w:pPr>
        <w:spacing w:line="360" w:lineRule="auto"/>
        <w:ind w:firstLine="480" w:firstLineChars="200"/>
        <w:rPr>
          <w:rFonts w:ascii="宋体" w:hAnsi="宋体"/>
          <w:sz w:val="24"/>
          <w:szCs w:val="24"/>
        </w:rPr>
      </w:pPr>
      <w:r>
        <w:rPr>
          <w:rFonts w:hint="eastAsia" w:ascii="宋体" w:hAnsi="宋体"/>
          <w:sz w:val="24"/>
          <w:szCs w:val="24"/>
        </w:rPr>
        <w:t>21.1.1综合评分法，是指投标文件满足招标文件全部实质性要求，且按照评审因素的量化指标评审得分最高的投标人为中标候选人的评标方法。</w:t>
      </w:r>
    </w:p>
    <w:p>
      <w:pPr>
        <w:spacing w:line="360" w:lineRule="auto"/>
        <w:ind w:firstLine="480" w:firstLineChars="200"/>
        <w:rPr>
          <w:rFonts w:ascii="宋体" w:hAnsi="宋体"/>
          <w:sz w:val="24"/>
          <w:szCs w:val="24"/>
        </w:rPr>
      </w:pPr>
      <w:r>
        <w:rPr>
          <w:rFonts w:hint="eastAsia" w:ascii="宋体" w:hAnsi="宋体"/>
          <w:sz w:val="24"/>
          <w:szCs w:val="24"/>
        </w:rPr>
        <w:t>21.2最低评标价法：</w:t>
      </w:r>
    </w:p>
    <w:p>
      <w:pPr>
        <w:spacing w:line="360" w:lineRule="auto"/>
        <w:ind w:firstLine="480" w:firstLineChars="200"/>
        <w:rPr>
          <w:rFonts w:ascii="宋体" w:hAnsi="宋体"/>
          <w:sz w:val="24"/>
          <w:szCs w:val="24"/>
        </w:rPr>
      </w:pPr>
      <w:r>
        <w:rPr>
          <w:rFonts w:hint="eastAsia" w:ascii="宋体" w:hAnsi="宋体"/>
          <w:sz w:val="24"/>
          <w:szCs w:val="24"/>
        </w:rPr>
        <w:t>是指投标文件满足招标文件全部实质性要求，且投标报价最低的投标人为中标候选人的评标方法。</w:t>
      </w:r>
    </w:p>
    <w:p>
      <w:pPr>
        <w:spacing w:line="360" w:lineRule="auto"/>
        <w:ind w:firstLine="480" w:firstLineChars="200"/>
        <w:rPr>
          <w:rFonts w:ascii="宋体" w:hAnsi="宋体"/>
          <w:sz w:val="24"/>
          <w:szCs w:val="24"/>
        </w:rPr>
      </w:pPr>
      <w:r>
        <w:rPr>
          <w:rFonts w:hint="eastAsia" w:ascii="宋体" w:hAnsi="宋体"/>
          <w:sz w:val="24"/>
          <w:szCs w:val="24"/>
        </w:rPr>
        <w:t>22推荐中标候选供应商：</w:t>
      </w:r>
    </w:p>
    <w:p>
      <w:pPr>
        <w:spacing w:line="360" w:lineRule="auto"/>
        <w:ind w:firstLine="480" w:firstLineChars="200"/>
        <w:rPr>
          <w:rFonts w:ascii="宋体" w:hAnsi="宋体"/>
          <w:sz w:val="24"/>
          <w:szCs w:val="24"/>
        </w:rPr>
      </w:pPr>
      <w:r>
        <w:rPr>
          <w:rFonts w:hint="eastAsia" w:ascii="宋体" w:hAnsi="宋体"/>
          <w:sz w:val="24"/>
          <w:szCs w:val="24"/>
        </w:rPr>
        <w:t>22.1采用最低评标价法的，评标结果按投标报价由低到高顺序排列。投标报价相同的并列。投标文件满足招标文件全部实质性要求且投标报价最低的投标人为排名第一的中标候选人。</w:t>
      </w:r>
    </w:p>
    <w:p>
      <w:pPr>
        <w:spacing w:line="360" w:lineRule="auto"/>
        <w:rPr>
          <w:rFonts w:ascii="宋体" w:hAnsi="宋体"/>
          <w:sz w:val="24"/>
          <w:szCs w:val="24"/>
        </w:rPr>
      </w:pPr>
      <w:r>
        <w:rPr>
          <w:rFonts w:hint="eastAsia" w:ascii="宋体" w:hAnsi="宋体"/>
          <w:sz w:val="24"/>
          <w:szCs w:val="24"/>
        </w:rPr>
        <w:t>　　22.2</w:t>
      </w:r>
      <w:r>
        <w:rPr>
          <w:rFonts w:ascii="宋体" w:hAnsi="宋体"/>
          <w:sz w:val="24"/>
          <w:szCs w:val="24"/>
        </w:rPr>
        <w:t xml:space="preserve"> </w:t>
      </w:r>
      <w:r>
        <w:rPr>
          <w:rFonts w:hint="eastAsia" w:ascii="宋体" w:hAnsi="宋体"/>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sz w:val="24"/>
          <w:szCs w:val="24"/>
        </w:rPr>
      </w:pPr>
      <w:r>
        <w:rPr>
          <w:rFonts w:hint="eastAsia" w:ascii="宋体" w:hAnsi="宋体"/>
          <w:sz w:val="24"/>
          <w:szCs w:val="24"/>
        </w:rPr>
        <w:t>22.3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360" w:lineRule="auto"/>
        <w:rPr>
          <w:rFonts w:ascii="宋体" w:hAnsi="宋体"/>
          <w:sz w:val="24"/>
          <w:szCs w:val="24"/>
        </w:rPr>
      </w:pPr>
      <w:r>
        <w:rPr>
          <w:rFonts w:hint="eastAsia" w:ascii="宋体" w:hAnsi="宋体"/>
          <w:sz w:val="24"/>
          <w:szCs w:val="24"/>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80" w:firstLineChars="200"/>
        <w:rPr>
          <w:rFonts w:ascii="宋体" w:hAnsi="宋体"/>
          <w:sz w:val="24"/>
          <w:szCs w:val="24"/>
        </w:rPr>
      </w:pPr>
      <w:r>
        <w:rPr>
          <w:rFonts w:hint="eastAsia" w:ascii="宋体" w:hAnsi="宋体"/>
          <w:sz w:val="24"/>
          <w:szCs w:val="24"/>
        </w:rPr>
        <w:t>22.4评标中遇到的其它问题，由评标委员会集体研究处理。</w:t>
      </w:r>
    </w:p>
    <w:p>
      <w:pPr>
        <w:spacing w:line="360" w:lineRule="auto"/>
        <w:ind w:firstLine="480" w:firstLineChars="200"/>
        <w:rPr>
          <w:rFonts w:ascii="宋体" w:hAnsi="宋体"/>
          <w:sz w:val="24"/>
          <w:szCs w:val="24"/>
        </w:rPr>
      </w:pPr>
      <w:r>
        <w:rPr>
          <w:rFonts w:hint="eastAsia" w:ascii="宋体" w:hAnsi="宋体"/>
          <w:sz w:val="24"/>
          <w:szCs w:val="24"/>
        </w:rPr>
        <w:t>23中标供应商的确定</w:t>
      </w:r>
    </w:p>
    <w:p>
      <w:pPr>
        <w:spacing w:line="360" w:lineRule="auto"/>
        <w:ind w:firstLine="480" w:firstLineChars="200"/>
        <w:rPr>
          <w:rFonts w:ascii="宋体" w:hAnsi="宋体"/>
          <w:sz w:val="24"/>
          <w:szCs w:val="24"/>
        </w:rPr>
      </w:pPr>
      <w:r>
        <w:rPr>
          <w:rFonts w:hint="eastAsia" w:ascii="宋体" w:hAnsi="宋体"/>
          <w:sz w:val="24"/>
          <w:szCs w:val="24"/>
        </w:rPr>
        <w:t>评标委员会根据评委签字的原始评标资料和评标结果编写评标报告，采购人不授权评标委员会直接确定中标供应商，评标委员会按照综合评分结果，由高到低顺序排列，推荐3 名中标候选人。</w:t>
      </w:r>
    </w:p>
    <w:p>
      <w:pPr>
        <w:spacing w:line="360" w:lineRule="auto"/>
        <w:ind w:firstLine="480" w:firstLineChars="200"/>
        <w:rPr>
          <w:rFonts w:ascii="宋体" w:hAnsi="宋体"/>
          <w:sz w:val="24"/>
          <w:szCs w:val="24"/>
        </w:rPr>
      </w:pPr>
      <w:r>
        <w:rPr>
          <w:rFonts w:hint="eastAsia" w:ascii="宋体" w:hAnsi="宋体"/>
          <w:sz w:val="24"/>
          <w:szCs w:val="24"/>
        </w:rPr>
        <w:t>24评标过程的保密性：</w:t>
      </w:r>
    </w:p>
    <w:p>
      <w:pPr>
        <w:spacing w:line="360" w:lineRule="auto"/>
        <w:ind w:firstLine="480" w:firstLineChars="200"/>
        <w:rPr>
          <w:rFonts w:ascii="宋体" w:hAnsi="宋体"/>
          <w:sz w:val="24"/>
          <w:szCs w:val="24"/>
        </w:rPr>
      </w:pPr>
      <w:r>
        <w:rPr>
          <w:rFonts w:hint="eastAsia" w:ascii="宋体" w:hAnsi="宋体"/>
          <w:sz w:val="24"/>
          <w:szCs w:val="24"/>
        </w:rPr>
        <w:t>24.1开标之后直至向中标供应商授予合同时止，凡与审查、澄清、评价和比较有关的资料及授标意见等，均不得向投标人及与评标无关的其它人透露。</w:t>
      </w:r>
    </w:p>
    <w:p>
      <w:pPr>
        <w:spacing w:line="360" w:lineRule="auto"/>
        <w:ind w:firstLine="480" w:firstLineChars="200"/>
        <w:rPr>
          <w:rFonts w:ascii="宋体" w:hAnsi="宋体"/>
          <w:sz w:val="24"/>
          <w:szCs w:val="24"/>
        </w:rPr>
      </w:pPr>
      <w:r>
        <w:rPr>
          <w:rFonts w:hint="eastAsia" w:ascii="宋体" w:hAnsi="宋体"/>
          <w:sz w:val="24"/>
          <w:szCs w:val="24"/>
        </w:rPr>
        <w:t xml:space="preserve">24.2在评标过程中，投标人试图在投标文件审查、澄清、评价和比较及定标方面向评标委员会、采购单位或采购代理机构施加影响的任何行为，将导致其投标作为无效投标处理，并由其承担相应的法律责任。 </w:t>
      </w:r>
    </w:p>
    <w:p>
      <w:pPr>
        <w:spacing w:line="360" w:lineRule="auto"/>
        <w:ind w:firstLine="480" w:firstLineChars="200"/>
        <w:rPr>
          <w:rFonts w:ascii="宋体" w:hAnsi="宋体"/>
          <w:sz w:val="24"/>
          <w:szCs w:val="24"/>
        </w:rPr>
      </w:pPr>
      <w:r>
        <w:rPr>
          <w:rFonts w:hint="eastAsia" w:ascii="宋体" w:hAnsi="宋体"/>
          <w:sz w:val="24"/>
          <w:szCs w:val="24"/>
        </w:rPr>
        <w:t>25政府采购合同　　</w:t>
      </w:r>
    </w:p>
    <w:p>
      <w:pPr>
        <w:spacing w:line="360" w:lineRule="auto"/>
        <w:ind w:firstLine="480" w:firstLineChars="200"/>
        <w:rPr>
          <w:rFonts w:ascii="宋体" w:hAnsi="宋体"/>
          <w:sz w:val="24"/>
          <w:szCs w:val="24"/>
        </w:rPr>
      </w:pPr>
      <w:r>
        <w:rPr>
          <w:rFonts w:hint="eastAsia" w:ascii="宋体" w:hAnsi="宋体"/>
          <w:sz w:val="24"/>
          <w:szCs w:val="24"/>
        </w:rPr>
        <w:t>25.1</w:t>
      </w:r>
      <w:r>
        <w:rPr>
          <w:rFonts w:ascii="宋体" w:hAnsi="宋体"/>
          <w:sz w:val="24"/>
          <w:szCs w:val="24"/>
        </w:rPr>
        <w:t xml:space="preserve"> </w:t>
      </w:r>
      <w:r>
        <w:rPr>
          <w:rFonts w:hint="eastAsia" w:ascii="宋体" w:hAnsi="宋体"/>
          <w:sz w:val="24"/>
          <w:szCs w:val="24"/>
        </w:rPr>
        <w:t>采购人应当自中标通知书发出之日起</w:t>
      </w:r>
      <w:r>
        <w:rPr>
          <w:rFonts w:ascii="宋体" w:hAnsi="宋体"/>
          <w:sz w:val="24"/>
          <w:szCs w:val="24"/>
        </w:rPr>
        <w:t>30</w:t>
      </w:r>
      <w:r>
        <w:rPr>
          <w:rFonts w:hint="eastAsia" w:ascii="宋体" w:hAnsi="宋体"/>
          <w:sz w:val="24"/>
          <w:szCs w:val="24"/>
        </w:rPr>
        <w:t>日内，按照招标文件和中标人投标文件的规定，与中标人签订书面合同。所签订的合同不得对招标文件确定的事项和中标人投标文件作实质性修改。</w:t>
      </w:r>
    </w:p>
    <w:p>
      <w:pPr>
        <w:spacing w:line="360" w:lineRule="auto"/>
        <w:ind w:firstLine="480"/>
        <w:rPr>
          <w:rFonts w:ascii="宋体" w:hAnsi="宋体"/>
          <w:sz w:val="24"/>
          <w:szCs w:val="24"/>
        </w:rPr>
      </w:pPr>
      <w:r>
        <w:rPr>
          <w:rFonts w:hint="eastAsia" w:ascii="宋体" w:hAnsi="宋体"/>
          <w:sz w:val="24"/>
          <w:szCs w:val="24"/>
        </w:rPr>
        <w:t>采购人不得向中标人提出任何不合理的要求作为签订合同的条件。</w:t>
      </w:r>
    </w:p>
    <w:p>
      <w:pPr>
        <w:spacing w:line="360" w:lineRule="auto"/>
        <w:ind w:firstLine="480"/>
        <w:rPr>
          <w:rFonts w:ascii="宋体" w:hAnsi="宋体"/>
          <w:sz w:val="24"/>
          <w:szCs w:val="24"/>
        </w:rPr>
      </w:pPr>
      <w:r>
        <w:rPr>
          <w:rFonts w:hint="eastAsia" w:ascii="宋体" w:hAnsi="宋体"/>
          <w:sz w:val="24"/>
          <w:szCs w:val="24"/>
        </w:rPr>
        <w:t>25.2政府采购合同应当包括采购人与中标人的名称和住所、标的、数量、质量、价款或者报酬、履行期限及地点和方式、验收要求、违约责任、解决争议的方法等内容。</w:t>
      </w:r>
    </w:p>
    <w:p>
      <w:pPr>
        <w:spacing w:line="360" w:lineRule="auto"/>
        <w:rPr>
          <w:rFonts w:ascii="宋体" w:hAnsi="宋体"/>
          <w:sz w:val="24"/>
          <w:szCs w:val="24"/>
        </w:rPr>
      </w:pPr>
      <w:r>
        <w:rPr>
          <w:rFonts w:hint="eastAsia" w:ascii="宋体" w:hAnsi="宋体"/>
          <w:sz w:val="24"/>
          <w:szCs w:val="24"/>
        </w:rPr>
        <w:t>　　25.3采购人与中标人应当根据合同的约定依法履行合同义务。</w:t>
      </w:r>
    </w:p>
    <w:p>
      <w:pPr>
        <w:spacing w:line="360" w:lineRule="auto"/>
        <w:rPr>
          <w:rFonts w:ascii="宋体" w:hAnsi="宋体"/>
          <w:sz w:val="24"/>
          <w:szCs w:val="24"/>
        </w:rPr>
      </w:pPr>
      <w:r>
        <w:rPr>
          <w:rFonts w:hint="eastAsia" w:ascii="宋体" w:hAnsi="宋体"/>
          <w:sz w:val="24"/>
          <w:szCs w:val="24"/>
        </w:rPr>
        <w:t>　　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26采购代理机构宣布废标的权利：</w:t>
      </w:r>
    </w:p>
    <w:p>
      <w:pPr>
        <w:spacing w:line="360" w:lineRule="auto"/>
        <w:ind w:firstLine="480" w:firstLineChars="200"/>
        <w:rPr>
          <w:rFonts w:ascii="宋体" w:hAnsi="宋体"/>
          <w:sz w:val="24"/>
          <w:szCs w:val="24"/>
        </w:rPr>
      </w:pPr>
      <w:r>
        <w:rPr>
          <w:rFonts w:hint="eastAsia" w:ascii="宋体" w:hAnsi="宋体"/>
          <w:sz w:val="24"/>
          <w:szCs w:val="24"/>
        </w:rPr>
        <w:t>26.1出现下列情况之一时，采购代理机构有权宣布废标，并将理由通知所有投标人：</w:t>
      </w:r>
    </w:p>
    <w:p>
      <w:pPr>
        <w:spacing w:line="360" w:lineRule="auto"/>
        <w:ind w:firstLine="480" w:firstLineChars="200"/>
        <w:rPr>
          <w:rFonts w:ascii="宋体" w:hAnsi="宋体"/>
          <w:sz w:val="24"/>
          <w:szCs w:val="24"/>
        </w:rPr>
      </w:pPr>
      <w:r>
        <w:rPr>
          <w:rFonts w:hint="eastAsia" w:ascii="宋体" w:hAnsi="宋体"/>
          <w:sz w:val="24"/>
          <w:szCs w:val="24"/>
        </w:rPr>
        <w:t>26.1.1出现影响采购公正的违法、违规行为的；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26.1.2投标人的报价均超过了采购预算，采购单位不能支付的；</w:t>
      </w:r>
    </w:p>
    <w:p>
      <w:pPr>
        <w:spacing w:line="360" w:lineRule="auto"/>
        <w:ind w:firstLine="480" w:firstLineChars="200"/>
        <w:rPr>
          <w:rFonts w:ascii="宋体" w:hAnsi="宋体"/>
          <w:sz w:val="24"/>
          <w:szCs w:val="24"/>
        </w:rPr>
      </w:pPr>
      <w:r>
        <w:rPr>
          <w:rFonts w:hint="eastAsia" w:ascii="宋体" w:hAnsi="宋体"/>
          <w:sz w:val="24"/>
          <w:szCs w:val="24"/>
        </w:rPr>
        <w:t>26.1.3因重大变故，采购任务取消的；</w:t>
      </w:r>
    </w:p>
    <w:p>
      <w:pPr>
        <w:spacing w:line="360" w:lineRule="auto"/>
        <w:ind w:firstLine="480" w:firstLineChars="200"/>
        <w:rPr>
          <w:rFonts w:ascii="宋体" w:hAnsi="宋体"/>
          <w:sz w:val="24"/>
          <w:szCs w:val="24"/>
        </w:rPr>
      </w:pPr>
      <w:r>
        <w:rPr>
          <w:rFonts w:hint="eastAsia" w:ascii="宋体" w:hAnsi="宋体"/>
          <w:sz w:val="24"/>
          <w:szCs w:val="24"/>
        </w:rPr>
        <w:t>26.2.1投标截止时间结束后参加投标人不足3家的；</w:t>
      </w:r>
    </w:p>
    <w:p>
      <w:pPr>
        <w:spacing w:line="360" w:lineRule="auto"/>
        <w:ind w:firstLine="480" w:firstLineChars="200"/>
        <w:rPr>
          <w:rFonts w:ascii="宋体" w:hAnsi="宋体"/>
          <w:sz w:val="24"/>
          <w:szCs w:val="24"/>
        </w:rPr>
      </w:pPr>
      <w:r>
        <w:rPr>
          <w:rFonts w:hint="eastAsia" w:ascii="宋体" w:hAnsi="宋体"/>
          <w:sz w:val="24"/>
          <w:szCs w:val="24"/>
        </w:rPr>
        <w:t>26.2.2 评标期间符合专业条件的投标人或者对招标文件作出实质响应的有效投标不足3家的。</w:t>
      </w:r>
    </w:p>
    <w:p>
      <w:pPr>
        <w:spacing w:line="360" w:lineRule="auto"/>
        <w:ind w:firstLine="480" w:firstLineChars="200"/>
        <w:rPr>
          <w:rFonts w:ascii="宋体" w:hAnsi="宋体"/>
          <w:sz w:val="24"/>
          <w:szCs w:val="24"/>
        </w:rPr>
      </w:pPr>
      <w:r>
        <w:rPr>
          <w:rFonts w:hint="eastAsia" w:ascii="宋体" w:hAnsi="宋体"/>
          <w:sz w:val="24"/>
          <w:szCs w:val="24"/>
        </w:rPr>
        <w:t>27.中标通知书：</w:t>
      </w:r>
    </w:p>
    <w:p>
      <w:pPr>
        <w:spacing w:line="360" w:lineRule="auto"/>
        <w:ind w:firstLine="480" w:firstLineChars="200"/>
        <w:rPr>
          <w:rFonts w:ascii="宋体" w:hAnsi="宋体"/>
          <w:sz w:val="24"/>
          <w:szCs w:val="24"/>
        </w:rPr>
      </w:pPr>
      <w:r>
        <w:rPr>
          <w:rFonts w:hint="eastAsia" w:ascii="宋体" w:hAnsi="宋体"/>
          <w:sz w:val="24"/>
          <w:szCs w:val="24"/>
        </w:rPr>
        <w:t>27.1确定中标供应商后,由采购人和采购代理机构向中标供应商签发《中标通知书》，并将中标结果在</w:t>
      </w:r>
      <w:r>
        <w:rPr>
          <w:rFonts w:hint="eastAsia" w:ascii="宋体" w:hAnsi="宋体" w:cs="宋体"/>
          <w:color w:val="000000"/>
          <w:sz w:val="24"/>
          <w:szCs w:val="24"/>
        </w:rPr>
        <w:t>《河南省电子招标投标公共服务平台》、《河南省政府采购网》</w:t>
      </w:r>
      <w:r>
        <w:rPr>
          <w:rFonts w:hint="eastAsia"/>
          <w:sz w:val="24"/>
          <w:szCs w:val="24"/>
        </w:rPr>
        <w:t>、《南阳市政府采购网》</w:t>
      </w:r>
      <w:r>
        <w:rPr>
          <w:rFonts w:hint="eastAsia" w:ascii="宋体" w:hAnsi="宋体"/>
          <w:sz w:val="24"/>
          <w:szCs w:val="24"/>
        </w:rPr>
        <w:t>上进行公告。</w:t>
      </w:r>
    </w:p>
    <w:p>
      <w:pPr>
        <w:spacing w:line="360" w:lineRule="auto"/>
        <w:ind w:firstLine="480" w:firstLineChars="200"/>
        <w:rPr>
          <w:rFonts w:ascii="宋体" w:hAnsi="宋体"/>
          <w:sz w:val="24"/>
          <w:szCs w:val="24"/>
        </w:rPr>
      </w:pPr>
      <w:r>
        <w:rPr>
          <w:rFonts w:hint="eastAsia" w:ascii="宋体" w:hAnsi="宋体"/>
          <w:sz w:val="24"/>
          <w:szCs w:val="24"/>
        </w:rPr>
        <w:t>中标通知书对采购单位和中标供应商具有同等法律效力。中标通知书发出后，采购单位改变中标结果，或者中标供应商放弃中标，应当承担相应的法律责任。</w:t>
      </w:r>
    </w:p>
    <w:p>
      <w:pPr>
        <w:spacing w:line="360" w:lineRule="auto"/>
        <w:ind w:firstLine="480" w:firstLineChars="200"/>
        <w:rPr>
          <w:rFonts w:ascii="宋体" w:hAnsi="宋体"/>
          <w:sz w:val="24"/>
          <w:szCs w:val="24"/>
        </w:rPr>
      </w:pPr>
      <w:r>
        <w:rPr>
          <w:rFonts w:hint="eastAsia" w:ascii="宋体" w:hAnsi="宋体"/>
          <w:sz w:val="24"/>
          <w:szCs w:val="24"/>
        </w:rPr>
        <w:t>27.2中标通知书是政府采购合同的组成部分。</w:t>
      </w:r>
    </w:p>
    <w:p>
      <w:pPr>
        <w:spacing w:line="360" w:lineRule="auto"/>
        <w:ind w:firstLine="480" w:firstLineChars="200"/>
        <w:rPr>
          <w:rFonts w:ascii="宋体" w:hAnsi="宋体"/>
          <w:sz w:val="24"/>
          <w:szCs w:val="24"/>
        </w:rPr>
      </w:pPr>
      <w:r>
        <w:rPr>
          <w:rFonts w:hint="eastAsia" w:ascii="宋体" w:hAnsi="宋体"/>
          <w:sz w:val="24"/>
          <w:szCs w:val="24"/>
        </w:rPr>
        <w:t>七、其   他：</w:t>
      </w:r>
    </w:p>
    <w:p>
      <w:pPr>
        <w:spacing w:line="360" w:lineRule="auto"/>
        <w:ind w:firstLine="480" w:firstLineChars="200"/>
        <w:rPr>
          <w:rFonts w:ascii="宋体" w:hAnsi="宋体"/>
          <w:b/>
          <w:sz w:val="24"/>
          <w:szCs w:val="24"/>
        </w:rPr>
      </w:pPr>
      <w:r>
        <w:rPr>
          <w:rFonts w:hint="eastAsia" w:ascii="宋体" w:hAnsi="宋体"/>
          <w:sz w:val="24"/>
          <w:szCs w:val="24"/>
        </w:rPr>
        <w:t>28.其它未尽事宜按照《中华人民共和国政府采购法》及相关法律、法规的有关规定执行。</w:t>
      </w: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15"/>
        <w:rPr>
          <w:rFonts w:hAnsi="宋体"/>
        </w:rPr>
      </w:pPr>
    </w:p>
    <w:p>
      <w:pPr>
        <w:pStyle w:val="3"/>
        <w:spacing w:line="240" w:lineRule="auto"/>
        <w:jc w:val="center"/>
        <w:rPr>
          <w:sz w:val="30"/>
          <w:szCs w:val="30"/>
        </w:rPr>
      </w:pPr>
      <w:bookmarkStart w:id="42" w:name="_Toc12276"/>
    </w:p>
    <w:p>
      <w:pPr>
        <w:pStyle w:val="3"/>
        <w:spacing w:line="240" w:lineRule="auto"/>
        <w:jc w:val="center"/>
        <w:rPr>
          <w:sz w:val="30"/>
          <w:szCs w:val="30"/>
        </w:rPr>
      </w:pPr>
      <w:r>
        <w:rPr>
          <w:rFonts w:hint="eastAsia"/>
          <w:sz w:val="30"/>
          <w:szCs w:val="30"/>
        </w:rPr>
        <w:t>第三章 评标方法及标准</w:t>
      </w:r>
      <w:bookmarkEnd w:id="42"/>
    </w:p>
    <w:p>
      <w:pPr>
        <w:spacing w:line="360" w:lineRule="auto"/>
        <w:ind w:firstLine="482" w:firstLineChars="200"/>
        <w:rPr>
          <w:rFonts w:ascii="宋体" w:hAnsi="宋体"/>
          <w:b/>
          <w:bCs/>
          <w:sz w:val="24"/>
          <w:szCs w:val="24"/>
        </w:rPr>
      </w:pPr>
      <w:r>
        <w:rPr>
          <w:rFonts w:hint="eastAsia" w:ascii="宋体" w:hAnsi="宋体"/>
          <w:b/>
          <w:bCs/>
          <w:sz w:val="24"/>
          <w:szCs w:val="24"/>
        </w:rPr>
        <w:t xml:space="preserve">一.评标依据 </w:t>
      </w:r>
    </w:p>
    <w:p>
      <w:pPr>
        <w:spacing w:line="360" w:lineRule="auto"/>
        <w:ind w:firstLine="480" w:firstLineChars="200"/>
        <w:rPr>
          <w:rFonts w:ascii="宋体" w:hAnsi="宋体"/>
          <w:sz w:val="24"/>
          <w:szCs w:val="24"/>
        </w:rPr>
      </w:pPr>
      <w:r>
        <w:rPr>
          <w:rFonts w:hint="eastAsia" w:ascii="宋体" w:hAnsi="宋体"/>
          <w:sz w:val="24"/>
          <w:szCs w:val="24"/>
        </w:rPr>
        <w:t xml:space="preserve">1.《中华人民共和国政府采购法》； </w:t>
      </w:r>
    </w:p>
    <w:p>
      <w:pPr>
        <w:spacing w:line="360" w:lineRule="auto"/>
        <w:ind w:firstLine="480" w:firstLineChars="200"/>
        <w:rPr>
          <w:rFonts w:ascii="宋体" w:hAnsi="宋体"/>
          <w:sz w:val="24"/>
          <w:szCs w:val="24"/>
        </w:rPr>
      </w:pPr>
      <w:r>
        <w:rPr>
          <w:rFonts w:hint="eastAsia" w:ascii="宋体" w:hAnsi="宋体"/>
          <w:sz w:val="24"/>
          <w:szCs w:val="24"/>
        </w:rPr>
        <w:t xml:space="preserve">2.《中华人民共和国政府采购法实施条例》； </w:t>
      </w:r>
    </w:p>
    <w:p>
      <w:pPr>
        <w:spacing w:line="360" w:lineRule="auto"/>
        <w:ind w:firstLine="480" w:firstLineChars="200"/>
        <w:rPr>
          <w:rFonts w:ascii="宋体" w:hAnsi="宋体"/>
          <w:sz w:val="24"/>
          <w:szCs w:val="24"/>
        </w:rPr>
      </w:pPr>
      <w:r>
        <w:rPr>
          <w:rFonts w:hint="eastAsia" w:ascii="宋体" w:hAnsi="宋体"/>
          <w:sz w:val="24"/>
          <w:szCs w:val="24"/>
        </w:rPr>
        <w:t xml:space="preserve">2.《政府采购货物和服务招标投标管理办法》（财政部第 87 号令）； </w:t>
      </w:r>
    </w:p>
    <w:p>
      <w:pPr>
        <w:spacing w:line="360" w:lineRule="auto"/>
        <w:ind w:firstLine="480" w:firstLineChars="200"/>
        <w:rPr>
          <w:rFonts w:ascii="宋体" w:hAnsi="宋体"/>
          <w:sz w:val="24"/>
          <w:szCs w:val="24"/>
        </w:rPr>
      </w:pPr>
      <w:r>
        <w:rPr>
          <w:rFonts w:hint="eastAsia" w:ascii="宋体" w:hAnsi="宋体"/>
          <w:sz w:val="24"/>
          <w:szCs w:val="24"/>
        </w:rPr>
        <w:t xml:space="preserve">3. 《财政部关于加强政府采购货物和服务项目价格评审管理的通知》； </w:t>
      </w:r>
    </w:p>
    <w:p>
      <w:pPr>
        <w:spacing w:line="360" w:lineRule="auto"/>
        <w:ind w:firstLine="480" w:firstLineChars="200"/>
        <w:rPr>
          <w:rFonts w:ascii="宋体" w:hAnsi="宋体"/>
          <w:sz w:val="24"/>
          <w:szCs w:val="24"/>
        </w:rPr>
      </w:pPr>
      <w:r>
        <w:rPr>
          <w:rFonts w:hint="eastAsia" w:ascii="宋体" w:hAnsi="宋体"/>
          <w:sz w:val="24"/>
          <w:szCs w:val="24"/>
        </w:rPr>
        <w:t xml:space="preserve">4．《评标委员和评标方法暂行规定》； </w:t>
      </w:r>
    </w:p>
    <w:p>
      <w:pPr>
        <w:spacing w:line="360" w:lineRule="auto"/>
        <w:ind w:firstLine="480" w:firstLineChars="200"/>
        <w:rPr>
          <w:rFonts w:ascii="宋体" w:hAnsi="宋体"/>
          <w:sz w:val="24"/>
          <w:szCs w:val="24"/>
        </w:rPr>
      </w:pPr>
      <w:r>
        <w:rPr>
          <w:rFonts w:hint="eastAsia" w:ascii="宋体" w:hAnsi="宋体"/>
          <w:sz w:val="24"/>
          <w:szCs w:val="24"/>
        </w:rPr>
        <w:t xml:space="preserve">5． 本项目招标文件。 </w:t>
      </w:r>
    </w:p>
    <w:p>
      <w:pPr>
        <w:spacing w:line="360" w:lineRule="auto"/>
        <w:ind w:firstLine="482" w:firstLineChars="200"/>
        <w:rPr>
          <w:rFonts w:ascii="宋体" w:hAnsi="宋体"/>
          <w:b/>
          <w:bCs/>
          <w:sz w:val="24"/>
          <w:szCs w:val="24"/>
        </w:rPr>
      </w:pPr>
      <w:r>
        <w:rPr>
          <w:rFonts w:hint="eastAsia" w:ascii="宋体" w:hAnsi="宋体"/>
          <w:b/>
          <w:bCs/>
          <w:sz w:val="24"/>
          <w:szCs w:val="24"/>
        </w:rPr>
        <w:t xml:space="preserve"> 二.评标原则 </w:t>
      </w:r>
    </w:p>
    <w:p>
      <w:pPr>
        <w:spacing w:line="360" w:lineRule="auto"/>
        <w:ind w:firstLine="480" w:firstLineChars="200"/>
        <w:rPr>
          <w:rFonts w:ascii="宋体" w:hAnsi="宋体"/>
          <w:sz w:val="24"/>
          <w:szCs w:val="24"/>
        </w:rPr>
      </w:pPr>
      <w:r>
        <w:rPr>
          <w:rFonts w:hint="eastAsia" w:ascii="宋体" w:hAnsi="宋体"/>
          <w:sz w:val="24"/>
          <w:szCs w:val="24"/>
        </w:rPr>
        <w:t xml:space="preserve">1．公平、公正、科学合理评标； </w:t>
      </w:r>
    </w:p>
    <w:p>
      <w:pPr>
        <w:spacing w:line="360" w:lineRule="auto"/>
        <w:ind w:firstLine="480" w:firstLineChars="200"/>
        <w:rPr>
          <w:rFonts w:ascii="宋体" w:hAnsi="宋体"/>
          <w:sz w:val="24"/>
          <w:szCs w:val="24"/>
        </w:rPr>
      </w:pPr>
      <w:r>
        <w:rPr>
          <w:rFonts w:hint="eastAsia" w:ascii="宋体" w:hAnsi="宋体"/>
          <w:sz w:val="24"/>
          <w:szCs w:val="24"/>
        </w:rPr>
        <w:t xml:space="preserve">2. 评标委员会由采购人代表和评审专家组成，成员人数为五人以上单数。其中，评审专家不得少于成员总数的三分之二。采购数额在 1000 万元以上、技术复杂的项目，评标委员会成员人数应当为 7 人以上单数。 评标委员会由招标采购单位从河南省财政厅政府采购专家库中随机抽取后并依法组建，有关人员对所聘任的评标委员会成员名单必须严格保密，与投标有利害关系的人员不得进入评标委员会 </w:t>
      </w:r>
    </w:p>
    <w:p>
      <w:pPr>
        <w:spacing w:line="360" w:lineRule="auto"/>
        <w:ind w:firstLine="480" w:firstLineChars="200"/>
        <w:rPr>
          <w:rFonts w:ascii="宋体" w:hAnsi="宋体"/>
          <w:sz w:val="24"/>
          <w:szCs w:val="24"/>
        </w:rPr>
      </w:pPr>
      <w:r>
        <w:rPr>
          <w:rFonts w:hint="eastAsia" w:ascii="宋体" w:hAnsi="宋体"/>
          <w:sz w:val="24"/>
          <w:szCs w:val="24"/>
        </w:rPr>
        <w:t xml:space="preserve">3．参加评标的人员应严格遵守国家有关保密的法律、法规和规定，并接受有关部门的监督； </w:t>
      </w:r>
    </w:p>
    <w:p>
      <w:pPr>
        <w:spacing w:line="360" w:lineRule="auto"/>
        <w:ind w:firstLine="480" w:firstLineChars="200"/>
        <w:rPr>
          <w:rFonts w:ascii="宋体" w:hAnsi="宋体"/>
          <w:sz w:val="24"/>
          <w:szCs w:val="24"/>
        </w:rPr>
      </w:pPr>
      <w:r>
        <w:rPr>
          <w:rFonts w:hint="eastAsia" w:ascii="宋体" w:hAnsi="宋体"/>
          <w:sz w:val="24"/>
          <w:szCs w:val="24"/>
        </w:rPr>
        <w:t xml:space="preserve">4．根据法律法规规定，参加评标的有关人员应对整个评标、定标过程保密，不得泄露； </w:t>
      </w:r>
    </w:p>
    <w:p>
      <w:pPr>
        <w:spacing w:line="360" w:lineRule="auto"/>
        <w:ind w:firstLine="480" w:firstLineChars="200"/>
        <w:rPr>
          <w:rFonts w:ascii="宋体" w:hAnsi="宋体"/>
          <w:sz w:val="24"/>
          <w:szCs w:val="24"/>
        </w:rPr>
      </w:pPr>
      <w:r>
        <w:rPr>
          <w:rFonts w:hint="eastAsia" w:ascii="宋体" w:hAnsi="宋体"/>
          <w:sz w:val="24"/>
          <w:szCs w:val="24"/>
        </w:rPr>
        <w:t xml:space="preserve">5．评标委员会成员（以下简称评委）应按规定的程序评标； </w:t>
      </w:r>
    </w:p>
    <w:p>
      <w:pPr>
        <w:spacing w:line="360" w:lineRule="auto"/>
        <w:ind w:firstLine="480" w:firstLineChars="200"/>
        <w:rPr>
          <w:rFonts w:ascii="宋体" w:hAnsi="宋体"/>
          <w:sz w:val="24"/>
          <w:szCs w:val="24"/>
        </w:rPr>
      </w:pPr>
      <w:r>
        <w:rPr>
          <w:rFonts w:hint="eastAsia" w:ascii="宋体" w:hAnsi="宋体"/>
          <w:sz w:val="24"/>
          <w:szCs w:val="24"/>
        </w:rPr>
        <w:t xml:space="preserve">6．评委在开始评标前，应首先检查每份投标文件的内容是否完整，是否实质上响应招标文件的要求。对于实质上未响应招标文件规定的投标文件，采购人将予以拒绝。对于报价特别异常的，由评委依法认定。 </w:t>
      </w:r>
    </w:p>
    <w:p>
      <w:pPr>
        <w:spacing w:line="360" w:lineRule="auto"/>
        <w:ind w:firstLine="480" w:firstLineChars="200"/>
        <w:rPr>
          <w:rFonts w:ascii="宋体" w:hAnsi="宋体"/>
          <w:sz w:val="24"/>
          <w:szCs w:val="24"/>
        </w:rPr>
      </w:pPr>
      <w:r>
        <w:rPr>
          <w:rFonts w:hint="eastAsia" w:ascii="宋体" w:hAnsi="宋体"/>
          <w:sz w:val="24"/>
          <w:szCs w:val="24"/>
        </w:rPr>
        <w:t xml:space="preserve">7．评标委员会将对确定为实质上响应招标文件要求的投标文件进行比较评审。 </w:t>
      </w:r>
    </w:p>
    <w:p>
      <w:pPr>
        <w:spacing w:line="360" w:lineRule="auto"/>
        <w:ind w:firstLine="480" w:firstLineChars="200"/>
        <w:rPr>
          <w:rFonts w:ascii="宋体" w:hAnsi="宋体"/>
          <w:sz w:val="24"/>
          <w:szCs w:val="24"/>
        </w:rPr>
      </w:pPr>
      <w:r>
        <w:rPr>
          <w:rFonts w:hint="eastAsia" w:ascii="宋体" w:hAnsi="宋体"/>
          <w:sz w:val="24"/>
          <w:szCs w:val="24"/>
        </w:rPr>
        <w:t xml:space="preserve">8．投标人对评委施加影响的任何行为，都将被取消中标资格。 </w:t>
      </w:r>
    </w:p>
    <w:p>
      <w:pPr>
        <w:spacing w:line="360" w:lineRule="auto"/>
        <w:ind w:firstLine="482" w:firstLineChars="200"/>
        <w:rPr>
          <w:rFonts w:ascii="宋体" w:hAnsi="宋体"/>
          <w:b/>
          <w:bCs/>
          <w:sz w:val="24"/>
          <w:szCs w:val="24"/>
        </w:rPr>
      </w:pPr>
      <w:r>
        <w:rPr>
          <w:rFonts w:hint="eastAsia" w:ascii="宋体" w:hAnsi="宋体"/>
          <w:b/>
          <w:bCs/>
          <w:sz w:val="24"/>
          <w:szCs w:val="24"/>
        </w:rPr>
        <w:t xml:space="preserve">三.评标方法  </w:t>
      </w:r>
    </w:p>
    <w:p>
      <w:pPr>
        <w:spacing w:line="360" w:lineRule="auto"/>
        <w:ind w:firstLine="480" w:firstLineChars="200"/>
        <w:rPr>
          <w:rFonts w:ascii="宋体" w:hAnsi="宋体"/>
          <w:sz w:val="24"/>
          <w:szCs w:val="24"/>
        </w:rPr>
      </w:pPr>
      <w:r>
        <w:rPr>
          <w:rFonts w:hint="eastAsia" w:ascii="宋体" w:hAnsi="宋体"/>
          <w:sz w:val="24"/>
          <w:szCs w:val="24"/>
        </w:rPr>
        <w:t xml:space="preserve">1、本项目采用综合评分法。 </w:t>
      </w:r>
    </w:p>
    <w:p>
      <w:pPr>
        <w:spacing w:line="360" w:lineRule="auto"/>
        <w:ind w:firstLine="480" w:firstLineChars="200"/>
        <w:rPr>
          <w:rFonts w:ascii="宋体" w:hAnsi="宋体"/>
          <w:sz w:val="24"/>
          <w:szCs w:val="24"/>
        </w:rPr>
      </w:pPr>
      <w:r>
        <w:rPr>
          <w:rFonts w:hint="eastAsia" w:ascii="宋体" w:hAnsi="宋体"/>
          <w:sz w:val="24"/>
          <w:szCs w:val="24"/>
        </w:rPr>
        <w:t xml:space="preserve">2、比较与评价。 </w:t>
      </w:r>
    </w:p>
    <w:p>
      <w:pPr>
        <w:spacing w:line="360" w:lineRule="auto"/>
        <w:ind w:firstLine="480" w:firstLineChars="200"/>
        <w:rPr>
          <w:rFonts w:ascii="宋体" w:hAnsi="宋体"/>
          <w:sz w:val="24"/>
          <w:szCs w:val="24"/>
        </w:rPr>
      </w:pPr>
      <w:r>
        <w:rPr>
          <w:rFonts w:hint="eastAsia" w:ascii="宋体" w:hAnsi="宋体"/>
          <w:sz w:val="24"/>
          <w:szCs w:val="24"/>
        </w:rPr>
        <w:t xml:space="preserve">评委按招标文件要求对所有资格性审查、符合性审查合格的投标文件进行检查，并进行综合比较与独立评分。 </w:t>
      </w:r>
    </w:p>
    <w:p>
      <w:pPr>
        <w:spacing w:line="360" w:lineRule="auto"/>
        <w:ind w:firstLine="480" w:firstLineChars="200"/>
        <w:rPr>
          <w:rFonts w:ascii="宋体" w:hAnsi="宋体"/>
          <w:sz w:val="24"/>
          <w:szCs w:val="24"/>
        </w:rPr>
        <w:sectPr>
          <w:headerReference r:id="rId3" w:type="default"/>
          <w:footerReference r:id="rId4" w:type="default"/>
          <w:pgSz w:w="11910" w:h="16850"/>
          <w:pgMar w:top="1120" w:right="1278" w:bottom="1320" w:left="1374" w:header="850" w:footer="964" w:gutter="0"/>
          <w:cols w:space="720" w:num="1"/>
        </w:sectPr>
      </w:pPr>
    </w:p>
    <w:p>
      <w:pPr>
        <w:pStyle w:val="14"/>
        <w:kinsoku w:val="0"/>
        <w:overflowPunct w:val="0"/>
        <w:spacing w:line="360" w:lineRule="auto"/>
        <w:ind w:firstLine="45" w:firstLineChars="227"/>
        <w:rPr>
          <w:sz w:val="2"/>
        </w:rPr>
      </w:pPr>
    </w:p>
    <w:p>
      <w:pPr>
        <w:pStyle w:val="14"/>
        <w:kinsoku w:val="0"/>
        <w:overflowPunct w:val="0"/>
        <w:spacing w:line="360" w:lineRule="auto"/>
        <w:ind w:right="336" w:firstLine="544" w:firstLineChars="227"/>
        <w:jc w:val="both"/>
        <w:rPr>
          <w:rFonts w:ascii="宋体" w:hAnsi="宋体" w:eastAsia="宋体"/>
          <w:kern w:val="2"/>
          <w:sz w:val="24"/>
          <w:szCs w:val="24"/>
        </w:rPr>
      </w:pPr>
      <w:r>
        <w:rPr>
          <w:rFonts w:hint="eastAsia" w:ascii="宋体" w:hAnsi="宋体" w:eastAsia="宋体"/>
          <w:kern w:val="2"/>
          <w:sz w:val="24"/>
          <w:szCs w:val="24"/>
        </w:rPr>
        <w:t xml:space="preserve">3、对于投标人为监狱企业、残疾人福利性单位、小型和微型企业以扣除优惠比率后的报价参 与价格打分，但不作为中标价和合同签约价。中标价和合同签约价仍以其投标文件中的一次 报价为准。 </w:t>
      </w:r>
    </w:p>
    <w:p>
      <w:pPr>
        <w:pStyle w:val="14"/>
        <w:kinsoku w:val="0"/>
        <w:overflowPunct w:val="0"/>
        <w:spacing w:line="360" w:lineRule="auto"/>
        <w:ind w:right="146" w:firstLine="544" w:firstLineChars="227"/>
        <w:rPr>
          <w:rFonts w:ascii="宋体" w:hAnsi="宋体" w:eastAsia="宋体"/>
          <w:kern w:val="2"/>
          <w:sz w:val="24"/>
          <w:szCs w:val="24"/>
        </w:rPr>
      </w:pPr>
      <w:r>
        <w:rPr>
          <w:rFonts w:hint="eastAsia" w:ascii="宋体" w:hAnsi="宋体" w:eastAsia="宋体"/>
          <w:kern w:val="2"/>
          <w:sz w:val="24"/>
          <w:szCs w:val="24"/>
        </w:rPr>
        <w:t xml:space="preserve">3.1 小型和微型企业产品价格给予扣除标准： 根据《政府采购促进中小企业发展暂行办法》(财库[2011]181 号)的规定，对于非专门面向中小企业的项目，对小型和微型企业的价格给予 6%的扣除，用扣除后的报价参与评审。投 标人须提供由企业所在地的县级以上中小企业主管部门出具的中小企业认定证书和中小企业声明函，否则不予认可。 </w:t>
      </w:r>
    </w:p>
    <w:p>
      <w:pPr>
        <w:pStyle w:val="14"/>
        <w:kinsoku w:val="0"/>
        <w:overflowPunct w:val="0"/>
        <w:spacing w:line="360" w:lineRule="auto"/>
        <w:ind w:right="146" w:firstLine="544" w:firstLineChars="227"/>
        <w:rPr>
          <w:rFonts w:ascii="宋体" w:hAnsi="宋体" w:eastAsia="宋体"/>
          <w:kern w:val="2"/>
          <w:sz w:val="24"/>
          <w:szCs w:val="24"/>
        </w:rPr>
      </w:pPr>
      <w:r>
        <w:rPr>
          <w:rFonts w:hint="eastAsia" w:ascii="宋体" w:hAnsi="宋体" w:eastAsia="宋体"/>
          <w:kern w:val="2"/>
          <w:sz w:val="24"/>
          <w:szCs w:val="24"/>
        </w:rPr>
        <w:t xml:space="preserve">3.2 监狱企业价格给予扣除标准： 根据《财政部、司法部关于政府采购支持监狱企业发展有关问题的通知》财库〔2014〕68 号的规定，在政府采购活动中，监狱企业视同小型、微型企业（须提供由省级以上监狱管理局、戒毒管理局（含新疆生产建设兵团）出具的属于监狱企业的证明文件。），对其产品的价格给予 6%的扣除，用扣除后的报价参与评审。 </w:t>
      </w:r>
    </w:p>
    <w:p>
      <w:pPr>
        <w:pStyle w:val="14"/>
        <w:kinsoku w:val="0"/>
        <w:overflowPunct w:val="0"/>
        <w:spacing w:line="360" w:lineRule="auto"/>
        <w:ind w:firstLine="544" w:firstLineChars="227"/>
        <w:jc w:val="both"/>
        <w:rPr>
          <w:rFonts w:ascii="宋体" w:hAnsi="宋体" w:eastAsia="宋体"/>
          <w:kern w:val="2"/>
          <w:sz w:val="24"/>
          <w:szCs w:val="24"/>
        </w:rPr>
      </w:pPr>
      <w:r>
        <w:rPr>
          <w:rFonts w:hint="eastAsia" w:ascii="宋体" w:hAnsi="宋体" w:eastAsia="宋体"/>
          <w:kern w:val="2"/>
          <w:sz w:val="24"/>
          <w:szCs w:val="24"/>
        </w:rPr>
        <w:t xml:space="preserve">3.3 残疾人福利性单位价格给予扣除标准： </w:t>
      </w:r>
    </w:p>
    <w:p>
      <w:pPr>
        <w:pStyle w:val="14"/>
        <w:kinsoku w:val="0"/>
        <w:overflowPunct w:val="0"/>
        <w:spacing w:line="360" w:lineRule="auto"/>
        <w:ind w:right="235" w:firstLine="544" w:firstLineChars="227"/>
        <w:rPr>
          <w:rFonts w:ascii="宋体" w:hAnsi="宋体" w:eastAsia="宋体"/>
          <w:kern w:val="2"/>
          <w:sz w:val="24"/>
          <w:szCs w:val="24"/>
        </w:rPr>
      </w:pPr>
      <w:r>
        <w:rPr>
          <w:rFonts w:hint="eastAsia" w:ascii="宋体" w:hAnsi="宋体" w:eastAsia="宋体"/>
          <w:kern w:val="2"/>
          <w:sz w:val="24"/>
          <w:szCs w:val="24"/>
        </w:rPr>
        <w:t xml:space="preserve">根据《财政部 民政部 中国残疾人联合会关于促进残疾人就业政府采购政策的通知》(财 库〔2017〕141 号)的规定，在政府采购活动中，残疾人福利性单位视同小型、微型企业，对 其产品或其他残疾人福利性单位产品的价格给予 6%的扣除，用扣除后的报价参与评审。 </w:t>
      </w:r>
    </w:p>
    <w:p>
      <w:pPr>
        <w:pStyle w:val="14"/>
        <w:kinsoku w:val="0"/>
        <w:overflowPunct w:val="0"/>
        <w:spacing w:line="360" w:lineRule="auto"/>
        <w:ind w:right="235" w:firstLine="544" w:firstLineChars="227"/>
        <w:rPr>
          <w:rFonts w:ascii="宋体" w:hAnsi="宋体" w:eastAsia="宋体"/>
          <w:kern w:val="2"/>
          <w:sz w:val="24"/>
          <w:szCs w:val="24"/>
        </w:rPr>
      </w:pPr>
      <w:r>
        <w:rPr>
          <w:rFonts w:hint="eastAsia" w:ascii="宋体" w:hAnsi="宋体" w:eastAsia="宋体"/>
          <w:kern w:val="2"/>
          <w:sz w:val="24"/>
          <w:szCs w:val="24"/>
        </w:rPr>
        <w:t xml:space="preserve">4、澄清有关问题。 </w:t>
      </w:r>
    </w:p>
    <w:p>
      <w:pPr>
        <w:pStyle w:val="14"/>
        <w:kinsoku w:val="0"/>
        <w:overflowPunct w:val="0"/>
        <w:spacing w:line="360" w:lineRule="auto"/>
        <w:ind w:right="346" w:firstLine="544" w:firstLineChars="227"/>
        <w:jc w:val="both"/>
        <w:rPr>
          <w:rFonts w:ascii="宋体" w:hAnsi="宋体" w:eastAsia="宋体"/>
          <w:kern w:val="2"/>
          <w:sz w:val="24"/>
          <w:szCs w:val="24"/>
        </w:rPr>
      </w:pPr>
      <w:r>
        <w:rPr>
          <w:rFonts w:hint="eastAsia" w:ascii="宋体" w:hAnsi="宋体" w:eastAsia="宋体"/>
          <w:kern w:val="2"/>
          <w:sz w:val="24"/>
          <w:szCs w:val="24"/>
        </w:rPr>
        <w:t xml:space="preserve">对投标文件中含义不明确、同类问题表述不一致或者有明显文字和计算错误的内容，评标 委员会可采用网上/书面形式要求投标人做出必要的澄清、说明。投标人的说明或者澄清应当 采用相应网上/书面形式，由其授权的代表确认，并不得超出投标文件的范围或者改变投标文 件的实质性内容。 </w:t>
      </w:r>
    </w:p>
    <w:p>
      <w:pPr>
        <w:pStyle w:val="14"/>
        <w:kinsoku w:val="0"/>
        <w:overflowPunct w:val="0"/>
        <w:spacing w:line="360" w:lineRule="auto"/>
        <w:ind w:right="146" w:firstLine="576" w:firstLineChars="240"/>
        <w:rPr>
          <w:rFonts w:ascii="宋体" w:hAnsi="宋体" w:eastAsia="宋体"/>
          <w:kern w:val="2"/>
          <w:sz w:val="24"/>
          <w:szCs w:val="24"/>
        </w:rPr>
      </w:pPr>
      <w:r>
        <w:rPr>
          <w:rFonts w:hint="eastAsia" w:ascii="宋体" w:hAnsi="宋体" w:eastAsia="宋体"/>
          <w:kern w:val="2"/>
          <w:sz w:val="24"/>
          <w:szCs w:val="24"/>
        </w:rPr>
        <w:t xml:space="preserve">5、报价明显低于其他通过符合性审查投标人的问题评标委员会认为投标人的报价明显低于其他通过符合性审查投标人的报价，有可能影响产品质量或者不能诚信履约的，应当要求其在评标现场合理的时间内提供书面说明，必要时提 交相关证明材料；投标人不能证明其报价合理性的，评标委员会应当将其作为无效投标处理。 </w:t>
      </w:r>
    </w:p>
    <w:p>
      <w:pPr>
        <w:pStyle w:val="14"/>
        <w:kinsoku w:val="0"/>
        <w:overflowPunct w:val="0"/>
        <w:spacing w:line="360" w:lineRule="auto"/>
        <w:ind w:right="146" w:firstLine="576" w:firstLineChars="240"/>
        <w:rPr>
          <w:rFonts w:ascii="宋体" w:hAnsi="宋体" w:eastAsia="宋体"/>
          <w:kern w:val="2"/>
          <w:sz w:val="24"/>
          <w:szCs w:val="24"/>
        </w:rPr>
      </w:pPr>
      <w:r>
        <w:rPr>
          <w:rFonts w:hint="eastAsia" w:ascii="宋体" w:hAnsi="宋体" w:eastAsia="宋体"/>
          <w:kern w:val="2"/>
          <w:sz w:val="24"/>
          <w:szCs w:val="24"/>
        </w:rPr>
        <w:t xml:space="preserve">6、推荐中标候选人名单。 </w:t>
      </w:r>
    </w:p>
    <w:p>
      <w:pPr>
        <w:pStyle w:val="14"/>
        <w:kinsoku w:val="0"/>
        <w:overflowPunct w:val="0"/>
        <w:spacing w:line="360" w:lineRule="auto"/>
        <w:ind w:right="349" w:firstLine="480" w:firstLineChars="200"/>
        <w:jc w:val="both"/>
        <w:rPr>
          <w:sz w:val="9"/>
        </w:rPr>
      </w:pPr>
      <w:r>
        <w:rPr>
          <w:rFonts w:hint="eastAsia" w:ascii="宋体" w:hAnsi="宋体" w:eastAsia="宋体"/>
          <w:kern w:val="2"/>
          <w:sz w:val="24"/>
          <w:szCs w:val="24"/>
        </w:rPr>
        <w:t xml:space="preserve">根据采购需要、商务、技术均能满足招标文件要求，按评标委员会评出的综合得分，由高到低顺序排列，推荐3 名中标候选人（如最终得分相同的，按投标报价由低到高顺序排列。得分且投标报价相同的并列。投标文件满足招标文件全部实质性要求，且按照评审因素的量化指标评审得分最高的投标人为排名第一的中标候选人）。 </w:t>
      </w:r>
    </w:p>
    <w:p>
      <w:pPr>
        <w:pStyle w:val="14"/>
        <w:kinsoku w:val="0"/>
        <w:overflowPunct w:val="0"/>
        <w:spacing w:line="360" w:lineRule="auto"/>
        <w:ind w:right="-10" w:firstLine="544" w:firstLineChars="227"/>
        <w:jc w:val="both"/>
        <w:rPr>
          <w:rFonts w:ascii="宋体" w:hAnsi="宋体" w:eastAsia="宋体"/>
          <w:kern w:val="2"/>
          <w:sz w:val="24"/>
          <w:szCs w:val="24"/>
        </w:rPr>
      </w:pPr>
      <w:r>
        <w:rPr>
          <w:rFonts w:hint="eastAsia" w:ascii="宋体" w:hAnsi="宋体" w:eastAsia="宋体"/>
          <w:kern w:val="2"/>
          <w:sz w:val="24"/>
          <w:szCs w:val="24"/>
        </w:rPr>
        <w:t xml:space="preserve">7、评委最终得分的算术平均值即为该投标人的最终得分。计分过程按四舍五入取小数点后两位，最终得分取至小数点后两位。 </w:t>
      </w:r>
    </w:p>
    <w:p>
      <w:pPr>
        <w:pStyle w:val="14"/>
        <w:kinsoku w:val="0"/>
        <w:overflowPunct w:val="0"/>
        <w:spacing w:line="360" w:lineRule="auto"/>
        <w:ind w:right="-10" w:firstLine="544" w:firstLineChars="227"/>
        <w:jc w:val="both"/>
        <w:rPr>
          <w:rFonts w:ascii="宋体" w:hAnsi="宋体" w:eastAsia="宋体"/>
          <w:kern w:val="2"/>
          <w:sz w:val="24"/>
          <w:szCs w:val="24"/>
        </w:rPr>
      </w:pPr>
      <w:r>
        <w:rPr>
          <w:rFonts w:hint="eastAsia" w:ascii="宋体" w:hAnsi="宋体" w:eastAsia="宋体"/>
          <w:kern w:val="2"/>
          <w:sz w:val="24"/>
          <w:szCs w:val="24"/>
        </w:rPr>
        <w:t xml:space="preserve">8、中标人的确定： </w:t>
      </w:r>
    </w:p>
    <w:p>
      <w:pPr>
        <w:pStyle w:val="14"/>
        <w:kinsoku w:val="0"/>
        <w:overflowPunct w:val="0"/>
        <w:spacing w:line="360" w:lineRule="auto"/>
        <w:ind w:right="-10" w:firstLine="544" w:firstLineChars="227"/>
        <w:jc w:val="both"/>
        <w:rPr>
          <w:rFonts w:ascii="宋体" w:hAnsi="宋体" w:eastAsia="宋体"/>
          <w:kern w:val="2"/>
          <w:sz w:val="24"/>
          <w:szCs w:val="24"/>
        </w:rPr>
      </w:pPr>
      <w:r>
        <w:rPr>
          <w:rFonts w:hint="eastAsia" w:ascii="宋体" w:hAnsi="宋体" w:eastAsia="宋体"/>
          <w:kern w:val="2"/>
          <w:sz w:val="24"/>
          <w:szCs w:val="24"/>
        </w:rPr>
        <w:t xml:space="preserve">（1）采购人应当在收到评标报告后 5 个工作日内，从评标报告提出的中标候选人中，根据评标委员会综合得分由高到低的顺序排名推荐的前三名中标候选人中，选定第一中标候选人为中标人；也可以书面授权评标委员会直接确定中标人。采购人在收到评标报告 5 个工作日内 未按评标报告推荐的中标候选人顺序确定中标人，又不能说明合法理由的，视同按评标报告推荐的顺序确定排名第一的中标候选人为中标人。 </w:t>
      </w:r>
    </w:p>
    <w:p>
      <w:pPr>
        <w:pStyle w:val="14"/>
        <w:kinsoku w:val="0"/>
        <w:overflowPunct w:val="0"/>
        <w:spacing w:line="360" w:lineRule="auto"/>
        <w:ind w:right="-10" w:firstLine="544" w:firstLineChars="227"/>
        <w:jc w:val="both"/>
        <w:rPr>
          <w:rFonts w:ascii="宋体" w:hAnsi="宋体" w:eastAsia="宋体"/>
          <w:kern w:val="2"/>
          <w:sz w:val="24"/>
          <w:szCs w:val="24"/>
        </w:rPr>
      </w:pPr>
      <w:r>
        <w:rPr>
          <w:rFonts w:hint="eastAsia" w:ascii="宋体" w:hAnsi="宋体" w:eastAsia="宋体"/>
          <w:kern w:val="2"/>
          <w:sz w:val="24"/>
          <w:szCs w:val="24"/>
        </w:rPr>
        <w:t>（2）采购人将“评标结果确认书”盖章确认后交代理机构，由交易中心/代理机构将中标结果公布在</w:t>
      </w:r>
      <w:r>
        <w:rPr>
          <w:rFonts w:hint="eastAsia" w:ascii="宋体" w:hAnsi="宋体" w:eastAsia="宋体" w:cs="宋体"/>
          <w:color w:val="000000"/>
          <w:kern w:val="2"/>
          <w:sz w:val="24"/>
          <w:szCs w:val="24"/>
        </w:rPr>
        <w:t>《河南省电子招标投标公共服务平台》、《河南省政府采购网》、《南阳市政府采购网》</w:t>
      </w:r>
      <w:r>
        <w:rPr>
          <w:rFonts w:hint="eastAsia" w:ascii="宋体" w:hAnsi="宋体" w:eastAsia="宋体"/>
          <w:kern w:val="2"/>
          <w:sz w:val="24"/>
          <w:szCs w:val="24"/>
        </w:rPr>
        <w:t xml:space="preserve">。 </w:t>
      </w:r>
    </w:p>
    <w:p>
      <w:pPr>
        <w:pStyle w:val="14"/>
        <w:kinsoku w:val="0"/>
        <w:overflowPunct w:val="0"/>
        <w:spacing w:line="360" w:lineRule="auto"/>
        <w:ind w:right="336" w:firstLine="544" w:firstLineChars="227"/>
        <w:jc w:val="both"/>
        <w:rPr>
          <w:rFonts w:ascii="宋体" w:hAnsi="宋体" w:eastAsia="宋体"/>
          <w:kern w:val="2"/>
          <w:sz w:val="24"/>
          <w:szCs w:val="24"/>
        </w:rPr>
      </w:pPr>
      <w:r>
        <w:rPr>
          <w:rFonts w:hint="eastAsia" w:ascii="宋体" w:hAnsi="宋体" w:eastAsia="宋体"/>
          <w:kern w:val="2"/>
          <w:sz w:val="24"/>
          <w:szCs w:val="24"/>
        </w:rPr>
        <w:t xml:space="preserve">9、投标人可提交品质相同或优于同类产品的货物。 </w:t>
      </w:r>
    </w:p>
    <w:p>
      <w:pPr>
        <w:pStyle w:val="14"/>
        <w:kinsoku w:val="0"/>
        <w:overflowPunct w:val="0"/>
        <w:spacing w:line="360" w:lineRule="auto"/>
        <w:ind w:left="141" w:right="235"/>
        <w:rPr>
          <w:rFonts w:ascii="宋体" w:hAnsi="宋体" w:eastAsia="宋体" w:cs="宋体"/>
          <w:b/>
          <w:w w:val="99"/>
          <w:sz w:val="24"/>
        </w:rPr>
      </w:pPr>
      <w:r>
        <w:rPr>
          <w:rFonts w:hint="eastAsia" w:ascii="宋体" w:hAnsi="宋体" w:eastAsia="宋体" w:cs="宋体"/>
          <w:sz w:val="24"/>
        </w:rPr>
        <w:t xml:space="preserve">  </w:t>
      </w:r>
      <w:r>
        <w:rPr>
          <w:rFonts w:hint="eastAsia" w:ascii="宋体" w:hAnsi="宋体" w:eastAsia="宋体" w:cs="宋体"/>
          <w:b/>
          <w:spacing w:val="-1"/>
          <w:w w:val="99"/>
          <w:sz w:val="24"/>
        </w:rPr>
        <w:t>四.评标程序</w:t>
      </w:r>
      <w:r>
        <w:rPr>
          <w:rFonts w:hint="eastAsia" w:ascii="宋体" w:hAnsi="宋体" w:eastAsia="宋体" w:cs="宋体"/>
          <w:b/>
          <w:w w:val="99"/>
          <w:sz w:val="24"/>
        </w:rPr>
        <w:t xml:space="preserve"> </w:t>
      </w:r>
    </w:p>
    <w:p>
      <w:pPr>
        <w:pStyle w:val="14"/>
        <w:kinsoku w:val="0"/>
        <w:overflowPunct w:val="0"/>
        <w:spacing w:line="360" w:lineRule="auto"/>
        <w:ind w:firstLine="480" w:firstLineChars="200"/>
        <w:rPr>
          <w:sz w:val="8"/>
        </w:rPr>
      </w:pPr>
      <w:r>
        <w:rPr>
          <w:rFonts w:ascii="宋体" w:hAnsi="宋体" w:eastAsia="宋体" w:cs="宋体"/>
          <w:sz w:val="24"/>
        </w:rPr>
        <mc:AlternateContent>
          <mc:Choice Requires="wps">
            <w:drawing>
              <wp:anchor distT="0" distB="0" distL="114300" distR="114300" simplePos="0" relativeHeight="251658240" behindDoc="1" locked="0" layoutInCell="0" allowOverlap="1">
                <wp:simplePos x="0" y="0"/>
                <wp:positionH relativeFrom="page">
                  <wp:posOffset>981710</wp:posOffset>
                </wp:positionH>
                <wp:positionV relativeFrom="paragraph">
                  <wp:posOffset>506095</wp:posOffset>
                </wp:positionV>
                <wp:extent cx="3355975" cy="85725"/>
                <wp:effectExtent l="0" t="0" r="0" b="0"/>
                <wp:wrapNone/>
                <wp:docPr id="3" name="任意多边形 21"/>
                <wp:cNvGraphicFramePr/>
                <a:graphic xmlns:a="http://schemas.openxmlformats.org/drawingml/2006/main">
                  <a:graphicData uri="http://schemas.microsoft.com/office/word/2010/wordprocessingShape">
                    <wps:wsp>
                      <wps:cNvSpPr/>
                      <wps:spPr>
                        <a:xfrm flipV="1">
                          <a:off x="0" y="0"/>
                          <a:ext cx="3355975" cy="85725"/>
                        </a:xfrm>
                        <a:custGeom>
                          <a:avLst/>
                          <a:gdLst>
                            <a:gd name="A1" fmla="val 0"/>
                            <a:gd name="A2" fmla="val 0"/>
                            <a:gd name="A3" fmla="val 0"/>
                          </a:gdLst>
                          <a:ahLst/>
                          <a:cxnLst/>
                          <a:rect l="0" t="0" r="0" b="0"/>
                          <a:pathLst>
                            <a:path w="4566" h="20">
                              <a:moveTo>
                                <a:pt x="0" y="0"/>
                              </a:moveTo>
                              <a:lnTo>
                                <a:pt x="4565" y="0"/>
                              </a:lnTo>
                            </a:path>
                          </a:pathLst>
                        </a:custGeom>
                        <a:noFill/>
                        <a:ln w="10795" cap="flat" cmpd="sng">
                          <a:solidFill>
                            <a:srgbClr val="000000"/>
                          </a:solidFill>
                          <a:prstDash val="solid"/>
                          <a:round/>
                          <a:headEnd type="none" w="med" len="med"/>
                          <a:tailEnd type="none" w="med" len="med"/>
                        </a:ln>
                      </wps:spPr>
                      <wps:bodyPr upright="1"/>
                    </wps:wsp>
                  </a:graphicData>
                </a:graphic>
              </wp:anchor>
            </w:drawing>
          </mc:Choice>
          <mc:Fallback>
            <w:pict>
              <v:shape id="任意多边形 21" o:spid="_x0000_s1026" o:spt="100" style="position:absolute;left:0pt;flip:y;margin-left:77.3pt;margin-top:39.85pt;height:6.75pt;width:264.25pt;mso-position-horizontal-relative:page;z-index:-251658240;mso-width-relative:page;mso-height-relative:page;" filled="f" stroked="t" coordsize="4566,20" o:allowincell="f" o:gfxdata="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ycA/r2QAAAAkBAAAP&#10;AAAAAAAAAAEAIAAAACIAAABkcnMvZG93bnJldi54bWxQSwECFAAUAAAACACHTuJAa56hGlACAADZ&#10;BAAADgAAAAAAAAABACAAAAAoAQAAZHJzL2Uyb0RvYy54bWxQSwUGAAAAAAYABgBZAQAA6gUAAAAA&#10;" path="m0,0l4565,0e">
                <v:fill on="f" focussize="0,0"/>
                <v:stroke weight="0.85pt" color="#000000" joinstyle="round"/>
                <v:imagedata o:title=""/>
                <o:lock v:ext="edit" aspectratio="f"/>
              </v:shape>
            </w:pict>
          </mc:Fallback>
        </mc:AlternateContent>
      </w:r>
      <w:r>
        <w:rPr>
          <w:rFonts w:ascii="宋体" w:hAnsi="宋体" w:eastAsia="宋体" w:cs="宋体"/>
          <w:sz w:val="24"/>
        </w:rPr>
        <mc:AlternateContent>
          <mc:Choice Requires="wps">
            <w:drawing>
              <wp:anchor distT="0" distB="0" distL="114300" distR="114300" simplePos="0" relativeHeight="251657216" behindDoc="1" locked="0" layoutInCell="0" allowOverlap="1">
                <wp:simplePos x="0" y="0"/>
                <wp:positionH relativeFrom="page">
                  <wp:posOffset>1182370</wp:posOffset>
                </wp:positionH>
                <wp:positionV relativeFrom="paragraph">
                  <wp:posOffset>219710</wp:posOffset>
                </wp:positionV>
                <wp:extent cx="5340985" cy="76200"/>
                <wp:effectExtent l="0" t="0" r="0" b="0"/>
                <wp:wrapNone/>
                <wp:docPr id="2" name="任意多边形 3"/>
                <wp:cNvGraphicFramePr/>
                <a:graphic xmlns:a="http://schemas.openxmlformats.org/drawingml/2006/main">
                  <a:graphicData uri="http://schemas.microsoft.com/office/word/2010/wordprocessingShape">
                    <wps:wsp>
                      <wps:cNvSpPr/>
                      <wps:spPr>
                        <a:xfrm flipV="1">
                          <a:off x="0" y="0"/>
                          <a:ext cx="5340985" cy="76200"/>
                        </a:xfrm>
                        <a:custGeom>
                          <a:avLst/>
                          <a:gdLst>
                            <a:gd name="A1" fmla="val 0"/>
                            <a:gd name="A2" fmla="val 0"/>
                            <a:gd name="A3" fmla="val 0"/>
                          </a:gdLst>
                          <a:ahLst/>
                          <a:cxnLst/>
                          <a:rect l="0" t="0" r="0" b="0"/>
                          <a:pathLst>
                            <a:path w="8831" h="20">
                              <a:moveTo>
                                <a:pt x="0" y="0"/>
                              </a:moveTo>
                              <a:lnTo>
                                <a:pt x="8831" y="0"/>
                              </a:lnTo>
                            </a:path>
                          </a:pathLst>
                        </a:custGeom>
                        <a:noFill/>
                        <a:ln w="10795" cap="flat" cmpd="sng">
                          <a:solidFill>
                            <a:srgbClr val="000000"/>
                          </a:solidFill>
                          <a:prstDash val="solid"/>
                          <a:round/>
                          <a:headEnd type="none" w="med" len="med"/>
                          <a:tailEnd type="none" w="med" len="med"/>
                        </a:ln>
                      </wps:spPr>
                      <wps:bodyPr upright="1"/>
                    </wps:wsp>
                  </a:graphicData>
                </a:graphic>
              </wp:anchor>
            </w:drawing>
          </mc:Choice>
          <mc:Fallback>
            <w:pict>
              <v:shape id="任意多边形 3" o:spid="_x0000_s1026" o:spt="100" style="position:absolute;left:0pt;flip:y;margin-left:93.1pt;margin-top:17.3pt;height:6pt;width:420.55pt;mso-position-horizontal-relative:page;z-index:-251659264;mso-width-relative:page;mso-height-relative:page;" filled="f" stroked="t" coordsize="8831,20" o:allowincell="f" o:gfxdata="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P8I2dgAAAAKAQAADwAAAAAA&#10;AAABACAAAAAiAAAAZHJzL2Rvd25yZXYueG1sUEsBAhQAFAAAAAgAh07iQP20afZMAgAA2AQAAA4A&#10;AAAAAAAAAQAgAAAAJwEAAGRycy9lMm9Eb2MueG1sUEsFBgAAAAAGAAYAWQEAAOUFAAAAAA==&#10;" path="m0,0l8831,0e">
                <v:fill on="f" focussize="0,0"/>
                <v:stroke weight="0.85pt" color="#000000" joinstyle="round"/>
                <v:imagedata o:title=""/>
                <o:lock v:ext="edit" aspectratio="f"/>
              </v:shape>
            </w:pict>
          </mc:Fallback>
        </mc:AlternateContent>
      </w:r>
      <w:r>
        <w:rPr>
          <w:rFonts w:hint="eastAsia" w:ascii="宋体" w:hAnsi="宋体" w:eastAsia="宋体" w:cs="宋体"/>
          <w:sz w:val="24"/>
        </w:rPr>
        <w:t>1. 开标结束后，首先按照《政府采购货物和服务招标投标管理办法》（财政部第</w:t>
      </w:r>
      <w:r>
        <w:rPr>
          <w:rFonts w:hint="eastAsia" w:ascii="宋体" w:hAnsi="宋体" w:eastAsia="宋体" w:cs="宋体"/>
          <w:spacing w:val="-36"/>
          <w:sz w:val="24"/>
        </w:rPr>
        <w:t xml:space="preserve"> </w:t>
      </w:r>
      <w:r>
        <w:rPr>
          <w:rFonts w:hint="eastAsia" w:ascii="宋体" w:hAnsi="宋体" w:eastAsia="宋体" w:cs="宋体"/>
          <w:sz w:val="24"/>
        </w:rPr>
        <w:t>87</w:t>
      </w:r>
      <w:r>
        <w:rPr>
          <w:rFonts w:hint="eastAsia" w:ascii="宋体" w:hAnsi="宋体" w:eastAsia="宋体" w:cs="宋体"/>
          <w:spacing w:val="-30"/>
          <w:sz w:val="24"/>
        </w:rPr>
        <w:t xml:space="preserve"> </w:t>
      </w:r>
      <w:r>
        <w:rPr>
          <w:rFonts w:hint="eastAsia" w:ascii="宋体" w:hAnsi="宋体" w:eastAsia="宋体" w:cs="宋体"/>
          <w:sz w:val="24"/>
        </w:rPr>
        <w:t>号</w:t>
      </w:r>
      <w:r>
        <w:rPr>
          <w:rFonts w:hint="eastAsia" w:ascii="宋体" w:hAnsi="宋体" w:eastAsia="宋体" w:cs="宋体"/>
          <w:spacing w:val="-1"/>
          <w:sz w:val="24"/>
        </w:rPr>
        <w:t>令）由采购人对投标人的资格性进行审查。</w:t>
      </w:r>
      <w:r>
        <w:rPr>
          <w:rFonts w:hint="eastAsia" w:ascii="宋体" w:hAnsi="宋体" w:eastAsia="宋体" w:cs="宋体"/>
          <w:sz w:val="24"/>
        </w:rPr>
        <w:t xml:space="preserve"> </w:t>
      </w:r>
      <w:r>
        <w:rPr>
          <w:rFonts w:hint="eastAsia"/>
          <w:sz w:val="24"/>
        </w:rPr>
        <w:t xml:space="preserve"> </w:t>
      </w:r>
    </w:p>
    <w:tbl>
      <w:tblPr>
        <w:tblStyle w:val="33"/>
        <w:tblW w:w="8830" w:type="dxa"/>
        <w:tblInd w:w="178" w:type="dxa"/>
        <w:tblLayout w:type="fixed"/>
        <w:tblCellMar>
          <w:top w:w="0" w:type="dxa"/>
          <w:left w:w="0" w:type="dxa"/>
          <w:bottom w:w="0" w:type="dxa"/>
          <w:right w:w="0" w:type="dxa"/>
        </w:tblCellMar>
      </w:tblPr>
      <w:tblGrid>
        <w:gridCol w:w="856"/>
        <w:gridCol w:w="3158"/>
        <w:gridCol w:w="4816"/>
      </w:tblGrid>
      <w:tr>
        <w:tblPrEx>
          <w:tblCellMar>
            <w:top w:w="0" w:type="dxa"/>
            <w:left w:w="0" w:type="dxa"/>
            <w:bottom w:w="0" w:type="dxa"/>
            <w:right w:w="0" w:type="dxa"/>
          </w:tblCellMar>
        </w:tblPrEx>
        <w:trPr>
          <w:trHeight w:val="556" w:hRule="exact"/>
        </w:trPr>
        <w:tc>
          <w:tcPr>
            <w:tcW w:w="4014" w:type="dxa"/>
            <w:gridSpan w:val="2"/>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78"/>
              <w:ind w:left="539"/>
              <w:rPr>
                <w:rFonts w:hint="default"/>
                <w:sz w:val="22"/>
                <w:szCs w:val="22"/>
              </w:rPr>
            </w:pPr>
            <w:r>
              <w:rPr>
                <w:rFonts w:ascii="宋体"/>
                <w:b/>
                <w:sz w:val="22"/>
                <w:szCs w:val="22"/>
              </w:rPr>
              <w:t>评审因素</w:t>
            </w:r>
            <w:r>
              <w:rPr>
                <w:rFonts w:ascii="宋体"/>
                <w:b/>
                <w:w w:val="99"/>
                <w:sz w:val="22"/>
                <w:szCs w:val="22"/>
              </w:rPr>
              <w:t xml:space="preserve"> </w:t>
            </w:r>
          </w:p>
        </w:tc>
        <w:tc>
          <w:tcPr>
            <w:tcW w:w="4816" w:type="dxa"/>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78"/>
              <w:ind w:left="539"/>
              <w:rPr>
                <w:rFonts w:hint="default"/>
                <w:sz w:val="22"/>
                <w:szCs w:val="22"/>
              </w:rPr>
            </w:pPr>
            <w:r>
              <w:rPr>
                <w:rFonts w:ascii="宋体"/>
                <w:b/>
                <w:spacing w:val="-1"/>
                <w:sz w:val="22"/>
                <w:szCs w:val="22"/>
              </w:rPr>
              <w:t>评审标准</w:t>
            </w:r>
            <w:r>
              <w:rPr>
                <w:rFonts w:ascii="宋体"/>
                <w:b/>
                <w:w w:val="99"/>
                <w:sz w:val="22"/>
                <w:szCs w:val="22"/>
              </w:rPr>
              <w:t xml:space="preserve"> </w:t>
            </w:r>
          </w:p>
        </w:tc>
      </w:tr>
      <w:tr>
        <w:tblPrEx>
          <w:tblCellMar>
            <w:top w:w="0" w:type="dxa"/>
            <w:left w:w="0" w:type="dxa"/>
            <w:bottom w:w="0" w:type="dxa"/>
            <w:right w:w="0" w:type="dxa"/>
          </w:tblCellMar>
        </w:tblPrEx>
        <w:trPr>
          <w:trHeight w:val="601" w:hRule="exact"/>
        </w:trPr>
        <w:tc>
          <w:tcPr>
            <w:tcW w:w="856" w:type="dxa"/>
            <w:vMerge w:val="restart"/>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rPr>
                <w:rFonts w:hint="default" w:ascii="宋体"/>
                <w:sz w:val="22"/>
                <w:szCs w:val="22"/>
              </w:rPr>
            </w:pPr>
          </w:p>
          <w:p>
            <w:pPr>
              <w:pStyle w:val="56"/>
              <w:kinsoku w:val="0"/>
              <w:overflowPunct w:val="0"/>
              <w:rPr>
                <w:rFonts w:hint="default" w:ascii="宋体"/>
                <w:sz w:val="22"/>
                <w:szCs w:val="22"/>
              </w:rPr>
            </w:pPr>
          </w:p>
          <w:p>
            <w:pPr>
              <w:pStyle w:val="56"/>
              <w:kinsoku w:val="0"/>
              <w:overflowPunct w:val="0"/>
              <w:spacing w:before="7"/>
              <w:rPr>
                <w:rFonts w:hint="default" w:ascii="宋体"/>
                <w:sz w:val="22"/>
                <w:szCs w:val="22"/>
              </w:rPr>
            </w:pPr>
          </w:p>
          <w:p>
            <w:pPr>
              <w:pStyle w:val="56"/>
              <w:kinsoku w:val="0"/>
              <w:overflowPunct w:val="0"/>
              <w:spacing w:line="355" w:lineRule="auto"/>
              <w:ind w:left="59" w:right="27" w:firstLine="55"/>
              <w:rPr>
                <w:rFonts w:hint="default"/>
                <w:sz w:val="22"/>
                <w:szCs w:val="22"/>
              </w:rPr>
            </w:pPr>
            <w:r>
              <w:rPr>
                <w:rFonts w:ascii="宋体"/>
                <w:sz w:val="22"/>
                <w:szCs w:val="22"/>
              </w:rPr>
              <w:t xml:space="preserve">资 </w:t>
            </w:r>
            <w:r>
              <w:rPr>
                <w:rFonts w:ascii="宋体"/>
                <w:spacing w:val="10"/>
                <w:sz w:val="22"/>
                <w:szCs w:val="22"/>
              </w:rPr>
              <w:t>格性审</w:t>
            </w:r>
            <w:r>
              <w:rPr>
                <w:rFonts w:ascii="宋体"/>
                <w:sz w:val="22"/>
                <w:szCs w:val="22"/>
              </w:rPr>
              <w:t xml:space="preserve"> 查 </w:t>
            </w: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sz w:val="22"/>
                <w:szCs w:val="22"/>
              </w:rPr>
            </w:pPr>
            <w:r>
              <w:rPr>
                <w:rFonts w:hint="eastAsia" w:ascii="宋体" w:hAnsi="宋体" w:cs="宋体"/>
                <w:kern w:val="0"/>
                <w:szCs w:val="21"/>
              </w:rPr>
              <w:t>投标人名称</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sz w:val="22"/>
                <w:szCs w:val="22"/>
              </w:rPr>
            </w:pPr>
            <w:r>
              <w:rPr>
                <w:rFonts w:hint="eastAsia" w:ascii="宋体" w:hAnsi="宋体" w:cs="宋体"/>
                <w:kern w:val="0"/>
                <w:szCs w:val="21"/>
              </w:rPr>
              <w:t>与营业执照一致</w:t>
            </w:r>
          </w:p>
        </w:tc>
      </w:tr>
      <w:tr>
        <w:tblPrEx>
          <w:tblCellMar>
            <w:top w:w="0" w:type="dxa"/>
            <w:left w:w="0" w:type="dxa"/>
            <w:bottom w:w="0" w:type="dxa"/>
            <w:right w:w="0" w:type="dxa"/>
          </w:tblCellMar>
        </w:tblPrEx>
        <w:trPr>
          <w:trHeight w:val="568"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151"/>
              <w:ind w:left="118"/>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sz w:val="22"/>
                <w:szCs w:val="22"/>
              </w:rPr>
            </w:pPr>
            <w:r>
              <w:rPr>
                <w:rFonts w:hint="eastAsia" w:ascii="宋体" w:hAnsi="宋体" w:cs="宋体"/>
                <w:kern w:val="0"/>
                <w:szCs w:val="21"/>
              </w:rPr>
              <w:t>营业执照</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sz w:val="22"/>
                <w:szCs w:val="22"/>
              </w:rPr>
            </w:pPr>
            <w:r>
              <w:rPr>
                <w:rFonts w:hint="eastAsia" w:ascii="宋体" w:hAnsi="宋体" w:cs="宋体"/>
                <w:kern w:val="0"/>
                <w:szCs w:val="21"/>
              </w:rPr>
              <w:t>符合“投标人须知前附表”第9项规定</w:t>
            </w:r>
          </w:p>
        </w:tc>
      </w:tr>
      <w:tr>
        <w:tblPrEx>
          <w:tblCellMar>
            <w:top w:w="0" w:type="dxa"/>
            <w:left w:w="0" w:type="dxa"/>
            <w:bottom w:w="0" w:type="dxa"/>
            <w:right w:w="0" w:type="dxa"/>
          </w:tblCellMar>
        </w:tblPrEx>
        <w:trPr>
          <w:trHeight w:val="539"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151"/>
              <w:ind w:left="118"/>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sz w:val="22"/>
                <w:szCs w:val="22"/>
              </w:rPr>
            </w:pPr>
            <w:r>
              <w:rPr>
                <w:rFonts w:hint="eastAsia" w:ascii="宋体" w:hAnsi="宋体" w:cs="宋体"/>
                <w:kern w:val="0"/>
                <w:szCs w:val="21"/>
              </w:rPr>
              <w:t>信用查询</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sz w:val="22"/>
                <w:szCs w:val="22"/>
              </w:rPr>
            </w:pPr>
            <w:r>
              <w:rPr>
                <w:rFonts w:hint="eastAsia" w:ascii="宋体" w:hAnsi="宋体" w:cs="宋体"/>
                <w:kern w:val="0"/>
                <w:szCs w:val="21"/>
              </w:rPr>
              <w:t>符合“投标人须知前附表”第9项规定</w:t>
            </w:r>
          </w:p>
        </w:tc>
      </w:tr>
      <w:tr>
        <w:tblPrEx>
          <w:tblCellMar>
            <w:top w:w="0" w:type="dxa"/>
            <w:left w:w="0" w:type="dxa"/>
            <w:bottom w:w="0" w:type="dxa"/>
            <w:right w:w="0" w:type="dxa"/>
          </w:tblCellMar>
        </w:tblPrEx>
        <w:trPr>
          <w:trHeight w:val="539"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151"/>
              <w:ind w:left="118"/>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审计报告</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符合“投标人须知前附表”第9项规定</w:t>
            </w:r>
          </w:p>
        </w:tc>
      </w:tr>
      <w:tr>
        <w:tblPrEx>
          <w:tblCellMar>
            <w:top w:w="0" w:type="dxa"/>
            <w:left w:w="0" w:type="dxa"/>
            <w:bottom w:w="0" w:type="dxa"/>
            <w:right w:w="0" w:type="dxa"/>
          </w:tblCellMar>
        </w:tblPrEx>
        <w:trPr>
          <w:trHeight w:val="539"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151"/>
              <w:ind w:left="118"/>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纳税证明</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符合“投标人须知前附表”第9项规定</w:t>
            </w:r>
          </w:p>
        </w:tc>
      </w:tr>
      <w:tr>
        <w:tblPrEx>
          <w:tblCellMar>
            <w:top w:w="0" w:type="dxa"/>
            <w:left w:w="0" w:type="dxa"/>
            <w:bottom w:w="0" w:type="dxa"/>
            <w:right w:w="0" w:type="dxa"/>
          </w:tblCellMar>
        </w:tblPrEx>
        <w:trPr>
          <w:trHeight w:val="539"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151"/>
              <w:ind w:left="118"/>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社保证明</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符合“投标人须知前附表”第9项规定</w:t>
            </w:r>
          </w:p>
        </w:tc>
      </w:tr>
      <w:tr>
        <w:tblPrEx>
          <w:tblCellMar>
            <w:top w:w="0" w:type="dxa"/>
            <w:left w:w="0" w:type="dxa"/>
            <w:bottom w:w="0" w:type="dxa"/>
            <w:right w:w="0" w:type="dxa"/>
          </w:tblCellMar>
        </w:tblPrEx>
        <w:trPr>
          <w:trHeight w:val="539"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before="151"/>
              <w:ind w:left="118"/>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无行贿承诺</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rFonts w:ascii="宋体" w:hAnsi="宋体" w:cs="宋体"/>
                <w:kern w:val="0"/>
                <w:szCs w:val="21"/>
              </w:rPr>
            </w:pPr>
            <w:r>
              <w:rPr>
                <w:rFonts w:hint="eastAsia" w:ascii="宋体" w:hAnsi="宋体" w:cs="宋体"/>
                <w:kern w:val="0"/>
                <w:szCs w:val="21"/>
              </w:rPr>
              <w:t>符合“投标人须知前附表”第9项规定</w:t>
            </w:r>
          </w:p>
        </w:tc>
      </w:tr>
      <w:tr>
        <w:tblPrEx>
          <w:tblCellMar>
            <w:top w:w="0" w:type="dxa"/>
            <w:left w:w="0" w:type="dxa"/>
            <w:bottom w:w="0" w:type="dxa"/>
            <w:right w:w="0" w:type="dxa"/>
          </w:tblCellMar>
        </w:tblPrEx>
        <w:trPr>
          <w:trHeight w:val="700"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line="367" w:lineRule="auto"/>
              <w:ind w:left="118" w:right="86"/>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sz w:val="22"/>
                <w:szCs w:val="22"/>
              </w:rPr>
            </w:pPr>
            <w:r>
              <w:rPr>
                <w:rFonts w:hint="eastAsia" w:ascii="宋体" w:hAnsi="宋体"/>
                <w:snapToGrid w:val="0"/>
                <w:kern w:val="0"/>
                <w:szCs w:val="21"/>
              </w:rPr>
              <w:t>最近三年在经营活动中没有重大违法、违纪行为的书面声明</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adjustRightInd w:val="0"/>
              <w:snapToGrid w:val="0"/>
              <w:spacing w:before="24" w:beforeLines="10" w:after="24" w:afterLines="10" w:line="320" w:lineRule="exact"/>
              <w:ind w:left="21" w:leftChars="10" w:right="21" w:rightChars="10"/>
              <w:jc w:val="center"/>
              <w:rPr>
                <w:sz w:val="22"/>
                <w:szCs w:val="22"/>
              </w:rPr>
            </w:pPr>
            <w:r>
              <w:rPr>
                <w:rFonts w:hint="eastAsia" w:ascii="宋体" w:hAnsi="宋体" w:cs="宋体"/>
                <w:kern w:val="0"/>
                <w:szCs w:val="21"/>
              </w:rPr>
              <w:t>符合“投标人须知前附表”第9项规定</w:t>
            </w:r>
          </w:p>
        </w:tc>
      </w:tr>
      <w:tr>
        <w:tblPrEx>
          <w:tblCellMar>
            <w:top w:w="0" w:type="dxa"/>
            <w:left w:w="0" w:type="dxa"/>
            <w:bottom w:w="0" w:type="dxa"/>
            <w:right w:w="0" w:type="dxa"/>
          </w:tblCellMar>
        </w:tblPrEx>
        <w:trPr>
          <w:trHeight w:val="700"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56"/>
              <w:kinsoku w:val="0"/>
              <w:overflowPunct w:val="0"/>
              <w:spacing w:line="367" w:lineRule="auto"/>
              <w:ind w:left="118" w:right="86"/>
              <w:rPr>
                <w:rFonts w:hint="default"/>
                <w:sz w:val="22"/>
                <w:szCs w:val="22"/>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jc w:val="center"/>
              <w:rPr>
                <w:rFonts w:ascii="宋体"/>
                <w:spacing w:val="-1"/>
                <w:sz w:val="22"/>
                <w:szCs w:val="22"/>
              </w:rPr>
            </w:pPr>
            <w:r>
              <w:rPr>
                <w:rFonts w:hint="eastAsia" w:ascii="宋体" w:hAnsi="宋体" w:cs="宋体"/>
                <w:kern w:val="0"/>
                <w:szCs w:val="21"/>
              </w:rPr>
              <w:t>其它资格要求</w:t>
            </w:r>
          </w:p>
        </w:tc>
        <w:tc>
          <w:tcPr>
            <w:tcW w:w="481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rPr>
                <w:rFonts w:ascii="宋体" w:hAnsi="宋体"/>
                <w:color w:val="000000"/>
                <w:sz w:val="22"/>
                <w:szCs w:val="22"/>
              </w:rPr>
            </w:pPr>
            <w:r>
              <w:rPr>
                <w:rFonts w:hint="eastAsia" w:cs="宋体"/>
                <w:szCs w:val="24"/>
              </w:rPr>
              <w:t>《中华人民共和国政府采购法》第二十二条</w:t>
            </w:r>
            <w:r>
              <w:rPr>
                <w:rFonts w:hint="eastAsia" w:ascii="宋体" w:hAnsi="宋体" w:cs="宋体"/>
                <w:kern w:val="0"/>
                <w:szCs w:val="21"/>
              </w:rPr>
              <w:t>规定</w:t>
            </w:r>
          </w:p>
        </w:tc>
      </w:tr>
    </w:tbl>
    <w:p>
      <w:pPr>
        <w:pStyle w:val="14"/>
        <w:kinsoku w:val="0"/>
        <w:overflowPunct w:val="0"/>
        <w:spacing w:before="49" w:line="355" w:lineRule="auto"/>
        <w:ind w:left="141" w:right="-10" w:firstLine="480"/>
        <w:jc w:val="both"/>
        <w:rPr>
          <w:rFonts w:ascii="宋体" w:hAnsi="宋体" w:eastAsia="宋体" w:cs="宋体"/>
          <w:b/>
          <w:sz w:val="24"/>
        </w:rPr>
      </w:pPr>
    </w:p>
    <w:p>
      <w:pPr>
        <w:pStyle w:val="14"/>
        <w:kinsoku w:val="0"/>
        <w:overflowPunct w:val="0"/>
        <w:spacing w:before="49" w:line="355" w:lineRule="auto"/>
        <w:ind w:left="141" w:right="-10" w:firstLine="480"/>
        <w:jc w:val="both"/>
        <w:rPr>
          <w:rFonts w:ascii="宋体" w:hAnsi="宋体" w:eastAsia="宋体" w:cs="宋体"/>
          <w:b/>
          <w:sz w:val="24"/>
        </w:rPr>
      </w:pPr>
    </w:p>
    <w:p/>
    <w:p>
      <w:pPr>
        <w:pStyle w:val="14"/>
        <w:kinsoku w:val="0"/>
        <w:overflowPunct w:val="0"/>
        <w:spacing w:before="49" w:line="355" w:lineRule="auto"/>
        <w:ind w:left="141" w:right="-10" w:firstLine="480"/>
        <w:jc w:val="both"/>
        <w:rPr>
          <w:rFonts w:ascii="宋体" w:hAnsi="宋体" w:eastAsia="宋体" w:cs="宋体"/>
          <w:sz w:val="24"/>
        </w:rPr>
      </w:pPr>
      <w:r>
        <w:rPr>
          <w:rFonts w:hint="eastAsia" w:ascii="宋体" w:hAnsi="宋体" w:eastAsia="宋体" w:cs="宋体"/>
          <w:b/>
          <w:sz w:val="24"/>
        </w:rPr>
        <w:t>2.</w:t>
      </w:r>
      <w:r>
        <w:rPr>
          <w:rFonts w:hint="eastAsia" w:ascii="宋体" w:hAnsi="宋体" w:eastAsia="宋体" w:cs="宋体"/>
          <w:b/>
          <w:spacing w:val="11"/>
          <w:sz w:val="24"/>
        </w:rPr>
        <w:t xml:space="preserve"> </w:t>
      </w:r>
      <w:r>
        <w:rPr>
          <w:rFonts w:hint="eastAsia" w:ascii="宋体" w:hAnsi="宋体" w:eastAsia="宋体" w:cs="宋体"/>
          <w:spacing w:val="4"/>
          <w:sz w:val="24"/>
        </w:rPr>
        <w:t>评标委员会根据评标原则和评标标准对所有符合资格的投标人的投标文件进行符合</w:t>
      </w:r>
      <w:r>
        <w:rPr>
          <w:rFonts w:hint="eastAsia" w:ascii="宋体" w:hAnsi="宋体" w:eastAsia="宋体" w:cs="宋体"/>
          <w:spacing w:val="1"/>
          <w:sz w:val="24"/>
        </w:rPr>
        <w:t>性审查，以确定是否满足招标文件的实质性要求。符合招标文件实质性要求的投标文件，评</w:t>
      </w:r>
      <w:r>
        <w:rPr>
          <w:rFonts w:hint="eastAsia" w:ascii="宋体" w:hAnsi="宋体" w:eastAsia="宋体" w:cs="宋体"/>
          <w:spacing w:val="-1"/>
          <w:sz w:val="24"/>
        </w:rPr>
        <w:t>委将按评分标准进行价格评议和综合评分。</w:t>
      </w:r>
      <w:r>
        <w:rPr>
          <w:rFonts w:hint="eastAsia" w:ascii="宋体" w:hAnsi="宋体" w:eastAsia="宋体" w:cs="宋体"/>
          <w:b/>
          <w:w w:val="99"/>
          <w:sz w:val="24"/>
        </w:rPr>
        <w:t xml:space="preserve"> </w:t>
      </w:r>
    </w:p>
    <w:tbl>
      <w:tblPr>
        <w:tblStyle w:val="33"/>
        <w:tblW w:w="8820" w:type="dxa"/>
        <w:tblInd w:w="178" w:type="dxa"/>
        <w:tblLayout w:type="fixed"/>
        <w:tblCellMar>
          <w:top w:w="0" w:type="dxa"/>
          <w:left w:w="0" w:type="dxa"/>
          <w:bottom w:w="0" w:type="dxa"/>
          <w:right w:w="0" w:type="dxa"/>
        </w:tblCellMar>
      </w:tblPr>
      <w:tblGrid>
        <w:gridCol w:w="1837"/>
        <w:gridCol w:w="2356"/>
        <w:gridCol w:w="4627"/>
      </w:tblGrid>
      <w:tr>
        <w:tblPrEx>
          <w:tblCellMar>
            <w:top w:w="0" w:type="dxa"/>
            <w:left w:w="0" w:type="dxa"/>
            <w:bottom w:w="0" w:type="dxa"/>
            <w:right w:w="0" w:type="dxa"/>
          </w:tblCellMar>
        </w:tblPrEx>
        <w:trPr>
          <w:trHeight w:val="547" w:hRule="exact"/>
        </w:trPr>
        <w:tc>
          <w:tcPr>
            <w:tcW w:w="4193" w:type="dxa"/>
            <w:gridSpan w:val="2"/>
            <w:tcBorders>
              <w:top w:val="single" w:color="000000" w:sz="6" w:space="0"/>
              <w:left w:val="single" w:color="000000" w:sz="6" w:space="0"/>
              <w:bottom w:val="single" w:color="auto" w:sz="4" w:space="0"/>
              <w:right w:val="single" w:color="000000" w:sz="6" w:space="0"/>
              <w:tl2br w:val="nil"/>
              <w:tr2bl w:val="nil"/>
            </w:tcBorders>
            <w:vAlign w:val="center"/>
          </w:tcPr>
          <w:p>
            <w:pPr>
              <w:pStyle w:val="56"/>
              <w:kinsoku w:val="0"/>
              <w:overflowPunct w:val="0"/>
              <w:spacing w:before="79"/>
              <w:ind w:left="539"/>
              <w:jc w:val="center"/>
              <w:rPr>
                <w:rFonts w:hint="default"/>
                <w:sz w:val="22"/>
                <w:szCs w:val="22"/>
              </w:rPr>
            </w:pPr>
            <w:r>
              <w:rPr>
                <w:rFonts w:ascii="宋体"/>
                <w:b/>
                <w:sz w:val="22"/>
                <w:szCs w:val="22"/>
              </w:rPr>
              <w:t>评审因素</w:t>
            </w:r>
          </w:p>
        </w:tc>
        <w:tc>
          <w:tcPr>
            <w:tcW w:w="4627" w:type="dxa"/>
            <w:tcBorders>
              <w:top w:val="single" w:color="000000" w:sz="6" w:space="0"/>
              <w:left w:val="single" w:color="000000" w:sz="6" w:space="0"/>
              <w:bottom w:val="single" w:color="auto" w:sz="4" w:space="0"/>
              <w:right w:val="single" w:color="000000" w:sz="6" w:space="0"/>
              <w:tl2br w:val="nil"/>
              <w:tr2bl w:val="nil"/>
            </w:tcBorders>
            <w:vAlign w:val="center"/>
          </w:tcPr>
          <w:p>
            <w:pPr>
              <w:pStyle w:val="56"/>
              <w:kinsoku w:val="0"/>
              <w:overflowPunct w:val="0"/>
              <w:spacing w:before="79"/>
              <w:ind w:left="540"/>
              <w:jc w:val="center"/>
              <w:rPr>
                <w:rFonts w:hint="default"/>
                <w:sz w:val="22"/>
                <w:szCs w:val="22"/>
              </w:rPr>
            </w:pPr>
            <w:r>
              <w:rPr>
                <w:rFonts w:ascii="宋体"/>
                <w:b/>
                <w:spacing w:val="-1"/>
                <w:sz w:val="22"/>
                <w:szCs w:val="22"/>
              </w:rPr>
              <w:t>评审标准</w:t>
            </w:r>
          </w:p>
        </w:tc>
      </w:tr>
      <w:tr>
        <w:tblPrEx>
          <w:tblCellMar>
            <w:top w:w="0" w:type="dxa"/>
            <w:left w:w="0" w:type="dxa"/>
            <w:bottom w:w="0" w:type="dxa"/>
            <w:right w:w="0" w:type="dxa"/>
          </w:tblCellMar>
        </w:tblPrEx>
        <w:trPr>
          <w:trHeight w:val="553" w:hRule="exact"/>
        </w:trPr>
        <w:tc>
          <w:tcPr>
            <w:tcW w:w="1837" w:type="dxa"/>
            <w:vMerge w:val="restart"/>
            <w:tcBorders>
              <w:top w:val="single" w:color="auto" w:sz="4" w:space="0"/>
              <w:left w:val="single" w:color="auto" w:sz="4" w:space="0"/>
              <w:bottom w:val="nil"/>
              <w:right w:val="single" w:color="000000" w:sz="6" w:space="0"/>
              <w:tl2br w:val="nil"/>
              <w:tr2bl w:val="nil"/>
            </w:tcBorders>
          </w:tcPr>
          <w:p>
            <w:pPr>
              <w:pStyle w:val="56"/>
              <w:kinsoku w:val="0"/>
              <w:overflowPunct w:val="0"/>
              <w:rPr>
                <w:rFonts w:hint="default" w:ascii="宋体"/>
                <w:b/>
                <w:sz w:val="22"/>
                <w:szCs w:val="22"/>
              </w:rPr>
            </w:pPr>
          </w:p>
          <w:p>
            <w:pPr>
              <w:pStyle w:val="56"/>
              <w:kinsoku w:val="0"/>
              <w:overflowPunct w:val="0"/>
              <w:spacing w:before="5"/>
              <w:rPr>
                <w:rFonts w:hint="default" w:ascii="宋体"/>
                <w:b/>
                <w:sz w:val="22"/>
                <w:szCs w:val="22"/>
              </w:rPr>
            </w:pPr>
          </w:p>
          <w:p>
            <w:pPr>
              <w:pStyle w:val="56"/>
              <w:kinsoku w:val="0"/>
              <w:overflowPunct w:val="0"/>
              <w:spacing w:before="5"/>
              <w:rPr>
                <w:rFonts w:hint="default" w:ascii="宋体"/>
                <w:b/>
                <w:sz w:val="22"/>
                <w:szCs w:val="22"/>
              </w:rPr>
            </w:pPr>
          </w:p>
          <w:p>
            <w:pPr>
              <w:pStyle w:val="56"/>
              <w:kinsoku w:val="0"/>
              <w:overflowPunct w:val="0"/>
              <w:spacing w:before="5"/>
              <w:rPr>
                <w:rFonts w:hint="default" w:ascii="宋体"/>
                <w:b/>
                <w:sz w:val="22"/>
                <w:szCs w:val="22"/>
              </w:rPr>
            </w:pPr>
          </w:p>
          <w:p>
            <w:pPr>
              <w:pStyle w:val="56"/>
              <w:kinsoku w:val="0"/>
              <w:overflowPunct w:val="0"/>
              <w:spacing w:before="5"/>
              <w:rPr>
                <w:rFonts w:hint="default" w:ascii="宋体"/>
                <w:b/>
                <w:sz w:val="22"/>
                <w:szCs w:val="22"/>
              </w:rPr>
            </w:pPr>
          </w:p>
          <w:p>
            <w:pPr>
              <w:pStyle w:val="56"/>
              <w:kinsoku w:val="0"/>
              <w:overflowPunct w:val="0"/>
              <w:ind w:left="59"/>
              <w:jc w:val="center"/>
              <w:rPr>
                <w:rFonts w:hint="default"/>
                <w:sz w:val="22"/>
                <w:szCs w:val="22"/>
              </w:rPr>
            </w:pPr>
            <w:r>
              <w:rPr>
                <w:rFonts w:ascii="宋体"/>
                <w:spacing w:val="-1"/>
                <w:sz w:val="22"/>
                <w:szCs w:val="22"/>
              </w:rPr>
              <w:t>符合性审查</w:t>
            </w:r>
          </w:p>
        </w:tc>
        <w:tc>
          <w:tcPr>
            <w:tcW w:w="2356" w:type="dxa"/>
            <w:tcBorders>
              <w:top w:val="single" w:color="auto" w:sz="4" w:space="0"/>
              <w:left w:val="single" w:color="000000" w:sz="6" w:space="0"/>
              <w:bottom w:val="single" w:color="000000" w:sz="6" w:space="0"/>
              <w:right w:val="single" w:color="000000" w:sz="6" w:space="0"/>
              <w:tl2br w:val="nil"/>
              <w:tr2bl w:val="nil"/>
            </w:tcBorders>
            <w:vAlign w:val="center"/>
          </w:tcPr>
          <w:p>
            <w:pPr>
              <w:spacing w:line="360" w:lineRule="auto"/>
              <w:jc w:val="center"/>
              <w:rPr>
                <w:sz w:val="22"/>
                <w:szCs w:val="22"/>
              </w:rPr>
            </w:pPr>
            <w:r>
              <w:rPr>
                <w:rFonts w:hint="eastAsia" w:ascii="宋体" w:hAnsi="宋体"/>
                <w:szCs w:val="21"/>
              </w:rPr>
              <w:t>投标文件签字盖章</w:t>
            </w:r>
          </w:p>
        </w:tc>
        <w:tc>
          <w:tcPr>
            <w:tcW w:w="4627" w:type="dxa"/>
            <w:tcBorders>
              <w:top w:val="single" w:color="auto" w:sz="4" w:space="0"/>
              <w:left w:val="single" w:color="000000" w:sz="6" w:space="0"/>
              <w:bottom w:val="single" w:color="000000" w:sz="6" w:space="0"/>
              <w:right w:val="single" w:color="auto" w:sz="4" w:space="0"/>
              <w:tl2br w:val="nil"/>
              <w:tr2bl w:val="nil"/>
            </w:tcBorders>
            <w:vAlign w:val="center"/>
          </w:tcPr>
          <w:p>
            <w:pPr>
              <w:spacing w:line="360" w:lineRule="auto"/>
              <w:jc w:val="center"/>
              <w:rPr>
                <w:sz w:val="22"/>
                <w:szCs w:val="22"/>
              </w:rPr>
            </w:pPr>
            <w:r>
              <w:rPr>
                <w:rFonts w:hint="eastAsia" w:ascii="宋体" w:hAnsi="宋体"/>
                <w:szCs w:val="21"/>
              </w:rPr>
              <w:t>有法定代表人或其委托代理人签字、加盖单位章</w:t>
            </w:r>
          </w:p>
        </w:tc>
      </w:tr>
      <w:tr>
        <w:tblPrEx>
          <w:tblCellMar>
            <w:top w:w="0" w:type="dxa"/>
            <w:left w:w="0" w:type="dxa"/>
            <w:bottom w:w="0" w:type="dxa"/>
            <w:right w:w="0" w:type="dxa"/>
          </w:tblCellMar>
        </w:tblPrEx>
        <w:trPr>
          <w:trHeight w:val="567" w:hRule="exact"/>
        </w:trPr>
        <w:tc>
          <w:tcPr>
            <w:tcW w:w="1837" w:type="dxa"/>
            <w:vMerge w:val="continue"/>
            <w:tcBorders>
              <w:top w:val="nil"/>
              <w:left w:val="single" w:color="auto" w:sz="4" w:space="0"/>
              <w:bottom w:val="nil"/>
              <w:right w:val="single" w:color="000000" w:sz="6" w:space="0"/>
              <w:tl2br w:val="nil"/>
              <w:tr2bl w:val="nil"/>
            </w:tcBorders>
          </w:tcPr>
          <w:p>
            <w:pPr>
              <w:pStyle w:val="56"/>
              <w:kinsoku w:val="0"/>
              <w:overflowPunct w:val="0"/>
              <w:spacing w:before="109"/>
              <w:ind w:left="540"/>
              <w:rPr>
                <w:rFonts w:hint="default"/>
                <w:sz w:val="22"/>
                <w:szCs w:val="22"/>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autoSpaceDE w:val="0"/>
              <w:autoSpaceDN w:val="0"/>
              <w:adjustRightInd w:val="0"/>
              <w:spacing w:before="50"/>
              <w:ind w:right="97" w:firstLine="59" w:firstLineChars="28"/>
              <w:jc w:val="center"/>
              <w:rPr>
                <w:sz w:val="22"/>
                <w:szCs w:val="22"/>
              </w:rPr>
            </w:pPr>
            <w:r>
              <w:rPr>
                <w:rFonts w:hint="eastAsia" w:ascii="宋体" w:hAnsi="宋体" w:cs="宋体"/>
                <w:spacing w:val="1"/>
                <w:szCs w:val="21"/>
              </w:rPr>
              <w:t>投标人名称</w:t>
            </w:r>
          </w:p>
        </w:tc>
        <w:tc>
          <w:tcPr>
            <w:tcW w:w="4627" w:type="dxa"/>
            <w:tcBorders>
              <w:top w:val="single" w:color="000000" w:sz="6" w:space="0"/>
              <w:left w:val="single" w:color="000000" w:sz="6" w:space="0"/>
              <w:bottom w:val="single" w:color="000000" w:sz="6" w:space="0"/>
              <w:right w:val="single" w:color="auto" w:sz="4" w:space="0"/>
              <w:tl2br w:val="nil"/>
              <w:tr2bl w:val="nil"/>
            </w:tcBorders>
            <w:vAlign w:val="center"/>
          </w:tcPr>
          <w:p>
            <w:pPr>
              <w:autoSpaceDE w:val="0"/>
              <w:autoSpaceDN w:val="0"/>
              <w:adjustRightInd w:val="0"/>
              <w:spacing w:before="50"/>
              <w:ind w:right="97" w:firstLine="59" w:firstLineChars="28"/>
              <w:jc w:val="center"/>
              <w:rPr>
                <w:sz w:val="22"/>
                <w:szCs w:val="22"/>
              </w:rPr>
            </w:pPr>
            <w:r>
              <w:rPr>
                <w:rFonts w:hint="eastAsia" w:ascii="宋体" w:hAnsi="宋体" w:cs="宋体"/>
                <w:spacing w:val="1"/>
                <w:szCs w:val="21"/>
              </w:rPr>
              <w:t>与营业执照一致</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auto" w:sz="4" w:space="0"/>
              <w:bottom w:val="nil"/>
              <w:right w:val="single" w:color="000000" w:sz="6" w:space="0"/>
              <w:tl2br w:val="nil"/>
              <w:tr2bl w:val="nil"/>
            </w:tcBorders>
          </w:tcPr>
          <w:p>
            <w:pPr>
              <w:pStyle w:val="56"/>
              <w:kinsoku w:val="0"/>
              <w:overflowPunct w:val="0"/>
              <w:spacing w:before="169"/>
              <w:ind w:left="540"/>
              <w:rPr>
                <w:rFonts w:hint="default"/>
                <w:sz w:val="22"/>
                <w:szCs w:val="22"/>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2"/>
                <w:szCs w:val="22"/>
              </w:rPr>
            </w:pPr>
            <w:r>
              <w:rPr>
                <w:rFonts w:hint="eastAsia" w:ascii="宋体" w:hAnsi="宋体"/>
                <w:szCs w:val="21"/>
              </w:rPr>
              <w:t>投标文件格式</w:t>
            </w:r>
          </w:p>
        </w:tc>
        <w:tc>
          <w:tcPr>
            <w:tcW w:w="4627" w:type="dxa"/>
            <w:tcBorders>
              <w:top w:val="single" w:color="000000" w:sz="6" w:space="0"/>
              <w:left w:val="single" w:color="000000" w:sz="6" w:space="0"/>
              <w:bottom w:val="single" w:color="000000" w:sz="6" w:space="0"/>
              <w:right w:val="single" w:color="auto" w:sz="4" w:space="0"/>
              <w:tl2br w:val="nil"/>
              <w:tr2bl w:val="nil"/>
            </w:tcBorders>
            <w:vAlign w:val="center"/>
          </w:tcPr>
          <w:p>
            <w:pPr>
              <w:spacing w:line="360" w:lineRule="auto"/>
              <w:jc w:val="center"/>
              <w:rPr>
                <w:sz w:val="22"/>
                <w:szCs w:val="22"/>
              </w:rPr>
            </w:pPr>
            <w:r>
              <w:rPr>
                <w:rFonts w:hint="eastAsia" w:ascii="宋体" w:hAnsi="宋体"/>
                <w:szCs w:val="21"/>
              </w:rPr>
              <w:t>符合第四章“投标文件内容及格式”的要求</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auto" w:sz="4" w:space="0"/>
              <w:bottom w:val="nil"/>
              <w:right w:val="single" w:color="000000" w:sz="6" w:space="0"/>
              <w:tl2br w:val="nil"/>
              <w:tr2bl w:val="nil"/>
            </w:tcBorders>
          </w:tcPr>
          <w:p>
            <w:pPr>
              <w:pStyle w:val="56"/>
              <w:kinsoku w:val="0"/>
              <w:overflowPunct w:val="0"/>
              <w:spacing w:before="169"/>
              <w:ind w:left="540"/>
              <w:rPr>
                <w:rFonts w:hint="default"/>
                <w:sz w:val="22"/>
                <w:szCs w:val="22"/>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rFonts w:ascii="宋体"/>
                <w:spacing w:val="-1"/>
                <w:sz w:val="22"/>
                <w:szCs w:val="22"/>
              </w:rPr>
            </w:pPr>
            <w:r>
              <w:rPr>
                <w:rFonts w:hint="eastAsia" w:ascii="宋体" w:hAnsi="宋体"/>
                <w:szCs w:val="21"/>
              </w:rPr>
              <w:t>报价唯一</w:t>
            </w:r>
          </w:p>
        </w:tc>
        <w:tc>
          <w:tcPr>
            <w:tcW w:w="4627" w:type="dxa"/>
            <w:tcBorders>
              <w:top w:val="single" w:color="000000" w:sz="6" w:space="0"/>
              <w:left w:val="single" w:color="000000" w:sz="6" w:space="0"/>
              <w:bottom w:val="single" w:color="000000" w:sz="6" w:space="0"/>
              <w:right w:val="single" w:color="auto" w:sz="4" w:space="0"/>
              <w:tl2br w:val="nil"/>
              <w:tr2bl w:val="nil"/>
            </w:tcBorders>
            <w:vAlign w:val="center"/>
          </w:tcPr>
          <w:p>
            <w:pPr>
              <w:spacing w:line="360" w:lineRule="auto"/>
              <w:jc w:val="center"/>
              <w:rPr>
                <w:rFonts w:ascii="宋体"/>
                <w:spacing w:val="-1"/>
                <w:sz w:val="22"/>
                <w:szCs w:val="22"/>
              </w:rPr>
            </w:pPr>
            <w:r>
              <w:rPr>
                <w:rFonts w:hint="eastAsia" w:ascii="宋体" w:hAnsi="宋体"/>
                <w:szCs w:val="21"/>
              </w:rPr>
              <w:t>只能有一个有效报价</w:t>
            </w:r>
          </w:p>
        </w:tc>
      </w:tr>
      <w:tr>
        <w:tblPrEx>
          <w:tblCellMar>
            <w:top w:w="0" w:type="dxa"/>
            <w:left w:w="0" w:type="dxa"/>
            <w:bottom w:w="0" w:type="dxa"/>
            <w:right w:w="0" w:type="dxa"/>
          </w:tblCellMar>
        </w:tblPrEx>
        <w:trPr>
          <w:trHeight w:val="573" w:hRule="exact"/>
        </w:trPr>
        <w:tc>
          <w:tcPr>
            <w:tcW w:w="1837" w:type="dxa"/>
            <w:vMerge w:val="continue"/>
            <w:tcBorders>
              <w:top w:val="nil"/>
              <w:left w:val="single" w:color="auto" w:sz="4" w:space="0"/>
              <w:bottom w:val="nil"/>
              <w:right w:val="single" w:color="000000" w:sz="6" w:space="0"/>
              <w:tl2br w:val="nil"/>
              <w:tr2bl w:val="nil"/>
            </w:tcBorders>
          </w:tcPr>
          <w:p>
            <w:pPr>
              <w:pStyle w:val="56"/>
              <w:kinsoku w:val="0"/>
              <w:overflowPunct w:val="0"/>
              <w:spacing w:before="169"/>
              <w:ind w:left="540"/>
              <w:rPr>
                <w:rFonts w:hint="default"/>
                <w:sz w:val="22"/>
                <w:szCs w:val="22"/>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autoSpaceDE w:val="0"/>
              <w:autoSpaceDN w:val="0"/>
              <w:adjustRightInd w:val="0"/>
              <w:spacing w:before="50"/>
              <w:ind w:right="97" w:firstLine="59" w:firstLineChars="28"/>
              <w:jc w:val="center"/>
              <w:rPr>
                <w:rFonts w:ascii="宋体"/>
                <w:spacing w:val="-1"/>
                <w:sz w:val="22"/>
                <w:szCs w:val="22"/>
              </w:rPr>
            </w:pPr>
            <w:r>
              <w:rPr>
                <w:rFonts w:hint="eastAsia" w:ascii="宋体" w:hAnsi="宋体" w:cs="宋体"/>
                <w:spacing w:val="1"/>
                <w:szCs w:val="21"/>
              </w:rPr>
              <w:t>投标内容</w:t>
            </w:r>
          </w:p>
        </w:tc>
        <w:tc>
          <w:tcPr>
            <w:tcW w:w="4627" w:type="dxa"/>
            <w:tcBorders>
              <w:top w:val="single" w:color="000000" w:sz="6" w:space="0"/>
              <w:left w:val="single" w:color="000000" w:sz="6" w:space="0"/>
              <w:bottom w:val="single" w:color="000000" w:sz="6" w:space="0"/>
              <w:right w:val="single" w:color="auto" w:sz="4" w:space="0"/>
              <w:tl2br w:val="nil"/>
              <w:tr2bl w:val="nil"/>
            </w:tcBorders>
            <w:vAlign w:val="center"/>
          </w:tcPr>
          <w:p>
            <w:pPr>
              <w:jc w:val="center"/>
              <w:rPr>
                <w:rFonts w:ascii="宋体"/>
                <w:spacing w:val="-1"/>
                <w:sz w:val="22"/>
                <w:szCs w:val="22"/>
              </w:rPr>
            </w:pPr>
            <w:r>
              <w:rPr>
                <w:rFonts w:hint="eastAsia" w:ascii="宋体" w:hAnsi="宋体" w:cs="宋体"/>
                <w:spacing w:val="1"/>
                <w:szCs w:val="21"/>
              </w:rPr>
              <w:t>符合 “投标人须知前附表”的要求</w:t>
            </w:r>
          </w:p>
        </w:tc>
      </w:tr>
      <w:tr>
        <w:tblPrEx>
          <w:tblCellMar>
            <w:top w:w="0" w:type="dxa"/>
            <w:left w:w="0" w:type="dxa"/>
            <w:bottom w:w="0" w:type="dxa"/>
            <w:right w:w="0" w:type="dxa"/>
          </w:tblCellMar>
        </w:tblPrEx>
        <w:trPr>
          <w:trHeight w:val="573" w:hRule="exact"/>
        </w:trPr>
        <w:tc>
          <w:tcPr>
            <w:tcW w:w="1837" w:type="dxa"/>
            <w:vMerge w:val="continue"/>
            <w:tcBorders>
              <w:top w:val="nil"/>
              <w:left w:val="single" w:color="auto" w:sz="4" w:space="0"/>
              <w:bottom w:val="nil"/>
              <w:right w:val="single" w:color="000000" w:sz="6" w:space="0"/>
              <w:tl2br w:val="nil"/>
              <w:tr2bl w:val="nil"/>
            </w:tcBorders>
          </w:tcPr>
          <w:p>
            <w:pPr>
              <w:pStyle w:val="56"/>
              <w:kinsoku w:val="0"/>
              <w:overflowPunct w:val="0"/>
              <w:spacing w:before="169"/>
              <w:ind w:left="540"/>
              <w:rPr>
                <w:rFonts w:hint="default"/>
                <w:sz w:val="22"/>
                <w:szCs w:val="22"/>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autoSpaceDE w:val="0"/>
              <w:autoSpaceDN w:val="0"/>
              <w:adjustRightInd w:val="0"/>
              <w:spacing w:before="50"/>
              <w:ind w:right="97" w:firstLine="59" w:firstLineChars="28"/>
              <w:jc w:val="center"/>
              <w:rPr>
                <w:rFonts w:ascii="宋体" w:hAnsi="宋体" w:cs="宋体"/>
                <w:spacing w:val="1"/>
                <w:szCs w:val="21"/>
              </w:rPr>
            </w:pPr>
            <w:r>
              <w:rPr>
                <w:rFonts w:hint="eastAsia" w:ascii="宋体" w:hAnsi="宋体" w:cs="宋体"/>
                <w:spacing w:val="1"/>
                <w:szCs w:val="21"/>
              </w:rPr>
              <w:t>质保期</w:t>
            </w:r>
          </w:p>
        </w:tc>
        <w:tc>
          <w:tcPr>
            <w:tcW w:w="4627" w:type="dxa"/>
            <w:tcBorders>
              <w:top w:val="single" w:color="000000" w:sz="6" w:space="0"/>
              <w:left w:val="single" w:color="000000" w:sz="6" w:space="0"/>
              <w:bottom w:val="single" w:color="000000" w:sz="6" w:space="0"/>
              <w:right w:val="single" w:color="auto" w:sz="4" w:space="0"/>
              <w:tl2br w:val="nil"/>
              <w:tr2bl w:val="nil"/>
            </w:tcBorders>
            <w:vAlign w:val="center"/>
          </w:tcPr>
          <w:p>
            <w:pPr>
              <w:jc w:val="center"/>
              <w:rPr>
                <w:rFonts w:ascii="宋体" w:hAnsi="宋体" w:cs="宋体"/>
                <w:spacing w:val="1"/>
                <w:szCs w:val="21"/>
              </w:rPr>
            </w:pPr>
            <w:r>
              <w:rPr>
                <w:rFonts w:hint="eastAsia" w:ascii="宋体" w:hAnsi="宋体" w:cs="宋体"/>
                <w:spacing w:val="1"/>
                <w:szCs w:val="21"/>
              </w:rPr>
              <w:t>符合 “投标人须知前附表”的要求</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auto" w:sz="4" w:space="0"/>
              <w:bottom w:val="nil"/>
              <w:right w:val="single" w:color="000000" w:sz="6" w:space="0"/>
              <w:tl2br w:val="nil"/>
              <w:tr2bl w:val="nil"/>
            </w:tcBorders>
          </w:tcPr>
          <w:p>
            <w:pPr>
              <w:pStyle w:val="56"/>
              <w:kinsoku w:val="0"/>
              <w:overflowPunct w:val="0"/>
              <w:spacing w:before="169"/>
              <w:ind w:left="540"/>
              <w:rPr>
                <w:rFonts w:hint="default"/>
                <w:sz w:val="22"/>
                <w:szCs w:val="22"/>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autoSpaceDE w:val="0"/>
              <w:autoSpaceDN w:val="0"/>
              <w:adjustRightInd w:val="0"/>
              <w:spacing w:before="50"/>
              <w:ind w:right="97" w:firstLine="59" w:firstLineChars="28"/>
              <w:jc w:val="center"/>
              <w:rPr>
                <w:rFonts w:ascii="宋体"/>
                <w:spacing w:val="-1"/>
                <w:sz w:val="22"/>
                <w:szCs w:val="22"/>
              </w:rPr>
            </w:pPr>
            <w:r>
              <w:rPr>
                <w:rFonts w:hint="eastAsia" w:ascii="宋体" w:hAnsi="宋体" w:cs="宋体"/>
                <w:spacing w:val="1"/>
                <w:szCs w:val="21"/>
              </w:rPr>
              <w:t>供货期</w:t>
            </w:r>
          </w:p>
        </w:tc>
        <w:tc>
          <w:tcPr>
            <w:tcW w:w="4627" w:type="dxa"/>
            <w:tcBorders>
              <w:top w:val="single" w:color="000000" w:sz="6" w:space="0"/>
              <w:left w:val="single" w:color="000000" w:sz="6" w:space="0"/>
              <w:bottom w:val="single" w:color="000000" w:sz="6" w:space="0"/>
              <w:right w:val="single" w:color="auto" w:sz="4" w:space="0"/>
              <w:tl2br w:val="nil"/>
              <w:tr2bl w:val="nil"/>
            </w:tcBorders>
            <w:vAlign w:val="center"/>
          </w:tcPr>
          <w:p>
            <w:pPr>
              <w:jc w:val="center"/>
              <w:rPr>
                <w:rFonts w:ascii="宋体"/>
                <w:spacing w:val="-1"/>
                <w:sz w:val="22"/>
                <w:szCs w:val="22"/>
              </w:rPr>
            </w:pPr>
            <w:r>
              <w:rPr>
                <w:rFonts w:hint="eastAsia" w:ascii="宋体" w:hAnsi="宋体" w:cs="宋体"/>
                <w:spacing w:val="1"/>
                <w:szCs w:val="21"/>
              </w:rPr>
              <w:t>符合 “投标人须知前附表”的要求</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auto" w:sz="4" w:space="0"/>
              <w:bottom w:val="single" w:color="auto" w:sz="4" w:space="0"/>
              <w:right w:val="single" w:color="000000" w:sz="6" w:space="0"/>
              <w:tl2br w:val="nil"/>
              <w:tr2bl w:val="nil"/>
            </w:tcBorders>
          </w:tcPr>
          <w:p>
            <w:pPr>
              <w:pStyle w:val="56"/>
              <w:kinsoku w:val="0"/>
              <w:overflowPunct w:val="0"/>
              <w:spacing w:before="169"/>
              <w:ind w:left="540"/>
              <w:rPr>
                <w:rFonts w:hint="default"/>
                <w:sz w:val="22"/>
                <w:szCs w:val="22"/>
              </w:rPr>
            </w:pPr>
          </w:p>
        </w:tc>
        <w:tc>
          <w:tcPr>
            <w:tcW w:w="2356" w:type="dxa"/>
            <w:tcBorders>
              <w:top w:val="single" w:color="000000" w:sz="6" w:space="0"/>
              <w:left w:val="single" w:color="000000" w:sz="6" w:space="0"/>
              <w:bottom w:val="single" w:color="auto" w:sz="4" w:space="0"/>
              <w:right w:val="single" w:color="000000" w:sz="6" w:space="0"/>
              <w:tl2br w:val="nil"/>
              <w:tr2bl w:val="nil"/>
            </w:tcBorders>
            <w:vAlign w:val="center"/>
          </w:tcPr>
          <w:p>
            <w:pPr>
              <w:autoSpaceDE w:val="0"/>
              <w:autoSpaceDN w:val="0"/>
              <w:adjustRightInd w:val="0"/>
              <w:spacing w:before="50"/>
              <w:ind w:right="97" w:firstLine="59" w:firstLineChars="28"/>
              <w:jc w:val="center"/>
              <w:rPr>
                <w:rFonts w:ascii="宋体"/>
                <w:spacing w:val="-1"/>
                <w:sz w:val="22"/>
                <w:szCs w:val="22"/>
              </w:rPr>
            </w:pPr>
            <w:r>
              <w:rPr>
                <w:rFonts w:hint="eastAsia" w:ascii="宋体" w:hAnsi="宋体" w:cs="宋体"/>
                <w:spacing w:val="1"/>
                <w:szCs w:val="21"/>
              </w:rPr>
              <w:t>投标有效期</w:t>
            </w:r>
          </w:p>
        </w:tc>
        <w:tc>
          <w:tcPr>
            <w:tcW w:w="4627" w:type="dxa"/>
            <w:tcBorders>
              <w:top w:val="single" w:color="000000" w:sz="6" w:space="0"/>
              <w:left w:val="single" w:color="000000" w:sz="6" w:space="0"/>
              <w:bottom w:val="single" w:color="auto" w:sz="4" w:space="0"/>
              <w:right w:val="single" w:color="auto" w:sz="4" w:space="0"/>
              <w:tl2br w:val="nil"/>
              <w:tr2bl w:val="nil"/>
            </w:tcBorders>
            <w:vAlign w:val="center"/>
          </w:tcPr>
          <w:p>
            <w:pPr>
              <w:jc w:val="center"/>
              <w:rPr>
                <w:rFonts w:ascii="宋体"/>
                <w:spacing w:val="-1"/>
                <w:sz w:val="22"/>
                <w:szCs w:val="22"/>
              </w:rPr>
            </w:pPr>
            <w:r>
              <w:rPr>
                <w:rFonts w:hint="eastAsia" w:ascii="宋体" w:hAnsi="宋体" w:cs="宋体"/>
                <w:spacing w:val="1"/>
                <w:szCs w:val="21"/>
              </w:rPr>
              <w:t>符合 “投标人须知前附表”的要求</w:t>
            </w:r>
          </w:p>
        </w:tc>
      </w:tr>
    </w:tbl>
    <w:p>
      <w:pPr>
        <w:pStyle w:val="14"/>
        <w:kinsoku w:val="0"/>
        <w:overflowPunct w:val="0"/>
        <w:spacing w:before="3"/>
        <w:rPr>
          <w:b/>
          <w:sz w:val="5"/>
        </w:rPr>
      </w:pPr>
    </w:p>
    <w:p>
      <w:pPr>
        <w:pStyle w:val="15"/>
      </w:pPr>
    </w:p>
    <w:p>
      <w:pPr>
        <w:pStyle w:val="14"/>
        <w:numPr>
          <w:ilvl w:val="0"/>
          <w:numId w:val="5"/>
        </w:numPr>
        <w:kinsoku w:val="0"/>
        <w:overflowPunct w:val="0"/>
        <w:ind w:left="120" w:right="146" w:firstLine="299" w:firstLineChars="123"/>
        <w:rPr>
          <w:rFonts w:ascii="宋体" w:hAnsi="宋体" w:eastAsia="宋体" w:cs="宋体"/>
          <w:b/>
          <w:spacing w:val="27"/>
          <w:w w:val="99"/>
          <w:sz w:val="24"/>
        </w:rPr>
      </w:pPr>
      <w:r>
        <w:rPr>
          <w:rFonts w:hint="eastAsia" w:ascii="宋体" w:hAnsi="宋体" w:eastAsia="宋体" w:cs="宋体"/>
          <w:b/>
          <w:spacing w:val="1"/>
          <w:sz w:val="24"/>
        </w:rPr>
        <w:t>综合评分标准</w:t>
      </w:r>
      <w:r>
        <w:rPr>
          <w:rFonts w:hint="eastAsia" w:ascii="宋体" w:hAnsi="宋体" w:eastAsia="宋体" w:cs="宋体"/>
          <w:b/>
          <w:spacing w:val="27"/>
          <w:w w:val="99"/>
          <w:sz w:val="24"/>
        </w:rPr>
        <w:t xml:space="preserve"> </w:t>
      </w:r>
    </w:p>
    <w:p>
      <w:pPr>
        <w:pStyle w:val="14"/>
        <w:kinsoku w:val="0"/>
        <w:overflowPunct w:val="0"/>
        <w:spacing w:before="120" w:beforeLines="50"/>
        <w:ind w:right="147" w:firstLine="484" w:firstLineChars="200"/>
        <w:rPr>
          <w:rFonts w:ascii="宋体" w:hAnsi="宋体" w:eastAsia="宋体" w:cs="宋体"/>
          <w:spacing w:val="1"/>
          <w:sz w:val="24"/>
        </w:rPr>
      </w:pPr>
      <w:r>
        <w:rPr>
          <w:rFonts w:hint="eastAsia" w:ascii="宋体" w:hAnsi="宋体" w:eastAsia="宋体" w:cs="宋体"/>
          <w:spacing w:val="1"/>
          <w:sz w:val="24"/>
        </w:rPr>
        <w:t>评委将根据评分标准，分别对通过资格性审查、符合性审查的投标人，进行综合评分。</w:t>
      </w:r>
    </w:p>
    <w:p>
      <w:pPr>
        <w:pStyle w:val="14"/>
        <w:kinsoku w:val="0"/>
        <w:overflowPunct w:val="0"/>
        <w:ind w:left="124" w:leftChars="59" w:firstLine="233" w:firstLineChars="98"/>
        <w:rPr>
          <w:rFonts w:ascii="宋体" w:hAnsi="宋体" w:eastAsia="宋体" w:cs="宋体"/>
          <w:color w:val="444444"/>
          <w:sz w:val="24"/>
        </w:rPr>
      </w:pPr>
      <w:r>
        <w:rPr>
          <w:rFonts w:hint="eastAsia" w:ascii="宋体" w:hAnsi="宋体" w:eastAsia="宋体" w:cs="宋体"/>
          <w:spacing w:val="-1"/>
          <w:sz w:val="24"/>
        </w:rPr>
        <w:t>具体评分标准如下：</w:t>
      </w:r>
      <w:r>
        <w:rPr>
          <w:rFonts w:hint="eastAsia" w:ascii="宋体" w:hAnsi="宋体" w:eastAsia="宋体" w:cs="宋体"/>
          <w:sz w:val="24"/>
        </w:rPr>
        <w:t xml:space="preserve"> </w:t>
      </w:r>
    </w:p>
    <w:p>
      <w:pPr>
        <w:pStyle w:val="9"/>
        <w:kinsoku w:val="0"/>
        <w:overflowPunct w:val="0"/>
        <w:spacing w:line="431" w:lineRule="exact"/>
        <w:ind w:left="10" w:hanging="10"/>
        <w:jc w:val="center"/>
        <w:rPr>
          <w:rFonts w:hint="default"/>
          <w:b w:val="0"/>
          <w:sz w:val="30"/>
        </w:rPr>
      </w:pPr>
      <w:r>
        <w:rPr>
          <w:rFonts w:hint="default" w:ascii="Times New Roman"/>
          <w:sz w:val="30"/>
        </w:rPr>
        <w:t>1</w:t>
      </w:r>
      <w:r>
        <w:rPr>
          <w:spacing w:val="1"/>
          <w:sz w:val="30"/>
        </w:rPr>
        <w:t>、评分因素及分</w:t>
      </w:r>
      <w:r>
        <w:rPr>
          <w:sz w:val="30"/>
        </w:rPr>
        <w:t>值</w:t>
      </w:r>
    </w:p>
    <w:tbl>
      <w:tblPr>
        <w:tblStyle w:val="33"/>
        <w:tblW w:w="8820" w:type="dxa"/>
        <w:tblInd w:w="225" w:type="dxa"/>
        <w:tblLayout w:type="fixed"/>
        <w:tblCellMar>
          <w:top w:w="0" w:type="dxa"/>
          <w:left w:w="108" w:type="dxa"/>
          <w:bottom w:w="0" w:type="dxa"/>
          <w:right w:w="108" w:type="dxa"/>
        </w:tblCellMar>
      </w:tblPr>
      <w:tblGrid>
        <w:gridCol w:w="1001"/>
        <w:gridCol w:w="3686"/>
        <w:gridCol w:w="2570"/>
        <w:gridCol w:w="1563"/>
      </w:tblGrid>
      <w:tr>
        <w:tblPrEx>
          <w:tblCellMar>
            <w:top w:w="0" w:type="dxa"/>
            <w:left w:w="108" w:type="dxa"/>
            <w:bottom w:w="0" w:type="dxa"/>
            <w:right w:w="108" w:type="dxa"/>
          </w:tblCellMar>
        </w:tblPrEx>
        <w:trPr>
          <w:trHeight w:val="881" w:hRule="exact"/>
        </w:trPr>
        <w:tc>
          <w:tcPr>
            <w:tcW w:w="1001"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jc w:val="center"/>
              <w:rPr>
                <w:rFonts w:hint="default" w:ascii="宋体"/>
                <w:b/>
                <w:bCs/>
                <w:sz w:val="21"/>
                <w:szCs w:val="22"/>
              </w:rPr>
            </w:pPr>
            <w:r>
              <w:rPr>
                <w:rFonts w:ascii="宋体"/>
                <w:b/>
                <w:bCs/>
                <w:sz w:val="21"/>
                <w:szCs w:val="22"/>
              </w:rPr>
              <w:t>序号</w:t>
            </w:r>
          </w:p>
        </w:tc>
        <w:tc>
          <w:tcPr>
            <w:tcW w:w="36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ind w:right="-56"/>
              <w:jc w:val="center"/>
              <w:rPr>
                <w:rFonts w:hint="default" w:ascii="宋体"/>
                <w:b/>
                <w:bCs/>
                <w:sz w:val="21"/>
                <w:szCs w:val="22"/>
              </w:rPr>
            </w:pPr>
            <w:r>
              <w:rPr>
                <w:rFonts w:ascii="宋体"/>
                <w:b/>
                <w:bCs/>
                <w:sz w:val="21"/>
                <w:szCs w:val="22"/>
              </w:rPr>
              <w:t>评分标准</w:t>
            </w:r>
          </w:p>
        </w:tc>
        <w:tc>
          <w:tcPr>
            <w:tcW w:w="257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ind w:left="980" w:right="867"/>
              <w:jc w:val="center"/>
              <w:rPr>
                <w:rFonts w:hint="default" w:ascii="宋体"/>
                <w:b/>
                <w:bCs/>
                <w:sz w:val="21"/>
                <w:szCs w:val="22"/>
              </w:rPr>
            </w:pPr>
            <w:r>
              <w:rPr>
                <w:rFonts w:ascii="宋体"/>
                <w:b/>
                <w:bCs/>
                <w:sz w:val="21"/>
                <w:szCs w:val="22"/>
              </w:rPr>
              <w:t>分值</w:t>
            </w:r>
          </w:p>
        </w:tc>
        <w:tc>
          <w:tcPr>
            <w:tcW w:w="156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ind w:left="298"/>
              <w:jc w:val="center"/>
              <w:rPr>
                <w:rFonts w:hint="default" w:ascii="宋体"/>
                <w:b/>
                <w:bCs/>
                <w:sz w:val="21"/>
                <w:szCs w:val="22"/>
              </w:rPr>
            </w:pPr>
            <w:r>
              <w:rPr>
                <w:rFonts w:ascii="宋体"/>
                <w:b/>
                <w:bCs/>
                <w:sz w:val="21"/>
                <w:szCs w:val="22"/>
              </w:rPr>
              <w:t>备注</w:t>
            </w:r>
          </w:p>
        </w:tc>
      </w:tr>
      <w:tr>
        <w:tblPrEx>
          <w:tblCellMar>
            <w:top w:w="0" w:type="dxa"/>
            <w:left w:w="108" w:type="dxa"/>
            <w:bottom w:w="0" w:type="dxa"/>
            <w:right w:w="108" w:type="dxa"/>
          </w:tblCellMar>
        </w:tblPrEx>
        <w:trPr>
          <w:trHeight w:val="626" w:hRule="exact"/>
        </w:trPr>
        <w:tc>
          <w:tcPr>
            <w:tcW w:w="1001"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zCs w:val="22"/>
              </w:rPr>
            </w:pPr>
            <w:r>
              <w:rPr>
                <w:rFonts w:hint="eastAsia" w:ascii="宋体"/>
                <w:szCs w:val="22"/>
              </w:rPr>
              <w:t>（1）</w:t>
            </w:r>
          </w:p>
        </w:tc>
        <w:tc>
          <w:tcPr>
            <w:tcW w:w="3686"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zCs w:val="22"/>
              </w:rPr>
            </w:pPr>
            <w:r>
              <w:rPr>
                <w:rFonts w:hint="eastAsia" w:ascii="宋体"/>
                <w:szCs w:val="22"/>
              </w:rPr>
              <w:t>评标报价</w:t>
            </w:r>
          </w:p>
        </w:tc>
        <w:tc>
          <w:tcPr>
            <w:tcW w:w="2570"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zCs w:val="22"/>
              </w:rPr>
            </w:pPr>
            <w:r>
              <w:rPr>
                <w:rFonts w:hint="eastAsia" w:ascii="宋体"/>
                <w:szCs w:val="22"/>
              </w:rPr>
              <w:t>30</w:t>
            </w:r>
          </w:p>
        </w:tc>
        <w:tc>
          <w:tcPr>
            <w:tcW w:w="156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zCs w:val="22"/>
              </w:rPr>
            </w:pPr>
          </w:p>
        </w:tc>
      </w:tr>
      <w:tr>
        <w:tblPrEx>
          <w:tblCellMar>
            <w:top w:w="0" w:type="dxa"/>
            <w:left w:w="108" w:type="dxa"/>
            <w:bottom w:w="0" w:type="dxa"/>
            <w:right w:w="108" w:type="dxa"/>
          </w:tblCellMar>
        </w:tblPrEx>
        <w:trPr>
          <w:trHeight w:val="626" w:hRule="exact"/>
        </w:trPr>
        <w:tc>
          <w:tcPr>
            <w:tcW w:w="1001"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jc w:val="center"/>
              <w:rPr>
                <w:rFonts w:hint="default" w:ascii="宋体"/>
                <w:sz w:val="21"/>
                <w:szCs w:val="22"/>
              </w:rPr>
            </w:pPr>
            <w:r>
              <w:rPr>
                <w:rFonts w:ascii="宋体"/>
                <w:sz w:val="21"/>
                <w:szCs w:val="22"/>
              </w:rPr>
              <w:t>（2）</w:t>
            </w:r>
          </w:p>
        </w:tc>
        <w:tc>
          <w:tcPr>
            <w:tcW w:w="36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ind w:right="-132"/>
              <w:jc w:val="center"/>
              <w:rPr>
                <w:rFonts w:hint="default" w:ascii="宋体"/>
                <w:sz w:val="21"/>
                <w:szCs w:val="22"/>
              </w:rPr>
            </w:pPr>
            <w:r>
              <w:rPr>
                <w:rFonts w:ascii="宋体"/>
                <w:sz w:val="21"/>
                <w:szCs w:val="22"/>
              </w:rPr>
              <w:t>商务部分</w:t>
            </w:r>
          </w:p>
        </w:tc>
        <w:tc>
          <w:tcPr>
            <w:tcW w:w="257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ind w:right="34"/>
              <w:jc w:val="center"/>
              <w:rPr>
                <w:rFonts w:hint="default" w:ascii="宋体"/>
                <w:sz w:val="21"/>
                <w:szCs w:val="22"/>
              </w:rPr>
            </w:pPr>
            <w:r>
              <w:rPr>
                <w:rFonts w:ascii="宋体"/>
                <w:sz w:val="21"/>
                <w:szCs w:val="22"/>
              </w:rPr>
              <w:t>30</w:t>
            </w:r>
          </w:p>
        </w:tc>
        <w:tc>
          <w:tcPr>
            <w:tcW w:w="156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zCs w:val="22"/>
              </w:rPr>
            </w:pPr>
          </w:p>
        </w:tc>
      </w:tr>
      <w:tr>
        <w:tblPrEx>
          <w:tblCellMar>
            <w:top w:w="0" w:type="dxa"/>
            <w:left w:w="108" w:type="dxa"/>
            <w:bottom w:w="0" w:type="dxa"/>
            <w:right w:w="108" w:type="dxa"/>
          </w:tblCellMar>
        </w:tblPrEx>
        <w:trPr>
          <w:trHeight w:val="626" w:hRule="exact"/>
        </w:trPr>
        <w:tc>
          <w:tcPr>
            <w:tcW w:w="1001"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jc w:val="center"/>
              <w:rPr>
                <w:rFonts w:hint="default" w:ascii="宋体"/>
                <w:sz w:val="21"/>
                <w:szCs w:val="22"/>
              </w:rPr>
            </w:pPr>
            <w:r>
              <w:rPr>
                <w:rFonts w:ascii="宋体"/>
                <w:sz w:val="21"/>
                <w:szCs w:val="22"/>
              </w:rPr>
              <w:t>（3）</w:t>
            </w:r>
          </w:p>
        </w:tc>
        <w:tc>
          <w:tcPr>
            <w:tcW w:w="36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jc w:val="center"/>
              <w:rPr>
                <w:rFonts w:hint="default" w:ascii="宋体"/>
                <w:sz w:val="21"/>
                <w:szCs w:val="22"/>
              </w:rPr>
            </w:pPr>
            <w:r>
              <w:rPr>
                <w:rFonts w:ascii="宋体"/>
                <w:sz w:val="21"/>
                <w:szCs w:val="22"/>
              </w:rPr>
              <w:t>技术部分</w:t>
            </w:r>
          </w:p>
        </w:tc>
        <w:tc>
          <w:tcPr>
            <w:tcW w:w="257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ind w:right="34"/>
              <w:jc w:val="center"/>
              <w:rPr>
                <w:rFonts w:hint="default" w:ascii="宋体"/>
                <w:sz w:val="21"/>
                <w:szCs w:val="22"/>
              </w:rPr>
            </w:pPr>
            <w:r>
              <w:rPr>
                <w:rFonts w:ascii="宋体"/>
                <w:sz w:val="21"/>
                <w:szCs w:val="22"/>
              </w:rPr>
              <w:t>40</w:t>
            </w:r>
          </w:p>
        </w:tc>
        <w:tc>
          <w:tcPr>
            <w:tcW w:w="156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zCs w:val="22"/>
              </w:rPr>
            </w:pPr>
          </w:p>
        </w:tc>
      </w:tr>
      <w:tr>
        <w:tblPrEx>
          <w:tblCellMar>
            <w:top w:w="0" w:type="dxa"/>
            <w:left w:w="108" w:type="dxa"/>
            <w:bottom w:w="0" w:type="dxa"/>
            <w:right w:w="108" w:type="dxa"/>
          </w:tblCellMar>
        </w:tblPrEx>
        <w:trPr>
          <w:trHeight w:val="702" w:hRule="exact"/>
        </w:trPr>
        <w:tc>
          <w:tcPr>
            <w:tcW w:w="4687"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spacing w:before="29"/>
              <w:jc w:val="center"/>
              <w:rPr>
                <w:rFonts w:hint="default" w:ascii="宋体"/>
                <w:sz w:val="21"/>
                <w:szCs w:val="22"/>
              </w:rPr>
            </w:pPr>
            <w:r>
              <w:rPr>
                <w:rFonts w:ascii="宋体"/>
                <w:sz w:val="21"/>
                <w:szCs w:val="22"/>
              </w:rPr>
              <w:t>合计</w:t>
            </w:r>
          </w:p>
        </w:tc>
        <w:tc>
          <w:tcPr>
            <w:tcW w:w="413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56"/>
              <w:kinsoku w:val="0"/>
              <w:overflowPunct w:val="0"/>
              <w:jc w:val="center"/>
              <w:rPr>
                <w:rFonts w:hint="default" w:ascii="宋体"/>
                <w:sz w:val="21"/>
                <w:szCs w:val="22"/>
              </w:rPr>
            </w:pPr>
            <w:r>
              <w:rPr>
                <w:rFonts w:ascii="宋体"/>
                <w:sz w:val="21"/>
                <w:szCs w:val="22"/>
              </w:rPr>
              <w:t>100</w:t>
            </w:r>
          </w:p>
        </w:tc>
      </w:tr>
    </w:tbl>
    <w:p>
      <w:pPr>
        <w:pStyle w:val="15"/>
      </w:pPr>
    </w:p>
    <w:p>
      <w:pPr>
        <w:kinsoku w:val="0"/>
        <w:overflowPunct w:val="0"/>
        <w:spacing w:before="240" w:beforeLines="100" w:after="240" w:afterLines="100" w:line="360" w:lineRule="auto"/>
        <w:jc w:val="center"/>
        <w:rPr>
          <w:rFonts w:ascii="Microsoft JhengHei"/>
          <w:b/>
          <w:spacing w:val="1"/>
          <w:sz w:val="32"/>
        </w:rPr>
      </w:pPr>
    </w:p>
    <w:p>
      <w:pPr>
        <w:numPr>
          <w:ilvl w:val="0"/>
          <w:numId w:val="6"/>
        </w:numPr>
        <w:kinsoku w:val="0"/>
        <w:overflowPunct w:val="0"/>
        <w:spacing w:line="360" w:lineRule="auto"/>
        <w:jc w:val="center"/>
        <w:rPr>
          <w:rFonts w:ascii="Microsoft JhengHei" w:eastAsia="Microsoft JhengHei"/>
          <w:b/>
          <w:sz w:val="32"/>
        </w:rPr>
      </w:pPr>
      <w:r>
        <w:rPr>
          <w:rFonts w:hint="eastAsia" w:ascii="Microsoft JhengHei" w:eastAsia="Microsoft JhengHei"/>
          <w:b/>
          <w:spacing w:val="1"/>
          <w:sz w:val="32"/>
        </w:rPr>
        <w:t>评分标</w:t>
      </w:r>
      <w:r>
        <w:rPr>
          <w:rFonts w:hint="eastAsia" w:ascii="Microsoft JhengHei" w:eastAsia="Microsoft JhengHei"/>
          <w:b/>
          <w:sz w:val="32"/>
        </w:rPr>
        <w:t>准</w:t>
      </w:r>
    </w:p>
    <w:p>
      <w:pPr>
        <w:pStyle w:val="2"/>
        <w:jc w:val="center"/>
        <w:rPr>
          <w:b/>
          <w:bCs/>
          <w:sz w:val="28"/>
          <w:szCs w:val="28"/>
        </w:rPr>
      </w:pPr>
      <w:r>
        <w:rPr>
          <w:rFonts w:hint="eastAsia"/>
          <w:b/>
          <w:bCs/>
          <w:sz w:val="28"/>
          <w:szCs w:val="28"/>
        </w:rPr>
        <w:t>一标段评分标准</w:t>
      </w:r>
    </w:p>
    <w:tbl>
      <w:tblPr>
        <w:tblStyle w:val="33"/>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
        <w:gridCol w:w="1107"/>
        <w:gridCol w:w="7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76" w:type="dxa"/>
            <w:tcBorders>
              <w:top w:val="single" w:color="auto" w:sz="12" w:space="0"/>
              <w:left w:val="single" w:color="auto" w:sz="12" w:space="0"/>
              <w:bottom w:val="single" w:color="auto" w:sz="6" w:space="0"/>
              <w:right w:val="single" w:color="auto" w:sz="6" w:space="0"/>
            </w:tcBorders>
            <w:vAlign w:val="center"/>
          </w:tcPr>
          <w:p>
            <w:pPr>
              <w:spacing w:line="360" w:lineRule="auto"/>
              <w:rPr>
                <w:rFonts w:ascii="宋体" w:hAnsi="宋体" w:cs="宋体"/>
                <w:szCs w:val="21"/>
              </w:rPr>
            </w:pPr>
            <w:r>
              <w:rPr>
                <w:rFonts w:hint="eastAsia" w:ascii="宋体" w:hAnsi="宋体" w:cs="宋体"/>
                <w:szCs w:val="21"/>
              </w:rPr>
              <w:t>评分</w:t>
            </w:r>
          </w:p>
          <w:p>
            <w:pPr>
              <w:spacing w:line="360" w:lineRule="auto"/>
              <w:rPr>
                <w:rFonts w:ascii="宋体" w:hAnsi="宋体" w:cs="宋体"/>
                <w:szCs w:val="21"/>
              </w:rPr>
            </w:pPr>
            <w:r>
              <w:rPr>
                <w:rFonts w:hint="eastAsia" w:ascii="宋体" w:hAnsi="宋体" w:cs="宋体"/>
                <w:szCs w:val="21"/>
              </w:rPr>
              <w:t>因素</w:t>
            </w:r>
          </w:p>
        </w:tc>
        <w:tc>
          <w:tcPr>
            <w:tcW w:w="1107" w:type="dxa"/>
            <w:tcBorders>
              <w:top w:val="single" w:color="auto" w:sz="12" w:space="0"/>
              <w:left w:val="single" w:color="auto" w:sz="6" w:space="0"/>
              <w:bottom w:val="single" w:color="auto" w:sz="6" w:space="0"/>
              <w:right w:val="single" w:color="auto" w:sz="6" w:space="0"/>
            </w:tcBorders>
            <w:vAlign w:val="center"/>
          </w:tcPr>
          <w:p>
            <w:pPr>
              <w:spacing w:line="360" w:lineRule="auto"/>
              <w:rPr>
                <w:rFonts w:ascii="宋体" w:hAnsi="宋体" w:cs="宋体"/>
                <w:szCs w:val="21"/>
              </w:rPr>
            </w:pPr>
            <w:r>
              <w:rPr>
                <w:rFonts w:hint="eastAsia" w:ascii="宋体" w:hAnsi="宋体" w:cs="宋体"/>
                <w:szCs w:val="21"/>
              </w:rPr>
              <w:t>考核项目</w:t>
            </w:r>
          </w:p>
        </w:tc>
        <w:tc>
          <w:tcPr>
            <w:tcW w:w="7418" w:type="dxa"/>
            <w:tcBorders>
              <w:top w:val="single" w:color="auto" w:sz="12" w:space="0"/>
              <w:left w:val="single" w:color="auto" w:sz="6" w:space="0"/>
              <w:bottom w:val="single" w:color="auto" w:sz="6" w:space="0"/>
              <w:right w:val="single" w:color="auto" w:sz="12" w:space="0"/>
            </w:tcBorders>
            <w:vAlign w:val="center"/>
          </w:tcPr>
          <w:p>
            <w:pPr>
              <w:spacing w:line="360" w:lineRule="auto"/>
              <w:ind w:firstLine="560"/>
              <w:jc w:val="center"/>
              <w:rPr>
                <w:rFonts w:ascii="宋体" w:hAnsi="宋体" w:cs="宋体"/>
                <w:szCs w:val="21"/>
              </w:rPr>
            </w:pPr>
            <w:r>
              <w:rPr>
                <w:rFonts w:hint="eastAsia" w:ascii="宋体" w:hAnsi="宋体" w:cs="宋体"/>
                <w:szCs w:val="21"/>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7" w:hRule="atLeast"/>
          <w:jc w:val="center"/>
        </w:trPr>
        <w:tc>
          <w:tcPr>
            <w:tcW w:w="876"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1、价格部分（30分）</w:t>
            </w:r>
          </w:p>
        </w:tc>
        <w:tc>
          <w:tcPr>
            <w:tcW w:w="11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投标报价</w:t>
            </w:r>
          </w:p>
        </w:tc>
        <w:tc>
          <w:tcPr>
            <w:tcW w:w="741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满分30分，具体计算如下：</w:t>
            </w:r>
          </w:p>
          <w:p>
            <w:pPr>
              <w:spacing w:line="360" w:lineRule="auto"/>
              <w:rPr>
                <w:rFonts w:hAnsi="宋体"/>
                <w:szCs w:val="21"/>
              </w:rPr>
            </w:pPr>
            <w:r>
              <w:rPr>
                <w:rFonts w:hint="eastAsia" w:hAnsi="宋体"/>
                <w:szCs w:val="21"/>
              </w:rPr>
              <w:t>1、产品满足招标文件要求，以进入详细评审的各投标人评标价的最低报价为评标基准价。其价格得分为30分。</w:t>
            </w:r>
          </w:p>
          <w:p>
            <w:pPr>
              <w:spacing w:line="360" w:lineRule="auto"/>
              <w:rPr>
                <w:rFonts w:hAnsi="宋体"/>
                <w:szCs w:val="21"/>
              </w:rPr>
            </w:pPr>
            <w:r>
              <w:rPr>
                <w:rFonts w:hint="eastAsia" w:hAnsi="宋体"/>
                <w:szCs w:val="21"/>
              </w:rPr>
              <w:t>2、其他投标人价格分统一按照下列公式计算：</w:t>
            </w:r>
          </w:p>
          <w:p>
            <w:pPr>
              <w:spacing w:line="360" w:lineRule="auto"/>
              <w:rPr>
                <w:rFonts w:hAnsi="宋体"/>
                <w:szCs w:val="21"/>
              </w:rPr>
            </w:pPr>
            <w:r>
              <w:rPr>
                <w:rFonts w:hint="eastAsia" w:hAnsi="宋体"/>
                <w:szCs w:val="21"/>
              </w:rPr>
              <w:t>投标报价得分=(评标基准价／投标报价)×30</w:t>
            </w:r>
          </w:p>
          <w:p>
            <w:pPr>
              <w:spacing w:line="360" w:lineRule="auto"/>
              <w:rPr>
                <w:rFonts w:ascii="宋体" w:hAnsi="宋体" w:cs="宋体"/>
                <w:szCs w:val="21"/>
              </w:rPr>
            </w:pPr>
            <w:r>
              <w:rPr>
                <w:rFonts w:hint="eastAsia" w:ascii="宋体" w:hAnsi="宋体" w:cs="宋体"/>
                <w:szCs w:val="21"/>
              </w:rPr>
              <w:t>注：1、价格分计算保留小数点后二位。</w:t>
            </w:r>
          </w:p>
          <w:p>
            <w:pPr>
              <w:spacing w:line="360" w:lineRule="auto"/>
              <w:ind w:firstLine="420" w:firstLineChars="200"/>
              <w:rPr>
                <w:rFonts w:ascii="宋体" w:hAnsi="宋体" w:cs="宋体"/>
                <w:szCs w:val="21"/>
              </w:rPr>
            </w:pPr>
            <w:r>
              <w:rPr>
                <w:rFonts w:hint="eastAsia" w:ascii="宋体" w:hAnsi="宋体" w:cs="宋体"/>
                <w:szCs w:val="21"/>
              </w:rPr>
              <w:t>2、未通过初步评审的投标不参与投标报价得分的计算。</w:t>
            </w:r>
          </w:p>
          <w:p>
            <w:pPr>
              <w:spacing w:line="360" w:lineRule="auto"/>
              <w:ind w:firstLine="420" w:firstLineChars="200"/>
              <w:rPr>
                <w:rFonts w:ascii="宋体" w:hAnsi="宋体" w:cs="宋体"/>
                <w:szCs w:val="21"/>
              </w:rPr>
            </w:pPr>
            <w:r>
              <w:rPr>
                <w:rFonts w:hint="eastAsia" w:ascii="宋体" w:hAnsi="宋体" w:cs="宋体"/>
                <w:szCs w:val="21"/>
              </w:rPr>
              <w:t>3、符合小型或微型企业的划分标准并且提供本企业制造的货物，或者提供其他小型或微型企业制造的货物的投标人的报价给予6%的价格扣除，用扣除后的价格参与评审。</w:t>
            </w:r>
          </w:p>
          <w:p>
            <w:pPr>
              <w:spacing w:line="360" w:lineRule="auto"/>
              <w:ind w:firstLine="422" w:firstLineChars="200"/>
              <w:rPr>
                <w:rFonts w:ascii="宋体" w:hAnsi="宋体" w:cs="宋体"/>
                <w:b/>
                <w:bCs/>
                <w:szCs w:val="21"/>
              </w:rPr>
            </w:pPr>
            <w:r>
              <w:rPr>
                <w:rFonts w:hint="eastAsia" w:ascii="宋体" w:hAnsi="宋体" w:cs="宋体"/>
                <w:b/>
                <w:bCs/>
                <w:szCs w:val="21"/>
              </w:rPr>
              <w:t>该类投标人应提供相关证明材料。</w:t>
            </w:r>
          </w:p>
          <w:p>
            <w:pPr>
              <w:spacing w:line="360" w:lineRule="auto"/>
              <w:ind w:firstLine="420" w:firstLineChars="200"/>
              <w:rPr>
                <w:rFonts w:ascii="宋体" w:hAnsi="宋体" w:cs="宋体"/>
                <w:szCs w:val="21"/>
              </w:rPr>
            </w:pPr>
            <w:r>
              <w:rPr>
                <w:rFonts w:hint="eastAsia" w:ascii="宋体" w:hAnsi="宋体" w:cs="宋体"/>
                <w:szCs w:val="21"/>
              </w:rPr>
              <w:t>4、评标委员会认为供应商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76" w:type="dxa"/>
            <w:vMerge w:val="restart"/>
            <w:tcBorders>
              <w:top w:val="single" w:color="auto" w:sz="6" w:space="0"/>
              <w:left w:val="single" w:color="auto" w:sz="12"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2、商务部分（30分）</w:t>
            </w:r>
          </w:p>
          <w:p>
            <w:pPr>
              <w:spacing w:line="360" w:lineRule="auto"/>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体系认证（3分）</w:t>
            </w:r>
          </w:p>
        </w:tc>
        <w:tc>
          <w:tcPr>
            <w:tcW w:w="7418" w:type="dxa"/>
            <w:tcBorders>
              <w:top w:val="single" w:color="auto" w:sz="6" w:space="0"/>
              <w:left w:val="single" w:color="auto" w:sz="6" w:space="0"/>
              <w:bottom w:val="single" w:color="auto" w:sz="6" w:space="0"/>
              <w:right w:val="single" w:color="auto" w:sz="12" w:space="0"/>
            </w:tcBorders>
            <w:vAlign w:val="center"/>
          </w:tcPr>
          <w:p>
            <w:pPr>
              <w:spacing w:line="360" w:lineRule="auto"/>
              <w:rPr>
                <w:szCs w:val="22"/>
              </w:rPr>
            </w:pPr>
            <w:r>
              <w:rPr>
                <w:rFonts w:ascii="宋体" w:hAnsi="宋体" w:cs="宋体"/>
                <w:szCs w:val="21"/>
              </w:rPr>
              <w:t>投标人</w:t>
            </w:r>
            <w:r>
              <w:rPr>
                <w:rFonts w:hint="eastAsia" w:ascii="宋体" w:hAnsi="宋体" w:cs="宋体"/>
                <w:szCs w:val="21"/>
              </w:rPr>
              <w:t>或生产厂家有有效的</w:t>
            </w:r>
            <w:r>
              <w:rPr>
                <w:rFonts w:ascii="宋体" w:hAnsi="宋体" w:cs="宋体"/>
                <w:szCs w:val="21"/>
              </w:rPr>
              <w:t xml:space="preserve">质量管理体系认证、环境管理体系认证、职业健康安全管理体系认证证书，全部提供的得 </w:t>
            </w:r>
            <w:r>
              <w:rPr>
                <w:rFonts w:hint="eastAsia" w:ascii="宋体" w:hAnsi="宋体" w:cs="宋体"/>
                <w:szCs w:val="21"/>
              </w:rPr>
              <w:t>3</w:t>
            </w:r>
            <w:r>
              <w:rPr>
                <w:rFonts w:ascii="宋体" w:hAnsi="宋体" w:cs="宋体"/>
                <w:szCs w:val="21"/>
              </w:rPr>
              <w:t xml:space="preserve"> 分，缺一项不得分</w:t>
            </w:r>
            <w:r>
              <w:rPr>
                <w:rFonts w:hint="eastAsia" w:ascii="宋体" w:hAnsi="宋体" w:cs="宋体"/>
                <w:szCs w:val="21"/>
              </w:rPr>
              <w:t>（投标文件中须附认证证书加盖供应商公章的复印件）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76" w:type="dxa"/>
            <w:vMerge w:val="continue"/>
            <w:tcBorders>
              <w:top w:val="single" w:color="auto" w:sz="6" w:space="0"/>
              <w:left w:val="single" w:color="auto" w:sz="12" w:space="0"/>
              <w:right w:val="single" w:color="auto" w:sz="6" w:space="0"/>
            </w:tcBorders>
            <w:vAlign w:val="center"/>
          </w:tcPr>
          <w:p>
            <w:pPr>
              <w:spacing w:line="360" w:lineRule="auto"/>
              <w:jc w:val="center"/>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供货计划（6分）</w:t>
            </w:r>
          </w:p>
        </w:tc>
        <w:tc>
          <w:tcPr>
            <w:tcW w:w="7418" w:type="dxa"/>
            <w:tcBorders>
              <w:top w:val="single" w:color="auto" w:sz="6" w:space="0"/>
              <w:left w:val="single" w:color="auto" w:sz="6" w:space="0"/>
              <w:bottom w:val="single" w:color="auto" w:sz="6" w:space="0"/>
              <w:right w:val="single" w:color="auto" w:sz="12" w:space="0"/>
            </w:tcBorders>
            <w:vAlign w:val="center"/>
          </w:tcPr>
          <w:p>
            <w:pPr>
              <w:spacing w:line="360" w:lineRule="auto"/>
            </w:pPr>
            <w:r>
              <w:rPr>
                <w:rFonts w:hint="eastAsia"/>
              </w:rPr>
              <w:t>根据采购人实际需求，针对项目实际情况，对配送制定详细计划方案，提供货物的组织方案及时间安排，综合考虑送货的合理性人员配备情况。</w:t>
            </w:r>
          </w:p>
          <w:p>
            <w:pPr>
              <w:spacing w:line="360" w:lineRule="auto"/>
              <w:rPr>
                <w:szCs w:val="22"/>
              </w:rPr>
            </w:pPr>
            <w:r>
              <w:rPr>
                <w:rFonts w:hint="eastAsia"/>
                <w:szCs w:val="22"/>
              </w:rPr>
              <w:t>①供应商提供的上述内容在科学性、合理性、本项目针对性、完善程度非常全面准确的，得6分；</w:t>
            </w:r>
          </w:p>
          <w:p>
            <w:pPr>
              <w:spacing w:line="360" w:lineRule="auto"/>
              <w:rPr>
                <w:szCs w:val="22"/>
              </w:rPr>
            </w:pPr>
            <w:r>
              <w:rPr>
                <w:rFonts w:hint="eastAsia"/>
                <w:szCs w:val="22"/>
              </w:rPr>
              <w:t>②供应商提供的上述内容在科学性、合理性、本项目针对性、完善程度比较全面的，得4分；</w:t>
            </w:r>
          </w:p>
          <w:p>
            <w:pPr>
              <w:spacing w:line="360" w:lineRule="auto"/>
              <w:rPr>
                <w:szCs w:val="22"/>
              </w:rPr>
            </w:pPr>
            <w:r>
              <w:rPr>
                <w:rFonts w:hint="eastAsia"/>
                <w:szCs w:val="22"/>
              </w:rPr>
              <w:t>③供应商提供的上述内容在科学性、合理性、本项目针对性、完善程度上一般，得2分。</w:t>
            </w:r>
          </w:p>
          <w:p>
            <w:pPr>
              <w:spacing w:line="360" w:lineRule="auto"/>
            </w:pPr>
            <w:r>
              <w:rPr>
                <w:rFonts w:hint="eastAsia"/>
                <w:szCs w:val="22"/>
              </w:rPr>
              <w:t>④供应商没有提供上述内容，或提供的不完整的，得0分。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color w:val="000000"/>
                <w:kern w:val="0"/>
                <w:szCs w:val="21"/>
              </w:rPr>
              <w:t xml:space="preserve">故障处理 </w:t>
            </w:r>
          </w:p>
          <w:p>
            <w:pPr>
              <w:widowControl/>
              <w:spacing w:line="360" w:lineRule="auto"/>
              <w:jc w:val="left"/>
              <w:rPr>
                <w:szCs w:val="22"/>
              </w:rPr>
            </w:pPr>
            <w:r>
              <w:rPr>
                <w:rFonts w:hint="eastAsia" w:ascii="宋体" w:hAnsi="宋体" w:cs="宋体"/>
                <w:color w:val="000000"/>
                <w:kern w:val="0"/>
                <w:szCs w:val="21"/>
              </w:rPr>
              <w:t xml:space="preserve">（5分） </w:t>
            </w:r>
          </w:p>
          <w:p>
            <w:pPr>
              <w:spacing w:line="360" w:lineRule="auto"/>
              <w:rPr>
                <w:rFonts w:ascii="宋体" w:hAnsi="宋体" w:cs="宋体"/>
                <w:color w:val="0000FF"/>
                <w:szCs w:val="21"/>
              </w:rPr>
            </w:pP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rFonts w:ascii="宋体" w:hAnsi="宋体" w:cs="宋体"/>
                <w:color w:val="0000FF"/>
                <w:kern w:val="0"/>
                <w:szCs w:val="21"/>
              </w:rPr>
            </w:pPr>
            <w:r>
              <w:rPr>
                <w:rFonts w:hint="eastAsia" w:ascii="宋体" w:hAnsi="宋体" w:cs="宋体"/>
                <w:color w:val="00B0F0"/>
                <w:kern w:val="0"/>
                <w:szCs w:val="21"/>
              </w:rPr>
              <w:t>投标人承诺</w:t>
            </w:r>
            <w:r>
              <w:rPr>
                <w:rFonts w:hint="eastAsia" w:ascii="宋体" w:hAnsi="宋体" w:cs="宋体"/>
                <w:color w:val="000000"/>
                <w:kern w:val="0"/>
                <w:szCs w:val="21"/>
              </w:rPr>
              <w:t xml:space="preserve">自接到故障电话起，3个小时内到达现场处理故障的得1分，2个小时内到达现场处理故障的得3分，1个小时内到达现场处理故障的得4分，半个小时内到达现场处理故障的得5分，其他不得分。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vMerge w:val="restart"/>
            <w:tcBorders>
              <w:top w:val="single" w:color="auto" w:sz="6" w:space="0"/>
              <w:left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质保期内外服务承诺（10分）</w:t>
            </w: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pPr>
            <w:r>
              <w:rPr>
                <w:rFonts w:hint="eastAsia"/>
              </w:rPr>
              <w:t>有质保期内售后服务承诺</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①服务承诺内容科学性、合理性、本项目针对性、完善程度非常全面准确的，得5分；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②服务承诺内容在科学性、合理性、本项目针对性、完善程度比较全面的，得3分；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③服务承诺内容在科学性、合理性、本项目针对性、完善程度上一般，得1分。</w:t>
            </w:r>
          </w:p>
          <w:p>
            <w:pPr>
              <w:widowControl/>
              <w:spacing w:line="360" w:lineRule="auto"/>
              <w:jc w:val="left"/>
            </w:pPr>
            <w:r>
              <w:rPr>
                <w:rFonts w:hint="eastAsia" w:ascii="宋体" w:hAnsi="宋体" w:cs="宋体"/>
                <w:color w:val="000000"/>
                <w:kern w:val="0"/>
                <w:szCs w:val="21"/>
              </w:rPr>
              <w:t>④投标人没有提供上述内容，得0分。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vMerge w:val="continue"/>
            <w:tcBorders>
              <w:left w:val="single" w:color="auto" w:sz="6" w:space="0"/>
              <w:bottom w:val="single" w:color="auto" w:sz="6" w:space="0"/>
              <w:right w:val="single" w:color="auto" w:sz="12" w:space="0"/>
            </w:tcBorders>
            <w:vAlign w:val="center"/>
          </w:tcPr>
          <w:p>
            <w:pPr>
              <w:spacing w:line="360" w:lineRule="auto"/>
              <w:rPr>
                <w:rFonts w:ascii="宋体" w:hAnsi="宋体" w:cs="宋体"/>
                <w:szCs w:val="21"/>
              </w:rPr>
            </w:pP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pPr>
            <w:r>
              <w:rPr>
                <w:rFonts w:hint="eastAsia"/>
              </w:rPr>
              <w:t>质保期外售后服务承诺</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①服务承诺内容科学性、合理性、本项目针对性、完善程度非常全面准确的，得5分；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②服务承诺内容在科学性、合理性、本项目针对性、完善程度比较全面的，得3分；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③服务承诺内容在科学性、合理性、本项目针对性、完善程度上一般，得1分。</w:t>
            </w:r>
          </w:p>
          <w:p>
            <w:pPr>
              <w:pStyle w:val="2"/>
              <w:spacing w:line="360" w:lineRule="auto"/>
            </w:pPr>
            <w:r>
              <w:rPr>
                <w:rFonts w:hint="eastAsia" w:ascii="宋体" w:hAnsi="宋体" w:cs="宋体"/>
                <w:color w:val="000000"/>
                <w:kern w:val="0"/>
                <w:szCs w:val="21"/>
              </w:rPr>
              <w:t>④投标人没有提供上述内容，得0分。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tcBorders>
              <w:top w:val="single" w:color="auto" w:sz="6" w:space="0"/>
              <w:left w:val="single" w:color="auto" w:sz="6" w:space="0"/>
              <w:bottom w:val="single" w:color="auto" w:sz="4" w:space="0"/>
              <w:right w:val="single" w:color="auto" w:sz="12" w:space="0"/>
            </w:tcBorders>
            <w:vAlign w:val="center"/>
          </w:tcPr>
          <w:p>
            <w:pPr>
              <w:autoSpaceDN w:val="0"/>
              <w:spacing w:line="360" w:lineRule="auto"/>
              <w:jc w:val="center"/>
              <w:textAlignment w:val="center"/>
              <w:rPr>
                <w:rFonts w:ascii="宋体" w:hAnsi="宋体" w:cs="宋体"/>
                <w:szCs w:val="21"/>
              </w:rPr>
            </w:pPr>
            <w:r>
              <w:rPr>
                <w:rFonts w:hint="eastAsia" w:ascii="宋体" w:hAnsi="宋体" w:cs="宋体"/>
                <w:szCs w:val="21"/>
              </w:rPr>
              <w:t>业绩</w:t>
            </w:r>
          </w:p>
          <w:p>
            <w:pPr>
              <w:autoSpaceDN w:val="0"/>
              <w:spacing w:line="360" w:lineRule="auto"/>
              <w:textAlignment w:val="center"/>
              <w:rPr>
                <w:rFonts w:ascii="宋体" w:hAnsi="宋体" w:cs="宋体"/>
                <w:szCs w:val="21"/>
              </w:rPr>
            </w:pPr>
            <w:r>
              <w:rPr>
                <w:rFonts w:hint="eastAsia" w:ascii="宋体" w:hAnsi="宋体" w:cs="宋体"/>
                <w:szCs w:val="21"/>
              </w:rPr>
              <w:t>（6分）</w:t>
            </w:r>
          </w:p>
        </w:tc>
        <w:tc>
          <w:tcPr>
            <w:tcW w:w="7418" w:type="dxa"/>
            <w:tcBorders>
              <w:top w:val="single" w:color="auto" w:sz="6" w:space="0"/>
              <w:left w:val="single" w:color="auto" w:sz="6" w:space="0"/>
              <w:bottom w:val="single" w:color="auto" w:sz="4" w:space="0"/>
              <w:right w:val="single" w:color="auto" w:sz="12" w:space="0"/>
            </w:tcBorders>
            <w:vAlign w:val="center"/>
          </w:tcPr>
          <w:p>
            <w:pPr>
              <w:autoSpaceDN w:val="0"/>
              <w:spacing w:line="360" w:lineRule="auto"/>
              <w:textAlignment w:val="center"/>
              <w:rPr>
                <w:rFonts w:ascii="宋体" w:hAnsi="宋体" w:cs="宋体"/>
                <w:szCs w:val="21"/>
              </w:rPr>
            </w:pPr>
            <w:r>
              <w:rPr>
                <w:rFonts w:hint="eastAsia" w:ascii="宋体" w:hAnsi="宋体" w:cs="宋体"/>
                <w:szCs w:val="21"/>
              </w:rPr>
              <w:t>投标人提供2018年1月1日以来相同或类似项目业绩，每提供一份业绩加2分，最多加6分。（</w:t>
            </w:r>
            <w:r>
              <w:rPr>
                <w:rFonts w:hint="eastAsia" w:ascii="宋体" w:hAnsi="宋体" w:cs="宋体"/>
                <w:kern w:val="0"/>
                <w:szCs w:val="21"/>
              </w:rPr>
              <w:t>提供中标通知书、合同复印件，评标时审验原件）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876" w:type="dxa"/>
            <w:vMerge w:val="restart"/>
            <w:tcBorders>
              <w:top w:val="single" w:color="auto" w:sz="6" w:space="0"/>
              <w:left w:val="single" w:color="auto" w:sz="12"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3、技术部分（40分）</w:t>
            </w:r>
          </w:p>
        </w:tc>
        <w:tc>
          <w:tcPr>
            <w:tcW w:w="1107"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rFonts w:ascii="宋体" w:hAnsi="宋体" w:cs="宋体"/>
                <w:szCs w:val="21"/>
              </w:rPr>
            </w:pPr>
            <w:r>
              <w:rPr>
                <w:rFonts w:hint="eastAsia" w:ascii="宋体" w:hAnsi="宋体" w:cs="宋体"/>
                <w:szCs w:val="21"/>
              </w:rPr>
              <w:t>技术参数（25分）</w:t>
            </w: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kern w:val="0"/>
                <w:szCs w:val="21"/>
              </w:rPr>
              <w:t xml:space="preserve">所投产品技术参数满足或优于招标文件第五章货物及伴随服务要求的得25分； </w:t>
            </w:r>
          </w:p>
          <w:p>
            <w:pPr>
              <w:spacing w:line="360" w:lineRule="auto"/>
              <w:rPr>
                <w:rFonts w:ascii="宋体" w:hAnsi="宋体" w:cs="宋体"/>
                <w:kern w:val="0"/>
                <w:szCs w:val="21"/>
              </w:rPr>
            </w:pPr>
            <w:r>
              <w:rPr>
                <w:rFonts w:hint="eastAsia" w:ascii="宋体" w:hAnsi="宋体" w:cs="宋体"/>
                <w:kern w:val="0"/>
                <w:szCs w:val="21"/>
              </w:rPr>
              <w:t>其中“*”指标共10项，全部满足招标文件要求的得15分，有一项不满足扣1.5分；非“*”指标共12项，全部满足招标文件要求的得10分，有一项不满足扣1分；</w:t>
            </w:r>
          </w:p>
          <w:p>
            <w:pPr>
              <w:widowControl/>
              <w:spacing w:line="360" w:lineRule="auto"/>
              <w:jc w:val="left"/>
              <w:rPr>
                <w:szCs w:val="22"/>
              </w:rPr>
            </w:pPr>
            <w:r>
              <w:rPr>
                <w:rFonts w:hint="eastAsia" w:ascii="宋体" w:hAnsi="宋体" w:cs="宋体"/>
                <w:kern w:val="0"/>
                <w:szCs w:val="21"/>
              </w:rPr>
              <w:t xml:space="preserve">当该项得分为 </w:t>
            </w:r>
            <w:r>
              <w:rPr>
                <w:kern w:val="0"/>
                <w:szCs w:val="21"/>
              </w:rPr>
              <w:t xml:space="preserve">0 </w:t>
            </w:r>
            <w:r>
              <w:rPr>
                <w:rFonts w:hint="eastAsia" w:ascii="宋体" w:hAnsi="宋体" w:cs="宋体"/>
                <w:kern w:val="0"/>
                <w:szCs w:val="21"/>
              </w:rPr>
              <w:t>分时，将视为投标文件没有实质性响应招标文件，其投标文件将被认定为无效投标文件。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6" w:type="dxa"/>
            <w:vMerge w:val="continue"/>
            <w:tcBorders>
              <w:left w:val="single" w:color="auto" w:sz="12" w:space="0"/>
              <w:right w:val="single" w:color="auto" w:sz="6" w:space="0"/>
            </w:tcBorders>
            <w:vAlign w:val="center"/>
          </w:tcPr>
          <w:p>
            <w:pPr>
              <w:spacing w:line="360" w:lineRule="auto"/>
              <w:jc w:val="center"/>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color w:val="000000"/>
                <w:kern w:val="0"/>
                <w:szCs w:val="21"/>
              </w:rPr>
              <w:t>车辆改装方案（10分）</w:t>
            </w:r>
          </w:p>
          <w:p>
            <w:pPr>
              <w:widowControl/>
              <w:spacing w:line="360" w:lineRule="auto"/>
              <w:jc w:val="left"/>
              <w:rPr>
                <w:rFonts w:ascii="宋体" w:hAnsi="宋体" w:cs="宋体"/>
                <w:color w:val="0000FF"/>
                <w:kern w:val="0"/>
                <w:szCs w:val="21"/>
              </w:rPr>
            </w:pP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pPr>
            <w:r>
              <w:rPr>
                <w:rFonts w:hint="eastAsia"/>
              </w:rPr>
              <w:t>根据车辆改装方案，包括内饰、操纵便利性、材质等综合评分。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完全符合招标文件要求得10分，有一项指标不满足扣0.5分，扣完为止。</w:t>
            </w:r>
          </w:p>
          <w:p>
            <w:pPr>
              <w:widowControl/>
              <w:spacing w:line="360" w:lineRule="auto"/>
              <w:jc w:val="left"/>
            </w:pPr>
            <w:r>
              <w:rPr>
                <w:rFonts w:hint="eastAsia" w:ascii="宋体" w:hAnsi="宋体" w:cs="宋体"/>
                <w:color w:val="000000"/>
                <w:kern w:val="0"/>
                <w:szCs w:val="21"/>
              </w:rPr>
              <w:t>当该项得分为 0 分时，将视为投标文件没有实质性响应招标文件，其投标文件将被认定为无效投标文件。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6" w:type="dxa"/>
            <w:vMerge w:val="continue"/>
            <w:tcBorders>
              <w:left w:val="single" w:color="auto" w:sz="12" w:space="0"/>
              <w:bottom w:val="single" w:color="auto" w:sz="6" w:space="0"/>
              <w:right w:val="single" w:color="auto" w:sz="6" w:space="0"/>
            </w:tcBorders>
            <w:vAlign w:val="center"/>
          </w:tcPr>
          <w:p>
            <w:pPr>
              <w:spacing w:line="360" w:lineRule="auto"/>
              <w:jc w:val="center"/>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color w:val="000000"/>
                <w:kern w:val="0"/>
                <w:szCs w:val="21"/>
              </w:rPr>
              <w:t xml:space="preserve">应急方案 </w:t>
            </w:r>
          </w:p>
          <w:p>
            <w:pPr>
              <w:widowControl/>
              <w:spacing w:line="360" w:lineRule="auto"/>
              <w:jc w:val="left"/>
              <w:rPr>
                <w:szCs w:val="22"/>
              </w:rPr>
            </w:pPr>
            <w:r>
              <w:rPr>
                <w:rFonts w:hint="eastAsia" w:ascii="宋体" w:hAnsi="宋体" w:cs="宋体"/>
                <w:color w:val="000000"/>
                <w:kern w:val="0"/>
                <w:szCs w:val="21"/>
              </w:rPr>
              <w:t xml:space="preserve">（5分） </w:t>
            </w:r>
          </w:p>
          <w:p>
            <w:pPr>
              <w:widowControl/>
              <w:spacing w:line="360" w:lineRule="auto"/>
              <w:jc w:val="left"/>
              <w:rPr>
                <w:rFonts w:ascii="宋体" w:hAnsi="宋体" w:cs="宋体"/>
                <w:color w:val="0000FF"/>
                <w:kern w:val="0"/>
                <w:szCs w:val="21"/>
              </w:rPr>
            </w:pP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color w:val="000000"/>
                <w:kern w:val="0"/>
                <w:szCs w:val="21"/>
              </w:rPr>
              <w:t xml:space="preserve">根据各供应商所提供的车辆可能发生的故障或出现的问题时应急解决方案的科学性、合理性、可实施性等方面打分： </w:t>
            </w:r>
          </w:p>
          <w:p>
            <w:pPr>
              <w:widowControl/>
              <w:spacing w:line="360" w:lineRule="auto"/>
              <w:jc w:val="left"/>
              <w:rPr>
                <w:szCs w:val="22"/>
              </w:rPr>
            </w:pPr>
            <w:r>
              <w:rPr>
                <w:rFonts w:hint="eastAsia" w:ascii="宋体" w:hAnsi="宋体" w:cs="宋体"/>
                <w:color w:val="000000"/>
                <w:kern w:val="0"/>
                <w:szCs w:val="21"/>
              </w:rPr>
              <w:t xml:space="preserve">应急解决方案非常科学性合理，可实施性强，得5分； </w:t>
            </w:r>
          </w:p>
          <w:p>
            <w:pPr>
              <w:widowControl/>
              <w:spacing w:line="360" w:lineRule="auto"/>
              <w:jc w:val="left"/>
              <w:rPr>
                <w:szCs w:val="22"/>
              </w:rPr>
            </w:pPr>
            <w:r>
              <w:rPr>
                <w:rFonts w:hint="eastAsia" w:ascii="宋体" w:hAnsi="宋体" w:cs="宋体"/>
                <w:color w:val="000000"/>
                <w:kern w:val="0"/>
                <w:szCs w:val="21"/>
              </w:rPr>
              <w:t xml:space="preserve">应急解决方案科学性合理，可实施性良好，得3分； </w:t>
            </w:r>
          </w:p>
          <w:p>
            <w:pPr>
              <w:widowControl/>
              <w:spacing w:line="360" w:lineRule="auto"/>
              <w:jc w:val="left"/>
              <w:rPr>
                <w:rFonts w:ascii="宋体" w:hAnsi="宋体" w:cs="宋体"/>
                <w:color w:val="0000FF"/>
                <w:kern w:val="0"/>
                <w:szCs w:val="21"/>
              </w:rPr>
            </w:pPr>
            <w:r>
              <w:rPr>
                <w:rFonts w:hint="eastAsia" w:ascii="宋体" w:hAnsi="宋体" w:cs="宋体"/>
                <w:color w:val="000000"/>
                <w:kern w:val="0"/>
                <w:szCs w:val="21"/>
              </w:rPr>
              <w:t>应急解决方案合理，可实施性一般，得1分；没有得0分。</w:t>
            </w:r>
          </w:p>
        </w:tc>
      </w:tr>
    </w:tbl>
    <w:p>
      <w:pPr>
        <w:pStyle w:val="15"/>
        <w:spacing w:line="360" w:lineRule="auto"/>
      </w:pPr>
    </w:p>
    <w:p>
      <w:pPr>
        <w:pStyle w:val="3"/>
        <w:spacing w:line="240" w:lineRule="auto"/>
        <w:rPr>
          <w:sz w:val="30"/>
          <w:szCs w:val="30"/>
        </w:rPr>
      </w:pPr>
      <w:bookmarkStart w:id="43" w:name="_Toc28671_WPSOffice_Level1"/>
      <w:r>
        <w:rPr>
          <w:rFonts w:hint="eastAsia"/>
          <w:sz w:val="30"/>
          <w:szCs w:val="30"/>
        </w:rPr>
        <w:t xml:space="preserve"> </w:t>
      </w:r>
      <w:bookmarkStart w:id="44" w:name="_Toc6946"/>
    </w:p>
    <w:p>
      <w:pPr>
        <w:pStyle w:val="4"/>
      </w:pPr>
    </w:p>
    <w:p>
      <w:pPr>
        <w:pStyle w:val="2"/>
        <w:jc w:val="center"/>
        <w:rPr>
          <w:b/>
          <w:bCs/>
          <w:sz w:val="28"/>
          <w:szCs w:val="28"/>
        </w:rPr>
      </w:pPr>
    </w:p>
    <w:p>
      <w:pPr>
        <w:pStyle w:val="2"/>
        <w:jc w:val="center"/>
        <w:rPr>
          <w:b/>
          <w:bCs/>
          <w:sz w:val="28"/>
          <w:szCs w:val="28"/>
        </w:rPr>
      </w:pPr>
    </w:p>
    <w:p>
      <w:pPr>
        <w:pStyle w:val="2"/>
        <w:jc w:val="center"/>
        <w:rPr>
          <w:b/>
          <w:bCs/>
          <w:sz w:val="28"/>
          <w:szCs w:val="28"/>
        </w:rPr>
      </w:pPr>
      <w:r>
        <w:rPr>
          <w:rFonts w:hint="eastAsia"/>
          <w:b/>
          <w:bCs/>
          <w:sz w:val="28"/>
          <w:szCs w:val="28"/>
        </w:rPr>
        <w:t>二、三标段评分标准</w:t>
      </w:r>
    </w:p>
    <w:tbl>
      <w:tblPr>
        <w:tblStyle w:val="33"/>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
        <w:gridCol w:w="1107"/>
        <w:gridCol w:w="7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76" w:type="dxa"/>
            <w:tcBorders>
              <w:top w:val="single" w:color="auto" w:sz="12" w:space="0"/>
              <w:left w:val="single" w:color="auto" w:sz="12" w:space="0"/>
              <w:bottom w:val="single" w:color="auto" w:sz="6" w:space="0"/>
              <w:right w:val="single" w:color="auto" w:sz="6" w:space="0"/>
            </w:tcBorders>
            <w:vAlign w:val="center"/>
          </w:tcPr>
          <w:p>
            <w:pPr>
              <w:spacing w:line="360" w:lineRule="auto"/>
              <w:rPr>
                <w:rFonts w:ascii="宋体" w:hAnsi="宋体" w:cs="宋体"/>
                <w:szCs w:val="21"/>
              </w:rPr>
            </w:pPr>
            <w:r>
              <w:rPr>
                <w:rFonts w:hint="eastAsia" w:ascii="宋体" w:hAnsi="宋体" w:cs="宋体"/>
                <w:szCs w:val="21"/>
              </w:rPr>
              <w:t>评分</w:t>
            </w:r>
          </w:p>
          <w:p>
            <w:pPr>
              <w:spacing w:line="360" w:lineRule="auto"/>
              <w:rPr>
                <w:rFonts w:ascii="宋体" w:hAnsi="宋体" w:cs="宋体"/>
                <w:szCs w:val="21"/>
              </w:rPr>
            </w:pPr>
            <w:r>
              <w:rPr>
                <w:rFonts w:hint="eastAsia" w:ascii="宋体" w:hAnsi="宋体" w:cs="宋体"/>
                <w:szCs w:val="21"/>
              </w:rPr>
              <w:t>因素</w:t>
            </w:r>
          </w:p>
        </w:tc>
        <w:tc>
          <w:tcPr>
            <w:tcW w:w="1107" w:type="dxa"/>
            <w:tcBorders>
              <w:top w:val="single" w:color="auto" w:sz="12" w:space="0"/>
              <w:left w:val="single" w:color="auto" w:sz="6" w:space="0"/>
              <w:bottom w:val="single" w:color="auto" w:sz="6" w:space="0"/>
              <w:right w:val="single" w:color="auto" w:sz="6" w:space="0"/>
            </w:tcBorders>
            <w:vAlign w:val="center"/>
          </w:tcPr>
          <w:p>
            <w:pPr>
              <w:spacing w:line="360" w:lineRule="auto"/>
              <w:rPr>
                <w:rFonts w:ascii="宋体" w:hAnsi="宋体" w:cs="宋体"/>
                <w:szCs w:val="21"/>
              </w:rPr>
            </w:pPr>
            <w:r>
              <w:rPr>
                <w:rFonts w:hint="eastAsia" w:ascii="宋体" w:hAnsi="宋体" w:cs="宋体"/>
                <w:szCs w:val="21"/>
              </w:rPr>
              <w:t>考核项目</w:t>
            </w:r>
          </w:p>
        </w:tc>
        <w:tc>
          <w:tcPr>
            <w:tcW w:w="7418" w:type="dxa"/>
            <w:tcBorders>
              <w:top w:val="single" w:color="auto" w:sz="12" w:space="0"/>
              <w:left w:val="single" w:color="auto" w:sz="6" w:space="0"/>
              <w:bottom w:val="single" w:color="auto" w:sz="6" w:space="0"/>
              <w:right w:val="single" w:color="auto" w:sz="12" w:space="0"/>
            </w:tcBorders>
            <w:vAlign w:val="center"/>
          </w:tcPr>
          <w:p>
            <w:pPr>
              <w:spacing w:line="360" w:lineRule="auto"/>
              <w:ind w:firstLine="560"/>
              <w:jc w:val="center"/>
              <w:rPr>
                <w:rFonts w:ascii="宋体" w:hAnsi="宋体" w:cs="宋体"/>
                <w:szCs w:val="21"/>
              </w:rPr>
            </w:pPr>
            <w:r>
              <w:rPr>
                <w:rFonts w:hint="eastAsia" w:ascii="宋体" w:hAnsi="宋体" w:cs="宋体"/>
                <w:szCs w:val="21"/>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7" w:hRule="atLeast"/>
          <w:jc w:val="center"/>
        </w:trPr>
        <w:tc>
          <w:tcPr>
            <w:tcW w:w="876"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1、价格部分（30分）</w:t>
            </w:r>
          </w:p>
        </w:tc>
        <w:tc>
          <w:tcPr>
            <w:tcW w:w="110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投标报价</w:t>
            </w:r>
          </w:p>
        </w:tc>
        <w:tc>
          <w:tcPr>
            <w:tcW w:w="7418"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满分30分，具体计算如下：</w:t>
            </w:r>
          </w:p>
          <w:p>
            <w:pPr>
              <w:spacing w:line="360" w:lineRule="auto"/>
              <w:rPr>
                <w:rFonts w:hAnsi="宋体"/>
                <w:szCs w:val="21"/>
              </w:rPr>
            </w:pPr>
            <w:r>
              <w:rPr>
                <w:rFonts w:hint="eastAsia" w:hAnsi="宋体"/>
                <w:szCs w:val="21"/>
              </w:rPr>
              <w:t>1、产品满足招标文件要求，以进入详细评审的各投标人评标价的最低报价为评标基准价。其价格得分为30分。</w:t>
            </w:r>
          </w:p>
          <w:p>
            <w:pPr>
              <w:spacing w:line="360" w:lineRule="auto"/>
              <w:rPr>
                <w:rFonts w:hAnsi="宋体"/>
                <w:szCs w:val="21"/>
              </w:rPr>
            </w:pPr>
            <w:r>
              <w:rPr>
                <w:rFonts w:hint="eastAsia" w:hAnsi="宋体"/>
                <w:szCs w:val="21"/>
              </w:rPr>
              <w:t>2、其他投标人价格分统一按照下列公式计算：</w:t>
            </w:r>
          </w:p>
          <w:p>
            <w:pPr>
              <w:spacing w:line="360" w:lineRule="auto"/>
              <w:rPr>
                <w:rFonts w:hAnsi="宋体"/>
                <w:szCs w:val="21"/>
              </w:rPr>
            </w:pPr>
            <w:r>
              <w:rPr>
                <w:rFonts w:hint="eastAsia" w:hAnsi="宋体"/>
                <w:szCs w:val="21"/>
              </w:rPr>
              <w:t>投标报价得分=(评标基准价／投标报价)×30</w:t>
            </w:r>
          </w:p>
          <w:p>
            <w:pPr>
              <w:spacing w:line="360" w:lineRule="auto"/>
              <w:rPr>
                <w:rFonts w:ascii="宋体" w:hAnsi="宋体" w:cs="宋体"/>
                <w:szCs w:val="21"/>
              </w:rPr>
            </w:pPr>
            <w:r>
              <w:rPr>
                <w:rFonts w:hint="eastAsia" w:ascii="宋体" w:hAnsi="宋体" w:cs="宋体"/>
                <w:szCs w:val="21"/>
              </w:rPr>
              <w:t>注：1、价格分计算保留小数点后二位。</w:t>
            </w:r>
          </w:p>
          <w:p>
            <w:pPr>
              <w:spacing w:line="360" w:lineRule="auto"/>
              <w:ind w:firstLine="420" w:firstLineChars="200"/>
              <w:rPr>
                <w:rFonts w:ascii="宋体" w:hAnsi="宋体" w:cs="宋体"/>
                <w:szCs w:val="21"/>
              </w:rPr>
            </w:pPr>
            <w:r>
              <w:rPr>
                <w:rFonts w:hint="eastAsia" w:ascii="宋体" w:hAnsi="宋体" w:cs="宋体"/>
                <w:szCs w:val="21"/>
              </w:rPr>
              <w:t>2、未通过初步评审的投标不参与投标报价得分的计算。</w:t>
            </w:r>
          </w:p>
          <w:p>
            <w:pPr>
              <w:spacing w:line="360" w:lineRule="auto"/>
              <w:ind w:firstLine="420" w:firstLineChars="200"/>
              <w:rPr>
                <w:rFonts w:ascii="宋体" w:hAnsi="宋体" w:cs="宋体"/>
                <w:szCs w:val="21"/>
              </w:rPr>
            </w:pPr>
            <w:r>
              <w:rPr>
                <w:rFonts w:hint="eastAsia" w:ascii="宋体" w:hAnsi="宋体" w:cs="宋体"/>
                <w:szCs w:val="21"/>
              </w:rPr>
              <w:t>3、符合小型或微型企业的划分标准并且提供本企业制造的货物，或者提供其他小型或微型企业制造的货物的投标人的报价给予6%的价格扣除，用扣除后的价格参与评审。</w:t>
            </w:r>
          </w:p>
          <w:p>
            <w:pPr>
              <w:spacing w:line="360" w:lineRule="auto"/>
              <w:ind w:firstLine="422" w:firstLineChars="200"/>
              <w:rPr>
                <w:rFonts w:ascii="宋体" w:hAnsi="宋体" w:cs="宋体"/>
                <w:b/>
                <w:bCs/>
                <w:szCs w:val="21"/>
              </w:rPr>
            </w:pPr>
            <w:r>
              <w:rPr>
                <w:rFonts w:hint="eastAsia" w:ascii="宋体" w:hAnsi="宋体" w:cs="宋体"/>
                <w:b/>
                <w:bCs/>
                <w:szCs w:val="21"/>
              </w:rPr>
              <w:t>该类投标人应提供相关证明材料。</w:t>
            </w:r>
          </w:p>
          <w:p>
            <w:pPr>
              <w:spacing w:line="360" w:lineRule="auto"/>
              <w:ind w:firstLine="420" w:firstLineChars="200"/>
              <w:rPr>
                <w:rFonts w:ascii="宋体" w:hAnsi="宋体" w:cs="宋体"/>
                <w:szCs w:val="21"/>
              </w:rPr>
            </w:pPr>
            <w:r>
              <w:rPr>
                <w:rFonts w:hint="eastAsia" w:ascii="宋体" w:hAnsi="宋体" w:cs="宋体"/>
                <w:szCs w:val="21"/>
              </w:rPr>
              <w:t>4、评标委员会认为供应商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76" w:type="dxa"/>
            <w:vMerge w:val="restart"/>
            <w:tcBorders>
              <w:top w:val="single" w:color="auto" w:sz="6" w:space="0"/>
              <w:left w:val="single" w:color="auto" w:sz="12"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2、商务部分（30分）</w:t>
            </w:r>
          </w:p>
          <w:p>
            <w:pPr>
              <w:spacing w:line="360" w:lineRule="auto"/>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体系认证（3分）</w:t>
            </w:r>
          </w:p>
        </w:tc>
        <w:tc>
          <w:tcPr>
            <w:tcW w:w="7418" w:type="dxa"/>
            <w:tcBorders>
              <w:top w:val="single" w:color="auto" w:sz="6" w:space="0"/>
              <w:left w:val="single" w:color="auto" w:sz="6" w:space="0"/>
              <w:bottom w:val="single" w:color="auto" w:sz="6" w:space="0"/>
              <w:right w:val="single" w:color="auto" w:sz="12" w:space="0"/>
            </w:tcBorders>
            <w:vAlign w:val="center"/>
          </w:tcPr>
          <w:p>
            <w:pPr>
              <w:spacing w:line="360" w:lineRule="auto"/>
              <w:rPr>
                <w:szCs w:val="22"/>
              </w:rPr>
            </w:pPr>
            <w:r>
              <w:rPr>
                <w:rFonts w:ascii="宋体" w:hAnsi="宋体" w:cs="宋体"/>
                <w:szCs w:val="21"/>
              </w:rPr>
              <w:t>投标人</w:t>
            </w:r>
            <w:r>
              <w:rPr>
                <w:rFonts w:hint="eastAsia" w:ascii="宋体" w:hAnsi="宋体" w:cs="宋体"/>
                <w:szCs w:val="21"/>
              </w:rPr>
              <w:t>或生产厂家有有效的</w:t>
            </w:r>
            <w:r>
              <w:rPr>
                <w:rFonts w:ascii="宋体" w:hAnsi="宋体" w:cs="宋体"/>
                <w:szCs w:val="21"/>
              </w:rPr>
              <w:t xml:space="preserve">质量管理体系认证、环境管理体系认证、职业健康安全管理体系认证证书，全部提供的得 </w:t>
            </w:r>
            <w:r>
              <w:rPr>
                <w:rFonts w:hint="eastAsia" w:ascii="宋体" w:hAnsi="宋体" w:cs="宋体"/>
                <w:szCs w:val="21"/>
              </w:rPr>
              <w:t>3</w:t>
            </w:r>
            <w:r>
              <w:rPr>
                <w:rFonts w:ascii="宋体" w:hAnsi="宋体" w:cs="宋体"/>
                <w:szCs w:val="21"/>
              </w:rPr>
              <w:t xml:space="preserve"> 分，缺一项不得分</w:t>
            </w:r>
            <w:r>
              <w:rPr>
                <w:rFonts w:hint="eastAsia" w:ascii="宋体" w:hAnsi="宋体" w:cs="宋体"/>
                <w:szCs w:val="21"/>
              </w:rPr>
              <w:t>（投标文件中须附认证证书加盖供应商公章的复印件）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76" w:type="dxa"/>
            <w:vMerge w:val="continue"/>
            <w:tcBorders>
              <w:top w:val="single" w:color="auto" w:sz="6" w:space="0"/>
              <w:left w:val="single" w:color="auto" w:sz="12" w:space="0"/>
              <w:right w:val="single" w:color="auto" w:sz="6" w:space="0"/>
            </w:tcBorders>
            <w:vAlign w:val="center"/>
          </w:tcPr>
          <w:p>
            <w:pPr>
              <w:spacing w:line="360" w:lineRule="auto"/>
              <w:jc w:val="center"/>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供货计划（6分）</w:t>
            </w:r>
          </w:p>
        </w:tc>
        <w:tc>
          <w:tcPr>
            <w:tcW w:w="7418" w:type="dxa"/>
            <w:tcBorders>
              <w:top w:val="single" w:color="auto" w:sz="6" w:space="0"/>
              <w:left w:val="single" w:color="auto" w:sz="6" w:space="0"/>
              <w:bottom w:val="single" w:color="auto" w:sz="6" w:space="0"/>
              <w:right w:val="single" w:color="auto" w:sz="12" w:space="0"/>
            </w:tcBorders>
            <w:vAlign w:val="center"/>
          </w:tcPr>
          <w:p>
            <w:pPr>
              <w:spacing w:line="360" w:lineRule="auto"/>
            </w:pPr>
            <w:r>
              <w:rPr>
                <w:rFonts w:hint="eastAsia"/>
              </w:rPr>
              <w:t>根据采购人实际需求，针对项目实际情况，对配送制定详细计划方案，提供货物的组织方案及时间安排，综合考虑送货的合理性人员配备情况。</w:t>
            </w:r>
          </w:p>
          <w:p>
            <w:pPr>
              <w:spacing w:line="360" w:lineRule="auto"/>
              <w:rPr>
                <w:szCs w:val="22"/>
              </w:rPr>
            </w:pPr>
            <w:r>
              <w:rPr>
                <w:rFonts w:hint="eastAsia"/>
                <w:szCs w:val="22"/>
              </w:rPr>
              <w:t>①供应商提供的上述内容在科学性、合理性、本项目针对性、完善程度非常全面准确的，得6分；</w:t>
            </w:r>
          </w:p>
          <w:p>
            <w:pPr>
              <w:spacing w:line="360" w:lineRule="auto"/>
              <w:rPr>
                <w:szCs w:val="22"/>
              </w:rPr>
            </w:pPr>
            <w:r>
              <w:rPr>
                <w:rFonts w:hint="eastAsia"/>
                <w:szCs w:val="22"/>
              </w:rPr>
              <w:t>②供应商提供的上述内容在科学性、合理性、本项目针对性、完善程度比较全面的，得4分；</w:t>
            </w:r>
          </w:p>
          <w:p>
            <w:pPr>
              <w:spacing w:line="360" w:lineRule="auto"/>
              <w:rPr>
                <w:szCs w:val="22"/>
              </w:rPr>
            </w:pPr>
            <w:r>
              <w:rPr>
                <w:rFonts w:hint="eastAsia"/>
                <w:szCs w:val="22"/>
              </w:rPr>
              <w:t>③供应商提供的上述内容在科学性、合理性、本项目针对性、完善程度上一般，得2分。</w:t>
            </w:r>
          </w:p>
          <w:p>
            <w:pPr>
              <w:spacing w:line="360" w:lineRule="auto"/>
            </w:pPr>
            <w:r>
              <w:rPr>
                <w:rFonts w:hint="eastAsia"/>
                <w:szCs w:val="22"/>
              </w:rPr>
              <w:t>④供应商没有提供上述内容，或提供的不完整的，得0分。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color w:val="000000"/>
                <w:kern w:val="0"/>
                <w:szCs w:val="21"/>
              </w:rPr>
              <w:t xml:space="preserve">故障处理 </w:t>
            </w:r>
          </w:p>
          <w:p>
            <w:pPr>
              <w:widowControl/>
              <w:spacing w:line="360" w:lineRule="auto"/>
              <w:jc w:val="left"/>
              <w:rPr>
                <w:szCs w:val="22"/>
              </w:rPr>
            </w:pPr>
            <w:r>
              <w:rPr>
                <w:rFonts w:hint="eastAsia" w:ascii="宋体" w:hAnsi="宋体" w:cs="宋体"/>
                <w:color w:val="000000"/>
                <w:kern w:val="0"/>
                <w:szCs w:val="21"/>
              </w:rPr>
              <w:t xml:space="preserve">（5分） </w:t>
            </w:r>
          </w:p>
          <w:p>
            <w:pPr>
              <w:spacing w:line="360" w:lineRule="auto"/>
              <w:rPr>
                <w:rFonts w:ascii="宋体" w:hAnsi="宋体" w:cs="宋体"/>
                <w:color w:val="0000FF"/>
                <w:szCs w:val="21"/>
              </w:rPr>
            </w:pP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rFonts w:ascii="宋体" w:hAnsi="宋体" w:cs="宋体"/>
                <w:color w:val="0000FF"/>
                <w:kern w:val="0"/>
                <w:szCs w:val="21"/>
              </w:rPr>
            </w:pPr>
            <w:r>
              <w:rPr>
                <w:rFonts w:hint="eastAsia" w:ascii="宋体" w:hAnsi="宋体" w:cs="宋体"/>
                <w:color w:val="00B0F0"/>
                <w:kern w:val="0"/>
                <w:szCs w:val="21"/>
              </w:rPr>
              <w:t>投标人承诺</w:t>
            </w:r>
            <w:r>
              <w:rPr>
                <w:rFonts w:hint="eastAsia" w:ascii="宋体" w:hAnsi="宋体" w:cs="宋体"/>
                <w:color w:val="000000"/>
                <w:kern w:val="0"/>
                <w:szCs w:val="21"/>
              </w:rPr>
              <w:t xml:space="preserve">自接到故障电话起，3个小时内到达现场处理故障的得1分，2个小时内到达现场处理故障的得3分，1个小时内到达现场处理故障的得4分，半个小时内到达现场处理故障的得5分，其他不得分。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vMerge w:val="restart"/>
            <w:tcBorders>
              <w:top w:val="single" w:color="auto" w:sz="6" w:space="0"/>
              <w:left w:val="single" w:color="auto" w:sz="6" w:space="0"/>
              <w:right w:val="single" w:color="auto" w:sz="12" w:space="0"/>
            </w:tcBorders>
            <w:vAlign w:val="center"/>
          </w:tcPr>
          <w:p>
            <w:pPr>
              <w:spacing w:line="360" w:lineRule="auto"/>
              <w:rPr>
                <w:rFonts w:ascii="宋体" w:hAnsi="宋体" w:cs="宋体"/>
                <w:szCs w:val="21"/>
              </w:rPr>
            </w:pPr>
            <w:r>
              <w:rPr>
                <w:rFonts w:hint="eastAsia" w:ascii="宋体" w:hAnsi="宋体" w:cs="宋体"/>
                <w:szCs w:val="21"/>
              </w:rPr>
              <w:t>质保期内外服务承诺（10分）</w:t>
            </w: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pPr>
            <w:r>
              <w:rPr>
                <w:rFonts w:hint="eastAsia"/>
              </w:rPr>
              <w:t>有质保期内售后服务承诺</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①服务承诺内容科学性、合理性、本项目针对性、完善程度非常全面准确的，得5分；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②服务承诺内容在科学性、合理性、本项目针对性、完善程度比较全面的，得3分；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③服务承诺内容在科学性、合理性、本项目针对性、完善程度上一般，得1分。</w:t>
            </w:r>
          </w:p>
          <w:p>
            <w:pPr>
              <w:widowControl/>
              <w:spacing w:line="360" w:lineRule="auto"/>
              <w:jc w:val="left"/>
            </w:pPr>
            <w:r>
              <w:rPr>
                <w:rFonts w:hint="eastAsia" w:ascii="宋体" w:hAnsi="宋体" w:cs="宋体"/>
                <w:color w:val="000000"/>
                <w:kern w:val="0"/>
                <w:szCs w:val="21"/>
              </w:rPr>
              <w:t>④投标人没有提供上述内容，得0分。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vMerge w:val="continue"/>
            <w:tcBorders>
              <w:left w:val="single" w:color="auto" w:sz="6" w:space="0"/>
              <w:bottom w:val="single" w:color="auto" w:sz="6" w:space="0"/>
              <w:right w:val="single" w:color="auto" w:sz="12" w:space="0"/>
            </w:tcBorders>
            <w:vAlign w:val="center"/>
          </w:tcPr>
          <w:p>
            <w:pPr>
              <w:spacing w:line="360" w:lineRule="auto"/>
              <w:rPr>
                <w:rFonts w:ascii="宋体" w:hAnsi="宋体" w:cs="宋体"/>
                <w:szCs w:val="21"/>
              </w:rPr>
            </w:pP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pPr>
            <w:r>
              <w:rPr>
                <w:rFonts w:hint="eastAsia"/>
              </w:rPr>
              <w:t>质保期外售后服务承诺</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①服务承诺内容科学性、合理性、本项目针对性、完善程度非常全面准确的，得5分；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②服务承诺内容在科学性、合理性、本项目针对性、完善程度比较全面的，得3分；</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③服务承诺内容在科学性、合理性、本项目针对性、完善程度上一般，得1分。</w:t>
            </w:r>
          </w:p>
          <w:p>
            <w:pPr>
              <w:pStyle w:val="2"/>
              <w:spacing w:line="360" w:lineRule="auto"/>
            </w:pPr>
            <w:r>
              <w:rPr>
                <w:rFonts w:hint="eastAsia" w:ascii="宋体" w:hAnsi="宋体" w:cs="宋体"/>
                <w:color w:val="000000"/>
                <w:kern w:val="0"/>
                <w:szCs w:val="21"/>
              </w:rPr>
              <w:t>④投标人没有提供上述内容，得0分。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6" w:type="dxa"/>
            <w:vMerge w:val="continue"/>
            <w:tcBorders>
              <w:left w:val="single" w:color="auto" w:sz="12" w:space="0"/>
              <w:right w:val="single" w:color="auto" w:sz="6" w:space="0"/>
            </w:tcBorders>
            <w:vAlign w:val="center"/>
          </w:tcPr>
          <w:p>
            <w:pPr>
              <w:spacing w:line="360" w:lineRule="auto"/>
              <w:rPr>
                <w:rFonts w:ascii="宋体" w:hAnsi="宋体" w:cs="宋体"/>
                <w:szCs w:val="21"/>
              </w:rPr>
            </w:pPr>
          </w:p>
        </w:tc>
        <w:tc>
          <w:tcPr>
            <w:tcW w:w="1107" w:type="dxa"/>
            <w:tcBorders>
              <w:top w:val="single" w:color="auto" w:sz="6" w:space="0"/>
              <w:left w:val="single" w:color="auto" w:sz="6" w:space="0"/>
              <w:bottom w:val="single" w:color="auto" w:sz="4" w:space="0"/>
              <w:right w:val="single" w:color="auto" w:sz="12" w:space="0"/>
            </w:tcBorders>
            <w:vAlign w:val="center"/>
          </w:tcPr>
          <w:p>
            <w:pPr>
              <w:autoSpaceDN w:val="0"/>
              <w:spacing w:line="360" w:lineRule="auto"/>
              <w:jc w:val="center"/>
              <w:textAlignment w:val="center"/>
              <w:rPr>
                <w:rFonts w:ascii="宋体" w:hAnsi="宋体" w:cs="宋体"/>
                <w:szCs w:val="21"/>
              </w:rPr>
            </w:pPr>
            <w:r>
              <w:rPr>
                <w:rFonts w:hint="eastAsia" w:ascii="宋体" w:hAnsi="宋体" w:cs="宋体"/>
                <w:szCs w:val="21"/>
              </w:rPr>
              <w:t>业绩</w:t>
            </w:r>
          </w:p>
          <w:p>
            <w:pPr>
              <w:autoSpaceDN w:val="0"/>
              <w:spacing w:line="360" w:lineRule="auto"/>
              <w:textAlignment w:val="center"/>
              <w:rPr>
                <w:rFonts w:ascii="宋体" w:hAnsi="宋体" w:cs="宋体"/>
                <w:szCs w:val="21"/>
              </w:rPr>
            </w:pPr>
            <w:r>
              <w:rPr>
                <w:rFonts w:hint="eastAsia" w:ascii="宋体" w:hAnsi="宋体" w:cs="宋体"/>
                <w:szCs w:val="21"/>
              </w:rPr>
              <w:t>（6分）</w:t>
            </w:r>
          </w:p>
        </w:tc>
        <w:tc>
          <w:tcPr>
            <w:tcW w:w="7418" w:type="dxa"/>
            <w:tcBorders>
              <w:top w:val="single" w:color="auto" w:sz="6" w:space="0"/>
              <w:left w:val="single" w:color="auto" w:sz="6" w:space="0"/>
              <w:bottom w:val="single" w:color="auto" w:sz="4" w:space="0"/>
              <w:right w:val="single" w:color="auto" w:sz="12" w:space="0"/>
            </w:tcBorders>
            <w:vAlign w:val="center"/>
          </w:tcPr>
          <w:p>
            <w:pPr>
              <w:autoSpaceDN w:val="0"/>
              <w:spacing w:line="360" w:lineRule="auto"/>
              <w:textAlignment w:val="center"/>
              <w:rPr>
                <w:rFonts w:ascii="宋体" w:hAnsi="宋体" w:cs="宋体"/>
                <w:szCs w:val="21"/>
              </w:rPr>
            </w:pPr>
            <w:r>
              <w:rPr>
                <w:rFonts w:hint="eastAsia" w:ascii="宋体" w:hAnsi="宋体" w:cs="宋体"/>
                <w:szCs w:val="21"/>
              </w:rPr>
              <w:t>投标人提供2018年1月1日以来相同或类似项目业绩，每提供一份业绩加2分，最多加6分。（</w:t>
            </w:r>
            <w:r>
              <w:rPr>
                <w:rFonts w:hint="eastAsia" w:ascii="宋体" w:hAnsi="宋体" w:cs="宋体"/>
                <w:kern w:val="0"/>
                <w:szCs w:val="21"/>
              </w:rPr>
              <w:t>提供中标通知书、合同复印件，评标时审验原件）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876" w:type="dxa"/>
            <w:vMerge w:val="restart"/>
            <w:tcBorders>
              <w:top w:val="single" w:color="auto" w:sz="6" w:space="0"/>
              <w:left w:val="single" w:color="auto" w:sz="12" w:space="0"/>
              <w:right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3、技术部分（40分）</w:t>
            </w:r>
          </w:p>
        </w:tc>
        <w:tc>
          <w:tcPr>
            <w:tcW w:w="1107"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rFonts w:ascii="宋体" w:hAnsi="宋体" w:cs="宋体"/>
                <w:szCs w:val="21"/>
              </w:rPr>
            </w:pPr>
            <w:r>
              <w:rPr>
                <w:rFonts w:hint="eastAsia" w:ascii="宋体" w:hAnsi="宋体" w:cs="宋体"/>
                <w:szCs w:val="21"/>
              </w:rPr>
              <w:t>技术参数（35分）</w:t>
            </w: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pPr>
            <w:r>
              <w:rPr>
                <w:rFonts w:hint="eastAsia" w:ascii="宋体" w:hAnsi="宋体" w:cs="宋体"/>
                <w:kern w:val="0"/>
                <w:szCs w:val="21"/>
              </w:rPr>
              <w:t>所投产品技术参数满足或优于招标文件第五章货物及伴随服务要求的得35分； 有一项指标不满足扣1分，扣完为止。</w:t>
            </w:r>
          </w:p>
          <w:p>
            <w:pPr>
              <w:widowControl/>
              <w:spacing w:line="360" w:lineRule="auto"/>
              <w:jc w:val="left"/>
              <w:rPr>
                <w:szCs w:val="22"/>
              </w:rPr>
            </w:pPr>
            <w:r>
              <w:rPr>
                <w:rFonts w:hint="eastAsia" w:ascii="宋体" w:hAnsi="宋体" w:cs="宋体"/>
                <w:kern w:val="0"/>
                <w:szCs w:val="21"/>
              </w:rPr>
              <w:t xml:space="preserve">当该项得分为 </w:t>
            </w:r>
            <w:r>
              <w:rPr>
                <w:kern w:val="0"/>
                <w:szCs w:val="21"/>
              </w:rPr>
              <w:t xml:space="preserve">0 </w:t>
            </w:r>
            <w:r>
              <w:rPr>
                <w:rFonts w:hint="eastAsia" w:ascii="宋体" w:hAnsi="宋体" w:cs="宋体"/>
                <w:kern w:val="0"/>
                <w:szCs w:val="21"/>
              </w:rPr>
              <w:t>分时，将视为投标文件没有实质性响应招标文件，其投标文件将被认定为无效投标文件。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6" w:type="dxa"/>
            <w:vMerge w:val="continue"/>
            <w:tcBorders>
              <w:left w:val="single" w:color="auto" w:sz="12" w:space="0"/>
              <w:bottom w:val="single" w:color="auto" w:sz="6" w:space="0"/>
              <w:right w:val="single" w:color="auto" w:sz="6" w:space="0"/>
            </w:tcBorders>
            <w:vAlign w:val="center"/>
          </w:tcPr>
          <w:p>
            <w:pPr>
              <w:spacing w:line="360" w:lineRule="auto"/>
              <w:jc w:val="center"/>
              <w:rPr>
                <w:rFonts w:ascii="宋体" w:hAnsi="宋体" w:cs="宋体"/>
                <w:szCs w:val="21"/>
              </w:rPr>
            </w:pPr>
          </w:p>
        </w:tc>
        <w:tc>
          <w:tcPr>
            <w:tcW w:w="1107"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color w:val="000000"/>
                <w:kern w:val="0"/>
                <w:szCs w:val="21"/>
              </w:rPr>
              <w:t xml:space="preserve">应急方案 </w:t>
            </w:r>
          </w:p>
          <w:p>
            <w:pPr>
              <w:widowControl/>
              <w:spacing w:line="360" w:lineRule="auto"/>
              <w:jc w:val="left"/>
              <w:rPr>
                <w:szCs w:val="22"/>
              </w:rPr>
            </w:pPr>
            <w:r>
              <w:rPr>
                <w:rFonts w:hint="eastAsia" w:ascii="宋体" w:hAnsi="宋体" w:cs="宋体"/>
                <w:color w:val="000000"/>
                <w:kern w:val="0"/>
                <w:szCs w:val="21"/>
              </w:rPr>
              <w:t xml:space="preserve">（5分） </w:t>
            </w:r>
          </w:p>
          <w:p>
            <w:pPr>
              <w:widowControl/>
              <w:spacing w:line="360" w:lineRule="auto"/>
              <w:jc w:val="left"/>
              <w:rPr>
                <w:rFonts w:ascii="宋体" w:hAnsi="宋体" w:cs="宋体"/>
                <w:color w:val="0000FF"/>
                <w:kern w:val="0"/>
                <w:szCs w:val="21"/>
              </w:rPr>
            </w:pPr>
          </w:p>
        </w:tc>
        <w:tc>
          <w:tcPr>
            <w:tcW w:w="7418" w:type="dxa"/>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szCs w:val="22"/>
              </w:rPr>
            </w:pPr>
            <w:r>
              <w:rPr>
                <w:rFonts w:hint="eastAsia" w:ascii="宋体" w:hAnsi="宋体" w:cs="宋体"/>
                <w:color w:val="000000"/>
                <w:kern w:val="0"/>
                <w:szCs w:val="21"/>
              </w:rPr>
              <w:t xml:space="preserve">根据各供应商所提供的车辆可能发生的故障或出现的问题时应急解决方案的科学性、合理性、可实施性等方面打分： </w:t>
            </w:r>
          </w:p>
          <w:p>
            <w:pPr>
              <w:widowControl/>
              <w:spacing w:line="360" w:lineRule="auto"/>
              <w:jc w:val="left"/>
              <w:rPr>
                <w:szCs w:val="22"/>
              </w:rPr>
            </w:pPr>
            <w:r>
              <w:rPr>
                <w:rFonts w:hint="eastAsia" w:ascii="宋体" w:hAnsi="宋体" w:cs="宋体"/>
                <w:color w:val="000000"/>
                <w:kern w:val="0"/>
                <w:szCs w:val="21"/>
              </w:rPr>
              <w:t xml:space="preserve">应急解决方案非常科学性合理，可实施性强，得5分； </w:t>
            </w:r>
          </w:p>
          <w:p>
            <w:pPr>
              <w:widowControl/>
              <w:spacing w:line="360" w:lineRule="auto"/>
              <w:jc w:val="left"/>
              <w:rPr>
                <w:szCs w:val="22"/>
              </w:rPr>
            </w:pPr>
            <w:r>
              <w:rPr>
                <w:rFonts w:hint="eastAsia" w:ascii="宋体" w:hAnsi="宋体" w:cs="宋体"/>
                <w:color w:val="000000"/>
                <w:kern w:val="0"/>
                <w:szCs w:val="21"/>
              </w:rPr>
              <w:t xml:space="preserve">应急解决方案科学性合理，可实施性良好，得3分； </w:t>
            </w:r>
          </w:p>
          <w:p>
            <w:pPr>
              <w:widowControl/>
              <w:spacing w:line="360" w:lineRule="auto"/>
              <w:jc w:val="left"/>
              <w:rPr>
                <w:rFonts w:ascii="宋体" w:hAnsi="宋体" w:cs="宋体"/>
                <w:color w:val="0000FF"/>
                <w:kern w:val="0"/>
                <w:szCs w:val="21"/>
              </w:rPr>
            </w:pPr>
            <w:r>
              <w:rPr>
                <w:rFonts w:hint="eastAsia" w:ascii="宋体" w:hAnsi="宋体" w:cs="宋体"/>
                <w:color w:val="000000"/>
                <w:kern w:val="0"/>
                <w:szCs w:val="21"/>
              </w:rPr>
              <w:t>应急解决方案合理，可实施性一般，得1分；没有得0分。</w:t>
            </w:r>
          </w:p>
        </w:tc>
      </w:tr>
    </w:tbl>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3"/>
        <w:numPr>
          <w:ilvl w:val="0"/>
          <w:numId w:val="7"/>
        </w:numPr>
        <w:spacing w:line="240" w:lineRule="auto"/>
        <w:jc w:val="center"/>
        <w:rPr>
          <w:sz w:val="30"/>
          <w:szCs w:val="30"/>
        </w:rPr>
      </w:pPr>
      <w:r>
        <w:rPr>
          <w:rFonts w:hint="eastAsia"/>
          <w:sz w:val="30"/>
          <w:szCs w:val="30"/>
        </w:rPr>
        <w:t>技术参数及要求</w:t>
      </w:r>
      <w:bookmarkEnd w:id="43"/>
      <w:bookmarkEnd w:id="44"/>
    </w:p>
    <w:p>
      <w:pPr>
        <w:pStyle w:val="4"/>
        <w:numPr>
          <w:ilvl w:val="0"/>
          <w:numId w:val="8"/>
        </w:numPr>
        <w:spacing w:line="360" w:lineRule="auto"/>
        <w:rPr>
          <w:rFonts w:ascii="宋体" w:hAnsi="宋体" w:eastAsia="宋体"/>
          <w:b/>
          <w:bCs/>
          <w:color w:val="000000"/>
          <w:kern w:val="2"/>
          <w:sz w:val="24"/>
          <w:szCs w:val="24"/>
        </w:rPr>
      </w:pPr>
      <w:r>
        <w:rPr>
          <w:rFonts w:hint="eastAsia" w:ascii="宋体" w:hAnsi="宋体" w:eastAsia="宋体"/>
          <w:b/>
          <w:bCs/>
          <w:color w:val="000000"/>
          <w:kern w:val="2"/>
          <w:sz w:val="24"/>
          <w:szCs w:val="24"/>
        </w:rPr>
        <w:t>技术要求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（1）某项技术指标和要求如需更详细的表述，可单项另作文字说明。</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（2）招标文件中技术要求部分为满足采购人需要的最低要求，如有与某项参数描述相同，并非特指，仅为招标项目质量、档次、水平参照，评标以功能、性能为主。</w:t>
      </w:r>
    </w:p>
    <w:p>
      <w:pPr>
        <w:pStyle w:val="4"/>
        <w:spacing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二、技术参数及要求</w:t>
      </w:r>
    </w:p>
    <w:p>
      <w:pPr>
        <w:pStyle w:val="4"/>
        <w:spacing w:line="360" w:lineRule="auto"/>
        <w:ind w:firstLine="422" w:firstLineChars="175"/>
        <w:jc w:val="center"/>
        <w:rPr>
          <w:rFonts w:ascii="宋体" w:hAnsi="宋体" w:eastAsia="宋体"/>
          <w:b/>
          <w:bCs/>
          <w:color w:val="000000"/>
          <w:kern w:val="2"/>
          <w:sz w:val="24"/>
          <w:szCs w:val="24"/>
        </w:rPr>
      </w:pPr>
      <w:r>
        <w:rPr>
          <w:rFonts w:hint="eastAsia" w:ascii="宋体" w:hAnsi="宋体" w:eastAsia="宋体"/>
          <w:b/>
          <w:bCs/>
          <w:color w:val="000000"/>
          <w:kern w:val="2"/>
          <w:sz w:val="24"/>
          <w:szCs w:val="24"/>
        </w:rPr>
        <w:t>一标段（囚车）</w:t>
      </w:r>
    </w:p>
    <w:p>
      <w:pPr>
        <w:pStyle w:val="4"/>
        <w:spacing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1、采购设备清单</w:t>
      </w:r>
    </w:p>
    <w:tbl>
      <w:tblPr>
        <w:tblStyle w:val="33"/>
        <w:tblW w:w="911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431"/>
        <w:gridCol w:w="884"/>
        <w:gridCol w:w="892"/>
        <w:gridCol w:w="171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4" w:type="dxa"/>
          </w:tcPr>
          <w:p>
            <w:pPr>
              <w:spacing w:line="500" w:lineRule="exact"/>
              <w:jc w:val="center"/>
              <w:rPr>
                <w:rFonts w:ascii="宋体"/>
                <w:sz w:val="22"/>
                <w:szCs w:val="22"/>
              </w:rPr>
            </w:pPr>
            <w:r>
              <w:rPr>
                <w:rFonts w:hint="eastAsia" w:ascii="宋体" w:hAnsi="宋体"/>
                <w:sz w:val="22"/>
                <w:szCs w:val="22"/>
              </w:rPr>
              <w:t>序号</w:t>
            </w:r>
          </w:p>
        </w:tc>
        <w:tc>
          <w:tcPr>
            <w:tcW w:w="2431" w:type="dxa"/>
            <w:tcBorders>
              <w:left w:val="nil"/>
            </w:tcBorders>
          </w:tcPr>
          <w:p>
            <w:pPr>
              <w:spacing w:line="500" w:lineRule="exact"/>
              <w:jc w:val="center"/>
              <w:rPr>
                <w:rFonts w:ascii="宋体"/>
                <w:sz w:val="22"/>
                <w:szCs w:val="22"/>
              </w:rPr>
            </w:pPr>
            <w:r>
              <w:rPr>
                <w:rFonts w:hint="eastAsia" w:ascii="宋体" w:hAnsi="宋体"/>
                <w:sz w:val="22"/>
                <w:szCs w:val="22"/>
              </w:rPr>
              <w:t>名称</w:t>
            </w:r>
          </w:p>
        </w:tc>
        <w:tc>
          <w:tcPr>
            <w:tcW w:w="884" w:type="dxa"/>
            <w:tcBorders>
              <w:left w:val="nil"/>
            </w:tcBorders>
          </w:tcPr>
          <w:p>
            <w:pPr>
              <w:spacing w:line="500" w:lineRule="exact"/>
              <w:jc w:val="center"/>
              <w:rPr>
                <w:rFonts w:ascii="宋体"/>
                <w:sz w:val="22"/>
                <w:szCs w:val="22"/>
              </w:rPr>
            </w:pPr>
            <w:r>
              <w:rPr>
                <w:rFonts w:hint="eastAsia" w:ascii="宋体" w:hAnsi="宋体"/>
                <w:sz w:val="22"/>
                <w:szCs w:val="22"/>
              </w:rPr>
              <w:t>单位</w:t>
            </w:r>
          </w:p>
        </w:tc>
        <w:tc>
          <w:tcPr>
            <w:tcW w:w="892" w:type="dxa"/>
            <w:tcBorders>
              <w:left w:val="nil"/>
            </w:tcBorders>
          </w:tcPr>
          <w:p>
            <w:pPr>
              <w:spacing w:line="500" w:lineRule="exact"/>
              <w:jc w:val="center"/>
              <w:rPr>
                <w:rFonts w:ascii="宋体"/>
                <w:sz w:val="22"/>
                <w:szCs w:val="22"/>
              </w:rPr>
            </w:pPr>
            <w:r>
              <w:rPr>
                <w:rFonts w:hint="eastAsia" w:ascii="宋体" w:hAnsi="宋体"/>
                <w:sz w:val="22"/>
                <w:szCs w:val="22"/>
              </w:rPr>
              <w:t>数量</w:t>
            </w:r>
          </w:p>
        </w:tc>
        <w:tc>
          <w:tcPr>
            <w:tcW w:w="1719" w:type="dxa"/>
            <w:tcBorders>
              <w:left w:val="nil"/>
            </w:tcBorders>
          </w:tcPr>
          <w:p>
            <w:pPr>
              <w:spacing w:line="500" w:lineRule="exact"/>
              <w:jc w:val="center"/>
              <w:rPr>
                <w:rFonts w:ascii="宋体"/>
                <w:sz w:val="22"/>
                <w:szCs w:val="22"/>
              </w:rPr>
            </w:pPr>
            <w:r>
              <w:rPr>
                <w:rFonts w:hint="eastAsia" w:ascii="宋体" w:hAnsi="宋体"/>
                <w:sz w:val="22"/>
                <w:szCs w:val="22"/>
              </w:rPr>
              <w:t>预算</w:t>
            </w:r>
          </w:p>
        </w:tc>
        <w:tc>
          <w:tcPr>
            <w:tcW w:w="1977" w:type="dxa"/>
            <w:tcBorders>
              <w:left w:val="nil"/>
            </w:tcBorders>
          </w:tcPr>
          <w:p>
            <w:pPr>
              <w:spacing w:line="500" w:lineRule="exact"/>
              <w:jc w:val="center"/>
              <w:rPr>
                <w:rFonts w:asci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4" w:type="dxa"/>
            <w:vAlign w:val="center"/>
          </w:tcPr>
          <w:p>
            <w:pPr>
              <w:spacing w:line="500" w:lineRule="exact"/>
              <w:jc w:val="center"/>
              <w:rPr>
                <w:rFonts w:ascii="宋体"/>
                <w:sz w:val="22"/>
                <w:szCs w:val="22"/>
              </w:rPr>
            </w:pPr>
            <w:r>
              <w:rPr>
                <w:rFonts w:ascii="宋体" w:hAnsi="宋体"/>
                <w:sz w:val="22"/>
                <w:szCs w:val="22"/>
              </w:rPr>
              <w:t>1</w:t>
            </w:r>
          </w:p>
        </w:tc>
        <w:tc>
          <w:tcPr>
            <w:tcW w:w="2431" w:type="dxa"/>
            <w:tcBorders>
              <w:left w:val="nil"/>
            </w:tcBorders>
            <w:vAlign w:val="center"/>
          </w:tcPr>
          <w:p>
            <w:pPr>
              <w:spacing w:line="500" w:lineRule="exact"/>
              <w:rPr>
                <w:rFonts w:ascii="宋体"/>
                <w:sz w:val="22"/>
                <w:szCs w:val="22"/>
              </w:rPr>
            </w:pPr>
            <w:r>
              <w:rPr>
                <w:rFonts w:hint="eastAsia" w:ascii="宋体" w:hAnsi="宋体"/>
                <w:sz w:val="22"/>
                <w:szCs w:val="22"/>
              </w:rPr>
              <w:t>7-10人座长轴中顶押解囚车（柴油国六）</w:t>
            </w:r>
          </w:p>
        </w:tc>
        <w:tc>
          <w:tcPr>
            <w:tcW w:w="884" w:type="dxa"/>
            <w:tcBorders>
              <w:left w:val="nil"/>
            </w:tcBorders>
            <w:vAlign w:val="center"/>
          </w:tcPr>
          <w:p>
            <w:pPr>
              <w:spacing w:line="500" w:lineRule="exact"/>
              <w:jc w:val="center"/>
              <w:rPr>
                <w:rFonts w:ascii="宋体"/>
                <w:sz w:val="22"/>
                <w:szCs w:val="22"/>
              </w:rPr>
            </w:pPr>
            <w:r>
              <w:rPr>
                <w:rFonts w:hint="eastAsia" w:ascii="宋体" w:hAnsi="宋体"/>
                <w:sz w:val="22"/>
                <w:szCs w:val="22"/>
              </w:rPr>
              <w:t>辆</w:t>
            </w:r>
          </w:p>
        </w:tc>
        <w:tc>
          <w:tcPr>
            <w:tcW w:w="892" w:type="dxa"/>
            <w:tcBorders>
              <w:left w:val="nil"/>
            </w:tcBorders>
            <w:vAlign w:val="center"/>
          </w:tcPr>
          <w:p>
            <w:pPr>
              <w:spacing w:line="500" w:lineRule="exact"/>
              <w:jc w:val="center"/>
              <w:rPr>
                <w:rFonts w:ascii="宋体"/>
                <w:sz w:val="22"/>
                <w:szCs w:val="22"/>
              </w:rPr>
            </w:pPr>
            <w:r>
              <w:rPr>
                <w:rFonts w:hint="eastAsia" w:ascii="宋体"/>
                <w:sz w:val="22"/>
                <w:szCs w:val="22"/>
              </w:rPr>
              <w:t>2</w:t>
            </w:r>
          </w:p>
        </w:tc>
        <w:tc>
          <w:tcPr>
            <w:tcW w:w="1719" w:type="dxa"/>
            <w:tcBorders>
              <w:left w:val="nil"/>
            </w:tcBorders>
            <w:vAlign w:val="center"/>
          </w:tcPr>
          <w:p>
            <w:pPr>
              <w:spacing w:line="500" w:lineRule="exact"/>
              <w:jc w:val="center"/>
              <w:rPr>
                <w:rFonts w:ascii="宋体"/>
                <w:sz w:val="22"/>
                <w:szCs w:val="22"/>
              </w:rPr>
            </w:pPr>
            <w:r>
              <w:rPr>
                <w:rFonts w:hint="eastAsia" w:ascii="宋体"/>
                <w:sz w:val="22"/>
                <w:szCs w:val="22"/>
              </w:rPr>
              <w:t>661000元</w:t>
            </w:r>
          </w:p>
        </w:tc>
        <w:tc>
          <w:tcPr>
            <w:tcW w:w="1977" w:type="dxa"/>
            <w:tcBorders>
              <w:left w:val="nil"/>
            </w:tcBorders>
            <w:vAlign w:val="center"/>
          </w:tcPr>
          <w:p>
            <w:pPr>
              <w:spacing w:line="500" w:lineRule="exact"/>
              <w:jc w:val="center"/>
              <w:rPr>
                <w:rFonts w:ascii="宋体"/>
                <w:sz w:val="22"/>
                <w:szCs w:val="22"/>
              </w:rPr>
            </w:pPr>
            <w:r>
              <w:rPr>
                <w:rFonts w:hint="eastAsia" w:ascii="宋体" w:hAnsi="宋体"/>
                <w:sz w:val="22"/>
                <w:szCs w:val="22"/>
              </w:rPr>
              <w:t>详细技术参数附后</w:t>
            </w:r>
          </w:p>
        </w:tc>
      </w:tr>
    </w:tbl>
    <w:p/>
    <w:p>
      <w:pPr>
        <w:pStyle w:val="4"/>
        <w:spacing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2、国六柴油囚车技术参数要求：</w:t>
      </w:r>
    </w:p>
    <w:tbl>
      <w:tblPr>
        <w:tblStyle w:val="33"/>
        <w:tblW w:w="9150" w:type="dxa"/>
        <w:jc w:val="center"/>
        <w:tblLayout w:type="fixed"/>
        <w:tblCellMar>
          <w:top w:w="0" w:type="dxa"/>
          <w:left w:w="108" w:type="dxa"/>
          <w:bottom w:w="0" w:type="dxa"/>
          <w:right w:w="108" w:type="dxa"/>
        </w:tblCellMar>
      </w:tblPr>
      <w:tblGrid>
        <w:gridCol w:w="1092"/>
        <w:gridCol w:w="2386"/>
        <w:gridCol w:w="4430"/>
        <w:gridCol w:w="1242"/>
      </w:tblGrid>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2"/>
                <w:szCs w:val="22"/>
              </w:rPr>
            </w:pPr>
            <w:r>
              <w:rPr>
                <w:rFonts w:hint="eastAsia" w:ascii="宋体" w:hAnsi="宋体" w:cs="宋体"/>
                <w:b/>
                <w:kern w:val="0"/>
                <w:sz w:val="22"/>
                <w:szCs w:val="22"/>
              </w:rPr>
              <w:t>技术参数</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2"/>
                <w:szCs w:val="22"/>
              </w:rPr>
            </w:pPr>
            <w:r>
              <w:rPr>
                <w:rFonts w:hint="eastAsia" w:ascii="宋体" w:hAnsi="宋体" w:cs="宋体"/>
                <w:b/>
                <w:kern w:val="0"/>
                <w:sz w:val="22"/>
                <w:szCs w:val="22"/>
              </w:rPr>
              <w:t>指标</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2"/>
                <w:szCs w:val="22"/>
              </w:rPr>
            </w:pPr>
            <w:r>
              <w:rPr>
                <w:rFonts w:hint="eastAsia" w:ascii="宋体" w:hAnsi="宋体" w:cs="宋体"/>
                <w:b/>
                <w:kern w:val="0"/>
                <w:sz w:val="22"/>
                <w:szCs w:val="22"/>
              </w:rPr>
              <w:t>备注</w:t>
            </w: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w:t>
            </w:r>
            <w:r>
              <w:rPr>
                <w:rFonts w:hint="eastAsia" w:ascii="宋体" w:hAnsi="宋体" w:cs="宋体"/>
                <w:kern w:val="0"/>
                <w:sz w:val="22"/>
                <w:szCs w:val="22"/>
              </w:rPr>
              <w:t>1</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基本车型</w:t>
            </w:r>
          </w:p>
        </w:tc>
        <w:tc>
          <w:tcPr>
            <w:tcW w:w="443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sz w:val="22"/>
                <w:szCs w:val="22"/>
              </w:rPr>
              <w:t>承载式车身</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2</w:t>
            </w:r>
          </w:p>
        </w:tc>
        <w:tc>
          <w:tcPr>
            <w:tcW w:w="2386"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车身颜色</w:t>
            </w:r>
          </w:p>
        </w:tc>
        <w:tc>
          <w:tcPr>
            <w:tcW w:w="443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白、蓝色</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车门形式</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前两开门+后双开门+单侧开门</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w:t>
            </w:r>
            <w:r>
              <w:rPr>
                <w:rFonts w:hint="eastAsia" w:ascii="宋体" w:hAnsi="宋体" w:cs="宋体"/>
                <w:kern w:val="0"/>
                <w:sz w:val="22"/>
                <w:szCs w:val="22"/>
              </w:rPr>
              <w:t>4</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2"/>
                <w:szCs w:val="22"/>
              </w:rPr>
            </w:pPr>
            <w:r>
              <w:rPr>
                <w:rFonts w:hint="eastAsia" w:ascii="宋体" w:hAnsi="宋体" w:cs="宋体"/>
                <w:sz w:val="22"/>
                <w:szCs w:val="22"/>
              </w:rPr>
              <w:t>车身结构</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整车一体式结构</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燃油类型</w:t>
            </w:r>
          </w:p>
        </w:tc>
        <w:tc>
          <w:tcPr>
            <w:tcW w:w="4430" w:type="dxa"/>
            <w:tcBorders>
              <w:top w:val="single" w:color="auto" w:sz="4" w:space="0"/>
              <w:left w:val="nil"/>
              <w:bottom w:val="single" w:color="auto" w:sz="4" w:space="0"/>
              <w:right w:val="single" w:color="auto" w:sz="4" w:space="0"/>
            </w:tcBorders>
            <w:vAlign w:val="center"/>
          </w:tcPr>
          <w:p>
            <w:pPr>
              <w:widowControl/>
              <w:ind w:firstLine="1540" w:firstLineChars="700"/>
              <w:rPr>
                <w:rFonts w:ascii="宋体" w:hAnsi="宋体" w:cs="宋体"/>
                <w:kern w:val="0"/>
                <w:sz w:val="22"/>
                <w:szCs w:val="22"/>
              </w:rPr>
            </w:pPr>
            <w:r>
              <w:rPr>
                <w:rFonts w:hint="eastAsia" w:ascii="宋体" w:hAnsi="宋体" w:cs="宋体"/>
                <w:kern w:val="0"/>
                <w:sz w:val="22"/>
                <w:szCs w:val="22"/>
              </w:rPr>
              <w:t>柴油</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69"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w:t>
            </w:r>
            <w:r>
              <w:rPr>
                <w:rFonts w:hint="eastAsia" w:ascii="宋体" w:hAnsi="宋体" w:cs="宋体"/>
                <w:kern w:val="0"/>
                <w:sz w:val="22"/>
                <w:szCs w:val="22"/>
              </w:rPr>
              <w:t>6</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排放标准</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符合</w:t>
            </w:r>
            <w:r>
              <w:rPr>
                <w:rFonts w:hint="eastAsia" w:ascii="宋体" w:hAnsi="宋体" w:cs="宋体"/>
                <w:b/>
                <w:kern w:val="0"/>
                <w:sz w:val="22"/>
                <w:szCs w:val="22"/>
              </w:rPr>
              <w:t>国六</w:t>
            </w:r>
            <w:r>
              <w:rPr>
                <w:rFonts w:hint="eastAsia" w:ascii="宋体" w:hAnsi="宋体" w:cs="宋体"/>
                <w:kern w:val="0"/>
                <w:sz w:val="22"/>
                <w:szCs w:val="22"/>
              </w:rPr>
              <w:t>及以上排放标准</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百公里油耗</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≤10L/100km</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发动机排量</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color w:val="000000"/>
                <w:sz w:val="22"/>
                <w:szCs w:val="22"/>
              </w:rPr>
              <w:t>≥</w:t>
            </w:r>
            <w:r>
              <w:rPr>
                <w:rFonts w:hint="eastAsia" w:ascii="宋体" w:hAnsi="宋体" w:cs="宋体"/>
                <w:kern w:val="0"/>
                <w:sz w:val="22"/>
                <w:szCs w:val="22"/>
              </w:rPr>
              <w:t>2.1L</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2"/>
                <w:szCs w:val="22"/>
              </w:rPr>
            </w:pPr>
            <w:r>
              <w:rPr>
                <w:rFonts w:hint="eastAsia" w:ascii="宋体" w:hAnsi="宋体" w:cs="宋体"/>
                <w:sz w:val="22"/>
                <w:szCs w:val="22"/>
              </w:rPr>
              <w:t>发动机工作方式</w:t>
            </w:r>
          </w:p>
        </w:tc>
        <w:tc>
          <w:tcPr>
            <w:tcW w:w="443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水冷、直列四缸、涡轮增压、高压共轨</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238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驱动形式</w:t>
            </w:r>
          </w:p>
        </w:tc>
        <w:tc>
          <w:tcPr>
            <w:tcW w:w="44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发动机前置后驱</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238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color w:val="5C6066"/>
                <w:sz w:val="22"/>
                <w:szCs w:val="22"/>
                <w:shd w:val="clear" w:color="auto" w:fill="FFFFFF"/>
              </w:rPr>
              <w:t>变速箱</w:t>
            </w:r>
          </w:p>
        </w:tc>
        <w:tc>
          <w:tcPr>
            <w:tcW w:w="44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6档,手动变速箱</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w:t>
            </w:r>
            <w:r>
              <w:rPr>
                <w:rFonts w:hint="eastAsia" w:ascii="宋体" w:hAnsi="宋体" w:cs="宋体"/>
                <w:kern w:val="0"/>
                <w:sz w:val="22"/>
                <w:szCs w:val="22"/>
              </w:rPr>
              <w:t>12</w:t>
            </w:r>
          </w:p>
        </w:tc>
        <w:tc>
          <w:tcPr>
            <w:tcW w:w="238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标定功率</w:t>
            </w:r>
          </w:p>
        </w:tc>
        <w:tc>
          <w:tcPr>
            <w:tcW w:w="4430" w:type="dxa"/>
            <w:tcBorders>
              <w:top w:val="nil"/>
              <w:left w:val="nil"/>
              <w:bottom w:val="single" w:color="auto" w:sz="4" w:space="0"/>
              <w:right w:val="single" w:color="auto" w:sz="4" w:space="0"/>
            </w:tcBorders>
            <w:vAlign w:val="center"/>
          </w:tcPr>
          <w:p>
            <w:pPr>
              <w:widowControl/>
              <w:ind w:firstLine="1540" w:firstLineChars="700"/>
              <w:rPr>
                <w:rFonts w:ascii="宋体" w:hAnsi="宋体" w:cs="宋体"/>
                <w:kern w:val="0"/>
                <w:sz w:val="22"/>
                <w:szCs w:val="22"/>
              </w:rPr>
            </w:pPr>
            <w:r>
              <w:rPr>
                <w:rFonts w:hint="eastAsia" w:ascii="宋体" w:hAnsi="宋体" w:cs="宋体"/>
                <w:kern w:val="0"/>
                <w:sz w:val="22"/>
                <w:szCs w:val="22"/>
              </w:rPr>
              <w:t>≥103Kw</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w:t>
            </w:r>
            <w:r>
              <w:rPr>
                <w:rFonts w:hint="eastAsia" w:ascii="宋体" w:hAnsi="宋体" w:cs="宋体"/>
                <w:kern w:val="0"/>
                <w:sz w:val="22"/>
                <w:szCs w:val="22"/>
              </w:rPr>
              <w:t>13</w:t>
            </w:r>
          </w:p>
        </w:tc>
        <w:tc>
          <w:tcPr>
            <w:tcW w:w="238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最大扭矩</w:t>
            </w:r>
          </w:p>
        </w:tc>
        <w:tc>
          <w:tcPr>
            <w:tcW w:w="44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≥340Nm</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238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轴距</w:t>
            </w:r>
          </w:p>
        </w:tc>
        <w:tc>
          <w:tcPr>
            <w:tcW w:w="44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≤3800mm</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238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轮胎数</w:t>
            </w:r>
          </w:p>
        </w:tc>
        <w:tc>
          <w:tcPr>
            <w:tcW w:w="44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238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转向系统</w:t>
            </w:r>
          </w:p>
        </w:tc>
        <w:tc>
          <w:tcPr>
            <w:tcW w:w="44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带助力转向系统</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乘座人数（含驾驶员）</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9"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w:t>
            </w:r>
            <w:r>
              <w:rPr>
                <w:rFonts w:hint="eastAsia" w:ascii="宋体" w:hAnsi="宋体" w:cs="宋体"/>
                <w:kern w:val="0"/>
                <w:sz w:val="22"/>
                <w:szCs w:val="22"/>
              </w:rPr>
              <w:t>18</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外形尺寸（mm)</w:t>
            </w:r>
          </w:p>
        </w:tc>
        <w:tc>
          <w:tcPr>
            <w:tcW w:w="4430"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2"/>
                <w:szCs w:val="22"/>
              </w:rPr>
            </w:pPr>
            <w:r>
              <w:rPr>
                <w:rFonts w:hint="eastAsia" w:ascii="宋体" w:hAnsi="宋体" w:cs="宋体"/>
                <w:color w:val="000000"/>
                <w:sz w:val="22"/>
                <w:szCs w:val="22"/>
              </w:rPr>
              <w:t>长≥5750，宽≤2000，高≥2450</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63"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sz w:val="22"/>
                <w:szCs w:val="22"/>
              </w:rPr>
              <w:t>*19</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安全</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四轮盘式制动带ABS</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空调系统</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冷暖一体中央空调</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27"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21</w:t>
            </w:r>
          </w:p>
        </w:tc>
        <w:tc>
          <w:tcPr>
            <w:tcW w:w="2386"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其它</w:t>
            </w:r>
          </w:p>
        </w:tc>
        <w:tc>
          <w:tcPr>
            <w:tcW w:w="443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中控锁、倒车影像，导航。</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512"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22</w:t>
            </w:r>
          </w:p>
        </w:tc>
        <w:tc>
          <w:tcPr>
            <w:tcW w:w="23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三包政策</w:t>
            </w:r>
          </w:p>
        </w:tc>
        <w:tc>
          <w:tcPr>
            <w:tcW w:w="4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3年或6万公里</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bl>
    <w:p>
      <w:pPr>
        <w:pStyle w:val="4"/>
        <w:numPr>
          <w:ilvl w:val="0"/>
          <w:numId w:val="9"/>
        </w:numPr>
        <w:spacing w:before="240" w:beforeLines="100"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改装要求：符合最高人民法院六专四室改装要求</w:t>
      </w:r>
    </w:p>
    <w:p>
      <w:pPr>
        <w:pStyle w:val="4"/>
        <w:spacing w:line="360" w:lineRule="auto"/>
        <w:ind w:firstLine="0"/>
        <w:jc w:val="center"/>
        <w:rPr>
          <w:rFonts w:ascii="宋体" w:hAnsi="宋体" w:eastAsia="宋体"/>
          <w:b/>
          <w:bCs/>
          <w:color w:val="000000"/>
          <w:kern w:val="2"/>
          <w:sz w:val="24"/>
          <w:szCs w:val="24"/>
        </w:rPr>
      </w:pPr>
      <w:r>
        <w:rPr>
          <w:rFonts w:hint="eastAsia" w:ascii="宋体" w:hAnsi="宋体" w:eastAsia="宋体"/>
          <w:b/>
          <w:bCs/>
          <w:color w:val="000000"/>
          <w:kern w:val="2"/>
          <w:sz w:val="24"/>
          <w:szCs w:val="24"/>
        </w:rPr>
        <w:t>标准型配置清单</w:t>
      </w:r>
    </w:p>
    <w:tbl>
      <w:tblPr>
        <w:tblStyle w:val="33"/>
        <w:tblW w:w="9158" w:type="dxa"/>
        <w:tblInd w:w="-52" w:type="dxa"/>
        <w:tblLayout w:type="fixed"/>
        <w:tblCellMar>
          <w:top w:w="0" w:type="dxa"/>
          <w:left w:w="0" w:type="dxa"/>
          <w:bottom w:w="0" w:type="dxa"/>
          <w:right w:w="0" w:type="dxa"/>
        </w:tblCellMar>
      </w:tblPr>
      <w:tblGrid>
        <w:gridCol w:w="615"/>
        <w:gridCol w:w="1207"/>
        <w:gridCol w:w="2798"/>
        <w:gridCol w:w="885"/>
        <w:gridCol w:w="3653"/>
      </w:tblGrid>
      <w:tr>
        <w:tblPrEx>
          <w:tblCellMar>
            <w:top w:w="0" w:type="dxa"/>
            <w:left w:w="0" w:type="dxa"/>
            <w:bottom w:w="0" w:type="dxa"/>
            <w:right w:w="0" w:type="dxa"/>
          </w:tblCellMar>
        </w:tblPrEx>
        <w:trPr>
          <w:trHeight w:val="31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功能分类</w:t>
            </w:r>
          </w:p>
        </w:tc>
        <w:tc>
          <w:tcPr>
            <w:tcW w:w="2798"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设备名称/型号</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数量</w:t>
            </w:r>
          </w:p>
        </w:tc>
        <w:tc>
          <w:tcPr>
            <w:tcW w:w="3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说明</w:t>
            </w:r>
          </w:p>
        </w:tc>
      </w:tr>
      <w:tr>
        <w:tblPrEx>
          <w:tblCellMar>
            <w:top w:w="0" w:type="dxa"/>
            <w:left w:w="0" w:type="dxa"/>
            <w:bottom w:w="0" w:type="dxa"/>
            <w:right w:w="0" w:type="dxa"/>
          </w:tblCellMar>
        </w:tblPrEx>
        <w:trPr>
          <w:trHeight w:val="31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3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r>
      <w:tr>
        <w:tblPrEx>
          <w:tblCellMar>
            <w:top w:w="0" w:type="dxa"/>
            <w:left w:w="0" w:type="dxa"/>
            <w:bottom w:w="0" w:type="dxa"/>
            <w:right w:w="0" w:type="dxa"/>
          </w:tblCellMar>
        </w:tblPrEx>
        <w:trPr>
          <w:trHeight w:val="31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1</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警示系统</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长排警灯警报器，星际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1.4米、200W</w:t>
            </w:r>
          </w:p>
        </w:tc>
      </w:tr>
      <w:tr>
        <w:tblPrEx>
          <w:tblCellMar>
            <w:top w:w="0" w:type="dxa"/>
            <w:left w:w="0" w:type="dxa"/>
            <w:bottom w:w="0" w:type="dxa"/>
            <w:right w:w="0" w:type="dxa"/>
          </w:tblCellMar>
        </w:tblPrEx>
        <w:trPr>
          <w:trHeight w:val="31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10盏红蓝爆闪灯一体式警灯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31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车辆外观，JSV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04制警用标识及警蓝</w:t>
            </w:r>
          </w:p>
        </w:tc>
      </w:tr>
      <w:tr>
        <w:tblPrEx>
          <w:tblCellMar>
            <w:top w:w="0" w:type="dxa"/>
            <w:left w:w="0" w:type="dxa"/>
            <w:bottom w:w="0" w:type="dxa"/>
            <w:right w:w="0" w:type="dxa"/>
          </w:tblCellMar>
        </w:tblPrEx>
        <w:trPr>
          <w:trHeight w:val="31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2</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安全防护</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车窗太阳膜，KDX</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深色，不含前挡窗</w:t>
            </w:r>
          </w:p>
        </w:tc>
      </w:tr>
      <w:tr>
        <w:tblPrEx>
          <w:tblCellMar>
            <w:top w:w="0" w:type="dxa"/>
            <w:left w:w="0" w:type="dxa"/>
            <w:bottom w:w="0" w:type="dxa"/>
            <w:right w:w="0" w:type="dxa"/>
          </w:tblCellMar>
        </w:tblPrEx>
        <w:trPr>
          <w:trHeight w:val="6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防扎轮胎，JSV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4条</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轮胎正面被直径6MM以内物体刺破后可自修复</w:t>
            </w:r>
          </w:p>
        </w:tc>
      </w:tr>
      <w:tr>
        <w:tblPrEx>
          <w:tblCellMar>
            <w:top w:w="0" w:type="dxa"/>
            <w:left w:w="0" w:type="dxa"/>
            <w:bottom w:w="0" w:type="dxa"/>
            <w:right w:w="0" w:type="dxa"/>
          </w:tblCellMar>
        </w:tblPrEx>
        <w:trPr>
          <w:trHeight w:val="31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p>
        </w:tc>
        <w:tc>
          <w:tcPr>
            <w:tcW w:w="120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监控系统</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4G高清硬盘录像机，大华</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DH-MNVR1104,1T硬盘</w:t>
            </w:r>
          </w:p>
        </w:tc>
      </w:tr>
      <w:tr>
        <w:tblPrEx>
          <w:tblCellMar>
            <w:top w:w="0" w:type="dxa"/>
            <w:left w:w="0" w:type="dxa"/>
            <w:bottom w:w="0" w:type="dxa"/>
            <w:right w:w="0" w:type="dxa"/>
          </w:tblCellMar>
        </w:tblPrEx>
        <w:trPr>
          <w:trHeight w:val="87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高清监控摄像头，大华</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8个</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囚室布置4个摄像头，警员区内布置2个摄像头，车辆前后各布置一个摄像头</w:t>
            </w:r>
          </w:p>
        </w:tc>
      </w:tr>
      <w:tr>
        <w:tblPrEx>
          <w:tblCellMar>
            <w:top w:w="0" w:type="dxa"/>
            <w:left w:w="0" w:type="dxa"/>
            <w:bottom w:w="0" w:type="dxa"/>
            <w:right w:w="0" w:type="dxa"/>
          </w:tblCellMar>
        </w:tblPrEx>
        <w:trPr>
          <w:trHeight w:val="31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专用监视器，明景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1个</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遮阳板式，9寸</w:t>
            </w:r>
          </w:p>
        </w:tc>
      </w:tr>
      <w:tr>
        <w:tblPrEx>
          <w:tblCellMar>
            <w:top w:w="0" w:type="dxa"/>
            <w:left w:w="0" w:type="dxa"/>
            <w:bottom w:w="0" w:type="dxa"/>
            <w:right w:w="0" w:type="dxa"/>
          </w:tblCellMar>
        </w:tblPrEx>
        <w:trPr>
          <w:trHeight w:val="31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行车记录仪，创维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1个</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1080P，32G,含视频倒车</w:t>
            </w:r>
          </w:p>
        </w:tc>
      </w:tr>
      <w:tr>
        <w:tblPrEx>
          <w:tblCellMar>
            <w:top w:w="0" w:type="dxa"/>
            <w:left w:w="0" w:type="dxa"/>
            <w:bottom w:w="0" w:type="dxa"/>
            <w:right w:w="0" w:type="dxa"/>
          </w:tblCellMar>
        </w:tblPrEx>
        <w:trPr>
          <w:trHeight w:val="3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照明系统</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照明灯，JSV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4个</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LED光源</w:t>
            </w:r>
          </w:p>
        </w:tc>
      </w:tr>
      <w:tr>
        <w:tblPrEx>
          <w:tblCellMar>
            <w:top w:w="0" w:type="dxa"/>
            <w:left w:w="0" w:type="dxa"/>
            <w:bottom w:w="0" w:type="dxa"/>
            <w:right w:w="0" w:type="dxa"/>
          </w:tblCellMar>
        </w:tblPrEx>
        <w:trPr>
          <w:trHeight w:val="79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5</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囚室系统</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一体式软饰囚笼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钢制骨架，软饰面料，分成四个独立囚室</w:t>
            </w:r>
          </w:p>
        </w:tc>
      </w:tr>
      <w:tr>
        <w:tblPrEx>
          <w:tblCellMar>
            <w:top w:w="0" w:type="dxa"/>
            <w:left w:w="0" w:type="dxa"/>
            <w:bottom w:w="0" w:type="dxa"/>
            <w:right w:w="0" w:type="dxa"/>
          </w:tblCellMar>
        </w:tblPrEx>
        <w:trPr>
          <w:trHeight w:val="31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脚铐地环，JSV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4个</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固定脚铐用</w:t>
            </w:r>
          </w:p>
        </w:tc>
      </w:tr>
      <w:tr>
        <w:tblPrEx>
          <w:tblCellMar>
            <w:top w:w="0" w:type="dxa"/>
            <w:left w:w="0" w:type="dxa"/>
            <w:bottom w:w="0" w:type="dxa"/>
            <w:right w:w="0" w:type="dxa"/>
          </w:tblCellMar>
        </w:tblPrEx>
        <w:trPr>
          <w:trHeight w:val="420" w:hRule="atLeast"/>
        </w:trPr>
        <w:tc>
          <w:tcPr>
            <w:tcW w:w="61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6</w:t>
            </w:r>
          </w:p>
        </w:tc>
        <w:tc>
          <w:tcPr>
            <w:tcW w:w="120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座椅内饰</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单人座椅，JSV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警员座椅，三点式安全带</w:t>
            </w:r>
          </w:p>
        </w:tc>
      </w:tr>
      <w:tr>
        <w:tblPrEx>
          <w:tblCellMar>
            <w:top w:w="0" w:type="dxa"/>
            <w:left w:w="0" w:type="dxa"/>
            <w:bottom w:w="0" w:type="dxa"/>
            <w:right w:w="0" w:type="dxa"/>
          </w:tblCellMar>
        </w:tblPrEx>
        <w:trPr>
          <w:trHeight w:val="555" w:hRule="atLeast"/>
        </w:trPr>
        <w:tc>
          <w:tcPr>
            <w:tcW w:w="61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单人囚椅，JSV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满足单人使用，带支撑杠，两点式安全带</w:t>
            </w:r>
          </w:p>
        </w:tc>
      </w:tr>
      <w:tr>
        <w:tblPrEx>
          <w:tblCellMar>
            <w:top w:w="0" w:type="dxa"/>
            <w:left w:w="0" w:type="dxa"/>
            <w:bottom w:w="0" w:type="dxa"/>
            <w:right w:w="0" w:type="dxa"/>
          </w:tblCellMar>
        </w:tblPrEx>
        <w:trPr>
          <w:trHeight w:val="510" w:hRule="atLeast"/>
        </w:trPr>
        <w:tc>
          <w:tcPr>
            <w:tcW w:w="61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座椅包真皮，JSV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警员座椅包覆皮质面料</w:t>
            </w:r>
          </w:p>
        </w:tc>
      </w:tr>
      <w:tr>
        <w:tblPrEx>
          <w:tblCellMar>
            <w:top w:w="0" w:type="dxa"/>
            <w:left w:w="0" w:type="dxa"/>
            <w:bottom w:w="0" w:type="dxa"/>
            <w:right w:w="0" w:type="dxa"/>
          </w:tblCellMar>
        </w:tblPrEx>
        <w:trPr>
          <w:trHeight w:val="3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橱柜系统</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储物柜，JSV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实木制，上翻门</w:t>
            </w:r>
          </w:p>
        </w:tc>
      </w:tr>
      <w:tr>
        <w:tblPrEx>
          <w:tblCellMar>
            <w:top w:w="0" w:type="dxa"/>
            <w:left w:w="0" w:type="dxa"/>
            <w:bottom w:w="0" w:type="dxa"/>
            <w:right w:w="0" w:type="dxa"/>
          </w:tblCellMar>
        </w:tblPrEx>
        <w:trPr>
          <w:trHeight w:val="405" w:hRule="atLeast"/>
        </w:trPr>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法规要求</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汽车行驶记录仪，JSV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满足法规要求</w:t>
            </w:r>
          </w:p>
        </w:tc>
      </w:tr>
      <w:tr>
        <w:tblPrEx>
          <w:tblCellMar>
            <w:top w:w="0" w:type="dxa"/>
            <w:left w:w="0" w:type="dxa"/>
            <w:bottom w:w="0" w:type="dxa"/>
            <w:right w:w="0"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9</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辅助材料</w:t>
            </w: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电器辅助材料，JSV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电路控制器、保险、电气线束及开关等</w:t>
            </w:r>
          </w:p>
        </w:tc>
      </w:tr>
      <w:tr>
        <w:tblPrEx>
          <w:tblCellMar>
            <w:top w:w="0" w:type="dxa"/>
            <w:left w:w="0" w:type="dxa"/>
            <w:bottom w:w="0" w:type="dxa"/>
            <w:right w:w="0"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装配辅助材料，JSV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易损件、小五金、板材、胶等</w:t>
            </w:r>
          </w:p>
        </w:tc>
      </w:tr>
      <w:tr>
        <w:tblPrEx>
          <w:tblCellMar>
            <w:top w:w="0" w:type="dxa"/>
            <w:left w:w="0" w:type="dxa"/>
            <w:bottom w:w="0" w:type="dxa"/>
            <w:right w:w="0"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尾门上车辅助踏板</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前保险杠</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控制面板，JSV</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1套</w:t>
            </w:r>
          </w:p>
        </w:tc>
        <w:tc>
          <w:tcPr>
            <w:tcW w:w="3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亚克力，集成设备开关</w:t>
            </w:r>
          </w:p>
        </w:tc>
      </w:tr>
    </w:tbl>
    <w:p>
      <w:pPr>
        <w:spacing w:line="360" w:lineRule="auto"/>
        <w:rPr>
          <w:rFonts w:ascii="宋体" w:hAnsi="宋体" w:cs="宋体"/>
          <w:b/>
          <w:sz w:val="24"/>
          <w:szCs w:val="24"/>
        </w:rPr>
      </w:pPr>
    </w:p>
    <w:p>
      <w:pPr>
        <w:pStyle w:val="4"/>
        <w:spacing w:before="240" w:beforeLines="100"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4、质量保证及验收办法：</w:t>
      </w:r>
    </w:p>
    <w:p>
      <w:pPr>
        <w:spacing w:line="360" w:lineRule="auto"/>
        <w:ind w:firstLine="422" w:firstLineChars="175"/>
        <w:rPr>
          <w:rFonts w:ascii="宋体" w:hAnsi="宋体" w:cs="宋体"/>
          <w:b/>
          <w:sz w:val="24"/>
          <w:szCs w:val="24"/>
        </w:rPr>
      </w:pPr>
      <w:bookmarkStart w:id="45" w:name="_Toc393319091"/>
      <w:bookmarkStart w:id="46" w:name="_Toc393319334"/>
      <w:bookmarkStart w:id="47" w:name="_Toc393319427"/>
      <w:bookmarkStart w:id="48" w:name="_Toc184299418"/>
      <w:r>
        <w:rPr>
          <w:rFonts w:hint="eastAsia" w:ascii="宋体" w:hAnsi="宋体" w:cs="宋体"/>
          <w:b/>
          <w:sz w:val="24"/>
          <w:szCs w:val="24"/>
        </w:rPr>
        <w:t>（1）质量保证</w:t>
      </w:r>
      <w:bookmarkEnd w:id="45"/>
      <w:bookmarkEnd w:id="46"/>
      <w:bookmarkEnd w:id="47"/>
      <w:bookmarkEnd w:id="48"/>
    </w:p>
    <w:p>
      <w:pPr>
        <w:spacing w:line="360" w:lineRule="auto"/>
        <w:ind w:firstLine="420" w:firstLineChars="175"/>
        <w:rPr>
          <w:rFonts w:ascii="宋体" w:hAnsi="宋体" w:cs="宋体"/>
          <w:sz w:val="24"/>
          <w:szCs w:val="24"/>
        </w:rPr>
      </w:pPr>
      <w:bookmarkStart w:id="49" w:name="_Toc393319092"/>
      <w:bookmarkStart w:id="50" w:name="_Toc393319428"/>
      <w:bookmarkStart w:id="51" w:name="_Toc393319335"/>
      <w:r>
        <w:rPr>
          <w:rFonts w:hint="eastAsia" w:ascii="宋体" w:hAnsi="宋体" w:cs="宋体"/>
          <w:sz w:val="24"/>
          <w:szCs w:val="24"/>
        </w:rPr>
        <w:t>1）投标人须严格按照符合国家强制性标准进行设计和制造，满足本技术要求。</w:t>
      </w:r>
    </w:p>
    <w:p>
      <w:pPr>
        <w:spacing w:line="360" w:lineRule="auto"/>
        <w:ind w:firstLine="420" w:firstLineChars="175"/>
        <w:rPr>
          <w:rFonts w:ascii="宋体" w:hAnsi="宋体" w:cs="宋体"/>
          <w:sz w:val="24"/>
          <w:szCs w:val="24"/>
        </w:rPr>
      </w:pPr>
      <w:r>
        <w:rPr>
          <w:rFonts w:hint="eastAsia" w:ascii="宋体" w:hAnsi="宋体" w:cs="宋体"/>
          <w:sz w:val="24"/>
          <w:szCs w:val="24"/>
        </w:rPr>
        <w:t>2）交货时必须提供完整的操作手册及符合机动车登记使用的完整材料。</w:t>
      </w:r>
    </w:p>
    <w:bookmarkEnd w:id="49"/>
    <w:bookmarkEnd w:id="50"/>
    <w:bookmarkEnd w:id="51"/>
    <w:p>
      <w:pPr>
        <w:spacing w:line="360" w:lineRule="auto"/>
        <w:ind w:firstLine="422" w:firstLineChars="175"/>
        <w:rPr>
          <w:rFonts w:ascii="宋体" w:hAnsi="宋体" w:cs="宋体"/>
          <w:b/>
          <w:sz w:val="24"/>
          <w:szCs w:val="24"/>
        </w:rPr>
      </w:pPr>
      <w:r>
        <w:rPr>
          <w:rFonts w:hint="eastAsia" w:ascii="宋体" w:hAnsi="宋体" w:cs="宋体"/>
          <w:b/>
          <w:sz w:val="24"/>
          <w:szCs w:val="24"/>
        </w:rPr>
        <w:t>（2）交付期、交付地点</w:t>
      </w:r>
    </w:p>
    <w:p>
      <w:pPr>
        <w:spacing w:line="360" w:lineRule="auto"/>
        <w:ind w:firstLine="420" w:firstLineChars="175"/>
        <w:rPr>
          <w:rFonts w:ascii="宋体" w:hAnsi="宋体" w:cs="宋体"/>
          <w:sz w:val="24"/>
          <w:szCs w:val="24"/>
        </w:rPr>
      </w:pPr>
      <w:r>
        <w:rPr>
          <w:rFonts w:hint="eastAsia" w:ascii="宋体" w:hAnsi="宋体" w:cs="宋体"/>
          <w:sz w:val="24"/>
          <w:szCs w:val="24"/>
        </w:rPr>
        <w:t>1）交付期：合同签订后30日历天</w:t>
      </w:r>
    </w:p>
    <w:p>
      <w:pPr>
        <w:spacing w:line="360" w:lineRule="auto"/>
        <w:ind w:firstLine="420" w:firstLineChars="175"/>
        <w:rPr>
          <w:rFonts w:ascii="宋体" w:hAnsi="宋体" w:cs="宋体"/>
          <w:sz w:val="24"/>
          <w:szCs w:val="24"/>
        </w:rPr>
      </w:pPr>
      <w:r>
        <w:rPr>
          <w:rFonts w:hint="eastAsia" w:ascii="宋体" w:hAnsi="宋体" w:cs="宋体"/>
          <w:sz w:val="24"/>
          <w:szCs w:val="24"/>
        </w:rPr>
        <w:t>2）交付地点：采购方指定地点。</w:t>
      </w:r>
    </w:p>
    <w:p>
      <w:pPr>
        <w:spacing w:line="360" w:lineRule="auto"/>
        <w:ind w:firstLine="422" w:firstLineChars="175"/>
        <w:rPr>
          <w:rFonts w:ascii="宋体" w:hAnsi="宋体" w:cs="宋体"/>
          <w:b/>
          <w:sz w:val="24"/>
          <w:szCs w:val="24"/>
        </w:rPr>
      </w:pPr>
      <w:bookmarkStart w:id="52" w:name="_Toc393319093"/>
      <w:bookmarkStart w:id="53" w:name="_Toc393319429"/>
      <w:bookmarkStart w:id="54" w:name="_Toc184299420"/>
      <w:bookmarkStart w:id="55" w:name="_Toc393319336"/>
      <w:r>
        <w:rPr>
          <w:rFonts w:hint="eastAsia" w:ascii="宋体" w:hAnsi="宋体" w:cs="宋体"/>
          <w:b/>
          <w:sz w:val="24"/>
          <w:szCs w:val="24"/>
        </w:rPr>
        <w:t>（3）验收办法</w:t>
      </w:r>
      <w:bookmarkEnd w:id="52"/>
      <w:bookmarkEnd w:id="53"/>
      <w:bookmarkEnd w:id="54"/>
      <w:bookmarkEnd w:id="55"/>
    </w:p>
    <w:p>
      <w:pPr>
        <w:spacing w:line="360" w:lineRule="auto"/>
        <w:ind w:firstLine="420" w:firstLineChars="175"/>
        <w:rPr>
          <w:rFonts w:ascii="宋体" w:hAnsi="宋体" w:cs="宋体"/>
          <w:sz w:val="24"/>
          <w:szCs w:val="24"/>
        </w:rPr>
      </w:pPr>
      <w:r>
        <w:rPr>
          <w:rFonts w:hint="eastAsia" w:ascii="宋体" w:hAnsi="宋体" w:cs="宋体"/>
          <w:sz w:val="24"/>
          <w:szCs w:val="24"/>
        </w:rPr>
        <w:t>1)按照车辆设计制造标准、技术要求内容进行验收。</w:t>
      </w:r>
    </w:p>
    <w:p>
      <w:pPr>
        <w:spacing w:line="360" w:lineRule="auto"/>
        <w:ind w:firstLine="420" w:firstLineChars="175"/>
        <w:rPr>
          <w:rFonts w:ascii="宋体" w:hAnsi="宋体" w:cs="宋体"/>
          <w:sz w:val="24"/>
          <w:szCs w:val="24"/>
        </w:rPr>
      </w:pPr>
      <w:r>
        <w:rPr>
          <w:rFonts w:hint="eastAsia" w:ascii="宋体" w:hAnsi="宋体" w:cs="宋体"/>
          <w:sz w:val="24"/>
          <w:szCs w:val="24"/>
        </w:rPr>
        <w:t>2)由采购方组织相关人员验收。</w:t>
      </w:r>
    </w:p>
    <w:p>
      <w:pPr>
        <w:spacing w:line="360" w:lineRule="auto"/>
        <w:ind w:firstLine="422" w:firstLineChars="175"/>
        <w:rPr>
          <w:rFonts w:ascii="宋体" w:hAnsi="宋体" w:cs="宋体"/>
          <w:b/>
          <w:sz w:val="24"/>
          <w:szCs w:val="24"/>
        </w:rPr>
      </w:pPr>
      <w:bookmarkStart w:id="56" w:name="_Toc393319337"/>
      <w:bookmarkStart w:id="57" w:name="_Toc393319430"/>
      <w:bookmarkStart w:id="58" w:name="_Toc184299421"/>
      <w:bookmarkStart w:id="59" w:name="_Toc393319094"/>
      <w:r>
        <w:rPr>
          <w:rFonts w:hint="eastAsia" w:ascii="宋体" w:hAnsi="宋体" w:cs="宋体"/>
          <w:b/>
          <w:sz w:val="24"/>
          <w:szCs w:val="24"/>
        </w:rPr>
        <w:t>（4）服务与技术支持</w:t>
      </w:r>
      <w:bookmarkEnd w:id="56"/>
      <w:bookmarkEnd w:id="57"/>
      <w:bookmarkEnd w:id="58"/>
      <w:bookmarkEnd w:id="59"/>
    </w:p>
    <w:p>
      <w:pPr>
        <w:spacing w:line="360" w:lineRule="auto"/>
        <w:ind w:firstLine="420" w:firstLineChars="175"/>
        <w:rPr>
          <w:rFonts w:ascii="宋体" w:hAnsi="宋体" w:cs="宋体"/>
          <w:sz w:val="24"/>
          <w:szCs w:val="24"/>
        </w:rPr>
      </w:pPr>
      <w:bookmarkStart w:id="60" w:name="_Toc184299422"/>
      <w:r>
        <w:rPr>
          <w:rFonts w:hint="eastAsia" w:ascii="宋体" w:hAnsi="宋体" w:cs="宋体"/>
          <w:sz w:val="24"/>
          <w:szCs w:val="24"/>
        </w:rPr>
        <w:t>按照采购方要求进行车辆的使用知识培训。</w:t>
      </w:r>
    </w:p>
    <w:bookmarkEnd w:id="60"/>
    <w:p>
      <w:pPr>
        <w:spacing w:line="360" w:lineRule="auto"/>
        <w:ind w:firstLine="422" w:firstLineChars="175"/>
        <w:rPr>
          <w:rFonts w:ascii="宋体" w:hAnsi="宋体" w:cs="宋体"/>
          <w:b/>
          <w:sz w:val="24"/>
          <w:szCs w:val="24"/>
        </w:rPr>
      </w:pPr>
      <w:r>
        <w:rPr>
          <w:rFonts w:hint="eastAsia" w:ascii="宋体" w:hAnsi="宋体" w:cs="宋体"/>
          <w:b/>
          <w:sz w:val="24"/>
          <w:szCs w:val="24"/>
        </w:rPr>
        <w:t>（5）售后服务</w:t>
      </w:r>
    </w:p>
    <w:p>
      <w:pPr>
        <w:spacing w:line="360" w:lineRule="auto"/>
        <w:ind w:firstLine="420" w:firstLineChars="175"/>
        <w:rPr>
          <w:rFonts w:ascii="宋体" w:hAnsi="宋体" w:cs="宋体"/>
          <w:sz w:val="24"/>
          <w:szCs w:val="24"/>
        </w:rPr>
      </w:pPr>
      <w:r>
        <w:rPr>
          <w:rFonts w:hint="eastAsia" w:ascii="宋体" w:hAnsi="宋体" w:cs="宋体"/>
          <w:sz w:val="24"/>
          <w:szCs w:val="24"/>
        </w:rPr>
        <w:t>1）产品质量保证期要求，质保3年或6万公里的整车质量保修。</w:t>
      </w:r>
    </w:p>
    <w:p>
      <w:pPr>
        <w:spacing w:line="360" w:lineRule="auto"/>
        <w:ind w:firstLine="420" w:firstLineChars="175"/>
        <w:rPr>
          <w:rFonts w:ascii="宋体" w:hAnsi="宋体" w:cs="宋体"/>
          <w:sz w:val="24"/>
          <w:szCs w:val="24"/>
        </w:rPr>
      </w:pPr>
      <w:r>
        <w:rPr>
          <w:rFonts w:hint="eastAsia" w:ascii="宋体" w:hAnsi="宋体" w:cs="宋体"/>
          <w:sz w:val="24"/>
          <w:szCs w:val="24"/>
        </w:rPr>
        <w:t>2）保修期内供货方应免费为客户维修或者更换配件。必要时上门服务。</w:t>
      </w:r>
    </w:p>
    <w:p>
      <w:pPr>
        <w:spacing w:line="360" w:lineRule="auto"/>
        <w:ind w:firstLine="420" w:firstLineChars="175"/>
        <w:rPr>
          <w:rFonts w:ascii="宋体" w:hAnsi="宋体" w:cs="宋体"/>
          <w:sz w:val="24"/>
          <w:szCs w:val="24"/>
        </w:rPr>
      </w:pPr>
      <w:r>
        <w:rPr>
          <w:rFonts w:hint="eastAsia" w:ascii="宋体" w:hAnsi="宋体" w:cs="宋体"/>
          <w:sz w:val="24"/>
          <w:szCs w:val="24"/>
        </w:rPr>
        <w:t>3）维修响应时间：质量保证期内，供货方接到故障通知后立即响应，市区内半小时到达现场维修,各县区4小时到达现场维修。保质期后如果采购方要求，供货方应负责有偿优惠维修。</w:t>
      </w:r>
    </w:p>
    <w:p>
      <w:pPr>
        <w:spacing w:line="360" w:lineRule="auto"/>
        <w:ind w:firstLine="420" w:firstLineChars="175"/>
        <w:rPr>
          <w:rFonts w:ascii="宋体" w:hAnsi="宋体" w:cs="宋体"/>
          <w:sz w:val="24"/>
          <w:szCs w:val="24"/>
        </w:rPr>
      </w:pPr>
      <w:r>
        <w:rPr>
          <w:rFonts w:hint="eastAsia" w:ascii="宋体" w:hAnsi="宋体" w:cs="宋体"/>
          <w:sz w:val="24"/>
          <w:szCs w:val="24"/>
        </w:rPr>
        <w:t>4）投标方需在采购方当地设有厂家授权的特约维修站。</w:t>
      </w:r>
    </w:p>
    <w:p>
      <w:pPr>
        <w:spacing w:line="360" w:lineRule="auto"/>
        <w:ind w:firstLine="420" w:firstLineChars="175"/>
        <w:rPr>
          <w:rFonts w:ascii="宋体" w:hAnsi="宋体" w:cs="宋体"/>
          <w:sz w:val="24"/>
          <w:szCs w:val="24"/>
        </w:rPr>
      </w:pPr>
      <w:r>
        <w:rPr>
          <w:rFonts w:hint="eastAsia" w:ascii="宋体" w:hAnsi="宋体" w:cs="宋体"/>
          <w:sz w:val="24"/>
          <w:szCs w:val="24"/>
        </w:rPr>
        <w:t>5）提供24小时维修服务。</w:t>
      </w:r>
    </w:p>
    <w:p>
      <w:pPr>
        <w:spacing w:line="360" w:lineRule="auto"/>
        <w:ind w:firstLine="420" w:firstLineChars="175"/>
        <w:rPr>
          <w:rFonts w:ascii="宋体" w:hAnsi="宋体" w:cs="宋体"/>
          <w:sz w:val="24"/>
          <w:szCs w:val="24"/>
        </w:rPr>
      </w:pPr>
      <w:r>
        <w:rPr>
          <w:rFonts w:hint="eastAsia" w:ascii="宋体" w:hAnsi="宋体" w:cs="宋体"/>
          <w:sz w:val="24"/>
          <w:szCs w:val="24"/>
        </w:rPr>
        <w:t>6）全方位的服务保障。</w:t>
      </w:r>
    </w:p>
    <w:p>
      <w:pPr>
        <w:pStyle w:val="4"/>
        <w:spacing w:line="360" w:lineRule="auto"/>
        <w:ind w:firstLine="422" w:firstLineChars="175"/>
        <w:jc w:val="center"/>
        <w:rPr>
          <w:rFonts w:ascii="宋体" w:hAnsi="宋体" w:eastAsia="宋体" w:cs="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p>
    <w:p>
      <w:pPr>
        <w:pStyle w:val="4"/>
        <w:spacing w:before="480" w:beforeLines="200" w:line="360" w:lineRule="auto"/>
        <w:ind w:firstLine="0"/>
        <w:jc w:val="center"/>
        <w:rPr>
          <w:rFonts w:ascii="宋体" w:hAnsi="宋体" w:eastAsia="宋体"/>
          <w:b/>
          <w:bCs/>
          <w:color w:val="000000"/>
          <w:kern w:val="2"/>
          <w:sz w:val="24"/>
          <w:szCs w:val="24"/>
        </w:rPr>
      </w:pPr>
    </w:p>
    <w:p>
      <w:pPr>
        <w:pStyle w:val="4"/>
        <w:spacing w:line="360" w:lineRule="auto"/>
        <w:ind w:firstLine="0"/>
        <w:jc w:val="center"/>
        <w:rPr>
          <w:rFonts w:ascii="宋体" w:hAnsi="宋体"/>
          <w:b/>
          <w:bCs/>
          <w:color w:val="000000"/>
          <w:kern w:val="2"/>
          <w:sz w:val="24"/>
          <w:szCs w:val="24"/>
        </w:rPr>
      </w:pPr>
      <w:r>
        <w:rPr>
          <w:rFonts w:hint="eastAsia" w:ascii="宋体" w:hAnsi="宋体" w:eastAsia="宋体"/>
          <w:b/>
          <w:bCs/>
          <w:color w:val="000000"/>
          <w:kern w:val="2"/>
          <w:sz w:val="24"/>
          <w:szCs w:val="24"/>
        </w:rPr>
        <w:t>二标段（巡回审判车）</w:t>
      </w:r>
    </w:p>
    <w:p>
      <w:pPr>
        <w:pStyle w:val="4"/>
        <w:spacing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1、采购设备清单</w:t>
      </w:r>
    </w:p>
    <w:tbl>
      <w:tblPr>
        <w:tblStyle w:val="33"/>
        <w:tblW w:w="911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431"/>
        <w:gridCol w:w="884"/>
        <w:gridCol w:w="892"/>
        <w:gridCol w:w="171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14" w:type="dxa"/>
          </w:tcPr>
          <w:p>
            <w:pPr>
              <w:spacing w:line="500" w:lineRule="exact"/>
              <w:jc w:val="center"/>
              <w:rPr>
                <w:rFonts w:ascii="宋体"/>
                <w:sz w:val="22"/>
                <w:szCs w:val="22"/>
              </w:rPr>
            </w:pPr>
            <w:r>
              <w:rPr>
                <w:rFonts w:hint="eastAsia" w:ascii="宋体" w:hAnsi="宋体"/>
                <w:sz w:val="22"/>
                <w:szCs w:val="22"/>
              </w:rPr>
              <w:t>序号</w:t>
            </w:r>
          </w:p>
        </w:tc>
        <w:tc>
          <w:tcPr>
            <w:tcW w:w="2431" w:type="dxa"/>
            <w:tcBorders>
              <w:left w:val="nil"/>
            </w:tcBorders>
          </w:tcPr>
          <w:p>
            <w:pPr>
              <w:spacing w:line="500" w:lineRule="exact"/>
              <w:jc w:val="center"/>
              <w:rPr>
                <w:rFonts w:ascii="宋体"/>
                <w:sz w:val="22"/>
                <w:szCs w:val="22"/>
              </w:rPr>
            </w:pPr>
            <w:r>
              <w:rPr>
                <w:rFonts w:hint="eastAsia" w:ascii="宋体" w:hAnsi="宋体"/>
                <w:sz w:val="22"/>
                <w:szCs w:val="22"/>
              </w:rPr>
              <w:t>名称</w:t>
            </w:r>
          </w:p>
        </w:tc>
        <w:tc>
          <w:tcPr>
            <w:tcW w:w="884" w:type="dxa"/>
            <w:tcBorders>
              <w:left w:val="nil"/>
            </w:tcBorders>
          </w:tcPr>
          <w:p>
            <w:pPr>
              <w:spacing w:line="500" w:lineRule="exact"/>
              <w:jc w:val="center"/>
              <w:rPr>
                <w:rFonts w:ascii="宋体"/>
                <w:sz w:val="22"/>
                <w:szCs w:val="22"/>
              </w:rPr>
            </w:pPr>
            <w:r>
              <w:rPr>
                <w:rFonts w:hint="eastAsia" w:ascii="宋体" w:hAnsi="宋体"/>
                <w:sz w:val="22"/>
                <w:szCs w:val="22"/>
              </w:rPr>
              <w:t>单位</w:t>
            </w:r>
          </w:p>
        </w:tc>
        <w:tc>
          <w:tcPr>
            <w:tcW w:w="892" w:type="dxa"/>
            <w:tcBorders>
              <w:left w:val="nil"/>
            </w:tcBorders>
          </w:tcPr>
          <w:p>
            <w:pPr>
              <w:spacing w:line="500" w:lineRule="exact"/>
              <w:jc w:val="center"/>
              <w:rPr>
                <w:rFonts w:ascii="宋体"/>
                <w:sz w:val="22"/>
                <w:szCs w:val="22"/>
              </w:rPr>
            </w:pPr>
            <w:r>
              <w:rPr>
                <w:rFonts w:hint="eastAsia" w:ascii="宋体" w:hAnsi="宋体"/>
                <w:sz w:val="22"/>
                <w:szCs w:val="22"/>
              </w:rPr>
              <w:t>数量</w:t>
            </w:r>
          </w:p>
        </w:tc>
        <w:tc>
          <w:tcPr>
            <w:tcW w:w="1719" w:type="dxa"/>
            <w:tcBorders>
              <w:left w:val="nil"/>
            </w:tcBorders>
          </w:tcPr>
          <w:p>
            <w:pPr>
              <w:spacing w:line="500" w:lineRule="exact"/>
              <w:jc w:val="center"/>
              <w:rPr>
                <w:rFonts w:ascii="宋体"/>
                <w:sz w:val="22"/>
                <w:szCs w:val="22"/>
              </w:rPr>
            </w:pPr>
            <w:r>
              <w:rPr>
                <w:rFonts w:hint="eastAsia" w:ascii="宋体" w:hAnsi="宋体"/>
                <w:sz w:val="22"/>
                <w:szCs w:val="22"/>
              </w:rPr>
              <w:t>预算</w:t>
            </w:r>
          </w:p>
        </w:tc>
        <w:tc>
          <w:tcPr>
            <w:tcW w:w="1977" w:type="dxa"/>
            <w:tcBorders>
              <w:left w:val="nil"/>
            </w:tcBorders>
          </w:tcPr>
          <w:p>
            <w:pPr>
              <w:spacing w:line="500" w:lineRule="exact"/>
              <w:jc w:val="center"/>
              <w:rPr>
                <w:rFonts w:asci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14" w:type="dxa"/>
            <w:vAlign w:val="center"/>
          </w:tcPr>
          <w:p>
            <w:pPr>
              <w:spacing w:line="500" w:lineRule="exact"/>
              <w:jc w:val="center"/>
              <w:rPr>
                <w:rFonts w:ascii="宋体"/>
                <w:sz w:val="22"/>
                <w:szCs w:val="22"/>
              </w:rPr>
            </w:pPr>
            <w:r>
              <w:rPr>
                <w:rFonts w:ascii="宋体" w:hAnsi="宋体"/>
                <w:sz w:val="22"/>
                <w:szCs w:val="22"/>
              </w:rPr>
              <w:t>1</w:t>
            </w:r>
          </w:p>
        </w:tc>
        <w:tc>
          <w:tcPr>
            <w:tcW w:w="2431" w:type="dxa"/>
            <w:tcBorders>
              <w:left w:val="nil"/>
            </w:tcBorders>
            <w:vAlign w:val="center"/>
          </w:tcPr>
          <w:p>
            <w:pPr>
              <w:jc w:val="center"/>
              <w:rPr>
                <w:rFonts w:ascii="宋体"/>
                <w:sz w:val="22"/>
                <w:szCs w:val="22"/>
              </w:rPr>
            </w:pPr>
            <w:r>
              <w:rPr>
                <w:rStyle w:val="65"/>
                <w:rFonts w:hint="eastAsia" w:ascii="宋体" w:hAnsi="宋体"/>
                <w:sz w:val="24"/>
                <w:szCs w:val="24"/>
              </w:rPr>
              <w:t>巡回审判车</w:t>
            </w:r>
          </w:p>
        </w:tc>
        <w:tc>
          <w:tcPr>
            <w:tcW w:w="884" w:type="dxa"/>
            <w:tcBorders>
              <w:left w:val="nil"/>
            </w:tcBorders>
            <w:vAlign w:val="center"/>
          </w:tcPr>
          <w:p>
            <w:pPr>
              <w:jc w:val="center"/>
              <w:rPr>
                <w:rFonts w:ascii="宋体"/>
                <w:sz w:val="22"/>
                <w:szCs w:val="22"/>
              </w:rPr>
            </w:pPr>
            <w:r>
              <w:rPr>
                <w:rStyle w:val="65"/>
                <w:rFonts w:hint="eastAsia" w:ascii="宋体" w:hAnsi="宋体"/>
                <w:sz w:val="24"/>
                <w:szCs w:val="24"/>
              </w:rPr>
              <w:t>辆</w:t>
            </w:r>
          </w:p>
        </w:tc>
        <w:tc>
          <w:tcPr>
            <w:tcW w:w="892" w:type="dxa"/>
            <w:tcBorders>
              <w:left w:val="nil"/>
            </w:tcBorders>
            <w:vAlign w:val="center"/>
          </w:tcPr>
          <w:p>
            <w:pPr>
              <w:jc w:val="center"/>
              <w:rPr>
                <w:rFonts w:ascii="宋体"/>
                <w:sz w:val="22"/>
                <w:szCs w:val="22"/>
              </w:rPr>
            </w:pPr>
            <w:r>
              <w:rPr>
                <w:rStyle w:val="65"/>
                <w:rFonts w:hint="eastAsia" w:ascii="宋体" w:hAnsi="宋体"/>
                <w:sz w:val="24"/>
                <w:szCs w:val="24"/>
              </w:rPr>
              <w:t>4</w:t>
            </w:r>
          </w:p>
        </w:tc>
        <w:tc>
          <w:tcPr>
            <w:tcW w:w="1719" w:type="dxa"/>
            <w:tcBorders>
              <w:left w:val="nil"/>
            </w:tcBorders>
            <w:vAlign w:val="center"/>
          </w:tcPr>
          <w:p>
            <w:pPr>
              <w:jc w:val="center"/>
              <w:rPr>
                <w:rFonts w:ascii="宋体"/>
                <w:sz w:val="22"/>
                <w:szCs w:val="22"/>
              </w:rPr>
            </w:pPr>
            <w:r>
              <w:rPr>
                <w:rFonts w:hint="eastAsia" w:ascii="宋体" w:hAnsi="宋体"/>
                <w:sz w:val="24"/>
                <w:szCs w:val="24"/>
              </w:rPr>
              <w:t>960000</w:t>
            </w:r>
          </w:p>
        </w:tc>
        <w:tc>
          <w:tcPr>
            <w:tcW w:w="1977" w:type="dxa"/>
            <w:tcBorders>
              <w:left w:val="nil"/>
            </w:tcBorders>
            <w:vAlign w:val="center"/>
          </w:tcPr>
          <w:p>
            <w:pPr>
              <w:spacing w:line="500" w:lineRule="exact"/>
              <w:jc w:val="center"/>
              <w:rPr>
                <w:rFonts w:ascii="宋体"/>
                <w:sz w:val="22"/>
                <w:szCs w:val="22"/>
              </w:rPr>
            </w:pPr>
            <w:r>
              <w:rPr>
                <w:rFonts w:hint="eastAsia" w:ascii="宋体" w:hAnsi="宋体"/>
                <w:sz w:val="22"/>
                <w:szCs w:val="22"/>
              </w:rPr>
              <w:t>详细技术参数附后</w:t>
            </w:r>
          </w:p>
        </w:tc>
      </w:tr>
    </w:tbl>
    <w:p>
      <w:pPr>
        <w:pStyle w:val="4"/>
        <w:numPr>
          <w:ilvl w:val="0"/>
          <w:numId w:val="10"/>
        </w:numPr>
        <w:spacing w:before="240" w:beforeLines="100" w:line="360" w:lineRule="auto"/>
        <w:ind w:firstLine="422" w:firstLineChars="175"/>
        <w:jc w:val="left"/>
        <w:rPr>
          <w:rFonts w:ascii="宋体" w:hAnsi="宋体" w:eastAsia="宋体"/>
          <w:b/>
          <w:bCs/>
          <w:color w:val="000000"/>
          <w:kern w:val="2"/>
          <w:sz w:val="24"/>
          <w:szCs w:val="24"/>
        </w:rPr>
      </w:pPr>
      <w:r>
        <w:rPr>
          <w:rFonts w:hint="eastAsia" w:ascii="宋体" w:hAnsi="宋体" w:eastAsia="宋体"/>
          <w:b/>
          <w:bCs/>
          <w:color w:val="000000"/>
          <w:kern w:val="2"/>
          <w:sz w:val="24"/>
          <w:szCs w:val="24"/>
        </w:rPr>
        <w:t>技术要求</w:t>
      </w:r>
    </w:p>
    <w:p>
      <w:pPr>
        <w:pStyle w:val="4"/>
        <w:spacing w:line="360" w:lineRule="auto"/>
        <w:ind w:firstLine="0"/>
        <w:jc w:val="center"/>
        <w:rPr>
          <w:rFonts w:ascii="宋体" w:hAnsi="宋体" w:eastAsia="宋体"/>
          <w:b/>
          <w:bCs/>
          <w:color w:val="000000"/>
          <w:kern w:val="2"/>
          <w:sz w:val="24"/>
          <w:szCs w:val="24"/>
        </w:rPr>
      </w:pPr>
      <w:r>
        <w:rPr>
          <w:rFonts w:hint="eastAsia" w:ascii="宋体" w:hAnsi="宋体" w:eastAsia="宋体"/>
          <w:b/>
          <w:bCs/>
          <w:color w:val="000000"/>
          <w:kern w:val="2"/>
          <w:sz w:val="24"/>
          <w:szCs w:val="24"/>
        </w:rPr>
        <w:t>巡回审判车</w:t>
      </w:r>
    </w:p>
    <w:tbl>
      <w:tblPr>
        <w:tblStyle w:val="33"/>
        <w:tblpPr w:leftFromText="180" w:rightFromText="180" w:vertAnchor="text" w:horzAnchor="page" w:tblpX="1604" w:tblpY="300"/>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594"/>
        <w:gridCol w:w="5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5门7座MPV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xml:space="preserve"> 序号</w:t>
            </w:r>
          </w:p>
        </w:tc>
        <w:tc>
          <w:tcPr>
            <w:tcW w:w="259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名称</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燃油</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驱动形式</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3</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排量（L）</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4</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车长（mm）</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szCs w:val="21"/>
              </w:rPr>
            </w:pPr>
            <w:r>
              <w:rPr>
                <w:rFonts w:hint="eastAsia"/>
                <w:szCs w:val="21"/>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5</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车宽（mm）</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1"/>
              </w:rPr>
              <w:t>≥1870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6</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车高（mm）</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7</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轴距（mm）</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9</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变速箱类型</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9速手自一体变速箱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10</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车身结构</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1"/>
              </w:rPr>
              <w:t>5门7座MPV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11</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整车质保</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3年或10万公里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12</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kern w:val="44"/>
                <w:szCs w:val="21"/>
              </w:rPr>
              <w:t>后悬架</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扭力梁式悬架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13</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驻车制动类型</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电子驻车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14</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最大功率（kW）</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15</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最大扭矩（N.m）</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16</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车身稳定系统</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17</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车联网和OTA升级</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18</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发动机启停技术</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19</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进气形式</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涡轮增压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20</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供油方式</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直喷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21</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排放标准</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22</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汽缸数</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4缸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23</w:t>
            </w:r>
          </w:p>
        </w:tc>
        <w:tc>
          <w:tcPr>
            <w:tcW w:w="259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液晶仪表尺寸</w:t>
            </w:r>
          </w:p>
        </w:tc>
        <w:tc>
          <w:tcPr>
            <w:tcW w:w="529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8寸</w:t>
            </w:r>
          </w:p>
        </w:tc>
      </w:tr>
    </w:tbl>
    <w:p>
      <w:pPr>
        <w:pStyle w:val="4"/>
        <w:spacing w:before="240" w:beforeLines="100" w:line="360" w:lineRule="auto"/>
        <w:ind w:firstLine="0"/>
        <w:jc w:val="center"/>
        <w:rPr>
          <w:rFonts w:ascii="宋体" w:hAnsi="宋体" w:eastAsia="宋体"/>
          <w:b/>
          <w:bCs/>
          <w:color w:val="000000"/>
          <w:kern w:val="2"/>
          <w:sz w:val="24"/>
          <w:szCs w:val="24"/>
        </w:rPr>
      </w:pPr>
    </w:p>
    <w:p>
      <w:pPr>
        <w:pStyle w:val="4"/>
        <w:spacing w:line="360" w:lineRule="auto"/>
        <w:ind w:firstLine="422" w:firstLineChars="175"/>
        <w:jc w:val="center"/>
        <w:rPr>
          <w:rFonts w:ascii="宋体" w:hAnsi="宋体" w:eastAsia="宋体"/>
          <w:b/>
          <w:bCs/>
          <w:color w:val="000000"/>
          <w:kern w:val="2"/>
          <w:sz w:val="24"/>
          <w:szCs w:val="24"/>
        </w:rPr>
      </w:pPr>
      <w:r>
        <w:rPr>
          <w:rFonts w:hint="eastAsia" w:ascii="宋体" w:hAnsi="宋体" w:eastAsia="宋体"/>
          <w:b/>
          <w:bCs/>
          <w:color w:val="000000"/>
          <w:kern w:val="2"/>
          <w:sz w:val="24"/>
          <w:szCs w:val="24"/>
        </w:rPr>
        <w:t>三标段（执法执勤车）</w:t>
      </w:r>
    </w:p>
    <w:p>
      <w:pPr>
        <w:pStyle w:val="4"/>
        <w:spacing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1、采购设备清单</w:t>
      </w:r>
    </w:p>
    <w:tbl>
      <w:tblPr>
        <w:tblStyle w:val="33"/>
        <w:tblW w:w="911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431"/>
        <w:gridCol w:w="884"/>
        <w:gridCol w:w="892"/>
        <w:gridCol w:w="171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14" w:type="dxa"/>
          </w:tcPr>
          <w:p>
            <w:pPr>
              <w:spacing w:line="500" w:lineRule="exact"/>
              <w:jc w:val="center"/>
              <w:rPr>
                <w:rFonts w:ascii="宋体"/>
                <w:sz w:val="22"/>
                <w:szCs w:val="22"/>
              </w:rPr>
            </w:pPr>
            <w:r>
              <w:rPr>
                <w:rFonts w:hint="eastAsia" w:ascii="宋体" w:hAnsi="宋体"/>
                <w:sz w:val="22"/>
                <w:szCs w:val="22"/>
              </w:rPr>
              <w:t>序号</w:t>
            </w:r>
          </w:p>
        </w:tc>
        <w:tc>
          <w:tcPr>
            <w:tcW w:w="2431" w:type="dxa"/>
            <w:tcBorders>
              <w:left w:val="nil"/>
            </w:tcBorders>
          </w:tcPr>
          <w:p>
            <w:pPr>
              <w:spacing w:line="500" w:lineRule="exact"/>
              <w:jc w:val="center"/>
              <w:rPr>
                <w:rFonts w:ascii="宋体"/>
                <w:sz w:val="22"/>
                <w:szCs w:val="22"/>
              </w:rPr>
            </w:pPr>
            <w:r>
              <w:rPr>
                <w:rFonts w:hint="eastAsia" w:ascii="宋体" w:hAnsi="宋体"/>
                <w:sz w:val="22"/>
                <w:szCs w:val="22"/>
              </w:rPr>
              <w:t>名称</w:t>
            </w:r>
          </w:p>
        </w:tc>
        <w:tc>
          <w:tcPr>
            <w:tcW w:w="884" w:type="dxa"/>
            <w:tcBorders>
              <w:left w:val="nil"/>
            </w:tcBorders>
          </w:tcPr>
          <w:p>
            <w:pPr>
              <w:spacing w:line="500" w:lineRule="exact"/>
              <w:jc w:val="center"/>
              <w:rPr>
                <w:rFonts w:ascii="宋体"/>
                <w:sz w:val="22"/>
                <w:szCs w:val="22"/>
              </w:rPr>
            </w:pPr>
            <w:r>
              <w:rPr>
                <w:rFonts w:hint="eastAsia" w:ascii="宋体" w:hAnsi="宋体"/>
                <w:sz w:val="22"/>
                <w:szCs w:val="22"/>
              </w:rPr>
              <w:t>单位</w:t>
            </w:r>
          </w:p>
        </w:tc>
        <w:tc>
          <w:tcPr>
            <w:tcW w:w="892" w:type="dxa"/>
            <w:tcBorders>
              <w:left w:val="nil"/>
            </w:tcBorders>
          </w:tcPr>
          <w:p>
            <w:pPr>
              <w:spacing w:line="500" w:lineRule="exact"/>
              <w:jc w:val="center"/>
              <w:rPr>
                <w:rFonts w:ascii="宋体"/>
                <w:sz w:val="22"/>
                <w:szCs w:val="22"/>
              </w:rPr>
            </w:pPr>
            <w:r>
              <w:rPr>
                <w:rFonts w:hint="eastAsia" w:ascii="宋体" w:hAnsi="宋体"/>
                <w:sz w:val="22"/>
                <w:szCs w:val="22"/>
              </w:rPr>
              <w:t>数量</w:t>
            </w:r>
          </w:p>
        </w:tc>
        <w:tc>
          <w:tcPr>
            <w:tcW w:w="1719" w:type="dxa"/>
            <w:tcBorders>
              <w:left w:val="nil"/>
            </w:tcBorders>
          </w:tcPr>
          <w:p>
            <w:pPr>
              <w:spacing w:line="500" w:lineRule="exact"/>
              <w:jc w:val="center"/>
              <w:rPr>
                <w:rFonts w:ascii="宋体"/>
                <w:sz w:val="22"/>
                <w:szCs w:val="22"/>
              </w:rPr>
            </w:pPr>
            <w:r>
              <w:rPr>
                <w:rFonts w:hint="eastAsia" w:ascii="宋体" w:hAnsi="宋体"/>
                <w:sz w:val="22"/>
                <w:szCs w:val="22"/>
              </w:rPr>
              <w:t>预算</w:t>
            </w:r>
          </w:p>
        </w:tc>
        <w:tc>
          <w:tcPr>
            <w:tcW w:w="1977" w:type="dxa"/>
            <w:tcBorders>
              <w:left w:val="nil"/>
            </w:tcBorders>
          </w:tcPr>
          <w:p>
            <w:pPr>
              <w:spacing w:line="500" w:lineRule="exact"/>
              <w:jc w:val="center"/>
              <w:rPr>
                <w:rFonts w:asci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14" w:type="dxa"/>
            <w:vAlign w:val="center"/>
          </w:tcPr>
          <w:p>
            <w:pPr>
              <w:spacing w:line="500" w:lineRule="exact"/>
              <w:jc w:val="center"/>
              <w:rPr>
                <w:rFonts w:ascii="宋体" w:hAnsi="宋体"/>
                <w:sz w:val="22"/>
                <w:szCs w:val="22"/>
              </w:rPr>
            </w:pPr>
            <w:r>
              <w:rPr>
                <w:rFonts w:hint="eastAsia" w:ascii="宋体" w:hAnsi="宋体"/>
                <w:sz w:val="22"/>
                <w:szCs w:val="22"/>
              </w:rPr>
              <w:t>1</w:t>
            </w:r>
          </w:p>
        </w:tc>
        <w:tc>
          <w:tcPr>
            <w:tcW w:w="2431" w:type="dxa"/>
            <w:tcBorders>
              <w:left w:val="nil"/>
            </w:tcBorders>
            <w:vAlign w:val="center"/>
          </w:tcPr>
          <w:p>
            <w:pPr>
              <w:jc w:val="center"/>
              <w:rPr>
                <w:rFonts w:ascii="宋体" w:hAnsi="宋体"/>
                <w:b/>
                <w:bCs/>
                <w:color w:val="000000"/>
                <w:sz w:val="24"/>
                <w:szCs w:val="24"/>
              </w:rPr>
            </w:pPr>
            <w:r>
              <w:rPr>
                <w:rStyle w:val="65"/>
                <w:rFonts w:hint="eastAsia" w:ascii="宋体" w:hAnsi="宋体"/>
                <w:sz w:val="24"/>
                <w:szCs w:val="24"/>
              </w:rPr>
              <w:t>执法执勤车</w:t>
            </w:r>
          </w:p>
        </w:tc>
        <w:tc>
          <w:tcPr>
            <w:tcW w:w="884" w:type="dxa"/>
            <w:tcBorders>
              <w:left w:val="nil"/>
            </w:tcBorders>
            <w:vAlign w:val="center"/>
          </w:tcPr>
          <w:p>
            <w:pPr>
              <w:jc w:val="center"/>
              <w:rPr>
                <w:rFonts w:ascii="宋体" w:hAnsi="宋体"/>
                <w:sz w:val="22"/>
                <w:szCs w:val="22"/>
              </w:rPr>
            </w:pPr>
            <w:r>
              <w:rPr>
                <w:rStyle w:val="65"/>
                <w:rFonts w:hint="eastAsia" w:ascii="宋体" w:hAnsi="宋体"/>
                <w:sz w:val="24"/>
                <w:szCs w:val="24"/>
              </w:rPr>
              <w:t>辆</w:t>
            </w:r>
          </w:p>
        </w:tc>
        <w:tc>
          <w:tcPr>
            <w:tcW w:w="892" w:type="dxa"/>
            <w:tcBorders>
              <w:left w:val="nil"/>
            </w:tcBorders>
            <w:vAlign w:val="center"/>
          </w:tcPr>
          <w:p>
            <w:pPr>
              <w:jc w:val="center"/>
              <w:rPr>
                <w:rFonts w:ascii="宋体"/>
                <w:sz w:val="22"/>
                <w:szCs w:val="22"/>
              </w:rPr>
            </w:pPr>
            <w:r>
              <w:rPr>
                <w:rStyle w:val="65"/>
                <w:rFonts w:hint="eastAsia" w:ascii="宋体" w:hAnsi="宋体"/>
                <w:sz w:val="24"/>
                <w:szCs w:val="24"/>
              </w:rPr>
              <w:t>5</w:t>
            </w:r>
          </w:p>
        </w:tc>
        <w:tc>
          <w:tcPr>
            <w:tcW w:w="1719" w:type="dxa"/>
            <w:tcBorders>
              <w:left w:val="nil"/>
            </w:tcBorders>
            <w:vAlign w:val="center"/>
          </w:tcPr>
          <w:p>
            <w:pPr>
              <w:jc w:val="center"/>
              <w:rPr>
                <w:rFonts w:ascii="宋体"/>
                <w:sz w:val="22"/>
                <w:szCs w:val="22"/>
              </w:rPr>
            </w:pPr>
            <w:r>
              <w:rPr>
                <w:rFonts w:hint="eastAsia" w:ascii="宋体" w:hAnsi="宋体"/>
                <w:sz w:val="24"/>
                <w:szCs w:val="24"/>
              </w:rPr>
              <w:t>900000</w:t>
            </w:r>
          </w:p>
        </w:tc>
        <w:tc>
          <w:tcPr>
            <w:tcW w:w="1977" w:type="dxa"/>
            <w:tcBorders>
              <w:left w:val="nil"/>
            </w:tcBorders>
            <w:vAlign w:val="center"/>
          </w:tcPr>
          <w:p>
            <w:pPr>
              <w:spacing w:line="500" w:lineRule="exact"/>
              <w:jc w:val="center"/>
              <w:rPr>
                <w:rFonts w:ascii="宋体" w:hAnsi="宋体"/>
                <w:sz w:val="22"/>
                <w:szCs w:val="22"/>
              </w:rPr>
            </w:pPr>
            <w:r>
              <w:rPr>
                <w:rFonts w:hint="eastAsia" w:ascii="宋体" w:hAnsi="宋体"/>
                <w:sz w:val="22"/>
                <w:szCs w:val="22"/>
              </w:rPr>
              <w:t>详细技术参数附后</w:t>
            </w:r>
          </w:p>
        </w:tc>
      </w:tr>
    </w:tbl>
    <w:p>
      <w:pPr>
        <w:pStyle w:val="4"/>
        <w:spacing w:before="120" w:beforeLines="50" w:line="360" w:lineRule="auto"/>
        <w:ind w:firstLine="422" w:firstLineChars="175"/>
        <w:rPr>
          <w:rFonts w:ascii="宋体" w:hAnsi="宋体" w:eastAsia="宋体"/>
          <w:b/>
          <w:bCs/>
          <w:color w:val="000000"/>
          <w:kern w:val="2"/>
          <w:sz w:val="24"/>
          <w:szCs w:val="24"/>
        </w:rPr>
      </w:pPr>
      <w:r>
        <w:rPr>
          <w:rFonts w:hint="eastAsia" w:ascii="宋体" w:hAnsi="宋体" w:eastAsia="宋体"/>
          <w:b/>
          <w:bCs/>
          <w:color w:val="000000"/>
          <w:kern w:val="2"/>
          <w:sz w:val="24"/>
          <w:szCs w:val="24"/>
        </w:rPr>
        <w:t>2、技术要求</w:t>
      </w:r>
    </w:p>
    <w:p>
      <w:pPr>
        <w:pStyle w:val="4"/>
        <w:spacing w:line="360" w:lineRule="auto"/>
        <w:ind w:firstLine="0"/>
        <w:jc w:val="center"/>
        <w:rPr>
          <w:rFonts w:ascii="宋体" w:hAnsi="宋体" w:eastAsia="宋体"/>
          <w:b/>
          <w:bCs/>
          <w:color w:val="000000"/>
          <w:kern w:val="2"/>
          <w:sz w:val="24"/>
          <w:szCs w:val="24"/>
        </w:rPr>
      </w:pPr>
      <w:r>
        <w:rPr>
          <w:rFonts w:hint="eastAsia" w:ascii="宋体" w:hAnsi="宋体" w:eastAsia="宋体"/>
          <w:b/>
          <w:bCs/>
          <w:color w:val="000000"/>
          <w:kern w:val="2"/>
          <w:sz w:val="24"/>
          <w:szCs w:val="24"/>
        </w:rPr>
        <w:t>执法执勤车</w:t>
      </w:r>
    </w:p>
    <w:tbl>
      <w:tblPr>
        <w:tblStyle w:val="33"/>
        <w:tblpPr w:leftFromText="180" w:rightFromText="180" w:vertAnchor="text" w:horzAnchor="page" w:tblpX="1604"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647"/>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szCs w:val="22"/>
              </w:rPr>
              <w:t>4门5座轿车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xml:space="preserve"> 序号</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1"/>
              </w:rPr>
              <w:t>名称</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1"/>
              </w:rPr>
              <w:t>车身颜色</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白色系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2</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szCs w:val="21"/>
              </w:rPr>
            </w:pPr>
            <w:r>
              <w:rPr>
                <w:rFonts w:hint="eastAsia"/>
                <w:szCs w:val="21"/>
              </w:rPr>
              <w:t>驱动形式</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szCs w:val="21"/>
              </w:rPr>
            </w:pPr>
            <w:r>
              <w:rPr>
                <w:rFonts w:hint="eastAsia"/>
                <w:szCs w:val="21"/>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3</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汽缸数</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4缸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4</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1"/>
              </w:rPr>
              <w:t>燃油</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汽油或汽油+48v轻混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5</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1"/>
              </w:rPr>
              <w:t>排量</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6</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1"/>
              </w:rPr>
              <w:t>最大功率</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2"/>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7</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1"/>
              </w:rPr>
              <w:t>最大扭矩</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2"/>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8</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szCs w:val="21"/>
              </w:rPr>
            </w:pPr>
            <w:r>
              <w:rPr>
                <w:rFonts w:hint="eastAsia"/>
                <w:szCs w:val="21"/>
              </w:rPr>
              <w:t>车身结构</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szCs w:val="21"/>
              </w:rPr>
            </w:pPr>
            <w:r>
              <w:rPr>
                <w:rFonts w:hint="eastAsia"/>
                <w:szCs w:val="22"/>
              </w:rPr>
              <w:t>4门5座轿车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9</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1"/>
              </w:rPr>
              <w:t>排放标准</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10</w:t>
            </w:r>
          </w:p>
        </w:tc>
        <w:tc>
          <w:tcPr>
            <w:tcW w:w="2647"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车长（mm）</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2"/>
              </w:rPr>
              <w:t>≥4890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11</w:t>
            </w:r>
          </w:p>
        </w:tc>
        <w:tc>
          <w:tcPr>
            <w:tcW w:w="2647"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车宽（mm）</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2"/>
              </w:rPr>
              <w:t>≥1830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12</w:t>
            </w:r>
          </w:p>
        </w:tc>
        <w:tc>
          <w:tcPr>
            <w:tcW w:w="2647"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车高（mm）</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2"/>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13</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1"/>
              </w:rPr>
              <w:t>后悬架类型</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多连杆独立悬架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14</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1"/>
              </w:rPr>
              <w:t>变速箱形式</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6档手自一体变速箱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15</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szCs w:val="21"/>
              </w:rPr>
            </w:pPr>
            <w:r>
              <w:rPr>
                <w:rFonts w:hint="eastAsia"/>
                <w:szCs w:val="21"/>
              </w:rPr>
              <w:t>轮胎规格</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szCs w:val="21"/>
              </w:rPr>
            </w:pPr>
            <w:r>
              <w:rPr>
                <w:rFonts w:hint="eastAsia"/>
                <w:szCs w:val="21"/>
              </w:rPr>
              <w:t>19寸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16</w:t>
            </w:r>
          </w:p>
        </w:tc>
        <w:tc>
          <w:tcPr>
            <w:tcW w:w="2647" w:type="dxa"/>
            <w:tcBorders>
              <w:top w:val="single" w:color="auto" w:sz="4" w:space="0"/>
              <w:left w:val="nil"/>
              <w:bottom w:val="single" w:color="auto" w:sz="4" w:space="0"/>
              <w:right w:val="single" w:color="auto" w:sz="4" w:space="0"/>
            </w:tcBorders>
            <w:vAlign w:val="center"/>
          </w:tcPr>
          <w:p>
            <w:pPr>
              <w:jc w:val="center"/>
              <w:rPr>
                <w:rFonts w:ascii="宋体" w:hAnsi="宋体" w:cs="宋体"/>
                <w:kern w:val="44"/>
                <w:szCs w:val="21"/>
              </w:rPr>
            </w:pPr>
            <w:r>
              <w:rPr>
                <w:rFonts w:hint="eastAsia" w:ascii="宋体" w:hAnsi="宋体" w:cs="宋体"/>
                <w:szCs w:val="21"/>
              </w:rPr>
              <w:t>安全气囊</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主/副驾驶座安全气囊+前/后排侧气囊+前后排头部气囊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17</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szCs w:val="21"/>
              </w:rPr>
              <w:t>并线辅助功能</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18</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szCs w:val="21"/>
              </w:rPr>
              <w:t>车道偏离预警</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19</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主动刹车制动系统</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20</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驾驶辅助影像</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360全景影像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44"/>
                <w:szCs w:val="21"/>
              </w:rPr>
            </w:pPr>
            <w:r>
              <w:rPr>
                <w:rFonts w:hint="eastAsia" w:ascii="宋体" w:hAnsi="宋体" w:cs="宋体"/>
                <w:kern w:val="44"/>
                <w:szCs w:val="21"/>
              </w:rPr>
              <w:t>21</w:t>
            </w:r>
          </w:p>
        </w:tc>
        <w:tc>
          <w:tcPr>
            <w:tcW w:w="264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巡航系统</w:t>
            </w:r>
          </w:p>
        </w:tc>
        <w:tc>
          <w:tcPr>
            <w:tcW w:w="53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全速自适应巡航</w:t>
            </w:r>
          </w:p>
        </w:tc>
      </w:tr>
    </w:tbl>
    <w:p>
      <w:pPr>
        <w:pStyle w:val="32"/>
        <w:ind w:left="567" w:firstLine="0"/>
      </w:pPr>
    </w:p>
    <w:p>
      <w:pPr>
        <w:spacing w:line="360" w:lineRule="auto"/>
        <w:jc w:val="center"/>
        <w:outlineLvl w:val="0"/>
        <w:rPr>
          <w:rFonts w:ascii="宋体" w:hAnsi="宋体"/>
          <w:b/>
          <w:sz w:val="30"/>
          <w:szCs w:val="30"/>
        </w:rPr>
      </w:pPr>
      <w:bookmarkStart w:id="61" w:name="_Toc21773_WPSOffice_Level1"/>
      <w:bookmarkStart w:id="62" w:name="_Toc17493"/>
      <w:r>
        <w:rPr>
          <w:rFonts w:hint="eastAsia" w:ascii="宋体" w:hAnsi="宋体"/>
          <w:b/>
          <w:sz w:val="30"/>
          <w:szCs w:val="30"/>
        </w:rPr>
        <w:t>第五章  投标文件内容及格式</w:t>
      </w:r>
      <w:bookmarkEnd w:id="61"/>
      <w:bookmarkEnd w:id="62"/>
    </w:p>
    <w:p>
      <w:pPr>
        <w:spacing w:line="540" w:lineRule="exact"/>
        <w:jc w:val="right"/>
        <w:rPr>
          <w:rFonts w:ascii="仿宋_GB2312" w:eastAsia="仿宋_GB2312"/>
          <w:sz w:val="28"/>
          <w:szCs w:val="28"/>
        </w:rPr>
      </w:pPr>
      <w:r>
        <w:rPr>
          <w:rFonts w:hint="eastAsia" w:ascii="宋体" w:hAnsi="宋体" w:cs="宋体"/>
          <w:sz w:val="28"/>
          <w:szCs w:val="28"/>
        </w:rPr>
        <w:t>（正/副本）</w:t>
      </w:r>
    </w:p>
    <w:p>
      <w:pPr>
        <w:spacing w:line="540" w:lineRule="exact"/>
        <w:jc w:val="center"/>
        <w:rPr>
          <w:rFonts w:ascii="仿宋_GB2312" w:eastAsia="仿宋_GB2312"/>
          <w:sz w:val="28"/>
          <w:szCs w:val="28"/>
        </w:rPr>
      </w:pPr>
    </w:p>
    <w:p>
      <w:pPr>
        <w:jc w:val="center"/>
        <w:rPr>
          <w:rFonts w:eastAsia="黑体"/>
          <w:color w:val="000000"/>
          <w:sz w:val="20"/>
        </w:rPr>
      </w:pPr>
      <w:r>
        <w:rPr>
          <w:rFonts w:hint="eastAsia" w:eastAsia="黑体"/>
          <w:color w:val="000000"/>
          <w:sz w:val="28"/>
          <w:szCs w:val="28"/>
          <w:u w:val="single"/>
        </w:rPr>
        <w:t xml:space="preserve">                </w:t>
      </w:r>
      <w:r>
        <w:rPr>
          <w:rFonts w:eastAsia="黑体"/>
          <w:color w:val="000000"/>
          <w:sz w:val="28"/>
          <w:szCs w:val="28"/>
        </w:rPr>
        <w:t>（项目名称</w:t>
      </w:r>
      <w:r>
        <w:rPr>
          <w:rFonts w:hint="eastAsia" w:eastAsia="黑体"/>
          <w:color w:val="000000"/>
          <w:sz w:val="28"/>
          <w:szCs w:val="28"/>
        </w:rPr>
        <w:t>、标段</w:t>
      </w:r>
      <w:r>
        <w:rPr>
          <w:rFonts w:eastAsia="黑体"/>
          <w:color w:val="000000"/>
          <w:sz w:val="28"/>
          <w:szCs w:val="28"/>
        </w:rPr>
        <w:t>）</w:t>
      </w: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jc w:val="center"/>
        <w:rPr>
          <w:rFonts w:eastAsia="黑体"/>
          <w:color w:val="000000"/>
          <w:sz w:val="20"/>
        </w:rPr>
      </w:pPr>
    </w:p>
    <w:p>
      <w:pPr>
        <w:pStyle w:val="14"/>
        <w:rPr>
          <w:rFonts w:eastAsia="黑体"/>
          <w:color w:val="000000"/>
          <w:sz w:val="20"/>
        </w:rPr>
      </w:pPr>
    </w:p>
    <w:p>
      <w:pPr>
        <w:pStyle w:val="15"/>
      </w:pPr>
    </w:p>
    <w:p>
      <w:pPr>
        <w:jc w:val="center"/>
        <w:rPr>
          <w:rFonts w:eastAsia="黑体"/>
          <w:color w:val="000000"/>
          <w:sz w:val="20"/>
        </w:rPr>
      </w:pPr>
    </w:p>
    <w:p>
      <w:pPr>
        <w:rPr>
          <w:rFonts w:eastAsia="黑体"/>
          <w:color w:val="000000"/>
          <w:sz w:val="20"/>
        </w:rPr>
      </w:pPr>
    </w:p>
    <w:p>
      <w:pPr>
        <w:jc w:val="center"/>
        <w:rPr>
          <w:rFonts w:eastAsia="黑体"/>
          <w:color w:val="000000"/>
          <w:sz w:val="96"/>
          <w:szCs w:val="96"/>
        </w:rPr>
      </w:pPr>
      <w:r>
        <w:rPr>
          <w:rFonts w:eastAsia="黑体"/>
          <w:color w:val="000000"/>
          <w:sz w:val="96"/>
          <w:szCs w:val="96"/>
        </w:rPr>
        <w:t>投 标 文 件</w:t>
      </w:r>
    </w:p>
    <w:p>
      <w:pPr>
        <w:ind w:firstLine="3920" w:firstLineChars="1400"/>
        <w:rPr>
          <w:rFonts w:eastAsia="黑体"/>
          <w:color w:val="000000"/>
          <w:sz w:val="28"/>
          <w:szCs w:val="28"/>
        </w:rPr>
      </w:pPr>
      <w:r>
        <w:rPr>
          <w:rFonts w:hint="eastAsia" w:eastAsia="黑体"/>
          <w:color w:val="000000"/>
          <w:sz w:val="28"/>
          <w:szCs w:val="28"/>
        </w:rPr>
        <w:t>项目编号：</w:t>
      </w:r>
    </w:p>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pStyle w:val="16"/>
        <w:ind w:firstLine="560"/>
        <w:rPr>
          <w:rFonts w:eastAsia="黑体"/>
          <w:color w:val="000000"/>
          <w:sz w:val="28"/>
          <w:szCs w:val="28"/>
        </w:rPr>
      </w:pPr>
    </w:p>
    <w:p>
      <w:pPr>
        <w:pStyle w:val="15"/>
        <w:rPr>
          <w:rFonts w:eastAsia="黑体"/>
          <w:sz w:val="28"/>
          <w:szCs w:val="28"/>
        </w:rPr>
      </w:pPr>
    </w:p>
    <w:p>
      <w:pPr>
        <w:rPr>
          <w:rFonts w:eastAsia="黑体"/>
          <w:color w:val="000000"/>
          <w:sz w:val="28"/>
          <w:szCs w:val="28"/>
        </w:rPr>
      </w:pPr>
    </w:p>
    <w:p>
      <w:pPr>
        <w:pStyle w:val="14"/>
      </w:pPr>
    </w:p>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spacing w:line="360" w:lineRule="auto"/>
        <w:jc w:val="center"/>
        <w:rPr>
          <w:rFonts w:eastAsia="黑体"/>
          <w:color w:val="000000"/>
          <w:sz w:val="28"/>
          <w:szCs w:val="28"/>
          <w:u w:val="single"/>
        </w:rPr>
      </w:pPr>
      <w:r>
        <w:rPr>
          <w:rFonts w:eastAsia="黑体"/>
          <w:color w:val="000000"/>
          <w:sz w:val="28"/>
          <w:szCs w:val="28"/>
        </w:rPr>
        <w:t>投标人：</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eastAsia="黑体"/>
          <w:color w:val="000000"/>
          <w:sz w:val="28"/>
          <w:szCs w:val="28"/>
        </w:rPr>
        <w:t>（盖单位章）</w:t>
      </w:r>
    </w:p>
    <w:p>
      <w:pPr>
        <w:spacing w:line="360" w:lineRule="auto"/>
        <w:jc w:val="center"/>
        <w:rPr>
          <w:rFonts w:eastAsia="黑体"/>
          <w:color w:val="000000"/>
          <w:sz w:val="28"/>
          <w:szCs w:val="28"/>
        </w:rPr>
      </w:pPr>
      <w:r>
        <w:rPr>
          <w:rFonts w:eastAsia="黑体"/>
          <w:color w:val="000000"/>
          <w:sz w:val="28"/>
          <w:szCs w:val="28"/>
        </w:rPr>
        <w:t>法定代表人或其委托代理人：</w:t>
      </w:r>
      <w:r>
        <w:rPr>
          <w:rFonts w:eastAsia="黑体"/>
          <w:color w:val="000000"/>
          <w:sz w:val="28"/>
          <w:szCs w:val="28"/>
          <w:u w:val="single"/>
        </w:rPr>
        <w:t xml:space="preserve">      </w:t>
      </w:r>
      <w:r>
        <w:rPr>
          <w:rFonts w:eastAsia="黑体"/>
          <w:color w:val="000000"/>
          <w:sz w:val="28"/>
          <w:szCs w:val="28"/>
        </w:rPr>
        <w:t>（签字</w:t>
      </w:r>
      <w:r>
        <w:rPr>
          <w:rFonts w:hint="eastAsia" w:eastAsia="黑体"/>
          <w:color w:val="000000"/>
          <w:sz w:val="28"/>
          <w:szCs w:val="28"/>
        </w:rPr>
        <w:t>或盖章</w:t>
      </w:r>
      <w:r>
        <w:rPr>
          <w:rFonts w:eastAsia="黑体"/>
          <w:color w:val="000000"/>
          <w:sz w:val="28"/>
          <w:szCs w:val="28"/>
        </w:rPr>
        <w:t>）</w:t>
      </w:r>
    </w:p>
    <w:p>
      <w:pPr>
        <w:spacing w:line="360" w:lineRule="auto"/>
        <w:jc w:val="center"/>
        <w:rPr>
          <w:rFonts w:ascii="仿宋_GB2312" w:eastAsia="仿宋_GB2312"/>
          <w:sz w:val="28"/>
          <w:szCs w:val="28"/>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p>
      <w:pPr>
        <w:pStyle w:val="14"/>
        <w:kinsoku w:val="0"/>
        <w:overflowPunct w:val="0"/>
        <w:spacing w:line="541" w:lineRule="exact"/>
        <w:ind w:left="1"/>
        <w:jc w:val="center"/>
        <w:rPr>
          <w:sz w:val="44"/>
        </w:rPr>
      </w:pPr>
      <w:bookmarkStart w:id="63" w:name="_Toc28563_WPSOffice_Level1"/>
      <w:bookmarkStart w:id="64" w:name="_Toc30512_WPSOffice_Level1"/>
      <w:r>
        <w:rPr>
          <w:rFonts w:hint="eastAsia"/>
          <w:b/>
          <w:sz w:val="44"/>
        </w:rPr>
        <w:t>目</w:t>
      </w:r>
      <w:r>
        <w:rPr>
          <w:rFonts w:hint="eastAsia"/>
          <w:b/>
          <w:spacing w:val="-2"/>
          <w:sz w:val="44"/>
        </w:rPr>
        <w:t xml:space="preserve"> </w:t>
      </w:r>
      <w:r>
        <w:rPr>
          <w:rFonts w:hint="eastAsia"/>
          <w:b/>
          <w:sz w:val="44"/>
        </w:rPr>
        <w:t>录</w:t>
      </w:r>
    </w:p>
    <w:p>
      <w:pPr>
        <w:pStyle w:val="14"/>
        <w:kinsoku w:val="0"/>
        <w:overflowPunct w:val="0"/>
        <w:rPr>
          <w:b/>
          <w:sz w:val="32"/>
        </w:rPr>
      </w:pPr>
    </w:p>
    <w:p>
      <w:pPr>
        <w:pStyle w:val="14"/>
        <w:tabs>
          <w:tab w:val="left" w:pos="1508"/>
        </w:tabs>
        <w:kinsoku w:val="0"/>
        <w:overflowPunct w:val="0"/>
        <w:ind w:left="5"/>
        <w:jc w:val="center"/>
        <w:rPr>
          <w:rFonts w:ascii="黑体" w:hAnsi="黑体" w:eastAsia="黑体"/>
          <w:spacing w:val="-3"/>
          <w:sz w:val="30"/>
        </w:rPr>
      </w:pPr>
      <w:r>
        <w:rPr>
          <w:rFonts w:hint="eastAsia" w:ascii="黑体" w:hAnsi="黑体" w:eastAsia="黑体"/>
          <w:spacing w:val="-2"/>
          <w:sz w:val="30"/>
        </w:rPr>
        <w:t>第一部分</w:t>
      </w:r>
      <w:r>
        <w:rPr>
          <w:rFonts w:hint="eastAsia" w:ascii="黑体" w:hAnsi="黑体" w:eastAsia="黑体"/>
          <w:spacing w:val="-2"/>
          <w:sz w:val="30"/>
        </w:rPr>
        <w:tab/>
      </w:r>
      <w:r>
        <w:rPr>
          <w:rFonts w:hint="eastAsia" w:ascii="黑体" w:hAnsi="黑体" w:eastAsia="黑体"/>
          <w:spacing w:val="-3"/>
          <w:sz w:val="30"/>
        </w:rPr>
        <w:t>开标一览表及资格证明文件</w:t>
      </w:r>
    </w:p>
    <w:p>
      <w:pPr>
        <w:pStyle w:val="14"/>
        <w:kinsoku w:val="0"/>
        <w:overflowPunct w:val="0"/>
        <w:rPr>
          <w:rFonts w:ascii="黑体" w:hAnsi="黑体" w:eastAsia="黑体"/>
          <w:sz w:val="20"/>
        </w:rPr>
      </w:pPr>
    </w:p>
    <w:p>
      <w:pPr>
        <w:pStyle w:val="14"/>
        <w:kinsoku w:val="0"/>
        <w:overflowPunct w:val="0"/>
        <w:rPr>
          <w:rFonts w:ascii="黑体" w:hAnsi="黑体" w:eastAsia="黑体"/>
          <w:sz w:val="17"/>
        </w:rPr>
      </w:pP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1、开标一览表</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2、法人或者非法人组织的营业执照或其它证明文件或自然人的身份证 明扫描件</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3、法定代表人身份证明书</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4、法定代表人授权委托书</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5、投标保证承诺书</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6、具有良好的商业信誉和健全的财务会计制度的承诺书</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7、具备履行合同所必需的设备和专业技术能力的证明材料</w:t>
      </w:r>
    </w:p>
    <w:p>
      <w:pPr>
        <w:widowControl/>
        <w:spacing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8、依法缴纳税收和社会保障资金的良好记录（提供2020年任意一个月依法缴纳税收和社会保障资金的证明，依法免税企业应提供相关证明文件；）</w:t>
      </w:r>
    </w:p>
    <w:p>
      <w:pPr>
        <w:pStyle w:val="14"/>
        <w:kinsoku w:val="0"/>
        <w:overflowPunct w:val="0"/>
        <w:adjustRightInd/>
        <w:spacing w:line="360" w:lineRule="auto"/>
        <w:ind w:right="136"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9 、参加政府采购活动前 3 年内在经营活动中没有重大违法记录的承诺书</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10、无行贿犯罪记录承诺函</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11、投标须知前附表要求的其他资格证明文件</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12、投标人信用查询</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13、反商业贿赂承诺书</w:t>
      </w:r>
    </w:p>
    <w:p>
      <w:pPr>
        <w:pStyle w:val="14"/>
        <w:kinsoku w:val="0"/>
        <w:overflowPunct w:val="0"/>
        <w:adjustRightInd/>
        <w:spacing w:line="360" w:lineRule="auto"/>
        <w:ind w:firstLine="420" w:firstLineChars="175"/>
        <w:textAlignment w:val="auto"/>
        <w:rPr>
          <w:rFonts w:ascii="宋体" w:hAnsi="宋体" w:eastAsia="宋体" w:cs="宋体"/>
          <w:color w:val="000000"/>
          <w:sz w:val="24"/>
          <w:szCs w:val="24"/>
        </w:rPr>
      </w:pPr>
      <w:r>
        <w:rPr>
          <w:rFonts w:hint="eastAsia" w:ascii="宋体" w:hAnsi="宋体" w:eastAsia="宋体" w:cs="宋体"/>
          <w:color w:val="000000"/>
          <w:sz w:val="24"/>
          <w:szCs w:val="24"/>
        </w:rPr>
        <w:t>14、招标代理服务费交纳承诺函</w:t>
      </w:r>
    </w:p>
    <w:p>
      <w:pPr>
        <w:pStyle w:val="14"/>
        <w:kinsoku w:val="0"/>
        <w:overflowPunct w:val="0"/>
        <w:ind w:firstLine="351" w:firstLineChars="175"/>
        <w:rPr>
          <w:b/>
          <w:sz w:val="20"/>
        </w:rPr>
      </w:pPr>
    </w:p>
    <w:p>
      <w:pPr>
        <w:pStyle w:val="14"/>
        <w:kinsoku w:val="0"/>
        <w:overflowPunct w:val="0"/>
        <w:rPr>
          <w:b/>
        </w:rPr>
      </w:pPr>
    </w:p>
    <w:p>
      <w:pPr>
        <w:pStyle w:val="14"/>
        <w:kinsoku w:val="0"/>
        <w:overflowPunct w:val="0"/>
        <w:rPr>
          <w:b/>
        </w:rPr>
      </w:pPr>
    </w:p>
    <w:p>
      <w:pPr>
        <w:pStyle w:val="14"/>
        <w:kinsoku w:val="0"/>
        <w:overflowPunct w:val="0"/>
        <w:rPr>
          <w:b/>
        </w:rPr>
      </w:pPr>
    </w:p>
    <w:p>
      <w:pPr>
        <w:pStyle w:val="14"/>
        <w:kinsoku w:val="0"/>
        <w:overflowPunct w:val="0"/>
        <w:rPr>
          <w:b/>
        </w:rPr>
      </w:pPr>
    </w:p>
    <w:p>
      <w:pPr>
        <w:pStyle w:val="14"/>
        <w:kinsoku w:val="0"/>
        <w:overflowPunct w:val="0"/>
        <w:rPr>
          <w:b/>
        </w:rPr>
      </w:pPr>
    </w:p>
    <w:p>
      <w:pPr>
        <w:pStyle w:val="14"/>
        <w:kinsoku w:val="0"/>
        <w:overflowPunct w:val="0"/>
        <w:rPr>
          <w:b/>
        </w:rPr>
      </w:pPr>
    </w:p>
    <w:p>
      <w:pPr>
        <w:pStyle w:val="14"/>
        <w:kinsoku w:val="0"/>
        <w:overflowPunct w:val="0"/>
        <w:rPr>
          <w:b/>
        </w:rPr>
      </w:pPr>
    </w:p>
    <w:p>
      <w:pPr>
        <w:pStyle w:val="15"/>
        <w:rPr>
          <w:b/>
          <w:sz w:val="28"/>
        </w:rPr>
      </w:pPr>
    </w:p>
    <w:p>
      <w:pPr>
        <w:pStyle w:val="15"/>
        <w:rPr>
          <w:b/>
          <w:sz w:val="28"/>
        </w:rPr>
      </w:pPr>
    </w:p>
    <w:p>
      <w:pPr>
        <w:pStyle w:val="15"/>
        <w:rPr>
          <w:b/>
          <w:sz w:val="28"/>
        </w:rPr>
      </w:pPr>
    </w:p>
    <w:p>
      <w:pPr>
        <w:pStyle w:val="15"/>
        <w:rPr>
          <w:b/>
          <w:sz w:val="28"/>
        </w:rPr>
      </w:pPr>
    </w:p>
    <w:p>
      <w:pPr>
        <w:pStyle w:val="15"/>
        <w:rPr>
          <w:b/>
          <w:sz w:val="28"/>
        </w:rPr>
      </w:pPr>
    </w:p>
    <w:p>
      <w:pPr>
        <w:pStyle w:val="14"/>
        <w:kinsoku w:val="0"/>
        <w:overflowPunct w:val="0"/>
        <w:rPr>
          <w:b/>
        </w:rPr>
      </w:pPr>
    </w:p>
    <w:p>
      <w:pPr>
        <w:pStyle w:val="14"/>
        <w:kinsoku w:val="0"/>
        <w:overflowPunct w:val="0"/>
        <w:rPr>
          <w:b/>
        </w:rPr>
      </w:pPr>
    </w:p>
    <w:p>
      <w:pPr>
        <w:pStyle w:val="14"/>
        <w:kinsoku w:val="0"/>
        <w:overflowPunct w:val="0"/>
        <w:rPr>
          <w:b/>
        </w:rPr>
      </w:pPr>
    </w:p>
    <w:p>
      <w:pPr>
        <w:pStyle w:val="14"/>
        <w:kinsoku w:val="0"/>
        <w:overflowPunct w:val="0"/>
        <w:ind w:left="141" w:right="273"/>
        <w:jc w:val="center"/>
        <w:rPr>
          <w:rFonts w:ascii="宋体" w:hAnsi="宋体" w:eastAsia="宋体" w:cs="宋体"/>
          <w:spacing w:val="2"/>
        </w:rPr>
      </w:pPr>
      <w:r>
        <w:rPr>
          <w:rFonts w:hint="eastAsia" w:ascii="宋体" w:hAnsi="宋体" w:eastAsia="宋体" w:cs="宋体"/>
          <w:b/>
          <w:spacing w:val="2"/>
        </w:rPr>
        <w:t>1、开标一览表</w:t>
      </w:r>
    </w:p>
    <w:p>
      <w:pPr>
        <w:pStyle w:val="14"/>
        <w:kinsoku w:val="0"/>
        <w:overflowPunct w:val="0"/>
        <w:rPr>
          <w:b/>
          <w:sz w:val="13"/>
        </w:rPr>
      </w:pPr>
    </w:p>
    <w:tbl>
      <w:tblPr>
        <w:tblStyle w:val="33"/>
        <w:tblW w:w="0" w:type="auto"/>
        <w:tblInd w:w="348" w:type="dxa"/>
        <w:tblLayout w:type="fixed"/>
        <w:tblCellMar>
          <w:top w:w="0" w:type="dxa"/>
          <w:left w:w="108" w:type="dxa"/>
          <w:bottom w:w="0" w:type="dxa"/>
          <w:right w:w="108" w:type="dxa"/>
        </w:tblCellMar>
      </w:tblPr>
      <w:tblGrid>
        <w:gridCol w:w="2856"/>
        <w:gridCol w:w="5975"/>
      </w:tblGrid>
      <w:tr>
        <w:tblPrEx>
          <w:tblCellMar>
            <w:top w:w="0" w:type="dxa"/>
            <w:left w:w="108" w:type="dxa"/>
            <w:bottom w:w="0" w:type="dxa"/>
            <w:right w:w="108" w:type="dxa"/>
          </w:tblCellMar>
        </w:tblPrEx>
        <w:trPr>
          <w:trHeight w:val="617" w:hRule="exact"/>
        </w:trPr>
        <w:tc>
          <w:tcPr>
            <w:tcW w:w="2856" w:type="dxa"/>
            <w:tcBorders>
              <w:top w:val="single" w:color="000000" w:sz="10"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项目名称</w:t>
            </w:r>
          </w:p>
        </w:tc>
        <w:tc>
          <w:tcPr>
            <w:tcW w:w="5975" w:type="dxa"/>
            <w:tcBorders>
              <w:top w:val="single" w:color="000000" w:sz="10"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17" w:hRule="exact"/>
        </w:trPr>
        <w:tc>
          <w:tcPr>
            <w:tcW w:w="2856" w:type="dxa"/>
            <w:tcBorders>
              <w:top w:val="single" w:color="000000" w:sz="10"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ascii="宋体" w:hAnsi="宋体"/>
                <w:szCs w:val="22"/>
              </w:rPr>
            </w:pPr>
            <w:r>
              <w:rPr>
                <w:rFonts w:ascii="宋体" w:hAnsi="宋体"/>
                <w:szCs w:val="22"/>
              </w:rPr>
              <w:t>标段</w:t>
            </w:r>
          </w:p>
        </w:tc>
        <w:tc>
          <w:tcPr>
            <w:tcW w:w="5975" w:type="dxa"/>
            <w:tcBorders>
              <w:top w:val="single" w:color="000000" w:sz="10"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24"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供应商名称</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24"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投标范围</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pStyle w:val="56"/>
              <w:kinsoku w:val="0"/>
              <w:overflowPunct w:val="0"/>
              <w:jc w:val="center"/>
              <w:rPr>
                <w:rFonts w:hint="default"/>
                <w:szCs w:val="22"/>
              </w:rPr>
            </w:pPr>
            <w:r>
              <w:rPr>
                <w:rFonts w:ascii="宋体" w:hAnsi="宋体"/>
                <w:szCs w:val="22"/>
              </w:rPr>
              <w:t>按招标文件要求</w:t>
            </w:r>
          </w:p>
        </w:tc>
      </w:tr>
      <w:tr>
        <w:tblPrEx>
          <w:tblCellMar>
            <w:top w:w="0" w:type="dxa"/>
            <w:left w:w="108" w:type="dxa"/>
            <w:bottom w:w="0" w:type="dxa"/>
            <w:right w:w="108" w:type="dxa"/>
          </w:tblCellMar>
        </w:tblPrEx>
        <w:trPr>
          <w:trHeight w:val="624" w:hRule="exact"/>
        </w:trPr>
        <w:tc>
          <w:tcPr>
            <w:tcW w:w="2856" w:type="dxa"/>
            <w:vMerge w:val="restart"/>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rPr>
                <w:rFonts w:hint="default" w:ascii="宋体" w:hAnsi="宋体"/>
                <w:b/>
                <w:sz w:val="32"/>
                <w:szCs w:val="22"/>
              </w:rPr>
            </w:pPr>
          </w:p>
          <w:p>
            <w:pPr>
              <w:pStyle w:val="56"/>
              <w:kinsoku w:val="0"/>
              <w:overflowPunct w:val="0"/>
              <w:ind w:left="451"/>
              <w:rPr>
                <w:rFonts w:hint="default"/>
                <w:szCs w:val="22"/>
              </w:rPr>
            </w:pPr>
            <w:r>
              <w:rPr>
                <w:rFonts w:ascii="宋体" w:hAnsi="宋体"/>
                <w:szCs w:val="22"/>
              </w:rPr>
              <w:t>投标总报价（元）</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pStyle w:val="56"/>
              <w:kinsoku w:val="0"/>
              <w:overflowPunct w:val="0"/>
              <w:ind w:left="100"/>
              <w:rPr>
                <w:rFonts w:hint="default"/>
                <w:szCs w:val="22"/>
              </w:rPr>
            </w:pPr>
            <w:r>
              <w:rPr>
                <w:rFonts w:ascii="宋体" w:hAnsi="宋体"/>
                <w:b/>
                <w:szCs w:val="22"/>
              </w:rPr>
              <w:t>大写：</w:t>
            </w:r>
          </w:p>
        </w:tc>
      </w:tr>
      <w:tr>
        <w:tblPrEx>
          <w:tblCellMar>
            <w:top w:w="0" w:type="dxa"/>
            <w:left w:w="108" w:type="dxa"/>
            <w:bottom w:w="0" w:type="dxa"/>
            <w:right w:w="108" w:type="dxa"/>
          </w:tblCellMar>
        </w:tblPrEx>
        <w:trPr>
          <w:trHeight w:val="624" w:hRule="exact"/>
        </w:trPr>
        <w:tc>
          <w:tcPr>
            <w:tcW w:w="2856" w:type="dxa"/>
            <w:vMerge w:val="continue"/>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left="100"/>
              <w:rPr>
                <w:rFonts w:hint="default"/>
                <w:szCs w:val="22"/>
              </w:rPr>
            </w:pP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pStyle w:val="56"/>
              <w:kinsoku w:val="0"/>
              <w:overflowPunct w:val="0"/>
              <w:ind w:left="100"/>
              <w:rPr>
                <w:rFonts w:hint="default"/>
                <w:szCs w:val="22"/>
              </w:rPr>
            </w:pPr>
            <w:r>
              <w:rPr>
                <w:rFonts w:ascii="宋体" w:hAnsi="宋体"/>
                <w:b/>
                <w:szCs w:val="22"/>
              </w:rPr>
              <w:t>小写：</w:t>
            </w:r>
          </w:p>
        </w:tc>
      </w:tr>
      <w:tr>
        <w:tblPrEx>
          <w:tblCellMar>
            <w:top w:w="0" w:type="dxa"/>
            <w:left w:w="108" w:type="dxa"/>
            <w:bottom w:w="0" w:type="dxa"/>
            <w:right w:w="108" w:type="dxa"/>
          </w:tblCellMar>
        </w:tblPrEx>
        <w:trPr>
          <w:trHeight w:val="624"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质量标准</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25"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质保期</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24"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供货期</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24"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交货地点</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24"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投标有效期</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24" w:hRule="exact"/>
        </w:trPr>
        <w:tc>
          <w:tcPr>
            <w:tcW w:w="285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项目负责人</w:t>
            </w:r>
          </w:p>
        </w:tc>
        <w:tc>
          <w:tcPr>
            <w:tcW w:w="5975" w:type="dxa"/>
            <w:tcBorders>
              <w:top w:val="single" w:color="000000" w:sz="4" w:space="0"/>
              <w:left w:val="single" w:color="000000" w:sz="4" w:space="0"/>
              <w:bottom w:val="single" w:color="000000" w:sz="4" w:space="0"/>
              <w:right w:val="single" w:color="000000" w:sz="10" w:space="0"/>
              <w:tl2br w:val="nil"/>
              <w:tr2bl w:val="nil"/>
            </w:tcBorders>
          </w:tcPr>
          <w:p>
            <w:pPr>
              <w:rPr>
                <w:sz w:val="24"/>
                <w:szCs w:val="22"/>
              </w:rPr>
            </w:pPr>
          </w:p>
        </w:tc>
      </w:tr>
      <w:tr>
        <w:tblPrEx>
          <w:tblCellMar>
            <w:top w:w="0" w:type="dxa"/>
            <w:left w:w="108" w:type="dxa"/>
            <w:bottom w:w="0" w:type="dxa"/>
            <w:right w:w="108" w:type="dxa"/>
          </w:tblCellMar>
        </w:tblPrEx>
        <w:trPr>
          <w:trHeight w:val="636" w:hRule="exact"/>
        </w:trPr>
        <w:tc>
          <w:tcPr>
            <w:tcW w:w="2856" w:type="dxa"/>
            <w:tcBorders>
              <w:top w:val="single" w:color="000000" w:sz="4" w:space="0"/>
              <w:left w:val="single" w:color="000000" w:sz="10" w:space="0"/>
              <w:bottom w:val="single" w:color="000000" w:sz="10" w:space="0"/>
              <w:right w:val="single" w:color="000000" w:sz="4" w:space="0"/>
              <w:tl2br w:val="nil"/>
              <w:tr2bl w:val="nil"/>
            </w:tcBorders>
          </w:tcPr>
          <w:p>
            <w:pPr>
              <w:pStyle w:val="56"/>
              <w:kinsoku w:val="0"/>
              <w:overflowPunct w:val="0"/>
              <w:ind w:right="8"/>
              <w:jc w:val="center"/>
              <w:rPr>
                <w:rFonts w:hint="default"/>
                <w:szCs w:val="22"/>
              </w:rPr>
            </w:pPr>
            <w:r>
              <w:rPr>
                <w:rFonts w:ascii="宋体" w:hAnsi="宋体"/>
                <w:szCs w:val="22"/>
              </w:rPr>
              <w:t>其他声明</w:t>
            </w:r>
          </w:p>
        </w:tc>
        <w:tc>
          <w:tcPr>
            <w:tcW w:w="5975" w:type="dxa"/>
            <w:tcBorders>
              <w:top w:val="single" w:color="000000" w:sz="4" w:space="0"/>
              <w:left w:val="single" w:color="000000" w:sz="4" w:space="0"/>
              <w:bottom w:val="single" w:color="000000" w:sz="10" w:space="0"/>
              <w:right w:val="single" w:color="000000" w:sz="10" w:space="0"/>
              <w:tl2br w:val="nil"/>
              <w:tr2bl w:val="nil"/>
            </w:tcBorders>
          </w:tcPr>
          <w:p>
            <w:pPr>
              <w:rPr>
                <w:sz w:val="24"/>
                <w:szCs w:val="22"/>
              </w:rPr>
            </w:pPr>
          </w:p>
        </w:tc>
      </w:tr>
    </w:tbl>
    <w:p>
      <w:pPr>
        <w:pStyle w:val="14"/>
        <w:kinsoku w:val="0"/>
        <w:overflowPunct w:val="0"/>
        <w:rPr>
          <w:b/>
          <w:sz w:val="20"/>
        </w:rPr>
      </w:pPr>
    </w:p>
    <w:p>
      <w:pPr>
        <w:pStyle w:val="14"/>
        <w:kinsoku w:val="0"/>
        <w:overflowPunct w:val="0"/>
        <w:rPr>
          <w:b/>
          <w:sz w:val="24"/>
          <w:szCs w:val="24"/>
        </w:rPr>
      </w:pPr>
    </w:p>
    <w:p>
      <w:pPr>
        <w:pStyle w:val="14"/>
        <w:kinsoku w:val="0"/>
        <w:overflowPunct w:val="0"/>
        <w:ind w:left="149" w:right="142"/>
        <w:rPr>
          <w:rFonts w:ascii="宋体" w:hAnsi="宋体" w:eastAsia="宋体" w:cs="宋体"/>
          <w:sz w:val="24"/>
          <w:szCs w:val="24"/>
        </w:rPr>
      </w:pPr>
      <w:r>
        <w:rPr>
          <w:rFonts w:hint="eastAsia" w:ascii="宋体" w:hAnsi="宋体" w:eastAsia="宋体" w:cs="宋体"/>
          <w:sz w:val="24"/>
          <w:szCs w:val="24"/>
        </w:rPr>
        <w:t>说明：此表中，每标段（或包）的投标总价应和投标分项报价表的总价相一致。</w:t>
      </w:r>
    </w:p>
    <w:p>
      <w:pPr>
        <w:pStyle w:val="14"/>
        <w:kinsoku w:val="0"/>
        <w:overflowPunct w:val="0"/>
        <w:rPr>
          <w:rFonts w:ascii="宋体" w:hAnsi="宋体" w:eastAsia="宋体" w:cs="宋体"/>
          <w:sz w:val="24"/>
          <w:szCs w:val="24"/>
        </w:rPr>
      </w:pPr>
    </w:p>
    <w:p>
      <w:pPr>
        <w:pStyle w:val="14"/>
        <w:kinsoku w:val="0"/>
        <w:overflowPunct w:val="0"/>
        <w:rPr>
          <w:rFonts w:ascii="宋体" w:hAnsi="宋体" w:eastAsia="宋体" w:cs="宋体"/>
          <w:sz w:val="24"/>
          <w:szCs w:val="24"/>
        </w:rPr>
      </w:pPr>
    </w:p>
    <w:p>
      <w:pPr>
        <w:pStyle w:val="14"/>
        <w:kinsoku w:val="0"/>
        <w:overflowPunct w:val="0"/>
        <w:rPr>
          <w:rFonts w:ascii="宋体" w:hAnsi="宋体" w:eastAsia="宋体" w:cs="宋体"/>
          <w:sz w:val="24"/>
          <w:szCs w:val="24"/>
        </w:rPr>
      </w:pPr>
    </w:p>
    <w:p>
      <w:pPr>
        <w:pStyle w:val="14"/>
        <w:kinsoku w:val="0"/>
        <w:overflowPunct w:val="0"/>
        <w:spacing w:line="506" w:lineRule="auto"/>
        <w:ind w:left="147" w:leftChars="70" w:right="-10" w:firstLine="4048" w:firstLineChars="1687"/>
        <w:rPr>
          <w:rFonts w:ascii="宋体" w:hAnsi="宋体" w:eastAsia="宋体" w:cs="宋体"/>
          <w:sz w:val="24"/>
          <w:szCs w:val="24"/>
        </w:rPr>
      </w:pPr>
      <w:r>
        <w:rPr>
          <w:rFonts w:hint="eastAsia" w:ascii="宋体" w:hAnsi="宋体" w:eastAsia="宋体" w:cs="宋体"/>
          <w:sz w:val="24"/>
          <w:szCs w:val="24"/>
        </w:rPr>
        <w:t xml:space="preserve">供应商：（此处填名称并盖公章） </w:t>
      </w:r>
    </w:p>
    <w:p>
      <w:pPr>
        <w:pStyle w:val="14"/>
        <w:kinsoku w:val="0"/>
        <w:overflowPunct w:val="0"/>
        <w:adjustRightInd/>
        <w:spacing w:line="507" w:lineRule="auto"/>
        <w:ind w:right="-11" w:firstLine="4198" w:firstLineChars="1779"/>
        <w:textAlignment w:val="auto"/>
        <w:rPr>
          <w:rFonts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z w:val="24"/>
          <w:szCs w:val="24"/>
        </w:rPr>
        <w:t xml:space="preserve"> </w:t>
      </w:r>
    </w:p>
    <w:p>
      <w:pPr>
        <w:pStyle w:val="14"/>
        <w:kinsoku w:val="0"/>
        <w:overflowPunct w:val="0"/>
        <w:spacing w:line="506" w:lineRule="auto"/>
        <w:ind w:left="147" w:leftChars="70" w:right="-10" w:firstLine="4048" w:firstLineChars="1687"/>
        <w:rPr>
          <w:rFonts w:ascii="宋体" w:hAnsi="宋体" w:eastAsia="宋体" w:cs="宋体"/>
          <w:sz w:val="24"/>
          <w:szCs w:val="24"/>
        </w:rPr>
      </w:pPr>
      <w:r>
        <w:rPr>
          <w:rFonts w:hint="eastAsia" w:ascii="宋体" w:hAnsi="宋体" w:eastAsia="宋体" w:cs="宋体"/>
          <w:sz w:val="24"/>
          <w:szCs w:val="24"/>
        </w:rPr>
        <w:t>日期：</w:t>
      </w:r>
    </w:p>
    <w:p>
      <w:pPr>
        <w:pStyle w:val="14"/>
        <w:kinsoku w:val="0"/>
        <w:overflowPunct w:val="0"/>
        <w:spacing w:line="506" w:lineRule="auto"/>
        <w:ind w:left="149" w:right="4512"/>
        <w:rPr>
          <w:rFonts w:ascii="宋体" w:hAnsi="宋体" w:eastAsia="宋体" w:cs="宋体"/>
          <w:sz w:val="24"/>
          <w:szCs w:val="24"/>
        </w:rPr>
        <w:sectPr>
          <w:footerReference r:id="rId5" w:type="default"/>
          <w:pgSz w:w="11910" w:h="16840"/>
          <w:pgMar w:top="1080" w:right="1240" w:bottom="1200" w:left="1440" w:header="875" w:footer="1003" w:gutter="0"/>
          <w:cols w:equalWidth="0" w:num="1">
            <w:col w:w="9230"/>
          </w:cols>
        </w:sectPr>
      </w:pPr>
    </w:p>
    <w:p>
      <w:pPr>
        <w:pStyle w:val="10"/>
        <w:kinsoku w:val="0"/>
        <w:overflowPunct w:val="0"/>
        <w:spacing w:line="412" w:lineRule="auto"/>
        <w:rPr>
          <w:rFonts w:hint="default"/>
        </w:rPr>
      </w:pPr>
      <w:r>
        <w:rPr>
          <w:rFonts w:ascii="宋体" w:hAnsi="宋体"/>
          <w:w w:val="95"/>
        </w:rPr>
        <w:t>2</w:t>
      </w:r>
      <w:r>
        <w:rPr>
          <w:w w:val="95"/>
        </w:rPr>
        <w:t>、法人或者非法人组织的营业执照或其它证明文件或自然人的身份证</w:t>
      </w:r>
      <w:r>
        <w:t>明扫描件</w:t>
      </w:r>
    </w:p>
    <w:p>
      <w:pPr>
        <w:pStyle w:val="14"/>
        <w:kinsoku w:val="0"/>
        <w:overflowPunct w:val="0"/>
        <w:rPr>
          <w:rFonts w:ascii="黑体" w:hAnsi="黑体" w:eastAsia="黑体"/>
        </w:rPr>
      </w:pPr>
    </w:p>
    <w:p>
      <w:pPr>
        <w:pStyle w:val="14"/>
        <w:kinsoku w:val="0"/>
        <w:overflowPunct w:val="0"/>
        <w:rPr>
          <w:rFonts w:ascii="黑体" w:hAnsi="黑体" w:eastAsia="黑体"/>
          <w:sz w:val="31"/>
        </w:rPr>
      </w:pPr>
    </w:p>
    <w:p>
      <w:pPr>
        <w:pStyle w:val="14"/>
        <w:kinsoku w:val="0"/>
        <w:overflowPunct w:val="0"/>
        <w:ind w:left="711"/>
        <w:rPr>
          <w:rFonts w:ascii="宋体" w:hAnsi="宋体" w:eastAsia="宋体" w:cs="宋体"/>
        </w:rPr>
      </w:pPr>
      <w:r>
        <w:rPr>
          <w:rFonts w:hint="eastAsia" w:ascii="宋体" w:hAnsi="宋体" w:eastAsia="宋体" w:cs="宋体"/>
        </w:rPr>
        <w:t>投标人应提供资料：</w:t>
      </w:r>
    </w:p>
    <w:p>
      <w:pPr>
        <w:pStyle w:val="14"/>
        <w:kinsoku w:val="0"/>
        <w:overflowPunct w:val="0"/>
        <w:ind w:left="692"/>
        <w:rPr>
          <w:rFonts w:ascii="宋体" w:hAnsi="宋体" w:eastAsia="宋体" w:cs="宋体"/>
          <w:sz w:val="24"/>
        </w:rPr>
      </w:pPr>
      <w:r>
        <w:rPr>
          <w:rFonts w:hint="eastAsia" w:ascii="宋体" w:hAnsi="宋体" w:eastAsia="宋体" w:cs="宋体"/>
          <w:sz w:val="24"/>
        </w:rPr>
        <w:t>2.1、提供有效的营业执照或其它证明文件的扫描件。</w:t>
      </w:r>
    </w:p>
    <w:p>
      <w:pPr>
        <w:pStyle w:val="14"/>
        <w:kinsoku w:val="0"/>
        <w:overflowPunct w:val="0"/>
        <w:ind w:left="692"/>
        <w:rPr>
          <w:rFonts w:ascii="宋体" w:hAnsi="宋体" w:eastAsia="宋体" w:cs="宋体"/>
          <w:sz w:val="24"/>
        </w:rPr>
      </w:pPr>
      <w:r>
        <w:rPr>
          <w:rFonts w:hint="eastAsia" w:ascii="宋体" w:hAnsi="宋体" w:eastAsia="宋体" w:cs="宋体"/>
          <w:sz w:val="24"/>
        </w:rPr>
        <w:t>2.2、投标人为自然人的，应提供身份证明的扫描件。</w:t>
      </w:r>
    </w:p>
    <w:p>
      <w:pPr>
        <w:pStyle w:val="14"/>
        <w:kinsoku w:val="0"/>
        <w:overflowPunct w:val="0"/>
        <w:ind w:left="692"/>
        <w:rPr>
          <w:rFonts w:ascii="宋体" w:hAnsi="宋体" w:eastAsia="宋体" w:cs="宋体"/>
          <w:sz w:val="24"/>
        </w:rPr>
        <w:sectPr>
          <w:pgSz w:w="11910" w:h="16840"/>
          <w:pgMar w:top="1080" w:right="1380" w:bottom="1200" w:left="1440" w:header="875" w:footer="1003" w:gutter="0"/>
          <w:cols w:equalWidth="0" w:num="1">
            <w:col w:w="9090"/>
          </w:cols>
        </w:sectPr>
      </w:pPr>
    </w:p>
    <w:p>
      <w:pPr>
        <w:pStyle w:val="14"/>
        <w:kinsoku w:val="0"/>
        <w:overflowPunct w:val="0"/>
        <w:ind w:left="2934" w:right="525"/>
        <w:rPr>
          <w:rFonts w:ascii="黑体" w:hAnsi="黑体" w:eastAsia="黑体"/>
        </w:rPr>
      </w:pPr>
      <w:r>
        <w:rPr>
          <w:rFonts w:hint="eastAsia"/>
        </w:rPr>
        <w:t>3</w:t>
      </w:r>
      <w:r>
        <w:rPr>
          <w:rFonts w:hint="eastAsia" w:ascii="黑体" w:hAnsi="黑体" w:eastAsia="黑体"/>
        </w:rPr>
        <w:t>、法定代表人身份证明书</w:t>
      </w:r>
    </w:p>
    <w:p>
      <w:pPr>
        <w:pStyle w:val="14"/>
        <w:kinsoku w:val="0"/>
        <w:overflowPunct w:val="0"/>
        <w:rPr>
          <w:rFonts w:ascii="黑体" w:hAnsi="黑体" w:eastAsia="黑体"/>
          <w:sz w:val="36"/>
        </w:rPr>
      </w:pPr>
    </w:p>
    <w:p>
      <w:pPr>
        <w:pStyle w:val="14"/>
        <w:kinsoku w:val="0"/>
        <w:overflowPunct w:val="0"/>
        <w:spacing w:line="357" w:lineRule="auto"/>
        <w:ind w:left="629" w:right="430"/>
        <w:rPr>
          <w:rFonts w:ascii="宋体" w:hAnsi="宋体" w:eastAsia="宋体" w:cs="宋体"/>
          <w:sz w:val="24"/>
        </w:rPr>
      </w:pPr>
      <w:r>
        <w:rPr>
          <w:rFonts w:hint="eastAsia" w:ascii="宋体" w:hAnsi="宋体" w:eastAsia="宋体" w:cs="宋体"/>
          <w:sz w:val="24"/>
        </w:rPr>
        <w:t xml:space="preserve">供应商名称： </w:t>
      </w:r>
    </w:p>
    <w:p>
      <w:pPr>
        <w:pStyle w:val="14"/>
        <w:kinsoku w:val="0"/>
        <w:overflowPunct w:val="0"/>
        <w:spacing w:line="357" w:lineRule="auto"/>
        <w:ind w:left="629" w:right="430"/>
        <w:rPr>
          <w:rFonts w:ascii="宋体" w:hAnsi="宋体" w:eastAsia="宋体" w:cs="宋体"/>
          <w:sz w:val="24"/>
        </w:rPr>
      </w:pPr>
      <w:r>
        <w:rPr>
          <w:rFonts w:hint="eastAsia" w:ascii="宋体" w:hAnsi="宋体" w:eastAsia="宋体" w:cs="宋体"/>
          <w:sz w:val="24"/>
        </w:rPr>
        <w:t xml:space="preserve">单位性质： </w:t>
      </w:r>
    </w:p>
    <w:p>
      <w:pPr>
        <w:pStyle w:val="14"/>
        <w:kinsoku w:val="0"/>
        <w:overflowPunct w:val="0"/>
        <w:spacing w:line="357" w:lineRule="auto"/>
        <w:ind w:left="629" w:right="430"/>
        <w:rPr>
          <w:rFonts w:ascii="宋体" w:hAnsi="宋体" w:eastAsia="宋体" w:cs="宋体"/>
          <w:sz w:val="24"/>
        </w:rPr>
      </w:pPr>
      <w:r>
        <w:rPr>
          <w:rFonts w:hint="eastAsia" w:ascii="宋体" w:hAnsi="宋体" w:eastAsia="宋体" w:cs="宋体"/>
          <w:sz w:val="24"/>
        </w:rPr>
        <w:t>投标人地址：</w:t>
      </w:r>
    </w:p>
    <w:p>
      <w:pPr>
        <w:pStyle w:val="14"/>
        <w:tabs>
          <w:tab w:val="left" w:pos="2430"/>
          <w:tab w:val="left" w:pos="3270"/>
          <w:tab w:val="left" w:pos="4110"/>
          <w:tab w:val="left" w:pos="4711"/>
        </w:tabs>
        <w:kinsoku w:val="0"/>
        <w:overflowPunct w:val="0"/>
        <w:ind w:left="629" w:right="525"/>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日</w:t>
      </w:r>
      <w:r>
        <w:rPr>
          <w:rFonts w:hint="eastAsia" w:ascii="宋体" w:hAnsi="宋体" w:eastAsia="宋体" w:cs="宋体"/>
          <w:sz w:val="24"/>
        </w:rPr>
        <w:tab/>
      </w:r>
    </w:p>
    <w:p>
      <w:pPr>
        <w:pStyle w:val="14"/>
        <w:tabs>
          <w:tab w:val="left" w:pos="2430"/>
          <w:tab w:val="left" w:pos="3270"/>
          <w:tab w:val="left" w:pos="4110"/>
          <w:tab w:val="left" w:pos="4711"/>
        </w:tabs>
        <w:kinsoku w:val="0"/>
        <w:overflowPunct w:val="0"/>
        <w:ind w:left="629" w:right="525"/>
        <w:rPr>
          <w:rFonts w:ascii="宋体" w:hAnsi="宋体" w:eastAsia="宋体" w:cs="宋体"/>
          <w:sz w:val="24"/>
        </w:rPr>
      </w:pPr>
      <w:r>
        <w:rPr>
          <w:rFonts w:hint="eastAsia" w:ascii="宋体" w:hAnsi="宋体" w:eastAsia="宋体" w:cs="宋体"/>
          <w:sz w:val="24"/>
        </w:rPr>
        <w:t>经营期限：</w:t>
      </w:r>
    </w:p>
    <w:p>
      <w:pPr>
        <w:pStyle w:val="14"/>
        <w:tabs>
          <w:tab w:val="left" w:pos="2122"/>
          <w:tab w:val="left" w:pos="2362"/>
          <w:tab w:val="left" w:pos="3496"/>
          <w:tab w:val="left" w:pos="4869"/>
          <w:tab w:val="left" w:pos="6362"/>
          <w:tab w:val="left" w:pos="8456"/>
        </w:tabs>
        <w:kinsoku w:val="0"/>
        <w:overflowPunct w:val="0"/>
        <w:spacing w:line="355" w:lineRule="auto"/>
        <w:ind w:left="149" w:right="525" w:firstLine="48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w:t>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性别</w:t>
      </w:r>
      <w:r>
        <w:rPr>
          <w:rFonts w:hint="eastAsia" w:ascii="宋体" w:hAnsi="宋体" w:eastAsia="宋体" w:cs="宋体"/>
          <w:sz w:val="24"/>
          <w:u w:val="single"/>
        </w:rPr>
        <w:t>：</w:t>
      </w:r>
      <w:r>
        <w:rPr>
          <w:rFonts w:hint="eastAsia" w:ascii="宋体" w:hAnsi="宋体" w:eastAsia="宋体" w:cs="宋体"/>
          <w:sz w:val="24"/>
          <w:u w:val="single"/>
        </w:rPr>
        <w:tab/>
      </w:r>
      <w:r>
        <w:rPr>
          <w:rFonts w:hint="eastAsia" w:ascii="宋体" w:hAnsi="宋体" w:eastAsia="宋体" w:cs="宋体"/>
          <w:sz w:val="24"/>
        </w:rPr>
        <w:t>年龄</w:t>
      </w:r>
      <w:r>
        <w:rPr>
          <w:rFonts w:hint="eastAsia" w:ascii="宋体" w:hAnsi="宋体" w:eastAsia="宋体" w:cs="宋体"/>
          <w:sz w:val="24"/>
          <w:u w:val="single"/>
        </w:rPr>
        <w:t>：</w:t>
      </w:r>
      <w:r>
        <w:rPr>
          <w:rFonts w:hint="eastAsia" w:ascii="宋体" w:hAnsi="宋体" w:eastAsia="宋体" w:cs="宋体"/>
          <w:sz w:val="24"/>
          <w:u w:val="single"/>
        </w:rPr>
        <w:tab/>
      </w:r>
      <w:r>
        <w:rPr>
          <w:rFonts w:hint="eastAsia" w:ascii="宋体" w:hAnsi="宋体" w:eastAsia="宋体" w:cs="宋体"/>
          <w:sz w:val="24"/>
        </w:rPr>
        <w:t>职务</w:t>
      </w:r>
      <w:r>
        <w:rPr>
          <w:rFonts w:hint="eastAsia" w:ascii="宋体" w:hAnsi="宋体" w:eastAsia="宋体" w:cs="宋体"/>
          <w:sz w:val="24"/>
          <w:u w:val="single"/>
        </w:rPr>
        <w:t>：</w:t>
      </w:r>
      <w:r>
        <w:rPr>
          <w:rFonts w:hint="eastAsia" w:ascii="宋体" w:hAnsi="宋体" w:eastAsia="宋体" w:cs="宋体"/>
          <w:sz w:val="24"/>
          <w:u w:val="single"/>
        </w:rPr>
        <w:tab/>
      </w: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w:t>
      </w:r>
      <w:r>
        <w:rPr>
          <w:rFonts w:hint="eastAsia" w:ascii="宋体" w:hAnsi="宋体" w:eastAsia="宋体" w:cs="宋体"/>
          <w:sz w:val="24"/>
        </w:rPr>
        <w:t>投 标人名称）的法定代表人（或负责人）。</w:t>
      </w:r>
    </w:p>
    <w:p>
      <w:pPr>
        <w:pStyle w:val="14"/>
        <w:kinsoku w:val="0"/>
        <w:overflowPunct w:val="0"/>
        <w:ind w:left="1234" w:right="525"/>
        <w:rPr>
          <w:rFonts w:ascii="宋体" w:hAnsi="宋体" w:eastAsia="宋体" w:cs="宋体"/>
          <w:sz w:val="24"/>
        </w:rPr>
      </w:pPr>
      <w:r>
        <w:rPr>
          <w:rFonts w:hint="eastAsia" w:ascii="宋体" w:hAnsi="宋体" w:eastAsia="宋体" w:cs="宋体"/>
          <w:b/>
          <w:sz w:val="24"/>
        </w:rPr>
        <w:t>特此证明。</w:t>
      </w:r>
    </w:p>
    <w:p>
      <w:pPr>
        <w:pStyle w:val="14"/>
        <w:kinsoku w:val="0"/>
        <w:overflowPunct w:val="0"/>
        <w:rPr>
          <w:rFonts w:ascii="宋体" w:hAnsi="宋体" w:eastAsia="宋体" w:cs="宋体"/>
          <w:b/>
          <w:sz w:val="24"/>
        </w:rPr>
      </w:pPr>
    </w:p>
    <w:p>
      <w:pPr>
        <w:pStyle w:val="14"/>
        <w:kinsoku w:val="0"/>
        <w:overflowPunct w:val="0"/>
        <w:rPr>
          <w:rFonts w:ascii="宋体" w:hAnsi="宋体" w:eastAsia="宋体" w:cs="宋体"/>
          <w:b/>
          <w:sz w:val="23"/>
        </w:rPr>
      </w:pPr>
    </w:p>
    <w:p>
      <w:pPr>
        <w:pStyle w:val="14"/>
        <w:tabs>
          <w:tab w:val="left" w:pos="4231"/>
        </w:tabs>
        <w:kinsoku w:val="0"/>
        <w:overflowPunct w:val="0"/>
        <w:spacing w:line="355" w:lineRule="auto"/>
        <w:ind w:left="509" w:right="2590"/>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（此处填名称并盖公章） 详细通讯地址：</w:t>
      </w:r>
    </w:p>
    <w:p>
      <w:pPr>
        <w:pStyle w:val="14"/>
        <w:tabs>
          <w:tab w:val="left" w:pos="1710"/>
        </w:tabs>
        <w:kinsoku w:val="0"/>
        <w:overflowPunct w:val="0"/>
        <w:spacing w:line="355" w:lineRule="auto"/>
        <w:ind w:left="509" w:right="7271"/>
        <w:rPr>
          <w:rFonts w:ascii="宋体" w:hAnsi="宋体" w:eastAsia="宋体" w:cs="宋体"/>
          <w:sz w:val="24"/>
        </w:rPr>
      </w:pPr>
      <w:r>
        <w:rPr>
          <w:rFonts w:hint="eastAsia" w:ascii="宋体" w:hAnsi="宋体" w:eastAsia="宋体" w:cs="宋体"/>
          <w:sz w:val="24"/>
        </w:rPr>
        <w:t xml:space="preserve">邮政编码 ： </w:t>
      </w:r>
    </w:p>
    <w:p>
      <w:pPr>
        <w:pStyle w:val="14"/>
        <w:tabs>
          <w:tab w:val="left" w:pos="1710"/>
        </w:tabs>
        <w:kinsoku w:val="0"/>
        <w:overflowPunct w:val="0"/>
        <w:spacing w:line="355" w:lineRule="auto"/>
        <w:ind w:left="509" w:right="7271"/>
        <w:rPr>
          <w:rFonts w:ascii="宋体" w:hAnsi="宋体" w:eastAsia="宋体" w:cs="宋体"/>
          <w:sz w:val="24"/>
        </w:rPr>
      </w:pPr>
      <w:r>
        <w:rPr>
          <w:rFonts w:hint="eastAsia" w:ascii="宋体" w:hAnsi="宋体" w:eastAsia="宋体" w:cs="宋体"/>
          <w:sz w:val="24"/>
        </w:rPr>
        <w:t>电    话：</w:t>
      </w:r>
    </w:p>
    <w:p>
      <w:pPr>
        <w:pStyle w:val="14"/>
        <w:kinsoku w:val="0"/>
        <w:overflowPunct w:val="0"/>
        <w:ind w:left="509" w:right="525"/>
        <w:rPr>
          <w:rFonts w:ascii="宋体" w:hAnsi="宋体" w:eastAsia="宋体" w:cs="宋体"/>
          <w:sz w:val="24"/>
        </w:rPr>
      </w:pPr>
      <w:r>
        <w:rPr>
          <w:rFonts w:hint="eastAsia" w:ascii="宋体" w:hAnsi="宋体" w:eastAsia="宋体" w:cs="宋体"/>
          <w:sz w:val="24"/>
        </w:rPr>
        <w:t>电子邮箱：</w:t>
      </w:r>
    </w:p>
    <w:p>
      <w:pPr>
        <w:pStyle w:val="14"/>
        <w:tabs>
          <w:tab w:val="left" w:pos="1229"/>
          <w:tab w:val="left" w:pos="2550"/>
          <w:tab w:val="left" w:pos="3510"/>
          <w:tab w:val="left" w:pos="4471"/>
        </w:tabs>
        <w:kinsoku w:val="0"/>
        <w:overflowPunct w:val="0"/>
        <w:spacing w:line="360" w:lineRule="auto"/>
        <w:ind w:left="629" w:right="4750" w:hanging="121"/>
        <w:rPr>
          <w:rFonts w:ascii="宋体" w:hAnsi="宋体" w:eastAsia="宋体" w:cs="宋体"/>
          <w:sz w:val="24"/>
        </w:rPr>
      </w:pPr>
      <w:r>
        <w:rPr>
          <w:rFonts w:hint="eastAsia" w:ascii="宋体" w:hAnsi="宋体" w:eastAsia="宋体" w:cs="宋体"/>
          <w:sz w:val="24"/>
        </w:rPr>
        <w:t>日</w:t>
      </w:r>
      <w:r>
        <w:rPr>
          <w:rFonts w:hint="eastAsia" w:ascii="宋体" w:hAnsi="宋体" w:eastAsia="宋体" w:cs="宋体"/>
          <w:sz w:val="24"/>
        </w:rPr>
        <w:tab/>
      </w:r>
      <w:r>
        <w:rPr>
          <w:rFonts w:hint="eastAsia" w:ascii="宋体" w:hAnsi="宋体" w:eastAsia="宋体" w:cs="宋体"/>
          <w:sz w:val="24"/>
        </w:rPr>
        <w:t>期：</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日 注：自然人投标的无需提供</w:t>
      </w:r>
    </w:p>
    <w:p>
      <w:pPr>
        <w:pStyle w:val="14"/>
        <w:kinsoku w:val="0"/>
        <w:overflowPunct w:val="0"/>
        <w:ind w:left="149" w:right="525"/>
        <w:rPr>
          <w:rFonts w:ascii="宋体" w:hAnsi="宋体" w:eastAsia="宋体" w:cs="宋体"/>
          <w:sz w:val="24"/>
        </w:rPr>
      </w:pPr>
      <w:r>
        <w:rPr>
          <w:rFonts w:hint="eastAsia" w:ascii="宋体" w:hAnsi="宋体" w:eastAsia="宋体" w:cs="宋体"/>
          <w:sz w:val="24"/>
        </w:rPr>
        <w:t>（下面应附法定代表人身份证扫描件正反面）</w:t>
      </w:r>
    </w:p>
    <w:p>
      <w:pPr>
        <w:pStyle w:val="14"/>
        <w:kinsoku w:val="0"/>
        <w:overflowPunct w:val="0"/>
        <w:rPr>
          <w:sz w:val="8"/>
        </w:rPr>
      </w:pPr>
    </w:p>
    <w:p>
      <w:pPr>
        <w:pStyle w:val="14"/>
        <w:kinsoku w:val="0"/>
        <w:overflowPunct w:val="0"/>
        <w:ind w:left="249"/>
        <w:rPr>
          <w:sz w:val="20"/>
        </w:rPr>
      </w:pPr>
      <w:r>
        <w:rPr>
          <w:sz w:val="20"/>
        </w:rPr>
        <mc:AlternateContent>
          <mc:Choice Requires="wpg">
            <w:drawing>
              <wp:inline distT="0" distB="0" distL="114300" distR="114300">
                <wp:extent cx="5775960" cy="2540000"/>
                <wp:effectExtent l="0" t="0" r="0" b="0"/>
                <wp:docPr id="8" name="组合 8"/>
                <wp:cNvGraphicFramePr/>
                <a:graphic xmlns:a="http://schemas.openxmlformats.org/drawingml/2006/main">
                  <a:graphicData uri="http://schemas.microsoft.com/office/word/2010/wordprocessingGroup">
                    <wpg:wgp>
                      <wpg:cNvGrpSpPr/>
                      <wpg:grpSpPr>
                        <a:xfrm>
                          <a:off x="0" y="0"/>
                          <a:ext cx="5775960" cy="2540000"/>
                          <a:chOff x="2" y="2"/>
                          <a:chExt cx="9110" cy="4012203"/>
                        </a:xfrm>
                      </wpg:grpSpPr>
                      <wps:wsp>
                        <wps:cNvPr id="5" name="任意多边形 2"/>
                        <wps:cNvSpPr/>
                        <wps:spPr>
                          <a:xfrm>
                            <a:off x="4" y="4"/>
                            <a:ext cx="9086" cy="20"/>
                          </a:xfrm>
                          <a:custGeom>
                            <a:avLst/>
                            <a:gdLst>
                              <a:gd name="A1" fmla="val 0"/>
                              <a:gd name="A2" fmla="val 0"/>
                              <a:gd name="A3" fmla="val 0"/>
                            </a:gdLst>
                            <a:ahLst/>
                            <a:cxnLst/>
                            <a:rect l="0" t="0" r="0" b="0"/>
                            <a:pathLst>
                              <a:path w="9086" h="20">
                                <a:moveTo>
                                  <a:pt x="0" y="0"/>
                                </a:moveTo>
                                <a:lnTo>
                                  <a:pt x="9085" y="0"/>
                                </a:lnTo>
                              </a:path>
                            </a:pathLst>
                          </a:custGeom>
                          <a:noFill/>
                          <a:ln w="3048" cap="flat" cmpd="sng">
                            <a:solidFill>
                              <a:srgbClr val="000000"/>
                            </a:solidFill>
                            <a:prstDash val="solid"/>
                            <a:round/>
                            <a:headEnd type="none" w="med" len="med"/>
                            <a:tailEnd type="none" w="med" len="med"/>
                          </a:ln>
                        </wps:spPr>
                        <wps:bodyPr upright="1"/>
                      </wps:wsp>
                      <wps:wsp>
                        <wps:cNvPr id="6" name="自选图形 11"/>
                        <wps:cNvSpPr/>
                        <wps:spPr>
                          <a:xfrm>
                            <a:off x="2" y="2"/>
                            <a:ext cx="20" cy="3995"/>
                          </a:xfrm>
                          <a:custGeom>
                            <a:avLst/>
                            <a:gdLst>
                              <a:gd name="A1" fmla="val 0"/>
                              <a:gd name="A2" fmla="val 0"/>
                              <a:gd name="A3" fmla="val 0"/>
                            </a:gdLst>
                            <a:ahLst/>
                            <a:cxnLst/>
                            <a:rect l="0" t="0" r="0" b="0"/>
                            <a:pathLst>
                              <a:path w="20" h="3995">
                                <a:moveTo>
                                  <a:pt x="0" y="0"/>
                                </a:moveTo>
                                <a:lnTo>
                                  <a:pt x="0" y="3994"/>
                                </a:lnTo>
                              </a:path>
                            </a:pathLst>
                          </a:custGeom>
                          <a:noFill/>
                          <a:ln w="3048" cap="flat" cmpd="sng">
                            <a:solidFill>
                              <a:srgbClr val="000000"/>
                            </a:solidFill>
                            <a:prstDash val="solid"/>
                            <a:round/>
                            <a:headEnd type="none" w="med" len="med"/>
                            <a:tailEnd type="none" w="med" len="med"/>
                          </a:ln>
                        </wps:spPr>
                        <wps:bodyPr upright="1"/>
                      </wps:wsp>
                      <wps:wsp>
                        <wps:cNvPr id="7" name="自选图形 10"/>
                        <wps:cNvSpPr/>
                        <wps:spPr>
                          <a:xfrm>
                            <a:off x="4" y="3994"/>
                            <a:ext cx="9086" cy="20"/>
                          </a:xfrm>
                          <a:custGeom>
                            <a:avLst/>
                            <a:gdLst>
                              <a:gd name="A1" fmla="val 0"/>
                              <a:gd name="A2" fmla="val 0"/>
                              <a:gd name="A3" fmla="val 0"/>
                            </a:gdLst>
                            <a:ahLst/>
                            <a:cxnLst/>
                            <a:rect l="0" t="0" r="0" b="0"/>
                            <a:pathLst>
                              <a:path w="9086" h="20">
                                <a:moveTo>
                                  <a:pt x="0" y="0"/>
                                </a:moveTo>
                                <a:lnTo>
                                  <a:pt x="9085" y="0"/>
                                </a:lnTo>
                              </a:path>
                            </a:pathLst>
                          </a:custGeom>
                          <a:noFill/>
                          <a:ln w="3047" cap="flat" cmpd="sng">
                            <a:solidFill>
                              <a:srgbClr val="000000"/>
                            </a:solidFill>
                            <a:prstDash val="solid"/>
                            <a:round/>
                            <a:headEnd type="none" w="med" len="med"/>
                            <a:tailEnd type="none" w="med" len="med"/>
                          </a:ln>
                        </wps:spPr>
                        <wps:bodyPr upright="1"/>
                      </wps:wsp>
                      <wps:wsp>
                        <wps:cNvPr id="9" name="任意多边形 5"/>
                        <wps:cNvSpPr/>
                        <wps:spPr>
                          <a:xfrm>
                            <a:off x="9092" y="2"/>
                            <a:ext cx="20" cy="3995"/>
                          </a:xfrm>
                          <a:custGeom>
                            <a:avLst/>
                            <a:gdLst>
                              <a:gd name="A1" fmla="val 0"/>
                              <a:gd name="A2" fmla="val 0"/>
                              <a:gd name="A3" fmla="val 0"/>
                            </a:gdLst>
                            <a:ahLst/>
                            <a:cxnLst/>
                            <a:rect l="0" t="0" r="0" b="0"/>
                            <a:pathLst>
                              <a:path w="20" h="3995">
                                <a:moveTo>
                                  <a:pt x="0" y="0"/>
                                </a:moveTo>
                                <a:lnTo>
                                  <a:pt x="0" y="3994"/>
                                </a:lnTo>
                              </a:path>
                            </a:pathLst>
                          </a:custGeom>
                          <a:noFill/>
                          <a:ln w="3047" cap="flat" cmpd="sng">
                            <a:solidFill>
                              <a:srgbClr val="000000"/>
                            </a:solidFill>
                            <a:prstDash val="solid"/>
                            <a:round/>
                            <a:headEnd type="none" w="med" len="med"/>
                            <a:tailEnd type="none" w="med" len="med"/>
                          </a:ln>
                        </wps:spPr>
                        <wps:bodyPr upright="1"/>
                      </wps:wsp>
                    </wpg:wgp>
                  </a:graphicData>
                </a:graphic>
              </wp:inline>
            </w:drawing>
          </mc:Choice>
          <mc:Fallback>
            <w:pict>
              <v:group id="_x0000_s1026" o:spid="_x0000_s1026" o:spt="203" style="height:200pt;width:454.8pt;" coordorigin="2,2" coordsize="9110,4012203" o:gfxdata="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m+6Mj9YAAAAFAQAADwAAAAAAAAABACAAAAAiAAAAZHJzL2Rvd25yZXYueG1sUEsB&#10;AhQAFAAAAAgAh07iQAL1LaJNAwAAnA8AAA4AAAAAAAAAAQAgAAAAJQEAAGRycy9lMm9Eb2MueG1s&#10;UEsFBgAAAAAGAAYAWQEAAOQGAAAAAA==&#10;">
                <o:lock v:ext="edit" aspectratio="f"/>
                <v:shape id="任意多边形 2" o:spid="_x0000_s1026" o:spt="100" style="position:absolute;left:4;top:4;height:20;width:9086;" filled="f" stroked="t" coordsize="9086,20" o:gfxdata="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pVevQAA&#10;ANoAAAAPAAAAAAAAAAEAIAAAACIAAABkcnMvZG93bnJldi54bWxQSwECFAAUAAAACACHTuJAMy8F&#10;njsAAAA5AAAAEAAAAAAAAAABACAAAAAMAQAAZHJzL3NoYXBleG1sLnhtbFBLBQYAAAAABgAGAFsB&#10;AAC2AwAAAAA=&#10;" path="m0,0l9085,0e">
                  <v:fill on="f" focussize="0,0"/>
                  <v:stroke weight="0.24pt" color="#000000" joinstyle="round"/>
                  <v:imagedata o:title=""/>
                  <o:lock v:ext="edit" aspectratio="f"/>
                </v:shape>
                <v:shape id="自选图形 11" o:spid="_x0000_s1026" o:spt="100" style="position:absolute;left:2;top:2;height:3995;width:20;" filled="f" stroked="t" coordsize="20,3995" o:gfxdata="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fKI+8AAAA&#10;2gAAAA8AAAAAAAAAAQAgAAAAIgAAAGRycy9kb3ducmV2LnhtbFBLAQIUABQAAAAIAIdO4kAzLwWe&#10;OwAAADkAAAAQAAAAAAAAAAEAIAAAAAsBAABkcnMvc2hhcGV4bWwueG1sUEsFBgAAAAAGAAYAWwEA&#10;ALUDAAAAAA==&#10;" path="m0,0l0,3994e">
                  <v:fill on="f" focussize="0,0"/>
                  <v:stroke weight="0.24pt" color="#000000" joinstyle="round"/>
                  <v:imagedata o:title=""/>
                  <o:lock v:ext="edit" aspectratio="f"/>
                </v:shape>
                <v:shape id="自选图形 10" o:spid="_x0000_s1026" o:spt="100" style="position:absolute;left:4;top:3994;height:20;width:9086;" filled="f" stroked="t" coordsize="9086,20" o:gfxdata="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PGdYvQAA&#10;ANoAAAAPAAAAAAAAAAEAIAAAACIAAABkcnMvZG93bnJldi54bWxQSwECFAAUAAAACACHTuJAMy8F&#10;njsAAAA5AAAAEAAAAAAAAAABACAAAAAMAQAAZHJzL3NoYXBleG1sLnhtbFBLBQYAAAAABgAGAFsB&#10;AAC2AwAAAAA=&#10;" path="m0,0l9085,0e">
                  <v:fill on="f" focussize="0,0"/>
                  <v:stroke weight="0.23992125984252pt" color="#000000" joinstyle="round"/>
                  <v:imagedata o:title=""/>
                  <o:lock v:ext="edit" aspectratio="f"/>
                </v:shape>
                <v:shape id="任意多边形 5" o:spid="_x0000_s1026" o:spt="100" style="position:absolute;left:9092;top:2;height:3995;width:20;" filled="f" stroked="t" coordsize="20,3995" o:gfxdata="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1QVDL4A&#10;AADaAAAADwAAAAAAAAABACAAAAAiAAAAZHJzL2Rvd25yZXYueG1sUEsBAhQAFAAAAAgAh07iQDMv&#10;BZ47AAAAOQAAABAAAAAAAAAAAQAgAAAADQEAAGRycy9zaGFwZXhtbC54bWxQSwUGAAAAAAYABgBb&#10;AQAAtwMAAAAA&#10;" path="m0,0l0,3994e">
                  <v:fill on="f" focussize="0,0"/>
                  <v:stroke weight="0.23992125984252pt" color="#000000" joinstyle="round"/>
                  <v:imagedata o:title=""/>
                  <o:lock v:ext="edit" aspectratio="f"/>
                </v:shape>
                <w10:wrap type="none"/>
                <w10:anchorlock/>
              </v:group>
            </w:pict>
          </mc:Fallback>
        </mc:AlternateContent>
      </w:r>
    </w:p>
    <w:p>
      <w:pPr>
        <w:pStyle w:val="14"/>
        <w:kinsoku w:val="0"/>
        <w:overflowPunct w:val="0"/>
        <w:ind w:left="249"/>
        <w:rPr>
          <w:sz w:val="20"/>
        </w:rPr>
        <w:sectPr>
          <w:pgSz w:w="11910" w:h="16840"/>
          <w:pgMar w:top="1080" w:right="1000" w:bottom="1200" w:left="1440" w:header="875" w:footer="1003" w:gutter="0"/>
          <w:cols w:equalWidth="0" w:num="1">
            <w:col w:w="9470"/>
          </w:cols>
        </w:sectPr>
      </w:pPr>
    </w:p>
    <w:p>
      <w:pPr>
        <w:pStyle w:val="14"/>
        <w:kinsoku w:val="0"/>
        <w:overflowPunct w:val="0"/>
        <w:ind w:left="2934"/>
        <w:rPr>
          <w:rFonts w:ascii="黑体" w:hAnsi="黑体" w:eastAsia="黑体"/>
        </w:rPr>
      </w:pPr>
      <w:r>
        <w:rPr>
          <w:rFonts w:hint="eastAsia"/>
        </w:rPr>
        <w:t>4</w:t>
      </w:r>
      <w:r>
        <w:rPr>
          <w:rFonts w:hint="eastAsia" w:ascii="黑体" w:hAnsi="黑体" w:eastAsia="黑体"/>
        </w:rPr>
        <w:t>、法定代表人授权委托书</w:t>
      </w:r>
    </w:p>
    <w:p>
      <w:pPr>
        <w:pStyle w:val="14"/>
        <w:kinsoku w:val="0"/>
        <w:overflowPunct w:val="0"/>
        <w:rPr>
          <w:rFonts w:ascii="黑体" w:hAnsi="黑体" w:eastAsia="黑体"/>
          <w:sz w:val="36"/>
        </w:rPr>
      </w:pPr>
    </w:p>
    <w:p>
      <w:pPr>
        <w:pStyle w:val="14"/>
        <w:tabs>
          <w:tab w:val="left" w:pos="2252"/>
          <w:tab w:val="left" w:pos="5671"/>
        </w:tabs>
        <w:kinsoku w:val="0"/>
        <w:overflowPunct w:val="0"/>
        <w:ind w:left="629"/>
        <w:rPr>
          <w:rFonts w:ascii="宋体" w:hAnsi="宋体" w:eastAsia="宋体" w:cs="宋体"/>
          <w:spacing w:val="11"/>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pacing w:val="11"/>
          <w:sz w:val="24"/>
        </w:rPr>
        <w:t>（投标人名称）的法定代表人</w:t>
      </w:r>
    </w:p>
    <w:p>
      <w:pPr>
        <w:pStyle w:val="14"/>
        <w:tabs>
          <w:tab w:val="left" w:pos="3693"/>
        </w:tabs>
        <w:kinsoku w:val="0"/>
        <w:overflowPunct w:val="0"/>
        <w:spacing w:line="350" w:lineRule="auto"/>
        <w:ind w:left="149" w:right="222"/>
        <w:rPr>
          <w:rFonts w:ascii="宋体" w:hAnsi="宋体" w:eastAsia="宋体" w:cs="宋体"/>
          <w:sz w:val="24"/>
        </w:rPr>
      </w:pPr>
      <w:r>
        <w:rPr>
          <w:rFonts w:hint="eastAsia" w:ascii="宋体" w:hAnsi="宋体" w:eastAsia="宋体" w:cs="宋体"/>
          <w:sz w:val="24"/>
        </w:rPr>
        <w:t>（或负责人），现委托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pacing w:val="-7"/>
          <w:sz w:val="24"/>
        </w:rPr>
        <w:t>（姓名）为我单位的合法代理人。代理人根据授权， 就</w:t>
      </w:r>
      <w:r>
        <w:rPr>
          <w:rFonts w:hint="eastAsia" w:ascii="宋体" w:hAnsi="宋体" w:eastAsia="宋体" w:cs="宋体"/>
          <w:spacing w:val="-3"/>
          <w:w w:val="95"/>
          <w:sz w:val="24"/>
        </w:rPr>
        <w:t>（</w:t>
      </w:r>
      <w:r>
        <w:rPr>
          <w:rFonts w:hint="eastAsia" w:ascii="宋体" w:hAnsi="宋体" w:eastAsia="宋体" w:cs="宋体"/>
          <w:spacing w:val="11"/>
          <w:sz w:val="24"/>
          <w:szCs w:val="22"/>
          <w:u w:val="single"/>
        </w:rPr>
        <w:t>项目名称、标段</w:t>
      </w:r>
      <w:r>
        <w:rPr>
          <w:rFonts w:hint="eastAsia" w:ascii="宋体" w:hAnsi="宋体" w:eastAsia="宋体" w:cs="宋体"/>
          <w:spacing w:val="-3"/>
          <w:w w:val="95"/>
          <w:sz w:val="24"/>
        </w:rPr>
        <w:t>）</w:t>
      </w:r>
      <w:r>
        <w:rPr>
          <w:rFonts w:hint="eastAsia" w:ascii="宋体" w:hAnsi="宋体" w:eastAsia="宋体" w:cs="宋体"/>
          <w:spacing w:val="-7"/>
          <w:sz w:val="24"/>
        </w:rPr>
        <w:t>投标，以我单位名义处理一切与之有关的事务，其法律后果</w:t>
      </w:r>
      <w:r>
        <w:rPr>
          <w:rFonts w:hint="eastAsia" w:ascii="宋体" w:hAnsi="宋体" w:eastAsia="宋体" w:cs="宋体"/>
          <w:sz w:val="24"/>
        </w:rPr>
        <w:t>由我单位承担。</w:t>
      </w:r>
    </w:p>
    <w:p>
      <w:pPr>
        <w:pStyle w:val="14"/>
        <w:tabs>
          <w:tab w:val="left" w:pos="6511"/>
        </w:tabs>
        <w:kinsoku w:val="0"/>
        <w:overflowPunct w:val="0"/>
        <w:ind w:left="629"/>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5"/>
        </w:rPr>
      </w:pPr>
    </w:p>
    <w:p>
      <w:pPr>
        <w:pStyle w:val="14"/>
        <w:tabs>
          <w:tab w:val="left" w:pos="3750"/>
          <w:tab w:val="left" w:pos="4711"/>
        </w:tabs>
        <w:kinsoku w:val="0"/>
        <w:overflowPunct w:val="0"/>
        <w:spacing w:line="355" w:lineRule="auto"/>
        <w:ind w:left="149" w:right="1929"/>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（此处填名称并盖公章） 法定代表人：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（签字或盖章）</w:t>
      </w:r>
    </w:p>
    <w:p>
      <w:pPr>
        <w:pStyle w:val="14"/>
        <w:tabs>
          <w:tab w:val="left" w:pos="3750"/>
        </w:tabs>
        <w:kinsoku w:val="0"/>
        <w:overflowPunct w:val="0"/>
        <w:spacing w:line="355" w:lineRule="auto"/>
        <w:ind w:left="149" w:right="3851"/>
        <w:rPr>
          <w:rFonts w:ascii="宋体" w:hAnsi="宋体" w:eastAsia="宋体" w:cs="宋体"/>
          <w:sz w:val="24"/>
        </w:rPr>
      </w:pPr>
      <w:r>
        <w:rPr>
          <w:rFonts w:hint="eastAsia" w:ascii="宋体" w:hAnsi="宋体" w:eastAsia="宋体" w:cs="宋体"/>
          <w:sz w:val="24"/>
        </w:rPr>
        <w:t>授权委托人：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（签字或签章） 代理人详细通讯地址：</w:t>
      </w:r>
    </w:p>
    <w:p>
      <w:pPr>
        <w:pStyle w:val="14"/>
        <w:kinsoku w:val="0"/>
        <w:overflowPunct w:val="0"/>
        <w:spacing w:line="357" w:lineRule="auto"/>
        <w:ind w:left="149" w:right="7195"/>
        <w:rPr>
          <w:rFonts w:ascii="宋体" w:hAnsi="宋体" w:eastAsia="宋体" w:cs="宋体"/>
          <w:sz w:val="24"/>
        </w:rPr>
      </w:pPr>
      <w:r>
        <w:rPr>
          <w:rFonts w:hint="eastAsia" w:ascii="宋体" w:hAnsi="宋体" w:eastAsia="宋体" w:cs="宋体"/>
          <w:sz w:val="24"/>
        </w:rPr>
        <w:t xml:space="preserve">邮 政 编 码 ： </w:t>
      </w:r>
    </w:p>
    <w:p>
      <w:pPr>
        <w:pStyle w:val="14"/>
        <w:kinsoku w:val="0"/>
        <w:overflowPunct w:val="0"/>
        <w:spacing w:line="357" w:lineRule="auto"/>
        <w:ind w:left="149" w:right="250"/>
        <w:rPr>
          <w:rFonts w:ascii="宋体" w:hAnsi="宋体" w:eastAsia="宋体" w:cs="宋体"/>
          <w:sz w:val="24"/>
        </w:rPr>
      </w:pPr>
      <w:r>
        <w:rPr>
          <w:rFonts w:hint="eastAsia" w:ascii="宋体" w:hAnsi="宋体" w:eastAsia="宋体" w:cs="宋体"/>
          <w:sz w:val="24"/>
        </w:rPr>
        <w:t xml:space="preserve">授权委托人联系电话： </w:t>
      </w:r>
    </w:p>
    <w:p>
      <w:pPr>
        <w:pStyle w:val="14"/>
        <w:kinsoku w:val="0"/>
        <w:overflowPunct w:val="0"/>
        <w:spacing w:line="357" w:lineRule="auto"/>
        <w:ind w:left="149" w:right="250"/>
        <w:rPr>
          <w:rFonts w:ascii="宋体" w:hAnsi="宋体" w:eastAsia="宋体" w:cs="宋体"/>
          <w:sz w:val="24"/>
        </w:rPr>
      </w:pPr>
      <w:r>
        <w:rPr>
          <w:rFonts w:hint="eastAsia" w:ascii="宋体" w:hAnsi="宋体" w:eastAsia="宋体" w:cs="宋体"/>
          <w:sz w:val="24"/>
        </w:rPr>
        <w:t>授权委托人电子邮箱：</w:t>
      </w:r>
    </w:p>
    <w:p>
      <w:pPr>
        <w:pStyle w:val="14"/>
        <w:tabs>
          <w:tab w:val="left" w:pos="869"/>
          <w:tab w:val="left" w:pos="2190"/>
          <w:tab w:val="left" w:pos="3150"/>
          <w:tab w:val="left" w:pos="4110"/>
        </w:tabs>
        <w:kinsoku w:val="0"/>
        <w:overflowPunct w:val="0"/>
        <w:spacing w:line="360" w:lineRule="auto"/>
        <w:ind w:left="629" w:right="944" w:hanging="481"/>
        <w:rPr>
          <w:rFonts w:ascii="宋体" w:hAnsi="宋体" w:eastAsia="宋体" w:cs="宋体"/>
          <w:sz w:val="24"/>
        </w:rPr>
      </w:pPr>
      <w:r>
        <w:rPr>
          <w:rFonts w:hint="eastAsia" w:ascii="宋体" w:hAnsi="宋体" w:eastAsia="宋体" w:cs="宋体"/>
          <w:sz w:val="24"/>
        </w:rPr>
        <w:t>日</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期：</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 xml:space="preserve">日 </w:t>
      </w:r>
    </w:p>
    <w:p>
      <w:pPr>
        <w:pStyle w:val="14"/>
        <w:tabs>
          <w:tab w:val="left" w:pos="869"/>
          <w:tab w:val="left" w:pos="2190"/>
          <w:tab w:val="left" w:pos="3150"/>
          <w:tab w:val="left" w:pos="4110"/>
        </w:tabs>
        <w:kinsoku w:val="0"/>
        <w:overflowPunct w:val="0"/>
        <w:spacing w:line="360" w:lineRule="auto"/>
        <w:ind w:left="629" w:right="944" w:hanging="481"/>
        <w:rPr>
          <w:rFonts w:ascii="宋体" w:hAnsi="宋体" w:eastAsia="宋体" w:cs="宋体"/>
          <w:sz w:val="24"/>
        </w:rPr>
      </w:pPr>
      <w:r>
        <w:rPr>
          <w:rFonts w:hint="eastAsia" w:ascii="宋体" w:hAnsi="宋体" w:eastAsia="宋体" w:cs="宋体"/>
          <w:b/>
          <w:w w:val="95"/>
          <w:sz w:val="24"/>
        </w:rPr>
        <w:t>注：自然人投标的或法定代表人或负责人投标的无需提供本授权委托书。</w:t>
      </w:r>
    </w:p>
    <w:p>
      <w:pPr>
        <w:pStyle w:val="14"/>
        <w:kinsoku w:val="0"/>
        <w:overflowPunct w:val="0"/>
        <w:ind w:left="149"/>
        <w:rPr>
          <w:rFonts w:ascii="宋体" w:hAnsi="宋体" w:eastAsia="宋体" w:cs="宋体"/>
          <w:sz w:val="24"/>
        </w:rPr>
      </w:pPr>
      <w:r>
        <w:rPr>
          <w:rFonts w:hint="eastAsia" w:ascii="宋体" w:hAnsi="宋体" w:eastAsia="宋体" w:cs="宋体"/>
          <w:sz w:val="24"/>
        </w:rPr>
        <w:t>（下面应附授权委托人身份证扫描件正反面）</w:t>
      </w:r>
    </w:p>
    <w:p>
      <w:pPr>
        <w:pStyle w:val="14"/>
        <w:kinsoku w:val="0"/>
        <w:overflowPunct w:val="0"/>
        <w:rPr>
          <w:sz w:val="8"/>
        </w:rPr>
      </w:pPr>
    </w:p>
    <w:p>
      <w:pPr>
        <w:pStyle w:val="14"/>
        <w:kinsoku w:val="0"/>
        <w:overflowPunct w:val="0"/>
        <w:ind w:left="249"/>
        <w:rPr>
          <w:sz w:val="20"/>
        </w:rPr>
      </w:pPr>
      <w:r>
        <w:rPr>
          <w:sz w:val="20"/>
        </w:rPr>
        <mc:AlternateContent>
          <mc:Choice Requires="wpg">
            <w:drawing>
              <wp:inline distT="0" distB="0" distL="114300" distR="114300">
                <wp:extent cx="5665470" cy="2259330"/>
                <wp:effectExtent l="0" t="0" r="0" b="0"/>
                <wp:docPr id="13" name="组合 3"/>
                <wp:cNvGraphicFramePr/>
                <a:graphic xmlns:a="http://schemas.openxmlformats.org/drawingml/2006/main">
                  <a:graphicData uri="http://schemas.microsoft.com/office/word/2010/wordprocessingGroup">
                    <wpg:wgp>
                      <wpg:cNvGrpSpPr/>
                      <wpg:grpSpPr>
                        <a:xfrm>
                          <a:off x="0" y="0"/>
                          <a:ext cx="5665470" cy="2259330"/>
                          <a:chOff x="2" y="2"/>
                          <a:chExt cx="8937" cy="3571203"/>
                        </a:xfrm>
                      </wpg:grpSpPr>
                      <wps:wsp>
                        <wps:cNvPr id="10" name="任意多边形 7"/>
                        <wps:cNvSpPr/>
                        <wps:spPr>
                          <a:xfrm>
                            <a:off x="4" y="4"/>
                            <a:ext cx="8913" cy="20"/>
                          </a:xfrm>
                          <a:custGeom>
                            <a:avLst/>
                            <a:gdLst>
                              <a:gd name="A1" fmla="val 0"/>
                              <a:gd name="A2" fmla="val 0"/>
                              <a:gd name="A3" fmla="val 0"/>
                            </a:gdLst>
                            <a:ahLst/>
                            <a:cxnLst/>
                            <a:rect l="0" t="0" r="0" b="0"/>
                            <a:pathLst>
                              <a:path w="8913" h="20">
                                <a:moveTo>
                                  <a:pt x="0" y="0"/>
                                </a:moveTo>
                                <a:lnTo>
                                  <a:pt x="8912" y="0"/>
                                </a:lnTo>
                              </a:path>
                            </a:pathLst>
                          </a:custGeom>
                          <a:noFill/>
                          <a:ln w="3048" cap="flat" cmpd="sng">
                            <a:solidFill>
                              <a:srgbClr val="000000"/>
                            </a:solidFill>
                            <a:prstDash val="solid"/>
                            <a:round/>
                            <a:headEnd type="none" w="med" len="med"/>
                            <a:tailEnd type="none" w="med" len="med"/>
                          </a:ln>
                        </wps:spPr>
                        <wps:bodyPr upright="1"/>
                      </wps:wsp>
                      <wps:wsp>
                        <wps:cNvPr id="11" name="任意多边形 8"/>
                        <wps:cNvSpPr/>
                        <wps:spPr>
                          <a:xfrm>
                            <a:off x="2" y="2"/>
                            <a:ext cx="20" cy="3553"/>
                          </a:xfrm>
                          <a:custGeom>
                            <a:avLst/>
                            <a:gdLst>
                              <a:gd name="A1" fmla="val 0"/>
                              <a:gd name="A2" fmla="val 0"/>
                              <a:gd name="A3" fmla="val 0"/>
                            </a:gdLst>
                            <a:ahLst/>
                            <a:cxnLst/>
                            <a:rect l="0" t="0" r="0" b="0"/>
                            <a:pathLst>
                              <a:path w="20" h="3553">
                                <a:moveTo>
                                  <a:pt x="0" y="0"/>
                                </a:moveTo>
                                <a:lnTo>
                                  <a:pt x="0" y="3553"/>
                                </a:lnTo>
                              </a:path>
                            </a:pathLst>
                          </a:custGeom>
                          <a:noFill/>
                          <a:ln w="3048" cap="flat" cmpd="sng">
                            <a:solidFill>
                              <a:srgbClr val="000000"/>
                            </a:solidFill>
                            <a:prstDash val="solid"/>
                            <a:round/>
                            <a:headEnd type="none" w="med" len="med"/>
                            <a:tailEnd type="none" w="med" len="med"/>
                          </a:ln>
                        </wps:spPr>
                        <wps:bodyPr upright="1"/>
                      </wps:wsp>
                      <wps:wsp>
                        <wps:cNvPr id="12" name="任意多边形 9"/>
                        <wps:cNvSpPr/>
                        <wps:spPr>
                          <a:xfrm>
                            <a:off x="4" y="3553"/>
                            <a:ext cx="8913" cy="20"/>
                          </a:xfrm>
                          <a:custGeom>
                            <a:avLst/>
                            <a:gdLst>
                              <a:gd name="A1" fmla="val 0"/>
                              <a:gd name="A2" fmla="val 0"/>
                              <a:gd name="A3" fmla="val 0"/>
                            </a:gdLst>
                            <a:ahLst/>
                            <a:cxnLst/>
                            <a:rect l="0" t="0" r="0" b="0"/>
                            <a:pathLst>
                              <a:path w="8913" h="20">
                                <a:moveTo>
                                  <a:pt x="0" y="0"/>
                                </a:moveTo>
                                <a:lnTo>
                                  <a:pt x="8912" y="0"/>
                                </a:lnTo>
                              </a:path>
                            </a:pathLst>
                          </a:custGeom>
                          <a:noFill/>
                          <a:ln w="3047" cap="flat" cmpd="sng">
                            <a:solidFill>
                              <a:srgbClr val="000000"/>
                            </a:solidFill>
                            <a:prstDash val="solid"/>
                            <a:round/>
                            <a:headEnd type="none" w="med" len="med"/>
                            <a:tailEnd type="none" w="med" len="med"/>
                          </a:ln>
                        </wps:spPr>
                        <wps:bodyPr upright="1"/>
                      </wps:wsp>
                      <wps:wsp>
                        <wps:cNvPr id="16" name="任意多边形 11"/>
                        <wps:cNvSpPr/>
                        <wps:spPr>
                          <a:xfrm>
                            <a:off x="8919" y="2"/>
                            <a:ext cx="20" cy="3553"/>
                          </a:xfrm>
                          <a:custGeom>
                            <a:avLst/>
                            <a:gdLst>
                              <a:gd name="A1" fmla="val 0"/>
                              <a:gd name="A2" fmla="val 0"/>
                              <a:gd name="A3" fmla="val 0"/>
                            </a:gdLst>
                            <a:ahLst/>
                            <a:cxnLst/>
                            <a:rect l="0" t="0" r="0" b="0"/>
                            <a:pathLst>
                              <a:path w="20" h="3553">
                                <a:moveTo>
                                  <a:pt x="0" y="0"/>
                                </a:moveTo>
                                <a:lnTo>
                                  <a:pt x="0" y="3553"/>
                                </a:lnTo>
                              </a:path>
                            </a:pathLst>
                          </a:custGeom>
                          <a:noFill/>
                          <a:ln w="3047" cap="flat" cmpd="sng">
                            <a:solidFill>
                              <a:srgbClr val="000000"/>
                            </a:solidFill>
                            <a:prstDash val="solid"/>
                            <a:round/>
                            <a:headEnd type="none" w="med" len="med"/>
                            <a:tailEnd type="none" w="med" len="med"/>
                          </a:ln>
                        </wps:spPr>
                        <wps:bodyPr upright="1"/>
                      </wps:wsp>
                    </wpg:wgp>
                  </a:graphicData>
                </a:graphic>
              </wp:inline>
            </w:drawing>
          </mc:Choice>
          <mc:Fallback>
            <w:pict>
              <v:group id="组合 3" o:spid="_x0000_s1026" o:spt="203" style="height:177.9pt;width:446.1pt;" coordorigin="2,2" coordsize="8937,3571203" o:gfxdata="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G1a9C1wAAAAUBAAAPAAAAAAAAAAEAIAAAACIAAABkcnMvZG93bnJldi54bWxQSwECFAAUAAAA&#10;CACHTuJATfE0dUUDAACmDwAADgAAAAAAAAABACAAAAAmAQAAZHJzL2Uyb0RvYy54bWxQSwUGAAAA&#10;AAYABgBZAQAA3QYAAAAA&#10;">
                <o:lock v:ext="edit" aspectratio="f"/>
                <v:shape id="任意多边形 7" o:spid="_x0000_s1026" o:spt="100" style="position:absolute;left:4;top:4;height:20;width:8913;" filled="f" stroked="t" coordsize="8913,20" o:gfxdata="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vw8K8AAAA&#10;2wAAAA8AAAAAAAAAAQAgAAAAIgAAAGRycy9kb3ducmV2LnhtbFBLAQIUABQAAAAIAIdO4kAzLwWe&#10;OwAAADkAAAAQAAAAAAAAAAEAIAAAAAsBAABkcnMvc2hhcGV4bWwueG1sUEsFBgAAAAAGAAYAWwEA&#10;ALUDAAAAAA==&#10;" path="m0,0l8912,0e">
                  <v:fill on="f" focussize="0,0"/>
                  <v:stroke weight="0.24pt" color="#000000" joinstyle="round"/>
                  <v:imagedata o:title=""/>
                  <o:lock v:ext="edit" aspectratio="f"/>
                </v:shape>
                <v:shape id="任意多边形 8" o:spid="_x0000_s1026" o:spt="100" style="position:absolute;left:2;top:2;height:3553;width:20;" filled="f" stroked="t" coordsize="20,3553" o:gfxdata="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r7t+8AAAA&#10;2wAAAA8AAAAAAAAAAQAgAAAAIgAAAGRycy9kb3ducmV2LnhtbFBLAQIUABQAAAAIAIdO4kAzLwWe&#10;OwAAADkAAAAQAAAAAAAAAAEAIAAAAAsBAABkcnMvc2hhcGV4bWwueG1sUEsFBgAAAAAGAAYAWwEA&#10;ALUDAAAAAA==&#10;" path="m0,0l0,3553e">
                  <v:fill on="f" focussize="0,0"/>
                  <v:stroke weight="0.24pt" color="#000000" joinstyle="round"/>
                  <v:imagedata o:title=""/>
                  <o:lock v:ext="edit" aspectratio="f"/>
                </v:shape>
                <v:shape id="任意多边形 9" o:spid="_x0000_s1026" o:spt="100" style="position:absolute;left:4;top:3553;height:20;width:8913;" filled="f" stroked="t" coordsize="8913,20" o:gfxdata="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sUi8AAAA&#10;2wAAAA8AAAAAAAAAAQAgAAAAIgAAAGRycy9kb3ducmV2LnhtbFBLAQIUABQAAAAIAIdO4kAzLwWe&#10;OwAAADkAAAAQAAAAAAAAAAEAIAAAAAsBAABkcnMvc2hhcGV4bWwueG1sUEsFBgAAAAAGAAYAWwEA&#10;ALUDAAAAAA==&#10;" path="m0,0l8912,0e">
                  <v:fill on="f" focussize="0,0"/>
                  <v:stroke weight="0.23992125984252pt" color="#000000" joinstyle="round"/>
                  <v:imagedata o:title=""/>
                  <o:lock v:ext="edit" aspectratio="f"/>
                </v:shape>
                <v:shape id="任意多边形 11" o:spid="_x0000_s1026" o:spt="100" style="position:absolute;left:8919;top:2;height:3553;width:20;" filled="f" stroked="t" coordsize="20,3553" o:gfxdata="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AaexugAAANsA&#10;AAAPAAAAAAAAAAEAIAAAACIAAABkcnMvZG93bnJldi54bWxQSwECFAAUAAAACACHTuJAMy8FnjsA&#10;AAA5AAAAEAAAAAAAAAABACAAAAAJAQAAZHJzL3NoYXBleG1sLnhtbFBLBQYAAAAABgAGAFsBAACz&#10;AwAAAAA=&#10;" path="m0,0l0,3553e">
                  <v:fill on="f" focussize="0,0"/>
                  <v:stroke weight="0.23992125984252pt" color="#000000" joinstyle="round"/>
                  <v:imagedata o:title=""/>
                  <o:lock v:ext="edit" aspectratio="f"/>
                </v:shape>
                <w10:wrap type="none"/>
                <w10:anchorlock/>
              </v:group>
            </w:pict>
          </mc:Fallback>
        </mc:AlternateContent>
      </w:r>
    </w:p>
    <w:p>
      <w:pPr>
        <w:pStyle w:val="14"/>
        <w:kinsoku w:val="0"/>
        <w:overflowPunct w:val="0"/>
        <w:ind w:left="249"/>
        <w:rPr>
          <w:sz w:val="20"/>
        </w:rPr>
        <w:sectPr>
          <w:pgSz w:w="11910" w:h="16840"/>
          <w:pgMar w:top="1080" w:right="1180" w:bottom="1200" w:left="1440" w:header="875" w:footer="1003" w:gutter="0"/>
          <w:cols w:equalWidth="0" w:num="1">
            <w:col w:w="9290"/>
          </w:cols>
        </w:sectPr>
      </w:pPr>
    </w:p>
    <w:p>
      <w:pPr>
        <w:pStyle w:val="14"/>
        <w:kinsoku w:val="0"/>
        <w:overflowPunct w:val="0"/>
        <w:ind w:right="81"/>
        <w:jc w:val="center"/>
        <w:rPr>
          <w:rFonts w:ascii="黑体" w:hAnsi="黑体" w:eastAsia="黑体"/>
        </w:rPr>
      </w:pPr>
      <w:r>
        <w:rPr>
          <w:rFonts w:hint="eastAsia"/>
        </w:rPr>
        <w:t>5</w:t>
      </w:r>
      <w:r>
        <w:rPr>
          <w:rFonts w:hint="eastAsia" w:ascii="黑体" w:hAnsi="黑体" w:eastAsia="黑体"/>
        </w:rPr>
        <w:t>、投标保证承诺书</w:t>
      </w:r>
    </w:p>
    <w:p>
      <w:pPr>
        <w:pStyle w:val="14"/>
        <w:kinsoku w:val="0"/>
        <w:overflowPunct w:val="0"/>
        <w:adjustRightInd/>
        <w:spacing w:line="360" w:lineRule="auto"/>
        <w:ind w:left="149" w:right="233"/>
        <w:textAlignment w:val="auto"/>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（采购人及采购代理机构名称）</w:t>
      </w:r>
    </w:p>
    <w:p>
      <w:pPr>
        <w:pStyle w:val="14"/>
        <w:tabs>
          <w:tab w:val="left" w:pos="3347"/>
        </w:tabs>
        <w:kinsoku w:val="0"/>
        <w:overflowPunct w:val="0"/>
        <w:adjustRightInd/>
        <w:spacing w:line="360" w:lineRule="auto"/>
        <w:ind w:right="118" w:firstLine="501" w:firstLineChars="209"/>
        <w:textAlignment w:val="auto"/>
        <w:rPr>
          <w:rFonts w:ascii="宋体" w:hAnsi="宋体" w:eastAsia="宋体" w:cs="宋体"/>
          <w:sz w:val="24"/>
          <w:szCs w:val="24"/>
        </w:rPr>
      </w:pPr>
      <w:r>
        <w:rPr>
          <w:rFonts w:hint="eastAsia" w:ascii="宋体" w:hAnsi="宋体" w:eastAsia="宋体" w:cs="宋体"/>
          <w:sz w:val="24"/>
          <w:szCs w:val="24"/>
        </w:rPr>
        <w:t>我单位自愿参加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（项目名称、标段、招标编号）</w:t>
      </w:r>
      <w:r>
        <w:rPr>
          <w:rFonts w:hint="eastAsia" w:ascii="宋体" w:hAnsi="宋体" w:eastAsia="宋体" w:cs="宋体"/>
          <w:sz w:val="24"/>
          <w:szCs w:val="24"/>
        </w:rPr>
        <w:t xml:space="preserve">的投标, 作为本次采购项目的投标人，根据招标文件要求，现郑重承诺如下： </w:t>
      </w:r>
    </w:p>
    <w:p>
      <w:pPr>
        <w:pStyle w:val="14"/>
        <w:tabs>
          <w:tab w:val="left" w:pos="3347"/>
        </w:tabs>
        <w:kinsoku w:val="0"/>
        <w:overflowPunct w:val="0"/>
        <w:adjustRightInd/>
        <w:spacing w:line="360" w:lineRule="auto"/>
        <w:ind w:right="118" w:firstLine="501" w:firstLineChars="209"/>
        <w:textAlignment w:val="auto"/>
        <w:rPr>
          <w:rFonts w:ascii="宋体" w:hAnsi="宋体" w:eastAsia="宋体" w:cs="宋体"/>
          <w:sz w:val="24"/>
          <w:szCs w:val="24"/>
        </w:rPr>
      </w:pPr>
      <w:r>
        <w:rPr>
          <w:rFonts w:hint="eastAsia" w:ascii="宋体" w:hAnsi="宋体" w:eastAsia="宋体" w:cs="宋体"/>
          <w:sz w:val="24"/>
          <w:szCs w:val="24"/>
        </w:rPr>
        <w:t>一、我单位具备《中华人民共和国政府采购法》第二十二条第一款和本项目规定的条件：</w:t>
      </w:r>
    </w:p>
    <w:p>
      <w:pPr>
        <w:pStyle w:val="14"/>
        <w:kinsoku w:val="0"/>
        <w:overflowPunct w:val="0"/>
        <w:adjustRightInd/>
        <w:spacing w:line="360" w:lineRule="auto"/>
        <w:ind w:left="629" w:right="233"/>
        <w:textAlignment w:val="auto"/>
        <w:rPr>
          <w:rFonts w:ascii="宋体" w:hAnsi="宋体" w:eastAsia="宋体" w:cs="宋体"/>
          <w:sz w:val="24"/>
          <w:szCs w:val="24"/>
        </w:rPr>
      </w:pPr>
      <w:r>
        <w:rPr>
          <w:rFonts w:hint="eastAsia" w:ascii="宋体" w:hAnsi="宋体" w:eastAsia="宋体" w:cs="宋体"/>
          <w:sz w:val="24"/>
          <w:szCs w:val="24"/>
        </w:rPr>
        <w:t>（1）具有独立承担民事责任的能力；</w:t>
      </w:r>
    </w:p>
    <w:p>
      <w:pPr>
        <w:pStyle w:val="14"/>
        <w:kinsoku w:val="0"/>
        <w:overflowPunct w:val="0"/>
        <w:adjustRightInd/>
        <w:spacing w:line="360" w:lineRule="auto"/>
        <w:ind w:left="629" w:right="233"/>
        <w:textAlignment w:val="auto"/>
        <w:rPr>
          <w:rFonts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14"/>
        <w:kinsoku w:val="0"/>
        <w:overflowPunct w:val="0"/>
        <w:adjustRightInd/>
        <w:spacing w:line="360" w:lineRule="auto"/>
        <w:ind w:left="629" w:right="233"/>
        <w:textAlignment w:val="auto"/>
        <w:rPr>
          <w:rFonts w:ascii="宋体" w:hAnsi="宋体" w:eastAsia="宋体" w:cs="宋体"/>
          <w:sz w:val="24"/>
          <w:szCs w:val="24"/>
        </w:rPr>
      </w:pPr>
      <w:r>
        <w:rPr>
          <w:rFonts w:hint="eastAsia" w:ascii="宋体" w:hAnsi="宋体" w:eastAsia="宋体" w:cs="宋体"/>
          <w:sz w:val="24"/>
          <w:szCs w:val="24"/>
        </w:rPr>
        <w:t>（3）具有履行合同所必需的设备和专业技术能力；</w:t>
      </w:r>
    </w:p>
    <w:p>
      <w:pPr>
        <w:pStyle w:val="14"/>
        <w:kinsoku w:val="0"/>
        <w:overflowPunct w:val="0"/>
        <w:adjustRightInd/>
        <w:spacing w:line="360" w:lineRule="auto"/>
        <w:ind w:left="629" w:right="233"/>
        <w:textAlignment w:val="auto"/>
        <w:rPr>
          <w:rFonts w:ascii="宋体" w:hAnsi="宋体" w:eastAsia="宋体" w:cs="宋体"/>
          <w:sz w:val="24"/>
          <w:szCs w:val="24"/>
        </w:rPr>
      </w:pPr>
      <w:r>
        <w:rPr>
          <w:rFonts w:hint="eastAsia" w:ascii="宋体" w:hAnsi="宋体" w:eastAsia="宋体" w:cs="宋体"/>
          <w:sz w:val="24"/>
          <w:szCs w:val="24"/>
        </w:rPr>
        <w:t>（4）有依法缴纳税收和社会保障资金的良好记录；</w:t>
      </w:r>
    </w:p>
    <w:p>
      <w:pPr>
        <w:pStyle w:val="14"/>
        <w:kinsoku w:val="0"/>
        <w:overflowPunct w:val="0"/>
        <w:adjustRightInd/>
        <w:spacing w:line="360" w:lineRule="auto"/>
        <w:ind w:left="629" w:right="233"/>
        <w:textAlignment w:val="auto"/>
        <w:rPr>
          <w:rFonts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pStyle w:val="14"/>
        <w:kinsoku w:val="0"/>
        <w:overflowPunct w:val="0"/>
        <w:adjustRightInd/>
        <w:spacing w:line="360" w:lineRule="auto"/>
        <w:ind w:left="629" w:right="233"/>
        <w:textAlignment w:val="auto"/>
        <w:rPr>
          <w:rFonts w:ascii="宋体" w:hAnsi="宋体" w:eastAsia="宋体" w:cs="宋体"/>
          <w:sz w:val="24"/>
          <w:szCs w:val="24"/>
        </w:rPr>
      </w:pPr>
      <w:r>
        <w:rPr>
          <w:rFonts w:hint="eastAsia" w:ascii="宋体" w:hAnsi="宋体" w:eastAsia="宋体" w:cs="宋体"/>
          <w:sz w:val="24"/>
          <w:szCs w:val="24"/>
        </w:rPr>
        <w:t>（6）法律、行政法规规定的其他条件；</w:t>
      </w:r>
    </w:p>
    <w:p>
      <w:pPr>
        <w:pStyle w:val="14"/>
        <w:kinsoku w:val="0"/>
        <w:overflowPunct w:val="0"/>
        <w:adjustRightInd/>
        <w:spacing w:line="360" w:lineRule="auto"/>
        <w:ind w:left="629" w:right="233"/>
        <w:textAlignment w:val="auto"/>
        <w:rPr>
          <w:rFonts w:ascii="宋体" w:hAnsi="宋体" w:eastAsia="宋体" w:cs="宋体"/>
          <w:sz w:val="24"/>
          <w:szCs w:val="24"/>
        </w:rPr>
      </w:pPr>
      <w:r>
        <w:rPr>
          <w:rFonts w:hint="eastAsia" w:ascii="宋体" w:hAnsi="宋体" w:eastAsia="宋体" w:cs="宋体"/>
          <w:sz w:val="24"/>
          <w:szCs w:val="24"/>
        </w:rPr>
        <w:t xml:space="preserve">（7）根据采购项目提出的特殊条件。 </w:t>
      </w:r>
    </w:p>
    <w:p>
      <w:pPr>
        <w:pStyle w:val="14"/>
        <w:kinsoku w:val="0"/>
        <w:overflowPunct w:val="0"/>
        <w:adjustRightInd/>
        <w:spacing w:line="360" w:lineRule="auto"/>
        <w:ind w:left="9" w:right="233" w:firstLine="559" w:firstLineChars="233"/>
        <w:textAlignment w:val="auto"/>
        <w:rPr>
          <w:rFonts w:ascii="宋体" w:hAnsi="宋体" w:eastAsia="宋体" w:cs="宋体"/>
          <w:sz w:val="24"/>
          <w:szCs w:val="24"/>
        </w:rPr>
      </w:pPr>
      <w:r>
        <w:rPr>
          <w:rFonts w:hint="eastAsia" w:ascii="宋体" w:hAnsi="宋体" w:eastAsia="宋体" w:cs="宋体"/>
          <w:sz w:val="24"/>
          <w:szCs w:val="24"/>
        </w:rPr>
        <w:t>二、我单位完全接受和满足本项目招标文件中规定的实质性要求，如对采购（招标）文件有异议，已经在收到招标文件之日起或招标文件公告期限届满之日起七个工作日内依 法进行维权救济，不存在对招标文件有异议的同时又参加投标以求侥幸中标或者为实现其他非法目的的行为。</w:t>
      </w:r>
    </w:p>
    <w:p>
      <w:pPr>
        <w:pStyle w:val="14"/>
        <w:kinsoku w:val="0"/>
        <w:overflowPunct w:val="0"/>
        <w:adjustRightInd/>
        <w:spacing w:line="360" w:lineRule="auto"/>
        <w:ind w:left="149" w:right="118" w:firstLine="480"/>
        <w:textAlignment w:val="auto"/>
        <w:rPr>
          <w:rFonts w:ascii="宋体" w:hAnsi="宋体" w:eastAsia="宋体" w:cs="宋体"/>
          <w:sz w:val="24"/>
          <w:szCs w:val="24"/>
        </w:rPr>
      </w:pPr>
      <w:r>
        <w:rPr>
          <w:rFonts w:hint="eastAsia" w:ascii="宋体" w:hAnsi="宋体" w:eastAsia="宋体" w:cs="宋体"/>
          <w:sz w:val="24"/>
          <w:szCs w:val="24"/>
        </w:rPr>
        <w:t>三、我单位参加本次招标采购 活动，不存在与单位负责人为同一 人或者存在直接控股、管理关系的其他投标人参与同一合同项下的投标活动行为。</w:t>
      </w:r>
    </w:p>
    <w:p>
      <w:pPr>
        <w:pStyle w:val="14"/>
        <w:kinsoku w:val="0"/>
        <w:overflowPunct w:val="0"/>
        <w:adjustRightInd/>
        <w:spacing w:line="360" w:lineRule="auto"/>
        <w:ind w:left="149" w:right="233" w:firstLine="480"/>
        <w:textAlignment w:val="auto"/>
        <w:rPr>
          <w:rFonts w:ascii="宋体" w:hAnsi="宋体" w:eastAsia="宋体" w:cs="宋体"/>
          <w:sz w:val="24"/>
          <w:szCs w:val="24"/>
        </w:rPr>
      </w:pPr>
      <w:r>
        <w:rPr>
          <w:rFonts w:hint="eastAsia" w:ascii="宋体" w:hAnsi="宋体" w:eastAsia="宋体" w:cs="宋体"/>
          <w:sz w:val="24"/>
          <w:szCs w:val="24"/>
        </w:rPr>
        <w:t>四、我单位参加本次招标采购活动，不存在为采购项目提供整体设计、规范编制或者项目管理、监理、检测等服务的行为。</w:t>
      </w:r>
    </w:p>
    <w:p>
      <w:pPr>
        <w:pStyle w:val="14"/>
        <w:kinsoku w:val="0"/>
        <w:overflowPunct w:val="0"/>
        <w:adjustRightInd/>
        <w:spacing w:line="360" w:lineRule="auto"/>
        <w:ind w:left="149" w:right="233" w:firstLine="480"/>
        <w:textAlignment w:val="auto"/>
        <w:rPr>
          <w:rFonts w:ascii="宋体" w:hAnsi="宋体" w:eastAsia="宋体" w:cs="宋体"/>
          <w:sz w:val="24"/>
          <w:szCs w:val="24"/>
        </w:rPr>
      </w:pPr>
      <w:r>
        <w:rPr>
          <w:rFonts w:hint="eastAsia" w:ascii="宋体" w:hAnsi="宋体" w:eastAsia="宋体" w:cs="宋体"/>
          <w:sz w:val="24"/>
          <w:szCs w:val="24"/>
        </w:rPr>
        <w:t>五、我单位参加本次招标采购活动，不存在和其他投标人在同一合同项下的采购项目 中，同时委托同一个自然人、同一家庭的人员、同一单位的人员作为代理人的行为。</w:t>
      </w:r>
    </w:p>
    <w:p>
      <w:pPr>
        <w:pStyle w:val="14"/>
        <w:kinsoku w:val="0"/>
        <w:overflowPunct w:val="0"/>
        <w:adjustRightInd/>
        <w:spacing w:line="360" w:lineRule="auto"/>
        <w:ind w:left="629" w:right="118"/>
        <w:textAlignment w:val="auto"/>
        <w:rPr>
          <w:rFonts w:ascii="宋体" w:hAnsi="宋体" w:eastAsia="宋体" w:cs="宋体"/>
          <w:sz w:val="24"/>
          <w:szCs w:val="24"/>
        </w:rPr>
      </w:pPr>
      <w:r>
        <w:rPr>
          <w:rFonts w:hint="eastAsia" w:ascii="宋体" w:hAnsi="宋体" w:eastAsia="宋体" w:cs="宋体"/>
          <w:sz w:val="24"/>
          <w:szCs w:val="24"/>
        </w:rPr>
        <w:t xml:space="preserve">六、我单位参加本次招标采购活动，不存在联合体投标。 </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 xml:space="preserve">七、参加本次招标采购活动，在近三年内我单位和其法定代表人没有行贿犯罪行为。 </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八、我单位在此申明：保证本次投标文件中提供的所有内容、资料、陈述是正确的、真实的、有效的、合法的，并愿意承担相关法律责任。</w:t>
      </w:r>
    </w:p>
    <w:p>
      <w:pPr>
        <w:pStyle w:val="14"/>
        <w:kinsoku w:val="0"/>
        <w:overflowPunct w:val="0"/>
        <w:adjustRightInd/>
        <w:spacing w:line="360" w:lineRule="auto"/>
        <w:ind w:left="149"/>
        <w:jc w:val="both"/>
        <w:textAlignment w:val="auto"/>
        <w:rPr>
          <w:rFonts w:ascii="宋体" w:hAnsi="宋体" w:eastAsia="宋体" w:cs="宋体"/>
          <w:sz w:val="24"/>
          <w:szCs w:val="24"/>
        </w:rPr>
        <w:sectPr>
          <w:pgSz w:w="11910" w:h="16840"/>
          <w:pgMar w:top="1080" w:right="1300" w:bottom="1200" w:left="1440" w:header="875" w:footer="1003" w:gutter="0"/>
          <w:cols w:equalWidth="0" w:num="1">
            <w:col w:w="9170"/>
          </w:cols>
        </w:sectPr>
      </w:pP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九、如本项目评标过程中需要提供样品，则我单位提供的样品即为中标后将要提供的 中标产品，我单位对提供样品的性能和质量负责，因样品存在缺陷或者不符合招标文件要 求导致未能中标的，我公司愿意承担相应不利后果（如提供样品）。</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 xml:space="preserve">十、存在以下行为之一的愿意接受相关部门的处理： </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1、我单位在投标有效期内撤销投标文件的；</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2、我单位在采购人确定中标人以前放弃中标候选人资格的；</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3、由于我单位的原因未能按照招标文件的规定与采购人签订合同；</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4、由于我单位的原因未能按照招标文件的规定交纳履约保证金；</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5、我单位在投标文件中提供虚假材料；</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6、我单位与采购人、其他供应商或者采购代理机构恶意串通的</w:t>
      </w:r>
      <w:r>
        <w:rPr>
          <w:rFonts w:hint="eastAsia" w:ascii="宋体" w:hAnsi="宋体" w:cs="宋体"/>
          <w:sz w:val="24"/>
          <w:szCs w:val="24"/>
        </w:rPr>
        <w:t>。</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我单位知晓上述行为的法律后果，承认本承诺书作为采购人及采购代理机构要求我单位履行违约赔偿义务的依据作用。</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由此产生的一切法律后果和责任由我单位承担。我单位声明放弃对此提出任何异议和追索的权利。</w:t>
      </w:r>
    </w:p>
    <w:p>
      <w:pPr>
        <w:pStyle w:val="14"/>
        <w:kinsoku w:val="0"/>
        <w:overflowPunct w:val="0"/>
        <w:adjustRightInd/>
        <w:spacing w:line="360" w:lineRule="auto"/>
        <w:ind w:left="9" w:right="118" w:firstLine="619" w:firstLineChars="258"/>
        <w:textAlignment w:val="auto"/>
        <w:rPr>
          <w:rFonts w:ascii="宋体" w:hAnsi="宋体" w:eastAsia="宋体" w:cs="宋体"/>
          <w:sz w:val="24"/>
          <w:szCs w:val="24"/>
        </w:rPr>
      </w:pPr>
      <w:r>
        <w:rPr>
          <w:rFonts w:hint="eastAsia" w:ascii="宋体" w:hAnsi="宋体" w:eastAsia="宋体" w:cs="宋体"/>
          <w:sz w:val="24"/>
          <w:szCs w:val="24"/>
        </w:rPr>
        <w:t>我单位对上述承诺的内容事项真实性负责。如经查实上述承诺的内容事项存在虚假，我单位愿意接受以提供虚假材料谋取中标而被追究法律责任。</w:t>
      </w:r>
    </w:p>
    <w:p>
      <w:pPr>
        <w:pStyle w:val="14"/>
        <w:kinsoku w:val="0"/>
        <w:overflowPunct w:val="0"/>
        <w:rPr>
          <w:sz w:val="20"/>
        </w:rPr>
      </w:pPr>
    </w:p>
    <w:p>
      <w:pPr>
        <w:pStyle w:val="14"/>
        <w:kinsoku w:val="0"/>
        <w:overflowPunct w:val="0"/>
        <w:rPr>
          <w:sz w:val="19"/>
        </w:rPr>
      </w:pPr>
    </w:p>
    <w:p>
      <w:pPr>
        <w:pStyle w:val="14"/>
        <w:tabs>
          <w:tab w:val="left" w:pos="4773"/>
        </w:tabs>
        <w:kinsoku w:val="0"/>
        <w:overflowPunct w:val="0"/>
        <w:ind w:left="721"/>
        <w:rPr>
          <w:rFonts w:ascii="宋体" w:hAnsi="宋体" w:eastAsia="宋体" w:cs="宋体"/>
          <w:spacing w:val="-1"/>
          <w:sz w:val="24"/>
          <w:szCs w:val="24"/>
        </w:rPr>
      </w:pPr>
      <w:r>
        <w:rPr>
          <w:rFonts w:hint="eastAsia" w:ascii="宋体" w:hAnsi="宋体" w:eastAsia="宋体" w:cs="宋体"/>
          <w:spacing w:val="-1"/>
          <w:sz w:val="24"/>
          <w:szCs w:val="24"/>
        </w:rPr>
        <w:t>供应商：</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rPr>
        <w:tab/>
      </w:r>
      <w:r>
        <w:rPr>
          <w:rFonts w:hint="eastAsia" w:ascii="宋体" w:hAnsi="宋体" w:eastAsia="宋体" w:cs="宋体"/>
          <w:spacing w:val="-1"/>
          <w:sz w:val="24"/>
          <w:szCs w:val="24"/>
        </w:rPr>
        <w:t>（盖章）</w:t>
      </w:r>
    </w:p>
    <w:p>
      <w:pPr>
        <w:pStyle w:val="14"/>
        <w:kinsoku w:val="0"/>
        <w:overflowPunct w:val="0"/>
        <w:rPr>
          <w:rFonts w:ascii="宋体" w:hAnsi="宋体" w:eastAsia="宋体" w:cs="宋体"/>
          <w:sz w:val="24"/>
          <w:szCs w:val="24"/>
        </w:rPr>
      </w:pPr>
    </w:p>
    <w:p>
      <w:pPr>
        <w:pStyle w:val="14"/>
        <w:tabs>
          <w:tab w:val="left" w:pos="4773"/>
        </w:tabs>
        <w:kinsoku w:val="0"/>
        <w:overflowPunct w:val="0"/>
        <w:ind w:left="692"/>
        <w:rPr>
          <w:rFonts w:ascii="宋体" w:hAnsi="宋体" w:eastAsia="宋体" w:cs="宋体"/>
          <w:spacing w:val="-1"/>
          <w:sz w:val="24"/>
          <w:szCs w:val="24"/>
        </w:rPr>
      </w:pPr>
      <w:r>
        <w:rPr>
          <w:rFonts w:hint="eastAsia" w:ascii="宋体" w:hAnsi="宋体" w:eastAsia="宋体" w:cs="宋体"/>
          <w:spacing w:val="-2"/>
          <w:sz w:val="24"/>
          <w:szCs w:val="24"/>
        </w:rPr>
        <w:t>法定代表人或授权委托人：</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rPr>
        <w:tab/>
      </w:r>
      <w:r>
        <w:rPr>
          <w:rFonts w:hint="eastAsia" w:ascii="宋体" w:hAnsi="宋体" w:eastAsia="宋体" w:cs="宋体"/>
          <w:spacing w:val="-1"/>
          <w:sz w:val="24"/>
          <w:szCs w:val="24"/>
        </w:rPr>
        <w:t>（签字）</w:t>
      </w:r>
    </w:p>
    <w:p>
      <w:pPr>
        <w:pStyle w:val="14"/>
        <w:kinsoku w:val="0"/>
        <w:overflowPunct w:val="0"/>
        <w:rPr>
          <w:rFonts w:ascii="宋体" w:hAnsi="宋体" w:eastAsia="宋体" w:cs="宋体"/>
          <w:sz w:val="24"/>
          <w:szCs w:val="24"/>
        </w:rPr>
      </w:pPr>
    </w:p>
    <w:p>
      <w:pPr>
        <w:pStyle w:val="14"/>
        <w:tabs>
          <w:tab w:val="left" w:pos="6501"/>
        </w:tabs>
        <w:kinsoku w:val="0"/>
        <w:overflowPunct w:val="0"/>
        <w:ind w:left="692"/>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4"/>
        <w:kinsoku w:val="0"/>
        <w:overflowPunct w:val="0"/>
        <w:rPr>
          <w:rFonts w:ascii="宋体" w:hAnsi="宋体" w:eastAsia="宋体" w:cs="宋体"/>
          <w:sz w:val="24"/>
          <w:szCs w:val="24"/>
        </w:rPr>
      </w:pPr>
    </w:p>
    <w:p>
      <w:pPr>
        <w:pStyle w:val="14"/>
        <w:tabs>
          <w:tab w:val="left" w:pos="3558"/>
          <w:tab w:val="left" w:pos="4351"/>
          <w:tab w:val="left" w:pos="6919"/>
        </w:tabs>
        <w:kinsoku w:val="0"/>
        <w:overflowPunct w:val="0"/>
        <w:ind w:left="692"/>
        <w:rPr>
          <w:rFonts w:ascii="宋体" w:hAnsi="宋体" w:eastAsia="宋体" w:cs="宋体"/>
          <w:sz w:val="24"/>
          <w:szCs w:val="24"/>
        </w:rPr>
      </w:pPr>
      <w:r>
        <w:rPr>
          <w:rFonts w:hint="eastAsia" w:ascii="宋体" w:hAnsi="宋体" w:eastAsia="宋体" w:cs="宋体"/>
          <w:spacing w:val="-2"/>
          <w:sz w:val="24"/>
          <w:szCs w:val="24"/>
        </w:rPr>
        <w:t>电话：</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rPr>
        <w:tab/>
      </w:r>
      <w:r>
        <w:rPr>
          <w:rFonts w:hint="eastAsia" w:ascii="宋体" w:hAnsi="宋体" w:eastAsia="宋体" w:cs="宋体"/>
          <w:spacing w:val="-2"/>
          <w:sz w:val="24"/>
          <w:szCs w:val="24"/>
        </w:rPr>
        <w:tab/>
      </w:r>
      <w:r>
        <w:rPr>
          <w:rFonts w:hint="eastAsia" w:ascii="宋体" w:hAnsi="宋体" w:eastAsia="宋体" w:cs="宋体"/>
          <w:spacing w:val="-2"/>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4"/>
        <w:kinsoku w:val="0"/>
        <w:overflowPunct w:val="0"/>
        <w:rPr>
          <w:rFonts w:ascii="宋体" w:hAnsi="宋体" w:eastAsia="宋体" w:cs="宋体"/>
          <w:sz w:val="24"/>
          <w:szCs w:val="24"/>
        </w:rPr>
      </w:pPr>
    </w:p>
    <w:p>
      <w:pPr>
        <w:pStyle w:val="14"/>
        <w:tabs>
          <w:tab w:val="left" w:pos="3558"/>
          <w:tab w:val="left" w:pos="4351"/>
          <w:tab w:val="left" w:pos="6919"/>
        </w:tabs>
        <w:kinsoku w:val="0"/>
        <w:overflowPunct w:val="0"/>
        <w:ind w:left="692"/>
        <w:rPr>
          <w:rFonts w:ascii="宋体" w:hAnsi="宋体" w:eastAsia="宋体" w:cs="宋体"/>
          <w:sz w:val="24"/>
          <w:szCs w:val="24"/>
        </w:rPr>
      </w:pPr>
      <w:r>
        <w:rPr>
          <w:rFonts w:hint="eastAsia" w:ascii="宋体" w:hAnsi="宋体" w:eastAsia="宋体" w:cs="宋体"/>
          <w:spacing w:val="-1"/>
          <w:sz w:val="24"/>
          <w:szCs w:val="24"/>
        </w:rPr>
        <w:t>电子邮箱：</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rPr>
        <w:tab/>
      </w:r>
      <w:r>
        <w:rPr>
          <w:rFonts w:hint="eastAsia" w:ascii="宋体" w:hAnsi="宋体" w:eastAsia="宋体" w:cs="宋体"/>
          <w:spacing w:val="-1"/>
          <w:sz w:val="24"/>
          <w:szCs w:val="24"/>
        </w:rPr>
        <w:tab/>
      </w:r>
      <w:r>
        <w:rPr>
          <w:rFonts w:hint="eastAsia" w:ascii="宋体" w:hAnsi="宋体" w:eastAsia="宋体" w:cs="宋体"/>
          <w:spacing w:val="-2"/>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4"/>
        <w:kinsoku w:val="0"/>
        <w:overflowPunct w:val="0"/>
        <w:rPr>
          <w:rFonts w:ascii="宋体" w:hAnsi="宋体" w:eastAsia="宋体" w:cs="宋体"/>
          <w:sz w:val="24"/>
          <w:szCs w:val="24"/>
        </w:rPr>
      </w:pPr>
    </w:p>
    <w:p>
      <w:pPr>
        <w:pStyle w:val="14"/>
        <w:tabs>
          <w:tab w:val="left" w:pos="2098"/>
          <w:tab w:val="left" w:pos="2727"/>
          <w:tab w:val="left" w:pos="3256"/>
        </w:tabs>
        <w:kinsoku w:val="0"/>
        <w:overflowPunct w:val="0"/>
        <w:ind w:left="730"/>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tabs>
          <w:tab w:val="left" w:pos="2098"/>
          <w:tab w:val="left" w:pos="2727"/>
          <w:tab w:val="left" w:pos="3256"/>
        </w:tabs>
        <w:kinsoku w:val="0"/>
        <w:overflowPunct w:val="0"/>
        <w:ind w:left="730"/>
        <w:rPr>
          <w:rFonts w:ascii="宋体" w:hAnsi="宋体" w:eastAsia="宋体" w:cs="宋体"/>
          <w:sz w:val="24"/>
          <w:szCs w:val="24"/>
        </w:rPr>
        <w:sectPr>
          <w:pgSz w:w="11910" w:h="16840"/>
          <w:pgMar w:top="1080" w:right="1380" w:bottom="1200" w:left="1440" w:header="875" w:footer="1003" w:gutter="0"/>
          <w:cols w:equalWidth="0" w:num="1">
            <w:col w:w="9090"/>
          </w:cols>
        </w:sectPr>
      </w:pPr>
    </w:p>
    <w:p>
      <w:pPr>
        <w:pStyle w:val="10"/>
        <w:kinsoku w:val="0"/>
        <w:overflowPunct w:val="0"/>
        <w:ind w:left="1114"/>
        <w:rPr>
          <w:rFonts w:hint="default"/>
        </w:rPr>
      </w:pPr>
      <w:r>
        <w:rPr>
          <w:rFonts w:ascii="宋体" w:hAnsi="宋体"/>
        </w:rPr>
        <w:t>6</w:t>
      </w:r>
      <w:r>
        <w:t>、具有良好的商业信誉和健全的财务会计制度的承诺书</w:t>
      </w:r>
    </w:p>
    <w:p>
      <w:pPr>
        <w:pStyle w:val="14"/>
        <w:kinsoku w:val="0"/>
        <w:overflowPunct w:val="0"/>
        <w:rPr>
          <w:rFonts w:ascii="黑体" w:hAnsi="黑体" w:eastAsia="黑体"/>
        </w:rPr>
      </w:pPr>
    </w:p>
    <w:p>
      <w:pPr>
        <w:pStyle w:val="14"/>
        <w:kinsoku w:val="0"/>
        <w:overflowPunct w:val="0"/>
        <w:rPr>
          <w:rFonts w:ascii="黑体" w:hAnsi="黑体" w:eastAsia="黑体"/>
        </w:rPr>
      </w:pPr>
    </w:p>
    <w:p>
      <w:pPr>
        <w:pStyle w:val="14"/>
        <w:kinsoku w:val="0"/>
        <w:overflowPunct w:val="0"/>
        <w:spacing w:line="360" w:lineRule="auto"/>
        <w:ind w:left="149" w:right="155"/>
        <w:rPr>
          <w:rFonts w:ascii="宋体" w:hAnsi="宋体" w:eastAsia="宋体" w:cs="宋体"/>
          <w:sz w:val="24"/>
        </w:rPr>
      </w:pPr>
      <w:r>
        <w:rPr>
          <w:rFonts w:hint="eastAsia" w:ascii="宋体" w:hAnsi="宋体" w:eastAsia="宋体" w:cs="宋体"/>
          <w:sz w:val="24"/>
        </w:rPr>
        <w:t xml:space="preserve">投标人应提供资料： </w:t>
      </w:r>
    </w:p>
    <w:p>
      <w:pPr>
        <w:pStyle w:val="14"/>
        <w:kinsoku w:val="0"/>
        <w:overflowPunct w:val="0"/>
        <w:spacing w:line="360" w:lineRule="auto"/>
        <w:ind w:left="149" w:right="155"/>
        <w:rPr>
          <w:rFonts w:ascii="宋体" w:hAnsi="宋体" w:eastAsia="宋体" w:cs="宋体"/>
          <w:sz w:val="24"/>
        </w:rPr>
      </w:pPr>
      <w:r>
        <w:rPr>
          <w:rFonts w:hint="eastAsia" w:ascii="宋体" w:hAnsi="宋体" w:eastAsia="宋体" w:cs="宋体"/>
          <w:sz w:val="24"/>
        </w:rPr>
        <w:t>6.1、投标人承诺本单位具有良好的商业信誉和健全的财务会计制度（格式自拟）。</w:t>
      </w: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4"/>
        </w:rPr>
      </w:pPr>
    </w:p>
    <w:p>
      <w:pPr>
        <w:pStyle w:val="14"/>
        <w:kinsoku w:val="0"/>
        <w:overflowPunct w:val="0"/>
        <w:rPr>
          <w:sz w:val="24"/>
        </w:rPr>
      </w:pPr>
    </w:p>
    <w:p>
      <w:pPr>
        <w:pStyle w:val="14"/>
        <w:kinsoku w:val="0"/>
        <w:overflowPunct w:val="0"/>
        <w:rPr>
          <w:sz w:val="35"/>
        </w:rPr>
      </w:pPr>
    </w:p>
    <w:p>
      <w:pPr>
        <w:spacing w:line="450" w:lineRule="exact"/>
        <w:ind w:firstLine="456" w:firstLineChars="200"/>
      </w:pPr>
      <w:r>
        <w:rPr>
          <w:rFonts w:hint="eastAsia"/>
          <w:spacing w:val="-6"/>
          <w:sz w:val="24"/>
        </w:rPr>
        <w:t>6.2、</w:t>
      </w:r>
      <w:r>
        <w:rPr>
          <w:rFonts w:hint="eastAsia" w:ascii="宋体" w:hAnsi="宋体"/>
          <w:sz w:val="24"/>
        </w:rPr>
        <w:t>提供经审计的2018年度或2019年度财务报告或银行出具的资信证明或财政部门认可的政府采购专业担保机构出具的投标担保函；</w:t>
      </w:r>
    </w:p>
    <w:p>
      <w:pPr>
        <w:pStyle w:val="14"/>
        <w:kinsoku w:val="0"/>
        <w:overflowPunct w:val="0"/>
        <w:spacing w:line="360" w:lineRule="auto"/>
        <w:ind w:left="149" w:right="131"/>
        <w:rPr>
          <w:color w:val="0000FF"/>
          <w:sz w:val="24"/>
        </w:rPr>
      </w:pPr>
    </w:p>
    <w:p>
      <w:pPr>
        <w:pStyle w:val="14"/>
        <w:kinsoku w:val="0"/>
        <w:overflowPunct w:val="0"/>
        <w:spacing w:line="360" w:lineRule="auto"/>
        <w:ind w:left="149" w:right="131"/>
        <w:rPr>
          <w:color w:val="0000FF"/>
          <w:sz w:val="24"/>
        </w:rPr>
        <w:sectPr>
          <w:pgSz w:w="11910" w:h="16840"/>
          <w:pgMar w:top="1080" w:right="1380" w:bottom="1200" w:left="1440" w:header="875" w:footer="1003" w:gutter="0"/>
          <w:cols w:space="720" w:num="1"/>
        </w:sectPr>
      </w:pPr>
    </w:p>
    <w:p>
      <w:pPr>
        <w:pStyle w:val="14"/>
        <w:kinsoku w:val="0"/>
        <w:overflowPunct w:val="0"/>
        <w:ind w:left="1114"/>
        <w:rPr>
          <w:rFonts w:ascii="黑体" w:hAnsi="黑体" w:eastAsia="黑体"/>
        </w:rPr>
      </w:pPr>
      <w:r>
        <w:rPr>
          <w:rFonts w:hint="eastAsia"/>
        </w:rPr>
        <w:t>7</w:t>
      </w:r>
      <w:r>
        <w:rPr>
          <w:rFonts w:hint="eastAsia" w:ascii="黑体" w:hAnsi="黑体" w:eastAsia="黑体"/>
        </w:rPr>
        <w:t>、具备履行合同所必需的设备和专业技术能力的承诺函</w:t>
      </w:r>
    </w:p>
    <w:p>
      <w:pPr>
        <w:pStyle w:val="14"/>
        <w:kinsoku w:val="0"/>
        <w:overflowPunct w:val="0"/>
        <w:rPr>
          <w:rFonts w:ascii="黑体" w:hAnsi="黑体" w:eastAsia="黑体"/>
          <w:sz w:val="36"/>
        </w:rPr>
      </w:pPr>
    </w:p>
    <w:p>
      <w:pPr>
        <w:pStyle w:val="14"/>
        <w:kinsoku w:val="0"/>
        <w:overflowPunct w:val="0"/>
        <w:spacing w:line="355" w:lineRule="auto"/>
        <w:ind w:left="735" w:right="1249" w:hanging="587"/>
        <w:rPr>
          <w:rFonts w:ascii="宋体" w:hAnsi="宋体" w:eastAsia="宋体" w:cs="宋体"/>
          <w:sz w:val="24"/>
        </w:rPr>
      </w:pPr>
      <w:r>
        <w:rPr>
          <w:rFonts w:hint="eastAsia" w:ascii="宋体" w:hAnsi="宋体" w:eastAsia="宋体" w:cs="宋体"/>
          <w:sz w:val="24"/>
        </w:rPr>
        <w:t xml:space="preserve">投标人应提供资料： </w:t>
      </w:r>
    </w:p>
    <w:p>
      <w:pPr>
        <w:pStyle w:val="14"/>
        <w:kinsoku w:val="0"/>
        <w:overflowPunct w:val="0"/>
        <w:spacing w:line="355" w:lineRule="auto"/>
        <w:ind w:left="735" w:right="1249" w:hanging="587"/>
        <w:rPr>
          <w:rFonts w:ascii="宋体" w:hAnsi="宋体" w:eastAsia="宋体" w:cs="宋体"/>
          <w:sz w:val="24"/>
        </w:rPr>
      </w:pPr>
      <w:r>
        <w:rPr>
          <w:rFonts w:hint="eastAsia" w:ascii="宋体" w:hAnsi="宋体" w:eastAsia="宋体" w:cs="宋体"/>
          <w:sz w:val="24"/>
        </w:rPr>
        <w:t>7.1、投标人承诺本单位具备履行合同所必需的设备和专业技术能力</w:t>
      </w:r>
    </w:p>
    <w:p>
      <w:pPr>
        <w:pStyle w:val="14"/>
        <w:kinsoku w:val="0"/>
        <w:overflowPunct w:val="0"/>
        <w:ind w:left="735"/>
        <w:rPr>
          <w:rFonts w:ascii="宋体" w:hAnsi="宋体" w:eastAsia="宋体" w:cs="宋体"/>
          <w:sz w:val="24"/>
        </w:rPr>
      </w:pPr>
      <w:r>
        <w:rPr>
          <w:rFonts w:hint="eastAsia" w:ascii="宋体" w:hAnsi="宋体" w:eastAsia="宋体" w:cs="宋体"/>
          <w:sz w:val="24"/>
        </w:rPr>
        <w:t>（格式自拟）</w:t>
      </w: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2"/>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4"/>
        <w:kinsoku w:val="0"/>
        <w:overflowPunct w:val="0"/>
        <w:rPr>
          <w:sz w:val="20"/>
        </w:rPr>
      </w:pPr>
    </w:p>
    <w:p>
      <w:pPr>
        <w:pStyle w:val="14"/>
        <w:kinsoku w:val="0"/>
        <w:overflowPunct w:val="0"/>
        <w:rPr>
          <w:sz w:val="20"/>
        </w:rPr>
      </w:pPr>
    </w:p>
    <w:p>
      <w:pPr>
        <w:pStyle w:val="14"/>
        <w:kinsoku w:val="0"/>
        <w:overflowPunct w:val="0"/>
      </w:pPr>
    </w:p>
    <w:p>
      <w:pPr>
        <w:pStyle w:val="14"/>
        <w:kinsoku w:val="0"/>
        <w:overflowPunct w:val="0"/>
        <w:ind w:left="2094"/>
        <w:rPr>
          <w:rFonts w:ascii="黑体" w:hAnsi="黑体" w:eastAsia="黑体"/>
        </w:rPr>
      </w:pPr>
      <w:r>
        <w:rPr>
          <w:rFonts w:hint="eastAsia"/>
        </w:rPr>
        <w:t>8</w:t>
      </w:r>
      <w:r>
        <w:rPr>
          <w:rFonts w:hint="eastAsia" w:ascii="黑体" w:hAnsi="黑体" w:eastAsia="黑体"/>
        </w:rPr>
        <w:t>、依法缴纳税收和社会保障资金的记录</w:t>
      </w:r>
    </w:p>
    <w:p>
      <w:pPr>
        <w:pStyle w:val="14"/>
        <w:kinsoku w:val="0"/>
        <w:overflowPunct w:val="0"/>
        <w:rPr>
          <w:rFonts w:ascii="黑体" w:hAnsi="黑体" w:eastAsia="黑体"/>
        </w:rPr>
      </w:pPr>
    </w:p>
    <w:p>
      <w:pPr>
        <w:pStyle w:val="14"/>
        <w:kinsoku w:val="0"/>
        <w:overflowPunct w:val="0"/>
        <w:rPr>
          <w:rFonts w:ascii="黑体" w:hAnsi="黑体" w:eastAsia="黑体"/>
        </w:rPr>
      </w:pPr>
    </w:p>
    <w:p>
      <w:pPr>
        <w:pStyle w:val="14"/>
        <w:kinsoku w:val="0"/>
        <w:overflowPunct w:val="0"/>
        <w:spacing w:line="360" w:lineRule="auto"/>
        <w:ind w:left="149" w:firstLine="480"/>
        <w:rPr>
          <w:rFonts w:ascii="宋体" w:hAnsi="宋体" w:eastAsia="宋体" w:cs="宋体"/>
          <w:sz w:val="24"/>
        </w:rPr>
      </w:pPr>
      <w:r>
        <w:rPr>
          <w:rFonts w:hint="eastAsia" w:ascii="宋体" w:hAnsi="宋体" w:eastAsia="宋体" w:cs="宋体"/>
          <w:sz w:val="24"/>
        </w:rPr>
        <w:t>投标人应提供资料：</w:t>
      </w:r>
    </w:p>
    <w:p>
      <w:pPr>
        <w:pStyle w:val="14"/>
        <w:kinsoku w:val="0"/>
        <w:overflowPunct w:val="0"/>
        <w:spacing w:line="360" w:lineRule="auto"/>
        <w:ind w:left="149" w:firstLine="480"/>
        <w:rPr>
          <w:rFonts w:ascii="宋体" w:hAnsi="宋体" w:eastAsia="宋体" w:cs="宋体"/>
          <w:spacing w:val="-6"/>
          <w:sz w:val="24"/>
        </w:rPr>
      </w:pPr>
      <w:r>
        <w:rPr>
          <w:rFonts w:hint="eastAsia" w:ascii="宋体" w:hAnsi="宋体" w:eastAsia="宋体" w:cs="宋体"/>
          <w:spacing w:val="-6"/>
          <w:sz w:val="24"/>
        </w:rPr>
        <w:t>8.1、投标人承诺本单位具有依法缴纳税收和社会保障资金的良好记录（格式自拟）。</w:t>
      </w: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5"/>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sz w:val="24"/>
        </w:rPr>
      </w:pPr>
    </w:p>
    <w:p>
      <w:pPr>
        <w:pStyle w:val="14"/>
        <w:kinsoku w:val="0"/>
        <w:overflowPunct w:val="0"/>
        <w:rPr>
          <w:sz w:val="24"/>
        </w:rPr>
      </w:pPr>
    </w:p>
    <w:p>
      <w:pPr>
        <w:pStyle w:val="14"/>
        <w:kinsoku w:val="0"/>
        <w:overflowPunct w:val="0"/>
        <w:rPr>
          <w:sz w:val="24"/>
        </w:rPr>
      </w:pPr>
    </w:p>
    <w:p>
      <w:pPr>
        <w:pStyle w:val="14"/>
        <w:kinsoku w:val="0"/>
        <w:overflowPunct w:val="0"/>
        <w:rPr>
          <w:sz w:val="24"/>
        </w:rPr>
      </w:pPr>
    </w:p>
    <w:p>
      <w:pPr>
        <w:pStyle w:val="14"/>
        <w:kinsoku w:val="0"/>
        <w:overflowPunct w:val="0"/>
        <w:rPr>
          <w:sz w:val="23"/>
        </w:rPr>
      </w:pPr>
    </w:p>
    <w:p>
      <w:pPr>
        <w:pStyle w:val="14"/>
        <w:kinsoku w:val="0"/>
        <w:overflowPunct w:val="0"/>
        <w:ind w:left="149"/>
        <w:rPr>
          <w:rFonts w:eastAsia="宋体"/>
          <w:sz w:val="24"/>
        </w:rPr>
        <w:sectPr>
          <w:pgSz w:w="11910" w:h="16840"/>
          <w:pgMar w:top="1080" w:right="1380" w:bottom="1200" w:left="1440" w:header="875" w:footer="1003" w:gutter="0"/>
          <w:cols w:space="720" w:num="1"/>
        </w:sectPr>
      </w:pPr>
      <w:r>
        <w:rPr>
          <w:rFonts w:hint="eastAsia"/>
          <w:sz w:val="24"/>
        </w:rPr>
        <w:t>8.2、</w:t>
      </w:r>
      <w:r>
        <w:rPr>
          <w:rFonts w:hint="eastAsia" w:ascii="宋体" w:hAnsi="宋体" w:eastAsia="宋体" w:cs="宋体"/>
          <w:color w:val="000000"/>
          <w:sz w:val="24"/>
          <w:szCs w:val="24"/>
        </w:rPr>
        <w:t>提供2020年任意一个月依法缴纳税收和社会保障资金的证明，依法免税企业应提供相关证明文件</w:t>
      </w:r>
      <w:r>
        <w:rPr>
          <w:rFonts w:hint="eastAsia" w:ascii="宋体" w:hAnsi="宋体" w:cs="宋体"/>
          <w:color w:val="000000"/>
          <w:sz w:val="24"/>
          <w:szCs w:val="24"/>
        </w:rPr>
        <w:t>。</w:t>
      </w:r>
    </w:p>
    <w:p>
      <w:pPr>
        <w:pStyle w:val="14"/>
        <w:kinsoku w:val="0"/>
        <w:overflowPunct w:val="0"/>
        <w:spacing w:line="412" w:lineRule="auto"/>
        <w:ind w:left="4404" w:right="191" w:hanging="4202"/>
      </w:pPr>
    </w:p>
    <w:p>
      <w:pPr>
        <w:pStyle w:val="14"/>
        <w:kinsoku w:val="0"/>
        <w:overflowPunct w:val="0"/>
        <w:spacing w:line="412" w:lineRule="auto"/>
        <w:ind w:left="4404" w:right="191" w:hanging="4202"/>
        <w:rPr>
          <w:rFonts w:ascii="黑体" w:hAnsi="黑体" w:eastAsia="黑体"/>
        </w:rPr>
      </w:pPr>
      <w:r>
        <w:rPr>
          <w:rFonts w:hint="eastAsia"/>
        </w:rPr>
        <w:t>9</w:t>
      </w:r>
      <w:r>
        <w:rPr>
          <w:rFonts w:hint="eastAsia"/>
          <w:spacing w:val="-7"/>
        </w:rPr>
        <w:t xml:space="preserve"> </w:t>
      </w:r>
      <w:r>
        <w:rPr>
          <w:rFonts w:hint="eastAsia" w:ascii="黑体" w:hAnsi="黑体" w:eastAsia="黑体"/>
        </w:rPr>
        <w:t>、参加政府采购活动前</w:t>
      </w:r>
      <w:r>
        <w:rPr>
          <w:rFonts w:hint="eastAsia" w:ascii="黑体" w:hAnsi="黑体" w:eastAsia="黑体"/>
          <w:spacing w:val="-71"/>
        </w:rPr>
        <w:t xml:space="preserve"> </w:t>
      </w:r>
      <w:r>
        <w:rPr>
          <w:rFonts w:hint="eastAsia"/>
        </w:rPr>
        <w:t>3</w:t>
      </w:r>
      <w:r>
        <w:rPr>
          <w:rFonts w:hint="eastAsia"/>
          <w:spacing w:val="-71"/>
        </w:rPr>
        <w:t xml:space="preserve"> </w:t>
      </w:r>
      <w:r>
        <w:rPr>
          <w:rFonts w:hint="eastAsia" w:ascii="黑体" w:hAnsi="黑体" w:eastAsia="黑体"/>
        </w:rPr>
        <w:t>年内在经营活动中没有重大违法记录的承诺 书</w:t>
      </w:r>
    </w:p>
    <w:p>
      <w:pPr>
        <w:pStyle w:val="14"/>
        <w:kinsoku w:val="0"/>
        <w:overflowPunct w:val="0"/>
        <w:rPr>
          <w:rFonts w:ascii="黑体" w:hAnsi="黑体" w:eastAsia="黑体"/>
        </w:rPr>
      </w:pPr>
    </w:p>
    <w:p>
      <w:pPr>
        <w:pStyle w:val="14"/>
        <w:kinsoku w:val="0"/>
        <w:overflowPunct w:val="0"/>
        <w:rPr>
          <w:rFonts w:ascii="黑体" w:hAnsi="黑体" w:eastAsia="黑体"/>
          <w:sz w:val="27"/>
        </w:rPr>
      </w:pPr>
    </w:p>
    <w:p>
      <w:pPr>
        <w:pStyle w:val="14"/>
        <w:kinsoku w:val="0"/>
        <w:overflowPunct w:val="0"/>
        <w:ind w:left="9" w:firstLine="410" w:firstLineChars="171"/>
        <w:rPr>
          <w:rFonts w:ascii="宋体" w:hAnsi="宋体" w:eastAsia="宋体" w:cs="宋体"/>
          <w:sz w:val="24"/>
        </w:rPr>
      </w:pPr>
      <w:r>
        <w:rPr>
          <w:rFonts w:hint="eastAsia" w:ascii="宋体" w:hAnsi="宋体" w:eastAsia="宋体" w:cs="宋体"/>
          <w:sz w:val="24"/>
        </w:rPr>
        <w:t>我单位承诺：</w:t>
      </w:r>
    </w:p>
    <w:p>
      <w:pPr>
        <w:pStyle w:val="14"/>
        <w:kinsoku w:val="0"/>
        <w:overflowPunct w:val="0"/>
        <w:spacing w:line="357" w:lineRule="auto"/>
        <w:ind w:left="5" w:right="50" w:firstLine="415"/>
        <w:jc w:val="both"/>
        <w:rPr>
          <w:rFonts w:ascii="宋体" w:hAnsi="宋体" w:eastAsia="宋体" w:cs="宋体"/>
          <w:sz w:val="24"/>
        </w:rPr>
      </w:pPr>
      <w:r>
        <w:rPr>
          <w:rFonts w:hint="eastAsia" w:ascii="宋体" w:hAnsi="宋体" w:eastAsia="宋体" w:cs="宋体"/>
          <w:sz w:val="24"/>
        </w:rPr>
        <w:t>我单位参加本次政府采购活动前三年内在经营活动中没有重大违法、 违纪行为，若我单位承诺不属实，同意取消本项目投标资格，并将承担相关法律责任，接受处理。</w:t>
      </w:r>
    </w:p>
    <w:p>
      <w:pPr>
        <w:pStyle w:val="14"/>
        <w:kinsoku w:val="0"/>
        <w:overflowPunct w:val="0"/>
        <w:rPr>
          <w:rFonts w:ascii="宋体" w:hAnsi="宋体" w:eastAsia="宋体" w:cs="宋体"/>
          <w:sz w:val="24"/>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1"/>
        </w:rPr>
      </w:pPr>
    </w:p>
    <w:p>
      <w:pPr>
        <w:pStyle w:val="14"/>
        <w:kinsoku w:val="0"/>
        <w:overflowPunct w:val="0"/>
        <w:spacing w:line="348" w:lineRule="auto"/>
        <w:ind w:right="279" w:firstLine="4"/>
        <w:rPr>
          <w:rFonts w:ascii="宋体" w:hAnsi="宋体" w:eastAsia="宋体" w:cs="宋体"/>
          <w:sz w:val="24"/>
        </w:rPr>
      </w:pPr>
      <w:r>
        <w:rPr>
          <w:rFonts w:hint="eastAsia" w:ascii="宋体" w:hAnsi="宋体" w:eastAsia="宋体" w:cs="宋体"/>
          <w:sz w:val="24"/>
        </w:rPr>
        <w:t>说明： 1、投标人如果在参加本投标活动前三年内在经营活动中有重大违法记录应如实作出说明。</w:t>
      </w:r>
    </w:p>
    <w:p>
      <w:pPr>
        <w:pStyle w:val="14"/>
        <w:kinsoku w:val="0"/>
        <w:overflowPunct w:val="0"/>
        <w:spacing w:line="348" w:lineRule="auto"/>
        <w:ind w:left="1225" w:right="279" w:firstLine="4"/>
        <w:rPr>
          <w:rFonts w:ascii="宋体" w:hAnsi="宋体" w:eastAsia="宋体" w:cs="宋体"/>
          <w:sz w:val="24"/>
        </w:rPr>
        <w:sectPr>
          <w:pgSz w:w="11910" w:h="16840"/>
          <w:pgMar w:top="1080" w:right="1380" w:bottom="1200" w:left="1440" w:header="875" w:footer="1003" w:gutter="0"/>
          <w:cols w:space="720" w:num="1"/>
        </w:sectPr>
      </w:pPr>
    </w:p>
    <w:p>
      <w:pPr>
        <w:pStyle w:val="14"/>
        <w:kinsoku w:val="0"/>
        <w:overflowPunct w:val="0"/>
        <w:ind w:left="11" w:right="12"/>
        <w:jc w:val="center"/>
      </w:pPr>
    </w:p>
    <w:p>
      <w:pPr>
        <w:pStyle w:val="14"/>
        <w:kinsoku w:val="0"/>
        <w:overflowPunct w:val="0"/>
        <w:ind w:left="11" w:right="12"/>
        <w:jc w:val="center"/>
        <w:rPr>
          <w:rFonts w:ascii="黑体" w:hAnsi="黑体" w:eastAsia="黑体"/>
        </w:rPr>
      </w:pPr>
      <w:r>
        <w:rPr>
          <w:rFonts w:hint="eastAsia"/>
        </w:rPr>
        <w:t>10</w:t>
      </w:r>
      <w:r>
        <w:rPr>
          <w:rFonts w:hint="eastAsia" w:ascii="黑体" w:hAnsi="黑体" w:eastAsia="黑体"/>
        </w:rPr>
        <w:t>、投标须知前附表要求的其他资格证明文件</w:t>
      </w:r>
    </w:p>
    <w:p>
      <w:pPr>
        <w:pStyle w:val="14"/>
        <w:kinsoku w:val="0"/>
        <w:overflowPunct w:val="0"/>
        <w:rPr>
          <w:rFonts w:ascii="黑体" w:hAnsi="黑体" w:eastAsia="黑体"/>
        </w:rPr>
      </w:pPr>
    </w:p>
    <w:p>
      <w:pPr>
        <w:pStyle w:val="14"/>
        <w:kinsoku w:val="0"/>
        <w:overflowPunct w:val="0"/>
        <w:rPr>
          <w:rFonts w:ascii="黑体" w:hAnsi="黑体" w:eastAsia="黑体"/>
        </w:rPr>
      </w:pPr>
    </w:p>
    <w:p>
      <w:pPr>
        <w:pStyle w:val="14"/>
        <w:kinsoku w:val="0"/>
        <w:overflowPunct w:val="0"/>
        <w:rPr>
          <w:rFonts w:ascii="黑体" w:hAnsi="黑体" w:eastAsia="黑体"/>
        </w:rPr>
      </w:pPr>
    </w:p>
    <w:p>
      <w:pPr>
        <w:pStyle w:val="14"/>
        <w:kinsoku w:val="0"/>
        <w:overflowPunct w:val="0"/>
        <w:rPr>
          <w:rFonts w:ascii="黑体" w:hAnsi="黑体" w:eastAsia="黑体"/>
          <w:sz w:val="23"/>
        </w:rPr>
      </w:pPr>
    </w:p>
    <w:p>
      <w:pPr>
        <w:pStyle w:val="14"/>
        <w:kinsoku w:val="0"/>
        <w:overflowPunct w:val="0"/>
        <w:jc w:val="center"/>
        <w:rPr>
          <w:rFonts w:ascii="宋体" w:hAnsi="宋体" w:eastAsia="宋体" w:cs="宋体"/>
          <w:sz w:val="24"/>
        </w:rPr>
      </w:pPr>
      <w:r>
        <w:rPr>
          <w:rFonts w:hint="eastAsia" w:ascii="宋体" w:hAnsi="宋体" w:eastAsia="宋体" w:cs="宋体"/>
          <w:sz w:val="24"/>
        </w:rPr>
        <w:t>说明：10.1、应提供</w:t>
      </w:r>
      <w:r>
        <w:rPr>
          <w:rFonts w:hint="eastAsia" w:ascii="宋体" w:hAnsi="宋体" w:eastAsia="宋体" w:cs="宋体"/>
          <w:sz w:val="24"/>
          <w:u w:val="single"/>
        </w:rPr>
        <w:t>投标须知前附表</w:t>
      </w:r>
      <w:r>
        <w:rPr>
          <w:rFonts w:hint="eastAsia" w:ascii="宋体" w:hAnsi="宋体" w:eastAsia="宋体" w:cs="宋体"/>
          <w:sz w:val="24"/>
        </w:rPr>
        <w:t>要求的其他资格证明文件。</w:t>
      </w:r>
    </w:p>
    <w:p>
      <w:pPr>
        <w:pStyle w:val="14"/>
        <w:kinsoku w:val="0"/>
        <w:overflowPunct w:val="0"/>
        <w:jc w:val="center"/>
        <w:rPr>
          <w:rFonts w:ascii="宋体" w:hAnsi="宋体" w:eastAsia="宋体" w:cs="宋体"/>
          <w:sz w:val="24"/>
        </w:rPr>
        <w:sectPr>
          <w:pgSz w:w="11910" w:h="16840"/>
          <w:pgMar w:top="1080" w:right="1380" w:bottom="1200" w:left="1440" w:header="875" w:footer="1003" w:gutter="0"/>
          <w:cols w:space="720" w:num="1"/>
        </w:sectPr>
      </w:pPr>
    </w:p>
    <w:p>
      <w:pPr>
        <w:pStyle w:val="14"/>
        <w:kinsoku w:val="0"/>
        <w:overflowPunct w:val="0"/>
        <w:ind w:left="3264" w:right="3320"/>
        <w:jc w:val="center"/>
      </w:pPr>
    </w:p>
    <w:p>
      <w:pPr>
        <w:pStyle w:val="14"/>
        <w:kinsoku w:val="0"/>
        <w:overflowPunct w:val="0"/>
        <w:ind w:left="3264" w:right="3320"/>
        <w:jc w:val="center"/>
        <w:rPr>
          <w:rFonts w:ascii="黑体" w:hAnsi="黑体" w:eastAsia="黑体"/>
        </w:rPr>
      </w:pPr>
      <w:r>
        <w:rPr>
          <w:rFonts w:hint="eastAsia"/>
        </w:rPr>
        <w:t>11</w:t>
      </w:r>
      <w:r>
        <w:rPr>
          <w:rFonts w:hint="eastAsia" w:ascii="黑体" w:hAnsi="黑体" w:eastAsia="黑体"/>
        </w:rPr>
        <w:t>、投标人信用查询</w:t>
      </w:r>
    </w:p>
    <w:p>
      <w:pPr>
        <w:widowControl/>
        <w:spacing w:line="360" w:lineRule="auto"/>
        <w:jc w:val="left"/>
        <w:rPr>
          <w:rFonts w:ascii="Calibri" w:hAnsi="Calibri"/>
          <w:kern w:val="0"/>
          <w:szCs w:val="24"/>
        </w:rPr>
      </w:pPr>
    </w:p>
    <w:p>
      <w:pPr>
        <w:widowControl/>
        <w:spacing w:line="360" w:lineRule="auto"/>
        <w:jc w:val="left"/>
        <w:rPr>
          <w:rFonts w:ascii="Calibri" w:hAnsi="Calibri"/>
          <w:kern w:val="0"/>
          <w:szCs w:val="24"/>
        </w:rPr>
      </w:pPr>
      <w:r>
        <w:rPr>
          <w:rFonts w:hint="eastAsia" w:ascii="Calibri" w:hAnsi="Calibri"/>
          <w:kern w:val="0"/>
          <w:szCs w:val="24"/>
        </w:rPr>
        <w:t>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案件当事人名单、政府采购严重违法失信行为记录名单的供应商，拒绝参与本项目的磋商；【查询渠道：“信用中国”网站（www.creditchina.gov.cn）、中国政府采购网（www.ccgp.gov.cn）】；</w:t>
      </w:r>
    </w:p>
    <w:p>
      <w:pPr>
        <w:pStyle w:val="14"/>
        <w:kinsoku w:val="0"/>
        <w:overflowPunct w:val="0"/>
        <w:spacing w:line="403" w:lineRule="auto"/>
        <w:ind w:right="95"/>
        <w:rPr>
          <w:rFonts w:ascii="Calibri" w:hAnsi="Calibri" w:eastAsia="宋体"/>
          <w:sz w:val="21"/>
          <w:szCs w:val="24"/>
        </w:rPr>
      </w:pPr>
      <w:r>
        <w:rPr>
          <w:rFonts w:hint="eastAsia" w:ascii="Calibri" w:hAnsi="Calibri" w:eastAsia="宋体"/>
          <w:sz w:val="21"/>
          <w:szCs w:val="24"/>
        </w:rPr>
        <w:t>投标人提供查询截图 ，评审时以采购人或代理机构的查询为准。</w:t>
      </w:r>
    </w:p>
    <w:p>
      <w:pPr>
        <w:pStyle w:val="14"/>
        <w:kinsoku w:val="0"/>
        <w:overflowPunct w:val="0"/>
        <w:spacing w:line="403" w:lineRule="auto"/>
        <w:ind w:left="149" w:right="95"/>
        <w:rPr>
          <w:rFonts w:ascii="Calibri" w:hAnsi="Calibri" w:eastAsia="宋体"/>
          <w:sz w:val="21"/>
          <w:szCs w:val="24"/>
        </w:rPr>
        <w:sectPr>
          <w:pgSz w:w="11910" w:h="16840"/>
          <w:pgMar w:top="1080" w:right="1320" w:bottom="1200" w:left="1440" w:header="875" w:footer="1003" w:gutter="0"/>
          <w:cols w:equalWidth="0" w:num="1">
            <w:col w:w="9150"/>
          </w:cols>
        </w:sectPr>
      </w:pPr>
    </w:p>
    <w:p>
      <w:pPr>
        <w:pStyle w:val="10"/>
        <w:kinsoku w:val="0"/>
        <w:overflowPunct w:val="0"/>
        <w:ind w:left="3146"/>
        <w:rPr>
          <w:rFonts w:hint="default"/>
        </w:rPr>
      </w:pPr>
      <w:r>
        <w:rPr>
          <w:rFonts w:ascii="宋体" w:hAnsi="宋体"/>
        </w:rPr>
        <w:t>12</w:t>
      </w:r>
      <w:r>
        <w:t>、反商业贿赂承诺书</w:t>
      </w:r>
    </w:p>
    <w:p>
      <w:pPr>
        <w:pStyle w:val="14"/>
        <w:kinsoku w:val="0"/>
        <w:overflowPunct w:val="0"/>
        <w:rPr>
          <w:rFonts w:ascii="黑体" w:hAnsi="黑体" w:eastAsia="黑体"/>
          <w:sz w:val="36"/>
        </w:rPr>
      </w:pPr>
    </w:p>
    <w:p>
      <w:pPr>
        <w:pStyle w:val="14"/>
        <w:kinsoku w:val="0"/>
        <w:overflowPunct w:val="0"/>
        <w:rPr>
          <w:rFonts w:ascii="宋体" w:hAnsi="宋体" w:eastAsia="宋体" w:cs="宋体"/>
          <w:sz w:val="24"/>
        </w:rPr>
      </w:pPr>
      <w:r>
        <w:rPr>
          <w:rFonts w:hint="eastAsia" w:ascii="宋体" w:hAnsi="宋体" w:eastAsia="宋体" w:cs="宋体"/>
          <w:sz w:val="24"/>
        </w:rPr>
        <w:t>我单位承诺：</w:t>
      </w:r>
    </w:p>
    <w:p>
      <w:pPr>
        <w:pStyle w:val="14"/>
        <w:kinsoku w:val="0"/>
        <w:overflowPunct w:val="0"/>
        <w:spacing w:line="360" w:lineRule="auto"/>
        <w:ind w:left="9" w:right="1000" w:firstLine="410" w:firstLineChars="171"/>
        <w:rPr>
          <w:rFonts w:ascii="宋体" w:hAnsi="宋体" w:eastAsia="宋体" w:cs="宋体"/>
          <w:sz w:val="24"/>
        </w:rPr>
      </w:pPr>
      <w:r>
        <w:rPr>
          <w:rFonts w:hint="eastAsia" w:ascii="宋体" w:hAnsi="宋体" w:eastAsia="宋体" w:cs="宋体"/>
          <w:sz w:val="24"/>
        </w:rPr>
        <w:t xml:space="preserve">在参加 </w:t>
      </w:r>
      <w:r>
        <w:rPr>
          <w:rFonts w:hint="eastAsia" w:ascii="宋体" w:hAnsi="宋体" w:eastAsia="宋体" w:cs="宋体"/>
          <w:sz w:val="24"/>
          <w:u w:val="single"/>
        </w:rPr>
        <w:t>（投标项目名称）招投标</w:t>
      </w:r>
      <w:r>
        <w:rPr>
          <w:rFonts w:hint="eastAsia" w:ascii="宋体" w:hAnsi="宋体" w:eastAsia="宋体" w:cs="宋体"/>
          <w:sz w:val="24"/>
        </w:rPr>
        <w:t xml:space="preserve">活动中，我单位保证做到： </w:t>
      </w:r>
    </w:p>
    <w:p>
      <w:pPr>
        <w:pStyle w:val="14"/>
        <w:kinsoku w:val="0"/>
        <w:overflowPunct w:val="0"/>
        <w:spacing w:line="360" w:lineRule="auto"/>
        <w:ind w:left="9" w:right="1000" w:firstLine="410" w:firstLineChars="171"/>
        <w:rPr>
          <w:rFonts w:ascii="宋体" w:hAnsi="宋体" w:eastAsia="宋体" w:cs="宋体"/>
          <w:sz w:val="24"/>
        </w:rPr>
      </w:pPr>
      <w:r>
        <w:rPr>
          <w:rFonts w:hint="eastAsia" w:ascii="宋体" w:hAnsi="宋体" w:eastAsia="宋体" w:cs="宋体"/>
          <w:sz w:val="24"/>
        </w:rPr>
        <w:t>1、公平竞争参加本次招投标活动。</w:t>
      </w:r>
    </w:p>
    <w:p>
      <w:pPr>
        <w:pStyle w:val="14"/>
        <w:kinsoku w:val="0"/>
        <w:overflowPunct w:val="0"/>
        <w:spacing w:line="357" w:lineRule="auto"/>
        <w:ind w:left="9" w:right="159" w:firstLine="410" w:firstLineChars="171"/>
        <w:rPr>
          <w:rFonts w:ascii="宋体" w:hAnsi="宋体" w:eastAsia="宋体" w:cs="宋体"/>
          <w:sz w:val="24"/>
        </w:rPr>
      </w:pPr>
      <w:r>
        <w:rPr>
          <w:rFonts w:hint="eastAsia" w:ascii="宋体" w:hAnsi="宋体" w:eastAsia="宋体" w:cs="宋体"/>
          <w:sz w:val="24"/>
        </w:rPr>
        <w:t>2、杜绝任何形式的商业贿赂行为。不向国家工作人员、政府采购代理机 构工作人员、评审专家及其亲属提供礼品礼金、有价证券、购物券、回 扣、佣金、咨询费、劳务费、赞助费、宣传费、宴请；不为其报销各种消 费凭证，不支付其旅游、娱乐等费用。 3、若出现上述行为，我单位及参与投标的工作人员愿意接受按照国家法 律法规等有关规定给予的处罚。</w:t>
      </w: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4"/>
        <w:kinsoku w:val="0"/>
        <w:overflowPunct w:val="0"/>
        <w:rPr>
          <w:sz w:val="20"/>
        </w:rPr>
      </w:pPr>
    </w:p>
    <w:p>
      <w:pPr>
        <w:pStyle w:val="14"/>
        <w:kinsoku w:val="0"/>
        <w:overflowPunct w:val="0"/>
      </w:pPr>
    </w:p>
    <w:p>
      <w:pPr>
        <w:pStyle w:val="14"/>
        <w:kinsoku w:val="0"/>
        <w:overflowPunct w:val="0"/>
        <w:ind w:left="2583"/>
        <w:rPr>
          <w:rFonts w:ascii="黑体" w:hAnsi="黑体" w:eastAsia="黑体"/>
        </w:rPr>
      </w:pPr>
      <w:r>
        <w:rPr>
          <w:rFonts w:hint="eastAsia"/>
        </w:rPr>
        <w:t>13</w:t>
      </w:r>
      <w:r>
        <w:rPr>
          <w:rFonts w:hint="eastAsia" w:ascii="黑体" w:hAnsi="黑体" w:eastAsia="黑体"/>
        </w:rPr>
        <w:t>、招标代理服务费交纳承诺函</w:t>
      </w:r>
    </w:p>
    <w:p>
      <w:pPr>
        <w:pStyle w:val="14"/>
        <w:kinsoku w:val="0"/>
        <w:overflowPunct w:val="0"/>
        <w:rPr>
          <w:rFonts w:ascii="黑体" w:hAnsi="黑体" w:eastAsia="黑体"/>
          <w:sz w:val="36"/>
        </w:rPr>
      </w:pPr>
    </w:p>
    <w:p>
      <w:pPr>
        <w:pStyle w:val="14"/>
        <w:kinsoku w:val="0"/>
        <w:overflowPunct w:val="0"/>
        <w:ind w:left="149"/>
        <w:rPr>
          <w:rFonts w:ascii="宋体" w:hAnsi="宋体" w:eastAsia="宋体" w:cs="宋体"/>
          <w:sz w:val="24"/>
        </w:rPr>
      </w:pPr>
      <w:r>
        <w:rPr>
          <w:rFonts w:hint="eastAsia" w:ascii="宋体" w:hAnsi="宋体" w:eastAsia="宋体" w:cs="宋体"/>
          <w:sz w:val="24"/>
        </w:rPr>
        <w:t>致（河南招标采购服务有限公司）：</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我们在贵公司组织的（填写项目名称：</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，标段：    招标编号：     ）招标中</w:t>
      </w:r>
      <w:r>
        <w:rPr>
          <w:rFonts w:hint="eastAsia" w:ascii="宋体" w:hAnsi="宋体" w:eastAsia="宋体" w:cs="宋体"/>
          <w:b/>
          <w:sz w:val="24"/>
        </w:rPr>
        <w:t xml:space="preserve">若被确定为中标人 </w:t>
      </w:r>
      <w:r>
        <w:rPr>
          <w:rFonts w:hint="eastAsia" w:ascii="宋体" w:hAnsi="宋体" w:eastAsia="宋体" w:cs="宋体"/>
          <w:sz w:val="24"/>
        </w:rPr>
        <w:t>，我单位保证在收到中标通知书时，按招标文件的规定，以支票、银行转账、汇票或现金的形式，向贵公司一次性支付招标代理服务费用。否则，由此产生的一切法律后果和责任由我公司承担。我公司声明放弃对此提出任何异议和追索的权利。</w:t>
      </w:r>
    </w:p>
    <w:p>
      <w:pPr>
        <w:pStyle w:val="14"/>
        <w:kinsoku w:val="0"/>
        <w:overflowPunct w:val="0"/>
        <w:ind w:left="663"/>
        <w:rPr>
          <w:rFonts w:ascii="宋体" w:hAnsi="宋体" w:eastAsia="宋体" w:cs="宋体"/>
          <w:sz w:val="24"/>
        </w:rPr>
      </w:pPr>
      <w:r>
        <w:rPr>
          <w:rFonts w:hint="eastAsia" w:ascii="宋体" w:hAnsi="宋体" w:eastAsia="宋体" w:cs="宋体"/>
          <w:sz w:val="24"/>
        </w:rPr>
        <w:t>特此承诺。</w:t>
      </w: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4"/>
        <w:kinsoku w:val="0"/>
        <w:overflowPunct w:val="0"/>
        <w:rPr>
          <w:sz w:val="20"/>
        </w:rPr>
      </w:pPr>
    </w:p>
    <w:p>
      <w:pPr>
        <w:pStyle w:val="14"/>
        <w:kinsoku w:val="0"/>
        <w:overflowPunct w:val="0"/>
        <w:rPr>
          <w:sz w:val="20"/>
        </w:rPr>
      </w:pPr>
    </w:p>
    <w:p>
      <w:pPr>
        <w:pStyle w:val="14"/>
        <w:kinsoku w:val="0"/>
        <w:overflowPunct w:val="0"/>
      </w:pPr>
    </w:p>
    <w:p>
      <w:pPr>
        <w:pStyle w:val="14"/>
        <w:tabs>
          <w:tab w:val="left" w:pos="4259"/>
        </w:tabs>
        <w:kinsoku w:val="0"/>
        <w:overflowPunct w:val="0"/>
        <w:ind w:left="2862"/>
        <w:rPr>
          <w:rFonts w:ascii="黑体" w:hAnsi="黑体" w:eastAsia="黑体"/>
        </w:rPr>
      </w:pPr>
      <w:r>
        <w:rPr>
          <w:rFonts w:hint="eastAsia" w:ascii="黑体" w:hAnsi="黑体" w:eastAsia="黑体"/>
          <w:w w:val="95"/>
        </w:rPr>
        <w:t>第二部分</w:t>
      </w:r>
      <w:r>
        <w:rPr>
          <w:rFonts w:hint="eastAsia" w:ascii="黑体" w:hAnsi="黑体" w:eastAsia="黑体"/>
          <w:w w:val="95"/>
        </w:rPr>
        <w:tab/>
      </w:r>
      <w:r>
        <w:rPr>
          <w:rFonts w:hint="eastAsia" w:ascii="黑体" w:hAnsi="黑体" w:eastAsia="黑体"/>
        </w:rPr>
        <w:t>商务及技术文件</w:t>
      </w:r>
    </w:p>
    <w:p>
      <w:pPr>
        <w:pStyle w:val="14"/>
        <w:kinsoku w:val="0"/>
        <w:overflowPunct w:val="0"/>
        <w:rPr>
          <w:rFonts w:ascii="黑体" w:hAnsi="黑体" w:eastAsia="黑体"/>
          <w:sz w:val="20"/>
        </w:rPr>
      </w:pPr>
    </w:p>
    <w:p>
      <w:pPr>
        <w:pStyle w:val="14"/>
        <w:kinsoku w:val="0"/>
        <w:overflowPunct w:val="0"/>
        <w:rPr>
          <w:rFonts w:ascii="黑体" w:hAnsi="黑体" w:eastAsia="黑体"/>
          <w:sz w:val="18"/>
        </w:rPr>
      </w:pP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1、投标函</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2、投标分项报价表</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3、货物及伴随服务说明一览表</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4、技术要求偏差表</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5、商务条款偏离表</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6、符合《政府采购促进中小企业发展暂行办法》、《关于政府采购支持 监狱企业发展有关问题的通知》和《三部门联合发布关于促进残疾人就 业政府采购政策的通知》价格扣减条件的投标人须提交资料</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6-1 投标人为中小企业声明函</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6-2 投标人为监狱企业声明函</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6-3 投标人为残疾人福利性单位声明函</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7、售后服务计划</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8、评审所需要的其他商务文件</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9、投标人须知第14条的所有技术文件</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10、投标须知前附表要求的其它文件</w:t>
      </w:r>
    </w:p>
    <w:p>
      <w:pPr>
        <w:pStyle w:val="14"/>
        <w:tabs>
          <w:tab w:val="left" w:pos="5940"/>
        </w:tabs>
        <w:kinsoku w:val="0"/>
        <w:overflowPunct w:val="0"/>
        <w:spacing w:line="357" w:lineRule="auto"/>
        <w:ind w:left="149" w:right="139" w:firstLine="480"/>
        <w:jc w:val="both"/>
        <w:rPr>
          <w:rFonts w:ascii="宋体" w:hAnsi="宋体" w:eastAsia="宋体" w:cs="宋体"/>
          <w:sz w:val="24"/>
        </w:rPr>
      </w:pPr>
      <w:r>
        <w:rPr>
          <w:rFonts w:hint="eastAsia" w:ascii="宋体" w:hAnsi="宋体" w:eastAsia="宋体" w:cs="宋体"/>
          <w:sz w:val="24"/>
        </w:rPr>
        <w:t>11、投标人认为需要提供的相关资料</w:t>
      </w:r>
    </w:p>
    <w:p>
      <w:pPr>
        <w:pStyle w:val="14"/>
        <w:tabs>
          <w:tab w:val="left" w:pos="5940"/>
        </w:tabs>
        <w:kinsoku w:val="0"/>
        <w:overflowPunct w:val="0"/>
        <w:spacing w:line="357" w:lineRule="auto"/>
        <w:ind w:left="149" w:right="139" w:firstLine="480"/>
        <w:jc w:val="both"/>
        <w:rPr>
          <w:rFonts w:ascii="宋体" w:hAnsi="宋体" w:eastAsia="宋体" w:cs="宋体"/>
          <w:sz w:val="24"/>
        </w:rPr>
        <w:sectPr>
          <w:pgSz w:w="11910" w:h="16840"/>
          <w:pgMar w:top="1080" w:right="1380" w:bottom="1200" w:left="1440" w:header="875" w:footer="1003" w:gutter="0"/>
          <w:cols w:space="720" w:num="1"/>
        </w:sectPr>
      </w:pPr>
    </w:p>
    <w:p>
      <w:pPr>
        <w:pStyle w:val="14"/>
        <w:kinsoku w:val="0"/>
        <w:overflowPunct w:val="0"/>
        <w:ind w:right="80"/>
        <w:jc w:val="center"/>
        <w:rPr>
          <w:rFonts w:ascii="黑体" w:hAnsi="黑体" w:eastAsia="黑体"/>
        </w:rPr>
      </w:pPr>
      <w:r>
        <w:rPr>
          <w:rFonts w:hint="eastAsia" w:ascii="黑体" w:hAnsi="黑体" w:eastAsia="黑体"/>
        </w:rPr>
        <w:t>1、投标函</w:t>
      </w:r>
    </w:p>
    <w:p>
      <w:pPr>
        <w:pStyle w:val="14"/>
        <w:kinsoku w:val="0"/>
        <w:overflowPunct w:val="0"/>
        <w:adjustRightInd/>
        <w:spacing w:line="336" w:lineRule="auto"/>
        <w:ind w:left="149" w:right="233"/>
        <w:textAlignment w:val="auto"/>
        <w:rPr>
          <w:rFonts w:ascii="宋体" w:hAnsi="宋体" w:eastAsia="宋体" w:cs="宋体"/>
          <w:sz w:val="24"/>
        </w:rPr>
      </w:pPr>
      <w:r>
        <w:rPr>
          <w:rFonts w:hint="eastAsia" w:ascii="宋体" w:hAnsi="宋体" w:eastAsia="宋体" w:cs="宋体"/>
          <w:sz w:val="24"/>
        </w:rPr>
        <w:t xml:space="preserve">致： </w:t>
      </w:r>
      <w:r>
        <w:rPr>
          <w:rFonts w:hint="eastAsia" w:ascii="宋体" w:hAnsi="宋体" w:eastAsia="宋体" w:cs="宋体"/>
          <w:sz w:val="24"/>
          <w:u w:val="single"/>
        </w:rPr>
        <w:t>(采购人及河南招标采购服务有限公司）</w:t>
      </w:r>
    </w:p>
    <w:p>
      <w:pPr>
        <w:pStyle w:val="14"/>
        <w:tabs>
          <w:tab w:val="left" w:pos="5661"/>
        </w:tabs>
        <w:kinsoku w:val="0"/>
        <w:overflowPunct w:val="0"/>
        <w:adjustRightInd/>
        <w:spacing w:line="336" w:lineRule="auto"/>
        <w:ind w:left="149" w:right="-69" w:rightChars="-33" w:firstLine="480"/>
        <w:jc w:val="both"/>
        <w:textAlignment w:val="auto"/>
        <w:rPr>
          <w:rFonts w:ascii="宋体" w:hAnsi="宋体" w:eastAsia="宋体" w:cs="宋体"/>
          <w:sz w:val="24"/>
        </w:rPr>
      </w:pPr>
      <w:r>
        <w:rPr>
          <w:rFonts w:hint="eastAsia" w:ascii="宋体" w:hAnsi="宋体" w:eastAsia="宋体" w:cs="宋体"/>
          <w:sz w:val="24"/>
        </w:rPr>
        <w:t>我们获取了招标编号为</w:t>
      </w:r>
      <w:r>
        <w:rPr>
          <w:rFonts w:hint="eastAsia" w:ascii="宋体" w:hAnsi="宋体" w:eastAsia="宋体" w:cs="宋体"/>
          <w:spacing w:val="-81"/>
          <w:sz w:val="24"/>
        </w:rPr>
        <w:t xml:space="preserve"> </w:t>
      </w:r>
      <w:r>
        <w:rPr>
          <w:rFonts w:hint="eastAsia" w:ascii="宋体" w:hAnsi="宋体" w:eastAsia="宋体" w:cs="宋体"/>
          <w:sz w:val="24"/>
          <w:u w:val="single"/>
        </w:rPr>
        <w:t>（招标编号）</w:t>
      </w:r>
      <w:r>
        <w:rPr>
          <w:rFonts w:hint="eastAsia" w:ascii="宋体" w:hAnsi="宋体" w:eastAsia="宋体" w:cs="宋体"/>
          <w:spacing w:val="-82"/>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（项目名称、标段）</w:t>
      </w:r>
      <w:r>
        <w:rPr>
          <w:rFonts w:hint="eastAsia" w:ascii="宋体" w:hAnsi="宋体" w:eastAsia="宋体" w:cs="宋体"/>
          <w:spacing w:val="39"/>
          <w:sz w:val="24"/>
          <w:u w:val="single"/>
        </w:rPr>
        <w:t xml:space="preserve"> </w:t>
      </w:r>
      <w:r>
        <w:rPr>
          <w:rFonts w:hint="eastAsia" w:ascii="宋体" w:hAnsi="宋体" w:eastAsia="宋体" w:cs="宋体"/>
          <w:sz w:val="24"/>
        </w:rPr>
        <w:t>招标文件， 经详细研究招标文件的全部内容，委托代理人(</w:t>
      </w:r>
      <w:r>
        <w:rPr>
          <w:rFonts w:hint="eastAsia" w:ascii="宋体" w:hAnsi="宋体" w:eastAsia="宋体" w:cs="宋体"/>
          <w:sz w:val="24"/>
          <w:u w:val="single"/>
        </w:rPr>
        <w:t>姓名、职务)</w:t>
      </w:r>
      <w:r>
        <w:rPr>
          <w:rFonts w:hint="eastAsia" w:ascii="宋体" w:hAnsi="宋体" w:eastAsia="宋体" w:cs="宋体"/>
          <w:sz w:val="24"/>
        </w:rPr>
        <w:t xml:space="preserve">经正式授权并代表投标 </w:t>
      </w:r>
      <w:r>
        <w:rPr>
          <w:rFonts w:hint="eastAsia" w:ascii="宋体" w:hAnsi="宋体" w:eastAsia="宋体" w:cs="宋体"/>
          <w:spacing w:val="-3"/>
          <w:sz w:val="24"/>
        </w:rPr>
        <w:t>人（</w:t>
      </w:r>
      <w:r>
        <w:rPr>
          <w:rFonts w:hint="eastAsia" w:ascii="宋体" w:hAnsi="宋体" w:eastAsia="宋体" w:cs="宋体"/>
          <w:spacing w:val="-3"/>
          <w:sz w:val="24"/>
          <w:u w:val="single"/>
        </w:rPr>
        <w:t>名称、地址</w:t>
      </w:r>
      <w:r>
        <w:rPr>
          <w:rFonts w:hint="eastAsia" w:ascii="宋体" w:hAnsi="宋体" w:eastAsia="宋体" w:cs="宋体"/>
          <w:spacing w:val="-3"/>
          <w:sz w:val="24"/>
        </w:rPr>
        <w:t xml:space="preserve">）决定参加该项目的投标活动并按要求提交投标文件。我方郑重声明 </w:t>
      </w:r>
      <w:r>
        <w:rPr>
          <w:rFonts w:hint="eastAsia" w:ascii="宋体" w:hAnsi="宋体" w:eastAsia="宋体" w:cs="宋体"/>
          <w:sz w:val="24"/>
        </w:rPr>
        <w:t>以下诸点并负法律责任:</w:t>
      </w:r>
    </w:p>
    <w:p>
      <w:pPr>
        <w:pStyle w:val="14"/>
        <w:tabs>
          <w:tab w:val="left" w:pos="3445"/>
          <w:tab w:val="left" w:pos="4845"/>
          <w:tab w:val="left" w:pos="8456"/>
        </w:tabs>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pacing w:val="3"/>
          <w:sz w:val="24"/>
        </w:rPr>
        <w:t xml:space="preserve">愿意按照招标文件中规定的条款和要求，提供完成招标文件规定的全部工 </w:t>
      </w:r>
      <w:r>
        <w:rPr>
          <w:rFonts w:hint="eastAsia" w:ascii="宋体" w:hAnsi="宋体" w:eastAsia="宋体" w:cs="宋体"/>
          <w:spacing w:val="-20"/>
          <w:sz w:val="24"/>
        </w:rPr>
        <w:t>作，投标总报价为（大写</w:t>
      </w:r>
      <w:r>
        <w:rPr>
          <w:rFonts w:hint="eastAsia" w:ascii="宋体" w:hAnsi="宋体" w:eastAsia="宋体" w:cs="宋体"/>
          <w:spacing w:val="-20"/>
          <w:sz w:val="24"/>
          <w:u w:val="single"/>
        </w:rPr>
        <w:t>）</w:t>
      </w:r>
      <w:r>
        <w:rPr>
          <w:rFonts w:hint="eastAsia" w:ascii="宋体" w:hAnsi="宋体" w:eastAsia="宋体" w:cs="宋体"/>
          <w:spacing w:val="-20"/>
          <w:sz w:val="24"/>
          <w:u w:val="single"/>
        </w:rPr>
        <w:tab/>
      </w:r>
      <w:r>
        <w:rPr>
          <w:rFonts w:hint="eastAsia" w:ascii="宋体" w:hAnsi="宋体" w:eastAsia="宋体" w:cs="宋体"/>
          <w:spacing w:val="-20"/>
          <w:sz w:val="24"/>
          <w:u w:val="single"/>
        </w:rPr>
        <w:tab/>
      </w:r>
      <w:r>
        <w:rPr>
          <w:rFonts w:hint="eastAsia" w:ascii="宋体" w:hAnsi="宋体" w:eastAsia="宋体" w:cs="宋体"/>
          <w:spacing w:val="-12"/>
          <w:sz w:val="24"/>
        </w:rPr>
        <w:t xml:space="preserve"> 元人民币（RMB￥</w:t>
      </w:r>
      <w:r>
        <w:rPr>
          <w:rFonts w:hint="eastAsia" w:ascii="宋体" w:hAnsi="宋体" w:eastAsia="宋体" w:cs="宋体"/>
          <w:spacing w:val="-12"/>
          <w:sz w:val="24"/>
          <w:u w:val="single"/>
        </w:rPr>
        <w:t>：</w:t>
      </w:r>
      <w:r>
        <w:rPr>
          <w:rFonts w:hint="eastAsia" w:ascii="宋体" w:hAnsi="宋体" w:eastAsia="宋体" w:cs="宋体"/>
          <w:spacing w:val="-12"/>
          <w:sz w:val="24"/>
          <w:u w:val="single"/>
        </w:rPr>
        <w:tab/>
      </w:r>
      <w:r>
        <w:rPr>
          <w:rFonts w:hint="eastAsia" w:ascii="宋体" w:hAnsi="宋体" w:eastAsia="宋体" w:cs="宋体"/>
          <w:spacing w:val="-39"/>
          <w:sz w:val="24"/>
        </w:rPr>
        <w:t xml:space="preserve"> 元）；</w:t>
      </w:r>
      <w:r>
        <w:rPr>
          <w:rFonts w:hint="eastAsia" w:ascii="宋体" w:hAnsi="宋体" w:eastAsia="宋体" w:cs="宋体"/>
          <w:sz w:val="24"/>
        </w:rPr>
        <w:t xml:space="preserve"> 项目供货期为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，详见开标一览表。</w:t>
      </w:r>
    </w:p>
    <w:p>
      <w:pPr>
        <w:pStyle w:val="14"/>
        <w:tabs>
          <w:tab w:val="left" w:pos="5911"/>
        </w:tabs>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pacing w:val="1"/>
          <w:sz w:val="24"/>
        </w:rPr>
        <w:t xml:space="preserve"> </w:t>
      </w:r>
      <w:r>
        <w:rPr>
          <w:rFonts w:hint="eastAsia" w:ascii="宋体" w:hAnsi="宋体" w:eastAsia="宋体" w:cs="宋体"/>
          <w:sz w:val="24"/>
        </w:rPr>
        <w:t>本投标有效期为自投标截止之日起</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个日历日。</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(3) 如果我方的投标文件被接受，我们将履行招标文件中规定的各项要求。</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(4) 我方愿提供招标文件中要求的所有文件资料。</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我方已经详细审查了全部招标文件，包括所有补充通知、更正等（如果有的话），如有需要澄清的问题，我们同意按招标文件规定的时间向采购人提出。逾期不</w:t>
      </w:r>
      <w:r>
        <w:rPr>
          <w:rFonts w:hint="eastAsia" w:ascii="宋体" w:hAnsi="宋体" w:eastAsia="宋体" w:cs="宋体"/>
          <w:sz w:val="24"/>
        </w:rPr>
        <w:t>提，我方同意放弃对这方面有不明及误解的权利。</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 xml:space="preserve">(6) </w:t>
      </w:r>
      <w:r>
        <w:rPr>
          <w:rFonts w:hint="eastAsia" w:ascii="宋体" w:hAnsi="宋体" w:eastAsia="宋体" w:cs="宋体"/>
          <w:spacing w:val="-7"/>
          <w:sz w:val="24"/>
        </w:rPr>
        <w:t>我们承诺：我方不是为本项目提供整体设计、规范编制或者项目管理、监理、</w:t>
      </w:r>
      <w:r>
        <w:rPr>
          <w:rFonts w:hint="eastAsia" w:ascii="宋体" w:hAnsi="宋体" w:eastAsia="宋体" w:cs="宋体"/>
          <w:sz w:val="24"/>
        </w:rPr>
        <w:t>检测等服务的供应商。我方不是采购代理机构的附属机构。</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 xml:space="preserve">(7) </w:t>
      </w:r>
      <w:r>
        <w:rPr>
          <w:rFonts w:hint="eastAsia" w:ascii="宋体" w:hAnsi="宋体" w:eastAsia="宋体" w:cs="宋体"/>
          <w:spacing w:val="-3"/>
          <w:sz w:val="24"/>
        </w:rPr>
        <w:t>我方同意提供按照采购人可能要求的与其投标有关的一切数据或资料，完全</w:t>
      </w:r>
      <w:r>
        <w:rPr>
          <w:rFonts w:hint="eastAsia" w:ascii="宋体" w:hAnsi="宋体" w:eastAsia="宋体" w:cs="宋体"/>
          <w:sz w:val="24"/>
        </w:rPr>
        <w:t>理解采购人不一定接受最低价的投标或收到的任何投标。</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 xml:space="preserve">(8) </w:t>
      </w:r>
      <w:r>
        <w:rPr>
          <w:rFonts w:hint="eastAsia" w:ascii="宋体" w:hAnsi="宋体" w:eastAsia="宋体" w:cs="宋体"/>
          <w:spacing w:val="3"/>
          <w:sz w:val="24"/>
        </w:rPr>
        <w:t>按照招标文件的规定，在收到中标通知书时向采购代理机构一次性支付招</w:t>
      </w:r>
      <w:r>
        <w:rPr>
          <w:rFonts w:hint="eastAsia" w:ascii="宋体" w:hAnsi="宋体" w:eastAsia="宋体" w:cs="宋体"/>
          <w:sz w:val="24"/>
        </w:rPr>
        <w:t>标代理服务费。</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(9)</w:t>
      </w:r>
      <w:r>
        <w:rPr>
          <w:rFonts w:hint="eastAsia" w:ascii="宋体" w:hAnsi="宋体" w:eastAsia="宋体" w:cs="宋体"/>
          <w:spacing w:val="1"/>
          <w:sz w:val="24"/>
        </w:rPr>
        <w:t xml:space="preserve"> </w:t>
      </w:r>
      <w:r>
        <w:rPr>
          <w:rFonts w:hint="eastAsia" w:ascii="宋体" w:hAnsi="宋体" w:eastAsia="宋体" w:cs="宋体"/>
          <w:sz w:val="24"/>
        </w:rPr>
        <w:t>完全理解并无条件承担中标后不依法与采购人签订合同的法律后果。</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(10)</w:t>
      </w:r>
      <w:r>
        <w:rPr>
          <w:rFonts w:hint="eastAsia" w:ascii="宋体" w:hAnsi="宋体" w:eastAsia="宋体" w:cs="宋体"/>
          <w:spacing w:val="2"/>
          <w:sz w:val="24"/>
        </w:rPr>
        <w:t xml:space="preserve"> </w:t>
      </w:r>
      <w:r>
        <w:rPr>
          <w:rFonts w:hint="eastAsia" w:ascii="宋体" w:hAnsi="宋体" w:eastAsia="宋体" w:cs="宋体"/>
          <w:sz w:val="24"/>
        </w:rPr>
        <w:t>我方愿按《中华人民共和国合同法》履行自己的全部责任和义务。</w:t>
      </w:r>
    </w:p>
    <w:p>
      <w:pPr>
        <w:pStyle w:val="14"/>
        <w:kinsoku w:val="0"/>
        <w:overflowPunct w:val="0"/>
        <w:adjustRightInd/>
        <w:spacing w:line="336" w:lineRule="auto"/>
        <w:ind w:left="9" w:right="-69" w:rightChars="-33" w:firstLine="410" w:firstLineChars="171"/>
        <w:jc w:val="both"/>
        <w:textAlignment w:val="auto"/>
        <w:rPr>
          <w:rFonts w:ascii="宋体" w:hAnsi="宋体" w:eastAsia="宋体" w:cs="宋体"/>
          <w:sz w:val="24"/>
        </w:rPr>
      </w:pPr>
      <w:r>
        <w:rPr>
          <w:rFonts w:hint="eastAsia" w:ascii="宋体" w:hAnsi="宋体" w:eastAsia="宋体" w:cs="宋体"/>
          <w:sz w:val="24"/>
        </w:rPr>
        <w:t xml:space="preserve">(11) </w:t>
      </w:r>
      <w:r>
        <w:rPr>
          <w:rFonts w:hint="eastAsia" w:ascii="宋体" w:hAnsi="宋体" w:eastAsia="宋体" w:cs="宋体"/>
          <w:spacing w:val="10"/>
          <w:sz w:val="24"/>
        </w:rPr>
        <w:t>我方在此声明，所递交的投标文件中所有内容及资料均真实、有效、准</w:t>
      </w:r>
      <w:r>
        <w:rPr>
          <w:rFonts w:hint="eastAsia" w:ascii="宋体" w:hAnsi="宋体" w:eastAsia="宋体" w:cs="宋体"/>
          <w:sz w:val="24"/>
        </w:rPr>
        <w:t>确。如有弄虚作假情况出现，愿意按照招标文件中的相关规定承担责任。</w:t>
      </w:r>
    </w:p>
    <w:p>
      <w:pPr>
        <w:pStyle w:val="14"/>
        <w:kinsoku w:val="0"/>
        <w:overflowPunct w:val="0"/>
        <w:adjustRightInd/>
        <w:spacing w:line="336" w:lineRule="auto"/>
        <w:ind w:left="9" w:right="-70" w:firstLine="410" w:firstLineChars="171"/>
        <w:jc w:val="both"/>
        <w:textAlignment w:val="auto"/>
        <w:rPr>
          <w:rFonts w:ascii="宋体" w:hAnsi="宋体" w:eastAsia="宋体" w:cs="宋体"/>
          <w:sz w:val="24"/>
        </w:rPr>
      </w:pPr>
      <w:r>
        <w:rPr>
          <w:rFonts w:hint="eastAsia" w:ascii="宋体" w:hAnsi="宋体" w:eastAsia="宋体" w:cs="宋体"/>
          <w:sz w:val="24"/>
        </w:rPr>
        <w:t xml:space="preserve">(12) </w:t>
      </w:r>
      <w:r>
        <w:rPr>
          <w:rFonts w:hint="eastAsia" w:ascii="宋体" w:hAnsi="宋体" w:eastAsia="宋体" w:cs="宋体"/>
          <w:spacing w:val="7"/>
          <w:sz w:val="24"/>
        </w:rPr>
        <w:t>联合体中的大中型企业和其他自然人、法人或者非法人组织，与联合体</w:t>
      </w:r>
      <w:r>
        <w:rPr>
          <w:rFonts w:hint="eastAsia" w:ascii="宋体" w:hAnsi="宋体" w:eastAsia="宋体" w:cs="宋体"/>
          <w:sz w:val="24"/>
        </w:rPr>
        <w:t xml:space="preserve">中的小型、微型企业之间 </w:t>
      </w:r>
      <w:r>
        <w:rPr>
          <w:rFonts w:hint="eastAsia" w:ascii="宋体" w:hAnsi="宋体" w:eastAsia="宋体" w:cs="宋体"/>
          <w:sz w:val="24"/>
          <w:u w:val="single"/>
        </w:rPr>
        <w:t>（存在、不存在）</w:t>
      </w:r>
      <w:r>
        <w:rPr>
          <w:rFonts w:hint="eastAsia" w:ascii="宋体" w:hAnsi="宋体" w:eastAsia="宋体" w:cs="宋体"/>
          <w:sz w:val="24"/>
        </w:rPr>
        <w:t>投资关系（如果是联合体投标需要填写，非联合体参加投标不需要填写该条）。</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ind w:left="3411" w:right="3412"/>
        <w:jc w:val="center"/>
        <w:rPr>
          <w:rFonts w:ascii="宋体" w:hAnsi="宋体" w:eastAsia="宋体" w:cs="宋体"/>
        </w:rPr>
      </w:pPr>
    </w:p>
    <w:p>
      <w:pPr>
        <w:pStyle w:val="14"/>
        <w:kinsoku w:val="0"/>
        <w:overflowPunct w:val="0"/>
        <w:ind w:left="3411" w:right="3412"/>
        <w:jc w:val="center"/>
        <w:rPr>
          <w:rFonts w:ascii="宋体" w:hAnsi="宋体" w:eastAsia="宋体" w:cs="宋体"/>
        </w:rPr>
      </w:pPr>
    </w:p>
    <w:p>
      <w:pPr>
        <w:pStyle w:val="14"/>
        <w:kinsoku w:val="0"/>
        <w:overflowPunct w:val="0"/>
        <w:ind w:left="3411" w:right="3412"/>
        <w:jc w:val="center"/>
        <w:rPr>
          <w:rFonts w:ascii="宋体" w:hAnsi="宋体" w:eastAsia="宋体" w:cs="宋体"/>
        </w:rPr>
      </w:pPr>
      <w:r>
        <w:rPr>
          <w:rFonts w:hint="eastAsia" w:ascii="宋体" w:hAnsi="宋体" w:eastAsia="宋体" w:cs="宋体"/>
        </w:rPr>
        <w:t>2、投标分项报价表</w:t>
      </w:r>
    </w:p>
    <w:p>
      <w:pPr>
        <w:pStyle w:val="14"/>
        <w:kinsoku w:val="0"/>
        <w:overflowPunct w:val="0"/>
        <w:rPr>
          <w:rFonts w:ascii="宋体" w:hAnsi="宋体" w:eastAsia="宋体" w:cs="宋体"/>
          <w:sz w:val="15"/>
        </w:rPr>
      </w:pPr>
    </w:p>
    <w:p>
      <w:pPr>
        <w:pStyle w:val="14"/>
        <w:kinsoku w:val="0"/>
        <w:overflowPunct w:val="0"/>
        <w:spacing w:line="408" w:lineRule="auto"/>
        <w:ind w:left="229" w:right="7116"/>
        <w:rPr>
          <w:rFonts w:ascii="宋体" w:hAnsi="宋体" w:eastAsia="宋体" w:cs="宋体"/>
          <w:sz w:val="21"/>
        </w:rPr>
      </w:pPr>
      <w:r>
        <w:rPr>
          <w:rFonts w:hint="eastAsia" w:ascii="宋体" w:hAnsi="宋体" w:eastAsia="宋体" w:cs="宋体"/>
          <w:sz w:val="21"/>
        </w:rPr>
        <w:t xml:space="preserve">项目名称（标段）: </w:t>
      </w:r>
    </w:p>
    <w:p>
      <w:pPr>
        <w:pStyle w:val="14"/>
        <w:kinsoku w:val="0"/>
        <w:overflowPunct w:val="0"/>
        <w:spacing w:line="408" w:lineRule="auto"/>
        <w:ind w:left="229" w:right="10"/>
        <w:rPr>
          <w:rFonts w:ascii="宋体" w:hAnsi="宋体" w:eastAsia="宋体" w:cs="宋体"/>
          <w:spacing w:val="-1"/>
          <w:sz w:val="21"/>
        </w:rPr>
      </w:pPr>
      <w:r>
        <w:rPr>
          <w:rFonts w:hint="eastAsia" w:ascii="宋体" w:hAnsi="宋体" w:eastAsia="宋体" w:cs="宋体"/>
          <w:sz w:val="21"/>
        </w:rPr>
        <w:t xml:space="preserve">采购编号:                                                         </w:t>
      </w:r>
      <w:r>
        <w:rPr>
          <w:rFonts w:hint="eastAsia" w:ascii="宋体" w:hAnsi="宋体" w:eastAsia="宋体" w:cs="宋体"/>
          <w:spacing w:val="-1"/>
          <w:sz w:val="21"/>
        </w:rPr>
        <w:t>报价单位：人民币元</w:t>
      </w:r>
    </w:p>
    <w:tbl>
      <w:tblPr>
        <w:tblStyle w:val="33"/>
        <w:tblW w:w="0" w:type="auto"/>
        <w:tblInd w:w="212" w:type="dxa"/>
        <w:tblLayout w:type="fixed"/>
        <w:tblCellMar>
          <w:top w:w="0" w:type="dxa"/>
          <w:left w:w="108" w:type="dxa"/>
          <w:bottom w:w="0" w:type="dxa"/>
          <w:right w:w="108" w:type="dxa"/>
        </w:tblCellMar>
      </w:tblPr>
      <w:tblGrid>
        <w:gridCol w:w="786"/>
        <w:gridCol w:w="787"/>
        <w:gridCol w:w="788"/>
        <w:gridCol w:w="1306"/>
        <w:gridCol w:w="792"/>
        <w:gridCol w:w="1181"/>
        <w:gridCol w:w="850"/>
        <w:gridCol w:w="711"/>
        <w:gridCol w:w="696"/>
        <w:gridCol w:w="972"/>
      </w:tblGrid>
      <w:tr>
        <w:tblPrEx>
          <w:tblCellMar>
            <w:top w:w="0" w:type="dxa"/>
            <w:left w:w="108" w:type="dxa"/>
            <w:bottom w:w="0" w:type="dxa"/>
            <w:right w:w="108" w:type="dxa"/>
          </w:tblCellMar>
        </w:tblPrEx>
        <w:trPr>
          <w:trHeight w:val="1784" w:hRule="exact"/>
        </w:trPr>
        <w:tc>
          <w:tcPr>
            <w:tcW w:w="786" w:type="dxa"/>
            <w:tcBorders>
              <w:top w:val="single" w:color="000000" w:sz="10" w:space="0"/>
              <w:left w:val="single" w:color="000000" w:sz="10"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4"/>
              <w:jc w:val="center"/>
              <w:rPr>
                <w:rFonts w:hint="default" w:ascii="宋体" w:hAnsi="宋体" w:cs="宋体"/>
                <w:szCs w:val="22"/>
              </w:rPr>
            </w:pPr>
            <w:r>
              <w:rPr>
                <w:rFonts w:ascii="宋体" w:hAnsi="宋体" w:cs="宋体"/>
                <w:sz w:val="21"/>
                <w:szCs w:val="22"/>
              </w:rPr>
              <w:t>序号</w:t>
            </w:r>
          </w:p>
        </w:tc>
        <w:tc>
          <w:tcPr>
            <w:tcW w:w="787"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182"/>
              <w:rPr>
                <w:rFonts w:hint="default" w:ascii="宋体" w:hAnsi="宋体" w:cs="宋体"/>
                <w:szCs w:val="22"/>
              </w:rPr>
            </w:pPr>
            <w:r>
              <w:rPr>
                <w:rFonts w:ascii="宋体" w:hAnsi="宋体" w:cs="宋体"/>
                <w:sz w:val="21"/>
                <w:szCs w:val="22"/>
              </w:rPr>
              <w:t>名称</w:t>
            </w:r>
          </w:p>
        </w:tc>
        <w:tc>
          <w:tcPr>
            <w:tcW w:w="788"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182"/>
              <w:rPr>
                <w:rFonts w:hint="default" w:ascii="宋体" w:hAnsi="宋体" w:cs="宋体"/>
                <w:szCs w:val="22"/>
              </w:rPr>
            </w:pPr>
            <w:r>
              <w:rPr>
                <w:rFonts w:ascii="宋体" w:hAnsi="宋体" w:cs="宋体"/>
                <w:sz w:val="21"/>
                <w:szCs w:val="22"/>
              </w:rPr>
              <w:t>品牌</w:t>
            </w:r>
          </w:p>
        </w:tc>
        <w:tc>
          <w:tcPr>
            <w:tcW w:w="1306"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120"/>
              <w:rPr>
                <w:rFonts w:hint="default" w:ascii="宋体" w:hAnsi="宋体" w:cs="宋体"/>
                <w:szCs w:val="22"/>
              </w:rPr>
            </w:pPr>
            <w:r>
              <w:rPr>
                <w:rFonts w:ascii="宋体" w:hAnsi="宋体" w:cs="宋体"/>
                <w:sz w:val="21"/>
                <w:szCs w:val="22"/>
              </w:rPr>
              <w:t>型号和规格</w:t>
            </w:r>
          </w:p>
        </w:tc>
        <w:tc>
          <w:tcPr>
            <w:tcW w:w="792"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15"/>
                <w:szCs w:val="22"/>
              </w:rPr>
            </w:pPr>
          </w:p>
          <w:p>
            <w:pPr>
              <w:pStyle w:val="56"/>
              <w:kinsoku w:val="0"/>
              <w:overflowPunct w:val="0"/>
              <w:spacing w:line="410" w:lineRule="auto"/>
              <w:ind w:left="283" w:right="177" w:hanging="106"/>
              <w:rPr>
                <w:rFonts w:hint="default" w:ascii="宋体" w:hAnsi="宋体" w:cs="宋体"/>
                <w:szCs w:val="22"/>
              </w:rPr>
            </w:pPr>
            <w:r>
              <w:rPr>
                <w:rFonts w:ascii="宋体" w:hAnsi="宋体" w:cs="宋体"/>
                <w:sz w:val="21"/>
                <w:szCs w:val="22"/>
              </w:rPr>
              <w:t>原产 地</w:t>
            </w:r>
          </w:p>
        </w:tc>
        <w:tc>
          <w:tcPr>
            <w:tcW w:w="1181"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15"/>
                <w:szCs w:val="22"/>
              </w:rPr>
            </w:pPr>
          </w:p>
          <w:p>
            <w:pPr>
              <w:pStyle w:val="56"/>
              <w:kinsoku w:val="0"/>
              <w:overflowPunct w:val="0"/>
              <w:spacing w:line="410" w:lineRule="auto"/>
              <w:ind w:left="100" w:right="94"/>
              <w:rPr>
                <w:rFonts w:hint="default" w:ascii="宋体" w:hAnsi="宋体" w:cs="宋体"/>
                <w:szCs w:val="22"/>
              </w:rPr>
            </w:pPr>
            <w:r>
              <w:rPr>
                <w:rFonts w:ascii="宋体" w:hAnsi="宋体" w:cs="宋体"/>
                <w:sz w:val="21"/>
                <w:szCs w:val="22"/>
              </w:rPr>
              <w:t>制造</w:t>
            </w:r>
            <w:r>
              <w:rPr>
                <w:rFonts w:ascii="宋体" w:hAnsi="宋体" w:cs="宋体"/>
                <w:spacing w:val="-87"/>
                <w:sz w:val="21"/>
                <w:szCs w:val="22"/>
              </w:rPr>
              <w:t>商</w:t>
            </w:r>
            <w:r>
              <w:rPr>
                <w:rFonts w:ascii="宋体" w:hAnsi="宋体" w:cs="宋体"/>
                <w:sz w:val="21"/>
                <w:szCs w:val="22"/>
              </w:rPr>
              <w:t>（服 务商</w:t>
            </w:r>
            <w:r>
              <w:rPr>
                <w:rFonts w:ascii="宋体" w:hAnsi="宋体" w:cs="宋体"/>
                <w:spacing w:val="-87"/>
                <w:sz w:val="21"/>
                <w:szCs w:val="22"/>
              </w:rPr>
              <w:t>）</w:t>
            </w:r>
            <w:r>
              <w:rPr>
                <w:rFonts w:ascii="宋体" w:hAnsi="宋体" w:cs="宋体"/>
                <w:sz w:val="21"/>
                <w:szCs w:val="22"/>
              </w:rPr>
              <w:t>名称</w:t>
            </w:r>
          </w:p>
        </w:tc>
        <w:tc>
          <w:tcPr>
            <w:tcW w:w="850"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206"/>
              <w:rPr>
                <w:rFonts w:hint="default" w:ascii="宋体" w:hAnsi="宋体" w:cs="宋体"/>
                <w:szCs w:val="22"/>
              </w:rPr>
            </w:pPr>
            <w:r>
              <w:rPr>
                <w:rFonts w:ascii="宋体" w:hAnsi="宋体" w:cs="宋体"/>
                <w:sz w:val="21"/>
                <w:szCs w:val="22"/>
              </w:rPr>
              <w:t>数量</w:t>
            </w:r>
          </w:p>
        </w:tc>
        <w:tc>
          <w:tcPr>
            <w:tcW w:w="711"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139"/>
              <w:rPr>
                <w:rFonts w:hint="default" w:ascii="宋体" w:hAnsi="宋体" w:cs="宋体"/>
                <w:szCs w:val="22"/>
              </w:rPr>
            </w:pPr>
            <w:r>
              <w:rPr>
                <w:rFonts w:ascii="宋体" w:hAnsi="宋体" w:cs="宋体"/>
                <w:sz w:val="21"/>
                <w:szCs w:val="22"/>
              </w:rPr>
              <w:t>单价</w:t>
            </w:r>
          </w:p>
        </w:tc>
        <w:tc>
          <w:tcPr>
            <w:tcW w:w="696"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129"/>
              <w:rPr>
                <w:rFonts w:hint="default" w:ascii="宋体" w:hAnsi="宋体" w:cs="宋体"/>
                <w:szCs w:val="22"/>
              </w:rPr>
            </w:pPr>
            <w:r>
              <w:rPr>
                <w:rFonts w:ascii="宋体" w:hAnsi="宋体" w:cs="宋体"/>
                <w:sz w:val="21"/>
                <w:szCs w:val="22"/>
              </w:rPr>
              <w:t>总价</w:t>
            </w:r>
          </w:p>
        </w:tc>
        <w:tc>
          <w:tcPr>
            <w:tcW w:w="972" w:type="dxa"/>
            <w:tcBorders>
              <w:top w:val="single" w:color="000000" w:sz="10" w:space="0"/>
              <w:left w:val="single" w:color="000000" w:sz="4" w:space="0"/>
              <w:bottom w:val="single" w:color="000000" w:sz="4" w:space="0"/>
              <w:right w:val="single" w:color="000000" w:sz="10" w:space="0"/>
              <w:tl2br w:val="nil"/>
              <w:tr2bl w:val="nil"/>
            </w:tcBorders>
          </w:tcPr>
          <w:p>
            <w:pPr>
              <w:pStyle w:val="56"/>
              <w:kinsoku w:val="0"/>
              <w:overflowPunct w:val="0"/>
              <w:rPr>
                <w:rFonts w:hint="default" w:ascii="宋体" w:hAnsi="宋体" w:cs="宋体"/>
                <w:sz w:val="20"/>
                <w:szCs w:val="22"/>
              </w:rPr>
            </w:pPr>
          </w:p>
          <w:p>
            <w:pPr>
              <w:pStyle w:val="56"/>
              <w:kinsoku w:val="0"/>
              <w:overflowPunct w:val="0"/>
              <w:rPr>
                <w:rFonts w:hint="default" w:ascii="宋体" w:hAnsi="宋体" w:cs="宋体"/>
                <w:sz w:val="20"/>
                <w:szCs w:val="22"/>
              </w:rPr>
            </w:pPr>
          </w:p>
          <w:p>
            <w:pPr>
              <w:pStyle w:val="56"/>
              <w:kinsoku w:val="0"/>
              <w:overflowPunct w:val="0"/>
              <w:ind w:left="269"/>
              <w:rPr>
                <w:rFonts w:hint="default" w:ascii="宋体" w:hAnsi="宋体" w:cs="宋体"/>
                <w:szCs w:val="22"/>
              </w:rPr>
            </w:pPr>
            <w:r>
              <w:rPr>
                <w:rFonts w:ascii="宋体" w:hAnsi="宋体" w:cs="宋体"/>
                <w:sz w:val="21"/>
                <w:szCs w:val="22"/>
              </w:rPr>
              <w:t>备注</w:t>
            </w:r>
          </w:p>
        </w:tc>
      </w:tr>
      <w:tr>
        <w:tblPrEx>
          <w:tblCellMar>
            <w:top w:w="0" w:type="dxa"/>
            <w:left w:w="108" w:type="dxa"/>
            <w:bottom w:w="0" w:type="dxa"/>
            <w:right w:w="108" w:type="dxa"/>
          </w:tblCellMar>
        </w:tblPrEx>
        <w:trPr>
          <w:trHeight w:val="485" w:hRule="exact"/>
        </w:trPr>
        <w:tc>
          <w:tcPr>
            <w:tcW w:w="78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Cs w:val="22"/>
              </w:rPr>
            </w:pPr>
            <w:r>
              <w:rPr>
                <w:rFonts w:ascii="宋体" w:hAnsi="宋体" w:cs="宋体"/>
                <w:sz w:val="21"/>
                <w:szCs w:val="22"/>
              </w:rPr>
              <w:t>1</w:t>
            </w:r>
          </w:p>
        </w:tc>
        <w:tc>
          <w:tcPr>
            <w:tcW w:w="787"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8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92"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8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850"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1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69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972"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485" w:hRule="exact"/>
        </w:trPr>
        <w:tc>
          <w:tcPr>
            <w:tcW w:w="78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Cs w:val="22"/>
              </w:rPr>
            </w:pPr>
            <w:r>
              <w:rPr>
                <w:rFonts w:ascii="宋体" w:hAnsi="宋体" w:cs="宋体"/>
                <w:sz w:val="21"/>
                <w:szCs w:val="22"/>
              </w:rPr>
              <w:t>2</w:t>
            </w:r>
          </w:p>
        </w:tc>
        <w:tc>
          <w:tcPr>
            <w:tcW w:w="787"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8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92"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8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850"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1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69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972"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480" w:hRule="exact"/>
        </w:trPr>
        <w:tc>
          <w:tcPr>
            <w:tcW w:w="78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Cs w:val="22"/>
              </w:rPr>
            </w:pPr>
            <w:r>
              <w:rPr>
                <w:rFonts w:ascii="宋体" w:hAnsi="宋体" w:cs="宋体"/>
                <w:sz w:val="21"/>
                <w:szCs w:val="22"/>
              </w:rPr>
              <w:t>3</w:t>
            </w:r>
          </w:p>
        </w:tc>
        <w:tc>
          <w:tcPr>
            <w:tcW w:w="787"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8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92"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8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850"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1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69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972"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485" w:hRule="exact"/>
        </w:trPr>
        <w:tc>
          <w:tcPr>
            <w:tcW w:w="78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Cs w:val="22"/>
              </w:rPr>
            </w:pPr>
            <w:r>
              <w:rPr>
                <w:rFonts w:ascii="宋体" w:hAnsi="宋体" w:cs="宋体"/>
                <w:sz w:val="21"/>
                <w:szCs w:val="22"/>
              </w:rPr>
              <w:t>4</w:t>
            </w:r>
          </w:p>
        </w:tc>
        <w:tc>
          <w:tcPr>
            <w:tcW w:w="787"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8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92"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8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850"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1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69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972"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480" w:hRule="exact"/>
        </w:trPr>
        <w:tc>
          <w:tcPr>
            <w:tcW w:w="786"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Cs w:val="22"/>
              </w:rPr>
            </w:pPr>
            <w:r>
              <w:rPr>
                <w:rFonts w:ascii="宋体" w:hAnsi="宋体" w:cs="宋体"/>
                <w:sz w:val="21"/>
                <w:szCs w:val="22"/>
              </w:rPr>
              <w:t>5</w:t>
            </w:r>
          </w:p>
        </w:tc>
        <w:tc>
          <w:tcPr>
            <w:tcW w:w="787"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8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92"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8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850"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1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69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972"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485" w:hRule="exact"/>
        </w:trPr>
        <w:tc>
          <w:tcPr>
            <w:tcW w:w="786"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787"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8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92"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8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850"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71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69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972"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492" w:hRule="exact"/>
        </w:trPr>
        <w:tc>
          <w:tcPr>
            <w:tcW w:w="8869" w:type="dxa"/>
            <w:gridSpan w:val="10"/>
            <w:tcBorders>
              <w:top w:val="single" w:color="000000" w:sz="4" w:space="0"/>
              <w:left w:val="single" w:color="000000" w:sz="10" w:space="0"/>
              <w:bottom w:val="single" w:color="000000" w:sz="10" w:space="0"/>
              <w:right w:val="single" w:color="000000" w:sz="10" w:space="0"/>
              <w:tl2br w:val="nil"/>
              <w:tr2bl w:val="nil"/>
            </w:tcBorders>
          </w:tcPr>
          <w:p>
            <w:pPr>
              <w:pStyle w:val="56"/>
              <w:kinsoku w:val="0"/>
              <w:overflowPunct w:val="0"/>
              <w:ind w:left="638"/>
              <w:rPr>
                <w:rFonts w:hint="default" w:ascii="宋体" w:hAnsi="宋体" w:cs="宋体"/>
                <w:szCs w:val="22"/>
              </w:rPr>
            </w:pPr>
            <w:r>
              <w:rPr>
                <w:rFonts w:ascii="宋体" w:hAnsi="宋体" w:cs="宋体"/>
                <w:sz w:val="21"/>
                <w:szCs w:val="22"/>
              </w:rPr>
              <w:t>总价：</w:t>
            </w:r>
          </w:p>
        </w:tc>
      </w:tr>
    </w:tbl>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6"/>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9"/>
        </w:rPr>
      </w:pPr>
    </w:p>
    <w:p>
      <w:pPr>
        <w:pStyle w:val="14"/>
        <w:kinsoku w:val="0"/>
        <w:overflowPunct w:val="0"/>
        <w:spacing w:line="410" w:lineRule="auto"/>
        <w:ind w:left="652" w:right="10" w:hanging="423"/>
        <w:rPr>
          <w:rFonts w:ascii="宋体" w:hAnsi="宋体" w:eastAsia="宋体" w:cs="宋体"/>
          <w:sz w:val="24"/>
          <w:szCs w:val="24"/>
        </w:rPr>
      </w:pPr>
      <w:r>
        <w:rPr>
          <w:rFonts w:hint="eastAsia" w:ascii="宋体" w:hAnsi="宋体" w:eastAsia="宋体" w:cs="宋体"/>
          <w:sz w:val="24"/>
          <w:szCs w:val="24"/>
        </w:rPr>
        <w:t xml:space="preserve">注:  1.货物名称的排列顺序应与招标文件中提供的货物名称排列顺序一致。 </w:t>
      </w:r>
    </w:p>
    <w:p>
      <w:pPr>
        <w:pStyle w:val="14"/>
        <w:kinsoku w:val="0"/>
        <w:overflowPunct w:val="0"/>
        <w:spacing w:line="410" w:lineRule="auto"/>
        <w:ind w:right="10" w:firstLine="720" w:firstLineChars="300"/>
        <w:rPr>
          <w:rFonts w:ascii="宋体" w:hAnsi="宋体" w:eastAsia="宋体" w:cs="宋体"/>
          <w:sz w:val="24"/>
          <w:szCs w:val="24"/>
        </w:rPr>
      </w:pPr>
      <w:r>
        <w:rPr>
          <w:rFonts w:hint="eastAsia" w:ascii="宋体" w:hAnsi="宋体" w:eastAsia="宋体" w:cs="宋体"/>
          <w:sz w:val="24"/>
          <w:szCs w:val="24"/>
        </w:rPr>
        <w:t>2.上述货物中的报价应包含招标文件中规定的全部内容。</w:t>
      </w:r>
    </w:p>
    <w:p>
      <w:pPr>
        <w:pStyle w:val="14"/>
        <w:kinsoku w:val="0"/>
        <w:overflowPunct w:val="0"/>
        <w:spacing w:line="410" w:lineRule="auto"/>
        <w:ind w:left="229" w:firstLine="422"/>
        <w:rPr>
          <w:rFonts w:ascii="宋体" w:hAnsi="宋体" w:eastAsia="宋体" w:cs="宋体"/>
          <w:sz w:val="24"/>
          <w:szCs w:val="24"/>
        </w:rPr>
      </w:pPr>
      <w:r>
        <w:rPr>
          <w:rFonts w:hint="eastAsia" w:ascii="宋体" w:hAnsi="宋体" w:eastAsia="宋体" w:cs="宋体"/>
          <w:spacing w:val="2"/>
          <w:sz w:val="24"/>
          <w:szCs w:val="24"/>
        </w:rPr>
        <w:t xml:space="preserve">3.上述各项的详细分项报价及用于本项目的备品备件、专用工具、伴随的技术服务等其他 </w:t>
      </w:r>
      <w:r>
        <w:rPr>
          <w:rFonts w:hint="eastAsia" w:ascii="宋体" w:hAnsi="宋体" w:eastAsia="宋体" w:cs="宋体"/>
          <w:sz w:val="24"/>
          <w:szCs w:val="24"/>
        </w:rPr>
        <w:t>内容，投标人如果认为需要写明，可另页描述。</w:t>
      </w:r>
    </w:p>
    <w:p>
      <w:pPr>
        <w:pStyle w:val="14"/>
        <w:kinsoku w:val="0"/>
        <w:overflowPunct w:val="0"/>
        <w:spacing w:line="410" w:lineRule="auto"/>
        <w:ind w:left="229" w:firstLine="422"/>
        <w:rPr>
          <w:rFonts w:ascii="宋体" w:hAnsi="宋体" w:eastAsia="宋体" w:cs="宋体"/>
          <w:sz w:val="24"/>
          <w:szCs w:val="24"/>
        </w:rPr>
      </w:pPr>
      <w:r>
        <w:rPr>
          <w:rFonts w:hint="eastAsia" w:ascii="宋体" w:hAnsi="宋体" w:eastAsia="宋体" w:cs="宋体"/>
          <w:spacing w:val="-5"/>
          <w:sz w:val="24"/>
          <w:szCs w:val="24"/>
        </w:rPr>
        <w:t xml:space="preserve">4.如果开标一览表（报价表）内容与本表内容和合计金额不一致的，以开标一览表（报价表） </w:t>
      </w:r>
      <w:r>
        <w:rPr>
          <w:rFonts w:hint="eastAsia" w:ascii="宋体" w:hAnsi="宋体" w:eastAsia="宋体" w:cs="宋体"/>
          <w:sz w:val="24"/>
          <w:szCs w:val="24"/>
        </w:rPr>
        <w:t>内容为准。</w:t>
      </w:r>
    </w:p>
    <w:p>
      <w:pPr>
        <w:pStyle w:val="14"/>
        <w:kinsoku w:val="0"/>
        <w:overflowPunct w:val="0"/>
        <w:spacing w:line="410" w:lineRule="auto"/>
        <w:ind w:left="229" w:firstLine="422"/>
        <w:rPr>
          <w:rFonts w:ascii="宋体" w:hAnsi="宋体" w:eastAsia="宋体" w:cs="宋体"/>
          <w:sz w:val="24"/>
          <w:szCs w:val="24"/>
        </w:rPr>
        <w:sectPr>
          <w:pgSz w:w="11910" w:h="16840"/>
          <w:pgMar w:top="1423" w:right="1300" w:bottom="1200" w:left="1360" w:header="875" w:footer="1003" w:gutter="0"/>
          <w:cols w:equalWidth="0" w:num="1">
            <w:col w:w="9250"/>
          </w:cols>
        </w:sectPr>
      </w:pPr>
    </w:p>
    <w:p>
      <w:pPr>
        <w:pStyle w:val="9"/>
        <w:kinsoku w:val="0"/>
        <w:overflowPunct w:val="0"/>
        <w:ind w:left="0" w:right="-5"/>
        <w:jc w:val="center"/>
        <w:rPr>
          <w:rFonts w:hint="default" w:hAnsi="宋体" w:cs="宋体"/>
          <w:b w:val="0"/>
          <w:spacing w:val="2"/>
          <w:sz w:val="28"/>
        </w:rPr>
      </w:pPr>
      <w:r>
        <w:rPr>
          <w:rFonts w:hAnsi="宋体" w:cs="宋体"/>
          <w:b w:val="0"/>
          <w:spacing w:val="2"/>
          <w:sz w:val="28"/>
        </w:rPr>
        <w:t>3、</w:t>
      </w:r>
      <w:r>
        <w:rPr>
          <w:rFonts w:hAnsi="宋体" w:cs="宋体"/>
          <w:spacing w:val="2"/>
          <w:sz w:val="28"/>
        </w:rPr>
        <w:t>货物及伴随服务说明一览表</w:t>
      </w:r>
    </w:p>
    <w:p>
      <w:pPr>
        <w:pStyle w:val="14"/>
        <w:kinsoku w:val="0"/>
        <w:overflowPunct w:val="0"/>
        <w:ind w:left="9" w:right="2202" w:hanging="9"/>
        <w:rPr>
          <w:rFonts w:ascii="宋体" w:hAnsi="宋体" w:eastAsia="宋体" w:cs="宋体"/>
          <w:sz w:val="24"/>
          <w:szCs w:val="24"/>
        </w:rPr>
      </w:pPr>
      <w:r>
        <w:rPr>
          <w:rFonts w:hint="eastAsia" w:ascii="宋体" w:hAnsi="宋体" w:eastAsia="宋体" w:cs="宋体"/>
          <w:sz w:val="24"/>
          <w:szCs w:val="24"/>
        </w:rPr>
        <w:t>项目名称（标段）:</w:t>
      </w:r>
    </w:p>
    <w:p>
      <w:pPr>
        <w:pStyle w:val="14"/>
        <w:tabs>
          <w:tab w:val="left" w:pos="5144"/>
        </w:tabs>
        <w:kinsoku w:val="0"/>
        <w:overflowPunct w:val="0"/>
        <w:ind w:right="-5"/>
        <w:rPr>
          <w:rFonts w:ascii="宋体" w:hAnsi="宋体" w:eastAsia="宋体" w:cs="宋体"/>
          <w:sz w:val="24"/>
          <w:szCs w:val="24"/>
        </w:rPr>
      </w:pPr>
      <w:r>
        <w:rPr>
          <w:rFonts w:hint="eastAsia" w:ascii="宋体" w:hAnsi="宋体" w:eastAsia="宋体" w:cs="宋体"/>
          <w:sz w:val="24"/>
          <w:szCs w:val="24"/>
        </w:rPr>
        <w:t>采购编号：</w:t>
      </w:r>
      <w:r>
        <w:rPr>
          <w:rFonts w:hint="eastAsia" w:ascii="宋体" w:hAnsi="宋体" w:eastAsia="宋体" w:cs="宋体"/>
          <w:sz w:val="24"/>
          <w:szCs w:val="24"/>
        </w:rPr>
        <w:tab/>
      </w:r>
      <w:r>
        <w:rPr>
          <w:rFonts w:hint="eastAsia" w:ascii="宋体" w:hAnsi="宋体" w:eastAsia="宋体" w:cs="宋体"/>
          <w:sz w:val="24"/>
          <w:szCs w:val="24"/>
        </w:rPr>
        <w:t xml:space="preserve">          报价单位：人民币元</w:t>
      </w:r>
    </w:p>
    <w:tbl>
      <w:tblPr>
        <w:tblStyle w:val="33"/>
        <w:tblW w:w="9352" w:type="dxa"/>
        <w:tblInd w:w="97" w:type="dxa"/>
        <w:tblLayout w:type="fixed"/>
        <w:tblCellMar>
          <w:top w:w="0" w:type="dxa"/>
          <w:left w:w="108" w:type="dxa"/>
          <w:bottom w:w="0" w:type="dxa"/>
          <w:right w:w="108" w:type="dxa"/>
        </w:tblCellMar>
      </w:tblPr>
      <w:tblGrid>
        <w:gridCol w:w="780"/>
        <w:gridCol w:w="1605"/>
        <w:gridCol w:w="1305"/>
        <w:gridCol w:w="1134"/>
        <w:gridCol w:w="1416"/>
        <w:gridCol w:w="1561"/>
        <w:gridCol w:w="1551"/>
      </w:tblGrid>
      <w:tr>
        <w:tblPrEx>
          <w:tblCellMar>
            <w:top w:w="0" w:type="dxa"/>
            <w:left w:w="108" w:type="dxa"/>
            <w:bottom w:w="0" w:type="dxa"/>
            <w:right w:w="108" w:type="dxa"/>
          </w:tblCellMar>
        </w:tblPrEx>
        <w:trPr>
          <w:trHeight w:val="1097" w:hRule="exact"/>
        </w:trPr>
        <w:tc>
          <w:tcPr>
            <w:tcW w:w="780" w:type="dxa"/>
            <w:tcBorders>
              <w:top w:val="single" w:color="000000" w:sz="10" w:space="0"/>
              <w:left w:val="single" w:color="000000" w:sz="10" w:space="0"/>
              <w:bottom w:val="single" w:color="000000" w:sz="4" w:space="0"/>
              <w:right w:val="single" w:color="000000" w:sz="4" w:space="0"/>
              <w:tl2br w:val="nil"/>
              <w:tr2bl w:val="nil"/>
            </w:tcBorders>
          </w:tcPr>
          <w:p>
            <w:pPr>
              <w:pStyle w:val="56"/>
              <w:kinsoku w:val="0"/>
              <w:overflowPunct w:val="0"/>
              <w:ind w:left="163"/>
              <w:rPr>
                <w:rFonts w:hint="default" w:ascii="宋体" w:hAnsi="宋体" w:cs="宋体"/>
                <w:szCs w:val="22"/>
              </w:rPr>
            </w:pPr>
            <w:r>
              <w:rPr>
                <w:rFonts w:ascii="宋体" w:hAnsi="宋体" w:cs="宋体"/>
                <w:sz w:val="21"/>
                <w:szCs w:val="22"/>
              </w:rPr>
              <w:t>序号</w:t>
            </w:r>
          </w:p>
        </w:tc>
        <w:tc>
          <w:tcPr>
            <w:tcW w:w="1605"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8"/>
                <w:szCs w:val="22"/>
              </w:rPr>
            </w:pPr>
          </w:p>
          <w:p>
            <w:pPr>
              <w:pStyle w:val="56"/>
              <w:kinsoku w:val="0"/>
              <w:overflowPunct w:val="0"/>
              <w:ind w:left="518"/>
              <w:rPr>
                <w:rFonts w:hint="default" w:ascii="宋体" w:hAnsi="宋体" w:cs="宋体"/>
                <w:szCs w:val="22"/>
              </w:rPr>
            </w:pPr>
            <w:r>
              <w:rPr>
                <w:rFonts w:ascii="宋体" w:hAnsi="宋体" w:cs="宋体"/>
                <w:sz w:val="21"/>
                <w:szCs w:val="22"/>
              </w:rPr>
              <w:t>货物名称</w:t>
            </w:r>
          </w:p>
        </w:tc>
        <w:tc>
          <w:tcPr>
            <w:tcW w:w="1305"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8"/>
                <w:szCs w:val="22"/>
              </w:rPr>
            </w:pPr>
          </w:p>
          <w:p>
            <w:pPr>
              <w:pStyle w:val="56"/>
              <w:kinsoku w:val="0"/>
              <w:overflowPunct w:val="0"/>
              <w:ind w:left="508"/>
              <w:rPr>
                <w:rFonts w:hint="default" w:ascii="宋体" w:hAnsi="宋体" w:cs="宋体"/>
                <w:szCs w:val="22"/>
              </w:rPr>
            </w:pPr>
            <w:r>
              <w:rPr>
                <w:rFonts w:ascii="宋体" w:hAnsi="宋体" w:cs="宋体"/>
                <w:sz w:val="21"/>
                <w:szCs w:val="22"/>
              </w:rPr>
              <w:t>规格</w:t>
            </w:r>
          </w:p>
        </w:tc>
        <w:tc>
          <w:tcPr>
            <w:tcW w:w="1134"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8"/>
                <w:szCs w:val="22"/>
              </w:rPr>
            </w:pPr>
          </w:p>
          <w:p>
            <w:pPr>
              <w:pStyle w:val="56"/>
              <w:kinsoku w:val="0"/>
              <w:overflowPunct w:val="0"/>
              <w:ind w:left="297"/>
              <w:rPr>
                <w:rFonts w:hint="default" w:ascii="宋体" w:hAnsi="宋体" w:cs="宋体"/>
                <w:szCs w:val="22"/>
              </w:rPr>
            </w:pPr>
            <w:r>
              <w:rPr>
                <w:rFonts w:ascii="宋体" w:hAnsi="宋体" w:cs="宋体"/>
                <w:sz w:val="21"/>
                <w:szCs w:val="22"/>
              </w:rPr>
              <w:t>数量</w:t>
            </w:r>
          </w:p>
        </w:tc>
        <w:tc>
          <w:tcPr>
            <w:tcW w:w="1416"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8"/>
                <w:szCs w:val="22"/>
              </w:rPr>
            </w:pPr>
          </w:p>
          <w:p>
            <w:pPr>
              <w:pStyle w:val="56"/>
              <w:kinsoku w:val="0"/>
              <w:overflowPunct w:val="0"/>
              <w:ind w:left="388"/>
              <w:rPr>
                <w:rFonts w:hint="default" w:ascii="宋体" w:hAnsi="宋体" w:cs="宋体"/>
                <w:szCs w:val="22"/>
              </w:rPr>
            </w:pPr>
            <w:r>
              <w:rPr>
                <w:rFonts w:ascii="宋体" w:hAnsi="宋体" w:cs="宋体"/>
                <w:sz w:val="21"/>
                <w:szCs w:val="22"/>
              </w:rPr>
              <w:t>供货期</w:t>
            </w:r>
          </w:p>
        </w:tc>
        <w:tc>
          <w:tcPr>
            <w:tcW w:w="1561"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8"/>
                <w:szCs w:val="22"/>
              </w:rPr>
            </w:pPr>
          </w:p>
          <w:p>
            <w:pPr>
              <w:pStyle w:val="56"/>
              <w:kinsoku w:val="0"/>
              <w:overflowPunct w:val="0"/>
              <w:ind w:left="355"/>
              <w:rPr>
                <w:rFonts w:hint="default" w:ascii="宋体" w:hAnsi="宋体" w:cs="宋体"/>
                <w:szCs w:val="22"/>
              </w:rPr>
            </w:pPr>
            <w:r>
              <w:rPr>
                <w:rFonts w:ascii="宋体" w:hAnsi="宋体" w:cs="宋体"/>
                <w:sz w:val="21"/>
                <w:szCs w:val="22"/>
              </w:rPr>
              <w:t>交货地点</w:t>
            </w:r>
          </w:p>
        </w:tc>
        <w:tc>
          <w:tcPr>
            <w:tcW w:w="1551" w:type="dxa"/>
            <w:tcBorders>
              <w:top w:val="single" w:color="000000" w:sz="10" w:space="0"/>
              <w:left w:val="single" w:color="000000" w:sz="4" w:space="0"/>
              <w:bottom w:val="single" w:color="000000" w:sz="4" w:space="0"/>
              <w:right w:val="single" w:color="000000" w:sz="10" w:space="0"/>
              <w:tl2br w:val="nil"/>
              <w:tr2bl w:val="nil"/>
            </w:tcBorders>
          </w:tcPr>
          <w:p>
            <w:pPr>
              <w:pStyle w:val="56"/>
              <w:kinsoku w:val="0"/>
              <w:overflowPunct w:val="0"/>
              <w:rPr>
                <w:rFonts w:hint="default" w:ascii="宋体" w:hAnsi="宋体" w:cs="宋体"/>
                <w:sz w:val="28"/>
                <w:szCs w:val="22"/>
              </w:rPr>
            </w:pPr>
          </w:p>
          <w:p>
            <w:pPr>
              <w:pStyle w:val="56"/>
              <w:kinsoku w:val="0"/>
              <w:overflowPunct w:val="0"/>
              <w:ind w:left="346"/>
              <w:rPr>
                <w:rFonts w:hint="default" w:ascii="宋体" w:hAnsi="宋体" w:cs="宋体"/>
                <w:szCs w:val="22"/>
              </w:rPr>
            </w:pPr>
            <w:r>
              <w:rPr>
                <w:rFonts w:ascii="宋体" w:hAnsi="宋体" w:cs="宋体"/>
                <w:sz w:val="21"/>
                <w:szCs w:val="22"/>
              </w:rPr>
              <w:t>伴随服务</w:t>
            </w:r>
          </w:p>
        </w:tc>
      </w:tr>
      <w:tr>
        <w:tblPrEx>
          <w:tblCellMar>
            <w:top w:w="0" w:type="dxa"/>
            <w:left w:w="108" w:type="dxa"/>
            <w:bottom w:w="0" w:type="dxa"/>
            <w:right w:w="108" w:type="dxa"/>
          </w:tblCellMar>
        </w:tblPrEx>
        <w:trPr>
          <w:trHeight w:val="538" w:hRule="exact"/>
        </w:trPr>
        <w:tc>
          <w:tcPr>
            <w:tcW w:w="780"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3" w:hRule="exact"/>
        </w:trPr>
        <w:tc>
          <w:tcPr>
            <w:tcW w:w="780"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8" w:hRule="exact"/>
        </w:trPr>
        <w:tc>
          <w:tcPr>
            <w:tcW w:w="780"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8" w:hRule="exact"/>
        </w:trPr>
        <w:tc>
          <w:tcPr>
            <w:tcW w:w="780"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3" w:hRule="exact"/>
        </w:trPr>
        <w:tc>
          <w:tcPr>
            <w:tcW w:w="780"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8" w:hRule="exact"/>
        </w:trPr>
        <w:tc>
          <w:tcPr>
            <w:tcW w:w="780"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8" w:hRule="exact"/>
        </w:trPr>
        <w:tc>
          <w:tcPr>
            <w:tcW w:w="780"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45" w:hRule="exact"/>
        </w:trPr>
        <w:tc>
          <w:tcPr>
            <w:tcW w:w="780" w:type="dxa"/>
            <w:tcBorders>
              <w:top w:val="single" w:color="000000" w:sz="4" w:space="0"/>
              <w:left w:val="single" w:color="000000" w:sz="10" w:space="0"/>
              <w:bottom w:val="single" w:color="000000" w:sz="10" w:space="0"/>
              <w:right w:val="single" w:color="000000" w:sz="4" w:space="0"/>
              <w:tl2br w:val="nil"/>
              <w:tr2bl w:val="nil"/>
            </w:tcBorders>
          </w:tcPr>
          <w:p>
            <w:pPr>
              <w:rPr>
                <w:rFonts w:ascii="宋体" w:hAnsi="宋体" w:cs="宋体"/>
                <w:sz w:val="24"/>
                <w:szCs w:val="22"/>
              </w:rPr>
            </w:pPr>
          </w:p>
        </w:tc>
        <w:tc>
          <w:tcPr>
            <w:tcW w:w="1605"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4"/>
                <w:szCs w:val="22"/>
              </w:rPr>
            </w:pPr>
          </w:p>
        </w:tc>
        <w:tc>
          <w:tcPr>
            <w:tcW w:w="1305"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4"/>
                <w:szCs w:val="22"/>
              </w:rPr>
            </w:pPr>
          </w:p>
        </w:tc>
        <w:tc>
          <w:tcPr>
            <w:tcW w:w="1134"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4"/>
                <w:szCs w:val="22"/>
              </w:rPr>
            </w:pPr>
          </w:p>
        </w:tc>
        <w:tc>
          <w:tcPr>
            <w:tcW w:w="1416"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4"/>
                <w:szCs w:val="22"/>
              </w:rPr>
            </w:pPr>
          </w:p>
        </w:tc>
        <w:tc>
          <w:tcPr>
            <w:tcW w:w="1561"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4"/>
                <w:szCs w:val="22"/>
              </w:rPr>
            </w:pPr>
          </w:p>
        </w:tc>
        <w:tc>
          <w:tcPr>
            <w:tcW w:w="1551" w:type="dxa"/>
            <w:tcBorders>
              <w:top w:val="single" w:color="000000" w:sz="4" w:space="0"/>
              <w:left w:val="single" w:color="000000" w:sz="4" w:space="0"/>
              <w:bottom w:val="single" w:color="000000" w:sz="10" w:space="0"/>
              <w:right w:val="single" w:color="000000" w:sz="10" w:space="0"/>
              <w:tl2br w:val="nil"/>
              <w:tr2bl w:val="nil"/>
            </w:tcBorders>
          </w:tcPr>
          <w:p>
            <w:pPr>
              <w:rPr>
                <w:rFonts w:ascii="宋体" w:hAnsi="宋体" w:cs="宋体"/>
                <w:sz w:val="24"/>
                <w:szCs w:val="22"/>
              </w:rPr>
            </w:pPr>
          </w:p>
        </w:tc>
      </w:tr>
    </w:tbl>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14"/>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16"/>
        </w:rPr>
      </w:pPr>
    </w:p>
    <w:p>
      <w:pPr>
        <w:pStyle w:val="14"/>
        <w:kinsoku w:val="0"/>
        <w:overflowPunct w:val="0"/>
        <w:spacing w:line="408" w:lineRule="auto"/>
        <w:ind w:left="7" w:right="-425" w:firstLine="833"/>
        <w:rPr>
          <w:rFonts w:ascii="宋体" w:hAnsi="宋体" w:eastAsia="宋体" w:cs="宋体"/>
          <w:sz w:val="24"/>
          <w:szCs w:val="24"/>
        </w:rPr>
      </w:pPr>
      <w:r>
        <w:rPr>
          <w:rFonts w:hint="eastAsia" w:ascii="宋体" w:hAnsi="宋体" w:eastAsia="宋体" w:cs="宋体"/>
          <w:sz w:val="24"/>
          <w:szCs w:val="24"/>
        </w:rPr>
        <w:t xml:space="preserve">注: 1.货物名称的排列顺序应与招标文件中提供的货物名称排列顺序一致。 </w:t>
      </w:r>
    </w:p>
    <w:p>
      <w:pPr>
        <w:pStyle w:val="14"/>
        <w:kinsoku w:val="0"/>
        <w:overflowPunct w:val="0"/>
        <w:spacing w:line="408" w:lineRule="auto"/>
        <w:ind w:right="-425" w:firstLine="1200" w:firstLineChars="500"/>
        <w:rPr>
          <w:rFonts w:ascii="宋体" w:hAnsi="宋体" w:eastAsia="宋体" w:cs="宋体"/>
          <w:sz w:val="21"/>
        </w:rPr>
      </w:pPr>
      <w:r>
        <w:rPr>
          <w:rFonts w:hint="eastAsia" w:ascii="宋体" w:hAnsi="宋体" w:eastAsia="宋体" w:cs="宋体"/>
          <w:sz w:val="24"/>
          <w:szCs w:val="24"/>
        </w:rPr>
        <w:t>2.各项货物及伴随服务和工程详细技术性能应另页描述</w:t>
      </w:r>
      <w:r>
        <w:rPr>
          <w:rFonts w:hint="eastAsia" w:ascii="宋体" w:hAnsi="宋体" w:eastAsia="宋体" w:cs="宋体"/>
          <w:sz w:val="21"/>
        </w:rPr>
        <w:t>。</w:t>
      </w:r>
    </w:p>
    <w:p>
      <w:pPr>
        <w:pStyle w:val="14"/>
        <w:kinsoku w:val="0"/>
        <w:overflowPunct w:val="0"/>
        <w:spacing w:line="408" w:lineRule="auto"/>
        <w:ind w:left="1687" w:right="2003" w:hanging="476"/>
        <w:rPr>
          <w:rFonts w:ascii="宋体" w:hAnsi="宋体" w:eastAsia="宋体" w:cs="宋体"/>
          <w:sz w:val="21"/>
        </w:rPr>
        <w:sectPr>
          <w:pgSz w:w="11910" w:h="16840"/>
          <w:pgMar w:top="1080" w:right="1446" w:bottom="1429" w:left="1429" w:header="875" w:footer="1003" w:gutter="0"/>
          <w:cols w:equalWidth="0" w:num="1">
            <w:col w:w="10170"/>
          </w:cols>
        </w:sectPr>
      </w:pPr>
    </w:p>
    <w:p>
      <w:pPr>
        <w:pStyle w:val="14"/>
        <w:kinsoku w:val="0"/>
        <w:overflowPunct w:val="0"/>
        <w:ind w:left="11" w:right="-44" w:hanging="11"/>
        <w:jc w:val="center"/>
        <w:rPr>
          <w:rFonts w:ascii="宋体" w:hAnsi="宋体" w:eastAsia="宋体" w:cs="宋体"/>
        </w:rPr>
      </w:pPr>
      <w:r>
        <w:rPr>
          <w:rFonts w:hint="eastAsia" w:ascii="宋体" w:hAnsi="宋体" w:eastAsia="宋体" w:cs="宋体"/>
        </w:rPr>
        <w:t>4、</w:t>
      </w:r>
      <w:r>
        <w:rPr>
          <w:rFonts w:hint="eastAsia" w:ascii="宋体" w:hAnsi="宋体" w:eastAsia="宋体" w:cs="宋体"/>
          <w:b/>
        </w:rPr>
        <w:t>技术要求偏离表</w:t>
      </w: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15"/>
        </w:rPr>
      </w:pPr>
    </w:p>
    <w:p>
      <w:pPr>
        <w:pStyle w:val="14"/>
        <w:kinsoku w:val="0"/>
        <w:overflowPunct w:val="0"/>
        <w:spacing w:line="405" w:lineRule="auto"/>
        <w:ind w:right="-44"/>
        <w:rPr>
          <w:rFonts w:ascii="宋体" w:hAnsi="宋体" w:eastAsia="宋体" w:cs="宋体"/>
          <w:sz w:val="24"/>
          <w:szCs w:val="24"/>
        </w:rPr>
      </w:pPr>
      <w:r>
        <w:rPr>
          <w:rFonts w:hint="eastAsia" w:ascii="宋体" w:hAnsi="宋体" w:eastAsia="宋体" w:cs="宋体"/>
          <w:sz w:val="24"/>
          <w:szCs w:val="24"/>
        </w:rPr>
        <w:t xml:space="preserve">项目名称（标段）: </w:t>
      </w:r>
    </w:p>
    <w:p>
      <w:pPr>
        <w:pStyle w:val="14"/>
        <w:kinsoku w:val="0"/>
        <w:overflowPunct w:val="0"/>
        <w:spacing w:line="405" w:lineRule="auto"/>
        <w:ind w:right="-44"/>
        <w:rPr>
          <w:rFonts w:ascii="宋体" w:hAnsi="宋体" w:eastAsia="宋体" w:cs="宋体"/>
          <w:sz w:val="24"/>
          <w:szCs w:val="24"/>
        </w:rPr>
      </w:pPr>
      <w:r>
        <w:rPr>
          <w:rFonts w:hint="eastAsia" w:ascii="宋体" w:hAnsi="宋体" w:eastAsia="宋体" w:cs="宋体"/>
          <w:sz w:val="24"/>
          <w:szCs w:val="24"/>
        </w:rPr>
        <w:t>采购编号:</w:t>
      </w:r>
    </w:p>
    <w:tbl>
      <w:tblPr>
        <w:tblStyle w:val="33"/>
        <w:tblW w:w="0" w:type="auto"/>
        <w:tblInd w:w="224" w:type="dxa"/>
        <w:tblLayout w:type="fixed"/>
        <w:tblCellMar>
          <w:top w:w="0" w:type="dxa"/>
          <w:left w:w="108" w:type="dxa"/>
          <w:bottom w:w="0" w:type="dxa"/>
          <w:right w:w="108" w:type="dxa"/>
        </w:tblCellMar>
      </w:tblPr>
      <w:tblGrid>
        <w:gridCol w:w="828"/>
        <w:gridCol w:w="2069"/>
        <w:gridCol w:w="1038"/>
        <w:gridCol w:w="1037"/>
        <w:gridCol w:w="754"/>
        <w:gridCol w:w="1090"/>
        <w:gridCol w:w="1013"/>
        <w:gridCol w:w="1964"/>
      </w:tblGrid>
      <w:tr>
        <w:tblPrEx>
          <w:tblCellMar>
            <w:top w:w="0" w:type="dxa"/>
            <w:left w:w="108" w:type="dxa"/>
            <w:bottom w:w="0" w:type="dxa"/>
            <w:right w:w="108" w:type="dxa"/>
          </w:tblCellMar>
        </w:tblPrEx>
        <w:trPr>
          <w:trHeight w:val="545" w:hRule="exact"/>
        </w:trPr>
        <w:tc>
          <w:tcPr>
            <w:tcW w:w="828" w:type="dxa"/>
            <w:vMerge w:val="restart"/>
            <w:tcBorders>
              <w:top w:val="single" w:color="000000" w:sz="10" w:space="0"/>
              <w:left w:val="single" w:color="000000" w:sz="10" w:space="0"/>
              <w:bottom w:val="single" w:color="000000" w:sz="4" w:space="0"/>
              <w:right w:val="single" w:color="000000" w:sz="4" w:space="0"/>
              <w:tl2br w:val="nil"/>
              <w:tr2bl w:val="nil"/>
            </w:tcBorders>
          </w:tcPr>
          <w:p>
            <w:pPr>
              <w:pStyle w:val="56"/>
              <w:kinsoku w:val="0"/>
              <w:overflowPunct w:val="0"/>
              <w:rPr>
                <w:rFonts w:hint="default" w:ascii="宋体" w:hAnsi="宋体" w:cs="宋体"/>
                <w:sz w:val="26"/>
                <w:szCs w:val="22"/>
              </w:rPr>
            </w:pPr>
          </w:p>
          <w:p>
            <w:pPr>
              <w:pStyle w:val="56"/>
              <w:kinsoku w:val="0"/>
              <w:overflowPunct w:val="0"/>
              <w:ind w:left="172"/>
              <w:rPr>
                <w:rFonts w:hint="default" w:ascii="宋体" w:hAnsi="宋体" w:cs="宋体"/>
                <w:szCs w:val="22"/>
              </w:rPr>
            </w:pPr>
            <w:r>
              <w:rPr>
                <w:rFonts w:ascii="宋体" w:hAnsi="宋体" w:cs="宋体"/>
                <w:sz w:val="21"/>
                <w:szCs w:val="22"/>
              </w:rPr>
              <w:t>序号</w:t>
            </w:r>
          </w:p>
        </w:tc>
        <w:tc>
          <w:tcPr>
            <w:tcW w:w="2069" w:type="dxa"/>
            <w:vMerge w:val="restart"/>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6"/>
                <w:szCs w:val="22"/>
              </w:rPr>
            </w:pPr>
          </w:p>
          <w:p>
            <w:pPr>
              <w:pStyle w:val="56"/>
              <w:kinsoku w:val="0"/>
              <w:overflowPunct w:val="0"/>
              <w:ind w:left="556"/>
              <w:rPr>
                <w:rFonts w:hint="default" w:ascii="宋体" w:hAnsi="宋体" w:cs="宋体"/>
                <w:szCs w:val="22"/>
              </w:rPr>
            </w:pPr>
            <w:r>
              <w:rPr>
                <w:rFonts w:ascii="宋体" w:hAnsi="宋体" w:cs="宋体"/>
                <w:sz w:val="21"/>
                <w:szCs w:val="22"/>
              </w:rPr>
              <w:t>货物名称</w:t>
            </w:r>
          </w:p>
        </w:tc>
        <w:tc>
          <w:tcPr>
            <w:tcW w:w="2075" w:type="dxa"/>
            <w:gridSpan w:val="2"/>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ind w:left="350"/>
              <w:rPr>
                <w:rFonts w:hint="default" w:ascii="宋体" w:hAnsi="宋体" w:cs="宋体"/>
                <w:szCs w:val="22"/>
              </w:rPr>
            </w:pPr>
            <w:r>
              <w:rPr>
                <w:rFonts w:ascii="宋体" w:hAnsi="宋体" w:cs="宋体"/>
                <w:sz w:val="21"/>
                <w:szCs w:val="22"/>
              </w:rPr>
              <w:t>招标文件要求</w:t>
            </w:r>
          </w:p>
        </w:tc>
        <w:tc>
          <w:tcPr>
            <w:tcW w:w="1844" w:type="dxa"/>
            <w:gridSpan w:val="2"/>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ind w:left="230"/>
              <w:rPr>
                <w:rFonts w:hint="default" w:ascii="宋体" w:hAnsi="宋体" w:cs="宋体"/>
                <w:szCs w:val="22"/>
              </w:rPr>
            </w:pPr>
            <w:r>
              <w:rPr>
                <w:rFonts w:ascii="宋体" w:hAnsi="宋体" w:cs="宋体"/>
                <w:sz w:val="21"/>
                <w:szCs w:val="22"/>
              </w:rPr>
              <w:t>投标响应情况</w:t>
            </w:r>
          </w:p>
        </w:tc>
        <w:tc>
          <w:tcPr>
            <w:tcW w:w="1013" w:type="dxa"/>
            <w:vMerge w:val="restart"/>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6"/>
                <w:szCs w:val="22"/>
              </w:rPr>
            </w:pPr>
          </w:p>
          <w:p>
            <w:pPr>
              <w:pStyle w:val="56"/>
              <w:kinsoku w:val="0"/>
              <w:overflowPunct w:val="0"/>
              <w:ind w:left="52"/>
              <w:rPr>
                <w:rFonts w:hint="default" w:ascii="宋体" w:hAnsi="宋体" w:cs="宋体"/>
                <w:szCs w:val="22"/>
              </w:rPr>
            </w:pPr>
            <w:r>
              <w:rPr>
                <w:rFonts w:ascii="宋体" w:hAnsi="宋体" w:cs="宋体"/>
                <w:sz w:val="21"/>
                <w:szCs w:val="22"/>
              </w:rPr>
              <w:t>偏离情况</w:t>
            </w:r>
          </w:p>
        </w:tc>
        <w:tc>
          <w:tcPr>
            <w:tcW w:w="1964" w:type="dxa"/>
            <w:vMerge w:val="restart"/>
            <w:tcBorders>
              <w:top w:val="single" w:color="000000" w:sz="10" w:space="0"/>
              <w:left w:val="single" w:color="000000" w:sz="4" w:space="0"/>
              <w:bottom w:val="single" w:color="000000" w:sz="4" w:space="0"/>
              <w:right w:val="single" w:color="000000" w:sz="10" w:space="0"/>
              <w:tl2br w:val="nil"/>
              <w:tr2bl w:val="nil"/>
            </w:tcBorders>
          </w:tcPr>
          <w:p>
            <w:pPr>
              <w:pStyle w:val="56"/>
              <w:kinsoku w:val="0"/>
              <w:overflowPunct w:val="0"/>
              <w:spacing w:line="408" w:lineRule="auto"/>
              <w:ind w:left="403" w:right="92" w:hanging="384"/>
              <w:rPr>
                <w:rFonts w:hint="default" w:ascii="宋体" w:hAnsi="宋体" w:cs="宋体"/>
                <w:szCs w:val="22"/>
              </w:rPr>
            </w:pPr>
            <w:r>
              <w:rPr>
                <w:rFonts w:ascii="宋体" w:hAnsi="宋体" w:cs="宋体"/>
                <w:spacing w:val="-9"/>
                <w:sz w:val="21"/>
                <w:szCs w:val="22"/>
              </w:rPr>
              <w:t xml:space="preserve">说明（技术证明（支 </w:t>
            </w:r>
            <w:r>
              <w:rPr>
                <w:rFonts w:ascii="宋体" w:hAnsi="宋体" w:cs="宋体"/>
                <w:sz w:val="21"/>
                <w:szCs w:val="22"/>
              </w:rPr>
              <w:t>持）文件）</w:t>
            </w:r>
          </w:p>
        </w:tc>
      </w:tr>
      <w:tr>
        <w:tblPrEx>
          <w:tblCellMar>
            <w:top w:w="0" w:type="dxa"/>
            <w:left w:w="108" w:type="dxa"/>
            <w:bottom w:w="0" w:type="dxa"/>
            <w:right w:w="108" w:type="dxa"/>
          </w:tblCellMar>
        </w:tblPrEx>
        <w:trPr>
          <w:trHeight w:val="533" w:hRule="exact"/>
        </w:trPr>
        <w:tc>
          <w:tcPr>
            <w:tcW w:w="828" w:type="dxa"/>
            <w:vMerge w:val="continue"/>
            <w:tcBorders>
              <w:top w:val="single" w:color="000000" w:sz="10" w:space="0"/>
              <w:left w:val="single" w:color="000000" w:sz="10" w:space="0"/>
              <w:bottom w:val="single" w:color="000000" w:sz="4" w:space="0"/>
              <w:right w:val="single" w:color="000000" w:sz="4" w:space="0"/>
              <w:tl2br w:val="nil"/>
              <w:tr2bl w:val="nil"/>
            </w:tcBorders>
          </w:tcPr>
          <w:p>
            <w:pPr>
              <w:pStyle w:val="56"/>
              <w:kinsoku w:val="0"/>
              <w:overflowPunct w:val="0"/>
              <w:spacing w:line="408" w:lineRule="auto"/>
              <w:ind w:left="403" w:right="92" w:hanging="384"/>
              <w:rPr>
                <w:rFonts w:hint="default" w:ascii="宋体" w:hAnsi="宋体" w:cs="宋体"/>
                <w:szCs w:val="22"/>
              </w:rPr>
            </w:pPr>
          </w:p>
        </w:tc>
        <w:tc>
          <w:tcPr>
            <w:tcW w:w="2069" w:type="dxa"/>
            <w:vMerge w:val="continue"/>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spacing w:line="408" w:lineRule="auto"/>
              <w:ind w:left="403" w:right="92" w:hanging="384"/>
              <w:rPr>
                <w:rFonts w:hint="default" w:ascii="宋体" w:hAnsi="宋体" w:cs="宋体"/>
                <w:szCs w:val="22"/>
              </w:rPr>
            </w:pPr>
          </w:p>
        </w:tc>
        <w:tc>
          <w:tcPr>
            <w:tcW w:w="1038" w:type="dxa"/>
            <w:tcBorders>
              <w:top w:val="single" w:color="000000" w:sz="4" w:space="0"/>
              <w:left w:val="single" w:color="000000" w:sz="4" w:space="0"/>
              <w:bottom w:val="single" w:color="000000" w:sz="4" w:space="0"/>
              <w:right w:val="single" w:color="000000" w:sz="2" w:space="0"/>
              <w:tl2br w:val="nil"/>
              <w:tr2bl w:val="nil"/>
            </w:tcBorders>
          </w:tcPr>
          <w:p>
            <w:pPr>
              <w:pStyle w:val="56"/>
              <w:kinsoku w:val="0"/>
              <w:overflowPunct w:val="0"/>
              <w:ind w:left="254"/>
              <w:rPr>
                <w:rFonts w:hint="default" w:ascii="宋体" w:hAnsi="宋体" w:cs="宋体"/>
                <w:szCs w:val="22"/>
              </w:rPr>
            </w:pPr>
            <w:r>
              <w:rPr>
                <w:rFonts w:ascii="宋体" w:hAnsi="宋体" w:cs="宋体"/>
                <w:sz w:val="21"/>
                <w:szCs w:val="22"/>
              </w:rPr>
              <w:t>规格</w:t>
            </w:r>
          </w:p>
        </w:tc>
        <w:tc>
          <w:tcPr>
            <w:tcW w:w="1037" w:type="dxa"/>
            <w:tcBorders>
              <w:top w:val="single" w:color="000000" w:sz="4" w:space="0"/>
              <w:left w:val="single" w:color="000000" w:sz="2" w:space="0"/>
              <w:bottom w:val="single" w:color="000000" w:sz="4" w:space="0"/>
              <w:right w:val="single" w:color="000000" w:sz="4" w:space="0"/>
              <w:tl2br w:val="nil"/>
              <w:tr2bl w:val="nil"/>
            </w:tcBorders>
          </w:tcPr>
          <w:p>
            <w:pPr>
              <w:pStyle w:val="56"/>
              <w:kinsoku w:val="0"/>
              <w:overflowPunct w:val="0"/>
              <w:ind w:left="43"/>
              <w:rPr>
                <w:rFonts w:hint="default" w:ascii="宋体" w:hAnsi="宋体" w:cs="宋体"/>
                <w:szCs w:val="22"/>
              </w:rPr>
            </w:pPr>
            <w:r>
              <w:rPr>
                <w:rFonts w:ascii="宋体" w:hAnsi="宋体" w:cs="宋体"/>
                <w:sz w:val="21"/>
                <w:szCs w:val="22"/>
              </w:rPr>
              <w:t>技术参数</w:t>
            </w:r>
          </w:p>
        </w:tc>
        <w:tc>
          <w:tcPr>
            <w:tcW w:w="754" w:type="dxa"/>
            <w:tcBorders>
              <w:top w:val="single" w:color="000000" w:sz="4" w:space="0"/>
              <w:left w:val="single" w:color="000000" w:sz="4" w:space="0"/>
              <w:bottom w:val="single" w:color="000000" w:sz="4" w:space="0"/>
              <w:right w:val="single" w:color="000000" w:sz="2" w:space="0"/>
              <w:tl2br w:val="nil"/>
              <w:tr2bl w:val="nil"/>
            </w:tcBorders>
          </w:tcPr>
          <w:p>
            <w:pPr>
              <w:pStyle w:val="56"/>
              <w:kinsoku w:val="0"/>
              <w:overflowPunct w:val="0"/>
              <w:ind w:left="105"/>
              <w:rPr>
                <w:rFonts w:hint="default" w:ascii="宋体" w:hAnsi="宋体" w:cs="宋体"/>
                <w:szCs w:val="22"/>
              </w:rPr>
            </w:pPr>
            <w:r>
              <w:rPr>
                <w:rFonts w:ascii="宋体" w:hAnsi="宋体" w:cs="宋体"/>
                <w:sz w:val="21"/>
                <w:szCs w:val="22"/>
              </w:rPr>
              <w:t>规格</w:t>
            </w:r>
          </w:p>
        </w:tc>
        <w:tc>
          <w:tcPr>
            <w:tcW w:w="1090" w:type="dxa"/>
            <w:tcBorders>
              <w:top w:val="single" w:color="000000" w:sz="4" w:space="0"/>
              <w:left w:val="single" w:color="000000" w:sz="2" w:space="0"/>
              <w:bottom w:val="single" w:color="000000" w:sz="4" w:space="0"/>
              <w:right w:val="single" w:color="000000" w:sz="4" w:space="0"/>
              <w:tl2br w:val="nil"/>
              <w:tr2bl w:val="nil"/>
            </w:tcBorders>
          </w:tcPr>
          <w:p>
            <w:pPr>
              <w:pStyle w:val="56"/>
              <w:kinsoku w:val="0"/>
              <w:overflowPunct w:val="0"/>
              <w:ind w:left="67"/>
              <w:rPr>
                <w:rFonts w:hint="default" w:ascii="宋体" w:hAnsi="宋体" w:cs="宋体"/>
                <w:szCs w:val="22"/>
              </w:rPr>
            </w:pPr>
            <w:r>
              <w:rPr>
                <w:rFonts w:ascii="宋体" w:hAnsi="宋体" w:cs="宋体"/>
                <w:sz w:val="21"/>
                <w:szCs w:val="22"/>
              </w:rPr>
              <w:t>技术参数</w:t>
            </w:r>
          </w:p>
        </w:tc>
        <w:tc>
          <w:tcPr>
            <w:tcW w:w="1013" w:type="dxa"/>
            <w:vMerge w:val="continue"/>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ind w:left="67"/>
              <w:rPr>
                <w:rFonts w:hint="default" w:ascii="宋体" w:hAnsi="宋体" w:cs="宋体"/>
                <w:szCs w:val="22"/>
              </w:rPr>
            </w:pPr>
          </w:p>
        </w:tc>
        <w:tc>
          <w:tcPr>
            <w:tcW w:w="1964" w:type="dxa"/>
            <w:vMerge w:val="continue"/>
            <w:tcBorders>
              <w:top w:val="single" w:color="000000" w:sz="10" w:space="0"/>
              <w:left w:val="single" w:color="000000" w:sz="4" w:space="0"/>
              <w:bottom w:val="single" w:color="000000" w:sz="4" w:space="0"/>
              <w:right w:val="single" w:color="000000" w:sz="10" w:space="0"/>
              <w:tl2br w:val="nil"/>
              <w:tr2bl w:val="nil"/>
            </w:tcBorders>
          </w:tcPr>
          <w:p>
            <w:pPr>
              <w:pStyle w:val="56"/>
              <w:kinsoku w:val="0"/>
              <w:overflowPunct w:val="0"/>
              <w:ind w:left="67"/>
              <w:rPr>
                <w:rFonts w:hint="default" w:ascii="宋体" w:hAnsi="宋体" w:cs="宋体"/>
                <w:szCs w:val="22"/>
              </w:rPr>
            </w:pPr>
          </w:p>
        </w:tc>
      </w:tr>
      <w:tr>
        <w:tblPrEx>
          <w:tblCellMar>
            <w:top w:w="0" w:type="dxa"/>
            <w:left w:w="108" w:type="dxa"/>
            <w:bottom w:w="0" w:type="dxa"/>
            <w:right w:w="108" w:type="dxa"/>
          </w:tblCellMar>
        </w:tblPrEx>
        <w:trPr>
          <w:trHeight w:val="538" w:hRule="exact"/>
        </w:trPr>
        <w:tc>
          <w:tcPr>
            <w:tcW w:w="828"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2069"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038"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37"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754"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90"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101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964"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8" w:hRule="exact"/>
        </w:trPr>
        <w:tc>
          <w:tcPr>
            <w:tcW w:w="828"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2069"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038"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37"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754"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90"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101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964"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3" w:hRule="exact"/>
        </w:trPr>
        <w:tc>
          <w:tcPr>
            <w:tcW w:w="828"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2069"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038"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37"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754"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90"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101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964"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8" w:hRule="exact"/>
        </w:trPr>
        <w:tc>
          <w:tcPr>
            <w:tcW w:w="828"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2069"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038"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37"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754"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90"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101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964"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38" w:hRule="exact"/>
        </w:trPr>
        <w:tc>
          <w:tcPr>
            <w:tcW w:w="828"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4"/>
                <w:szCs w:val="22"/>
              </w:rPr>
            </w:pPr>
          </w:p>
        </w:tc>
        <w:tc>
          <w:tcPr>
            <w:tcW w:w="2069"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038"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37"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754" w:type="dxa"/>
            <w:tcBorders>
              <w:top w:val="single" w:color="000000" w:sz="4" w:space="0"/>
              <w:left w:val="single" w:color="000000" w:sz="4" w:space="0"/>
              <w:bottom w:val="single" w:color="000000" w:sz="4" w:space="0"/>
              <w:right w:val="single" w:color="000000" w:sz="2" w:space="0"/>
              <w:tl2br w:val="nil"/>
              <w:tr2bl w:val="nil"/>
            </w:tcBorders>
          </w:tcPr>
          <w:p>
            <w:pPr>
              <w:rPr>
                <w:rFonts w:ascii="宋体" w:hAnsi="宋体" w:cs="宋体"/>
                <w:sz w:val="24"/>
                <w:szCs w:val="22"/>
              </w:rPr>
            </w:pPr>
          </w:p>
        </w:tc>
        <w:tc>
          <w:tcPr>
            <w:tcW w:w="1090" w:type="dxa"/>
            <w:tcBorders>
              <w:top w:val="single" w:color="000000" w:sz="4" w:space="0"/>
              <w:left w:val="single" w:color="000000" w:sz="2" w:space="0"/>
              <w:bottom w:val="single" w:color="000000" w:sz="4" w:space="0"/>
              <w:right w:val="single" w:color="000000" w:sz="4" w:space="0"/>
              <w:tl2br w:val="nil"/>
              <w:tr2bl w:val="nil"/>
            </w:tcBorders>
          </w:tcPr>
          <w:p>
            <w:pPr>
              <w:rPr>
                <w:rFonts w:ascii="宋体" w:hAnsi="宋体" w:cs="宋体"/>
                <w:sz w:val="24"/>
                <w:szCs w:val="22"/>
              </w:rPr>
            </w:pPr>
          </w:p>
        </w:tc>
        <w:tc>
          <w:tcPr>
            <w:tcW w:w="101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4"/>
                <w:szCs w:val="22"/>
              </w:rPr>
            </w:pPr>
          </w:p>
        </w:tc>
        <w:tc>
          <w:tcPr>
            <w:tcW w:w="1964"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4"/>
                <w:szCs w:val="22"/>
              </w:rPr>
            </w:pPr>
          </w:p>
        </w:tc>
      </w:tr>
      <w:tr>
        <w:tblPrEx>
          <w:tblCellMar>
            <w:top w:w="0" w:type="dxa"/>
            <w:left w:w="108" w:type="dxa"/>
            <w:bottom w:w="0" w:type="dxa"/>
            <w:right w:w="108" w:type="dxa"/>
          </w:tblCellMar>
        </w:tblPrEx>
        <w:trPr>
          <w:trHeight w:val="545" w:hRule="exact"/>
        </w:trPr>
        <w:tc>
          <w:tcPr>
            <w:tcW w:w="828" w:type="dxa"/>
            <w:tcBorders>
              <w:top w:val="single" w:color="000000" w:sz="4" w:space="0"/>
              <w:left w:val="single" w:color="000000" w:sz="10" w:space="0"/>
              <w:bottom w:val="single" w:color="000000" w:sz="10" w:space="0"/>
              <w:right w:val="single" w:color="000000" w:sz="4" w:space="0"/>
              <w:tl2br w:val="nil"/>
              <w:tr2bl w:val="nil"/>
            </w:tcBorders>
          </w:tcPr>
          <w:p>
            <w:pPr>
              <w:rPr>
                <w:rFonts w:ascii="宋体" w:hAnsi="宋体" w:cs="宋体"/>
                <w:sz w:val="24"/>
                <w:szCs w:val="22"/>
              </w:rPr>
            </w:pPr>
          </w:p>
        </w:tc>
        <w:tc>
          <w:tcPr>
            <w:tcW w:w="2069"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4"/>
                <w:szCs w:val="22"/>
              </w:rPr>
            </w:pPr>
          </w:p>
        </w:tc>
        <w:tc>
          <w:tcPr>
            <w:tcW w:w="1038" w:type="dxa"/>
            <w:tcBorders>
              <w:top w:val="single" w:color="000000" w:sz="4" w:space="0"/>
              <w:left w:val="single" w:color="000000" w:sz="4" w:space="0"/>
              <w:bottom w:val="single" w:color="000000" w:sz="10" w:space="0"/>
              <w:right w:val="single" w:color="000000" w:sz="2" w:space="0"/>
              <w:tl2br w:val="nil"/>
              <w:tr2bl w:val="nil"/>
            </w:tcBorders>
          </w:tcPr>
          <w:p>
            <w:pPr>
              <w:rPr>
                <w:rFonts w:ascii="宋体" w:hAnsi="宋体" w:cs="宋体"/>
                <w:sz w:val="24"/>
                <w:szCs w:val="22"/>
              </w:rPr>
            </w:pPr>
          </w:p>
        </w:tc>
        <w:tc>
          <w:tcPr>
            <w:tcW w:w="1037" w:type="dxa"/>
            <w:tcBorders>
              <w:top w:val="single" w:color="000000" w:sz="4" w:space="0"/>
              <w:left w:val="single" w:color="000000" w:sz="2" w:space="0"/>
              <w:bottom w:val="single" w:color="000000" w:sz="10" w:space="0"/>
              <w:right w:val="single" w:color="000000" w:sz="4" w:space="0"/>
              <w:tl2br w:val="nil"/>
              <w:tr2bl w:val="nil"/>
            </w:tcBorders>
          </w:tcPr>
          <w:p>
            <w:pPr>
              <w:rPr>
                <w:rFonts w:ascii="宋体" w:hAnsi="宋体" w:cs="宋体"/>
                <w:sz w:val="24"/>
                <w:szCs w:val="22"/>
              </w:rPr>
            </w:pPr>
          </w:p>
        </w:tc>
        <w:tc>
          <w:tcPr>
            <w:tcW w:w="754" w:type="dxa"/>
            <w:tcBorders>
              <w:top w:val="single" w:color="000000" w:sz="4" w:space="0"/>
              <w:left w:val="single" w:color="000000" w:sz="4" w:space="0"/>
              <w:bottom w:val="single" w:color="000000" w:sz="10" w:space="0"/>
              <w:right w:val="single" w:color="000000" w:sz="2" w:space="0"/>
              <w:tl2br w:val="nil"/>
              <w:tr2bl w:val="nil"/>
            </w:tcBorders>
          </w:tcPr>
          <w:p>
            <w:pPr>
              <w:rPr>
                <w:rFonts w:ascii="宋体" w:hAnsi="宋体" w:cs="宋体"/>
                <w:sz w:val="24"/>
                <w:szCs w:val="22"/>
              </w:rPr>
            </w:pPr>
          </w:p>
        </w:tc>
        <w:tc>
          <w:tcPr>
            <w:tcW w:w="1090" w:type="dxa"/>
            <w:tcBorders>
              <w:top w:val="single" w:color="000000" w:sz="4" w:space="0"/>
              <w:left w:val="single" w:color="000000" w:sz="2" w:space="0"/>
              <w:bottom w:val="single" w:color="000000" w:sz="10" w:space="0"/>
              <w:right w:val="single" w:color="000000" w:sz="4" w:space="0"/>
              <w:tl2br w:val="nil"/>
              <w:tr2bl w:val="nil"/>
            </w:tcBorders>
          </w:tcPr>
          <w:p>
            <w:pPr>
              <w:rPr>
                <w:rFonts w:ascii="宋体" w:hAnsi="宋体" w:cs="宋体"/>
                <w:sz w:val="24"/>
                <w:szCs w:val="22"/>
              </w:rPr>
            </w:pPr>
          </w:p>
        </w:tc>
        <w:tc>
          <w:tcPr>
            <w:tcW w:w="1013"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4"/>
                <w:szCs w:val="22"/>
              </w:rPr>
            </w:pPr>
          </w:p>
        </w:tc>
        <w:tc>
          <w:tcPr>
            <w:tcW w:w="1964" w:type="dxa"/>
            <w:tcBorders>
              <w:top w:val="single" w:color="000000" w:sz="4" w:space="0"/>
              <w:left w:val="single" w:color="000000" w:sz="4" w:space="0"/>
              <w:bottom w:val="single" w:color="000000" w:sz="10" w:space="0"/>
              <w:right w:val="single" w:color="000000" w:sz="10" w:space="0"/>
              <w:tl2br w:val="nil"/>
              <w:tr2bl w:val="nil"/>
            </w:tcBorders>
          </w:tcPr>
          <w:p>
            <w:pPr>
              <w:rPr>
                <w:rFonts w:ascii="宋体" w:hAnsi="宋体" w:cs="宋体"/>
                <w:sz w:val="24"/>
                <w:szCs w:val="22"/>
              </w:rPr>
            </w:pPr>
          </w:p>
        </w:tc>
      </w:tr>
    </w:tbl>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2"/>
        </w:rPr>
      </w:pPr>
    </w:p>
    <w:p>
      <w:pPr>
        <w:pStyle w:val="14"/>
        <w:kinsoku w:val="0"/>
        <w:overflowPunct w:val="0"/>
        <w:ind w:left="640"/>
        <w:rPr>
          <w:rFonts w:ascii="宋体" w:hAnsi="宋体" w:eastAsia="宋体" w:cs="宋体"/>
          <w:sz w:val="24"/>
        </w:rPr>
      </w:pPr>
      <w:r>
        <w:rPr>
          <w:rFonts w:hint="eastAsia" w:ascii="宋体" w:hAnsi="宋体" w:eastAsia="宋体" w:cs="宋体"/>
          <w:sz w:val="24"/>
        </w:rPr>
        <w:t>注：货物名称的排列顺序应与招标文件中提供的货物名称排列顺序一致。</w:t>
      </w:r>
    </w:p>
    <w:p>
      <w:pPr>
        <w:pStyle w:val="14"/>
        <w:kinsoku w:val="0"/>
        <w:overflowPunct w:val="0"/>
        <w:ind w:left="1172"/>
        <w:rPr>
          <w:rFonts w:ascii="宋体" w:hAnsi="宋体" w:eastAsia="宋体" w:cs="宋体"/>
          <w:sz w:val="24"/>
        </w:rPr>
        <w:sectPr>
          <w:pgSz w:w="11910" w:h="16840"/>
          <w:pgMar w:top="1423" w:right="1446" w:bottom="1429" w:left="1468" w:header="875" w:footer="1003" w:gutter="0"/>
          <w:cols w:equalWidth="0" w:num="1">
            <w:col w:w="10070"/>
          </w:cols>
        </w:sectPr>
      </w:pPr>
    </w:p>
    <w:p>
      <w:pPr>
        <w:pStyle w:val="14"/>
        <w:kinsoku w:val="0"/>
        <w:overflowPunct w:val="0"/>
        <w:ind w:left="11" w:right="50" w:hanging="11"/>
        <w:jc w:val="center"/>
        <w:rPr>
          <w:rFonts w:ascii="黑体" w:hAnsi="黑体" w:eastAsia="黑体"/>
        </w:rPr>
      </w:pPr>
      <w:r>
        <w:rPr>
          <w:rFonts w:hint="eastAsia" w:ascii="黑体" w:hAnsi="黑体" w:eastAsia="黑体"/>
        </w:rPr>
        <w:t>5、商务条款偏离表</w:t>
      </w:r>
    </w:p>
    <w:p>
      <w:pPr>
        <w:pStyle w:val="14"/>
        <w:kinsoku w:val="0"/>
        <w:overflowPunct w:val="0"/>
        <w:rPr>
          <w:rFonts w:ascii="黑体" w:hAnsi="黑体" w:eastAsia="黑体"/>
          <w:sz w:val="20"/>
        </w:rPr>
      </w:pPr>
    </w:p>
    <w:p>
      <w:pPr>
        <w:pStyle w:val="14"/>
        <w:kinsoku w:val="0"/>
        <w:overflowPunct w:val="0"/>
        <w:rPr>
          <w:rFonts w:ascii="黑体" w:hAnsi="黑体" w:eastAsia="黑体"/>
          <w:sz w:val="15"/>
        </w:rPr>
      </w:pPr>
    </w:p>
    <w:p>
      <w:pPr>
        <w:pStyle w:val="14"/>
        <w:kinsoku w:val="0"/>
        <w:overflowPunct w:val="0"/>
        <w:spacing w:line="405" w:lineRule="auto"/>
        <w:ind w:left="12" w:right="-30" w:hanging="12"/>
        <w:rPr>
          <w:rFonts w:ascii="宋体" w:hAnsi="宋体" w:eastAsia="宋体" w:cs="宋体"/>
          <w:sz w:val="24"/>
          <w:szCs w:val="24"/>
        </w:rPr>
      </w:pPr>
      <w:r>
        <w:rPr>
          <w:rFonts w:hint="eastAsia" w:ascii="宋体" w:hAnsi="宋体" w:eastAsia="宋体" w:cs="宋体"/>
          <w:sz w:val="24"/>
          <w:szCs w:val="24"/>
        </w:rPr>
        <w:t xml:space="preserve">项目名称: </w:t>
      </w:r>
    </w:p>
    <w:p>
      <w:pPr>
        <w:pStyle w:val="14"/>
        <w:kinsoku w:val="0"/>
        <w:overflowPunct w:val="0"/>
        <w:spacing w:line="405" w:lineRule="auto"/>
        <w:ind w:left="12" w:right="-30" w:hanging="12"/>
        <w:rPr>
          <w:rFonts w:ascii="宋体" w:hAnsi="宋体" w:eastAsia="宋体" w:cs="宋体"/>
          <w:sz w:val="24"/>
          <w:szCs w:val="24"/>
        </w:rPr>
      </w:pPr>
      <w:r>
        <w:rPr>
          <w:rFonts w:hint="eastAsia" w:ascii="宋体" w:hAnsi="宋体" w:eastAsia="宋体" w:cs="宋体"/>
          <w:sz w:val="24"/>
          <w:szCs w:val="24"/>
        </w:rPr>
        <w:t>采购编号:</w:t>
      </w:r>
    </w:p>
    <w:tbl>
      <w:tblPr>
        <w:tblStyle w:val="33"/>
        <w:tblW w:w="0" w:type="auto"/>
        <w:tblInd w:w="216" w:type="dxa"/>
        <w:tblLayout w:type="fixed"/>
        <w:tblCellMar>
          <w:top w:w="0" w:type="dxa"/>
          <w:left w:w="108" w:type="dxa"/>
          <w:bottom w:w="0" w:type="dxa"/>
          <w:right w:w="108" w:type="dxa"/>
        </w:tblCellMar>
      </w:tblPr>
      <w:tblGrid>
        <w:gridCol w:w="943"/>
        <w:gridCol w:w="2041"/>
        <w:gridCol w:w="1498"/>
        <w:gridCol w:w="1503"/>
        <w:gridCol w:w="1498"/>
        <w:gridCol w:w="1683"/>
      </w:tblGrid>
      <w:tr>
        <w:tblPrEx>
          <w:tblCellMar>
            <w:top w:w="0" w:type="dxa"/>
            <w:left w:w="108" w:type="dxa"/>
            <w:bottom w:w="0" w:type="dxa"/>
            <w:right w:w="108" w:type="dxa"/>
          </w:tblCellMar>
        </w:tblPrEx>
        <w:trPr>
          <w:trHeight w:val="1255" w:hRule="exact"/>
        </w:trPr>
        <w:tc>
          <w:tcPr>
            <w:tcW w:w="943" w:type="dxa"/>
            <w:tcBorders>
              <w:top w:val="single" w:color="000000" w:sz="10" w:space="0"/>
              <w:left w:val="single" w:color="000000" w:sz="10" w:space="0"/>
              <w:bottom w:val="single" w:color="000000" w:sz="4" w:space="0"/>
              <w:right w:val="single" w:color="000000" w:sz="4" w:space="0"/>
              <w:tl2br w:val="nil"/>
              <w:tr2bl w:val="nil"/>
            </w:tcBorders>
          </w:tcPr>
          <w:p>
            <w:pPr>
              <w:pStyle w:val="56"/>
              <w:kinsoku w:val="0"/>
              <w:overflowPunct w:val="0"/>
              <w:rPr>
                <w:rFonts w:hint="default" w:ascii="宋体" w:hAnsi="宋体" w:cs="宋体"/>
                <w:sz w:val="22"/>
                <w:szCs w:val="22"/>
              </w:rPr>
            </w:pPr>
          </w:p>
          <w:p>
            <w:pPr>
              <w:pStyle w:val="56"/>
              <w:kinsoku w:val="0"/>
              <w:overflowPunct w:val="0"/>
              <w:ind w:right="8"/>
              <w:jc w:val="center"/>
              <w:rPr>
                <w:rFonts w:hint="default" w:ascii="宋体" w:hAnsi="宋体" w:cs="宋体"/>
                <w:sz w:val="22"/>
                <w:szCs w:val="22"/>
              </w:rPr>
            </w:pPr>
            <w:r>
              <w:rPr>
                <w:rFonts w:ascii="宋体" w:hAnsi="宋体" w:cs="宋体"/>
                <w:sz w:val="22"/>
                <w:szCs w:val="22"/>
              </w:rPr>
              <w:t>序号</w:t>
            </w:r>
          </w:p>
        </w:tc>
        <w:tc>
          <w:tcPr>
            <w:tcW w:w="2041"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2"/>
                <w:szCs w:val="22"/>
              </w:rPr>
            </w:pPr>
          </w:p>
          <w:p>
            <w:pPr>
              <w:pStyle w:val="56"/>
              <w:kinsoku w:val="0"/>
              <w:overflowPunct w:val="0"/>
              <w:ind w:left="177"/>
              <w:rPr>
                <w:rFonts w:hint="default" w:ascii="宋体" w:hAnsi="宋体" w:cs="宋体"/>
                <w:sz w:val="22"/>
                <w:szCs w:val="22"/>
              </w:rPr>
            </w:pPr>
            <w:r>
              <w:rPr>
                <w:rFonts w:ascii="宋体" w:hAnsi="宋体" w:cs="宋体"/>
                <w:sz w:val="22"/>
                <w:szCs w:val="22"/>
              </w:rPr>
              <w:t>招标文件条款号</w:t>
            </w:r>
          </w:p>
        </w:tc>
        <w:tc>
          <w:tcPr>
            <w:tcW w:w="1498"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spacing w:line="410" w:lineRule="auto"/>
              <w:ind w:left="221" w:right="104" w:hanging="106"/>
              <w:rPr>
                <w:rFonts w:hint="default" w:ascii="宋体" w:hAnsi="宋体" w:cs="宋体"/>
                <w:sz w:val="22"/>
                <w:szCs w:val="22"/>
              </w:rPr>
            </w:pPr>
            <w:r>
              <w:rPr>
                <w:rFonts w:ascii="宋体" w:hAnsi="宋体" w:cs="宋体"/>
                <w:spacing w:val="-1"/>
                <w:sz w:val="22"/>
                <w:szCs w:val="22"/>
              </w:rPr>
              <w:t>招标文件的商</w:t>
            </w:r>
            <w:r>
              <w:rPr>
                <w:rFonts w:ascii="宋体" w:hAnsi="宋体" w:cs="宋体"/>
                <w:sz w:val="22"/>
                <w:szCs w:val="22"/>
              </w:rPr>
              <w:t>务条款要求</w:t>
            </w:r>
          </w:p>
        </w:tc>
        <w:tc>
          <w:tcPr>
            <w:tcW w:w="1503"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spacing w:line="410" w:lineRule="auto"/>
              <w:ind w:left="220" w:right="108" w:hanging="106"/>
              <w:rPr>
                <w:rFonts w:hint="default" w:ascii="宋体" w:hAnsi="宋体" w:cs="宋体"/>
                <w:sz w:val="22"/>
                <w:szCs w:val="22"/>
              </w:rPr>
            </w:pPr>
            <w:r>
              <w:rPr>
                <w:rFonts w:ascii="宋体" w:hAnsi="宋体" w:cs="宋体"/>
                <w:spacing w:val="-1"/>
                <w:sz w:val="22"/>
                <w:szCs w:val="22"/>
              </w:rPr>
              <w:t>投标文件的商</w:t>
            </w:r>
            <w:r>
              <w:rPr>
                <w:rFonts w:ascii="宋体" w:hAnsi="宋体" w:cs="宋体"/>
                <w:sz w:val="22"/>
                <w:szCs w:val="22"/>
              </w:rPr>
              <w:t>务条款响应</w:t>
            </w:r>
          </w:p>
        </w:tc>
        <w:tc>
          <w:tcPr>
            <w:tcW w:w="1498" w:type="dxa"/>
            <w:tcBorders>
              <w:top w:val="single" w:color="000000" w:sz="10" w:space="0"/>
              <w:left w:val="single" w:color="000000" w:sz="4" w:space="0"/>
              <w:bottom w:val="single" w:color="000000" w:sz="4" w:space="0"/>
              <w:right w:val="single" w:color="000000" w:sz="4" w:space="0"/>
              <w:tl2br w:val="nil"/>
              <w:tr2bl w:val="nil"/>
            </w:tcBorders>
          </w:tcPr>
          <w:p>
            <w:pPr>
              <w:pStyle w:val="56"/>
              <w:kinsoku w:val="0"/>
              <w:overflowPunct w:val="0"/>
              <w:rPr>
                <w:rFonts w:hint="default" w:ascii="宋体" w:hAnsi="宋体" w:cs="宋体"/>
                <w:sz w:val="22"/>
                <w:szCs w:val="22"/>
              </w:rPr>
            </w:pPr>
          </w:p>
          <w:p>
            <w:pPr>
              <w:pStyle w:val="56"/>
              <w:kinsoku w:val="0"/>
              <w:overflowPunct w:val="0"/>
              <w:ind w:left="321"/>
              <w:rPr>
                <w:rFonts w:hint="default" w:ascii="宋体" w:hAnsi="宋体" w:cs="宋体"/>
                <w:sz w:val="22"/>
                <w:szCs w:val="22"/>
              </w:rPr>
            </w:pPr>
            <w:r>
              <w:rPr>
                <w:rFonts w:ascii="宋体" w:hAnsi="宋体" w:cs="宋体"/>
                <w:sz w:val="22"/>
                <w:szCs w:val="22"/>
              </w:rPr>
              <w:t>偏离情况</w:t>
            </w:r>
          </w:p>
        </w:tc>
        <w:tc>
          <w:tcPr>
            <w:tcW w:w="1683" w:type="dxa"/>
            <w:tcBorders>
              <w:top w:val="single" w:color="000000" w:sz="10" w:space="0"/>
              <w:left w:val="single" w:color="000000" w:sz="4" w:space="0"/>
              <w:bottom w:val="single" w:color="000000" w:sz="4" w:space="0"/>
              <w:right w:val="single" w:color="000000" w:sz="10" w:space="0"/>
              <w:tl2br w:val="nil"/>
              <w:tr2bl w:val="nil"/>
            </w:tcBorders>
          </w:tcPr>
          <w:p>
            <w:pPr>
              <w:pStyle w:val="56"/>
              <w:kinsoku w:val="0"/>
              <w:overflowPunct w:val="0"/>
              <w:rPr>
                <w:rFonts w:hint="default" w:ascii="宋体" w:hAnsi="宋体" w:cs="宋体"/>
                <w:sz w:val="22"/>
                <w:szCs w:val="22"/>
              </w:rPr>
            </w:pPr>
          </w:p>
          <w:p>
            <w:pPr>
              <w:pStyle w:val="56"/>
              <w:kinsoku w:val="0"/>
              <w:overflowPunct w:val="0"/>
              <w:jc w:val="center"/>
              <w:rPr>
                <w:rFonts w:hint="default" w:ascii="宋体" w:hAnsi="宋体" w:cs="宋体"/>
                <w:sz w:val="22"/>
                <w:szCs w:val="22"/>
              </w:rPr>
            </w:pPr>
            <w:r>
              <w:rPr>
                <w:rFonts w:ascii="宋体" w:hAnsi="宋体" w:cs="宋体"/>
                <w:sz w:val="22"/>
                <w:szCs w:val="22"/>
              </w:rPr>
              <w:t>说明</w:t>
            </w:r>
          </w:p>
        </w:tc>
      </w:tr>
      <w:tr>
        <w:tblPrEx>
          <w:tblCellMar>
            <w:top w:w="0" w:type="dxa"/>
            <w:left w:w="108" w:type="dxa"/>
            <w:bottom w:w="0" w:type="dxa"/>
            <w:right w:w="108" w:type="dxa"/>
          </w:tblCellMar>
        </w:tblPrEx>
        <w:trPr>
          <w:trHeight w:val="504" w:hRule="exact"/>
        </w:trPr>
        <w:tc>
          <w:tcPr>
            <w:tcW w:w="943"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 w:val="22"/>
                <w:szCs w:val="22"/>
              </w:rPr>
            </w:pPr>
            <w:r>
              <w:rPr>
                <w:rFonts w:ascii="宋体" w:hAnsi="宋体" w:cs="宋体"/>
                <w:sz w:val="22"/>
                <w:szCs w:val="22"/>
              </w:rPr>
              <w:t>1</w:t>
            </w:r>
          </w:p>
        </w:tc>
        <w:tc>
          <w:tcPr>
            <w:tcW w:w="2041" w:type="dxa"/>
            <w:tcBorders>
              <w:top w:val="single" w:color="000000" w:sz="4" w:space="0"/>
              <w:left w:val="single" w:color="000000" w:sz="4" w:space="0"/>
              <w:bottom w:val="single" w:color="000000" w:sz="4" w:space="0"/>
              <w:right w:val="single" w:color="000000" w:sz="4" w:space="0"/>
              <w:tl2br w:val="nil"/>
              <w:tr2bl w:val="nil"/>
            </w:tcBorders>
          </w:tcPr>
          <w:p>
            <w:pPr>
              <w:pStyle w:val="56"/>
              <w:kinsoku w:val="0"/>
              <w:overflowPunct w:val="0"/>
              <w:ind w:left="105"/>
              <w:rPr>
                <w:rFonts w:hint="default" w:ascii="宋体" w:hAnsi="宋体" w:cs="宋体"/>
                <w:sz w:val="22"/>
                <w:szCs w:val="22"/>
              </w:rPr>
            </w:pPr>
            <w:r>
              <w:rPr>
                <w:rFonts w:ascii="宋体" w:hAnsi="宋体" w:cs="宋体"/>
                <w:sz w:val="22"/>
                <w:szCs w:val="22"/>
              </w:rPr>
              <w:t>质量</w:t>
            </w: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2"/>
                <w:szCs w:val="22"/>
              </w:rPr>
            </w:pPr>
          </w:p>
        </w:tc>
      </w:tr>
      <w:tr>
        <w:tblPrEx>
          <w:tblCellMar>
            <w:top w:w="0" w:type="dxa"/>
            <w:left w:w="108" w:type="dxa"/>
            <w:bottom w:w="0" w:type="dxa"/>
            <w:right w:w="108" w:type="dxa"/>
          </w:tblCellMar>
        </w:tblPrEx>
        <w:trPr>
          <w:trHeight w:val="499" w:hRule="exact"/>
        </w:trPr>
        <w:tc>
          <w:tcPr>
            <w:tcW w:w="943"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 w:val="22"/>
                <w:szCs w:val="22"/>
              </w:rPr>
            </w:pPr>
            <w:r>
              <w:rPr>
                <w:rFonts w:ascii="宋体" w:hAnsi="宋体" w:cs="宋体"/>
                <w:sz w:val="22"/>
                <w:szCs w:val="22"/>
              </w:rPr>
              <w:t>2</w:t>
            </w:r>
          </w:p>
        </w:tc>
        <w:tc>
          <w:tcPr>
            <w:tcW w:w="2041" w:type="dxa"/>
            <w:tcBorders>
              <w:top w:val="single" w:color="000000" w:sz="4" w:space="0"/>
              <w:left w:val="single" w:color="000000" w:sz="4" w:space="0"/>
              <w:bottom w:val="single" w:color="000000" w:sz="4" w:space="0"/>
              <w:right w:val="single" w:color="000000" w:sz="4" w:space="0"/>
              <w:tl2br w:val="nil"/>
              <w:tr2bl w:val="nil"/>
            </w:tcBorders>
          </w:tcPr>
          <w:p>
            <w:pPr>
              <w:pStyle w:val="56"/>
              <w:kinsoku w:val="0"/>
              <w:overflowPunct w:val="0"/>
              <w:ind w:left="105"/>
              <w:rPr>
                <w:rFonts w:hint="default" w:ascii="宋体" w:hAnsi="宋体" w:cs="宋体"/>
                <w:sz w:val="22"/>
                <w:szCs w:val="22"/>
              </w:rPr>
            </w:pPr>
            <w:r>
              <w:rPr>
                <w:rFonts w:ascii="宋体" w:hAnsi="宋体" w:cs="宋体"/>
                <w:sz w:val="22"/>
                <w:szCs w:val="22"/>
              </w:rPr>
              <w:t>供货期</w:t>
            </w: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2"/>
                <w:szCs w:val="22"/>
              </w:rPr>
            </w:pPr>
          </w:p>
        </w:tc>
      </w:tr>
      <w:tr>
        <w:tblPrEx>
          <w:tblCellMar>
            <w:top w:w="0" w:type="dxa"/>
            <w:left w:w="108" w:type="dxa"/>
            <w:bottom w:w="0" w:type="dxa"/>
            <w:right w:w="108" w:type="dxa"/>
          </w:tblCellMar>
        </w:tblPrEx>
        <w:trPr>
          <w:trHeight w:val="499" w:hRule="exact"/>
        </w:trPr>
        <w:tc>
          <w:tcPr>
            <w:tcW w:w="943"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 w:val="22"/>
                <w:szCs w:val="22"/>
              </w:rPr>
            </w:pPr>
            <w:r>
              <w:rPr>
                <w:rFonts w:ascii="宋体" w:hAnsi="宋体" w:cs="宋体"/>
                <w:sz w:val="22"/>
                <w:szCs w:val="22"/>
              </w:rPr>
              <w:t>3</w:t>
            </w:r>
          </w:p>
        </w:tc>
        <w:tc>
          <w:tcPr>
            <w:tcW w:w="2041" w:type="dxa"/>
            <w:tcBorders>
              <w:top w:val="single" w:color="000000" w:sz="4" w:space="0"/>
              <w:left w:val="single" w:color="000000" w:sz="4" w:space="0"/>
              <w:bottom w:val="single" w:color="000000" w:sz="4" w:space="0"/>
              <w:right w:val="single" w:color="000000" w:sz="4" w:space="0"/>
              <w:tl2br w:val="nil"/>
              <w:tr2bl w:val="nil"/>
            </w:tcBorders>
          </w:tcPr>
          <w:p>
            <w:pPr>
              <w:pStyle w:val="56"/>
              <w:kinsoku w:val="0"/>
              <w:overflowPunct w:val="0"/>
              <w:ind w:left="105"/>
              <w:rPr>
                <w:rFonts w:hint="default" w:ascii="宋体" w:hAnsi="宋体" w:cs="宋体"/>
                <w:sz w:val="22"/>
                <w:szCs w:val="22"/>
              </w:rPr>
            </w:pPr>
            <w:r>
              <w:rPr>
                <w:rFonts w:ascii="宋体" w:hAnsi="宋体" w:cs="宋体"/>
                <w:sz w:val="22"/>
                <w:szCs w:val="22"/>
              </w:rPr>
              <w:t>质保期</w:t>
            </w: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2"/>
                <w:szCs w:val="22"/>
              </w:rPr>
            </w:pPr>
          </w:p>
        </w:tc>
      </w:tr>
      <w:tr>
        <w:tblPrEx>
          <w:tblCellMar>
            <w:top w:w="0" w:type="dxa"/>
            <w:left w:w="108" w:type="dxa"/>
            <w:bottom w:w="0" w:type="dxa"/>
            <w:right w:w="108" w:type="dxa"/>
          </w:tblCellMar>
        </w:tblPrEx>
        <w:trPr>
          <w:trHeight w:val="500" w:hRule="exact"/>
        </w:trPr>
        <w:tc>
          <w:tcPr>
            <w:tcW w:w="943"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 w:val="22"/>
                <w:szCs w:val="22"/>
              </w:rPr>
            </w:pPr>
            <w:r>
              <w:rPr>
                <w:rFonts w:ascii="宋体" w:hAnsi="宋体" w:cs="宋体"/>
                <w:sz w:val="22"/>
                <w:szCs w:val="22"/>
              </w:rPr>
              <w:t>4</w:t>
            </w:r>
          </w:p>
        </w:tc>
        <w:tc>
          <w:tcPr>
            <w:tcW w:w="2041" w:type="dxa"/>
            <w:tcBorders>
              <w:top w:val="single" w:color="000000" w:sz="4" w:space="0"/>
              <w:left w:val="single" w:color="000000" w:sz="4" w:space="0"/>
              <w:bottom w:val="single" w:color="000000" w:sz="4" w:space="0"/>
              <w:right w:val="single" w:color="000000" w:sz="4" w:space="0"/>
              <w:tl2br w:val="nil"/>
              <w:tr2bl w:val="nil"/>
            </w:tcBorders>
          </w:tcPr>
          <w:p>
            <w:pPr>
              <w:pStyle w:val="56"/>
              <w:kinsoku w:val="0"/>
              <w:overflowPunct w:val="0"/>
              <w:ind w:left="105"/>
              <w:rPr>
                <w:rFonts w:hint="default" w:ascii="宋体" w:hAnsi="宋体" w:cs="宋体"/>
                <w:sz w:val="22"/>
                <w:szCs w:val="22"/>
              </w:rPr>
            </w:pPr>
            <w:r>
              <w:rPr>
                <w:rFonts w:ascii="宋体" w:hAnsi="宋体" w:cs="宋体"/>
                <w:sz w:val="22"/>
                <w:szCs w:val="22"/>
              </w:rPr>
              <w:t>投标有效期</w:t>
            </w: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2"/>
                <w:szCs w:val="22"/>
              </w:rPr>
            </w:pPr>
          </w:p>
        </w:tc>
      </w:tr>
      <w:tr>
        <w:tblPrEx>
          <w:tblCellMar>
            <w:top w:w="0" w:type="dxa"/>
            <w:left w:w="108" w:type="dxa"/>
            <w:bottom w:w="0" w:type="dxa"/>
            <w:right w:w="108" w:type="dxa"/>
          </w:tblCellMar>
        </w:tblPrEx>
        <w:trPr>
          <w:trHeight w:val="499" w:hRule="exact"/>
        </w:trPr>
        <w:tc>
          <w:tcPr>
            <w:tcW w:w="943"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 w:val="22"/>
                <w:szCs w:val="22"/>
              </w:rPr>
            </w:pPr>
            <w:r>
              <w:rPr>
                <w:rFonts w:ascii="宋体" w:hAnsi="宋体" w:cs="宋体"/>
                <w:sz w:val="22"/>
                <w:szCs w:val="22"/>
              </w:rPr>
              <w:t>5</w:t>
            </w:r>
          </w:p>
        </w:tc>
        <w:tc>
          <w:tcPr>
            <w:tcW w:w="2041" w:type="dxa"/>
            <w:tcBorders>
              <w:top w:val="single" w:color="000000" w:sz="4" w:space="0"/>
              <w:left w:val="single" w:color="000000" w:sz="4" w:space="0"/>
              <w:bottom w:val="single" w:color="000000" w:sz="4" w:space="0"/>
              <w:right w:val="single" w:color="000000" w:sz="4" w:space="0"/>
              <w:tl2br w:val="nil"/>
              <w:tr2bl w:val="nil"/>
            </w:tcBorders>
          </w:tcPr>
          <w:p>
            <w:pPr>
              <w:pStyle w:val="56"/>
              <w:kinsoku w:val="0"/>
              <w:overflowPunct w:val="0"/>
              <w:ind w:left="105"/>
              <w:rPr>
                <w:rFonts w:hint="default" w:ascii="宋体" w:hAnsi="宋体" w:cs="宋体"/>
                <w:sz w:val="22"/>
                <w:szCs w:val="22"/>
              </w:rPr>
            </w:pPr>
            <w:r>
              <w:rPr>
                <w:rFonts w:ascii="宋体" w:hAnsi="宋体" w:cs="宋体"/>
                <w:w w:val="200"/>
                <w:sz w:val="22"/>
                <w:szCs w:val="22"/>
              </w:rPr>
              <w:t>...</w:t>
            </w: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2"/>
                <w:szCs w:val="22"/>
              </w:rPr>
            </w:pPr>
          </w:p>
        </w:tc>
      </w:tr>
      <w:tr>
        <w:tblPrEx>
          <w:tblCellMar>
            <w:top w:w="0" w:type="dxa"/>
            <w:left w:w="108" w:type="dxa"/>
            <w:bottom w:w="0" w:type="dxa"/>
            <w:right w:w="108" w:type="dxa"/>
          </w:tblCellMar>
        </w:tblPrEx>
        <w:trPr>
          <w:trHeight w:val="499" w:hRule="exact"/>
        </w:trPr>
        <w:tc>
          <w:tcPr>
            <w:tcW w:w="943" w:type="dxa"/>
            <w:tcBorders>
              <w:top w:val="single" w:color="000000" w:sz="4" w:space="0"/>
              <w:left w:val="single" w:color="000000" w:sz="10" w:space="0"/>
              <w:bottom w:val="single" w:color="000000" w:sz="4" w:space="0"/>
              <w:right w:val="single" w:color="000000" w:sz="4" w:space="0"/>
              <w:tl2br w:val="nil"/>
              <w:tr2bl w:val="nil"/>
            </w:tcBorders>
          </w:tcPr>
          <w:p>
            <w:pPr>
              <w:pStyle w:val="56"/>
              <w:kinsoku w:val="0"/>
              <w:overflowPunct w:val="0"/>
              <w:ind w:right="3"/>
              <w:jc w:val="center"/>
              <w:rPr>
                <w:rFonts w:hint="default" w:ascii="宋体" w:hAnsi="宋体" w:cs="宋体"/>
                <w:sz w:val="22"/>
                <w:szCs w:val="22"/>
              </w:rPr>
            </w:pPr>
            <w:r>
              <w:rPr>
                <w:rFonts w:ascii="宋体" w:hAnsi="宋体" w:cs="宋体"/>
                <w:sz w:val="22"/>
                <w:szCs w:val="22"/>
              </w:rPr>
              <w:t>6</w:t>
            </w:r>
          </w:p>
        </w:tc>
        <w:tc>
          <w:tcPr>
            <w:tcW w:w="2041" w:type="dxa"/>
            <w:tcBorders>
              <w:top w:val="single" w:color="000000" w:sz="4" w:space="0"/>
              <w:left w:val="single" w:color="000000" w:sz="4" w:space="0"/>
              <w:bottom w:val="single" w:color="000000" w:sz="4" w:space="0"/>
              <w:right w:val="single" w:color="000000" w:sz="4" w:space="0"/>
              <w:tl2br w:val="nil"/>
              <w:tr2bl w:val="nil"/>
            </w:tcBorders>
          </w:tcPr>
          <w:p>
            <w:pPr>
              <w:pStyle w:val="56"/>
              <w:kinsoku w:val="0"/>
              <w:overflowPunct w:val="0"/>
              <w:ind w:left="105"/>
              <w:rPr>
                <w:rFonts w:hint="default" w:ascii="宋体" w:hAnsi="宋体" w:cs="宋体"/>
                <w:sz w:val="22"/>
                <w:szCs w:val="22"/>
              </w:rPr>
            </w:pPr>
            <w:r>
              <w:rPr>
                <w:rFonts w:ascii="宋体" w:hAnsi="宋体" w:cs="宋体"/>
                <w:sz w:val="22"/>
                <w:szCs w:val="22"/>
              </w:rPr>
              <w:t>其他</w:t>
            </w: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2"/>
                <w:szCs w:val="22"/>
              </w:rPr>
            </w:pPr>
          </w:p>
        </w:tc>
      </w:tr>
      <w:tr>
        <w:tblPrEx>
          <w:tblCellMar>
            <w:top w:w="0" w:type="dxa"/>
            <w:left w:w="108" w:type="dxa"/>
            <w:bottom w:w="0" w:type="dxa"/>
            <w:right w:w="108" w:type="dxa"/>
          </w:tblCellMar>
        </w:tblPrEx>
        <w:trPr>
          <w:trHeight w:val="504" w:hRule="exact"/>
        </w:trPr>
        <w:tc>
          <w:tcPr>
            <w:tcW w:w="943" w:type="dxa"/>
            <w:tcBorders>
              <w:top w:val="single" w:color="000000" w:sz="4" w:space="0"/>
              <w:left w:val="single" w:color="000000" w:sz="10" w:space="0"/>
              <w:bottom w:val="single" w:color="000000" w:sz="4" w:space="0"/>
              <w:right w:val="single" w:color="000000" w:sz="4" w:space="0"/>
              <w:tl2br w:val="nil"/>
              <w:tr2bl w:val="nil"/>
            </w:tcBorders>
          </w:tcPr>
          <w:p>
            <w:pPr>
              <w:rPr>
                <w:rFonts w:ascii="宋体" w:hAnsi="宋体" w:cs="宋体"/>
                <w:sz w:val="22"/>
                <w:szCs w:val="22"/>
              </w:rPr>
            </w:pPr>
          </w:p>
        </w:tc>
        <w:tc>
          <w:tcPr>
            <w:tcW w:w="2041"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4" w:space="0"/>
              <w:right w:val="single" w:color="000000" w:sz="10" w:space="0"/>
              <w:tl2br w:val="nil"/>
              <w:tr2bl w:val="nil"/>
            </w:tcBorders>
          </w:tcPr>
          <w:p>
            <w:pPr>
              <w:rPr>
                <w:rFonts w:ascii="宋体" w:hAnsi="宋体" w:cs="宋体"/>
                <w:sz w:val="22"/>
                <w:szCs w:val="22"/>
              </w:rPr>
            </w:pPr>
          </w:p>
        </w:tc>
      </w:tr>
      <w:tr>
        <w:tblPrEx>
          <w:tblCellMar>
            <w:top w:w="0" w:type="dxa"/>
            <w:left w:w="108" w:type="dxa"/>
            <w:bottom w:w="0" w:type="dxa"/>
            <w:right w:w="108" w:type="dxa"/>
          </w:tblCellMar>
        </w:tblPrEx>
        <w:trPr>
          <w:trHeight w:val="506" w:hRule="exact"/>
        </w:trPr>
        <w:tc>
          <w:tcPr>
            <w:tcW w:w="943" w:type="dxa"/>
            <w:tcBorders>
              <w:top w:val="single" w:color="000000" w:sz="4" w:space="0"/>
              <w:left w:val="single" w:color="000000" w:sz="10" w:space="0"/>
              <w:bottom w:val="single" w:color="000000" w:sz="10" w:space="0"/>
              <w:right w:val="single" w:color="000000" w:sz="4" w:space="0"/>
              <w:tl2br w:val="nil"/>
              <w:tr2bl w:val="nil"/>
            </w:tcBorders>
          </w:tcPr>
          <w:p>
            <w:pPr>
              <w:rPr>
                <w:rFonts w:ascii="宋体" w:hAnsi="宋体" w:cs="宋体"/>
                <w:sz w:val="22"/>
                <w:szCs w:val="22"/>
              </w:rPr>
            </w:pPr>
          </w:p>
        </w:tc>
        <w:tc>
          <w:tcPr>
            <w:tcW w:w="2041"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2"/>
                <w:szCs w:val="22"/>
              </w:rPr>
            </w:pPr>
          </w:p>
        </w:tc>
        <w:tc>
          <w:tcPr>
            <w:tcW w:w="1503"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2"/>
                <w:szCs w:val="22"/>
              </w:rPr>
            </w:pPr>
          </w:p>
        </w:tc>
        <w:tc>
          <w:tcPr>
            <w:tcW w:w="1498" w:type="dxa"/>
            <w:tcBorders>
              <w:top w:val="single" w:color="000000" w:sz="4" w:space="0"/>
              <w:left w:val="single" w:color="000000" w:sz="4" w:space="0"/>
              <w:bottom w:val="single" w:color="000000" w:sz="10" w:space="0"/>
              <w:right w:val="single" w:color="000000" w:sz="4" w:space="0"/>
              <w:tl2br w:val="nil"/>
              <w:tr2bl w:val="nil"/>
            </w:tcBorders>
          </w:tcPr>
          <w:p>
            <w:pPr>
              <w:rPr>
                <w:rFonts w:ascii="宋体" w:hAnsi="宋体" w:cs="宋体"/>
                <w:sz w:val="22"/>
                <w:szCs w:val="22"/>
              </w:rPr>
            </w:pPr>
          </w:p>
        </w:tc>
        <w:tc>
          <w:tcPr>
            <w:tcW w:w="1683" w:type="dxa"/>
            <w:tcBorders>
              <w:top w:val="single" w:color="000000" w:sz="4" w:space="0"/>
              <w:left w:val="single" w:color="000000" w:sz="4" w:space="0"/>
              <w:bottom w:val="single" w:color="000000" w:sz="10" w:space="0"/>
              <w:right w:val="single" w:color="000000" w:sz="10" w:space="0"/>
              <w:tl2br w:val="nil"/>
              <w:tr2bl w:val="nil"/>
            </w:tcBorders>
          </w:tcPr>
          <w:p>
            <w:pPr>
              <w:rPr>
                <w:rFonts w:ascii="宋体" w:hAnsi="宋体" w:cs="宋体"/>
                <w:sz w:val="22"/>
                <w:szCs w:val="22"/>
              </w:rPr>
            </w:pPr>
          </w:p>
        </w:tc>
      </w:tr>
    </w:tbl>
    <w:p>
      <w:pPr>
        <w:pStyle w:val="14"/>
        <w:kinsoku w:val="0"/>
        <w:overflowPunct w:val="0"/>
        <w:rPr>
          <w:rFonts w:ascii="宋体" w:hAnsi="宋体" w:eastAsia="宋体" w:cs="宋体"/>
          <w:sz w:val="20"/>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pPr>
    </w:p>
    <w:p>
      <w:pPr>
        <w:pStyle w:val="9"/>
        <w:kinsoku w:val="0"/>
        <w:overflowPunct w:val="0"/>
        <w:spacing w:line="408" w:lineRule="auto"/>
        <w:ind w:left="2"/>
        <w:jc w:val="center"/>
        <w:rPr>
          <w:rFonts w:hint="default"/>
          <w:b w:val="0"/>
          <w:spacing w:val="2"/>
          <w:sz w:val="28"/>
        </w:rPr>
      </w:pPr>
      <w:r>
        <w:rPr>
          <w:rFonts w:ascii="黑体" w:hAnsi="黑体" w:eastAsia="黑体"/>
          <w:w w:val="95"/>
          <w:sz w:val="28"/>
        </w:rPr>
        <w:t>6</w:t>
      </w:r>
      <w:r>
        <w:rPr>
          <w:w w:val="95"/>
          <w:sz w:val="28"/>
        </w:rPr>
        <w:t xml:space="preserve">、符合《政府采购促进中小企业发展暂行办法》、《关于政府采购支持 </w:t>
      </w:r>
      <w:r>
        <w:rPr>
          <w:spacing w:val="2"/>
          <w:w w:val="95"/>
          <w:sz w:val="28"/>
        </w:rPr>
        <w:t xml:space="preserve">监狱企业发展有关问题的通知》和《三部门联合发布关于促进残疾人就 </w:t>
      </w:r>
      <w:r>
        <w:rPr>
          <w:spacing w:val="2"/>
          <w:sz w:val="28"/>
        </w:rPr>
        <w:t>业政府采购政策的通知》价格扣减条件的投标人须提交资料</w:t>
      </w:r>
    </w:p>
    <w:p>
      <w:pPr>
        <w:pStyle w:val="14"/>
        <w:kinsoku w:val="0"/>
        <w:overflowPunct w:val="0"/>
        <w:rPr>
          <w:b/>
          <w:sz w:val="24"/>
        </w:rPr>
      </w:pPr>
    </w:p>
    <w:p>
      <w:pPr>
        <w:pStyle w:val="10"/>
        <w:tabs>
          <w:tab w:val="left" w:pos="696"/>
        </w:tabs>
        <w:kinsoku w:val="0"/>
        <w:overflowPunct w:val="0"/>
        <w:ind w:left="0"/>
        <w:jc w:val="center"/>
        <w:rPr>
          <w:rFonts w:hint="default"/>
        </w:rPr>
      </w:pPr>
      <w:r>
        <w:rPr>
          <w:rFonts w:ascii="黑体" w:hAnsi="黑体" w:eastAsia="黑体"/>
          <w:w w:val="95"/>
        </w:rPr>
        <w:t>6-1</w:t>
      </w:r>
      <w:r>
        <w:rPr>
          <w:rFonts w:ascii="黑体" w:hAnsi="黑体" w:eastAsia="黑体"/>
          <w:w w:val="95"/>
        </w:rPr>
        <w:tab/>
      </w:r>
      <w:r>
        <w:t>投标人为中小企业声明函</w:t>
      </w:r>
    </w:p>
    <w:p>
      <w:pPr>
        <w:pStyle w:val="14"/>
        <w:kinsoku w:val="0"/>
        <w:overflowPunct w:val="0"/>
        <w:rPr>
          <w:rFonts w:ascii="宋体" w:hAnsi="宋体" w:eastAsia="宋体" w:cs="宋体"/>
          <w:sz w:val="36"/>
        </w:rPr>
      </w:pPr>
    </w:p>
    <w:p>
      <w:pPr>
        <w:pStyle w:val="14"/>
        <w:kinsoku w:val="0"/>
        <w:overflowPunct w:val="0"/>
        <w:spacing w:line="357" w:lineRule="auto"/>
        <w:ind w:left="149" w:right="158" w:firstLine="504"/>
        <w:jc w:val="both"/>
        <w:rPr>
          <w:rFonts w:ascii="宋体" w:hAnsi="宋体" w:eastAsia="宋体" w:cs="宋体"/>
          <w:spacing w:val="10"/>
          <w:sz w:val="24"/>
        </w:rPr>
      </w:pPr>
      <w:r>
        <w:rPr>
          <w:rFonts w:hint="eastAsia" w:ascii="宋体" w:hAnsi="宋体" w:eastAsia="宋体" w:cs="宋体"/>
          <w:spacing w:val="23"/>
          <w:sz w:val="24"/>
        </w:rPr>
        <w:t>本单位郑重声明，</w:t>
      </w:r>
      <w:r>
        <w:rPr>
          <w:rFonts w:hint="eastAsia" w:ascii="宋体" w:hAnsi="宋体" w:eastAsia="宋体" w:cs="宋体"/>
          <w:spacing w:val="-91"/>
          <w:sz w:val="24"/>
        </w:rPr>
        <w:t xml:space="preserve"> </w:t>
      </w:r>
      <w:r>
        <w:rPr>
          <w:rFonts w:hint="eastAsia" w:ascii="宋体" w:hAnsi="宋体" w:eastAsia="宋体" w:cs="宋体"/>
          <w:spacing w:val="17"/>
          <w:sz w:val="24"/>
        </w:rPr>
        <w:t>根据《</w:t>
      </w:r>
      <w:r>
        <w:rPr>
          <w:rFonts w:hint="eastAsia" w:ascii="宋体" w:hAnsi="宋体" w:eastAsia="宋体" w:cs="宋体"/>
          <w:spacing w:val="-91"/>
          <w:sz w:val="24"/>
        </w:rPr>
        <w:t xml:space="preserve"> </w:t>
      </w:r>
      <w:r>
        <w:rPr>
          <w:rFonts w:hint="eastAsia" w:ascii="宋体" w:hAnsi="宋体" w:eastAsia="宋体" w:cs="宋体"/>
          <w:spacing w:val="25"/>
          <w:sz w:val="24"/>
        </w:rPr>
        <w:t>政府采购促进中小企业发展暂行办法》（</w:t>
      </w:r>
      <w:r>
        <w:rPr>
          <w:rFonts w:hint="eastAsia" w:ascii="宋体" w:hAnsi="宋体" w:eastAsia="宋体" w:cs="宋体"/>
          <w:spacing w:val="-91"/>
          <w:sz w:val="24"/>
        </w:rPr>
        <w:t xml:space="preserve"> </w:t>
      </w:r>
      <w:r>
        <w:rPr>
          <w:rFonts w:hint="eastAsia" w:ascii="宋体" w:hAnsi="宋体" w:eastAsia="宋体" w:cs="宋体"/>
          <w:spacing w:val="14"/>
          <w:sz w:val="24"/>
        </w:rPr>
        <w:t xml:space="preserve">财库 </w:t>
      </w:r>
      <w:r>
        <w:rPr>
          <w:rFonts w:hint="eastAsia" w:ascii="宋体" w:hAnsi="宋体" w:eastAsia="宋体" w:cs="宋体"/>
          <w:spacing w:val="4"/>
          <w:sz w:val="24"/>
        </w:rPr>
        <w:t xml:space="preserve">[2011]181 </w:t>
      </w:r>
      <w:r>
        <w:rPr>
          <w:rFonts w:hint="eastAsia" w:ascii="宋体" w:hAnsi="宋体" w:eastAsia="宋体" w:cs="宋体"/>
          <w:spacing w:val="11"/>
          <w:sz w:val="24"/>
        </w:rPr>
        <w:t>号）的规定，本单位为</w:t>
      </w:r>
      <w:r>
        <w:rPr>
          <w:rFonts w:hint="eastAsia" w:ascii="宋体" w:hAnsi="宋体" w:eastAsia="宋体" w:cs="宋体"/>
          <w:spacing w:val="11"/>
          <w:sz w:val="24"/>
          <w:u w:val="single"/>
        </w:rPr>
        <w:t xml:space="preserve">_ </w:t>
      </w:r>
      <w:r>
        <w:rPr>
          <w:rFonts w:hint="eastAsia" w:ascii="宋体" w:hAnsi="宋体" w:eastAsia="宋体" w:cs="宋体"/>
          <w:spacing w:val="9"/>
          <w:sz w:val="24"/>
          <w:u w:val="single"/>
        </w:rPr>
        <w:t>_____</w:t>
      </w:r>
      <w:r>
        <w:rPr>
          <w:rFonts w:hint="eastAsia" w:ascii="宋体" w:hAnsi="宋体" w:eastAsia="宋体" w:cs="宋体"/>
          <w:spacing w:val="9"/>
          <w:sz w:val="24"/>
        </w:rPr>
        <w:t xml:space="preserve">（请填写：中型、小型、微 </w:t>
      </w:r>
      <w:r>
        <w:rPr>
          <w:rFonts w:hint="eastAsia" w:ascii="宋体" w:hAnsi="宋体" w:eastAsia="宋体" w:cs="宋体"/>
          <w:spacing w:val="10"/>
          <w:sz w:val="24"/>
        </w:rPr>
        <w:t>型）企业。即，本单位同时满足以下条件：</w:t>
      </w:r>
    </w:p>
    <w:p>
      <w:pPr>
        <w:pStyle w:val="14"/>
        <w:kinsoku w:val="0"/>
        <w:overflowPunct w:val="0"/>
        <w:spacing w:line="357" w:lineRule="auto"/>
        <w:ind w:left="149" w:right="156" w:firstLine="504"/>
        <w:jc w:val="both"/>
        <w:rPr>
          <w:rFonts w:ascii="宋体" w:hAnsi="宋体" w:eastAsia="宋体" w:cs="宋体"/>
          <w:spacing w:val="10"/>
          <w:sz w:val="24"/>
        </w:rPr>
      </w:pPr>
      <w:r>
        <w:rPr>
          <w:rFonts w:hint="eastAsia" w:ascii="宋体" w:hAnsi="宋体" w:eastAsia="宋体" w:cs="宋体"/>
          <w:spacing w:val="13"/>
          <w:sz w:val="24"/>
        </w:rPr>
        <w:t xml:space="preserve">1、根据《工业和信息化部、国家统计局、国家发展和改革委员会、财政部 </w:t>
      </w:r>
      <w:r>
        <w:rPr>
          <w:rFonts w:hint="eastAsia" w:ascii="宋体" w:hAnsi="宋体" w:eastAsia="宋体" w:cs="宋体"/>
          <w:spacing w:val="9"/>
          <w:sz w:val="24"/>
        </w:rPr>
        <w:t>关于印发中小企业划型标准规定的通知》（工信部联企业[2011]300 号）规定的 划分标准，本单位为</w:t>
      </w:r>
      <w:r>
        <w:rPr>
          <w:rFonts w:hint="eastAsia" w:ascii="宋体" w:hAnsi="宋体" w:eastAsia="宋体" w:cs="宋体"/>
          <w:spacing w:val="9"/>
          <w:sz w:val="24"/>
          <w:u w:val="single"/>
        </w:rPr>
        <w:t xml:space="preserve">___      </w:t>
      </w:r>
      <w:r>
        <w:rPr>
          <w:rFonts w:hint="eastAsia" w:ascii="宋体" w:hAnsi="宋体" w:eastAsia="宋体" w:cs="宋体"/>
          <w:spacing w:val="43"/>
          <w:sz w:val="24"/>
          <w:u w:val="single"/>
        </w:rPr>
        <w:t xml:space="preserve"> </w:t>
      </w:r>
      <w:r>
        <w:rPr>
          <w:rFonts w:hint="eastAsia" w:ascii="宋体" w:hAnsi="宋体" w:eastAsia="宋体" w:cs="宋体"/>
          <w:spacing w:val="10"/>
          <w:sz w:val="24"/>
          <w:u w:val="single"/>
        </w:rPr>
        <w:t>___</w:t>
      </w:r>
      <w:r>
        <w:rPr>
          <w:rFonts w:hint="eastAsia" w:ascii="宋体" w:hAnsi="宋体" w:eastAsia="宋体" w:cs="宋体"/>
          <w:spacing w:val="10"/>
          <w:sz w:val="24"/>
        </w:rPr>
        <w:t>（请填写：中型、小型、微型）企业。</w:t>
      </w:r>
    </w:p>
    <w:p>
      <w:pPr>
        <w:pStyle w:val="14"/>
        <w:kinsoku w:val="0"/>
        <w:overflowPunct w:val="0"/>
        <w:spacing w:line="355" w:lineRule="auto"/>
        <w:ind w:left="149" w:right="140" w:firstLine="504"/>
        <w:jc w:val="both"/>
        <w:rPr>
          <w:rFonts w:ascii="宋体" w:hAnsi="宋体" w:eastAsia="宋体" w:cs="宋体"/>
          <w:spacing w:val="10"/>
          <w:sz w:val="24"/>
        </w:rPr>
      </w:pPr>
      <w:r>
        <w:rPr>
          <w:rFonts w:hint="eastAsia" w:ascii="宋体" w:hAnsi="宋体" w:eastAsia="宋体" w:cs="宋体"/>
          <w:spacing w:val="10"/>
          <w:sz w:val="24"/>
        </w:rPr>
        <w:t>2、本单位参加</w:t>
      </w:r>
      <w:r>
        <w:rPr>
          <w:rFonts w:hint="eastAsia" w:ascii="宋体" w:hAnsi="宋体" w:eastAsia="宋体" w:cs="宋体"/>
          <w:spacing w:val="10"/>
          <w:sz w:val="24"/>
          <w:u w:val="single"/>
        </w:rPr>
        <w:t>_（填写采购人名称）_</w:t>
      </w:r>
      <w:r>
        <w:rPr>
          <w:rFonts w:hint="eastAsia" w:ascii="宋体" w:hAnsi="宋体" w:eastAsia="宋体" w:cs="宋体"/>
          <w:spacing w:val="10"/>
          <w:sz w:val="24"/>
        </w:rPr>
        <w:t>的</w:t>
      </w:r>
      <w:r>
        <w:rPr>
          <w:rFonts w:hint="eastAsia" w:ascii="宋体" w:hAnsi="宋体" w:eastAsia="宋体" w:cs="宋体"/>
          <w:spacing w:val="10"/>
          <w:sz w:val="24"/>
          <w:u w:val="single"/>
        </w:rPr>
        <w:t>_（填写本次招标的项目名称）</w:t>
      </w:r>
      <w:r>
        <w:rPr>
          <w:rFonts w:hint="eastAsia" w:ascii="宋体" w:hAnsi="宋体" w:eastAsia="宋体" w:cs="宋体"/>
          <w:spacing w:val="10"/>
          <w:sz w:val="24"/>
        </w:rPr>
        <w:t xml:space="preserve">采购 </w:t>
      </w:r>
      <w:r>
        <w:rPr>
          <w:rFonts w:hint="eastAsia" w:ascii="宋体" w:hAnsi="宋体" w:eastAsia="宋体" w:cs="宋体"/>
          <w:spacing w:val="2"/>
          <w:sz w:val="24"/>
        </w:rPr>
        <w:t>活动提供本企业制造的货物，由本企业承担工程、提供服务，或者提供其他</w:t>
      </w:r>
      <w:r>
        <w:rPr>
          <w:rFonts w:hint="eastAsia" w:ascii="宋体" w:hAnsi="宋体" w:eastAsia="宋体" w:cs="宋体"/>
          <w:spacing w:val="-82"/>
          <w:sz w:val="24"/>
        </w:rPr>
        <w:t xml:space="preserve"> </w:t>
      </w:r>
      <w:r>
        <w:rPr>
          <w:rFonts w:hint="eastAsia" w:ascii="宋体" w:hAnsi="宋体" w:eastAsia="宋体" w:cs="宋体"/>
          <w:spacing w:val="4"/>
          <w:sz w:val="24"/>
          <w:u w:val="single"/>
        </w:rPr>
        <w:t>______</w:t>
      </w:r>
      <w:r>
        <w:rPr>
          <w:rFonts w:hint="eastAsia" w:ascii="宋体" w:hAnsi="宋体" w:eastAsia="宋体" w:cs="宋体"/>
          <w:spacing w:val="10"/>
          <w:sz w:val="24"/>
        </w:rPr>
        <w:t>（请填写：中型、小型、微型）企业制造的货物。本条所称货物不包括使用大型 企业注册商标的货物。</w:t>
      </w:r>
    </w:p>
    <w:p>
      <w:pPr>
        <w:pStyle w:val="14"/>
        <w:kinsoku w:val="0"/>
        <w:overflowPunct w:val="0"/>
        <w:ind w:left="653"/>
        <w:rPr>
          <w:rFonts w:ascii="宋体" w:hAnsi="宋体" w:eastAsia="宋体" w:cs="宋体"/>
          <w:spacing w:val="10"/>
          <w:sz w:val="24"/>
        </w:rPr>
      </w:pPr>
      <w:r>
        <w:rPr>
          <w:rFonts w:hint="eastAsia" w:ascii="宋体" w:hAnsi="宋体" w:eastAsia="宋体" w:cs="宋体"/>
          <w:spacing w:val="10"/>
          <w:sz w:val="24"/>
        </w:rPr>
        <w:t>本单位对上述声明的真实性负责。如有虚假，将依法承担相应责任。</w:t>
      </w:r>
    </w:p>
    <w:p>
      <w:pPr>
        <w:pStyle w:val="14"/>
        <w:kinsoku w:val="0"/>
        <w:overflowPunct w:val="0"/>
        <w:rPr>
          <w:rFonts w:ascii="宋体" w:hAnsi="宋体" w:eastAsia="宋体" w:cs="宋体"/>
          <w:sz w:val="24"/>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7"/>
        </w:rPr>
      </w:pPr>
    </w:p>
    <w:p>
      <w:pPr>
        <w:pStyle w:val="14"/>
        <w:kinsoku w:val="0"/>
        <w:overflowPunct w:val="0"/>
        <w:spacing w:line="360" w:lineRule="auto"/>
        <w:ind w:left="149" w:right="138" w:firstLine="480"/>
        <w:jc w:val="both"/>
        <w:rPr>
          <w:rFonts w:ascii="宋体" w:hAnsi="宋体" w:eastAsia="宋体" w:cs="宋体"/>
          <w:sz w:val="24"/>
        </w:rPr>
      </w:pPr>
      <w:r>
        <w:rPr>
          <w:rFonts w:hint="eastAsia" w:ascii="宋体" w:hAnsi="宋体" w:eastAsia="宋体" w:cs="宋体"/>
          <w:b/>
          <w:spacing w:val="3"/>
          <w:sz w:val="24"/>
        </w:rPr>
        <w:t xml:space="preserve">说明：符合要求的单位，按照上述格式进行填写；不属于中型、小型、微型的 </w:t>
      </w:r>
      <w:r>
        <w:rPr>
          <w:rFonts w:hint="eastAsia" w:ascii="宋体" w:hAnsi="宋体" w:eastAsia="宋体" w:cs="宋体"/>
          <w:b/>
          <w:sz w:val="24"/>
        </w:rPr>
        <w:t>企业不需要提供。</w:t>
      </w:r>
    </w:p>
    <w:p>
      <w:pPr>
        <w:pStyle w:val="14"/>
        <w:kinsoku w:val="0"/>
        <w:overflowPunct w:val="0"/>
        <w:spacing w:line="360" w:lineRule="auto"/>
        <w:ind w:left="149" w:right="138" w:firstLine="480"/>
        <w:jc w:val="both"/>
        <w:rPr>
          <w:rFonts w:ascii="宋体" w:hAnsi="宋体" w:eastAsia="宋体" w:cs="宋体"/>
          <w:sz w:val="24"/>
        </w:rPr>
        <w:sectPr>
          <w:pgSz w:w="11910" w:h="16840"/>
          <w:pgMar w:top="1423" w:right="1380" w:bottom="1429" w:left="1440" w:header="875" w:footer="1003" w:gutter="0"/>
          <w:cols w:equalWidth="0" w:num="1">
            <w:col w:w="9090"/>
          </w:cols>
        </w:sectPr>
      </w:pPr>
    </w:p>
    <w:p>
      <w:pPr>
        <w:pStyle w:val="14"/>
        <w:tabs>
          <w:tab w:val="left" w:pos="3352"/>
        </w:tabs>
        <w:kinsoku w:val="0"/>
        <w:overflowPunct w:val="0"/>
        <w:ind w:left="2646"/>
        <w:rPr>
          <w:rFonts w:ascii="宋体" w:hAnsi="宋体" w:eastAsia="宋体" w:cs="宋体"/>
          <w:b/>
          <w:w w:val="95"/>
        </w:rPr>
      </w:pPr>
    </w:p>
    <w:p>
      <w:pPr>
        <w:pStyle w:val="14"/>
        <w:tabs>
          <w:tab w:val="left" w:pos="3352"/>
        </w:tabs>
        <w:kinsoku w:val="0"/>
        <w:overflowPunct w:val="0"/>
        <w:ind w:left="2646"/>
        <w:rPr>
          <w:rFonts w:ascii="宋体" w:hAnsi="宋体" w:eastAsia="宋体" w:cs="宋体"/>
          <w:spacing w:val="2"/>
        </w:rPr>
      </w:pPr>
      <w:r>
        <w:rPr>
          <w:rFonts w:hint="eastAsia" w:ascii="宋体" w:hAnsi="宋体" w:eastAsia="宋体" w:cs="宋体"/>
          <w:b/>
          <w:w w:val="95"/>
        </w:rPr>
        <w:t>6-2</w:t>
      </w:r>
      <w:r>
        <w:rPr>
          <w:rFonts w:hint="eastAsia" w:ascii="宋体" w:hAnsi="宋体" w:eastAsia="宋体" w:cs="宋体"/>
          <w:b/>
          <w:w w:val="95"/>
        </w:rPr>
        <w:tab/>
      </w:r>
      <w:r>
        <w:rPr>
          <w:rFonts w:hint="eastAsia" w:ascii="宋体" w:hAnsi="宋体" w:eastAsia="宋体" w:cs="宋体"/>
          <w:b/>
          <w:spacing w:val="2"/>
        </w:rPr>
        <w:t>投标人为监狱企业声明函</w:t>
      </w:r>
    </w:p>
    <w:p>
      <w:pPr>
        <w:pStyle w:val="14"/>
        <w:kinsoku w:val="0"/>
        <w:overflowPunct w:val="0"/>
        <w:rPr>
          <w:rFonts w:ascii="宋体" w:hAnsi="宋体" w:eastAsia="宋体" w:cs="宋体"/>
          <w:b/>
        </w:rPr>
      </w:pPr>
    </w:p>
    <w:p>
      <w:pPr>
        <w:pStyle w:val="14"/>
        <w:kinsoku w:val="0"/>
        <w:overflowPunct w:val="0"/>
        <w:rPr>
          <w:rFonts w:ascii="宋体" w:hAnsi="宋体" w:eastAsia="宋体" w:cs="宋体"/>
          <w:b/>
        </w:rPr>
      </w:pPr>
    </w:p>
    <w:p>
      <w:pPr>
        <w:pStyle w:val="14"/>
        <w:kinsoku w:val="0"/>
        <w:overflowPunct w:val="0"/>
        <w:rPr>
          <w:b/>
          <w:sz w:val="39"/>
        </w:rPr>
      </w:pPr>
    </w:p>
    <w:p>
      <w:pPr>
        <w:pStyle w:val="14"/>
        <w:kinsoku w:val="0"/>
        <w:overflowPunct w:val="0"/>
        <w:spacing w:line="568" w:lineRule="auto"/>
        <w:ind w:left="9" w:right="1715" w:firstLine="628" w:firstLineChars="262"/>
        <w:rPr>
          <w:rFonts w:ascii="宋体" w:hAnsi="宋体" w:eastAsia="宋体" w:cs="宋体"/>
          <w:sz w:val="24"/>
        </w:rPr>
      </w:pPr>
      <w:r>
        <w:rPr>
          <w:rFonts w:hint="eastAsia" w:ascii="宋体" w:hAnsi="宋体" w:eastAsia="宋体" w:cs="宋体"/>
          <w:sz w:val="24"/>
        </w:rPr>
        <w:t xml:space="preserve">本企业（单位）郑重声明下列事项（按照实际情况填空）： </w:t>
      </w:r>
    </w:p>
    <w:p>
      <w:pPr>
        <w:pStyle w:val="14"/>
        <w:kinsoku w:val="0"/>
        <w:overflowPunct w:val="0"/>
        <w:spacing w:line="568" w:lineRule="auto"/>
        <w:ind w:left="9" w:right="1715" w:firstLine="628" w:firstLineChars="262"/>
        <w:rPr>
          <w:rFonts w:ascii="宋体" w:hAnsi="宋体" w:eastAsia="宋体" w:cs="宋体"/>
          <w:sz w:val="24"/>
        </w:rPr>
      </w:pPr>
      <w:r>
        <w:rPr>
          <w:rFonts w:hint="eastAsia" w:ascii="宋体" w:hAnsi="宋体" w:eastAsia="宋体" w:cs="宋体"/>
          <w:sz w:val="24"/>
        </w:rPr>
        <w:t>本企业（单位）为直接投标人提供本企业（单位）制造的货物。</w:t>
      </w:r>
    </w:p>
    <w:p>
      <w:pPr>
        <w:pStyle w:val="14"/>
        <w:tabs>
          <w:tab w:val="left" w:pos="3707"/>
        </w:tabs>
        <w:kinsoku w:val="0"/>
        <w:overflowPunct w:val="0"/>
        <w:spacing w:line="355" w:lineRule="auto"/>
        <w:ind w:left="149" w:right="141" w:firstLine="360"/>
        <w:rPr>
          <w:rFonts w:ascii="宋体" w:hAnsi="宋体" w:eastAsia="宋体" w:cs="宋体"/>
          <w:sz w:val="24"/>
        </w:rPr>
      </w:pPr>
      <w:r>
        <w:rPr>
          <w:rFonts w:hint="eastAsia" w:ascii="宋体" w:hAnsi="宋体" w:eastAsia="宋体" w:cs="宋体"/>
          <w:spacing w:val="-3"/>
          <w:sz w:val="24"/>
        </w:rPr>
        <w:t>（1）本企业（单位）</w:t>
      </w:r>
      <w:r>
        <w:rPr>
          <w:rFonts w:hint="eastAsia" w:ascii="宋体" w:hAnsi="宋体" w:eastAsia="宋体" w:cs="宋体"/>
          <w:spacing w:val="-3"/>
          <w:sz w:val="24"/>
          <w:u w:val="single"/>
        </w:rPr>
        <w:t xml:space="preserve"> </w:t>
      </w:r>
      <w:r>
        <w:rPr>
          <w:rFonts w:hint="eastAsia" w:ascii="宋体" w:hAnsi="宋体" w:eastAsia="宋体" w:cs="宋体"/>
          <w:spacing w:val="-3"/>
          <w:sz w:val="24"/>
          <w:u w:val="single"/>
        </w:rPr>
        <w:tab/>
      </w:r>
      <w:r>
        <w:rPr>
          <w:rFonts w:hint="eastAsia" w:ascii="宋体" w:hAnsi="宋体" w:eastAsia="宋体" w:cs="宋体"/>
          <w:spacing w:val="-3"/>
          <w:sz w:val="24"/>
        </w:rPr>
        <w:t xml:space="preserve">（请填写：是、不是）监狱企业。后附省级以上监 </w:t>
      </w:r>
      <w:r>
        <w:rPr>
          <w:rFonts w:hint="eastAsia" w:ascii="宋体" w:hAnsi="宋体" w:eastAsia="宋体" w:cs="宋体"/>
          <w:sz w:val="24"/>
        </w:rPr>
        <w:t>狱管理局、戒毒管理局（含新疆生产建设兵团）出具的属于监狱企业的证明文件。</w:t>
      </w:r>
    </w:p>
    <w:p>
      <w:pPr>
        <w:pStyle w:val="14"/>
        <w:kinsoku w:val="0"/>
        <w:overflowPunct w:val="0"/>
        <w:ind w:left="629"/>
        <w:rPr>
          <w:rFonts w:ascii="宋体" w:hAnsi="宋体" w:eastAsia="宋体" w:cs="宋体"/>
          <w:sz w:val="24"/>
        </w:rPr>
      </w:pPr>
      <w:r>
        <w:rPr>
          <w:rFonts w:hint="eastAsia" w:ascii="宋体" w:hAnsi="宋体" w:eastAsia="宋体" w:cs="宋体"/>
          <w:sz w:val="24"/>
        </w:rPr>
        <w:t>本企业（单位）对上述声明的真实性负责。如有虚假，将依法承担相应责任。</w:t>
      </w: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0"/>
        </w:rPr>
      </w:pPr>
    </w:p>
    <w:p>
      <w:pPr>
        <w:pStyle w:val="14"/>
        <w:kinsoku w:val="0"/>
        <w:overflowPunct w:val="0"/>
        <w:rPr>
          <w:rFonts w:ascii="宋体" w:hAnsi="宋体" w:eastAsia="宋体" w:cs="宋体"/>
          <w:sz w:val="25"/>
        </w:rPr>
      </w:pPr>
    </w:p>
    <w:p>
      <w:pPr>
        <w:pStyle w:val="11"/>
        <w:kinsoku w:val="0"/>
        <w:overflowPunct w:val="0"/>
        <w:rPr>
          <w:rFonts w:hint="default"/>
          <w:b w:val="0"/>
        </w:rPr>
      </w:pPr>
      <w:r>
        <w:rPr>
          <w:rFonts w:cs="宋体"/>
        </w:rPr>
        <w:t>说明：符合要求的单位，按照上述格式进行填</w:t>
      </w:r>
      <w:r>
        <w:t>写；不属于监狱企业的不需要提供。</w:t>
      </w:r>
    </w:p>
    <w:p>
      <w:pPr>
        <w:pStyle w:val="11"/>
        <w:kinsoku w:val="0"/>
        <w:overflowPunct w:val="0"/>
        <w:rPr>
          <w:rFonts w:hint="default"/>
          <w:b w:val="0"/>
        </w:rPr>
        <w:sectPr>
          <w:pgSz w:w="11910" w:h="16840"/>
          <w:pgMar w:top="1080" w:right="1380" w:bottom="1200" w:left="1440" w:header="875" w:footer="1003" w:gutter="0"/>
          <w:cols w:space="720" w:num="1"/>
        </w:sectPr>
      </w:pPr>
    </w:p>
    <w:p>
      <w:pPr>
        <w:pStyle w:val="14"/>
        <w:tabs>
          <w:tab w:val="left" w:pos="2790"/>
        </w:tabs>
        <w:kinsoku w:val="0"/>
        <w:overflowPunct w:val="0"/>
        <w:ind w:left="2094" w:right="233"/>
        <w:rPr>
          <w:rFonts w:ascii="黑体" w:hAnsi="黑体" w:eastAsia="黑体"/>
          <w:w w:val="95"/>
        </w:rPr>
      </w:pPr>
    </w:p>
    <w:p>
      <w:pPr>
        <w:pStyle w:val="14"/>
        <w:tabs>
          <w:tab w:val="left" w:pos="2790"/>
        </w:tabs>
        <w:kinsoku w:val="0"/>
        <w:overflowPunct w:val="0"/>
        <w:ind w:left="2094" w:right="233"/>
        <w:rPr>
          <w:rFonts w:ascii="黑体" w:hAnsi="黑体" w:eastAsia="黑体"/>
        </w:rPr>
      </w:pPr>
      <w:r>
        <w:rPr>
          <w:rFonts w:hint="eastAsia" w:ascii="黑体" w:hAnsi="黑体" w:eastAsia="黑体"/>
          <w:w w:val="95"/>
        </w:rPr>
        <w:t>6-3</w:t>
      </w:r>
      <w:r>
        <w:rPr>
          <w:rFonts w:hint="eastAsia" w:ascii="黑体" w:hAnsi="黑体" w:eastAsia="黑体"/>
          <w:w w:val="95"/>
        </w:rPr>
        <w:tab/>
      </w:r>
      <w:r>
        <w:rPr>
          <w:rFonts w:hint="eastAsia" w:ascii="黑体" w:hAnsi="黑体" w:eastAsia="黑体"/>
        </w:rPr>
        <w:t>投标人为残疾人福利性单位声明函</w:t>
      </w:r>
    </w:p>
    <w:p>
      <w:pPr>
        <w:pStyle w:val="14"/>
        <w:kinsoku w:val="0"/>
        <w:overflowPunct w:val="0"/>
        <w:rPr>
          <w:rFonts w:ascii="黑体" w:hAnsi="黑体" w:eastAsia="黑体"/>
        </w:rPr>
      </w:pPr>
    </w:p>
    <w:p>
      <w:pPr>
        <w:pStyle w:val="14"/>
        <w:kinsoku w:val="0"/>
        <w:overflowPunct w:val="0"/>
        <w:rPr>
          <w:rFonts w:ascii="黑体" w:hAnsi="黑体" w:eastAsia="黑体"/>
        </w:rPr>
      </w:pPr>
    </w:p>
    <w:p>
      <w:pPr>
        <w:pStyle w:val="14"/>
        <w:kinsoku w:val="0"/>
        <w:overflowPunct w:val="0"/>
        <w:spacing w:line="357" w:lineRule="auto"/>
        <w:ind w:left="149" w:right="103" w:firstLine="566"/>
        <w:jc w:val="both"/>
        <w:rPr>
          <w:rFonts w:ascii="宋体" w:hAnsi="宋体" w:eastAsia="宋体" w:cs="宋体"/>
          <w:spacing w:val="-6"/>
          <w:sz w:val="24"/>
        </w:rPr>
      </w:pPr>
      <w:r>
        <w:rPr>
          <w:rFonts w:hint="eastAsia" w:ascii="宋体" w:hAnsi="宋体" w:eastAsia="宋体" w:cs="宋体"/>
          <w:sz w:val="24"/>
        </w:rPr>
        <w:t>本单位郑重声明，根据《财政部 民政部 中国残疾人联合会关于促进残疾人就 业政府采购政策的通知》（财库〔2017〕141 号）的规定，本单位为符合条件的残疾 人福利性单位，且本单位参加_</w:t>
      </w:r>
      <w:r>
        <w:rPr>
          <w:rFonts w:hint="eastAsia" w:ascii="宋体" w:hAnsi="宋体" w:eastAsia="宋体" w:cs="宋体"/>
          <w:sz w:val="24"/>
          <w:u w:val="single"/>
        </w:rPr>
        <w:t xml:space="preserve">（填写采购人名称） </w:t>
      </w:r>
      <w:r>
        <w:rPr>
          <w:rFonts w:hint="eastAsia" w:ascii="宋体" w:hAnsi="宋体" w:eastAsia="宋体" w:cs="宋体"/>
          <w:sz w:val="24"/>
        </w:rPr>
        <w:t xml:space="preserve">的 </w:t>
      </w:r>
      <w:r>
        <w:rPr>
          <w:rFonts w:hint="eastAsia" w:ascii="宋体" w:hAnsi="宋体" w:eastAsia="宋体" w:cs="宋体"/>
          <w:sz w:val="24"/>
          <w:u w:val="single"/>
        </w:rPr>
        <w:t>（填写本次招标的项目名称）</w:t>
      </w:r>
      <w:r>
        <w:rPr>
          <w:rFonts w:hint="eastAsia" w:ascii="宋体" w:hAnsi="宋体" w:eastAsia="宋体" w:cs="宋体"/>
          <w:sz w:val="24"/>
        </w:rPr>
        <w:t xml:space="preserve">采购活动提供本单位制造的货物（由本单位承担工程/提供服务），或者提供其 </w:t>
      </w:r>
      <w:r>
        <w:rPr>
          <w:rFonts w:hint="eastAsia" w:ascii="宋体" w:hAnsi="宋体" w:eastAsia="宋体" w:cs="宋体"/>
          <w:spacing w:val="-6"/>
          <w:sz w:val="24"/>
        </w:rPr>
        <w:t>他残疾人福利性单位制造的货物（不包括使用非残疾人福利性单位注册商标的货物）。</w:t>
      </w:r>
    </w:p>
    <w:p>
      <w:pPr>
        <w:pStyle w:val="14"/>
        <w:kinsoku w:val="0"/>
        <w:overflowPunct w:val="0"/>
        <w:ind w:left="692" w:right="233"/>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24"/>
        </w:rPr>
      </w:pPr>
    </w:p>
    <w:p>
      <w:pPr>
        <w:pStyle w:val="14"/>
        <w:kinsoku w:val="0"/>
        <w:overflowPunct w:val="0"/>
        <w:rPr>
          <w:rFonts w:ascii="宋体" w:hAnsi="宋体" w:eastAsia="宋体" w:cs="宋体"/>
          <w:sz w:val="30"/>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rFonts w:ascii="宋体" w:hAnsi="宋体" w:eastAsia="宋体" w:cs="宋体"/>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14"/>
        </w:rPr>
      </w:pPr>
    </w:p>
    <w:p>
      <w:pPr>
        <w:pStyle w:val="11"/>
        <w:kinsoku w:val="0"/>
        <w:overflowPunct w:val="0"/>
        <w:spacing w:line="355" w:lineRule="auto"/>
        <w:ind w:right="213"/>
        <w:rPr>
          <w:rFonts w:hint="default"/>
          <w:b w:val="0"/>
        </w:rPr>
      </w:pPr>
      <w:r>
        <w:rPr>
          <w:spacing w:val="3"/>
        </w:rPr>
        <w:t xml:space="preserve">说明：符合要求的单位，按照上述格式进行填写并提供相关证明材料；不属于残疾 </w:t>
      </w:r>
      <w:r>
        <w:t>人福利性单位的不需要提供。</w:t>
      </w:r>
    </w:p>
    <w:p>
      <w:pPr>
        <w:pStyle w:val="11"/>
        <w:kinsoku w:val="0"/>
        <w:overflowPunct w:val="0"/>
        <w:spacing w:line="355" w:lineRule="auto"/>
        <w:ind w:right="213"/>
        <w:rPr>
          <w:rFonts w:hint="default"/>
          <w:b w:val="0"/>
        </w:rPr>
        <w:sectPr>
          <w:pgSz w:w="11910" w:h="16840"/>
          <w:pgMar w:top="1080" w:right="1300" w:bottom="1200" w:left="1440" w:header="875" w:footer="1003" w:gutter="0"/>
          <w:cols w:equalWidth="0" w:num="1">
            <w:col w:w="9170"/>
          </w:cols>
        </w:sectPr>
      </w:pPr>
    </w:p>
    <w:p>
      <w:pPr>
        <w:pStyle w:val="14"/>
        <w:kinsoku w:val="0"/>
        <w:overflowPunct w:val="0"/>
        <w:rPr>
          <w:b/>
        </w:rPr>
      </w:pPr>
    </w:p>
    <w:p>
      <w:pPr>
        <w:pStyle w:val="14"/>
        <w:kinsoku w:val="0"/>
        <w:overflowPunct w:val="0"/>
        <w:ind w:left="423"/>
        <w:jc w:val="center"/>
        <w:rPr>
          <w:rFonts w:ascii="黑体" w:hAnsi="黑体" w:eastAsia="黑体"/>
        </w:rPr>
      </w:pPr>
      <w:r>
        <w:rPr>
          <w:rFonts w:hint="eastAsia" w:ascii="黑体" w:hAnsi="黑体" w:eastAsia="黑体"/>
        </w:rPr>
        <w:t>7、</w:t>
      </w:r>
      <w:r>
        <w:rPr>
          <w:rFonts w:hint="eastAsia" w:ascii="黑体" w:hAnsi="黑体" w:eastAsia="黑体"/>
          <w:spacing w:val="-6"/>
        </w:rPr>
        <w:t xml:space="preserve"> </w:t>
      </w:r>
      <w:r>
        <w:rPr>
          <w:rFonts w:hint="eastAsia" w:ascii="黑体" w:hAnsi="黑体" w:eastAsia="黑体"/>
        </w:rPr>
        <w:t>售后服务计划</w:t>
      </w:r>
    </w:p>
    <w:p>
      <w:pPr>
        <w:pStyle w:val="14"/>
        <w:kinsoku w:val="0"/>
        <w:overflowPunct w:val="0"/>
        <w:rPr>
          <w:rFonts w:ascii="黑体" w:hAnsi="黑体" w:eastAsia="黑体"/>
          <w:sz w:val="36"/>
        </w:rPr>
      </w:pPr>
    </w:p>
    <w:p>
      <w:pPr>
        <w:pStyle w:val="14"/>
        <w:kinsoku w:val="0"/>
        <w:overflowPunct w:val="0"/>
        <w:ind w:left="361"/>
        <w:jc w:val="center"/>
        <w:rPr>
          <w:rFonts w:ascii="宋体" w:hAnsi="宋体" w:eastAsia="宋体" w:cs="宋体"/>
          <w:sz w:val="24"/>
        </w:rPr>
      </w:pPr>
      <w:r>
        <w:rPr>
          <w:rFonts w:hint="eastAsia" w:ascii="宋体" w:hAnsi="宋体" w:eastAsia="宋体" w:cs="宋体"/>
          <w:b/>
          <w:sz w:val="24"/>
        </w:rPr>
        <w:t>（格式自拟）</w:t>
      </w: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20"/>
        </w:rPr>
      </w:pPr>
    </w:p>
    <w:p>
      <w:pPr>
        <w:pStyle w:val="14"/>
        <w:kinsoku w:val="0"/>
        <w:overflowPunct w:val="0"/>
        <w:rPr>
          <w:rFonts w:ascii="宋体" w:hAnsi="宋体" w:eastAsia="宋体" w:cs="宋体"/>
          <w:b/>
          <w:sz w:val="15"/>
        </w:rPr>
      </w:pP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14"/>
        <w:tabs>
          <w:tab w:val="left" w:pos="5191"/>
          <w:tab w:val="left" w:pos="5253"/>
        </w:tabs>
        <w:kinsoku w:val="0"/>
        <w:overflowPunct w:val="0"/>
        <w:spacing w:line="355" w:lineRule="auto"/>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14"/>
        <w:tabs>
          <w:tab w:val="left" w:pos="2310"/>
          <w:tab w:val="left" w:pos="3030"/>
          <w:tab w:val="left" w:pos="3630"/>
        </w:tabs>
        <w:kinsoku w:val="0"/>
        <w:overflowPunct w:val="0"/>
        <w:ind w:left="691" w:leftChars="329" w:right="48" w:rightChars="23" w:firstLine="3088" w:firstLineChars="128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4"/>
        <w:kinsoku w:val="0"/>
        <w:overflowPunct w:val="0"/>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4"/>
        <w:kinsoku w:val="0"/>
        <w:overflowPunct w:val="0"/>
      </w:pPr>
    </w:p>
    <w:p>
      <w:pPr>
        <w:pStyle w:val="10"/>
        <w:kinsoku w:val="0"/>
        <w:overflowPunct w:val="0"/>
        <w:ind w:left="0"/>
        <w:jc w:val="center"/>
        <w:rPr>
          <w:rFonts w:hint="default"/>
        </w:rPr>
      </w:pPr>
      <w:r>
        <w:rPr>
          <w:rFonts w:ascii="黑体" w:hAnsi="黑体" w:eastAsia="黑体"/>
        </w:rPr>
        <w:t>8</w:t>
      </w:r>
      <w:r>
        <w:t>、评审所需要的其他商务文件</w:t>
      </w:r>
    </w:p>
    <w:p>
      <w:pPr>
        <w:pStyle w:val="14"/>
        <w:kinsoku w:val="0"/>
        <w:overflowPunct w:val="0"/>
        <w:rPr>
          <w:rFonts w:ascii="黑体" w:hAnsi="黑体" w:eastAsia="黑体"/>
          <w:sz w:val="36"/>
        </w:rPr>
      </w:pPr>
    </w:p>
    <w:p>
      <w:pPr>
        <w:pStyle w:val="11"/>
        <w:kinsoku w:val="0"/>
        <w:overflowPunct w:val="0"/>
        <w:rPr>
          <w:rFonts w:hint="default"/>
          <w:b w:val="0"/>
          <w:bCs/>
        </w:rPr>
      </w:pPr>
      <w:r>
        <w:rPr>
          <w:b w:val="0"/>
          <w:bCs/>
        </w:rPr>
        <w:t>由投标人根据招标文件要求提供相应资料。</w:t>
      </w:r>
    </w:p>
    <w:p>
      <w:pPr>
        <w:pStyle w:val="14"/>
        <w:kinsoku w:val="0"/>
        <w:overflowPunct w:val="0"/>
        <w:rPr>
          <w:b/>
          <w:sz w:val="24"/>
        </w:rPr>
      </w:pPr>
    </w:p>
    <w:p>
      <w:pPr>
        <w:pStyle w:val="14"/>
        <w:kinsoku w:val="0"/>
        <w:overflowPunct w:val="0"/>
        <w:rPr>
          <w:b/>
          <w:sz w:val="24"/>
        </w:rPr>
      </w:pPr>
    </w:p>
    <w:p>
      <w:pPr>
        <w:pStyle w:val="14"/>
        <w:kinsoku w:val="0"/>
        <w:overflowPunct w:val="0"/>
        <w:rPr>
          <w:b/>
          <w:sz w:val="23"/>
        </w:rPr>
      </w:pPr>
    </w:p>
    <w:p>
      <w:pPr>
        <w:pStyle w:val="14"/>
        <w:kinsoku w:val="0"/>
        <w:overflowPunct w:val="0"/>
        <w:ind w:left="11" w:right="13"/>
        <w:jc w:val="center"/>
        <w:rPr>
          <w:rFonts w:ascii="黑体" w:hAnsi="黑体" w:eastAsia="黑体"/>
        </w:rPr>
      </w:pPr>
      <w:r>
        <w:rPr>
          <w:rFonts w:hint="eastAsia" w:ascii="黑体" w:hAnsi="黑体" w:eastAsia="黑体"/>
        </w:rPr>
        <w:t>9、投标人须知第</w:t>
      </w:r>
      <w:r>
        <w:rPr>
          <w:rFonts w:hint="eastAsia" w:ascii="黑体" w:hAnsi="黑体" w:eastAsia="黑体"/>
          <w:spacing w:val="-73"/>
        </w:rPr>
        <w:t xml:space="preserve"> </w:t>
      </w:r>
      <w:r>
        <w:rPr>
          <w:rFonts w:hint="eastAsia" w:ascii="黑体" w:hAnsi="黑体" w:eastAsia="黑体"/>
        </w:rPr>
        <w:t>14</w:t>
      </w:r>
      <w:r>
        <w:rPr>
          <w:rFonts w:hint="eastAsia" w:ascii="黑体" w:hAnsi="黑体" w:eastAsia="黑体"/>
          <w:spacing w:val="-74"/>
        </w:rPr>
        <w:t xml:space="preserve"> </w:t>
      </w:r>
      <w:r>
        <w:rPr>
          <w:rFonts w:hint="eastAsia" w:ascii="黑体" w:hAnsi="黑体" w:eastAsia="黑体"/>
        </w:rPr>
        <w:t>条的所有技术文件</w:t>
      </w:r>
    </w:p>
    <w:p>
      <w:pPr>
        <w:pStyle w:val="14"/>
        <w:kinsoku w:val="0"/>
        <w:overflowPunct w:val="0"/>
        <w:rPr>
          <w:rFonts w:ascii="黑体" w:hAnsi="黑体" w:eastAsia="黑体"/>
          <w:sz w:val="35"/>
        </w:rPr>
      </w:pPr>
    </w:p>
    <w:p>
      <w:pPr>
        <w:pStyle w:val="14"/>
        <w:kinsoku w:val="0"/>
        <w:overflowPunct w:val="0"/>
        <w:ind w:left="149"/>
        <w:rPr>
          <w:rFonts w:ascii="宋体" w:hAnsi="宋体" w:eastAsia="宋体" w:cs="宋体"/>
          <w:bCs/>
          <w:sz w:val="24"/>
        </w:rPr>
      </w:pPr>
      <w:r>
        <w:rPr>
          <w:rFonts w:hint="eastAsia" w:ascii="宋体" w:hAnsi="宋体" w:eastAsia="宋体" w:cs="宋体"/>
          <w:bCs/>
          <w:sz w:val="24"/>
        </w:rPr>
        <w:t>由投标人根据招标文件要求提供相应资料。</w:t>
      </w:r>
    </w:p>
    <w:p>
      <w:pPr>
        <w:pStyle w:val="14"/>
        <w:kinsoku w:val="0"/>
        <w:overflowPunct w:val="0"/>
        <w:rPr>
          <w:b/>
          <w:sz w:val="24"/>
        </w:rPr>
      </w:pPr>
    </w:p>
    <w:p>
      <w:pPr>
        <w:pStyle w:val="14"/>
        <w:kinsoku w:val="0"/>
        <w:overflowPunct w:val="0"/>
        <w:rPr>
          <w:b/>
          <w:sz w:val="24"/>
        </w:rPr>
      </w:pPr>
    </w:p>
    <w:p>
      <w:pPr>
        <w:pStyle w:val="14"/>
        <w:kinsoku w:val="0"/>
        <w:overflowPunct w:val="0"/>
        <w:rPr>
          <w:b/>
          <w:sz w:val="23"/>
        </w:rPr>
      </w:pPr>
    </w:p>
    <w:p>
      <w:pPr>
        <w:pStyle w:val="14"/>
        <w:kinsoku w:val="0"/>
        <w:overflowPunct w:val="0"/>
        <w:jc w:val="center"/>
        <w:rPr>
          <w:rFonts w:ascii="黑体" w:hAnsi="黑体" w:eastAsia="黑体"/>
        </w:rPr>
      </w:pPr>
      <w:r>
        <w:rPr>
          <w:rFonts w:hint="eastAsia" w:ascii="黑体" w:hAnsi="黑体" w:eastAsia="黑体"/>
        </w:rPr>
        <w:t>10、投标须知前附表要求的其它文件</w:t>
      </w:r>
    </w:p>
    <w:p>
      <w:pPr>
        <w:pStyle w:val="14"/>
        <w:kinsoku w:val="0"/>
        <w:overflowPunct w:val="0"/>
        <w:rPr>
          <w:rFonts w:ascii="黑体" w:hAnsi="黑体" w:eastAsia="黑体"/>
          <w:sz w:val="35"/>
        </w:rPr>
      </w:pPr>
    </w:p>
    <w:p>
      <w:pPr>
        <w:pStyle w:val="14"/>
        <w:kinsoku w:val="0"/>
        <w:overflowPunct w:val="0"/>
        <w:ind w:left="149"/>
        <w:rPr>
          <w:rFonts w:ascii="宋体" w:hAnsi="宋体" w:eastAsia="宋体" w:cs="宋体"/>
          <w:bCs/>
          <w:sz w:val="24"/>
        </w:rPr>
      </w:pPr>
      <w:r>
        <w:rPr>
          <w:rFonts w:hint="eastAsia" w:ascii="宋体" w:hAnsi="宋体" w:eastAsia="宋体" w:cs="宋体"/>
          <w:bCs/>
          <w:sz w:val="24"/>
        </w:rPr>
        <w:t>由投标人根据招标文件要求提供相应资料。</w:t>
      </w:r>
    </w:p>
    <w:p>
      <w:pPr>
        <w:pStyle w:val="14"/>
        <w:kinsoku w:val="0"/>
        <w:overflowPunct w:val="0"/>
        <w:rPr>
          <w:b/>
          <w:sz w:val="24"/>
        </w:rPr>
      </w:pPr>
    </w:p>
    <w:p>
      <w:pPr>
        <w:pStyle w:val="14"/>
        <w:kinsoku w:val="0"/>
        <w:overflowPunct w:val="0"/>
        <w:rPr>
          <w:b/>
          <w:sz w:val="24"/>
        </w:rPr>
      </w:pPr>
    </w:p>
    <w:p>
      <w:pPr>
        <w:pStyle w:val="14"/>
        <w:kinsoku w:val="0"/>
        <w:overflowPunct w:val="0"/>
        <w:rPr>
          <w:b/>
          <w:sz w:val="23"/>
        </w:rPr>
      </w:pPr>
    </w:p>
    <w:p>
      <w:pPr>
        <w:pStyle w:val="14"/>
        <w:kinsoku w:val="0"/>
        <w:overflowPunct w:val="0"/>
        <w:jc w:val="center"/>
        <w:rPr>
          <w:rFonts w:ascii="黑体" w:hAnsi="黑体" w:eastAsia="黑体"/>
        </w:rPr>
      </w:pPr>
      <w:r>
        <w:rPr>
          <w:rFonts w:hint="eastAsia" w:ascii="黑体" w:hAnsi="黑体" w:eastAsia="黑体"/>
        </w:rPr>
        <w:t>11、投标人认为需要提供的相关资料</w:t>
      </w:r>
    </w:p>
    <w:p>
      <w:pPr>
        <w:pStyle w:val="14"/>
        <w:kinsoku w:val="0"/>
        <w:overflowPunct w:val="0"/>
        <w:jc w:val="center"/>
        <w:rPr>
          <w:rFonts w:ascii="黑体" w:hAnsi="黑体" w:eastAsia="黑体"/>
        </w:rPr>
        <w:sectPr>
          <w:pgSz w:w="11910" w:h="16840"/>
          <w:pgMar w:top="1080" w:right="1380" w:bottom="1200" w:left="1440" w:header="875" w:footer="1003" w:gutter="0"/>
          <w:cols w:space="720" w:num="1"/>
        </w:sectPr>
      </w:pPr>
    </w:p>
    <w:p>
      <w:pPr>
        <w:pStyle w:val="3"/>
        <w:jc w:val="center"/>
        <w:rPr>
          <w:sz w:val="30"/>
          <w:szCs w:val="30"/>
        </w:rPr>
      </w:pPr>
      <w:bookmarkStart w:id="65" w:name="_Toc21497"/>
      <w:r>
        <w:rPr>
          <w:rFonts w:hint="eastAsia"/>
          <w:sz w:val="30"/>
          <w:szCs w:val="30"/>
        </w:rPr>
        <w:t xml:space="preserve">第六章  </w:t>
      </w:r>
      <w:bookmarkEnd w:id="63"/>
      <w:bookmarkEnd w:id="64"/>
      <w:bookmarkStart w:id="66" w:name="_Toc13891_WPSOffice_Level1"/>
      <w:r>
        <w:rPr>
          <w:rFonts w:hint="eastAsia"/>
          <w:sz w:val="30"/>
          <w:szCs w:val="30"/>
        </w:rPr>
        <w:t>政府采购合同格式</w:t>
      </w:r>
      <w:bookmarkEnd w:id="65"/>
      <w:bookmarkEnd w:id="66"/>
    </w:p>
    <w:p>
      <w:pPr>
        <w:snapToGrid w:val="0"/>
        <w:spacing w:line="360" w:lineRule="auto"/>
        <w:ind w:firstLine="480" w:firstLineChars="200"/>
        <w:rPr>
          <w:rFonts w:ascii="宋体" w:hAnsi="宋体" w:cs="宋体"/>
          <w:sz w:val="24"/>
          <w:szCs w:val="24"/>
        </w:rPr>
      </w:pP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采购人（甲方）：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供应商（乙方）：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签订时间：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签订地点：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本项目经</w:t>
      </w:r>
      <w:r>
        <w:rPr>
          <w:rFonts w:hint="eastAsia" w:ascii="宋体" w:hAnsi="宋体" w:cs="宋体"/>
          <w:sz w:val="24"/>
          <w:szCs w:val="24"/>
          <w:u w:val="single"/>
        </w:rPr>
        <w:t xml:space="preserve">            </w:t>
      </w:r>
      <w:r>
        <w:rPr>
          <w:rFonts w:hint="eastAsia" w:ascii="宋体" w:hAnsi="宋体" w:cs="宋体"/>
          <w:sz w:val="24"/>
          <w:szCs w:val="24"/>
        </w:rPr>
        <w:t>批准,采用</w:t>
      </w:r>
      <w:r>
        <w:rPr>
          <w:rFonts w:hint="eastAsia" w:ascii="宋体" w:hAnsi="宋体" w:cs="宋体"/>
          <w:sz w:val="24"/>
          <w:szCs w:val="24"/>
          <w:u w:val="single"/>
        </w:rPr>
        <w:t xml:space="preserve">  公开招标  </w:t>
      </w:r>
      <w:r>
        <w:rPr>
          <w:rFonts w:hint="eastAsia" w:ascii="宋体" w:hAnsi="宋体" w:cs="宋体"/>
          <w:sz w:val="24"/>
          <w:szCs w:val="24"/>
        </w:rPr>
        <w:t>方式由河南首招建设管理有限公司依法组织采购，经评审委员会评审，决定将</w:t>
      </w:r>
      <w:r>
        <w:rPr>
          <w:rFonts w:hint="eastAsia" w:ascii="宋体" w:hAnsi="宋体" w:cs="宋体"/>
          <w:sz w:val="24"/>
          <w:szCs w:val="24"/>
          <w:u w:val="single"/>
        </w:rPr>
        <w:t xml:space="preserve">                </w:t>
      </w:r>
      <w:r>
        <w:rPr>
          <w:rFonts w:hint="eastAsia" w:ascii="宋体" w:hAnsi="宋体" w:cs="宋体"/>
          <w:sz w:val="24"/>
          <w:szCs w:val="24"/>
        </w:rPr>
        <w:t>政府采购合同授予乙方。为进一步明确甲乙双方的责任，确保合同顺利履行，根据《中华人民共和国政府采购法》及其实施条例、《中华人民共和国合同法》以及本项目中标（成交）结果，甲乙双方充分协商，订立合同，共同遵守。</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第一条 产品的名称、品种、规格、数量和价格：（若产品过多可附表，如附表必须加盖公章）</w:t>
      </w:r>
    </w:p>
    <w:tbl>
      <w:tblPr>
        <w:tblStyle w:val="33"/>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20"/>
        <w:gridCol w:w="900"/>
        <w:gridCol w:w="900"/>
        <w:gridCol w:w="1069"/>
        <w:gridCol w:w="124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tcPr>
          <w:p>
            <w:pPr>
              <w:snapToGrid w:val="0"/>
              <w:spacing w:before="156" w:beforeLines="50" w:beforeAutospacing="1" w:after="93" w:afterLines="30" w:afterAutospacing="1" w:line="360" w:lineRule="auto"/>
              <w:ind w:firstLine="480" w:firstLineChars="200"/>
              <w:jc w:val="center"/>
              <w:rPr>
                <w:rFonts w:ascii="宋体" w:hAnsi="宋体" w:cs="宋体"/>
                <w:sz w:val="24"/>
                <w:szCs w:val="24"/>
              </w:rPr>
            </w:pPr>
            <w:r>
              <w:rPr>
                <w:rFonts w:hint="eastAsia" w:ascii="宋体" w:hAnsi="宋体" w:cs="宋体"/>
                <w:sz w:val="24"/>
                <w:szCs w:val="24"/>
              </w:rPr>
              <w:t>产品名称</w:t>
            </w:r>
          </w:p>
        </w:tc>
        <w:tc>
          <w:tcPr>
            <w:tcW w:w="1620" w:type="dxa"/>
          </w:tcPr>
          <w:p>
            <w:pPr>
              <w:snapToGrid w:val="0"/>
              <w:spacing w:before="156" w:beforeLines="50" w:beforeAutospacing="1" w:after="93" w:afterLines="30" w:afterAutospacing="1" w:line="360" w:lineRule="auto"/>
              <w:rPr>
                <w:rFonts w:ascii="宋体" w:hAnsi="宋体" w:cs="宋体"/>
                <w:sz w:val="24"/>
                <w:szCs w:val="24"/>
              </w:rPr>
            </w:pPr>
            <w:r>
              <w:rPr>
                <w:rFonts w:hint="eastAsia" w:ascii="宋体" w:hAnsi="宋体" w:cs="宋体"/>
                <w:sz w:val="24"/>
                <w:szCs w:val="24"/>
              </w:rPr>
              <w:t>规格型号</w:t>
            </w:r>
          </w:p>
        </w:tc>
        <w:tc>
          <w:tcPr>
            <w:tcW w:w="900" w:type="dxa"/>
          </w:tcPr>
          <w:p>
            <w:pPr>
              <w:snapToGrid w:val="0"/>
              <w:spacing w:before="156" w:beforeLines="50" w:beforeAutospacing="1" w:after="93" w:afterLines="30" w:afterAutospacing="1" w:line="360" w:lineRule="auto"/>
              <w:rPr>
                <w:rFonts w:ascii="宋体" w:hAnsi="宋体" w:cs="宋体"/>
                <w:sz w:val="24"/>
                <w:szCs w:val="24"/>
              </w:rPr>
            </w:pPr>
            <w:r>
              <w:rPr>
                <w:rFonts w:hint="eastAsia" w:ascii="宋体" w:hAnsi="宋体" w:cs="宋体"/>
                <w:sz w:val="24"/>
                <w:szCs w:val="24"/>
              </w:rPr>
              <w:t>单位</w:t>
            </w:r>
          </w:p>
        </w:tc>
        <w:tc>
          <w:tcPr>
            <w:tcW w:w="900" w:type="dxa"/>
          </w:tcPr>
          <w:p>
            <w:pPr>
              <w:snapToGrid w:val="0"/>
              <w:spacing w:before="156" w:beforeLines="50" w:beforeAutospacing="1" w:after="93" w:afterLines="30" w:afterAutospacing="1" w:line="360" w:lineRule="auto"/>
              <w:rPr>
                <w:rFonts w:ascii="宋体" w:hAnsi="宋体" w:cs="宋体"/>
                <w:sz w:val="24"/>
                <w:szCs w:val="24"/>
              </w:rPr>
            </w:pPr>
            <w:r>
              <w:rPr>
                <w:rFonts w:hint="eastAsia" w:ascii="宋体" w:hAnsi="宋体" w:cs="宋体"/>
                <w:sz w:val="24"/>
                <w:szCs w:val="24"/>
              </w:rPr>
              <w:t>数量</w:t>
            </w:r>
          </w:p>
        </w:tc>
        <w:tc>
          <w:tcPr>
            <w:tcW w:w="1069" w:type="dxa"/>
          </w:tcPr>
          <w:p>
            <w:pPr>
              <w:snapToGrid w:val="0"/>
              <w:spacing w:before="156" w:beforeLines="50" w:beforeAutospacing="1" w:after="93" w:afterLines="30" w:afterAutospacing="1" w:line="360" w:lineRule="auto"/>
              <w:rPr>
                <w:rFonts w:ascii="宋体" w:hAnsi="宋体" w:cs="宋体"/>
                <w:sz w:val="24"/>
                <w:szCs w:val="24"/>
              </w:rPr>
            </w:pPr>
            <w:r>
              <w:rPr>
                <w:rFonts w:hint="eastAsia" w:ascii="宋体" w:hAnsi="宋体" w:cs="宋体"/>
                <w:sz w:val="24"/>
                <w:szCs w:val="24"/>
              </w:rPr>
              <w:t>单价</w:t>
            </w:r>
          </w:p>
        </w:tc>
        <w:tc>
          <w:tcPr>
            <w:tcW w:w="1247" w:type="dxa"/>
          </w:tcPr>
          <w:p>
            <w:pPr>
              <w:snapToGrid w:val="0"/>
              <w:spacing w:before="156" w:beforeLines="50" w:beforeAutospacing="1" w:after="93" w:afterLines="30" w:afterAutospacing="1" w:line="360" w:lineRule="auto"/>
              <w:rPr>
                <w:rFonts w:ascii="宋体" w:hAnsi="宋体" w:cs="宋体"/>
                <w:sz w:val="24"/>
                <w:szCs w:val="24"/>
              </w:rPr>
            </w:pPr>
            <w:r>
              <w:rPr>
                <w:rFonts w:hint="eastAsia" w:ascii="宋体" w:hAnsi="宋体" w:cs="宋体"/>
                <w:sz w:val="24"/>
                <w:szCs w:val="24"/>
              </w:rPr>
              <w:t>小计</w:t>
            </w:r>
          </w:p>
        </w:tc>
        <w:tc>
          <w:tcPr>
            <w:tcW w:w="1104" w:type="dxa"/>
          </w:tcPr>
          <w:p>
            <w:pPr>
              <w:snapToGrid w:val="0"/>
              <w:spacing w:before="156" w:beforeLines="50" w:beforeAutospacing="1" w:after="93" w:afterLines="30" w:afterAutospacing="1" w:line="360" w:lineRule="auto"/>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62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069"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247"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104"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62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069"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247"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104"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62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069"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247"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104"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62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900"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069"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247"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c>
          <w:tcPr>
            <w:tcW w:w="1104" w:type="dxa"/>
          </w:tcPr>
          <w:p>
            <w:pPr>
              <w:snapToGrid w:val="0"/>
              <w:spacing w:before="156" w:beforeLines="50" w:beforeAutospacing="1" w:after="93" w:afterLines="30" w:afterAutospacing="1"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820" w:type="dxa"/>
            <w:gridSpan w:val="7"/>
          </w:tcPr>
          <w:p>
            <w:pPr>
              <w:snapToGrid w:val="0"/>
              <w:spacing w:before="156" w:beforeLines="50" w:beforeAutospacing="1" w:after="93" w:afterLines="30" w:afterAutospacing="1" w:line="360" w:lineRule="auto"/>
              <w:ind w:firstLine="480" w:firstLineChars="200"/>
              <w:rPr>
                <w:rFonts w:ascii="宋体" w:hAnsi="宋体" w:cs="宋体"/>
                <w:sz w:val="24"/>
                <w:szCs w:val="24"/>
              </w:rPr>
            </w:pPr>
            <w:r>
              <w:rPr>
                <w:rFonts w:hint="eastAsia" w:ascii="宋体" w:hAnsi="宋体" w:cs="宋体"/>
                <w:sz w:val="24"/>
                <w:szCs w:val="24"/>
              </w:rPr>
              <w:t>合同总价款（大小写）：</w:t>
            </w:r>
          </w:p>
        </w:tc>
      </w:tr>
    </w:tbl>
    <w:p>
      <w:pPr>
        <w:snapToGrid w:val="0"/>
        <w:spacing w:before="312" w:beforeLines="100" w:line="360" w:lineRule="auto"/>
        <w:ind w:firstLine="480" w:firstLineChars="200"/>
        <w:rPr>
          <w:rFonts w:ascii="宋体" w:hAnsi="宋体" w:cs="宋体"/>
          <w:sz w:val="24"/>
          <w:szCs w:val="24"/>
        </w:rPr>
      </w:pPr>
      <w:r>
        <w:rPr>
          <w:rFonts w:hint="eastAsia" w:ascii="宋体" w:hAnsi="宋体" w:cs="宋体"/>
          <w:sz w:val="24"/>
          <w:szCs w:val="24"/>
        </w:rPr>
        <w:t>第二条   产品的技术标准（包括质量要求），按下列第（ ）项执行：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（1）按国家标准执行；（2）按部颁标准执行；（3）执行不低于同行业质量标准；（4）按甲乙双方在合同中商定的技术条件、样品或补充的技术要求执行。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乙方提供和交付的货物技术标准应与招标文件规定的技术标准相一致。若技术标准中无相应规定，所投货物应符合相应的国际标准或原产地国家有关部门最新颁布的相应的正式标准。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进口产品的质量标准为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第三条   产品的包装标准和包装物的供应与回收。</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（国家或行业主管部门有技术规定的，按技术规定执行；国家与行业主管部门无技术规定的，由甲乙双方商定。）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【注：合同中约定的包装标准应与乙方在投标书中承诺的一致，且投标书应作为合同附件与合同具有同等法律效力。】</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第四条  产品的供货方法、到货地点和供货期限</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1.供货方法，按下列第（ ）项执行：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（1）乙方送货上门；（2）乙方代运；（3）甲方自提自运。</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2.到货地点：</w:t>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softHyphen/>
      </w:r>
      <w:r>
        <w:rPr>
          <w:rFonts w:hint="eastAsia" w:ascii="宋体" w:hAnsi="宋体" w:cs="宋体"/>
          <w:sz w:val="24"/>
          <w:szCs w:val="24"/>
        </w:rPr>
        <w:t xml:space="preserve">                 (甲方指定的任何地点，安装并调试。)</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3.产品的供货期限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第五条  合同总价款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合同总价款（大小写）：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第六条  付款条件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本合同以人民币付款。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具体付款方式：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第七条  验收方法</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乙方安装调试后，在</w:t>
      </w:r>
      <w:r>
        <w:rPr>
          <w:rFonts w:hint="eastAsia" w:ascii="宋体" w:hAnsi="宋体" w:cs="宋体"/>
          <w:sz w:val="24"/>
          <w:szCs w:val="24"/>
          <w:u w:val="single"/>
        </w:rPr>
        <w:t xml:space="preserve">      </w:t>
      </w:r>
      <w:r>
        <w:rPr>
          <w:rFonts w:hint="eastAsia" w:ascii="宋体" w:hAnsi="宋体" w:cs="宋体"/>
          <w:sz w:val="24"/>
          <w:szCs w:val="24"/>
        </w:rPr>
        <w:t>天内通知甲方组织验收。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第八条  对产品提出异议的时间和办法</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1.甲方在验收中，如果发现产品不符合合同约定的，应一面妥为保管，一面在</w:t>
      </w:r>
      <w:r>
        <w:rPr>
          <w:rFonts w:hint="eastAsia" w:ascii="宋体" w:hAnsi="宋体" w:cs="宋体"/>
          <w:sz w:val="24"/>
          <w:szCs w:val="24"/>
          <w:u w:val="single"/>
        </w:rPr>
        <w:t xml:space="preserve">         </w:t>
      </w:r>
      <w:r>
        <w:rPr>
          <w:rFonts w:hint="eastAsia" w:ascii="宋体" w:hAnsi="宋体" w:cs="宋体"/>
          <w:sz w:val="24"/>
          <w:szCs w:val="24"/>
        </w:rPr>
        <w:t>工作日内向乙方书面提出异议，并书面报告示范区采购办。具体说明产品不符合规定的内容并附相关验收材料，同时提出不符合规定产品的处理意见。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2.甲方因使用、保管、保养不善等造成产品质量下降的，不得提出异议。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3.乙方在接到甲方异议后，应在</w:t>
      </w:r>
      <w:r>
        <w:rPr>
          <w:rFonts w:hint="eastAsia" w:ascii="宋体" w:hAnsi="宋体" w:cs="宋体"/>
          <w:sz w:val="24"/>
          <w:szCs w:val="24"/>
          <w:u w:val="single"/>
        </w:rPr>
        <w:t xml:space="preserve">         </w:t>
      </w:r>
      <w:r>
        <w:rPr>
          <w:rFonts w:hint="eastAsia" w:ascii="宋体" w:hAnsi="宋体" w:cs="宋体"/>
          <w:sz w:val="24"/>
          <w:szCs w:val="24"/>
        </w:rPr>
        <w:t>工作日内负责处理，否则，即视为默认甲方提出的异议和处理意见。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第九条  乙方应提供完善周到的技术支持和售后服务。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（1）保修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乙方对其所提供的货物免费保修</w:t>
      </w:r>
      <w:r>
        <w:rPr>
          <w:rFonts w:hint="eastAsia" w:ascii="宋体" w:hAnsi="宋体" w:cs="宋体"/>
          <w:sz w:val="24"/>
          <w:szCs w:val="24"/>
          <w:u w:val="single"/>
        </w:rPr>
        <w:t xml:space="preserve">      </w:t>
      </w:r>
      <w:r>
        <w:rPr>
          <w:rFonts w:hint="eastAsia" w:ascii="宋体" w:hAnsi="宋体" w:cs="宋体"/>
          <w:sz w:val="24"/>
          <w:szCs w:val="24"/>
        </w:rPr>
        <w:t>年，保修期从</w:t>
      </w:r>
      <w:r>
        <w:rPr>
          <w:rFonts w:hint="eastAsia" w:ascii="宋体" w:hAnsi="宋体" w:cs="宋体"/>
          <w:sz w:val="24"/>
          <w:szCs w:val="24"/>
          <w:u w:val="single"/>
        </w:rPr>
        <w:t xml:space="preserve">            </w:t>
      </w:r>
      <w:r>
        <w:rPr>
          <w:rFonts w:hint="eastAsia" w:ascii="宋体" w:hAnsi="宋体" w:cs="宋体"/>
          <w:sz w:val="24"/>
          <w:szCs w:val="24"/>
        </w:rPr>
        <w:t>开始。乙方应在接到报修通知后</w:t>
      </w:r>
      <w:r>
        <w:rPr>
          <w:rFonts w:hint="eastAsia" w:ascii="宋体" w:hAnsi="宋体" w:cs="宋体"/>
          <w:sz w:val="24"/>
          <w:szCs w:val="24"/>
          <w:u w:val="single"/>
        </w:rPr>
        <w:t xml:space="preserve">      </w:t>
      </w:r>
      <w:r>
        <w:rPr>
          <w:rFonts w:hint="eastAsia" w:ascii="宋体" w:hAnsi="宋体" w:cs="宋体"/>
          <w:sz w:val="24"/>
          <w:szCs w:val="24"/>
        </w:rPr>
        <w:t>内上门维修，负责更换有瑕疵的货物、部件或提供相应的质量保证期内的服务。由此造成的损失，甲方保留索赔的权利。</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如果乙方在收到报修通知后</w:t>
      </w:r>
      <w:r>
        <w:rPr>
          <w:rFonts w:hint="eastAsia" w:ascii="宋体" w:hAnsi="宋体" w:cs="宋体"/>
          <w:sz w:val="24"/>
          <w:szCs w:val="24"/>
          <w:u w:val="single"/>
        </w:rPr>
        <w:t xml:space="preserve">      </w:t>
      </w:r>
      <w:r>
        <w:rPr>
          <w:rFonts w:hint="eastAsia" w:ascii="宋体" w:hAnsi="宋体" w:cs="宋体"/>
          <w:sz w:val="24"/>
          <w:szCs w:val="24"/>
        </w:rPr>
        <w:t>内没有弥补缺陷，甲方可采取必要的补救措施，但费用和风险由乙方承担。</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（2）维修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保修期届满后，乙方应对其提供的货物负有维修义务，但所涉及的费用由甲方承担（投标另有承诺的除外）。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第十条  乙方的违约责任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1.乙方不能供货的，应向甲方偿付不能供货部分货款的</w:t>
      </w:r>
      <w:r>
        <w:rPr>
          <w:rFonts w:hint="eastAsia" w:ascii="宋体" w:hAnsi="宋体" w:cs="宋体"/>
          <w:sz w:val="24"/>
          <w:szCs w:val="24"/>
          <w:u w:val="single"/>
        </w:rPr>
        <w:t xml:space="preserve">      </w:t>
      </w:r>
      <w:r>
        <w:rPr>
          <w:rFonts w:hint="eastAsia" w:ascii="宋体" w:hAnsi="宋体" w:cs="宋体"/>
          <w:sz w:val="24"/>
          <w:szCs w:val="24"/>
        </w:rPr>
        <w:t>%（通用产品的幅度为1%－10%，专用产品的幅度为10%－30%）的违约金。</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乙方因产品包装不符合合同规定，必须返修或重新包装的，乙方应负责返修或重新包装，并承担支付费用。因包装不符合规定造成货物损坏或灭失的，乙方应当负责赔偿。每件货物包装箱内应附一份详细装箱单和质量证书。为进口件的，应出具报关手续和原产地、原产工厂证明、报关手续和商检证明等。</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如果乙方没有按照规定的时间供货、完成设备安装和提供服务，甲方将对其课以罚款，罚款应从货款中扣除，罚款应按每周迟供货物或未提供服务供货价的0.5%计收。但罚款的最高限额为迟供货物或提供服务合同价的5%。一周按7天计算，不足7天按一周计算。如果达到最高限额，甲方应考虑终止合同，由此给甲方造成的损失由乙方承担。</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4.乙方提前供货的产品、多交的产品和不符合合同规定的产品，甲方在代保管期内实际支付的保管、保养等费用以及非因甲方保管不善而发生的损失，应当由乙方承担。</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5.乙方应对其所提供的货物承担所有权担保责任，并应保证甲方在中华人民共和国内使用该货物时不侵犯第三人的知识产权。否则乙方应承担由此引起的一切法律责任及费用。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6.任何一方未经对方同意而单方面终止合同的，应向对方赔偿相当于本合同总价款</w:t>
      </w:r>
      <w:r>
        <w:rPr>
          <w:rFonts w:hint="eastAsia" w:ascii="宋体" w:hAnsi="宋体" w:cs="宋体"/>
          <w:sz w:val="24"/>
          <w:szCs w:val="24"/>
          <w:u w:val="single"/>
        </w:rPr>
        <w:t xml:space="preserve">      </w:t>
      </w:r>
      <w:r>
        <w:rPr>
          <w:rFonts w:hint="eastAsia" w:ascii="宋体" w:hAnsi="宋体" w:cs="宋体"/>
          <w:sz w:val="24"/>
          <w:szCs w:val="24"/>
        </w:rPr>
        <w:t>%违约金。</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第十一条  甲方的违约责任</w:t>
      </w:r>
    </w:p>
    <w:p>
      <w:pPr>
        <w:wordWrap w:val="0"/>
        <w:snapToGrid w:val="0"/>
        <w:spacing w:line="360" w:lineRule="auto"/>
        <w:ind w:firstLine="480" w:firstLineChars="200"/>
        <w:rPr>
          <w:rFonts w:ascii="宋体" w:hAnsi="宋体" w:cs="宋体"/>
          <w:sz w:val="24"/>
          <w:szCs w:val="24"/>
        </w:rPr>
      </w:pPr>
      <w:r>
        <w:rPr>
          <w:rFonts w:hint="eastAsia" w:ascii="宋体" w:hAnsi="宋体" w:cs="宋体"/>
          <w:sz w:val="24"/>
          <w:szCs w:val="24"/>
        </w:rPr>
        <w:t>1.甲方中途退货，应向乙方偿付退货部分</w:t>
      </w:r>
      <w:r>
        <w:rPr>
          <w:rFonts w:hint="eastAsia" w:ascii="宋体" w:hAnsi="宋体" w:cs="宋体"/>
          <w:sz w:val="24"/>
          <w:szCs w:val="24"/>
          <w:u w:val="single"/>
        </w:rPr>
        <w:t>   </w:t>
      </w:r>
      <w:r>
        <w:rPr>
          <w:rFonts w:hint="eastAsia" w:ascii="宋体" w:hAnsi="宋体" w:cs="宋体"/>
          <w:sz w:val="24"/>
          <w:szCs w:val="24"/>
        </w:rPr>
        <w:t xml:space="preserve"> %（通用产品的幅度为1%-10%，专用产品的幅度为10%-30%）的违约金。</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2.甲方违反合同规定拒绝接货的，应当承担由此造成的损失。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第十二条  不可抗力</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⑴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⑵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第十三条  履约保证金</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（1）本项目履约保证金为</w:t>
      </w:r>
      <w:r>
        <w:rPr>
          <w:rFonts w:hint="eastAsia" w:ascii="宋体" w:hAnsi="宋体" w:cs="宋体"/>
          <w:sz w:val="24"/>
          <w:szCs w:val="24"/>
          <w:u w:val="single"/>
        </w:rPr>
        <w:t xml:space="preserve">             </w:t>
      </w:r>
      <w:r>
        <w:rPr>
          <w:rFonts w:hint="eastAsia" w:ascii="宋体" w:hAnsi="宋体" w:cs="宋体"/>
          <w:sz w:val="24"/>
          <w:szCs w:val="24"/>
        </w:rPr>
        <w:t>(人民币),期限</w:t>
      </w:r>
      <w:r>
        <w:rPr>
          <w:rFonts w:hint="eastAsia" w:ascii="宋体" w:hAnsi="宋体" w:cs="宋体"/>
          <w:sz w:val="24"/>
          <w:szCs w:val="24"/>
          <w:u w:val="single"/>
        </w:rPr>
        <w:t xml:space="preserve">       </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（2）乙方提供的履约保证金按规定格式以银行保函形式提供的，与此有关的费用由乙方承担。</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（3）乙方未能履行其合同规定的任何义务，甲方有权从履约保证金中取得补偿。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第十四条 转让与分包</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（1）除甲方事先书面同意外，乙方不得部分转让或全部转让其应履行的合同义务。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（2）乙方应在投标文件中或以其他书面形式对甲方确认本合同项下所授予的所有分包合同。但该确认不解除乙方承担的本合同下的任何责任或义务。意即在本合同项下，乙方对甲方负总责。</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第十五条   其他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按本合同规定应该偿付的违约金、赔偿金、保管保养费和各种经济损失，应当在明确责任后10天内，按银行规定的结算办法付清，否则按逾期付款处理。但任何一方不得自行扣发货物或扣付货款来充抵。</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本合同如发生纠纷，当事人双方应当及时协商解决，协商不成时，任何一方均可请采购管理机关调解，调解不成，按以下第（</w:t>
      </w:r>
      <w:r>
        <w:rPr>
          <w:rFonts w:hint="eastAsia" w:ascii="宋体" w:hAnsi="宋体" w:cs="宋体"/>
          <w:sz w:val="24"/>
          <w:szCs w:val="24"/>
          <w:u w:val="single"/>
        </w:rPr>
        <w:t xml:space="preserve">     </w:t>
      </w:r>
      <w:r>
        <w:rPr>
          <w:rFonts w:hint="eastAsia" w:ascii="宋体" w:hAnsi="宋体" w:cs="宋体"/>
          <w:sz w:val="24"/>
          <w:szCs w:val="24"/>
        </w:rPr>
        <w:t>）项方式处理：（1）根据《中华人民共和国仲裁法》的规定向南阳市仲裁委员会申请仲裁。（2）向合同签订地有管辖权的人民法院起诉。</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第十六条  本合同自甲乙双方当事人签字后生效。合同执行期内，甲乙双方均不得随意变更或解除合同。合同如有未尽事宜，须经双方共同协商，做出补充规定，补充规定与本合同具有同等效力，也可按照《中华人民共和国合同法》的规定执行。本合同一式 </w:t>
      </w:r>
      <w:r>
        <w:rPr>
          <w:rFonts w:hint="eastAsia" w:ascii="宋体" w:hAnsi="宋体" w:cs="宋体"/>
          <w:sz w:val="24"/>
          <w:szCs w:val="24"/>
          <w:u w:val="single"/>
        </w:rPr>
        <w:t xml:space="preserve">     </w:t>
      </w:r>
      <w:r>
        <w:rPr>
          <w:rFonts w:hint="eastAsia" w:ascii="宋体" w:hAnsi="宋体" w:cs="宋体"/>
          <w:sz w:val="24"/>
          <w:szCs w:val="24"/>
        </w:rPr>
        <w:t>份，甲乙双方各执</w:t>
      </w:r>
      <w:r>
        <w:rPr>
          <w:rFonts w:hint="eastAsia" w:ascii="宋体" w:hAnsi="宋体" w:cs="宋体"/>
          <w:sz w:val="24"/>
          <w:szCs w:val="24"/>
          <w:u w:val="single"/>
        </w:rPr>
        <w:t xml:space="preserve">    </w:t>
      </w:r>
      <w:r>
        <w:rPr>
          <w:rFonts w:hint="eastAsia" w:ascii="宋体" w:hAnsi="宋体" w:cs="宋体"/>
          <w:sz w:val="24"/>
          <w:szCs w:val="24"/>
        </w:rPr>
        <w:t>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第十七条 甲乙双方必须严格按照招标文件、投标文件及有关承诺签订采购合同，不得擅自变更。因双方擅自变更合同引发的一切问题，其后果和责任自负。</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第十八条  下列关于项目编号</w:t>
      </w:r>
      <w:r>
        <w:rPr>
          <w:rFonts w:hint="eastAsia" w:ascii="宋体" w:hAnsi="宋体" w:cs="宋体"/>
          <w:sz w:val="24"/>
          <w:szCs w:val="24"/>
          <w:u w:val="single"/>
        </w:rPr>
        <w:t xml:space="preserve">           </w:t>
      </w:r>
      <w:r>
        <w:rPr>
          <w:rFonts w:hint="eastAsia" w:ascii="宋体" w:hAnsi="宋体" w:cs="宋体"/>
          <w:sz w:val="24"/>
          <w:szCs w:val="24"/>
        </w:rPr>
        <w:t>的招标文件及有关附件是本合同不可分割的组成部分，与本合同具有同等法律效力，这些文件包括但不限于：（1）招标文件（2）乙方提供的投标文件（3）中标（成交）通知书（4）服务承诺；（5）甲乙双方商定的其他文件。以上附件顺序在前的具有优先解释权。</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采购人（甲方）：    （公章）       供应商（乙方）：     （公章）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地址：                            地址：</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                      法定代表人：</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委托代理人：                      委托代理人：</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电话：                            电话：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开户银行：                        开户银行：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账号：                            账号：</w:t>
      </w:r>
    </w:p>
    <w:p>
      <w:pPr>
        <w:snapToGrid w:val="0"/>
        <w:spacing w:line="360" w:lineRule="auto"/>
        <w:ind w:firstLine="480" w:firstLineChars="200"/>
        <w:rPr>
          <w:rFonts w:ascii="宋体" w:hAnsi="宋体" w:cs="宋体"/>
          <w:b/>
          <w:bCs/>
          <w:sz w:val="24"/>
          <w:szCs w:val="24"/>
        </w:rPr>
      </w:pPr>
      <w:r>
        <w:rPr>
          <w:rFonts w:hint="eastAsia" w:ascii="宋体" w:hAnsi="宋体" w:cs="宋体"/>
          <w:sz w:val="24"/>
          <w:szCs w:val="24"/>
        </w:rPr>
        <w:t xml:space="preserve">年   月   日                      年   月   日            </w:t>
      </w:r>
    </w:p>
    <w:p>
      <w:pPr>
        <w:pStyle w:val="7"/>
        <w:rPr>
          <w:b w:val="0"/>
          <w:bCs w:val="0"/>
          <w:sz w:val="32"/>
        </w:rPr>
      </w:pPr>
    </w:p>
    <w:sectPr>
      <w:footerReference r:id="rId6" w:type="default"/>
      <w:pgSz w:w="11906" w:h="16838"/>
      <w:pgMar w:top="1247" w:right="1416"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Lucida Sans Unicode‘">
    <w:altName w:val="宋体"/>
    <w:panose1 w:val="00000000000000000000"/>
    <w:charset w:val="86"/>
    <w:family w:val="roman"/>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GmCS9MAAAAFAQAADwAAAAAAAAABACAAAAAiAAAAZHJzL2Rvd25yZXYueG1sUEsBAhQA&#10;FAAAAAgAh07iQO/BZBi+AQAAZAMAAA4AAAAAAAAAAQAgAAAAIgEAAGRycy9lMm9Eb2MueG1sUEsF&#10;BgAAAAAGAAYAWQEAAFIFAAAAAA==&#10;">
              <v:fill on="f" focussize="0,0"/>
              <v:stroke on="f" weight="1.25pt"/>
              <v:imagedata o:title=""/>
              <o:lock v:ext="edit" aspectratio="f"/>
              <v:textbox inset="0mm,0mm,0mm,0mm" style="mso-fit-shape-to-text:t;">
                <w:txbxContent>
                  <w:p>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6idsFhcCAAAXBAAADgAAAAAA&#10;AAABACAAAAAfAQAAZHJzL2Uyb0RvYy54bWxQSwUGAAAAAAYABgBZAQAAqA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DBE5eCz&#10;AQAAWgMAAA4AAAAAAAAAAQAgAAAAHgEAAGRycy9lMm9Eb2MueG1sUEsFBgAAAAAGAAYAWQEAAEMF&#10;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left"/>
    </w:pPr>
    <w:r>
      <w:rPr>
        <w:rFonts w:hint="eastAsia"/>
        <w:szCs w:val="22"/>
      </w:rPr>
      <w:t xml:space="preserve">南阳市中级人民法院防暑处突装备（1.囚车；2.巡回审判车；3.执法执勤车）项目   </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48322"/>
    <w:multiLevelType w:val="singleLevel"/>
    <w:tmpl w:val="8EC48322"/>
    <w:lvl w:ilvl="0" w:tentative="0">
      <w:start w:val="2"/>
      <w:numFmt w:val="decimal"/>
      <w:suff w:val="nothing"/>
      <w:lvlText w:val="%1、"/>
      <w:lvlJc w:val="left"/>
    </w:lvl>
  </w:abstractNum>
  <w:abstractNum w:abstractNumId="1">
    <w:nsid w:val="8F243BFC"/>
    <w:multiLevelType w:val="singleLevel"/>
    <w:tmpl w:val="8F243BFC"/>
    <w:lvl w:ilvl="0" w:tentative="0">
      <w:start w:val="1"/>
      <w:numFmt w:val="chineseCounting"/>
      <w:suff w:val="nothing"/>
      <w:lvlText w:val="%1、"/>
      <w:lvlJc w:val="left"/>
      <w:rPr>
        <w:rFonts w:hint="eastAsia"/>
      </w:rPr>
    </w:lvl>
  </w:abstractNum>
  <w:abstractNum w:abstractNumId="2">
    <w:nsid w:val="9629EE2D"/>
    <w:multiLevelType w:val="singleLevel"/>
    <w:tmpl w:val="9629EE2D"/>
    <w:lvl w:ilvl="0" w:tentative="0">
      <w:start w:val="6"/>
      <w:numFmt w:val="decimal"/>
      <w:suff w:val="nothing"/>
      <w:lvlText w:val="（%1）"/>
      <w:lvlJc w:val="left"/>
    </w:lvl>
  </w:abstractNum>
  <w:abstractNum w:abstractNumId="3">
    <w:nsid w:val="F5BD5611"/>
    <w:multiLevelType w:val="singleLevel"/>
    <w:tmpl w:val="F5BD5611"/>
    <w:lvl w:ilvl="0" w:tentative="0">
      <w:start w:val="3"/>
      <w:numFmt w:val="decimal"/>
      <w:suff w:val="nothing"/>
      <w:lvlText w:val="%1、"/>
      <w:lvlJc w:val="left"/>
    </w:lvl>
  </w:abstractNum>
  <w:abstractNum w:abstractNumId="4">
    <w:nsid w:val="317A602A"/>
    <w:multiLevelType w:val="singleLevel"/>
    <w:tmpl w:val="317A602A"/>
    <w:lvl w:ilvl="0" w:tentative="0">
      <w:start w:val="4"/>
      <w:numFmt w:val="chineseCounting"/>
      <w:suff w:val="space"/>
      <w:lvlText w:val="第%1章"/>
      <w:lvlJc w:val="left"/>
      <w:rPr>
        <w:rFonts w:hint="eastAsia"/>
      </w:rPr>
    </w:lvl>
  </w:abstractNum>
  <w:abstractNum w:abstractNumId="5">
    <w:nsid w:val="4004B279"/>
    <w:multiLevelType w:val="singleLevel"/>
    <w:tmpl w:val="4004B279"/>
    <w:lvl w:ilvl="0" w:tentative="0">
      <w:start w:val="1"/>
      <w:numFmt w:val="decimal"/>
      <w:suff w:val="nothing"/>
      <w:lvlText w:val="（%1）"/>
      <w:lvlJc w:val="left"/>
    </w:lvl>
  </w:abstractNum>
  <w:abstractNum w:abstractNumId="6">
    <w:nsid w:val="401A8561"/>
    <w:multiLevelType w:val="singleLevel"/>
    <w:tmpl w:val="401A8561"/>
    <w:lvl w:ilvl="0" w:tentative="0">
      <w:start w:val="2"/>
      <w:numFmt w:val="decimal"/>
      <w:lvlText w:val="%1)"/>
      <w:lvlJc w:val="left"/>
      <w:pPr>
        <w:tabs>
          <w:tab w:val="left" w:pos="312"/>
        </w:tabs>
      </w:pPr>
    </w:lvl>
  </w:abstractNum>
  <w:abstractNum w:abstractNumId="7">
    <w:nsid w:val="5A570AB2"/>
    <w:multiLevelType w:val="multilevel"/>
    <w:tmpl w:val="5A570AB2"/>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8">
    <w:nsid w:val="5ACEBDEA"/>
    <w:multiLevelType w:val="singleLevel"/>
    <w:tmpl w:val="5ACEBDEA"/>
    <w:lvl w:ilvl="0" w:tentative="0">
      <w:start w:val="3"/>
      <w:numFmt w:val="decimal"/>
      <w:lvlText w:val="%1."/>
      <w:lvlJc w:val="left"/>
      <w:pPr>
        <w:tabs>
          <w:tab w:val="left" w:pos="312"/>
        </w:tabs>
      </w:pPr>
    </w:lvl>
  </w:abstractNum>
  <w:abstractNum w:abstractNumId="9">
    <w:nsid w:val="5D3E2E75"/>
    <w:multiLevelType w:val="singleLevel"/>
    <w:tmpl w:val="5D3E2E75"/>
    <w:lvl w:ilvl="0" w:tentative="0">
      <w:start w:val="2"/>
      <w:numFmt w:val="decimal"/>
      <w:suff w:val="nothing"/>
      <w:lvlText w:val="%1、"/>
      <w:lvlJc w:val="left"/>
    </w:lvl>
  </w:abstractNum>
  <w:num w:numId="1">
    <w:abstractNumId w:val="6"/>
  </w:num>
  <w:num w:numId="2">
    <w:abstractNumId w:val="5"/>
  </w:num>
  <w:num w:numId="3">
    <w:abstractNumId w:val="2"/>
  </w:num>
  <w:num w:numId="4">
    <w:abstractNumId w:val="8"/>
  </w:num>
  <w:num w:numId="5">
    <w:abstractNumId w:val="7"/>
  </w:num>
  <w:num w:numId="6">
    <w:abstractNumId w:val="0"/>
  </w:num>
  <w:num w:numId="7">
    <w:abstractNumId w:val="4"/>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22"/>
    <w:rsid w:val="00074E8D"/>
    <w:rsid w:val="001044DA"/>
    <w:rsid w:val="00157D32"/>
    <w:rsid w:val="00164657"/>
    <w:rsid w:val="00172A27"/>
    <w:rsid w:val="001D42E3"/>
    <w:rsid w:val="001F4ACA"/>
    <w:rsid w:val="002F3050"/>
    <w:rsid w:val="00395E14"/>
    <w:rsid w:val="003C42D4"/>
    <w:rsid w:val="003D1EE6"/>
    <w:rsid w:val="004007BE"/>
    <w:rsid w:val="004944B1"/>
    <w:rsid w:val="004A09D7"/>
    <w:rsid w:val="004E6254"/>
    <w:rsid w:val="004E6340"/>
    <w:rsid w:val="00586772"/>
    <w:rsid w:val="006A509B"/>
    <w:rsid w:val="006C5492"/>
    <w:rsid w:val="007444BE"/>
    <w:rsid w:val="007975CC"/>
    <w:rsid w:val="007A5F5B"/>
    <w:rsid w:val="007C0B54"/>
    <w:rsid w:val="00814E61"/>
    <w:rsid w:val="00856FDB"/>
    <w:rsid w:val="00865E48"/>
    <w:rsid w:val="008723AD"/>
    <w:rsid w:val="00897566"/>
    <w:rsid w:val="008A48BF"/>
    <w:rsid w:val="009066EC"/>
    <w:rsid w:val="00946FA2"/>
    <w:rsid w:val="009529BE"/>
    <w:rsid w:val="009C24AD"/>
    <w:rsid w:val="009E3291"/>
    <w:rsid w:val="009E5966"/>
    <w:rsid w:val="00A01BD7"/>
    <w:rsid w:val="00A61DE2"/>
    <w:rsid w:val="00AA37C1"/>
    <w:rsid w:val="00AA6A8D"/>
    <w:rsid w:val="00AB7317"/>
    <w:rsid w:val="00B002A1"/>
    <w:rsid w:val="00B21DD5"/>
    <w:rsid w:val="00B37660"/>
    <w:rsid w:val="00B41C05"/>
    <w:rsid w:val="00B9305D"/>
    <w:rsid w:val="00B94DB4"/>
    <w:rsid w:val="00BB1E3F"/>
    <w:rsid w:val="00BE7E30"/>
    <w:rsid w:val="00C138C8"/>
    <w:rsid w:val="00C62FBB"/>
    <w:rsid w:val="00C72760"/>
    <w:rsid w:val="00CC2F2F"/>
    <w:rsid w:val="00CD0E0E"/>
    <w:rsid w:val="00CF4FD7"/>
    <w:rsid w:val="00D10B23"/>
    <w:rsid w:val="00D12A3D"/>
    <w:rsid w:val="00D44FA0"/>
    <w:rsid w:val="00D6162E"/>
    <w:rsid w:val="00D7385C"/>
    <w:rsid w:val="00D84D7B"/>
    <w:rsid w:val="00D9154E"/>
    <w:rsid w:val="00DA247D"/>
    <w:rsid w:val="00DA5464"/>
    <w:rsid w:val="00DB0F7F"/>
    <w:rsid w:val="00DB59C5"/>
    <w:rsid w:val="00DC692F"/>
    <w:rsid w:val="00DF4804"/>
    <w:rsid w:val="00E04413"/>
    <w:rsid w:val="00E31791"/>
    <w:rsid w:val="00E97B5C"/>
    <w:rsid w:val="00F63658"/>
    <w:rsid w:val="00F72FBA"/>
    <w:rsid w:val="015E753B"/>
    <w:rsid w:val="01B8750E"/>
    <w:rsid w:val="01C262DA"/>
    <w:rsid w:val="02855780"/>
    <w:rsid w:val="02CD5943"/>
    <w:rsid w:val="03203777"/>
    <w:rsid w:val="032534B4"/>
    <w:rsid w:val="03554CC7"/>
    <w:rsid w:val="03CA0FFC"/>
    <w:rsid w:val="03F44F0B"/>
    <w:rsid w:val="04C2121C"/>
    <w:rsid w:val="04EA2135"/>
    <w:rsid w:val="058A0C39"/>
    <w:rsid w:val="06760F65"/>
    <w:rsid w:val="067C65DE"/>
    <w:rsid w:val="07797F35"/>
    <w:rsid w:val="087F65F7"/>
    <w:rsid w:val="08CA39E8"/>
    <w:rsid w:val="090572A0"/>
    <w:rsid w:val="096C5B55"/>
    <w:rsid w:val="0B2F1C94"/>
    <w:rsid w:val="0B3B337E"/>
    <w:rsid w:val="0B520438"/>
    <w:rsid w:val="0C1C26D6"/>
    <w:rsid w:val="0C447C18"/>
    <w:rsid w:val="0C7F7D3B"/>
    <w:rsid w:val="0C9B2001"/>
    <w:rsid w:val="0C9D3973"/>
    <w:rsid w:val="0CB975D9"/>
    <w:rsid w:val="0CC46911"/>
    <w:rsid w:val="0D0634D6"/>
    <w:rsid w:val="0D671FDD"/>
    <w:rsid w:val="0D6D6CF6"/>
    <w:rsid w:val="0D9718E3"/>
    <w:rsid w:val="0DC02639"/>
    <w:rsid w:val="0DDC2BC6"/>
    <w:rsid w:val="0DF15129"/>
    <w:rsid w:val="0DFB7813"/>
    <w:rsid w:val="0E1C7F39"/>
    <w:rsid w:val="0FA860A3"/>
    <w:rsid w:val="1057330B"/>
    <w:rsid w:val="108A2CDB"/>
    <w:rsid w:val="110F6C3E"/>
    <w:rsid w:val="112B1C47"/>
    <w:rsid w:val="11804B0A"/>
    <w:rsid w:val="119860DC"/>
    <w:rsid w:val="121D019E"/>
    <w:rsid w:val="14981A31"/>
    <w:rsid w:val="14C9165D"/>
    <w:rsid w:val="14CE123E"/>
    <w:rsid w:val="15033D14"/>
    <w:rsid w:val="15462683"/>
    <w:rsid w:val="155D79BD"/>
    <w:rsid w:val="15A63386"/>
    <w:rsid w:val="163A181B"/>
    <w:rsid w:val="16A17EA0"/>
    <w:rsid w:val="16B113FE"/>
    <w:rsid w:val="17024465"/>
    <w:rsid w:val="17AC2A80"/>
    <w:rsid w:val="189D0BE1"/>
    <w:rsid w:val="19801F8F"/>
    <w:rsid w:val="1A014F98"/>
    <w:rsid w:val="1A0C388A"/>
    <w:rsid w:val="1A2D4D40"/>
    <w:rsid w:val="1A9F1231"/>
    <w:rsid w:val="1AE25CED"/>
    <w:rsid w:val="1BB2266C"/>
    <w:rsid w:val="1E2A0EAA"/>
    <w:rsid w:val="1E640ADE"/>
    <w:rsid w:val="1E9F3008"/>
    <w:rsid w:val="1F1B6496"/>
    <w:rsid w:val="1FAA12E1"/>
    <w:rsid w:val="1FBC0AF4"/>
    <w:rsid w:val="1FD163DF"/>
    <w:rsid w:val="201E5061"/>
    <w:rsid w:val="20C53A15"/>
    <w:rsid w:val="20C92CC8"/>
    <w:rsid w:val="21465094"/>
    <w:rsid w:val="216362D1"/>
    <w:rsid w:val="217D0811"/>
    <w:rsid w:val="21AE6EAB"/>
    <w:rsid w:val="22160DF7"/>
    <w:rsid w:val="225002F2"/>
    <w:rsid w:val="2290068E"/>
    <w:rsid w:val="22C30B35"/>
    <w:rsid w:val="23397E21"/>
    <w:rsid w:val="23EE5B22"/>
    <w:rsid w:val="24021D0A"/>
    <w:rsid w:val="24962283"/>
    <w:rsid w:val="2501108F"/>
    <w:rsid w:val="25377E9A"/>
    <w:rsid w:val="25CC27FC"/>
    <w:rsid w:val="27B86531"/>
    <w:rsid w:val="27F74F26"/>
    <w:rsid w:val="28673F4E"/>
    <w:rsid w:val="28BE495A"/>
    <w:rsid w:val="2925749C"/>
    <w:rsid w:val="29386197"/>
    <w:rsid w:val="29541757"/>
    <w:rsid w:val="2A180472"/>
    <w:rsid w:val="2ACF11B7"/>
    <w:rsid w:val="2AD63077"/>
    <w:rsid w:val="2BE57200"/>
    <w:rsid w:val="2CF26662"/>
    <w:rsid w:val="2E083C0D"/>
    <w:rsid w:val="2E325FEF"/>
    <w:rsid w:val="2E4E0564"/>
    <w:rsid w:val="2EA80111"/>
    <w:rsid w:val="2F05123E"/>
    <w:rsid w:val="30914CD6"/>
    <w:rsid w:val="30D97461"/>
    <w:rsid w:val="317A1A40"/>
    <w:rsid w:val="32181088"/>
    <w:rsid w:val="323A42B8"/>
    <w:rsid w:val="323F3793"/>
    <w:rsid w:val="3328649E"/>
    <w:rsid w:val="34884055"/>
    <w:rsid w:val="349731BF"/>
    <w:rsid w:val="34C62021"/>
    <w:rsid w:val="34E2433C"/>
    <w:rsid w:val="351C7C54"/>
    <w:rsid w:val="352A3F65"/>
    <w:rsid w:val="359C0EAD"/>
    <w:rsid w:val="363C2B18"/>
    <w:rsid w:val="36C84B8A"/>
    <w:rsid w:val="36D42979"/>
    <w:rsid w:val="36DE6B81"/>
    <w:rsid w:val="36FA7313"/>
    <w:rsid w:val="37610F59"/>
    <w:rsid w:val="377B0BF7"/>
    <w:rsid w:val="378E7C04"/>
    <w:rsid w:val="37AB65C5"/>
    <w:rsid w:val="37E733EF"/>
    <w:rsid w:val="398A487F"/>
    <w:rsid w:val="3A5A3FAE"/>
    <w:rsid w:val="3AF3092E"/>
    <w:rsid w:val="3C5660D3"/>
    <w:rsid w:val="3CE7132D"/>
    <w:rsid w:val="3D026B29"/>
    <w:rsid w:val="3D376BF2"/>
    <w:rsid w:val="3DB5342F"/>
    <w:rsid w:val="3DDD2A48"/>
    <w:rsid w:val="3DF73A32"/>
    <w:rsid w:val="3F093159"/>
    <w:rsid w:val="3F6B5625"/>
    <w:rsid w:val="3FD4718E"/>
    <w:rsid w:val="40443D52"/>
    <w:rsid w:val="40614F47"/>
    <w:rsid w:val="406E7708"/>
    <w:rsid w:val="40CD4514"/>
    <w:rsid w:val="40DE5DCA"/>
    <w:rsid w:val="41EB2719"/>
    <w:rsid w:val="421563F5"/>
    <w:rsid w:val="431F67E8"/>
    <w:rsid w:val="433471B4"/>
    <w:rsid w:val="439C7F62"/>
    <w:rsid w:val="43A90A6F"/>
    <w:rsid w:val="43EF0AD7"/>
    <w:rsid w:val="447C6D1B"/>
    <w:rsid w:val="45437FFB"/>
    <w:rsid w:val="46CB0341"/>
    <w:rsid w:val="47364CD1"/>
    <w:rsid w:val="48FD5D83"/>
    <w:rsid w:val="493C73D1"/>
    <w:rsid w:val="49A11F75"/>
    <w:rsid w:val="49CE3F37"/>
    <w:rsid w:val="4AD05728"/>
    <w:rsid w:val="4B000764"/>
    <w:rsid w:val="4B1C4E7C"/>
    <w:rsid w:val="4CC30570"/>
    <w:rsid w:val="4D262AD8"/>
    <w:rsid w:val="4DB7544A"/>
    <w:rsid w:val="4F5963B8"/>
    <w:rsid w:val="502F2343"/>
    <w:rsid w:val="503F23A9"/>
    <w:rsid w:val="5067255E"/>
    <w:rsid w:val="50DC3863"/>
    <w:rsid w:val="512A0E05"/>
    <w:rsid w:val="513A01B9"/>
    <w:rsid w:val="51C1783C"/>
    <w:rsid w:val="525F16D7"/>
    <w:rsid w:val="534B138B"/>
    <w:rsid w:val="537B254D"/>
    <w:rsid w:val="553331F9"/>
    <w:rsid w:val="55DC308D"/>
    <w:rsid w:val="55F65493"/>
    <w:rsid w:val="56373121"/>
    <w:rsid w:val="564E7F3C"/>
    <w:rsid w:val="564F4F00"/>
    <w:rsid w:val="566773C9"/>
    <w:rsid w:val="56BF0512"/>
    <w:rsid w:val="56D950F3"/>
    <w:rsid w:val="56DB2668"/>
    <w:rsid w:val="57CA32FE"/>
    <w:rsid w:val="58484A0D"/>
    <w:rsid w:val="59F5141D"/>
    <w:rsid w:val="5BAC540B"/>
    <w:rsid w:val="5C172843"/>
    <w:rsid w:val="5DB367E9"/>
    <w:rsid w:val="5E5B1E72"/>
    <w:rsid w:val="5EF006AA"/>
    <w:rsid w:val="5F4B08A7"/>
    <w:rsid w:val="5FFE4611"/>
    <w:rsid w:val="604946A3"/>
    <w:rsid w:val="60BB0145"/>
    <w:rsid w:val="60BC0DAD"/>
    <w:rsid w:val="60E24A39"/>
    <w:rsid w:val="61DA43C9"/>
    <w:rsid w:val="621D4AB5"/>
    <w:rsid w:val="6302192A"/>
    <w:rsid w:val="633154BB"/>
    <w:rsid w:val="65504EC0"/>
    <w:rsid w:val="657D42BE"/>
    <w:rsid w:val="66E664A3"/>
    <w:rsid w:val="67286C06"/>
    <w:rsid w:val="67703FFA"/>
    <w:rsid w:val="68EF0F12"/>
    <w:rsid w:val="694D4C7B"/>
    <w:rsid w:val="695E1B68"/>
    <w:rsid w:val="69753104"/>
    <w:rsid w:val="69B72A16"/>
    <w:rsid w:val="69D31E00"/>
    <w:rsid w:val="6A2727DB"/>
    <w:rsid w:val="6A416A3F"/>
    <w:rsid w:val="6A8F18F3"/>
    <w:rsid w:val="6BB3431A"/>
    <w:rsid w:val="6C453081"/>
    <w:rsid w:val="6CB9720B"/>
    <w:rsid w:val="6D851A3F"/>
    <w:rsid w:val="6DA94A78"/>
    <w:rsid w:val="6E0474DB"/>
    <w:rsid w:val="6E73532E"/>
    <w:rsid w:val="6EC22E80"/>
    <w:rsid w:val="6F2F3432"/>
    <w:rsid w:val="717A54BD"/>
    <w:rsid w:val="71E207A1"/>
    <w:rsid w:val="73287334"/>
    <w:rsid w:val="73F94002"/>
    <w:rsid w:val="744A2DD9"/>
    <w:rsid w:val="74A24994"/>
    <w:rsid w:val="74E07729"/>
    <w:rsid w:val="74FF125C"/>
    <w:rsid w:val="758326EB"/>
    <w:rsid w:val="7767461A"/>
    <w:rsid w:val="781308D7"/>
    <w:rsid w:val="784D03A4"/>
    <w:rsid w:val="79196C7D"/>
    <w:rsid w:val="7A52207B"/>
    <w:rsid w:val="7A8A521C"/>
    <w:rsid w:val="7B110448"/>
    <w:rsid w:val="7B3E4953"/>
    <w:rsid w:val="7B961A99"/>
    <w:rsid w:val="7BA73EB5"/>
    <w:rsid w:val="7BAA7010"/>
    <w:rsid w:val="7DF81B9F"/>
    <w:rsid w:val="7E280969"/>
    <w:rsid w:val="7E472B42"/>
    <w:rsid w:val="7EB72EB4"/>
    <w:rsid w:val="7F1A2CD5"/>
    <w:rsid w:val="7F6D7AFD"/>
    <w:rsid w:val="7FE14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qFormat/>
    <w:uiPriority w:val="0"/>
    <w:pPr>
      <w:keepNext/>
      <w:keepLines/>
      <w:spacing w:line="360" w:lineRule="auto"/>
      <w:outlineLvl w:val="0"/>
    </w:pPr>
    <w:rPr>
      <w:b/>
      <w:bCs/>
      <w:kern w:val="44"/>
      <w:sz w:val="44"/>
      <w:szCs w:val="44"/>
    </w:rPr>
  </w:style>
  <w:style w:type="paragraph" w:styleId="5">
    <w:name w:val="heading 2"/>
    <w:basedOn w:val="1"/>
    <w:next w:val="6"/>
    <w:qFormat/>
    <w:uiPriority w:val="0"/>
    <w:pPr>
      <w:keepNext/>
      <w:keepLines/>
      <w:spacing w:before="260" w:after="260"/>
      <w:jc w:val="left"/>
      <w:outlineLvl w:val="1"/>
    </w:pPr>
    <w:rPr>
      <w:rFonts w:ascii="宋体" w:hAnsi="宋体"/>
      <w:b/>
      <w:color w:val="000000"/>
      <w:sz w:val="28"/>
    </w:rPr>
  </w:style>
  <w:style w:type="paragraph" w:styleId="7">
    <w:name w:val="heading 3"/>
    <w:basedOn w:val="1"/>
    <w:next w:val="6"/>
    <w:qFormat/>
    <w:uiPriority w:val="0"/>
    <w:pPr>
      <w:keepNext/>
      <w:keepLines/>
      <w:spacing w:line="360" w:lineRule="auto"/>
      <w:outlineLvl w:val="2"/>
    </w:pPr>
    <w:rPr>
      <w:b/>
      <w:bCs/>
      <w:sz w:val="24"/>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paragraph" w:styleId="9">
    <w:name w:val="heading 5"/>
    <w:basedOn w:val="1"/>
    <w:next w:val="1"/>
    <w:qFormat/>
    <w:uiPriority w:val="1"/>
    <w:pPr>
      <w:spacing w:before="151"/>
      <w:ind w:left="142"/>
      <w:outlineLvl w:val="4"/>
    </w:pPr>
    <w:rPr>
      <w:rFonts w:hint="eastAsia" w:ascii="宋体"/>
      <w:b/>
      <w:sz w:val="24"/>
    </w:rPr>
  </w:style>
  <w:style w:type="paragraph" w:styleId="10">
    <w:name w:val="heading 6"/>
    <w:basedOn w:val="1"/>
    <w:next w:val="1"/>
    <w:qFormat/>
    <w:uiPriority w:val="0"/>
    <w:pPr>
      <w:ind w:left="120"/>
      <w:outlineLvl w:val="5"/>
    </w:pPr>
    <w:rPr>
      <w:rFonts w:hint="eastAsia" w:ascii="Arial" w:hAnsi="Arial"/>
      <w:b/>
      <w:sz w:val="28"/>
    </w:rPr>
  </w:style>
  <w:style w:type="paragraph" w:styleId="11">
    <w:name w:val="heading 7"/>
    <w:basedOn w:val="1"/>
    <w:next w:val="1"/>
    <w:qFormat/>
    <w:uiPriority w:val="0"/>
    <w:pPr>
      <w:ind w:left="117"/>
      <w:outlineLvl w:val="6"/>
    </w:pPr>
    <w:rPr>
      <w:rFonts w:hint="eastAsia" w:ascii="宋体" w:hAnsi="宋体"/>
      <w:b/>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6">
    <w:name w:val="Normal Indent"/>
    <w:basedOn w:val="1"/>
    <w:qFormat/>
    <w:uiPriority w:val="0"/>
    <w:pPr>
      <w:adjustRightInd w:val="0"/>
      <w:snapToGrid w:val="0"/>
      <w:spacing w:line="300" w:lineRule="auto"/>
      <w:ind w:firstLine="200"/>
    </w:pPr>
    <w:rPr>
      <w:sz w:val="28"/>
    </w:rPr>
  </w:style>
  <w:style w:type="paragraph" w:styleId="12">
    <w:name w:val="toc 7"/>
    <w:basedOn w:val="1"/>
    <w:next w:val="1"/>
    <w:qFormat/>
    <w:uiPriority w:val="0"/>
    <w:pPr>
      <w:ind w:left="2520" w:leftChars="1200"/>
    </w:pPr>
  </w:style>
  <w:style w:type="paragraph" w:styleId="13">
    <w:name w:val="Document Map"/>
    <w:basedOn w:val="1"/>
    <w:qFormat/>
    <w:uiPriority w:val="0"/>
    <w:pPr>
      <w:shd w:val="clear" w:color="auto" w:fill="000080"/>
    </w:pPr>
  </w:style>
  <w:style w:type="paragraph" w:styleId="14">
    <w:name w:val="Body Text"/>
    <w:basedOn w:val="1"/>
    <w:next w:val="15"/>
    <w:qFormat/>
    <w:uiPriority w:val="0"/>
    <w:pPr>
      <w:adjustRightInd w:val="0"/>
      <w:jc w:val="left"/>
      <w:textAlignment w:val="baseline"/>
    </w:pPr>
    <w:rPr>
      <w:rFonts w:ascii="楷体_GB2312" w:eastAsia="楷体_GB2312"/>
      <w:kern w:val="0"/>
      <w:sz w:val="2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Body Text Indent"/>
    <w:basedOn w:val="1"/>
    <w:next w:val="15"/>
    <w:qFormat/>
    <w:uiPriority w:val="0"/>
    <w:pPr>
      <w:ind w:firstLine="200" w:firstLineChars="200"/>
    </w:pPr>
  </w:style>
  <w:style w:type="paragraph" w:styleId="17">
    <w:name w:val="toc 5"/>
    <w:basedOn w:val="1"/>
    <w:next w:val="1"/>
    <w:qFormat/>
    <w:uiPriority w:val="0"/>
    <w:pPr>
      <w:ind w:left="1680" w:leftChars="800"/>
    </w:p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cs="Courier New"/>
      <w:szCs w:val="21"/>
    </w:rPr>
  </w:style>
  <w:style w:type="paragraph" w:styleId="20">
    <w:name w:val="toc 8"/>
    <w:basedOn w:val="1"/>
    <w:next w:val="1"/>
    <w:qFormat/>
    <w:uiPriority w:val="0"/>
    <w:pPr>
      <w:ind w:left="2940" w:leftChars="1400"/>
    </w:pPr>
  </w:style>
  <w:style w:type="paragraph" w:styleId="21">
    <w:name w:val="Balloon Text"/>
    <w:basedOn w:val="1"/>
    <w:link w:val="66"/>
    <w:qFormat/>
    <w:uiPriority w:val="0"/>
    <w:rPr>
      <w:sz w:val="18"/>
      <w:szCs w:val="18"/>
    </w:rPr>
  </w:style>
  <w:style w:type="paragraph" w:styleId="22">
    <w:name w:val="footer"/>
    <w:basedOn w:val="1"/>
    <w:link w:val="42"/>
    <w:qFormat/>
    <w:uiPriority w:val="0"/>
    <w:pPr>
      <w:tabs>
        <w:tab w:val="center" w:pos="4153"/>
        <w:tab w:val="right" w:pos="8306"/>
      </w:tabs>
      <w:snapToGrid w:val="0"/>
      <w:jc w:val="left"/>
    </w:pPr>
    <w:rPr>
      <w:sz w:val="18"/>
    </w:rPr>
  </w:style>
  <w:style w:type="paragraph" w:styleId="23">
    <w:name w:val="header"/>
    <w:basedOn w:val="1"/>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List 5"/>
    <w:basedOn w:val="1"/>
    <w:unhideWhenUsed/>
    <w:qFormat/>
    <w:uiPriority w:val="0"/>
    <w:pPr>
      <w:ind w:left="2100" w:hanging="420"/>
    </w:pPr>
    <w:rPr>
      <w:rFonts w:eastAsia="楷体_GB2312"/>
      <w:sz w:val="32"/>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Message Header"/>
    <w:basedOn w:val="1"/>
    <w:link w:val="5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Normal (Web)"/>
    <w:basedOn w:val="1"/>
    <w:qFormat/>
    <w:uiPriority w:val="0"/>
    <w:pPr>
      <w:jc w:val="left"/>
    </w:pPr>
    <w:rPr>
      <w:kern w:val="0"/>
      <w:sz w:val="24"/>
    </w:rPr>
  </w:style>
  <w:style w:type="paragraph" w:styleId="32">
    <w:name w:val="Body Text First Indent"/>
    <w:basedOn w:val="14"/>
    <w:qFormat/>
    <w:uiPriority w:val="0"/>
    <w:pPr>
      <w:ind w:firstLine="420"/>
    </w:pPr>
    <w:rPr>
      <w:sz w:val="32"/>
      <w:szCs w:val="3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rPr>
      <w:rFonts w:ascii="Arial" w:hAnsi="Arial" w:eastAsia="黑体"/>
      <w:kern w:val="2"/>
      <w:sz w:val="21"/>
      <w:szCs w:val="21"/>
      <w:lang w:val="en-US" w:eastAsia="zh-CN" w:bidi="ar-SA"/>
    </w:rPr>
  </w:style>
  <w:style w:type="character" w:styleId="38">
    <w:name w:val="FollowedHyperlink"/>
    <w:basedOn w:val="35"/>
    <w:qFormat/>
    <w:uiPriority w:val="0"/>
    <w:rPr>
      <w:color w:val="333333"/>
      <w:sz w:val="18"/>
      <w:szCs w:val="18"/>
      <w:u w:val="none"/>
    </w:rPr>
  </w:style>
  <w:style w:type="character" w:styleId="39">
    <w:name w:val="Emphasis"/>
    <w:qFormat/>
    <w:uiPriority w:val="20"/>
    <w:rPr>
      <w:i/>
      <w:iCs/>
    </w:rPr>
  </w:style>
  <w:style w:type="character" w:styleId="40">
    <w:name w:val="Hyperlink"/>
    <w:basedOn w:val="35"/>
    <w:qFormat/>
    <w:uiPriority w:val="0"/>
    <w:rPr>
      <w:color w:val="333333"/>
      <w:sz w:val="18"/>
      <w:szCs w:val="18"/>
      <w:u w:val="none"/>
    </w:rPr>
  </w:style>
  <w:style w:type="character" w:styleId="41">
    <w:name w:val="HTML Cite"/>
    <w:basedOn w:val="35"/>
    <w:qFormat/>
    <w:uiPriority w:val="0"/>
    <w:rPr>
      <w:color w:val="008000"/>
    </w:rPr>
  </w:style>
  <w:style w:type="character" w:customStyle="1" w:styleId="42">
    <w:name w:val="页脚 字符"/>
    <w:basedOn w:val="35"/>
    <w:link w:val="22"/>
    <w:qFormat/>
    <w:uiPriority w:val="0"/>
    <w:rPr>
      <w:kern w:val="2"/>
      <w:sz w:val="18"/>
    </w:rPr>
  </w:style>
  <w:style w:type="character" w:customStyle="1" w:styleId="43">
    <w:name w:val="font41"/>
    <w:basedOn w:val="35"/>
    <w:qFormat/>
    <w:uiPriority w:val="0"/>
    <w:rPr>
      <w:rFonts w:hint="eastAsia" w:ascii="宋体" w:hAnsi="宋体" w:eastAsia="宋体" w:cs="宋体"/>
      <w:color w:val="333333"/>
      <w:sz w:val="19"/>
      <w:szCs w:val="19"/>
      <w:u w:val="none"/>
    </w:rPr>
  </w:style>
  <w:style w:type="character" w:customStyle="1" w:styleId="44">
    <w:name w:val="font61"/>
    <w:basedOn w:val="35"/>
    <w:qFormat/>
    <w:uiPriority w:val="0"/>
    <w:rPr>
      <w:rFonts w:hint="default" w:ascii="Times New Roman" w:hAnsi="Times New Roman" w:cs="Times New Roman"/>
      <w:color w:val="000000"/>
      <w:sz w:val="21"/>
      <w:szCs w:val="21"/>
      <w:u w:val="none"/>
    </w:rPr>
  </w:style>
  <w:style w:type="character" w:customStyle="1" w:styleId="45">
    <w:name w:val="font31"/>
    <w:basedOn w:val="35"/>
    <w:qFormat/>
    <w:uiPriority w:val="0"/>
    <w:rPr>
      <w:rFonts w:hint="eastAsia" w:ascii="宋体" w:hAnsi="宋体" w:eastAsia="宋体" w:cs="宋体"/>
      <w:color w:val="000000"/>
      <w:sz w:val="21"/>
      <w:szCs w:val="21"/>
      <w:u w:val="none"/>
    </w:rPr>
  </w:style>
  <w:style w:type="character" w:customStyle="1" w:styleId="46">
    <w:name w:val="c-icon"/>
    <w:basedOn w:val="35"/>
    <w:qFormat/>
    <w:uiPriority w:val="0"/>
  </w:style>
  <w:style w:type="character" w:customStyle="1" w:styleId="47">
    <w:name w:val="font11"/>
    <w:basedOn w:val="35"/>
    <w:qFormat/>
    <w:uiPriority w:val="0"/>
    <w:rPr>
      <w:rFonts w:ascii="Arial" w:hAnsi="Arial" w:cs="Arial"/>
      <w:color w:val="333333"/>
      <w:sz w:val="19"/>
      <w:szCs w:val="19"/>
      <w:u w:val="none"/>
    </w:rPr>
  </w:style>
  <w:style w:type="character" w:customStyle="1" w:styleId="48">
    <w:name w:val="c-icon14"/>
    <w:basedOn w:val="35"/>
    <w:qFormat/>
    <w:uiPriority w:val="0"/>
  </w:style>
  <w:style w:type="character" w:customStyle="1" w:styleId="49">
    <w:name w:val="font01"/>
    <w:basedOn w:val="35"/>
    <w:qFormat/>
    <w:uiPriority w:val="0"/>
    <w:rPr>
      <w:rFonts w:hint="eastAsia" w:ascii="仿宋_GB2312" w:eastAsia="仿宋_GB2312" w:cs="仿宋_GB2312"/>
      <w:color w:val="000000"/>
      <w:sz w:val="21"/>
      <w:szCs w:val="21"/>
      <w:u w:val="none"/>
    </w:rPr>
  </w:style>
  <w:style w:type="character" w:customStyle="1" w:styleId="50">
    <w:name w:val="信息标题 字符"/>
    <w:basedOn w:val="35"/>
    <w:link w:val="30"/>
    <w:qFormat/>
    <w:uiPriority w:val="0"/>
    <w:rPr>
      <w:rFonts w:ascii="Cambria" w:hAnsi="Cambria" w:eastAsia="宋体" w:cs="Times New Roman"/>
      <w:kern w:val="2"/>
      <w:sz w:val="24"/>
      <w:szCs w:val="24"/>
      <w:shd w:val="pct20" w:color="auto" w:fill="auto"/>
    </w:rPr>
  </w:style>
  <w:style w:type="character" w:customStyle="1" w:styleId="51">
    <w:name w:val="页眉 字符"/>
    <w:basedOn w:val="35"/>
    <w:link w:val="23"/>
    <w:qFormat/>
    <w:uiPriority w:val="0"/>
    <w:rPr>
      <w:kern w:val="2"/>
      <w:sz w:val="18"/>
    </w:rPr>
  </w:style>
  <w:style w:type="paragraph" w:customStyle="1" w:styleId="52">
    <w:name w:val="Char1 Char Char Char Char Char Char"/>
    <w:basedOn w:val="1"/>
    <w:qFormat/>
    <w:uiPriority w:val="0"/>
    <w:rPr>
      <w:rFonts w:ascii="Tahoma" w:hAnsi="Tahoma"/>
      <w:sz w:val="24"/>
    </w:rPr>
  </w:style>
  <w:style w:type="paragraph" w:customStyle="1" w:styleId="53">
    <w:name w:val="Char"/>
    <w:basedOn w:val="1"/>
    <w:qFormat/>
    <w:uiPriority w:val="0"/>
    <w:pPr>
      <w:snapToGrid w:val="0"/>
      <w:spacing w:line="408" w:lineRule="auto"/>
      <w:ind w:firstLine="200" w:firstLineChars="200"/>
      <w:jc w:val="center"/>
    </w:pPr>
    <w:rPr>
      <w:rFonts w:ascii="Tahoma" w:hAnsi="Tahoma"/>
      <w:sz w:val="24"/>
    </w:rPr>
  </w:style>
  <w:style w:type="paragraph" w:styleId="54">
    <w:name w:val="List Paragraph"/>
    <w:basedOn w:val="1"/>
    <w:qFormat/>
    <w:uiPriority w:val="0"/>
    <w:pPr>
      <w:ind w:firstLine="420" w:firstLineChars="200"/>
    </w:pPr>
  </w:style>
  <w:style w:type="paragraph" w:customStyle="1" w:styleId="55">
    <w:name w:val="p0"/>
    <w:basedOn w:val="1"/>
    <w:qFormat/>
    <w:uiPriority w:val="0"/>
    <w:pPr>
      <w:widowControl/>
      <w:spacing w:line="365" w:lineRule="atLeast"/>
      <w:ind w:left="1"/>
    </w:pPr>
    <w:rPr>
      <w:kern w:val="0"/>
      <w:sz w:val="20"/>
    </w:rPr>
  </w:style>
  <w:style w:type="paragraph" w:customStyle="1" w:styleId="56">
    <w:name w:val="Table Paragraph"/>
    <w:basedOn w:val="1"/>
    <w:qFormat/>
    <w:uiPriority w:val="0"/>
    <w:rPr>
      <w:rFonts w:hint="eastAsia"/>
      <w:sz w:val="24"/>
    </w:rPr>
  </w:style>
  <w:style w:type="paragraph" w:customStyle="1" w:styleId="57">
    <w:name w:val="列出段落1"/>
    <w:basedOn w:val="1"/>
    <w:qFormat/>
    <w:uiPriority w:val="0"/>
    <w:pPr>
      <w:widowControl/>
      <w:spacing w:after="200" w:line="252" w:lineRule="auto"/>
      <w:ind w:firstLine="420" w:firstLineChars="200"/>
      <w:jc w:val="left"/>
    </w:pPr>
    <w:rPr>
      <w:rFonts w:ascii="Cambria" w:hAnsi="Cambria"/>
      <w:kern w:val="0"/>
      <w:sz w:val="22"/>
      <w:lang w:eastAsia="en-US"/>
    </w:rPr>
  </w:style>
  <w:style w:type="paragraph" w:customStyle="1" w:styleId="58">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样式 标题 3 + (中文) 黑体 小四 非加粗 段前: 7.8 磅 段后: 0 磅 行距: 固定值 20 磅"/>
    <w:basedOn w:val="7"/>
    <w:qFormat/>
    <w:uiPriority w:val="0"/>
    <w:pPr>
      <w:spacing w:line="400" w:lineRule="exact"/>
    </w:pPr>
    <w:rPr>
      <w:rFonts w:eastAsia="黑体" w:cs="宋体"/>
      <w:b w:val="0"/>
    </w:rPr>
  </w:style>
  <w:style w:type="paragraph" w:customStyle="1" w:styleId="60">
    <w:name w:val="样式 加粗 居中"/>
    <w:basedOn w:val="1"/>
    <w:qFormat/>
    <w:uiPriority w:val="0"/>
    <w:pPr>
      <w:spacing w:before="120" w:after="120" w:line="360" w:lineRule="auto"/>
      <w:ind w:right="100" w:rightChars="100"/>
      <w:jc w:val="center"/>
    </w:pPr>
    <w:rPr>
      <w:rFonts w:ascii="Arial" w:hAnsi="Arial" w:cs="宋体"/>
      <w:b/>
      <w:bCs/>
    </w:rPr>
  </w:style>
  <w:style w:type="paragraph" w:customStyle="1" w:styleId="61">
    <w:name w:val="WPSOffice手动目录 1"/>
    <w:qFormat/>
    <w:uiPriority w:val="0"/>
    <w:rPr>
      <w:rFonts w:ascii="Times New Roman" w:hAnsi="Times New Roman" w:eastAsia="宋体" w:cs="Times New Roman"/>
      <w:lang w:val="en-US" w:eastAsia="zh-CN" w:bidi="ar-SA"/>
    </w:rPr>
  </w:style>
  <w:style w:type="paragraph" w:customStyle="1" w:styleId="62">
    <w:name w:val="样式 标题 2 + Times New Roman 四号 非加粗 段前: 5 磅 段后: 0 磅 行距: 固定值 20..."/>
    <w:basedOn w:val="5"/>
    <w:next w:val="15"/>
    <w:qFormat/>
    <w:uiPriority w:val="0"/>
    <w:pPr>
      <w:spacing w:before="100" w:after="0" w:line="400" w:lineRule="exact"/>
    </w:pPr>
    <w:rPr>
      <w:rFonts w:ascii="Times New Roman" w:hAnsi="Times New Roman" w:cs="宋体"/>
    </w:rPr>
  </w:style>
  <w:style w:type="paragraph" w:customStyle="1" w:styleId="63">
    <w:name w:val="Table Text"/>
    <w:qFormat/>
    <w:uiPriority w:val="0"/>
    <w:pPr>
      <w:topLinePunct/>
      <w:adjustRightInd w:val="0"/>
      <w:snapToGrid w:val="0"/>
      <w:spacing w:before="40" w:after="40"/>
    </w:pPr>
    <w:rPr>
      <w:rFonts w:ascii="Times New Roman" w:hAnsi="Times New Roman" w:eastAsia="宋体" w:cs="Arial"/>
      <w:sz w:val="21"/>
      <w:szCs w:val="21"/>
      <w:lang w:val="en-US" w:eastAsia="zh-CN" w:bidi="ar-SA"/>
    </w:rPr>
  </w:style>
  <w:style w:type="paragraph" w:customStyle="1" w:styleId="64">
    <w:name w:val="List Paragraph1"/>
    <w:basedOn w:val="1"/>
    <w:qFormat/>
    <w:uiPriority w:val="0"/>
    <w:pPr>
      <w:ind w:firstLine="420" w:firstLineChars="200"/>
    </w:pPr>
    <w:rPr>
      <w:szCs w:val="21"/>
    </w:rPr>
  </w:style>
  <w:style w:type="character" w:customStyle="1" w:styleId="65">
    <w:name w:val="NormalCharacter"/>
    <w:semiHidden/>
    <w:qFormat/>
    <w:uiPriority w:val="0"/>
  </w:style>
  <w:style w:type="character" w:customStyle="1" w:styleId="66">
    <w:name w:val="批注框文本 字符"/>
    <w:basedOn w:val="35"/>
    <w:link w:val="21"/>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4991</Words>
  <Characters>28455</Characters>
  <Lines>237</Lines>
  <Paragraphs>66</Paragraphs>
  <TotalTime>0</TotalTime>
  <ScaleCrop>false</ScaleCrop>
  <LinksUpToDate>false</LinksUpToDate>
  <CharactersWithSpaces>33380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2019-06-13T05:26:00Z</dcterms:created>
  <dc:creator>Administrator</dc:creator>
  <cp:lastModifiedBy>NTKO</cp:lastModifiedBy>
  <cp:lastPrinted>2018-11-16T06:43:00Z</cp:lastPrinted>
  <dcterms:modified xsi:type="dcterms:W3CDTF">2020-10-20T06:17:12Z</dcterms:modified>
  <dc:title>范县城市综合管理局执法服装采购项目                                                             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