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rPr>
      </w:pPr>
    </w:p>
    <w:p>
      <w:pPr>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河南省国土资源调查规划院</w:t>
      </w:r>
    </w:p>
    <w:p>
      <w:pPr>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河南省省级不动产登记信息管理基础平台更新完善提升和省级不动产登记数据汇交质量动态监管系统开发项目</w:t>
      </w:r>
    </w:p>
    <w:p>
      <w:pPr>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单一来源采购</w:t>
      </w: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pStyle w:val="2"/>
        <w:ind w:firstLine="488"/>
      </w:pPr>
    </w:p>
    <w:p>
      <w:pPr>
        <w:rPr>
          <w:rFonts w:asciiTheme="minorEastAsia" w:hAnsiTheme="minorEastAsia" w:eastAsiaTheme="minorEastAsia" w:cstheme="minorEastAsia"/>
          <w:sz w:val="28"/>
          <w:szCs w:val="28"/>
        </w:rPr>
      </w:pPr>
    </w:p>
    <w:p>
      <w:pPr>
        <w:spacing w:line="360" w:lineRule="auto"/>
        <w:jc w:val="center"/>
        <w:rPr>
          <w:rFonts w:asciiTheme="minorEastAsia" w:hAnsiTheme="minorEastAsia" w:eastAsiaTheme="minorEastAsia" w:cstheme="minorEastAsia"/>
          <w:b/>
          <w:sz w:val="84"/>
          <w:szCs w:val="84"/>
        </w:rPr>
      </w:pPr>
      <w:r>
        <w:rPr>
          <w:rFonts w:hint="eastAsia" w:asciiTheme="minorEastAsia" w:hAnsiTheme="minorEastAsia" w:eastAsiaTheme="minorEastAsia" w:cstheme="minorEastAsia"/>
          <w:b/>
          <w:sz w:val="84"/>
          <w:szCs w:val="84"/>
        </w:rPr>
        <w:t>采 购 文 件</w:t>
      </w: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招标编号：豫财单一采购-2020-128</w:t>
      </w:r>
    </w:p>
    <w:p>
      <w:pPr>
        <w:jc w:val="cente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pict>
          <v:shape id="Picture 2" o:spid="_x0000_s1026" o:spt="75" type="#_x0000_t75" style="position:absolute;left:0pt;margin-left:70.1pt;margin-top:62.3pt;height:36.9pt;width:336pt;mso-wrap-distance-bottom:0pt;mso-wrap-distance-top:0pt;z-index:251657216;mso-width-relative:page;mso-height-relative:page;" o:ole="t" filled="f" o:preferrelative="t" stroked="f" coordsize="21600,21600">
            <v:path/>
            <v:fill on="f" focussize="0,0"/>
            <v:stroke on="f" joinstyle="miter"/>
            <v:imagedata r:id="rId14" cropbottom="13918f" o:title=""/>
            <o:lock v:ext="edit" aspectratio="t"/>
            <w10:wrap type="topAndBottom"/>
          </v:shape>
          <o:OLEObject Type="Embed" ProgID="Word.Picture.8" ShapeID="Picture 2" DrawAspect="Content" ObjectID="_1468075725" r:id="rId13">
            <o:LockedField>false</o:LockedField>
          </o:OLEObject>
        </w:pic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anchor distT="0" distB="0" distL="114300" distR="114300" simplePos="0" relativeHeight="251658240" behindDoc="0" locked="0" layoutInCell="1" allowOverlap="1">
            <wp:simplePos x="0" y="0"/>
            <wp:positionH relativeFrom="column">
              <wp:posOffset>195580</wp:posOffset>
            </wp:positionH>
            <wp:positionV relativeFrom="paragraph">
              <wp:posOffset>372745</wp:posOffset>
            </wp:positionV>
            <wp:extent cx="685800" cy="471170"/>
            <wp:effectExtent l="19050" t="0" r="0" b="0"/>
            <wp:wrapNone/>
            <wp:docPr id="3"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徽标"/>
                    <pic:cNvPicPr>
                      <a:picLocks noChangeAspect="1" noChangeArrowheads="1"/>
                    </pic:cNvPicPr>
                  </pic:nvPicPr>
                  <pic:blipFill>
                    <a:blip r:embed="rId15" cstate="print"/>
                    <a:srcRect/>
                    <a:stretch>
                      <a:fillRect/>
                    </a:stretch>
                  </pic:blipFill>
                  <pic:spPr>
                    <a:xfrm>
                      <a:off x="0" y="0"/>
                      <a:ext cx="685800" cy="471170"/>
                    </a:xfrm>
                    <a:prstGeom prst="rect">
                      <a:avLst/>
                    </a:prstGeom>
                    <a:noFill/>
                    <a:ln w="9525" cmpd="sng">
                      <a:noFill/>
                      <a:miter lim="800000"/>
                      <a:headEnd/>
                      <a:tailEnd/>
                    </a:ln>
                  </pic:spPr>
                </pic:pic>
              </a:graphicData>
            </a:graphic>
          </wp:anchor>
        </w:drawing>
      </w:r>
      <w:r>
        <w:rPr>
          <w:rFonts w:hint="eastAsia" w:asciiTheme="minorEastAsia" w:hAnsiTheme="minorEastAsia" w:eastAsiaTheme="minorEastAsia" w:cstheme="minorEastAsia"/>
          <w:sz w:val="28"/>
          <w:szCs w:val="28"/>
        </w:rPr>
        <w:t>HENAN TENDER-PURCHASE SERVICE CO.,LTD.</w:t>
      </w:r>
    </w:p>
    <w:p>
      <w:pPr>
        <w:rPr>
          <w:rFonts w:asciiTheme="minorEastAsia" w:hAnsiTheme="minorEastAsia" w:eastAsiaTheme="minorEastAsia" w:cstheme="minorEastAsia"/>
        </w:rPr>
      </w:pPr>
    </w:p>
    <w:p>
      <w:pPr>
        <w:jc w:val="center"/>
        <w:rPr>
          <w:rFonts w:asciiTheme="minorEastAsia" w:hAnsiTheme="minorEastAsia" w:eastAsiaTheme="minorEastAsia" w:cstheme="minorEastAsia"/>
        </w:rPr>
      </w:pPr>
    </w:p>
    <w:p>
      <w:pPr>
        <w:adjustRightInd w:val="0"/>
        <w:snapToGrid w:val="0"/>
        <w:spacing w:line="400" w:lineRule="exact"/>
        <w:jc w:val="center"/>
        <w:rPr>
          <w:rFonts w:asciiTheme="minorEastAsia" w:hAnsiTheme="minorEastAsia" w:eastAsiaTheme="minorEastAsia" w:cstheme="minorEastAsia"/>
          <w:b/>
          <w:sz w:val="32"/>
        </w:rPr>
        <w:sectPr>
          <w:headerReference r:id="rId3" w:type="default"/>
          <w:footerReference r:id="rId4" w:type="default"/>
          <w:footerReference r:id="rId5" w:type="even"/>
          <w:pgSz w:w="11906" w:h="16838"/>
          <w:pgMar w:top="1134" w:right="1134" w:bottom="1134" w:left="1418" w:header="851" w:footer="992" w:gutter="0"/>
          <w:pgNumType w:start="0"/>
          <w:cols w:space="720" w:num="1"/>
          <w:titlePg/>
          <w:docGrid w:type="lines" w:linePitch="312" w:charSpace="0"/>
        </w:sectPr>
      </w:pPr>
    </w:p>
    <w:p>
      <w:pPr>
        <w:adjustRightInd w:val="0"/>
        <w:snapToGrid w:val="0"/>
        <w:spacing w:line="400" w:lineRule="exact"/>
        <w:jc w:val="center"/>
        <w:rPr>
          <w:rFonts w:hint="eastAsia" w:asciiTheme="minorEastAsia" w:hAnsiTheme="minorEastAsia" w:eastAsiaTheme="minorEastAsia" w:cstheme="minorEastAsia"/>
          <w:b/>
          <w:sz w:val="32"/>
        </w:rPr>
      </w:pPr>
    </w:p>
    <w:p>
      <w:pPr>
        <w:adjustRightInd w:val="0"/>
        <w:snapToGrid w:val="0"/>
        <w:spacing w:line="400" w:lineRule="exact"/>
        <w:jc w:val="center"/>
        <w:rPr>
          <w:rFonts w:hint="eastAsia" w:asciiTheme="minorEastAsia" w:hAnsiTheme="minorEastAsia" w:eastAsiaTheme="minorEastAsia" w:cstheme="minorEastAsia"/>
          <w:b/>
          <w:sz w:val="32"/>
        </w:rPr>
      </w:pPr>
    </w:p>
    <w:p>
      <w:pPr>
        <w:adjustRightInd w:val="0"/>
        <w:snapToGrid w:val="0"/>
        <w:spacing w:line="400" w:lineRule="exact"/>
        <w:jc w:val="center"/>
        <w:rPr>
          <w:rFonts w:asciiTheme="minorEastAsia" w:hAnsiTheme="minorEastAsia" w:eastAsiaTheme="minorEastAsia" w:cstheme="minorEastAsia"/>
          <w:b/>
          <w:sz w:val="32"/>
        </w:rPr>
      </w:pPr>
      <w:r>
        <w:rPr>
          <w:rFonts w:hint="eastAsia" w:asciiTheme="minorEastAsia" w:hAnsiTheme="minorEastAsia" w:eastAsiaTheme="minorEastAsia" w:cstheme="minorEastAsia"/>
          <w:b/>
          <w:sz w:val="32"/>
        </w:rPr>
        <w:t>目  录</w:t>
      </w:r>
    </w:p>
    <w:p>
      <w:pPr>
        <w:adjustRightInd w:val="0"/>
        <w:snapToGrid w:val="0"/>
        <w:spacing w:line="400" w:lineRule="exact"/>
        <w:jc w:val="center"/>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单一来源采购须知前附表……………………………………………………………1</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第一部分   采购邀请   ……………………………………………………………4</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第二部分   采购需求   ……………………………………………………………6</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第三部分   采购须知   ……………………………………………………………9</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第四部分   响应文件格式及内容 …………………………………………………15</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第五部分   单一来源采购评审原则及成交办法 …………………………………31</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第六部分   合同格式 ………………………………………………………………32</w:t>
      </w: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adjustRightInd w:val="0"/>
        <w:snapToGrid w:val="0"/>
        <w:spacing w:line="360" w:lineRule="auto"/>
        <w:rPr>
          <w:rFonts w:asciiTheme="minorEastAsia" w:hAnsiTheme="minorEastAsia" w:eastAsiaTheme="minorEastAsia" w:cstheme="minorEastAsia"/>
          <w:b/>
          <w:sz w:val="32"/>
        </w:rPr>
      </w:pPr>
    </w:p>
    <w:p>
      <w:pPr>
        <w:pStyle w:val="12"/>
        <w:jc w:val="center"/>
        <w:rPr>
          <w:rFonts w:asciiTheme="minorEastAsia" w:hAnsiTheme="minorEastAsia" w:eastAsiaTheme="minorEastAsia" w:cstheme="minorEastAsia"/>
          <w:sz w:val="32"/>
          <w:szCs w:val="32"/>
        </w:rPr>
        <w:sectPr>
          <w:footerReference r:id="rId7" w:type="first"/>
          <w:footerReference r:id="rId6" w:type="default"/>
          <w:pgSz w:w="11906" w:h="16838"/>
          <w:pgMar w:top="1134" w:right="1134" w:bottom="1134" w:left="1418" w:header="851" w:footer="992" w:gutter="0"/>
          <w:pgNumType w:start="0"/>
          <w:cols w:space="720" w:num="1"/>
          <w:titlePg/>
          <w:docGrid w:type="lines" w:linePitch="312" w:charSpace="0"/>
        </w:sectPr>
      </w:pPr>
      <w:bookmarkStart w:id="0" w:name="_Toc137008342"/>
    </w:p>
    <w:p>
      <w:pPr>
        <w:pStyle w:val="12"/>
        <w:jc w:val="center"/>
        <w:rPr>
          <w:rFonts w:asciiTheme="minorEastAsia" w:hAnsiTheme="minorEastAsia" w:eastAsiaTheme="minorEastAsia" w:cstheme="minorEastAsia"/>
          <w:sz w:val="32"/>
          <w:szCs w:val="32"/>
        </w:rPr>
      </w:pPr>
    </w:p>
    <w:p>
      <w:pPr>
        <w:pStyle w:val="1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单一来源采购须知前附表</w:t>
      </w:r>
      <w:bookmarkEnd w:id="0"/>
    </w:p>
    <w:p>
      <w:pPr>
        <w:pStyle w:val="12"/>
        <w:jc w:val="center"/>
        <w:rPr>
          <w:rFonts w:asciiTheme="minorEastAsia" w:hAnsiTheme="minorEastAsia" w:eastAsiaTheme="minorEastAsia" w:cstheme="minorEastAsia"/>
          <w:sz w:val="32"/>
          <w:szCs w:val="32"/>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83"/>
        <w:gridCol w:w="6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b/>
                <w:spacing w:val="6"/>
                <w:sz w:val="24"/>
              </w:rPr>
            </w:pPr>
            <w:r>
              <w:rPr>
                <w:rFonts w:hint="eastAsia" w:asciiTheme="minorEastAsia" w:hAnsiTheme="minorEastAsia" w:eastAsiaTheme="minorEastAsia" w:cstheme="minorEastAsia"/>
                <w:b/>
                <w:spacing w:val="6"/>
                <w:sz w:val="24"/>
              </w:rPr>
              <w:t>项号</w:t>
            </w:r>
          </w:p>
        </w:tc>
        <w:tc>
          <w:tcPr>
            <w:tcW w:w="2183" w:type="dxa"/>
            <w:vAlign w:val="center"/>
          </w:tcPr>
          <w:p>
            <w:pPr>
              <w:spacing w:line="360" w:lineRule="auto"/>
              <w:jc w:val="center"/>
              <w:rPr>
                <w:rFonts w:asciiTheme="minorEastAsia" w:hAnsiTheme="minorEastAsia" w:eastAsiaTheme="minorEastAsia" w:cstheme="minorEastAsia"/>
                <w:b/>
                <w:spacing w:val="6"/>
                <w:sz w:val="24"/>
              </w:rPr>
            </w:pPr>
            <w:r>
              <w:rPr>
                <w:rFonts w:hint="eastAsia" w:asciiTheme="minorEastAsia" w:hAnsiTheme="minorEastAsia" w:eastAsiaTheme="minorEastAsia" w:cstheme="minorEastAsia"/>
                <w:b/>
                <w:spacing w:val="6"/>
                <w:sz w:val="24"/>
              </w:rPr>
              <w:t>内  容</w:t>
            </w:r>
          </w:p>
        </w:tc>
        <w:tc>
          <w:tcPr>
            <w:tcW w:w="6071" w:type="dxa"/>
            <w:vAlign w:val="center"/>
          </w:tcPr>
          <w:p>
            <w:pPr>
              <w:spacing w:line="360" w:lineRule="auto"/>
              <w:jc w:val="center"/>
              <w:rPr>
                <w:rFonts w:asciiTheme="minorEastAsia" w:hAnsiTheme="minorEastAsia" w:eastAsiaTheme="minorEastAsia" w:cstheme="minorEastAsia"/>
                <w:b/>
                <w:spacing w:val="6"/>
                <w:sz w:val="24"/>
              </w:rPr>
            </w:pPr>
            <w:r>
              <w:rPr>
                <w:rFonts w:hint="eastAsia" w:asciiTheme="minorEastAsia" w:hAnsiTheme="minorEastAsia" w:eastAsiaTheme="minorEastAsia" w:cstheme="minorEastAsia"/>
                <w:b/>
                <w:spacing w:val="6"/>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项目名称</w:t>
            </w:r>
          </w:p>
        </w:tc>
        <w:tc>
          <w:tcPr>
            <w:tcW w:w="6071" w:type="dxa"/>
            <w:vAlign w:val="center"/>
          </w:tcPr>
          <w:p>
            <w:pPr>
              <w:spacing w:line="360" w:lineRule="auto"/>
              <w:jc w:val="left"/>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河南省国土资源调查规划院河南省省级不动产登记信息管理基础平台更新完善提升和省级不动产登记数据汇交质量动态监管系统开发项目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项目联系人</w:t>
            </w:r>
          </w:p>
        </w:tc>
        <w:tc>
          <w:tcPr>
            <w:tcW w:w="6071" w:type="dxa"/>
            <w:vAlign w:val="center"/>
          </w:tcPr>
          <w:p>
            <w:pPr>
              <w:spacing w:line="360" w:lineRule="auto"/>
              <w:jc w:val="left"/>
              <w:rPr>
                <w:rFonts w:asciiTheme="minorEastAsia" w:hAnsiTheme="minorEastAsia" w:eastAsiaTheme="minorEastAsia" w:cstheme="minorEastAsia"/>
                <w:color w:val="000000"/>
                <w:spacing w:val="6"/>
                <w:sz w:val="24"/>
              </w:rPr>
            </w:pPr>
            <w:r>
              <w:rPr>
                <w:rFonts w:hint="eastAsia" w:asciiTheme="minorEastAsia" w:hAnsiTheme="minorEastAsia" w:eastAsiaTheme="minorEastAsia" w:cstheme="minorEastAsia"/>
                <w:color w:val="000000"/>
                <w:spacing w:val="6"/>
                <w:sz w:val="24"/>
              </w:rPr>
              <w:t>采购人：</w:t>
            </w:r>
            <w:r>
              <w:rPr>
                <w:rFonts w:hint="eastAsia" w:asciiTheme="minorEastAsia" w:hAnsiTheme="minorEastAsia" w:eastAsiaTheme="minorEastAsia" w:cstheme="minorEastAsia"/>
                <w:spacing w:val="6"/>
                <w:sz w:val="24"/>
              </w:rPr>
              <w:t>河南省国土资源调查规划院</w:t>
            </w:r>
          </w:p>
          <w:p>
            <w:pPr>
              <w:spacing w:line="360" w:lineRule="auto"/>
              <w:jc w:val="left"/>
              <w:rPr>
                <w:rFonts w:asciiTheme="minorEastAsia" w:hAnsiTheme="minorEastAsia" w:eastAsiaTheme="minorEastAsia" w:cstheme="minorEastAsia"/>
                <w:color w:val="000000"/>
                <w:spacing w:val="6"/>
                <w:sz w:val="24"/>
              </w:rPr>
            </w:pPr>
            <w:r>
              <w:rPr>
                <w:rFonts w:hint="eastAsia" w:asciiTheme="minorEastAsia" w:hAnsiTheme="minorEastAsia" w:eastAsiaTheme="minorEastAsia" w:cstheme="minorEastAsia"/>
                <w:color w:val="000000"/>
                <w:spacing w:val="6"/>
                <w:sz w:val="24"/>
              </w:rPr>
              <w:t>联系地址：郑州市郑东新区金水东路18号</w:t>
            </w:r>
          </w:p>
          <w:p>
            <w:pPr>
              <w:spacing w:line="360" w:lineRule="auto"/>
              <w:jc w:val="left"/>
              <w:rPr>
                <w:rFonts w:hint="eastAsia" w:asciiTheme="minorEastAsia" w:hAnsiTheme="minorEastAsia" w:eastAsiaTheme="minorEastAsia" w:cstheme="minorEastAsia"/>
                <w:color w:val="000000"/>
                <w:spacing w:val="6"/>
                <w:sz w:val="24"/>
                <w:lang w:val="en-US" w:eastAsia="zh-CN"/>
              </w:rPr>
            </w:pPr>
            <w:r>
              <w:rPr>
                <w:rFonts w:hint="eastAsia" w:asciiTheme="minorEastAsia" w:hAnsiTheme="minorEastAsia" w:eastAsiaTheme="minorEastAsia" w:cstheme="minorEastAsia"/>
                <w:color w:val="000000"/>
                <w:spacing w:val="6"/>
                <w:sz w:val="24"/>
              </w:rPr>
              <w:t>联系人：邵</w:t>
            </w:r>
            <w:r>
              <w:rPr>
                <w:rFonts w:hint="eastAsia" w:asciiTheme="minorEastAsia" w:hAnsiTheme="minorEastAsia" w:eastAsiaTheme="minorEastAsia" w:cstheme="minorEastAsia"/>
                <w:color w:val="000000"/>
                <w:spacing w:val="6"/>
                <w:sz w:val="24"/>
                <w:lang w:eastAsia="zh-CN"/>
              </w:rPr>
              <w:t>先生</w:t>
            </w:r>
          </w:p>
          <w:p>
            <w:pPr>
              <w:spacing w:line="360" w:lineRule="auto"/>
              <w:jc w:val="left"/>
              <w:rPr>
                <w:rFonts w:asciiTheme="minorEastAsia" w:hAnsiTheme="minorEastAsia" w:eastAsiaTheme="minorEastAsia" w:cstheme="minorEastAsia"/>
                <w:color w:val="000000"/>
                <w:spacing w:val="6"/>
                <w:sz w:val="24"/>
              </w:rPr>
            </w:pPr>
            <w:r>
              <w:rPr>
                <w:rFonts w:hint="eastAsia" w:asciiTheme="minorEastAsia" w:hAnsiTheme="minorEastAsia" w:eastAsiaTheme="minorEastAsia" w:cstheme="minorEastAsia"/>
                <w:color w:val="000000"/>
                <w:spacing w:val="6"/>
                <w:sz w:val="24"/>
              </w:rPr>
              <w:t>联系电话：0371-61313601</w:t>
            </w:r>
          </w:p>
          <w:p>
            <w:pPr>
              <w:spacing w:line="360" w:lineRule="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代理机构：河南招标采购服务有限公司</w:t>
            </w:r>
          </w:p>
          <w:p>
            <w:pPr>
              <w:spacing w:line="360" w:lineRule="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地址：郑州市纬四路13号</w:t>
            </w:r>
          </w:p>
          <w:p>
            <w:pPr>
              <w:spacing w:line="360" w:lineRule="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联系人：司女士</w:t>
            </w:r>
          </w:p>
          <w:p>
            <w:pPr>
              <w:spacing w:line="360" w:lineRule="auto"/>
              <w:jc w:val="left"/>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联系电话</w:t>
            </w:r>
            <w:r>
              <w:rPr>
                <w:rFonts w:hint="eastAsia" w:asciiTheme="minorEastAsia" w:hAnsiTheme="minorEastAsia" w:eastAsiaTheme="minorEastAsia" w:cstheme="minorEastAsia"/>
                <w:color w:val="000000"/>
                <w:kern w:val="0"/>
                <w:sz w:val="24"/>
              </w:rPr>
              <w:t>：0371-65955805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采购方式</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单一来源采购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pacing w:val="6"/>
                <w:sz w:val="24"/>
              </w:rPr>
              <w:t>*项目预算</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pacing w:val="6"/>
                <w:sz w:val="24"/>
              </w:rPr>
              <w:t>191万元人民币，投标报价超预算按无效标处理。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单一来源供应商资质</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1.符合《政府采购法》第二十二条及《政府采购法实施条例》第十七条规定；</w:t>
            </w:r>
          </w:p>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2.根据《关于在政府采购活动中查询及使用信用记录有关问题的通知》</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财库</w:t>
            </w:r>
            <w:r>
              <w:rPr>
                <w:rFonts w:hint="eastAsia" w:asciiTheme="minorEastAsia" w:hAnsiTheme="minorEastAsia" w:eastAsiaTheme="minorEastAsia" w:cstheme="minorEastAsia"/>
                <w:spacing w:val="6"/>
                <w:sz w:val="24"/>
                <w:lang w:val="hr-HR"/>
              </w:rPr>
              <w:t>[2016]125</w:t>
            </w:r>
            <w:r>
              <w:rPr>
                <w:rFonts w:hint="eastAsia" w:asciiTheme="minorEastAsia" w:hAnsiTheme="minorEastAsia" w:eastAsiaTheme="minorEastAsia" w:cstheme="minorEastAsia"/>
                <w:spacing w:val="6"/>
                <w:sz w:val="24"/>
              </w:rPr>
              <w:t>号</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的规定</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对列入失信被执行人、重大税收违法案件当事人名单、政府采购严重违法失信行为记录名单的供应商</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拒绝参与本项目政府采购活动</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【查询渠道</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信用中国</w:t>
            </w:r>
            <w:r>
              <w:rPr>
                <w:rFonts w:hint="eastAsia" w:asciiTheme="minorEastAsia" w:hAnsiTheme="minorEastAsia" w:eastAsiaTheme="minorEastAsia" w:cstheme="minorEastAsia"/>
                <w:spacing w:val="6"/>
                <w:sz w:val="24"/>
                <w:lang w:val="hr-HR"/>
              </w:rPr>
              <w:t>”</w:t>
            </w:r>
            <w:r>
              <w:rPr>
                <w:rFonts w:hint="eastAsia" w:asciiTheme="minorEastAsia" w:hAnsiTheme="minorEastAsia" w:eastAsiaTheme="minorEastAsia" w:cstheme="minorEastAsia"/>
                <w:spacing w:val="6"/>
                <w:sz w:val="24"/>
              </w:rPr>
              <w:t>网站</w:t>
            </w:r>
            <w:r>
              <w:rPr>
                <w:rFonts w:hint="eastAsia" w:asciiTheme="minorEastAsia" w:hAnsiTheme="minorEastAsia" w:eastAsiaTheme="minorEastAsia" w:cstheme="minorEastAsia"/>
                <w:spacing w:val="6"/>
                <w:sz w:val="24"/>
                <w:lang w:val="hr-HR"/>
              </w:rPr>
              <w:t>（www.creditchina.gov.cn）</w:t>
            </w:r>
            <w:r>
              <w:rPr>
                <w:rFonts w:hint="eastAsia" w:asciiTheme="minorEastAsia" w:hAnsiTheme="minorEastAsia" w:eastAsiaTheme="minorEastAsia" w:cstheme="minorEastAsia"/>
                <w:spacing w:val="6"/>
                <w:sz w:val="24"/>
              </w:rPr>
              <w:t>、中国政府采购网</w:t>
            </w:r>
            <w:r>
              <w:rPr>
                <w:rFonts w:hint="eastAsia" w:asciiTheme="minorEastAsia" w:hAnsiTheme="minorEastAsia" w:eastAsiaTheme="minorEastAsia" w:cstheme="minorEastAsia"/>
                <w:spacing w:val="6"/>
                <w:sz w:val="24"/>
                <w:lang w:val="hr-HR"/>
              </w:rPr>
              <w:t>（www.ccgp.gov.cn）</w:t>
            </w:r>
            <w:r>
              <w:rPr>
                <w:rFonts w:hint="eastAsia" w:asciiTheme="minorEastAsia" w:hAnsiTheme="minorEastAsia" w:eastAsiaTheme="minorEastAsia" w:cstheme="minorEastAsia"/>
                <w:spacing w:val="6"/>
                <w:sz w:val="24"/>
              </w:rPr>
              <w:t xml:space="preserve">】 </w:t>
            </w:r>
          </w:p>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3.收到邀请的供应商。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w:t>
            </w:r>
          </w:p>
        </w:tc>
        <w:tc>
          <w:tcPr>
            <w:tcW w:w="2183" w:type="dxa"/>
            <w:vAlign w:val="center"/>
          </w:tcPr>
          <w:p>
            <w:pPr>
              <w:spacing w:line="360" w:lineRule="auto"/>
              <w:ind w:firstLine="126" w:firstLineChars="50"/>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单一来源保证金</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7</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*响应文件有效期</w:t>
            </w:r>
          </w:p>
        </w:tc>
        <w:tc>
          <w:tcPr>
            <w:tcW w:w="6071" w:type="dxa"/>
            <w:vAlign w:val="center"/>
          </w:tcPr>
          <w:p>
            <w:pPr>
              <w:spacing w:line="360" w:lineRule="auto"/>
              <w:ind w:left="-7"/>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自响应开始之日起60天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响应文件份数</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一份正本，二份副本</w:t>
            </w:r>
            <w:r>
              <w:rPr>
                <w:rFonts w:hint="eastAsia" w:asciiTheme="minorEastAsia" w:hAnsiTheme="minorEastAsia" w:eastAsiaTheme="minorEastAsia" w:cstheme="minorEastAsia"/>
                <w:sz w:val="24"/>
              </w:rPr>
              <w:t>，电子档一份。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9</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响应文件递交</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截止时间：</w:t>
            </w:r>
            <w:r>
              <w:rPr>
                <w:rFonts w:hint="eastAsia" w:ascii="宋体" w:hAnsi="宋体" w:eastAsia="宋体" w:cs="宋体"/>
                <w:spacing w:val="6"/>
                <w:sz w:val="24"/>
              </w:rPr>
              <w:t xml:space="preserve">2020年 </w:t>
            </w:r>
            <w:r>
              <w:rPr>
                <w:rFonts w:hint="eastAsia" w:ascii="宋体" w:hAnsi="宋体" w:eastAsia="宋体" w:cs="宋体"/>
                <w:spacing w:val="6"/>
                <w:sz w:val="24"/>
                <w:lang w:val="en-US" w:eastAsia="zh-CN"/>
              </w:rPr>
              <w:t>11</w:t>
            </w:r>
            <w:r>
              <w:rPr>
                <w:rFonts w:hint="eastAsia" w:ascii="宋体" w:hAnsi="宋体" w:eastAsia="宋体" w:cs="宋体"/>
                <w:spacing w:val="6"/>
                <w:sz w:val="24"/>
              </w:rPr>
              <w:t>月</w:t>
            </w:r>
            <w:r>
              <w:rPr>
                <w:rFonts w:hint="eastAsia" w:ascii="宋体" w:hAnsi="宋体" w:eastAsia="宋体" w:cs="宋体"/>
                <w:spacing w:val="6"/>
                <w:sz w:val="24"/>
                <w:lang w:val="en-US" w:eastAsia="zh-CN"/>
              </w:rPr>
              <w:t>12</w:t>
            </w:r>
            <w:r>
              <w:rPr>
                <w:rFonts w:hint="eastAsia" w:ascii="宋体" w:hAnsi="宋体" w:eastAsia="宋体" w:cs="宋体"/>
                <w:spacing w:val="6"/>
                <w:sz w:val="24"/>
              </w:rPr>
              <w:t xml:space="preserve"> 日9:00</w:t>
            </w:r>
            <w:r>
              <w:rPr>
                <w:rFonts w:hint="eastAsia" w:ascii="宋体" w:hAnsi="宋体" w:eastAsia="宋体" w:cs="宋体"/>
                <w:sz w:val="24"/>
              </w:rPr>
              <w:t>（北京时间）</w:t>
            </w:r>
          </w:p>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递交地点：河南招标采购服务有限公司（郑州市纬四路13号）四楼开标大厅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10</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采购时间、地点</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时间：</w:t>
            </w:r>
            <w:r>
              <w:rPr>
                <w:rFonts w:hint="eastAsia" w:ascii="宋体" w:hAnsi="宋体" w:eastAsia="宋体" w:cs="宋体"/>
                <w:spacing w:val="6"/>
                <w:sz w:val="24"/>
              </w:rPr>
              <w:t xml:space="preserve">2020年 </w:t>
            </w:r>
            <w:r>
              <w:rPr>
                <w:rFonts w:hint="eastAsia" w:ascii="宋体" w:hAnsi="宋体" w:eastAsia="宋体" w:cs="宋体"/>
                <w:spacing w:val="6"/>
                <w:sz w:val="24"/>
                <w:lang w:val="en-US" w:eastAsia="zh-CN"/>
              </w:rPr>
              <w:t>11</w:t>
            </w:r>
            <w:r>
              <w:rPr>
                <w:rFonts w:hint="eastAsia" w:ascii="宋体" w:hAnsi="宋体" w:eastAsia="宋体" w:cs="宋体"/>
                <w:spacing w:val="6"/>
                <w:sz w:val="24"/>
              </w:rPr>
              <w:t>月</w:t>
            </w:r>
            <w:r>
              <w:rPr>
                <w:rFonts w:hint="eastAsia" w:ascii="宋体" w:hAnsi="宋体" w:eastAsia="宋体" w:cs="宋体"/>
                <w:spacing w:val="6"/>
                <w:sz w:val="24"/>
                <w:lang w:val="en-US" w:eastAsia="zh-CN"/>
              </w:rPr>
              <w:t>12</w:t>
            </w:r>
            <w:r>
              <w:rPr>
                <w:rFonts w:hint="eastAsia" w:ascii="宋体" w:hAnsi="宋体" w:eastAsia="宋体" w:cs="宋体"/>
                <w:spacing w:val="6"/>
                <w:sz w:val="24"/>
              </w:rPr>
              <w:t xml:space="preserve"> 日9:00</w:t>
            </w:r>
            <w:r>
              <w:rPr>
                <w:rFonts w:hint="eastAsia" w:ascii="宋体" w:hAnsi="宋体" w:eastAsia="宋体" w:cs="宋体"/>
                <w:sz w:val="24"/>
              </w:rPr>
              <w:t>（北京时间）</w:t>
            </w:r>
          </w:p>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开标地点：河南招标采购服务有限公司（郑州市纬四路13号）四楼开标大厅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*资格证明文件</w:t>
            </w:r>
          </w:p>
        </w:tc>
        <w:tc>
          <w:tcPr>
            <w:tcW w:w="6071"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资格证明文件（具体要求见采购文件第四部分响应文件格式及内容）：</w:t>
            </w:r>
          </w:p>
          <w:p>
            <w:pPr>
              <w:pStyle w:val="22"/>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*1.营业执照副本；</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*2.法定代表人（负责人）授权委托书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*3.供应商提供参加政府采购活动前三年内在经营活动中没有重大违法行为书面声明；</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*4.反商业贿赂承诺书；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供应商提供财务状况报告（2018或2019年度的经会计师事务所审计的财务审计报告），公司成立时间不足一年的，附自行出具最新的财务报表说明。（财务审计报告应同时具有2名注册会计师盖章和签字。）</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*6.提供2020年1月1日以来至少一个月纳税证明材料和社会保障资金缴纳证明资料。</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w:t>
            </w:r>
            <w:r>
              <w:rPr>
                <w:rFonts w:hint="default" w:asciiTheme="minorEastAsia" w:hAnsiTheme="minorEastAsia" w:eastAsiaTheme="minorEastAsia" w:cstheme="minorEastAsia"/>
                <w:sz w:val="24"/>
                <w:lang w:val="en-US"/>
              </w:rPr>
              <w:t>6</w:t>
            </w:r>
            <w:r>
              <w:rPr>
                <w:rFonts w:hint="eastAsia" w:asciiTheme="minorEastAsia" w:hAnsiTheme="minorEastAsia" w:eastAsiaTheme="minorEastAsia" w:cstheme="minorEastAsia"/>
                <w:sz w:val="24"/>
              </w:rPr>
              <w:t>项要求中，如有供应商成立时限不足要求时限的，由供应商根据自身成立时间提供证明资料包括银行资信证明】。</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7.在 “信用中国”网站中查询“失信被执行人”和 “重大税收违法案件当事人名单”以及在“中国政府采购网”网站中查询“政府采购严重违法失信行为记录名单”共3项的查询结果网页扫描件(开标后由代理公司查询）。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12</w:t>
            </w:r>
          </w:p>
        </w:tc>
        <w:tc>
          <w:tcPr>
            <w:tcW w:w="2183"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*付款方式</w:t>
            </w:r>
          </w:p>
        </w:tc>
        <w:tc>
          <w:tcPr>
            <w:tcW w:w="6071" w:type="dxa"/>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13</w:t>
            </w:r>
          </w:p>
        </w:tc>
        <w:tc>
          <w:tcPr>
            <w:tcW w:w="2183" w:type="dxa"/>
            <w:vAlign w:val="center"/>
          </w:tcPr>
          <w:p>
            <w:pPr>
              <w:spacing w:line="360" w:lineRule="auto"/>
              <w:jc w:val="center"/>
              <w:outlineLvl w:val="1"/>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履约保证金</w:t>
            </w:r>
          </w:p>
        </w:tc>
        <w:tc>
          <w:tcPr>
            <w:tcW w:w="6071" w:type="dxa"/>
            <w:vAlign w:val="center"/>
          </w:tcPr>
          <w:p>
            <w:pPr>
              <w:spacing w:line="360" w:lineRule="auto"/>
              <w:outlineLvl w:val="1"/>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14</w:t>
            </w:r>
          </w:p>
        </w:tc>
        <w:tc>
          <w:tcPr>
            <w:tcW w:w="2183" w:type="dxa"/>
            <w:vAlign w:val="center"/>
          </w:tcPr>
          <w:p>
            <w:pPr>
              <w:spacing w:line="360" w:lineRule="auto"/>
              <w:jc w:val="center"/>
              <w:outlineLvl w:val="1"/>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*工期（服务期）</w:t>
            </w:r>
          </w:p>
        </w:tc>
        <w:tc>
          <w:tcPr>
            <w:tcW w:w="6071" w:type="dxa"/>
            <w:vAlign w:val="center"/>
          </w:tcPr>
          <w:p>
            <w:pPr>
              <w:spacing w:line="360" w:lineRule="auto"/>
              <w:outlineLvl w:val="1"/>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kern w:val="0"/>
                <w:sz w:val="24"/>
              </w:rPr>
              <w:t>签订合同后3个月内完成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15</w:t>
            </w:r>
          </w:p>
        </w:tc>
        <w:tc>
          <w:tcPr>
            <w:tcW w:w="2183"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采购代理服务费</w:t>
            </w:r>
          </w:p>
        </w:tc>
        <w:tc>
          <w:tcPr>
            <w:tcW w:w="6071" w:type="dxa"/>
            <w:vAlign w:val="center"/>
          </w:tcPr>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成交人向招标代理机构交纳招标代理服务费，采购代理服务费为项目预算的1.5%</w:t>
            </w:r>
            <w:r>
              <w:rPr>
                <w:rFonts w:hint="eastAsia" w:asciiTheme="minorEastAsia" w:hAnsiTheme="minorEastAsia" w:eastAsiaTheme="minorEastAsia" w:cstheme="minorEastAsia"/>
                <w:b/>
                <w:bCs/>
                <w:color w:val="000000"/>
                <w:sz w:val="24"/>
              </w:rPr>
              <w:t>。</w:t>
            </w:r>
          </w:p>
          <w:p>
            <w:pPr>
              <w:spacing w:line="360" w:lineRule="auto"/>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成交人领取成交通知书前请把按照单一来源采购文件规定的采购代理服务费汇至如下账号（或现金），后领取成交通知书：</w:t>
            </w:r>
          </w:p>
          <w:p>
            <w:pPr>
              <w:spacing w:line="360" w:lineRule="auto"/>
              <w:rPr>
                <w:rFonts w:asciiTheme="minorEastAsia" w:hAnsiTheme="minorEastAsia" w:eastAsiaTheme="minorEastAsia" w:cstheme="minorEastAsia"/>
                <w:b/>
                <w:bCs/>
                <w:color w:val="000000"/>
                <w:sz w:val="24"/>
                <w:lang w:val="en-GB"/>
              </w:rPr>
            </w:pPr>
            <w:r>
              <w:rPr>
                <w:rFonts w:hint="eastAsia" w:asciiTheme="minorEastAsia" w:hAnsiTheme="minorEastAsia" w:eastAsiaTheme="minorEastAsia" w:cstheme="minorEastAsia"/>
                <w:b/>
                <w:bCs/>
                <w:color w:val="000000"/>
                <w:sz w:val="24"/>
                <w:lang w:val="en-GB"/>
              </w:rPr>
              <w:t>开户名：河南招标采购服务有限公司</w:t>
            </w:r>
          </w:p>
          <w:p>
            <w:pPr>
              <w:spacing w:line="360" w:lineRule="auto"/>
              <w:rPr>
                <w:rFonts w:asciiTheme="minorEastAsia" w:hAnsiTheme="minorEastAsia" w:eastAsiaTheme="minorEastAsia" w:cstheme="minorEastAsia"/>
                <w:b/>
                <w:bCs/>
                <w:color w:val="000000"/>
                <w:sz w:val="24"/>
                <w:lang w:val="en-GB"/>
              </w:rPr>
            </w:pPr>
            <w:r>
              <w:rPr>
                <w:rFonts w:hint="eastAsia" w:asciiTheme="minorEastAsia" w:hAnsiTheme="minorEastAsia" w:eastAsiaTheme="minorEastAsia" w:cstheme="minorEastAsia"/>
                <w:b/>
                <w:bCs/>
                <w:color w:val="000000"/>
                <w:sz w:val="24"/>
                <w:lang w:val="en-GB"/>
              </w:rPr>
              <w:t>开户行：广发银行郑州行政区支行</w:t>
            </w:r>
          </w:p>
          <w:p>
            <w:pPr>
              <w:spacing w:line="360" w:lineRule="auto"/>
              <w:rPr>
                <w:rFonts w:asciiTheme="minorEastAsia" w:hAnsiTheme="minorEastAsia" w:eastAsiaTheme="minorEastAsia" w:cstheme="minorEastAsia"/>
                <w:b/>
                <w:bCs/>
                <w:color w:val="000000"/>
                <w:sz w:val="24"/>
                <w:lang w:val="en-GB"/>
              </w:rPr>
            </w:pPr>
            <w:r>
              <w:rPr>
                <w:rFonts w:hint="eastAsia" w:asciiTheme="minorEastAsia" w:hAnsiTheme="minorEastAsia" w:eastAsiaTheme="minorEastAsia" w:cstheme="minorEastAsia"/>
                <w:b/>
                <w:bCs/>
                <w:color w:val="000000"/>
                <w:sz w:val="24"/>
                <w:lang w:val="en-GB"/>
              </w:rPr>
              <w:t>帐号：8898 5160 1000 5452</w:t>
            </w:r>
          </w:p>
          <w:p>
            <w:pPr>
              <w:pStyle w:val="2"/>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lang w:val="en-GB"/>
              </w:rPr>
              <w:t>财务咨询电话：0371-65955702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16</w:t>
            </w:r>
          </w:p>
        </w:tc>
        <w:tc>
          <w:tcPr>
            <w:tcW w:w="2183"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重要注意事项</w:t>
            </w:r>
          </w:p>
        </w:tc>
        <w:tc>
          <w:tcPr>
            <w:tcW w:w="6071" w:type="dxa"/>
            <w:vAlign w:val="center"/>
          </w:tcPr>
          <w:p>
            <w:pPr>
              <w:pStyle w:val="16"/>
              <w:spacing w:line="360" w:lineRule="auto"/>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供应商应认真阅读本采购文件中的“采购需求”、“单一来源采购须知前附表”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18</w:t>
            </w:r>
          </w:p>
        </w:tc>
        <w:tc>
          <w:tcPr>
            <w:tcW w:w="2183"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废标条款</w:t>
            </w:r>
          </w:p>
        </w:tc>
        <w:tc>
          <w:tcPr>
            <w:tcW w:w="6071" w:type="dxa"/>
            <w:vAlign w:val="center"/>
          </w:tcPr>
          <w:p>
            <w:pPr>
              <w:pStyle w:val="16"/>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本须知前附表中“*”条款，供应商必须全部满足，否则为投标不响应。</w:t>
            </w:r>
          </w:p>
        </w:tc>
      </w:tr>
    </w:tbl>
    <w:p>
      <w:pPr>
        <w:jc w:val="center"/>
        <w:outlineLvl w:val="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br w:type="page"/>
      </w:r>
      <w:bookmarkStart w:id="1" w:name="_Toc121902684"/>
    </w:p>
    <w:p>
      <w:pPr>
        <w:jc w:val="center"/>
        <w:outlineLvl w:val="0"/>
        <w:rPr>
          <w:rFonts w:asciiTheme="minorEastAsia" w:hAnsiTheme="minorEastAsia" w:eastAsiaTheme="minorEastAsia" w:cstheme="minorEastAsia"/>
          <w:b/>
          <w:kern w:val="44"/>
          <w:sz w:val="32"/>
          <w:szCs w:val="32"/>
        </w:rPr>
      </w:pPr>
      <w:bookmarkStart w:id="2" w:name="_Toc304884850"/>
      <w:r>
        <w:rPr>
          <w:rFonts w:hint="eastAsia" w:asciiTheme="minorEastAsia" w:hAnsiTheme="minorEastAsia" w:eastAsiaTheme="minorEastAsia" w:cstheme="minorEastAsia"/>
          <w:b/>
          <w:kern w:val="44"/>
          <w:sz w:val="32"/>
          <w:szCs w:val="32"/>
        </w:rPr>
        <w:t xml:space="preserve">第一部分 </w:t>
      </w:r>
      <w:bookmarkEnd w:id="1"/>
      <w:r>
        <w:rPr>
          <w:rFonts w:hint="eastAsia" w:asciiTheme="minorEastAsia" w:hAnsiTheme="minorEastAsia" w:eastAsiaTheme="minorEastAsia" w:cstheme="minorEastAsia"/>
          <w:b/>
          <w:kern w:val="44"/>
          <w:sz w:val="32"/>
          <w:szCs w:val="32"/>
        </w:rPr>
        <w:t>采购</w:t>
      </w:r>
      <w:bookmarkEnd w:id="2"/>
      <w:r>
        <w:rPr>
          <w:rFonts w:hint="eastAsia" w:asciiTheme="minorEastAsia" w:hAnsiTheme="minorEastAsia" w:eastAsiaTheme="minorEastAsia" w:cstheme="minorEastAsia"/>
          <w:b/>
          <w:kern w:val="44"/>
          <w:sz w:val="32"/>
          <w:szCs w:val="32"/>
        </w:rPr>
        <w:t>邀请</w:t>
      </w:r>
    </w:p>
    <w:p>
      <w:pPr>
        <w:pStyle w:val="3"/>
        <w:spacing w:line="360" w:lineRule="auto"/>
        <w:rPr>
          <w:rFonts w:asciiTheme="minorEastAsia" w:hAnsiTheme="minorEastAsia" w:eastAsiaTheme="minorEastAsia" w:cstheme="minorEastAsia"/>
        </w:rPr>
      </w:pPr>
    </w:p>
    <w:p>
      <w:pPr>
        <w:rPr>
          <w:rFonts w:asciiTheme="minorEastAsia" w:hAnsiTheme="minorEastAsia" w:eastAsiaTheme="minorEastAsia" w:cstheme="minorEastAsia"/>
          <w:szCs w:val="21"/>
        </w:rPr>
      </w:pPr>
    </w:p>
    <w:p>
      <w:pPr>
        <w:spacing w:line="360" w:lineRule="auto"/>
        <w:ind w:firstLine="480" w:firstLineChars="200"/>
        <w:rPr>
          <w:rFonts w:ascii="宋体" w:hAnsi="宋体" w:eastAsia="宋体" w:cs="宋体"/>
          <w:sz w:val="24"/>
        </w:rPr>
      </w:pPr>
      <w:r>
        <w:rPr>
          <w:rFonts w:hint="eastAsia" w:ascii="宋体" w:hAnsi="宋体" w:eastAsia="宋体" w:cs="宋体"/>
          <w:sz w:val="24"/>
        </w:rPr>
        <w:t>河南招标采购服务有限公司受河南省国土资源调查规划院委托，就河南省国土资源调查规划院河南省省级不动产登记信息管理基础平台更新完善提升和省级不动产登记数据汇交质量动态监管系统开发项目进行单一来源采购。现邀请如下：</w:t>
      </w:r>
    </w:p>
    <w:p>
      <w:pPr>
        <w:pStyle w:val="3"/>
        <w:spacing w:line="500" w:lineRule="exact"/>
        <w:ind w:firstLine="488" w:firstLineChars="200"/>
        <w:rPr>
          <w:rFonts w:ascii="宋体" w:hAnsi="宋体" w:eastAsia="宋体" w:cs="宋体"/>
        </w:rPr>
      </w:pPr>
      <w:r>
        <w:rPr>
          <w:rFonts w:hint="eastAsia" w:ascii="宋体" w:hAnsi="宋体" w:eastAsia="宋体" w:cs="宋体"/>
        </w:rPr>
        <w:t>一、</w:t>
      </w:r>
      <w:r>
        <w:rPr>
          <w:rFonts w:hint="eastAsia" w:ascii="宋体" w:hAnsi="宋体" w:eastAsia="宋体" w:cs="宋体"/>
          <w:spacing w:val="0"/>
          <w:szCs w:val="24"/>
        </w:rPr>
        <w:t>采购项目简要说明：河南省国土资源调查规划院河南省省级不动产登记信息管理基础平台更新完善提升和省级不动产登记数据汇交质量动态监管系统开发项目</w:t>
      </w:r>
      <w:r>
        <w:rPr>
          <w:rFonts w:hint="eastAsia" w:ascii="宋体" w:hAnsi="宋体" w:eastAsia="宋体" w:cs="宋体"/>
        </w:rPr>
        <w:t>，本项目共分1个包：</w:t>
      </w:r>
      <w:r>
        <w:rPr>
          <w:rFonts w:hint="eastAsia" w:ascii="宋体" w:hAnsi="宋体" w:eastAsia="宋体" w:cs="宋体"/>
          <w:b/>
          <w:szCs w:val="24"/>
          <w:u w:val="single"/>
        </w:rPr>
        <w:t>谈判供应商最终报价不得高于本项目采购预算，超出采购预算的报价，视为无效响应。</w:t>
      </w:r>
    </w:p>
    <w:p>
      <w:pPr>
        <w:spacing w:line="360" w:lineRule="auto"/>
        <w:ind w:firstLine="480" w:firstLineChars="200"/>
        <w:rPr>
          <w:rFonts w:ascii="宋体" w:hAnsi="宋体" w:eastAsia="宋体" w:cs="宋体"/>
          <w:sz w:val="24"/>
        </w:rPr>
      </w:pPr>
      <w:r>
        <w:rPr>
          <w:rFonts w:hint="eastAsia" w:ascii="宋体" w:hAnsi="宋体" w:eastAsia="宋体" w:cs="宋体"/>
          <w:sz w:val="24"/>
        </w:rPr>
        <w:t>二、招标编号：豫财单一采购-2020-128</w:t>
      </w:r>
    </w:p>
    <w:p>
      <w:pPr>
        <w:spacing w:line="360" w:lineRule="auto"/>
        <w:ind w:firstLine="480" w:firstLineChars="200"/>
        <w:rPr>
          <w:rFonts w:ascii="宋体" w:hAnsi="宋体" w:eastAsia="宋体" w:cs="宋体"/>
          <w:sz w:val="24"/>
        </w:rPr>
      </w:pPr>
      <w:r>
        <w:rPr>
          <w:rFonts w:hint="eastAsia" w:ascii="宋体" w:hAnsi="宋体" w:eastAsia="宋体" w:cs="宋体"/>
          <w:sz w:val="24"/>
        </w:rPr>
        <w:t>三、单一来源供应商：</w:t>
      </w:r>
    </w:p>
    <w:tbl>
      <w:tblPr>
        <w:tblStyle w:val="25"/>
        <w:tblW w:w="8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7"/>
        <w:gridCol w:w="2043"/>
        <w:gridCol w:w="2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7" w:type="dxa"/>
            <w:tcBorders>
              <w:top w:val="single" w:color="000000" w:sz="4" w:space="0"/>
              <w:left w:val="single" w:color="000000" w:sz="4" w:space="0"/>
              <w:bottom w:val="single" w:color="000000" w:sz="4" w:space="0"/>
              <w:right w:val="single" w:color="000000" w:sz="4" w:space="0"/>
            </w:tcBorders>
            <w:noWrap w:val="0"/>
            <w:vAlign w:val="center"/>
          </w:tcPr>
          <w:p>
            <w:pPr>
              <w:spacing w:line="540" w:lineRule="exact"/>
              <w:jc w:val="center"/>
              <w:rPr>
                <w:rFonts w:ascii="宋体" w:hAnsi="宋体" w:eastAsia="宋体" w:cs="宋体"/>
                <w:kern w:val="0"/>
                <w:sz w:val="24"/>
              </w:rPr>
            </w:pPr>
            <w:r>
              <w:rPr>
                <w:rFonts w:hint="eastAsia" w:ascii="宋体" w:hAnsi="宋体" w:eastAsia="宋体" w:cs="宋体"/>
                <w:kern w:val="0"/>
                <w:sz w:val="24"/>
              </w:rPr>
              <w:t>单一来源供应商</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jc w:val="center"/>
              <w:rPr>
                <w:rFonts w:ascii="宋体" w:hAnsi="宋体" w:eastAsia="宋体" w:cs="宋体"/>
                <w:kern w:val="0"/>
                <w:sz w:val="24"/>
              </w:rPr>
            </w:pPr>
            <w:r>
              <w:rPr>
                <w:rFonts w:hint="eastAsia" w:ascii="宋体" w:hAnsi="宋体" w:eastAsia="宋体" w:cs="宋体"/>
                <w:bCs/>
                <w:kern w:val="0"/>
                <w:sz w:val="24"/>
              </w:rPr>
              <w:t>采购预算（万元）</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spacing w:line="540" w:lineRule="exact"/>
              <w:jc w:val="center"/>
              <w:rPr>
                <w:rFonts w:ascii="宋体" w:hAnsi="宋体" w:eastAsia="宋体" w:cs="宋体"/>
                <w:kern w:val="0"/>
                <w:sz w:val="24"/>
              </w:rPr>
            </w:pPr>
            <w:r>
              <w:rPr>
                <w:rFonts w:hint="eastAsia" w:ascii="宋体" w:hAnsi="宋体" w:eastAsia="宋体" w:cs="宋体"/>
                <w:kern w:val="0"/>
                <w:sz w:val="24"/>
              </w:rPr>
              <w:t>工期（服务期）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7" w:type="dxa"/>
            <w:tcBorders>
              <w:top w:val="single" w:color="000000" w:sz="4" w:space="0"/>
              <w:left w:val="single" w:color="000000" w:sz="4" w:space="0"/>
              <w:right w:val="single" w:color="000000" w:sz="4" w:space="0"/>
            </w:tcBorders>
            <w:noWrap w:val="0"/>
            <w:vAlign w:val="center"/>
          </w:tcPr>
          <w:p>
            <w:pPr>
              <w:spacing w:line="540" w:lineRule="exact"/>
              <w:jc w:val="center"/>
              <w:rPr>
                <w:rFonts w:ascii="宋体" w:hAnsi="宋体" w:eastAsia="宋体" w:cs="宋体"/>
                <w:kern w:val="0"/>
                <w:sz w:val="24"/>
                <w:lang w:val="zh-CN"/>
              </w:rPr>
            </w:pPr>
            <w:r>
              <w:rPr>
                <w:rFonts w:hint="eastAsia" w:ascii="宋体" w:hAnsi="宋体" w:eastAsia="宋体" w:cs="宋体"/>
                <w:kern w:val="0"/>
                <w:sz w:val="24"/>
              </w:rPr>
              <w:t>重庆光大网络技术有限公司</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pPr>
              <w:spacing w:line="540" w:lineRule="exact"/>
              <w:jc w:val="center"/>
              <w:rPr>
                <w:rFonts w:ascii="宋体" w:hAnsi="宋体" w:eastAsia="宋体" w:cs="宋体"/>
                <w:kern w:val="0"/>
                <w:sz w:val="24"/>
              </w:rPr>
            </w:pPr>
            <w:r>
              <w:rPr>
                <w:rFonts w:hint="eastAsia" w:ascii="宋体" w:hAnsi="宋体" w:eastAsia="宋体" w:cs="宋体"/>
                <w:kern w:val="0"/>
                <w:sz w:val="24"/>
              </w:rPr>
              <w:t>191</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spacing w:line="540" w:lineRule="exact"/>
              <w:jc w:val="center"/>
              <w:rPr>
                <w:rFonts w:ascii="宋体" w:hAnsi="宋体" w:eastAsia="宋体" w:cs="宋体"/>
                <w:kern w:val="0"/>
                <w:sz w:val="24"/>
              </w:rPr>
            </w:pPr>
            <w:r>
              <w:rPr>
                <w:rFonts w:hint="eastAsia" w:ascii="宋体" w:hAnsi="宋体" w:eastAsia="宋体" w:cs="宋体"/>
                <w:kern w:val="0"/>
                <w:sz w:val="24"/>
              </w:rPr>
              <w:t>签订合同后3个月内完成</w:t>
            </w:r>
          </w:p>
        </w:tc>
      </w:tr>
    </w:tbl>
    <w:p>
      <w:pPr>
        <w:spacing w:line="360" w:lineRule="auto"/>
        <w:ind w:firstLine="480" w:firstLineChars="200"/>
        <w:rPr>
          <w:rFonts w:ascii="宋体" w:hAnsi="宋体" w:eastAsia="宋体" w:cs="宋体"/>
          <w:sz w:val="24"/>
        </w:rPr>
      </w:pPr>
      <w:r>
        <w:rPr>
          <w:rFonts w:hint="eastAsia" w:ascii="宋体" w:hAnsi="宋体" w:eastAsia="宋体" w:cs="宋体"/>
          <w:sz w:val="24"/>
        </w:rPr>
        <w:t>四、获取采购文件信息：</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获取采购文件时间：</w:t>
      </w:r>
      <w:r>
        <w:rPr>
          <w:rFonts w:hint="eastAsia" w:ascii="宋体" w:hAnsi="宋体" w:cs="宋体"/>
          <w:color w:val="000000"/>
          <w:sz w:val="24"/>
        </w:rPr>
        <w:t>2020年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9</w:t>
      </w:r>
      <w:r>
        <w:rPr>
          <w:rFonts w:hint="eastAsia" w:ascii="宋体" w:hAnsi="宋体" w:cs="宋体"/>
          <w:color w:val="000000"/>
          <w:sz w:val="24"/>
        </w:rPr>
        <w:t xml:space="preserve">日起至2020年 </w:t>
      </w:r>
      <w:r>
        <w:rPr>
          <w:rFonts w:hint="eastAsia" w:ascii="宋体" w:hAnsi="宋体" w:cs="宋体"/>
          <w:color w:val="000000"/>
          <w:sz w:val="24"/>
          <w:lang w:val="en-US" w:eastAsia="zh-CN"/>
        </w:rPr>
        <w:t>11</w:t>
      </w:r>
      <w:r>
        <w:rPr>
          <w:rFonts w:hint="eastAsia" w:ascii="宋体" w:hAnsi="宋体" w:cs="宋体"/>
          <w:color w:val="000000"/>
          <w:sz w:val="24"/>
        </w:rPr>
        <w:t xml:space="preserve">月 </w:t>
      </w:r>
      <w:r>
        <w:rPr>
          <w:rFonts w:hint="eastAsia" w:ascii="宋体" w:hAnsi="宋体" w:cs="宋体"/>
          <w:color w:val="000000"/>
          <w:sz w:val="24"/>
          <w:lang w:val="en-US" w:eastAsia="zh-CN"/>
        </w:rPr>
        <w:t>11</w:t>
      </w:r>
      <w:r>
        <w:rPr>
          <w:rFonts w:hint="eastAsia" w:ascii="宋体" w:hAnsi="宋体" w:cs="宋体"/>
          <w:color w:val="000000"/>
          <w:sz w:val="24"/>
        </w:rPr>
        <w:t>日每天(公休日、节假日除外)上午8：00-12：00时，下午14：30-17：30时(北京时间)</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获取采购文件地点：河南招标采购服务有限公司三楼307室（郑州市纬四路13号）</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五、供应商资格要求：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1.符合《政府采购法》第二十二条及《政府采购法实施条例》第十七条规定；</w:t>
      </w:r>
    </w:p>
    <w:p>
      <w:pPr>
        <w:spacing w:line="360" w:lineRule="auto"/>
        <w:ind w:firstLine="480" w:firstLineChars="200"/>
        <w:rPr>
          <w:rFonts w:ascii="宋体" w:hAnsi="宋体" w:eastAsia="宋体" w:cs="宋体"/>
          <w:sz w:val="24"/>
        </w:rPr>
      </w:pPr>
      <w:r>
        <w:rPr>
          <w:rFonts w:hint="eastAsia" w:ascii="宋体" w:hAnsi="宋体" w:eastAsia="宋体" w:cs="宋体"/>
          <w:sz w:val="24"/>
        </w:rPr>
        <w:t>2.根据《关于在政府采购活动中查询及使用信用记录有关问题的通知》</w:t>
      </w:r>
      <w:r>
        <w:rPr>
          <w:rFonts w:hint="eastAsia" w:ascii="宋体" w:hAnsi="宋体" w:eastAsia="宋体" w:cs="宋体"/>
          <w:sz w:val="24"/>
          <w:lang w:val="hr-HR"/>
        </w:rPr>
        <w:t>(</w:t>
      </w:r>
      <w:r>
        <w:rPr>
          <w:rFonts w:hint="eastAsia" w:ascii="宋体" w:hAnsi="宋体" w:eastAsia="宋体" w:cs="宋体"/>
          <w:sz w:val="24"/>
        </w:rPr>
        <w:t>财库</w:t>
      </w:r>
      <w:r>
        <w:rPr>
          <w:rFonts w:hint="eastAsia" w:ascii="宋体" w:hAnsi="宋体" w:eastAsia="宋体" w:cs="宋体"/>
          <w:sz w:val="24"/>
          <w:lang w:val="hr-HR"/>
        </w:rPr>
        <w:t>[2016]125</w:t>
      </w:r>
      <w:r>
        <w:rPr>
          <w:rFonts w:hint="eastAsia" w:ascii="宋体" w:hAnsi="宋体" w:eastAsia="宋体" w:cs="宋体"/>
          <w:sz w:val="24"/>
        </w:rPr>
        <w:t>号</w:t>
      </w:r>
      <w:r>
        <w:rPr>
          <w:rFonts w:hint="eastAsia" w:ascii="宋体" w:hAnsi="宋体" w:eastAsia="宋体" w:cs="宋体"/>
          <w:sz w:val="24"/>
          <w:lang w:val="hr-HR"/>
        </w:rPr>
        <w:t>)</w:t>
      </w:r>
      <w:r>
        <w:rPr>
          <w:rFonts w:hint="eastAsia" w:ascii="宋体" w:hAnsi="宋体" w:eastAsia="宋体" w:cs="宋体"/>
          <w:sz w:val="24"/>
        </w:rPr>
        <w:t>的规定</w:t>
      </w:r>
      <w:r>
        <w:rPr>
          <w:rFonts w:hint="eastAsia" w:ascii="宋体" w:hAnsi="宋体" w:eastAsia="宋体" w:cs="宋体"/>
          <w:sz w:val="24"/>
          <w:lang w:val="hr-HR"/>
        </w:rPr>
        <w:t>，</w:t>
      </w:r>
      <w:r>
        <w:rPr>
          <w:rFonts w:hint="eastAsia" w:ascii="宋体" w:hAnsi="宋体" w:eastAsia="宋体" w:cs="宋体"/>
          <w:sz w:val="24"/>
        </w:rPr>
        <w:t>对列入失信被执行人、重大税收违法案件当事人名单、政府采购严重违法失信行为记录名单的供应商</w:t>
      </w:r>
      <w:r>
        <w:rPr>
          <w:rFonts w:hint="eastAsia" w:ascii="宋体" w:hAnsi="宋体" w:eastAsia="宋体" w:cs="宋体"/>
          <w:sz w:val="24"/>
          <w:lang w:val="hr-HR"/>
        </w:rPr>
        <w:t>，</w:t>
      </w:r>
      <w:r>
        <w:rPr>
          <w:rFonts w:hint="eastAsia" w:ascii="宋体" w:hAnsi="宋体" w:eastAsia="宋体" w:cs="宋体"/>
          <w:sz w:val="24"/>
        </w:rPr>
        <w:t>拒绝参与本项目政府采购活动</w:t>
      </w:r>
      <w:r>
        <w:rPr>
          <w:rFonts w:hint="eastAsia" w:ascii="宋体" w:hAnsi="宋体" w:eastAsia="宋体" w:cs="宋体"/>
          <w:sz w:val="24"/>
          <w:lang w:val="hr-HR"/>
        </w:rPr>
        <w:t>；</w:t>
      </w:r>
      <w:r>
        <w:rPr>
          <w:rFonts w:hint="eastAsia" w:ascii="宋体" w:hAnsi="宋体" w:eastAsia="宋体" w:cs="宋体"/>
          <w:sz w:val="24"/>
        </w:rPr>
        <w:t>【查询渠道</w:t>
      </w:r>
      <w:r>
        <w:rPr>
          <w:rFonts w:hint="eastAsia" w:ascii="宋体" w:hAnsi="宋体" w:eastAsia="宋体" w:cs="宋体"/>
          <w:sz w:val="24"/>
          <w:lang w:val="hr-HR"/>
        </w:rPr>
        <w:t>：“</w:t>
      </w:r>
      <w:r>
        <w:rPr>
          <w:rFonts w:hint="eastAsia" w:ascii="宋体" w:hAnsi="宋体" w:eastAsia="宋体" w:cs="宋体"/>
          <w:sz w:val="24"/>
        </w:rPr>
        <w:t>信用中国</w:t>
      </w:r>
      <w:r>
        <w:rPr>
          <w:rFonts w:hint="eastAsia" w:ascii="宋体" w:hAnsi="宋体" w:eastAsia="宋体" w:cs="宋体"/>
          <w:sz w:val="24"/>
          <w:lang w:val="hr-HR"/>
        </w:rPr>
        <w:t>”</w:t>
      </w:r>
      <w:r>
        <w:rPr>
          <w:rFonts w:hint="eastAsia" w:ascii="宋体" w:hAnsi="宋体" w:eastAsia="宋体" w:cs="宋体"/>
          <w:sz w:val="24"/>
        </w:rPr>
        <w:t>网站</w:t>
      </w:r>
      <w:r>
        <w:rPr>
          <w:rFonts w:hint="eastAsia" w:ascii="宋体" w:hAnsi="宋体" w:eastAsia="宋体" w:cs="宋体"/>
          <w:sz w:val="24"/>
          <w:lang w:val="hr-HR"/>
        </w:rPr>
        <w:t>（www.creditchina.gov.cn）</w:t>
      </w:r>
      <w:r>
        <w:rPr>
          <w:rFonts w:hint="eastAsia" w:ascii="宋体" w:hAnsi="宋体" w:eastAsia="宋体" w:cs="宋体"/>
          <w:sz w:val="24"/>
        </w:rPr>
        <w:t>、中国政府采购网</w:t>
      </w:r>
      <w:r>
        <w:rPr>
          <w:rFonts w:hint="eastAsia" w:ascii="宋体" w:hAnsi="宋体" w:eastAsia="宋体" w:cs="宋体"/>
          <w:sz w:val="24"/>
          <w:lang w:val="hr-HR"/>
        </w:rPr>
        <w:t>（www.ccgp.gov.cn）</w:t>
      </w:r>
      <w:r>
        <w:rPr>
          <w:rFonts w:hint="eastAsia" w:ascii="宋体" w:hAnsi="宋体" w:eastAsia="宋体" w:cs="宋体"/>
          <w:sz w:val="24"/>
        </w:rPr>
        <w:t xml:space="preserve">】 </w:t>
      </w:r>
    </w:p>
    <w:p>
      <w:pPr>
        <w:tabs>
          <w:tab w:val="left" w:pos="720"/>
        </w:tabs>
        <w:spacing w:line="360" w:lineRule="auto"/>
        <w:ind w:firstLine="480" w:firstLineChars="200"/>
        <w:rPr>
          <w:rFonts w:ascii="宋体" w:hAnsi="宋体" w:eastAsia="宋体" w:cs="宋体"/>
          <w:sz w:val="24"/>
        </w:rPr>
      </w:pPr>
      <w:r>
        <w:rPr>
          <w:rFonts w:hint="eastAsia" w:ascii="宋体" w:hAnsi="宋体" w:eastAsia="宋体" w:cs="宋体"/>
          <w:sz w:val="24"/>
        </w:rPr>
        <w:t>3.收到邀请的供应商。</w:t>
      </w:r>
    </w:p>
    <w:p>
      <w:pPr>
        <w:spacing w:line="360" w:lineRule="auto"/>
        <w:ind w:left="420"/>
        <w:rPr>
          <w:rFonts w:ascii="宋体" w:hAnsi="宋体" w:eastAsia="宋体" w:cs="宋体"/>
          <w:sz w:val="24"/>
        </w:rPr>
      </w:pPr>
      <w:r>
        <w:rPr>
          <w:rFonts w:hint="eastAsia" w:ascii="宋体" w:hAnsi="宋体" w:eastAsia="宋体" w:cs="宋体"/>
          <w:bCs/>
          <w:sz w:val="24"/>
        </w:rPr>
        <w:t>六、单一来源响应文件接收信息</w:t>
      </w:r>
      <w:r>
        <w:rPr>
          <w:rFonts w:hint="eastAsia" w:ascii="宋体" w:hAnsi="宋体" w:eastAsia="宋体" w:cs="宋体"/>
          <w:sz w:val="24"/>
        </w:rPr>
        <w:t>：</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接收截止时间：</w:t>
      </w:r>
      <w:r>
        <w:rPr>
          <w:rFonts w:hint="eastAsia" w:ascii="宋体" w:hAnsi="宋体" w:eastAsia="宋体" w:cs="宋体"/>
          <w:spacing w:val="6"/>
          <w:sz w:val="24"/>
        </w:rPr>
        <w:t xml:space="preserve">2020年 </w:t>
      </w:r>
      <w:r>
        <w:rPr>
          <w:rFonts w:hint="eastAsia" w:ascii="宋体" w:hAnsi="宋体" w:eastAsia="宋体" w:cs="宋体"/>
          <w:spacing w:val="6"/>
          <w:sz w:val="24"/>
          <w:lang w:val="en-US" w:eastAsia="zh-CN"/>
        </w:rPr>
        <w:t>11</w:t>
      </w:r>
      <w:r>
        <w:rPr>
          <w:rFonts w:hint="eastAsia" w:ascii="宋体" w:hAnsi="宋体" w:eastAsia="宋体" w:cs="宋体"/>
          <w:spacing w:val="6"/>
          <w:sz w:val="24"/>
        </w:rPr>
        <w:t>月</w:t>
      </w:r>
      <w:r>
        <w:rPr>
          <w:rFonts w:hint="eastAsia" w:ascii="宋体" w:hAnsi="宋体" w:eastAsia="宋体" w:cs="宋体"/>
          <w:spacing w:val="6"/>
          <w:sz w:val="24"/>
          <w:lang w:val="en-US" w:eastAsia="zh-CN"/>
        </w:rPr>
        <w:t>12</w:t>
      </w:r>
      <w:r>
        <w:rPr>
          <w:rFonts w:hint="eastAsia" w:ascii="宋体" w:hAnsi="宋体" w:eastAsia="宋体" w:cs="宋体"/>
          <w:spacing w:val="6"/>
          <w:sz w:val="24"/>
        </w:rPr>
        <w:t xml:space="preserve"> 日9:00</w:t>
      </w:r>
      <w:r>
        <w:rPr>
          <w:rFonts w:hint="eastAsia" w:ascii="宋体" w:hAnsi="宋体" w:eastAsia="宋体" w:cs="宋体"/>
          <w:sz w:val="24"/>
        </w:rPr>
        <w:t>（北京时间）</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接收地点：河南招标采购服务有限公司四楼开标大厅（郑州市纬四路13号）</w:t>
      </w:r>
    </w:p>
    <w:p>
      <w:pPr>
        <w:tabs>
          <w:tab w:val="left" w:pos="900"/>
        </w:tabs>
        <w:spacing w:line="360" w:lineRule="auto"/>
        <w:ind w:firstLine="470" w:firstLineChars="196"/>
        <w:rPr>
          <w:rFonts w:ascii="宋体" w:hAnsi="宋体" w:eastAsia="宋体" w:cs="宋体"/>
          <w:sz w:val="24"/>
        </w:rPr>
      </w:pPr>
      <w:r>
        <w:rPr>
          <w:rFonts w:hint="eastAsia" w:ascii="宋体" w:hAnsi="宋体" w:eastAsia="宋体" w:cs="宋体"/>
          <w:sz w:val="24"/>
        </w:rPr>
        <w:t>七、开标有关信息：</w:t>
      </w:r>
    </w:p>
    <w:p>
      <w:pPr>
        <w:tabs>
          <w:tab w:val="left" w:pos="900"/>
        </w:tabs>
        <w:spacing w:line="360" w:lineRule="auto"/>
        <w:ind w:left="420"/>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pacing w:val="6"/>
          <w:sz w:val="24"/>
        </w:rPr>
        <w:t xml:space="preserve">2020年 </w:t>
      </w:r>
      <w:r>
        <w:rPr>
          <w:rFonts w:hint="eastAsia" w:ascii="宋体" w:hAnsi="宋体" w:eastAsia="宋体" w:cs="宋体"/>
          <w:spacing w:val="6"/>
          <w:sz w:val="24"/>
          <w:lang w:val="en-US" w:eastAsia="zh-CN"/>
        </w:rPr>
        <w:t>11</w:t>
      </w:r>
      <w:r>
        <w:rPr>
          <w:rFonts w:hint="eastAsia" w:ascii="宋体" w:hAnsi="宋体" w:eastAsia="宋体" w:cs="宋体"/>
          <w:spacing w:val="6"/>
          <w:sz w:val="24"/>
        </w:rPr>
        <w:t>月</w:t>
      </w:r>
      <w:r>
        <w:rPr>
          <w:rFonts w:hint="eastAsia" w:ascii="宋体" w:hAnsi="宋体" w:eastAsia="宋体" w:cs="宋体"/>
          <w:spacing w:val="6"/>
          <w:sz w:val="24"/>
          <w:lang w:val="en-US" w:eastAsia="zh-CN"/>
        </w:rPr>
        <w:t>12</w:t>
      </w:r>
      <w:r>
        <w:rPr>
          <w:rFonts w:hint="eastAsia" w:ascii="宋体" w:hAnsi="宋体" w:eastAsia="宋体" w:cs="宋体"/>
          <w:spacing w:val="6"/>
          <w:sz w:val="24"/>
        </w:rPr>
        <w:t xml:space="preserve"> 日9:00</w:t>
      </w:r>
      <w:r>
        <w:rPr>
          <w:rFonts w:hint="eastAsia" w:ascii="宋体" w:hAnsi="宋体" w:eastAsia="宋体" w:cs="宋体"/>
          <w:sz w:val="24"/>
        </w:rPr>
        <w:t>（北京时间）</w:t>
      </w:r>
    </w:p>
    <w:p>
      <w:pPr>
        <w:tabs>
          <w:tab w:val="left" w:pos="900"/>
        </w:tabs>
        <w:spacing w:line="360" w:lineRule="auto"/>
        <w:ind w:left="420"/>
        <w:rPr>
          <w:rFonts w:ascii="宋体" w:hAnsi="宋体" w:eastAsia="宋体" w:cs="宋体"/>
          <w:sz w:val="24"/>
        </w:rPr>
      </w:pPr>
      <w:r>
        <w:rPr>
          <w:rFonts w:hint="eastAsia" w:ascii="宋体" w:hAnsi="宋体" w:eastAsia="宋体" w:cs="宋体"/>
          <w:sz w:val="24"/>
        </w:rPr>
        <w:t>开标地点：河南招标采购服务有限公司四楼开标大厅（郑州市纬四路13号）</w:t>
      </w:r>
    </w:p>
    <w:p>
      <w:pPr>
        <w:tabs>
          <w:tab w:val="left" w:pos="900"/>
        </w:tabs>
        <w:spacing w:line="360" w:lineRule="auto"/>
        <w:ind w:left="420"/>
        <w:rPr>
          <w:rFonts w:ascii="宋体" w:hAnsi="宋体" w:eastAsia="宋体" w:cs="宋体"/>
          <w:bCs/>
          <w:sz w:val="24"/>
        </w:rPr>
      </w:pPr>
      <w:r>
        <w:rPr>
          <w:rFonts w:hint="eastAsia" w:ascii="宋体" w:hAnsi="宋体" w:eastAsia="宋体" w:cs="宋体"/>
          <w:bCs/>
          <w:sz w:val="24"/>
        </w:rPr>
        <w:t>八、</w:t>
      </w:r>
      <w:r>
        <w:rPr>
          <w:rFonts w:hint="eastAsia" w:ascii="宋体" w:hAnsi="宋体" w:eastAsia="宋体" w:cs="宋体"/>
          <w:bCs/>
          <w:kern w:val="0"/>
          <w:sz w:val="24"/>
        </w:rPr>
        <w:t>联系方式</w:t>
      </w:r>
      <w:r>
        <w:rPr>
          <w:rFonts w:hint="eastAsia" w:ascii="宋体" w:hAnsi="宋体" w:eastAsia="宋体" w:cs="宋体"/>
          <w:bCs/>
          <w:sz w:val="24"/>
        </w:rPr>
        <w:t>：</w:t>
      </w:r>
    </w:p>
    <w:p>
      <w:pPr>
        <w:spacing w:line="360" w:lineRule="auto"/>
        <w:ind w:firstLine="504" w:firstLineChars="200"/>
        <w:jc w:val="left"/>
        <w:rPr>
          <w:rFonts w:ascii="宋体" w:hAnsi="宋体" w:eastAsia="宋体" w:cs="宋体"/>
          <w:color w:val="000000"/>
          <w:spacing w:val="6"/>
          <w:sz w:val="24"/>
        </w:rPr>
      </w:pPr>
      <w:r>
        <w:rPr>
          <w:rFonts w:hint="eastAsia" w:ascii="宋体" w:hAnsi="宋体" w:eastAsia="宋体" w:cs="宋体"/>
          <w:color w:val="000000"/>
          <w:spacing w:val="6"/>
          <w:sz w:val="24"/>
        </w:rPr>
        <w:t>采购人：河南省国土资源调查规划院</w:t>
      </w:r>
    </w:p>
    <w:p>
      <w:pPr>
        <w:spacing w:line="360" w:lineRule="auto"/>
        <w:ind w:firstLine="504" w:firstLineChars="200"/>
        <w:jc w:val="left"/>
        <w:rPr>
          <w:rFonts w:ascii="宋体" w:hAnsi="宋体" w:eastAsia="宋体" w:cs="宋体"/>
          <w:color w:val="000000"/>
          <w:spacing w:val="6"/>
          <w:sz w:val="24"/>
        </w:rPr>
      </w:pPr>
      <w:r>
        <w:rPr>
          <w:rFonts w:hint="eastAsia" w:ascii="宋体" w:hAnsi="宋体" w:eastAsia="宋体" w:cs="宋体"/>
          <w:color w:val="000000"/>
          <w:spacing w:val="6"/>
          <w:sz w:val="24"/>
        </w:rPr>
        <w:t>联系地址：郑州市郑东新区金水东路18号</w:t>
      </w:r>
    </w:p>
    <w:p>
      <w:pPr>
        <w:spacing w:line="360" w:lineRule="auto"/>
        <w:ind w:firstLine="504" w:firstLineChars="200"/>
        <w:jc w:val="left"/>
        <w:rPr>
          <w:rFonts w:hint="eastAsia" w:ascii="宋体" w:hAnsi="宋体" w:eastAsia="宋体" w:cs="宋体"/>
          <w:color w:val="000000"/>
          <w:spacing w:val="6"/>
          <w:sz w:val="24"/>
          <w:lang w:eastAsia="zh-CN"/>
        </w:rPr>
      </w:pPr>
      <w:r>
        <w:rPr>
          <w:rFonts w:hint="eastAsia" w:ascii="宋体" w:hAnsi="宋体" w:eastAsia="宋体" w:cs="宋体"/>
          <w:color w:val="000000"/>
          <w:spacing w:val="6"/>
          <w:sz w:val="24"/>
        </w:rPr>
        <w:t>联系人：邵</w:t>
      </w:r>
      <w:r>
        <w:rPr>
          <w:rFonts w:hint="eastAsia" w:ascii="宋体" w:hAnsi="宋体" w:cs="宋体"/>
          <w:color w:val="000000"/>
          <w:spacing w:val="6"/>
          <w:sz w:val="24"/>
          <w:lang w:eastAsia="zh-CN"/>
        </w:rPr>
        <w:t>先生</w:t>
      </w:r>
    </w:p>
    <w:p>
      <w:pPr>
        <w:spacing w:line="360" w:lineRule="auto"/>
        <w:ind w:firstLine="504" w:firstLineChars="200"/>
        <w:jc w:val="left"/>
        <w:rPr>
          <w:rFonts w:ascii="宋体" w:hAnsi="宋体" w:eastAsia="宋体" w:cs="宋体"/>
          <w:color w:val="000000"/>
          <w:spacing w:val="6"/>
          <w:sz w:val="24"/>
        </w:rPr>
      </w:pPr>
      <w:r>
        <w:rPr>
          <w:rFonts w:hint="eastAsia" w:ascii="宋体" w:hAnsi="宋体" w:eastAsia="宋体" w:cs="宋体"/>
          <w:color w:val="000000"/>
          <w:spacing w:val="6"/>
          <w:sz w:val="24"/>
        </w:rPr>
        <w:t>联系电话：0371-61313601</w:t>
      </w:r>
    </w:p>
    <w:p>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代理机构：河南招标采购服务有限公司</w:t>
      </w:r>
    </w:p>
    <w:p>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地址：郑州市纬四路13号</w:t>
      </w:r>
    </w:p>
    <w:p>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联系人：司女士</w:t>
      </w:r>
    </w:p>
    <w:p>
      <w:pPr>
        <w:spacing w:line="400" w:lineRule="exact"/>
        <w:ind w:firstLine="480" w:firstLineChars="200"/>
        <w:rPr>
          <w:rFonts w:ascii="宋体" w:hAnsi="宋体" w:eastAsia="宋体" w:cs="宋体"/>
        </w:rPr>
      </w:pPr>
      <w:r>
        <w:rPr>
          <w:rFonts w:hint="eastAsia" w:ascii="宋体" w:hAnsi="宋体" w:eastAsia="宋体" w:cs="宋体"/>
          <w:color w:val="000000"/>
          <w:sz w:val="24"/>
        </w:rPr>
        <w:t>联系电话</w:t>
      </w:r>
      <w:r>
        <w:rPr>
          <w:rFonts w:hint="eastAsia" w:ascii="宋体" w:hAnsi="宋体" w:eastAsia="宋体" w:cs="宋体"/>
          <w:color w:val="000000"/>
          <w:kern w:val="0"/>
          <w:sz w:val="24"/>
        </w:rPr>
        <w:t>：0371-65955805</w:t>
      </w:r>
    </w:p>
    <w:p>
      <w:pPr>
        <w:spacing w:line="360" w:lineRule="auto"/>
        <w:ind w:firstLine="240" w:firstLineChars="1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九、本次邀请函在《河南省政府采购网》上发布。</w:t>
      </w:r>
    </w:p>
    <w:p>
      <w:pPr>
        <w:rPr>
          <w:rFonts w:hint="default"/>
          <w:lang w:val="en-US"/>
        </w:rPr>
      </w:pPr>
      <w:r>
        <w:rPr>
          <w:rFonts w:hint="default"/>
          <w:lang w:val="en-US"/>
        </w:rPr>
        <w:t xml:space="preserve">    </w:t>
      </w:r>
    </w:p>
    <w:p>
      <w:pPr>
        <w:jc w:val="center"/>
        <w:outlineLvl w:val="0"/>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3" w:name="_Toc304884851"/>
      <w:bookmarkStart w:id="4" w:name="_Toc90712487"/>
      <w:bookmarkStart w:id="5" w:name="_Toc90713275"/>
    </w:p>
    <w:p>
      <w:pPr>
        <w:jc w:val="center"/>
        <w:outlineLvl w:val="0"/>
        <w:rPr>
          <w:rFonts w:asciiTheme="minorEastAsia" w:hAnsiTheme="minorEastAsia" w:eastAsiaTheme="minorEastAsia" w:cstheme="minorEastAsia"/>
          <w:b/>
          <w:kern w:val="44"/>
          <w:sz w:val="32"/>
          <w:szCs w:val="32"/>
        </w:rPr>
      </w:pPr>
      <w:r>
        <w:rPr>
          <w:rFonts w:hint="eastAsia" w:asciiTheme="minorEastAsia" w:hAnsiTheme="minorEastAsia" w:eastAsiaTheme="minorEastAsia" w:cstheme="minorEastAsia"/>
          <w:b/>
          <w:kern w:val="44"/>
          <w:sz w:val="32"/>
          <w:szCs w:val="32"/>
        </w:rPr>
        <w:t>第二部分 采购需求</w:t>
      </w:r>
      <w:bookmarkEnd w:id="3"/>
      <w:bookmarkEnd w:id="4"/>
      <w:bookmarkEnd w:id="5"/>
    </w:p>
    <w:p>
      <w:pPr>
        <w:ind w:firstLine="643" w:firstLineChars="200"/>
        <w:rPr>
          <w:rFonts w:ascii="仿宋_GB2312" w:eastAsia="仿宋_GB2312"/>
          <w:b/>
          <w:sz w:val="32"/>
          <w:szCs w:val="32"/>
        </w:rPr>
      </w:pPr>
      <w:bookmarkStart w:id="6" w:name="_Toc304884852"/>
      <w:bookmarkStart w:id="7" w:name="_Toc109550772"/>
      <w:bookmarkStart w:id="8" w:name="_Toc90712512"/>
      <w:bookmarkStart w:id="9" w:name="_Toc279158693"/>
      <w:bookmarkStart w:id="10" w:name="_Toc90713331"/>
    </w:p>
    <w:p>
      <w:pPr>
        <w:tabs>
          <w:tab w:val="left" w:pos="900"/>
        </w:tabs>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一、项目任务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贯彻落实深化“放管服”改革、优化营商环境，提升省级不动产登记治理能力和监管水平的重要举措。项目建设的主要任务包括河南省省级不动产登记信息管理基础平台更新完善提升和省级不动产登记数据汇交质量动态监管系统开发2项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河南省省级不动产登记信息管理基础平台更新完善提升。具体内容包括：完成省级平台与河南政务服务的系统对接、省级平台与省电力公司业务系统的对接、省级不动产登记信息数据库对外共享接口开发、接入与上报系统与统计分析系统的调整等工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河南省省级不动产登记数据汇交质量动态监管系统开发。具体内容包括：基于省级不动产登记信息管理基础平台现有的省级不动产登记信息数据库建设成果和接入与上报系统，完善河南省不动产登记数据汇交质量标准、建立登记数据汇交质量监管数据库、建立登记数据汇交质量动态监管系统。</w:t>
      </w:r>
    </w:p>
    <w:p>
      <w:pPr>
        <w:tabs>
          <w:tab w:val="left" w:pos="900"/>
        </w:tabs>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二、技术服务要求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（一）功能要求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1.省级不动产登记信息管理基础平台更新完善提升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（1）完善平台统计分析系统，对原有功能进行调整，增加新的数据报表支持，以满足工作发展需要，提供更全面、更合理的数据分析、查询、统计功能。</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（2）优化平台接入上报系统，根据自然资源部数据接入上报的新的要求，结合河南省不动产数据接入上报的需要，对原接入标准进行扩展增强，按照标准对系统进行优化、调整。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开发电力过户联办支持，与省电力“总对总”对接，扩展省平台，市县只需通过和省平台的接口调用，即实现电力过户联办功能，减轻市县对接难度，发挥省平台的更大作用，并提供与市县登记机构业务系统的对接联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（4）增强省级平台对外共享功能，开发对外数据共享接口，为其它部门申请利用省级不动产信息数据库数据提供技术支撑，发挥省不动产数据库的更大作用。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对接开发河南省政务服务网“统一受理”平台，通过省级“总对总”模式，发挥省级不动产信息管理基础平台的优势，实现全省不动产登记系统通过省平台和政务服务网“统一受理”平台的接口对接，并依托对接成果，开展不动产登记效能监察，并提供与市县登记机构业务系统的对接联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省级不动产登记数据汇交质量动态监管系统开发</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建立登记数据汇交质量监管数据库。基于省级平台不动产登记信息数库建设成果和接入与上报系统，结合汇交数据特点，建立不动产登记数据汇交质量监管数据库，汇集登记数据汇交质量动态监管全过程的过程数据和结果数据，为监管工作开展的过程留痕提供数据支撑，为监管决策提供数据辅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建立登记数据汇交质量动态监管系统。在登记数据汇交质量监管机制和数据标准的基础上，围绕登记数据汇交过程及质量，确定监管范围及关键控制点，建立省级不动产登记数据汇交质量监管系统，代替以人工为主的监管模式。提炼关键指标，选择合适的可视化图表形式，从规模、质量、稳定性、及时性等角度，有层次、多维度、系统性地反映不动产登记机构数据汇交的质量和效能情况，辅助开展不动产登记数据监测管理，实现对数据汇交过程的实时监测，动态报警，有助于减少人工参与的负担，并能够及时发现问题；针对关键业务环节和要点进行实时监管，通过多维图表进行可视化展示，方便快速掌握现状；提供统计分析和综合查询服务，进行数据挖掘和问题定位，同时提供智能报表服务，定期输出日报、周报、月报等，有力支撑登记数据质量监管工作的决策实施。</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（二）性能要求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系统应能够顺畅运行，系统反应速度快，在线数据服务的平均访问等待时间应不大于5-8秒、移动办公平台，数据分析响应时间应≤15秒、在线服务监控，响应时间应≤ 5秒、并发用户数应不低于200，支持同时在线人数500 人。系统不得设置登录人数限制。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（三）项目实施周期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该项目各项工作任务，需在签订合同后3个月内完成。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（四）其他要求。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提供软件涉及三方的须为正版软件，不得有任何版权限制，项目建设过程中形成的所有程序包括源代码及源代码介质，程序代码归甲方所有；须提供7*24小时响应机制，至少1年免费质保期，免费质保期内提供免费系统升级和维护、提供免费人员培训和售后服务方案。</w:t>
      </w:r>
    </w:p>
    <w:p>
      <w:pPr>
        <w:tabs>
          <w:tab w:val="left" w:pos="900"/>
        </w:tabs>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三、预期成果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（一）文档成果（含电子文档）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省级不动产登记信息管理基础平台更新、完善、提升实施方案和省级不动产登记数据汇交质量动态监管系统技术设计方案。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2.系统开发相关文档。包括需求分析规格说明书、用户操作手册等。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3.相关标准规范文档。包括省不动产与省电力对接数据交互标准、对外共享接口标准、省政务服务网“统一受理”平台对接标准等相关文档。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4.省级不动产登记信息管理基础平台更新、完善、提升工作报告和省级不动产登记数据汇交质量动态监管系统项目工作报告。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（二）系统成果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升级改造后的河南省不动产登记信息管理基础平台一套（包括安装包、操作手册等）。包括查询与分析系统、不动产登记数据统一接入上报系统、电力联办过户省级对接程序、省政务网“统一受理”平台对接程序、对外数据共享接口程序、运行监控系统、电力联办运行监控系统、效能监控系统、不动产登记数据汇交质量动态监管系统等。</w:t>
      </w:r>
    </w:p>
    <w:p>
      <w:pPr>
        <w:pStyle w:val="2"/>
        <w:spacing w:line="360" w:lineRule="auto"/>
        <w:ind w:firstLine="480"/>
        <w:rPr>
          <w:rFonts w:asciiTheme="minorEastAsia" w:hAnsiTheme="minorEastAsia" w:eastAsiaTheme="minorEastAsia" w:cstheme="minorEastAsia"/>
          <w:spacing w:val="0"/>
          <w:szCs w:val="24"/>
        </w:rPr>
      </w:pPr>
      <w:r>
        <w:rPr>
          <w:rFonts w:hint="eastAsia" w:asciiTheme="minorEastAsia" w:hAnsiTheme="minorEastAsia" w:eastAsiaTheme="minorEastAsia" w:cstheme="minorEastAsia"/>
          <w:spacing w:val="0"/>
          <w:szCs w:val="24"/>
        </w:rPr>
        <w:br w:type="page"/>
      </w:r>
    </w:p>
    <w:p>
      <w:pPr>
        <w:jc w:val="center"/>
        <w:outlineLvl w:val="0"/>
        <w:rPr>
          <w:rFonts w:asciiTheme="minorEastAsia" w:hAnsiTheme="minorEastAsia" w:eastAsiaTheme="minorEastAsia" w:cstheme="minorEastAsia"/>
          <w:b/>
          <w:kern w:val="44"/>
          <w:sz w:val="32"/>
          <w:szCs w:val="32"/>
        </w:rPr>
      </w:pPr>
      <w:r>
        <w:rPr>
          <w:rFonts w:hint="eastAsia" w:asciiTheme="minorEastAsia" w:hAnsiTheme="minorEastAsia" w:eastAsiaTheme="minorEastAsia" w:cstheme="minorEastAsia"/>
          <w:b/>
          <w:kern w:val="44"/>
          <w:sz w:val="32"/>
          <w:szCs w:val="32"/>
        </w:rPr>
        <w:t>第三部分 采 购 须 知</w:t>
      </w: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 总则</w:t>
      </w:r>
      <w:bookmarkEnd w:id="6"/>
      <w:bookmarkEnd w:id="7"/>
      <w:bookmarkEnd w:id="8"/>
      <w:bookmarkEnd w:id="9"/>
      <w:bookmarkEnd w:id="10"/>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1" w:name="_Toc109537497"/>
      <w:bookmarkStart w:id="12" w:name="_Toc109550773"/>
      <w:bookmarkStart w:id="13" w:name="_Toc304884853"/>
      <w:bookmarkStart w:id="14" w:name="_Toc279158694"/>
      <w:bookmarkStart w:id="15" w:name="_Toc90712513"/>
      <w:bookmarkStart w:id="16" w:name="_Toc90713332"/>
      <w:r>
        <w:rPr>
          <w:rFonts w:hint="eastAsia" w:asciiTheme="minorEastAsia" w:hAnsiTheme="minorEastAsia" w:eastAsiaTheme="minorEastAsia" w:cstheme="minorEastAsia"/>
          <w:sz w:val="24"/>
          <w:szCs w:val="24"/>
        </w:rPr>
        <w:t>1.资金来源</w:t>
      </w:r>
      <w:bookmarkEnd w:id="11"/>
      <w:bookmarkEnd w:id="12"/>
      <w:bookmarkEnd w:id="13"/>
      <w:bookmarkEnd w:id="14"/>
      <w:bookmarkEnd w:id="15"/>
      <w:bookmarkEnd w:id="16"/>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1.1财政资金，已落实。</w:t>
      </w:r>
      <w:bookmarkStart w:id="17" w:name="_Toc109537498"/>
      <w:bookmarkStart w:id="18" w:name="_Toc90713333"/>
      <w:bookmarkStart w:id="19" w:name="_Toc90712514"/>
      <w:bookmarkStart w:id="20" w:name="_Toc109550774"/>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21" w:name="_Toc279158695"/>
      <w:bookmarkStart w:id="22" w:name="_Toc304884854"/>
      <w:r>
        <w:rPr>
          <w:rFonts w:hint="eastAsia" w:asciiTheme="minorEastAsia" w:hAnsiTheme="minorEastAsia" w:eastAsiaTheme="minorEastAsia" w:cstheme="minorEastAsia"/>
          <w:sz w:val="24"/>
          <w:szCs w:val="24"/>
        </w:rPr>
        <w:t>2.采购方式及供应商要求</w:t>
      </w:r>
      <w:bookmarkEnd w:id="17"/>
      <w:bookmarkEnd w:id="18"/>
      <w:bookmarkEnd w:id="19"/>
      <w:bookmarkEnd w:id="20"/>
      <w:bookmarkEnd w:id="21"/>
      <w:bookmarkEnd w:id="22"/>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2.1本次采购采取单一来源采购的方式确定成交人。</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2.2供应商要求：被邀请的供应商为合格的供应商。</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23" w:name="_Toc279158696"/>
      <w:bookmarkStart w:id="24" w:name="_Toc90713334"/>
      <w:bookmarkStart w:id="25" w:name="_Toc304884855"/>
      <w:bookmarkStart w:id="26" w:name="_Toc109550775"/>
      <w:bookmarkStart w:id="27" w:name="_Toc109537499"/>
      <w:bookmarkStart w:id="28" w:name="_Toc90712515"/>
      <w:r>
        <w:rPr>
          <w:rFonts w:hint="eastAsia" w:asciiTheme="minorEastAsia" w:hAnsiTheme="minorEastAsia" w:eastAsiaTheme="minorEastAsia" w:cstheme="minorEastAsia"/>
          <w:sz w:val="24"/>
          <w:szCs w:val="24"/>
        </w:rPr>
        <w:t>3.采购费用</w:t>
      </w:r>
      <w:bookmarkEnd w:id="23"/>
      <w:bookmarkEnd w:id="24"/>
      <w:bookmarkEnd w:id="25"/>
      <w:bookmarkEnd w:id="26"/>
      <w:bookmarkEnd w:id="27"/>
      <w:bookmarkEnd w:id="28"/>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3.1供应商必须自行承担所有与参加采购有关的费用。不论采购的结果如何，采购人在任何情况下均无义务和责任承担这些费用。</w:t>
      </w:r>
    </w:p>
    <w:p>
      <w:pPr>
        <w:spacing w:line="360" w:lineRule="auto"/>
        <w:rPr>
          <w:rFonts w:asciiTheme="minorEastAsia" w:hAnsiTheme="minorEastAsia" w:eastAsiaTheme="minorEastAsia" w:cstheme="minorEastAsia"/>
        </w:rPr>
      </w:pP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2"/>
          <w:szCs w:val="32"/>
        </w:rPr>
      </w:pPr>
      <w:bookmarkStart w:id="29" w:name="_Toc304884856"/>
      <w:bookmarkStart w:id="30" w:name="_Toc90712516"/>
      <w:bookmarkStart w:id="31" w:name="_Toc90713335"/>
      <w:bookmarkStart w:id="32" w:name="_Toc109550776"/>
      <w:bookmarkStart w:id="33" w:name="_Toc279158697"/>
      <w:bookmarkStart w:id="34" w:name="_Toc109537500"/>
      <w:r>
        <w:rPr>
          <w:rFonts w:hint="eastAsia" w:asciiTheme="minorEastAsia" w:hAnsiTheme="minorEastAsia" w:eastAsiaTheme="minorEastAsia" w:cstheme="minorEastAsia"/>
          <w:sz w:val="30"/>
          <w:szCs w:val="30"/>
        </w:rPr>
        <w:t>二 采购文件和响应文件</w:t>
      </w:r>
      <w:bookmarkEnd w:id="29"/>
      <w:bookmarkEnd w:id="30"/>
      <w:bookmarkEnd w:id="31"/>
      <w:bookmarkEnd w:id="32"/>
      <w:bookmarkEnd w:id="33"/>
      <w:bookmarkEnd w:id="34"/>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35" w:name="_Toc90713336"/>
      <w:bookmarkStart w:id="36" w:name="_Toc90712517"/>
      <w:bookmarkStart w:id="37" w:name="_Toc304884857"/>
      <w:bookmarkStart w:id="38" w:name="_Toc109537501"/>
      <w:bookmarkStart w:id="39" w:name="_Toc279158698"/>
      <w:bookmarkStart w:id="40" w:name="_Toc109550777"/>
      <w:r>
        <w:rPr>
          <w:rFonts w:hint="eastAsia" w:asciiTheme="minorEastAsia" w:hAnsiTheme="minorEastAsia" w:eastAsiaTheme="minorEastAsia" w:cstheme="minorEastAsia"/>
          <w:sz w:val="24"/>
          <w:szCs w:val="24"/>
        </w:rPr>
        <w:t>4.采购文件构成</w:t>
      </w:r>
      <w:bookmarkEnd w:id="35"/>
      <w:bookmarkEnd w:id="36"/>
      <w:bookmarkEnd w:id="37"/>
      <w:bookmarkEnd w:id="38"/>
      <w:bookmarkEnd w:id="39"/>
      <w:bookmarkEnd w:id="40"/>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单一来源采购须知前附表</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采购邀请</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采购须知</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响应文件格式及内容</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单一来源采购评审原则及成交办法</w:t>
      </w:r>
    </w:p>
    <w:p>
      <w:pPr>
        <w:pStyle w:val="2"/>
        <w:ind w:firstLine="244" w:firstLineChars="100"/>
        <w:rPr>
          <w:rFonts w:eastAsiaTheme="minorEastAsia"/>
        </w:rPr>
      </w:pPr>
      <w:r>
        <w:rPr>
          <w:rFonts w:hint="eastAsia" w:asciiTheme="minorEastAsia" w:hAnsiTheme="minorEastAsia" w:eastAsiaTheme="minorEastAsia" w:cstheme="minorEastAsia"/>
        </w:rPr>
        <w:t>合同格式</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41" w:name="_Toc279158699"/>
      <w:bookmarkStart w:id="42" w:name="_Toc304884858"/>
      <w:bookmarkStart w:id="43" w:name="_Toc90712518"/>
      <w:bookmarkStart w:id="44" w:name="_Toc109537502"/>
      <w:bookmarkStart w:id="45" w:name="_Toc90713337"/>
      <w:bookmarkStart w:id="46" w:name="_Toc109550778"/>
      <w:r>
        <w:rPr>
          <w:rFonts w:hint="eastAsia" w:asciiTheme="minorEastAsia" w:hAnsiTheme="minorEastAsia" w:eastAsiaTheme="minorEastAsia" w:cstheme="minorEastAsia"/>
          <w:sz w:val="24"/>
          <w:szCs w:val="24"/>
        </w:rPr>
        <w:t>5.响应文件构成</w:t>
      </w:r>
      <w:bookmarkEnd w:id="41"/>
      <w:bookmarkEnd w:id="42"/>
      <w:bookmarkEnd w:id="43"/>
      <w:bookmarkEnd w:id="44"/>
      <w:bookmarkEnd w:id="45"/>
      <w:bookmarkEnd w:id="46"/>
    </w:p>
    <w:p>
      <w:pPr>
        <w:spacing w:line="360" w:lineRule="auto"/>
        <w:ind w:left="525" w:left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响应函</w:t>
      </w:r>
    </w:p>
    <w:p>
      <w:pPr>
        <w:spacing w:line="360" w:lineRule="auto"/>
        <w:ind w:left="525" w:left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资格证明文件及响应文件</w:t>
      </w:r>
    </w:p>
    <w:p>
      <w:pPr>
        <w:spacing w:line="360" w:lineRule="auto"/>
        <w:ind w:left="525" w:left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报价一览表</w:t>
      </w:r>
    </w:p>
    <w:p>
      <w:pPr>
        <w:spacing w:line="360" w:lineRule="auto"/>
        <w:ind w:left="525" w:left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分项报价一览表</w:t>
      </w:r>
    </w:p>
    <w:p>
      <w:pPr>
        <w:pStyle w:val="32"/>
        <w:ind w:firstLine="480" w:firstLineChars="2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服务方案</w:t>
      </w:r>
    </w:p>
    <w:p>
      <w:pPr>
        <w:spacing w:line="360" w:lineRule="auto"/>
        <w:ind w:left="120" w:leftChars="5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拟投入本项目人员情况</w:t>
      </w:r>
    </w:p>
    <w:p>
      <w:pPr>
        <w:spacing w:line="360" w:lineRule="auto"/>
        <w:ind w:left="120" w:leftChars="5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类似项目业绩表</w:t>
      </w:r>
    </w:p>
    <w:p>
      <w:pPr>
        <w:spacing w:line="360" w:lineRule="auto"/>
        <w:ind w:left="120" w:leftChars="5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w:t>
      </w:r>
    </w:p>
    <w:p>
      <w:pPr>
        <w:spacing w:line="360" w:lineRule="auto"/>
        <w:ind w:left="120" w:leftChars="5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供应商应认真阅读和充分理解采购文件中所有的内容。如果响应文件没有满足采购文件的有关要求，其风险由供应商自行承担。</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47" w:name="_Hlt109555455"/>
      <w:bookmarkEnd w:id="47"/>
      <w:bookmarkStart w:id="48" w:name="_Toc90713338"/>
      <w:bookmarkStart w:id="49" w:name="_Toc279158700"/>
      <w:bookmarkStart w:id="50" w:name="_Toc109550779"/>
      <w:bookmarkStart w:id="51" w:name="_Toc90712519"/>
      <w:bookmarkStart w:id="52" w:name="_Toc109537503"/>
      <w:bookmarkStart w:id="53" w:name="_Toc304884859"/>
      <w:r>
        <w:rPr>
          <w:rFonts w:hint="eastAsia" w:asciiTheme="minorEastAsia" w:hAnsiTheme="minorEastAsia" w:eastAsiaTheme="minorEastAsia" w:cstheme="minorEastAsia"/>
          <w:sz w:val="24"/>
          <w:szCs w:val="24"/>
        </w:rPr>
        <w:t>6.采购文件的澄清</w:t>
      </w:r>
      <w:bookmarkEnd w:id="48"/>
      <w:bookmarkEnd w:id="49"/>
      <w:bookmarkEnd w:id="50"/>
      <w:bookmarkEnd w:id="51"/>
      <w:bookmarkEnd w:id="52"/>
      <w:bookmarkEnd w:id="53"/>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6.1供应商有权要求采购代理机构对采购文件中的有关问题进行答疑、澄清。</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6.2供应商对采购文件如有疑问，应在采购开始日前2天按邀请书或本须知前附表中的联系方式，以书面形式通知采购代理机构。</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54" w:name="_Toc109550780"/>
      <w:bookmarkStart w:id="55" w:name="_Toc90713339"/>
      <w:bookmarkStart w:id="56" w:name="_Toc109537504"/>
      <w:bookmarkStart w:id="57" w:name="_Toc90712520"/>
      <w:bookmarkStart w:id="58" w:name="_Toc279158701"/>
      <w:bookmarkStart w:id="59" w:name="_Toc304884860"/>
      <w:r>
        <w:rPr>
          <w:rFonts w:hint="eastAsia" w:asciiTheme="minorEastAsia" w:hAnsiTheme="minorEastAsia" w:eastAsiaTheme="minorEastAsia" w:cstheme="minorEastAsia"/>
          <w:sz w:val="24"/>
          <w:szCs w:val="24"/>
        </w:rPr>
        <w:t>7.采购文件的修改</w:t>
      </w:r>
      <w:bookmarkEnd w:id="54"/>
      <w:bookmarkEnd w:id="55"/>
      <w:bookmarkEnd w:id="56"/>
      <w:bookmarkEnd w:id="57"/>
      <w:bookmarkEnd w:id="58"/>
      <w:bookmarkEnd w:id="59"/>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7.1必要情况下，采购人可能对采购文件进行修改。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7.2采购人对采购文件的修改，将以说明函的形式通知供应商，说明函对所有供应商具有约束力。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7.3为使供应商有充分时间对采购文件的修改部分进行研究或由于其他原因，采购人可以决定延长采购开始日期，延长采购开始日期的决定将以说明函的形式通知供应商。</w:t>
      </w: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0"/>
          <w:szCs w:val="30"/>
        </w:rPr>
      </w:pPr>
      <w:bookmarkStart w:id="60" w:name="_Hlt109555460"/>
      <w:bookmarkEnd w:id="60"/>
      <w:bookmarkStart w:id="61" w:name="_Toc90712521"/>
      <w:bookmarkStart w:id="62" w:name="_Toc109550781"/>
      <w:bookmarkStart w:id="63" w:name="_Toc304884861"/>
      <w:bookmarkStart w:id="64" w:name="_Toc279158702"/>
      <w:bookmarkStart w:id="65" w:name="_Toc90713340"/>
      <w:bookmarkStart w:id="66" w:name="_Toc109537505"/>
      <w:r>
        <w:rPr>
          <w:rFonts w:hint="eastAsia" w:asciiTheme="minorEastAsia" w:hAnsiTheme="minorEastAsia" w:eastAsiaTheme="minorEastAsia" w:cstheme="minorEastAsia"/>
          <w:sz w:val="30"/>
          <w:szCs w:val="30"/>
        </w:rPr>
        <w:t>三  响应文件的编制</w:t>
      </w:r>
      <w:bookmarkEnd w:id="61"/>
      <w:bookmarkEnd w:id="62"/>
      <w:bookmarkEnd w:id="63"/>
      <w:bookmarkEnd w:id="64"/>
      <w:bookmarkEnd w:id="65"/>
      <w:bookmarkEnd w:id="66"/>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67" w:name="_Toc90712522"/>
      <w:bookmarkStart w:id="68" w:name="_Toc109550782"/>
      <w:bookmarkStart w:id="69" w:name="_Toc279158703"/>
      <w:bookmarkStart w:id="70" w:name="_Toc109537506"/>
      <w:bookmarkStart w:id="71" w:name="_Toc90713341"/>
      <w:bookmarkStart w:id="72" w:name="_Toc304884862"/>
      <w:r>
        <w:rPr>
          <w:rFonts w:hint="eastAsia" w:asciiTheme="minorEastAsia" w:hAnsiTheme="minorEastAsia" w:eastAsiaTheme="minorEastAsia" w:cstheme="minorEastAsia"/>
          <w:sz w:val="24"/>
          <w:szCs w:val="24"/>
        </w:rPr>
        <w:t>8.响应文件的语言及度量衡单位</w:t>
      </w:r>
      <w:bookmarkEnd w:id="67"/>
      <w:bookmarkEnd w:id="68"/>
      <w:bookmarkEnd w:id="69"/>
      <w:bookmarkEnd w:id="70"/>
      <w:bookmarkEnd w:id="71"/>
      <w:bookmarkEnd w:id="72"/>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8.1供应商的响应文件以及供应商与采购人就有关采购问题的所有来往函电均须使用中文。</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8.2除技术要求中另有规定外，响应文件所使用的度量衡均须采用法定计量单位。</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73" w:name="_Toc90713342"/>
      <w:bookmarkStart w:id="74" w:name="_Toc90712523"/>
      <w:bookmarkStart w:id="75" w:name="_Toc279158704"/>
      <w:bookmarkStart w:id="76" w:name="_Toc109550783"/>
      <w:bookmarkStart w:id="77" w:name="_Toc304884863"/>
      <w:bookmarkStart w:id="78" w:name="_Toc109537507"/>
      <w:r>
        <w:rPr>
          <w:rFonts w:hint="eastAsia" w:asciiTheme="minorEastAsia" w:hAnsiTheme="minorEastAsia" w:eastAsiaTheme="minorEastAsia" w:cstheme="minorEastAsia"/>
          <w:sz w:val="24"/>
          <w:szCs w:val="24"/>
        </w:rPr>
        <w:t>9.响应文件的真实性与准确性</w:t>
      </w:r>
      <w:bookmarkEnd w:id="73"/>
      <w:bookmarkEnd w:id="74"/>
      <w:bookmarkEnd w:id="75"/>
      <w:bookmarkEnd w:id="76"/>
      <w:bookmarkEnd w:id="77"/>
      <w:bookmarkEnd w:id="78"/>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9.1供应商必须对其响应文件的真实性与准确性负责。一旦成交，其响应文件将作为合同的重要组成部分。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9.2供应商不得在未征得采购人许可的情况下，擅自对采购文件的格式、条款和技术要求进行修改。否则，其投标文件在评标时有可能被认为是未对采购文件做出实质性的响应而终止对其作进一步的评审。</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79" w:name="_Toc90712524"/>
      <w:bookmarkStart w:id="80" w:name="_Toc109550784"/>
      <w:bookmarkStart w:id="81" w:name="_Toc279158705"/>
      <w:bookmarkStart w:id="82" w:name="_Toc90713343"/>
      <w:bookmarkStart w:id="83" w:name="_Toc109537508"/>
      <w:bookmarkStart w:id="84" w:name="_Toc304884864"/>
      <w:r>
        <w:rPr>
          <w:rFonts w:hint="eastAsia" w:asciiTheme="minorEastAsia" w:hAnsiTheme="minorEastAsia" w:eastAsiaTheme="minorEastAsia" w:cstheme="minorEastAsia"/>
          <w:sz w:val="24"/>
          <w:szCs w:val="24"/>
        </w:rPr>
        <w:t>10. 响应报价</w:t>
      </w:r>
      <w:bookmarkEnd w:id="79"/>
      <w:bookmarkEnd w:id="80"/>
      <w:bookmarkEnd w:id="81"/>
      <w:bookmarkEnd w:id="82"/>
      <w:bookmarkEnd w:id="83"/>
      <w:bookmarkEnd w:id="84"/>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10.1响应文件的报价表上应清楚地标明单价或总价。但只允许有一个方案、一个报价，多方案、多报价的响应文件将不被接受。</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10.2响应报价表上的价格为投标时的价格，采购小组以最终报价确定成交供应商的成交价格。</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85" w:name="_Toc109550785"/>
      <w:bookmarkStart w:id="86" w:name="_Toc90713344"/>
      <w:bookmarkStart w:id="87" w:name="_Toc304884865"/>
      <w:bookmarkStart w:id="88" w:name="_Toc109537509"/>
      <w:bookmarkStart w:id="89" w:name="_Toc279158706"/>
      <w:bookmarkStart w:id="90" w:name="_Toc90712525"/>
      <w:r>
        <w:rPr>
          <w:rFonts w:hint="eastAsia" w:asciiTheme="minorEastAsia" w:hAnsiTheme="minorEastAsia" w:eastAsiaTheme="minorEastAsia" w:cstheme="minorEastAsia"/>
          <w:sz w:val="24"/>
          <w:szCs w:val="24"/>
        </w:rPr>
        <w:t>11.响应货币</w:t>
      </w:r>
      <w:bookmarkEnd w:id="85"/>
      <w:bookmarkEnd w:id="86"/>
      <w:bookmarkEnd w:id="87"/>
      <w:bookmarkEnd w:id="88"/>
      <w:bookmarkEnd w:id="89"/>
      <w:bookmarkEnd w:id="90"/>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11.1须以人民币报价。</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91" w:name="_Toc109537510"/>
      <w:bookmarkStart w:id="92" w:name="_Toc109550786"/>
      <w:bookmarkStart w:id="93" w:name="_Toc90712526"/>
      <w:bookmarkStart w:id="94" w:name="_Toc279158707"/>
      <w:bookmarkStart w:id="95" w:name="_Toc304884866"/>
      <w:bookmarkStart w:id="96" w:name="_Toc90713345"/>
      <w:r>
        <w:rPr>
          <w:rFonts w:hint="eastAsia" w:asciiTheme="minorEastAsia" w:hAnsiTheme="minorEastAsia" w:eastAsiaTheme="minorEastAsia" w:cstheme="minorEastAsia"/>
          <w:sz w:val="24"/>
          <w:szCs w:val="24"/>
        </w:rPr>
        <w:t>12.证明供应商合格的资格文件</w:t>
      </w:r>
      <w:bookmarkEnd w:id="91"/>
      <w:bookmarkEnd w:id="92"/>
      <w:bookmarkEnd w:id="93"/>
      <w:bookmarkEnd w:id="94"/>
      <w:bookmarkEnd w:id="95"/>
      <w:bookmarkEnd w:id="96"/>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12.1供应商在其响应文件中，应提供证明其有资格参加响应和成交后有能力履行合同的资质证明文件。</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12.2供应商必须具有履行合同所必需的生产、技术、服务和财务管理等方面的能力。</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97" w:name="_Toc304884867"/>
      <w:bookmarkStart w:id="98" w:name="_Toc90712527"/>
      <w:bookmarkStart w:id="99" w:name="_Toc109537511"/>
      <w:bookmarkStart w:id="100" w:name="_Toc90713346"/>
      <w:bookmarkStart w:id="101" w:name="_Toc109550787"/>
      <w:bookmarkStart w:id="102" w:name="_Toc279158708"/>
      <w:r>
        <w:rPr>
          <w:rFonts w:hint="eastAsia" w:asciiTheme="minorEastAsia" w:hAnsiTheme="minorEastAsia" w:eastAsiaTheme="minorEastAsia" w:cstheme="minorEastAsia"/>
          <w:sz w:val="24"/>
          <w:szCs w:val="24"/>
        </w:rPr>
        <w:t>13.证明供应产品的合格性和符合采购文件规定的文件</w:t>
      </w:r>
      <w:bookmarkEnd w:id="97"/>
      <w:bookmarkEnd w:id="98"/>
      <w:bookmarkEnd w:id="99"/>
      <w:bookmarkEnd w:id="100"/>
      <w:bookmarkEnd w:id="101"/>
      <w:bookmarkEnd w:id="102"/>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13.1供应商应按照采购文件要求，提供文件证明其供应产品的合格性，且符合采购文件的规定，并作为其响应文件的一部分。</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03" w:name="_Toc109537512"/>
      <w:bookmarkStart w:id="104" w:name="_Toc90713347"/>
      <w:bookmarkStart w:id="105" w:name="_Toc279158709"/>
      <w:bookmarkStart w:id="106" w:name="_Toc90712528"/>
      <w:bookmarkStart w:id="107" w:name="_Toc109550788"/>
      <w:bookmarkStart w:id="108" w:name="_Toc304884868"/>
      <w:r>
        <w:rPr>
          <w:rFonts w:hint="eastAsia" w:asciiTheme="minorEastAsia" w:hAnsiTheme="minorEastAsia" w:eastAsiaTheme="minorEastAsia" w:cstheme="minorEastAsia"/>
          <w:sz w:val="24"/>
          <w:szCs w:val="24"/>
        </w:rPr>
        <w:t>14.保证金</w:t>
      </w:r>
      <w:bookmarkEnd w:id="103"/>
      <w:bookmarkEnd w:id="104"/>
      <w:bookmarkEnd w:id="105"/>
      <w:bookmarkEnd w:id="106"/>
      <w:bookmarkEnd w:id="107"/>
      <w:bookmarkEnd w:id="108"/>
      <w:r>
        <w:rPr>
          <w:rFonts w:hint="eastAsia" w:asciiTheme="minorEastAsia" w:hAnsiTheme="minorEastAsia" w:eastAsiaTheme="minorEastAsia" w:cstheme="minorEastAsia"/>
          <w:sz w:val="24"/>
          <w:szCs w:val="24"/>
        </w:rPr>
        <w:t>：无</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09" w:name="_Toc90713348"/>
      <w:bookmarkStart w:id="110" w:name="_Toc109550789"/>
      <w:bookmarkStart w:id="111" w:name="_Toc304884869"/>
      <w:bookmarkStart w:id="112" w:name="_Toc90712529"/>
      <w:bookmarkStart w:id="113" w:name="_Toc279158710"/>
      <w:bookmarkStart w:id="114" w:name="_Toc109537513"/>
      <w:r>
        <w:rPr>
          <w:rFonts w:hint="eastAsia" w:asciiTheme="minorEastAsia" w:hAnsiTheme="minorEastAsia" w:eastAsiaTheme="minorEastAsia" w:cstheme="minorEastAsia"/>
          <w:sz w:val="24"/>
          <w:szCs w:val="24"/>
        </w:rPr>
        <w:t>15.响应文件有效期</w:t>
      </w:r>
      <w:bookmarkEnd w:id="109"/>
      <w:bookmarkEnd w:id="110"/>
      <w:bookmarkEnd w:id="111"/>
      <w:bookmarkEnd w:id="112"/>
      <w:bookmarkEnd w:id="113"/>
      <w:bookmarkEnd w:id="114"/>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15.1本次响应的有效期为：自响应开始之日起60天。供应商承诺的响应有效期短于此规定时间的，将被视为非响应性投标而予以拒绝。</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在特殊情况下，采购人可于原响应有效期满之前，向供应商提出延长响应有效期的要求。这种要求与答复均采用书面形式如传真、信件或电报等。供应商可以拒绝采购人的这种要求而不失去其保证金。同意延长的供应商既不能要求也不允许修改其投标文件。“单一来源采购须知前附表”中的有关投标保证金的规定，在延长的响应有效期内继续有效。</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15" w:name="_Toc109550790"/>
      <w:bookmarkStart w:id="116" w:name="_Toc279158711"/>
      <w:bookmarkStart w:id="117" w:name="_Toc109537514"/>
      <w:bookmarkStart w:id="118" w:name="_Toc304884870"/>
      <w:bookmarkStart w:id="119" w:name="_Toc90712530"/>
      <w:bookmarkStart w:id="120" w:name="_Toc90713349"/>
      <w:r>
        <w:rPr>
          <w:rFonts w:hint="eastAsia" w:asciiTheme="minorEastAsia" w:hAnsiTheme="minorEastAsia" w:eastAsiaTheme="minorEastAsia" w:cstheme="minorEastAsia"/>
          <w:sz w:val="24"/>
          <w:szCs w:val="24"/>
        </w:rPr>
        <w:t>16.响应文件份数和签署</w:t>
      </w:r>
      <w:bookmarkEnd w:id="115"/>
      <w:bookmarkEnd w:id="116"/>
      <w:bookmarkEnd w:id="117"/>
      <w:bookmarkEnd w:id="118"/>
      <w:bookmarkEnd w:id="119"/>
      <w:bookmarkEnd w:id="120"/>
      <w:bookmarkStart w:id="257" w:name="_GoBack"/>
      <w:bookmarkEnd w:id="257"/>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16.1供应商应准备“单一来源采购须知前附表”规定的响应文件份数。每份响应文件须清楚地标明“正本”或“副本”字样，正本与副本内容必须一致；若正本与副本不一致，以正本为准。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16.2响应文件的正本和所有的副本均需由供应商的法定代表人（负责人）或其授权代表签署。授权代表须将以书面形式出具的“法定代表人（负责人）授权证书”附在响应文件上。</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16.3响应文件必须装订成册，不得散放、不要行间插字、涂改或增删。如有修改错漏处，必须由供应商的法定代表人（负责人）或其授权代表签字或盖章。</w:t>
      </w: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0"/>
          <w:szCs w:val="30"/>
        </w:rPr>
      </w:pPr>
      <w:bookmarkStart w:id="121" w:name="_Toc109550791"/>
      <w:bookmarkStart w:id="122" w:name="_Toc304884871"/>
      <w:bookmarkStart w:id="123" w:name="_Toc90713350"/>
      <w:bookmarkStart w:id="124" w:name="_Toc90712531"/>
      <w:bookmarkStart w:id="125" w:name="_Toc109537515"/>
      <w:bookmarkStart w:id="126" w:name="_Toc279158712"/>
      <w:r>
        <w:rPr>
          <w:rFonts w:hint="eastAsia" w:asciiTheme="minorEastAsia" w:hAnsiTheme="minorEastAsia" w:eastAsiaTheme="minorEastAsia" w:cstheme="minorEastAsia"/>
          <w:sz w:val="30"/>
          <w:szCs w:val="30"/>
        </w:rPr>
        <w:t>四 响应文件的递交</w:t>
      </w:r>
      <w:bookmarkEnd w:id="121"/>
      <w:bookmarkEnd w:id="122"/>
      <w:bookmarkEnd w:id="123"/>
      <w:bookmarkEnd w:id="124"/>
      <w:bookmarkEnd w:id="125"/>
      <w:bookmarkEnd w:id="126"/>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27" w:name="_Toc304884872"/>
      <w:bookmarkStart w:id="128" w:name="_Toc109550792"/>
      <w:bookmarkStart w:id="129" w:name="_Toc90713351"/>
      <w:bookmarkStart w:id="130" w:name="_Toc109537516"/>
      <w:bookmarkStart w:id="131" w:name="_Toc279158713"/>
      <w:bookmarkStart w:id="132" w:name="_Toc90712532"/>
      <w:r>
        <w:rPr>
          <w:rFonts w:hint="eastAsia" w:asciiTheme="minorEastAsia" w:hAnsiTheme="minorEastAsia" w:eastAsiaTheme="minorEastAsia" w:cstheme="minorEastAsia"/>
          <w:sz w:val="24"/>
          <w:szCs w:val="24"/>
        </w:rPr>
        <w:t>17.响应文件的密封和标记</w:t>
      </w:r>
      <w:bookmarkEnd w:id="127"/>
      <w:bookmarkEnd w:id="128"/>
      <w:bookmarkEnd w:id="129"/>
      <w:bookmarkEnd w:id="130"/>
      <w:bookmarkEnd w:id="131"/>
      <w:bookmarkEnd w:id="132"/>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17.1供应商应将响应文件密封，标明招标编号、采购项目名称，并盖有供应商公章或专用章和</w:t>
      </w: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szCs w:val="24"/>
        </w:rPr>
        <w:t>或授权委托人的印章或签名。</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17.2密封包装上注明"于</w:t>
      </w:r>
      <w:r>
        <w:rPr>
          <w:rFonts w:hint="eastAsia" w:asciiTheme="minorEastAsia" w:hAnsiTheme="minorEastAsia" w:eastAsiaTheme="minorEastAsia" w:cstheme="minorEastAsia"/>
          <w:sz w:val="24"/>
          <w:szCs w:val="24"/>
          <w:u w:val="single"/>
        </w:rPr>
        <w:t xml:space="preserve">    年 月 日   </w:t>
      </w:r>
      <w:r>
        <w:rPr>
          <w:rFonts w:hint="eastAsia" w:asciiTheme="minorEastAsia" w:hAnsiTheme="minorEastAsia" w:eastAsiaTheme="minorEastAsia" w:cstheme="minorEastAsia"/>
          <w:spacing w:val="6"/>
          <w:sz w:val="24"/>
          <w:szCs w:val="24"/>
          <w:u w:val="single"/>
        </w:rPr>
        <w:t>时</w:t>
      </w:r>
      <w:r>
        <w:rPr>
          <w:rFonts w:hint="eastAsia" w:asciiTheme="minorEastAsia" w:hAnsiTheme="minorEastAsia" w:eastAsiaTheme="minorEastAsia" w:cstheme="minorEastAsia"/>
          <w:sz w:val="24"/>
          <w:szCs w:val="24"/>
        </w:rPr>
        <w:t>前（指邀请书中规定的开始日期及时间）不准启封"的字样。</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17.3响应文件须由专人送交，供应商应将响应文件按上述17.1和17.2中的规定进行密封和标记后，按邀请书中注明的地址送至采购代理机构指定地点。</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17.4如果未按上述规定进行密封和标记，采购代理机构对响应文件的误投或提前拆封不负责任。</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33" w:name="_Toc109550793"/>
      <w:bookmarkStart w:id="134" w:name="_Toc90713352"/>
      <w:bookmarkStart w:id="135" w:name="_Toc304884873"/>
      <w:bookmarkStart w:id="136" w:name="_Toc109537517"/>
      <w:bookmarkStart w:id="137" w:name="_Toc90712533"/>
      <w:bookmarkStart w:id="138" w:name="_Toc279158714"/>
      <w:r>
        <w:rPr>
          <w:rFonts w:hint="eastAsia" w:asciiTheme="minorEastAsia" w:hAnsiTheme="minorEastAsia" w:eastAsiaTheme="minorEastAsia" w:cstheme="minorEastAsia"/>
          <w:sz w:val="24"/>
          <w:szCs w:val="24"/>
        </w:rPr>
        <w:t>18.迟交的响应文件</w:t>
      </w:r>
      <w:bookmarkEnd w:id="133"/>
      <w:bookmarkEnd w:id="134"/>
      <w:bookmarkEnd w:id="135"/>
      <w:bookmarkEnd w:id="136"/>
      <w:bookmarkEnd w:id="137"/>
      <w:bookmarkEnd w:id="138"/>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18.1采购人将拒绝接受评标开始后递交的响应文件。</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39" w:name="_Toc304884874"/>
      <w:bookmarkStart w:id="140" w:name="_Toc109537518"/>
      <w:bookmarkStart w:id="141" w:name="_Toc90712534"/>
      <w:bookmarkStart w:id="142" w:name="_Toc109550794"/>
      <w:bookmarkStart w:id="143" w:name="_Toc90713353"/>
      <w:bookmarkStart w:id="144" w:name="_Toc279158715"/>
      <w:r>
        <w:rPr>
          <w:rFonts w:hint="eastAsia" w:asciiTheme="minorEastAsia" w:hAnsiTheme="minorEastAsia" w:eastAsiaTheme="minorEastAsia" w:cstheme="minorEastAsia"/>
          <w:sz w:val="24"/>
          <w:szCs w:val="24"/>
        </w:rPr>
        <w:t>19.响应文件的修改和撤回</w:t>
      </w:r>
      <w:bookmarkEnd w:id="139"/>
      <w:bookmarkEnd w:id="140"/>
      <w:bookmarkEnd w:id="141"/>
      <w:bookmarkEnd w:id="142"/>
      <w:bookmarkEnd w:id="143"/>
      <w:bookmarkEnd w:id="144"/>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19.1供应商在递交响应文件后，可以在规定的采购时间开始前修改或撤回其响应文件。但这种修改和撤回，必须以书面形式通知采购人。</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19.2供应商的修改书或撤回通知书，应由法定代表人（负责人）或其授权代表签署，并按17中的规定进行密封、标记和发送。</w:t>
      </w: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0"/>
          <w:szCs w:val="30"/>
        </w:rPr>
      </w:pPr>
      <w:bookmarkStart w:id="145" w:name="_Toc109537519"/>
      <w:bookmarkStart w:id="146" w:name="_Toc90713354"/>
      <w:bookmarkStart w:id="147" w:name="_Toc109550795"/>
      <w:bookmarkStart w:id="148" w:name="_Toc279158716"/>
      <w:bookmarkStart w:id="149" w:name="_Toc304884875"/>
      <w:bookmarkStart w:id="150" w:name="_Toc90712535"/>
      <w:r>
        <w:rPr>
          <w:rFonts w:hint="eastAsia" w:asciiTheme="minorEastAsia" w:hAnsiTheme="minorEastAsia" w:eastAsiaTheme="minorEastAsia" w:cstheme="minorEastAsia"/>
          <w:sz w:val="30"/>
          <w:szCs w:val="30"/>
        </w:rPr>
        <w:t>五 采购过程</w:t>
      </w:r>
      <w:bookmarkEnd w:id="145"/>
      <w:bookmarkEnd w:id="146"/>
      <w:bookmarkEnd w:id="147"/>
      <w:bookmarkEnd w:id="148"/>
      <w:bookmarkEnd w:id="149"/>
      <w:bookmarkEnd w:id="150"/>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51" w:name="_Toc109550796"/>
      <w:bookmarkStart w:id="152" w:name="_Toc109537520"/>
      <w:bookmarkStart w:id="153" w:name="_Toc304884876"/>
      <w:bookmarkStart w:id="154" w:name="_Toc279158717"/>
      <w:bookmarkStart w:id="155" w:name="_Toc90712536"/>
      <w:bookmarkStart w:id="156" w:name="_Toc90713355"/>
      <w:r>
        <w:rPr>
          <w:rFonts w:hint="eastAsia" w:asciiTheme="minorEastAsia" w:hAnsiTheme="minorEastAsia" w:eastAsiaTheme="minorEastAsia" w:cstheme="minorEastAsia"/>
          <w:sz w:val="24"/>
          <w:szCs w:val="24"/>
        </w:rPr>
        <w:t>20.开始</w:t>
      </w:r>
      <w:bookmarkEnd w:id="151"/>
      <w:bookmarkEnd w:id="152"/>
      <w:bookmarkEnd w:id="153"/>
      <w:bookmarkEnd w:id="154"/>
      <w:bookmarkEnd w:id="155"/>
      <w:bookmarkEnd w:id="156"/>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20.1采购代理机构将在“单一来源采购须知前附表”规定的时间和地点组织单一来源采购，供应商应由法定代表人（负责人）或委派其授权代表参加。</w:t>
      </w:r>
    </w:p>
    <w:p>
      <w:pPr>
        <w:pStyle w:val="7"/>
        <w:spacing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20.2开始前，先由供应商或招标人（监督）检查投标文件的密封情况。经确认无误后，进入采购程序</w:t>
      </w:r>
      <w:r>
        <w:rPr>
          <w:rFonts w:hint="eastAsia" w:asciiTheme="minorEastAsia" w:hAnsiTheme="minorEastAsia" w:eastAsiaTheme="minorEastAsia" w:cstheme="minorEastAsia"/>
          <w:b/>
          <w:sz w:val="24"/>
          <w:szCs w:val="24"/>
        </w:rPr>
        <w:t>。</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57" w:name="_Toc109550797"/>
      <w:bookmarkStart w:id="158" w:name="_Toc90712537"/>
      <w:bookmarkStart w:id="159" w:name="_Toc90713356"/>
      <w:bookmarkStart w:id="160" w:name="_Toc109537521"/>
      <w:bookmarkStart w:id="161" w:name="_Toc279158718"/>
      <w:bookmarkStart w:id="162" w:name="_Toc304884877"/>
      <w:r>
        <w:rPr>
          <w:rFonts w:hint="eastAsia" w:asciiTheme="minorEastAsia" w:hAnsiTheme="minorEastAsia" w:eastAsiaTheme="minorEastAsia" w:cstheme="minorEastAsia"/>
          <w:sz w:val="24"/>
          <w:szCs w:val="24"/>
        </w:rPr>
        <w:t>21.</w:t>
      </w:r>
      <w:bookmarkEnd w:id="157"/>
      <w:bookmarkEnd w:id="158"/>
      <w:bookmarkEnd w:id="159"/>
      <w:bookmarkEnd w:id="160"/>
      <w:r>
        <w:rPr>
          <w:rFonts w:hint="eastAsia" w:asciiTheme="minorEastAsia" w:hAnsiTheme="minorEastAsia" w:eastAsiaTheme="minorEastAsia" w:cstheme="minorEastAsia"/>
          <w:sz w:val="24"/>
          <w:szCs w:val="24"/>
        </w:rPr>
        <w:t>采购程序</w:t>
      </w:r>
      <w:bookmarkEnd w:id="161"/>
      <w:bookmarkEnd w:id="162"/>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21.1采购组织：评审工作由采购小组独立进行，采购小组由评审专家及采购人代表组成，共3人，评审专家从</w:t>
      </w:r>
      <w:r>
        <w:rPr>
          <w:rFonts w:hint="eastAsia" w:asciiTheme="minorEastAsia" w:hAnsiTheme="minorEastAsia" w:eastAsiaTheme="minorEastAsia" w:cstheme="minorEastAsia"/>
          <w:sz w:val="24"/>
          <w:szCs w:val="24"/>
          <w:lang w:eastAsia="zh-CN"/>
        </w:rPr>
        <w:t>河南省政府采购处</w:t>
      </w:r>
      <w:r>
        <w:rPr>
          <w:rFonts w:hint="eastAsia" w:asciiTheme="minorEastAsia" w:hAnsiTheme="minorEastAsia" w:eastAsiaTheme="minorEastAsia" w:cstheme="minorEastAsia"/>
          <w:sz w:val="24"/>
          <w:szCs w:val="24"/>
        </w:rPr>
        <w:t>专家库中随机抽取。</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21.2初审：</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21.2.1采购小组按先初审、后谈判的程序对响应文件进行评审。</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21.2.2初审内容：</w:t>
      </w:r>
    </w:p>
    <w:p>
      <w:pPr>
        <w:pStyle w:val="7"/>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响应文件是否经法定代表人（负责人）或其授权代表签字或盖章；</w:t>
      </w:r>
    </w:p>
    <w:p>
      <w:pPr>
        <w:pStyle w:val="7"/>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响应文件是否有相关必备资料；</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 响应文件中是否有采购人不能接受的其它条件。</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21.2.3在初审阶段,采购小组还需对供应商的报价进行审核，看其是否有计算或打印上的错误。修正错误的原则如下:</w:t>
      </w:r>
    </w:p>
    <w:p>
      <w:pPr>
        <w:pStyle w:val="7"/>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(1)如果数字表示的金额和用文字表示的金额不一致时，以文字表示的金额为准；</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(2)如果总价与单价不一致时，以单价为准，并修正总价。</w:t>
      </w:r>
    </w:p>
    <w:p>
      <w:pPr>
        <w:pStyle w:val="7"/>
        <w:spacing w:line="360" w:lineRule="auto"/>
        <w:ind w:firstLine="0" w:firstLineChars="0"/>
        <w:rPr>
          <w:rFonts w:asciiTheme="minorEastAsia" w:hAnsiTheme="minorEastAsia" w:eastAsiaTheme="minorEastAsia" w:cstheme="minorEastAsia"/>
          <w:sz w:val="24"/>
          <w:szCs w:val="24"/>
        </w:rPr>
      </w:pPr>
      <w:bookmarkStart w:id="163" w:name="_Toc109537522"/>
      <w:bookmarkStart w:id="164" w:name="_Toc90712538"/>
      <w:bookmarkStart w:id="165" w:name="_Toc109550798"/>
      <w:bookmarkStart w:id="166" w:name="_Toc90713357"/>
      <w:r>
        <w:rPr>
          <w:rFonts w:hint="eastAsia" w:asciiTheme="minorEastAsia" w:hAnsiTheme="minorEastAsia" w:eastAsiaTheme="minorEastAsia" w:cstheme="minorEastAsia"/>
          <w:sz w:val="24"/>
          <w:szCs w:val="24"/>
        </w:rPr>
        <w:t>21.3谈判:采购小组与通过基本资质审核的供应商进行谈判。在谈判中，谈判双方可以就采购项目所涉及的价格、技术、服务等进行一至多轮实质性谈判，但谈判的任何一方不得透露与谈判有关的技术资料、价格和其他信息。</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21.4采购文件有实质性变动的，采购小组将以书面形式通知参加谈判的供应商。</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21.5谈判结束后，采购小组将要求供应商根据谈判要求进行最终报价。</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67" w:name="_Toc304884878"/>
      <w:bookmarkStart w:id="168" w:name="_Toc279158719"/>
      <w:r>
        <w:rPr>
          <w:rFonts w:hint="eastAsia" w:asciiTheme="minorEastAsia" w:hAnsiTheme="minorEastAsia" w:eastAsiaTheme="minorEastAsia" w:cstheme="minorEastAsia"/>
          <w:sz w:val="24"/>
          <w:szCs w:val="24"/>
        </w:rPr>
        <w:t>22.响应文件的澄清</w:t>
      </w:r>
      <w:bookmarkEnd w:id="163"/>
      <w:bookmarkEnd w:id="164"/>
      <w:bookmarkEnd w:id="165"/>
      <w:bookmarkEnd w:id="166"/>
      <w:bookmarkEnd w:id="167"/>
      <w:bookmarkEnd w:id="168"/>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22.1为有助于对投标文件的审查、评价和比较，采购小组可要求供应商对响应文件中含义不清的内容进行澄清。有关澄清的要求和答复均须以书面形式，但最终价格和实质性的内容不得更改。</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69" w:name="_Toc109537523"/>
      <w:bookmarkStart w:id="170" w:name="_Toc279158720"/>
      <w:bookmarkStart w:id="171" w:name="_Toc304884879"/>
      <w:bookmarkStart w:id="172" w:name="_Toc90713358"/>
      <w:bookmarkStart w:id="173" w:name="_Toc90712539"/>
      <w:bookmarkStart w:id="174" w:name="_Toc109550799"/>
      <w:r>
        <w:rPr>
          <w:rFonts w:hint="eastAsia" w:asciiTheme="minorEastAsia" w:hAnsiTheme="minorEastAsia" w:eastAsiaTheme="minorEastAsia" w:cstheme="minorEastAsia"/>
          <w:sz w:val="24"/>
          <w:szCs w:val="24"/>
        </w:rPr>
        <w:t>23.评审过程的保密性</w:t>
      </w:r>
      <w:bookmarkEnd w:id="169"/>
      <w:bookmarkEnd w:id="170"/>
      <w:bookmarkEnd w:id="171"/>
      <w:bookmarkEnd w:id="172"/>
      <w:bookmarkEnd w:id="173"/>
      <w:bookmarkEnd w:id="174"/>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23.1评审期间，直到授予成交供应商合同止，凡是与响应文件审查、澄清、评价、比较、价格及有关成交等方面的情况，均不得向供应商或其他无关的人员透露。</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23.2在评审过程中，供应商如向采购小组成员施加任何影响，都将会导致其响应被拒绝，政府采购监管部门将记录其不良行为。</w:t>
      </w:r>
    </w:p>
    <w:p>
      <w:pPr>
        <w:pStyle w:val="4"/>
        <w:keepLines/>
        <w:widowControl w:val="0"/>
        <w:numPr>
          <w:ilvl w:val="0"/>
          <w:numId w:val="0"/>
        </w:numPr>
        <w:tabs>
          <w:tab w:val="left" w:pos="1008"/>
        </w:tabs>
        <w:spacing w:before="240" w:after="240" w:line="360" w:lineRule="auto"/>
        <w:ind w:left="567" w:hanging="279"/>
        <w:rPr>
          <w:rFonts w:asciiTheme="minorEastAsia" w:hAnsiTheme="minorEastAsia" w:eastAsiaTheme="minorEastAsia" w:cstheme="minorEastAsia"/>
          <w:sz w:val="30"/>
          <w:szCs w:val="30"/>
        </w:rPr>
      </w:pPr>
      <w:bookmarkStart w:id="175" w:name="_Toc279158721"/>
      <w:bookmarkStart w:id="176" w:name="_Toc304884880"/>
      <w:bookmarkStart w:id="177" w:name="_Toc109537524"/>
      <w:bookmarkStart w:id="178" w:name="_Toc90712540"/>
      <w:bookmarkStart w:id="179" w:name="_Toc90713359"/>
      <w:bookmarkStart w:id="180" w:name="_Toc109550800"/>
      <w:r>
        <w:rPr>
          <w:rFonts w:hint="eastAsia" w:asciiTheme="minorEastAsia" w:hAnsiTheme="minorEastAsia" w:eastAsiaTheme="minorEastAsia" w:cstheme="minorEastAsia"/>
          <w:sz w:val="30"/>
          <w:szCs w:val="30"/>
        </w:rPr>
        <w:t>六 授予合同</w:t>
      </w:r>
      <w:bookmarkEnd w:id="175"/>
      <w:bookmarkEnd w:id="176"/>
      <w:bookmarkEnd w:id="177"/>
      <w:bookmarkEnd w:id="178"/>
      <w:bookmarkEnd w:id="179"/>
      <w:bookmarkEnd w:id="180"/>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81" w:name="_Toc109550801"/>
      <w:bookmarkStart w:id="182" w:name="_Toc109537525"/>
      <w:bookmarkStart w:id="183" w:name="_Toc279158722"/>
      <w:bookmarkStart w:id="184" w:name="_Toc90712541"/>
      <w:bookmarkStart w:id="185" w:name="_Toc90713360"/>
      <w:bookmarkStart w:id="186" w:name="_Toc304884881"/>
      <w:r>
        <w:rPr>
          <w:rFonts w:hint="eastAsia" w:asciiTheme="minorEastAsia" w:hAnsiTheme="minorEastAsia" w:eastAsiaTheme="minorEastAsia" w:cstheme="minorEastAsia"/>
          <w:sz w:val="24"/>
          <w:szCs w:val="24"/>
        </w:rPr>
        <w:t>24.合同的授予</w:t>
      </w:r>
      <w:bookmarkEnd w:id="181"/>
      <w:bookmarkEnd w:id="182"/>
      <w:bookmarkEnd w:id="183"/>
      <w:bookmarkEnd w:id="184"/>
      <w:bookmarkEnd w:id="185"/>
      <w:bookmarkEnd w:id="186"/>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kern w:val="0"/>
          <w:sz w:val="24"/>
          <w:szCs w:val="24"/>
        </w:rPr>
        <w:t>24.1评审结束后</w:t>
      </w:r>
      <w:r>
        <w:rPr>
          <w:rFonts w:hint="eastAsia" w:asciiTheme="minorEastAsia" w:hAnsiTheme="minorEastAsia" w:eastAsiaTheme="minorEastAsia" w:cstheme="minorEastAsia"/>
          <w:sz w:val="24"/>
          <w:szCs w:val="24"/>
        </w:rPr>
        <w:t>2个工作日内，采购代理机构评审报告报送采购人确认，采购人在接到评审报告5个工作日内按评审报告推荐的顺序确定成交供应商，经批准同意后，</w:t>
      </w:r>
      <w:r>
        <w:rPr>
          <w:rFonts w:hint="eastAsia" w:asciiTheme="minorEastAsia" w:hAnsiTheme="minorEastAsia" w:eastAsiaTheme="minorEastAsia" w:cstheme="minorEastAsia"/>
          <w:spacing w:val="10"/>
          <w:kern w:val="0"/>
          <w:sz w:val="24"/>
          <w:szCs w:val="24"/>
        </w:rPr>
        <w:t>由采购代理机构向成交供应商发出《成交通知书》，并将采购结果在“</w:t>
      </w:r>
      <w:r>
        <w:rPr>
          <w:rFonts w:hint="eastAsia" w:ascii="宋体" w:hAnsi="宋体" w:eastAsia="宋体" w:cs="宋体"/>
          <w:color w:val="000000"/>
          <w:kern w:val="0"/>
          <w:sz w:val="24"/>
          <w:lang w:val="en-US" w:eastAsia="zh-CN"/>
        </w:rPr>
        <w:t>《河南省政府采购网》</w:t>
      </w:r>
      <w:r>
        <w:rPr>
          <w:rFonts w:hint="eastAsia" w:asciiTheme="minorEastAsia" w:hAnsiTheme="minorEastAsia" w:eastAsiaTheme="minorEastAsia" w:cstheme="minorEastAsia"/>
          <w:spacing w:val="10"/>
          <w:kern w:val="0"/>
          <w:sz w:val="24"/>
          <w:szCs w:val="24"/>
        </w:rPr>
        <w:t>”、媒体上进行公告。</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87" w:name="_Toc90713362"/>
      <w:bookmarkStart w:id="188" w:name="_Toc109550803"/>
      <w:bookmarkStart w:id="189" w:name="_Toc90712543"/>
      <w:bookmarkStart w:id="190" w:name="_Toc109537527"/>
      <w:bookmarkStart w:id="191" w:name="_Toc304884882"/>
      <w:bookmarkStart w:id="192" w:name="_Toc279158723"/>
      <w:r>
        <w:rPr>
          <w:rFonts w:hint="eastAsia" w:asciiTheme="minorEastAsia" w:hAnsiTheme="minorEastAsia" w:eastAsiaTheme="minorEastAsia" w:cstheme="minorEastAsia"/>
          <w:sz w:val="24"/>
          <w:szCs w:val="24"/>
        </w:rPr>
        <w:t>25.否决响应和重新</w:t>
      </w:r>
      <w:bookmarkEnd w:id="187"/>
      <w:bookmarkEnd w:id="188"/>
      <w:bookmarkEnd w:id="189"/>
      <w:bookmarkEnd w:id="190"/>
      <w:r>
        <w:rPr>
          <w:rFonts w:hint="eastAsia" w:asciiTheme="minorEastAsia" w:hAnsiTheme="minorEastAsia" w:eastAsiaTheme="minorEastAsia" w:cstheme="minorEastAsia"/>
          <w:sz w:val="24"/>
          <w:szCs w:val="24"/>
        </w:rPr>
        <w:t>采购</w:t>
      </w:r>
      <w:bookmarkEnd w:id="191"/>
      <w:bookmarkEnd w:id="192"/>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25.1如采购小组认为响应文件未能对采购文件做出实质性响应，可否决投标，依据采购小组评审结论，采购人将宣布本次采购无效，并重新组织采购。</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93" w:name="_Toc279158724"/>
      <w:bookmarkStart w:id="194" w:name="_Toc90713363"/>
      <w:bookmarkStart w:id="195" w:name="_Toc109537528"/>
      <w:bookmarkStart w:id="196" w:name="_Toc90712544"/>
      <w:bookmarkStart w:id="197" w:name="_Toc109550804"/>
      <w:bookmarkStart w:id="198" w:name="_Toc304884883"/>
      <w:r>
        <w:rPr>
          <w:rFonts w:hint="eastAsia" w:asciiTheme="minorEastAsia" w:hAnsiTheme="minorEastAsia" w:eastAsiaTheme="minorEastAsia" w:cstheme="minorEastAsia"/>
          <w:sz w:val="24"/>
          <w:szCs w:val="24"/>
        </w:rPr>
        <w:t>26.成交服务费</w:t>
      </w:r>
      <w:bookmarkEnd w:id="193"/>
      <w:bookmarkEnd w:id="194"/>
      <w:bookmarkEnd w:id="195"/>
      <w:bookmarkEnd w:id="196"/>
      <w:bookmarkEnd w:id="197"/>
      <w:bookmarkEnd w:id="198"/>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26.1成交供应商在领取成交通知书时，须向采购代理机构交纳“单一来源采购须知前附表”中规定的服务费。</w:t>
      </w:r>
    </w:p>
    <w:p>
      <w:pPr>
        <w:pStyle w:val="5"/>
        <w:tabs>
          <w:tab w:val="left" w:pos="600"/>
        </w:tabs>
        <w:spacing w:before="156" w:after="0" w:line="360" w:lineRule="auto"/>
        <w:ind w:left="1494" w:right="2" w:hanging="1494"/>
        <w:jc w:val="both"/>
        <w:rPr>
          <w:rFonts w:asciiTheme="minorEastAsia" w:hAnsiTheme="minorEastAsia" w:eastAsiaTheme="minorEastAsia" w:cstheme="minorEastAsia"/>
          <w:sz w:val="24"/>
          <w:szCs w:val="24"/>
        </w:rPr>
      </w:pPr>
      <w:bookmarkStart w:id="199" w:name="_Toc279158725"/>
      <w:bookmarkStart w:id="200" w:name="_Toc304884884"/>
      <w:bookmarkStart w:id="201" w:name="_Toc90712546"/>
      <w:bookmarkStart w:id="202" w:name="_Toc109550806"/>
      <w:bookmarkStart w:id="203" w:name="_Toc90713365"/>
      <w:bookmarkStart w:id="204" w:name="_Toc109537530"/>
      <w:r>
        <w:rPr>
          <w:rFonts w:hint="eastAsia" w:asciiTheme="minorEastAsia" w:hAnsiTheme="minorEastAsia" w:eastAsiaTheme="minorEastAsia" w:cstheme="minorEastAsia"/>
          <w:sz w:val="24"/>
          <w:szCs w:val="24"/>
        </w:rPr>
        <w:t>27.签订合同</w:t>
      </w:r>
      <w:bookmarkEnd w:id="199"/>
      <w:bookmarkEnd w:id="200"/>
      <w:bookmarkEnd w:id="201"/>
      <w:bookmarkEnd w:id="202"/>
      <w:bookmarkEnd w:id="203"/>
      <w:bookmarkEnd w:id="204"/>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27.1成交供应商应按指定的时间、地点与采购人签订合同。</w:t>
      </w:r>
    </w:p>
    <w:p>
      <w:pPr>
        <w:pStyle w:val="7"/>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27.2如果成交供应商没有履行成交服务费承诺，采购人将取消该成交决定，该成交供应商不得要求采购人退还其投标保证金。在此情况下，采购人可重新采购。</w:t>
      </w:r>
    </w:p>
    <w:p>
      <w:pPr>
        <w:pStyle w:val="5"/>
        <w:tabs>
          <w:tab w:val="left" w:pos="600"/>
        </w:tabs>
        <w:spacing w:before="156" w:after="0" w:line="360" w:lineRule="auto"/>
        <w:ind w:left="1494" w:right="2" w:hanging="1494"/>
        <w:jc w:val="both"/>
        <w:rPr>
          <w:rFonts w:hint="eastAsia" w:asciiTheme="minorEastAsia" w:hAnsiTheme="minorEastAsia" w:eastAsiaTheme="minorEastAsia" w:cstheme="minorEastAsia"/>
          <w:sz w:val="24"/>
          <w:szCs w:val="24"/>
          <w:lang w:eastAsia="zh-CN"/>
        </w:rPr>
      </w:pPr>
      <w:bookmarkStart w:id="205" w:name="_Toc279158726"/>
      <w:bookmarkStart w:id="206" w:name="_Toc304884885"/>
      <w:r>
        <w:rPr>
          <w:rFonts w:hint="eastAsia" w:asciiTheme="minorEastAsia" w:hAnsiTheme="minorEastAsia" w:eastAsiaTheme="minorEastAsia" w:cstheme="minorEastAsia"/>
          <w:sz w:val="24"/>
          <w:szCs w:val="24"/>
        </w:rPr>
        <w:t>28.履约保证金</w:t>
      </w:r>
      <w:bookmarkEnd w:id="205"/>
      <w:bookmarkEnd w:id="206"/>
      <w:r>
        <w:rPr>
          <w:rFonts w:hint="eastAsia" w:asciiTheme="minorEastAsia" w:hAnsiTheme="minorEastAsia" w:eastAsiaTheme="minorEastAsia" w:cstheme="minorEastAsia"/>
          <w:sz w:val="24"/>
          <w:szCs w:val="24"/>
          <w:lang w:eastAsia="zh-CN"/>
        </w:rPr>
        <w:t>：无</w:t>
      </w:r>
    </w:p>
    <w:p>
      <w:pPr>
        <w:pStyle w:val="7"/>
        <w:spacing w:line="360" w:lineRule="auto"/>
        <w:ind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207" w:name="_Toc87621072"/>
      <w:bookmarkStart w:id="208" w:name="_Toc90712552"/>
      <w:bookmarkStart w:id="209" w:name="_Toc90713371"/>
    </w:p>
    <w:p>
      <w:pPr>
        <w:pStyle w:val="7"/>
        <w:spacing w:line="360" w:lineRule="auto"/>
        <w:ind w:firstLine="0" w:firstLineChars="0"/>
        <w:jc w:val="center"/>
        <w:rPr>
          <w:rFonts w:hint="eastAsia" w:asciiTheme="minorEastAsia" w:hAnsiTheme="minorEastAsia" w:eastAsiaTheme="minorEastAsia" w:cstheme="minorEastAsia"/>
          <w:b/>
          <w:bCs/>
          <w:sz w:val="30"/>
          <w:szCs w:val="30"/>
        </w:rPr>
      </w:pPr>
    </w:p>
    <w:p>
      <w:pPr>
        <w:pStyle w:val="7"/>
        <w:spacing w:line="360" w:lineRule="auto"/>
        <w:ind w:firstLine="0" w:firstLineChars="0"/>
        <w:jc w:val="center"/>
        <w:rPr>
          <w:rFonts w:hint="eastAsia" w:asciiTheme="minorEastAsia" w:hAnsiTheme="minorEastAsia" w:eastAsiaTheme="minorEastAsia" w:cstheme="minorEastAsia"/>
          <w:b/>
          <w:bCs/>
          <w:sz w:val="30"/>
          <w:szCs w:val="30"/>
        </w:rPr>
      </w:pPr>
    </w:p>
    <w:p>
      <w:pPr>
        <w:pStyle w:val="7"/>
        <w:spacing w:line="360" w:lineRule="auto"/>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第四部</w:t>
      </w:r>
      <w:bookmarkEnd w:id="207"/>
      <w:r>
        <w:rPr>
          <w:rFonts w:hint="eastAsia" w:asciiTheme="minorEastAsia" w:hAnsiTheme="minorEastAsia" w:eastAsiaTheme="minorEastAsia" w:cstheme="minorEastAsia"/>
          <w:b/>
          <w:bCs/>
          <w:sz w:val="30"/>
          <w:szCs w:val="30"/>
        </w:rPr>
        <w:t>分 响应文件格式及内容</w:t>
      </w:r>
      <w:bookmarkEnd w:id="208"/>
      <w:bookmarkEnd w:id="209"/>
    </w:p>
    <w:p>
      <w:pP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30"/>
          <w:szCs w:val="30"/>
        </w:rPr>
        <w:t>封面</w:t>
      </w:r>
    </w:p>
    <w:p>
      <w:pPr>
        <w:jc w:val="center"/>
        <w:rPr>
          <w:rFonts w:asciiTheme="minorEastAsia" w:hAnsiTheme="minorEastAsia" w:eastAsiaTheme="minorEastAsia" w:cstheme="minorEastAsia"/>
          <w:b/>
          <w:bCs/>
          <w:sz w:val="30"/>
          <w:szCs w:val="30"/>
        </w:rPr>
      </w:pPr>
    </w:p>
    <w:p>
      <w:pPr>
        <w:jc w:val="center"/>
        <w:rPr>
          <w:rFonts w:asciiTheme="minorEastAsia" w:hAnsiTheme="minorEastAsia" w:eastAsiaTheme="minorEastAsia" w:cstheme="minorEastAsia"/>
          <w:b/>
          <w:bCs/>
          <w:sz w:val="30"/>
          <w:szCs w:val="30"/>
        </w:rPr>
      </w:pPr>
    </w:p>
    <w:p>
      <w:pPr>
        <w:jc w:val="center"/>
        <w:rPr>
          <w:rFonts w:asciiTheme="minorEastAsia" w:hAnsiTheme="minorEastAsia" w:eastAsiaTheme="minorEastAsia" w:cstheme="minorEastAsia"/>
          <w:b/>
          <w:bCs/>
          <w:sz w:val="30"/>
          <w:szCs w:val="30"/>
        </w:rPr>
      </w:pPr>
    </w:p>
    <w:p>
      <w:pPr>
        <w:jc w:val="center"/>
        <w:rPr>
          <w:rFonts w:asciiTheme="minorEastAsia" w:hAnsiTheme="minorEastAsia" w:eastAsiaTheme="minorEastAsia" w:cstheme="minorEastAsia"/>
          <w:b/>
          <w:bCs/>
          <w:sz w:val="30"/>
          <w:szCs w:val="30"/>
        </w:rPr>
      </w:pPr>
    </w:p>
    <w:p>
      <w:pPr>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自拟</w:t>
      </w: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r>
        <w:rPr>
          <w:rFonts w:hint="eastAsia" w:ascii="宋体" w:hAnsi="宋体" w:cs="宋体"/>
          <w:color w:val="000000"/>
          <w:sz w:val="72"/>
          <w:szCs w:val="72"/>
        </w:rPr>
        <w:br w:type="page"/>
      </w:r>
    </w:p>
    <w:p>
      <w:pPr>
        <w:pStyle w:val="2"/>
        <w:ind w:firstLine="0" w:firstLineChars="0"/>
        <w:rPr>
          <w:rFonts w:ascii="宋体" w:hAnsi="宋体" w:cs="宋体"/>
          <w:color w:val="000000"/>
          <w:sz w:val="28"/>
          <w:szCs w:val="28"/>
        </w:rPr>
      </w:pPr>
    </w:p>
    <w:p>
      <w:pPr>
        <w:pStyle w:val="2"/>
        <w:ind w:firstLine="0" w:firstLineChars="0"/>
        <w:rPr>
          <w:rFonts w:ascii="宋体" w:hAnsi="宋体" w:cs="宋体"/>
          <w:color w:val="000000"/>
          <w:sz w:val="28"/>
          <w:szCs w:val="28"/>
        </w:rPr>
      </w:pPr>
    </w:p>
    <w:p>
      <w:pPr>
        <w:pStyle w:val="2"/>
        <w:ind w:firstLine="0" w:firstLineChars="0"/>
        <w:jc w:val="left"/>
        <w:rPr>
          <w:rFonts w:ascii="宋体" w:hAnsi="宋体" w:cs="宋体"/>
          <w:color w:val="000000"/>
          <w:sz w:val="36"/>
          <w:szCs w:val="36"/>
        </w:rPr>
      </w:pPr>
      <w:r>
        <w:rPr>
          <w:rFonts w:hint="eastAsia" w:ascii="宋体" w:hAnsi="宋体" w:cs="宋体"/>
          <w:color w:val="000000"/>
          <w:sz w:val="36"/>
          <w:szCs w:val="36"/>
        </w:rPr>
        <w:t>目录</w:t>
      </w:r>
    </w:p>
    <w:p>
      <w:pPr>
        <w:pStyle w:val="2"/>
        <w:ind w:firstLine="0" w:firstLineChars="0"/>
        <w:rPr>
          <w:rFonts w:ascii="宋体" w:hAnsi="宋体" w:cs="宋体"/>
          <w:color w:val="000000"/>
          <w:sz w:val="28"/>
          <w:szCs w:val="28"/>
        </w:rPr>
      </w:pPr>
    </w:p>
    <w:p>
      <w:pPr>
        <w:pStyle w:val="2"/>
        <w:ind w:firstLine="0" w:firstLineChars="0"/>
        <w:rPr>
          <w:rFonts w:ascii="宋体" w:hAnsi="宋体" w:cs="宋体"/>
          <w:color w:val="000000"/>
          <w:sz w:val="28"/>
          <w:szCs w:val="28"/>
        </w:rPr>
      </w:pPr>
    </w:p>
    <w:p>
      <w:pPr>
        <w:pStyle w:val="2"/>
        <w:ind w:firstLine="0" w:firstLineChars="0"/>
        <w:rPr>
          <w:rFonts w:ascii="宋体" w:hAnsi="宋体" w:cs="宋体"/>
          <w:color w:val="000000"/>
          <w:sz w:val="28"/>
          <w:szCs w:val="28"/>
        </w:rPr>
      </w:pPr>
    </w:p>
    <w:p>
      <w:pPr>
        <w:pStyle w:val="2"/>
        <w:ind w:firstLine="0" w:firstLineChars="0"/>
        <w:jc w:val="center"/>
        <w:rPr>
          <w:rFonts w:ascii="宋体" w:hAnsi="宋体" w:cs="宋体"/>
          <w:color w:val="000000"/>
          <w:sz w:val="36"/>
          <w:szCs w:val="36"/>
        </w:rPr>
      </w:pPr>
    </w:p>
    <w:p>
      <w:pPr>
        <w:pStyle w:val="2"/>
        <w:ind w:firstLine="0" w:firstLineChars="0"/>
        <w:jc w:val="center"/>
        <w:rPr>
          <w:rFonts w:ascii="宋体" w:hAnsi="宋体" w:cs="宋体"/>
          <w:color w:val="000000"/>
          <w:sz w:val="36"/>
          <w:szCs w:val="36"/>
        </w:rPr>
      </w:pPr>
    </w:p>
    <w:p>
      <w:pPr>
        <w:pStyle w:val="2"/>
        <w:ind w:firstLine="0" w:firstLineChars="0"/>
        <w:jc w:val="center"/>
        <w:rPr>
          <w:rFonts w:ascii="宋体" w:hAnsi="宋体" w:cs="宋体"/>
          <w:color w:val="000000"/>
          <w:sz w:val="36"/>
          <w:szCs w:val="36"/>
        </w:rPr>
      </w:pPr>
      <w:r>
        <w:rPr>
          <w:rFonts w:hint="eastAsia" w:ascii="宋体" w:hAnsi="宋体" w:cs="宋体"/>
          <w:color w:val="000000"/>
          <w:sz w:val="36"/>
          <w:szCs w:val="36"/>
        </w:rPr>
        <w:t>自拟</w:t>
      </w: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0" w:firstLineChars="0"/>
        <w:jc w:val="center"/>
        <w:rPr>
          <w:rFonts w:ascii="宋体" w:hAnsi="宋体" w:cs="宋体"/>
          <w:color w:val="000000"/>
          <w:sz w:val="72"/>
          <w:szCs w:val="72"/>
        </w:rPr>
      </w:pPr>
    </w:p>
    <w:p>
      <w:pPr>
        <w:pStyle w:val="2"/>
        <w:ind w:firstLine="610"/>
      </w:pPr>
      <w:r>
        <w:rPr>
          <w:rFonts w:hint="eastAsia" w:ascii="宋体" w:hAnsi="宋体" w:cs="宋体"/>
          <w:b/>
          <w:color w:val="000000"/>
          <w:sz w:val="30"/>
          <w:szCs w:val="30"/>
        </w:rPr>
        <w:br w:type="page"/>
      </w:r>
    </w:p>
    <w:p>
      <w:pPr>
        <w:pStyle w:val="7"/>
        <w:spacing w:line="360" w:lineRule="auto"/>
        <w:ind w:firstLine="0" w:firstLineChars="0"/>
        <w:jc w:val="center"/>
        <w:rPr>
          <w:rFonts w:asciiTheme="minorEastAsia" w:hAnsiTheme="minorEastAsia" w:eastAsiaTheme="minorEastAsia" w:cstheme="minorEastAsia"/>
          <w:b/>
          <w:bCs/>
          <w:sz w:val="30"/>
          <w:szCs w:val="30"/>
        </w:rPr>
      </w:pPr>
    </w:p>
    <w:p>
      <w:pPr>
        <w:pStyle w:val="6"/>
        <w:numPr>
          <w:ilvl w:val="2"/>
          <w:numId w:val="0"/>
        </w:numPr>
        <w:rPr>
          <w:rFonts w:asciiTheme="minorEastAsia" w:hAnsiTheme="minorEastAsia" w:eastAsiaTheme="minorEastAsia" w:cstheme="minorEastAsia"/>
          <w:sz w:val="30"/>
          <w:szCs w:val="30"/>
        </w:rPr>
      </w:pPr>
      <w:bookmarkStart w:id="210" w:name="_Toc132713638"/>
      <w:bookmarkStart w:id="211" w:name="_Toc224493109"/>
      <w:bookmarkStart w:id="212" w:name="_Toc216873441"/>
      <w:bookmarkStart w:id="213" w:name="_Toc259099787"/>
      <w:r>
        <w:rPr>
          <w:rFonts w:hint="eastAsia" w:asciiTheme="minorEastAsia" w:hAnsiTheme="minorEastAsia" w:eastAsiaTheme="minorEastAsia" w:cstheme="minorEastAsia"/>
          <w:sz w:val="30"/>
          <w:szCs w:val="30"/>
        </w:rPr>
        <w:t>一 、响应函</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致：</w:t>
      </w:r>
      <w:r>
        <w:rPr>
          <w:rFonts w:hint="eastAsia" w:asciiTheme="minorEastAsia" w:hAnsiTheme="minorEastAsia" w:eastAsiaTheme="minorEastAsia" w:cstheme="minorEastAsia"/>
          <w:b/>
          <w:sz w:val="24"/>
          <w:u w:val="single"/>
        </w:rPr>
        <w:t>河南招标采购服务有限公司</w:t>
      </w:r>
    </w:p>
    <w:p>
      <w:pPr>
        <w:spacing w:line="360" w:lineRule="auto"/>
        <w:ind w:firstLine="645"/>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1、根据贵单位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号邀请书的邀请，我们决定参加贵单位组织的</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项目的单一来源采购。我方授权</w:t>
      </w:r>
      <w:r>
        <w:rPr>
          <w:rFonts w:hint="eastAsia" w:asciiTheme="minorEastAsia" w:hAnsiTheme="minorEastAsia" w:eastAsiaTheme="minorEastAsia" w:cstheme="minorEastAsia"/>
          <w:sz w:val="24"/>
          <w:u w:val="single"/>
        </w:rPr>
        <w:t>(姓名和职务)</w:t>
      </w:r>
      <w:r>
        <w:rPr>
          <w:rFonts w:hint="eastAsia" w:asciiTheme="minorEastAsia" w:hAnsiTheme="minorEastAsia" w:eastAsiaTheme="minorEastAsia" w:cstheme="minorEastAsia"/>
          <w:sz w:val="24"/>
        </w:rPr>
        <w:t>代表我方</w:t>
      </w:r>
      <w:r>
        <w:rPr>
          <w:rFonts w:hint="eastAsia" w:asciiTheme="minorEastAsia" w:hAnsiTheme="minorEastAsia" w:eastAsiaTheme="minorEastAsia" w:cstheme="minorEastAsia"/>
          <w:sz w:val="24"/>
          <w:u w:val="single"/>
        </w:rPr>
        <w:t>（供应商的名称）</w:t>
      </w:r>
      <w:r>
        <w:rPr>
          <w:rFonts w:hint="eastAsia" w:asciiTheme="minorEastAsia" w:hAnsiTheme="minorEastAsia" w:eastAsiaTheme="minorEastAsia" w:cstheme="minorEastAsia"/>
          <w:sz w:val="24"/>
        </w:rPr>
        <w:t>全权处理本项目采购的有关事宜。</w:t>
      </w:r>
    </w:p>
    <w:p>
      <w:pPr>
        <w:spacing w:line="360" w:lineRule="auto"/>
        <w:ind w:firstLine="64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2、我方愿意按照采购文件规定的各项要求，向采购人及用户提供所需的产品与服务。</w:t>
      </w:r>
    </w:p>
    <w:p>
      <w:pPr>
        <w:spacing w:line="360" w:lineRule="auto"/>
        <w:ind w:firstLine="64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3、一旦我方成为成交人，我方将严格履行合同规定的责任和义务；按采购文件的规定向贵单位支付成交服务费。</w:t>
      </w:r>
    </w:p>
    <w:p>
      <w:pPr>
        <w:spacing w:line="360" w:lineRule="auto"/>
        <w:ind w:left="880" w:leftChars="305" w:hanging="240" w:hanging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4、我方为本项目提交的投标文件正本一份、副本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份、电子档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w:t>
      </w:r>
    </w:p>
    <w:p>
      <w:pPr>
        <w:tabs>
          <w:tab w:val="left" w:pos="840"/>
        </w:tabs>
        <w:spacing w:line="360" w:lineRule="auto"/>
        <w:ind w:firstLine="6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5、我方愿意提供贵单位可能另外要求的、与投标有关的文件资料，并保证我方已提供和将要提供的文件是真实的、准确的。</w:t>
      </w:r>
    </w:p>
    <w:p>
      <w:pPr>
        <w:tabs>
          <w:tab w:val="left" w:pos="840"/>
        </w:tabs>
        <w:spacing w:line="360" w:lineRule="auto"/>
        <w:ind w:firstLine="6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6、本次采购项目的有效期为：自响应开始之日起60天</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供应商名称：（加盖公章）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供应商代表（签字或盖章）：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pPr>
        <w:spacing w:line="360" w:lineRule="auto"/>
        <w:rPr>
          <w:rFonts w:asciiTheme="minorEastAsia" w:hAnsiTheme="minorEastAsia" w:eastAsiaTheme="minorEastAsia" w:cstheme="minorEastAsia"/>
        </w:rPr>
      </w:pPr>
    </w:p>
    <w:p>
      <w:pPr>
        <w:pStyle w:val="6"/>
        <w:numPr>
          <w:ilvl w:val="2"/>
          <w:numId w:val="0"/>
        </w:num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30"/>
          <w:szCs w:val="30"/>
        </w:rPr>
        <w:t>二</w:t>
      </w:r>
      <w:bookmarkEnd w:id="210"/>
      <w:bookmarkStart w:id="214" w:name="_Toc132713639"/>
      <w:r>
        <w:rPr>
          <w:rFonts w:hint="eastAsia" w:asciiTheme="minorEastAsia" w:hAnsiTheme="minorEastAsia" w:eastAsiaTheme="minorEastAsia" w:cstheme="minorEastAsia"/>
          <w:sz w:val="30"/>
          <w:szCs w:val="30"/>
        </w:rPr>
        <w:t>、资格证明文件及响应文件</w:t>
      </w:r>
    </w:p>
    <w:p>
      <w:pPr>
        <w:pStyle w:val="6"/>
        <w:numPr>
          <w:ilvl w:val="2"/>
          <w:numId w:val="0"/>
        </w:numPr>
        <w:jc w:val="both"/>
        <w:rPr>
          <w:rFonts w:asciiTheme="minorEastAsia" w:hAnsiTheme="minorEastAsia" w:eastAsiaTheme="minorEastAsia" w:cstheme="minorEastAsia"/>
          <w:sz w:val="28"/>
          <w:szCs w:val="28"/>
        </w:rPr>
      </w:pPr>
    </w:p>
    <w:p>
      <w:pPr>
        <w:pStyle w:val="6"/>
        <w:numPr>
          <w:ilvl w:val="2"/>
          <w:numId w:val="0"/>
        </w:numPr>
        <w:jc w:val="both"/>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28"/>
          <w:szCs w:val="28"/>
        </w:rPr>
        <w:t>2.1营业执照</w:t>
      </w:r>
    </w:p>
    <w:p>
      <w:pPr>
        <w:pStyle w:val="6"/>
        <w:numPr>
          <w:ilvl w:val="2"/>
          <w:numId w:val="0"/>
        </w:numPr>
        <w:jc w:val="both"/>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28"/>
          <w:szCs w:val="28"/>
        </w:rPr>
        <w:t>（说明：复印件加盖公章）</w:t>
      </w:r>
    </w:p>
    <w:p>
      <w:pPr>
        <w:pStyle w:val="6"/>
        <w:numPr>
          <w:ilvl w:val="2"/>
          <w:numId w:val="0"/>
        </w:numPr>
        <w:rPr>
          <w:rFonts w:asciiTheme="minorEastAsia" w:hAnsiTheme="minorEastAsia" w:eastAsiaTheme="minorEastAsia" w:cstheme="minorEastAsia"/>
          <w:sz w:val="30"/>
          <w:szCs w:val="30"/>
        </w:rPr>
      </w:pPr>
    </w:p>
    <w:p>
      <w:pPr>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2"/>
        <w:ind w:firstLine="608"/>
        <w:rPr>
          <w:rFonts w:asciiTheme="minorEastAsia" w:hAnsiTheme="minorEastAsia" w:eastAsiaTheme="minorEastAsia" w:cstheme="minorEastAsia"/>
          <w:sz w:val="30"/>
          <w:szCs w:val="30"/>
        </w:rPr>
      </w:pPr>
    </w:p>
    <w:p>
      <w:pPr>
        <w:pStyle w:val="6"/>
        <w:numPr>
          <w:ilvl w:val="2"/>
          <w:numId w:val="0"/>
        </w:num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28"/>
          <w:szCs w:val="28"/>
        </w:rPr>
        <w:t>2.2法定代表人（负责人）授权书</w:t>
      </w:r>
      <w:bookmarkEnd w:id="211"/>
      <w:bookmarkEnd w:id="212"/>
      <w:bookmarkEnd w:id="213"/>
      <w:bookmarkEnd w:id="214"/>
    </w:p>
    <w:p>
      <w:pPr>
        <w:spacing w:line="360" w:lineRule="auto"/>
        <w:ind w:firstLine="480" w:firstLineChars="200"/>
        <w:rPr>
          <w:rFonts w:asciiTheme="minorEastAsia" w:hAnsiTheme="minorEastAsia" w:eastAsiaTheme="minorEastAsia" w:cstheme="minorEastAsia"/>
          <w:sz w:val="24"/>
        </w:rPr>
      </w:pPr>
      <w:bookmarkStart w:id="215" w:name="_Hlt520350918"/>
      <w:bookmarkEnd w:id="215"/>
      <w:bookmarkStart w:id="216" w:name="_Hlt520343000"/>
      <w:bookmarkEnd w:id="216"/>
      <w:bookmarkStart w:id="217" w:name="_Hlt520271212"/>
      <w:bookmarkEnd w:id="217"/>
      <w:bookmarkStart w:id="218" w:name="_Hlt520274407"/>
      <w:bookmarkEnd w:id="218"/>
      <w:bookmarkStart w:id="219" w:name="_Hlt520274065"/>
      <w:bookmarkEnd w:id="219"/>
      <w:bookmarkStart w:id="220" w:name="_Hlt520343392"/>
      <w:bookmarkEnd w:id="220"/>
      <w:bookmarkStart w:id="221" w:name="_Hlt520274393"/>
      <w:bookmarkEnd w:id="221"/>
      <w:bookmarkStart w:id="222" w:name="_Hlt520273711"/>
      <w:bookmarkEnd w:id="222"/>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本授权书声明：注册于</w:t>
      </w:r>
      <w:r>
        <w:rPr>
          <w:rFonts w:hint="eastAsia" w:asciiTheme="minorEastAsia" w:hAnsiTheme="minorEastAsia" w:eastAsiaTheme="minorEastAsia" w:cstheme="minorEastAsia"/>
          <w:i/>
          <w:sz w:val="24"/>
          <w:u w:val="single"/>
        </w:rPr>
        <w:t xml:space="preserve">（注册地址）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i/>
          <w:sz w:val="24"/>
          <w:u w:val="single"/>
        </w:rPr>
        <w:t xml:space="preserve"> （名称） </w:t>
      </w:r>
      <w:r>
        <w:rPr>
          <w:rFonts w:hint="eastAsia" w:asciiTheme="minorEastAsia" w:hAnsiTheme="minorEastAsia" w:eastAsiaTheme="minorEastAsia" w:cstheme="minorEastAsia"/>
          <w:sz w:val="24"/>
        </w:rPr>
        <w:t>的在下面签字或盖章的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法定代表人（负责人）姓名、职务</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代表本公司授权在下面签字或盖章的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被授权人的姓名、职务</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为本公司的合法代理人（即供应商代表、授权代表），就</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i/>
          <w:iCs/>
          <w:sz w:val="24"/>
          <w:u w:val="single"/>
        </w:rPr>
        <w:t>项目名称</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的采购活动，以本公司名义处理一切与之有关的事务。</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    本授权书于________年____月____日签字或盖章生效，特此声明。</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法定代表人（负责人）签字或盖章：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被授权人签字或盖章： </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供应商名称：（加盖公章） </w:t>
      </w:r>
    </w:p>
    <w:p>
      <w:pPr>
        <w:spacing w:line="360" w:lineRule="auto"/>
        <w:rPr>
          <w:rFonts w:asciiTheme="minorEastAsia" w:hAnsiTheme="minorEastAsia" w:eastAsiaTheme="minorEastAsia" w:cstheme="minorEastAsia"/>
          <w:sz w:val="24"/>
          <w:u w:val="single"/>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附：法定代表人（负责人）和被授权人身份证复印件</w:t>
      </w:r>
    </w:p>
    <w:tbl>
      <w:tblPr>
        <w:tblStyle w:val="25"/>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法定代表人（负责人）身份证复印件（A面）</w:t>
            </w:r>
          </w:p>
        </w:tc>
        <w:tc>
          <w:tcPr>
            <w:tcW w:w="4485"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法定代表人（负责人）身份证复印件（B面）</w:t>
            </w:r>
          </w:p>
        </w:tc>
      </w:tr>
    </w:tbl>
    <w:p>
      <w:pPr>
        <w:jc w:val="center"/>
        <w:rPr>
          <w:rFonts w:asciiTheme="minorEastAsia" w:hAnsiTheme="minorEastAsia" w:eastAsiaTheme="minorEastAsia" w:cstheme="minorEastAsia"/>
        </w:rPr>
      </w:pP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pPr>
              <w:jc w:val="center"/>
              <w:rPr>
                <w:rFonts w:asciiTheme="minorEastAsia" w:hAnsiTheme="minorEastAsia" w:eastAsiaTheme="minorEastAsia" w:cstheme="minorEastAsia"/>
              </w:rPr>
            </w:pPr>
            <w:bookmarkStart w:id="223" w:name="_资格证明文件"/>
            <w:bookmarkEnd w:id="223"/>
            <w:bookmarkStart w:id="224" w:name="_Toc364329026"/>
            <w:r>
              <w:rPr>
                <w:rFonts w:hint="eastAsia" w:asciiTheme="minorEastAsia" w:hAnsiTheme="minorEastAsia" w:eastAsiaTheme="minorEastAsia" w:cstheme="minorEastAsia"/>
              </w:rPr>
              <w:t>合法代理人身份证复印件（A面）</w:t>
            </w:r>
            <w:bookmarkEnd w:id="224"/>
          </w:p>
        </w:tc>
        <w:tc>
          <w:tcPr>
            <w:tcW w:w="4492" w:type="dxa"/>
            <w:vAlign w:val="center"/>
          </w:tcPr>
          <w:p>
            <w:pPr>
              <w:jc w:val="center"/>
              <w:rPr>
                <w:rFonts w:asciiTheme="minorEastAsia" w:hAnsiTheme="minorEastAsia" w:eastAsiaTheme="minorEastAsia" w:cstheme="minorEastAsia"/>
              </w:rPr>
            </w:pPr>
            <w:bookmarkStart w:id="225" w:name="_Toc364329027"/>
            <w:r>
              <w:rPr>
                <w:rFonts w:hint="eastAsia" w:asciiTheme="minorEastAsia" w:hAnsiTheme="minorEastAsia" w:eastAsiaTheme="minorEastAsia" w:cstheme="minorEastAsia"/>
              </w:rPr>
              <w:t>合法代理人身份证复印件（B面）</w:t>
            </w:r>
            <w:bookmarkEnd w:id="225"/>
          </w:p>
        </w:tc>
      </w:tr>
    </w:tbl>
    <w:p>
      <w:pPr>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Start w:id="226" w:name="_Toc132713640"/>
      <w:bookmarkStart w:id="227" w:name="_Toc216873442"/>
      <w:bookmarkStart w:id="228" w:name="_Toc224493110"/>
      <w:bookmarkStart w:id="229" w:name="_Toc259099788"/>
    </w:p>
    <w:p>
      <w:pPr>
        <w:outlineLvl w:val="1"/>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28"/>
          <w:szCs w:val="28"/>
        </w:rPr>
        <w:t>2.3财务状况报告复印件</w:t>
      </w:r>
    </w:p>
    <w:p>
      <w:pPr>
        <w:pStyle w:val="52"/>
        <w:spacing w:line="520" w:lineRule="exact"/>
        <w:ind w:firstLine="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4"/>
        </w:rPr>
        <w:t>（说明：提供</w:t>
      </w:r>
      <w:r>
        <w:rPr>
          <w:rFonts w:hint="eastAsia" w:asciiTheme="minorEastAsia" w:hAnsiTheme="minorEastAsia" w:eastAsiaTheme="minorEastAsia" w:cstheme="minorEastAsia"/>
          <w:sz w:val="24"/>
        </w:rPr>
        <w:t>2018或2019年度的经会计师事务所审计的财务审计报告，公司成立时间不足一年的，附自行出具最新的财务报表说明，财务审计报告应同时具有2名注册会计师盖章和签字，提供</w:t>
      </w:r>
      <w:r>
        <w:rPr>
          <w:rFonts w:hint="eastAsia" w:asciiTheme="minorEastAsia" w:hAnsiTheme="minorEastAsia" w:eastAsiaTheme="minorEastAsia" w:cstheme="minorEastAsia"/>
          <w:bCs/>
          <w:sz w:val="24"/>
          <w:szCs w:val="24"/>
        </w:rPr>
        <w:t>复印件加盖公章）。</w:t>
      </w: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2.4依法缴纳税收和社会保障资金的相关材料复印件</w:t>
      </w:r>
    </w:p>
    <w:p>
      <w:pPr>
        <w:pStyle w:val="52"/>
        <w:spacing w:line="520" w:lineRule="exact"/>
        <w:ind w:firstLine="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（说明：提供2020年以来至少一个月的税收和社会保障资金缴纳证明材料，复印件加盖公章）</w:t>
      </w: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p>
    <w:p>
      <w:pPr>
        <w:outlineLvl w:val="1"/>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28"/>
          <w:szCs w:val="28"/>
        </w:rPr>
        <w:t>2.5具备履行合同所必需的设备和专业技术能力的证明材料复印件</w:t>
      </w:r>
    </w:p>
    <w:p>
      <w:pPr>
        <w:pStyle w:val="52"/>
        <w:spacing w:line="520" w:lineRule="exact"/>
        <w:ind w:firstLine="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（说明：可用①以往类似业绩或②供应商认为能体现具备履行合同能力的材料。）</w:t>
      </w: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2.6参加政府采购活动前3年内在经营活动中没有重大违法记录的书面声明</w:t>
      </w:r>
    </w:p>
    <w:p>
      <w:pPr>
        <w:spacing w:line="360" w:lineRule="auto"/>
        <w:jc w:val="center"/>
        <w:rPr>
          <w:rFonts w:asciiTheme="minorEastAsia" w:hAnsiTheme="minorEastAsia" w:eastAsiaTheme="minorEastAsia" w:cstheme="minorEastAsia"/>
          <w:b/>
          <w:bCs/>
          <w:sz w:val="28"/>
          <w:szCs w:val="28"/>
          <w:lang w:val="zh-CN"/>
        </w:rPr>
      </w:pPr>
    </w:p>
    <w:p>
      <w:pPr>
        <w:spacing w:line="360" w:lineRule="auto"/>
        <w:jc w:val="center"/>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参加政府采购活动前3年内在经营活动中</w:t>
      </w:r>
    </w:p>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zh-CN"/>
        </w:rPr>
        <w:t>没有重大违法记录的书面声明</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spacing w:line="360" w:lineRule="auto"/>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本公司（单位）郑重声明，本公司（单位）在</w:t>
      </w:r>
      <w:r>
        <w:rPr>
          <w:rFonts w:hint="eastAsia" w:asciiTheme="minorEastAsia" w:hAnsiTheme="minorEastAsia" w:eastAsiaTheme="minorEastAsia" w:cstheme="minorEastAsia"/>
          <w:sz w:val="24"/>
          <w:lang w:val="zh-CN"/>
        </w:rPr>
        <w:t>参加政府采购活动前3年内在经营活动中没有重大违法记录。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本公司（单位）对上述声明的真实性负责。如有虚假，将依政府采购相关法律法规承担相应责任。</w:t>
      </w: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供应商名称（加盖公章）：</w:t>
      </w:r>
    </w:p>
    <w:p>
      <w:pPr>
        <w:spacing w:line="360" w:lineRule="auto"/>
        <w:ind w:firstLine="480" w:firstLineChars="200"/>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年   月   日</w:t>
      </w: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outlineLvl w:val="1"/>
        <w:rPr>
          <w:rFonts w:asciiTheme="minorEastAsia" w:hAnsiTheme="minorEastAsia" w:eastAsiaTheme="minorEastAsia" w:cstheme="minorEastAsia"/>
          <w:b/>
          <w:bCs/>
          <w:sz w:val="28"/>
          <w:szCs w:val="28"/>
        </w:rPr>
      </w:pPr>
    </w:p>
    <w:p>
      <w:pP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2.7反商业贿赂承诺书</w:t>
      </w:r>
    </w:p>
    <w:p>
      <w:pPr>
        <w:spacing w:line="360" w:lineRule="auto"/>
        <w:outlineLvl w:val="0"/>
        <w:rPr>
          <w:rFonts w:asciiTheme="minorEastAsia" w:hAnsiTheme="minorEastAsia" w:eastAsiaTheme="minorEastAsia" w:cstheme="minorEastAsia"/>
          <w:sz w:val="24"/>
        </w:rPr>
      </w:pPr>
      <w:bookmarkStart w:id="230" w:name="_Toc217719216"/>
      <w:bookmarkStart w:id="231" w:name="_Toc263170042"/>
      <w:bookmarkStart w:id="232" w:name="_Toc275959691"/>
    </w:p>
    <w:p>
      <w:pPr>
        <w:spacing w:line="360" w:lineRule="auto"/>
        <w:jc w:val="cente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30"/>
          <w:szCs w:val="30"/>
        </w:rPr>
        <w:t>反商业贿赂承诺书</w:t>
      </w:r>
    </w:p>
    <w:p>
      <w:pPr>
        <w:spacing w:line="360" w:lineRule="auto"/>
        <w:outlineLvl w:val="0"/>
        <w:rPr>
          <w:rFonts w:asciiTheme="minorEastAsia" w:hAnsiTheme="minorEastAsia" w:eastAsiaTheme="minorEastAsia" w:cstheme="minorEastAsia"/>
          <w:sz w:val="24"/>
        </w:rPr>
      </w:pPr>
    </w:p>
    <w:p>
      <w:pPr>
        <w:spacing w:line="360" w:lineRule="auto"/>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我公司（单位）承诺：</w:t>
      </w:r>
      <w:bookmarkEnd w:id="230"/>
      <w:bookmarkEnd w:id="231"/>
      <w:bookmarkEnd w:id="232"/>
    </w:p>
    <w:p>
      <w:pPr>
        <w:spacing w:line="360" w:lineRule="auto"/>
        <w:ind w:firstLine="555"/>
        <w:outlineLvl w:val="0"/>
        <w:rPr>
          <w:rFonts w:asciiTheme="minorEastAsia" w:hAnsiTheme="minorEastAsia" w:eastAsiaTheme="minorEastAsia" w:cstheme="minorEastAsia"/>
          <w:sz w:val="24"/>
        </w:rPr>
      </w:pPr>
      <w:bookmarkStart w:id="233" w:name="_Toc217719217"/>
      <w:bookmarkStart w:id="234" w:name="_Toc263170043"/>
      <w:bookmarkStart w:id="235" w:name="_Toc275959692"/>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u w:val="single"/>
        </w:rPr>
        <w:t xml:space="preserve"> （项目名称）</w:t>
      </w:r>
      <w:r>
        <w:rPr>
          <w:rFonts w:hint="eastAsia" w:asciiTheme="minorEastAsia" w:hAnsiTheme="minorEastAsia" w:eastAsiaTheme="minorEastAsia" w:cstheme="minorEastAsia"/>
          <w:sz w:val="24"/>
        </w:rPr>
        <w:t>采购活动中，我公司（单位）保证做到：</w:t>
      </w:r>
      <w:bookmarkEnd w:id="233"/>
      <w:bookmarkEnd w:id="234"/>
      <w:bookmarkEnd w:id="235"/>
    </w:p>
    <w:p>
      <w:pPr>
        <w:spacing w:line="360" w:lineRule="auto"/>
        <w:ind w:firstLine="555"/>
        <w:outlineLvl w:val="0"/>
        <w:rPr>
          <w:rFonts w:asciiTheme="minorEastAsia" w:hAnsiTheme="minorEastAsia" w:eastAsiaTheme="minorEastAsia" w:cstheme="minorEastAsia"/>
          <w:sz w:val="24"/>
        </w:rPr>
      </w:pPr>
      <w:bookmarkStart w:id="236" w:name="_Toc275959693"/>
      <w:bookmarkStart w:id="237" w:name="_Toc217719218"/>
      <w:bookmarkStart w:id="238" w:name="_Toc263170044"/>
      <w:r>
        <w:rPr>
          <w:rFonts w:hint="eastAsia" w:asciiTheme="minorEastAsia" w:hAnsiTheme="minorEastAsia" w:eastAsiaTheme="minorEastAsia" w:cstheme="minorEastAsia"/>
          <w:sz w:val="24"/>
        </w:rPr>
        <w:t>一、公平竞争参加本次采购活动。</w:t>
      </w:r>
      <w:bookmarkEnd w:id="236"/>
      <w:bookmarkEnd w:id="237"/>
      <w:bookmarkEnd w:id="238"/>
    </w:p>
    <w:p>
      <w:pPr>
        <w:spacing w:line="360" w:lineRule="auto"/>
        <w:ind w:firstLine="555"/>
        <w:outlineLvl w:val="0"/>
        <w:rPr>
          <w:rFonts w:asciiTheme="minorEastAsia" w:hAnsiTheme="minorEastAsia" w:eastAsiaTheme="minorEastAsia" w:cstheme="minorEastAsia"/>
          <w:sz w:val="24"/>
        </w:rPr>
      </w:pPr>
      <w:bookmarkStart w:id="239" w:name="_Toc263170045"/>
      <w:bookmarkStart w:id="240" w:name="_Toc275959694"/>
      <w:bookmarkStart w:id="241" w:name="_Toc217719219"/>
      <w:r>
        <w:rPr>
          <w:rFonts w:hint="eastAsia" w:asciiTheme="minorEastAsia" w:hAnsiTheme="minorEastAsia" w:eastAsiaTheme="minorEastAsia" w:cstheme="minor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239"/>
      <w:bookmarkEnd w:id="240"/>
      <w:bookmarkEnd w:id="241"/>
    </w:p>
    <w:p>
      <w:pPr>
        <w:spacing w:line="360" w:lineRule="auto"/>
        <w:ind w:firstLine="555"/>
        <w:outlineLvl w:val="0"/>
        <w:rPr>
          <w:rFonts w:asciiTheme="minorEastAsia" w:hAnsiTheme="minorEastAsia" w:eastAsiaTheme="minorEastAsia" w:cstheme="minorEastAsia"/>
          <w:sz w:val="24"/>
        </w:rPr>
      </w:pPr>
      <w:bookmarkStart w:id="242" w:name="_Toc263170046"/>
      <w:bookmarkStart w:id="243" w:name="_Toc275959695"/>
      <w:bookmarkStart w:id="244" w:name="_Toc217719220"/>
      <w:r>
        <w:rPr>
          <w:rFonts w:hint="eastAsia" w:asciiTheme="minorEastAsia" w:hAnsiTheme="minorEastAsia" w:eastAsiaTheme="minorEastAsia" w:cstheme="minorEastAsia"/>
          <w:sz w:val="24"/>
        </w:rPr>
        <w:t>三、若出现上述行为，我公司（单位）及参与谈判的工作人员愿意接受按照国家法律法规等有关规定给予的处罚。</w:t>
      </w:r>
      <w:bookmarkEnd w:id="242"/>
      <w:bookmarkEnd w:id="243"/>
      <w:bookmarkEnd w:id="244"/>
    </w:p>
    <w:p>
      <w:pPr>
        <w:spacing w:line="360" w:lineRule="auto"/>
        <w:ind w:firstLine="555"/>
        <w:outlineLvl w:val="0"/>
        <w:rPr>
          <w:rFonts w:asciiTheme="minorEastAsia" w:hAnsiTheme="minorEastAsia" w:eastAsiaTheme="minorEastAsia" w:cstheme="minorEastAsia"/>
          <w:sz w:val="24"/>
        </w:rPr>
      </w:pPr>
    </w:p>
    <w:p>
      <w:pPr>
        <w:spacing w:line="360" w:lineRule="auto"/>
        <w:ind w:firstLine="2880"/>
        <w:outlineLvl w:val="0"/>
        <w:rPr>
          <w:rFonts w:asciiTheme="minorEastAsia" w:hAnsiTheme="minorEastAsia" w:eastAsiaTheme="minorEastAsia" w:cstheme="minorEastAsia"/>
          <w:sz w:val="24"/>
        </w:rPr>
      </w:pPr>
      <w:bookmarkStart w:id="245" w:name="_Toc263170047"/>
      <w:bookmarkStart w:id="246" w:name="_Toc275959696"/>
      <w:bookmarkStart w:id="247" w:name="_Toc217719221"/>
      <w:r>
        <w:rPr>
          <w:rFonts w:hint="eastAsia" w:asciiTheme="minorEastAsia" w:hAnsiTheme="minorEastAsia" w:eastAsiaTheme="minorEastAsia" w:cstheme="minorEastAsia"/>
          <w:sz w:val="24"/>
        </w:rPr>
        <w:t xml:space="preserve">      供应商名称（加盖公章）：</w:t>
      </w:r>
    </w:p>
    <w:bookmarkEnd w:id="245"/>
    <w:bookmarkEnd w:id="246"/>
    <w:bookmarkEnd w:id="247"/>
    <w:p>
      <w:pPr>
        <w:spacing w:line="360" w:lineRule="auto"/>
        <w:ind w:firstLine="2880"/>
        <w:outlineLvl w:val="0"/>
        <w:rPr>
          <w:rFonts w:asciiTheme="minorEastAsia" w:hAnsiTheme="minorEastAsia" w:eastAsiaTheme="minorEastAsia" w:cstheme="minorEastAsia"/>
          <w:sz w:val="24"/>
        </w:rPr>
      </w:pPr>
      <w:bookmarkStart w:id="248" w:name="_Toc263170048"/>
      <w:bookmarkEnd w:id="248"/>
      <w:bookmarkStart w:id="249" w:name="_Toc275959697"/>
      <w:bookmarkEnd w:id="249"/>
      <w:bookmarkStart w:id="250" w:name="_Toc217719222"/>
      <w:bookmarkEnd w:id="250"/>
    </w:p>
    <w:p>
      <w:pPr>
        <w:pStyle w:val="52"/>
        <w:spacing w:line="520" w:lineRule="exact"/>
        <w:ind w:firstLine="0"/>
        <w:jc w:val="center"/>
        <w:rPr>
          <w:rFonts w:asciiTheme="minorEastAsia" w:hAnsiTheme="minorEastAsia" w:eastAsiaTheme="minorEastAsia" w:cstheme="minorEastAsia"/>
          <w:kern w:val="2"/>
          <w:sz w:val="24"/>
          <w:szCs w:val="24"/>
        </w:rPr>
      </w:pPr>
      <w:bookmarkStart w:id="251" w:name="_Toc263170051"/>
      <w:bookmarkStart w:id="252" w:name="_Toc275959700"/>
      <w:bookmarkStart w:id="253" w:name="_Toc217719225"/>
      <w:r>
        <w:rPr>
          <w:rFonts w:hint="eastAsia" w:asciiTheme="minorEastAsia" w:hAnsiTheme="minorEastAsia" w:eastAsiaTheme="minorEastAsia" w:cstheme="minorEastAsia"/>
          <w:kern w:val="2"/>
          <w:sz w:val="24"/>
          <w:szCs w:val="24"/>
        </w:rPr>
        <w:t xml:space="preserve">   年  月  日</w:t>
      </w:r>
      <w:bookmarkEnd w:id="251"/>
      <w:bookmarkEnd w:id="252"/>
      <w:bookmarkEnd w:id="253"/>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jc w:val="left"/>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2.8商务（合同）主要条款的响应</w:t>
      </w:r>
    </w:p>
    <w:tbl>
      <w:tblPr>
        <w:tblStyle w:val="25"/>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033"/>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tcPr>
          <w:p>
            <w:pPr>
              <w:pStyle w:val="2"/>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5033" w:type="dxa"/>
          </w:tcPr>
          <w:p>
            <w:pPr>
              <w:pStyle w:val="2"/>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谈判文件要求</w:t>
            </w:r>
          </w:p>
        </w:tc>
        <w:tc>
          <w:tcPr>
            <w:tcW w:w="3413" w:type="dxa"/>
          </w:tcPr>
          <w:p>
            <w:pPr>
              <w:pStyle w:val="2"/>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Align w:val="center"/>
          </w:tcPr>
          <w:p>
            <w:pPr>
              <w:jc w:val="center"/>
              <w:rPr>
                <w:rFonts w:asciiTheme="minorEastAsia" w:hAnsiTheme="minorEastAsia" w:eastAsiaTheme="minorEastAsia" w:cstheme="minorEastAsia"/>
                <w:spacing w:val="2"/>
                <w:sz w:val="24"/>
                <w:szCs w:val="20"/>
              </w:rPr>
            </w:pPr>
            <w:r>
              <w:rPr>
                <w:rFonts w:hint="eastAsia" w:asciiTheme="minorEastAsia" w:hAnsiTheme="minorEastAsia" w:eastAsiaTheme="minorEastAsia" w:cstheme="minorEastAsia"/>
                <w:spacing w:val="2"/>
                <w:sz w:val="24"/>
                <w:szCs w:val="20"/>
              </w:rPr>
              <w:t>1</w:t>
            </w:r>
          </w:p>
        </w:tc>
        <w:tc>
          <w:tcPr>
            <w:tcW w:w="5033" w:type="dxa"/>
            <w:vAlign w:val="center"/>
          </w:tcPr>
          <w:p>
            <w:pPr>
              <w:pStyle w:val="7"/>
              <w:spacing w:line="360" w:lineRule="auto"/>
              <w:ind w:firstLine="0" w:firstLineChars="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z w:val="24"/>
              </w:rPr>
              <w:t>响应文件有效期：自响应开始之日起60天</w:t>
            </w:r>
          </w:p>
        </w:tc>
        <w:tc>
          <w:tcPr>
            <w:tcW w:w="3413" w:type="dxa"/>
            <w:vAlign w:val="center"/>
          </w:tcPr>
          <w:p>
            <w:pPr>
              <w:rPr>
                <w:rFonts w:asciiTheme="minorEastAsia" w:hAnsiTheme="minorEastAsia" w:eastAsiaTheme="minorEastAsia" w:cstheme="minorEastAsia"/>
                <w:spacing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Align w:val="center"/>
          </w:tcPr>
          <w:p>
            <w:pPr>
              <w:jc w:val="center"/>
              <w:rPr>
                <w:rFonts w:asciiTheme="minorEastAsia" w:hAnsiTheme="minorEastAsia" w:eastAsiaTheme="minorEastAsia" w:cstheme="minorEastAsia"/>
                <w:spacing w:val="2"/>
                <w:sz w:val="24"/>
                <w:szCs w:val="20"/>
              </w:rPr>
            </w:pPr>
            <w:r>
              <w:rPr>
                <w:rFonts w:hint="eastAsia" w:asciiTheme="minorEastAsia" w:hAnsiTheme="minorEastAsia" w:eastAsiaTheme="minorEastAsia" w:cstheme="minorEastAsia"/>
                <w:spacing w:val="2"/>
                <w:sz w:val="24"/>
                <w:szCs w:val="20"/>
              </w:rPr>
              <w:t>2</w:t>
            </w:r>
          </w:p>
        </w:tc>
        <w:tc>
          <w:tcPr>
            <w:tcW w:w="5033" w:type="dxa"/>
            <w:vAlign w:val="center"/>
          </w:tcPr>
          <w:p>
            <w:pPr>
              <w:adjustRightInd w:val="0"/>
              <w:snapToGrid w:val="0"/>
              <w:spacing w:line="360" w:lineRule="auto"/>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6"/>
                <w:sz w:val="24"/>
              </w:rPr>
              <w:t>付款方式：</w:t>
            </w:r>
            <w:r>
              <w:rPr>
                <w:rFonts w:hint="eastAsia" w:asciiTheme="minorEastAsia" w:hAnsiTheme="minorEastAsia" w:eastAsiaTheme="minorEastAsia" w:cstheme="minorEastAsia"/>
                <w:kern w:val="0"/>
                <w:sz w:val="24"/>
                <w:szCs w:val="20"/>
                <w:lang w:val="en-US" w:eastAsia="zh-CN" w:bidi="ar-SA"/>
              </w:rPr>
              <w:t>合同中约定。</w:t>
            </w:r>
          </w:p>
        </w:tc>
        <w:tc>
          <w:tcPr>
            <w:tcW w:w="3413" w:type="dxa"/>
            <w:vAlign w:val="center"/>
          </w:tcPr>
          <w:p>
            <w:pPr>
              <w:rPr>
                <w:rFonts w:asciiTheme="minorEastAsia" w:hAnsiTheme="minorEastAsia" w:eastAsiaTheme="minorEastAsia" w:cstheme="minorEastAsia"/>
                <w:spacing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Align w:val="center"/>
          </w:tcPr>
          <w:p>
            <w:pPr>
              <w:jc w:val="center"/>
              <w:rPr>
                <w:rFonts w:hint="eastAsia" w:asciiTheme="minorEastAsia" w:hAnsiTheme="minorEastAsia" w:eastAsiaTheme="minorEastAsia" w:cstheme="minorEastAsia"/>
                <w:spacing w:val="2"/>
                <w:sz w:val="24"/>
                <w:szCs w:val="20"/>
                <w:lang w:eastAsia="zh-CN"/>
              </w:rPr>
            </w:pPr>
            <w:r>
              <w:rPr>
                <w:rFonts w:hint="eastAsia" w:asciiTheme="minorEastAsia" w:hAnsiTheme="minorEastAsia" w:eastAsiaTheme="minorEastAsia" w:cstheme="minorEastAsia"/>
                <w:spacing w:val="2"/>
                <w:sz w:val="24"/>
                <w:szCs w:val="20"/>
                <w:lang w:val="en-US" w:eastAsia="zh-CN"/>
              </w:rPr>
              <w:t>3</w:t>
            </w:r>
          </w:p>
        </w:tc>
        <w:tc>
          <w:tcPr>
            <w:tcW w:w="5033" w:type="dxa"/>
            <w:vAlign w:val="center"/>
          </w:tcPr>
          <w:p>
            <w:pPr>
              <w:pStyle w:val="7"/>
              <w:spacing w:line="360" w:lineRule="auto"/>
              <w:ind w:firstLine="0" w:firstLineChars="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kern w:val="0"/>
                <w:sz w:val="24"/>
              </w:rPr>
              <w:t>工期（服务期）：签订合同后3个月内完成</w:t>
            </w:r>
          </w:p>
        </w:tc>
        <w:tc>
          <w:tcPr>
            <w:tcW w:w="3413" w:type="dxa"/>
            <w:vAlign w:val="center"/>
          </w:tcPr>
          <w:p>
            <w:pPr>
              <w:rPr>
                <w:rFonts w:asciiTheme="minorEastAsia" w:hAnsiTheme="minorEastAsia" w:eastAsiaTheme="minorEastAsia" w:cstheme="minorEastAsia"/>
                <w:spacing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Align w:val="center"/>
          </w:tcPr>
          <w:p>
            <w:pPr>
              <w:jc w:val="center"/>
              <w:rPr>
                <w:rFonts w:hint="eastAsia" w:asciiTheme="minorEastAsia" w:hAnsiTheme="minorEastAsia" w:eastAsiaTheme="minorEastAsia" w:cstheme="minorEastAsia"/>
                <w:spacing w:val="2"/>
                <w:sz w:val="24"/>
                <w:szCs w:val="20"/>
                <w:lang w:eastAsia="zh-CN"/>
              </w:rPr>
            </w:pPr>
            <w:r>
              <w:rPr>
                <w:rFonts w:hint="eastAsia" w:asciiTheme="minorEastAsia" w:hAnsiTheme="minorEastAsia" w:eastAsiaTheme="minorEastAsia" w:cstheme="minorEastAsia"/>
                <w:spacing w:val="2"/>
                <w:sz w:val="24"/>
                <w:szCs w:val="20"/>
                <w:lang w:val="en-US" w:eastAsia="zh-CN"/>
              </w:rPr>
              <w:t>4</w:t>
            </w:r>
          </w:p>
        </w:tc>
        <w:tc>
          <w:tcPr>
            <w:tcW w:w="5033" w:type="dxa"/>
            <w:vAlign w:val="center"/>
          </w:tcPr>
          <w:p>
            <w:pPr>
              <w:pStyle w:val="2"/>
              <w:ind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其他条款</w:t>
            </w:r>
          </w:p>
        </w:tc>
        <w:tc>
          <w:tcPr>
            <w:tcW w:w="3413" w:type="dxa"/>
            <w:vAlign w:val="center"/>
          </w:tcPr>
          <w:p>
            <w:pPr>
              <w:rPr>
                <w:rFonts w:asciiTheme="minorEastAsia" w:hAnsiTheme="minorEastAsia" w:eastAsiaTheme="minorEastAsia" w:cstheme="minorEastAsia"/>
                <w:spacing w:val="2"/>
                <w:sz w:val="24"/>
                <w:szCs w:val="20"/>
              </w:rPr>
            </w:pPr>
          </w:p>
        </w:tc>
      </w:tr>
    </w:tbl>
    <w:p>
      <w:pPr>
        <w:pStyle w:val="2"/>
        <w:ind w:firstLine="488"/>
        <w:rPr>
          <w:rFonts w:asciiTheme="minorEastAsia" w:hAnsiTheme="minorEastAsia" w:eastAsiaTheme="minorEastAsia" w:cstheme="minorEastAsia"/>
        </w:rPr>
      </w:pPr>
      <w:r>
        <w:rPr>
          <w:rFonts w:hint="eastAsia" w:asciiTheme="minorEastAsia" w:hAnsiTheme="minorEastAsia" w:eastAsiaTheme="minorEastAsia" w:cstheme="minorEastAsia"/>
        </w:rPr>
        <w:t>供应商对商务（合同）主要条款只能完全响应或更有利于采购人的响应，不能有负偏离的响应，否则为无效投标。</w:t>
      </w:r>
    </w:p>
    <w:p>
      <w:pPr>
        <w:pStyle w:val="2"/>
        <w:spacing w:line="360" w:lineRule="auto"/>
        <w:ind w:firstLine="610"/>
        <w:rPr>
          <w:rFonts w:asciiTheme="minorEastAsia" w:hAnsiTheme="minorEastAsia" w:eastAsiaTheme="minorEastAsia" w:cstheme="minorEastAsia"/>
          <w:b/>
          <w:sz w:val="30"/>
          <w:szCs w:val="30"/>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供应商名称（加盖公章)：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供应商代表：（签字或盖章）</w:t>
      </w:r>
    </w:p>
    <w:p>
      <w:pPr>
        <w:spacing w:line="360" w:lineRule="auto"/>
        <w:rPr>
          <w:rFonts w:asciiTheme="minorEastAsia" w:hAnsiTheme="minorEastAsia" w:eastAsiaTheme="minorEastAsia" w:cstheme="minorEastAsia"/>
          <w:sz w:val="24"/>
        </w:rPr>
      </w:pPr>
    </w:p>
    <w:p>
      <w:pPr>
        <w:pStyle w:val="2"/>
        <w:spacing w:line="360" w:lineRule="auto"/>
        <w:ind w:firstLine="488"/>
        <w:rPr>
          <w:rFonts w:asciiTheme="minorEastAsia" w:hAnsiTheme="minorEastAsia" w:eastAsiaTheme="minorEastAsia" w:cstheme="minorEastAsia"/>
          <w:sz w:val="28"/>
        </w:rPr>
      </w:pPr>
      <w:r>
        <w:rPr>
          <w:rFonts w:hint="eastAsia" w:asciiTheme="minorEastAsia" w:hAnsiTheme="minorEastAsia" w:eastAsiaTheme="minorEastAsia" w:cstheme="minorEastAsia"/>
          <w:szCs w:val="24"/>
        </w:rPr>
        <w:t xml:space="preserve">                                      年     月     日</w:t>
      </w:r>
    </w:p>
    <w:p>
      <w:pPr>
        <w:pStyle w:val="52"/>
        <w:spacing w:line="520" w:lineRule="exact"/>
        <w:ind w:firstLine="0"/>
        <w:jc w:val="center"/>
        <w:rPr>
          <w:rFonts w:asciiTheme="minorEastAsia" w:hAnsiTheme="minorEastAsia" w:eastAsiaTheme="minorEastAsia" w:cstheme="minorEastAsia"/>
          <w:sz w:val="24"/>
        </w:rPr>
      </w:pPr>
    </w:p>
    <w:p>
      <w:pPr>
        <w:pStyle w:val="52"/>
        <w:spacing w:line="520" w:lineRule="exact"/>
        <w:ind w:firstLine="0"/>
        <w:jc w:val="center"/>
        <w:rPr>
          <w:rFonts w:asciiTheme="minorEastAsia" w:hAnsiTheme="minorEastAsia" w:eastAsiaTheme="minorEastAsia" w:cstheme="minorEastAsia"/>
          <w:sz w:val="24"/>
        </w:rPr>
      </w:pPr>
    </w:p>
    <w:p>
      <w:pPr>
        <w:pStyle w:val="16"/>
        <w:jc w:val="center"/>
        <w:rPr>
          <w:rFonts w:asciiTheme="minorEastAsia" w:hAnsiTheme="minorEastAsia" w:eastAsiaTheme="minorEastAsia" w:cstheme="minorEastAsia"/>
          <w:sz w:val="28"/>
          <w:szCs w:val="28"/>
        </w:rPr>
      </w:pPr>
    </w:p>
    <w:p>
      <w:pPr>
        <w:pStyle w:val="16"/>
        <w:jc w:val="cente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4"/>
          <w:szCs w:val="20"/>
        </w:rPr>
      </w:pPr>
    </w:p>
    <w:p>
      <w:pPr>
        <w:pStyle w:val="2"/>
        <w:ind w:firstLine="488"/>
        <w:rPr>
          <w:rFonts w:asciiTheme="minorEastAsia" w:hAnsiTheme="minorEastAsia" w:eastAsiaTheme="minorEastAsia" w:cstheme="minorEastAsia"/>
        </w:rPr>
      </w:pPr>
    </w:p>
    <w:p>
      <w:pPr>
        <w:pStyle w:val="2"/>
        <w:ind w:firstLine="488"/>
        <w:rPr>
          <w:rFonts w:asciiTheme="minorEastAsia" w:hAnsiTheme="minorEastAsia" w:eastAsiaTheme="minorEastAsia" w:cstheme="minorEastAsia"/>
        </w:rPr>
      </w:pPr>
    </w:p>
    <w:p>
      <w:pPr>
        <w:pStyle w:val="2"/>
        <w:ind w:firstLine="488"/>
        <w:rPr>
          <w:rFonts w:asciiTheme="minorEastAsia" w:hAnsiTheme="minorEastAsia" w:eastAsiaTheme="minorEastAsia" w:cstheme="minorEastAsia"/>
        </w:rPr>
      </w:pPr>
    </w:p>
    <w:p>
      <w:pPr>
        <w:pStyle w:val="2"/>
        <w:ind w:firstLine="488"/>
        <w:rPr>
          <w:rFonts w:asciiTheme="minorEastAsia" w:hAnsiTheme="minorEastAsia" w:eastAsiaTheme="minorEastAsia" w:cstheme="minorEastAsia"/>
        </w:rPr>
      </w:pPr>
    </w:p>
    <w:p>
      <w:pPr>
        <w:pStyle w:val="52"/>
        <w:spacing w:line="520" w:lineRule="exact"/>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8"/>
        </w:rPr>
        <w:br w:type="page"/>
      </w:r>
    </w:p>
    <w:p>
      <w:pPr>
        <w:pStyle w:val="52"/>
        <w:spacing w:line="520" w:lineRule="exact"/>
        <w:ind w:firstLine="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w:t>
      </w:r>
      <w:bookmarkEnd w:id="226"/>
      <w:bookmarkStart w:id="254" w:name="_Toc132713641"/>
      <w:r>
        <w:rPr>
          <w:rFonts w:hint="eastAsia" w:asciiTheme="minorEastAsia" w:hAnsiTheme="minorEastAsia" w:eastAsiaTheme="minorEastAsia" w:cstheme="minorEastAsia"/>
          <w:b/>
          <w:sz w:val="30"/>
          <w:szCs w:val="30"/>
        </w:rPr>
        <w:t>、报价一览表</w:t>
      </w:r>
      <w:bookmarkEnd w:id="227"/>
      <w:bookmarkEnd w:id="228"/>
      <w:bookmarkEnd w:id="229"/>
      <w:bookmarkEnd w:id="254"/>
    </w:p>
    <w:p>
      <w:pPr>
        <w:spacing w:line="360" w:lineRule="auto"/>
        <w:rPr>
          <w:rFonts w:asciiTheme="minorEastAsia" w:hAnsiTheme="minorEastAsia" w:eastAsiaTheme="minorEastAsia" w:cstheme="minorEastAsia"/>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233" w:type="dxa"/>
            <w:tcMar>
              <w:top w:w="15" w:type="dxa"/>
              <w:left w:w="15" w:type="dxa"/>
              <w:bottom w:w="0" w:type="dxa"/>
              <w:right w:w="15" w:type="dxa"/>
            </w:tcMar>
            <w:vAlign w:val="bottom"/>
          </w:tcPr>
          <w:p>
            <w:pPr>
              <w:spacing w:line="360" w:lineRule="auto"/>
              <w:ind w:right="-19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供应商名称</w:t>
            </w:r>
          </w:p>
        </w:tc>
        <w:tc>
          <w:tcPr>
            <w:tcW w:w="6373" w:type="dxa"/>
            <w:vAlign w:val="bottom"/>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233" w:type="dxa"/>
            <w:tcMar>
              <w:top w:w="15" w:type="dxa"/>
              <w:left w:w="15" w:type="dxa"/>
              <w:bottom w:w="0" w:type="dxa"/>
              <w:right w:w="15" w:type="dxa"/>
            </w:tcMar>
            <w:vAlign w:val="bottom"/>
          </w:tcPr>
          <w:p>
            <w:pPr>
              <w:spacing w:line="360" w:lineRule="auto"/>
              <w:ind w:right="-195"/>
              <w:rPr>
                <w:rStyle w:val="58"/>
                <w:rFonts w:asciiTheme="minorEastAsia" w:hAnsiTheme="minorEastAsia" w:eastAsiaTheme="minorEastAsia" w:cstheme="minorEastAsia"/>
                <w:b/>
                <w:bCs/>
              </w:rPr>
            </w:pPr>
            <w:r>
              <w:rPr>
                <w:rStyle w:val="58"/>
                <w:rFonts w:hint="eastAsia" w:asciiTheme="minorEastAsia" w:hAnsiTheme="minorEastAsia" w:eastAsiaTheme="minorEastAsia" w:cstheme="minorEastAsia"/>
                <w:b/>
                <w:bCs/>
              </w:rPr>
              <w:t>项目名称</w:t>
            </w:r>
          </w:p>
        </w:tc>
        <w:tc>
          <w:tcPr>
            <w:tcW w:w="6373" w:type="dxa"/>
            <w:vAlign w:val="bottom"/>
          </w:tcPr>
          <w:p>
            <w:pPr>
              <w:spacing w:line="360" w:lineRule="auto"/>
              <w:ind w:right="-195"/>
              <w:rPr>
                <w:rStyle w:val="58"/>
                <w:rFonts w:asciiTheme="minorEastAsia" w:hAnsiTheme="minorEastAsia" w:eastAsiaTheme="minorEastAsia" w:cs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233" w:type="dxa"/>
            <w:tcMar>
              <w:top w:w="15" w:type="dxa"/>
              <w:left w:w="15" w:type="dxa"/>
              <w:bottom w:w="0" w:type="dxa"/>
              <w:right w:w="15" w:type="dxa"/>
            </w:tcMar>
            <w:vAlign w:val="bottom"/>
          </w:tcPr>
          <w:p>
            <w:pPr>
              <w:spacing w:line="360" w:lineRule="auto"/>
              <w:ind w:right="-195"/>
              <w:rPr>
                <w:rStyle w:val="58"/>
                <w:rFonts w:asciiTheme="minorEastAsia" w:hAnsiTheme="minorEastAsia" w:eastAsiaTheme="minorEastAsia" w:cstheme="minorEastAsia"/>
                <w:b/>
                <w:bCs/>
              </w:rPr>
            </w:pPr>
            <w:r>
              <w:rPr>
                <w:rStyle w:val="58"/>
                <w:rFonts w:hint="eastAsia" w:asciiTheme="minorEastAsia" w:hAnsiTheme="minorEastAsia" w:eastAsiaTheme="minorEastAsia" w:cstheme="minorEastAsia"/>
                <w:b/>
                <w:bCs/>
              </w:rPr>
              <w:t>招标编号</w:t>
            </w:r>
          </w:p>
        </w:tc>
        <w:tc>
          <w:tcPr>
            <w:tcW w:w="6373" w:type="dxa"/>
            <w:vAlign w:val="bottom"/>
          </w:tcPr>
          <w:p>
            <w:pPr>
              <w:spacing w:line="360" w:lineRule="auto"/>
              <w:ind w:right="-195"/>
              <w:rPr>
                <w:rStyle w:val="58"/>
                <w:rFonts w:asciiTheme="minorEastAsia" w:hAnsiTheme="minorEastAsia" w:eastAsiaTheme="minorEastAsia" w:cs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2233" w:type="dxa"/>
            <w:tcMar>
              <w:top w:w="15" w:type="dxa"/>
              <w:left w:w="15" w:type="dxa"/>
              <w:bottom w:w="0" w:type="dxa"/>
              <w:right w:w="15" w:type="dxa"/>
            </w:tcMar>
            <w:vAlign w:val="center"/>
          </w:tcPr>
          <w:p>
            <w:pPr>
              <w:spacing w:line="360" w:lineRule="auto"/>
              <w:ind w:right="-19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谈判总报价</w:t>
            </w:r>
          </w:p>
        </w:tc>
        <w:tc>
          <w:tcPr>
            <w:tcW w:w="6373" w:type="dxa"/>
            <w:vAlign w:val="bottom"/>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pPr>
              <w:pStyle w:val="32"/>
              <w:rPr>
                <w:rFonts w:asciiTheme="minorEastAsia" w:hAnsiTheme="minorEastAsia" w:eastAsiaTheme="minorEastAsia" w:cstheme="minorEastAsia"/>
                <w:color w:val="auto"/>
              </w:rPr>
            </w:pP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233" w:type="dxa"/>
            <w:tcMar>
              <w:top w:w="15" w:type="dxa"/>
              <w:left w:w="15" w:type="dxa"/>
              <w:bottom w:w="0" w:type="dxa"/>
              <w:right w:w="15" w:type="dxa"/>
            </w:tcMar>
            <w:vAlign w:val="center"/>
          </w:tcPr>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其他声明</w:t>
            </w:r>
          </w:p>
        </w:tc>
        <w:tc>
          <w:tcPr>
            <w:tcW w:w="6373" w:type="dxa"/>
            <w:vAlign w:val="bottom"/>
          </w:tcPr>
          <w:p>
            <w:pPr>
              <w:spacing w:line="360" w:lineRule="auto"/>
              <w:rPr>
                <w:rFonts w:asciiTheme="minorEastAsia" w:hAnsiTheme="minorEastAsia" w:eastAsiaTheme="minorEastAsia" w:cstheme="minorEastAsia"/>
                <w:sz w:val="24"/>
              </w:rPr>
            </w:pPr>
          </w:p>
        </w:tc>
      </w:tr>
    </w:tbl>
    <w:p>
      <w:pPr>
        <w:pStyle w:val="7"/>
        <w:spacing w:line="360" w:lineRule="auto"/>
        <w:ind w:firstLine="480"/>
        <w:rPr>
          <w:rFonts w:asciiTheme="minorEastAsia" w:hAnsiTheme="minorEastAsia" w:eastAsiaTheme="minorEastAsia" w:cstheme="minorEastAsia"/>
          <w:sz w:val="24"/>
          <w:szCs w:val="24"/>
        </w:rPr>
      </w:pPr>
    </w:p>
    <w:p>
      <w:pPr>
        <w:pStyle w:val="7"/>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供应商授权代表签字：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供应商（加盖公章）：</w:t>
      </w:r>
    </w:p>
    <w:p>
      <w:pPr>
        <w:autoSpaceDE w:val="0"/>
        <w:autoSpaceDN w:val="0"/>
        <w:adjustRightInd w:val="0"/>
        <w:spacing w:line="360" w:lineRule="auto"/>
        <w:jc w:val="center"/>
        <w:rPr>
          <w:rFonts w:asciiTheme="minorEastAsia" w:hAnsiTheme="minorEastAsia" w:eastAsiaTheme="minorEastAsia" w:cstheme="minorEastAsia"/>
          <w:sz w:val="24"/>
        </w:rPr>
        <w:sectPr>
          <w:footerReference r:id="rId9" w:type="first"/>
          <w:footerReference r:id="rId8" w:type="default"/>
          <w:pgSz w:w="11906" w:h="16838"/>
          <w:pgMar w:top="1134" w:right="1134" w:bottom="1134" w:left="1418" w:header="851" w:footer="992" w:gutter="0"/>
          <w:pgNumType w:start="1"/>
          <w:cols w:space="720" w:num="1"/>
          <w:docGrid w:type="lines" w:linePitch="312" w:charSpace="0"/>
        </w:sectPr>
      </w:pPr>
    </w:p>
    <w:p>
      <w:pPr>
        <w:pStyle w:val="52"/>
        <w:spacing w:line="520" w:lineRule="exact"/>
        <w:ind w:firstLine="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四、分项报价一览表</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                                                  单位：人民币元</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3060" w:type="dxa"/>
            <w:vAlign w:val="center"/>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分项名称</w:t>
            </w:r>
          </w:p>
        </w:tc>
        <w:tc>
          <w:tcPr>
            <w:tcW w:w="1440" w:type="dxa"/>
            <w:vAlign w:val="center"/>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费用</w:t>
            </w:r>
          </w:p>
        </w:tc>
        <w:tc>
          <w:tcPr>
            <w:tcW w:w="1440" w:type="dxa"/>
            <w:vAlign w:val="center"/>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税费</w:t>
            </w:r>
          </w:p>
        </w:tc>
        <w:tc>
          <w:tcPr>
            <w:tcW w:w="1980" w:type="dxa"/>
            <w:vAlign w:val="center"/>
          </w:tcPr>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Theme="minorEastAsia" w:hAnsiTheme="minorEastAsia" w:eastAsiaTheme="minorEastAsia" w:cstheme="minorEastAsia"/>
                <w:sz w:val="24"/>
              </w:rPr>
            </w:pPr>
          </w:p>
        </w:tc>
        <w:tc>
          <w:tcPr>
            <w:tcW w:w="306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440" w:type="dxa"/>
          </w:tcPr>
          <w:p>
            <w:pPr>
              <w:spacing w:line="360" w:lineRule="auto"/>
              <w:rPr>
                <w:rFonts w:asciiTheme="minorEastAsia" w:hAnsiTheme="minorEastAsia" w:eastAsiaTheme="minorEastAsia" w:cstheme="minorEastAsia"/>
                <w:sz w:val="24"/>
              </w:rPr>
            </w:pPr>
          </w:p>
        </w:tc>
        <w:tc>
          <w:tcPr>
            <w:tcW w:w="1980"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gridSpan w:val="2"/>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总计</w:t>
            </w:r>
          </w:p>
        </w:tc>
        <w:tc>
          <w:tcPr>
            <w:tcW w:w="4860" w:type="dxa"/>
            <w:gridSpan w:val="3"/>
          </w:tcPr>
          <w:p>
            <w:pPr>
              <w:spacing w:line="360" w:lineRule="auto"/>
              <w:rPr>
                <w:rFonts w:asciiTheme="minorEastAsia" w:hAnsiTheme="minorEastAsia" w:eastAsiaTheme="minorEastAsia" w:cstheme="minorEastAsia"/>
                <w:sz w:val="24"/>
              </w:rPr>
            </w:pPr>
          </w:p>
        </w:tc>
      </w:tr>
    </w:tbl>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备注：本表可视项目情况由供应商自行修改，但需将本项目总报价各项分项报价进行详细报价并说明，如人员费用，交通费用，各项服务费用标准等。</w:t>
      </w:r>
    </w:p>
    <w:p>
      <w:pPr>
        <w:spacing w:line="360" w:lineRule="auto"/>
        <w:rPr>
          <w:rFonts w:asciiTheme="minorEastAsia" w:hAnsiTheme="minorEastAsia" w:eastAsiaTheme="minorEastAsia" w:cstheme="minorEastAsia"/>
          <w:bCs/>
          <w:sz w:val="24"/>
        </w:rPr>
      </w:pP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供应商授权代表签字：</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供应商（加盖公章）：</w:t>
      </w:r>
      <w:r>
        <w:rPr>
          <w:rFonts w:hint="eastAsia" w:asciiTheme="minorEastAsia" w:hAnsiTheme="minorEastAsia" w:eastAsiaTheme="minorEastAsia" w:cstheme="minorEastAsia"/>
          <w:b/>
          <w:sz w:val="24"/>
        </w:rPr>
        <w:t xml:space="preserve">                      </w:t>
      </w:r>
    </w:p>
    <w:p>
      <w:pPr>
        <w:jc w:val="center"/>
        <w:rPr>
          <w:rFonts w:ascii="宋体" w:hAnsi="宋体" w:cs="宋体"/>
          <w:b/>
          <w:bCs/>
          <w:color w:val="000000"/>
          <w:sz w:val="32"/>
          <w:szCs w:val="32"/>
        </w:rPr>
      </w:pPr>
      <w:r>
        <w:rPr>
          <w:rFonts w:hint="eastAsia" w:asciiTheme="minorEastAsia" w:hAnsiTheme="minorEastAsia" w:eastAsiaTheme="minorEastAsia" w:cstheme="minorEastAsia"/>
          <w:sz w:val="24"/>
        </w:rPr>
        <w:br w:type="page"/>
      </w:r>
      <w:bookmarkStart w:id="255" w:name="_Toc224493119"/>
      <w:bookmarkStart w:id="256" w:name="_Toc259099796"/>
      <w:r>
        <w:rPr>
          <w:rFonts w:hint="eastAsia" w:asciiTheme="minorEastAsia" w:hAnsiTheme="minorEastAsia" w:eastAsiaTheme="minorEastAsia" w:cstheme="minorEastAsia"/>
          <w:b/>
          <w:kern w:val="0"/>
          <w:sz w:val="30"/>
          <w:szCs w:val="30"/>
        </w:rPr>
        <w:t>五、</w:t>
      </w:r>
      <w:r>
        <w:rPr>
          <w:rFonts w:hint="eastAsia" w:ascii="宋体" w:hAnsi="宋体" w:cs="宋体"/>
          <w:b/>
          <w:color w:val="000000"/>
          <w:sz w:val="32"/>
          <w:szCs w:val="32"/>
        </w:rPr>
        <w:t>服务</w:t>
      </w:r>
      <w:r>
        <w:rPr>
          <w:rFonts w:hint="eastAsia" w:ascii="宋体" w:hAnsi="宋体" w:cs="宋体"/>
          <w:b/>
          <w:bCs/>
          <w:color w:val="000000"/>
          <w:sz w:val="32"/>
          <w:szCs w:val="32"/>
        </w:rPr>
        <w:t>方案</w:t>
      </w:r>
    </w:p>
    <w:p>
      <w:pPr>
        <w:pStyle w:val="2"/>
        <w:ind w:left="840" w:leftChars="400" w:firstLine="0" w:firstLineChars="0"/>
        <w:rPr>
          <w:rFonts w:ascii="宋体" w:hAnsi="宋体" w:cs="宋体"/>
          <w:color w:val="000000"/>
        </w:rPr>
      </w:pPr>
    </w:p>
    <w:p>
      <w:pPr>
        <w:autoSpaceDE w:val="0"/>
        <w:autoSpaceDN w:val="0"/>
        <w:adjustRightInd w:val="0"/>
        <w:spacing w:line="360" w:lineRule="auto"/>
        <w:jc w:val="center"/>
        <w:rPr>
          <w:rFonts w:ascii="宋体" w:hAnsi="宋体" w:cs="宋体"/>
          <w:color w:val="000000"/>
          <w:sz w:val="24"/>
        </w:rPr>
      </w:pPr>
      <w:r>
        <w:rPr>
          <w:rFonts w:hint="eastAsia" w:ascii="宋体" w:hAnsi="宋体" w:cs="宋体"/>
          <w:color w:val="000000"/>
          <w:sz w:val="24"/>
        </w:rPr>
        <w:t>根据招标人对该项目需求，供应商进行方案描述，格式自拟。</w:t>
      </w:r>
    </w:p>
    <w:p>
      <w:pPr>
        <w:ind w:firstLine="643" w:firstLineChars="200"/>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jc w:val="center"/>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pPr>
        <w:pStyle w:val="2"/>
        <w:ind w:firstLine="651"/>
        <w:rPr>
          <w:rFonts w:asciiTheme="minorEastAsia" w:hAnsiTheme="minorEastAsia" w:eastAsiaTheme="minorEastAsia" w:cstheme="minorEastAsia"/>
          <w:b/>
          <w:sz w:val="32"/>
          <w:szCs w:val="32"/>
        </w:rPr>
      </w:pPr>
    </w:p>
    <w:p>
      <w:pPr>
        <w:pStyle w:val="2"/>
        <w:ind w:firstLine="651"/>
        <w:rPr>
          <w:rFonts w:asciiTheme="minorEastAsia" w:hAnsiTheme="minorEastAsia" w:eastAsiaTheme="minorEastAsia" w:cstheme="minorEastAsia"/>
          <w:b/>
          <w:sz w:val="32"/>
          <w:szCs w:val="32"/>
        </w:rPr>
      </w:pPr>
    </w:p>
    <w:p>
      <w:pPr>
        <w:tabs>
          <w:tab w:val="left" w:pos="420"/>
        </w:tabs>
        <w:spacing w:line="360" w:lineRule="auto"/>
        <w:jc w:val="center"/>
        <w:rPr>
          <w:rFonts w:ascii="宋体" w:hAnsi="宋体" w:cs="宋体"/>
          <w:b/>
          <w:color w:val="000000"/>
          <w:sz w:val="36"/>
          <w:szCs w:val="36"/>
        </w:rPr>
      </w:pPr>
      <w:r>
        <w:rPr>
          <w:rFonts w:hint="eastAsia" w:ascii="宋体" w:hAnsi="宋体" w:cs="宋体"/>
          <w:b/>
          <w:color w:val="000000"/>
          <w:sz w:val="36"/>
          <w:szCs w:val="36"/>
        </w:rPr>
        <w:t>六、拟投入本项目人员情况</w:t>
      </w:r>
    </w:p>
    <w:p>
      <w:pPr>
        <w:tabs>
          <w:tab w:val="left" w:pos="420"/>
        </w:tabs>
        <w:spacing w:line="360" w:lineRule="auto"/>
        <w:jc w:val="center"/>
        <w:rPr>
          <w:rFonts w:ascii="宋体" w:hAnsi="宋体" w:cs="宋体"/>
          <w:b/>
          <w:color w:val="000000"/>
          <w:sz w:val="36"/>
          <w:szCs w:val="36"/>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3413"/>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550"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人员姓名</w:t>
            </w:r>
          </w:p>
        </w:tc>
        <w:tc>
          <w:tcPr>
            <w:tcW w:w="3413"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职责</w:t>
            </w:r>
          </w:p>
        </w:tc>
        <w:tc>
          <w:tcPr>
            <w:tcW w:w="3228"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2550" w:type="dxa"/>
            <w:vAlign w:val="center"/>
          </w:tcPr>
          <w:p>
            <w:pPr>
              <w:tabs>
                <w:tab w:val="left" w:pos="420"/>
              </w:tabs>
              <w:jc w:val="center"/>
              <w:rPr>
                <w:rFonts w:ascii="宋体" w:hAnsi="宋体" w:cs="宋体"/>
                <w:color w:val="000000"/>
                <w:sz w:val="24"/>
              </w:rPr>
            </w:pPr>
          </w:p>
        </w:tc>
        <w:tc>
          <w:tcPr>
            <w:tcW w:w="3413" w:type="dxa"/>
            <w:vAlign w:val="center"/>
          </w:tcPr>
          <w:p>
            <w:pPr>
              <w:tabs>
                <w:tab w:val="left" w:pos="420"/>
              </w:tabs>
              <w:jc w:val="center"/>
              <w:rPr>
                <w:rFonts w:ascii="宋体" w:hAnsi="宋体" w:cs="宋体"/>
                <w:color w:val="000000"/>
                <w:sz w:val="24"/>
              </w:rPr>
            </w:pPr>
          </w:p>
        </w:tc>
        <w:tc>
          <w:tcPr>
            <w:tcW w:w="3228" w:type="dxa"/>
            <w:vAlign w:val="center"/>
          </w:tcPr>
          <w:p>
            <w:pPr>
              <w:tabs>
                <w:tab w:val="left" w:pos="420"/>
              </w:tabs>
              <w:jc w:val="center"/>
              <w:rPr>
                <w:rFonts w:ascii="宋体" w:hAnsi="宋体" w:cs="宋体"/>
                <w:color w:val="000000"/>
                <w:sz w:val="24"/>
              </w:rPr>
            </w:pPr>
          </w:p>
        </w:tc>
      </w:tr>
    </w:tbl>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供应商授权代表签字：                   </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供应商（加盖公章）：</w:t>
      </w:r>
      <w:r>
        <w:rPr>
          <w:rFonts w:hint="eastAsia" w:asciiTheme="minorEastAsia" w:hAnsiTheme="minorEastAsia" w:eastAsiaTheme="minorEastAsia" w:cstheme="minorEastAsia"/>
          <w:b/>
          <w:sz w:val="24"/>
        </w:rPr>
        <w:t xml:space="preserve">    </w:t>
      </w:r>
    </w:p>
    <w:p>
      <w:pPr>
        <w:autoSpaceDE w:val="0"/>
        <w:autoSpaceDN w:val="0"/>
        <w:adjustRightInd w:val="0"/>
        <w:spacing w:line="360" w:lineRule="auto"/>
        <w:rPr>
          <w:rFonts w:ascii="宋体" w:hAnsi="宋体" w:cs="宋体"/>
          <w:bCs/>
          <w:color w:val="000000"/>
          <w:kern w:val="0"/>
          <w:sz w:val="24"/>
        </w:rPr>
      </w:pPr>
      <w:r>
        <w:rPr>
          <w:rFonts w:hint="eastAsia" w:ascii="宋体" w:hAnsi="宋体" w:cs="宋体"/>
          <w:bCs/>
          <w:color w:val="000000"/>
          <w:kern w:val="0"/>
          <w:sz w:val="24"/>
        </w:rPr>
        <w:t>日期：</w:t>
      </w:r>
    </w:p>
    <w:p>
      <w:pPr>
        <w:tabs>
          <w:tab w:val="left" w:pos="420"/>
        </w:tabs>
        <w:spacing w:line="360" w:lineRule="auto"/>
        <w:jc w:val="center"/>
        <w:rPr>
          <w:rFonts w:ascii="宋体" w:hAnsi="宋体" w:cs="宋体"/>
          <w:b/>
          <w:color w:val="000000"/>
          <w:sz w:val="36"/>
          <w:szCs w:val="36"/>
        </w:rPr>
      </w:pPr>
    </w:p>
    <w:p>
      <w:pPr>
        <w:tabs>
          <w:tab w:val="left" w:pos="420"/>
        </w:tabs>
        <w:spacing w:line="360" w:lineRule="auto"/>
        <w:jc w:val="center"/>
        <w:rPr>
          <w:rFonts w:ascii="宋体" w:hAnsi="宋体" w:cs="宋体"/>
          <w:b/>
          <w:color w:val="000000"/>
          <w:sz w:val="36"/>
          <w:szCs w:val="36"/>
        </w:rPr>
      </w:pPr>
    </w:p>
    <w:p>
      <w:pPr>
        <w:tabs>
          <w:tab w:val="left" w:pos="420"/>
        </w:tabs>
        <w:spacing w:line="360" w:lineRule="auto"/>
        <w:jc w:val="center"/>
        <w:rPr>
          <w:rFonts w:ascii="宋体" w:hAnsi="宋体" w:cs="宋体"/>
          <w:b/>
          <w:color w:val="000000"/>
          <w:sz w:val="36"/>
          <w:szCs w:val="36"/>
        </w:rPr>
      </w:pPr>
    </w:p>
    <w:p>
      <w:pPr>
        <w:rPr>
          <w:rFonts w:ascii="宋体" w:hAnsi="宋体" w:cs="宋体"/>
          <w:b/>
          <w:color w:val="000000"/>
          <w:sz w:val="36"/>
          <w:szCs w:val="36"/>
        </w:rPr>
      </w:pPr>
      <w:r>
        <w:rPr>
          <w:rFonts w:hint="eastAsia" w:ascii="宋体" w:hAnsi="宋体" w:cs="宋体"/>
          <w:b/>
          <w:color w:val="000000"/>
          <w:sz w:val="36"/>
          <w:szCs w:val="36"/>
        </w:rPr>
        <w:br w:type="page"/>
      </w:r>
    </w:p>
    <w:p>
      <w:pPr>
        <w:pStyle w:val="2"/>
        <w:ind w:firstLine="651"/>
        <w:rPr>
          <w:rFonts w:ascii="宋体" w:hAnsi="宋体" w:cs="宋体"/>
          <w:b/>
          <w:color w:val="000000"/>
          <w:sz w:val="32"/>
          <w:szCs w:val="32"/>
        </w:rPr>
      </w:pPr>
    </w:p>
    <w:p>
      <w:pPr>
        <w:tabs>
          <w:tab w:val="left" w:pos="420"/>
        </w:tabs>
        <w:spacing w:line="360" w:lineRule="auto"/>
        <w:jc w:val="center"/>
        <w:rPr>
          <w:rFonts w:ascii="宋体" w:hAnsi="宋体" w:cs="宋体"/>
          <w:b/>
          <w:color w:val="000000"/>
          <w:sz w:val="32"/>
          <w:szCs w:val="32"/>
        </w:rPr>
      </w:pPr>
      <w:r>
        <w:rPr>
          <w:rFonts w:hint="eastAsia" w:ascii="宋体" w:hAnsi="宋体" w:cs="宋体"/>
          <w:b/>
          <w:color w:val="000000"/>
          <w:sz w:val="32"/>
          <w:szCs w:val="32"/>
        </w:rPr>
        <w:t>七、</w:t>
      </w:r>
      <w:r>
        <w:rPr>
          <w:rFonts w:hint="eastAsia" w:ascii="宋体" w:hAnsi="宋体" w:cs="宋体"/>
          <w:b/>
          <w:color w:val="000000"/>
          <w:kern w:val="0"/>
          <w:sz w:val="32"/>
          <w:szCs w:val="32"/>
        </w:rPr>
        <w:t>类似项目业绩表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780"/>
        <w:gridCol w:w="162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88"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项目名称</w:t>
            </w:r>
          </w:p>
        </w:tc>
        <w:tc>
          <w:tcPr>
            <w:tcW w:w="3780"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项目单位</w:t>
            </w:r>
          </w:p>
        </w:tc>
        <w:tc>
          <w:tcPr>
            <w:tcW w:w="1620"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联系人</w:t>
            </w:r>
          </w:p>
        </w:tc>
        <w:tc>
          <w:tcPr>
            <w:tcW w:w="2310" w:type="dxa"/>
            <w:vAlign w:val="center"/>
          </w:tcPr>
          <w:p>
            <w:pPr>
              <w:tabs>
                <w:tab w:val="left" w:pos="420"/>
              </w:tabs>
              <w:jc w:val="center"/>
              <w:rPr>
                <w:rFonts w:ascii="宋体" w:hAnsi="宋体" w:cs="宋体"/>
                <w:color w:val="000000"/>
                <w:sz w:val="24"/>
              </w:rPr>
            </w:pPr>
            <w:r>
              <w:rPr>
                <w:rFonts w:hint="eastAsia" w:ascii="宋体" w:hAnsi="宋体" w:cs="宋体"/>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188" w:type="dxa"/>
            <w:vAlign w:val="center"/>
          </w:tcPr>
          <w:p>
            <w:pPr>
              <w:tabs>
                <w:tab w:val="left" w:pos="420"/>
              </w:tabs>
              <w:jc w:val="center"/>
              <w:rPr>
                <w:rFonts w:ascii="宋体" w:hAnsi="宋体" w:cs="宋体"/>
                <w:color w:val="000000"/>
                <w:sz w:val="24"/>
              </w:rPr>
            </w:pPr>
          </w:p>
        </w:tc>
        <w:tc>
          <w:tcPr>
            <w:tcW w:w="3780" w:type="dxa"/>
            <w:vAlign w:val="center"/>
          </w:tcPr>
          <w:p>
            <w:pPr>
              <w:tabs>
                <w:tab w:val="left" w:pos="420"/>
              </w:tabs>
              <w:jc w:val="center"/>
              <w:rPr>
                <w:rFonts w:ascii="宋体" w:hAnsi="宋体" w:cs="宋体"/>
                <w:color w:val="000000"/>
                <w:sz w:val="24"/>
              </w:rPr>
            </w:pPr>
          </w:p>
        </w:tc>
        <w:tc>
          <w:tcPr>
            <w:tcW w:w="1620" w:type="dxa"/>
            <w:vAlign w:val="center"/>
          </w:tcPr>
          <w:p>
            <w:pPr>
              <w:tabs>
                <w:tab w:val="left" w:pos="420"/>
              </w:tabs>
              <w:jc w:val="center"/>
              <w:rPr>
                <w:rFonts w:ascii="宋体" w:hAnsi="宋体" w:cs="宋体"/>
                <w:color w:val="000000"/>
                <w:sz w:val="24"/>
              </w:rPr>
            </w:pPr>
          </w:p>
        </w:tc>
        <w:tc>
          <w:tcPr>
            <w:tcW w:w="2310" w:type="dxa"/>
            <w:vAlign w:val="center"/>
          </w:tcPr>
          <w:p>
            <w:pPr>
              <w:tabs>
                <w:tab w:val="left" w:pos="420"/>
              </w:tabs>
              <w:jc w:val="center"/>
              <w:rPr>
                <w:rFonts w:ascii="宋体" w:hAnsi="宋体" w:cs="宋体"/>
                <w:color w:val="000000"/>
                <w:sz w:val="24"/>
              </w:rPr>
            </w:pPr>
          </w:p>
        </w:tc>
      </w:tr>
    </w:tbl>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后附业绩合同复印件</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供应商授权代表签字：                   </w:t>
      </w:r>
    </w:p>
    <w:p>
      <w:pPr>
        <w:autoSpaceDE w:val="0"/>
        <w:autoSpaceDN w:val="0"/>
        <w:adjustRightInd w:val="0"/>
        <w:spacing w:line="360" w:lineRule="auto"/>
        <w:rPr>
          <w:rFonts w:ascii="宋体" w:hAnsi="宋体" w:cs="宋体"/>
          <w:color w:val="000000"/>
          <w:sz w:val="28"/>
          <w:szCs w:val="28"/>
        </w:rPr>
      </w:pPr>
      <w:r>
        <w:rPr>
          <w:rFonts w:hint="eastAsia" w:asciiTheme="minorEastAsia" w:hAnsiTheme="minorEastAsia" w:eastAsiaTheme="minorEastAsia" w:cstheme="minorEastAsia"/>
          <w:bCs/>
          <w:sz w:val="24"/>
        </w:rPr>
        <w:t>供应商（加盖公章）：</w:t>
      </w:r>
      <w:r>
        <w:rPr>
          <w:rFonts w:hint="eastAsia" w:asciiTheme="minorEastAsia" w:hAnsiTheme="minorEastAsia" w:eastAsiaTheme="minorEastAsia" w:cstheme="minorEastAsia"/>
          <w:b/>
          <w:sz w:val="24"/>
        </w:rPr>
        <w:t xml:space="preserve">  </w:t>
      </w:r>
      <w:r>
        <w:rPr>
          <w:rFonts w:hint="eastAsia" w:ascii="宋体" w:hAnsi="宋体" w:cs="宋体"/>
          <w:bCs/>
          <w:color w:val="000000"/>
          <w:kern w:val="0"/>
          <w:sz w:val="24"/>
        </w:rPr>
        <w:t xml:space="preserve">  </w:t>
      </w:r>
      <w:r>
        <w:rPr>
          <w:rFonts w:hint="eastAsia" w:ascii="宋体" w:hAnsi="宋体" w:cs="宋体"/>
          <w:color w:val="000000"/>
          <w:sz w:val="28"/>
          <w:szCs w:val="28"/>
        </w:rPr>
        <w:t xml:space="preserve"> </w:t>
      </w:r>
    </w:p>
    <w:p>
      <w:pPr>
        <w:autoSpaceDE w:val="0"/>
        <w:autoSpaceDN w:val="0"/>
        <w:adjustRightInd w:val="0"/>
        <w:spacing w:line="360" w:lineRule="auto"/>
        <w:rPr>
          <w:rFonts w:ascii="宋体" w:hAnsi="宋体" w:cs="宋体"/>
          <w:bCs/>
          <w:color w:val="000000"/>
          <w:kern w:val="0"/>
          <w:sz w:val="24"/>
        </w:rPr>
      </w:pPr>
      <w:r>
        <w:rPr>
          <w:rFonts w:hint="eastAsia" w:ascii="宋体" w:hAnsi="宋体" w:cs="宋体"/>
          <w:bCs/>
          <w:color w:val="000000"/>
          <w:kern w:val="0"/>
          <w:sz w:val="24"/>
        </w:rPr>
        <w:t>日期：</w:t>
      </w:r>
    </w:p>
    <w:p>
      <w:pPr>
        <w:rPr>
          <w:rFonts w:ascii="宋体" w:hAnsi="宋体" w:cs="宋体"/>
          <w:b/>
          <w:color w:val="000000"/>
          <w:sz w:val="48"/>
        </w:rPr>
      </w:pPr>
    </w:p>
    <w:p>
      <w:pPr>
        <w:rPr>
          <w:rFonts w:ascii="宋体" w:hAnsi="宋体" w:cs="宋体"/>
          <w:b/>
          <w:color w:val="000000"/>
          <w:sz w:val="48"/>
        </w:rPr>
      </w:pPr>
    </w:p>
    <w:p>
      <w:pPr>
        <w:rPr>
          <w:rFonts w:ascii="宋体" w:hAnsi="宋体" w:cs="宋体"/>
          <w:b/>
          <w:color w:val="000000"/>
          <w:sz w:val="48"/>
        </w:rPr>
      </w:pPr>
    </w:p>
    <w:p>
      <w:pPr>
        <w:rPr>
          <w:rFonts w:ascii="宋体" w:hAnsi="宋体" w:cs="宋体"/>
          <w:b/>
          <w:color w:val="000000"/>
          <w:sz w:val="48"/>
        </w:rPr>
      </w:pPr>
    </w:p>
    <w:p>
      <w:pPr>
        <w:rPr>
          <w:rFonts w:ascii="宋体" w:hAnsi="宋体" w:cs="宋体"/>
          <w:b/>
          <w:color w:val="000000"/>
          <w:sz w:val="48"/>
        </w:rPr>
      </w:pPr>
    </w:p>
    <w:p>
      <w:pPr>
        <w:pStyle w:val="2"/>
        <w:ind w:firstLine="651"/>
        <w:rPr>
          <w:rFonts w:ascii="宋体" w:hAnsi="宋体" w:cs="宋体"/>
          <w:b/>
          <w:color w:val="000000"/>
          <w:sz w:val="32"/>
          <w:szCs w:val="32"/>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pStyle w:val="7"/>
        <w:ind w:firstLine="643"/>
        <w:jc w:val="center"/>
        <w:rPr>
          <w:rFonts w:ascii="宋体" w:hAnsi="宋体" w:cs="宋体"/>
          <w:b/>
          <w:color w:val="000000"/>
          <w:sz w:val="32"/>
          <w:szCs w:val="32"/>
        </w:rPr>
      </w:pPr>
      <w:r>
        <w:rPr>
          <w:rFonts w:hint="eastAsia" w:ascii="宋体" w:hAnsi="宋体" w:cs="宋体"/>
          <w:b/>
          <w:color w:val="000000"/>
          <w:sz w:val="32"/>
          <w:szCs w:val="32"/>
        </w:rPr>
        <w:t>八、供应商简介</w:t>
      </w:r>
    </w:p>
    <w:p>
      <w:pPr>
        <w:autoSpaceDE w:val="0"/>
        <w:autoSpaceDN w:val="0"/>
        <w:adjustRightInd w:val="0"/>
        <w:spacing w:line="560" w:lineRule="atLeast"/>
        <w:ind w:left="210" w:leftChars="100"/>
        <w:rPr>
          <w:rFonts w:ascii="宋体" w:hAnsi="宋体" w:cs="宋体"/>
          <w:b/>
          <w:color w:val="000000"/>
          <w:spacing w:val="10"/>
          <w:kern w:val="0"/>
          <w:sz w:val="30"/>
        </w:rPr>
      </w:pPr>
    </w:p>
    <w:p>
      <w:pPr>
        <w:autoSpaceDE w:val="0"/>
        <w:autoSpaceDN w:val="0"/>
        <w:adjustRightInd w:val="0"/>
        <w:spacing w:line="360" w:lineRule="auto"/>
        <w:rPr>
          <w:rFonts w:ascii="宋体" w:hAnsi="宋体" w:cs="宋体"/>
          <w:color w:val="000000"/>
          <w:spacing w:val="10"/>
          <w:kern w:val="0"/>
          <w:sz w:val="24"/>
        </w:rPr>
      </w:pPr>
      <w:r>
        <w:rPr>
          <w:rFonts w:hint="eastAsia" w:ascii="宋体" w:hAnsi="宋体" w:cs="宋体"/>
          <w:color w:val="000000"/>
          <w:spacing w:val="10"/>
          <w:kern w:val="0"/>
          <w:sz w:val="24"/>
        </w:rPr>
        <w:t>供应商必须但不限于提供以下内容：</w:t>
      </w:r>
    </w:p>
    <w:p>
      <w:pPr>
        <w:autoSpaceDE w:val="0"/>
        <w:autoSpaceDN w:val="0"/>
        <w:adjustRightInd w:val="0"/>
        <w:spacing w:line="360" w:lineRule="auto"/>
        <w:rPr>
          <w:rFonts w:ascii="宋体" w:hAnsi="宋体" w:cs="宋体"/>
          <w:color w:val="000000"/>
          <w:spacing w:val="10"/>
          <w:kern w:val="0"/>
          <w:sz w:val="24"/>
        </w:rPr>
      </w:pPr>
      <w:r>
        <w:rPr>
          <w:rFonts w:hint="eastAsia" w:ascii="宋体" w:hAnsi="宋体" w:cs="宋体"/>
          <w:color w:val="000000"/>
          <w:spacing w:val="10"/>
          <w:kern w:val="0"/>
          <w:sz w:val="24"/>
        </w:rPr>
        <w:t>1、供应商简介：包括公司概况、组织机构、技术设备、人员状况等；</w:t>
      </w:r>
    </w:p>
    <w:p>
      <w:pPr>
        <w:autoSpaceDE w:val="0"/>
        <w:autoSpaceDN w:val="0"/>
        <w:adjustRightInd w:val="0"/>
        <w:spacing w:line="360" w:lineRule="auto"/>
        <w:rPr>
          <w:rFonts w:ascii="宋体" w:hAnsi="宋体" w:cs="宋体"/>
          <w:color w:val="000000"/>
          <w:spacing w:val="10"/>
          <w:kern w:val="0"/>
          <w:sz w:val="24"/>
        </w:rPr>
      </w:pPr>
      <w:r>
        <w:rPr>
          <w:rFonts w:hint="eastAsia" w:ascii="宋体" w:hAnsi="宋体" w:cs="宋体"/>
          <w:color w:val="000000"/>
          <w:spacing w:val="10"/>
          <w:kern w:val="0"/>
          <w:sz w:val="24"/>
        </w:rPr>
        <w:t>2、业绩及目前正在执行合同的情况；</w:t>
      </w:r>
    </w:p>
    <w:p>
      <w:pPr>
        <w:autoSpaceDE w:val="0"/>
        <w:autoSpaceDN w:val="0"/>
        <w:adjustRightInd w:val="0"/>
        <w:spacing w:line="360" w:lineRule="auto"/>
        <w:rPr>
          <w:rFonts w:ascii="宋体" w:hAnsi="宋体" w:cs="宋体"/>
          <w:color w:val="000000"/>
          <w:spacing w:val="10"/>
          <w:kern w:val="0"/>
          <w:sz w:val="24"/>
        </w:rPr>
      </w:pPr>
      <w:r>
        <w:rPr>
          <w:rFonts w:hint="eastAsia" w:ascii="宋体" w:hAnsi="宋体" w:cs="宋体"/>
          <w:color w:val="000000"/>
          <w:spacing w:val="10"/>
          <w:kern w:val="0"/>
          <w:sz w:val="24"/>
        </w:rPr>
        <w:t>3、其他供应商认为需要提供的其它资料。</w:t>
      </w:r>
    </w:p>
    <w:p>
      <w:pPr>
        <w:pStyle w:val="2"/>
        <w:ind w:firstLine="488"/>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jc w:val="center"/>
        <w:rPr>
          <w:rFonts w:asciiTheme="minorEastAsia" w:hAnsiTheme="minorEastAsia" w:eastAsiaTheme="minorEastAsia" w:cstheme="minorEastAsia"/>
          <w:b/>
          <w:bCs/>
          <w:sz w:val="28"/>
          <w:szCs w:val="28"/>
        </w:rPr>
      </w:pPr>
    </w:p>
    <w:bookmarkEnd w:id="255"/>
    <w:bookmarkEnd w:id="256"/>
    <w:p>
      <w:pPr>
        <w:pStyle w:val="2"/>
        <w:ind w:firstLine="488"/>
      </w:pPr>
    </w:p>
    <w:p>
      <w:pPr>
        <w:spacing w:line="360" w:lineRule="auto"/>
        <w:jc w:val="center"/>
        <w:outlineLvl w:val="1"/>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第五部分  单一来源采购评审原则及成交办法</w:t>
      </w:r>
    </w:p>
    <w:p>
      <w:pPr>
        <w:spacing w:line="360" w:lineRule="auto"/>
        <w:ind w:firstLine="720" w:firstLineChars="300"/>
        <w:outlineLvl w:val="1"/>
        <w:rPr>
          <w:rFonts w:asciiTheme="minorEastAsia" w:hAnsiTheme="minorEastAsia" w:eastAsiaTheme="minorEastAsia" w:cstheme="minorEastAsia"/>
          <w:sz w:val="24"/>
        </w:rPr>
      </w:pP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本次单一来源采购应本着“公平、公开、公正及诚实信用”的原则进行。</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单一来源供应商递交采购响应文件，该文件应符合采购文件的要求。</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公司按照相关规定随机抽取的评审专家与采购人代表组成单一来源采购小组，单一来源采购小组首先审核供应商的采购响应文件中商务部分是否满足采购文件的要求，然后依据采购文件中采购需求，评审供应商的技术文件是否基本符合要求或者做出完善承诺。</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根据评审情况，单一来源采购小组要求供应商做出最终的优惠报价（二次报价）。</w:t>
      </w:r>
    </w:p>
    <w:p>
      <w:pPr>
        <w:widowControl/>
        <w:jc w:val="left"/>
        <w:rPr>
          <w:rFonts w:asciiTheme="minorEastAsia" w:hAnsiTheme="minorEastAsia" w:eastAsiaTheme="minorEastAsia" w:cstheme="minorEastAsia"/>
          <w:spacing w:val="2"/>
          <w:sz w:val="24"/>
          <w:szCs w:val="20"/>
        </w:rPr>
      </w:pPr>
      <w:r>
        <w:rPr>
          <w:rFonts w:hint="eastAsia" w:asciiTheme="minorEastAsia" w:hAnsiTheme="minorEastAsia" w:eastAsiaTheme="minorEastAsia" w:cstheme="minorEastAsia"/>
        </w:rPr>
        <w:br w:type="page"/>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第六部分  合同格式</w:t>
      </w:r>
    </w:p>
    <w:p>
      <w:pPr>
        <w:spacing w:line="360" w:lineRule="auto"/>
        <w:ind w:firstLine="720" w:firstLineChars="300"/>
        <w:outlineLvl w:val="1"/>
        <w:rPr>
          <w:rFonts w:asciiTheme="minorEastAsia" w:hAnsiTheme="minorEastAsia" w:eastAsiaTheme="minorEastAsia" w:cstheme="minorEastAsia"/>
          <w:sz w:val="24"/>
        </w:rPr>
      </w:pPr>
    </w:p>
    <w:p>
      <w:pPr>
        <w:spacing w:line="360" w:lineRule="auto"/>
        <w:ind w:firstLine="720" w:firstLineChars="300"/>
        <w:outlineLvl w:val="1"/>
        <w:rPr>
          <w:rFonts w:asciiTheme="minorEastAsia" w:hAnsiTheme="minorEastAsia" w:eastAsiaTheme="minorEastAsia" w:cstheme="minorEastAsia"/>
          <w:sz w:val="24"/>
        </w:rPr>
      </w:pP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委托方（甲方）：河南省国土资源调查规划院</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受托方（乙方）：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河南省国土资源调查规划院（以下简称“甲方”）委托重庆光大网络技术有限公司（以下简称“乙方”）承担河南省国土资源调查规划院河南省省级不动产登记信息管理基础平台更新完善提升和省级不动产登记数据汇交质量动态监管系统开发项目。甲乙双方经过平等协商，根据《中华人民共和国合同法》等相关法律法规的规定，达成如下条款，并由双方共同遵守。</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第一条  合同文件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本合同所附下列文件是构成本合同不可分割的部分：</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1、本项目采购文件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2、成交人采购响应文件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3、合同格式及合同条款</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4、成交人在评审过程中做出的有关澄清、说明或者补正文件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5、成交通知书</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6、本合同附件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第二条  工作内容</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项目建设的主要任务包括河南省国土资源调查规划院河南省省级不动产登记信息管理基础平台更新完善提升和省级不动产登记数据汇交质量动态监管系统开发项目2项内容。</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河南省省级不动产登记信息管理基础平台更新完善提升。具体内容包括：完成省级平台与河南政务服务的系统对接、省级平台与省电力公司业务系统的对接、省级不动产登记信息数据库对外共享接口开发、接入与上报系统与统计分析系统的调整等工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河南省省级不动产登记数据汇交质量动态监管系统开发。具体内容包括：基于省级不动产登记信息管理基础平台现有的省级不动产登记信息数据库建设成果和接入与上报系统，完善河南省不动产登记数据汇交质量标准、建立登记数据汇交质量监管数据库、建立登记数据汇交质量动态监管系统。</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第三条  工期（服务期）要求</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工期（服务期）：合同签订后</w:t>
      </w: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个月内完成各项工作。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第四条  合同价格和付款方式</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1、合同总价款为：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万元整人民币（¥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2、支付方式：</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（1）合同签订后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内，甲方向乙方支付合同总价款的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元整人民币（¥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（2）项目完成并提交全部成果，并通过甲方组织的验收后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日内，甲方向乙方支付合同总价款的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3、乙方账户信息：</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公司名称：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纳税人识别号：</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    址：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帐   号：</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    话: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第五条  履约保证金</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双方协商后在合同中具体约定。</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第六条  提交成果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1.文档成果（含电子文档）</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（1）省级不动产登记信息管理基础平台更新完善提升实施方案及省级不动产登记数据汇交质量动态监管系统技术设计方案。</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（2）系统开发相关文档。包括需求分析规格说明书、用户操作手册，系统试运行报告等。</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（3）相关标准规范文档。包括省不动产与省电力对接数据交互标准、对外共享接口标准、省政务服务网“统一受理”平台对接标准等相关文档。</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（4）省级不动产登记信息管理基础平台更新完善提升工作报告和省级不动产登记数据汇交质量动态监管系统项目工作报告。</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2.系统成果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升级改造后的河南省不动产登记信息管理基础平台软件安装包、操作手册等。包括查询与分析系统、不动产登记数据统一接入上报系统、电力联办过户省级对接程序、省政务网“统一受理”平台对接程序、对外数据共享接口程序、运行监控系统、电力联办运行监控系统、效能监控系统、不动产登记数据汇交质量动态监管系统等。</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所提供的文档类型和文档质量需符合软件工程规范，其中电子文档是成果不可分割的部分。除产品本身外，在本项目建设过程中，形成的所有程序乙方必须向甲方提供源代码及源代码介质，程序代码归甲方所有。</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第七条  验收</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1、乙方完成合同约定的工作后，应及时以书面方式向甲方提请验收；甲方接到验收申请后30日内，如不组织验收，则视为验收合格。</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2、验收过程中发现问题，甲方可要求乙方限期整改。</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第八条  甲方的义务</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1、按照合同约定，按时向乙方支付合同款；</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2、协助乙方实施队伍顺利进入现场工作，并对乙方进场人员的工作、生活进行力所能及的协调；</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3、保证项目款按时到位，以确保项目的顺利进行；</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4、做好项目验收工作；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5、甲方不得要求乙方违反国家、地方有关标准进行操作。</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第九条  乙方的义务</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1、乙方应当根据合同要求，确保项目如期保质保量完成；</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2、乙方服从甲方的监督，并进行合作。凡因乙方原因出现的成果质量问题，乙方无条件进行修改或返工；</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3、未经甲方允许，乙方不得将本合同标的全部或部分转包给第三方；</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第十条  知识产权</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应保证甲方在中国境内使用标的物或标的物的任何一部分时，免受第三方提出的侵犯其知识产权的诉讼。本合同项目成果以及由此形成的知识产权归甲方所有，包括但不限于著作权、专利申请权、专利权、非专利技术和其他智力成果的权利和利益。</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第十一条 违约责任</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1、合同签订后，如乙方无故不履行合同或擅自中途停止或解除合同，乙方向甲方赔偿合同总价款的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元）的违约金。</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2、甲方无正当理由拒收货物、拒付合同款的，甲方向乙方赔偿合同总价款的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元）的违约金。</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3、甲方逾期付款，每逾期一天，按合同总价款的千分之五支付乙方违约金。</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4、乙方提供的成果质量不合格的，乙方应负责无偿予以重调或采取补救措施，以达到质量要求。因成果质量不符合合同要求造成后果时，乙方应对因此造成的直接损失负赔偿责任，并承担相应的法律责任。</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5、甲方新增项目内容要求或者不按技术要求造成的返工，应该追加项目款，未按照约定阶段付款，乙方有权停工。</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第十二条  其他</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1、乙方在本合同履约期间应确保本单位从业人员的安全，按时支付人员工资。如出现安全事故和人工工资纠纷，一切责任由乙方负责。</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2、由于不可抗力，致使合同无法履行时，双方应按有关法律规定及时协商处理，互不承担违约责任。</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第十三条 附则</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1、本合同自双方代表签字或盖章，并加盖双方单位公章即生效。</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2、本合同一式捌份，甲乙双方各持肆份。</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3、任何对合同条款的变更或修改均需双方同意并签订书面文件，该文件作为整个合同不可分割的组成部分，并具有同等法律效力。</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4、本合同的未尽事宜将友好协商解决，甲乙双方可以对本合同进行修改与补充，并在双方签署补充协议后生效，补充协议与本合同具有同等法律效力。</w:t>
      </w:r>
    </w:p>
    <w:p>
      <w:pPr>
        <w:spacing w:line="360" w:lineRule="auto"/>
        <w:ind w:firstLine="720" w:firstLineChars="300"/>
        <w:outlineLvl w:val="1"/>
        <w:rPr>
          <w:rFonts w:asciiTheme="minorEastAsia" w:hAnsiTheme="minorEastAsia" w:eastAsiaTheme="minorEastAsia" w:cstheme="minorEastAsia"/>
          <w:sz w:val="24"/>
        </w:rPr>
      </w:pPr>
    </w:p>
    <w:p>
      <w:pPr>
        <w:spacing w:line="360" w:lineRule="auto"/>
        <w:ind w:firstLine="720" w:firstLineChars="300"/>
        <w:outlineLvl w:val="1"/>
        <w:rPr>
          <w:rFonts w:asciiTheme="minorEastAsia" w:hAnsiTheme="minorEastAsia" w:eastAsiaTheme="minorEastAsia" w:cstheme="minorEastAsia"/>
          <w:sz w:val="24"/>
        </w:rPr>
      </w:pP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甲方（盖章）：                              乙方（盖章）：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法定代表人或授权委托人：                    法定代表人或授权委托人：</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                                  联系电话：</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 户 行：                                  开 户 行： </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银行账号：                                  银行账号：</w:t>
      </w:r>
    </w:p>
    <w:p>
      <w:pPr>
        <w:spacing w:line="360" w:lineRule="auto"/>
        <w:ind w:firstLine="720" w:firstLineChars="3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                                   日   期：</w:t>
      </w:r>
    </w:p>
    <w:p>
      <w:pPr>
        <w:spacing w:line="360" w:lineRule="auto"/>
        <w:ind w:firstLine="720" w:firstLineChars="300"/>
        <w:outlineLvl w:val="1"/>
        <w:rPr>
          <w:rFonts w:asciiTheme="minorEastAsia" w:hAnsiTheme="minorEastAsia" w:eastAsiaTheme="minorEastAsia" w:cstheme="minorEastAsia"/>
          <w:sz w:val="24"/>
        </w:rPr>
      </w:pPr>
    </w:p>
    <w:sectPr>
      <w:footerReference r:id="rId11" w:type="first"/>
      <w:footerReference r:id="rId10" w:type="default"/>
      <w:pgSz w:w="11906" w:h="16838"/>
      <w:pgMar w:top="1134"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Style w:val="28"/>
                            </w:rPr>
                          </w:pPr>
                          <w:r>
                            <w:fldChar w:fldCharType="begin"/>
                          </w:r>
                          <w:r>
                            <w:rPr>
                              <w:rStyle w:val="28"/>
                              <w:szCs w:val="18"/>
                            </w:rPr>
                            <w:instrText xml:space="preserve">PAGE  </w:instrText>
                          </w:r>
                          <w:r>
                            <w:fldChar w:fldCharType="separate"/>
                          </w:r>
                          <w:r>
                            <w:rPr>
                              <w:rStyle w:val="28"/>
                              <w:szCs w:val="18"/>
                            </w:rPr>
                            <w:t>7</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height:144pt;width:144pt;mso-position-horizontal:center;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pPr>
                      <w:pStyle w:val="18"/>
                      <w:rPr>
                        <w:rStyle w:val="28"/>
                      </w:rPr>
                    </w:pPr>
                    <w:r>
                      <w:fldChar w:fldCharType="begin"/>
                    </w:r>
                    <w:r>
                      <w:rPr>
                        <w:rStyle w:val="28"/>
                        <w:szCs w:val="18"/>
                      </w:rPr>
                      <w:instrText xml:space="preserve">PAGE  </w:instrText>
                    </w:r>
                    <w:r>
                      <w:fldChar w:fldCharType="separate"/>
                    </w:r>
                    <w:r>
                      <w:rPr>
                        <w:rStyle w:val="28"/>
                        <w:szCs w:val="18"/>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28"/>
      </w:rPr>
    </w:pPr>
    <w:r>
      <w:fldChar w:fldCharType="begin"/>
    </w:r>
    <w:r>
      <w:rPr>
        <w:rStyle w:val="28"/>
      </w:rPr>
      <w:instrText xml:space="preserve">PAGE  </w:instrText>
    </w:r>
    <w:r>
      <w:fldChar w:fldCharType="separate"/>
    </w:r>
    <w:r>
      <w:rPr>
        <w:rStyle w:val="28"/>
      </w:rPr>
      <w:t>0</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align>top</wp:align>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Style w:val="28"/>
                            </w:rPr>
                          </w:pPr>
                          <w:r>
                            <w:fldChar w:fldCharType="begin"/>
                          </w:r>
                          <w:r>
                            <w:rPr>
                              <w:rStyle w:val="28"/>
                              <w:szCs w:val="18"/>
                            </w:rPr>
                            <w:instrText xml:space="preserve">PAGE  </w:instrText>
                          </w:r>
                          <w:r>
                            <w:fldChar w:fldCharType="separate"/>
                          </w:r>
                          <w:r>
                            <w:rPr>
                              <w:rStyle w:val="28"/>
                              <w:szCs w:val="18"/>
                            </w:rPr>
                            <w:t>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height:144pt;width:144pt;mso-position-horizontal:center;mso-position-horizontal-relative:margin;mso-position-vertical:top;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f38M0BAACnAwAADgAAAGRycy9lMm9Eb2MueG1srVPNjtMwEL4j8Q6W&#10;7zRph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hjMrDD345cf3y8/fl1/f2Osk&#10;T++xoqp7T3VxeOsGWpo5jhRMrIc2mPQlPozyJO75Ki4Mkcl0ab1ar0tKScrNDuEXD9d9wPgOnGHJ&#10;qHmg18uiitMHjGPpXJK6WXentM4vqO1fAcIcI5BXYLqdmIwTJysO+2Git3fNmdj1tAY1t7T1nOn3&#10;llROGzMbYTb2s3H0QR06GnSZp0T/5hhppDxp6jDCEsPk0Ptlrt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f38M0BAACnAwAADgAAAAAAAAABACAAAAAeAQAAZHJzL2Uy&#10;b0RvYy54bWxQSwUGAAAAAAYABgBZAQAAXQUAAAAA&#10;">
              <v:fill on="f" focussize="0,0"/>
              <v:stroke on="f"/>
              <v:imagedata o:title=""/>
              <o:lock v:ext="edit" aspectratio="f"/>
              <v:textbox inset="0mm,0mm,0mm,0mm" style="mso-fit-shape-to-text:t;">
                <w:txbxContent>
                  <w:p>
                    <w:pPr>
                      <w:pStyle w:val="18"/>
                      <w:rPr>
                        <w:rStyle w:val="28"/>
                      </w:rPr>
                    </w:pPr>
                    <w:r>
                      <w:fldChar w:fldCharType="begin"/>
                    </w:r>
                    <w:r>
                      <w:rPr>
                        <w:rStyle w:val="28"/>
                        <w:szCs w:val="18"/>
                      </w:rPr>
                      <w:instrText xml:space="preserve">PAGE  </w:instrText>
                    </w:r>
                    <w:r>
                      <w:fldChar w:fldCharType="separate"/>
                    </w:r>
                    <w:r>
                      <w:rPr>
                        <w:rStyle w:val="28"/>
                        <w:szCs w:val="18"/>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Style w:val="28"/>
                            </w:rPr>
                          </w:pPr>
                          <w:r>
                            <w:fldChar w:fldCharType="begin"/>
                          </w:r>
                          <w:r>
                            <w:rPr>
                              <w:rStyle w:val="28"/>
                              <w:szCs w:val="18"/>
                            </w:rPr>
                            <w:instrText xml:space="preserve">PAGE  </w:instrText>
                          </w:r>
                          <w:r>
                            <w:fldChar w:fldCharType="separate"/>
                          </w:r>
                          <w:r>
                            <w:rPr>
                              <w:rStyle w:val="28"/>
                              <w:szCs w:val="18"/>
                            </w:rP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9Bs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Xo9Bs0BAACnAwAADgAAAAAAAAABACAAAAAeAQAAZHJzL2Uy&#10;b0RvYy54bWxQSwUGAAAAAAYABgBZAQAAXQUAAAAA&#10;">
              <v:fill on="f" focussize="0,0"/>
              <v:stroke on="f"/>
              <v:imagedata o:title=""/>
              <o:lock v:ext="edit" aspectratio="f"/>
              <v:textbox inset="0mm,0mm,0mm,0mm" style="mso-fit-shape-to-text:t;">
                <w:txbxContent>
                  <w:p>
                    <w:pPr>
                      <w:pStyle w:val="18"/>
                      <w:rPr>
                        <w:rStyle w:val="28"/>
                      </w:rPr>
                    </w:pPr>
                    <w:r>
                      <w:fldChar w:fldCharType="begin"/>
                    </w:r>
                    <w:r>
                      <w:rPr>
                        <w:rStyle w:val="28"/>
                        <w:szCs w:val="18"/>
                      </w:rPr>
                      <w:instrText xml:space="preserve">PAGE  </w:instrText>
                    </w:r>
                    <w:r>
                      <w:fldChar w:fldCharType="separate"/>
                    </w:r>
                    <w:r>
                      <w:rPr>
                        <w:rStyle w:val="28"/>
                        <w:szCs w:val="18"/>
                      </w:rP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0CAA"/>
    <w:multiLevelType w:val="multilevel"/>
    <w:tmpl w:val="37880CAA"/>
    <w:lvl w:ilvl="0" w:tentative="0">
      <w:start w:val="1"/>
      <w:numFmt w:val="none"/>
      <w:pStyle w:val="4"/>
      <w:lvlText w:val="2"/>
      <w:lvlJc w:val="left"/>
      <w:pPr>
        <w:tabs>
          <w:tab w:val="left" w:pos="1559"/>
        </w:tabs>
        <w:ind w:left="1559" w:hanging="425"/>
      </w:pPr>
      <w:rPr>
        <w:rFonts w:hint="eastAsia"/>
      </w:rPr>
    </w:lvl>
    <w:lvl w:ilvl="1" w:tentative="0">
      <w:start w:val="1"/>
      <w:numFmt w:val="decimal"/>
      <w:lvlText w:val="2.%2"/>
      <w:lvlJc w:val="left"/>
      <w:pPr>
        <w:tabs>
          <w:tab w:val="left" w:pos="2126"/>
        </w:tabs>
        <w:ind w:left="2126" w:hanging="567"/>
      </w:pPr>
      <w:rPr>
        <w:rFonts w:hint="eastAsia"/>
      </w:rPr>
    </w:lvl>
    <w:lvl w:ilvl="2" w:tentative="0">
      <w:start w:val="1"/>
      <w:numFmt w:val="decimal"/>
      <w:pStyle w:val="6"/>
      <w:lvlText w:val="%1.%2.%3"/>
      <w:lvlJc w:val="left"/>
      <w:pPr>
        <w:tabs>
          <w:tab w:val="left" w:pos="2552"/>
        </w:tabs>
        <w:ind w:left="2552" w:hanging="567"/>
      </w:pPr>
      <w:rPr>
        <w:rFonts w:hint="eastAsia"/>
      </w:rPr>
    </w:lvl>
    <w:lvl w:ilvl="3" w:tentative="0">
      <w:start w:val="1"/>
      <w:numFmt w:val="decimal"/>
      <w:lvlText w:val="%1.%2.%3.%4"/>
      <w:lvlJc w:val="left"/>
      <w:pPr>
        <w:tabs>
          <w:tab w:val="left" w:pos="3118"/>
        </w:tabs>
        <w:ind w:left="3118" w:hanging="708"/>
      </w:pPr>
      <w:rPr>
        <w:rFonts w:hint="eastAsia"/>
      </w:rPr>
    </w:lvl>
    <w:lvl w:ilvl="4" w:tentative="0">
      <w:start w:val="1"/>
      <w:numFmt w:val="decimal"/>
      <w:lvlText w:val="%1.%2.%3.%4.%5"/>
      <w:lvlJc w:val="left"/>
      <w:pPr>
        <w:tabs>
          <w:tab w:val="left" w:pos="3685"/>
        </w:tabs>
        <w:ind w:left="3685" w:hanging="850"/>
      </w:pPr>
      <w:rPr>
        <w:rFonts w:hint="eastAsia"/>
      </w:rPr>
    </w:lvl>
    <w:lvl w:ilvl="5" w:tentative="0">
      <w:start w:val="1"/>
      <w:numFmt w:val="decimal"/>
      <w:lvlText w:val="%1.%2.%3.%4.%5.%6"/>
      <w:lvlJc w:val="left"/>
      <w:pPr>
        <w:tabs>
          <w:tab w:val="left" w:pos="4394"/>
        </w:tabs>
        <w:ind w:left="4394" w:hanging="1134"/>
      </w:pPr>
      <w:rPr>
        <w:rFonts w:hint="eastAsia"/>
      </w:rPr>
    </w:lvl>
    <w:lvl w:ilvl="6" w:tentative="0">
      <w:start w:val="1"/>
      <w:numFmt w:val="decimal"/>
      <w:lvlText w:val="%1.%2.%3.%4.%5.%6.%7"/>
      <w:lvlJc w:val="left"/>
      <w:pPr>
        <w:tabs>
          <w:tab w:val="left" w:pos="4961"/>
        </w:tabs>
        <w:ind w:left="4961" w:hanging="1276"/>
      </w:pPr>
      <w:rPr>
        <w:rFonts w:hint="eastAsia"/>
      </w:rPr>
    </w:lvl>
    <w:lvl w:ilvl="7" w:tentative="0">
      <w:start w:val="1"/>
      <w:numFmt w:val="decimal"/>
      <w:lvlText w:val="%1.%2.%3.%4.%5.%6.%7.%8"/>
      <w:lvlJc w:val="left"/>
      <w:pPr>
        <w:tabs>
          <w:tab w:val="left" w:pos="5528"/>
        </w:tabs>
        <w:ind w:left="5528" w:hanging="1418"/>
      </w:pPr>
      <w:rPr>
        <w:rFonts w:hint="eastAsia"/>
      </w:rPr>
    </w:lvl>
    <w:lvl w:ilvl="8" w:tentative="0">
      <w:start w:val="1"/>
      <w:numFmt w:val="decimal"/>
      <w:lvlText w:val="%1.%2.%3.%4.%5.%6.%7.%8.%9"/>
      <w:lvlJc w:val="left"/>
      <w:pPr>
        <w:tabs>
          <w:tab w:val="left" w:pos="6236"/>
        </w:tabs>
        <w:ind w:left="6236" w:hanging="1700"/>
      </w:pPr>
      <w:rPr>
        <w:rFonts w:hint="eastAsia"/>
      </w:rPr>
    </w:lvl>
  </w:abstractNum>
  <w:abstractNum w:abstractNumId="1">
    <w:nsid w:val="3D8B32D1"/>
    <w:multiLevelType w:val="multilevel"/>
    <w:tmpl w:val="3D8B32D1"/>
    <w:lvl w:ilvl="0" w:tentative="0">
      <w:start w:val="1"/>
      <w:numFmt w:val="decimal"/>
      <w:pStyle w:val="48"/>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5EB74DF4"/>
    <w:multiLevelType w:val="multilevel"/>
    <w:tmpl w:val="5EB74DF4"/>
    <w:lvl w:ilvl="0" w:tentative="0">
      <w:start w:val="1"/>
      <w:numFmt w:val="bullet"/>
      <w:pStyle w:val="49"/>
      <w:lvlText w:val=""/>
      <w:lvlJc w:val="left"/>
      <w:pPr>
        <w:tabs>
          <w:tab w:val="left" w:pos="840"/>
        </w:tabs>
        <w:ind w:left="840" w:hanging="420"/>
      </w:pPr>
      <w:rPr>
        <w:rFonts w:hint="default" w:ascii="Wingdings 2" w:hAnsi="Wingdings 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1"/>
  <w:bordersDoNotSurroundFooter w:val="1"/>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472"/>
    <w:rsid w:val="000244F5"/>
    <w:rsid w:val="00031D01"/>
    <w:rsid w:val="000357B0"/>
    <w:rsid w:val="00054F47"/>
    <w:rsid w:val="000608A8"/>
    <w:rsid w:val="00071881"/>
    <w:rsid w:val="0007277A"/>
    <w:rsid w:val="0008021D"/>
    <w:rsid w:val="000C0DCB"/>
    <w:rsid w:val="000E278B"/>
    <w:rsid w:val="00100FFA"/>
    <w:rsid w:val="00101AD2"/>
    <w:rsid w:val="001067F4"/>
    <w:rsid w:val="00107DC6"/>
    <w:rsid w:val="0011355A"/>
    <w:rsid w:val="001142EA"/>
    <w:rsid w:val="0011480F"/>
    <w:rsid w:val="001177FF"/>
    <w:rsid w:val="00137054"/>
    <w:rsid w:val="00141E22"/>
    <w:rsid w:val="00146085"/>
    <w:rsid w:val="001543A0"/>
    <w:rsid w:val="00155DD0"/>
    <w:rsid w:val="00164B51"/>
    <w:rsid w:val="0016768D"/>
    <w:rsid w:val="00172A27"/>
    <w:rsid w:val="001773B2"/>
    <w:rsid w:val="00190609"/>
    <w:rsid w:val="001B2810"/>
    <w:rsid w:val="001C050C"/>
    <w:rsid w:val="001C1E33"/>
    <w:rsid w:val="001C6C7C"/>
    <w:rsid w:val="001D6404"/>
    <w:rsid w:val="001E45DA"/>
    <w:rsid w:val="001E6EEB"/>
    <w:rsid w:val="002141C6"/>
    <w:rsid w:val="00225126"/>
    <w:rsid w:val="00232D94"/>
    <w:rsid w:val="00237BA8"/>
    <w:rsid w:val="002600C9"/>
    <w:rsid w:val="00263B76"/>
    <w:rsid w:val="0026747B"/>
    <w:rsid w:val="002744FC"/>
    <w:rsid w:val="00275750"/>
    <w:rsid w:val="00281950"/>
    <w:rsid w:val="002911D5"/>
    <w:rsid w:val="002A3D18"/>
    <w:rsid w:val="002B0272"/>
    <w:rsid w:val="002C000A"/>
    <w:rsid w:val="002C25E6"/>
    <w:rsid w:val="002C6CB2"/>
    <w:rsid w:val="002D08F8"/>
    <w:rsid w:val="002D3A7A"/>
    <w:rsid w:val="002D3B96"/>
    <w:rsid w:val="002D4519"/>
    <w:rsid w:val="002E33B3"/>
    <w:rsid w:val="00305DB1"/>
    <w:rsid w:val="00311CF7"/>
    <w:rsid w:val="003217FC"/>
    <w:rsid w:val="00325CBB"/>
    <w:rsid w:val="003267A7"/>
    <w:rsid w:val="0033585B"/>
    <w:rsid w:val="00351554"/>
    <w:rsid w:val="00362FEB"/>
    <w:rsid w:val="00366A85"/>
    <w:rsid w:val="00370823"/>
    <w:rsid w:val="0037398A"/>
    <w:rsid w:val="003860EF"/>
    <w:rsid w:val="00393477"/>
    <w:rsid w:val="00397BE4"/>
    <w:rsid w:val="003A38B2"/>
    <w:rsid w:val="003A5319"/>
    <w:rsid w:val="003A77DA"/>
    <w:rsid w:val="003B05B6"/>
    <w:rsid w:val="003B19F0"/>
    <w:rsid w:val="003C1A3E"/>
    <w:rsid w:val="003D3D5B"/>
    <w:rsid w:val="003E45A8"/>
    <w:rsid w:val="00425795"/>
    <w:rsid w:val="00425B58"/>
    <w:rsid w:val="00425D50"/>
    <w:rsid w:val="0042723D"/>
    <w:rsid w:val="0044001D"/>
    <w:rsid w:val="00444379"/>
    <w:rsid w:val="00454ADF"/>
    <w:rsid w:val="00461B96"/>
    <w:rsid w:val="0046215B"/>
    <w:rsid w:val="0048448C"/>
    <w:rsid w:val="00486627"/>
    <w:rsid w:val="004938EB"/>
    <w:rsid w:val="00497420"/>
    <w:rsid w:val="004B0887"/>
    <w:rsid w:val="004C4284"/>
    <w:rsid w:val="004D54BC"/>
    <w:rsid w:val="004E265F"/>
    <w:rsid w:val="004F0915"/>
    <w:rsid w:val="00500355"/>
    <w:rsid w:val="005041AF"/>
    <w:rsid w:val="00505481"/>
    <w:rsid w:val="00506E9F"/>
    <w:rsid w:val="005108A4"/>
    <w:rsid w:val="00531D69"/>
    <w:rsid w:val="005416F9"/>
    <w:rsid w:val="00543742"/>
    <w:rsid w:val="005512B6"/>
    <w:rsid w:val="00551E4A"/>
    <w:rsid w:val="00563F2D"/>
    <w:rsid w:val="00566BFA"/>
    <w:rsid w:val="00566BFD"/>
    <w:rsid w:val="00567F31"/>
    <w:rsid w:val="00571335"/>
    <w:rsid w:val="005814EB"/>
    <w:rsid w:val="005840F0"/>
    <w:rsid w:val="00586D6B"/>
    <w:rsid w:val="00591598"/>
    <w:rsid w:val="005943A9"/>
    <w:rsid w:val="005A4E31"/>
    <w:rsid w:val="005B4462"/>
    <w:rsid w:val="005C1670"/>
    <w:rsid w:val="005C4B8B"/>
    <w:rsid w:val="005D0B88"/>
    <w:rsid w:val="005D13B4"/>
    <w:rsid w:val="005D4C27"/>
    <w:rsid w:val="005D7DED"/>
    <w:rsid w:val="005E42DF"/>
    <w:rsid w:val="005E7EC7"/>
    <w:rsid w:val="005F4B0E"/>
    <w:rsid w:val="00601EB7"/>
    <w:rsid w:val="00614CBD"/>
    <w:rsid w:val="00622217"/>
    <w:rsid w:val="00627CEC"/>
    <w:rsid w:val="0066120E"/>
    <w:rsid w:val="006631BA"/>
    <w:rsid w:val="00665456"/>
    <w:rsid w:val="00665D4E"/>
    <w:rsid w:val="006708A0"/>
    <w:rsid w:val="00684C8D"/>
    <w:rsid w:val="0068726C"/>
    <w:rsid w:val="00695F75"/>
    <w:rsid w:val="006A5C89"/>
    <w:rsid w:val="006B6786"/>
    <w:rsid w:val="006D2F11"/>
    <w:rsid w:val="006E206C"/>
    <w:rsid w:val="006E21DB"/>
    <w:rsid w:val="006E2541"/>
    <w:rsid w:val="006E2B34"/>
    <w:rsid w:val="006E7D36"/>
    <w:rsid w:val="006F5DEB"/>
    <w:rsid w:val="00701625"/>
    <w:rsid w:val="00714503"/>
    <w:rsid w:val="00723DB1"/>
    <w:rsid w:val="00727155"/>
    <w:rsid w:val="00731117"/>
    <w:rsid w:val="00755A2E"/>
    <w:rsid w:val="0075655F"/>
    <w:rsid w:val="00757A67"/>
    <w:rsid w:val="00757E7E"/>
    <w:rsid w:val="00772E7C"/>
    <w:rsid w:val="00773DBF"/>
    <w:rsid w:val="00792B87"/>
    <w:rsid w:val="007B0CCF"/>
    <w:rsid w:val="007B7ED3"/>
    <w:rsid w:val="007B7F1C"/>
    <w:rsid w:val="007C13DC"/>
    <w:rsid w:val="007C7DB3"/>
    <w:rsid w:val="007D08AC"/>
    <w:rsid w:val="007D75AF"/>
    <w:rsid w:val="007E6E39"/>
    <w:rsid w:val="007F0F75"/>
    <w:rsid w:val="00836676"/>
    <w:rsid w:val="0084246A"/>
    <w:rsid w:val="00847BA3"/>
    <w:rsid w:val="00860CC8"/>
    <w:rsid w:val="00867A57"/>
    <w:rsid w:val="00877EB1"/>
    <w:rsid w:val="00896324"/>
    <w:rsid w:val="008A3C44"/>
    <w:rsid w:val="008B05CC"/>
    <w:rsid w:val="008C58DC"/>
    <w:rsid w:val="008D63A7"/>
    <w:rsid w:val="008D69C1"/>
    <w:rsid w:val="008E5100"/>
    <w:rsid w:val="008E5A0F"/>
    <w:rsid w:val="008E6452"/>
    <w:rsid w:val="008F0D1B"/>
    <w:rsid w:val="008F37E8"/>
    <w:rsid w:val="008F421D"/>
    <w:rsid w:val="008F7AC6"/>
    <w:rsid w:val="009049C5"/>
    <w:rsid w:val="009070DA"/>
    <w:rsid w:val="009264F9"/>
    <w:rsid w:val="00927A24"/>
    <w:rsid w:val="00930FE4"/>
    <w:rsid w:val="00931E33"/>
    <w:rsid w:val="00942FA1"/>
    <w:rsid w:val="0094358C"/>
    <w:rsid w:val="00957CE3"/>
    <w:rsid w:val="00970A09"/>
    <w:rsid w:val="00977C70"/>
    <w:rsid w:val="00991857"/>
    <w:rsid w:val="0099308A"/>
    <w:rsid w:val="009945BE"/>
    <w:rsid w:val="009B4D6A"/>
    <w:rsid w:val="009B6ECF"/>
    <w:rsid w:val="009D0320"/>
    <w:rsid w:val="009D3547"/>
    <w:rsid w:val="009E47BE"/>
    <w:rsid w:val="009F2769"/>
    <w:rsid w:val="00A06C81"/>
    <w:rsid w:val="00A07992"/>
    <w:rsid w:val="00A409C3"/>
    <w:rsid w:val="00A502F2"/>
    <w:rsid w:val="00A64645"/>
    <w:rsid w:val="00A90186"/>
    <w:rsid w:val="00A92F1A"/>
    <w:rsid w:val="00AA0315"/>
    <w:rsid w:val="00AA0764"/>
    <w:rsid w:val="00AA2865"/>
    <w:rsid w:val="00AA6303"/>
    <w:rsid w:val="00AB229A"/>
    <w:rsid w:val="00AB5DCF"/>
    <w:rsid w:val="00AC551D"/>
    <w:rsid w:val="00AC5CB7"/>
    <w:rsid w:val="00AF52B5"/>
    <w:rsid w:val="00AF5935"/>
    <w:rsid w:val="00AF7A04"/>
    <w:rsid w:val="00B01F9E"/>
    <w:rsid w:val="00B07B07"/>
    <w:rsid w:val="00B26C8D"/>
    <w:rsid w:val="00B32214"/>
    <w:rsid w:val="00B40540"/>
    <w:rsid w:val="00B46794"/>
    <w:rsid w:val="00B518FF"/>
    <w:rsid w:val="00B56D6B"/>
    <w:rsid w:val="00B6072B"/>
    <w:rsid w:val="00B75EB4"/>
    <w:rsid w:val="00B954C7"/>
    <w:rsid w:val="00B97054"/>
    <w:rsid w:val="00BA5F2D"/>
    <w:rsid w:val="00BA6087"/>
    <w:rsid w:val="00BE28B5"/>
    <w:rsid w:val="00BF0475"/>
    <w:rsid w:val="00BF2670"/>
    <w:rsid w:val="00BF6391"/>
    <w:rsid w:val="00C014A4"/>
    <w:rsid w:val="00C10661"/>
    <w:rsid w:val="00C10D1B"/>
    <w:rsid w:val="00C13314"/>
    <w:rsid w:val="00C21382"/>
    <w:rsid w:val="00C2630D"/>
    <w:rsid w:val="00C466E4"/>
    <w:rsid w:val="00C47298"/>
    <w:rsid w:val="00C500F3"/>
    <w:rsid w:val="00C53A30"/>
    <w:rsid w:val="00C65EAE"/>
    <w:rsid w:val="00C74524"/>
    <w:rsid w:val="00C90D2E"/>
    <w:rsid w:val="00C9546C"/>
    <w:rsid w:val="00CA1D3B"/>
    <w:rsid w:val="00CA6A83"/>
    <w:rsid w:val="00CA7475"/>
    <w:rsid w:val="00CB0960"/>
    <w:rsid w:val="00CB3FD3"/>
    <w:rsid w:val="00CB4E7C"/>
    <w:rsid w:val="00CC2E9D"/>
    <w:rsid w:val="00CD3EF3"/>
    <w:rsid w:val="00CE2B70"/>
    <w:rsid w:val="00CE51AC"/>
    <w:rsid w:val="00CE6FF8"/>
    <w:rsid w:val="00CF0256"/>
    <w:rsid w:val="00CF74CF"/>
    <w:rsid w:val="00D440D1"/>
    <w:rsid w:val="00D51ED0"/>
    <w:rsid w:val="00D554F2"/>
    <w:rsid w:val="00D80FA2"/>
    <w:rsid w:val="00D83D50"/>
    <w:rsid w:val="00D86DF0"/>
    <w:rsid w:val="00D910A9"/>
    <w:rsid w:val="00D9253F"/>
    <w:rsid w:val="00D9296C"/>
    <w:rsid w:val="00D96F89"/>
    <w:rsid w:val="00DB3AF9"/>
    <w:rsid w:val="00DB4CEA"/>
    <w:rsid w:val="00DC30E1"/>
    <w:rsid w:val="00DD0915"/>
    <w:rsid w:val="00DD3BAA"/>
    <w:rsid w:val="00DE158A"/>
    <w:rsid w:val="00DE79F9"/>
    <w:rsid w:val="00E01AFB"/>
    <w:rsid w:val="00E03165"/>
    <w:rsid w:val="00E2633D"/>
    <w:rsid w:val="00E518EA"/>
    <w:rsid w:val="00E52258"/>
    <w:rsid w:val="00E548D1"/>
    <w:rsid w:val="00E91A7A"/>
    <w:rsid w:val="00E945D7"/>
    <w:rsid w:val="00EA3F2F"/>
    <w:rsid w:val="00EA7E6F"/>
    <w:rsid w:val="00EB595B"/>
    <w:rsid w:val="00EB5F28"/>
    <w:rsid w:val="00EC0B80"/>
    <w:rsid w:val="00EE1FF7"/>
    <w:rsid w:val="00EF0B8F"/>
    <w:rsid w:val="00F003CB"/>
    <w:rsid w:val="00F02660"/>
    <w:rsid w:val="00F17C51"/>
    <w:rsid w:val="00F22ADC"/>
    <w:rsid w:val="00F2321F"/>
    <w:rsid w:val="00F37C5E"/>
    <w:rsid w:val="00F520CE"/>
    <w:rsid w:val="00F56669"/>
    <w:rsid w:val="00F616C2"/>
    <w:rsid w:val="00F64735"/>
    <w:rsid w:val="00F75F52"/>
    <w:rsid w:val="00F91C71"/>
    <w:rsid w:val="00F96B0B"/>
    <w:rsid w:val="00FA385A"/>
    <w:rsid w:val="00FC0A55"/>
    <w:rsid w:val="00FC2A91"/>
    <w:rsid w:val="00FC2EDA"/>
    <w:rsid w:val="00FE2228"/>
    <w:rsid w:val="00FF1AB4"/>
    <w:rsid w:val="00FF4525"/>
    <w:rsid w:val="00FF4F76"/>
    <w:rsid w:val="017F5DF1"/>
    <w:rsid w:val="01E77084"/>
    <w:rsid w:val="02412EEC"/>
    <w:rsid w:val="026945B9"/>
    <w:rsid w:val="03AD2E73"/>
    <w:rsid w:val="04FD18D9"/>
    <w:rsid w:val="051A3039"/>
    <w:rsid w:val="05DA7A21"/>
    <w:rsid w:val="062D7DC7"/>
    <w:rsid w:val="06301660"/>
    <w:rsid w:val="06396570"/>
    <w:rsid w:val="0664230B"/>
    <w:rsid w:val="066A7247"/>
    <w:rsid w:val="076A17A5"/>
    <w:rsid w:val="078E4634"/>
    <w:rsid w:val="07DF3146"/>
    <w:rsid w:val="08FA2789"/>
    <w:rsid w:val="09E15498"/>
    <w:rsid w:val="09EC2DE4"/>
    <w:rsid w:val="0A5817C9"/>
    <w:rsid w:val="0A972340"/>
    <w:rsid w:val="0AD058D6"/>
    <w:rsid w:val="0B1B266D"/>
    <w:rsid w:val="0B5E0AD6"/>
    <w:rsid w:val="0B850C05"/>
    <w:rsid w:val="0B981A42"/>
    <w:rsid w:val="0C0A14D9"/>
    <w:rsid w:val="0C582FB1"/>
    <w:rsid w:val="0C801070"/>
    <w:rsid w:val="0CC17CA7"/>
    <w:rsid w:val="0D4E74A4"/>
    <w:rsid w:val="0DC626B8"/>
    <w:rsid w:val="0DCA3E43"/>
    <w:rsid w:val="0DF33BD9"/>
    <w:rsid w:val="0E803311"/>
    <w:rsid w:val="0EBE5B36"/>
    <w:rsid w:val="0EC05F52"/>
    <w:rsid w:val="0F0A6D3C"/>
    <w:rsid w:val="0F2D5252"/>
    <w:rsid w:val="0F3A6847"/>
    <w:rsid w:val="0F733680"/>
    <w:rsid w:val="10693320"/>
    <w:rsid w:val="109F40BD"/>
    <w:rsid w:val="110E7B83"/>
    <w:rsid w:val="112D50D9"/>
    <w:rsid w:val="117D0894"/>
    <w:rsid w:val="12791350"/>
    <w:rsid w:val="129F19B7"/>
    <w:rsid w:val="12A401F6"/>
    <w:rsid w:val="12CC3705"/>
    <w:rsid w:val="12D7455B"/>
    <w:rsid w:val="12DB6025"/>
    <w:rsid w:val="12EC1643"/>
    <w:rsid w:val="133D6A2A"/>
    <w:rsid w:val="1356408A"/>
    <w:rsid w:val="13573C7A"/>
    <w:rsid w:val="1365150D"/>
    <w:rsid w:val="138A0882"/>
    <w:rsid w:val="1395394E"/>
    <w:rsid w:val="139F56B5"/>
    <w:rsid w:val="13A277C8"/>
    <w:rsid w:val="13DF0529"/>
    <w:rsid w:val="13E86B9B"/>
    <w:rsid w:val="14177D29"/>
    <w:rsid w:val="14DE0FDB"/>
    <w:rsid w:val="1505030B"/>
    <w:rsid w:val="15F4422A"/>
    <w:rsid w:val="160D651E"/>
    <w:rsid w:val="16D05ACF"/>
    <w:rsid w:val="16E24019"/>
    <w:rsid w:val="17E5688C"/>
    <w:rsid w:val="182F261C"/>
    <w:rsid w:val="18EB48FD"/>
    <w:rsid w:val="19CF3767"/>
    <w:rsid w:val="1A1D29F9"/>
    <w:rsid w:val="1AA25B52"/>
    <w:rsid w:val="1B752473"/>
    <w:rsid w:val="1BA51A83"/>
    <w:rsid w:val="1BD07326"/>
    <w:rsid w:val="1C161B99"/>
    <w:rsid w:val="1C2F6548"/>
    <w:rsid w:val="1C477498"/>
    <w:rsid w:val="1CE83979"/>
    <w:rsid w:val="1CFC4F7A"/>
    <w:rsid w:val="1D2F61C4"/>
    <w:rsid w:val="1D746DE1"/>
    <w:rsid w:val="1DF55B15"/>
    <w:rsid w:val="1E684890"/>
    <w:rsid w:val="1EDA07E4"/>
    <w:rsid w:val="1EF9204C"/>
    <w:rsid w:val="1EFE5395"/>
    <w:rsid w:val="1F16185B"/>
    <w:rsid w:val="1F647238"/>
    <w:rsid w:val="1FED2C1E"/>
    <w:rsid w:val="202C1496"/>
    <w:rsid w:val="207B0839"/>
    <w:rsid w:val="20CC2347"/>
    <w:rsid w:val="21171ACE"/>
    <w:rsid w:val="22513B92"/>
    <w:rsid w:val="227F6529"/>
    <w:rsid w:val="23454DD8"/>
    <w:rsid w:val="235A080B"/>
    <w:rsid w:val="235B0738"/>
    <w:rsid w:val="239219B0"/>
    <w:rsid w:val="24416817"/>
    <w:rsid w:val="250D7093"/>
    <w:rsid w:val="25E25FDC"/>
    <w:rsid w:val="26537DE8"/>
    <w:rsid w:val="267071FF"/>
    <w:rsid w:val="28075CD8"/>
    <w:rsid w:val="2864281C"/>
    <w:rsid w:val="28E358CA"/>
    <w:rsid w:val="293C0762"/>
    <w:rsid w:val="2A0D6480"/>
    <w:rsid w:val="2A6548C9"/>
    <w:rsid w:val="2AA8151B"/>
    <w:rsid w:val="2CAC08A2"/>
    <w:rsid w:val="2CBF65C9"/>
    <w:rsid w:val="2D5D5C17"/>
    <w:rsid w:val="2D623626"/>
    <w:rsid w:val="2E0769E4"/>
    <w:rsid w:val="2E807459"/>
    <w:rsid w:val="2EF26B1A"/>
    <w:rsid w:val="2F0446C0"/>
    <w:rsid w:val="2F15368D"/>
    <w:rsid w:val="2F4E37E3"/>
    <w:rsid w:val="2F8966A6"/>
    <w:rsid w:val="30050DD9"/>
    <w:rsid w:val="30360DC3"/>
    <w:rsid w:val="31055511"/>
    <w:rsid w:val="310D2A88"/>
    <w:rsid w:val="31167C97"/>
    <w:rsid w:val="318427BF"/>
    <w:rsid w:val="31E5413F"/>
    <w:rsid w:val="321159D5"/>
    <w:rsid w:val="322E4FF7"/>
    <w:rsid w:val="32D5643D"/>
    <w:rsid w:val="33577356"/>
    <w:rsid w:val="33C46B4C"/>
    <w:rsid w:val="341245D7"/>
    <w:rsid w:val="347F5E14"/>
    <w:rsid w:val="34C84086"/>
    <w:rsid w:val="35B41EC5"/>
    <w:rsid w:val="35E0127E"/>
    <w:rsid w:val="35EB1256"/>
    <w:rsid w:val="3613176D"/>
    <w:rsid w:val="36701EF0"/>
    <w:rsid w:val="368C4137"/>
    <w:rsid w:val="36DC4AA1"/>
    <w:rsid w:val="36F13A9C"/>
    <w:rsid w:val="382F6327"/>
    <w:rsid w:val="38774730"/>
    <w:rsid w:val="393A2270"/>
    <w:rsid w:val="3A6521F7"/>
    <w:rsid w:val="3A970741"/>
    <w:rsid w:val="3AE42305"/>
    <w:rsid w:val="3BE21BC6"/>
    <w:rsid w:val="3C682428"/>
    <w:rsid w:val="3C720CFA"/>
    <w:rsid w:val="3CE95E0C"/>
    <w:rsid w:val="3D100DBB"/>
    <w:rsid w:val="3D1854A3"/>
    <w:rsid w:val="3D5C490B"/>
    <w:rsid w:val="3D5F00C3"/>
    <w:rsid w:val="3D6868E9"/>
    <w:rsid w:val="3D9972CD"/>
    <w:rsid w:val="3E0B0E54"/>
    <w:rsid w:val="3E3F31F5"/>
    <w:rsid w:val="3E693737"/>
    <w:rsid w:val="3E717394"/>
    <w:rsid w:val="3EBC56B2"/>
    <w:rsid w:val="3F0E56A8"/>
    <w:rsid w:val="3F607EF9"/>
    <w:rsid w:val="3FC43A1B"/>
    <w:rsid w:val="3FF053D1"/>
    <w:rsid w:val="3FF401AB"/>
    <w:rsid w:val="400D7234"/>
    <w:rsid w:val="40443C3D"/>
    <w:rsid w:val="40735EA2"/>
    <w:rsid w:val="413110C8"/>
    <w:rsid w:val="41471FE6"/>
    <w:rsid w:val="415E1604"/>
    <w:rsid w:val="41604A48"/>
    <w:rsid w:val="42427F8F"/>
    <w:rsid w:val="42470138"/>
    <w:rsid w:val="42514821"/>
    <w:rsid w:val="42563940"/>
    <w:rsid w:val="426339F7"/>
    <w:rsid w:val="42716CE5"/>
    <w:rsid w:val="4381253B"/>
    <w:rsid w:val="43D32F53"/>
    <w:rsid w:val="440F16DC"/>
    <w:rsid w:val="445C6536"/>
    <w:rsid w:val="447F7AD4"/>
    <w:rsid w:val="44AB47DB"/>
    <w:rsid w:val="45012C44"/>
    <w:rsid w:val="45A625FA"/>
    <w:rsid w:val="45E1266F"/>
    <w:rsid w:val="46393DA8"/>
    <w:rsid w:val="46E73BBD"/>
    <w:rsid w:val="47447808"/>
    <w:rsid w:val="476755B4"/>
    <w:rsid w:val="47907B7A"/>
    <w:rsid w:val="482819B4"/>
    <w:rsid w:val="48D46FD8"/>
    <w:rsid w:val="48F42A31"/>
    <w:rsid w:val="495920C1"/>
    <w:rsid w:val="4A366D80"/>
    <w:rsid w:val="4A7315E5"/>
    <w:rsid w:val="4A920F03"/>
    <w:rsid w:val="4AAC29C7"/>
    <w:rsid w:val="4ACE303E"/>
    <w:rsid w:val="4B16666B"/>
    <w:rsid w:val="4BAC2978"/>
    <w:rsid w:val="4C065C8A"/>
    <w:rsid w:val="4C4003DD"/>
    <w:rsid w:val="4C665336"/>
    <w:rsid w:val="4D280422"/>
    <w:rsid w:val="4D3E299B"/>
    <w:rsid w:val="4D615B4D"/>
    <w:rsid w:val="4DB53509"/>
    <w:rsid w:val="4DE34987"/>
    <w:rsid w:val="4F1546A9"/>
    <w:rsid w:val="4F18430A"/>
    <w:rsid w:val="4F5018E5"/>
    <w:rsid w:val="50053804"/>
    <w:rsid w:val="504E0361"/>
    <w:rsid w:val="50B05FA8"/>
    <w:rsid w:val="513E1EC2"/>
    <w:rsid w:val="518F4E5F"/>
    <w:rsid w:val="522C26ED"/>
    <w:rsid w:val="52B4713C"/>
    <w:rsid w:val="52DD6B8F"/>
    <w:rsid w:val="535E0044"/>
    <w:rsid w:val="539978B2"/>
    <w:rsid w:val="543A2AA6"/>
    <w:rsid w:val="5443730C"/>
    <w:rsid w:val="54A22A1D"/>
    <w:rsid w:val="55BD4058"/>
    <w:rsid w:val="56457892"/>
    <w:rsid w:val="56742354"/>
    <w:rsid w:val="56831DD5"/>
    <w:rsid w:val="56F46425"/>
    <w:rsid w:val="57BA5A69"/>
    <w:rsid w:val="583E1768"/>
    <w:rsid w:val="584B1E4E"/>
    <w:rsid w:val="585544D7"/>
    <w:rsid w:val="58A366CF"/>
    <w:rsid w:val="58D0371C"/>
    <w:rsid w:val="58E82E1E"/>
    <w:rsid w:val="590B4235"/>
    <w:rsid w:val="5918366B"/>
    <w:rsid w:val="59E07AA2"/>
    <w:rsid w:val="5A174112"/>
    <w:rsid w:val="5AF912D8"/>
    <w:rsid w:val="5B934296"/>
    <w:rsid w:val="5BCB6601"/>
    <w:rsid w:val="5BF32AEA"/>
    <w:rsid w:val="5C441992"/>
    <w:rsid w:val="5D052291"/>
    <w:rsid w:val="5D443390"/>
    <w:rsid w:val="5D4B366C"/>
    <w:rsid w:val="5D6F19F3"/>
    <w:rsid w:val="5D78386A"/>
    <w:rsid w:val="5D7F5F92"/>
    <w:rsid w:val="5DB7228A"/>
    <w:rsid w:val="5DE820E8"/>
    <w:rsid w:val="5DEE7DF4"/>
    <w:rsid w:val="5E3A0B47"/>
    <w:rsid w:val="5E3A4BD4"/>
    <w:rsid w:val="5F095BB3"/>
    <w:rsid w:val="5F501A64"/>
    <w:rsid w:val="5F6931E6"/>
    <w:rsid w:val="5FDC65C8"/>
    <w:rsid w:val="5FEB2F56"/>
    <w:rsid w:val="601A2EBA"/>
    <w:rsid w:val="60F033B6"/>
    <w:rsid w:val="61475C2C"/>
    <w:rsid w:val="614C0A0B"/>
    <w:rsid w:val="61527683"/>
    <w:rsid w:val="61675E21"/>
    <w:rsid w:val="6207134D"/>
    <w:rsid w:val="62C75364"/>
    <w:rsid w:val="62E66F49"/>
    <w:rsid w:val="632631BD"/>
    <w:rsid w:val="632968D5"/>
    <w:rsid w:val="632D685D"/>
    <w:rsid w:val="644117EB"/>
    <w:rsid w:val="64BF43E9"/>
    <w:rsid w:val="64C34831"/>
    <w:rsid w:val="65927733"/>
    <w:rsid w:val="65C81662"/>
    <w:rsid w:val="66A906C0"/>
    <w:rsid w:val="66EB2DC3"/>
    <w:rsid w:val="67023C91"/>
    <w:rsid w:val="68386F51"/>
    <w:rsid w:val="686C49E8"/>
    <w:rsid w:val="68A22EA3"/>
    <w:rsid w:val="68C66A83"/>
    <w:rsid w:val="6968371A"/>
    <w:rsid w:val="699C5A0C"/>
    <w:rsid w:val="69BC0F8E"/>
    <w:rsid w:val="6A0C61F1"/>
    <w:rsid w:val="6A7228F0"/>
    <w:rsid w:val="6AAF56E8"/>
    <w:rsid w:val="6AC64FE7"/>
    <w:rsid w:val="6B955099"/>
    <w:rsid w:val="6BEF4542"/>
    <w:rsid w:val="6C8E3DFF"/>
    <w:rsid w:val="6C8F4B32"/>
    <w:rsid w:val="6D2A7C60"/>
    <w:rsid w:val="6DCF1AAD"/>
    <w:rsid w:val="6E1F184E"/>
    <w:rsid w:val="6E3E4A54"/>
    <w:rsid w:val="6E426212"/>
    <w:rsid w:val="6E9F0DA2"/>
    <w:rsid w:val="6F7402E8"/>
    <w:rsid w:val="6FD22E49"/>
    <w:rsid w:val="6FD80573"/>
    <w:rsid w:val="6FDA13B0"/>
    <w:rsid w:val="70121AD2"/>
    <w:rsid w:val="70231F82"/>
    <w:rsid w:val="7111358D"/>
    <w:rsid w:val="71727F58"/>
    <w:rsid w:val="71D811F8"/>
    <w:rsid w:val="71FC1706"/>
    <w:rsid w:val="72263339"/>
    <w:rsid w:val="728152C9"/>
    <w:rsid w:val="72EC7F39"/>
    <w:rsid w:val="72EE2DE5"/>
    <w:rsid w:val="735D2DF1"/>
    <w:rsid w:val="736047CF"/>
    <w:rsid w:val="737508C0"/>
    <w:rsid w:val="73750EB1"/>
    <w:rsid w:val="739F65E3"/>
    <w:rsid w:val="7419420C"/>
    <w:rsid w:val="74491AD5"/>
    <w:rsid w:val="74775B0B"/>
    <w:rsid w:val="74C514F8"/>
    <w:rsid w:val="751A77CE"/>
    <w:rsid w:val="760E13BC"/>
    <w:rsid w:val="77555A48"/>
    <w:rsid w:val="779F45BB"/>
    <w:rsid w:val="77B3657B"/>
    <w:rsid w:val="77D364C8"/>
    <w:rsid w:val="790B0BF0"/>
    <w:rsid w:val="794721FC"/>
    <w:rsid w:val="794F3E2F"/>
    <w:rsid w:val="79DE2F03"/>
    <w:rsid w:val="7A5D1B6A"/>
    <w:rsid w:val="7A993B20"/>
    <w:rsid w:val="7A9F4EE3"/>
    <w:rsid w:val="7AC86453"/>
    <w:rsid w:val="7ACD4783"/>
    <w:rsid w:val="7ACF12CD"/>
    <w:rsid w:val="7B514A4E"/>
    <w:rsid w:val="7B741A42"/>
    <w:rsid w:val="7BC7644C"/>
    <w:rsid w:val="7BEB427C"/>
    <w:rsid w:val="7BF563A0"/>
    <w:rsid w:val="7C607819"/>
    <w:rsid w:val="7C985AF7"/>
    <w:rsid w:val="7CD9526B"/>
    <w:rsid w:val="7D2B1846"/>
    <w:rsid w:val="7D684ECB"/>
    <w:rsid w:val="7E6431DE"/>
    <w:rsid w:val="7F5D35A3"/>
    <w:rsid w:val="7F7854BF"/>
    <w:rsid w:val="7F7B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paragraph" w:styleId="6">
    <w:name w:val="heading 3"/>
    <w:basedOn w:val="1"/>
    <w:next w:val="7"/>
    <w:link w:val="33"/>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8">
    <w:name w:val="heading 4"/>
    <w:next w:val="1"/>
    <w:link w:val="45"/>
    <w:qFormat/>
    <w:uiPriority w:val="0"/>
    <w:pPr>
      <w:keepNext/>
      <w:tabs>
        <w:tab w:val="left" w:pos="0"/>
      </w:tabs>
      <w:spacing w:line="360" w:lineRule="auto"/>
      <w:ind w:left="864" w:hanging="864"/>
      <w:outlineLvl w:val="3"/>
    </w:pPr>
    <w:rPr>
      <w:rFonts w:ascii="宋体" w:hAnsi="宋体" w:eastAsia="宋体" w:cs="Times New Roman"/>
      <w:b/>
      <w:bCs/>
      <w:sz w:val="28"/>
      <w:szCs w:val="28"/>
      <w:lang w:val="en-US" w:eastAsia="en-US" w:bidi="ar-SA"/>
    </w:rPr>
  </w:style>
  <w:style w:type="paragraph" w:styleId="9">
    <w:name w:val="heading 5"/>
    <w:next w:val="1"/>
    <w:link w:val="46"/>
    <w:qFormat/>
    <w:uiPriority w:val="0"/>
    <w:pPr>
      <w:keepNext/>
      <w:keepLines/>
      <w:widowControl w:val="0"/>
      <w:tabs>
        <w:tab w:val="left" w:pos="426"/>
        <w:tab w:val="left" w:pos="1200"/>
      </w:tabs>
      <w:spacing w:before="20" w:after="20" w:line="360" w:lineRule="auto"/>
      <w:ind w:left="1434" w:hanging="1008"/>
      <w:jc w:val="both"/>
      <w:outlineLvl w:val="4"/>
    </w:pPr>
    <w:rPr>
      <w:rFonts w:ascii="宋体" w:hAnsi="宋体" w:eastAsia="宋体" w:cs="Times New Roman"/>
      <w:b/>
      <w:bCs/>
      <w:iCs/>
      <w:sz w:val="24"/>
      <w:szCs w:val="24"/>
      <w:lang w:val="en-US" w:eastAsia="zh-CN" w:bidi="ar-SA"/>
    </w:rPr>
  </w:style>
  <w:style w:type="paragraph" w:styleId="10">
    <w:name w:val="heading 6"/>
    <w:basedOn w:val="1"/>
    <w:next w:val="1"/>
    <w:link w:val="44"/>
    <w:qFormat/>
    <w:uiPriority w:val="0"/>
    <w:pPr>
      <w:keepNext/>
      <w:keepLines/>
      <w:tabs>
        <w:tab w:val="left" w:pos="0"/>
      </w:tabs>
      <w:spacing w:line="360" w:lineRule="auto"/>
      <w:ind w:left="1152" w:hanging="1152"/>
      <w:outlineLvl w:val="5"/>
    </w:pPr>
    <w:rPr>
      <w:rFonts w:ascii="宋体" w:hAnsi="宋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line="420" w:lineRule="exact"/>
      <w:ind w:firstLine="732" w:firstLineChars="300"/>
    </w:pPr>
    <w:rPr>
      <w:spacing w:val="2"/>
      <w:sz w:val="24"/>
      <w:szCs w:val="20"/>
    </w:rPr>
  </w:style>
  <w:style w:type="paragraph" w:styleId="7">
    <w:name w:val="Normal Indent"/>
    <w:basedOn w:val="1"/>
    <w:link w:val="42"/>
    <w:unhideWhenUsed/>
    <w:qFormat/>
    <w:uiPriority w:val="0"/>
    <w:pPr>
      <w:ind w:firstLine="420" w:firstLineChars="200"/>
    </w:pPr>
    <w:rPr>
      <w:szCs w:val="20"/>
    </w:rPr>
  </w:style>
  <w:style w:type="paragraph" w:styleId="11">
    <w:name w:val="annotation text"/>
    <w:basedOn w:val="1"/>
    <w:link w:val="55"/>
    <w:semiHidden/>
    <w:unhideWhenUsed/>
    <w:qFormat/>
    <w:uiPriority w:val="99"/>
    <w:pPr>
      <w:jc w:val="left"/>
    </w:pPr>
  </w:style>
  <w:style w:type="paragraph" w:styleId="12">
    <w:name w:val="Body Text"/>
    <w:basedOn w:val="1"/>
    <w:unhideWhenUsed/>
    <w:qFormat/>
    <w:uiPriority w:val="99"/>
    <w:pPr>
      <w:spacing w:line="460" w:lineRule="exact"/>
    </w:pPr>
    <w:rPr>
      <w:rFonts w:ascii="汉鼎简楷体" w:hAnsi="宋体" w:eastAsia="汉鼎简楷体"/>
      <w:b/>
      <w:bCs/>
      <w:spacing w:val="4"/>
      <w:sz w:val="24"/>
      <w:szCs w:val="20"/>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link w:val="38"/>
    <w:unhideWhenUsed/>
    <w:qFormat/>
    <w:uiPriority w:val="99"/>
    <w:rPr>
      <w:rFonts w:ascii="宋体" w:hAnsi="Courier New" w:cs="Courier New"/>
      <w:szCs w:val="21"/>
    </w:rPr>
  </w:style>
  <w:style w:type="paragraph" w:styleId="16">
    <w:name w:val="Date"/>
    <w:basedOn w:val="1"/>
    <w:next w:val="1"/>
    <w:unhideWhenUsed/>
    <w:qFormat/>
    <w:uiPriority w:val="99"/>
    <w:rPr>
      <w:sz w:val="24"/>
      <w:szCs w:val="20"/>
    </w:rPr>
  </w:style>
  <w:style w:type="paragraph" w:styleId="17">
    <w:name w:val="Balloon Text"/>
    <w:basedOn w:val="1"/>
    <w:link w:val="57"/>
    <w:semiHidden/>
    <w:unhideWhenUsed/>
    <w:qFormat/>
    <w:uiPriority w:val="99"/>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unhideWhenUsed/>
    <w:qFormat/>
    <w:uiPriority w:val="39"/>
    <w:pPr>
      <w:tabs>
        <w:tab w:val="right" w:leader="dot" w:pos="8777"/>
      </w:tabs>
    </w:pPr>
    <w:rPr>
      <w:rFonts w:ascii="宋体" w:hAnsi="宋体"/>
      <w:b/>
      <w:kern w:val="44"/>
      <w:sz w:val="24"/>
    </w:rPr>
  </w:style>
  <w:style w:type="paragraph" w:styleId="21">
    <w:name w:val="List"/>
    <w:basedOn w:val="1"/>
    <w:qFormat/>
    <w:uiPriority w:val="0"/>
    <w:pPr>
      <w:widowControl/>
      <w:ind w:left="420" w:hanging="420"/>
      <w:jc w:val="left"/>
    </w:pPr>
    <w:rPr>
      <w:rFonts w:ascii="Arial" w:hAnsi="Arial"/>
      <w:kern w:val="0"/>
      <w:szCs w:val="21"/>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link w:val="47"/>
    <w:qFormat/>
    <w:uiPriority w:val="0"/>
    <w:pPr>
      <w:spacing w:before="240" w:after="60"/>
      <w:jc w:val="center"/>
      <w:outlineLvl w:val="0"/>
    </w:pPr>
    <w:rPr>
      <w:rFonts w:ascii="Cambria" w:hAnsi="Cambria"/>
      <w:b/>
      <w:bCs/>
      <w:kern w:val="0"/>
      <w:sz w:val="32"/>
      <w:szCs w:val="32"/>
    </w:rPr>
  </w:style>
  <w:style w:type="paragraph" w:styleId="24">
    <w:name w:val="annotation subject"/>
    <w:basedOn w:val="11"/>
    <w:next w:val="11"/>
    <w:link w:val="56"/>
    <w:semiHidden/>
    <w:unhideWhenUsed/>
    <w:qFormat/>
    <w:uiPriority w:val="99"/>
    <w:rPr>
      <w:b/>
      <w:bCs/>
    </w:rPr>
  </w:style>
  <w:style w:type="table" w:styleId="26">
    <w:name w:val="Table Grid"/>
    <w:basedOn w:val="25"/>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unhideWhenUsed/>
    <w:qFormat/>
    <w:uiPriority w:val="99"/>
  </w:style>
  <w:style w:type="character" w:styleId="29">
    <w:name w:val="FollowedHyperlink"/>
    <w:basedOn w:val="27"/>
    <w:unhideWhenUsed/>
    <w:qFormat/>
    <w:uiPriority w:val="99"/>
    <w:rPr>
      <w:color w:val="333333"/>
      <w:u w:val="none"/>
    </w:rPr>
  </w:style>
  <w:style w:type="character" w:styleId="30">
    <w:name w:val="Hyperlink"/>
    <w:basedOn w:val="27"/>
    <w:unhideWhenUsed/>
    <w:qFormat/>
    <w:uiPriority w:val="99"/>
    <w:rPr>
      <w:color w:val="333333"/>
      <w:u w:val="none"/>
    </w:rPr>
  </w:style>
  <w:style w:type="character" w:styleId="31">
    <w:name w:val="annotation reference"/>
    <w:basedOn w:val="27"/>
    <w:semiHidden/>
    <w:unhideWhenUsed/>
    <w:qFormat/>
    <w:uiPriority w:val="99"/>
    <w:rPr>
      <w:sz w:val="21"/>
      <w:szCs w:val="21"/>
    </w:rPr>
  </w:style>
  <w:style w:type="paragraph" w:customStyle="1" w:styleId="3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3">
    <w:name w:val="标题 3 Char"/>
    <w:link w:val="6"/>
    <w:qFormat/>
    <w:uiPriority w:val="0"/>
    <w:rPr>
      <w:b/>
      <w:sz w:val="32"/>
    </w:rPr>
  </w:style>
  <w:style w:type="character" w:customStyle="1" w:styleId="34">
    <w:name w:val="正文 首行缩进:  2 字符 Char"/>
    <w:link w:val="35"/>
    <w:qFormat/>
    <w:uiPriority w:val="0"/>
    <w:rPr>
      <w:rFonts w:cs="宋体"/>
      <w:kern w:val="2"/>
      <w:sz w:val="24"/>
    </w:rPr>
  </w:style>
  <w:style w:type="paragraph" w:customStyle="1" w:styleId="35">
    <w:name w:val="正文 首行缩进:  2 字符"/>
    <w:basedOn w:val="1"/>
    <w:link w:val="34"/>
    <w:qFormat/>
    <w:uiPriority w:val="0"/>
    <w:pPr>
      <w:spacing w:line="360" w:lineRule="auto"/>
      <w:ind w:firstLine="200" w:firstLineChars="200"/>
    </w:pPr>
    <w:rPr>
      <w:sz w:val="24"/>
      <w:szCs w:val="20"/>
    </w:rPr>
  </w:style>
  <w:style w:type="character" w:customStyle="1" w:styleId="36">
    <w:name w:val="paragraph1 Char"/>
    <w:link w:val="37"/>
    <w:qFormat/>
    <w:uiPriority w:val="0"/>
    <w:rPr>
      <w:rFonts w:ascii="Arial" w:hAnsi="Arial"/>
      <w:kern w:val="2"/>
      <w:sz w:val="24"/>
      <w:szCs w:val="24"/>
    </w:rPr>
  </w:style>
  <w:style w:type="paragraph" w:customStyle="1" w:styleId="37">
    <w:name w:val="paragraph1"/>
    <w:basedOn w:val="1"/>
    <w:link w:val="36"/>
    <w:qFormat/>
    <w:uiPriority w:val="0"/>
    <w:pPr>
      <w:spacing w:afterLines="30" w:line="360" w:lineRule="auto"/>
      <w:ind w:firstLine="480" w:firstLineChars="200"/>
    </w:pPr>
    <w:rPr>
      <w:rFonts w:ascii="Arial" w:hAnsi="Arial"/>
      <w:sz w:val="24"/>
    </w:rPr>
  </w:style>
  <w:style w:type="character" w:customStyle="1" w:styleId="38">
    <w:name w:val="纯文本 Char"/>
    <w:link w:val="15"/>
    <w:semiHidden/>
    <w:qFormat/>
    <w:uiPriority w:val="99"/>
    <w:rPr>
      <w:rFonts w:ascii="宋体" w:hAnsi="Courier New" w:cs="Courier New"/>
      <w:kern w:val="2"/>
      <w:sz w:val="21"/>
      <w:szCs w:val="21"/>
    </w:rPr>
  </w:style>
  <w:style w:type="character" w:customStyle="1" w:styleId="39">
    <w:name w:val="列出段落 Char1"/>
    <w:qFormat/>
    <w:locked/>
    <w:uiPriority w:val="34"/>
    <w:rPr>
      <w:kern w:val="2"/>
      <w:sz w:val="21"/>
      <w:szCs w:val="22"/>
    </w:rPr>
  </w:style>
  <w:style w:type="character" w:customStyle="1" w:styleId="40">
    <w:name w:val="列出段落 Char"/>
    <w:link w:val="41"/>
    <w:qFormat/>
    <w:locked/>
    <w:uiPriority w:val="34"/>
    <w:rPr>
      <w:rFonts w:ascii="Calibri" w:hAnsi="Calibri"/>
      <w:kern w:val="2"/>
      <w:sz w:val="21"/>
      <w:szCs w:val="22"/>
    </w:rPr>
  </w:style>
  <w:style w:type="paragraph" w:styleId="41">
    <w:name w:val="List Paragraph"/>
    <w:basedOn w:val="1"/>
    <w:link w:val="40"/>
    <w:qFormat/>
    <w:uiPriority w:val="34"/>
    <w:pPr>
      <w:ind w:firstLine="420"/>
    </w:pPr>
    <w:rPr>
      <w:szCs w:val="22"/>
    </w:rPr>
  </w:style>
  <w:style w:type="character" w:customStyle="1" w:styleId="42">
    <w:name w:val="正文缩进 Char"/>
    <w:link w:val="7"/>
    <w:qFormat/>
    <w:uiPriority w:val="0"/>
    <w:rPr>
      <w:kern w:val="2"/>
      <w:sz w:val="21"/>
    </w:rPr>
  </w:style>
  <w:style w:type="character" w:customStyle="1" w:styleId="43">
    <w:name w:val="样式 宋体 四号 加粗"/>
    <w:qFormat/>
    <w:uiPriority w:val="0"/>
    <w:rPr>
      <w:rFonts w:ascii="宋体" w:hAnsi="宋体"/>
      <w:b/>
      <w:bCs/>
      <w:sz w:val="30"/>
    </w:rPr>
  </w:style>
  <w:style w:type="character" w:customStyle="1" w:styleId="44">
    <w:name w:val="标题 6 Char"/>
    <w:link w:val="10"/>
    <w:qFormat/>
    <w:uiPriority w:val="0"/>
    <w:rPr>
      <w:rFonts w:ascii="宋体" w:hAnsi="宋体"/>
      <w:b/>
      <w:bCs/>
      <w:kern w:val="2"/>
      <w:sz w:val="24"/>
      <w:szCs w:val="24"/>
    </w:rPr>
  </w:style>
  <w:style w:type="character" w:customStyle="1" w:styleId="45">
    <w:name w:val="标题 4 Char"/>
    <w:link w:val="8"/>
    <w:qFormat/>
    <w:uiPriority w:val="0"/>
    <w:rPr>
      <w:rFonts w:ascii="宋体" w:hAnsi="宋体"/>
      <w:b/>
      <w:bCs/>
      <w:sz w:val="28"/>
      <w:szCs w:val="28"/>
      <w:lang w:eastAsia="en-US" w:bidi="ar-SA"/>
    </w:rPr>
  </w:style>
  <w:style w:type="character" w:customStyle="1" w:styleId="46">
    <w:name w:val="标题 5 Char"/>
    <w:link w:val="9"/>
    <w:qFormat/>
    <w:uiPriority w:val="0"/>
    <w:rPr>
      <w:rFonts w:ascii="宋体" w:hAnsi="宋体"/>
      <w:b/>
      <w:bCs/>
      <w:iCs/>
      <w:sz w:val="24"/>
      <w:szCs w:val="24"/>
      <w:lang w:bidi="ar-SA"/>
    </w:rPr>
  </w:style>
  <w:style w:type="character" w:customStyle="1" w:styleId="47">
    <w:name w:val="标题 Char"/>
    <w:link w:val="23"/>
    <w:qFormat/>
    <w:uiPriority w:val="0"/>
    <w:rPr>
      <w:rFonts w:ascii="Cambria" w:hAnsi="Cambria"/>
      <w:b/>
      <w:bCs/>
      <w:sz w:val="32"/>
      <w:szCs w:val="32"/>
    </w:rPr>
  </w:style>
  <w:style w:type="paragraph" w:customStyle="1" w:styleId="48">
    <w:name w:val="表格文字"/>
    <w:basedOn w:val="1"/>
    <w:next w:val="15"/>
    <w:qFormat/>
    <w:uiPriority w:val="0"/>
    <w:pPr>
      <w:numPr>
        <w:ilvl w:val="0"/>
        <w:numId w:val="2"/>
      </w:numPr>
      <w:ind w:left="0" w:firstLine="0"/>
    </w:pPr>
    <w:rPr>
      <w:rFonts w:ascii="宋体" w:hAnsi="Courier New" w:cs="Courier New"/>
      <w:szCs w:val="21"/>
    </w:rPr>
  </w:style>
  <w:style w:type="paragraph" w:customStyle="1" w:styleId="49">
    <w:name w:val="number1"/>
    <w:basedOn w:val="1"/>
    <w:qFormat/>
    <w:uiPriority w:val="0"/>
    <w:pPr>
      <w:numPr>
        <w:ilvl w:val="0"/>
        <w:numId w:val="3"/>
      </w:numPr>
      <w:spacing w:afterLines="30" w:line="360" w:lineRule="auto"/>
    </w:pPr>
    <w:rPr>
      <w:sz w:val="24"/>
    </w:rPr>
  </w:style>
  <w:style w:type="paragraph" w:customStyle="1" w:styleId="50">
    <w:name w:val="列出段落1"/>
    <w:basedOn w:val="1"/>
    <w:qFormat/>
    <w:uiPriority w:val="0"/>
    <w:pPr>
      <w:spacing w:line="360" w:lineRule="auto"/>
      <w:ind w:left="420" w:firstLine="420" w:firstLineChars="200"/>
    </w:pPr>
    <w:rPr>
      <w:szCs w:val="22"/>
    </w:rPr>
  </w:style>
  <w:style w:type="paragraph" w:customStyle="1" w:styleId="51">
    <w:name w:val="_Style 24"/>
    <w:basedOn w:val="1"/>
    <w:qFormat/>
    <w:uiPriority w:val="0"/>
    <w:rPr>
      <w:rFonts w:ascii="Tahoma" w:hAnsi="Tahoma"/>
      <w:sz w:val="24"/>
      <w:szCs w:val="20"/>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53">
    <w:name w:val="No Spacing"/>
    <w:qFormat/>
    <w:uiPriority w:val="1"/>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customStyle="1" w:styleId="54">
    <w:name w:val="p"/>
    <w:basedOn w:val="1"/>
    <w:qFormat/>
    <w:uiPriority w:val="0"/>
    <w:pPr>
      <w:widowControl/>
      <w:spacing w:line="432" w:lineRule="auto"/>
      <w:jc w:val="left"/>
    </w:pPr>
    <w:rPr>
      <w:rFonts w:ascii="宋体" w:hAnsi="宋体" w:cs="宋体"/>
      <w:kern w:val="0"/>
      <w:sz w:val="24"/>
    </w:rPr>
  </w:style>
  <w:style w:type="character" w:customStyle="1" w:styleId="55">
    <w:name w:val="批注文字 Char"/>
    <w:basedOn w:val="27"/>
    <w:link w:val="11"/>
    <w:semiHidden/>
    <w:qFormat/>
    <w:uiPriority w:val="99"/>
    <w:rPr>
      <w:kern w:val="2"/>
      <w:sz w:val="21"/>
      <w:szCs w:val="24"/>
    </w:rPr>
  </w:style>
  <w:style w:type="character" w:customStyle="1" w:styleId="56">
    <w:name w:val="批注主题 Char"/>
    <w:basedOn w:val="55"/>
    <w:link w:val="24"/>
    <w:semiHidden/>
    <w:qFormat/>
    <w:uiPriority w:val="99"/>
    <w:rPr>
      <w:b/>
      <w:bCs/>
      <w:kern w:val="2"/>
      <w:sz w:val="21"/>
      <w:szCs w:val="24"/>
    </w:rPr>
  </w:style>
  <w:style w:type="character" w:customStyle="1" w:styleId="57">
    <w:name w:val="批注框文本 Char"/>
    <w:basedOn w:val="27"/>
    <w:link w:val="17"/>
    <w:semiHidden/>
    <w:qFormat/>
    <w:uiPriority w:val="99"/>
    <w:rPr>
      <w:kern w:val="2"/>
      <w:sz w:val="18"/>
      <w:szCs w:val="18"/>
    </w:rPr>
  </w:style>
  <w:style w:type="character" w:customStyle="1" w:styleId="58">
    <w:name w:val="Char Char Char1"/>
    <w:qFormat/>
    <w:uiPriority w:val="0"/>
    <w:rPr>
      <w:rFonts w:ascii="Tahoma" w:hAnsi="Tahoma" w:eastAsia="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hnqc</Company>
  <Pages>38</Pages>
  <Words>2139</Words>
  <Characters>12193</Characters>
  <Lines>101</Lines>
  <Paragraphs>28</Paragraphs>
  <TotalTime>13</TotalTime>
  <ScaleCrop>false</ScaleCrop>
  <LinksUpToDate>false</LinksUpToDate>
  <CharactersWithSpaces>14304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2018-09-13T07:13:00Z</dcterms:created>
  <dc:creator>Benlooto</dc:creator>
  <cp:lastModifiedBy>NTKO</cp:lastModifiedBy>
  <cp:lastPrinted>2018-09-14T02:30:00Z</cp:lastPrinted>
  <dcterms:modified xsi:type="dcterms:W3CDTF">2020-11-09T09:19:19Z</dcterms:modified>
  <dc:title>_x0001_</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