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河南省化工研究所有限责任公司二噁英检测与控制</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工程技术研究中心基础配套设施维修改造工程项目</w:t>
      </w:r>
    </w:p>
    <w:p>
      <w:pPr>
        <w:rPr>
          <w:rFonts w:ascii="宋体" w:hAnsi="宋体" w:cs="宋体"/>
          <w:color w:val="auto"/>
          <w:highlight w:val="none"/>
        </w:rPr>
      </w:pPr>
    </w:p>
    <w:p>
      <w:pPr>
        <w:spacing w:line="520" w:lineRule="exact"/>
        <w:jc w:val="center"/>
        <w:rPr>
          <w:rFonts w:ascii="宋体" w:hAnsi="宋体" w:cs="宋体"/>
          <w:b/>
          <w:bCs/>
          <w:color w:val="auto"/>
          <w:kern w:val="0"/>
          <w:sz w:val="44"/>
          <w:szCs w:val="44"/>
          <w:highlight w:val="none"/>
        </w:rPr>
      </w:pPr>
    </w:p>
    <w:p>
      <w:pPr>
        <w:spacing w:line="520" w:lineRule="exact"/>
        <w:rPr>
          <w:rFonts w:ascii="宋体" w:hAnsi="宋体" w:cs="宋体"/>
          <w:bCs/>
          <w:color w:val="auto"/>
          <w:kern w:val="0"/>
          <w:sz w:val="52"/>
          <w:szCs w:val="52"/>
          <w:highlight w:val="none"/>
        </w:rPr>
      </w:pPr>
    </w:p>
    <w:p>
      <w:pPr>
        <w:pStyle w:val="3"/>
        <w:spacing w:line="520" w:lineRule="exact"/>
        <w:rPr>
          <w:rFonts w:ascii="宋体" w:hAnsi="宋体" w:cs="宋体"/>
          <w:bCs/>
          <w:color w:val="auto"/>
          <w:sz w:val="52"/>
          <w:szCs w:val="52"/>
          <w:highlight w:val="none"/>
        </w:rPr>
      </w:pPr>
    </w:p>
    <w:p>
      <w:pPr>
        <w:pStyle w:val="3"/>
        <w:spacing w:line="520" w:lineRule="exact"/>
        <w:rPr>
          <w:rFonts w:ascii="宋体" w:hAnsi="宋体" w:cs="宋体"/>
          <w:bCs/>
          <w:color w:val="auto"/>
          <w:sz w:val="52"/>
          <w:szCs w:val="52"/>
          <w:highlight w:val="none"/>
        </w:rPr>
      </w:pPr>
    </w:p>
    <w:p>
      <w:pPr>
        <w:spacing w:line="520" w:lineRule="exact"/>
        <w:rPr>
          <w:rFonts w:ascii="宋体" w:hAnsi="宋体" w:cs="宋体"/>
          <w:bCs/>
          <w:color w:val="auto"/>
          <w:kern w:val="0"/>
          <w:sz w:val="52"/>
          <w:szCs w:val="52"/>
          <w:highlight w:val="none"/>
        </w:rPr>
      </w:pPr>
    </w:p>
    <w:p>
      <w:pPr>
        <w:spacing w:line="520" w:lineRule="exact"/>
        <w:rPr>
          <w:rFonts w:ascii="宋体" w:hAnsi="宋体" w:cs="宋体"/>
          <w:bCs/>
          <w:color w:val="auto"/>
          <w:kern w:val="0"/>
          <w:sz w:val="52"/>
          <w:szCs w:val="52"/>
          <w:highlight w:val="none"/>
        </w:rPr>
      </w:pPr>
    </w:p>
    <w:p>
      <w:pPr>
        <w:spacing w:line="52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竞  争  性 磋 商 文 件</w:t>
      </w:r>
    </w:p>
    <w:p>
      <w:pPr>
        <w:spacing w:line="520" w:lineRule="exact"/>
        <w:jc w:val="center"/>
        <w:rPr>
          <w:rFonts w:ascii="宋体" w:hAnsi="宋体" w:cs="宋体"/>
          <w:color w:val="auto"/>
          <w:sz w:val="32"/>
          <w:szCs w:val="32"/>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HNZB[2020]N0957</w:t>
      </w:r>
      <w:r>
        <w:rPr>
          <w:rFonts w:hint="eastAsia" w:ascii="宋体" w:hAnsi="宋体" w:cs="宋体"/>
          <w:color w:val="auto"/>
          <w:sz w:val="30"/>
          <w:szCs w:val="30"/>
          <w:highlight w:val="none"/>
        </w:rPr>
        <w:t>号</w:t>
      </w:r>
    </w:p>
    <w:p>
      <w:pPr>
        <w:spacing w:line="520" w:lineRule="exact"/>
        <w:jc w:val="center"/>
        <w:rPr>
          <w:rFonts w:ascii="宋体" w:hAnsi="宋体" w:cs="宋体"/>
          <w:color w:val="auto"/>
          <w:sz w:val="30"/>
          <w:szCs w:val="30"/>
          <w:highlight w:val="none"/>
        </w:rPr>
      </w:pPr>
    </w:p>
    <w:p>
      <w:pPr>
        <w:adjustRightInd w:val="0"/>
        <w:snapToGrid w:val="0"/>
        <w:jc w:val="center"/>
        <w:rPr>
          <w:rFonts w:ascii="宋体" w:hAnsi="宋体" w:cs="宋体"/>
          <w:b/>
          <w:color w:val="auto"/>
          <w:sz w:val="36"/>
          <w:highlight w:val="none"/>
        </w:rPr>
      </w:pPr>
    </w:p>
    <w:p>
      <w:pPr>
        <w:adjustRightInd w:val="0"/>
        <w:snapToGrid w:val="0"/>
        <w:spacing w:line="360" w:lineRule="auto"/>
        <w:jc w:val="center"/>
        <w:rPr>
          <w:rFonts w:ascii="宋体" w:hAnsi="宋体" w:cs="宋体"/>
          <w:b/>
          <w:color w:val="auto"/>
          <w:highlight w:val="none"/>
        </w:rPr>
      </w:pPr>
    </w:p>
    <w:p>
      <w:pPr>
        <w:adjustRightInd w:val="0"/>
        <w:snapToGrid w:val="0"/>
        <w:spacing w:line="360" w:lineRule="auto"/>
        <w:jc w:val="center"/>
        <w:rPr>
          <w:rFonts w:ascii="宋体" w:hAnsi="宋体" w:cs="宋体"/>
          <w:b/>
          <w:color w:val="auto"/>
          <w:highlight w:val="none"/>
        </w:rPr>
      </w:pPr>
    </w:p>
    <w:p>
      <w:pPr>
        <w:pStyle w:val="5"/>
        <w:rPr>
          <w:rFonts w:cs="宋体"/>
          <w:b w:val="0"/>
          <w:color w:val="auto"/>
          <w:highlight w:val="none"/>
        </w:rPr>
      </w:pPr>
    </w:p>
    <w:p>
      <w:pPr>
        <w:rPr>
          <w:rFonts w:ascii="宋体" w:hAnsi="宋体" w:cs="宋体"/>
          <w:b/>
          <w:color w:val="auto"/>
          <w:highlight w:val="none"/>
        </w:rPr>
      </w:pPr>
    </w:p>
    <w:p>
      <w:pPr>
        <w:pStyle w:val="5"/>
        <w:rPr>
          <w:rFonts w:cs="宋体"/>
          <w:b w:val="0"/>
          <w:color w:val="auto"/>
          <w:highlight w:val="none"/>
        </w:rPr>
      </w:pPr>
    </w:p>
    <w:p>
      <w:pPr>
        <w:rPr>
          <w:rFonts w:ascii="宋体" w:hAnsi="宋体" w:cs="宋体"/>
          <w:color w:val="auto"/>
          <w:highlight w:val="none"/>
        </w:rPr>
      </w:pPr>
    </w:p>
    <w:p>
      <w:pPr>
        <w:rPr>
          <w:rFonts w:ascii="宋体" w:hAnsi="宋体" w:cs="宋体"/>
          <w:color w:val="auto"/>
          <w:highlight w:val="none"/>
        </w:rPr>
      </w:pPr>
      <w:r>
        <w:rPr>
          <w:rFonts w:ascii="宋体" w:hAnsi="宋体" w:cs="宋体"/>
          <w:b/>
          <w:bCs/>
          <w:color w:val="auto"/>
          <w:sz w:val="32"/>
          <w:highlight w:val="none"/>
        </w:rPr>
        <w:pict>
          <v:shape id="_x0000_s1028" o:spid="_x0000_s1028" o:spt="75" type="#_x0000_t75" style="position:absolute;left:0pt;margin-left:70.55pt;margin-top:38.85pt;height:36.9pt;width:336pt;mso-wrap-distance-bottom:0pt;mso-wrap-distance-top:0pt;z-index:251657216;mso-width-relative:page;mso-height-relative:page;" o:ole="t" filled="f" o:preferrelative="t" stroked="f" coordsize="21600,21600">
            <v:path/>
            <v:fill on="f" focussize="0,0"/>
            <v:stroke on="f" joinstyle="miter"/>
            <v:imagedata r:id="rId9" cropbottom="13918f" o:title=""/>
            <o:lock v:ext="edit" aspectratio="t"/>
            <w10:wrap type="topAndBottom"/>
          </v:shape>
          <o:OLEObject Type="Embed" ProgID="Word.Picture.8" ShapeID="_x0000_s1028" DrawAspect="Content" ObjectID="_1468075725" r:id="rId8">
            <o:LockedField>false</o:LockedField>
          </o:OLEObject>
        </w:pict>
      </w:r>
    </w:p>
    <w:p>
      <w:pPr>
        <w:rPr>
          <w:rFonts w:ascii="宋体" w:hAnsi="宋体" w:cs="宋体"/>
          <w:color w:val="auto"/>
          <w:highlight w:val="none"/>
        </w:rPr>
      </w:pPr>
    </w:p>
    <w:p>
      <w:pPr>
        <w:spacing w:line="520" w:lineRule="exact"/>
        <w:ind w:firstLine="800" w:firstLineChars="250"/>
        <w:rPr>
          <w:rFonts w:ascii="宋体" w:hAnsi="宋体" w:cs="宋体"/>
          <w:b/>
          <w:color w:val="auto"/>
          <w:sz w:val="24"/>
          <w:highlight w:val="none"/>
        </w:rPr>
      </w:pPr>
      <w:r>
        <w:rPr>
          <w:rFonts w:ascii="宋体" w:hAnsi="宋体" w:cs="宋体"/>
          <w:b/>
          <w:bCs/>
          <w:color w:val="auto"/>
          <w:sz w:val="32"/>
          <w:highlight w:val="none"/>
        </w:rPr>
        <w:pict>
          <v:shape id="图片 1" o:spid="_x0000_s1029" o:spt="75" alt="公司徽标" type="#_x0000_t75" style="position:absolute;left:0pt;margin-left:11.7pt;margin-top:6.7pt;height:37.1pt;width:54pt;z-index:251658240;mso-width-relative:page;mso-height-relative:page;" filled="f" o:preferrelative="t" stroked="f" coordsize="21600,21600">
            <v:path/>
            <v:fill on="f" focussize="0,0"/>
            <v:stroke on="f" joinstyle="miter"/>
            <v:imagedata r:id="rId10" o:title="公司徽标"/>
            <o:lock v:ext="edit" aspectratio="t"/>
          </v:shape>
        </w:pict>
      </w:r>
      <w:r>
        <w:rPr>
          <w:rFonts w:hint="eastAsia" w:ascii="宋体" w:hAnsi="宋体" w:cs="宋体"/>
          <w:b/>
          <w:bCs/>
          <w:color w:val="auto"/>
          <w:sz w:val="32"/>
          <w:highlight w:val="none"/>
        </w:rPr>
        <w:t>HENAN TENDER-PURCHASE SERVICE CO.，LTD.</w:t>
      </w:r>
    </w:p>
    <w:p>
      <w:pPr>
        <w:spacing w:beforeLines="50" w:afterLines="50" w:line="300" w:lineRule="exact"/>
        <w:jc w:val="center"/>
        <w:rPr>
          <w:rFonts w:ascii="宋体" w:hAnsi="宋体" w:cs="宋体"/>
          <w:b/>
          <w:bCs/>
          <w:color w:val="auto"/>
          <w:sz w:val="36"/>
          <w:szCs w:val="36"/>
          <w:highlight w:val="none"/>
        </w:rPr>
      </w:pPr>
    </w:p>
    <w:p>
      <w:pPr>
        <w:spacing w:beforeLines="50" w:afterLines="50"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28"/>
        <w:tabs>
          <w:tab w:val="right" w:leader="dot" w:pos="8779"/>
        </w:tabs>
        <w:spacing w:line="360" w:lineRule="auto"/>
        <w:rPr>
          <w:rFonts w:ascii="宋体" w:hAnsi="宋体" w:cs="宋体"/>
          <w:color w:val="auto"/>
          <w:sz w:val="28"/>
          <w:szCs w:val="28"/>
          <w:highlight w:val="none"/>
        </w:rPr>
      </w:pPr>
      <w:r>
        <w:rPr>
          <w:rFonts w:hint="eastAsia" w:ascii="宋体" w:hAnsi="宋体" w:cs="宋体"/>
          <w:bCs/>
          <w:color w:val="auto"/>
          <w:sz w:val="28"/>
          <w:szCs w:val="28"/>
          <w:highlight w:val="none"/>
        </w:rPr>
        <w:fldChar w:fldCharType="begin"/>
      </w:r>
      <w:r>
        <w:rPr>
          <w:rStyle w:val="44"/>
          <w:rFonts w:hint="eastAsia" w:ascii="宋体" w:hAnsi="宋体" w:cs="宋体"/>
          <w:bCs/>
          <w:color w:val="auto"/>
          <w:sz w:val="28"/>
          <w:szCs w:val="28"/>
          <w:highlight w:val="none"/>
        </w:rPr>
        <w:instrText xml:space="preserve"> TOC \o "1-3" \h \z \u </w:instrText>
      </w:r>
      <w:r>
        <w:rPr>
          <w:rFonts w:hint="eastAsia" w:ascii="宋体" w:hAnsi="宋体" w:cs="宋体"/>
          <w:bCs/>
          <w:color w:val="auto"/>
          <w:sz w:val="28"/>
          <w:szCs w:val="28"/>
          <w:highlight w:val="none"/>
        </w:rPr>
        <w:fldChar w:fldCharType="separate"/>
      </w:r>
      <w:r>
        <w:rPr>
          <w:color w:val="auto"/>
          <w:highlight w:val="none"/>
        </w:rPr>
        <w:fldChar w:fldCharType="begin"/>
      </w:r>
      <w:r>
        <w:rPr>
          <w:color w:val="auto"/>
          <w:highlight w:val="none"/>
        </w:rPr>
        <w:instrText xml:space="preserve"> HYPERLINK \l "_Toc36552991" </w:instrText>
      </w:r>
      <w:r>
        <w:rPr>
          <w:color w:val="auto"/>
          <w:highlight w:val="none"/>
        </w:rPr>
        <w:fldChar w:fldCharType="separate"/>
      </w:r>
      <w:r>
        <w:rPr>
          <w:rStyle w:val="44"/>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_Toc36552991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8"/>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"_Toc36553001" </w:instrText>
      </w:r>
      <w:r>
        <w:rPr>
          <w:color w:val="auto"/>
          <w:highlight w:val="none"/>
        </w:rPr>
        <w:fldChar w:fldCharType="separate"/>
      </w:r>
      <w:r>
        <w:rPr>
          <w:rStyle w:val="44"/>
          <w:rFonts w:hint="eastAsia" w:ascii="宋体" w:hAnsi="宋体" w:cs="宋体"/>
          <w:color w:val="auto"/>
          <w:sz w:val="28"/>
          <w:szCs w:val="28"/>
          <w:highlight w:val="none"/>
        </w:rPr>
        <w:t>第二章  磋商须知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_Toc36553001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32"/>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"_Toc36553002" </w:instrText>
      </w:r>
      <w:r>
        <w:rPr>
          <w:color w:val="auto"/>
          <w:highlight w:val="none"/>
        </w:rPr>
        <w:fldChar w:fldCharType="separate"/>
      </w:r>
      <w:r>
        <w:rPr>
          <w:rStyle w:val="44"/>
          <w:rFonts w:hint="eastAsia" w:ascii="宋体" w:hAnsi="宋体" w:cs="宋体"/>
          <w:color w:val="auto"/>
          <w:sz w:val="28"/>
          <w:szCs w:val="28"/>
          <w:highlight w:val="none"/>
        </w:rPr>
        <w:t>磋商</w:t>
      </w:r>
      <w:r>
        <w:rPr>
          <w:rStyle w:val="44"/>
          <w:rFonts w:hint="eastAsia" w:ascii="宋体" w:hAnsi="宋体" w:cs="宋体"/>
          <w:bCs/>
          <w:color w:val="auto"/>
          <w:sz w:val="28"/>
          <w:szCs w:val="28"/>
          <w:highlight w:val="none"/>
        </w:rPr>
        <w:t>供应商</w:t>
      </w:r>
      <w:r>
        <w:rPr>
          <w:rStyle w:val="44"/>
          <w:rFonts w:hint="eastAsia" w:ascii="宋体" w:hAnsi="宋体" w:cs="宋体"/>
          <w:color w:val="auto"/>
          <w:sz w:val="28"/>
          <w:szCs w:val="28"/>
          <w:highlight w:val="none"/>
        </w:rPr>
        <w:t>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_Toc36553002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8"/>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"_Toc36553018" </w:instrText>
      </w:r>
      <w:r>
        <w:rPr>
          <w:color w:val="auto"/>
          <w:highlight w:val="none"/>
        </w:rPr>
        <w:fldChar w:fldCharType="separate"/>
      </w:r>
      <w:r>
        <w:rPr>
          <w:rStyle w:val="44"/>
          <w:rFonts w:hint="eastAsia" w:ascii="宋体" w:hAnsi="宋体" w:cs="宋体"/>
          <w:color w:val="auto"/>
          <w:sz w:val="28"/>
          <w:szCs w:val="28"/>
          <w:highlight w:val="none"/>
        </w:rPr>
        <w:t>附件：综合评分法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_Toc36553018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8"/>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"_Toc36553019" </w:instrText>
      </w:r>
      <w:r>
        <w:rPr>
          <w:color w:val="auto"/>
          <w:highlight w:val="none"/>
        </w:rPr>
        <w:fldChar w:fldCharType="separate"/>
      </w:r>
      <w:r>
        <w:rPr>
          <w:rStyle w:val="44"/>
          <w:rFonts w:hint="eastAsia" w:ascii="宋体" w:hAnsi="宋体" w:cs="宋体"/>
          <w:color w:val="auto"/>
          <w:sz w:val="28"/>
          <w:szCs w:val="28"/>
          <w:highlight w:val="none"/>
        </w:rPr>
        <w:t>第三章  项目要求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_Toc36553019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8"/>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"_Toc36553021" </w:instrText>
      </w:r>
      <w:r>
        <w:rPr>
          <w:color w:val="auto"/>
          <w:highlight w:val="none"/>
        </w:rPr>
        <w:fldChar w:fldCharType="separate"/>
      </w:r>
      <w:r>
        <w:rPr>
          <w:rStyle w:val="44"/>
          <w:rFonts w:hint="eastAsia" w:ascii="宋体" w:hAnsi="宋体" w:cs="宋体"/>
          <w:color w:val="auto"/>
          <w:sz w:val="28"/>
          <w:szCs w:val="28"/>
          <w:highlight w:val="none"/>
        </w:rPr>
        <w:t>第四章  合同格式及主要条款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_Toc36553021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28"/>
        <w:tabs>
          <w:tab w:val="right" w:leader="dot" w:pos="87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"_Toc36553047" </w:instrText>
      </w:r>
      <w:r>
        <w:rPr>
          <w:color w:val="auto"/>
          <w:highlight w:val="none"/>
        </w:rPr>
        <w:fldChar w:fldCharType="separate"/>
      </w:r>
      <w:r>
        <w:rPr>
          <w:rStyle w:val="44"/>
          <w:rFonts w:hint="eastAsia" w:ascii="宋体" w:hAnsi="宋体" w:cs="宋体"/>
          <w:color w:val="auto"/>
          <w:sz w:val="28"/>
          <w:szCs w:val="28"/>
          <w:highlight w:val="none"/>
        </w:rPr>
        <w:t>第五章  磋商响应文件格式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_Toc36553047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32"/>
        <w:tabs>
          <w:tab w:val="right" w:leader="dot" w:pos="8779"/>
        </w:tabs>
        <w:spacing w:line="360" w:lineRule="auto"/>
        <w:rPr>
          <w:rFonts w:ascii="宋体" w:hAnsi="宋体" w:cs="宋体"/>
          <w:color w:val="auto"/>
          <w:sz w:val="28"/>
          <w:szCs w:val="28"/>
          <w:highlight w:val="none"/>
        </w:rPr>
      </w:pPr>
    </w:p>
    <w:p>
      <w:pPr>
        <w:spacing w:line="360" w:lineRule="auto"/>
        <w:rPr>
          <w:rFonts w:ascii="宋体" w:hAnsi="宋体" w:cs="宋体"/>
          <w:color w:val="auto"/>
          <w:sz w:val="24"/>
          <w:highlight w:val="none"/>
        </w:rPr>
      </w:pPr>
      <w:r>
        <w:rPr>
          <w:rFonts w:hint="eastAsia" w:ascii="宋体" w:hAnsi="宋体" w:cs="宋体"/>
          <w:color w:val="auto"/>
          <w:sz w:val="28"/>
          <w:szCs w:val="28"/>
          <w:highlight w:val="none"/>
        </w:rPr>
        <w:fldChar w:fldCharType="end"/>
      </w:r>
      <w:bookmarkStart w:id="0" w:name="_Toc272497726"/>
      <w:bookmarkStart w:id="1" w:name="_Toc271725581"/>
    </w:p>
    <w:p>
      <w:pPr>
        <w:pStyle w:val="5"/>
        <w:jc w:val="left"/>
        <w:rPr>
          <w:rFonts w:cs="宋体"/>
          <w:color w:val="auto"/>
          <w:highlight w:val="none"/>
        </w:rPr>
      </w:pPr>
    </w:p>
    <w:p>
      <w:pPr>
        <w:jc w:val="left"/>
        <w:rPr>
          <w:rFonts w:ascii="宋体" w:hAnsi="宋体" w:cs="宋体"/>
          <w:color w:val="auto"/>
          <w:highlight w:val="none"/>
        </w:rPr>
      </w:pPr>
    </w:p>
    <w:p>
      <w:pPr>
        <w:pStyle w:val="5"/>
        <w:jc w:val="left"/>
        <w:rPr>
          <w:rFonts w:cs="宋体"/>
          <w:color w:val="auto"/>
          <w:highlight w:val="none"/>
        </w:rPr>
      </w:pPr>
    </w:p>
    <w:p>
      <w:pPr>
        <w:jc w:val="left"/>
        <w:rPr>
          <w:rFonts w:ascii="宋体" w:hAnsi="宋体" w:cs="宋体"/>
          <w:color w:val="auto"/>
          <w:highlight w:val="none"/>
        </w:rPr>
      </w:pPr>
    </w:p>
    <w:p>
      <w:pPr>
        <w:pStyle w:val="4"/>
        <w:rPr>
          <w:rFonts w:cs="宋体"/>
          <w:color w:val="auto"/>
          <w:highlight w:val="none"/>
        </w:rPr>
      </w:pPr>
      <w:r>
        <w:rPr>
          <w:rFonts w:hint="eastAsia" w:cs="宋体"/>
          <w:bCs/>
          <w:color w:val="auto"/>
          <w:highlight w:val="none"/>
        </w:rPr>
        <w:br w:type="page"/>
      </w:r>
      <w:bookmarkStart w:id="2" w:name="_Toc36552991"/>
      <w:r>
        <w:rPr>
          <w:rFonts w:hint="eastAsia" w:cs="宋体"/>
          <w:color w:val="auto"/>
          <w:highlight w:val="none"/>
        </w:rPr>
        <w:t>第一章  竞争性磋商公告</w:t>
      </w:r>
      <w:bookmarkEnd w:id="2"/>
    </w:p>
    <w:p>
      <w:pPr>
        <w:pStyle w:val="124"/>
        <w:jc w:val="center"/>
        <w:rPr>
          <w:b/>
          <w:color w:val="auto"/>
          <w:kern w:val="2"/>
          <w:sz w:val="32"/>
          <w:szCs w:val="32"/>
          <w:highlight w:val="none"/>
        </w:rPr>
      </w:pPr>
      <w:r>
        <w:rPr>
          <w:rFonts w:hint="eastAsia"/>
          <w:b/>
          <w:color w:val="auto"/>
          <w:kern w:val="2"/>
          <w:sz w:val="30"/>
          <w:szCs w:val="30"/>
          <w:highlight w:val="none"/>
        </w:rPr>
        <w:t>河南省化工研究所有限责任公司二噁英检测与控制工程技术研究中心基础配套设施维修改造工程项目竞争性磋商</w:t>
      </w:r>
      <w:r>
        <w:rPr>
          <w:rFonts w:hint="eastAsia"/>
          <w:b/>
          <w:color w:val="auto"/>
          <w:sz w:val="30"/>
          <w:szCs w:val="30"/>
          <w:highlight w:val="none"/>
        </w:rPr>
        <w:t>公</w:t>
      </w:r>
      <w:r>
        <w:rPr>
          <w:rFonts w:hint="eastAsia"/>
          <w:b/>
          <w:color w:val="auto"/>
          <w:sz w:val="32"/>
          <w:szCs w:val="32"/>
          <w:highlight w:val="none"/>
        </w:rPr>
        <w:t>告</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采购编号：</w:t>
      </w:r>
      <w:r>
        <w:rPr>
          <w:rFonts w:hint="eastAsia" w:ascii="宋体" w:hAnsi="宋体" w:cs="宋体"/>
          <w:b/>
          <w:bCs/>
          <w:color w:val="auto"/>
          <w:sz w:val="24"/>
          <w:highlight w:val="none"/>
          <w:lang w:eastAsia="zh-CN"/>
        </w:rPr>
        <w:t>HNZB[2020]N0957</w:t>
      </w:r>
      <w:r>
        <w:rPr>
          <w:rFonts w:hint="eastAsia" w:ascii="宋体" w:hAnsi="宋体" w:cs="宋体"/>
          <w:b/>
          <w:bCs/>
          <w:color w:val="auto"/>
          <w:sz w:val="24"/>
          <w:highlight w:val="none"/>
        </w:rPr>
        <w:t>号</w:t>
      </w:r>
    </w:p>
    <w:p>
      <w:pPr>
        <w:pStyle w:val="113"/>
        <w:spacing w:before="0" w:line="360" w:lineRule="auto"/>
        <w:rPr>
          <w:rFonts w:hint="eastAsia" w:ascii="宋体" w:hAnsi="宋体" w:eastAsia="宋体" w:cs="宋体"/>
          <w:color w:val="auto"/>
          <w:sz w:val="24"/>
          <w:szCs w:val="24"/>
          <w:highlight w:val="none"/>
        </w:rPr>
      </w:pPr>
      <w:bookmarkStart w:id="3" w:name="_Toc488675811"/>
      <w:bookmarkStart w:id="4" w:name="_Toc36552992"/>
      <w:r>
        <w:rPr>
          <w:rFonts w:hint="eastAsia" w:ascii="宋体" w:hAnsi="宋体" w:eastAsia="宋体" w:cs="宋体"/>
          <w:b/>
          <w:bCs/>
          <w:color w:val="auto"/>
          <w:sz w:val="24"/>
          <w:szCs w:val="24"/>
          <w:highlight w:val="none"/>
        </w:rPr>
        <w:t>1、招标条件</w:t>
      </w:r>
      <w:bookmarkEnd w:id="3"/>
      <w:bookmarkEnd w:id="4"/>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河南招标采购服务有限公司受河南省化工研究所有限责任公司的委托，就二噁英检测与控制工程技术研究中心基础配套设施维修改造工程项目进行竞争性磋商。</w:t>
      </w:r>
    </w:p>
    <w:p>
      <w:pPr>
        <w:pStyle w:val="113"/>
        <w:spacing w:before="0" w:line="360" w:lineRule="auto"/>
        <w:rPr>
          <w:rFonts w:hint="eastAsia" w:ascii="宋体" w:hAnsi="宋体" w:eastAsia="宋体" w:cs="宋体"/>
          <w:b/>
          <w:bCs/>
          <w:color w:val="auto"/>
          <w:sz w:val="24"/>
          <w:szCs w:val="24"/>
          <w:highlight w:val="none"/>
        </w:rPr>
      </w:pPr>
      <w:bookmarkStart w:id="5" w:name="_Toc488675812"/>
      <w:bookmarkStart w:id="6" w:name="_Toc36552993"/>
      <w:r>
        <w:rPr>
          <w:rFonts w:hint="eastAsia" w:ascii="宋体" w:hAnsi="宋体" w:eastAsia="宋体" w:cs="宋体"/>
          <w:b/>
          <w:bCs/>
          <w:color w:val="auto"/>
          <w:sz w:val="24"/>
          <w:szCs w:val="24"/>
          <w:highlight w:val="none"/>
        </w:rPr>
        <w:t>2、项目概况与招标范围</w:t>
      </w:r>
      <w:bookmarkEnd w:id="5"/>
      <w:bookmarkEnd w:id="6"/>
    </w:p>
    <w:p>
      <w:pPr>
        <w:pStyle w:val="113"/>
        <w:spacing w:before="0"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2.1、项目名称：河南省化工研究所有限责任公司二噁英检测与控制工程技术研究中心基础配套设施维修改造工程项目</w:t>
      </w:r>
      <w:r>
        <w:rPr>
          <w:rFonts w:hint="eastAsia" w:ascii="宋体" w:hAnsi="宋体" w:eastAsia="宋体" w:cs="宋体"/>
          <w:color w:val="auto"/>
          <w:sz w:val="24"/>
          <w:highlight w:val="none"/>
        </w:rPr>
        <w:t>；</w:t>
      </w:r>
      <w:bookmarkStart w:id="144" w:name="_GoBack"/>
      <w:bookmarkEnd w:id="144"/>
    </w:p>
    <w:p>
      <w:pPr>
        <w:pStyle w:val="113"/>
        <w:spacing w:before="0"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2.2、采购编号：</w:t>
      </w:r>
      <w:r>
        <w:rPr>
          <w:rFonts w:hint="eastAsia" w:ascii="宋体" w:hAnsi="宋体" w:eastAsia="宋体" w:cs="宋体"/>
          <w:color w:val="auto"/>
          <w:kern w:val="0"/>
          <w:sz w:val="24"/>
          <w:highlight w:val="none"/>
          <w:lang w:eastAsia="zh-CN"/>
        </w:rPr>
        <w:t>HNZB[2020]N0957</w:t>
      </w:r>
      <w:r>
        <w:rPr>
          <w:rFonts w:hint="eastAsia" w:ascii="宋体" w:hAnsi="宋体" w:eastAsia="宋体" w:cs="宋体"/>
          <w:color w:val="auto"/>
          <w:kern w:val="0"/>
          <w:sz w:val="24"/>
          <w:highlight w:val="none"/>
        </w:rPr>
        <w:t>号；</w:t>
      </w:r>
    </w:p>
    <w:p>
      <w:pPr>
        <w:spacing w:line="360" w:lineRule="auto"/>
        <w:ind w:left="602" w:hanging="600" w:hangingChars="250"/>
        <w:rPr>
          <w:rFonts w:hint="eastAsia" w:ascii="宋体" w:hAnsi="宋体" w:eastAsia="宋体" w:cs="宋体"/>
          <w:color w:val="auto"/>
          <w:sz w:val="24"/>
          <w:highlight w:val="none"/>
        </w:rPr>
      </w:pPr>
      <w:r>
        <w:rPr>
          <w:rFonts w:hint="eastAsia" w:ascii="宋体" w:hAnsi="宋体" w:eastAsia="宋体" w:cs="宋体"/>
          <w:b w:val="0"/>
          <w:bCs w:val="0"/>
          <w:color w:val="auto"/>
          <w:kern w:val="0"/>
          <w:sz w:val="24"/>
          <w:highlight w:val="none"/>
        </w:rPr>
        <w:t>2.3、项目地点：</w:t>
      </w:r>
      <w:r>
        <w:rPr>
          <w:rFonts w:hint="eastAsia" w:ascii="宋体" w:hAnsi="宋体" w:eastAsia="宋体" w:cs="宋体"/>
          <w:color w:val="auto"/>
          <w:sz w:val="24"/>
          <w:highlight w:val="none"/>
        </w:rPr>
        <w:t>新乡平原新区河南省化工研究所有限责任公司生产试验基地；</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w:t>
      </w:r>
      <w:r>
        <w:rPr>
          <w:rFonts w:hint="eastAsia" w:ascii="宋体" w:hAnsi="宋体" w:eastAsia="宋体" w:cs="宋体"/>
          <w:color w:val="auto"/>
          <w:sz w:val="24"/>
          <w:highlight w:val="none"/>
        </w:rPr>
        <w:t>资金来源：财政资金；</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w:t>
      </w:r>
      <w:r>
        <w:rPr>
          <w:rFonts w:hint="eastAsia" w:ascii="宋体" w:hAnsi="宋体" w:eastAsia="宋体" w:cs="宋体"/>
          <w:b/>
          <w:bCs/>
          <w:color w:val="auto"/>
          <w:kern w:val="0"/>
          <w:sz w:val="24"/>
          <w:highlight w:val="none"/>
        </w:rPr>
        <w:t>项目本次招标预算：125</w:t>
      </w:r>
      <w:r>
        <w:rPr>
          <w:rFonts w:hint="eastAsia" w:ascii="宋体" w:hAnsi="宋体" w:cs="宋体"/>
          <w:b/>
          <w:bCs/>
          <w:color w:val="auto"/>
          <w:kern w:val="0"/>
          <w:sz w:val="24"/>
          <w:highlight w:val="none"/>
          <w:lang w:val="en-US" w:eastAsia="zh-CN"/>
        </w:rPr>
        <w:t>0000</w:t>
      </w:r>
      <w:r>
        <w:rPr>
          <w:rFonts w:hint="eastAsia" w:ascii="宋体" w:hAnsi="宋体" w:eastAsia="宋体" w:cs="宋体"/>
          <w:b/>
          <w:bCs/>
          <w:color w:val="auto"/>
          <w:kern w:val="0"/>
          <w:sz w:val="24"/>
          <w:highlight w:val="none"/>
        </w:rPr>
        <w:t>元</w:t>
      </w:r>
      <w:r>
        <w:rPr>
          <w:rFonts w:hint="eastAsia" w:ascii="宋体" w:hAnsi="宋体" w:eastAsia="宋体" w:cs="宋体"/>
          <w:b/>
          <w:bCs/>
          <w:color w:val="auto"/>
          <w:kern w:val="0"/>
          <w:sz w:val="24"/>
          <w:highlight w:val="none"/>
          <w:lang w:val="zh-CN"/>
        </w:rPr>
        <w:t xml:space="preserve"> ，招标控制价</w:t>
      </w:r>
      <w:r>
        <w:rPr>
          <w:rFonts w:hint="eastAsia" w:ascii="宋体" w:hAnsi="宋体" w:eastAsia="宋体" w:cs="宋体"/>
          <w:b/>
          <w:bCs/>
          <w:color w:val="auto"/>
          <w:kern w:val="0"/>
          <w:sz w:val="24"/>
          <w:highlight w:val="none"/>
        </w:rPr>
        <w:t>：1249946.3元</w:t>
      </w:r>
    </w:p>
    <w:p>
      <w:pPr>
        <w:spacing w:line="360" w:lineRule="auto"/>
        <w:ind w:left="480" w:hanging="480" w:hanging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2.6、采购范围及内容：</w:t>
      </w:r>
    </w:p>
    <w:p>
      <w:pPr>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二噁英检测与控制工程技术研究中心基础配套设施维修改造，主要内容包括：基础设施维修改造、消防设施维修改造、供水供电系统改造、实验楼外墙粉刷、会议室装修、危险废物物联网及易制爆化学品监控系统设备安装、办公楼数字监控系统等本项目竞争性磋商文件等包含的全部内容。</w:t>
      </w:r>
    </w:p>
    <w:p>
      <w:pPr>
        <w:spacing w:line="360" w:lineRule="auto"/>
        <w:ind w:left="602" w:hanging="600" w:hangingChars="25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2.7、质量要求：符合国家现行规范和标准要求，质量达到合格工程标准。</w:t>
      </w:r>
    </w:p>
    <w:p>
      <w:pPr>
        <w:spacing w:line="360" w:lineRule="auto"/>
        <w:rPr>
          <w:rFonts w:hint="eastAsia" w:ascii="宋体" w:hAnsi="宋体" w:eastAsia="宋体" w:cs="宋体"/>
          <w:b w:val="0"/>
          <w:bCs w:val="0"/>
          <w:color w:val="auto"/>
          <w:kern w:val="0"/>
          <w:sz w:val="24"/>
          <w:highlight w:val="none"/>
        </w:rPr>
      </w:pPr>
      <w:bookmarkStart w:id="7" w:name="_Toc488675813"/>
      <w:r>
        <w:rPr>
          <w:rFonts w:hint="eastAsia" w:ascii="宋体" w:hAnsi="宋体" w:eastAsia="宋体" w:cs="宋体"/>
          <w:b w:val="0"/>
          <w:bCs w:val="0"/>
          <w:color w:val="auto"/>
          <w:kern w:val="0"/>
          <w:sz w:val="24"/>
          <w:highlight w:val="none"/>
        </w:rPr>
        <w:t>2.8、计划工期：</w:t>
      </w:r>
      <w:r>
        <w:rPr>
          <w:rFonts w:hint="eastAsia" w:ascii="宋体" w:hAnsi="宋体" w:cs="宋体"/>
          <w:b w:val="0"/>
          <w:bCs w:val="0"/>
          <w:color w:val="auto"/>
          <w:kern w:val="0"/>
          <w:sz w:val="24"/>
          <w:highlight w:val="none"/>
          <w:lang w:val="en-US" w:eastAsia="zh-CN"/>
        </w:rPr>
        <w:t>120</w:t>
      </w:r>
      <w:r>
        <w:rPr>
          <w:rFonts w:hint="eastAsia" w:ascii="宋体" w:hAnsi="宋体" w:eastAsia="宋体" w:cs="宋体"/>
          <w:b w:val="0"/>
          <w:bCs w:val="0"/>
          <w:color w:val="auto"/>
          <w:kern w:val="0"/>
          <w:sz w:val="24"/>
          <w:highlight w:val="none"/>
        </w:rPr>
        <w:t>日历天</w:t>
      </w:r>
    </w:p>
    <w:p>
      <w:pPr>
        <w:pStyle w:val="113"/>
        <w:spacing w:before="0" w:line="360" w:lineRule="auto"/>
        <w:rPr>
          <w:rFonts w:hint="eastAsia" w:ascii="宋体" w:hAnsi="宋体" w:eastAsia="宋体" w:cs="宋体"/>
          <w:b w:val="0"/>
          <w:bCs w:val="0"/>
          <w:color w:val="auto"/>
          <w:sz w:val="24"/>
          <w:szCs w:val="24"/>
          <w:highlight w:val="none"/>
        </w:rPr>
      </w:pPr>
      <w:bookmarkStart w:id="8" w:name="_Toc36552994"/>
      <w:r>
        <w:rPr>
          <w:rFonts w:hint="eastAsia" w:ascii="宋体" w:hAnsi="宋体" w:eastAsia="宋体" w:cs="宋体"/>
          <w:b w:val="0"/>
          <w:bCs w:val="0"/>
          <w:color w:val="auto"/>
          <w:sz w:val="24"/>
          <w:szCs w:val="24"/>
          <w:highlight w:val="none"/>
        </w:rPr>
        <w:t>3、供应商资格要求</w:t>
      </w:r>
      <w:bookmarkEnd w:id="7"/>
      <w:bookmarkEnd w:id="8"/>
      <w:bookmarkStart w:id="9" w:name="_Toc488675815"/>
    </w:p>
    <w:p>
      <w:pPr>
        <w:pStyle w:val="113"/>
        <w:spacing w:before="0" w:line="360" w:lineRule="auto"/>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1、符合《中华人民共和国政府采购法》第二十二条规定：</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1）具有独立承担民事责任的能力；</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 xml:space="preserve">2）具有良好的商业信誉和健全的财务会计制度； </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 xml:space="preserve">3）具有履行合同所必须的设备和专业技术能力； </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4）有依法缴纳税收和社会保障资金的良好记录；</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5）参加政府采购活动前三年内，在经营活动中没有重大违法记录；</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2、供应商具有住房和城乡建设行政主管部门核发的建筑工程施工总承包三级及以上资质，且具有有效的安全生产许可证；</w:t>
      </w:r>
    </w:p>
    <w:p>
      <w:pPr>
        <w:numPr>
          <w:ilvl w:val="0"/>
          <w:numId w:val="1"/>
        </w:num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拟派往的项目经理具备建筑工程专业贰级及以上注册建造师资格，并具有有效的安全生产考核合格证，且没有正在施工和正在承接的工程项目；</w:t>
      </w:r>
    </w:p>
    <w:p>
      <w:pPr>
        <w:numPr>
          <w:ilvl w:val="0"/>
          <w:numId w:val="1"/>
        </w:num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提供政府采购反商业贿赂承诺书；</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5、根据《关于在政府采购活动中查询及使用信用记录有关问题的通知》(财库[2016]125号) 和豫财购【2016】15号的规定，投标人提供在 “信用中国”网站中查询“失信被执行人”和 “重大税收违法案件当事人名单”（http://www.creditchina.gov.cn/），以及在“中国政府采购网”网站（www.ccgp.gov.cn）中查询“政府采购严重违法失信行为记录名单”共3项的查询结果；</w:t>
      </w:r>
    </w:p>
    <w:p>
      <w:pPr>
        <w:tabs>
          <w:tab w:val="left" w:pos="900"/>
        </w:tabs>
        <w:snapToGrid w:val="0"/>
        <w:spacing w:line="360" w:lineRule="auto"/>
        <w:ind w:firstLine="480" w:firstLineChars="200"/>
        <w:rPr>
          <w:rFonts w:hint="eastAsia" w:ascii="宋体" w:hAnsi="宋体" w:eastAsia="宋体" w:cs="宋体"/>
          <w:b w:val="0"/>
          <w:bCs w:val="0"/>
          <w:iCs/>
          <w:color w:val="auto"/>
          <w:sz w:val="24"/>
          <w:highlight w:val="none"/>
        </w:rPr>
      </w:pPr>
      <w:r>
        <w:rPr>
          <w:rFonts w:hint="eastAsia" w:ascii="宋体" w:hAnsi="宋体" w:eastAsia="宋体" w:cs="宋体"/>
          <w:b w:val="0"/>
          <w:bCs w:val="0"/>
          <w:iCs/>
          <w:color w:val="auto"/>
          <w:sz w:val="24"/>
          <w:highlight w:val="none"/>
        </w:rPr>
        <w:t>6、本项目亦不接受联合体投标，单位负责人为同一个人或者存在控股、管理关系的不同单位不得同时参与该项目。</w:t>
      </w:r>
    </w:p>
    <w:p>
      <w:pPr>
        <w:tabs>
          <w:tab w:val="left" w:pos="900"/>
        </w:tabs>
        <w:snapToGrid w:val="0"/>
        <w:spacing w:line="360" w:lineRule="auto"/>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lang w:val="zh-CN"/>
        </w:rPr>
        <w:t xml:space="preserve">其他有关事项：购买磋商文件时须携带单位法人授权委托书原件（注明招标编号和项目名称），营业执照、资质证书副本复印件加盖公章，被授权人身份证及其复印件。 </w:t>
      </w:r>
    </w:p>
    <w:p>
      <w:pPr>
        <w:pStyle w:val="113"/>
        <w:spacing w:before="0" w:line="360" w:lineRule="auto"/>
        <w:rPr>
          <w:rFonts w:hint="eastAsia" w:ascii="宋体" w:hAnsi="宋体" w:eastAsia="宋体" w:cs="宋体"/>
          <w:color w:val="auto"/>
          <w:sz w:val="24"/>
          <w:szCs w:val="24"/>
          <w:highlight w:val="none"/>
        </w:rPr>
      </w:pPr>
      <w:bookmarkStart w:id="10" w:name="_Toc36552995"/>
      <w:r>
        <w:rPr>
          <w:rFonts w:hint="eastAsia" w:ascii="宋体" w:hAnsi="宋体" w:eastAsia="宋体" w:cs="宋体"/>
          <w:b/>
          <w:bCs/>
          <w:color w:val="auto"/>
          <w:sz w:val="24"/>
          <w:szCs w:val="24"/>
          <w:highlight w:val="none"/>
        </w:rPr>
        <w:t>4、政府采购政策</w:t>
      </w:r>
      <w:bookmarkEnd w:id="10"/>
    </w:p>
    <w:p>
      <w:pPr>
        <w:tabs>
          <w:tab w:val="left" w:pos="900"/>
        </w:tabs>
        <w:snapToGrid w:val="0"/>
        <w:spacing w:line="360" w:lineRule="auto"/>
        <w:ind w:firstLine="480" w:firstLineChars="200"/>
        <w:rPr>
          <w:rFonts w:hint="eastAsia" w:ascii="宋体" w:hAnsi="宋体" w:eastAsia="宋体" w:cs="宋体"/>
          <w:bCs/>
          <w:iCs/>
          <w:color w:val="auto"/>
          <w:sz w:val="24"/>
          <w:highlight w:val="none"/>
        </w:rPr>
      </w:pPr>
      <w:bookmarkStart w:id="11" w:name="_Toc10575941"/>
      <w:r>
        <w:rPr>
          <w:rFonts w:hint="eastAsia" w:ascii="宋体" w:hAnsi="宋体" w:eastAsia="宋体" w:cs="宋体"/>
          <w:bCs/>
          <w:iCs/>
          <w:color w:val="auto"/>
          <w:sz w:val="24"/>
          <w:highlight w:val="none"/>
        </w:rPr>
        <w:t>本项目扶持中小企业、监狱企业及残疾人企业发展，鼓励节能环保产品等，具体政府采购政策落实情况详见磋商文件。</w:t>
      </w:r>
      <w:bookmarkEnd w:id="11"/>
    </w:p>
    <w:p>
      <w:pPr>
        <w:pStyle w:val="113"/>
        <w:spacing w:before="0" w:line="360" w:lineRule="auto"/>
        <w:rPr>
          <w:rFonts w:hint="eastAsia" w:ascii="宋体" w:hAnsi="宋体" w:eastAsia="宋体" w:cs="宋体"/>
          <w:b/>
          <w:bCs/>
          <w:color w:val="auto"/>
          <w:sz w:val="24"/>
          <w:szCs w:val="24"/>
          <w:highlight w:val="none"/>
        </w:rPr>
      </w:pPr>
      <w:bookmarkStart w:id="12" w:name="_Toc36552996"/>
      <w:r>
        <w:rPr>
          <w:rFonts w:hint="eastAsia" w:ascii="宋体" w:hAnsi="宋体" w:eastAsia="宋体" w:cs="宋体"/>
          <w:b/>
          <w:bCs/>
          <w:color w:val="auto"/>
          <w:sz w:val="24"/>
          <w:szCs w:val="24"/>
          <w:highlight w:val="none"/>
        </w:rPr>
        <w:t>5、磋商文件的获取</w:t>
      </w:r>
      <w:bookmarkEnd w:id="9"/>
      <w:bookmarkEnd w:id="12"/>
    </w:p>
    <w:p>
      <w:pPr>
        <w:tabs>
          <w:tab w:val="left" w:pos="900"/>
        </w:tabs>
        <w:snapToGrid w:val="0"/>
        <w:spacing w:line="360" w:lineRule="auto"/>
        <w:ind w:firstLine="480" w:firstLineChars="200"/>
        <w:rPr>
          <w:rFonts w:hint="eastAsia" w:ascii="宋体" w:hAnsi="宋体" w:eastAsia="宋体" w:cs="宋体"/>
          <w:bCs/>
          <w:iCs/>
          <w:color w:val="auto"/>
          <w:sz w:val="24"/>
          <w:highlight w:val="none"/>
        </w:rPr>
      </w:pPr>
      <w:bookmarkStart w:id="13" w:name="_Toc488675817"/>
      <w:r>
        <w:rPr>
          <w:rFonts w:hint="eastAsia" w:ascii="宋体" w:hAnsi="宋体" w:eastAsia="宋体" w:cs="宋体"/>
          <w:bCs/>
          <w:iCs/>
          <w:color w:val="auto"/>
          <w:sz w:val="24"/>
          <w:highlight w:val="none"/>
        </w:rPr>
        <w:t>竞争性磋商文件出售时间：</w:t>
      </w:r>
      <w:r>
        <w:rPr>
          <w:rFonts w:hint="eastAsia" w:ascii="宋体" w:hAnsi="宋体" w:eastAsia="宋体" w:cs="宋体"/>
          <w:b/>
          <w:bCs w:val="0"/>
          <w:color w:val="auto"/>
          <w:kern w:val="0"/>
          <w:sz w:val="24"/>
          <w:highlight w:val="none"/>
        </w:rPr>
        <w:t>2020</w:t>
      </w:r>
      <w:r>
        <w:rPr>
          <w:rFonts w:hint="eastAsia" w:ascii="宋体" w:hAnsi="宋体" w:eastAsia="宋体" w:cs="宋体"/>
          <w:b/>
          <w:bCs w:val="0"/>
          <w:color w:val="auto"/>
          <w:kern w:val="0"/>
          <w:sz w:val="24"/>
          <w:highlight w:val="none"/>
          <w:lang w:val="zh-CN"/>
        </w:rPr>
        <w:t>年</w:t>
      </w:r>
      <w:r>
        <w:rPr>
          <w:rFonts w:hint="eastAsia" w:ascii="宋体" w:hAnsi="宋体" w:eastAsia="宋体" w:cs="宋体"/>
          <w:b/>
          <w:bCs w:val="0"/>
          <w:color w:val="auto"/>
          <w:kern w:val="0"/>
          <w:sz w:val="24"/>
          <w:highlight w:val="none"/>
          <w:lang w:val="en-US" w:eastAsia="zh-CN"/>
        </w:rPr>
        <w:t>11</w:t>
      </w:r>
      <w:r>
        <w:rPr>
          <w:rFonts w:hint="eastAsia" w:ascii="宋体" w:hAnsi="宋体" w:eastAsia="宋体" w:cs="宋体"/>
          <w:b/>
          <w:bCs w:val="0"/>
          <w:color w:val="auto"/>
          <w:kern w:val="0"/>
          <w:sz w:val="24"/>
          <w:highlight w:val="none"/>
          <w:lang w:val="zh-CN"/>
        </w:rPr>
        <w:t>月</w:t>
      </w:r>
      <w:r>
        <w:rPr>
          <w:rFonts w:hint="eastAsia" w:ascii="宋体" w:hAnsi="宋体" w:eastAsia="宋体" w:cs="宋体"/>
          <w:b/>
          <w:bCs w:val="0"/>
          <w:color w:val="auto"/>
          <w:kern w:val="0"/>
          <w:sz w:val="24"/>
          <w:highlight w:val="none"/>
          <w:lang w:val="en-US" w:eastAsia="zh-CN"/>
        </w:rPr>
        <w:t>26</w:t>
      </w:r>
      <w:r>
        <w:rPr>
          <w:rFonts w:hint="eastAsia" w:ascii="宋体" w:hAnsi="宋体" w:eastAsia="宋体" w:cs="宋体"/>
          <w:b/>
          <w:bCs w:val="0"/>
          <w:color w:val="auto"/>
          <w:kern w:val="0"/>
          <w:sz w:val="24"/>
          <w:highlight w:val="none"/>
          <w:lang w:val="zh-CN"/>
        </w:rPr>
        <w:t>日至</w:t>
      </w:r>
      <w:r>
        <w:rPr>
          <w:rFonts w:hint="eastAsia" w:ascii="宋体" w:hAnsi="宋体" w:eastAsia="宋体" w:cs="宋体"/>
          <w:b/>
          <w:bCs w:val="0"/>
          <w:color w:val="auto"/>
          <w:kern w:val="0"/>
          <w:sz w:val="24"/>
          <w:highlight w:val="none"/>
        </w:rPr>
        <w:t>2020</w:t>
      </w:r>
      <w:r>
        <w:rPr>
          <w:rFonts w:hint="eastAsia" w:ascii="宋体" w:hAnsi="宋体" w:eastAsia="宋体" w:cs="宋体"/>
          <w:b/>
          <w:bCs w:val="0"/>
          <w:color w:val="auto"/>
          <w:kern w:val="0"/>
          <w:sz w:val="24"/>
          <w:highlight w:val="none"/>
          <w:lang w:val="zh-CN"/>
        </w:rPr>
        <w:t>年</w:t>
      </w:r>
      <w:r>
        <w:rPr>
          <w:rFonts w:hint="eastAsia" w:ascii="宋体" w:hAnsi="宋体" w:eastAsia="宋体" w:cs="宋体"/>
          <w:b/>
          <w:bCs w:val="0"/>
          <w:color w:val="auto"/>
          <w:kern w:val="0"/>
          <w:sz w:val="24"/>
          <w:highlight w:val="none"/>
          <w:lang w:val="en-US" w:eastAsia="zh-CN"/>
        </w:rPr>
        <w:t>12</w:t>
      </w:r>
      <w:r>
        <w:rPr>
          <w:rFonts w:hint="eastAsia" w:ascii="宋体" w:hAnsi="宋体" w:eastAsia="宋体" w:cs="宋体"/>
          <w:b/>
          <w:bCs w:val="0"/>
          <w:color w:val="auto"/>
          <w:kern w:val="0"/>
          <w:sz w:val="24"/>
          <w:highlight w:val="none"/>
          <w:lang w:val="zh-CN"/>
        </w:rPr>
        <w:t>月</w:t>
      </w:r>
      <w:r>
        <w:rPr>
          <w:rFonts w:hint="eastAsia" w:ascii="宋体" w:hAnsi="宋体" w:eastAsia="宋体" w:cs="宋体"/>
          <w:b/>
          <w:bCs w:val="0"/>
          <w:color w:val="auto"/>
          <w:kern w:val="0"/>
          <w:sz w:val="24"/>
          <w:highlight w:val="none"/>
          <w:lang w:val="en-US" w:eastAsia="zh-CN"/>
        </w:rPr>
        <w:t>3</w:t>
      </w:r>
      <w:r>
        <w:rPr>
          <w:rFonts w:hint="eastAsia" w:ascii="宋体" w:hAnsi="宋体" w:eastAsia="宋体" w:cs="宋体"/>
          <w:b/>
          <w:bCs w:val="0"/>
          <w:color w:val="auto"/>
          <w:kern w:val="0"/>
          <w:sz w:val="24"/>
          <w:highlight w:val="none"/>
          <w:lang w:val="zh-CN"/>
        </w:rPr>
        <w:t>日</w:t>
      </w:r>
      <w:r>
        <w:rPr>
          <w:rFonts w:hint="eastAsia" w:ascii="宋体" w:hAnsi="宋体" w:eastAsia="宋体" w:cs="宋体"/>
          <w:b/>
          <w:bCs w:val="0"/>
          <w:iCs/>
          <w:color w:val="auto"/>
          <w:sz w:val="24"/>
          <w:highlight w:val="none"/>
        </w:rPr>
        <w:t>；</w:t>
      </w:r>
    </w:p>
    <w:p>
      <w:pPr>
        <w:tabs>
          <w:tab w:val="left" w:pos="900"/>
        </w:tabs>
        <w:snapToGrid w:val="0"/>
        <w:spacing w:line="360" w:lineRule="auto"/>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竞争性磋商文件出售地点：郑州市金水区纬四路13号河南招标采购服务有限公司302房间；</w:t>
      </w:r>
    </w:p>
    <w:p>
      <w:pPr>
        <w:tabs>
          <w:tab w:val="left" w:pos="900"/>
        </w:tabs>
        <w:snapToGrid w:val="0"/>
        <w:spacing w:line="360" w:lineRule="auto"/>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竞争性磋商文件出售方式：现场出售，500元/本；</w:t>
      </w:r>
    </w:p>
    <w:p>
      <w:pPr>
        <w:pStyle w:val="113"/>
        <w:spacing w:before="0" w:line="360" w:lineRule="auto"/>
        <w:rPr>
          <w:rFonts w:hint="eastAsia" w:ascii="宋体" w:hAnsi="宋体" w:eastAsia="宋体" w:cs="宋体"/>
          <w:b/>
          <w:bCs/>
          <w:color w:val="auto"/>
          <w:sz w:val="24"/>
          <w:szCs w:val="24"/>
          <w:highlight w:val="none"/>
        </w:rPr>
      </w:pPr>
      <w:bookmarkStart w:id="14" w:name="_Toc36552997"/>
      <w:bookmarkStart w:id="15" w:name="_Toc488675816"/>
      <w:r>
        <w:rPr>
          <w:rFonts w:hint="eastAsia" w:ascii="宋体" w:hAnsi="宋体" w:eastAsia="宋体" w:cs="宋体"/>
          <w:b/>
          <w:bCs/>
          <w:color w:val="auto"/>
          <w:sz w:val="24"/>
          <w:szCs w:val="24"/>
          <w:highlight w:val="none"/>
        </w:rPr>
        <w:t>6、磋商文件的递交</w:t>
      </w:r>
      <w:bookmarkEnd w:id="14"/>
      <w:bookmarkEnd w:id="15"/>
    </w:p>
    <w:p>
      <w:pPr>
        <w:widowControl/>
        <w:shd w:val="solid" w:color="FFFFFF" w:fill="auto"/>
        <w:snapToGrid w:val="0"/>
        <w:spacing w:line="360" w:lineRule="auto"/>
        <w:ind w:left="420" w:leftChars="200"/>
        <w:jc w:val="left"/>
        <w:rPr>
          <w:rFonts w:hint="eastAsia" w:ascii="宋体" w:hAnsi="宋体" w:eastAsia="宋体" w:cs="宋体"/>
          <w:b/>
          <w:bCs w:val="0"/>
          <w:color w:val="auto"/>
          <w:sz w:val="24"/>
          <w:highlight w:val="none"/>
        </w:rPr>
      </w:pPr>
      <w:r>
        <w:rPr>
          <w:rFonts w:hint="eastAsia" w:ascii="宋体" w:hAnsi="宋体" w:eastAsia="宋体" w:cs="宋体"/>
          <w:color w:val="auto"/>
          <w:sz w:val="24"/>
          <w:highlight w:val="none"/>
        </w:rPr>
        <w:t>竞争性磋商响应文件接收截止时间：</w:t>
      </w:r>
      <w:r>
        <w:rPr>
          <w:rFonts w:hint="eastAsia" w:ascii="宋体" w:hAnsi="宋体" w:eastAsia="宋体" w:cs="宋体"/>
          <w:b/>
          <w:bCs w:val="0"/>
          <w:color w:val="auto"/>
          <w:kern w:val="0"/>
          <w:sz w:val="24"/>
          <w:highlight w:val="none"/>
        </w:rPr>
        <w:t>2020</w:t>
      </w:r>
      <w:r>
        <w:rPr>
          <w:rFonts w:hint="eastAsia" w:ascii="宋体" w:hAnsi="宋体" w:eastAsia="宋体" w:cs="宋体"/>
          <w:b/>
          <w:bCs w:val="0"/>
          <w:color w:val="auto"/>
          <w:kern w:val="0"/>
          <w:sz w:val="24"/>
          <w:highlight w:val="none"/>
          <w:lang w:val="zh-CN"/>
        </w:rPr>
        <w:t>年</w:t>
      </w:r>
      <w:r>
        <w:rPr>
          <w:rFonts w:hint="eastAsia" w:ascii="宋体" w:hAnsi="宋体" w:eastAsia="宋体" w:cs="宋体"/>
          <w:b/>
          <w:bCs w:val="0"/>
          <w:color w:val="auto"/>
          <w:kern w:val="0"/>
          <w:sz w:val="24"/>
          <w:highlight w:val="none"/>
          <w:lang w:val="en-US" w:eastAsia="zh-CN"/>
        </w:rPr>
        <w:t>12</w:t>
      </w:r>
      <w:r>
        <w:rPr>
          <w:rFonts w:hint="eastAsia" w:ascii="宋体" w:hAnsi="宋体" w:eastAsia="宋体" w:cs="宋体"/>
          <w:b/>
          <w:bCs w:val="0"/>
          <w:color w:val="auto"/>
          <w:kern w:val="0"/>
          <w:sz w:val="24"/>
          <w:highlight w:val="none"/>
          <w:lang w:val="zh-CN"/>
        </w:rPr>
        <w:t>月</w:t>
      </w:r>
      <w:r>
        <w:rPr>
          <w:rFonts w:hint="eastAsia" w:ascii="宋体" w:hAnsi="宋体" w:eastAsia="宋体" w:cs="宋体"/>
          <w:b/>
          <w:bCs w:val="0"/>
          <w:color w:val="auto"/>
          <w:kern w:val="0"/>
          <w:sz w:val="24"/>
          <w:highlight w:val="none"/>
          <w:lang w:val="en-US" w:eastAsia="zh-CN"/>
        </w:rPr>
        <w:t>7</w:t>
      </w:r>
      <w:r>
        <w:rPr>
          <w:rFonts w:hint="eastAsia" w:ascii="宋体" w:hAnsi="宋体" w:eastAsia="宋体" w:cs="宋体"/>
          <w:b/>
          <w:bCs w:val="0"/>
          <w:color w:val="auto"/>
          <w:kern w:val="0"/>
          <w:sz w:val="24"/>
          <w:highlight w:val="none"/>
          <w:lang w:val="zh-CN"/>
        </w:rPr>
        <w:t>日</w:t>
      </w:r>
      <w:r>
        <w:rPr>
          <w:rFonts w:hint="eastAsia" w:ascii="宋体" w:hAnsi="宋体" w:cs="宋体"/>
          <w:b/>
          <w:bCs w:val="0"/>
          <w:color w:val="auto"/>
          <w:kern w:val="0"/>
          <w:sz w:val="24"/>
          <w:highlight w:val="none"/>
          <w:lang w:val="en-US" w:eastAsia="zh-CN"/>
        </w:rPr>
        <w:t>下</w:t>
      </w:r>
      <w:r>
        <w:rPr>
          <w:rFonts w:hint="eastAsia" w:ascii="宋体" w:hAnsi="宋体" w:eastAsia="宋体" w:cs="宋体"/>
          <w:b/>
          <w:bCs w:val="0"/>
          <w:color w:val="auto"/>
          <w:kern w:val="0"/>
          <w:sz w:val="24"/>
          <w:highlight w:val="none"/>
        </w:rPr>
        <w:t>午</w:t>
      </w:r>
      <w:r>
        <w:rPr>
          <w:rFonts w:hint="eastAsia" w:ascii="宋体" w:hAnsi="宋体" w:cs="宋体"/>
          <w:b/>
          <w:bCs w:val="0"/>
          <w:color w:val="auto"/>
          <w:kern w:val="0"/>
          <w:sz w:val="24"/>
          <w:highlight w:val="none"/>
          <w:lang w:val="en-US" w:eastAsia="zh-CN"/>
        </w:rPr>
        <w:t>15</w:t>
      </w:r>
      <w:r>
        <w:rPr>
          <w:rFonts w:hint="eastAsia" w:ascii="宋体" w:hAnsi="宋体" w:eastAsia="宋体" w:cs="宋体"/>
          <w:b/>
          <w:bCs w:val="0"/>
          <w:color w:val="auto"/>
          <w:kern w:val="0"/>
          <w:sz w:val="24"/>
          <w:highlight w:val="none"/>
        </w:rPr>
        <w:t>:00；</w:t>
      </w:r>
    </w:p>
    <w:p>
      <w:pPr>
        <w:widowControl/>
        <w:shd w:val="solid" w:color="FFFFFF" w:fill="auto"/>
        <w:snapToGrid w:val="0"/>
        <w:spacing w:line="360" w:lineRule="auto"/>
        <w:ind w:left="420" w:left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竞争性磋商响应文件接收地点：河南招标采购服务有限公司四楼418室（郑州市纬四路13号，花园路与纬四路交叉口向东五十米路北的第一个院）。</w:t>
      </w:r>
    </w:p>
    <w:p>
      <w:pPr>
        <w:pStyle w:val="113"/>
        <w:spacing w:before="0" w:line="360" w:lineRule="auto"/>
        <w:rPr>
          <w:rFonts w:hint="eastAsia" w:ascii="宋体" w:hAnsi="宋体" w:eastAsia="宋体" w:cs="宋体"/>
          <w:b/>
          <w:bCs/>
          <w:color w:val="auto"/>
          <w:sz w:val="24"/>
          <w:szCs w:val="24"/>
          <w:highlight w:val="none"/>
        </w:rPr>
      </w:pPr>
      <w:bookmarkStart w:id="16" w:name="_Toc36552998"/>
      <w:r>
        <w:rPr>
          <w:rFonts w:hint="eastAsia" w:ascii="宋体" w:hAnsi="宋体" w:eastAsia="宋体" w:cs="宋体"/>
          <w:b/>
          <w:bCs/>
          <w:color w:val="auto"/>
          <w:sz w:val="24"/>
          <w:szCs w:val="24"/>
          <w:highlight w:val="none"/>
        </w:rPr>
        <w:t>7、发布公告的媒介</w:t>
      </w:r>
      <w:bookmarkEnd w:id="13"/>
      <w:bookmarkEnd w:id="16"/>
    </w:p>
    <w:p>
      <w:pPr>
        <w:spacing w:line="360" w:lineRule="auto"/>
        <w:ind w:left="420" w:leftChars="200"/>
        <w:rPr>
          <w:rFonts w:hint="eastAsia" w:ascii="宋体" w:hAnsi="宋体" w:eastAsia="宋体" w:cs="宋体"/>
          <w:color w:val="auto"/>
          <w:sz w:val="24"/>
          <w:highlight w:val="none"/>
        </w:rPr>
      </w:pPr>
      <w:bookmarkStart w:id="17" w:name="_Toc488675818"/>
      <w:r>
        <w:rPr>
          <w:rFonts w:hint="eastAsia" w:ascii="宋体" w:hAnsi="宋体" w:eastAsia="宋体" w:cs="宋体"/>
          <w:color w:val="auto"/>
          <w:sz w:val="24"/>
          <w:highlight w:val="none"/>
        </w:rPr>
        <w:t>本次竞争性磋商公告在《河南省政府采购网》《河南省电子招标投标公共服务平台》《河南招标采购网》上同时发布。</w:t>
      </w:r>
    </w:p>
    <w:bookmarkEnd w:id="17"/>
    <w:p>
      <w:pPr>
        <w:pStyle w:val="113"/>
        <w:spacing w:before="0" w:line="360" w:lineRule="auto"/>
        <w:rPr>
          <w:rFonts w:hint="eastAsia" w:ascii="宋体" w:hAnsi="宋体" w:eastAsia="宋体" w:cs="宋体"/>
          <w:b/>
          <w:bCs/>
          <w:color w:val="auto"/>
          <w:sz w:val="24"/>
          <w:szCs w:val="24"/>
          <w:highlight w:val="none"/>
        </w:rPr>
      </w:pPr>
      <w:bookmarkStart w:id="18" w:name="_Toc10577003"/>
      <w:bookmarkStart w:id="19" w:name="_Toc36553000"/>
      <w:r>
        <w:rPr>
          <w:rFonts w:hint="eastAsia" w:ascii="宋体" w:hAnsi="宋体" w:eastAsia="宋体" w:cs="宋体"/>
          <w:b/>
          <w:bCs/>
          <w:color w:val="auto"/>
          <w:sz w:val="24"/>
          <w:szCs w:val="24"/>
          <w:highlight w:val="none"/>
        </w:rPr>
        <w:t>8、联系方式</w:t>
      </w:r>
      <w:bookmarkEnd w:id="18"/>
      <w:bookmarkEnd w:id="19"/>
    </w:p>
    <w:p>
      <w:pPr>
        <w:tabs>
          <w:tab w:val="left" w:pos="900"/>
        </w:tabs>
        <w:spacing w:line="360" w:lineRule="auto"/>
        <w:ind w:firstLine="360" w:firstLineChars="15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rPr>
        <w:t>采购人：河南省化工研究所有限责任公司</w:t>
      </w:r>
    </w:p>
    <w:p>
      <w:pPr>
        <w:tabs>
          <w:tab w:val="left" w:pos="900"/>
        </w:tabs>
        <w:spacing w:line="360" w:lineRule="auto"/>
        <w:ind w:firstLine="360" w:firstLineChars="15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 址：郑州市建设东路37号</w:t>
      </w:r>
    </w:p>
    <w:p>
      <w:pPr>
        <w:tabs>
          <w:tab w:val="left" w:pos="900"/>
        </w:tabs>
        <w:spacing w:line="360" w:lineRule="auto"/>
        <w:ind w:firstLine="360" w:firstLineChars="15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联系人：郭</w:t>
      </w:r>
      <w:r>
        <w:rPr>
          <w:rFonts w:hint="eastAsia" w:ascii="宋体" w:hAnsi="宋体" w:eastAsia="宋体" w:cs="宋体"/>
          <w:b w:val="0"/>
          <w:bCs w:val="0"/>
          <w:color w:val="auto"/>
          <w:sz w:val="24"/>
          <w:highlight w:val="none"/>
          <w:lang w:val="en-US" w:eastAsia="zh-CN"/>
        </w:rPr>
        <w:t>老师</w:t>
      </w:r>
    </w:p>
    <w:p>
      <w:pPr>
        <w:tabs>
          <w:tab w:val="left" w:pos="900"/>
        </w:tabs>
        <w:spacing w:line="360" w:lineRule="auto"/>
        <w:ind w:firstLine="360" w:firstLineChars="15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联系电话：0371-67449495</w:t>
      </w:r>
    </w:p>
    <w:p>
      <w:pPr>
        <w:tabs>
          <w:tab w:val="left" w:pos="900"/>
        </w:tabs>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采购代理机构：河南招标采购服务有限公司</w:t>
      </w:r>
    </w:p>
    <w:p>
      <w:pPr>
        <w:tabs>
          <w:tab w:val="left" w:pos="900"/>
        </w:tabs>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联系人：徐女士      联系电话：0371-65993522</w:t>
      </w:r>
    </w:p>
    <w:p>
      <w:pPr>
        <w:tabs>
          <w:tab w:val="left" w:pos="900"/>
        </w:tabs>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地址：郑州市纬四路13号                                </w:t>
      </w:r>
    </w:p>
    <w:p>
      <w:pPr>
        <w:pStyle w:val="5"/>
        <w:rPr>
          <w:rFonts w:hint="eastAsia" w:ascii="宋体" w:hAnsi="宋体" w:eastAsia="宋体" w:cs="宋体"/>
          <w:color w:val="auto"/>
          <w:highlight w:val="none"/>
        </w:rPr>
      </w:pPr>
    </w:p>
    <w:p>
      <w:pPr>
        <w:pStyle w:val="5"/>
        <w:jc w:val="righ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河南招标采购服务有限公司</w:t>
      </w:r>
    </w:p>
    <w:p>
      <w:pPr>
        <w:pStyle w:val="5"/>
        <w:jc w:val="righ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  </w:t>
      </w:r>
      <w:r>
        <w:rPr>
          <w:rFonts w:hint="eastAsia" w:ascii="宋体" w:hAnsi="宋体" w:eastAsia="宋体" w:cs="宋体"/>
          <w:b w:val="0"/>
          <w:color w:val="auto"/>
          <w:kern w:val="2"/>
          <w:sz w:val="24"/>
          <w:szCs w:val="24"/>
          <w:highlight w:val="none"/>
        </w:rPr>
        <w:t xml:space="preserve">  2020年</w:t>
      </w:r>
      <w:r>
        <w:rPr>
          <w:rFonts w:hint="eastAsia" w:ascii="宋体" w:hAnsi="宋体" w:eastAsia="宋体" w:cs="宋体"/>
          <w:b w:val="0"/>
          <w:color w:val="auto"/>
          <w:kern w:val="2"/>
          <w:sz w:val="24"/>
          <w:szCs w:val="24"/>
          <w:highlight w:val="none"/>
          <w:lang w:val="en-US" w:eastAsia="zh-CN"/>
        </w:rPr>
        <w:t>11</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lang w:val="en-US" w:eastAsia="zh-CN"/>
        </w:rPr>
        <w:t>25</w:t>
      </w:r>
      <w:r>
        <w:rPr>
          <w:rFonts w:hint="eastAsia" w:ascii="宋体" w:hAnsi="宋体" w:eastAsia="宋体" w:cs="宋体"/>
          <w:b w:val="0"/>
          <w:color w:val="auto"/>
          <w:kern w:val="2"/>
          <w:sz w:val="24"/>
          <w:szCs w:val="24"/>
          <w:highlight w:val="none"/>
        </w:rPr>
        <w:t>日</w:t>
      </w:r>
    </w:p>
    <w:p>
      <w:pPr>
        <w:rPr>
          <w:rFonts w:hint="eastAsia" w:ascii="宋体" w:hAnsi="宋体" w:eastAsia="宋体" w:cs="宋体"/>
          <w:color w:val="auto"/>
          <w:highlight w:val="none"/>
        </w:rPr>
      </w:pPr>
    </w:p>
    <w:p>
      <w:pPr>
        <w:rPr>
          <w:rFonts w:ascii="宋体" w:hAnsi="宋体" w:cs="宋体"/>
          <w:color w:val="auto"/>
          <w:highlight w:val="none"/>
        </w:rPr>
      </w:pPr>
    </w:p>
    <w:p>
      <w:pPr>
        <w:pStyle w:val="5"/>
        <w:rPr>
          <w:rFonts w:cs="宋体"/>
          <w:color w:val="auto"/>
          <w:highlight w:val="none"/>
        </w:rPr>
      </w:pPr>
    </w:p>
    <w:p>
      <w:pPr>
        <w:pStyle w:val="4"/>
        <w:rPr>
          <w:rFonts w:cs="宋体"/>
          <w:color w:val="auto"/>
          <w:highlight w:val="none"/>
        </w:rPr>
      </w:pPr>
      <w:bookmarkStart w:id="20" w:name="_Toc36553001"/>
      <w:r>
        <w:rPr>
          <w:rFonts w:hint="eastAsia" w:cs="宋体"/>
          <w:color w:val="auto"/>
          <w:highlight w:val="none"/>
        </w:rPr>
        <w:br w:type="page"/>
      </w:r>
      <w:r>
        <w:rPr>
          <w:rFonts w:hint="eastAsia" w:cs="宋体"/>
          <w:color w:val="auto"/>
          <w:highlight w:val="none"/>
        </w:rPr>
        <w:t>第二章  磋商</w:t>
      </w:r>
      <w:bookmarkEnd w:id="0"/>
      <w:bookmarkEnd w:id="1"/>
      <w:bookmarkEnd w:id="20"/>
      <w:bookmarkStart w:id="21" w:name="_Toc300653534"/>
      <w:r>
        <w:rPr>
          <w:rFonts w:hint="eastAsia" w:cs="宋体"/>
          <w:color w:val="auto"/>
          <w:highlight w:val="none"/>
        </w:rPr>
        <w:t>须知</w:t>
      </w:r>
    </w:p>
    <w:p>
      <w:pPr>
        <w:jc w:val="left"/>
        <w:outlineLvl w:val="1"/>
        <w:rPr>
          <w:rFonts w:ascii="宋体" w:hAnsi="宋体" w:cs="宋体"/>
          <w:color w:val="auto"/>
          <w:sz w:val="24"/>
          <w:highlight w:val="none"/>
        </w:rPr>
      </w:pPr>
    </w:p>
    <w:p>
      <w:pPr>
        <w:jc w:val="center"/>
        <w:outlineLvl w:val="1"/>
        <w:rPr>
          <w:rFonts w:ascii="宋体" w:hAnsi="宋体" w:cs="宋体"/>
          <w:color w:val="auto"/>
          <w:sz w:val="24"/>
          <w:highlight w:val="none"/>
        </w:rPr>
      </w:pPr>
      <w:bookmarkStart w:id="22" w:name="_Toc528247256"/>
      <w:bookmarkStart w:id="23" w:name="_Toc10575947"/>
      <w:bookmarkStart w:id="24" w:name="_Toc36553002"/>
      <w:bookmarkStart w:id="25" w:name="_Toc532804463"/>
      <w:r>
        <w:rPr>
          <w:rFonts w:hint="eastAsia" w:ascii="宋体" w:hAnsi="宋体" w:cs="宋体"/>
          <w:color w:val="auto"/>
          <w:sz w:val="24"/>
          <w:highlight w:val="none"/>
        </w:rPr>
        <w:t>磋商</w:t>
      </w:r>
      <w:r>
        <w:rPr>
          <w:rFonts w:hint="eastAsia" w:ascii="宋体" w:hAnsi="宋体" w:cs="宋体"/>
          <w:bCs/>
          <w:color w:val="auto"/>
          <w:sz w:val="24"/>
          <w:highlight w:val="none"/>
        </w:rPr>
        <w:t>供应商</w:t>
      </w:r>
      <w:r>
        <w:rPr>
          <w:rFonts w:hint="eastAsia" w:ascii="宋体" w:hAnsi="宋体" w:cs="宋体"/>
          <w:color w:val="auto"/>
          <w:sz w:val="24"/>
          <w:highlight w:val="none"/>
        </w:rPr>
        <w:t>须知前附表</w:t>
      </w:r>
      <w:bookmarkEnd w:id="22"/>
      <w:bookmarkEnd w:id="23"/>
      <w:bookmarkEnd w:id="24"/>
      <w:bookmarkEnd w:id="25"/>
    </w:p>
    <w:tbl>
      <w:tblPr>
        <w:tblStyle w:val="38"/>
        <w:tblW w:w="9231"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
        <w:gridCol w:w="1161"/>
        <w:gridCol w:w="2722"/>
        <w:gridCol w:w="11"/>
        <w:gridCol w:w="5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tcBorders>
              <w:top w:val="single" w:color="auto" w:sz="12" w:space="0"/>
            </w:tcBorders>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条款号</w:t>
            </w:r>
          </w:p>
        </w:tc>
        <w:tc>
          <w:tcPr>
            <w:tcW w:w="2733" w:type="dxa"/>
            <w:gridSpan w:val="2"/>
            <w:tcBorders>
              <w:top w:val="single" w:color="auto" w:sz="12" w:space="0"/>
            </w:tcBorders>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条  款  名  称</w:t>
            </w:r>
          </w:p>
        </w:tc>
        <w:tc>
          <w:tcPr>
            <w:tcW w:w="5331" w:type="dxa"/>
            <w:tcBorders>
              <w:top w:val="single" w:color="auto" w:sz="12" w:space="0"/>
            </w:tcBorders>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采购人</w:t>
            </w:r>
          </w:p>
        </w:tc>
        <w:tc>
          <w:tcPr>
            <w:tcW w:w="5331"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 购 人：河南省化工研究所有限责任公司</w:t>
            </w:r>
          </w:p>
          <w:p>
            <w:pPr>
              <w:tabs>
                <w:tab w:val="left" w:pos="900"/>
              </w:tabs>
              <w:spacing w:line="360" w:lineRule="auto"/>
              <w:rPr>
                <w:rFonts w:ascii="宋体" w:hAnsi="宋体" w:cs="宋体"/>
                <w:color w:val="auto"/>
                <w:sz w:val="24"/>
                <w:highlight w:val="none"/>
              </w:rPr>
            </w:pPr>
            <w:r>
              <w:rPr>
                <w:rFonts w:hint="eastAsia" w:ascii="宋体" w:hAnsi="宋体" w:cs="宋体"/>
                <w:color w:val="auto"/>
                <w:sz w:val="24"/>
                <w:highlight w:val="none"/>
              </w:rPr>
              <w:t>联系人：郭歌</w:t>
            </w:r>
          </w:p>
          <w:p>
            <w:pPr>
              <w:tabs>
                <w:tab w:val="left" w:pos="900"/>
              </w:tabs>
              <w:spacing w:line="360" w:lineRule="auto"/>
              <w:rPr>
                <w:rFonts w:ascii="宋体" w:hAnsi="宋体" w:cs="宋体"/>
                <w:color w:val="auto"/>
                <w:sz w:val="24"/>
                <w:highlight w:val="none"/>
              </w:rPr>
            </w:pPr>
            <w:r>
              <w:rPr>
                <w:rFonts w:hint="eastAsia" w:ascii="宋体" w:hAnsi="宋体" w:cs="宋体"/>
                <w:color w:val="auto"/>
                <w:sz w:val="24"/>
                <w:highlight w:val="none"/>
              </w:rPr>
              <w:t>联系电话：0371-67449495</w:t>
            </w:r>
          </w:p>
          <w:p>
            <w:pPr>
              <w:tabs>
                <w:tab w:val="left" w:pos="900"/>
              </w:tabs>
              <w:spacing w:line="360" w:lineRule="auto"/>
              <w:rPr>
                <w:rFonts w:ascii="宋体" w:hAnsi="宋体" w:cs="宋体"/>
                <w:color w:val="auto"/>
                <w:sz w:val="24"/>
                <w:highlight w:val="none"/>
              </w:rPr>
            </w:pPr>
            <w:r>
              <w:rPr>
                <w:rFonts w:hint="eastAsia" w:ascii="宋体" w:hAnsi="宋体" w:cs="宋体"/>
                <w:color w:val="auto"/>
                <w:sz w:val="24"/>
                <w:highlight w:val="none"/>
              </w:rPr>
              <w:t>地址：郑州市建设东路37号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采购代理机构</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名称：河南招标采购服务有限公司</w:t>
            </w:r>
          </w:p>
          <w:p>
            <w:pPr>
              <w:spacing w:line="440" w:lineRule="exact"/>
              <w:rPr>
                <w:rFonts w:ascii="宋体" w:hAnsi="宋体" w:cs="宋体"/>
                <w:color w:val="auto"/>
                <w:sz w:val="24"/>
                <w:highlight w:val="none"/>
              </w:rPr>
            </w:pPr>
            <w:r>
              <w:rPr>
                <w:rFonts w:hint="eastAsia" w:ascii="宋体" w:hAnsi="宋体" w:cs="宋体"/>
                <w:color w:val="auto"/>
                <w:sz w:val="24"/>
                <w:highlight w:val="none"/>
              </w:rPr>
              <w:t>地址：郑州市纬四路13号</w:t>
            </w:r>
          </w:p>
          <w:p>
            <w:pPr>
              <w:spacing w:line="440" w:lineRule="exact"/>
              <w:rPr>
                <w:rFonts w:ascii="宋体" w:hAnsi="宋体" w:cs="宋体"/>
                <w:color w:val="auto"/>
                <w:sz w:val="24"/>
                <w:highlight w:val="none"/>
              </w:rPr>
            </w:pPr>
            <w:r>
              <w:rPr>
                <w:rFonts w:hint="eastAsia" w:ascii="宋体" w:hAnsi="宋体" w:cs="宋体"/>
                <w:color w:val="auto"/>
                <w:sz w:val="24"/>
                <w:highlight w:val="none"/>
              </w:rPr>
              <w:t>联系人：徐女士</w:t>
            </w:r>
          </w:p>
          <w:p>
            <w:pPr>
              <w:spacing w:line="440" w:lineRule="exact"/>
              <w:rPr>
                <w:rFonts w:ascii="宋体" w:hAnsi="宋体" w:cs="宋体"/>
                <w:color w:val="auto"/>
                <w:sz w:val="24"/>
                <w:highlight w:val="none"/>
              </w:rPr>
            </w:pPr>
            <w:r>
              <w:rPr>
                <w:rFonts w:hint="eastAsia" w:ascii="宋体" w:hAnsi="宋体" w:cs="宋体"/>
                <w:color w:val="auto"/>
                <w:sz w:val="24"/>
                <w:highlight w:val="none"/>
              </w:rPr>
              <w:t>电话：0371—65993522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项目名称</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河南省化工研究所有限责任公司二噁英检测与控制工程技术研究中心基础配套设施维修改造工程项目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4</w:t>
            </w:r>
          </w:p>
        </w:tc>
        <w:tc>
          <w:tcPr>
            <w:tcW w:w="2733" w:type="dxa"/>
            <w:gridSpan w:val="2"/>
            <w:vAlign w:val="center"/>
          </w:tcPr>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项目地点</w:t>
            </w:r>
          </w:p>
        </w:tc>
        <w:tc>
          <w:tcPr>
            <w:tcW w:w="5331" w:type="dxa"/>
            <w:vAlign w:val="center"/>
          </w:tcPr>
          <w:p>
            <w:pPr>
              <w:spacing w:line="440" w:lineRule="exact"/>
              <w:rPr>
                <w:rFonts w:ascii="宋体" w:hAnsi="宋体" w:cs="仿宋"/>
                <w:bCs/>
                <w:color w:val="auto"/>
                <w:sz w:val="24"/>
                <w:highlight w:val="none"/>
              </w:rPr>
            </w:pPr>
            <w:r>
              <w:rPr>
                <w:rFonts w:hint="eastAsia" w:ascii="宋体" w:hAnsi="宋体" w:cs="仿宋"/>
                <w:bCs/>
                <w:color w:val="auto"/>
                <w:sz w:val="24"/>
                <w:highlight w:val="none"/>
              </w:rPr>
              <w:t>新乡平原新区河南省化工研究所有限责任公司</w:t>
            </w:r>
          </w:p>
          <w:p>
            <w:pPr>
              <w:spacing w:line="440" w:lineRule="exact"/>
              <w:rPr>
                <w:rFonts w:ascii="宋体" w:hAnsi="宋体" w:cs="宋体"/>
                <w:color w:val="auto"/>
                <w:sz w:val="24"/>
                <w:highlight w:val="none"/>
              </w:rPr>
            </w:pPr>
            <w:r>
              <w:rPr>
                <w:rFonts w:hint="eastAsia" w:ascii="宋体" w:hAnsi="宋体" w:cs="仿宋"/>
                <w:bCs/>
                <w:color w:val="auto"/>
                <w:sz w:val="24"/>
                <w:highlight w:val="none"/>
              </w:rPr>
              <w:t>生产试验基地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kern w:val="0"/>
                <w:sz w:val="24"/>
                <w:highlight w:val="none"/>
              </w:rPr>
              <w:t>本次招标预算</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
                <w:bCs/>
                <w:color w:val="auto"/>
                <w:kern w:val="0"/>
                <w:sz w:val="24"/>
                <w:highlight w:val="none"/>
              </w:rPr>
              <w:t>招标预算：125</w:t>
            </w:r>
            <w:r>
              <w:rPr>
                <w:rFonts w:hint="eastAsia" w:ascii="宋体" w:hAnsi="宋体" w:cs="宋体"/>
                <w:b/>
                <w:bCs/>
                <w:color w:val="auto"/>
                <w:kern w:val="0"/>
                <w:sz w:val="24"/>
                <w:highlight w:val="none"/>
                <w:lang w:val="en-US" w:eastAsia="zh-CN"/>
              </w:rPr>
              <w:t>0000</w:t>
            </w:r>
            <w:r>
              <w:rPr>
                <w:rFonts w:hint="eastAsia" w:ascii="宋体" w:hAnsi="宋体" w:cs="宋体"/>
                <w:b/>
                <w:bCs/>
                <w:color w:val="auto"/>
                <w:kern w:val="0"/>
                <w:sz w:val="24"/>
                <w:highlight w:val="none"/>
              </w:rPr>
              <w:t>元</w:t>
            </w:r>
            <w:r>
              <w:rPr>
                <w:rFonts w:hint="eastAsia" w:ascii="宋体" w:hAnsi="宋体" w:cs="宋体"/>
                <w:b/>
                <w:bCs/>
                <w:color w:val="auto"/>
                <w:kern w:val="0"/>
                <w:sz w:val="24"/>
                <w:highlight w:val="none"/>
                <w:lang w:val="zh-CN"/>
              </w:rPr>
              <w:t xml:space="preserve"> ，招标控制价</w:t>
            </w:r>
            <w:r>
              <w:rPr>
                <w:rFonts w:hint="eastAsia" w:ascii="宋体" w:hAnsi="宋体" w:cs="宋体"/>
                <w:b/>
                <w:bCs/>
                <w:color w:val="auto"/>
                <w:kern w:val="0"/>
                <w:sz w:val="24"/>
                <w:highlight w:val="none"/>
              </w:rPr>
              <w:t>：1249946.3元；投标报价超过限价，为无效投标。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资金来源及比例</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财政拨款，资金100%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资金落实情况</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采购范围</w:t>
            </w:r>
          </w:p>
        </w:tc>
        <w:tc>
          <w:tcPr>
            <w:tcW w:w="5331"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二噁英检测与控制工程技术研究中心基础配套设施维修改造</w:t>
            </w:r>
          </w:p>
          <w:p>
            <w:pPr>
              <w:spacing w:line="360" w:lineRule="auto"/>
              <w:rPr>
                <w:rFonts w:ascii="宋体" w:hAnsi="宋体" w:cs="宋体"/>
                <w:color w:val="auto"/>
                <w:sz w:val="24"/>
                <w:highlight w:val="none"/>
              </w:rPr>
            </w:pPr>
            <w:r>
              <w:rPr>
                <w:rFonts w:hint="eastAsia" w:ascii="宋体" w:hAnsi="宋体" w:cs="宋体"/>
                <w:color w:val="auto"/>
                <w:kern w:val="0"/>
                <w:sz w:val="24"/>
                <w:highlight w:val="none"/>
              </w:rPr>
              <w:t>本项目工程量清单及磋商文件范围内的施工及保修，具体内容详见磋商文件及工程量清单。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9</w:t>
            </w:r>
          </w:p>
        </w:tc>
        <w:tc>
          <w:tcPr>
            <w:tcW w:w="2733" w:type="dxa"/>
            <w:gridSpan w:val="2"/>
            <w:vAlign w:val="center"/>
          </w:tcPr>
          <w:p>
            <w:pPr>
              <w:spacing w:line="44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计划工期</w:t>
            </w:r>
          </w:p>
        </w:tc>
        <w:tc>
          <w:tcPr>
            <w:tcW w:w="5331" w:type="dxa"/>
            <w:vAlign w:val="bottom"/>
          </w:tcPr>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120</w:t>
            </w:r>
            <w:r>
              <w:rPr>
                <w:rFonts w:hint="eastAsia" w:ascii="宋体" w:hAnsi="宋体" w:cs="宋体"/>
                <w:b/>
                <w:bCs/>
                <w:color w:val="auto"/>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167" w:type="dxa"/>
            <w:gridSpan w:val="2"/>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733" w:type="dxa"/>
            <w:gridSpan w:val="2"/>
            <w:vAlign w:val="center"/>
          </w:tcPr>
          <w:p>
            <w:pPr>
              <w:spacing w:line="44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质量保修</w:t>
            </w:r>
          </w:p>
        </w:tc>
        <w:tc>
          <w:tcPr>
            <w:tcW w:w="5331" w:type="dxa"/>
            <w:vAlign w:val="center"/>
          </w:tcPr>
          <w:p>
            <w:pPr>
              <w:spacing w:beforeLines="50" w:afterLines="50" w:line="440" w:lineRule="exact"/>
              <w:rPr>
                <w:rFonts w:ascii="宋体" w:hAnsi="宋体" w:cs="宋体"/>
                <w:color w:val="auto"/>
                <w:sz w:val="24"/>
                <w:highlight w:val="none"/>
              </w:rPr>
            </w:pPr>
            <w:r>
              <w:rPr>
                <w:rFonts w:hint="eastAsia" w:ascii="宋体" w:hAnsi="宋体" w:cs="宋体"/>
                <w:color w:val="auto"/>
                <w:sz w:val="24"/>
                <w:highlight w:val="none"/>
              </w:rPr>
              <w:t>详见合同附件《</w:t>
            </w:r>
            <w:r>
              <w:rPr>
                <w:rFonts w:hint="eastAsia" w:ascii="宋体" w:hAnsi="宋体" w:cs="宋体"/>
                <w:color w:val="auto"/>
                <w:szCs w:val="21"/>
                <w:highlight w:val="none"/>
              </w:rPr>
              <w:t>工程质量保修书》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p>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733" w:type="dxa"/>
            <w:gridSpan w:val="2"/>
            <w:vAlign w:val="center"/>
          </w:tcPr>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p>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供应商资格要求</w:t>
            </w:r>
          </w:p>
        </w:tc>
        <w:tc>
          <w:tcPr>
            <w:tcW w:w="5331" w:type="dxa"/>
            <w:vAlign w:val="center"/>
          </w:tcPr>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1、符合《中华人民共和国政府采购法》第二十二条规定：</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1）具有独立承担民事责任的能力；</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 xml:space="preserve">2）具有良好的商业信誉和健全的财务会计制度； </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 xml:space="preserve">3）具有履行合同所必须的设备和专业技术能力； </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4）有依法缴纳税收和社会保障资金的良好记录；</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5）参加政府采购活动前三年内，在经营活动中没有重大违法记录；</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2、供应商具有住房和城乡建设行政主管部门核发的建筑工程施工总承包三级及以上资质，且具有有效的安全生产许可证；</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3、</w:t>
            </w:r>
            <w:r>
              <w:rPr>
                <w:rFonts w:hint="eastAsia" w:ascii="宋体" w:hAnsi="宋体" w:cs="宋体"/>
                <w:b/>
                <w:iCs/>
                <w:color w:val="auto"/>
                <w:sz w:val="24"/>
                <w:highlight w:val="none"/>
              </w:rPr>
              <w:t>拟派往的项目经理具备建筑工程专业贰级及以上注册建造师资格，并具有有效的安全生产考核合格证，且没有正在施工和正在承接的工程项目；</w:t>
            </w:r>
          </w:p>
          <w:p>
            <w:pPr>
              <w:tabs>
                <w:tab w:val="left" w:pos="900"/>
              </w:tabs>
              <w:snapToGrid w:val="0"/>
              <w:spacing w:line="360" w:lineRule="auto"/>
              <w:ind w:left="482"/>
              <w:rPr>
                <w:rFonts w:ascii="宋体" w:hAnsi="宋体" w:cs="宋体"/>
                <w:b/>
                <w:iCs/>
                <w:color w:val="auto"/>
                <w:sz w:val="24"/>
                <w:highlight w:val="none"/>
              </w:rPr>
            </w:pPr>
            <w:r>
              <w:rPr>
                <w:rFonts w:hint="eastAsia" w:ascii="宋体" w:hAnsi="宋体" w:cs="宋体"/>
                <w:b/>
                <w:iCs/>
                <w:color w:val="auto"/>
                <w:sz w:val="24"/>
                <w:highlight w:val="none"/>
              </w:rPr>
              <w:t>4、提供政府采购反商业贿赂承诺书；</w:t>
            </w:r>
          </w:p>
          <w:p>
            <w:pPr>
              <w:tabs>
                <w:tab w:val="left" w:pos="900"/>
              </w:tabs>
              <w:snapToGrid w:val="0"/>
              <w:spacing w:line="360" w:lineRule="auto"/>
              <w:ind w:firstLine="480" w:firstLineChars="200"/>
              <w:rPr>
                <w:rFonts w:ascii="宋体" w:hAnsi="宋体" w:cs="宋体"/>
                <w:b/>
                <w:iCs/>
                <w:color w:val="auto"/>
                <w:sz w:val="24"/>
                <w:highlight w:val="none"/>
              </w:rPr>
            </w:pPr>
            <w:r>
              <w:rPr>
                <w:rFonts w:hint="eastAsia" w:ascii="宋体" w:hAnsi="宋体" w:cs="宋体"/>
                <w:b/>
                <w:iCs/>
                <w:color w:val="auto"/>
                <w:sz w:val="24"/>
                <w:highlight w:val="none"/>
              </w:rPr>
              <w:t>5、根据《关于在政府采购活动中查询及使用信用记录有关问题的通知》(财库[2016]125号) 和豫财购【2016】15号的规定，投标人提供在 “信用中国”网站中查询“失信被执行人”和 “重大税收违法案件当事人名单”（http://www.creditchina.gov.cn/），以及在“中国政府采购网”网站（www.ccgp.gov.cn）中查询“政府采购严重违法失信行为记录名单”共3项的查询结果；</w:t>
            </w:r>
          </w:p>
          <w:p>
            <w:pPr>
              <w:tabs>
                <w:tab w:val="left" w:pos="900"/>
              </w:tabs>
              <w:snapToGrid w:val="0"/>
              <w:spacing w:line="360" w:lineRule="auto"/>
              <w:ind w:firstLine="480" w:firstLineChars="200"/>
              <w:rPr>
                <w:rFonts w:ascii="宋体" w:hAnsi="宋体" w:cs="宋体"/>
                <w:bCs/>
                <w:iCs/>
                <w:color w:val="auto"/>
                <w:sz w:val="24"/>
                <w:highlight w:val="none"/>
              </w:rPr>
            </w:pPr>
            <w:r>
              <w:rPr>
                <w:rFonts w:hint="eastAsia" w:ascii="宋体" w:hAnsi="宋体" w:cs="宋体"/>
                <w:b/>
                <w:iCs/>
                <w:color w:val="auto"/>
                <w:sz w:val="24"/>
                <w:highlight w:val="none"/>
              </w:rPr>
              <w:t>6、本项目亦不接受联合体投标，单位负责人为同一个人或者存在控股、管理关系的不同单位不得同时参与该项目。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5331" w:type="dxa"/>
            <w:vAlign w:val="center"/>
          </w:tcPr>
          <w:p>
            <w:pPr>
              <w:pStyle w:val="17"/>
              <w:topLinePunct/>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不接受</w:t>
            </w:r>
          </w:p>
          <w:p>
            <w:pPr>
              <w:pStyle w:val="17"/>
              <w:topLinePunct/>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踏勘现场</w:t>
            </w:r>
          </w:p>
        </w:tc>
        <w:tc>
          <w:tcPr>
            <w:tcW w:w="5331" w:type="dxa"/>
            <w:vAlign w:val="center"/>
          </w:tcPr>
          <w:p>
            <w:pPr>
              <w:pStyle w:val="22"/>
              <w:spacing w:line="540" w:lineRule="exact"/>
              <w:rPr>
                <w:rFonts w:hAnsi="宋体" w:cs="宋体"/>
                <w:color w:val="auto"/>
                <w:sz w:val="24"/>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 eq \o\ac(□,√)</w:instrText>
            </w:r>
            <w:r>
              <w:rPr>
                <w:rFonts w:hint="eastAsia" w:hAnsi="宋体" w:cs="宋体"/>
                <w:color w:val="auto"/>
                <w:sz w:val="24"/>
                <w:highlight w:val="none"/>
              </w:rPr>
              <w:fldChar w:fldCharType="end"/>
            </w:r>
            <w:r>
              <w:rPr>
                <w:rFonts w:hint="eastAsia" w:hAnsi="宋体" w:cs="宋体"/>
                <w:color w:val="auto"/>
                <w:sz w:val="24"/>
                <w:highlight w:val="none"/>
              </w:rPr>
              <w:t>不组织,可自行踏勘。</w:t>
            </w:r>
          </w:p>
          <w:p>
            <w:pPr>
              <w:pStyle w:val="22"/>
              <w:spacing w:line="540" w:lineRule="exact"/>
              <w:rPr>
                <w:rFonts w:hAnsi="宋体" w:cs="宋体"/>
                <w:color w:val="auto"/>
                <w:spacing w:val="6"/>
                <w:sz w:val="24"/>
                <w:szCs w:val="24"/>
                <w:highlight w:val="none"/>
              </w:rPr>
            </w:pPr>
            <w:r>
              <w:rPr>
                <w:rFonts w:hint="eastAsia" w:hAnsi="宋体" w:cs="宋体"/>
                <w:color w:val="auto"/>
                <w:spacing w:val="6"/>
                <w:sz w:val="24"/>
                <w:szCs w:val="24"/>
                <w:highlight w:val="none"/>
              </w:rPr>
              <w:t>1、供应商领取磋商文件后自行组织现场勘察活动，以获取须供应商自己负责的有关编制响应文件和签署合同所需的所有资料。</w:t>
            </w:r>
          </w:p>
          <w:p>
            <w:pPr>
              <w:pStyle w:val="22"/>
              <w:spacing w:line="540" w:lineRule="exact"/>
              <w:rPr>
                <w:rFonts w:hAnsi="宋体" w:cs="宋体"/>
                <w:color w:val="auto"/>
                <w:spacing w:val="6"/>
                <w:sz w:val="24"/>
                <w:szCs w:val="24"/>
                <w:highlight w:val="none"/>
              </w:rPr>
            </w:pPr>
            <w:r>
              <w:rPr>
                <w:rFonts w:hint="eastAsia" w:hAnsi="宋体" w:cs="宋体"/>
                <w:color w:val="auto"/>
                <w:spacing w:val="6"/>
                <w:sz w:val="24"/>
                <w:szCs w:val="24"/>
                <w:highlight w:val="none"/>
              </w:rPr>
              <w:t>2、勘察现场所发生的所有费用、风险由供应商自己承担。</w:t>
            </w:r>
          </w:p>
          <w:p>
            <w:pPr>
              <w:spacing w:line="440" w:lineRule="exact"/>
              <w:rPr>
                <w:rFonts w:ascii="宋体" w:hAnsi="宋体" w:cs="宋体"/>
                <w:b/>
                <w:color w:val="auto"/>
                <w:sz w:val="24"/>
                <w:highlight w:val="none"/>
              </w:rPr>
            </w:pPr>
            <w:r>
              <w:rPr>
                <w:rFonts w:hint="eastAsia" w:ascii="宋体" w:hAnsi="宋体" w:cs="宋体"/>
                <w:color w:val="auto"/>
                <w:spacing w:val="6"/>
                <w:sz w:val="24"/>
                <w:highlight w:val="none"/>
              </w:rPr>
              <w:t>3、采购人对供应商由此而作出的推论、理解和结论概不负责。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投标预备会</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不召开    </w:t>
            </w:r>
          </w:p>
          <w:p>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□召开，召开时间： </w:t>
            </w:r>
          </w:p>
          <w:p>
            <w:pPr>
              <w:pStyle w:val="5"/>
              <w:ind w:firstLine="960" w:firstLineChars="400"/>
              <w:jc w:val="both"/>
              <w:rPr>
                <w:rFonts w:cs="宋体"/>
                <w:color w:val="auto"/>
                <w:highlight w:val="none"/>
              </w:rPr>
            </w:pPr>
            <w:bookmarkStart w:id="26" w:name="_Toc516504964"/>
            <w:bookmarkStart w:id="27" w:name="_Toc528247258"/>
            <w:bookmarkStart w:id="28" w:name="_Toc532804465"/>
            <w:bookmarkStart w:id="29" w:name="_Toc10575949"/>
            <w:bookmarkStart w:id="30" w:name="_Toc36553004"/>
            <w:r>
              <w:rPr>
                <w:rFonts w:hint="eastAsia" w:cs="宋体"/>
                <w:b w:val="0"/>
                <w:color w:val="auto"/>
                <w:kern w:val="2"/>
                <w:sz w:val="24"/>
                <w:szCs w:val="24"/>
                <w:highlight w:val="none"/>
              </w:rPr>
              <w:t>召开地点：</w:t>
            </w:r>
            <w:bookmarkEnd w:id="26"/>
            <w:bookmarkEnd w:id="27"/>
            <w:bookmarkEnd w:id="28"/>
            <w:bookmarkEnd w:id="29"/>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Merge w:val="restart"/>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2733" w:type="dxa"/>
            <w:gridSpan w:val="2"/>
            <w:vMerge w:val="restart"/>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供应商在投标预备会前提出问题</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Cs/>
                <w:color w:val="auto"/>
                <w:sz w:val="24"/>
                <w:highlight w:val="none"/>
              </w:rPr>
              <w:t>时间：</w:t>
            </w:r>
            <w:r>
              <w:rPr>
                <w:rFonts w:hint="eastAsia" w:ascii="宋体" w:hAnsi="宋体" w:cs="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Merge w:val="continue"/>
            <w:vAlign w:val="center"/>
          </w:tcPr>
          <w:p>
            <w:pPr>
              <w:spacing w:line="440" w:lineRule="exact"/>
              <w:jc w:val="center"/>
              <w:rPr>
                <w:rFonts w:ascii="宋体" w:hAnsi="宋体" w:cs="宋体"/>
                <w:color w:val="auto"/>
                <w:sz w:val="24"/>
                <w:highlight w:val="none"/>
              </w:rPr>
            </w:pPr>
          </w:p>
        </w:tc>
        <w:tc>
          <w:tcPr>
            <w:tcW w:w="2733" w:type="dxa"/>
            <w:gridSpan w:val="2"/>
            <w:vMerge w:val="continue"/>
            <w:vAlign w:val="center"/>
          </w:tcPr>
          <w:p>
            <w:pPr>
              <w:spacing w:line="440" w:lineRule="exact"/>
              <w:jc w:val="left"/>
              <w:rPr>
                <w:rFonts w:ascii="宋体" w:hAnsi="宋体" w:cs="宋体"/>
                <w:color w:val="auto"/>
                <w:sz w:val="24"/>
                <w:highlight w:val="none"/>
              </w:rPr>
            </w:pPr>
          </w:p>
        </w:tc>
        <w:tc>
          <w:tcPr>
            <w:tcW w:w="5331" w:type="dxa"/>
            <w:vAlign w:val="center"/>
          </w:tcPr>
          <w:p>
            <w:pPr>
              <w:spacing w:line="440" w:lineRule="exact"/>
              <w:rPr>
                <w:rFonts w:ascii="宋体" w:hAnsi="宋体" w:cs="宋体"/>
                <w:bCs/>
                <w:color w:val="auto"/>
                <w:sz w:val="24"/>
                <w:highlight w:val="none"/>
              </w:rPr>
            </w:pPr>
            <w:r>
              <w:rPr>
                <w:rFonts w:hint="eastAsia" w:ascii="宋体" w:hAnsi="宋体" w:cs="宋体"/>
                <w:bCs/>
                <w:color w:val="auto"/>
                <w:sz w:val="24"/>
                <w:highlight w:val="none"/>
              </w:rPr>
              <w:t>形式：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采购文件澄清发出的形式</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Cs/>
                <w:color w:val="auto"/>
                <w:sz w:val="24"/>
                <w:highlight w:val="none"/>
              </w:rPr>
              <w:t>盖采购人或采购代理公司单位公章的书面文件扫描件通过邮箱发至各供应商单位授权代理人或网上发布。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分包</w:t>
            </w:r>
          </w:p>
        </w:tc>
        <w:tc>
          <w:tcPr>
            <w:tcW w:w="5331" w:type="dxa"/>
            <w:vAlign w:val="center"/>
          </w:tcPr>
          <w:p>
            <w:pPr>
              <w:pStyle w:val="17"/>
              <w:topLinePunct/>
              <w:spacing w:line="400" w:lineRule="exact"/>
              <w:rPr>
                <w:rFonts w:ascii="宋体" w:hAnsi="宋体" w:cs="宋体"/>
                <w:color w:val="auto"/>
                <w:sz w:val="24"/>
                <w:szCs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rPr>
              <w:t xml:space="preserve">不允许   </w:t>
            </w:r>
          </w:p>
          <w:p>
            <w:pPr>
              <w:rPr>
                <w:rFonts w:ascii="宋体" w:hAnsi="宋体" w:cs="宋体"/>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允许，分包内容要求：分包单位应具有相应资质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实质性要求和条件</w:t>
            </w:r>
          </w:p>
        </w:tc>
        <w:tc>
          <w:tcPr>
            <w:tcW w:w="5331" w:type="dxa"/>
            <w:vAlign w:val="center"/>
          </w:tcPr>
          <w:p>
            <w:pPr>
              <w:pStyle w:val="17"/>
              <w:topLinePunct/>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响应文件应当对采购文件的实质性要求和条件作出满足性或更有利于采购人的响应，否则，供应商的响应将被否决。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偏差</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不允许</w:t>
            </w:r>
          </w:p>
          <w:p>
            <w:pPr>
              <w:spacing w:line="360" w:lineRule="auto"/>
              <w:rPr>
                <w:rFonts w:ascii="宋体" w:hAnsi="宋体" w:cs="宋体"/>
                <w:color w:val="auto"/>
                <w:sz w:val="24"/>
                <w:highlight w:val="none"/>
              </w:rPr>
            </w:pPr>
            <w:r>
              <w:rPr>
                <w:rFonts w:hint="eastAsia" w:ascii="宋体" w:hAnsi="宋体" w:cs="宋体"/>
                <w:color w:val="auto"/>
                <w:sz w:val="24"/>
                <w:highlight w:val="none"/>
              </w:rPr>
              <w:t>□允许，偏差范围：/</w:t>
            </w:r>
          </w:p>
          <w:p>
            <w:pPr>
              <w:pStyle w:val="5"/>
              <w:ind w:firstLine="960" w:firstLineChars="400"/>
              <w:jc w:val="both"/>
              <w:rPr>
                <w:rFonts w:cs="宋体"/>
                <w:b w:val="0"/>
                <w:color w:val="auto"/>
                <w:kern w:val="2"/>
                <w:sz w:val="24"/>
                <w:szCs w:val="24"/>
                <w:highlight w:val="none"/>
              </w:rPr>
            </w:pPr>
            <w:bookmarkStart w:id="31" w:name="_Toc516504966"/>
            <w:bookmarkStart w:id="32" w:name="_Toc528247260"/>
            <w:bookmarkStart w:id="33" w:name="_Toc532804467"/>
            <w:bookmarkStart w:id="34" w:name="_Toc10575951"/>
            <w:bookmarkStart w:id="35" w:name="_Toc36553006"/>
            <w:r>
              <w:rPr>
                <w:rFonts w:hint="eastAsia" w:cs="宋体"/>
                <w:b w:val="0"/>
                <w:color w:val="auto"/>
                <w:kern w:val="2"/>
                <w:sz w:val="24"/>
                <w:szCs w:val="24"/>
                <w:highlight w:val="none"/>
              </w:rPr>
              <w:t>偏差幅度：</w:t>
            </w:r>
            <w:bookmarkEnd w:id="31"/>
            <w:r>
              <w:rPr>
                <w:rFonts w:hint="eastAsia" w:cs="宋体"/>
                <w:b w:val="0"/>
                <w:color w:val="auto"/>
                <w:kern w:val="2"/>
                <w:sz w:val="24"/>
                <w:szCs w:val="24"/>
                <w:highlight w:val="none"/>
              </w:rPr>
              <w:t>/</w:t>
            </w:r>
            <w:bookmarkEnd w:id="32"/>
            <w:bookmarkEnd w:id="33"/>
            <w:bookmarkEnd w:id="34"/>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构成采购文件的其他材料</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技术要求、采购文件的澄清与修改等。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Merge w:val="restart"/>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2733" w:type="dxa"/>
            <w:gridSpan w:val="2"/>
            <w:vMerge w:val="restart"/>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供应商要求澄清采购文件</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kern w:val="0"/>
                <w:sz w:val="24"/>
                <w:highlight w:val="none"/>
              </w:rPr>
              <w:t>2020</w:t>
            </w:r>
            <w:r>
              <w:rPr>
                <w:rFonts w:hint="eastAsia" w:ascii="宋体" w:hAnsi="宋体" w:cs="宋体"/>
                <w:bCs/>
                <w:color w:val="auto"/>
                <w:kern w:val="0"/>
                <w:sz w:val="24"/>
                <w:highlight w:val="none"/>
                <w:lang w:val="zh-CN"/>
              </w:rPr>
              <w:t>年</w:t>
            </w:r>
            <w:r>
              <w:rPr>
                <w:rFonts w:hint="eastAsia" w:ascii="宋体" w:hAnsi="宋体" w:cs="宋体"/>
                <w:bCs/>
                <w:color w:val="auto"/>
                <w:kern w:val="0"/>
                <w:sz w:val="24"/>
                <w:highlight w:val="none"/>
                <w:lang w:val="en-US" w:eastAsia="zh-CN"/>
              </w:rPr>
              <w:t>12</w:t>
            </w:r>
            <w:r>
              <w:rPr>
                <w:rFonts w:hint="eastAsia" w:ascii="宋体" w:hAnsi="宋体" w:cs="宋体"/>
                <w:bCs/>
                <w:color w:val="auto"/>
                <w:kern w:val="0"/>
                <w:sz w:val="24"/>
                <w:highlight w:val="none"/>
                <w:lang w:val="zh-CN"/>
              </w:rPr>
              <w:t>月</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lang w:val="zh-CN"/>
              </w:rPr>
              <w:t>日</w:t>
            </w: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7:3</w:t>
            </w:r>
            <w:r>
              <w:rPr>
                <w:rFonts w:hint="eastAsia" w:ascii="宋体" w:hAnsi="宋体" w:cs="宋体"/>
                <w:bCs/>
                <w:color w:val="auto"/>
                <w:sz w:val="24"/>
                <w:highlight w:val="none"/>
              </w:rPr>
              <w:t>0前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Merge w:val="continue"/>
            <w:vAlign w:val="center"/>
          </w:tcPr>
          <w:p>
            <w:pPr>
              <w:spacing w:line="440" w:lineRule="exact"/>
              <w:jc w:val="center"/>
              <w:rPr>
                <w:rFonts w:ascii="宋体" w:hAnsi="宋体" w:cs="宋体"/>
                <w:color w:val="auto"/>
                <w:sz w:val="24"/>
                <w:highlight w:val="none"/>
              </w:rPr>
            </w:pPr>
          </w:p>
        </w:tc>
        <w:tc>
          <w:tcPr>
            <w:tcW w:w="2733" w:type="dxa"/>
            <w:gridSpan w:val="2"/>
            <w:vMerge w:val="continue"/>
            <w:vAlign w:val="center"/>
          </w:tcPr>
          <w:p>
            <w:pPr>
              <w:spacing w:line="440" w:lineRule="exact"/>
              <w:jc w:val="left"/>
              <w:rPr>
                <w:rFonts w:ascii="宋体" w:hAnsi="宋体" w:cs="宋体"/>
                <w:color w:val="auto"/>
                <w:sz w:val="24"/>
                <w:highlight w:val="none"/>
              </w:rPr>
            </w:pPr>
          </w:p>
        </w:tc>
        <w:tc>
          <w:tcPr>
            <w:tcW w:w="5331" w:type="dxa"/>
            <w:vAlign w:val="center"/>
          </w:tcPr>
          <w:p>
            <w:pPr>
              <w:spacing w:line="440" w:lineRule="exact"/>
              <w:rPr>
                <w:rFonts w:ascii="宋体" w:hAnsi="宋体" w:cs="宋体"/>
                <w:bCs/>
                <w:color w:val="auto"/>
                <w:sz w:val="24"/>
                <w:highlight w:val="none"/>
              </w:rPr>
            </w:pPr>
            <w:r>
              <w:rPr>
                <w:rFonts w:hint="eastAsia" w:ascii="宋体" w:hAnsi="宋体" w:cs="宋体"/>
                <w:bCs/>
                <w:color w:val="auto"/>
                <w:sz w:val="24"/>
                <w:highlight w:val="none"/>
              </w:rPr>
              <w:t>形式：盖单位公章的书面文件递交至采购代理公司302房间。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采购文件澄清发出的形式</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Cs/>
                <w:color w:val="auto"/>
                <w:sz w:val="24"/>
                <w:highlight w:val="none"/>
              </w:rPr>
              <w:t>盖采购人或采购代理公司单位公章的书面文件扫描件通过邮箱发至各供应商单位授权代理人或网上发布。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采购文件修改发出的形式</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bCs/>
                <w:color w:val="auto"/>
                <w:sz w:val="24"/>
                <w:highlight w:val="none"/>
              </w:rPr>
              <w:t>盖采购人或采购代理公司单位公章的书面文件扫描件通过邮箱发至各供应商单位授权代理人或网上发布。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构成响应文件的其他材料</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见采购文件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增值税税金的计算方法</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按一般计税方法计算。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报价方式</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固定费用包干报价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响应报价的其它要求</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按磋商文件中相关要求进行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响应文件有效期</w:t>
            </w:r>
          </w:p>
        </w:tc>
        <w:tc>
          <w:tcPr>
            <w:tcW w:w="5331" w:type="dxa"/>
            <w:vAlign w:val="center"/>
          </w:tcPr>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60日历天（投标截止之日起）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29</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磋商保证金</w:t>
            </w:r>
          </w:p>
        </w:tc>
        <w:tc>
          <w:tcPr>
            <w:tcW w:w="5331" w:type="dxa"/>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是否要求供应商递交磋商保证金：</w:t>
            </w:r>
          </w:p>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资格审查资料的特殊要求</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无</w:t>
            </w:r>
          </w:p>
          <w:p>
            <w:pPr>
              <w:spacing w:line="360" w:lineRule="auto"/>
              <w:rPr>
                <w:rFonts w:ascii="宋体" w:hAnsi="宋体" w:cs="宋体"/>
                <w:color w:val="auto"/>
                <w:sz w:val="24"/>
                <w:highlight w:val="none"/>
              </w:rPr>
            </w:pPr>
            <w:r>
              <w:rPr>
                <w:rFonts w:hint="eastAsia" w:ascii="宋体" w:hAnsi="宋体" w:cs="宋体"/>
                <w:color w:val="auto"/>
                <w:sz w:val="24"/>
                <w:highlight w:val="none"/>
              </w:rPr>
              <w:t>□有，具体要求：/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近年财务状况的年份要求</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2018或2019年（成立年度营业月份不足12个月者成立年度的财务审计报告可以不提供）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近年完成的类似项目情况的时间要求</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2017年1月1日至今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近年发生的诉讼及仲裁情况的时间要求</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不作要求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不允许</w:t>
            </w:r>
          </w:p>
          <w:p>
            <w:pPr>
              <w:spacing w:line="360" w:lineRule="auto"/>
              <w:rPr>
                <w:rFonts w:ascii="宋体" w:hAnsi="宋体" w:cs="宋体"/>
                <w:color w:val="auto"/>
                <w:sz w:val="24"/>
                <w:highlight w:val="none"/>
              </w:rPr>
            </w:pPr>
            <w:r>
              <w:rPr>
                <w:rFonts w:hint="eastAsia" w:ascii="宋体" w:hAnsi="宋体" w:cs="宋体"/>
                <w:color w:val="auto"/>
                <w:sz w:val="24"/>
                <w:highlight w:val="none"/>
              </w:rPr>
              <w:t>□允许，具体要求：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响应文件正副本份数及其他要求</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响应文件正本份数：壹份。</w:t>
            </w:r>
          </w:p>
          <w:p>
            <w:pPr>
              <w:spacing w:line="440" w:lineRule="exact"/>
              <w:rPr>
                <w:rFonts w:ascii="宋体" w:hAnsi="宋体" w:cs="宋体"/>
                <w:color w:val="auto"/>
                <w:sz w:val="24"/>
                <w:highlight w:val="none"/>
              </w:rPr>
            </w:pPr>
            <w:r>
              <w:rPr>
                <w:rFonts w:hint="eastAsia" w:ascii="宋体" w:hAnsi="宋体" w:cs="宋体"/>
                <w:color w:val="auto"/>
                <w:sz w:val="24"/>
                <w:highlight w:val="none"/>
              </w:rPr>
              <w:t>响应文件副本份数：贰份。</w:t>
            </w:r>
          </w:p>
          <w:p>
            <w:pPr>
              <w:pStyle w:val="5"/>
              <w:jc w:val="left"/>
              <w:rPr>
                <w:rFonts w:cs="宋体"/>
                <w:b w:val="0"/>
                <w:color w:val="auto"/>
                <w:kern w:val="2"/>
                <w:sz w:val="24"/>
                <w:szCs w:val="24"/>
                <w:highlight w:val="none"/>
              </w:rPr>
            </w:pPr>
            <w:bookmarkStart w:id="36" w:name="_Toc532804469"/>
            <w:bookmarkStart w:id="37" w:name="_Toc10575953"/>
            <w:bookmarkStart w:id="38" w:name="_Toc36553008"/>
            <w:bookmarkStart w:id="39" w:name="_Toc516504969"/>
            <w:bookmarkStart w:id="40" w:name="_Toc528247262"/>
            <w:r>
              <w:rPr>
                <w:rFonts w:hint="eastAsia" w:cs="宋体"/>
                <w:b w:val="0"/>
                <w:color w:val="auto"/>
                <w:kern w:val="2"/>
                <w:sz w:val="24"/>
                <w:szCs w:val="24"/>
                <w:highlight w:val="none"/>
              </w:rPr>
              <w:t>是否要求提交电子版文件：要求提供电子版。</w:t>
            </w:r>
            <w:bookmarkEnd w:id="36"/>
            <w:bookmarkEnd w:id="37"/>
            <w:bookmarkEnd w:id="38"/>
            <w:bookmarkEnd w:id="39"/>
            <w:bookmarkEnd w:id="40"/>
          </w:p>
          <w:p>
            <w:pPr>
              <w:rPr>
                <w:rFonts w:ascii="宋体" w:hAnsi="宋体" w:cs="宋体"/>
                <w:color w:val="auto"/>
                <w:sz w:val="24"/>
                <w:highlight w:val="none"/>
              </w:rPr>
            </w:pPr>
            <w:r>
              <w:rPr>
                <w:rFonts w:hint="eastAsia" w:ascii="宋体" w:hAnsi="宋体" w:cs="宋体"/>
                <w:color w:val="auto"/>
                <w:sz w:val="24"/>
                <w:highlight w:val="none"/>
              </w:rPr>
              <w:t>其他要求：</w:t>
            </w:r>
            <w:r>
              <w:rPr>
                <w:rFonts w:hint="eastAsia" w:ascii="宋体" w:hAnsi="宋体" w:cs="宋体"/>
                <w:b/>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36</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响应文件是否需要分册装订</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不需要</w:t>
            </w:r>
          </w:p>
          <w:p>
            <w:pPr>
              <w:spacing w:line="360" w:lineRule="auto"/>
              <w:rPr>
                <w:rFonts w:ascii="宋体" w:hAnsi="宋体" w:cs="宋体"/>
                <w:color w:val="auto"/>
                <w:sz w:val="24"/>
                <w:highlight w:val="none"/>
              </w:rPr>
            </w:pPr>
            <w:r>
              <w:rPr>
                <w:rFonts w:hint="eastAsia" w:ascii="宋体" w:hAnsi="宋体" w:cs="宋体"/>
                <w:color w:val="auto"/>
                <w:sz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37</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响应文件所附证书证件要求</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响应文件所附证书证件均为原件打描件，并加盖供应商单位公章。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38</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响应文件签字或盖章要求</w:t>
            </w:r>
          </w:p>
        </w:tc>
        <w:tc>
          <w:tcPr>
            <w:tcW w:w="5331" w:type="dxa"/>
            <w:vAlign w:val="center"/>
          </w:tcPr>
          <w:p>
            <w:pPr>
              <w:spacing w:line="360" w:lineRule="auto"/>
              <w:rPr>
                <w:rFonts w:ascii="宋体" w:hAnsi="宋体" w:cs="宋体"/>
                <w:b/>
                <w:color w:val="auto"/>
                <w:kern w:val="0"/>
                <w:szCs w:val="21"/>
                <w:highlight w:val="none"/>
              </w:rPr>
            </w:pPr>
            <w:r>
              <w:rPr>
                <w:rFonts w:hint="eastAsia" w:ascii="宋体" w:hAnsi="宋体" w:cs="宋体"/>
                <w:color w:val="auto"/>
                <w:sz w:val="24"/>
                <w:highlight w:val="none"/>
              </w:rPr>
              <w:t>盖章是指盖单位公章， 签字是指手写签名。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39</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封套上应载明的信息</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采购人名称：河南省化工研究所有限责任公司                     </w:t>
            </w:r>
          </w:p>
          <w:p>
            <w:pPr>
              <w:spacing w:line="440" w:lineRule="exact"/>
              <w:rPr>
                <w:rFonts w:ascii="宋体" w:hAnsi="宋体" w:cs="宋体"/>
                <w:color w:val="auto"/>
                <w:sz w:val="24"/>
                <w:highlight w:val="none"/>
              </w:rPr>
            </w:pPr>
            <w:r>
              <w:rPr>
                <w:rFonts w:hint="eastAsia" w:ascii="宋体" w:hAnsi="宋体" w:cs="宋体"/>
                <w:color w:val="auto"/>
                <w:sz w:val="24"/>
                <w:highlight w:val="none"/>
              </w:rPr>
              <w:t>河南省化工研究所有限责任公司二噁英检测与控制工程技术研究中心基础配套设施维修改造工程项目响应文件</w:t>
            </w:r>
          </w:p>
          <w:p>
            <w:pPr>
              <w:pStyle w:val="5"/>
              <w:spacing w:line="440" w:lineRule="exact"/>
              <w:jc w:val="both"/>
              <w:rPr>
                <w:rFonts w:cs="宋体"/>
                <w:b w:val="0"/>
                <w:color w:val="auto"/>
                <w:kern w:val="2"/>
                <w:sz w:val="24"/>
                <w:szCs w:val="24"/>
                <w:highlight w:val="none"/>
              </w:rPr>
            </w:pPr>
            <w:bookmarkStart w:id="41" w:name="_Toc516504970"/>
            <w:bookmarkStart w:id="42" w:name="_Toc528247263"/>
            <w:bookmarkStart w:id="43" w:name="_Toc532804470"/>
            <w:bookmarkStart w:id="44" w:name="_Toc10575954"/>
            <w:bookmarkStart w:id="45" w:name="_Toc36553009"/>
            <w:r>
              <w:rPr>
                <w:rFonts w:hint="eastAsia" w:cs="宋体"/>
                <w:b w:val="0"/>
                <w:color w:val="auto"/>
                <w:kern w:val="2"/>
                <w:sz w:val="24"/>
                <w:szCs w:val="24"/>
                <w:highlight w:val="none"/>
              </w:rPr>
              <w:t>采购项目编号：</w:t>
            </w:r>
            <w:bookmarkEnd w:id="41"/>
            <w:bookmarkEnd w:id="42"/>
            <w:bookmarkEnd w:id="43"/>
            <w:bookmarkEnd w:id="44"/>
            <w:bookmarkEnd w:id="45"/>
            <w:r>
              <w:rPr>
                <w:rFonts w:hint="eastAsia" w:cs="宋体"/>
                <w:b w:val="0"/>
                <w:color w:val="auto"/>
                <w:kern w:val="2"/>
                <w:sz w:val="24"/>
                <w:szCs w:val="24"/>
                <w:highlight w:val="none"/>
                <w:lang w:eastAsia="zh-CN"/>
              </w:rPr>
              <w:t>HNZB[2020]N0957</w:t>
            </w:r>
            <w:r>
              <w:rPr>
                <w:rFonts w:hint="eastAsia" w:cs="宋体"/>
                <w:b w:val="0"/>
                <w:color w:val="auto"/>
                <w:kern w:val="2"/>
                <w:sz w:val="24"/>
                <w:szCs w:val="24"/>
                <w:highlight w:val="none"/>
              </w:rPr>
              <w:t>号</w:t>
            </w:r>
          </w:p>
          <w:p>
            <w:pPr>
              <w:spacing w:line="440" w:lineRule="exact"/>
              <w:rPr>
                <w:rFonts w:ascii="宋体" w:hAnsi="宋体" w:cs="宋体"/>
                <w:color w:val="auto"/>
                <w:sz w:val="24"/>
                <w:highlight w:val="none"/>
              </w:rPr>
            </w:pPr>
            <w:r>
              <w:rPr>
                <w:rFonts w:hint="eastAsia" w:ascii="宋体" w:hAnsi="宋体" w:cs="宋体"/>
                <w:color w:val="auto"/>
                <w:sz w:val="24"/>
                <w:highlight w:val="none"/>
              </w:rPr>
              <w:t>在      年    月    日  时  分前不得开启（填写投标截止时间）</w:t>
            </w:r>
          </w:p>
          <w:p>
            <w:pPr>
              <w:spacing w:line="440" w:lineRule="exact"/>
              <w:rPr>
                <w:rFonts w:ascii="宋体" w:hAnsi="宋体" w:cs="宋体"/>
                <w:color w:val="auto"/>
                <w:sz w:val="24"/>
                <w:highlight w:val="none"/>
              </w:rPr>
            </w:pPr>
            <w:r>
              <w:rPr>
                <w:rFonts w:hint="eastAsia" w:ascii="宋体" w:hAnsi="宋体" w:cs="宋体"/>
                <w:color w:val="auto"/>
                <w:sz w:val="24"/>
                <w:highlight w:val="none"/>
              </w:rPr>
              <w:t>供应商名称：           （加盖单位公章）</w:t>
            </w:r>
          </w:p>
          <w:p>
            <w:pPr>
              <w:spacing w:line="440" w:lineRule="exact"/>
              <w:rPr>
                <w:rFonts w:ascii="宋体" w:hAnsi="宋体" w:cs="宋体"/>
                <w:color w:val="auto"/>
                <w:sz w:val="24"/>
                <w:highlight w:val="none"/>
              </w:rPr>
            </w:pPr>
            <w:r>
              <w:rPr>
                <w:rFonts w:hint="eastAsia" w:ascii="宋体" w:hAnsi="宋体" w:cs="宋体"/>
                <w:color w:val="auto"/>
                <w:sz w:val="24"/>
                <w:highlight w:val="none"/>
              </w:rPr>
              <w:t>供应商地址：</w:t>
            </w:r>
          </w:p>
          <w:p>
            <w:pPr>
              <w:spacing w:line="440" w:lineRule="exact"/>
              <w:rPr>
                <w:rFonts w:ascii="宋体" w:hAnsi="宋体" w:cs="宋体"/>
                <w:color w:val="auto"/>
                <w:sz w:val="24"/>
                <w:highlight w:val="none"/>
              </w:rPr>
            </w:pPr>
            <w:r>
              <w:rPr>
                <w:rFonts w:hint="eastAsia" w:ascii="宋体" w:hAnsi="宋体" w:cs="宋体"/>
                <w:color w:val="auto"/>
                <w:sz w:val="24"/>
                <w:highlight w:val="none"/>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 xml:space="preserve"> 40</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投标截止时间</w:t>
            </w:r>
          </w:p>
        </w:tc>
        <w:tc>
          <w:tcPr>
            <w:tcW w:w="5331" w:type="dxa"/>
            <w:vAlign w:val="center"/>
          </w:tcPr>
          <w:p>
            <w:pPr>
              <w:spacing w:line="440" w:lineRule="exact"/>
              <w:jc w:val="left"/>
              <w:rPr>
                <w:rFonts w:ascii="宋体" w:hAnsi="宋体" w:cs="宋体"/>
                <w:b/>
                <w:bCs/>
                <w:color w:val="auto"/>
                <w:sz w:val="24"/>
                <w:highlight w:val="none"/>
              </w:rPr>
            </w:pPr>
            <w:r>
              <w:rPr>
                <w:rFonts w:hint="eastAsia" w:ascii="宋体" w:hAnsi="宋体" w:eastAsia="宋体" w:cs="宋体"/>
                <w:b/>
                <w:bCs w:val="0"/>
                <w:color w:val="auto"/>
                <w:kern w:val="0"/>
                <w:sz w:val="24"/>
                <w:highlight w:val="none"/>
              </w:rPr>
              <w:t>2020</w:t>
            </w:r>
            <w:r>
              <w:rPr>
                <w:rFonts w:hint="eastAsia" w:ascii="宋体" w:hAnsi="宋体" w:eastAsia="宋体" w:cs="宋体"/>
                <w:b/>
                <w:bCs w:val="0"/>
                <w:color w:val="auto"/>
                <w:kern w:val="0"/>
                <w:sz w:val="24"/>
                <w:highlight w:val="none"/>
                <w:lang w:val="zh-CN"/>
              </w:rPr>
              <w:t>年</w:t>
            </w:r>
            <w:r>
              <w:rPr>
                <w:rFonts w:hint="eastAsia" w:ascii="宋体" w:hAnsi="宋体" w:eastAsia="宋体" w:cs="宋体"/>
                <w:b/>
                <w:bCs w:val="0"/>
                <w:color w:val="auto"/>
                <w:kern w:val="0"/>
                <w:sz w:val="24"/>
                <w:highlight w:val="none"/>
                <w:lang w:val="en-US" w:eastAsia="zh-CN"/>
              </w:rPr>
              <w:t>12</w:t>
            </w:r>
            <w:r>
              <w:rPr>
                <w:rFonts w:hint="eastAsia" w:ascii="宋体" w:hAnsi="宋体" w:eastAsia="宋体" w:cs="宋体"/>
                <w:b/>
                <w:bCs w:val="0"/>
                <w:color w:val="auto"/>
                <w:kern w:val="0"/>
                <w:sz w:val="24"/>
                <w:highlight w:val="none"/>
                <w:lang w:val="zh-CN"/>
              </w:rPr>
              <w:t>月</w:t>
            </w:r>
            <w:r>
              <w:rPr>
                <w:rFonts w:hint="eastAsia" w:ascii="宋体" w:hAnsi="宋体" w:eastAsia="宋体" w:cs="宋体"/>
                <w:b/>
                <w:bCs w:val="0"/>
                <w:color w:val="auto"/>
                <w:kern w:val="0"/>
                <w:sz w:val="24"/>
                <w:highlight w:val="none"/>
                <w:lang w:val="en-US" w:eastAsia="zh-CN"/>
              </w:rPr>
              <w:t>7</w:t>
            </w:r>
            <w:r>
              <w:rPr>
                <w:rFonts w:hint="eastAsia" w:ascii="宋体" w:hAnsi="宋体" w:eastAsia="宋体" w:cs="宋体"/>
                <w:b/>
                <w:bCs w:val="0"/>
                <w:color w:val="auto"/>
                <w:kern w:val="0"/>
                <w:sz w:val="24"/>
                <w:highlight w:val="none"/>
                <w:lang w:val="zh-CN"/>
              </w:rPr>
              <w:t>日</w:t>
            </w:r>
            <w:r>
              <w:rPr>
                <w:rFonts w:hint="eastAsia" w:ascii="宋体" w:hAnsi="宋体" w:cs="宋体"/>
                <w:b/>
                <w:bCs w:val="0"/>
                <w:color w:val="auto"/>
                <w:kern w:val="0"/>
                <w:sz w:val="24"/>
                <w:highlight w:val="none"/>
                <w:lang w:val="en-US" w:eastAsia="zh-CN"/>
              </w:rPr>
              <w:t>下</w:t>
            </w:r>
            <w:r>
              <w:rPr>
                <w:rFonts w:hint="eastAsia" w:ascii="宋体" w:hAnsi="宋体" w:eastAsia="宋体" w:cs="宋体"/>
                <w:b/>
                <w:bCs w:val="0"/>
                <w:color w:val="auto"/>
                <w:kern w:val="0"/>
                <w:sz w:val="24"/>
                <w:highlight w:val="none"/>
              </w:rPr>
              <w:t>午</w:t>
            </w:r>
            <w:r>
              <w:rPr>
                <w:rFonts w:hint="eastAsia" w:ascii="宋体" w:hAnsi="宋体" w:cs="宋体"/>
                <w:b/>
                <w:bCs w:val="0"/>
                <w:color w:val="auto"/>
                <w:kern w:val="0"/>
                <w:sz w:val="24"/>
                <w:highlight w:val="none"/>
                <w:lang w:val="en-US" w:eastAsia="zh-CN"/>
              </w:rPr>
              <w:t>15</w:t>
            </w:r>
            <w:r>
              <w:rPr>
                <w:rFonts w:hint="eastAsia" w:ascii="宋体" w:hAnsi="宋体" w:eastAsia="宋体" w:cs="宋体"/>
                <w:b/>
                <w:bCs w:val="0"/>
                <w:color w:val="auto"/>
                <w:kern w:val="0"/>
                <w:sz w:val="24"/>
                <w:highlight w:val="none"/>
              </w:rPr>
              <w:t>:00</w:t>
            </w:r>
            <w:r>
              <w:rPr>
                <w:rFonts w:hint="eastAsia" w:ascii="宋体" w:hAnsi="宋体" w:cs="宋体"/>
                <w:b/>
                <w:bCs/>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41</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递交响应文件地点</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河南招标采购服务有限公司四楼418室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42</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响应文件是否退还</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否</w:t>
            </w:r>
          </w:p>
          <w:p>
            <w:pPr>
              <w:spacing w:line="360" w:lineRule="auto"/>
              <w:rPr>
                <w:rFonts w:ascii="宋体" w:hAnsi="宋体" w:cs="宋体"/>
                <w:color w:val="auto"/>
                <w:sz w:val="24"/>
                <w:highlight w:val="none"/>
              </w:rPr>
            </w:pPr>
            <w:r>
              <w:rPr>
                <w:rFonts w:hint="eastAsia" w:ascii="宋体" w:hAnsi="宋体" w:cs="宋体"/>
                <w:color w:val="auto"/>
                <w:sz w:val="24"/>
                <w:highlight w:val="none"/>
              </w:rPr>
              <w:t>□是，退还时间：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43</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磋商小组的组建</w:t>
            </w:r>
          </w:p>
        </w:tc>
        <w:tc>
          <w:tcPr>
            <w:tcW w:w="5331" w:type="dxa"/>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磋商小组构成：</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44</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磋商小组推荐成交候选人的人数</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45</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成交候选人公告媒介及期限</w:t>
            </w:r>
          </w:p>
        </w:tc>
        <w:tc>
          <w:tcPr>
            <w:tcW w:w="533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公告媒介：《河南省政府采购网》《河南省电子招标投标公共服务平台》《河南招标采购网》； </w:t>
            </w:r>
          </w:p>
          <w:p>
            <w:pPr>
              <w:spacing w:line="360" w:lineRule="auto"/>
              <w:rPr>
                <w:rFonts w:ascii="宋体" w:hAnsi="宋体" w:cs="宋体"/>
                <w:color w:val="auto"/>
                <w:sz w:val="24"/>
                <w:highlight w:val="none"/>
              </w:rPr>
            </w:pPr>
            <w:r>
              <w:rPr>
                <w:rFonts w:hint="eastAsia" w:ascii="宋体" w:hAnsi="宋体" w:cs="宋体"/>
                <w:color w:val="auto"/>
                <w:sz w:val="24"/>
                <w:highlight w:val="none"/>
              </w:rPr>
              <w:t>公告期限：1个工作日；</w:t>
            </w:r>
          </w:p>
          <w:p>
            <w:pPr>
              <w:pStyle w:val="5"/>
              <w:jc w:val="both"/>
              <w:rPr>
                <w:rFonts w:cs="宋体"/>
                <w:color w:val="auto"/>
                <w:highlight w:val="none"/>
              </w:rPr>
            </w:pPr>
            <w:bookmarkStart w:id="46" w:name="_Toc532804471"/>
            <w:bookmarkStart w:id="47" w:name="_Toc10575955"/>
            <w:bookmarkStart w:id="48" w:name="_Toc36553010"/>
            <w:bookmarkStart w:id="49" w:name="_Toc516504971"/>
            <w:bookmarkStart w:id="50" w:name="_Toc528247264"/>
            <w:r>
              <w:rPr>
                <w:rFonts w:hint="eastAsia" w:cs="宋体"/>
                <w:b w:val="0"/>
                <w:color w:val="auto"/>
                <w:kern w:val="2"/>
                <w:sz w:val="24"/>
                <w:szCs w:val="24"/>
                <w:highlight w:val="none"/>
              </w:rPr>
              <w:t>质疑期限：公告期限结束后7个工作日。</w:t>
            </w:r>
            <w:bookmarkEnd w:id="46"/>
            <w:bookmarkEnd w:id="47"/>
            <w:bookmarkEnd w:id="48"/>
            <w:bookmarkEnd w:id="49"/>
            <w:bookmarkEnd w:id="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46</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是否授权评标委员会确定成交人</w:t>
            </w:r>
          </w:p>
        </w:tc>
        <w:tc>
          <w:tcPr>
            <w:tcW w:w="533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□是</w:t>
            </w:r>
          </w:p>
          <w:p>
            <w:pPr>
              <w:spacing w:line="44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47</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履约保证金</w:t>
            </w:r>
          </w:p>
        </w:tc>
        <w:tc>
          <w:tcPr>
            <w:tcW w:w="5331" w:type="dxa"/>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是否提交履约保证金：是</w:t>
            </w:r>
          </w:p>
          <w:p>
            <w:pPr>
              <w:spacing w:line="420" w:lineRule="exact"/>
              <w:rPr>
                <w:rFonts w:ascii="宋体" w:hAnsi="宋体" w:cs="宋体"/>
                <w:b/>
                <w:bCs/>
                <w:color w:val="auto"/>
                <w:sz w:val="24"/>
                <w:highlight w:val="none"/>
              </w:rPr>
            </w:pPr>
            <w:r>
              <w:rPr>
                <w:rFonts w:hint="eastAsia" w:ascii="宋体" w:hAnsi="宋体" w:cs="宋体"/>
                <w:color w:val="auto"/>
                <w:sz w:val="24"/>
                <w:highlight w:val="none"/>
              </w:rPr>
              <w:t>履约保证金金额：</w:t>
            </w:r>
            <w:r>
              <w:rPr>
                <w:rFonts w:hint="eastAsia" w:ascii="宋体" w:hAnsi="宋体" w:cs="宋体"/>
                <w:b/>
                <w:bCs/>
                <w:color w:val="auto"/>
                <w:sz w:val="24"/>
                <w:highlight w:val="none"/>
              </w:rPr>
              <w:t>成交金额的5%。</w:t>
            </w:r>
          </w:p>
          <w:p>
            <w:pPr>
              <w:spacing w:line="420" w:lineRule="exact"/>
              <w:rPr>
                <w:rFonts w:ascii="宋体" w:hAnsi="宋体" w:cs="宋体"/>
                <w:color w:val="auto"/>
                <w:sz w:val="24"/>
                <w:highlight w:val="none"/>
              </w:rPr>
            </w:pPr>
            <w:r>
              <w:rPr>
                <w:rFonts w:hint="eastAsia" w:ascii="宋体" w:hAnsi="宋体" w:cs="宋体"/>
                <w:color w:val="auto"/>
                <w:sz w:val="24"/>
                <w:highlight w:val="none"/>
              </w:rPr>
              <w:t>履约保证金的形式：银行履约保函。</w:t>
            </w:r>
          </w:p>
          <w:p>
            <w:pPr>
              <w:spacing w:line="420" w:lineRule="exact"/>
              <w:rPr>
                <w:rFonts w:ascii="宋体" w:hAnsi="宋体" w:cs="宋体"/>
                <w:color w:val="auto"/>
                <w:sz w:val="24"/>
                <w:highlight w:val="none"/>
              </w:rPr>
            </w:pPr>
            <w:r>
              <w:rPr>
                <w:rFonts w:hint="eastAsia" w:ascii="宋体" w:hAnsi="宋体" w:cs="宋体"/>
                <w:color w:val="auto"/>
                <w:sz w:val="24"/>
                <w:highlight w:val="none"/>
              </w:rPr>
              <w:t>履约保证金的交纳方式：成交人在领取中标通知书后、签订合同前向采购人提供。</w:t>
            </w:r>
          </w:p>
          <w:p>
            <w:pPr>
              <w:rPr>
                <w:rFonts w:ascii="宋体" w:hAnsi="宋体" w:cs="宋体"/>
                <w:color w:val="auto"/>
                <w:highlight w:val="none"/>
              </w:rPr>
            </w:pPr>
            <w:r>
              <w:rPr>
                <w:rFonts w:hint="eastAsia" w:ascii="宋体" w:hAnsi="宋体" w:cs="宋体"/>
                <w:color w:val="auto"/>
                <w:sz w:val="24"/>
                <w:highlight w:val="none"/>
              </w:rPr>
              <w:t>履约保证金的退还：工程验收合格，资料正式交接完毕，交付采购人使用后，转为质量保证函。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48</w:t>
            </w:r>
          </w:p>
        </w:tc>
        <w:tc>
          <w:tcPr>
            <w:tcW w:w="2733" w:type="dxa"/>
            <w:gridSpan w:val="2"/>
            <w:vAlign w:val="center"/>
          </w:tcPr>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验收标准</w:t>
            </w:r>
          </w:p>
        </w:tc>
        <w:tc>
          <w:tcPr>
            <w:tcW w:w="5331" w:type="dxa"/>
            <w:vAlign w:val="center"/>
          </w:tcPr>
          <w:p>
            <w:pPr>
              <w:spacing w:line="420" w:lineRule="exact"/>
              <w:rPr>
                <w:rFonts w:ascii="宋体" w:hAnsi="宋体" w:cs="宋体"/>
                <w:color w:val="auto"/>
                <w:sz w:val="24"/>
                <w:highlight w:val="none"/>
              </w:rPr>
            </w:pPr>
            <w:r>
              <w:rPr>
                <w:rFonts w:hint="eastAsia" w:ascii="宋体" w:hAnsi="宋体" w:cs="宋体"/>
                <w:color w:val="auto"/>
                <w:szCs w:val="21"/>
                <w:highlight w:val="none"/>
              </w:rPr>
              <w:t>符合国家现行规范和标准要求，质量达到合格工程标准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49</w:t>
            </w:r>
          </w:p>
        </w:tc>
        <w:tc>
          <w:tcPr>
            <w:tcW w:w="2733" w:type="dxa"/>
            <w:gridSpan w:val="2"/>
            <w:vAlign w:val="center"/>
          </w:tcPr>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付款方式</w:t>
            </w:r>
          </w:p>
        </w:tc>
        <w:tc>
          <w:tcPr>
            <w:tcW w:w="5331" w:type="dxa"/>
            <w:vAlign w:val="center"/>
          </w:tcPr>
          <w:p>
            <w:pPr>
              <w:spacing w:line="420" w:lineRule="exact"/>
              <w:rPr>
                <w:rFonts w:ascii="宋体" w:hAnsi="宋体" w:cs="宋体"/>
                <w:b/>
                <w:bCs/>
                <w:color w:val="auto"/>
                <w:sz w:val="24"/>
                <w:highlight w:val="none"/>
              </w:rPr>
            </w:pPr>
            <w:r>
              <w:rPr>
                <w:rFonts w:hint="eastAsia" w:ascii="宋体" w:hAnsi="宋体" w:cs="宋体"/>
                <w:b/>
                <w:bCs/>
                <w:color w:val="auto"/>
                <w:sz w:val="24"/>
                <w:highlight w:val="none"/>
              </w:rPr>
              <w:t>详见合同条款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50</w:t>
            </w:r>
          </w:p>
        </w:tc>
        <w:tc>
          <w:tcPr>
            <w:tcW w:w="2733" w:type="dxa"/>
            <w:gridSpan w:val="2"/>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需要补充的其他内容</w:t>
            </w:r>
          </w:p>
        </w:tc>
        <w:tc>
          <w:tcPr>
            <w:tcW w:w="5331" w:type="dxa"/>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详见以下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w:t>
            </w:r>
          </w:p>
        </w:tc>
        <w:tc>
          <w:tcPr>
            <w:tcW w:w="2722" w:type="dxa"/>
            <w:tcBorders>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类似项目</w:t>
            </w:r>
          </w:p>
        </w:tc>
        <w:tc>
          <w:tcPr>
            <w:tcW w:w="5342" w:type="dxa"/>
            <w:gridSpan w:val="2"/>
            <w:tcBorders>
              <w:left w:val="single" w:color="auto" w:sz="4" w:space="0"/>
            </w:tcBorders>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供应商2017年1月1日以来承揽过类似项目。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50.2</w:t>
            </w:r>
          </w:p>
        </w:tc>
        <w:tc>
          <w:tcPr>
            <w:tcW w:w="2722" w:type="dxa"/>
            <w:tcBorders>
              <w:right w:val="single" w:color="auto" w:sz="4" w:space="0"/>
            </w:tcBorders>
            <w:vAlign w:val="center"/>
          </w:tcPr>
          <w:p>
            <w:pPr>
              <w:spacing w:line="312" w:lineRule="auto"/>
              <w:rPr>
                <w:rFonts w:ascii="宋体" w:hAnsi="宋体" w:cs="宋体"/>
                <w:color w:val="auto"/>
                <w:sz w:val="24"/>
                <w:highlight w:val="none"/>
              </w:rPr>
            </w:pPr>
            <w:r>
              <w:rPr>
                <w:rFonts w:hint="eastAsia" w:ascii="宋体" w:hAnsi="宋体" w:cs="宋体"/>
                <w:color w:val="auto"/>
                <w:sz w:val="24"/>
                <w:highlight w:val="none"/>
              </w:rPr>
              <w:t>是否要求供应商在递交响应文件时，同时递交响应文件电子版</w:t>
            </w:r>
          </w:p>
        </w:tc>
        <w:tc>
          <w:tcPr>
            <w:tcW w:w="5342" w:type="dxa"/>
            <w:gridSpan w:val="2"/>
            <w:tcBorders>
              <w:left w:val="single" w:color="auto" w:sz="4" w:space="0"/>
            </w:tcBorders>
            <w:vAlign w:val="center"/>
          </w:tcPr>
          <w:p>
            <w:pPr>
              <w:spacing w:line="420" w:lineRule="exact"/>
              <w:rPr>
                <w:rFonts w:ascii="宋体" w:hAnsi="宋体" w:cs="宋体"/>
                <w:color w:val="auto"/>
                <w:sz w:val="24"/>
                <w:highlight w:val="none"/>
              </w:rPr>
            </w:pPr>
            <w:r>
              <w:rPr>
                <w:rFonts w:hint="eastAsia" w:ascii="宋体" w:hAnsi="宋体" w:cs="宋体"/>
                <w:color w:val="auto"/>
                <w:sz w:val="24"/>
                <w:highlight w:val="none"/>
              </w:rPr>
              <w:t>□不要求</w:t>
            </w:r>
          </w:p>
          <w:p>
            <w:pPr>
              <w:spacing w:line="420" w:lineRule="exact"/>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要求</w:t>
            </w:r>
          </w:p>
          <w:p>
            <w:pPr>
              <w:spacing w:line="420" w:lineRule="exact"/>
              <w:rPr>
                <w:rFonts w:ascii="宋体" w:hAnsi="宋体" w:cs="宋体"/>
                <w:color w:val="auto"/>
                <w:sz w:val="24"/>
                <w:highlight w:val="none"/>
              </w:rPr>
            </w:pPr>
            <w:r>
              <w:rPr>
                <w:rFonts w:hint="eastAsia" w:ascii="宋体" w:hAnsi="宋体" w:cs="宋体"/>
                <w:color w:val="auto"/>
                <w:sz w:val="24"/>
                <w:highlight w:val="none"/>
              </w:rPr>
              <w:t>响应文件电子版内容：包含所有响应文件内容；</w:t>
            </w:r>
          </w:p>
          <w:p>
            <w:pPr>
              <w:spacing w:line="420" w:lineRule="exact"/>
              <w:rPr>
                <w:rFonts w:ascii="宋体" w:hAnsi="宋体" w:cs="宋体"/>
                <w:color w:val="auto"/>
                <w:sz w:val="24"/>
                <w:highlight w:val="none"/>
              </w:rPr>
            </w:pPr>
            <w:r>
              <w:rPr>
                <w:rFonts w:hint="eastAsia" w:ascii="宋体" w:hAnsi="宋体" w:cs="宋体"/>
                <w:color w:val="auto"/>
                <w:sz w:val="24"/>
                <w:highlight w:val="none"/>
              </w:rPr>
              <w:t>响应文件电子版份数：1份（U盘存储）；</w:t>
            </w:r>
          </w:p>
          <w:p>
            <w:pPr>
              <w:spacing w:line="312" w:lineRule="auto"/>
              <w:rPr>
                <w:rFonts w:ascii="宋体" w:hAnsi="宋体" w:cs="宋体"/>
                <w:color w:val="auto"/>
                <w:sz w:val="24"/>
                <w:highlight w:val="none"/>
              </w:rPr>
            </w:pPr>
            <w:r>
              <w:rPr>
                <w:rFonts w:hint="eastAsia" w:ascii="宋体" w:hAnsi="宋体" w:cs="宋体"/>
                <w:color w:val="auto"/>
                <w:sz w:val="24"/>
                <w:highlight w:val="none"/>
              </w:rPr>
              <w:t>响应文件电子版密封方式：单独放入一个密封袋中，加贴封条，并在封套缝口处加盖供应商单位章，在封套上标记“（项目名称）响应文件电子版”字样。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50.3</w:t>
            </w:r>
          </w:p>
        </w:tc>
        <w:tc>
          <w:tcPr>
            <w:tcW w:w="8064" w:type="dxa"/>
            <w:gridSpan w:val="3"/>
            <w:vAlign w:val="center"/>
          </w:tcPr>
          <w:p>
            <w:pPr>
              <w:spacing w:line="440" w:lineRule="exact"/>
              <w:rPr>
                <w:rFonts w:ascii="宋体" w:hAnsi="宋体" w:cs="宋体"/>
                <w:b/>
                <w:bCs/>
                <w:color w:val="auto"/>
                <w:sz w:val="24"/>
                <w:highlight w:val="none"/>
              </w:rPr>
            </w:pPr>
            <w:r>
              <w:rPr>
                <w:rFonts w:hint="eastAsia" w:ascii="宋体" w:hAnsi="宋体" w:cs="宋体"/>
                <w:color w:val="auto"/>
                <w:sz w:val="24"/>
                <w:highlight w:val="none"/>
              </w:rPr>
              <w:t>按照本须知第5.1款的规定，采购人邀请所有供应商的法定代表人或其委托代理人参加开标会。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50.4</w:t>
            </w:r>
          </w:p>
        </w:tc>
        <w:tc>
          <w:tcPr>
            <w:tcW w:w="8064" w:type="dxa"/>
            <w:gridSpan w:val="3"/>
            <w:vAlign w:val="center"/>
          </w:tcPr>
          <w:p>
            <w:pPr>
              <w:spacing w:line="440" w:lineRule="exact"/>
              <w:rPr>
                <w:rFonts w:ascii="宋体" w:hAnsi="宋体" w:cs="宋体"/>
                <w:b/>
                <w:bCs/>
                <w:color w:val="auto"/>
                <w:sz w:val="24"/>
                <w:highlight w:val="none"/>
              </w:rPr>
            </w:pPr>
            <w:r>
              <w:rPr>
                <w:rFonts w:hint="eastAsia" w:ascii="宋体" w:hAnsi="宋体" w:cs="宋体"/>
                <w:color w:val="auto"/>
                <w:sz w:val="24"/>
                <w:highlight w:val="none"/>
              </w:rPr>
              <w:t>构成本采购文件各个组成部分的文件，未经采购人书面同意，供应商不得擅自复印和用于非本招标项目所需的其他目的。采购人全部或者部分使用未成交人响应文件中的技术成果或技术方案时，需征得其书面同意，并不得擅自复印或提供给第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50.5</w:t>
            </w:r>
          </w:p>
        </w:tc>
        <w:tc>
          <w:tcPr>
            <w:tcW w:w="8064" w:type="dxa"/>
            <w:gridSpan w:val="3"/>
            <w:vAlign w:val="center"/>
          </w:tcPr>
          <w:p>
            <w:pPr>
              <w:spacing w:line="440" w:lineRule="exact"/>
              <w:rPr>
                <w:rFonts w:ascii="宋体" w:hAnsi="宋体" w:cs="宋体"/>
                <w:b/>
                <w:bCs/>
                <w:color w:val="auto"/>
                <w:sz w:val="24"/>
                <w:highlight w:val="none"/>
              </w:rPr>
            </w:pPr>
            <w:r>
              <w:rPr>
                <w:rFonts w:hint="eastAsia" w:ascii="宋体" w:hAnsi="宋体" w:cs="宋体"/>
                <w:color w:val="auto"/>
                <w:sz w:val="24"/>
                <w:highlight w:val="none"/>
              </w:rPr>
              <w:t>除供应商须知正文第8条规定的情形外，除非已经产生中标候选人，在投标有效期内同意延长投标有效期的供应商少于三个的，采购人应当依法重新招标。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50.6</w:t>
            </w:r>
          </w:p>
        </w:tc>
        <w:tc>
          <w:tcPr>
            <w:tcW w:w="8064" w:type="dxa"/>
            <w:gridSpan w:val="3"/>
            <w:vAlign w:val="center"/>
          </w:tcPr>
          <w:p>
            <w:pPr>
              <w:spacing w:line="440" w:lineRule="exact"/>
              <w:rPr>
                <w:rFonts w:ascii="宋体" w:hAnsi="宋体" w:cs="宋体"/>
                <w:b/>
                <w:bCs/>
                <w:color w:val="auto"/>
                <w:sz w:val="24"/>
                <w:highlight w:val="none"/>
              </w:rPr>
            </w:pPr>
            <w:r>
              <w:rPr>
                <w:rFonts w:hint="eastAsia" w:ascii="宋体" w:hAnsi="宋体" w:cs="宋体"/>
                <w:color w:val="auto"/>
                <w:sz w:val="24"/>
                <w:highlight w:val="none"/>
              </w:rPr>
              <w:t>本项目的招标投标活动接受监督部门依法实施的监督。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67"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50.7</w:t>
            </w:r>
          </w:p>
        </w:tc>
        <w:tc>
          <w:tcPr>
            <w:tcW w:w="8064" w:type="dxa"/>
            <w:gridSpan w:val="3"/>
            <w:vAlign w:val="center"/>
          </w:tcPr>
          <w:p>
            <w:pPr>
              <w:spacing w:line="440" w:lineRule="exact"/>
              <w:rPr>
                <w:rFonts w:ascii="宋体" w:hAnsi="宋体" w:cs="宋体"/>
                <w:b/>
                <w:bCs/>
                <w:color w:val="auto"/>
                <w:sz w:val="24"/>
                <w:highlight w:val="none"/>
              </w:rPr>
            </w:pPr>
            <w:r>
              <w:rPr>
                <w:rFonts w:hint="eastAsia" w:ascii="宋体" w:hAnsi="宋体" w:cs="宋体"/>
                <w:color w:val="auto"/>
                <w:sz w:val="24"/>
                <w:highlight w:val="none"/>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Pr>
        <w:tc>
          <w:tcPr>
            <w:tcW w:w="1161"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50.8</w:t>
            </w:r>
          </w:p>
        </w:tc>
        <w:tc>
          <w:tcPr>
            <w:tcW w:w="8064" w:type="dxa"/>
            <w:gridSpan w:val="3"/>
            <w:vAlign w:val="center"/>
          </w:tcPr>
          <w:p>
            <w:pPr>
              <w:spacing w:line="440" w:lineRule="exact"/>
              <w:rPr>
                <w:rFonts w:ascii="宋体" w:hAnsi="宋体" w:cs="宋体"/>
                <w:bCs/>
                <w:color w:val="auto"/>
                <w:sz w:val="24"/>
                <w:highlight w:val="none"/>
              </w:rPr>
            </w:pPr>
            <w:r>
              <w:rPr>
                <w:rFonts w:hint="eastAsia" w:ascii="宋体" w:hAnsi="宋体" w:cs="宋体"/>
                <w:bCs/>
                <w:color w:val="auto"/>
                <w:sz w:val="24"/>
                <w:highlight w:val="none"/>
              </w:rPr>
              <w:t>本次招标代理费壹万伍仟元整，包含在供应商本次响应报价中，由中标人在领取中标通知书时一次性交纳。</w:t>
            </w:r>
          </w:p>
        </w:tc>
      </w:tr>
    </w:tbl>
    <w:p>
      <w:pPr>
        <w:rPr>
          <w:rFonts w:ascii="宋体" w:hAnsi="宋体" w:cs="宋体"/>
          <w:color w:val="auto"/>
          <w:highlight w:val="none"/>
        </w:rPr>
      </w:pPr>
    </w:p>
    <w:bookmarkEnd w:id="21"/>
    <w:p>
      <w:pPr>
        <w:pStyle w:val="5"/>
        <w:spacing w:before="0" w:after="0"/>
        <w:rPr>
          <w:rFonts w:cs="宋体"/>
          <w:color w:val="auto"/>
          <w:szCs w:val="30"/>
          <w:highlight w:val="none"/>
        </w:rPr>
      </w:pPr>
      <w:bookmarkStart w:id="51" w:name="_Toc391049482"/>
      <w:bookmarkStart w:id="52" w:name="_Toc300653535"/>
      <w:r>
        <w:rPr>
          <w:rFonts w:hint="eastAsia" w:cs="宋体"/>
          <w:color w:val="auto"/>
          <w:szCs w:val="30"/>
          <w:highlight w:val="none"/>
        </w:rPr>
        <w:br w:type="page"/>
      </w:r>
      <w:bookmarkStart w:id="53" w:name="_Toc36553012"/>
      <w:r>
        <w:rPr>
          <w:rFonts w:hint="eastAsia" w:cs="宋体"/>
          <w:color w:val="auto"/>
          <w:szCs w:val="30"/>
          <w:highlight w:val="none"/>
        </w:rPr>
        <w:t>一、导   言</w:t>
      </w:r>
      <w:bookmarkEnd w:id="51"/>
      <w:bookmarkEnd w:id="53"/>
    </w:p>
    <w:p>
      <w:pPr>
        <w:numPr>
          <w:ilvl w:val="0"/>
          <w:numId w:val="2"/>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项目概况</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1.1本项目已具备招标条件，可以进行竞争性磋商活动。</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1.2采购人：河南省化工研究所有限责任公司</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1.3项目名称：河南省化工研究所有限责任公司二噁英检测与控制工程技术研究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中心基础配套设施维修改造工程项目</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1.4资金来源：财政资金</w:t>
      </w:r>
    </w:p>
    <w:p>
      <w:pPr>
        <w:numPr>
          <w:ilvl w:val="0"/>
          <w:numId w:val="3"/>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采购范围</w:t>
      </w:r>
    </w:p>
    <w:p>
      <w:pPr>
        <w:pStyle w:val="140"/>
        <w:spacing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2.1本</w:t>
      </w:r>
      <w:r>
        <w:rPr>
          <w:rFonts w:hint="eastAsia" w:ascii="宋体" w:hAnsi="宋体" w:eastAsia="宋体" w:cs="宋体"/>
          <w:bCs/>
          <w:color w:val="auto"/>
          <w:sz w:val="24"/>
          <w:szCs w:val="24"/>
          <w:highlight w:val="none"/>
        </w:rPr>
        <w:t>次采购项目为河南省化工研究所有限责任公司二噁英检测与控制工程技术研究中心基础配套设施维修改造工程项目。</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2.2详细内容见“第三章 技术标准要求”</w:t>
      </w:r>
      <w:r>
        <w:rPr>
          <w:rFonts w:hint="eastAsia" w:ascii="宋体" w:hAnsi="宋体" w:eastAsia="宋体" w:cs="宋体"/>
          <w:bCs/>
          <w:color w:val="auto"/>
          <w:sz w:val="24"/>
          <w:szCs w:val="24"/>
          <w:highlight w:val="none"/>
        </w:rPr>
        <w:t>。</w:t>
      </w:r>
    </w:p>
    <w:p>
      <w:pPr>
        <w:numPr>
          <w:ilvl w:val="0"/>
          <w:numId w:val="4"/>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竞争性磋商申请费用</w:t>
      </w:r>
    </w:p>
    <w:p>
      <w:pPr>
        <w:pStyle w:val="140"/>
        <w:spacing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见磋商</w:t>
      </w:r>
      <w:r>
        <w:rPr>
          <w:rFonts w:hint="eastAsia" w:ascii="宋体" w:hAnsi="宋体" w:eastAsia="宋体" w:cs="宋体"/>
          <w:bCs/>
          <w:color w:val="auto"/>
          <w:sz w:val="24"/>
          <w:szCs w:val="24"/>
          <w:highlight w:val="none"/>
        </w:rPr>
        <w:t>供应商</w:t>
      </w:r>
      <w:r>
        <w:rPr>
          <w:rFonts w:hint="eastAsia" w:ascii="宋体" w:hAnsi="宋体" w:eastAsia="宋体" w:cs="宋体"/>
          <w:bCs/>
          <w:color w:val="auto"/>
          <w:kern w:val="2"/>
          <w:sz w:val="24"/>
          <w:szCs w:val="24"/>
          <w:highlight w:val="none"/>
        </w:rPr>
        <w:t>须知前附表</w:t>
      </w:r>
    </w:p>
    <w:p>
      <w:pPr>
        <w:numPr>
          <w:ilvl w:val="0"/>
          <w:numId w:val="5"/>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服务时间及地点：</w:t>
      </w:r>
      <w:r>
        <w:rPr>
          <w:rFonts w:hint="eastAsia" w:ascii="宋体" w:hAnsi="宋体" w:cs="宋体"/>
          <w:bCs/>
          <w:color w:val="auto"/>
          <w:kern w:val="0"/>
          <w:sz w:val="24"/>
          <w:highlight w:val="none"/>
        </w:rPr>
        <w:t>接采购人通知。</w:t>
      </w:r>
    </w:p>
    <w:p>
      <w:pPr>
        <w:numPr>
          <w:ilvl w:val="0"/>
          <w:numId w:val="5"/>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竞争性磋商供应商资格条件：</w:t>
      </w:r>
    </w:p>
    <w:p>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5.1、详见</w:t>
      </w:r>
      <w:r>
        <w:rPr>
          <w:rFonts w:hint="eastAsia" w:ascii="宋体" w:hAnsi="宋体" w:cs="宋体"/>
          <w:bCs/>
          <w:color w:val="auto"/>
          <w:sz w:val="24"/>
          <w:highlight w:val="none"/>
        </w:rPr>
        <w:t>磋商供应商</w:t>
      </w:r>
      <w:r>
        <w:rPr>
          <w:rFonts w:hint="eastAsia" w:ascii="宋体" w:hAnsi="宋体" w:cs="宋体"/>
          <w:color w:val="auto"/>
          <w:sz w:val="24"/>
          <w:highlight w:val="none"/>
        </w:rPr>
        <w:t>须知前附表</w:t>
      </w:r>
    </w:p>
    <w:p>
      <w:pPr>
        <w:numPr>
          <w:ilvl w:val="0"/>
          <w:numId w:val="5"/>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竞争性磋商申请要求</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6.1本项目不允许同一竞争性磋商申请单位提交两份或两份以上不同实质内容的竞争性磋商响应文件。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6.2不论竞争性磋商申请结果如何，招标单位对供应商的竞争性磋商响应文件均不退还，且不对此作任何解释。</w:t>
      </w:r>
    </w:p>
    <w:p>
      <w:pPr>
        <w:numPr>
          <w:ilvl w:val="0"/>
          <w:numId w:val="6"/>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定义及解释</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7.1货物：系指供应商按竞争性磋商文件规定所提供的货物采购。</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7.2服务：系指供应商提供的货物及其他伴随服务。</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7.3采购人（业主）：河南省化工研究所有限责任公司。</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7.4供应商：是指响应竞争性磋商、参加竞争性磋商申请竞争的法人或者其它组织。</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7.5招标代理机构：河南招标采购服务有限公司。</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7.6竞争性磋商委员会：系指按照《中华人民共和国政府采购法》的规定依法组建的专门负责本次招标评标工作的临时机构。</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7.7日期：系指公历日。</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7.8 竞争性磋商文件中所规定的“书面形式”，是指任何手写、打印或印刷形式。</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7.9合格的供应商为资格审查通过的具有独立法人资格的供应商。</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保证</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供应商应保证在竞争性磋商响应文件中所提交的资料和数据是真实的,并能在承诺的时间内及时的完成竞争性磋商响应文件承诺的所有内容及服务。</w:t>
      </w:r>
    </w:p>
    <w:p>
      <w:pPr>
        <w:pStyle w:val="5"/>
        <w:spacing w:before="0" w:after="0"/>
        <w:ind w:left="851" w:hanging="284"/>
        <w:rPr>
          <w:rFonts w:cs="宋体"/>
          <w:color w:val="auto"/>
          <w:szCs w:val="30"/>
          <w:highlight w:val="none"/>
        </w:rPr>
      </w:pPr>
      <w:bookmarkStart w:id="54" w:name="_Toc289848543"/>
      <w:bookmarkStart w:id="55" w:name="_Toc289848432"/>
      <w:bookmarkStart w:id="56" w:name="_Toc289848359"/>
      <w:bookmarkStart w:id="57" w:name="_Toc276646852"/>
      <w:bookmarkStart w:id="58" w:name="_Toc289848517"/>
      <w:bookmarkStart w:id="59" w:name="_Toc391049483"/>
      <w:bookmarkStart w:id="60" w:name="_Toc36553013"/>
      <w:r>
        <w:rPr>
          <w:rFonts w:hint="eastAsia" w:cs="宋体"/>
          <w:color w:val="auto"/>
          <w:szCs w:val="30"/>
          <w:highlight w:val="none"/>
        </w:rPr>
        <w:t>二、</w:t>
      </w:r>
      <w:bookmarkEnd w:id="54"/>
      <w:bookmarkEnd w:id="55"/>
      <w:bookmarkEnd w:id="56"/>
      <w:bookmarkEnd w:id="57"/>
      <w:bookmarkEnd w:id="58"/>
      <w:bookmarkEnd w:id="59"/>
      <w:r>
        <w:rPr>
          <w:rFonts w:hint="eastAsia" w:cs="宋体"/>
          <w:color w:val="auto"/>
          <w:szCs w:val="30"/>
          <w:highlight w:val="none"/>
        </w:rPr>
        <w:t>竞争性磋商文件</w:t>
      </w:r>
      <w:bookmarkEnd w:id="60"/>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竞争性磋商文件的组成</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9.1竞争性磋商文件包括本文件所有内容及按第9.3、9.4条款内容发出的补充文件。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磋商人应详细阅读竞争性磋商文件中的所有条款内容、格式、表格和所涉及的相关规范。如果磋商人不按竞争性磋商文件的要求提交竞争性磋商响应文件和资料的，或者竞争性磋商响应文件没有对竞争性磋商文件提出的实质性要求和条件作出响应，将导致竞争性磋商响应文件不被接受，其后果由供应商自己负责。</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9.3竞争性磋商文件的澄清</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要求澄清竞争性磋商文件的供应商应以书面形式并加盖企业公章按竞争性磋商供应商须知前附表中的地址告知招标代理机构。招标代理机构将答复发给所有竞争性磋商文件收受人( 包括对要求澄清问题的说明，但不指明问题的来源)。</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9.4竞争性磋商文件的修正</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9.4.1在竞争性磋商申请截止前，无论出于何种原因，采购人可以用补充文件的方式修正竞争性磋商文件。该补充文件将成为竞争性磋商文件的一部分。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9.4.2补充文件将以书面方式发给所有竞争性磋商文件收受人，竞争性磋商文件收受人应以书面形式回复招标代理机构确认收到每一份补充文件。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9.4.3为使供应商有足够的时间按修正的竞争性磋商文件准备竞争性磋商响应文件，采购人需要按规定延长竞争性磋商申请截止时间，并将此变更通知所有竞争性磋商文件收受人。</w:t>
      </w:r>
    </w:p>
    <w:p>
      <w:pPr>
        <w:pStyle w:val="5"/>
        <w:spacing w:before="0" w:after="0"/>
        <w:ind w:left="851" w:hanging="284"/>
        <w:rPr>
          <w:rFonts w:cs="宋体"/>
          <w:color w:val="auto"/>
          <w:szCs w:val="30"/>
          <w:highlight w:val="none"/>
        </w:rPr>
      </w:pPr>
      <w:bookmarkStart w:id="61" w:name="_Toc36553014"/>
      <w:bookmarkStart w:id="62" w:name="_Toc391049484"/>
      <w:bookmarkStart w:id="63" w:name="_Toc289848518"/>
      <w:bookmarkStart w:id="64" w:name="_Toc289848360"/>
      <w:bookmarkStart w:id="65" w:name="_Toc289848544"/>
      <w:bookmarkStart w:id="66" w:name="_Toc276646853"/>
      <w:bookmarkStart w:id="67" w:name="_Toc289848433"/>
      <w:r>
        <w:rPr>
          <w:rFonts w:hint="eastAsia" w:cs="宋体"/>
          <w:color w:val="auto"/>
          <w:szCs w:val="30"/>
          <w:highlight w:val="none"/>
        </w:rPr>
        <w:t>三、竞争性磋商响应文件的编制</w:t>
      </w:r>
      <w:bookmarkEnd w:id="61"/>
      <w:bookmarkEnd w:id="62"/>
      <w:bookmarkEnd w:id="63"/>
      <w:bookmarkEnd w:id="64"/>
      <w:bookmarkEnd w:id="65"/>
      <w:bookmarkEnd w:id="66"/>
      <w:bookmarkEnd w:id="67"/>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竞争性磋商响应文件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10.1竞争性磋商响应文件的组成</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见竞争性磋商响应文件格式要求。</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10.2竞争性磋商响应文件编制要求</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10.2.1竞争性磋商申请单位应按竞争性磋商文件提供的竞争性磋商申请格式和要求编制竞争性磋商响应文件。竞争性磋商响应文件应按A4规格标准打印，胶装成册，文字要清晰，语意要明确，并按竞争性磋商文件的要求签字盖章。</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10.2.2竞争性磋商响应文件应尽量避免涂改和插字，若为了改正错误必须这样做时，均应由法定代表人(或委托代理人)在修改处签名并加盖供应商单位公章确认。</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10.2.3竞争性磋商响应文件正本和副本的封面或扉页应标明的内容详见“竞争性磋商响应文件格式”。</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10.2.4竞争性磋商响应文件的封面上应分别标明“正本”或“副本”字样。</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10.3竞争性磋商响应文件的份数</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见供应商须知前附表规定，正本与副本不一致时以正本为准。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10.4竞争性磋商响应文件的修改与撤回</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供应商需要修改或撤回其竞争性磋商响应文件，必须在本竞争性磋商文件规定的竞争性磋商申请截止时间前将修改或撤回其竞争性磋商响应文件的书面通知送达招标单位。上述书面通知应按本竞争性磋商文件的规定进行编制、密封和标记，并标明“修改”或“撤回”字样。供应商不得在竞争性磋商申请截止时间后修改和撤回竞争性磋商响应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10.5竞争性磋商响应文件有效期</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竞争性磋商响应文件自本竞争性磋商文件规定的竞争性磋商申请截止时间起生效，其投标响应有效期见供应商须知前附表。</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10.6特别说明</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10.6.1竞争性磋商申请语言：供应商提交的竞争性磋商响应文件以及供应商与招标代理机构就有关竞争性磋商申请的所有往来函电均应使用中文。供应商提供的支持文件和印刷的文件可以用英文，但相应内容应附有中文翻译本，在解释时以中文翻译本为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10.6.2计量：在竞争性磋商响应文件中以及所有供应商与招标代理机构往来文件中的所有计量单位和规格说明都必须用公制标准表示。</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10.7竞争性磋商申请的报价</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10.7.1供应商根据按磋商文件要求完成报价，采购人有权进行核实。</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10.7.2 如竞争性磋商申请报价表中的大写金额和小写金额不一致的，以大写金额为准；总价金额与单价金额不一致的，以单价金额为准，但单价金额小数点有明显错误的除外；对不同文字文本竞争性磋商响应文件的解释发生异议的，以中文文本为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10.7.3全部报价均应以人民币为计量币种，并以人民币进行结算。</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竞争性磋商保证金：无</w:t>
      </w:r>
    </w:p>
    <w:bookmarkEnd w:id="52"/>
    <w:p>
      <w:pPr>
        <w:pStyle w:val="5"/>
        <w:spacing w:before="0" w:after="0"/>
        <w:ind w:left="851" w:hanging="284"/>
        <w:rPr>
          <w:rFonts w:cs="宋体"/>
          <w:color w:val="auto"/>
          <w:szCs w:val="30"/>
          <w:highlight w:val="none"/>
        </w:rPr>
      </w:pPr>
      <w:bookmarkStart w:id="68" w:name="_Toc289848361"/>
      <w:bookmarkStart w:id="69" w:name="_Toc289848545"/>
      <w:bookmarkStart w:id="70" w:name="_Toc289848519"/>
      <w:bookmarkStart w:id="71" w:name="_Toc289848434"/>
      <w:bookmarkStart w:id="72" w:name="_Toc391049485"/>
      <w:bookmarkStart w:id="73" w:name="_Toc276646854"/>
      <w:bookmarkStart w:id="74" w:name="_Toc36553015"/>
      <w:bookmarkStart w:id="75" w:name="_Toc271725586"/>
      <w:bookmarkStart w:id="76" w:name="_Toc272497731"/>
      <w:r>
        <w:rPr>
          <w:rFonts w:hint="eastAsia" w:cs="宋体"/>
          <w:color w:val="auto"/>
          <w:szCs w:val="30"/>
          <w:highlight w:val="none"/>
        </w:rPr>
        <w:t>四、竞争性磋商响应文件的密封与递交</w:t>
      </w:r>
      <w:bookmarkEnd w:id="68"/>
      <w:bookmarkEnd w:id="69"/>
      <w:bookmarkEnd w:id="70"/>
      <w:bookmarkEnd w:id="71"/>
      <w:bookmarkEnd w:id="72"/>
      <w:bookmarkEnd w:id="73"/>
      <w:bookmarkEnd w:id="74"/>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竞争性磋商响应文件的密封</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12.1竞争性磋商申请单位应将竞争性磋商响应文件的正本、副本、电子版均密封包装递交，包装封面上加盖竞争性磋商申请单位印鉴，需标明的内容见供应商须知前附表。</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竞争性磋商响应文件的递交</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供应商应在竞争性磋商供应商须知前附表规定的时间将竞争性磋商响应文件递交至前附表指定的磋商地点，密封不符合本磋商文件要求的竞争性磋商响应文件将被拒收。</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竞争性磋商申请截止时间</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竞争性磋商申请截止时间为竞争性磋商供应商须知前附表规定的时间。</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迟到的竞争性磋商响应文件</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在本竞争性磋商文件规定的竞争性磋商申请截止时间以后送达的竞争性磋商响应文件，招标单位将拒收。</w:t>
      </w:r>
    </w:p>
    <w:bookmarkEnd w:id="75"/>
    <w:bookmarkEnd w:id="76"/>
    <w:p>
      <w:pPr>
        <w:pStyle w:val="5"/>
        <w:spacing w:before="0" w:after="0"/>
        <w:ind w:left="851" w:hanging="284"/>
        <w:rPr>
          <w:rFonts w:cs="宋体"/>
          <w:color w:val="auto"/>
          <w:highlight w:val="none"/>
        </w:rPr>
      </w:pPr>
      <w:bookmarkStart w:id="77" w:name="_Toc276646855"/>
      <w:bookmarkStart w:id="78" w:name="_Toc289848362"/>
      <w:bookmarkStart w:id="79" w:name="_Toc289848435"/>
      <w:bookmarkStart w:id="80" w:name="_Toc289848520"/>
      <w:bookmarkStart w:id="81" w:name="_Toc289848546"/>
      <w:bookmarkStart w:id="82" w:name="_Toc36553016"/>
      <w:bookmarkStart w:id="83" w:name="_Toc391049486"/>
      <w:r>
        <w:rPr>
          <w:rFonts w:hint="eastAsia" w:cs="宋体"/>
          <w:color w:val="auto"/>
          <w:szCs w:val="30"/>
          <w:highlight w:val="none"/>
        </w:rPr>
        <w:t>五、</w:t>
      </w:r>
      <w:bookmarkEnd w:id="77"/>
      <w:bookmarkEnd w:id="78"/>
      <w:bookmarkEnd w:id="79"/>
      <w:bookmarkEnd w:id="80"/>
      <w:bookmarkEnd w:id="81"/>
      <w:r>
        <w:rPr>
          <w:rFonts w:hint="eastAsia" w:cs="宋体"/>
          <w:color w:val="auto"/>
          <w:szCs w:val="30"/>
          <w:highlight w:val="none"/>
        </w:rPr>
        <w:t>竞争性磋商程序</w:t>
      </w:r>
      <w:bookmarkEnd w:id="82"/>
      <w:bookmarkEnd w:id="83"/>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磋商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 磋商在竞争性磋商供应商须知前附表中规定的时间和地点进行。供应商法人授权代表应持授权委托书与身份证签到以证明其出席。在竞争性磋商时，请供应商携带好身份证，在二次报价时出示。</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磋商委员会</w:t>
      </w:r>
    </w:p>
    <w:p>
      <w:pPr>
        <w:pStyle w:val="140"/>
        <w:spacing w:line="460" w:lineRule="exact"/>
        <w:ind w:left="420" w:firstLine="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磋商委员会组成详见供应商须知前附表。</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磋商原则</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 公开、公平、公正，科学、择优。</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磋商纪律</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19.1磋商委员会成员和参与磋商工作的有关人员不得透露对竞争性磋商响应文件的评审比较、中标候选人的推荐情况以及与磋商有关的其它情况。</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 除竞争性磋商供应商须知第9条款的规定以外，授予成交通知书前，任何供应商均不得就与其竞争性磋商响应文件有关的问题主动与采购人和招标代理机构联系。</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19.3如果供应商试图对磋商委员会的磋商施加影响，将导致该供应商的竞争性磋商响应文件被废标。</w:t>
      </w:r>
    </w:p>
    <w:p>
      <w:pPr>
        <w:numPr>
          <w:ilvl w:val="0"/>
          <w:numId w:val="7"/>
        </w:num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竞争性磋商响应文件的澄清与修正</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磋商委员会可以要求供应商对竞争性磋商响应文件中含义不明确的内容作必要的澄清或者说明，但是澄清或者说明不得超出竞争性磋商响应文件的范围或者改变竞争性磋商响应文件的实质性内容。澄清的要求和供应商的答复均应采取书面形式。供应商的答复必须经法定代表人或授权代表签字，作为竞争性磋商响应文件的组成部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20.2 算术错误将按以下方法更正，如果供应商不接受对其错误的更正，其竞争性磋商申请将被拒绝：</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20.2.1总价金额与单价金额不一致的，以及分项价汇总之和与总价不一致的，则以单价和分项价为准修改总价，但单价金额小数点有明显错误的除外。</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20.2.2 如竞争性磋商申请报价表中大写金额与小写金额不一致的，以大写金额为准。</w:t>
      </w:r>
    </w:p>
    <w:p>
      <w:pPr>
        <w:snapToGrid w:val="0"/>
        <w:spacing w:line="500" w:lineRule="exact"/>
        <w:rPr>
          <w:rFonts w:ascii="宋体" w:hAnsi="宋体" w:cs="宋体"/>
          <w:b/>
          <w:color w:val="auto"/>
          <w:sz w:val="24"/>
          <w:highlight w:val="none"/>
        </w:rPr>
      </w:pPr>
      <w:bookmarkStart w:id="84" w:name="_Toc31446144"/>
      <w:r>
        <w:rPr>
          <w:rFonts w:hint="eastAsia" w:ascii="宋体" w:hAnsi="宋体" w:cs="宋体"/>
          <w:b/>
          <w:color w:val="auto"/>
          <w:sz w:val="24"/>
          <w:highlight w:val="none"/>
        </w:rPr>
        <w:t>21.磋商文件的</w:t>
      </w:r>
      <w:bookmarkEnd w:id="84"/>
      <w:r>
        <w:rPr>
          <w:rFonts w:hint="eastAsia" w:ascii="宋体" w:hAnsi="宋体" w:cs="宋体"/>
          <w:b/>
          <w:color w:val="auto"/>
          <w:sz w:val="24"/>
          <w:highlight w:val="none"/>
        </w:rPr>
        <w:t>初步审查</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初步评审包括：形式评审、资格评审、响应性评审和响应报价的评审。评委会首先对各响应人的响应文件按照响应性评审因素进行初步评审，初步评审不合格的响应人的响应文件不得进入第二轮报价。</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响应</w:t>
      </w:r>
      <w:r>
        <w:rPr>
          <w:rFonts w:hint="eastAsia" w:ascii="宋体" w:hAnsi="宋体" w:cs="宋体"/>
          <w:color w:val="auto"/>
          <w:sz w:val="24"/>
          <w:highlight w:val="none"/>
        </w:rPr>
        <w:t>人有以下情形之一的，其响应文件作无效文件处理：</w:t>
      </w:r>
    </w:p>
    <w:p>
      <w:pPr>
        <w:spacing w:line="360" w:lineRule="auto"/>
        <w:ind w:firstLine="360" w:firstLineChars="150"/>
        <w:rPr>
          <w:rFonts w:ascii="宋体" w:hAnsi="宋体" w:cs="宋体"/>
          <w:b/>
          <w:bCs/>
          <w:color w:val="auto"/>
          <w:sz w:val="24"/>
          <w:highlight w:val="none"/>
        </w:rPr>
      </w:pPr>
      <w:r>
        <w:rPr>
          <w:rFonts w:hint="eastAsia" w:ascii="宋体" w:hAnsi="宋体" w:cs="宋体"/>
          <w:b/>
          <w:bCs/>
          <w:color w:val="auto"/>
          <w:sz w:val="24"/>
          <w:highlight w:val="none"/>
        </w:rPr>
        <w:t>（1）串通投标或弄虚作假或有其他违法行为的；</w:t>
      </w:r>
    </w:p>
    <w:p>
      <w:pPr>
        <w:spacing w:line="360" w:lineRule="auto"/>
        <w:ind w:firstLine="360" w:firstLineChars="150"/>
        <w:rPr>
          <w:rFonts w:ascii="宋体" w:hAnsi="宋体" w:cs="宋体"/>
          <w:b/>
          <w:bCs/>
          <w:color w:val="auto"/>
          <w:sz w:val="24"/>
          <w:highlight w:val="none"/>
        </w:rPr>
      </w:pPr>
      <w:r>
        <w:rPr>
          <w:rFonts w:hint="eastAsia" w:ascii="宋体" w:hAnsi="宋体" w:cs="宋体"/>
          <w:b/>
          <w:bCs/>
          <w:color w:val="auto"/>
          <w:sz w:val="24"/>
          <w:highlight w:val="none"/>
        </w:rPr>
        <w:t>（2）不按评标委员会要求澄清、说明或补正的；</w:t>
      </w:r>
    </w:p>
    <w:p>
      <w:pPr>
        <w:spacing w:line="360" w:lineRule="auto"/>
        <w:ind w:firstLine="360" w:firstLineChars="150"/>
        <w:rPr>
          <w:rFonts w:ascii="宋体" w:hAnsi="宋体" w:cs="宋体"/>
          <w:b/>
          <w:bCs/>
          <w:color w:val="auto"/>
          <w:sz w:val="24"/>
          <w:highlight w:val="none"/>
        </w:rPr>
      </w:pPr>
      <w:r>
        <w:rPr>
          <w:rFonts w:hint="eastAsia" w:ascii="宋体" w:hAnsi="宋体" w:cs="宋体"/>
          <w:b/>
          <w:bCs/>
          <w:color w:val="auto"/>
          <w:sz w:val="24"/>
          <w:highlight w:val="none"/>
        </w:rPr>
        <w:t>（3）其他没有实质性响应采购文件要求的。</w:t>
      </w:r>
    </w:p>
    <w:p>
      <w:pPr>
        <w:spacing w:line="360" w:lineRule="auto"/>
        <w:ind w:firstLine="360" w:firstLineChars="150"/>
        <w:rPr>
          <w:rFonts w:ascii="宋体" w:hAnsi="宋体" w:cs="宋体"/>
          <w:b/>
          <w:bCs/>
          <w:color w:val="auto"/>
          <w:sz w:val="24"/>
          <w:highlight w:val="none"/>
        </w:rPr>
      </w:pPr>
      <w:r>
        <w:rPr>
          <w:rFonts w:hint="eastAsia" w:ascii="宋体" w:hAnsi="宋体" w:cs="宋体"/>
          <w:b/>
          <w:bCs/>
          <w:color w:val="auto"/>
          <w:sz w:val="24"/>
          <w:highlight w:val="none"/>
        </w:rPr>
        <w:t>（4）初步评审的内容中有不符合的。</w:t>
      </w:r>
    </w:p>
    <w:p>
      <w:pPr>
        <w:spacing w:line="360" w:lineRule="auto"/>
        <w:ind w:firstLine="360" w:firstLineChars="150"/>
        <w:rPr>
          <w:rFonts w:ascii="宋体" w:hAnsi="宋体" w:cs="宋体"/>
          <w:b/>
          <w:bCs/>
          <w:color w:val="auto"/>
          <w:sz w:val="24"/>
          <w:highlight w:val="none"/>
        </w:rPr>
      </w:pPr>
      <w:r>
        <w:rPr>
          <w:rFonts w:hint="eastAsia" w:ascii="宋体" w:hAnsi="宋体" w:cs="宋体"/>
          <w:b/>
          <w:bCs/>
          <w:color w:val="auto"/>
          <w:sz w:val="24"/>
          <w:highlight w:val="none"/>
        </w:rPr>
        <w:t>（5）供应商应按照“竞争性磋商文件”并结合企业情况进行报价，响应报价不得高于采购人给定的招标控制价。</w:t>
      </w:r>
    </w:p>
    <w:p>
      <w:pPr>
        <w:spacing w:line="360" w:lineRule="auto"/>
        <w:ind w:firstLine="480" w:firstLineChars="200"/>
        <w:rPr>
          <w:rFonts w:ascii="宋体" w:hAnsi="宋体" w:cs="宋体"/>
          <w:color w:val="auto"/>
          <w:sz w:val="24"/>
          <w:highlight w:val="none"/>
        </w:rPr>
      </w:pPr>
      <w:r>
        <w:rPr>
          <w:rFonts w:hint="eastAsia" w:ascii="宋体" w:hAnsi="宋体" w:cs="宋体"/>
          <w:b/>
          <w:bCs/>
          <w:color w:val="auto"/>
          <w:sz w:val="24"/>
          <w:highlight w:val="none"/>
        </w:rPr>
        <w:t>备注：</w:t>
      </w:r>
      <w:r>
        <w:rPr>
          <w:rFonts w:hint="eastAsia" w:ascii="宋体" w:hAnsi="宋体" w:cs="宋体"/>
          <w:color w:val="auto"/>
          <w:sz w:val="24"/>
          <w:highlight w:val="none"/>
        </w:rPr>
        <w:t>评标委员会可以书面方式要求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响应文件中的大写金额和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firstLine="480" w:firstLineChars="200"/>
        <w:rPr>
          <w:rFonts w:ascii="宋体" w:hAnsi="宋体" w:cs="宋体"/>
          <w:color w:val="auto"/>
          <w:sz w:val="24"/>
          <w:highlight w:val="none"/>
        </w:rPr>
      </w:pPr>
      <w:r>
        <w:rPr>
          <w:rFonts w:hint="eastAsia" w:ascii="宋体" w:hAnsi="宋体" w:cs="宋体"/>
          <w:b/>
          <w:bCs/>
          <w:color w:val="auto"/>
          <w:sz w:val="24"/>
          <w:highlight w:val="none"/>
        </w:rPr>
        <w:t>在评标过程中，评标委员会发现供应商的报价明显低于其他响应报价，使得其响应报价可能会影响服务质量的，应当要求该供应商作出书面说明并提供相关证明材料。供应商不能合理说明或者不能提供相关证明材料的，由评标委员会认定该供应商以低于成本报价竞标，应当否决其投标。</w:t>
      </w:r>
    </w:p>
    <w:tbl>
      <w:tblPr>
        <w:tblStyle w:val="38"/>
        <w:tblW w:w="93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848"/>
        <w:gridCol w:w="2201"/>
        <w:gridCol w:w="52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900" w:type="dxa"/>
            <w:gridSpan w:val="2"/>
            <w:vAlign w:val="center"/>
          </w:tcPr>
          <w:p>
            <w:pPr>
              <w:autoSpaceDE w:val="0"/>
              <w:autoSpaceDN w:val="0"/>
              <w:adjustRightInd w:val="0"/>
              <w:jc w:val="center"/>
              <w:rPr>
                <w:rFonts w:ascii="宋体" w:hAnsi="宋体" w:cs="宋体"/>
                <w:b/>
                <w:color w:val="auto"/>
                <w:kern w:val="0"/>
                <w:sz w:val="24"/>
                <w:highlight w:val="none"/>
              </w:rPr>
            </w:pPr>
            <w:r>
              <w:rPr>
                <w:rFonts w:hint="eastAsia" w:ascii="宋体" w:hAnsi="宋体" w:cs="宋体"/>
                <w:b/>
                <w:color w:val="auto"/>
                <w:kern w:val="0"/>
                <w:sz w:val="24"/>
                <w:highlight w:val="none"/>
              </w:rPr>
              <w:t>条款号</w:t>
            </w:r>
          </w:p>
        </w:tc>
        <w:tc>
          <w:tcPr>
            <w:tcW w:w="2201" w:type="dxa"/>
            <w:vAlign w:val="center"/>
          </w:tcPr>
          <w:p>
            <w:pPr>
              <w:autoSpaceDE w:val="0"/>
              <w:autoSpaceDN w:val="0"/>
              <w:adjustRightInd w:val="0"/>
              <w:jc w:val="center"/>
              <w:rPr>
                <w:rFonts w:ascii="宋体" w:hAnsi="宋体" w:cs="宋体"/>
                <w:b/>
                <w:color w:val="auto"/>
                <w:kern w:val="0"/>
                <w:sz w:val="24"/>
                <w:highlight w:val="none"/>
              </w:rPr>
            </w:pPr>
            <w:r>
              <w:rPr>
                <w:rFonts w:hint="eastAsia" w:ascii="宋体" w:hAnsi="宋体" w:cs="宋体"/>
                <w:b/>
                <w:color w:val="auto"/>
                <w:kern w:val="0"/>
                <w:sz w:val="24"/>
                <w:highlight w:val="none"/>
              </w:rPr>
              <w:t>评审因素</w:t>
            </w:r>
          </w:p>
        </w:tc>
        <w:tc>
          <w:tcPr>
            <w:tcW w:w="5234" w:type="dxa"/>
            <w:vAlign w:val="center"/>
          </w:tcPr>
          <w:p>
            <w:pPr>
              <w:autoSpaceDE w:val="0"/>
              <w:autoSpaceDN w:val="0"/>
              <w:adjustRightInd w:val="0"/>
              <w:jc w:val="center"/>
              <w:rPr>
                <w:rFonts w:ascii="宋体" w:hAnsi="宋体" w:cs="宋体"/>
                <w:b/>
                <w:color w:val="auto"/>
                <w:kern w:val="0"/>
                <w:sz w:val="24"/>
                <w:highlight w:val="none"/>
              </w:rPr>
            </w:pPr>
            <w:r>
              <w:rPr>
                <w:rFonts w:hint="eastAsia" w:ascii="宋体" w:hAnsi="宋体" w:cs="宋体"/>
                <w:b/>
                <w:color w:val="auto"/>
                <w:kern w:val="0"/>
                <w:sz w:val="24"/>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exact"/>
          <w:jc w:val="center"/>
        </w:trPr>
        <w:tc>
          <w:tcPr>
            <w:tcW w:w="1052" w:type="dxa"/>
            <w:vMerge w:val="restart"/>
            <w:vAlign w:val="center"/>
          </w:tcPr>
          <w:p>
            <w:pPr>
              <w:autoSpaceDE w:val="0"/>
              <w:autoSpaceDN w:val="0"/>
              <w:adjustRightIn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48" w:type="dxa"/>
            <w:vMerge w:val="restart"/>
            <w:vAlign w:val="center"/>
          </w:tcPr>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形式</w:t>
            </w:r>
          </w:p>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评审</w:t>
            </w:r>
          </w:p>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标准</w:t>
            </w: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响应人名称</w:t>
            </w:r>
          </w:p>
        </w:tc>
        <w:tc>
          <w:tcPr>
            <w:tcW w:w="5234" w:type="dxa"/>
            <w:vAlign w:val="center"/>
          </w:tcPr>
          <w:p>
            <w:pPr>
              <w:autoSpaceDE w:val="0"/>
              <w:autoSpaceDN w:val="0"/>
              <w:adjustRightInd w:val="0"/>
              <w:rPr>
                <w:rFonts w:ascii="宋体" w:hAnsi="宋体" w:cs="宋体"/>
                <w:color w:val="auto"/>
                <w:sz w:val="24"/>
                <w:highlight w:val="none"/>
              </w:rPr>
            </w:pPr>
            <w:r>
              <w:rPr>
                <w:rFonts w:hint="eastAsia" w:ascii="宋体" w:hAnsi="宋体" w:cs="宋体"/>
                <w:color w:val="auto"/>
                <w:sz w:val="24"/>
                <w:highlight w:val="none"/>
              </w:rPr>
              <w:t>与营业执照等相关证件一致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sz w:val="24"/>
                <w:highlight w:val="none"/>
              </w:rPr>
            </w:pP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投标函签字盖章</w:t>
            </w:r>
          </w:p>
        </w:tc>
        <w:tc>
          <w:tcPr>
            <w:tcW w:w="5234" w:type="dxa"/>
            <w:vAlign w:val="center"/>
          </w:tcPr>
          <w:p>
            <w:pPr>
              <w:pStyle w:val="132"/>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t>有法定代表人或其委托代理人签字或加盖单位章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sz w:val="24"/>
                <w:highlight w:val="none"/>
              </w:rPr>
            </w:pP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响应文件格式</w:t>
            </w:r>
          </w:p>
        </w:tc>
        <w:tc>
          <w:tcPr>
            <w:tcW w:w="5234" w:type="dxa"/>
            <w:vAlign w:val="center"/>
          </w:tcPr>
          <w:p>
            <w:pPr>
              <w:autoSpaceDE w:val="0"/>
              <w:autoSpaceDN w:val="0"/>
              <w:adjustRightInd w:val="0"/>
              <w:rPr>
                <w:rFonts w:ascii="宋体" w:hAnsi="宋体" w:cs="宋体"/>
                <w:color w:val="auto"/>
                <w:sz w:val="24"/>
                <w:highlight w:val="none"/>
              </w:rPr>
            </w:pPr>
            <w:r>
              <w:rPr>
                <w:rFonts w:hint="eastAsia" w:ascii="宋体" w:hAnsi="宋体" w:cs="宋体"/>
                <w:color w:val="auto"/>
                <w:sz w:val="24"/>
                <w:highlight w:val="none"/>
              </w:rPr>
              <w:t>符合第五章“磋商响应文件格式”的要求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jc w:val="center"/>
        </w:trPr>
        <w:tc>
          <w:tcPr>
            <w:tcW w:w="1052" w:type="dxa"/>
            <w:vMerge w:val="restart"/>
            <w:vAlign w:val="center"/>
          </w:tcPr>
          <w:p>
            <w:pPr>
              <w:autoSpaceDE w:val="0"/>
              <w:autoSpaceDN w:val="0"/>
              <w:adjustRightIn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848" w:type="dxa"/>
            <w:vMerge w:val="restart"/>
            <w:vAlign w:val="center"/>
          </w:tcPr>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资格</w:t>
            </w:r>
          </w:p>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评审</w:t>
            </w:r>
          </w:p>
          <w:p>
            <w:pPr>
              <w:autoSpaceDE w:val="0"/>
              <w:autoSpaceDN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标准</w:t>
            </w: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供应商资格条件第1条</w:t>
            </w:r>
          </w:p>
        </w:tc>
        <w:tc>
          <w:tcPr>
            <w:tcW w:w="5234" w:type="dxa"/>
            <w:vAlign w:val="center"/>
          </w:tcPr>
          <w:p>
            <w:pPr>
              <w:autoSpaceDE w:val="0"/>
              <w:autoSpaceDN w:val="0"/>
              <w:adjustRightInd w:val="0"/>
              <w:snapToGrid w:val="0"/>
              <w:rPr>
                <w:rFonts w:ascii="宋体" w:hAns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1"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napToGrid w:val="0"/>
              <w:jc w:val="center"/>
              <w:rPr>
                <w:rFonts w:ascii="宋体" w:hAnsi="宋体" w:cs="宋体"/>
                <w:color w:val="auto"/>
                <w:sz w:val="24"/>
                <w:highlight w:val="none"/>
              </w:rPr>
            </w:pP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供应商资格条件第2条</w:t>
            </w:r>
          </w:p>
        </w:tc>
        <w:tc>
          <w:tcPr>
            <w:tcW w:w="5234" w:type="dxa"/>
            <w:vAlign w:val="center"/>
          </w:tcPr>
          <w:p>
            <w:pPr>
              <w:autoSpaceDE w:val="0"/>
              <w:autoSpaceDN w:val="0"/>
              <w:adjustRightInd w:val="0"/>
              <w:snapToGrid w:val="0"/>
              <w:rPr>
                <w:rFonts w:ascii="宋体" w:hAns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napToGrid w:val="0"/>
              <w:jc w:val="center"/>
              <w:rPr>
                <w:rFonts w:ascii="宋体" w:hAnsi="宋体" w:cs="宋体"/>
                <w:color w:val="auto"/>
                <w:sz w:val="24"/>
                <w:highlight w:val="none"/>
              </w:rPr>
            </w:pPr>
          </w:p>
        </w:tc>
        <w:tc>
          <w:tcPr>
            <w:tcW w:w="2201" w:type="dxa"/>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供应商资格条件第3条</w:t>
            </w:r>
          </w:p>
        </w:tc>
        <w:tc>
          <w:tcPr>
            <w:tcW w:w="5234" w:type="dxa"/>
            <w:vAlign w:val="center"/>
          </w:tcPr>
          <w:p>
            <w:pPr>
              <w:autoSpaceDE w:val="0"/>
              <w:autoSpaceDN w:val="0"/>
              <w:adjustRightInd w:val="0"/>
              <w:snapToGrid w:val="0"/>
              <w:rPr>
                <w:rFonts w:ascii="宋体" w:hAns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sz w:val="24"/>
                <w:highlight w:val="none"/>
              </w:rPr>
              <w:t>供应商资格条件第4条</w:t>
            </w:r>
          </w:p>
        </w:tc>
        <w:tc>
          <w:tcPr>
            <w:tcW w:w="5234" w:type="dxa"/>
            <w:vAlign w:val="center"/>
          </w:tcPr>
          <w:p>
            <w:pPr>
              <w:autoSpaceDE w:val="0"/>
              <w:autoSpaceDN w:val="0"/>
              <w:adjustRightInd w:val="0"/>
              <w:snapToGrid w:val="0"/>
              <w:rPr>
                <w:rFonts w:ascii="宋体" w:hAnsi="宋体" w:cs="宋体"/>
                <w:color w:val="auto"/>
                <w:kern w:val="0"/>
                <w:sz w:val="24"/>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4" w:hRule="exact"/>
          <w:jc w:val="center"/>
        </w:trPr>
        <w:tc>
          <w:tcPr>
            <w:tcW w:w="1052" w:type="dxa"/>
            <w:vMerge w:val="restart"/>
            <w:vAlign w:val="center"/>
          </w:tcPr>
          <w:p>
            <w:pPr>
              <w:autoSpaceDE w:val="0"/>
              <w:autoSpaceDN w:val="0"/>
              <w:adjustRightIn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848" w:type="dxa"/>
            <w:vMerge w:val="restart"/>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响</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应</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性</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评</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审</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标</w:t>
            </w:r>
          </w:p>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准</w:t>
            </w: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投标（响应）范围</w:t>
            </w:r>
          </w:p>
        </w:tc>
        <w:tc>
          <w:tcPr>
            <w:tcW w:w="5234" w:type="dxa"/>
          </w:tcPr>
          <w:p>
            <w:pPr>
              <w:rPr>
                <w:rFonts w:ascii="宋体" w:hAnsi="宋体" w:cs="宋体"/>
                <w:color w:val="auto"/>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工期</w:t>
            </w:r>
          </w:p>
        </w:tc>
        <w:tc>
          <w:tcPr>
            <w:tcW w:w="5234" w:type="dxa"/>
          </w:tcPr>
          <w:p>
            <w:pPr>
              <w:rPr>
                <w:rFonts w:ascii="宋体" w:hAnsi="宋体" w:cs="宋体"/>
                <w:color w:val="auto"/>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质量保修</w:t>
            </w:r>
          </w:p>
        </w:tc>
        <w:tc>
          <w:tcPr>
            <w:tcW w:w="5234" w:type="dxa"/>
          </w:tcPr>
          <w:p>
            <w:pPr>
              <w:rPr>
                <w:rFonts w:ascii="宋体" w:hAnsi="宋体" w:cs="宋体"/>
                <w:color w:val="auto"/>
                <w:highlight w:val="none"/>
              </w:rPr>
            </w:pPr>
            <w:r>
              <w:rPr>
                <w:rFonts w:hint="eastAsia" w:ascii="宋体" w:hAnsi="宋体" w:cs="宋体"/>
                <w:color w:val="auto"/>
                <w:kern w:val="0"/>
                <w:sz w:val="24"/>
                <w:highlight w:val="none"/>
              </w:rPr>
              <w:t>符合第二章“</w:t>
            </w:r>
            <w:r>
              <w:rPr>
                <w:rFonts w:hint="eastAsia" w:ascii="宋体" w:hAnsi="宋体" w:cs="宋体"/>
                <w:color w:val="auto"/>
                <w:sz w:val="24"/>
                <w:highlight w:val="none"/>
              </w:rPr>
              <w:t>磋商须知前附表</w:t>
            </w:r>
            <w:r>
              <w:rPr>
                <w:rFonts w:hint="eastAsia" w:ascii="宋体" w:hAnsi="宋体" w:cs="宋体"/>
                <w:color w:val="auto"/>
                <w:kern w:val="0"/>
                <w:sz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exac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5234" w:type="dxa"/>
          </w:tcPr>
          <w:p>
            <w:pPr>
              <w:rPr>
                <w:rFonts w:ascii="宋体" w:hAnsi="宋体" w:cs="宋体"/>
                <w:color w:val="auto"/>
                <w:kern w:val="0"/>
                <w:sz w:val="24"/>
                <w:highlight w:val="none"/>
              </w:rPr>
            </w:pPr>
            <w:r>
              <w:rPr>
                <w:rFonts w:hint="eastAsia" w:ascii="宋体" w:hAnsi="宋体" w:cs="宋体"/>
                <w:color w:val="auto"/>
                <w:kern w:val="0"/>
                <w:sz w:val="24"/>
                <w:highlight w:val="none"/>
              </w:rPr>
              <w:t>符合第二章“磋商须知前附表”的规定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1052"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848" w:type="dxa"/>
            <w:vMerge w:val="continue"/>
            <w:vAlign w:val="center"/>
          </w:tcPr>
          <w:p>
            <w:pPr>
              <w:autoSpaceDE w:val="0"/>
              <w:autoSpaceDN w:val="0"/>
              <w:adjustRightInd w:val="0"/>
              <w:spacing w:line="400" w:lineRule="exact"/>
              <w:jc w:val="center"/>
              <w:rPr>
                <w:rFonts w:ascii="宋体" w:hAnsi="宋体" w:cs="宋体"/>
                <w:color w:val="auto"/>
                <w:kern w:val="0"/>
                <w:sz w:val="24"/>
                <w:highlight w:val="none"/>
              </w:rPr>
            </w:pPr>
          </w:p>
        </w:tc>
        <w:tc>
          <w:tcPr>
            <w:tcW w:w="2201" w:type="dxa"/>
            <w:vAlign w:val="center"/>
          </w:tcPr>
          <w:p>
            <w:pPr>
              <w:autoSpaceDE w:val="0"/>
              <w:autoSpaceDN w:val="0"/>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响应报价</w:t>
            </w:r>
          </w:p>
        </w:tc>
        <w:tc>
          <w:tcPr>
            <w:tcW w:w="5234" w:type="dxa"/>
            <w:vAlign w:val="center"/>
          </w:tcPr>
          <w:p>
            <w:pPr>
              <w:autoSpaceDE w:val="0"/>
              <w:autoSpaceDN w:val="0"/>
              <w:adjustRightInd w:val="0"/>
              <w:snapToGrid w:val="0"/>
              <w:rPr>
                <w:rFonts w:ascii="宋体" w:hAnsi="宋体" w:cs="宋体"/>
                <w:color w:val="auto"/>
                <w:kern w:val="0"/>
                <w:sz w:val="24"/>
                <w:highlight w:val="none"/>
              </w:rPr>
            </w:pPr>
            <w:r>
              <w:rPr>
                <w:rFonts w:hint="eastAsia" w:ascii="宋体" w:hAnsi="宋体" w:cs="宋体"/>
                <w:color w:val="auto"/>
                <w:kern w:val="0"/>
                <w:sz w:val="24"/>
                <w:highlight w:val="none"/>
              </w:rPr>
              <w:t>响应报价符合磋商文件的相关规定。</w:t>
            </w:r>
          </w:p>
        </w:tc>
      </w:tr>
    </w:tbl>
    <w:p>
      <w:pPr>
        <w:snapToGrid w:val="0"/>
        <w:spacing w:line="500" w:lineRule="exact"/>
        <w:rPr>
          <w:rFonts w:ascii="宋体" w:hAnsi="宋体" w:cs="宋体"/>
          <w:b/>
          <w:color w:val="auto"/>
          <w:sz w:val="24"/>
          <w:highlight w:val="none"/>
        </w:rPr>
      </w:pPr>
      <w:r>
        <w:rPr>
          <w:rFonts w:hint="eastAsia" w:ascii="宋体" w:hAnsi="宋体" w:cs="宋体"/>
          <w:b/>
          <w:bCs/>
          <w:color w:val="auto"/>
          <w:sz w:val="24"/>
          <w:highlight w:val="none"/>
        </w:rPr>
        <w:t>22.推荐中标候选人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磋商小组对通过初步审查的供应商分别单独进行磋商。磋商双方可以就磋商项目所涉价格、服务等进行实质性磋商，但磋商的任何一方不得透露与磋商有关的其他供应商的价格和其他信息。磋商结束后，磋商小组要求所有实质性响应的供应商在规定的时间内提交最后报价, 供应商最终报价提交后，报价不得进行更改。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22.2经磋商小组确定最终采购需求和提交最后报价的供应商后，由磋商小组采用综合评分法对提交最终报价的供应商的响应性文件和最后报价进行综合评分。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22.3磋商小组应当根据综合评分情况，按照评审得分由高到低顺序推荐3名成交候选人，并编写评审报告。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评审报告应当按照政府采购竞争性磋商采购方式管理暂行办法有关规定进行编制。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22.5评审报告应当由磋商小组全体人员签字认可。磋商小组成员对评审报告有异议的，磋商小组按照少数服从多数的原则推荐成交候选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22.6在磋商过程中，凡遇到磋商文件中无界定或界定不清、前后不一致或对于供应商提供的技术方案等不能判断是否满足本项目建设需求的使磋商小组意见有分歧且又难于协商一致的问题，均由磋商小组予以表决，获半数以上同意的即为通过，未获半数同意的即为未通过。</w:t>
      </w:r>
    </w:p>
    <w:p>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22.7磋商小组对于恶意竞标（即：报价明显偏低且又不能合理说明或不能提供相关证明资料的），磋商小组可认定该供应商以低于成本报价恶意竞标，其投标作废标处理。</w:t>
      </w:r>
    </w:p>
    <w:p>
      <w:p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23.定标</w:t>
      </w:r>
    </w:p>
    <w:p>
      <w:pPr>
        <w:pStyle w:val="140"/>
        <w:spacing w:line="460" w:lineRule="exact"/>
        <w:ind w:firstLine="448" w:firstLineChars="18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23.1磋商委员会按照竞争性磋商文件中磋商标准的规定评定供应商名次。</w:t>
      </w:r>
    </w:p>
    <w:p>
      <w:pPr>
        <w:pStyle w:val="140"/>
        <w:spacing w:line="460" w:lineRule="exact"/>
        <w:ind w:firstLine="448" w:firstLineChars="18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23.2若前位中标候选人放弃中标、因不可抗力提出不能履行合同，可以按顺序向下确定成交人或者重新招标。</w:t>
      </w:r>
    </w:p>
    <w:p>
      <w:pPr>
        <w:pStyle w:val="140"/>
        <w:spacing w:line="460" w:lineRule="exact"/>
        <w:ind w:firstLine="448" w:firstLineChars="18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23.3若前位中标候选人确有重大实质性问题或违法行为，经监督部门认可后中标无效。应当按照中标条件从其余供应商中重新确定成交人或者重新招标。</w:t>
      </w:r>
    </w:p>
    <w:p>
      <w:p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24.其它</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24.1本竞争性磋商文件未尽事宜按现行招标投标有关法律法规和规定执行。如竞争性磋商申请单位在本次竞争性磋商活动中有违反相关法律法规的将根据相关法律法规和规定对其进行处罚。</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24.2本竞争性磋商文件根椐国家有关规定和参照国际惯例编制，解释权属采购人。</w:t>
      </w:r>
    </w:p>
    <w:p>
      <w:pPr>
        <w:pStyle w:val="140"/>
        <w:spacing w:line="460" w:lineRule="exact"/>
        <w:ind w:firstLine="480" w:firstLineChars="200"/>
        <w:rPr>
          <w:rFonts w:ascii="宋体" w:hAnsi="宋体" w:eastAsia="宋体" w:cs="宋体"/>
          <w:bCs/>
          <w:color w:val="auto"/>
          <w:sz w:val="24"/>
          <w:szCs w:val="24"/>
          <w:highlight w:val="none"/>
        </w:rPr>
      </w:pPr>
    </w:p>
    <w:p>
      <w:pPr>
        <w:pStyle w:val="5"/>
        <w:spacing w:before="0" w:after="0"/>
        <w:rPr>
          <w:rFonts w:cs="宋体"/>
          <w:color w:val="auto"/>
          <w:szCs w:val="30"/>
          <w:highlight w:val="none"/>
        </w:rPr>
      </w:pPr>
      <w:bookmarkStart w:id="85" w:name="_Toc289848364"/>
      <w:bookmarkStart w:id="86" w:name="_Toc289848437"/>
      <w:bookmarkStart w:id="87" w:name="_Toc391049487"/>
      <w:bookmarkStart w:id="88" w:name="_Toc196563814"/>
      <w:bookmarkStart w:id="89" w:name="_Toc197258117"/>
      <w:bookmarkStart w:id="90" w:name="_Toc276646857"/>
      <w:bookmarkStart w:id="91" w:name="_Toc289848522"/>
      <w:bookmarkStart w:id="92" w:name="_Toc289848548"/>
      <w:bookmarkStart w:id="93" w:name="_Toc36553017"/>
      <w:r>
        <w:rPr>
          <w:rFonts w:hint="eastAsia" w:cs="宋体"/>
          <w:color w:val="auto"/>
          <w:szCs w:val="30"/>
          <w:highlight w:val="none"/>
        </w:rPr>
        <w:t>六、授予合同</w:t>
      </w:r>
      <w:bookmarkEnd w:id="85"/>
      <w:bookmarkEnd w:id="86"/>
      <w:bookmarkEnd w:id="87"/>
      <w:bookmarkEnd w:id="88"/>
      <w:bookmarkEnd w:id="89"/>
      <w:bookmarkEnd w:id="90"/>
      <w:bookmarkEnd w:id="91"/>
      <w:bookmarkEnd w:id="92"/>
      <w:bookmarkEnd w:id="93"/>
    </w:p>
    <w:p>
      <w:p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25.中标通知及签订合同</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25.1在竞争性磋商申请有效期内，中标结果以书面形式通知成交人。</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25.2对未中标的供应商，不作任何未中标原因的解释，所有竞争性磋商响应文件不予退还。</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履约保证金金额：</w:t>
      </w:r>
      <w:r>
        <w:rPr>
          <w:rFonts w:hint="eastAsia" w:ascii="宋体" w:hAnsi="宋体" w:eastAsia="宋体" w:cs="宋体"/>
          <w:bCs/>
          <w:color w:val="auto"/>
          <w:sz w:val="24"/>
          <w:szCs w:val="24"/>
          <w:highlight w:val="none"/>
        </w:rPr>
        <w:t>成交金额的5%。</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履约保证金的形式：银行履约保函。</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履约保证金的交纳方式：成交人在领取中标通知书后、签订合同前向采购人提供。</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履约保证金的退还：工程验收合格，资料正式交接完毕，交付采购人使用后，转为质量保证函。</w:t>
      </w:r>
    </w:p>
    <w:p>
      <w:pPr>
        <w:snapToGrid w:val="0"/>
        <w:spacing w:line="460" w:lineRule="exact"/>
        <w:rPr>
          <w:rFonts w:ascii="宋体" w:hAnsi="宋体" w:cs="宋体"/>
          <w:b/>
          <w:color w:val="auto"/>
          <w:sz w:val="24"/>
          <w:highlight w:val="none"/>
        </w:rPr>
      </w:pPr>
      <w:r>
        <w:rPr>
          <w:rFonts w:hint="eastAsia" w:ascii="宋体" w:hAnsi="宋体" w:cs="宋体"/>
          <w:b/>
          <w:color w:val="auto"/>
          <w:sz w:val="24"/>
          <w:highlight w:val="none"/>
        </w:rPr>
        <w:t>26.签订合同</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26.1 成交人收到成交通知书后，应在三十日内与采购人签订合同。</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26.2 竞争性磋商文件、成交人竞争性磋商响应文件以及成交人在评标时澄清问题的答复内容等均作为合同的不可分割的组成部分。</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26.3 若成交人未能或拒绝按竞争性磋商文件要求及其竞争性磋商响应文件内容与采购人签订合同，采购人可以根据推荐次序另选成交人或选择重新招标。</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26.4 授标时更改非实质性条款的权力</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采购人在授予合同时有权对竞争性磋商文件中规定的非实质性内容予以更改，但不得对单价或其它主要条款和条件做实质性改变。</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26.5 知识产权</w:t>
      </w:r>
    </w:p>
    <w:p>
      <w:pPr>
        <w:pStyle w:val="140"/>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26.5.1供应商应保证，采购人在中华人民共和国使用图纸或技术资料的任何一部分时，如有第三方向采购人提出侵犯其专利权、商标权或其它知识产权的主张，该责任应由供应商承担。</w:t>
      </w:r>
    </w:p>
    <w:p>
      <w:pPr>
        <w:pStyle w:val="4"/>
        <w:rPr>
          <w:rFonts w:cs="宋体"/>
          <w:color w:val="auto"/>
          <w:highlight w:val="none"/>
        </w:rPr>
      </w:pPr>
      <w:bookmarkStart w:id="94" w:name="_Toc182324854"/>
      <w:bookmarkStart w:id="95" w:name="_Toc282585495"/>
      <w:bookmarkStart w:id="96" w:name="_Toc191370546"/>
      <w:bookmarkStart w:id="97" w:name="_Toc191371302"/>
      <w:bookmarkStart w:id="98" w:name="_Toc311621103"/>
      <w:bookmarkStart w:id="99" w:name="_Toc191368000"/>
      <w:r>
        <w:rPr>
          <w:rFonts w:hint="eastAsia" w:cs="宋体"/>
          <w:color w:val="auto"/>
          <w:highlight w:val="none"/>
        </w:rPr>
        <w:br w:type="page"/>
      </w:r>
      <w:bookmarkStart w:id="100" w:name="_Toc36553018"/>
      <w:bookmarkStart w:id="101" w:name="_Toc10575963"/>
      <w:r>
        <w:rPr>
          <w:rFonts w:hint="eastAsia" w:cs="宋体"/>
          <w:color w:val="auto"/>
          <w:highlight w:val="none"/>
        </w:rPr>
        <w:t>附件：综合评分法：</w:t>
      </w:r>
      <w:bookmarkEnd w:id="100"/>
      <w:bookmarkEnd w:id="101"/>
    </w:p>
    <w:tbl>
      <w:tblPr>
        <w:tblStyle w:val="3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053"/>
        <w:gridCol w:w="5708"/>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0" w:type="dxa"/>
            <w:vAlign w:val="center"/>
          </w:tcPr>
          <w:p>
            <w:pPr>
              <w:spacing w:line="360" w:lineRule="auto"/>
              <w:jc w:val="center"/>
              <w:rPr>
                <w:rFonts w:ascii="宋体" w:hAnsi="宋体" w:cs="宋体"/>
                <w:color w:val="auto"/>
                <w:sz w:val="24"/>
                <w:highlight w:val="none"/>
              </w:rPr>
            </w:pPr>
            <w:bookmarkStart w:id="102" w:name="_Toc36553019"/>
            <w:r>
              <w:rPr>
                <w:rFonts w:hint="eastAsia" w:ascii="宋体" w:hAnsi="宋体" w:cs="宋体"/>
                <w:color w:val="auto"/>
                <w:sz w:val="24"/>
                <w:highlight w:val="none"/>
              </w:rPr>
              <w:t>2.2.1</w:t>
            </w:r>
          </w:p>
        </w:tc>
        <w:tc>
          <w:tcPr>
            <w:tcW w:w="205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分值构成</w:t>
            </w:r>
          </w:p>
        </w:tc>
        <w:tc>
          <w:tcPr>
            <w:tcW w:w="6717" w:type="dxa"/>
            <w:gridSpan w:val="2"/>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技术标：35分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商务标：35分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综合标：30分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2.2.2（1）</w:t>
            </w:r>
          </w:p>
        </w:tc>
        <w:tc>
          <w:tcPr>
            <w:tcW w:w="205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商务标的评标分值：</w:t>
            </w:r>
            <w:r>
              <w:rPr>
                <w:rFonts w:hint="eastAsia" w:ascii="宋体" w:hAnsi="宋体" w:cs="宋体"/>
                <w:color w:val="auto"/>
                <w:sz w:val="24"/>
                <w:highlight w:val="none"/>
                <w:u w:val="single" w:color="4F81BC"/>
              </w:rPr>
              <w:t>35分</w:t>
            </w:r>
          </w:p>
        </w:tc>
        <w:tc>
          <w:tcPr>
            <w:tcW w:w="6717" w:type="dxa"/>
            <w:gridSpan w:val="2"/>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满足磋商文件要求且最终报价最低的有效供应商的最终报价为评标基准价计算方法如下：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评标基准价=有效供应商的最低最终报价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磋商报价得分=评标基准值/最终报价×35分</w:t>
            </w:r>
          </w:p>
          <w:p>
            <w:pPr>
              <w:spacing w:line="360" w:lineRule="auto"/>
              <w:rPr>
                <w:rFonts w:ascii="宋体" w:hAnsi="宋体" w:cs="宋体"/>
                <w:color w:val="auto"/>
                <w:sz w:val="24"/>
                <w:highlight w:val="none"/>
              </w:rPr>
            </w:pPr>
            <w:r>
              <w:rPr>
                <w:rFonts w:hint="eastAsia" w:ascii="宋体" w:hAnsi="宋体" w:cs="宋体"/>
                <w:color w:val="auto"/>
                <w:sz w:val="24"/>
                <w:highlight w:val="none"/>
              </w:rPr>
              <w:t>注：有效供应商是指实质上响应磋商文件要求并通过实质性审核未被废标的所有供应商。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注：对小型和微型企业产品的价格给予6%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财政部 民政部 中国残疾人联合会关于促进残疾人就业政府采购政策的通知》（财库〔2017〕141号）、《财政部、司法部关于政府采购支持监狱企业发展有关问题的通知》（财库[2014]68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0"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2.2.2（2）</w:t>
            </w:r>
          </w:p>
        </w:tc>
        <w:tc>
          <w:tcPr>
            <w:tcW w:w="2053" w:type="dxa"/>
            <w:vMerge w:val="restart"/>
            <w:vAlign w:val="center"/>
          </w:tcPr>
          <w:p>
            <w:pPr>
              <w:tabs>
                <w:tab w:val="left" w:pos="701"/>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技术标的评标分值：35分</w:t>
            </w: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1．内容完整性和编制水平</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根据实现招标项目要求的水平及能力由评委自主打分。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2．施工方案和技术措施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根据落实招标要求的水平及能力打分：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落实招标要求的水平高，能力强，</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落实招标要求的水平较高，能力较强，</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落实招标要求的水平较低，能力差，</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3．质量管理体系与措施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对装修、改造等重点项目施工质量管理的科学性、有效性进行评价，同时对总项目施工配合要求是否作出具体、有效的安排，是否有具体的质量保障措施，工程验收组织方案是否落实装修、改造等验收规范要求：</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以上各项措施完善，科学有效，</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以上各项措施较完善，较科学有效，</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以上各项措施较差，</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4．安全管理体系与措施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根据落实招标要求的水平及能力打分；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落实招标要求的水平高，能力强，</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落实招标要求的水平较高，能力较强，</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落实招标要求的水平较低，能力差，</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5．环境保护管理体系与措施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根据在节能减排、绿色施工、工艺创新、环境和设施保护方面针对本工程是否有具体、有效的措施。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保护措施具体，有效，</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保护措施较具体，较有</w:t>
            </w:r>
            <w:r>
              <w:rPr>
                <w:rFonts w:hint="eastAsia" w:ascii="宋体" w:hAnsi="宋体" w:cs="宋体"/>
                <w:color w:val="auto"/>
                <w:sz w:val="24"/>
                <w:highlight w:val="none"/>
              </w:rPr>
              <w:t>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保护措施较差，</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6．工程进度计划与措施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根据落实招标要求的水平及能力打分。工程施工有关进度计划是否能满足工期要求，是否有具体的工期保障措施，应有明确违约承诺和应急预案。</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较科学合理，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不够科学合理，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7．拟投入资源配备计划</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评价项目施工机械、检测设备投入力度和水平，对其项目管理的整体技术水平进行综合评价。</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整体评价一般，</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w:t>
            </w:r>
            <w:r>
              <w:rPr>
                <w:rFonts w:hint="eastAsia" w:ascii="宋体" w:hAnsi="宋体" w:cs="宋体"/>
                <w:color w:val="auto"/>
                <w:sz w:val="24"/>
                <w:highlight w:val="none"/>
              </w:rPr>
              <w:t>差</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8．施工进度表或施工网络图</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根据落实招标要求的水平及能力打分。工程施工进度表或施工网络图编制是否科学合理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较科学合理，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不够科学合理，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9．施工总平面布置图</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根据落实招标要求的水平及能力打分。工程施工总平面布置图编制是否完善科学合理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较科学合理，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不够科学合理，</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10.先进的工艺、设备和技术应用</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根据新工艺、新技术、新设备、新材料的采用程度，其在确保质量、降低成本、缩短工期、减轻劳动强度、提高工效等方面的作用进行综合评价。</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整体评价一般，</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整体评价</w:t>
            </w:r>
            <w:r>
              <w:rPr>
                <w:rFonts w:hint="eastAsia" w:ascii="宋体" w:hAnsi="宋体" w:cs="宋体"/>
                <w:color w:val="auto"/>
                <w:sz w:val="24"/>
                <w:highlight w:val="none"/>
              </w:rPr>
              <w:t>差</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rPr>
              <w:t>；</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vAlign w:val="center"/>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11.风险控制及应急措施</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风险防控管理措施齐全，风险预控符合规范要求，风险控制要点定位准确，各阶段风险控制及应急措施完善，得2分；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风险防控管理措施不齐全，风险预控基本符合规范要求，风险控制要点定位模糊，各阶段风险控制及应急措施不完善，得1分；</w:t>
            </w:r>
          </w:p>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tc>
        <w:tc>
          <w:tcPr>
            <w:tcW w:w="1009" w:type="dxa"/>
            <w:vAlign w:val="center"/>
          </w:tcPr>
          <w:p>
            <w:pPr>
              <w:tabs>
                <w:tab w:val="left" w:pos="701"/>
              </w:tabs>
              <w:spacing w:line="360" w:lineRule="auto"/>
              <w:rPr>
                <w:rFonts w:ascii="宋体" w:hAnsi="宋体" w:cs="宋体"/>
                <w:color w:val="auto"/>
                <w:sz w:val="24"/>
                <w:highlight w:val="none"/>
              </w:rPr>
            </w:pPr>
            <w:r>
              <w:rPr>
                <w:rFonts w:hint="eastAsia" w:ascii="宋体" w:hAnsi="宋体" w:cs="宋体"/>
                <w:color w:val="auto"/>
                <w:sz w:val="24"/>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2.2.2（3）</w:t>
            </w:r>
          </w:p>
        </w:tc>
        <w:tc>
          <w:tcPr>
            <w:tcW w:w="2053" w:type="dxa"/>
            <w:vMerge w:val="restar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综合标的评标分值：30分</w:t>
            </w:r>
          </w:p>
        </w:tc>
        <w:tc>
          <w:tcPr>
            <w:tcW w:w="57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企业质量、环境、健康体系认证：</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企业具有有效的质量、环境、健康体系认证的，三证齐全得3分，每缺一项扣1分，扣完为止。</w:t>
            </w:r>
          </w:p>
        </w:tc>
        <w:tc>
          <w:tcPr>
            <w:tcW w:w="100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项目经理业绩：</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投标项目经理在2017年6月30日（以合同签订时间为准）以来，作为本次投标单位项目经理签订的类似（装修改造工程）合同项目业绩(包含合同、中标通知书及发布中标通知书的网站截图)，每份得3分，最高累计得6分。</w:t>
            </w:r>
          </w:p>
        </w:tc>
        <w:tc>
          <w:tcPr>
            <w:tcW w:w="100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企业业绩：</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投标企业在2017年6月30日（以合同签订时间为准）以来，类似（装修改造工程）合同项目业绩(包含合同、中标通知书及发布中标通知书的网站截图)，每份得3分，最高累计得9分。</w:t>
            </w:r>
          </w:p>
          <w:p>
            <w:pPr>
              <w:pStyle w:val="2"/>
              <w:ind w:firstLine="0" w:firstLineChars="0"/>
              <w:rPr>
                <w:rFonts w:ascii="宋体" w:hAnsi="宋体" w:cs="宋体"/>
                <w:color w:val="auto"/>
                <w:sz w:val="24"/>
                <w:highlight w:val="none"/>
              </w:rPr>
            </w:pPr>
            <w:r>
              <w:rPr>
                <w:rFonts w:hint="eastAsia" w:ascii="宋体" w:hAnsi="宋体" w:cs="宋体"/>
                <w:color w:val="auto"/>
                <w:sz w:val="24"/>
                <w:highlight w:val="none"/>
              </w:rPr>
              <w:t>项目经理业绩和企业业绩不得重复计算。</w:t>
            </w:r>
          </w:p>
        </w:tc>
        <w:tc>
          <w:tcPr>
            <w:tcW w:w="100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项目管理机构：</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（1）项目技术负责人具有中级及以上职称得1分。</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（2）施工、材料、质量、资料、安全、造价人员配备合理，以上人员齐全的得3分；每缺一项扣0.5分，扣完为止。</w:t>
            </w:r>
          </w:p>
        </w:tc>
        <w:tc>
          <w:tcPr>
            <w:tcW w:w="100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830" w:type="dxa"/>
            <w:vMerge w:val="continue"/>
            <w:vAlign w:val="center"/>
          </w:tcPr>
          <w:p>
            <w:pPr>
              <w:spacing w:line="360" w:lineRule="auto"/>
              <w:jc w:val="center"/>
              <w:rPr>
                <w:rFonts w:ascii="宋体" w:hAnsi="宋体" w:cs="宋体"/>
                <w:color w:val="auto"/>
                <w:sz w:val="24"/>
                <w:highlight w:val="none"/>
              </w:rPr>
            </w:pPr>
          </w:p>
        </w:tc>
        <w:tc>
          <w:tcPr>
            <w:tcW w:w="2053" w:type="dxa"/>
            <w:vMerge w:val="continue"/>
            <w:vAlign w:val="center"/>
          </w:tcPr>
          <w:p>
            <w:pPr>
              <w:spacing w:line="360" w:lineRule="auto"/>
              <w:jc w:val="center"/>
              <w:rPr>
                <w:rFonts w:ascii="宋体" w:hAnsi="宋体" w:cs="宋体"/>
                <w:color w:val="auto"/>
                <w:sz w:val="24"/>
                <w:highlight w:val="none"/>
              </w:rPr>
            </w:pPr>
          </w:p>
        </w:tc>
        <w:tc>
          <w:tcPr>
            <w:tcW w:w="5708"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优惠服务条件的承诺：</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1.施工期间服务承诺0-3分</w:t>
            </w:r>
          </w:p>
          <w:p>
            <w:pPr>
              <w:spacing w:line="360" w:lineRule="auto"/>
              <w:rPr>
                <w:rFonts w:ascii="宋体" w:hAnsi="宋体" w:cs="宋体"/>
                <w:color w:val="auto"/>
                <w:sz w:val="24"/>
                <w:highlight w:val="none"/>
              </w:rPr>
            </w:pPr>
            <w:r>
              <w:rPr>
                <w:rFonts w:hint="eastAsia" w:ascii="宋体" w:hAnsi="宋体" w:cs="宋体"/>
                <w:color w:val="auto"/>
                <w:sz w:val="24"/>
                <w:highlight w:val="none"/>
              </w:rPr>
              <w:t>施工期间，加强安全防护措施，施工现场符合安全文明施工标准，保证不发生各种安全事故，并承担由此发生的费用：</w:t>
            </w:r>
          </w:p>
          <w:p>
            <w:pPr>
              <w:spacing w:line="360" w:lineRule="auto"/>
              <w:rPr>
                <w:rFonts w:ascii="宋体" w:hAnsi="宋体" w:cs="宋体"/>
                <w:color w:val="auto"/>
                <w:sz w:val="24"/>
                <w:highlight w:val="none"/>
              </w:rPr>
            </w:pPr>
            <w:r>
              <w:rPr>
                <w:rFonts w:hint="eastAsia" w:ascii="宋体" w:hAnsi="宋体" w:cs="宋体"/>
                <w:color w:val="auto"/>
                <w:sz w:val="24"/>
                <w:highlight w:val="none"/>
              </w:rPr>
              <w:t>施工期间服务承诺完善，得3分；</w:t>
            </w:r>
          </w:p>
          <w:p>
            <w:pPr>
              <w:spacing w:line="360" w:lineRule="auto"/>
              <w:rPr>
                <w:rFonts w:ascii="宋体" w:hAnsi="宋体" w:cs="宋体"/>
                <w:color w:val="auto"/>
                <w:sz w:val="24"/>
                <w:highlight w:val="none"/>
              </w:rPr>
            </w:pPr>
            <w:r>
              <w:rPr>
                <w:rFonts w:hint="eastAsia" w:ascii="宋体" w:hAnsi="宋体" w:cs="宋体"/>
                <w:color w:val="auto"/>
                <w:sz w:val="24"/>
                <w:highlight w:val="none"/>
              </w:rPr>
              <w:t>施工期间服务承诺较完善，得2分；</w:t>
            </w:r>
          </w:p>
          <w:p>
            <w:pPr>
              <w:spacing w:line="360" w:lineRule="auto"/>
              <w:rPr>
                <w:rFonts w:ascii="宋体" w:hAnsi="宋体" w:cs="宋体"/>
                <w:color w:val="auto"/>
                <w:sz w:val="24"/>
                <w:highlight w:val="none"/>
              </w:rPr>
            </w:pPr>
            <w:r>
              <w:rPr>
                <w:rFonts w:hint="eastAsia" w:ascii="宋体" w:hAnsi="宋体" w:cs="宋体"/>
                <w:color w:val="auto"/>
                <w:sz w:val="24"/>
                <w:highlight w:val="none"/>
              </w:rPr>
              <w:t>施工期间服务承诺较差，得1分；</w:t>
            </w:r>
          </w:p>
          <w:p>
            <w:pPr>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2.质保期内外服务内容及承诺0-3分</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投标企业改善经营服务态度，针对本工程的特点和要求，结合自身的条件和潜力，为采购人排忧解难，质保期内外服务承诺：</w:t>
            </w:r>
          </w:p>
          <w:p>
            <w:pPr>
              <w:spacing w:line="360" w:lineRule="auto"/>
              <w:rPr>
                <w:rFonts w:ascii="宋体" w:hAnsi="宋体" w:cs="宋体"/>
                <w:color w:val="auto"/>
                <w:sz w:val="24"/>
                <w:highlight w:val="none"/>
              </w:rPr>
            </w:pPr>
            <w:r>
              <w:rPr>
                <w:rFonts w:hint="eastAsia" w:ascii="宋体" w:hAnsi="宋体" w:cs="宋体"/>
                <w:color w:val="auto"/>
                <w:sz w:val="24"/>
                <w:highlight w:val="none"/>
              </w:rPr>
              <w:t>服务内容及承诺能够满足采购人实际需求，得3分；</w:t>
            </w:r>
          </w:p>
          <w:p>
            <w:pPr>
              <w:spacing w:line="360" w:lineRule="auto"/>
              <w:rPr>
                <w:rFonts w:ascii="宋体" w:hAnsi="宋体" w:cs="宋体"/>
                <w:color w:val="auto"/>
                <w:sz w:val="24"/>
                <w:highlight w:val="none"/>
              </w:rPr>
            </w:pPr>
            <w:r>
              <w:rPr>
                <w:rFonts w:hint="eastAsia" w:ascii="宋体" w:hAnsi="宋体" w:cs="宋体"/>
                <w:color w:val="auto"/>
                <w:sz w:val="24"/>
                <w:highlight w:val="none"/>
              </w:rPr>
              <w:t>服务内容及承诺能够基本满足采购人实际需求，得2分；</w:t>
            </w:r>
          </w:p>
          <w:p>
            <w:pPr>
              <w:spacing w:line="360" w:lineRule="auto"/>
              <w:rPr>
                <w:rFonts w:ascii="宋体" w:hAnsi="宋体" w:cs="宋体"/>
                <w:color w:val="auto"/>
                <w:sz w:val="24"/>
                <w:highlight w:val="none"/>
              </w:rPr>
            </w:pPr>
            <w:r>
              <w:rPr>
                <w:rFonts w:hint="eastAsia" w:ascii="宋体" w:hAnsi="宋体" w:cs="宋体"/>
                <w:color w:val="auto"/>
                <w:sz w:val="24"/>
                <w:highlight w:val="none"/>
              </w:rPr>
              <w:t>服务内容及承诺不能满足采购人实际需求，得1分；</w:t>
            </w:r>
          </w:p>
          <w:p>
            <w:pPr>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3.其他实质性承诺</w:t>
            </w:r>
            <w:r>
              <w:rPr>
                <w:rFonts w:hint="eastAsia" w:ascii="宋体" w:hAnsi="宋体" w:cs="宋体"/>
                <w:color w:val="auto"/>
                <w:sz w:val="24"/>
                <w:highlight w:val="none"/>
              </w:rPr>
              <w:tab/>
            </w:r>
            <w:r>
              <w:rPr>
                <w:rFonts w:hint="eastAsia" w:ascii="宋体" w:hAnsi="宋体" w:cs="宋体"/>
                <w:color w:val="auto"/>
                <w:sz w:val="24"/>
                <w:highlight w:val="none"/>
              </w:rPr>
              <w:t>0-2分</w:t>
            </w:r>
          </w:p>
          <w:p>
            <w:pPr>
              <w:spacing w:line="360" w:lineRule="auto"/>
              <w:rPr>
                <w:rFonts w:ascii="宋体" w:hAnsi="宋体" w:cs="宋体"/>
                <w:color w:val="auto"/>
                <w:sz w:val="24"/>
                <w:highlight w:val="none"/>
              </w:rPr>
            </w:pPr>
            <w:r>
              <w:rPr>
                <w:rFonts w:hint="eastAsia" w:ascii="宋体" w:hAnsi="宋体" w:cs="宋体"/>
                <w:color w:val="auto"/>
                <w:sz w:val="24"/>
                <w:highlight w:val="none"/>
              </w:rPr>
              <w:t>其他实质性服务、优惠承诺适用性强，得2分；</w:t>
            </w:r>
          </w:p>
          <w:p>
            <w:pPr>
              <w:spacing w:line="360" w:lineRule="auto"/>
              <w:rPr>
                <w:rFonts w:ascii="宋体" w:hAnsi="宋体" w:cs="宋体"/>
                <w:color w:val="auto"/>
                <w:sz w:val="24"/>
                <w:highlight w:val="none"/>
              </w:rPr>
            </w:pPr>
            <w:r>
              <w:rPr>
                <w:rFonts w:hint="eastAsia" w:ascii="宋体" w:hAnsi="宋体" w:cs="宋体"/>
                <w:color w:val="auto"/>
                <w:sz w:val="24"/>
                <w:highlight w:val="none"/>
              </w:rPr>
              <w:t>其他实质性服务、优惠承诺较适用，得1.5分；</w:t>
            </w:r>
          </w:p>
          <w:p>
            <w:pPr>
              <w:spacing w:line="360" w:lineRule="auto"/>
              <w:rPr>
                <w:rFonts w:ascii="宋体" w:hAnsi="宋体" w:cs="宋体"/>
                <w:color w:val="auto"/>
                <w:sz w:val="24"/>
                <w:highlight w:val="none"/>
              </w:rPr>
            </w:pPr>
            <w:r>
              <w:rPr>
                <w:rFonts w:hint="eastAsia" w:ascii="宋体" w:hAnsi="宋体" w:cs="宋体"/>
                <w:color w:val="auto"/>
                <w:sz w:val="24"/>
                <w:highlight w:val="none"/>
              </w:rPr>
              <w:t>其他实质性服务、优惠承诺适用性较差，得1分；</w:t>
            </w:r>
          </w:p>
          <w:p>
            <w:pPr>
              <w:spacing w:line="360" w:lineRule="auto"/>
              <w:rPr>
                <w:rFonts w:ascii="宋体" w:hAnsi="宋体" w:cs="宋体"/>
                <w:color w:val="auto"/>
                <w:sz w:val="24"/>
                <w:highlight w:val="none"/>
              </w:rPr>
            </w:pPr>
            <w:r>
              <w:rPr>
                <w:rFonts w:hint="eastAsia" w:ascii="宋体" w:hAnsi="宋体" w:cs="宋体"/>
                <w:color w:val="auto"/>
                <w:sz w:val="24"/>
                <w:highlight w:val="none"/>
              </w:rPr>
              <w:t>无此内容不得分。 </w:t>
            </w:r>
          </w:p>
        </w:tc>
        <w:tc>
          <w:tcPr>
            <w:tcW w:w="100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0-8分</w:t>
            </w:r>
          </w:p>
        </w:tc>
      </w:tr>
    </w:tbl>
    <w:p>
      <w:pPr>
        <w:pStyle w:val="4"/>
        <w:rPr>
          <w:rFonts w:cs="宋体"/>
          <w:bCs/>
          <w:color w:val="auto"/>
          <w:sz w:val="24"/>
          <w:highlight w:val="none"/>
        </w:rPr>
      </w:pPr>
      <w:r>
        <w:rPr>
          <w:rFonts w:hint="eastAsia" w:cs="宋体"/>
          <w:bCs/>
          <w:color w:val="auto"/>
          <w:highlight w:val="none"/>
        </w:rPr>
        <w:br w:type="page"/>
      </w:r>
      <w:r>
        <w:rPr>
          <w:rFonts w:hint="eastAsia" w:cs="宋体"/>
          <w:bCs/>
          <w:color w:val="auto"/>
          <w:highlight w:val="none"/>
        </w:rPr>
        <w:t>第三章</w:t>
      </w:r>
      <w:bookmarkEnd w:id="94"/>
      <w:bookmarkEnd w:id="95"/>
      <w:bookmarkEnd w:id="96"/>
      <w:bookmarkEnd w:id="97"/>
      <w:bookmarkEnd w:id="98"/>
      <w:bookmarkEnd w:id="99"/>
      <w:r>
        <w:rPr>
          <w:rFonts w:hint="eastAsia" w:cs="宋体"/>
          <w:bCs/>
          <w:color w:val="auto"/>
          <w:highlight w:val="none"/>
        </w:rPr>
        <w:t xml:space="preserve">  项目概况及工程量要求</w:t>
      </w:r>
      <w:bookmarkEnd w:id="102"/>
    </w:p>
    <w:p>
      <w:pPr>
        <w:spacing w:line="360" w:lineRule="auto"/>
        <w:rPr>
          <w:rFonts w:ascii="宋体" w:hAnsi="宋体" w:cs="宋体"/>
          <w:color w:val="auto"/>
          <w:sz w:val="24"/>
          <w:highlight w:val="none"/>
        </w:rPr>
      </w:pPr>
      <w:r>
        <w:rPr>
          <w:rFonts w:hint="eastAsia" w:ascii="宋体" w:hAnsi="宋体" w:cs="宋体"/>
          <w:color w:val="auto"/>
          <w:sz w:val="24"/>
          <w:highlight w:val="none"/>
        </w:rPr>
        <w:t>一 、项目概况</w:t>
      </w:r>
    </w:p>
    <w:p>
      <w:pPr>
        <w:spacing w:line="360" w:lineRule="auto"/>
        <w:rPr>
          <w:rFonts w:ascii="宋体" w:hAnsi="宋体" w:cs="宋体"/>
          <w:color w:val="auto"/>
          <w:sz w:val="24"/>
          <w:highlight w:val="none"/>
        </w:rPr>
      </w:pPr>
      <w:r>
        <w:rPr>
          <w:rFonts w:hint="eastAsia" w:ascii="宋体" w:hAnsi="宋体" w:cs="宋体"/>
          <w:color w:val="auto"/>
          <w:sz w:val="24"/>
          <w:highlight w:val="none"/>
        </w:rPr>
        <w:t>1、项目名称：河南省化工研究所有限责任公司二噁英检测与控制工程技术研究</w:t>
      </w:r>
    </w:p>
    <w:p>
      <w:pPr>
        <w:spacing w:line="360" w:lineRule="auto"/>
        <w:rPr>
          <w:rFonts w:ascii="宋体" w:hAnsi="宋体" w:cs="宋体"/>
          <w:color w:val="auto"/>
          <w:sz w:val="24"/>
          <w:highlight w:val="none"/>
        </w:rPr>
      </w:pPr>
      <w:r>
        <w:rPr>
          <w:rFonts w:hint="eastAsia" w:ascii="宋体" w:hAnsi="宋体" w:cs="宋体"/>
          <w:color w:val="auto"/>
          <w:sz w:val="24"/>
          <w:highlight w:val="none"/>
        </w:rPr>
        <w:t>中心基础配套设施维修改造工程项目；</w:t>
      </w:r>
    </w:p>
    <w:p>
      <w:pPr>
        <w:spacing w:line="360" w:lineRule="auto"/>
        <w:rPr>
          <w:rFonts w:ascii="宋体" w:hAnsi="宋体" w:cs="宋体"/>
          <w:color w:val="auto"/>
          <w:sz w:val="24"/>
          <w:highlight w:val="none"/>
        </w:rPr>
      </w:pPr>
      <w:r>
        <w:rPr>
          <w:rFonts w:hint="eastAsia" w:ascii="宋体" w:hAnsi="宋体" w:cs="宋体"/>
          <w:color w:val="auto"/>
          <w:sz w:val="24"/>
          <w:highlight w:val="none"/>
        </w:rPr>
        <w:t>2、采购编号：</w:t>
      </w:r>
      <w:r>
        <w:rPr>
          <w:rFonts w:hint="eastAsia" w:ascii="宋体" w:hAnsi="宋体" w:cs="宋体"/>
          <w:color w:val="auto"/>
          <w:sz w:val="24"/>
          <w:highlight w:val="none"/>
          <w:lang w:eastAsia="zh-CN"/>
        </w:rPr>
        <w:t>HNZB[2020]N0957</w:t>
      </w:r>
      <w:r>
        <w:rPr>
          <w:rFonts w:hint="eastAsia" w:ascii="宋体" w:hAnsi="宋体" w:cs="宋体"/>
          <w:color w:val="auto"/>
          <w:sz w:val="24"/>
          <w:highlight w:val="none"/>
        </w:rPr>
        <w:t>号；</w:t>
      </w:r>
    </w:p>
    <w:p>
      <w:pPr>
        <w:spacing w:line="360" w:lineRule="auto"/>
        <w:rPr>
          <w:rFonts w:ascii="宋体" w:hAnsi="宋体" w:cs="宋体"/>
          <w:color w:val="auto"/>
          <w:sz w:val="24"/>
          <w:highlight w:val="none"/>
        </w:rPr>
      </w:pPr>
      <w:r>
        <w:rPr>
          <w:rFonts w:hint="eastAsia" w:ascii="宋体" w:hAnsi="宋体" w:cs="宋体"/>
          <w:color w:val="auto"/>
          <w:sz w:val="24"/>
          <w:highlight w:val="none"/>
        </w:rPr>
        <w:t>3、项目本次招标预算：125</w:t>
      </w:r>
      <w:r>
        <w:rPr>
          <w:rFonts w:hint="eastAsia" w:ascii="宋体" w:hAnsi="宋体" w:cs="宋体"/>
          <w:color w:val="auto"/>
          <w:sz w:val="24"/>
          <w:highlight w:val="none"/>
          <w:lang w:val="en-US" w:eastAsia="zh-CN"/>
        </w:rPr>
        <w:t>0000</w:t>
      </w:r>
      <w:r>
        <w:rPr>
          <w:rFonts w:hint="eastAsia" w:ascii="宋体" w:hAnsi="宋体" w:cs="宋体"/>
          <w:color w:val="auto"/>
          <w:sz w:val="24"/>
          <w:highlight w:val="none"/>
        </w:rPr>
        <w:t>元</w:t>
      </w:r>
      <w:r>
        <w:rPr>
          <w:rFonts w:hint="eastAsia" w:ascii="宋体" w:hAnsi="宋体" w:cs="宋体"/>
          <w:color w:val="auto"/>
          <w:sz w:val="24"/>
          <w:highlight w:val="none"/>
          <w:lang w:val="zh-CN"/>
        </w:rPr>
        <w:t xml:space="preserve"> ，招标控制价</w:t>
      </w:r>
      <w:r>
        <w:rPr>
          <w:rFonts w:hint="eastAsia" w:ascii="宋体" w:hAnsi="宋体" w:cs="宋体"/>
          <w:color w:val="auto"/>
          <w:sz w:val="24"/>
          <w:highlight w:val="none"/>
        </w:rPr>
        <w:t>：1249946.3元</w:t>
      </w:r>
    </w:p>
    <w:p>
      <w:pPr>
        <w:spacing w:line="360" w:lineRule="auto"/>
        <w:rPr>
          <w:rFonts w:ascii="宋体" w:hAnsi="宋体" w:cs="宋体"/>
          <w:color w:val="auto"/>
          <w:sz w:val="24"/>
          <w:highlight w:val="none"/>
        </w:rPr>
      </w:pPr>
      <w:r>
        <w:rPr>
          <w:rFonts w:hint="eastAsia" w:ascii="宋体" w:hAnsi="宋体" w:cs="宋体"/>
          <w:color w:val="auto"/>
          <w:sz w:val="24"/>
          <w:highlight w:val="none"/>
        </w:rPr>
        <w:t>4、采购范围及内容：二噁英检测与控制工程技术研究中心基础配套设施维修改造，主要包括以下内容：</w:t>
      </w:r>
    </w:p>
    <w:tbl>
      <w:tblPr>
        <w:tblStyle w:val="38"/>
        <w:tblW w:w="5945" w:type="dxa"/>
        <w:jc w:val="center"/>
        <w:tblLayout w:type="autofit"/>
        <w:tblCellMar>
          <w:top w:w="0" w:type="dxa"/>
          <w:left w:w="0" w:type="dxa"/>
          <w:bottom w:w="0" w:type="dxa"/>
          <w:right w:w="0" w:type="dxa"/>
        </w:tblCellMar>
      </w:tblPr>
      <w:tblGrid>
        <w:gridCol w:w="770"/>
        <w:gridCol w:w="3881"/>
        <w:gridCol w:w="1294"/>
      </w:tblGrid>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分项工程</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基础设施维修改造</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会议室1装修</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消防设施维修改造</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51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危险废物物联网及易制爆化学品监控系统设备安装</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实验楼外墙涂料</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无塔供水及水净化系统</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供电系统及不间断电源升级改造</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办公楼数字监控系统</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360" w:hRule="atLeast"/>
          <w:jc w:val="center"/>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38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  会议室2装修</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rPr>
            </w:pP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二、项目内容及技术标准</w:t>
      </w:r>
    </w:p>
    <w:p>
      <w:pPr>
        <w:spacing w:line="360" w:lineRule="auto"/>
        <w:rPr>
          <w:rFonts w:ascii="宋体" w:hAnsi="宋体" w:cs="宋体"/>
          <w:color w:val="auto"/>
          <w:sz w:val="24"/>
          <w:highlight w:val="none"/>
        </w:rPr>
      </w:pPr>
      <w:r>
        <w:rPr>
          <w:rFonts w:hint="eastAsia" w:ascii="宋体" w:hAnsi="宋体" w:cs="宋体"/>
          <w:color w:val="auto"/>
          <w:szCs w:val="21"/>
          <w:highlight w:val="none"/>
        </w:rPr>
        <w:t>符合国家现行规范和标准要求，质量达到合格工程标准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三、工程量要求</w:t>
      </w:r>
    </w:p>
    <w:p>
      <w:pPr>
        <w:pStyle w:val="2"/>
        <w:spacing w:line="360" w:lineRule="auto"/>
        <w:ind w:firstLine="240"/>
        <w:rPr>
          <w:rFonts w:ascii="宋体" w:hAnsi="宋体" w:cs="宋体"/>
          <w:color w:val="auto"/>
          <w:sz w:val="24"/>
          <w:highlight w:val="none"/>
        </w:rPr>
      </w:pPr>
      <w:r>
        <w:rPr>
          <w:rFonts w:hint="eastAsia" w:ascii="宋体" w:hAnsi="宋体" w:cs="宋体"/>
          <w:color w:val="auto"/>
          <w:sz w:val="24"/>
          <w:highlight w:val="none"/>
        </w:rPr>
        <w:t>详见附件招标清单</w:t>
      </w:r>
    </w:p>
    <w:p>
      <w:pPr>
        <w:rPr>
          <w:rFonts w:ascii="宋体" w:hAnsi="宋体" w:cs="宋体"/>
          <w:color w:val="auto"/>
          <w:highlight w:val="none"/>
        </w:rPr>
      </w:pPr>
      <w:r>
        <w:rPr>
          <w:rFonts w:hint="eastAsia" w:ascii="宋体" w:hAnsi="宋体" w:cs="宋体"/>
          <w:color w:val="auto"/>
          <w:highlight w:val="none"/>
        </w:rPr>
        <w:br w:type="page"/>
      </w:r>
    </w:p>
    <w:p>
      <w:pPr>
        <w:pStyle w:val="4"/>
        <w:rPr>
          <w:rFonts w:cs="宋体"/>
          <w:color w:val="auto"/>
          <w:highlight w:val="none"/>
        </w:rPr>
      </w:pPr>
      <w:bookmarkStart w:id="103" w:name="_Toc36553021"/>
      <w:r>
        <w:rPr>
          <w:rFonts w:hint="eastAsia" w:cs="宋体"/>
          <w:color w:val="auto"/>
          <w:highlight w:val="none"/>
        </w:rPr>
        <w:t>第四章  合同格式及主要条款</w:t>
      </w:r>
      <w:bookmarkEnd w:id="103"/>
    </w:p>
    <w:p>
      <w:pPr>
        <w:pStyle w:val="2"/>
        <w:ind w:firstLine="200"/>
        <w:rPr>
          <w:color w:val="auto"/>
          <w:highlight w:val="none"/>
        </w:rPr>
      </w:pPr>
    </w:p>
    <w:p>
      <w:pPr>
        <w:pStyle w:val="2"/>
        <w:ind w:firstLine="200"/>
        <w:rPr>
          <w:color w:val="auto"/>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河南省化工研究所有限责任公司二噁英检测与控制工程技术研究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中心基础配套设施维修改造工程项目</w:t>
      </w:r>
    </w:p>
    <w:p>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招标编号：</w:t>
      </w:r>
      <w:r>
        <w:rPr>
          <w:rFonts w:hint="eastAsia" w:ascii="宋体" w:hAnsi="宋体" w:cs="宋体"/>
          <w:b/>
          <w:bCs/>
          <w:color w:val="auto"/>
          <w:sz w:val="28"/>
          <w:szCs w:val="28"/>
          <w:highlight w:val="none"/>
          <w:lang w:eastAsia="zh-CN"/>
        </w:rPr>
        <w:t>HNZB[2020]N0957</w:t>
      </w:r>
      <w:r>
        <w:rPr>
          <w:rFonts w:hint="eastAsia" w:ascii="宋体" w:hAnsi="宋体" w:cs="宋体"/>
          <w:b/>
          <w:bCs/>
          <w:color w:val="auto"/>
          <w:sz w:val="28"/>
          <w:szCs w:val="28"/>
          <w:highlight w:val="none"/>
        </w:rPr>
        <w:t>号</w:t>
      </w:r>
    </w:p>
    <w:p>
      <w:pPr>
        <w:spacing w:line="360" w:lineRule="auto"/>
        <w:jc w:val="center"/>
        <w:rPr>
          <w:rFonts w:ascii="宋体" w:hAnsi="宋体" w:cs="宋体"/>
          <w:b/>
          <w:bCs/>
          <w:color w:val="auto"/>
          <w:sz w:val="32"/>
          <w:szCs w:val="32"/>
          <w:highlight w:val="none"/>
        </w:rPr>
      </w:pPr>
    </w:p>
    <w:p>
      <w:pPr>
        <w:pStyle w:val="5"/>
        <w:rPr>
          <w:rFonts w:cs="宋体"/>
          <w:color w:val="auto"/>
          <w:highlight w:val="none"/>
        </w:rPr>
      </w:pP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合</w:t>
      </w:r>
    </w:p>
    <w:p>
      <w:pPr>
        <w:spacing w:line="360" w:lineRule="auto"/>
        <w:jc w:val="center"/>
        <w:rPr>
          <w:rFonts w:ascii="宋体" w:hAnsi="宋体" w:cs="宋体"/>
          <w:b/>
          <w:bCs/>
          <w:color w:val="auto"/>
          <w:sz w:val="32"/>
          <w:szCs w:val="32"/>
          <w:highlight w:val="none"/>
        </w:rPr>
      </w:pP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同</w:t>
      </w:r>
    </w:p>
    <w:p>
      <w:pPr>
        <w:spacing w:line="360" w:lineRule="auto"/>
        <w:jc w:val="center"/>
        <w:rPr>
          <w:rFonts w:ascii="宋体" w:hAnsi="宋体" w:cs="宋体"/>
          <w:b/>
          <w:bCs/>
          <w:color w:val="auto"/>
          <w:sz w:val="32"/>
          <w:szCs w:val="32"/>
          <w:highlight w:val="none"/>
        </w:rPr>
      </w:pP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书</w:t>
      </w:r>
    </w:p>
    <w:p>
      <w:pPr>
        <w:spacing w:line="360" w:lineRule="auto"/>
        <w:jc w:val="center"/>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pStyle w:val="22"/>
        <w:spacing w:line="360" w:lineRule="auto"/>
        <w:ind w:right="-588" w:rightChars="-280" w:firstLine="720" w:firstLineChars="300"/>
        <w:rPr>
          <w:rFonts w:hAnsi="宋体" w:cs="宋体"/>
          <w:b/>
          <w:bCs/>
          <w:color w:val="auto"/>
          <w:sz w:val="24"/>
          <w:szCs w:val="24"/>
          <w:highlight w:val="none"/>
        </w:rPr>
      </w:pPr>
      <w:r>
        <w:rPr>
          <w:rFonts w:hint="eastAsia" w:hAnsi="宋体" w:cs="宋体"/>
          <w:b/>
          <w:bCs/>
          <w:color w:val="auto"/>
          <w:sz w:val="24"/>
          <w:szCs w:val="24"/>
          <w:highlight w:val="none"/>
        </w:rPr>
        <w:t>发包人（全称）：</w:t>
      </w:r>
    </w:p>
    <w:p>
      <w:pPr>
        <w:pStyle w:val="22"/>
        <w:spacing w:line="360" w:lineRule="auto"/>
        <w:ind w:right="-588" w:rightChars="-280" w:firstLine="720" w:firstLineChars="300"/>
        <w:rPr>
          <w:rFonts w:hAnsi="宋体" w:cs="宋体"/>
          <w:b/>
          <w:bCs/>
          <w:color w:val="auto"/>
          <w:sz w:val="24"/>
          <w:szCs w:val="24"/>
          <w:highlight w:val="none"/>
        </w:rPr>
      </w:pPr>
      <w:r>
        <w:rPr>
          <w:rFonts w:hint="eastAsia" w:hAnsi="宋体" w:cs="宋体"/>
          <w:b/>
          <w:bCs/>
          <w:color w:val="auto"/>
          <w:sz w:val="24"/>
          <w:szCs w:val="24"/>
          <w:highlight w:val="none"/>
        </w:rPr>
        <w:t>承包人（全称）：</w:t>
      </w:r>
    </w:p>
    <w:p>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br w:type="page"/>
      </w:r>
    </w:p>
    <w:p>
      <w:pPr>
        <w:pStyle w:val="5"/>
        <w:numPr>
          <w:ilvl w:val="0"/>
          <w:numId w:val="8"/>
        </w:numPr>
        <w:tabs>
          <w:tab w:val="left" w:pos="1134"/>
          <w:tab w:val="left" w:pos="3823"/>
        </w:tabs>
        <w:spacing w:before="180" w:after="180" w:line="360" w:lineRule="auto"/>
        <w:ind w:firstLine="0"/>
        <w:rPr>
          <w:rFonts w:cs="宋体"/>
          <w:color w:val="auto"/>
          <w:sz w:val="28"/>
          <w:szCs w:val="28"/>
          <w:highlight w:val="none"/>
        </w:rPr>
      </w:pPr>
      <w:bookmarkStart w:id="104" w:name="_Toc30886"/>
      <w:bookmarkStart w:id="105" w:name="_Toc13318"/>
      <w:bookmarkStart w:id="106" w:name="_Toc490041454"/>
      <w:bookmarkStart w:id="107" w:name="_Toc464486934"/>
      <w:r>
        <w:rPr>
          <w:rFonts w:hint="eastAsia" w:cs="宋体"/>
          <w:color w:val="auto"/>
          <w:sz w:val="28"/>
          <w:szCs w:val="28"/>
          <w:highlight w:val="none"/>
        </w:rPr>
        <w:t>合同协议书</w:t>
      </w:r>
      <w:bookmarkEnd w:id="104"/>
      <w:bookmarkEnd w:id="105"/>
      <w:bookmarkEnd w:id="106"/>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发包人（全称）：   </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承包人（全称）：</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依照《中民人民共和国合同法》《中华人民共和国建筑法》及其他有关法律、行政法规，遵循平等、自愿、公平和诚实信用的原则，双方就本建设工程施工事项协商一致，订立本合同。</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一、工程概况</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工程名称：</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工程地点：</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 xml:space="preserve">工程内容： </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 xml:space="preserve">工程批准文号： </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资金来源：</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二、工程承包范围</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三、合同工期</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开工日期接甲方书面通知后开始计算。</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合同工期总日历天数：日历天</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四、质量标准</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工程质量：符合标准。</w:t>
      </w:r>
    </w:p>
    <w:p>
      <w:pPr>
        <w:pStyle w:val="22"/>
        <w:numPr>
          <w:ilvl w:val="0"/>
          <w:numId w:val="9"/>
        </w:numPr>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合同价款：</w:t>
      </w:r>
      <w:r>
        <w:rPr>
          <w:rFonts w:hint="eastAsia" w:hAnsi="宋体" w:cs="宋体"/>
          <w:color w:val="auto"/>
          <w:sz w:val="24"/>
          <w:szCs w:val="24"/>
          <w:highlight w:val="none"/>
          <w:u w:val="single"/>
        </w:rPr>
        <w:t xml:space="preserve">               元整（¥         元）  </w:t>
      </w:r>
      <w:r>
        <w:rPr>
          <w:rFonts w:hint="eastAsia" w:hAnsi="宋体" w:cs="宋体"/>
          <w:color w:val="auto"/>
          <w:sz w:val="24"/>
          <w:szCs w:val="24"/>
          <w:highlight w:val="none"/>
        </w:rPr>
        <w:t>（成交报价）</w:t>
      </w:r>
    </w:p>
    <w:p>
      <w:pPr>
        <w:pStyle w:val="22"/>
        <w:numPr>
          <w:ilvl w:val="0"/>
          <w:numId w:val="9"/>
        </w:numPr>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项目经理</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承包人项目经理： 。</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七、组成合同的文件：</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1、本合同协议书；</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2、中标通知书；</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3、投标书及其附件</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4、本合同通用条款；</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5、标准、规范及有关技术文件</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6、图纸</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7、已标价工程量清单</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双方有关工程的洽商、变更等书面协议或文件视为本合同的组成部分。</w:t>
      </w:r>
    </w:p>
    <w:p>
      <w:pPr>
        <w:pStyle w:val="22"/>
        <w:spacing w:line="360" w:lineRule="auto"/>
        <w:ind w:right="-588" w:rightChars="-280"/>
        <w:rPr>
          <w:rFonts w:hAnsi="宋体" w:cs="宋体"/>
          <w:color w:val="auto"/>
          <w:spacing w:val="-4"/>
          <w:sz w:val="24"/>
          <w:szCs w:val="24"/>
          <w:highlight w:val="none"/>
        </w:rPr>
      </w:pPr>
      <w:r>
        <w:rPr>
          <w:rFonts w:hint="eastAsia" w:hAnsi="宋体" w:cs="宋体"/>
          <w:color w:val="auto"/>
          <w:sz w:val="24"/>
          <w:szCs w:val="24"/>
          <w:highlight w:val="none"/>
        </w:rPr>
        <w:t>八、</w:t>
      </w:r>
      <w:r>
        <w:rPr>
          <w:rFonts w:hint="eastAsia" w:hAnsi="宋体" w:cs="宋体"/>
          <w:color w:val="auto"/>
          <w:spacing w:val="-4"/>
          <w:sz w:val="24"/>
          <w:szCs w:val="24"/>
          <w:highlight w:val="none"/>
        </w:rPr>
        <w:t>本协议书中有关词语含义与本合同第二部分《通用条款》中分别赋予它们的定义相同。</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九、承包人向发包人承诺按照合同约定进行施工、竣工并在质量保修期内承担工程质量保修责任。</w:t>
      </w:r>
    </w:p>
    <w:p>
      <w:pPr>
        <w:pStyle w:val="22"/>
        <w:spacing w:line="360" w:lineRule="auto"/>
        <w:ind w:right="-588" w:rightChars="-280"/>
        <w:rPr>
          <w:rFonts w:hAnsi="宋体" w:cs="宋体"/>
          <w:color w:val="auto"/>
          <w:spacing w:val="-4"/>
          <w:sz w:val="24"/>
          <w:szCs w:val="24"/>
          <w:highlight w:val="none"/>
        </w:rPr>
      </w:pPr>
      <w:r>
        <w:rPr>
          <w:rFonts w:hint="eastAsia" w:hAnsi="宋体" w:cs="宋体"/>
          <w:color w:val="auto"/>
          <w:sz w:val="24"/>
          <w:szCs w:val="24"/>
          <w:highlight w:val="none"/>
        </w:rPr>
        <w:t>十、</w:t>
      </w:r>
      <w:r>
        <w:rPr>
          <w:rFonts w:hint="eastAsia" w:hAnsi="宋体" w:cs="宋体"/>
          <w:color w:val="auto"/>
          <w:spacing w:val="-4"/>
          <w:sz w:val="24"/>
          <w:szCs w:val="24"/>
          <w:highlight w:val="none"/>
        </w:rPr>
        <w:t>发包人向承包人承诺按合同约定的期限和方式支付合同价款及其他应当支付的款项。</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十一、合同生效</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合同订立时间：  年  月  日</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合同订立地点：</w:t>
      </w:r>
    </w:p>
    <w:p>
      <w:pPr>
        <w:pStyle w:val="22"/>
        <w:spacing w:line="360" w:lineRule="auto"/>
        <w:ind w:right="-588" w:rightChars="-280"/>
        <w:rPr>
          <w:rFonts w:hAnsi="宋体" w:cs="宋体"/>
          <w:color w:val="auto"/>
          <w:sz w:val="24"/>
          <w:highlight w:val="none"/>
        </w:rPr>
      </w:pPr>
      <w:r>
        <w:rPr>
          <w:rFonts w:hint="eastAsia" w:hAnsi="宋体" w:cs="宋体"/>
          <w:color w:val="auto"/>
          <w:sz w:val="24"/>
          <w:highlight w:val="none"/>
        </w:rPr>
        <w:t>本合同一式份，均具有同等法律效力，发包人执份，承包人执份。</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本合同双方约定后生效。</w:t>
      </w:r>
    </w:p>
    <w:p>
      <w:pPr>
        <w:pStyle w:val="22"/>
        <w:spacing w:line="360" w:lineRule="auto"/>
        <w:ind w:right="-588" w:rightChars="-280"/>
        <w:rPr>
          <w:rFonts w:hAnsi="宋体" w:cs="宋体"/>
          <w:color w:val="auto"/>
          <w:sz w:val="24"/>
          <w:szCs w:val="24"/>
          <w:highlight w:val="none"/>
        </w:rPr>
      </w:pP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发  包  人：（公章）              承  包  人：（公章）</w:t>
      </w:r>
    </w:p>
    <w:p>
      <w:pPr>
        <w:pStyle w:val="22"/>
        <w:spacing w:line="360" w:lineRule="auto"/>
        <w:ind w:right="-588" w:rightChars="-280" w:firstLine="1680" w:firstLineChars="700"/>
        <w:rPr>
          <w:rFonts w:hAnsi="宋体" w:cs="宋体"/>
          <w:color w:val="auto"/>
          <w:sz w:val="24"/>
          <w:szCs w:val="24"/>
          <w:highlight w:val="none"/>
        </w:rPr>
      </w:pPr>
      <w:r>
        <w:rPr>
          <w:rFonts w:hint="eastAsia" w:hAnsi="宋体" w:cs="宋体"/>
          <w:color w:val="auto"/>
          <w:sz w:val="24"/>
          <w:szCs w:val="24"/>
          <w:highlight w:val="none"/>
        </w:rPr>
        <w:t xml:space="preserve">                        地   址  ：  </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法定代表人（委托代理人）：        法定代表人（委托代理人）：</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电  话：</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项目负责人：                      传  真：</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开户银行：</w:t>
      </w:r>
    </w:p>
    <w:p>
      <w:pPr>
        <w:pStyle w:val="22"/>
        <w:spacing w:line="360" w:lineRule="auto"/>
        <w:ind w:right="-588" w:rightChars="-280" w:firstLine="480" w:firstLineChars="200"/>
        <w:rPr>
          <w:rFonts w:hAnsi="宋体" w:cs="宋体"/>
          <w:color w:val="auto"/>
          <w:sz w:val="24"/>
          <w:szCs w:val="24"/>
          <w:highlight w:val="none"/>
        </w:rPr>
      </w:pPr>
      <w:r>
        <w:rPr>
          <w:rFonts w:hint="eastAsia" w:hAnsi="宋体" w:cs="宋体"/>
          <w:color w:val="auto"/>
          <w:sz w:val="24"/>
          <w:szCs w:val="24"/>
          <w:highlight w:val="none"/>
        </w:rPr>
        <w:t>账  号：</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t xml:space="preserve">                                      电子邮箱：</w:t>
      </w:r>
    </w:p>
    <w:p>
      <w:pPr>
        <w:pStyle w:val="22"/>
        <w:spacing w:line="360" w:lineRule="auto"/>
        <w:ind w:right="-588" w:rightChars="-280"/>
        <w:rPr>
          <w:rFonts w:hAnsi="宋体" w:cs="宋体"/>
          <w:color w:val="auto"/>
          <w:sz w:val="24"/>
          <w:szCs w:val="24"/>
          <w:highlight w:val="none"/>
        </w:rPr>
      </w:pPr>
      <w:r>
        <w:rPr>
          <w:rFonts w:hint="eastAsia" w:hAnsi="宋体" w:cs="宋体"/>
          <w:color w:val="auto"/>
          <w:sz w:val="24"/>
          <w:szCs w:val="24"/>
          <w:highlight w:val="none"/>
        </w:rPr>
        <w:br w:type="page"/>
      </w:r>
    </w:p>
    <w:p>
      <w:pPr>
        <w:pStyle w:val="5"/>
        <w:numPr>
          <w:ilvl w:val="0"/>
          <w:numId w:val="8"/>
        </w:numPr>
        <w:tabs>
          <w:tab w:val="left" w:pos="1134"/>
          <w:tab w:val="left" w:pos="3823"/>
        </w:tabs>
        <w:spacing w:before="180" w:after="180" w:line="360" w:lineRule="auto"/>
        <w:ind w:firstLine="0"/>
        <w:rPr>
          <w:rFonts w:cs="宋体"/>
          <w:color w:val="auto"/>
          <w:sz w:val="24"/>
          <w:szCs w:val="24"/>
          <w:highlight w:val="none"/>
        </w:rPr>
      </w:pPr>
      <w:bookmarkStart w:id="108" w:name="_Toc19506"/>
      <w:bookmarkStart w:id="109" w:name="_Toc490041455"/>
      <w:bookmarkStart w:id="110" w:name="_Toc30142"/>
      <w:r>
        <w:rPr>
          <w:rFonts w:hint="eastAsia" w:cs="宋体"/>
          <w:color w:val="auto"/>
          <w:sz w:val="24"/>
          <w:szCs w:val="24"/>
          <w:highlight w:val="none"/>
        </w:rPr>
        <w:t>通用条款</w:t>
      </w:r>
      <w:bookmarkEnd w:id="108"/>
      <w:bookmarkEnd w:id="109"/>
      <w:bookmarkEnd w:id="110"/>
    </w:p>
    <w:p>
      <w:pPr>
        <w:pStyle w:val="22"/>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本工程施工通用条款适用于《建设工程施工合同（示范文本）》（GF—2017—0201）中通用条款</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color w:val="auto"/>
          <w:sz w:val="24"/>
          <w:highlight w:val="none"/>
        </w:rPr>
      </w:pPr>
      <w:bookmarkStart w:id="111" w:name="_Toc9465"/>
      <w:bookmarkStart w:id="112" w:name="_Toc19141"/>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5"/>
        <w:numPr>
          <w:ilvl w:val="0"/>
          <w:numId w:val="8"/>
        </w:numPr>
        <w:tabs>
          <w:tab w:val="left" w:pos="1134"/>
          <w:tab w:val="left" w:pos="3823"/>
        </w:tabs>
        <w:spacing w:before="180" w:after="180" w:line="360" w:lineRule="auto"/>
        <w:ind w:firstLine="0"/>
        <w:rPr>
          <w:rFonts w:cs="宋体"/>
          <w:color w:val="auto"/>
          <w:sz w:val="28"/>
          <w:szCs w:val="28"/>
          <w:highlight w:val="none"/>
        </w:rPr>
      </w:pPr>
      <w:bookmarkStart w:id="113" w:name="_Toc490041456"/>
      <w:r>
        <w:rPr>
          <w:rFonts w:hint="eastAsia" w:cs="宋体"/>
          <w:color w:val="auto"/>
          <w:sz w:val="28"/>
          <w:szCs w:val="28"/>
          <w:highlight w:val="none"/>
        </w:rPr>
        <w:t>专用条款</w:t>
      </w:r>
      <w:bookmarkEnd w:id="111"/>
      <w:bookmarkEnd w:id="112"/>
      <w:bookmarkEnd w:id="113"/>
    </w:p>
    <w:p>
      <w:pPr>
        <w:autoSpaceDE w:val="0"/>
        <w:autoSpaceDN w:val="0"/>
        <w:adjustRightInd w:val="0"/>
        <w:spacing w:line="360" w:lineRule="auto"/>
        <w:ind w:right="-20"/>
        <w:jc w:val="left"/>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1  合同文件</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1.1  合同文件的优先顺序：</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（1）中标通知书；</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（2）投标函及投标函附录；</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（3）专用合同条款；</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（4）通用合同条款；</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（5）技术标准和要求；</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（6）图纸；</w:t>
      </w:r>
    </w:p>
    <w:p>
      <w:pPr>
        <w:autoSpaceDE w:val="0"/>
        <w:autoSpaceDN w:val="0"/>
        <w:adjustRightInd w:val="0"/>
        <w:spacing w:line="360" w:lineRule="auto"/>
        <w:ind w:right="-20" w:firstLine="242" w:firstLineChars="1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（7）其他合同文件。</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1.2  合同生效的条件：</w:t>
      </w:r>
      <w:r>
        <w:rPr>
          <w:rFonts w:hint="eastAsia" w:ascii="宋体" w:hAnsi="宋体" w:cs="宋体"/>
          <w:color w:val="auto"/>
          <w:spacing w:val="1"/>
          <w:kern w:val="0"/>
          <w:sz w:val="24"/>
          <w:highlight w:val="none"/>
          <w:u w:val="single"/>
        </w:rPr>
        <w:t xml:space="preserve">双方签字、盖章后生效 </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1.3  图纸和承包人文件：</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发包人提供图纸的期限、数量：</w:t>
      </w:r>
      <w:r>
        <w:rPr>
          <w:rFonts w:hint="eastAsia" w:ascii="宋体" w:hAnsi="宋体" w:cs="宋体"/>
          <w:color w:val="auto"/>
          <w:spacing w:val="1"/>
          <w:kern w:val="0"/>
          <w:sz w:val="24"/>
          <w:highlight w:val="none"/>
          <w:u w:val="single"/>
        </w:rPr>
        <w:t>开工1周前</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2  开工和竣工</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开工时间以发包人书面通知开始计算。</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建设工程经竣工验收合格的，以竣工验收合格之日为竣工日期。</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3  工程质量及管理要求</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（1）工程质量要求</w:t>
      </w:r>
    </w:p>
    <w:p>
      <w:pPr>
        <w:autoSpaceDE w:val="0"/>
        <w:autoSpaceDN w:val="0"/>
        <w:adjustRightInd w:val="0"/>
        <w:spacing w:line="360" w:lineRule="auto"/>
        <w:ind w:right="-20" w:firstLine="488"/>
        <w:jc w:val="left"/>
        <w:rPr>
          <w:rFonts w:ascii="宋体" w:hAnsi="宋体" w:cs="宋体"/>
          <w:color w:val="auto"/>
          <w:spacing w:val="1"/>
          <w:kern w:val="0"/>
          <w:sz w:val="24"/>
          <w:highlight w:val="none"/>
          <w:u w:val="single"/>
        </w:rPr>
      </w:pPr>
      <w:r>
        <w:rPr>
          <w:rFonts w:hint="eastAsia" w:ascii="宋体" w:hAnsi="宋体" w:cs="宋体"/>
          <w:color w:val="auto"/>
          <w:spacing w:val="1"/>
          <w:kern w:val="0"/>
          <w:sz w:val="24"/>
          <w:highlight w:val="none"/>
          <w:u w:val="single"/>
        </w:rPr>
        <w:t>因承包人原因造成工程质量达不到合同约定验收标准的，承包人应无偿返工直至符合合同要求为止，由此造成的费用增加和工期延误由承包人承担。</w:t>
      </w:r>
      <w:r>
        <w:rPr>
          <w:rFonts w:hint="eastAsia" w:ascii="宋体" w:hAnsi="宋体" w:cs="宋体"/>
          <w:color w:val="auto"/>
          <w:sz w:val="24"/>
          <w:highlight w:val="none"/>
          <w:u w:val="single"/>
        </w:rPr>
        <w:t>工程质量达不到要求标准违约金最高限额为结算价款的30%</w:t>
      </w:r>
      <w:r>
        <w:rPr>
          <w:rFonts w:hint="eastAsia" w:ascii="宋体" w:hAnsi="宋体" w:cs="宋体"/>
          <w:color w:val="auto"/>
          <w:spacing w:val="1"/>
          <w:kern w:val="0"/>
          <w:sz w:val="24"/>
          <w:highlight w:val="none"/>
          <w:u w:val="single"/>
        </w:rPr>
        <w:t xml:space="preserve"> 。</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（2）工程管理要求</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严格遵守相关法律法规及采购方的要求、原则。施工前乙方必须提供项目施工方案、工程进度一览表、倒排工期表等。</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（3）工序要求</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所有施工工艺按照国家、行业标准执行，重要工序、隐蔽工程经甲方验收签字确认后方可进行下一步施工。每道工序完成后必须签署工序（隐蔽）工程验收单。如未经甲方验收，承包人私自进行下一步施工，甲方将视其为未做该项工序，要求承包人立即停工，并按标准进行施工，由此产生的费用和损失由承包人承担。如承包人未按照工序施工，经甲方要求后仍未改正的，甲方有权单方面终止合同，由此产生的费用和损失由承包人承担。</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（4）材料要求</w:t>
      </w:r>
    </w:p>
    <w:p>
      <w:pPr>
        <w:autoSpaceDE w:val="0"/>
        <w:autoSpaceDN w:val="0"/>
        <w:adjustRightInd w:val="0"/>
        <w:spacing w:line="360" w:lineRule="auto"/>
        <w:ind w:right="-20" w:firstLine="488"/>
        <w:jc w:val="left"/>
        <w:rPr>
          <w:rFonts w:ascii="宋体" w:hAnsi="宋体" w:cs="宋体"/>
          <w:color w:val="auto"/>
          <w:kern w:val="0"/>
          <w:sz w:val="24"/>
          <w:highlight w:val="none"/>
        </w:rPr>
      </w:pPr>
      <w:r>
        <w:rPr>
          <w:rFonts w:hint="eastAsia" w:ascii="宋体" w:hAnsi="宋体" w:cs="宋体"/>
          <w:color w:val="auto"/>
          <w:kern w:val="0"/>
          <w:sz w:val="24"/>
          <w:highlight w:val="none"/>
        </w:rPr>
        <w:t>施工单位必须使用符合国家标准、符合采购文件要求且由甲方现场人员书面认可的施工材料。主材进场，必须签署材料确认验收单。如使用不合格材料、假冒伪劣材料、非甲方认可的材料，则甲方有权要求乙方无条件更换符合要求的材料，由此产生的费用和损失由承包人承担。如承包方未按照要求使用材料，经甲方要求整改后仍未按要求改正的，甲方有权单方面终止合同，由此产生的费用和损失由承包人承担。</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（5）人员要求</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项目经理</w:t>
      </w:r>
    </w:p>
    <w:p>
      <w:pPr>
        <w:autoSpaceDE w:val="0"/>
        <w:autoSpaceDN w:val="0"/>
        <w:adjustRightInd w:val="0"/>
        <w:spacing w:line="360" w:lineRule="auto"/>
        <w:ind w:right="-20" w:firstLine="484" w:firstLineChars="200"/>
        <w:jc w:val="left"/>
        <w:rPr>
          <w:rFonts w:ascii="宋体" w:hAnsi="宋体" w:cs="宋体"/>
          <w:color w:val="auto"/>
          <w:kern w:val="0"/>
          <w:sz w:val="24"/>
          <w:highlight w:val="none"/>
        </w:rPr>
      </w:pPr>
      <w:r>
        <w:rPr>
          <w:rFonts w:hint="eastAsia" w:ascii="宋体" w:hAnsi="宋体" w:cs="宋体"/>
          <w:color w:val="auto"/>
          <w:spacing w:val="1"/>
          <w:kern w:val="0"/>
          <w:sz w:val="24"/>
          <w:highlight w:val="none"/>
        </w:rPr>
        <w:t>项目经理在施工工期内，要求每天在现场负责并签到确认，确需离开施工现场时，应事先通知管理部门，并取得发包人的同意。项目经理不得同时担任其他项目的项目经理。承包人需要更换项目经理的，应提前14天书面通知发包人和监理人，并征得发包人书面同意。通知中应当载明继任项目经理的注册执业资格、管理经验等资料，继任项目经理继续履行约定的职责。未经发包人书面同意，承包人不得擅自更换项目经理，否则</w:t>
      </w:r>
      <w:r>
        <w:rPr>
          <w:rFonts w:hint="eastAsia" w:ascii="宋体" w:hAnsi="宋体" w:cs="宋体"/>
          <w:color w:val="auto"/>
          <w:kern w:val="0"/>
          <w:sz w:val="24"/>
          <w:highlight w:val="none"/>
        </w:rPr>
        <w:t>甲方有权单方面终止合同，由此产生的费用和损失由承包人承担。</w:t>
      </w:r>
    </w:p>
    <w:p>
      <w:pPr>
        <w:autoSpaceDE w:val="0"/>
        <w:autoSpaceDN w:val="0"/>
        <w:adjustRightInd w:val="0"/>
        <w:spacing w:line="360" w:lineRule="auto"/>
        <w:ind w:right="-2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专业人员</w:t>
      </w:r>
    </w:p>
    <w:p>
      <w:pPr>
        <w:autoSpaceDE w:val="0"/>
        <w:autoSpaceDN w:val="0"/>
        <w:adjustRightInd w:val="0"/>
        <w:spacing w:line="360" w:lineRule="auto"/>
        <w:ind w:right="-20"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根据国家、行业相关要求，专业施工人员应具有从业资格证件方可上岗施工的，必须提供相关资格证件后方可上岗施工。如发现施工人员无证上岗的，甲方有权要求承包人立即更换符合要求的施工人员施工。</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（6）验收要求</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正式验收时，由承包人提出书面申请，并递交完整竣工文件。由于承包方原因，导致验收未通过，由承包方支付5000元质量保证金；再次验收时，由于承包方原因，导致验收未通过，支付质量保证金翻倍；公司及项目经理列入我院施工黑名单。</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（7）处罚标准</w:t>
      </w:r>
    </w:p>
    <w:p>
      <w:pPr>
        <w:autoSpaceDE w:val="0"/>
        <w:autoSpaceDN w:val="0"/>
        <w:adjustRightInd w:val="0"/>
        <w:spacing w:line="360" w:lineRule="auto"/>
        <w:ind w:right="-20" w:firstLine="480" w:firstLineChars="200"/>
        <w:jc w:val="left"/>
        <w:rPr>
          <w:rFonts w:ascii="宋体" w:hAnsi="宋体" w:cs="宋体"/>
          <w:color w:val="auto"/>
          <w:spacing w:val="1"/>
          <w:kern w:val="0"/>
          <w:sz w:val="24"/>
          <w:highlight w:val="none"/>
        </w:rPr>
      </w:pPr>
      <w:r>
        <w:rPr>
          <w:rFonts w:hint="eastAsia" w:ascii="宋体" w:hAnsi="宋体" w:cs="宋体"/>
          <w:color w:val="auto"/>
          <w:kern w:val="0"/>
          <w:sz w:val="24"/>
          <w:highlight w:val="none"/>
        </w:rPr>
        <w:t>施工前乙方按甲方要求，提供项目施工方案、工程进度一览表、倒排工期表等。未按时提供相关资料，</w:t>
      </w:r>
      <w:r>
        <w:rPr>
          <w:rFonts w:hint="eastAsia" w:ascii="宋体" w:hAnsi="宋体" w:cs="宋体"/>
          <w:color w:val="auto"/>
          <w:spacing w:val="1"/>
          <w:kern w:val="0"/>
          <w:sz w:val="24"/>
          <w:highlight w:val="none"/>
        </w:rPr>
        <w:t>第一次罚款5000元；罚款后仍未能按时提供，甲方有权终止合同，施工公司及项目经理列入我院施工黑名单。</w:t>
      </w:r>
    </w:p>
    <w:p>
      <w:pPr>
        <w:snapToGrid w:val="0"/>
        <w:spacing w:line="360" w:lineRule="auto"/>
        <w:ind w:firstLine="480"/>
        <w:rPr>
          <w:rFonts w:ascii="宋体" w:hAnsi="宋体" w:cs="宋体"/>
          <w:color w:val="auto"/>
          <w:spacing w:val="1"/>
          <w:sz w:val="24"/>
          <w:highlight w:val="none"/>
        </w:rPr>
      </w:pPr>
      <w:r>
        <w:rPr>
          <w:rFonts w:hint="eastAsia" w:ascii="宋体" w:hAnsi="宋体" w:cs="宋体"/>
          <w:color w:val="auto"/>
          <w:spacing w:val="1"/>
          <w:kern w:val="0"/>
          <w:sz w:val="24"/>
          <w:highlight w:val="none"/>
        </w:rPr>
        <w:t>由于施工方原因，造成施工工期内未能完工的，</w:t>
      </w:r>
      <w:r>
        <w:rPr>
          <w:rFonts w:hint="eastAsia" w:ascii="宋体" w:hAnsi="宋体" w:cs="宋体"/>
          <w:color w:val="auto"/>
          <w:spacing w:val="1"/>
          <w:sz w:val="24"/>
          <w:highlight w:val="none"/>
        </w:rPr>
        <w:t>每延误一天按合同价1%处罚。</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施工质量不符合标准要求的，第一次发现，罚款5000元，无条件整改；第二次发现，甲方有权终止合同，施工公司及项目经理列入我院施工黑名单。</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施工中，乙方未经甲方同意，随意更改施工方案或改变工程量的，第一次发现，罚款5000元，无条件按原定方案执行，变更量不予认可；第二次发现，甲方有权终止合同，施工公司及项目经理列入我院施工黑名单。</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施工工艺不符合标准要求或没有进行工序验收的，第一次发现，罚款5000元，无条件整改；第二次发现，甲方有权终止合同，施工公司及项目经理列入我院施工黑名单。</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施工材料未签署材料确认单或不符合标准仍用于施工的，第一次发现，罚款5000元，无条件更换符合要求的材料；第二次发现，甲方有权终止合同，施工公司及项目经理列入我院施工黑名单。</w:t>
      </w:r>
    </w:p>
    <w:p>
      <w:pPr>
        <w:autoSpaceDE w:val="0"/>
        <w:autoSpaceDN w:val="0"/>
        <w:adjustRightInd w:val="0"/>
        <w:spacing w:line="360" w:lineRule="auto"/>
        <w:ind w:right="-20" w:firstLine="48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项目经理无故不在现场、未按时签到或随意更换负责人的，第一次发现罚款5000元；第二次发现，甲方有权终止合同，施工公司及项目经理列入我院施工黑名单。</w:t>
      </w:r>
      <w:r>
        <w:rPr>
          <w:rFonts w:hint="eastAsia" w:ascii="宋体" w:hAnsi="宋体" w:cs="宋体"/>
          <w:bCs/>
          <w:color w:val="auto"/>
          <w:sz w:val="24"/>
          <w:highlight w:val="none"/>
        </w:rPr>
        <w:t>如发现施工人员无证上岗的，</w:t>
      </w:r>
      <w:r>
        <w:rPr>
          <w:rFonts w:hint="eastAsia" w:ascii="宋体" w:hAnsi="宋体" w:cs="宋体"/>
          <w:color w:val="auto"/>
          <w:spacing w:val="1"/>
          <w:kern w:val="0"/>
          <w:sz w:val="24"/>
          <w:highlight w:val="none"/>
        </w:rPr>
        <w:t>第一次发现罚款5000元；第二次发现，甲方有权终止合同，施工公司及项目经理列入我院施工黑名单。</w:t>
      </w:r>
    </w:p>
    <w:p>
      <w:pPr>
        <w:autoSpaceDE w:val="0"/>
        <w:autoSpaceDN w:val="0"/>
        <w:adjustRightInd w:val="0"/>
        <w:spacing w:line="360" w:lineRule="auto"/>
        <w:ind w:right="-20" w:firstLine="480"/>
        <w:jc w:val="left"/>
        <w:rPr>
          <w:rFonts w:ascii="宋体" w:hAnsi="宋体" w:cs="宋体"/>
          <w:color w:val="auto"/>
          <w:kern w:val="0"/>
          <w:sz w:val="24"/>
          <w:highlight w:val="none"/>
        </w:rPr>
      </w:pPr>
      <w:r>
        <w:rPr>
          <w:rFonts w:hint="eastAsia" w:ascii="宋体" w:hAnsi="宋体" w:cs="宋体"/>
          <w:color w:val="auto"/>
          <w:spacing w:val="1"/>
          <w:kern w:val="0"/>
          <w:sz w:val="24"/>
          <w:highlight w:val="none"/>
        </w:rPr>
        <w:t>验收不符合要求未通过的，第一次罚款5000元，无条件整改；第二次罚款10000元，甲方有权终止合同，施工公司及项目经理列入我院施工黑名单。</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4  合同价款及价格调整</w:t>
      </w:r>
    </w:p>
    <w:p>
      <w:pPr>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本合同价款采用</w:t>
      </w:r>
      <w:r>
        <w:rPr>
          <w:rFonts w:hint="eastAsia" w:ascii="宋体" w:hAnsi="宋体" w:cs="宋体"/>
          <w:color w:val="auto"/>
          <w:sz w:val="24"/>
          <w:highlight w:val="none"/>
          <w:u w:val="single"/>
        </w:rPr>
        <w:t xml:space="preserve">  固定总价合同 </w:t>
      </w:r>
      <w:r>
        <w:rPr>
          <w:rFonts w:hint="eastAsia" w:ascii="宋体" w:hAnsi="宋体" w:cs="宋体"/>
          <w:color w:val="auto"/>
          <w:sz w:val="24"/>
          <w:highlight w:val="none"/>
        </w:rPr>
        <w:t>方式确定。施工工程量严格按照采购文件内的工程量清单执行，如有工程量变更，需甲方研究同意后，按甲方相关规定执行，乙方未经甲方同意随意变更工程量的，甲方不予认可。</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(1)采用固定价格合同，合同价款中包括的风险范围：</w:t>
      </w:r>
      <w:r>
        <w:rPr>
          <w:rFonts w:hint="eastAsia" w:ascii="宋体" w:hAnsi="宋体" w:cs="宋体"/>
          <w:color w:val="auto"/>
          <w:sz w:val="24"/>
          <w:highlight w:val="none"/>
          <w:u w:val="single"/>
        </w:rPr>
        <w:t>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风险费用的计算方法：</w:t>
      </w:r>
      <w:r>
        <w:rPr>
          <w:rFonts w:hint="eastAsia" w:ascii="宋体" w:hAnsi="宋体" w:cs="宋体"/>
          <w:color w:val="auto"/>
          <w:sz w:val="24"/>
          <w:highlight w:val="none"/>
          <w:u w:val="single"/>
        </w:rPr>
        <w:t xml:space="preserve">    已包含在总价报价中    </w:t>
      </w:r>
    </w:p>
    <w:p>
      <w:pPr>
        <w:widowControl/>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风险范围以外合同价款调整方法：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(2)采用可调价格合同，合同价款调整方法:</w:t>
      </w:r>
      <w:r>
        <w:rPr>
          <w:rFonts w:hint="eastAsia" w:ascii="宋体" w:hAnsi="宋体" w:cs="宋体"/>
          <w:color w:val="auto"/>
          <w:sz w:val="24"/>
          <w:highlight w:val="none"/>
          <w:u w:val="single"/>
        </w:rPr>
        <w:t xml:space="preserve">    /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(3)采用成本加酬金合同，有关成本和酬金的约定：</w:t>
      </w:r>
      <w:r>
        <w:rPr>
          <w:rFonts w:hint="eastAsia" w:ascii="宋体" w:hAnsi="宋体" w:cs="宋体"/>
          <w:color w:val="auto"/>
          <w:sz w:val="24"/>
          <w:highlight w:val="none"/>
          <w:u w:val="single"/>
        </w:rPr>
        <w:t xml:space="preserve">      /       </w:t>
      </w:r>
    </w:p>
    <w:p>
      <w:pPr>
        <w:autoSpaceDE w:val="0"/>
        <w:autoSpaceDN w:val="0"/>
        <w:adjustRightInd w:val="0"/>
        <w:spacing w:line="360" w:lineRule="auto"/>
        <w:ind w:right="-20"/>
        <w:jc w:val="left"/>
        <w:rPr>
          <w:rFonts w:ascii="宋体" w:hAnsi="宋体" w:cs="宋体"/>
          <w:color w:val="auto"/>
          <w:sz w:val="24"/>
          <w:highlight w:val="none"/>
          <w:u w:val="single"/>
        </w:rPr>
      </w:pPr>
      <w:r>
        <w:rPr>
          <w:rFonts w:hint="eastAsia" w:ascii="宋体" w:hAnsi="宋体" w:cs="宋体"/>
          <w:color w:val="auto"/>
          <w:sz w:val="24"/>
          <w:highlight w:val="none"/>
        </w:rPr>
        <w:t>双方约定合同价款的其他调整因素：</w:t>
      </w:r>
      <w:r>
        <w:rPr>
          <w:rFonts w:hint="eastAsia" w:ascii="宋体" w:hAnsi="宋体" w:cs="宋体"/>
          <w:color w:val="auto"/>
          <w:sz w:val="24"/>
          <w:highlight w:val="none"/>
          <w:u w:val="single"/>
        </w:rPr>
        <w:t xml:space="preserve">      /      </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5  计量与支付</w:t>
      </w:r>
    </w:p>
    <w:p>
      <w:pPr>
        <w:autoSpaceDE w:val="0"/>
        <w:autoSpaceDN w:val="0"/>
        <w:adjustRightInd w:val="0"/>
        <w:spacing w:line="360" w:lineRule="auto"/>
        <w:ind w:right="-20"/>
        <w:jc w:val="left"/>
        <w:rPr>
          <w:rFonts w:ascii="宋体" w:hAnsi="宋体" w:cs="宋体"/>
          <w:bCs/>
          <w:color w:val="auto"/>
          <w:spacing w:val="1"/>
          <w:kern w:val="0"/>
          <w:sz w:val="24"/>
          <w:highlight w:val="none"/>
        </w:rPr>
      </w:pPr>
      <w:r>
        <w:rPr>
          <w:rFonts w:hint="eastAsia" w:ascii="宋体" w:hAnsi="宋体" w:cs="宋体"/>
          <w:bCs/>
          <w:color w:val="auto"/>
          <w:spacing w:val="1"/>
          <w:kern w:val="0"/>
          <w:sz w:val="24"/>
          <w:highlight w:val="none"/>
        </w:rPr>
        <w:t>5.1 工程款</w:t>
      </w:r>
    </w:p>
    <w:p>
      <w:pPr>
        <w:autoSpaceDE w:val="0"/>
        <w:autoSpaceDN w:val="0"/>
        <w:adjustRightInd w:val="0"/>
        <w:spacing w:line="360" w:lineRule="auto"/>
        <w:ind w:right="-20"/>
        <w:jc w:val="left"/>
        <w:rPr>
          <w:rFonts w:ascii="宋体" w:hAnsi="宋体" w:cs="宋体"/>
          <w:bCs/>
          <w:color w:val="auto"/>
          <w:szCs w:val="21"/>
          <w:highlight w:val="none"/>
        </w:rPr>
      </w:pPr>
      <w:r>
        <w:rPr>
          <w:rFonts w:hint="eastAsia" w:ascii="宋体" w:hAnsi="宋体" w:cs="宋体"/>
          <w:bCs/>
          <w:color w:val="auto"/>
          <w:szCs w:val="21"/>
          <w:highlight w:val="none"/>
        </w:rPr>
        <w:t>工程验收合格后，中标人向发包人出具合同</w:t>
      </w:r>
      <w:r>
        <w:rPr>
          <w:rFonts w:hint="eastAsia" w:ascii="宋体" w:hAnsi="宋体" w:cs="宋体"/>
          <w:color w:val="auto"/>
          <w:szCs w:val="21"/>
          <w:highlight w:val="none"/>
        </w:rPr>
        <w:t>总金额5%的银行保函作为质量保证金，发包人收到质保函后，</w:t>
      </w:r>
      <w:r>
        <w:rPr>
          <w:rFonts w:hint="eastAsia" w:ascii="宋体" w:hAnsi="宋体" w:cs="宋体"/>
          <w:bCs/>
          <w:color w:val="auto"/>
          <w:szCs w:val="21"/>
          <w:highlight w:val="none"/>
        </w:rPr>
        <w:t>一次性支付全部合同款，在质保期满后无质量问题即解除。</w:t>
      </w:r>
    </w:p>
    <w:p>
      <w:pPr>
        <w:autoSpaceDE w:val="0"/>
        <w:autoSpaceDN w:val="0"/>
        <w:adjustRightInd w:val="0"/>
        <w:spacing w:line="360" w:lineRule="auto"/>
        <w:ind w:right="-20"/>
        <w:jc w:val="left"/>
        <w:rPr>
          <w:rFonts w:ascii="宋体" w:hAnsi="宋体" w:cs="宋体"/>
          <w:color w:val="auto"/>
          <w:szCs w:val="21"/>
          <w:highlight w:val="none"/>
        </w:rPr>
      </w:pPr>
      <w:r>
        <w:rPr>
          <w:rFonts w:hint="eastAsia" w:ascii="宋体" w:hAnsi="宋体" w:cs="宋体"/>
          <w:color w:val="auto"/>
          <w:szCs w:val="21"/>
          <w:highlight w:val="none"/>
        </w:rPr>
        <w:t>因承包人原因造成工程延期导致财政收回资金的，由承包人承担全部责任,发包人有权解除合同。</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5.2 质量保证金</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质量保证金的金额或比例：</w:t>
      </w:r>
      <w:r>
        <w:rPr>
          <w:rFonts w:hint="eastAsia" w:ascii="宋体" w:hAnsi="宋体" w:cs="宋体"/>
          <w:color w:val="auto"/>
          <w:spacing w:val="1"/>
          <w:kern w:val="0"/>
          <w:sz w:val="24"/>
          <w:highlight w:val="none"/>
        </w:rPr>
        <w:t>结算合同价的5%。</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5.3 竣工</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竣工付款申请单的内容：</w:t>
      </w:r>
      <w:r>
        <w:rPr>
          <w:rFonts w:hint="eastAsia" w:ascii="宋体" w:hAnsi="宋体" w:cs="宋体"/>
          <w:color w:val="auto"/>
          <w:spacing w:val="1"/>
          <w:kern w:val="0"/>
          <w:sz w:val="24"/>
          <w:highlight w:val="none"/>
          <w:u w:val="single"/>
        </w:rPr>
        <w:t>竣工结算总价、已支付的工程款，应扣的质量保证金、应支付的竣工付款金额等。</w:t>
      </w:r>
      <w:r>
        <w:rPr>
          <w:rFonts w:hint="eastAsia" w:ascii="宋体" w:hAnsi="宋体" w:cs="宋体"/>
          <w:color w:val="auto"/>
          <w:sz w:val="24"/>
          <w:highlight w:val="none"/>
        </w:rPr>
        <w:t>所有结算工程量必须有隐蔽工程纪录、验槽纪录、回填纪录等相关合格书面纪录、合同外工程签证单。</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6  竣工验收</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6.1  竣工验收申请报告</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竣工资料份数：</w:t>
      </w:r>
      <w:r>
        <w:rPr>
          <w:rFonts w:hint="eastAsia" w:ascii="宋体" w:hAnsi="宋体" w:cs="宋体"/>
          <w:color w:val="auto"/>
          <w:spacing w:val="1"/>
          <w:kern w:val="0"/>
          <w:sz w:val="24"/>
          <w:highlight w:val="none"/>
          <w:u w:val="single"/>
        </w:rPr>
        <w:t>四份</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6.2  验收                  </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实际竣工日期：</w:t>
      </w:r>
      <w:r>
        <w:rPr>
          <w:rFonts w:hint="eastAsia" w:ascii="宋体" w:hAnsi="宋体" w:cs="宋体"/>
          <w:color w:val="auto"/>
          <w:spacing w:val="1"/>
          <w:kern w:val="0"/>
          <w:sz w:val="24"/>
          <w:highlight w:val="none"/>
          <w:u w:val="single"/>
        </w:rPr>
        <w:t xml:space="preserve">竣工验收合格日 </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6.3 竣工清场</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竣工清场：</w:t>
      </w:r>
      <w:r>
        <w:rPr>
          <w:rFonts w:hint="eastAsia" w:ascii="宋体" w:hAnsi="宋体" w:cs="宋体"/>
          <w:color w:val="auto"/>
          <w:spacing w:val="1"/>
          <w:kern w:val="0"/>
          <w:sz w:val="24"/>
          <w:highlight w:val="none"/>
          <w:u w:val="single"/>
        </w:rPr>
        <w:t>承包人组织和承担相费用</w:t>
      </w:r>
    </w:p>
    <w:p>
      <w:pPr>
        <w:autoSpaceDE w:val="0"/>
        <w:autoSpaceDN w:val="0"/>
        <w:adjustRightInd w:val="0"/>
        <w:spacing w:line="360" w:lineRule="auto"/>
        <w:ind w:right="-2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6.4  施工队伍的撤离</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u w:val="single"/>
        </w:rPr>
      </w:pPr>
      <w:r>
        <w:rPr>
          <w:rFonts w:hint="eastAsia" w:ascii="宋体" w:hAnsi="宋体" w:cs="宋体"/>
          <w:color w:val="auto"/>
          <w:spacing w:val="1"/>
          <w:kern w:val="0"/>
          <w:sz w:val="24"/>
          <w:highlight w:val="none"/>
        </w:rPr>
        <w:t>施工人员、施工设备及其临时工程撤离的要求：</w:t>
      </w:r>
      <w:r>
        <w:rPr>
          <w:rFonts w:hint="eastAsia" w:ascii="宋体" w:hAnsi="宋体" w:cs="宋体"/>
          <w:color w:val="auto"/>
          <w:spacing w:val="1"/>
          <w:kern w:val="0"/>
          <w:sz w:val="24"/>
          <w:highlight w:val="none"/>
          <w:u w:val="single"/>
        </w:rPr>
        <w:t>缺陷责任期满后全部撤离，延后撤离造成发包人的增加的费用，应由承包人承担。</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7  缺陷责任与保修责任</w:t>
      </w:r>
    </w:p>
    <w:p>
      <w:pPr>
        <w:autoSpaceDE w:val="0"/>
        <w:autoSpaceDN w:val="0"/>
        <w:adjustRightInd w:val="0"/>
        <w:spacing w:line="360" w:lineRule="auto"/>
        <w:ind w:right="-20" w:firstLine="121" w:firstLineChars="5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保修责任</w:t>
      </w:r>
    </w:p>
    <w:p>
      <w:pPr>
        <w:autoSpaceDE w:val="0"/>
        <w:autoSpaceDN w:val="0"/>
        <w:adjustRightInd w:val="0"/>
        <w:spacing w:line="360" w:lineRule="auto"/>
        <w:ind w:right="-20" w:firstLine="484" w:firstLineChars="200"/>
        <w:jc w:val="left"/>
        <w:rPr>
          <w:rFonts w:ascii="宋体" w:hAnsi="宋体" w:cs="宋体"/>
          <w:color w:val="auto"/>
          <w:spacing w:val="1"/>
          <w:kern w:val="0"/>
          <w:sz w:val="24"/>
          <w:highlight w:val="none"/>
          <w:u w:val="single"/>
        </w:rPr>
      </w:pPr>
      <w:r>
        <w:rPr>
          <w:rFonts w:hint="eastAsia" w:ascii="宋体" w:hAnsi="宋体" w:cs="宋体"/>
          <w:color w:val="auto"/>
          <w:spacing w:val="1"/>
          <w:kern w:val="0"/>
          <w:sz w:val="24"/>
          <w:highlight w:val="none"/>
        </w:rPr>
        <w:t>工程质量保修范围、期限和责任：</w:t>
      </w:r>
      <w:r>
        <w:rPr>
          <w:rFonts w:hint="eastAsia" w:ascii="宋体" w:hAnsi="宋体" w:cs="宋体"/>
          <w:color w:val="auto"/>
          <w:spacing w:val="1"/>
          <w:kern w:val="0"/>
          <w:sz w:val="24"/>
          <w:highlight w:val="none"/>
          <w:u w:val="single"/>
        </w:rPr>
        <w:t>详见合同附件《工程质量保修书》。</w:t>
      </w:r>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8  安全运行责任承诺书</w:t>
      </w:r>
    </w:p>
    <w:p>
      <w:pPr>
        <w:autoSpaceDE w:val="0"/>
        <w:autoSpaceDN w:val="0"/>
        <w:adjustRightInd w:val="0"/>
        <w:spacing w:line="360" w:lineRule="auto"/>
        <w:ind w:right="-20" w:firstLine="121" w:firstLineChars="5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安全运行责任承诺书</w:t>
      </w:r>
    </w:p>
    <w:p>
      <w:pPr>
        <w:autoSpaceDE w:val="0"/>
        <w:autoSpaceDN w:val="0"/>
        <w:adjustRightInd w:val="0"/>
        <w:spacing w:line="360" w:lineRule="auto"/>
        <w:ind w:right="-20" w:firstLine="121" w:firstLineChars="5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致        ：</w:t>
      </w:r>
    </w:p>
    <w:p>
      <w:pPr>
        <w:autoSpaceDE w:val="0"/>
        <w:autoSpaceDN w:val="0"/>
        <w:adjustRightInd w:val="0"/>
        <w:spacing w:line="360" w:lineRule="auto"/>
        <w:ind w:right="-20" w:firstLine="605" w:firstLineChars="25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我方在你单位自愿进行修缮等各类项目，我方保证做到安全、文明施工，并采取一切合法、合理等有效措施安全生产。该项目发生的一切安全事故等，均由我方单独承担全部责任。</w:t>
      </w:r>
    </w:p>
    <w:p>
      <w:pPr>
        <w:autoSpaceDE w:val="0"/>
        <w:autoSpaceDN w:val="0"/>
        <w:adjustRightInd w:val="0"/>
        <w:spacing w:line="360" w:lineRule="auto"/>
        <w:ind w:right="-20" w:firstLine="121" w:firstLineChars="50"/>
        <w:jc w:val="righ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    承诺方（盖章）：</w:t>
      </w:r>
    </w:p>
    <w:p>
      <w:pPr>
        <w:tabs>
          <w:tab w:val="left" w:pos="7938"/>
          <w:tab w:val="left" w:pos="8080"/>
        </w:tabs>
        <w:autoSpaceDE w:val="0"/>
        <w:autoSpaceDN w:val="0"/>
        <w:adjustRightInd w:val="0"/>
        <w:spacing w:line="360" w:lineRule="auto"/>
        <w:ind w:right="-20" w:firstLine="121" w:firstLineChars="50"/>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                                                 年    月   日 </w:t>
      </w:r>
    </w:p>
    <w:bookmarkEnd w:id="107"/>
    <w:p>
      <w:pPr>
        <w:autoSpaceDE w:val="0"/>
        <w:autoSpaceDN w:val="0"/>
        <w:adjustRightInd w:val="0"/>
        <w:spacing w:line="360" w:lineRule="auto"/>
        <w:ind w:right="-20"/>
        <w:jc w:val="left"/>
        <w:rPr>
          <w:rFonts w:ascii="宋体" w:hAnsi="宋体" w:cs="宋体"/>
          <w:b/>
          <w:color w:val="auto"/>
          <w:spacing w:val="1"/>
          <w:kern w:val="0"/>
          <w:sz w:val="24"/>
          <w:highlight w:val="none"/>
        </w:rPr>
      </w:pPr>
      <w:bookmarkStart w:id="114" w:name="_Toc229538917"/>
      <w:bookmarkStart w:id="115" w:name="_Toc412818840"/>
      <w:r>
        <w:rPr>
          <w:rFonts w:hint="eastAsia" w:ascii="宋体" w:hAnsi="宋体" w:cs="宋体"/>
          <w:b/>
          <w:color w:val="auto"/>
          <w:spacing w:val="1"/>
          <w:kern w:val="0"/>
          <w:sz w:val="24"/>
          <w:highlight w:val="none"/>
        </w:rPr>
        <w:t>9  施工</w:t>
      </w:r>
      <w:bookmarkEnd w:id="114"/>
      <w:r>
        <w:rPr>
          <w:rFonts w:hint="eastAsia" w:ascii="宋体" w:hAnsi="宋体" w:cs="宋体"/>
          <w:b/>
          <w:color w:val="auto"/>
          <w:spacing w:val="1"/>
          <w:kern w:val="0"/>
          <w:sz w:val="24"/>
          <w:highlight w:val="none"/>
        </w:rPr>
        <w:t>技术要求</w:t>
      </w:r>
      <w:bookmarkEnd w:id="115"/>
    </w:p>
    <w:p>
      <w:pPr>
        <w:autoSpaceDE w:val="0"/>
        <w:autoSpaceDN w:val="0"/>
        <w:adjustRightInd w:val="0"/>
        <w:spacing w:line="360" w:lineRule="auto"/>
        <w:ind w:right="-20"/>
        <w:jc w:val="left"/>
        <w:rPr>
          <w:rFonts w:ascii="宋体" w:hAnsi="宋体" w:cs="宋体"/>
          <w:b/>
          <w:color w:val="auto"/>
          <w:spacing w:val="1"/>
          <w:kern w:val="0"/>
          <w:sz w:val="24"/>
          <w:highlight w:val="none"/>
        </w:rPr>
      </w:pPr>
      <w:r>
        <w:rPr>
          <w:rFonts w:hint="eastAsia" w:ascii="宋体" w:hAnsi="宋体" w:cs="宋体"/>
          <w:b/>
          <w:color w:val="auto"/>
          <w:spacing w:val="1"/>
          <w:kern w:val="0"/>
          <w:sz w:val="24"/>
          <w:highlight w:val="none"/>
        </w:rPr>
        <w:t>10 工程量清单（成交单位投标时所报的清单）</w:t>
      </w:r>
      <w:bookmarkStart w:id="116" w:name="_Toc288757541"/>
    </w:p>
    <w:p>
      <w:pPr>
        <w:spacing w:beforeLines="50" w:afterLines="50" w:line="440" w:lineRule="exact"/>
        <w:jc w:val="left"/>
        <w:rPr>
          <w:rFonts w:ascii="宋体" w:hAnsi="宋体" w:cs="宋体"/>
          <w:color w:val="auto"/>
          <w:szCs w:val="21"/>
          <w:highlight w:val="none"/>
        </w:rPr>
      </w:pPr>
      <w:r>
        <w:rPr>
          <w:rFonts w:ascii="宋体" w:hAnsi="宋体" w:cs="宋体"/>
          <w:color w:val="auto"/>
          <w:szCs w:val="21"/>
          <w:highlight w:val="none"/>
        </w:rPr>
        <w:br w:type="page"/>
      </w:r>
      <w:r>
        <w:rPr>
          <w:rFonts w:hint="eastAsia" w:ascii="宋体" w:hAnsi="宋体" w:cs="宋体"/>
          <w:color w:val="auto"/>
          <w:szCs w:val="21"/>
          <w:highlight w:val="none"/>
        </w:rPr>
        <w:t>合同附件</w:t>
      </w:r>
    </w:p>
    <w:p>
      <w:pPr>
        <w:spacing w:beforeLines="5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工程质量保修书</w:t>
      </w:r>
    </w:p>
    <w:p>
      <w:pPr>
        <w:spacing w:line="440" w:lineRule="exact"/>
        <w:ind w:firstLine="420" w:firstLineChars="200"/>
        <w:rPr>
          <w:rFonts w:ascii="宋体" w:hAnsi="宋体"/>
          <w:color w:val="auto"/>
          <w:szCs w:val="22"/>
          <w:highlight w:val="none"/>
        </w:rPr>
      </w:pPr>
      <w:r>
        <w:rPr>
          <w:rFonts w:ascii="宋体" w:hAnsi="宋体"/>
          <w:color w:val="auto"/>
          <w:szCs w:val="22"/>
          <w:highlight w:val="none"/>
        </w:rPr>
        <w:t>发包人（全称）：</w:t>
      </w:r>
    </w:p>
    <w:p>
      <w:pPr>
        <w:spacing w:line="440" w:lineRule="exact"/>
        <w:ind w:firstLine="420" w:firstLineChars="200"/>
        <w:rPr>
          <w:rFonts w:ascii="宋体" w:hAnsi="宋体"/>
          <w:color w:val="auto"/>
          <w:szCs w:val="22"/>
          <w:highlight w:val="none"/>
          <w:u w:val="single"/>
        </w:rPr>
      </w:pPr>
      <w:r>
        <w:rPr>
          <w:rFonts w:hint="eastAsia" w:ascii="宋体" w:hAnsi="宋体"/>
          <w:color w:val="auto"/>
          <w:szCs w:val="22"/>
          <w:highlight w:val="none"/>
        </w:rPr>
        <w:t>承包人（全称）：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发包人和承包人根据《中华人民共和国建筑法》和《建设工程质量管理条例》，经协商一致就（工程全称）签订工程质量保修书。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一、工程质量保修范围和内容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承包人在质量保修期内，按照有关法律规定和合同约定，承担工程质量保修责任。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保修责任范围包括工程，以及双方约定的其他项目。具体保修的内容，三方约定如下：</w:t>
      </w:r>
      <w:r>
        <w:rPr>
          <w:rFonts w:hint="eastAsia" w:ascii="宋体" w:hAnsi="宋体" w:cs="宋体"/>
          <w:color w:val="auto"/>
          <w:szCs w:val="21"/>
          <w:highlight w:val="none"/>
          <w:u w:val="single"/>
        </w:rPr>
        <w:t>在承包人承包施工的范围、内容、项目内属承包人责任造成的质量问题，由承包人承担保修责任。</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　　</w:t>
      </w:r>
      <w:r>
        <w:rPr>
          <w:rFonts w:hint="eastAsia" w:ascii="宋体" w:hAnsi="宋体" w:cs="宋体"/>
          <w:color w:val="auto"/>
          <w:szCs w:val="21"/>
          <w:highlight w:val="none"/>
        </w:rPr>
        <w:t>二、质量保修期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2．屋面防水工程、有防水要求的卫生间、房间和外墙面的防渗为5年；</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3．装修工程为2年；</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 xml:space="preserve">4．电气管线、给排水管道、设备安装工程为 </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年；</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5．供热与供冷系统为2个采暖期2个供冷期；</w:t>
      </w:r>
    </w:p>
    <w:p>
      <w:pPr>
        <w:spacing w:line="360" w:lineRule="auto"/>
        <w:ind w:left="420" w:leftChars="200" w:firstLine="105" w:firstLineChars="50"/>
        <w:rPr>
          <w:color w:val="auto"/>
          <w:highlight w:val="none"/>
        </w:rPr>
      </w:pPr>
      <w:r>
        <w:rPr>
          <w:rFonts w:hint="eastAsia" w:ascii="宋体" w:hAnsi="宋体" w:cs="宋体"/>
          <w:color w:val="auto"/>
          <w:szCs w:val="21"/>
          <w:highlight w:val="none"/>
        </w:rPr>
        <w:t>6．住宅小区内的给排水设施、道路等配套工程为2年；</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7．其他项目保修期限约定如下：</w:t>
      </w:r>
      <w:r>
        <w:rPr>
          <w:rFonts w:hint="eastAsia" w:ascii="宋体" w:hAnsi="宋体" w:cs="宋体"/>
          <w:color w:val="auto"/>
          <w:szCs w:val="21"/>
          <w:highlight w:val="none"/>
          <w:u w:val="single"/>
        </w:rPr>
        <w:t xml:space="preserve">软、硬件质保期3年 </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质量保修期自工程竣工验收合格之日起计算。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三、缺陷责任期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个月，缺陷责任期自工程通过竣工验收之日起计算。单位工程先于全部工程进行验收，单位工程缺陷责任期自单位工程验收合格之日起算。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缺陷责任期终止后，经发包人确认无遗留问题后</w:t>
      </w:r>
      <w:r>
        <w:rPr>
          <w:rFonts w:hint="eastAsia" w:ascii="宋体" w:hAnsi="宋体"/>
          <w:color w:val="auto"/>
          <w:szCs w:val="22"/>
          <w:highlight w:val="none"/>
        </w:rPr>
        <w:t>业主单位</w:t>
      </w:r>
      <w:r>
        <w:rPr>
          <w:rFonts w:hint="eastAsia" w:ascii="宋体" w:hAnsi="宋体" w:cs="宋体"/>
          <w:color w:val="auto"/>
          <w:szCs w:val="21"/>
          <w:highlight w:val="none"/>
        </w:rPr>
        <w:t>应无息退还剩余的质量保证金。</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四、质量保修责任</w:t>
      </w:r>
    </w:p>
    <w:p>
      <w:pPr>
        <w:spacing w:line="360" w:lineRule="auto"/>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24小时内派人保修。承包人不在约定期限内派人保修的，发包人有权委托他人修理，因此产生的费用及给发包人造成的损失由承包人承担；发包人有权从质量保证金中扣除，质量保证金不足以支付，有权向承包人追偿。</w:t>
      </w:r>
    </w:p>
    <w:p>
      <w:pPr>
        <w:spacing w:line="360" w:lineRule="auto"/>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2．发生紧急事故需抢修的，承包人在接到事故通知后，应当立即到达事故现场抢修，未及时到达现场抢修，发包人可以委托他人抢修，由此产生的费用由承包人承担。</w:t>
      </w:r>
    </w:p>
    <w:p>
      <w:pPr>
        <w:spacing w:line="360" w:lineRule="auto"/>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4．质量保修完成后，如工程已经移交给发包方，则由发包方组织验收；如工程未移交给发包人，则由发包人组织验收。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五、保修费用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保修费用由造成质量缺陷的责任方承担，因承包人未在约定期限内实施保修的，承包人应承担发包人的损失，包括但不限于第三方修理费用。</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六</w:t>
      </w:r>
      <w:r>
        <w:rPr>
          <w:rFonts w:hint="eastAsia" w:ascii="宋体" w:hAnsi="宋体" w:cs="宋体"/>
          <w:color w:val="auto"/>
          <w:szCs w:val="21"/>
          <w:highlight w:val="none"/>
        </w:rPr>
        <w:t>、各方约定的其他工程质量保修事项：</w:t>
      </w:r>
      <w:r>
        <w:rPr>
          <w:rFonts w:hint="eastAsia" w:ascii="宋体" w:hAnsi="宋体" w:cs="宋体"/>
          <w:color w:val="auto"/>
          <w:szCs w:val="21"/>
          <w:highlight w:val="none"/>
          <w:u w:val="single"/>
        </w:rPr>
        <w:t xml:space="preserve">  按国家相关规定执行  </w:t>
      </w:r>
      <w:r>
        <w:rPr>
          <w:rFonts w:hint="eastAsia" w:ascii="宋体" w:hAnsi="宋体" w:cs="宋体"/>
          <w:color w:val="auto"/>
          <w:szCs w:val="21"/>
          <w:highlight w:val="none"/>
        </w:rPr>
        <w:t>。</w:t>
      </w:r>
    </w:p>
    <w:p>
      <w:pPr>
        <w:spacing w:line="360" w:lineRule="auto"/>
        <w:ind w:firstLine="399" w:firstLineChars="19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工程质量保修书由发包人、承包人在工程竣工验收前共同签署，作为施工合同附件，其有效期限至保修期满，发包人均有权利要求承包人履行保修责任。</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发包人：（公章）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法定代表人或其委托代理人：（签字）   </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p>
    <w:p>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电    话：</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传    真：</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账    号：</w:t>
      </w:r>
    </w:p>
    <w:p>
      <w:pPr>
        <w:spacing w:line="48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　 邮政编码：　　　　　　　　　</w:t>
      </w:r>
    </w:p>
    <w:p>
      <w:pPr>
        <w:spacing w:line="500" w:lineRule="exact"/>
        <w:ind w:firstLine="420" w:firstLineChars="200"/>
        <w:rPr>
          <w:rFonts w:ascii="宋体" w:hAnsi="宋体" w:cs="宋体"/>
          <w:color w:val="auto"/>
          <w:szCs w:val="21"/>
          <w:highlight w:val="none"/>
        </w:rPr>
      </w:pPr>
    </w:p>
    <w:p>
      <w:pPr>
        <w:rPr>
          <w:color w:val="auto"/>
          <w:highlight w:val="none"/>
        </w:rPr>
      </w:pPr>
      <w:r>
        <w:rPr>
          <w:rFonts w:hint="eastAsia" w:ascii="宋体" w:hAnsi="宋体" w:cs="宋体"/>
          <w:color w:val="auto"/>
          <w:szCs w:val="21"/>
          <w:highlight w:val="none"/>
        </w:rPr>
        <w:t>承包人：（公章）</w:t>
      </w:r>
    </w:p>
    <w:p>
      <w:pPr>
        <w:rPr>
          <w:color w:val="auto"/>
          <w:highlight w:val="none"/>
        </w:rPr>
      </w:pPr>
      <w:r>
        <w:rPr>
          <w:rFonts w:hint="eastAsia" w:ascii="宋体" w:hAnsi="宋体" w:cs="宋体"/>
          <w:color w:val="auto"/>
          <w:szCs w:val="21"/>
          <w:highlight w:val="none"/>
        </w:rPr>
        <w:t>法定代表人或其委托代理人：（签字）</w:t>
      </w:r>
    </w:p>
    <w:p>
      <w:pPr>
        <w:rPr>
          <w:color w:val="auto"/>
          <w:highlight w:val="none"/>
        </w:rPr>
      </w:pPr>
      <w:r>
        <w:rPr>
          <w:rFonts w:hint="eastAsia" w:ascii="宋体" w:hAnsi="宋体" w:cs="宋体"/>
          <w:color w:val="auto"/>
          <w:szCs w:val="21"/>
          <w:highlight w:val="none"/>
        </w:rPr>
        <w:t>地    址：</w:t>
      </w:r>
    </w:p>
    <w:p>
      <w:pPr>
        <w:rPr>
          <w:color w:val="auto"/>
          <w:highlight w:val="none"/>
        </w:rPr>
      </w:pPr>
      <w:r>
        <w:rPr>
          <w:rFonts w:hint="eastAsia" w:ascii="宋体" w:hAnsi="宋体" w:cs="宋体"/>
          <w:color w:val="auto"/>
          <w:szCs w:val="21"/>
          <w:highlight w:val="none"/>
        </w:rPr>
        <w:t>邮政编码：</w:t>
      </w:r>
    </w:p>
    <w:p>
      <w:pPr>
        <w:rPr>
          <w:color w:val="auto"/>
          <w:highlight w:val="none"/>
        </w:rPr>
      </w:pPr>
      <w:r>
        <w:rPr>
          <w:rFonts w:hint="eastAsia" w:ascii="宋体" w:hAnsi="宋体" w:cs="宋体"/>
          <w:color w:val="auto"/>
          <w:szCs w:val="21"/>
          <w:highlight w:val="none"/>
        </w:rPr>
        <w:t>电    话：</w:t>
      </w:r>
    </w:p>
    <w:p>
      <w:pPr>
        <w:rPr>
          <w:color w:val="auto"/>
          <w:highlight w:val="none"/>
        </w:rPr>
      </w:pPr>
      <w:r>
        <w:rPr>
          <w:rFonts w:hint="eastAsia" w:ascii="宋体" w:hAnsi="宋体" w:cs="宋体"/>
          <w:color w:val="auto"/>
          <w:szCs w:val="21"/>
          <w:highlight w:val="none"/>
        </w:rPr>
        <w:t>传    真：</w:t>
      </w:r>
    </w:p>
    <w:p>
      <w:pPr>
        <w:rPr>
          <w:color w:val="auto"/>
          <w:highlight w:val="none"/>
        </w:rPr>
      </w:pPr>
      <w:r>
        <w:rPr>
          <w:rFonts w:hint="eastAsia" w:ascii="宋体" w:hAnsi="宋体" w:cs="宋体"/>
          <w:color w:val="auto"/>
          <w:szCs w:val="21"/>
          <w:highlight w:val="none"/>
        </w:rPr>
        <w:t>电子信箱：</w:t>
      </w:r>
    </w:p>
    <w:p>
      <w:pPr>
        <w:rPr>
          <w:color w:val="auto"/>
          <w:highlight w:val="none"/>
        </w:rPr>
      </w:pPr>
      <w:r>
        <w:rPr>
          <w:rFonts w:hint="eastAsia" w:ascii="宋体" w:hAnsi="宋体" w:cs="宋体"/>
          <w:color w:val="auto"/>
          <w:szCs w:val="21"/>
          <w:highlight w:val="none"/>
        </w:rPr>
        <w:t>开户银行：</w:t>
      </w:r>
    </w:p>
    <w:p>
      <w:pPr>
        <w:rPr>
          <w:color w:val="auto"/>
          <w:highlight w:val="none"/>
        </w:rPr>
      </w:pPr>
      <w:r>
        <w:rPr>
          <w:rFonts w:hint="eastAsia" w:ascii="宋体" w:hAnsi="宋体" w:cs="宋体"/>
          <w:color w:val="auto"/>
          <w:szCs w:val="21"/>
          <w:highlight w:val="none"/>
        </w:rPr>
        <w:t>账    号：</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rPr>
        <w:t>　　　</w:t>
      </w:r>
    </w:p>
    <w:p>
      <w:pPr>
        <w:spacing w:line="500" w:lineRule="exact"/>
        <w:ind w:firstLine="420" w:firstLineChars="200"/>
        <w:rPr>
          <w:rFonts w:ascii="宋体" w:hAnsi="宋体" w:cs="宋体"/>
          <w:color w:val="auto"/>
          <w:szCs w:val="21"/>
          <w:highlight w:val="none"/>
        </w:rPr>
      </w:pPr>
    </w:p>
    <w:p>
      <w:pPr>
        <w:pStyle w:val="2"/>
        <w:ind w:firstLine="200"/>
        <w:rPr>
          <w:color w:val="auto"/>
          <w:highlight w:val="none"/>
        </w:rPr>
      </w:pPr>
      <w:r>
        <w:rPr>
          <w:color w:val="auto"/>
          <w:highlight w:val="none"/>
        </w:rPr>
        <w:br w:type="page"/>
      </w:r>
    </w:p>
    <w:bookmarkEnd w:id="116"/>
    <w:p>
      <w:pPr>
        <w:rPr>
          <w:rFonts w:ascii="宋体" w:hAnsi="宋体" w:cs="宋体"/>
          <w:color w:val="auto"/>
          <w:highlight w:val="none"/>
        </w:rPr>
      </w:pPr>
    </w:p>
    <w:p>
      <w:pPr>
        <w:pStyle w:val="4"/>
        <w:rPr>
          <w:rFonts w:cs="宋体"/>
          <w:color w:val="auto"/>
          <w:highlight w:val="none"/>
        </w:rPr>
      </w:pPr>
      <w:bookmarkStart w:id="117" w:name="_Toc36553047"/>
      <w:r>
        <w:rPr>
          <w:rFonts w:hint="eastAsia" w:cs="宋体"/>
          <w:color w:val="auto"/>
          <w:highlight w:val="none"/>
        </w:rPr>
        <w:t>第五章  磋商响应文件格式</w:t>
      </w:r>
      <w:bookmarkEnd w:id="117"/>
    </w:p>
    <w:p>
      <w:pPr>
        <w:pStyle w:val="115"/>
        <w:jc w:val="right"/>
        <w:rPr>
          <w:rFonts w:ascii="宋体" w:hAnsi="宋体" w:cs="宋体"/>
          <w:color w:val="auto"/>
          <w:sz w:val="28"/>
          <w:szCs w:val="28"/>
          <w:highlight w:val="none"/>
        </w:rPr>
      </w:pPr>
      <w:r>
        <w:rPr>
          <w:rFonts w:hint="eastAsia" w:ascii="宋体" w:hAnsi="宋体" w:cs="宋体"/>
          <w:color w:val="auto"/>
          <w:sz w:val="28"/>
          <w:szCs w:val="28"/>
          <w:highlight w:val="none"/>
        </w:rPr>
        <w:t>正本或副本</w:t>
      </w:r>
    </w:p>
    <w:p>
      <w:pPr>
        <w:pStyle w:val="115"/>
        <w:rPr>
          <w:rFonts w:ascii="宋体" w:hAnsi="宋体" w:cs="宋体"/>
          <w:color w:val="auto"/>
          <w:sz w:val="28"/>
          <w:szCs w:val="28"/>
          <w:highlight w:val="none"/>
        </w:rPr>
      </w:pPr>
    </w:p>
    <w:p>
      <w:pPr>
        <w:pStyle w:val="115"/>
        <w:rPr>
          <w:rFonts w:ascii="宋体" w:hAnsi="宋体" w:cs="宋体"/>
          <w:color w:val="auto"/>
          <w:sz w:val="28"/>
          <w:szCs w:val="28"/>
          <w:highlight w:val="none"/>
          <w:u w:val="single"/>
        </w:rPr>
      </w:pPr>
      <w:r>
        <w:rPr>
          <w:rFonts w:hint="eastAsia" w:ascii="宋体" w:hAnsi="宋体" w:cs="宋体"/>
          <w:color w:val="auto"/>
          <w:sz w:val="28"/>
          <w:szCs w:val="28"/>
          <w:highlight w:val="none"/>
        </w:rPr>
        <w:t>采购编号：</w:t>
      </w:r>
      <w:r>
        <w:rPr>
          <w:rFonts w:hint="eastAsia" w:ascii="宋体" w:hAnsi="宋体" w:cs="宋体"/>
          <w:color w:val="auto"/>
          <w:sz w:val="28"/>
          <w:szCs w:val="28"/>
          <w:highlight w:val="none"/>
          <w:u w:val="single"/>
          <w:lang w:eastAsia="zh-CN"/>
        </w:rPr>
        <w:t>HNZB[2020]N0957</w:t>
      </w:r>
      <w:r>
        <w:rPr>
          <w:rFonts w:hint="eastAsia" w:ascii="宋体" w:hAnsi="宋体" w:cs="宋体"/>
          <w:color w:val="auto"/>
          <w:sz w:val="28"/>
          <w:szCs w:val="28"/>
          <w:highlight w:val="none"/>
          <w:u w:val="single"/>
        </w:rPr>
        <w:t>号</w:t>
      </w:r>
    </w:p>
    <w:p>
      <w:pPr>
        <w:pStyle w:val="115"/>
        <w:jc w:val="center"/>
        <w:rPr>
          <w:rFonts w:ascii="宋体" w:hAnsi="宋体" w:cs="宋体"/>
          <w:color w:val="auto"/>
          <w:sz w:val="28"/>
          <w:szCs w:val="28"/>
          <w:highlight w:val="none"/>
        </w:rPr>
      </w:pPr>
      <w:r>
        <w:rPr>
          <w:rFonts w:hint="eastAsia" w:ascii="宋体" w:hAnsi="宋体" w:cs="宋体"/>
          <w:color w:val="auto"/>
          <w:sz w:val="28"/>
          <w:szCs w:val="28"/>
          <w:highlight w:val="none"/>
        </w:rPr>
        <w:t>项目名称：河南省化工研究所有限责任公司二噁英检测与控制工程技术</w:t>
      </w:r>
    </w:p>
    <w:p>
      <w:pPr>
        <w:pStyle w:val="115"/>
        <w:rPr>
          <w:rFonts w:ascii="宋体" w:hAnsi="宋体" w:cs="宋体"/>
          <w:color w:val="auto"/>
          <w:sz w:val="32"/>
          <w:szCs w:val="32"/>
          <w:highlight w:val="none"/>
        </w:rPr>
      </w:pPr>
      <w:r>
        <w:rPr>
          <w:rFonts w:hint="eastAsia" w:ascii="宋体" w:hAnsi="宋体" w:cs="宋体"/>
          <w:color w:val="auto"/>
          <w:sz w:val="28"/>
          <w:szCs w:val="28"/>
          <w:highlight w:val="none"/>
        </w:rPr>
        <w:t>研究中心基础配套设施维修改造工程项目</w:t>
      </w:r>
    </w:p>
    <w:p>
      <w:pPr>
        <w:pStyle w:val="115"/>
        <w:jc w:val="center"/>
        <w:rPr>
          <w:rFonts w:ascii="宋体" w:hAnsi="宋体" w:cs="宋体"/>
          <w:color w:val="auto"/>
          <w:sz w:val="32"/>
          <w:szCs w:val="32"/>
          <w:highlight w:val="none"/>
        </w:rPr>
      </w:pPr>
    </w:p>
    <w:p>
      <w:pPr>
        <w:pStyle w:val="115"/>
        <w:jc w:val="center"/>
        <w:rPr>
          <w:rFonts w:ascii="宋体" w:hAnsi="宋体" w:cs="宋体"/>
          <w:color w:val="auto"/>
          <w:sz w:val="32"/>
          <w:szCs w:val="32"/>
          <w:highlight w:val="none"/>
        </w:rPr>
      </w:pPr>
    </w:p>
    <w:p>
      <w:pPr>
        <w:pStyle w:val="115"/>
        <w:jc w:val="center"/>
        <w:rPr>
          <w:rFonts w:ascii="宋体" w:hAnsi="宋体" w:cs="宋体"/>
          <w:color w:val="auto"/>
          <w:sz w:val="70"/>
          <w:szCs w:val="70"/>
          <w:highlight w:val="none"/>
        </w:rPr>
      </w:pPr>
    </w:p>
    <w:p>
      <w:pPr>
        <w:pStyle w:val="115"/>
        <w:jc w:val="center"/>
        <w:rPr>
          <w:rFonts w:ascii="宋体" w:hAnsi="宋体" w:cs="宋体"/>
          <w:color w:val="auto"/>
          <w:sz w:val="70"/>
          <w:szCs w:val="70"/>
          <w:highlight w:val="none"/>
        </w:rPr>
      </w:pPr>
      <w:r>
        <w:rPr>
          <w:rFonts w:hint="eastAsia" w:ascii="宋体" w:hAnsi="宋体" w:cs="宋体"/>
          <w:color w:val="auto"/>
          <w:sz w:val="70"/>
          <w:szCs w:val="70"/>
          <w:highlight w:val="none"/>
        </w:rPr>
        <w:t>磋商响应文件</w:t>
      </w:r>
    </w:p>
    <w:p>
      <w:pPr>
        <w:pStyle w:val="115"/>
        <w:spacing w:line="660" w:lineRule="auto"/>
        <w:ind w:left="735" w:firstLine="614"/>
        <w:rPr>
          <w:rFonts w:ascii="宋体" w:hAnsi="宋体" w:cs="宋体"/>
          <w:color w:val="auto"/>
          <w:sz w:val="32"/>
          <w:szCs w:val="32"/>
          <w:highlight w:val="none"/>
        </w:rPr>
      </w:pPr>
    </w:p>
    <w:p>
      <w:pPr>
        <w:pStyle w:val="115"/>
        <w:spacing w:line="660" w:lineRule="auto"/>
        <w:ind w:left="735" w:firstLine="614"/>
        <w:rPr>
          <w:rFonts w:ascii="宋体" w:hAnsi="宋体" w:cs="宋体"/>
          <w:color w:val="auto"/>
          <w:sz w:val="32"/>
          <w:szCs w:val="32"/>
          <w:highlight w:val="none"/>
        </w:rPr>
      </w:pPr>
    </w:p>
    <w:p>
      <w:pPr>
        <w:pStyle w:val="115"/>
        <w:spacing w:line="660" w:lineRule="auto"/>
        <w:ind w:left="735" w:firstLine="614"/>
        <w:rPr>
          <w:rFonts w:ascii="宋体" w:hAnsi="宋体" w:cs="宋体"/>
          <w:color w:val="auto"/>
          <w:sz w:val="32"/>
          <w:szCs w:val="32"/>
          <w:highlight w:val="none"/>
        </w:rPr>
      </w:pPr>
    </w:p>
    <w:p>
      <w:pPr>
        <w:pStyle w:val="115"/>
        <w:spacing w:line="360" w:lineRule="auto"/>
        <w:ind w:left="735" w:firstLine="576"/>
        <w:rPr>
          <w:rFonts w:ascii="宋体" w:hAnsi="宋体" w:cs="宋体"/>
          <w:color w:val="auto"/>
          <w:sz w:val="30"/>
          <w:szCs w:val="30"/>
          <w:highlight w:val="none"/>
        </w:rPr>
      </w:pPr>
      <w:r>
        <w:rPr>
          <w:rFonts w:hint="eastAsia" w:ascii="宋体" w:hAnsi="宋体" w:cs="宋体"/>
          <w:color w:val="auto"/>
          <w:sz w:val="30"/>
          <w:szCs w:val="30"/>
          <w:highlight w:val="none"/>
        </w:rPr>
        <w:t>供  应  商：（盖章）</w:t>
      </w:r>
    </w:p>
    <w:p>
      <w:pPr>
        <w:pStyle w:val="115"/>
        <w:spacing w:line="360" w:lineRule="auto"/>
        <w:ind w:left="735" w:firstLine="576"/>
        <w:rPr>
          <w:rFonts w:ascii="宋体" w:hAnsi="宋体" w:cs="宋体"/>
          <w:color w:val="auto"/>
          <w:sz w:val="30"/>
          <w:szCs w:val="30"/>
          <w:highlight w:val="none"/>
        </w:rPr>
      </w:pPr>
      <w:r>
        <w:rPr>
          <w:rFonts w:hint="eastAsia" w:ascii="宋体" w:hAnsi="宋体" w:cs="宋体"/>
          <w:color w:val="auto"/>
          <w:sz w:val="30"/>
          <w:szCs w:val="30"/>
          <w:highlight w:val="none"/>
        </w:rPr>
        <w:t>法定代表人或委托代理人：（签字或盖章）</w:t>
      </w:r>
    </w:p>
    <w:p>
      <w:pPr>
        <w:pStyle w:val="115"/>
        <w:spacing w:line="360" w:lineRule="auto"/>
        <w:ind w:left="735" w:firstLine="576"/>
        <w:rPr>
          <w:rFonts w:ascii="宋体" w:hAnsi="宋体" w:cs="宋体"/>
          <w:color w:val="auto"/>
          <w:sz w:val="32"/>
          <w:szCs w:val="32"/>
          <w:highlight w:val="none"/>
        </w:rPr>
      </w:pPr>
      <w:r>
        <w:rPr>
          <w:rFonts w:hint="eastAsia" w:ascii="宋体" w:hAnsi="宋体" w:cs="宋体"/>
          <w:color w:val="auto"/>
          <w:sz w:val="30"/>
          <w:szCs w:val="30"/>
          <w:highlight w:val="none"/>
        </w:rPr>
        <w:t>日    期：    年   月   日</w:t>
      </w: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目  录</w:t>
      </w:r>
    </w:p>
    <w:p>
      <w:pPr>
        <w:rPr>
          <w:rFonts w:ascii="宋体" w:hAnsi="宋体" w:cs="宋体"/>
          <w:color w:val="auto"/>
          <w:sz w:val="28"/>
          <w:szCs w:val="28"/>
          <w:highlight w:val="none"/>
        </w:rPr>
      </w:pPr>
    </w:p>
    <w:p>
      <w:pPr>
        <w:rPr>
          <w:rFonts w:ascii="宋体" w:hAnsi="宋体" w:cs="宋体"/>
          <w:color w:val="auto"/>
          <w:sz w:val="28"/>
          <w:szCs w:val="28"/>
          <w:highlight w:val="none"/>
        </w:rPr>
      </w:pPr>
      <w:r>
        <w:rPr>
          <w:rFonts w:hint="eastAsia" w:ascii="宋体" w:hAnsi="宋体" w:cs="宋体"/>
          <w:color w:val="auto"/>
          <w:sz w:val="24"/>
          <w:highlight w:val="none"/>
        </w:rPr>
        <w:t>自拟</w:t>
      </w:r>
    </w:p>
    <w:p>
      <w:pPr>
        <w:rPr>
          <w:rFonts w:ascii="宋体" w:hAnsi="宋体" w:cs="宋体"/>
          <w:color w:val="auto"/>
          <w:sz w:val="28"/>
          <w:szCs w:val="28"/>
          <w:highlight w:val="none"/>
        </w:rPr>
      </w:pPr>
    </w:p>
    <w:p>
      <w:pPr>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pStyle w:val="115"/>
        <w:spacing w:line="360" w:lineRule="atLeast"/>
        <w:ind w:left="2100"/>
        <w:rPr>
          <w:rFonts w:ascii="宋体" w:hAnsi="宋体" w:cs="宋体"/>
          <w:color w:val="auto"/>
          <w:sz w:val="28"/>
          <w:szCs w:val="28"/>
          <w:highlight w:val="none"/>
        </w:rPr>
      </w:pPr>
    </w:p>
    <w:p>
      <w:pPr>
        <w:jc w:val="center"/>
        <w:rPr>
          <w:rFonts w:ascii="宋体" w:hAnsi="宋体" w:cs="宋体"/>
          <w:color w:val="auto"/>
          <w:highlight w:val="none"/>
        </w:rPr>
      </w:pPr>
      <w:bookmarkStart w:id="118" w:name="_Toc377384916"/>
      <w:r>
        <w:rPr>
          <w:rFonts w:hint="eastAsia" w:ascii="宋体" w:hAnsi="宋体" w:cs="宋体"/>
          <w:color w:val="auto"/>
          <w:highlight w:val="none"/>
        </w:rPr>
        <w:br w:type="page"/>
      </w:r>
    </w:p>
    <w:p>
      <w:pPr>
        <w:pStyle w:val="5"/>
        <w:spacing w:before="0" w:after="0"/>
        <w:rPr>
          <w:rFonts w:cs="宋体"/>
          <w:color w:val="auto"/>
          <w:sz w:val="28"/>
          <w:szCs w:val="28"/>
          <w:highlight w:val="none"/>
        </w:rPr>
      </w:pPr>
      <w:bookmarkStart w:id="119" w:name="_Toc36553048"/>
      <w:r>
        <w:rPr>
          <w:rFonts w:hint="eastAsia" w:cs="宋体"/>
          <w:color w:val="auto"/>
          <w:sz w:val="28"/>
          <w:szCs w:val="24"/>
          <w:highlight w:val="none"/>
        </w:rPr>
        <w:t>一、投 标 函</w:t>
      </w:r>
      <w:bookmarkEnd w:id="118"/>
      <w:bookmarkEnd w:id="119"/>
    </w:p>
    <w:p>
      <w:pPr>
        <w:pStyle w:val="115"/>
        <w:spacing w:line="440" w:lineRule="atLeast"/>
        <w:rPr>
          <w:rFonts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（采购人名称）         </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1、根据你方采购编号为</w:t>
      </w:r>
      <w:r>
        <w:rPr>
          <w:rFonts w:hint="eastAsia" w:ascii="宋体" w:hAnsi="宋体" w:cs="宋体"/>
          <w:color w:val="auto"/>
          <w:sz w:val="24"/>
          <w:szCs w:val="24"/>
          <w:highlight w:val="none"/>
          <w:u w:val="single"/>
          <w:lang w:eastAsia="zh-CN"/>
        </w:rPr>
        <w:t>HNZB[2020]N0957</w:t>
      </w:r>
      <w:r>
        <w:rPr>
          <w:rFonts w:hint="eastAsia" w:ascii="宋体" w:hAnsi="宋体" w:cs="宋体"/>
          <w:color w:val="auto"/>
          <w:sz w:val="24"/>
          <w:szCs w:val="24"/>
          <w:highlight w:val="none"/>
          <w:u w:val="single"/>
        </w:rPr>
        <w:t>号</w:t>
      </w:r>
      <w:r>
        <w:rPr>
          <w:rFonts w:hint="eastAsia" w:ascii="宋体" w:hAnsi="宋体" w:cs="宋体"/>
          <w:color w:val="auto"/>
          <w:sz w:val="24"/>
          <w:szCs w:val="24"/>
          <w:highlight w:val="none"/>
        </w:rPr>
        <w:t>的河南省化工研究所有限责任公司二噁英检测与控制工程技术研究中心基础配套设施维修改造工程项目</w:t>
      </w:r>
      <w:r>
        <w:rPr>
          <w:rFonts w:hint="eastAsia" w:ascii="宋体" w:hAnsi="宋体" w:cs="宋体"/>
          <w:color w:val="auto"/>
          <w:sz w:val="24"/>
          <w:szCs w:val="24"/>
          <w:highlight w:val="none"/>
          <w:u w:val="single"/>
        </w:rPr>
        <w:t>磋商</w:t>
      </w:r>
      <w:r>
        <w:rPr>
          <w:rFonts w:hint="eastAsia" w:ascii="宋体" w:hAnsi="宋体" w:cs="宋体"/>
          <w:color w:val="auto"/>
          <w:sz w:val="24"/>
          <w:szCs w:val="24"/>
          <w:highlight w:val="none"/>
        </w:rPr>
        <w:t xml:space="preserve">文件，遵照《中华人民共和国政府采购法》等有关规定，经研究上述磋商文件后，我方愿以人民币 </w:t>
      </w:r>
      <w:r>
        <w:rPr>
          <w:rFonts w:hint="eastAsia" w:ascii="宋体" w:hAnsi="宋体" w:cs="宋体"/>
          <w:color w:val="auto"/>
          <w:sz w:val="24"/>
          <w:szCs w:val="24"/>
          <w:highlight w:val="none"/>
          <w:u w:val="single"/>
        </w:rPr>
        <w:t xml:space="preserve">   （大写）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小写金额       </w:t>
      </w:r>
      <w:r>
        <w:rPr>
          <w:rFonts w:hint="eastAsia" w:ascii="宋体" w:hAnsi="宋体" w:cs="宋体"/>
          <w:color w:val="auto"/>
          <w:sz w:val="24"/>
          <w:szCs w:val="24"/>
          <w:highlight w:val="none"/>
        </w:rPr>
        <w:t>元)的响应报价参加投标。</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2、我们已经详细审核了全部磋商文件，包括修改、补充的文件（如果有的话）和参考资料，我们完全理解并同意放弃对这方面有不明及误解的权利。</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3、我方承认投标函附表是我方投标函的组成部分。</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4、我方同意所提交的磋商文件在“磋商须知”规定的投标有效期内有效，在此期间内如果中标，我方将受此约束。</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5、除非另外达成协议并生效，贵方的成交通知书和本磋商响应文件将构成约束我们双方的合同。</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6、我方承诺在中标后按国家规定的标准向代理机构支付本次中标服务费用。</w:t>
      </w:r>
    </w:p>
    <w:p>
      <w:pPr>
        <w:pStyle w:val="115"/>
        <w:spacing w:line="500" w:lineRule="atLeast"/>
        <w:ind w:firstLine="480"/>
        <w:rPr>
          <w:rFonts w:ascii="宋体" w:hAnsi="宋体" w:cs="宋体"/>
          <w:color w:val="auto"/>
          <w:sz w:val="24"/>
          <w:szCs w:val="24"/>
          <w:highlight w:val="none"/>
        </w:rPr>
      </w:pPr>
      <w:r>
        <w:rPr>
          <w:rFonts w:hint="eastAsia" w:ascii="宋体" w:hAnsi="宋体" w:cs="宋体"/>
          <w:color w:val="auto"/>
          <w:sz w:val="24"/>
          <w:szCs w:val="24"/>
          <w:highlight w:val="none"/>
        </w:rPr>
        <w:t>7、我们愿按《中华人民共和国合同法》履行自己的全部责任。</w:t>
      </w:r>
    </w:p>
    <w:p>
      <w:pPr>
        <w:pStyle w:val="115"/>
        <w:spacing w:line="500" w:lineRule="atLeast"/>
        <w:ind w:firstLine="480"/>
        <w:rPr>
          <w:rFonts w:ascii="宋体" w:hAnsi="宋体" w:cs="宋体"/>
          <w:color w:val="auto"/>
          <w:sz w:val="24"/>
          <w:szCs w:val="24"/>
          <w:highlight w:val="none"/>
        </w:rPr>
      </w:pPr>
    </w:p>
    <w:p>
      <w:pPr>
        <w:pStyle w:val="115"/>
        <w:spacing w:line="480" w:lineRule="auto"/>
        <w:ind w:firstLine="1049"/>
        <w:rPr>
          <w:rFonts w:ascii="宋体" w:hAnsi="宋体" w:cs="宋体"/>
          <w:color w:val="auto"/>
          <w:sz w:val="24"/>
          <w:szCs w:val="24"/>
          <w:highlight w:val="none"/>
          <w:u w:val="singl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（盖章）               </w:t>
      </w:r>
    </w:p>
    <w:p>
      <w:pPr>
        <w:pStyle w:val="115"/>
        <w:spacing w:line="480" w:lineRule="auto"/>
        <w:ind w:firstLine="57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单位地址：</w:t>
      </w:r>
    </w:p>
    <w:p>
      <w:pPr>
        <w:pStyle w:val="115"/>
        <w:spacing w:line="480" w:lineRule="auto"/>
        <w:ind w:firstLine="57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法定代表人或其委托代理人：</w:t>
      </w:r>
      <w:r>
        <w:rPr>
          <w:rFonts w:hint="eastAsia" w:ascii="宋体" w:hAnsi="宋体" w:cs="宋体"/>
          <w:color w:val="auto"/>
          <w:sz w:val="24"/>
          <w:szCs w:val="24"/>
          <w:highlight w:val="none"/>
          <w:u w:val="single"/>
        </w:rPr>
        <w:t xml:space="preserve">            （签字或盖章） </w:t>
      </w:r>
    </w:p>
    <w:p>
      <w:pPr>
        <w:pStyle w:val="115"/>
        <w:spacing w:line="480" w:lineRule="auto"/>
        <w:ind w:firstLine="57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邮政编码： 电话：</w:t>
      </w:r>
    </w:p>
    <w:p>
      <w:pPr>
        <w:pStyle w:val="115"/>
        <w:spacing w:line="480" w:lineRule="auto"/>
        <w:ind w:firstLine="57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传  真：</w:t>
      </w:r>
    </w:p>
    <w:p>
      <w:pPr>
        <w:pStyle w:val="115"/>
        <w:spacing w:line="480" w:lineRule="auto"/>
        <w:ind w:firstLine="1080" w:firstLineChars="450"/>
        <w:rPr>
          <w:rFonts w:ascii="宋体" w:hAnsi="宋体" w:cs="宋体"/>
          <w:color w:val="auto"/>
          <w:sz w:val="28"/>
          <w:szCs w:val="28"/>
          <w:highlight w:val="none"/>
        </w:rPr>
      </w:pPr>
      <w:r>
        <w:rPr>
          <w:rFonts w:hint="eastAsia" w:ascii="宋体" w:hAnsi="宋体" w:cs="宋体"/>
          <w:color w:val="auto"/>
          <w:sz w:val="24"/>
          <w:szCs w:val="24"/>
          <w:highlight w:val="none"/>
        </w:rPr>
        <w:t>日    期：年 月 日</w:t>
      </w:r>
      <w:r>
        <w:rPr>
          <w:rFonts w:hint="eastAsia" w:ascii="宋体" w:hAnsi="宋体" w:cs="宋体"/>
          <w:color w:val="auto"/>
          <w:highlight w:val="none"/>
        </w:rPr>
        <w:tab/>
      </w:r>
    </w:p>
    <w:p>
      <w:pPr>
        <w:pStyle w:val="115"/>
        <w:spacing w:line="360" w:lineRule="atLeast"/>
        <w:ind w:firstLine="1120"/>
        <w:rPr>
          <w:rFonts w:ascii="宋体" w:hAnsi="宋体" w:cs="宋体"/>
          <w:color w:val="auto"/>
          <w:sz w:val="28"/>
          <w:szCs w:val="28"/>
          <w:highlight w:val="none"/>
        </w:rPr>
      </w:pPr>
    </w:p>
    <w:p>
      <w:pPr>
        <w:pStyle w:val="115"/>
        <w:spacing w:line="360" w:lineRule="atLeast"/>
        <w:ind w:firstLine="1120"/>
        <w:rPr>
          <w:rFonts w:ascii="宋体" w:hAnsi="宋体" w:cs="宋体"/>
          <w:color w:val="auto"/>
          <w:sz w:val="28"/>
          <w:szCs w:val="28"/>
          <w:highlight w:val="none"/>
        </w:rPr>
      </w:pPr>
    </w:p>
    <w:p>
      <w:pPr>
        <w:pStyle w:val="115"/>
        <w:spacing w:line="360" w:lineRule="atLeast"/>
        <w:ind w:firstLine="1120"/>
        <w:rPr>
          <w:rFonts w:ascii="宋体" w:hAnsi="宋体" w:cs="宋体"/>
          <w:color w:val="auto"/>
          <w:sz w:val="28"/>
          <w:szCs w:val="28"/>
          <w:highlight w:val="none"/>
        </w:rPr>
      </w:pPr>
    </w:p>
    <w:p>
      <w:pPr>
        <w:pStyle w:val="115"/>
        <w:ind w:firstLine="56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1.1 投标函附表-磋商报价表</w:t>
      </w:r>
    </w:p>
    <w:tbl>
      <w:tblPr>
        <w:tblStyle w:val="38"/>
        <w:tblW w:w="0" w:type="auto"/>
        <w:jc w:val="center"/>
        <w:tblLayout w:type="fixed"/>
        <w:tblCellMar>
          <w:top w:w="0" w:type="dxa"/>
          <w:left w:w="108" w:type="dxa"/>
          <w:bottom w:w="0" w:type="dxa"/>
          <w:right w:w="108" w:type="dxa"/>
        </w:tblCellMar>
      </w:tblPr>
      <w:tblGrid>
        <w:gridCol w:w="1869"/>
        <w:gridCol w:w="6978"/>
      </w:tblGrid>
      <w:tr>
        <w:tblPrEx>
          <w:tblCellMar>
            <w:top w:w="0" w:type="dxa"/>
            <w:left w:w="108" w:type="dxa"/>
            <w:bottom w:w="0" w:type="dxa"/>
            <w:right w:w="108" w:type="dxa"/>
          </w:tblCellMar>
        </w:tblPrEx>
        <w:trPr>
          <w:trHeight w:val="936"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978" w:type="dxa"/>
            <w:tcBorders>
              <w:top w:val="single" w:color="000000" w:sz="4" w:space="0"/>
              <w:left w:val="nil"/>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936"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标段号</w:t>
            </w:r>
          </w:p>
        </w:tc>
        <w:tc>
          <w:tcPr>
            <w:tcW w:w="6978" w:type="dxa"/>
            <w:tcBorders>
              <w:top w:val="single" w:color="000000" w:sz="4" w:space="0"/>
              <w:left w:val="nil"/>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936"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tc>
        <w:tc>
          <w:tcPr>
            <w:tcW w:w="6978" w:type="dxa"/>
            <w:tcBorders>
              <w:top w:val="single" w:color="000000" w:sz="4" w:space="0"/>
              <w:left w:val="nil"/>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936"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投标（响应）范围</w:t>
            </w:r>
          </w:p>
        </w:tc>
        <w:tc>
          <w:tcPr>
            <w:tcW w:w="6978" w:type="dxa"/>
            <w:tcBorders>
              <w:top w:val="single" w:color="000000" w:sz="4" w:space="0"/>
              <w:left w:val="nil"/>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936" w:hRule="atLeast"/>
          <w:jc w:val="center"/>
        </w:trPr>
        <w:tc>
          <w:tcPr>
            <w:tcW w:w="1869" w:type="dxa"/>
            <w:tcBorders>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磋商报价（元）</w:t>
            </w:r>
          </w:p>
        </w:tc>
        <w:tc>
          <w:tcPr>
            <w:tcW w:w="6978" w:type="dxa"/>
            <w:tcBorders>
              <w:top w:val="single" w:color="000000" w:sz="4" w:space="0"/>
              <w:left w:val="nil"/>
              <w:bottom w:val="single" w:color="000000" w:sz="4" w:space="0"/>
              <w:right w:val="single" w:color="000000" w:sz="4" w:space="0"/>
            </w:tcBorders>
            <w:vAlign w:val="center"/>
          </w:tcPr>
          <w:p>
            <w:pPr>
              <w:pStyle w:val="115"/>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大写：</w:t>
            </w:r>
          </w:p>
          <w:p>
            <w:pPr>
              <w:pStyle w:val="115"/>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小写：</w:t>
            </w:r>
          </w:p>
        </w:tc>
      </w:tr>
      <w:tr>
        <w:tblPrEx>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r>
              <w:rPr>
                <w:rFonts w:hint="eastAsia" w:ascii="宋体" w:hAnsi="宋体" w:cs="宋体"/>
                <w:color w:val="auto"/>
                <w:sz w:val="24"/>
                <w:highlight w:val="none"/>
              </w:rPr>
              <w:t>质量</w:t>
            </w:r>
          </w:p>
        </w:tc>
        <w:tc>
          <w:tcPr>
            <w:tcW w:w="6978" w:type="dxa"/>
            <w:tcBorders>
              <w:top w:val="single" w:color="000000" w:sz="4" w:space="0"/>
              <w:left w:val="nil"/>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r>
              <w:rPr>
                <w:rFonts w:hint="eastAsia" w:ascii="宋体" w:hAnsi="宋体" w:cs="宋体"/>
                <w:color w:val="auto"/>
                <w:sz w:val="24"/>
                <w:highlight w:val="none"/>
              </w:rPr>
              <w:t>工期</w:t>
            </w:r>
          </w:p>
        </w:tc>
        <w:tc>
          <w:tcPr>
            <w:tcW w:w="6978" w:type="dxa"/>
            <w:tcBorders>
              <w:top w:val="single" w:color="000000" w:sz="4" w:space="0"/>
              <w:left w:val="nil"/>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r>
              <w:rPr>
                <w:rFonts w:hint="eastAsia" w:ascii="宋体" w:hAnsi="宋体" w:cs="宋体"/>
                <w:color w:val="auto"/>
                <w:kern w:val="0"/>
                <w:sz w:val="24"/>
                <w:highlight w:val="none"/>
              </w:rPr>
              <w:t>合同签订后</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日历天</w:t>
            </w:r>
          </w:p>
        </w:tc>
      </w:tr>
      <w:tr>
        <w:tblPrEx>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r>
              <w:rPr>
                <w:rFonts w:hint="eastAsia" w:ascii="宋体" w:hAnsi="宋体" w:cs="宋体"/>
                <w:color w:val="auto"/>
                <w:sz w:val="24"/>
                <w:highlight w:val="none"/>
              </w:rPr>
              <w:t>工程保修期</w:t>
            </w:r>
          </w:p>
        </w:tc>
        <w:tc>
          <w:tcPr>
            <w:tcW w:w="6978" w:type="dxa"/>
            <w:tcBorders>
              <w:top w:val="single" w:color="000000" w:sz="4" w:space="0"/>
              <w:left w:val="nil"/>
              <w:bottom w:val="single" w:color="000000" w:sz="4" w:space="0"/>
              <w:right w:val="single" w:color="000000" w:sz="4" w:space="0"/>
            </w:tcBorders>
            <w:vAlign w:val="center"/>
          </w:tcPr>
          <w:p>
            <w:pPr>
              <w:spacing w:line="540" w:lineRule="exact"/>
              <w:jc w:val="center"/>
              <w:rPr>
                <w:rFonts w:ascii="宋体" w:hAnsi="宋体" w:cs="宋体"/>
                <w:color w:val="auto"/>
                <w:sz w:val="24"/>
                <w:highlight w:val="none"/>
              </w:rPr>
            </w:pPr>
            <w:r>
              <w:rPr>
                <w:rFonts w:hint="eastAsia" w:ascii="宋体" w:hAnsi="宋体" w:cs="宋体"/>
                <w:bCs/>
                <w:color w:val="auto"/>
                <w:sz w:val="24"/>
                <w:highlight w:val="none"/>
              </w:rPr>
              <w:t>自工程验收合格之日起</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年,如因质量问题导致的维修，保修期顺延</w:t>
            </w:r>
          </w:p>
        </w:tc>
      </w:tr>
      <w:tr>
        <w:tblPrEx>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978" w:type="dxa"/>
            <w:tcBorders>
              <w:top w:val="single" w:color="000000" w:sz="4" w:space="0"/>
              <w:left w:val="nil"/>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vAlign w:val="center"/>
          </w:tcPr>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服务承诺</w:t>
            </w:r>
          </w:p>
        </w:tc>
        <w:tc>
          <w:tcPr>
            <w:tcW w:w="6978" w:type="dxa"/>
            <w:tcBorders>
              <w:top w:val="single" w:color="000000" w:sz="4" w:space="0"/>
              <w:left w:val="nil"/>
              <w:bottom w:val="single" w:color="000000" w:sz="4" w:space="0"/>
              <w:right w:val="single" w:color="000000" w:sz="4" w:space="0"/>
            </w:tcBorders>
            <w:vAlign w:val="center"/>
          </w:tcPr>
          <w:p>
            <w:pPr>
              <w:pStyle w:val="115"/>
              <w:rPr>
                <w:rFonts w:ascii="宋体" w:hAnsi="宋体" w:cs="宋体"/>
                <w:color w:val="auto"/>
                <w:sz w:val="24"/>
                <w:szCs w:val="24"/>
                <w:highlight w:val="none"/>
              </w:rPr>
            </w:pPr>
          </w:p>
          <w:p>
            <w:pPr>
              <w:pStyle w:val="115"/>
              <w:jc w:val="center"/>
              <w:rPr>
                <w:rFonts w:ascii="宋体" w:hAnsi="宋体" w:cs="宋体"/>
                <w:color w:val="auto"/>
                <w:sz w:val="24"/>
                <w:szCs w:val="24"/>
                <w:highlight w:val="none"/>
              </w:rPr>
            </w:pPr>
            <w:r>
              <w:rPr>
                <w:rFonts w:hint="eastAsia" w:ascii="宋体" w:hAnsi="宋体" w:cs="宋体"/>
                <w:color w:val="auto"/>
                <w:sz w:val="24"/>
                <w:szCs w:val="24"/>
                <w:highlight w:val="none"/>
              </w:rPr>
              <w:t>（可另附页）</w:t>
            </w:r>
          </w:p>
        </w:tc>
      </w:tr>
    </w:tbl>
    <w:p>
      <w:pPr>
        <w:pStyle w:val="115"/>
        <w:spacing w:line="480" w:lineRule="atLeast"/>
        <w:rPr>
          <w:rFonts w:ascii="宋体" w:hAnsi="宋体" w:cs="宋体"/>
          <w:color w:val="auto"/>
          <w:sz w:val="24"/>
          <w:szCs w:val="24"/>
          <w:highlight w:val="none"/>
        </w:rPr>
      </w:pPr>
    </w:p>
    <w:p>
      <w:pPr>
        <w:pStyle w:val="115"/>
        <w:spacing w:line="560" w:lineRule="atLeast"/>
        <w:rPr>
          <w:rFonts w:ascii="宋体" w:hAnsi="宋体" w:cs="宋体"/>
          <w:color w:val="auto"/>
          <w:sz w:val="24"/>
          <w:szCs w:val="24"/>
          <w:highlight w:val="none"/>
        </w:rPr>
      </w:pPr>
      <w:r>
        <w:rPr>
          <w:rFonts w:hint="eastAsia" w:ascii="宋体" w:hAnsi="宋体" w:cs="宋体"/>
          <w:color w:val="auto"/>
          <w:sz w:val="24"/>
          <w:szCs w:val="24"/>
          <w:highlight w:val="none"/>
        </w:rPr>
        <w:t>申  请  人：（盖章）</w:t>
      </w:r>
    </w:p>
    <w:p>
      <w:pPr>
        <w:pStyle w:val="115"/>
        <w:spacing w:line="560" w:lineRule="atLeas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法定代表人或其委托代理人：（签字或盖章）                                 </w:t>
      </w:r>
    </w:p>
    <w:p>
      <w:pPr>
        <w:pStyle w:val="115"/>
        <w:spacing w:line="560" w:lineRule="atLeast"/>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pPr>
        <w:pStyle w:val="115"/>
        <w:spacing w:line="560" w:lineRule="atLeast"/>
        <w:rPr>
          <w:rFonts w:ascii="宋体" w:hAnsi="宋体" w:cs="宋体"/>
          <w:color w:val="auto"/>
          <w:sz w:val="24"/>
          <w:szCs w:val="24"/>
          <w:highlight w:val="none"/>
        </w:rPr>
      </w:pPr>
    </w:p>
    <w:p>
      <w:pPr>
        <w:pStyle w:val="115"/>
        <w:ind w:firstLine="560"/>
        <w:jc w:val="center"/>
        <w:rPr>
          <w:rFonts w:ascii="宋体" w:hAnsi="宋体" w:cs="宋体"/>
          <w:b/>
          <w:bCs/>
          <w:color w:val="auto"/>
          <w:sz w:val="28"/>
          <w:szCs w:val="28"/>
          <w:highlight w:val="none"/>
        </w:rPr>
      </w:pPr>
      <w:r>
        <w:rPr>
          <w:rFonts w:hint="eastAsia" w:ascii="宋体" w:hAnsi="宋体" w:cs="宋体"/>
          <w:bCs/>
          <w:color w:val="auto"/>
          <w:sz w:val="28"/>
          <w:szCs w:val="28"/>
          <w:highlight w:val="none"/>
        </w:rPr>
        <w:br w:type="page"/>
      </w:r>
      <w:bookmarkStart w:id="120" w:name="_Toc377384917"/>
      <w:r>
        <w:rPr>
          <w:rFonts w:hint="eastAsia" w:ascii="宋体" w:hAnsi="宋体" w:cs="宋体"/>
          <w:b/>
          <w:bCs/>
          <w:color w:val="auto"/>
          <w:sz w:val="28"/>
          <w:szCs w:val="28"/>
          <w:highlight w:val="none"/>
        </w:rPr>
        <w:t>1.2 报价明细表</w:t>
      </w: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（格式自拟，盖单位公章）</w:t>
      </w: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5"/>
        <w:spacing w:before="0" w:after="0"/>
        <w:rPr>
          <w:rFonts w:cs="宋体"/>
          <w:color w:val="auto"/>
          <w:sz w:val="28"/>
          <w:szCs w:val="28"/>
          <w:highlight w:val="none"/>
        </w:rPr>
      </w:pPr>
      <w:bookmarkStart w:id="121" w:name="_Toc36553049"/>
      <w:r>
        <w:rPr>
          <w:rFonts w:hint="eastAsia" w:cs="宋体"/>
          <w:color w:val="auto"/>
          <w:sz w:val="28"/>
          <w:szCs w:val="24"/>
          <w:highlight w:val="none"/>
        </w:rPr>
        <w:t>二、</w:t>
      </w:r>
      <w:bookmarkEnd w:id="120"/>
      <w:r>
        <w:rPr>
          <w:rFonts w:hint="eastAsia" w:cs="宋体"/>
          <w:color w:val="auto"/>
          <w:sz w:val="28"/>
          <w:szCs w:val="24"/>
          <w:highlight w:val="none"/>
        </w:rPr>
        <w:t>供应商资格证明文件</w:t>
      </w:r>
      <w:bookmarkEnd w:id="121"/>
    </w:p>
    <w:p>
      <w:pPr>
        <w:pStyle w:val="115"/>
        <w:rPr>
          <w:rFonts w:ascii="宋体" w:hAnsi="宋体" w:cs="宋体"/>
          <w:color w:val="auto"/>
          <w:highlight w:val="none"/>
        </w:rPr>
      </w:pP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*1.有效的营业执照；</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*2.法定代表人授权书原件及法定代表人、被授权人身份证复印件；</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3.最新年度财务状况报告（2018或2019年度经审计的完整的财务审计报告（需注册会计师签字并盖章）或其基本开户银行（需附开户许可证）出具的资信证明或财政部门认可的政府采购专业担保机构出具的投标担保函）；</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*4.</w:t>
      </w:r>
      <w:r>
        <w:rPr>
          <w:rFonts w:hint="eastAsia" w:hAnsi="宋体" w:cs="宋体"/>
          <w:bCs/>
          <w:iCs/>
          <w:color w:val="auto"/>
          <w:sz w:val="24"/>
          <w:szCs w:val="24"/>
          <w:highlight w:val="none"/>
          <w:lang w:eastAsia="zh-CN"/>
        </w:rPr>
        <w:t>2020年任意月份</w:t>
      </w:r>
      <w:r>
        <w:rPr>
          <w:rFonts w:hint="eastAsia" w:hAnsi="宋体" w:cs="宋体"/>
          <w:bCs/>
          <w:iCs/>
          <w:color w:val="auto"/>
          <w:sz w:val="24"/>
          <w:szCs w:val="24"/>
          <w:highlight w:val="none"/>
        </w:rPr>
        <w:t>依法缴纳税收和</w:t>
      </w:r>
      <w:r>
        <w:rPr>
          <w:color w:val="auto"/>
          <w:highlight w:val="none"/>
        </w:rPr>
        <w:fldChar w:fldCharType="begin"/>
      </w:r>
      <w:r>
        <w:rPr>
          <w:color w:val="auto"/>
          <w:highlight w:val="none"/>
        </w:rPr>
        <w:instrText xml:space="preserve"> HYPERLINK "http://www.so.com/s?q=%E7%A4%BE%E4%BC%9A%E4%BF%9D%E9%9A%9C%E8%B5%84%E9%87%91&amp;ie=utf-8&amp;src=internal_wenda_recommend_textn" \t "https://wenda.so.com/q/_blank" </w:instrText>
      </w:r>
      <w:r>
        <w:rPr>
          <w:color w:val="auto"/>
          <w:highlight w:val="none"/>
        </w:rPr>
        <w:fldChar w:fldCharType="separate"/>
      </w:r>
      <w:r>
        <w:rPr>
          <w:rFonts w:hint="eastAsia" w:hAnsi="宋体" w:cs="宋体"/>
          <w:bCs/>
          <w:iCs/>
          <w:color w:val="auto"/>
          <w:sz w:val="24"/>
          <w:szCs w:val="24"/>
          <w:highlight w:val="none"/>
        </w:rPr>
        <w:t>社会保障资金</w:t>
      </w:r>
      <w:r>
        <w:rPr>
          <w:rFonts w:hint="eastAsia" w:hAnsi="宋体" w:cs="宋体"/>
          <w:bCs/>
          <w:iCs/>
          <w:color w:val="auto"/>
          <w:sz w:val="24"/>
          <w:szCs w:val="24"/>
          <w:highlight w:val="none"/>
        </w:rPr>
        <w:fldChar w:fldCharType="end"/>
      </w:r>
      <w:r>
        <w:rPr>
          <w:rFonts w:hint="eastAsia" w:hAnsi="宋体" w:cs="宋体"/>
          <w:bCs/>
          <w:iCs/>
          <w:color w:val="auto"/>
          <w:sz w:val="24"/>
          <w:szCs w:val="24"/>
          <w:highlight w:val="none"/>
        </w:rPr>
        <w:t>证明材料，新成立企业从成立之日起计算；</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*5.参加政府采购活动前三年内，在经营活动中没有重大违法记录的书面声明（格式自拟）。</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*6.</w:t>
      </w:r>
      <w:r>
        <w:rPr>
          <w:rFonts w:hint="eastAsia" w:hAnsi="宋体" w:cs="宋体"/>
          <w:bCs/>
          <w:iCs/>
          <w:color w:val="auto"/>
          <w:sz w:val="24"/>
          <w:szCs w:val="24"/>
          <w:highlight w:val="none"/>
        </w:rPr>
        <w:t>供应商具有住房和城乡建设行政主管部门核发的建筑工程施工总承包三级及以上资质，</w:t>
      </w:r>
      <w:r>
        <w:rPr>
          <w:rFonts w:hint="eastAsia" w:hAnsi="宋体" w:cs="宋体"/>
          <w:bCs/>
          <w:iCs/>
          <w:color w:val="auto"/>
          <w:sz w:val="24"/>
          <w:szCs w:val="24"/>
          <w:highlight w:val="none"/>
        </w:rPr>
        <w:t>且具有有效的安全生产许可证；</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*7.项目经理应具备建筑工程专业贰级及以上注册建造师证书，及有效的安全生产考核合格证书，且没有正在施工和正在承接的工程的承诺书；</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*8. 政府采购反商业贿赂承诺书原件；</w:t>
      </w:r>
    </w:p>
    <w:p>
      <w:pPr>
        <w:pStyle w:val="22"/>
        <w:spacing w:line="360" w:lineRule="auto"/>
        <w:rPr>
          <w:rFonts w:hAnsi="宋体" w:cs="宋体"/>
          <w:bCs/>
          <w:iCs/>
          <w:color w:val="auto"/>
          <w:sz w:val="24"/>
          <w:szCs w:val="24"/>
          <w:highlight w:val="none"/>
        </w:rPr>
      </w:pPr>
      <w:r>
        <w:rPr>
          <w:rFonts w:hint="eastAsia" w:hAnsi="宋体" w:cs="宋体"/>
          <w:bCs/>
          <w:iCs/>
          <w:color w:val="auto"/>
          <w:sz w:val="24"/>
          <w:szCs w:val="24"/>
          <w:highlight w:val="none"/>
        </w:rPr>
        <w:t>*9.单位负责人为同一个人或者存在控股、管理关系的不同单位不得同时参与该项目的书面声明函（格式自拟）；</w:t>
      </w:r>
    </w:p>
    <w:p>
      <w:pPr>
        <w:spacing w:line="360" w:lineRule="auto"/>
        <w:rPr>
          <w:rFonts w:ascii="宋体" w:hAnsi="宋体" w:cs="宋体"/>
          <w:b/>
          <w:bCs/>
          <w:iCs/>
          <w:color w:val="auto"/>
          <w:kern w:val="0"/>
          <w:sz w:val="24"/>
          <w:highlight w:val="none"/>
        </w:rPr>
      </w:pPr>
      <w:r>
        <w:rPr>
          <w:rFonts w:hint="eastAsia" w:ascii="宋体" w:hAnsi="宋体" w:cs="宋体"/>
          <w:b/>
          <w:bCs/>
          <w:iCs/>
          <w:color w:val="auto"/>
          <w:kern w:val="0"/>
          <w:sz w:val="24"/>
          <w:highlight w:val="none"/>
        </w:rPr>
        <w:t>（以上项要求中，如有供应商成立时限不足要求时限的，由供应商根据自身成立时间提供证明资料）,未提供或未按要求提供的供应商将视为无效响应。</w:t>
      </w:r>
    </w:p>
    <w:p>
      <w:pPr>
        <w:numPr>
          <w:ilvl w:val="0"/>
          <w:numId w:val="10"/>
        </w:numPr>
        <w:spacing w:line="360" w:lineRule="auto"/>
        <w:rPr>
          <w:rFonts w:ascii="宋体" w:hAnsi="宋体" w:cs="宋体"/>
          <w:bCs/>
          <w:iCs/>
          <w:color w:val="auto"/>
          <w:kern w:val="0"/>
          <w:sz w:val="24"/>
          <w:highlight w:val="none"/>
        </w:rPr>
      </w:pPr>
      <w:r>
        <w:rPr>
          <w:rFonts w:hint="eastAsia" w:ascii="宋体" w:hAnsi="宋体" w:cs="宋体"/>
          <w:bCs/>
          <w:iCs/>
          <w:color w:val="auto"/>
          <w:kern w:val="0"/>
          <w:sz w:val="24"/>
          <w:highlight w:val="none"/>
        </w:rPr>
        <w:t>通过“信用中国”网站中查询“失信被执行人”和 “重大税收违法案件当事人名单”（http://www.creditchina.gov.cn/），以及在“中国政府采购网”网站（www.ccgp.gov.cn）中查询“政府采购严重违法失信行为记录名单”共3项的查询结果；</w:t>
      </w:r>
    </w:p>
    <w:p>
      <w:pPr>
        <w:spacing w:line="360" w:lineRule="auto"/>
        <w:rPr>
          <w:rFonts w:ascii="宋体" w:hAnsi="宋体" w:cs="宋体"/>
          <w:bCs/>
          <w:iCs/>
          <w:color w:val="auto"/>
          <w:kern w:val="0"/>
          <w:sz w:val="24"/>
          <w:highlight w:val="none"/>
        </w:rPr>
      </w:pPr>
      <w:r>
        <w:rPr>
          <w:rFonts w:hint="eastAsia" w:ascii="宋体" w:hAnsi="宋体" w:cs="宋体"/>
          <w:bCs/>
          <w:iCs/>
          <w:color w:val="auto"/>
          <w:kern w:val="0"/>
          <w:sz w:val="24"/>
          <w:highlight w:val="none"/>
        </w:rPr>
        <w:t>信用查询时间: 投标截止时间；</w:t>
      </w:r>
    </w:p>
    <w:p>
      <w:pPr>
        <w:spacing w:line="360" w:lineRule="auto"/>
        <w:rPr>
          <w:rFonts w:ascii="宋体" w:hAnsi="宋体" w:cs="宋体"/>
          <w:bCs/>
          <w:iCs/>
          <w:color w:val="auto"/>
          <w:kern w:val="0"/>
          <w:sz w:val="24"/>
          <w:highlight w:val="none"/>
        </w:rPr>
      </w:pPr>
      <w:r>
        <w:rPr>
          <w:rFonts w:hint="eastAsia" w:ascii="宋体" w:hAnsi="宋体" w:cs="宋体"/>
          <w:bCs/>
          <w:iCs/>
          <w:color w:val="auto"/>
          <w:kern w:val="0"/>
          <w:sz w:val="24"/>
          <w:highlight w:val="none"/>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响应文件将被作为无效处理。</w:t>
      </w:r>
    </w:p>
    <w:p>
      <w:pPr>
        <w:spacing w:line="360" w:lineRule="auto"/>
        <w:rPr>
          <w:rFonts w:ascii="宋体" w:hAnsi="宋体" w:cs="宋体"/>
          <w:bCs/>
          <w:iCs/>
          <w:color w:val="auto"/>
          <w:kern w:val="0"/>
          <w:sz w:val="24"/>
          <w:highlight w:val="none"/>
        </w:rPr>
      </w:pPr>
      <w:r>
        <w:rPr>
          <w:rFonts w:hint="eastAsia" w:ascii="宋体" w:hAnsi="宋体" w:cs="宋体"/>
          <w:bCs/>
          <w:iCs/>
          <w:color w:val="auto"/>
          <w:kern w:val="0"/>
          <w:sz w:val="24"/>
          <w:highlight w:val="none"/>
        </w:rPr>
        <w:t>查询及记录方式：采购人开标当日保有对供应商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p>
      <w:pPr>
        <w:spacing w:line="360" w:lineRule="auto"/>
        <w:rPr>
          <w:rFonts w:ascii="宋体" w:hAnsi="宋体" w:cs="宋体"/>
          <w:b/>
          <w:color w:val="auto"/>
          <w:sz w:val="24"/>
          <w:highlight w:val="none"/>
        </w:rPr>
      </w:pPr>
    </w:p>
    <w:p>
      <w:pPr>
        <w:pStyle w:val="115"/>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pStyle w:val="5"/>
        <w:spacing w:before="0" w:after="0"/>
        <w:rPr>
          <w:rFonts w:cs="宋体"/>
          <w:color w:val="auto"/>
          <w:sz w:val="28"/>
          <w:szCs w:val="24"/>
          <w:highlight w:val="none"/>
        </w:rPr>
      </w:pPr>
      <w:bookmarkStart w:id="122" w:name="_Toc377384918"/>
      <w:bookmarkStart w:id="123" w:name="_Toc36553050"/>
      <w:r>
        <w:rPr>
          <w:rFonts w:hint="eastAsia" w:cs="宋体"/>
          <w:color w:val="auto"/>
          <w:sz w:val="28"/>
          <w:szCs w:val="24"/>
          <w:highlight w:val="none"/>
        </w:rPr>
        <w:t>三、法定代表人身份证明书</w:t>
      </w:r>
      <w:bookmarkEnd w:id="122"/>
      <w:bookmarkEnd w:id="123"/>
    </w:p>
    <w:p>
      <w:pPr>
        <w:pStyle w:val="115"/>
        <w:spacing w:line="440" w:lineRule="atLeast"/>
        <w:rPr>
          <w:rFonts w:ascii="宋体" w:hAnsi="宋体" w:cs="宋体"/>
          <w:b/>
          <w:bCs/>
          <w:color w:val="auto"/>
          <w:highlight w:val="none"/>
        </w:rPr>
      </w:pPr>
    </w:p>
    <w:p>
      <w:pPr>
        <w:pStyle w:val="115"/>
        <w:spacing w:line="440" w:lineRule="atLeast"/>
        <w:rPr>
          <w:rFonts w:ascii="宋体" w:hAnsi="宋体" w:cs="宋体"/>
          <w:b/>
          <w:bCs/>
          <w:color w:val="auto"/>
          <w:highlight w:val="none"/>
        </w:rPr>
      </w:pPr>
    </w:p>
    <w:p>
      <w:pPr>
        <w:pStyle w:val="115"/>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pStyle w:val="115"/>
        <w:spacing w:line="440" w:lineRule="atLeast"/>
        <w:rPr>
          <w:rFonts w:ascii="宋体" w:hAnsi="宋体" w:cs="宋体"/>
          <w:color w:val="auto"/>
          <w:sz w:val="24"/>
          <w:szCs w:val="24"/>
          <w:highlight w:val="none"/>
          <w:u w:val="singl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pStyle w:val="115"/>
        <w:spacing w:line="440" w:lineRule="atLeas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pStyle w:val="115"/>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成立时间：年月日</w:t>
      </w:r>
    </w:p>
    <w:p>
      <w:pPr>
        <w:pStyle w:val="115"/>
        <w:spacing w:line="440" w:lineRule="atLeast"/>
        <w:rPr>
          <w:rFonts w:ascii="宋体" w:hAnsi="宋体" w:cs="宋体"/>
          <w:color w:val="auto"/>
          <w:sz w:val="24"/>
          <w:szCs w:val="24"/>
          <w:highlight w:val="none"/>
          <w:u w:val="singl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pStyle w:val="115"/>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姓    名： 性别：年龄： 职务：</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（供应商单位名称）         </w:t>
      </w:r>
      <w:r>
        <w:rPr>
          <w:rFonts w:hint="eastAsia" w:ascii="宋体" w:hAnsi="宋体" w:cs="宋体"/>
          <w:color w:val="auto"/>
          <w:sz w:val="24"/>
          <w:szCs w:val="24"/>
          <w:highlight w:val="none"/>
        </w:rPr>
        <w:t>的法定代表人。</w:t>
      </w:r>
    </w:p>
    <w:p>
      <w:pPr>
        <w:pStyle w:val="115"/>
        <w:spacing w:line="440" w:lineRule="atLeast"/>
        <w:rPr>
          <w:rFonts w:ascii="宋体" w:hAnsi="宋体" w:cs="宋体"/>
          <w:color w:val="auto"/>
          <w:sz w:val="24"/>
          <w:szCs w:val="24"/>
          <w:highlight w:val="none"/>
        </w:rPr>
      </w:pPr>
    </w:p>
    <w:p>
      <w:pPr>
        <w:pStyle w:val="115"/>
        <w:spacing w:line="440" w:lineRule="atLeast"/>
        <w:ind w:firstLine="109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pStyle w:val="115"/>
        <w:spacing w:line="440" w:lineRule="atLeast"/>
        <w:ind w:firstLine="5040"/>
        <w:rPr>
          <w:rFonts w:ascii="宋体" w:hAnsi="宋体" w:cs="宋体"/>
          <w:color w:val="auto"/>
          <w:sz w:val="24"/>
          <w:szCs w:val="24"/>
          <w:highlight w:val="none"/>
        </w:rPr>
      </w:pPr>
    </w:p>
    <w:p>
      <w:pPr>
        <w:pStyle w:val="115"/>
        <w:spacing w:line="440" w:lineRule="atLeast"/>
        <w:ind w:firstLine="5040"/>
        <w:rPr>
          <w:rFonts w:ascii="宋体" w:hAnsi="宋体" w:cs="宋体"/>
          <w:color w:val="auto"/>
          <w:sz w:val="24"/>
          <w:szCs w:val="24"/>
          <w:highlight w:val="none"/>
        </w:rPr>
      </w:pPr>
    </w:p>
    <w:p>
      <w:pPr>
        <w:pStyle w:val="115"/>
        <w:spacing w:line="440" w:lineRule="atLeast"/>
        <w:ind w:firstLine="5040"/>
        <w:rPr>
          <w:rFonts w:ascii="宋体" w:hAnsi="宋体" w:cs="宋体"/>
          <w:color w:val="auto"/>
          <w:sz w:val="24"/>
          <w:szCs w:val="24"/>
          <w:highlight w:val="none"/>
        </w:rPr>
      </w:pPr>
    </w:p>
    <w:p>
      <w:pPr>
        <w:pStyle w:val="115"/>
        <w:spacing w:line="440" w:lineRule="atLeast"/>
        <w:ind w:firstLine="5040"/>
        <w:rPr>
          <w:rFonts w:ascii="宋体" w:hAnsi="宋体" w:cs="宋体"/>
          <w:color w:val="auto"/>
          <w:sz w:val="24"/>
          <w:szCs w:val="24"/>
          <w:highlight w:val="none"/>
        </w:rPr>
      </w:pPr>
    </w:p>
    <w:p>
      <w:pPr>
        <w:pStyle w:val="115"/>
        <w:spacing w:line="440" w:lineRule="atLeast"/>
        <w:ind w:firstLine="5040"/>
        <w:rPr>
          <w:rFonts w:ascii="宋体" w:hAnsi="宋体" w:cs="宋体"/>
          <w:color w:val="auto"/>
          <w:sz w:val="24"/>
          <w:szCs w:val="24"/>
          <w:highlight w:val="none"/>
        </w:rPr>
      </w:pPr>
    </w:p>
    <w:p>
      <w:pPr>
        <w:pStyle w:val="115"/>
        <w:spacing w:line="440" w:lineRule="atLeast"/>
        <w:ind w:firstLine="5040"/>
        <w:rPr>
          <w:rFonts w:ascii="宋体" w:hAnsi="宋体" w:cs="宋体"/>
          <w:color w:val="auto"/>
          <w:sz w:val="24"/>
          <w:szCs w:val="24"/>
          <w:highlight w:val="none"/>
        </w:rPr>
      </w:pPr>
    </w:p>
    <w:p>
      <w:pPr>
        <w:pStyle w:val="115"/>
        <w:spacing w:line="560" w:lineRule="atLeast"/>
        <w:ind w:firstLine="2729"/>
        <w:rPr>
          <w:rFonts w:ascii="宋体" w:hAnsi="宋体" w:cs="宋体"/>
          <w:color w:val="auto"/>
          <w:sz w:val="24"/>
          <w:szCs w:val="24"/>
          <w:highlight w:val="none"/>
        </w:rPr>
      </w:pPr>
      <w:r>
        <w:rPr>
          <w:rFonts w:hint="eastAsia" w:ascii="宋体" w:hAnsi="宋体" w:cs="宋体"/>
          <w:color w:val="auto"/>
          <w:sz w:val="24"/>
          <w:szCs w:val="24"/>
          <w:highlight w:val="none"/>
        </w:rPr>
        <w:t>供应商：                     （盖章）</w:t>
      </w:r>
    </w:p>
    <w:p>
      <w:pPr>
        <w:pStyle w:val="115"/>
        <w:spacing w:line="560" w:lineRule="atLeast"/>
        <w:ind w:firstLine="2729"/>
        <w:rPr>
          <w:rFonts w:ascii="宋体" w:hAnsi="宋体" w:cs="宋体"/>
          <w:color w:val="auto"/>
          <w:highlight w:val="none"/>
        </w:rPr>
      </w:pPr>
      <w:r>
        <w:rPr>
          <w:rFonts w:hint="eastAsia" w:ascii="宋体" w:hAnsi="宋体" w:cs="宋体"/>
          <w:color w:val="auto"/>
          <w:sz w:val="24"/>
          <w:szCs w:val="24"/>
          <w:highlight w:val="none"/>
        </w:rPr>
        <w:t>日      期：     年   月  日</w:t>
      </w: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115"/>
        <w:ind w:firstLine="560"/>
        <w:jc w:val="center"/>
        <w:rPr>
          <w:rFonts w:ascii="宋体" w:hAnsi="宋体" w:cs="宋体"/>
          <w:b/>
          <w:bCs/>
          <w:color w:val="auto"/>
          <w:sz w:val="28"/>
          <w:szCs w:val="28"/>
          <w:highlight w:val="none"/>
        </w:rPr>
      </w:pPr>
    </w:p>
    <w:p>
      <w:pPr>
        <w:pStyle w:val="5"/>
        <w:spacing w:before="0" w:after="0"/>
        <w:rPr>
          <w:rFonts w:cs="宋体"/>
          <w:color w:val="auto"/>
          <w:sz w:val="28"/>
          <w:szCs w:val="24"/>
          <w:highlight w:val="none"/>
        </w:rPr>
      </w:pPr>
      <w:bookmarkStart w:id="124" w:name="_Toc377384919"/>
      <w:bookmarkStart w:id="125" w:name="_Toc36553051"/>
      <w:r>
        <w:rPr>
          <w:rFonts w:hint="eastAsia" w:cs="宋体"/>
          <w:color w:val="auto"/>
          <w:sz w:val="28"/>
          <w:szCs w:val="24"/>
          <w:highlight w:val="none"/>
        </w:rPr>
        <w:t>四、授权委托书</w:t>
      </w:r>
      <w:bookmarkEnd w:id="124"/>
      <w:bookmarkEnd w:id="125"/>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（供应商名称）</w:t>
      </w:r>
      <w:r>
        <w:rPr>
          <w:rFonts w:hint="eastAsia" w:ascii="宋体" w:hAnsi="宋体" w:cs="宋体"/>
          <w:color w:val="auto"/>
          <w:sz w:val="24"/>
          <w:szCs w:val="24"/>
          <w:highlight w:val="none"/>
        </w:rPr>
        <w:t>的法定代表人，现委托</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磋商响应文件、签订合同和处理有关事宜，其法律后果由我方承担。</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委托期限：。</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附：法定代表人身份证明及授权委托代理人身份证</w:t>
      </w:r>
    </w:p>
    <w:p>
      <w:pPr>
        <w:pStyle w:val="115"/>
        <w:spacing w:line="360" w:lineRule="auto"/>
        <w:ind w:firstLine="480"/>
        <w:rPr>
          <w:rFonts w:ascii="宋体" w:hAnsi="宋体" w:cs="宋体"/>
          <w:color w:val="auto"/>
          <w:sz w:val="24"/>
          <w:szCs w:val="24"/>
          <w:highlight w:val="none"/>
        </w:rPr>
      </w:pPr>
    </w:p>
    <w:p>
      <w:pPr>
        <w:pStyle w:val="115"/>
        <w:spacing w:line="360" w:lineRule="auto"/>
        <w:ind w:firstLine="480"/>
        <w:rPr>
          <w:rFonts w:ascii="宋体" w:hAnsi="宋体" w:cs="宋体"/>
          <w:color w:val="auto"/>
          <w:sz w:val="24"/>
          <w:szCs w:val="24"/>
          <w:highlight w:val="none"/>
        </w:rPr>
      </w:pPr>
    </w:p>
    <w:p>
      <w:pPr>
        <w:pStyle w:val="115"/>
        <w:spacing w:line="360" w:lineRule="auto"/>
        <w:rPr>
          <w:rFonts w:ascii="宋体" w:hAnsi="宋体" w:cs="宋体"/>
          <w:color w:val="auto"/>
          <w:sz w:val="24"/>
          <w:szCs w:val="24"/>
          <w:highlight w:val="none"/>
        </w:rPr>
      </w:pP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（盖章）                 </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           </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pPr>
        <w:pStyle w:val="115"/>
        <w:spacing w:line="360" w:lineRule="auto"/>
        <w:ind w:firstLine="461"/>
        <w:rPr>
          <w:rFonts w:ascii="宋体" w:hAnsi="宋体" w:cs="宋体"/>
          <w:color w:val="auto"/>
          <w:sz w:val="24"/>
          <w:szCs w:val="24"/>
          <w:highlight w:val="none"/>
        </w:rPr>
      </w:pP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（签字）          </w:t>
      </w:r>
    </w:p>
    <w:p>
      <w:pPr>
        <w:pStyle w:val="115"/>
        <w:spacing w:line="360" w:lineRule="auto"/>
        <w:ind w:left="141" w:right="281" w:firstLine="566"/>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pPr>
        <w:pStyle w:val="115"/>
        <w:spacing w:line="360" w:lineRule="auto"/>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r>
        <w:rPr>
          <w:rFonts w:hint="eastAsia" w:ascii="宋体" w:hAnsi="宋体" w:cs="宋体"/>
          <w:color w:val="auto"/>
          <w:sz w:val="24"/>
          <w:szCs w:val="24"/>
          <w:highlight w:val="none"/>
        </w:rPr>
        <w:t>年月日</w:t>
      </w: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115"/>
        <w:spacing w:line="360" w:lineRule="auto"/>
        <w:ind w:left="2520" w:right="359"/>
        <w:jc w:val="center"/>
        <w:rPr>
          <w:rFonts w:ascii="宋体" w:hAnsi="宋体" w:cs="宋体"/>
          <w:color w:val="auto"/>
          <w:sz w:val="24"/>
          <w:szCs w:val="24"/>
          <w:highlight w:val="none"/>
        </w:rPr>
      </w:pPr>
    </w:p>
    <w:p>
      <w:pPr>
        <w:pStyle w:val="5"/>
        <w:spacing w:before="0" w:after="0"/>
        <w:rPr>
          <w:rFonts w:cs="宋体"/>
          <w:color w:val="auto"/>
          <w:sz w:val="28"/>
          <w:szCs w:val="24"/>
          <w:highlight w:val="none"/>
        </w:rPr>
      </w:pPr>
      <w:bookmarkStart w:id="126" w:name="_Toc36553052"/>
      <w:r>
        <w:rPr>
          <w:rFonts w:hint="eastAsia" w:cs="宋体"/>
          <w:color w:val="auto"/>
          <w:sz w:val="28"/>
          <w:szCs w:val="24"/>
          <w:highlight w:val="none"/>
        </w:rPr>
        <w:br w:type="page"/>
      </w:r>
      <w:r>
        <w:rPr>
          <w:rFonts w:hint="eastAsia" w:cs="宋体"/>
          <w:color w:val="auto"/>
          <w:sz w:val="28"/>
          <w:szCs w:val="24"/>
          <w:highlight w:val="none"/>
        </w:rPr>
        <w:t>五、</w:t>
      </w:r>
      <w:bookmarkEnd w:id="126"/>
      <w:bookmarkStart w:id="127" w:name="_Toc152042585"/>
      <w:bookmarkStart w:id="128" w:name="_Toc144974864"/>
      <w:bookmarkStart w:id="129" w:name="_Toc420920975"/>
      <w:bookmarkStart w:id="130" w:name="_Toc398239087"/>
      <w:bookmarkStart w:id="131" w:name="_Toc152045796"/>
      <w:r>
        <w:rPr>
          <w:rFonts w:hint="eastAsia" w:cs="宋体"/>
          <w:color w:val="auto"/>
          <w:sz w:val="28"/>
          <w:szCs w:val="24"/>
          <w:highlight w:val="none"/>
        </w:rPr>
        <w:t>施工组织设计</w:t>
      </w:r>
      <w:bookmarkEnd w:id="127"/>
      <w:bookmarkEnd w:id="128"/>
      <w:bookmarkEnd w:id="129"/>
      <w:bookmarkEnd w:id="130"/>
      <w:bookmarkEnd w:id="131"/>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应根据本次招标项目的内容和特点进行针对性的编制。</w:t>
      </w: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140"/>
        <w:spacing w:line="480" w:lineRule="exact"/>
        <w:ind w:firstLine="480" w:firstLineChars="200"/>
        <w:rPr>
          <w:rFonts w:ascii="宋体" w:hAnsi="宋体" w:eastAsia="宋体" w:cs="宋体"/>
          <w:color w:val="auto"/>
          <w:sz w:val="24"/>
          <w:highlight w:val="none"/>
        </w:rPr>
      </w:pPr>
    </w:p>
    <w:p>
      <w:pPr>
        <w:pStyle w:val="5"/>
        <w:spacing w:before="0" w:after="0"/>
        <w:ind w:left="420" w:firstLine="420"/>
        <w:rPr>
          <w:rFonts w:cs="宋体"/>
          <w:color w:val="auto"/>
          <w:sz w:val="28"/>
          <w:szCs w:val="24"/>
          <w:highlight w:val="none"/>
          <w:lang w:val="zh-CN"/>
        </w:rPr>
      </w:pPr>
      <w:bookmarkStart w:id="132" w:name="_Toc36553053"/>
      <w:r>
        <w:rPr>
          <w:rFonts w:hint="eastAsia" w:cs="宋体"/>
          <w:color w:val="auto"/>
          <w:sz w:val="28"/>
          <w:szCs w:val="24"/>
          <w:highlight w:val="none"/>
          <w:lang w:val="zh-CN"/>
        </w:rPr>
        <w:br w:type="page"/>
      </w:r>
      <w:r>
        <w:rPr>
          <w:rFonts w:hint="eastAsia" w:cs="宋体"/>
          <w:color w:val="auto"/>
          <w:sz w:val="28"/>
          <w:szCs w:val="24"/>
          <w:highlight w:val="none"/>
          <w:lang w:val="zh-CN"/>
        </w:rPr>
        <w:t>六、企业实力企业业绩证明材料</w:t>
      </w:r>
      <w:bookmarkEnd w:id="132"/>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600" w:firstLineChars="200"/>
        <w:jc w:val="center"/>
        <w:rPr>
          <w:rFonts w:ascii="宋体" w:hAnsi="宋体" w:eastAsia="宋体" w:cs="宋体"/>
          <w:b/>
          <w:color w:val="auto"/>
          <w:sz w:val="30"/>
          <w:szCs w:val="36"/>
          <w:highlight w:val="none"/>
          <w:lang w:val="zh-CN"/>
        </w:rPr>
      </w:pPr>
    </w:p>
    <w:p>
      <w:pPr>
        <w:pStyle w:val="140"/>
        <w:spacing w:line="480" w:lineRule="exact"/>
        <w:ind w:firstLine="480" w:firstLineChars="200"/>
        <w:rPr>
          <w:rFonts w:ascii="宋体" w:hAnsi="宋体" w:eastAsia="宋体" w:cs="宋体"/>
          <w:color w:val="auto"/>
          <w:sz w:val="24"/>
          <w:highlight w:val="none"/>
        </w:rPr>
      </w:pPr>
    </w:p>
    <w:p>
      <w:pPr>
        <w:pStyle w:val="5"/>
        <w:spacing w:afterLines="29" w:line="480" w:lineRule="auto"/>
        <w:rPr>
          <w:rFonts w:cs="宋体"/>
          <w:bCs/>
          <w:color w:val="auto"/>
          <w:sz w:val="24"/>
          <w:highlight w:val="none"/>
        </w:rPr>
      </w:pPr>
      <w:bookmarkStart w:id="133" w:name="_Toc2083"/>
      <w:bookmarkStart w:id="134" w:name="_Toc358213385"/>
      <w:bookmarkStart w:id="135" w:name="_Toc16967"/>
      <w:bookmarkStart w:id="136" w:name="_Toc15594"/>
      <w:bookmarkStart w:id="137" w:name="_Toc36553054"/>
      <w:r>
        <w:rPr>
          <w:rFonts w:hint="eastAsia" w:cs="宋体"/>
          <w:color w:val="auto"/>
          <w:szCs w:val="36"/>
          <w:highlight w:val="none"/>
          <w:lang w:val="zh-CN"/>
        </w:rPr>
        <w:t>七、</w:t>
      </w:r>
      <w:bookmarkEnd w:id="133"/>
      <w:bookmarkEnd w:id="134"/>
      <w:bookmarkEnd w:id="135"/>
      <w:bookmarkEnd w:id="136"/>
      <w:r>
        <w:rPr>
          <w:rFonts w:hint="eastAsia" w:cs="宋体"/>
          <w:color w:val="auto"/>
          <w:szCs w:val="36"/>
          <w:highlight w:val="none"/>
          <w:lang w:val="zh-CN"/>
        </w:rPr>
        <w:t>项目管理小组</w:t>
      </w:r>
      <w:bookmarkEnd w:id="13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57"/>
        <w:gridCol w:w="1961"/>
        <w:gridCol w:w="19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r>
              <w:rPr>
                <w:rFonts w:hint="eastAsia" w:ascii="宋体" w:hAnsi="宋体" w:cs="宋体"/>
                <w:bCs/>
                <w:color w:val="auto"/>
                <w:sz w:val="24"/>
                <w:highlight w:val="none"/>
              </w:rPr>
              <w:t>序号</w:t>
            </w:r>
          </w:p>
        </w:tc>
        <w:tc>
          <w:tcPr>
            <w:tcW w:w="1620" w:type="dxa"/>
          </w:tcPr>
          <w:p>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人员姓名</w:t>
            </w:r>
          </w:p>
        </w:tc>
        <w:tc>
          <w:tcPr>
            <w:tcW w:w="1857" w:type="dxa"/>
          </w:tcPr>
          <w:p>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证书</w:t>
            </w:r>
          </w:p>
        </w:tc>
        <w:tc>
          <w:tcPr>
            <w:tcW w:w="1961" w:type="dxa"/>
          </w:tcPr>
          <w:p>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证书号</w:t>
            </w:r>
          </w:p>
        </w:tc>
        <w:tc>
          <w:tcPr>
            <w:tcW w:w="1922" w:type="dxa"/>
          </w:tcPr>
          <w:p>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专业</w:t>
            </w:r>
          </w:p>
        </w:tc>
        <w:tc>
          <w:tcPr>
            <w:tcW w:w="1276" w:type="dxa"/>
          </w:tcPr>
          <w:p>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80" w:lineRule="exact"/>
              <w:rPr>
                <w:rFonts w:ascii="宋体" w:hAnsi="宋体" w:cs="宋体"/>
                <w:bCs/>
                <w:color w:val="auto"/>
                <w:sz w:val="24"/>
                <w:highlight w:val="none"/>
              </w:rPr>
            </w:pPr>
          </w:p>
        </w:tc>
        <w:tc>
          <w:tcPr>
            <w:tcW w:w="1620" w:type="dxa"/>
          </w:tcPr>
          <w:p>
            <w:pPr>
              <w:spacing w:line="480" w:lineRule="exact"/>
              <w:rPr>
                <w:rFonts w:ascii="宋体" w:hAnsi="宋体" w:cs="宋体"/>
                <w:bCs/>
                <w:color w:val="auto"/>
                <w:sz w:val="24"/>
                <w:highlight w:val="none"/>
              </w:rPr>
            </w:pPr>
          </w:p>
        </w:tc>
        <w:tc>
          <w:tcPr>
            <w:tcW w:w="1857" w:type="dxa"/>
          </w:tcPr>
          <w:p>
            <w:pPr>
              <w:spacing w:line="480" w:lineRule="exact"/>
              <w:rPr>
                <w:rFonts w:ascii="宋体" w:hAnsi="宋体" w:cs="宋体"/>
                <w:bCs/>
                <w:color w:val="auto"/>
                <w:sz w:val="24"/>
                <w:highlight w:val="none"/>
              </w:rPr>
            </w:pPr>
          </w:p>
        </w:tc>
        <w:tc>
          <w:tcPr>
            <w:tcW w:w="1961" w:type="dxa"/>
          </w:tcPr>
          <w:p>
            <w:pPr>
              <w:spacing w:line="480" w:lineRule="exact"/>
              <w:rPr>
                <w:rFonts w:ascii="宋体" w:hAnsi="宋体" w:cs="宋体"/>
                <w:bCs/>
                <w:color w:val="auto"/>
                <w:sz w:val="24"/>
                <w:highlight w:val="none"/>
              </w:rPr>
            </w:pPr>
          </w:p>
        </w:tc>
        <w:tc>
          <w:tcPr>
            <w:tcW w:w="1922" w:type="dxa"/>
          </w:tcPr>
          <w:p>
            <w:pPr>
              <w:spacing w:line="480" w:lineRule="exact"/>
              <w:rPr>
                <w:rFonts w:ascii="宋体" w:hAnsi="宋体" w:cs="宋体"/>
                <w:bCs/>
                <w:color w:val="auto"/>
                <w:sz w:val="24"/>
                <w:highlight w:val="none"/>
              </w:rPr>
            </w:pPr>
          </w:p>
        </w:tc>
        <w:tc>
          <w:tcPr>
            <w:tcW w:w="1276" w:type="dxa"/>
          </w:tcPr>
          <w:p>
            <w:pPr>
              <w:spacing w:line="480" w:lineRule="exact"/>
              <w:rPr>
                <w:rFonts w:ascii="宋体" w:hAnsi="宋体" w:cs="宋体"/>
                <w:bCs/>
                <w:color w:val="auto"/>
                <w:sz w:val="24"/>
                <w:highlight w:val="none"/>
              </w:rPr>
            </w:pPr>
          </w:p>
        </w:tc>
      </w:tr>
    </w:tbl>
    <w:p>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人员相关证书记录附后</w:t>
      </w:r>
    </w:p>
    <w:p>
      <w:pPr>
        <w:spacing w:line="480" w:lineRule="exact"/>
        <w:ind w:firstLine="480" w:firstLineChars="200"/>
        <w:rPr>
          <w:rFonts w:ascii="宋体" w:hAnsi="宋体" w:cs="宋体"/>
          <w:bCs/>
          <w:color w:val="auto"/>
          <w:sz w:val="24"/>
          <w:highlight w:val="none"/>
        </w:rPr>
      </w:pPr>
    </w:p>
    <w:p>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我公司承诺如中标后发现我单位未安排以上人员组建项目管理小组的情况，我单位自愿放弃中标资格。</w:t>
      </w: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u w:val="single"/>
        </w:rPr>
      </w:pPr>
      <w:r>
        <w:rPr>
          <w:rFonts w:hint="eastAsia" w:ascii="宋体" w:hAnsi="宋体" w:cs="宋体"/>
          <w:bCs/>
          <w:color w:val="auto"/>
          <w:sz w:val="24"/>
          <w:highlight w:val="none"/>
        </w:rPr>
        <w:t>供应商（加盖单位公章）：</w:t>
      </w:r>
    </w:p>
    <w:p>
      <w:pPr>
        <w:spacing w:line="480" w:lineRule="exact"/>
        <w:rPr>
          <w:rFonts w:ascii="宋体" w:hAnsi="宋体" w:cs="宋体"/>
          <w:bCs/>
          <w:color w:val="auto"/>
          <w:sz w:val="24"/>
          <w:highlight w:val="none"/>
        </w:rPr>
      </w:pPr>
    </w:p>
    <w:p>
      <w:pPr>
        <w:spacing w:line="480" w:lineRule="exact"/>
        <w:ind w:firstLine="120" w:firstLineChars="50"/>
        <w:rPr>
          <w:rFonts w:ascii="宋体" w:hAnsi="宋体" w:cs="宋体"/>
          <w:bCs/>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（签字）</w:t>
      </w:r>
    </w:p>
    <w:p>
      <w:pPr>
        <w:spacing w:line="500" w:lineRule="exact"/>
        <w:rPr>
          <w:rFonts w:ascii="宋体" w:hAnsi="宋体" w:cs="宋体"/>
          <w:color w:val="auto"/>
          <w:sz w:val="24"/>
          <w:highlight w:val="none"/>
          <w:u w:val="single"/>
        </w:rPr>
      </w:pPr>
    </w:p>
    <w:p>
      <w:pPr>
        <w:spacing w:line="480" w:lineRule="exact"/>
        <w:ind w:firstLine="120" w:firstLineChars="50"/>
        <w:rPr>
          <w:rFonts w:ascii="宋体" w:hAnsi="宋体" w:cs="宋体"/>
          <w:bCs/>
          <w:color w:val="auto"/>
          <w:sz w:val="24"/>
          <w:highlight w:val="none"/>
        </w:rPr>
      </w:pPr>
      <w:r>
        <w:rPr>
          <w:rFonts w:hint="eastAsia" w:ascii="宋体" w:hAnsi="宋体" w:cs="宋体"/>
          <w:color w:val="auto"/>
          <w:sz w:val="24"/>
          <w:highlight w:val="none"/>
        </w:rPr>
        <w:t>日    期：年 月 日</w:t>
      </w:r>
    </w:p>
    <w:p>
      <w:pPr>
        <w:pStyle w:val="140"/>
        <w:spacing w:line="480" w:lineRule="exact"/>
        <w:ind w:firstLine="480" w:firstLineChars="200"/>
        <w:rPr>
          <w:rFonts w:ascii="宋体" w:hAnsi="宋体" w:eastAsia="宋体" w:cs="宋体"/>
          <w:color w:val="auto"/>
          <w:sz w:val="24"/>
          <w:highlight w:val="none"/>
        </w:rPr>
      </w:pPr>
    </w:p>
    <w:p>
      <w:pPr>
        <w:pStyle w:val="115"/>
        <w:snapToGrid w:val="0"/>
        <w:spacing w:line="360" w:lineRule="auto"/>
        <w:ind w:firstLine="960"/>
        <w:rPr>
          <w:rFonts w:ascii="宋体" w:hAnsi="宋体" w:cs="宋体"/>
          <w:color w:val="auto"/>
          <w:sz w:val="24"/>
          <w:szCs w:val="24"/>
          <w:highlight w:val="none"/>
        </w:rPr>
      </w:pPr>
    </w:p>
    <w:p>
      <w:pPr>
        <w:pStyle w:val="115"/>
        <w:snapToGrid w:val="0"/>
        <w:spacing w:line="360" w:lineRule="auto"/>
        <w:ind w:firstLine="960"/>
        <w:rPr>
          <w:rFonts w:ascii="宋体" w:hAnsi="宋体" w:cs="宋体"/>
          <w:color w:val="auto"/>
          <w:sz w:val="24"/>
          <w:szCs w:val="24"/>
          <w:highlight w:val="none"/>
        </w:rPr>
      </w:pPr>
    </w:p>
    <w:p>
      <w:pPr>
        <w:pStyle w:val="115"/>
        <w:snapToGrid w:val="0"/>
        <w:spacing w:line="360" w:lineRule="auto"/>
        <w:ind w:firstLine="960"/>
        <w:rPr>
          <w:rFonts w:ascii="宋体" w:hAnsi="宋体" w:cs="宋体"/>
          <w:color w:val="auto"/>
          <w:sz w:val="24"/>
          <w:szCs w:val="24"/>
          <w:highlight w:val="none"/>
        </w:rPr>
      </w:pPr>
    </w:p>
    <w:p>
      <w:pPr>
        <w:pStyle w:val="115"/>
        <w:snapToGrid w:val="0"/>
        <w:spacing w:line="360" w:lineRule="auto"/>
        <w:ind w:firstLine="960"/>
        <w:rPr>
          <w:rFonts w:ascii="宋体" w:hAnsi="宋体" w:cs="宋体"/>
          <w:color w:val="auto"/>
          <w:sz w:val="24"/>
          <w:szCs w:val="24"/>
          <w:highlight w:val="none"/>
        </w:rPr>
      </w:pPr>
    </w:p>
    <w:p>
      <w:pPr>
        <w:rPr>
          <w:rFonts w:ascii="宋体" w:hAnsi="宋体" w:cs="宋体"/>
          <w:color w:val="auto"/>
          <w:highlight w:val="none"/>
        </w:rPr>
      </w:pPr>
    </w:p>
    <w:p>
      <w:pPr>
        <w:rPr>
          <w:rFonts w:ascii="宋体" w:hAnsi="宋体" w:cs="宋体"/>
          <w:color w:val="auto"/>
          <w:highlight w:val="none"/>
        </w:rPr>
      </w:pPr>
    </w:p>
    <w:p>
      <w:pPr>
        <w:spacing w:line="480" w:lineRule="exact"/>
        <w:rPr>
          <w:rFonts w:ascii="宋体" w:hAnsi="宋体" w:cs="宋体"/>
          <w:bCs/>
          <w:color w:val="auto"/>
          <w:sz w:val="24"/>
          <w:highlight w:val="none"/>
        </w:rPr>
      </w:pPr>
    </w:p>
    <w:p>
      <w:pPr>
        <w:pStyle w:val="5"/>
        <w:spacing w:before="0" w:after="0"/>
        <w:rPr>
          <w:rFonts w:cs="宋体"/>
          <w:color w:val="auto"/>
          <w:sz w:val="28"/>
          <w:szCs w:val="24"/>
          <w:highlight w:val="none"/>
        </w:rPr>
      </w:pPr>
      <w:bookmarkStart w:id="138" w:name="_Toc36553055"/>
      <w:r>
        <w:rPr>
          <w:rFonts w:hint="eastAsia" w:cs="宋体"/>
          <w:color w:val="auto"/>
          <w:sz w:val="28"/>
          <w:szCs w:val="24"/>
          <w:highlight w:val="none"/>
        </w:rPr>
        <w:t>八、服务承诺</w:t>
      </w:r>
      <w:bookmarkEnd w:id="138"/>
    </w:p>
    <w:p>
      <w:pPr>
        <w:spacing w:line="360" w:lineRule="auto"/>
        <w:ind w:left="359"/>
        <w:rPr>
          <w:rFonts w:ascii="宋体" w:hAnsi="宋体" w:cs="宋体"/>
          <w:color w:val="auto"/>
          <w:sz w:val="24"/>
          <w:highlight w:val="none"/>
        </w:rPr>
      </w:pPr>
    </w:p>
    <w:p>
      <w:pPr>
        <w:widowControl/>
        <w:spacing w:line="360" w:lineRule="auto"/>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我公司承诺：</w:t>
      </w:r>
    </w:p>
    <w:p>
      <w:pPr>
        <w:spacing w:line="360" w:lineRule="auto"/>
        <w:ind w:left="359"/>
        <w:rPr>
          <w:rFonts w:ascii="宋体" w:hAnsi="宋体" w:cs="宋体"/>
          <w:color w:val="auto"/>
          <w:sz w:val="24"/>
          <w:highlight w:val="none"/>
        </w:rPr>
      </w:pPr>
      <w:r>
        <w:rPr>
          <w:rFonts w:hint="eastAsia" w:ascii="宋体" w:hAnsi="宋体" w:cs="宋体"/>
          <w:color w:val="auto"/>
          <w:sz w:val="24"/>
          <w:highlight w:val="none"/>
        </w:rPr>
        <w:t>在河南省化工研究所有限责任公司二噁英检测与控制工程技术研究中心基础配套设施维修改造工程项目采购活动中，我公司承诺如下：</w:t>
      </w:r>
    </w:p>
    <w:p>
      <w:pPr>
        <w:spacing w:line="360" w:lineRule="auto"/>
        <w:ind w:left="359"/>
        <w:rPr>
          <w:rFonts w:ascii="宋体" w:hAnsi="宋体" w:cs="宋体"/>
          <w:color w:val="auto"/>
          <w:sz w:val="24"/>
          <w:highlight w:val="none"/>
        </w:rPr>
      </w:pPr>
    </w:p>
    <w:p>
      <w:pPr>
        <w:spacing w:line="360" w:lineRule="auto"/>
        <w:ind w:left="359"/>
        <w:rPr>
          <w:rFonts w:ascii="宋体" w:hAnsi="宋体" w:cs="宋体"/>
          <w:color w:val="auto"/>
          <w:sz w:val="24"/>
          <w:highlight w:val="none"/>
        </w:rPr>
      </w:pPr>
    </w:p>
    <w:p>
      <w:pPr>
        <w:spacing w:line="360" w:lineRule="auto"/>
        <w:ind w:left="359"/>
        <w:rPr>
          <w:rFonts w:ascii="宋体" w:hAnsi="宋体" w:cs="宋体"/>
          <w:color w:val="auto"/>
          <w:sz w:val="24"/>
          <w:highlight w:val="none"/>
        </w:rPr>
      </w:pPr>
      <w:r>
        <w:rPr>
          <w:rFonts w:hint="eastAsia" w:ascii="宋体" w:hAnsi="宋体" w:cs="宋体"/>
          <w:color w:val="auto"/>
          <w:sz w:val="24"/>
          <w:highlight w:val="none"/>
        </w:rPr>
        <w:t>（承诺内容）</w:t>
      </w:r>
    </w:p>
    <w:p>
      <w:pPr>
        <w:spacing w:line="360" w:lineRule="auto"/>
        <w:ind w:left="359"/>
        <w:rPr>
          <w:rFonts w:ascii="宋体" w:hAnsi="宋体" w:cs="宋体"/>
          <w:color w:val="auto"/>
          <w:sz w:val="24"/>
          <w:highlight w:val="none"/>
        </w:rPr>
      </w:pPr>
    </w:p>
    <w:p>
      <w:pPr>
        <w:spacing w:line="360" w:lineRule="auto"/>
        <w:ind w:left="359"/>
        <w:rPr>
          <w:rFonts w:ascii="宋体" w:hAnsi="宋体" w:cs="宋体"/>
          <w:color w:val="auto"/>
          <w:sz w:val="24"/>
          <w:highlight w:val="none"/>
        </w:rPr>
      </w:pPr>
    </w:p>
    <w:p>
      <w:pPr>
        <w:spacing w:line="360" w:lineRule="auto"/>
        <w:ind w:left="359"/>
        <w:rPr>
          <w:rFonts w:ascii="宋体" w:hAnsi="宋体" w:cs="宋体"/>
          <w:color w:val="auto"/>
          <w:sz w:val="24"/>
          <w:highlight w:val="none"/>
        </w:rPr>
      </w:pPr>
    </w:p>
    <w:p>
      <w:pPr>
        <w:spacing w:line="360" w:lineRule="auto"/>
        <w:ind w:left="359"/>
        <w:rPr>
          <w:rFonts w:ascii="宋体" w:hAnsi="宋体" w:cs="宋体"/>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rPr>
      </w:pPr>
    </w:p>
    <w:p>
      <w:pPr>
        <w:spacing w:line="480" w:lineRule="exact"/>
        <w:rPr>
          <w:rFonts w:ascii="宋体" w:hAnsi="宋体" w:cs="宋体"/>
          <w:bCs/>
          <w:color w:val="auto"/>
          <w:sz w:val="24"/>
          <w:highlight w:val="none"/>
          <w:u w:val="single"/>
        </w:rPr>
      </w:pPr>
      <w:r>
        <w:rPr>
          <w:rFonts w:hint="eastAsia" w:ascii="宋体" w:hAnsi="宋体" w:cs="宋体"/>
          <w:bCs/>
          <w:color w:val="auto"/>
          <w:sz w:val="24"/>
          <w:highlight w:val="none"/>
        </w:rPr>
        <w:t>供应商（加盖单位公章）：</w:t>
      </w:r>
    </w:p>
    <w:p>
      <w:pPr>
        <w:spacing w:line="480" w:lineRule="exact"/>
        <w:rPr>
          <w:rFonts w:ascii="宋体" w:hAnsi="宋体" w:cs="宋体"/>
          <w:bCs/>
          <w:color w:val="auto"/>
          <w:sz w:val="24"/>
          <w:highlight w:val="none"/>
        </w:rPr>
      </w:pPr>
    </w:p>
    <w:p>
      <w:pPr>
        <w:spacing w:line="480" w:lineRule="exact"/>
        <w:ind w:firstLine="120" w:firstLineChars="50"/>
        <w:rPr>
          <w:rFonts w:ascii="宋体" w:hAnsi="宋体" w:cs="宋体"/>
          <w:bCs/>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（签字或盖章）</w:t>
      </w:r>
    </w:p>
    <w:p>
      <w:pPr>
        <w:spacing w:line="500" w:lineRule="exact"/>
        <w:rPr>
          <w:rFonts w:ascii="宋体" w:hAnsi="宋体" w:cs="宋体"/>
          <w:color w:val="auto"/>
          <w:sz w:val="24"/>
          <w:highlight w:val="none"/>
          <w:u w:val="single"/>
        </w:rPr>
      </w:pPr>
    </w:p>
    <w:p>
      <w:pPr>
        <w:spacing w:line="480" w:lineRule="exact"/>
        <w:ind w:firstLine="120" w:firstLineChars="50"/>
        <w:rPr>
          <w:rFonts w:ascii="宋体" w:hAnsi="宋体" w:cs="宋体"/>
          <w:bCs/>
          <w:color w:val="auto"/>
          <w:sz w:val="24"/>
          <w:highlight w:val="none"/>
        </w:rPr>
      </w:pPr>
      <w:r>
        <w:rPr>
          <w:rFonts w:hint="eastAsia" w:ascii="宋体" w:hAnsi="宋体" w:cs="宋体"/>
          <w:color w:val="auto"/>
          <w:sz w:val="24"/>
          <w:highlight w:val="none"/>
        </w:rPr>
        <w:t>日    期：年 月 日</w:t>
      </w:r>
    </w:p>
    <w:p>
      <w:pPr>
        <w:pStyle w:val="140"/>
        <w:spacing w:line="480" w:lineRule="exact"/>
        <w:ind w:firstLine="480" w:firstLineChars="200"/>
        <w:rPr>
          <w:rFonts w:ascii="宋体" w:hAnsi="宋体" w:eastAsia="宋体" w:cs="宋体"/>
          <w:color w:val="auto"/>
          <w:sz w:val="24"/>
          <w:highlight w:val="none"/>
        </w:rPr>
      </w:pPr>
    </w:p>
    <w:p>
      <w:pPr>
        <w:spacing w:line="360" w:lineRule="auto"/>
        <w:ind w:left="359"/>
        <w:rPr>
          <w:rFonts w:ascii="宋体" w:hAnsi="宋体" w:cs="宋体"/>
          <w:color w:val="auto"/>
          <w:sz w:val="24"/>
          <w:highlight w:val="none"/>
        </w:rPr>
      </w:pPr>
      <w:r>
        <w:rPr>
          <w:rFonts w:hint="eastAsia" w:ascii="宋体" w:hAnsi="宋体" w:cs="宋体"/>
          <w:color w:val="auto"/>
          <w:sz w:val="24"/>
          <w:highlight w:val="none"/>
        </w:rPr>
        <w:br w:type="page"/>
      </w:r>
    </w:p>
    <w:p>
      <w:pPr>
        <w:pStyle w:val="5"/>
        <w:spacing w:before="0" w:after="0"/>
        <w:rPr>
          <w:rFonts w:cs="宋体"/>
          <w:color w:val="auto"/>
          <w:sz w:val="28"/>
          <w:szCs w:val="24"/>
          <w:highlight w:val="none"/>
        </w:rPr>
      </w:pPr>
      <w:bookmarkStart w:id="139" w:name="_Toc391049498"/>
      <w:bookmarkStart w:id="140" w:name="_Toc36553056"/>
      <w:r>
        <w:rPr>
          <w:rFonts w:hint="eastAsia" w:cs="宋体"/>
          <w:color w:val="auto"/>
          <w:sz w:val="28"/>
          <w:szCs w:val="24"/>
          <w:highlight w:val="none"/>
        </w:rPr>
        <w:t>九、反商业贿赂承诺书</w:t>
      </w:r>
      <w:bookmarkEnd w:id="139"/>
      <w:bookmarkEnd w:id="140"/>
    </w:p>
    <w:p>
      <w:pPr>
        <w:widowControl/>
        <w:spacing w:line="360" w:lineRule="auto"/>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我公司承诺：</w:t>
      </w:r>
    </w:p>
    <w:p>
      <w:pPr>
        <w:widowControl/>
        <w:spacing w:line="360" w:lineRule="auto"/>
        <w:ind w:left="168" w:leftChars="80" w:firstLine="240" w:firstLineChars="100"/>
        <w:jc w:val="left"/>
        <w:rPr>
          <w:rFonts w:ascii="宋体" w:hAnsi="宋体" w:cs="宋体"/>
          <w:color w:val="auto"/>
          <w:sz w:val="24"/>
          <w:highlight w:val="none"/>
        </w:rPr>
      </w:pPr>
      <w:r>
        <w:rPr>
          <w:rFonts w:hint="eastAsia" w:ascii="宋体" w:hAnsi="宋体" w:cs="宋体"/>
          <w:color w:val="auto"/>
          <w:sz w:val="24"/>
          <w:highlight w:val="none"/>
        </w:rPr>
        <w:t>在河南省化工研究所有限责任公司二噁英检测与控制工程技术研究中心基础配套设施维修改造工程项目采购活动中，我公司保证做到：</w:t>
      </w:r>
    </w:p>
    <w:p>
      <w:pPr>
        <w:widowControl/>
        <w:spacing w:line="360" w:lineRule="auto"/>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一、公平竞争参加本次招标活动。</w:t>
      </w:r>
    </w:p>
    <w:p>
      <w:pPr>
        <w:widowControl/>
        <w:spacing w:line="360" w:lineRule="auto"/>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pPr>
        <w:widowControl/>
        <w:spacing w:line="360" w:lineRule="auto"/>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widowControl/>
        <w:spacing w:line="360" w:lineRule="auto"/>
        <w:ind w:left="240" w:hanging="240" w:hangingChars="100"/>
        <w:jc w:val="left"/>
        <w:rPr>
          <w:rFonts w:ascii="宋体" w:hAnsi="宋体" w:cs="宋体"/>
          <w:color w:val="auto"/>
          <w:sz w:val="24"/>
          <w:highlight w:val="none"/>
        </w:rPr>
      </w:pPr>
    </w:p>
    <w:p>
      <w:pPr>
        <w:widowControl/>
        <w:spacing w:line="360" w:lineRule="auto"/>
        <w:ind w:left="240" w:hanging="240" w:hangingChars="100"/>
        <w:jc w:val="left"/>
        <w:rPr>
          <w:rFonts w:ascii="宋体" w:hAnsi="宋体" w:cs="宋体"/>
          <w:color w:val="auto"/>
          <w:sz w:val="24"/>
          <w:highlight w:val="none"/>
        </w:rPr>
      </w:pPr>
    </w:p>
    <w:p>
      <w:pPr>
        <w:widowControl/>
        <w:spacing w:line="360" w:lineRule="auto"/>
        <w:ind w:left="168" w:leftChars="80" w:firstLine="4920" w:firstLineChars="2050"/>
        <w:jc w:val="left"/>
        <w:rPr>
          <w:rFonts w:ascii="宋体" w:hAnsi="宋体" w:cs="宋体"/>
          <w:color w:val="auto"/>
          <w:sz w:val="24"/>
          <w:highlight w:val="none"/>
        </w:rPr>
      </w:pPr>
      <w:r>
        <w:rPr>
          <w:rFonts w:hint="eastAsia" w:ascii="宋体" w:hAnsi="宋体" w:cs="宋体"/>
          <w:color w:val="auto"/>
          <w:sz w:val="24"/>
          <w:highlight w:val="none"/>
        </w:rPr>
        <w:t>公司法人代表（签字或盖章）：</w:t>
      </w:r>
    </w:p>
    <w:p>
      <w:pPr>
        <w:widowControl/>
        <w:spacing w:line="360" w:lineRule="auto"/>
        <w:ind w:left="168" w:leftChars="80" w:firstLine="4920" w:firstLineChars="2050"/>
        <w:jc w:val="left"/>
        <w:rPr>
          <w:rFonts w:ascii="宋体" w:hAnsi="宋体" w:cs="宋体"/>
          <w:color w:val="auto"/>
          <w:sz w:val="24"/>
          <w:highlight w:val="none"/>
        </w:rPr>
      </w:pPr>
      <w:r>
        <w:rPr>
          <w:rFonts w:hint="eastAsia" w:ascii="宋体" w:hAnsi="宋体" w:cs="宋体"/>
          <w:color w:val="auto"/>
          <w:sz w:val="24"/>
          <w:highlight w:val="none"/>
        </w:rPr>
        <w:t>法人授权代表（签字）：</w:t>
      </w:r>
    </w:p>
    <w:p>
      <w:pPr>
        <w:widowControl/>
        <w:spacing w:line="360" w:lineRule="auto"/>
        <w:ind w:left="240" w:hanging="240" w:hangingChars="100"/>
        <w:jc w:val="left"/>
        <w:rPr>
          <w:rFonts w:ascii="宋体" w:hAnsi="宋体" w:cs="宋体"/>
          <w:color w:val="auto"/>
          <w:sz w:val="24"/>
          <w:highlight w:val="none"/>
        </w:rPr>
      </w:pPr>
    </w:p>
    <w:p>
      <w:pPr>
        <w:widowControl/>
        <w:spacing w:line="360" w:lineRule="auto"/>
        <w:ind w:firstLine="5640" w:firstLineChars="2350"/>
        <w:jc w:val="left"/>
        <w:rPr>
          <w:rFonts w:ascii="宋体" w:hAnsi="宋体" w:cs="宋体"/>
          <w:color w:val="auto"/>
          <w:sz w:val="24"/>
          <w:highlight w:val="none"/>
        </w:rPr>
      </w:pPr>
      <w:r>
        <w:rPr>
          <w:rFonts w:hint="eastAsia" w:ascii="宋体" w:hAnsi="宋体" w:cs="宋体"/>
          <w:color w:val="auto"/>
          <w:sz w:val="24"/>
          <w:highlight w:val="none"/>
        </w:rPr>
        <w:t>供应商（公章）：</w:t>
      </w:r>
    </w:p>
    <w:p>
      <w:pPr>
        <w:widowControl/>
        <w:spacing w:line="360" w:lineRule="auto"/>
        <w:ind w:left="240" w:hanging="240" w:hangingChars="100"/>
        <w:jc w:val="left"/>
        <w:rPr>
          <w:rFonts w:ascii="宋体" w:hAnsi="宋体" w:cs="宋体"/>
          <w:color w:val="auto"/>
          <w:sz w:val="24"/>
          <w:highlight w:val="none"/>
        </w:rPr>
      </w:pPr>
    </w:p>
    <w:p>
      <w:pPr>
        <w:widowControl/>
        <w:spacing w:line="360" w:lineRule="auto"/>
        <w:ind w:left="168" w:leftChars="80" w:firstLine="6060" w:firstLineChars="2525"/>
        <w:jc w:val="left"/>
        <w:rPr>
          <w:rFonts w:ascii="宋体" w:hAnsi="宋体" w:cs="宋体"/>
          <w:color w:val="auto"/>
          <w:sz w:val="24"/>
          <w:highlight w:val="none"/>
        </w:rPr>
      </w:pPr>
      <w:r>
        <w:rPr>
          <w:rFonts w:hint="eastAsia" w:ascii="宋体" w:hAnsi="宋体" w:cs="宋体"/>
          <w:color w:val="auto"/>
          <w:sz w:val="24"/>
          <w:highlight w:val="none"/>
        </w:rPr>
        <w:t>年   月   日</w:t>
      </w:r>
    </w:p>
    <w:p>
      <w:pPr>
        <w:rPr>
          <w:rFonts w:ascii="宋体" w:hAnsi="宋体" w:cs="宋体"/>
          <w:color w:val="auto"/>
          <w:szCs w:val="21"/>
          <w:highlight w:val="none"/>
        </w:rPr>
        <w:sectPr>
          <w:headerReference r:id="rId4" w:type="first"/>
          <w:footerReference r:id="rId6" w:type="first"/>
          <w:headerReference r:id="rId3" w:type="default"/>
          <w:footerReference r:id="rId5" w:type="default"/>
          <w:pgSz w:w="11907" w:h="16840"/>
          <w:pgMar w:top="1440" w:right="1474" w:bottom="1247" w:left="1644" w:header="737" w:footer="964" w:gutter="0"/>
          <w:cols w:space="720" w:num="1"/>
          <w:titlePg/>
          <w:docGrid w:type="linesAndChars" w:linePitch="312" w:charSpace="0"/>
        </w:sectPr>
      </w:pPr>
    </w:p>
    <w:p>
      <w:pPr>
        <w:pStyle w:val="5"/>
        <w:spacing w:before="0" w:after="0"/>
        <w:rPr>
          <w:rFonts w:cs="宋体"/>
          <w:color w:val="auto"/>
          <w:sz w:val="28"/>
          <w:szCs w:val="24"/>
          <w:highlight w:val="none"/>
        </w:rPr>
      </w:pPr>
      <w:r>
        <w:rPr>
          <w:rFonts w:hint="eastAsia" w:cs="宋体"/>
          <w:color w:val="auto"/>
          <w:sz w:val="28"/>
          <w:szCs w:val="24"/>
          <w:highlight w:val="none"/>
        </w:rPr>
        <w:t>十、项目经理无在建工程承诺书</w:t>
      </w:r>
    </w:p>
    <w:p>
      <w:pPr>
        <w:pStyle w:val="5"/>
        <w:spacing w:before="0" w:after="0"/>
        <w:rPr>
          <w:rFonts w:cs="宋体"/>
          <w:color w:val="auto"/>
          <w:sz w:val="28"/>
          <w:szCs w:val="24"/>
          <w:highlight w:val="none"/>
        </w:rPr>
      </w:pPr>
    </w:p>
    <w:p>
      <w:pPr>
        <w:spacing w:afterLines="100" w:line="360" w:lineRule="auto"/>
        <w:rPr>
          <w:rFonts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我方在此声明，我方拟派往（以下简称“本工程”）的项目经理现阶段没有</w:t>
      </w:r>
      <w:r>
        <w:rPr>
          <w:rFonts w:hint="eastAsia" w:ascii="宋体" w:hAnsi="宋体" w:cs="宋体"/>
          <w:iCs/>
          <w:color w:val="auto"/>
          <w:sz w:val="24"/>
          <w:highlight w:val="none"/>
        </w:rPr>
        <w:t>正在施工和正在承接的工程项目</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我方保证上述信息的真实和准确，并愿意承担因我方就此弄虚作假所引起的一切法律后果。</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widowControl/>
        <w:spacing w:line="360" w:lineRule="auto"/>
        <w:ind w:left="168" w:leftChars="80" w:firstLine="4920" w:firstLineChars="2050"/>
        <w:jc w:val="left"/>
        <w:rPr>
          <w:rFonts w:ascii="宋体" w:hAnsi="宋体" w:cs="宋体"/>
          <w:color w:val="auto"/>
          <w:sz w:val="24"/>
          <w:highlight w:val="none"/>
        </w:rPr>
      </w:pPr>
      <w:r>
        <w:rPr>
          <w:rFonts w:hint="eastAsia" w:ascii="宋体" w:hAnsi="宋体" w:cs="宋体"/>
          <w:color w:val="auto"/>
          <w:sz w:val="24"/>
          <w:highlight w:val="none"/>
        </w:rPr>
        <w:t>公司法人代表（签字或盖章）：</w:t>
      </w:r>
    </w:p>
    <w:p>
      <w:pPr>
        <w:widowControl/>
        <w:spacing w:line="360" w:lineRule="auto"/>
        <w:ind w:left="168" w:leftChars="80" w:firstLine="4920" w:firstLineChars="2050"/>
        <w:jc w:val="left"/>
        <w:rPr>
          <w:rFonts w:ascii="宋体" w:hAnsi="宋体" w:cs="宋体"/>
          <w:color w:val="auto"/>
          <w:sz w:val="24"/>
          <w:highlight w:val="none"/>
        </w:rPr>
      </w:pPr>
      <w:r>
        <w:rPr>
          <w:rFonts w:hint="eastAsia" w:ascii="宋体" w:hAnsi="宋体" w:cs="宋体"/>
          <w:color w:val="auto"/>
          <w:sz w:val="24"/>
          <w:highlight w:val="none"/>
        </w:rPr>
        <w:t>法人授权代表（签字）：</w:t>
      </w:r>
    </w:p>
    <w:p>
      <w:pPr>
        <w:widowControl/>
        <w:spacing w:line="360" w:lineRule="auto"/>
        <w:ind w:left="240" w:hanging="240" w:hangingChars="100"/>
        <w:jc w:val="left"/>
        <w:rPr>
          <w:rFonts w:ascii="宋体" w:hAnsi="宋体" w:cs="宋体"/>
          <w:color w:val="auto"/>
          <w:sz w:val="24"/>
          <w:highlight w:val="none"/>
        </w:rPr>
      </w:pPr>
    </w:p>
    <w:p>
      <w:pPr>
        <w:widowControl/>
        <w:spacing w:line="360" w:lineRule="auto"/>
        <w:ind w:firstLine="5640" w:firstLineChars="2350"/>
        <w:jc w:val="left"/>
        <w:rPr>
          <w:rFonts w:ascii="宋体" w:hAnsi="宋体" w:cs="宋体"/>
          <w:color w:val="auto"/>
          <w:sz w:val="24"/>
          <w:highlight w:val="none"/>
        </w:rPr>
      </w:pPr>
      <w:r>
        <w:rPr>
          <w:rFonts w:hint="eastAsia" w:ascii="宋体" w:hAnsi="宋体" w:cs="宋体"/>
          <w:color w:val="auto"/>
          <w:sz w:val="24"/>
          <w:highlight w:val="none"/>
        </w:rPr>
        <w:t>供应商（公章）：</w:t>
      </w:r>
    </w:p>
    <w:p>
      <w:pPr>
        <w:widowControl/>
        <w:spacing w:line="360" w:lineRule="auto"/>
        <w:ind w:left="240" w:hanging="240" w:hangingChars="100"/>
        <w:jc w:val="left"/>
        <w:rPr>
          <w:rFonts w:ascii="宋体" w:hAnsi="宋体" w:cs="宋体"/>
          <w:color w:val="auto"/>
          <w:sz w:val="24"/>
          <w:highlight w:val="none"/>
        </w:rPr>
      </w:pPr>
    </w:p>
    <w:p>
      <w:pPr>
        <w:wordWrap w:val="0"/>
        <w:spacing w:line="360" w:lineRule="auto"/>
        <w:jc w:val="right"/>
        <w:rPr>
          <w:rFonts w:ascii="宋体" w:hAnsi="宋体" w:cs="宋体"/>
          <w:b/>
          <w:color w:val="auto"/>
          <w:highlight w:val="none"/>
        </w:rPr>
      </w:pPr>
      <w:r>
        <w:rPr>
          <w:rFonts w:hint="eastAsia" w:ascii="宋体" w:hAnsi="宋体" w:cs="宋体"/>
          <w:color w:val="auto"/>
          <w:sz w:val="24"/>
          <w:highlight w:val="none"/>
        </w:rPr>
        <w:t>年   月   日</w:t>
      </w:r>
    </w:p>
    <w:p>
      <w:pPr>
        <w:pStyle w:val="2"/>
        <w:ind w:firstLine="200"/>
        <w:rPr>
          <w:color w:val="auto"/>
          <w:sz w:val="30"/>
          <w:highlight w:val="none"/>
        </w:rPr>
      </w:pPr>
      <w:r>
        <w:rPr>
          <w:color w:val="auto"/>
          <w:highlight w:val="none"/>
        </w:rPr>
        <w:br w:type="page"/>
      </w:r>
    </w:p>
    <w:p>
      <w:pPr>
        <w:pStyle w:val="5"/>
        <w:spacing w:before="0" w:after="0"/>
        <w:rPr>
          <w:rFonts w:cs="宋体"/>
          <w:color w:val="auto"/>
          <w:sz w:val="28"/>
          <w:szCs w:val="24"/>
          <w:highlight w:val="none"/>
        </w:rPr>
      </w:pPr>
      <w:bookmarkStart w:id="141" w:name="_Toc377384928"/>
      <w:bookmarkStart w:id="142" w:name="_Toc36553057"/>
      <w:r>
        <w:rPr>
          <w:rFonts w:hint="eastAsia" w:cs="宋体"/>
          <w:color w:val="auto"/>
          <w:sz w:val="28"/>
          <w:szCs w:val="24"/>
          <w:highlight w:val="none"/>
        </w:rPr>
        <w:t>十一、供应商认为需要补充的其他文件或资料</w:t>
      </w:r>
      <w:bookmarkEnd w:id="141"/>
      <w:bookmarkEnd w:id="142"/>
    </w:p>
    <w:p>
      <w:pPr>
        <w:pStyle w:val="115"/>
        <w:jc w:val="center"/>
        <w:rPr>
          <w:rFonts w:ascii="宋体" w:hAnsi="宋体" w:cs="宋体"/>
          <w:color w:val="auto"/>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rPr>
          <w:rFonts w:ascii="宋体" w:hAnsi="宋体" w:cs="宋体"/>
          <w:color w:val="auto"/>
          <w:highlight w:val="none"/>
        </w:rPr>
      </w:pPr>
    </w:p>
    <w:p>
      <w:pPr>
        <w:pStyle w:val="13"/>
        <w:spacing w:line="360" w:lineRule="auto"/>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十二、中小企业声明函件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本公司郑重声明，根据《政府采购促进中小企业发展暂行办法》（财库[2011]181号）的规定，本公司为</w:t>
      </w:r>
      <w:bookmarkStart w:id="143" w:name="OLE_LINK5"/>
      <w:r>
        <w:rPr>
          <w:rFonts w:hint="eastAsia" w:ascii="宋体" w:hAnsi="宋体" w:cs="宋体"/>
          <w:color w:val="auto"/>
          <w:sz w:val="24"/>
          <w:highlight w:val="none"/>
        </w:rPr>
        <w:t>______（请填写：中型、小型、微型）企业</w:t>
      </w:r>
      <w:bookmarkEnd w:id="143"/>
      <w:r>
        <w:rPr>
          <w:rFonts w:hint="eastAsia" w:ascii="宋体" w:hAnsi="宋体" w:cs="宋体"/>
          <w:color w:val="auto"/>
          <w:sz w:val="24"/>
          <w:highlight w:val="none"/>
        </w:rPr>
        <w:t>。即，本公司同时满足以下条件：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right="480"/>
        <w:jc w:val="right"/>
        <w:rPr>
          <w:rFonts w:ascii="宋体" w:hAnsi="宋体" w:cs="宋体"/>
          <w:color w:val="auto"/>
          <w:sz w:val="24"/>
          <w:highlight w:val="none"/>
        </w:rPr>
      </w:pPr>
      <w:r>
        <w:rPr>
          <w:rFonts w:hint="eastAsia" w:ascii="宋体" w:hAnsi="宋体" w:cs="宋体"/>
          <w:color w:val="auto"/>
          <w:sz w:val="24"/>
          <w:highlight w:val="none"/>
        </w:rPr>
        <w:t xml:space="preserve">                        供应商（公章）：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法定代表人（签字或盖章）：</w:t>
      </w:r>
    </w:p>
    <w:p>
      <w:pPr>
        <w:spacing w:line="360" w:lineRule="auto"/>
        <w:ind w:right="48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日期:</w:t>
      </w:r>
    </w:p>
    <w:p>
      <w:pPr>
        <w:tabs>
          <w:tab w:val="left" w:pos="720"/>
        </w:tabs>
        <w:spacing w:line="360" w:lineRule="auto"/>
        <w:ind w:firstLine="504" w:firstLineChars="200"/>
        <w:rPr>
          <w:rFonts w:ascii="宋体" w:hAnsi="宋体" w:cs="宋体"/>
          <w:b/>
          <w:color w:val="auto"/>
          <w:spacing w:val="6"/>
          <w:sz w:val="24"/>
          <w:highlight w:val="none"/>
        </w:rPr>
      </w:pPr>
      <w:r>
        <w:rPr>
          <w:rFonts w:hint="eastAsia" w:ascii="宋体" w:hAnsi="宋体" w:cs="宋体"/>
          <w:b/>
          <w:color w:val="auto"/>
          <w:spacing w:val="6"/>
          <w:sz w:val="24"/>
          <w:highlight w:val="none"/>
        </w:rPr>
        <w:t>注：</w:t>
      </w:r>
    </w:p>
    <w:p>
      <w:pPr>
        <w:tabs>
          <w:tab w:val="left" w:pos="720"/>
        </w:tabs>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1、该声明函是针对小微型企业的，非小型、微型企业投标时不用提供该声明。</w:t>
      </w:r>
    </w:p>
    <w:p>
      <w:pPr>
        <w:tabs>
          <w:tab w:val="left" w:pos="720"/>
        </w:tabs>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2、根据《政府采购促进中小企业发展暂行办法》(财库[2011]181号)的规定，对于非专门面向中小企业的项目，对小型和微型企业的价格给予6%的扣除，用扣除后的价格参与评审。</w:t>
      </w:r>
    </w:p>
    <w:p>
      <w:pPr>
        <w:tabs>
          <w:tab w:val="left" w:pos="720"/>
        </w:tabs>
        <w:spacing w:line="360" w:lineRule="auto"/>
        <w:rPr>
          <w:rFonts w:ascii="宋体" w:hAnsi="宋体" w:cs="宋体"/>
          <w:b/>
          <w:color w:val="auto"/>
          <w:sz w:val="24"/>
          <w:highlight w:val="none"/>
        </w:rPr>
      </w:pPr>
      <w:r>
        <w:rPr>
          <w:rFonts w:hint="eastAsia" w:ascii="宋体" w:hAnsi="宋体" w:cs="宋体"/>
          <w:b/>
          <w:color w:val="auto"/>
          <w:spacing w:val="6"/>
          <w:sz w:val="24"/>
          <w:highlight w:val="none"/>
        </w:rPr>
        <w:t>3、根据《财政部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rPr>
          <w:rFonts w:ascii="宋体" w:hAnsi="宋体" w:cs="宋体"/>
          <w:color w:val="auto"/>
          <w:highlight w:val="none"/>
        </w:rPr>
      </w:pPr>
    </w:p>
    <w:sectPr>
      <w:pgSz w:w="11907" w:h="16840"/>
      <w:pgMar w:top="1440" w:right="1474" w:bottom="1247" w:left="1644" w:header="737" w:footer="964"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rPr>
        <w:rFonts w:ascii="宋体"/>
      </w:rPr>
    </w:pPr>
    <w:r>
      <w:rPr>
        <w:rFonts w:hint="eastAsia" w:ascii="宋体" w:cs="宋体"/>
      </w:rPr>
      <w:t>河南招标采购服务有限公司</w:t>
    </w:r>
  </w:p>
  <w:p>
    <w:pPr>
      <w:kinsoku w:val="0"/>
      <w:overflowPunct w:val="0"/>
      <w:spacing w:line="180" w:lineRule="exact"/>
      <w:jc w:val="center"/>
      <w:rPr>
        <w:rFonts w:ascii="宋体" w:hAnsi="宋体"/>
        <w:sz w:val="18"/>
        <w:szCs w:val="18"/>
      </w:rPr>
    </w:pPr>
    <w:r>
      <w:rPr>
        <w:rFonts w:ascii="宋体" w:hAnsi="宋体"/>
        <w:sz w:val="18"/>
        <w:szCs w:val="21"/>
      </w:rPr>
      <w:t xml:space="preserve">- </w:t>
    </w:r>
    <w:r>
      <w:rPr>
        <w:rFonts w:ascii="宋体" w:hAnsi="宋体"/>
        <w:sz w:val="18"/>
        <w:szCs w:val="21"/>
      </w:rPr>
      <w:fldChar w:fldCharType="begin"/>
    </w:r>
    <w:r>
      <w:rPr>
        <w:rFonts w:ascii="宋体" w:hAnsi="宋体"/>
        <w:sz w:val="18"/>
        <w:szCs w:val="21"/>
      </w:rPr>
      <w:instrText xml:space="preserve"> PAGE </w:instrText>
    </w:r>
    <w:r>
      <w:rPr>
        <w:rFonts w:ascii="宋体" w:hAnsi="宋体"/>
        <w:sz w:val="18"/>
        <w:szCs w:val="21"/>
      </w:rPr>
      <w:fldChar w:fldCharType="separate"/>
    </w:r>
    <w:r>
      <w:rPr>
        <w:rFonts w:ascii="宋体" w:hAnsi="宋体"/>
        <w:sz w:val="18"/>
        <w:szCs w:val="21"/>
      </w:rPr>
      <w:t>55</w:t>
    </w:r>
    <w:r>
      <w:rPr>
        <w:rFonts w:ascii="宋体" w:hAnsi="宋体"/>
        <w:sz w:val="18"/>
        <w:szCs w:val="21"/>
      </w:rPr>
      <w:fldChar w:fldCharType="end"/>
    </w:r>
    <w:r>
      <w:rPr>
        <w:rFonts w:ascii="宋体" w:hAnsi="宋体"/>
        <w:sz w:val="1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r>
      <w:pict>
        <v:shape id="文本框 17"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CFEDD9"/>
    <w:multiLevelType w:val="singleLevel"/>
    <w:tmpl w:val="BECFEDD9"/>
    <w:lvl w:ilvl="0" w:tentative="0">
      <w:start w:val="10"/>
      <w:numFmt w:val="decimal"/>
      <w:lvlText w:val="%1."/>
      <w:lvlJc w:val="left"/>
      <w:pPr>
        <w:tabs>
          <w:tab w:val="left" w:pos="312"/>
        </w:tabs>
      </w:pPr>
    </w:lvl>
  </w:abstractNum>
  <w:abstractNum w:abstractNumId="1">
    <w:nsid w:val="10391A44"/>
    <w:multiLevelType w:val="multilevel"/>
    <w:tmpl w:val="10391A44"/>
    <w:lvl w:ilvl="0" w:tentative="0">
      <w:start w:val="7"/>
      <w:numFmt w:val="decimal"/>
      <w:lvlText w:val="%1."/>
      <w:lvlJc w:val="left"/>
      <w:pPr>
        <w:tabs>
          <w:tab w:val="left" w:pos="420"/>
        </w:tabs>
        <w:ind w:left="420" w:hanging="420"/>
      </w:pPr>
      <w:rPr>
        <w:rFonts w:hint="eastAsia"/>
      </w:rPr>
    </w:lvl>
    <w:lvl w:ilvl="1" w:tentative="0">
      <w:start w:val="1"/>
      <w:numFmt w:val="decimal"/>
      <w:lvlText w:val="6.%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2">
    <w:nsid w:val="13641D41"/>
    <w:multiLevelType w:val="multilevel"/>
    <w:tmpl w:val="13641D41"/>
    <w:lvl w:ilvl="0" w:tentative="0">
      <w:start w:val="4"/>
      <w:numFmt w:val="decimal"/>
      <w:lvlText w:val="%1."/>
      <w:lvlJc w:val="left"/>
      <w:pPr>
        <w:tabs>
          <w:tab w:val="left" w:pos="420"/>
        </w:tabs>
        <w:ind w:left="420" w:hanging="420"/>
      </w:pPr>
      <w:rPr>
        <w:rFonts w:hint="eastAsia"/>
      </w:rPr>
    </w:lvl>
    <w:lvl w:ilvl="1" w:tentative="0">
      <w:start w:val="1"/>
      <w:numFmt w:val="decimal"/>
      <w:lvlText w:val="3.%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3">
    <w:nsid w:val="150372B9"/>
    <w:multiLevelType w:val="singleLevel"/>
    <w:tmpl w:val="150372B9"/>
    <w:lvl w:ilvl="0" w:tentative="0">
      <w:start w:val="3"/>
      <w:numFmt w:val="decimal"/>
      <w:suff w:val="nothing"/>
      <w:lvlText w:val="%1、"/>
      <w:lvlJc w:val="left"/>
    </w:lvl>
  </w:abstractNum>
  <w:abstractNum w:abstractNumId="4">
    <w:nsid w:val="268D176B"/>
    <w:multiLevelType w:val="multilevel"/>
    <w:tmpl w:val="268D176B"/>
    <w:lvl w:ilvl="0" w:tentative="0">
      <w:start w:val="3"/>
      <w:numFmt w:val="decimal"/>
      <w:lvlText w:val="%1."/>
      <w:lvlJc w:val="left"/>
      <w:pPr>
        <w:tabs>
          <w:tab w:val="left" w:pos="420"/>
        </w:tabs>
        <w:ind w:left="420" w:hanging="420"/>
      </w:pPr>
      <w:rPr>
        <w:rFonts w:hint="eastAsia"/>
      </w:rPr>
    </w:lvl>
    <w:lvl w:ilvl="1" w:tentative="0">
      <w:start w:val="1"/>
      <w:numFmt w:val="decimal"/>
      <w:lvlText w:val="1.%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5">
    <w:nsid w:val="46AA2936"/>
    <w:multiLevelType w:val="multilevel"/>
    <w:tmpl w:val="46AA2936"/>
    <w:lvl w:ilvl="0" w:tentative="0">
      <w:start w:val="2"/>
      <w:numFmt w:val="decimal"/>
      <w:lvlText w:val="%1."/>
      <w:lvlJc w:val="left"/>
      <w:pPr>
        <w:tabs>
          <w:tab w:val="left" w:pos="420"/>
        </w:tabs>
        <w:ind w:left="420" w:hanging="420"/>
      </w:pPr>
      <w:rPr>
        <w:rFonts w:hint="eastAsia"/>
      </w:rPr>
    </w:lvl>
    <w:lvl w:ilvl="1" w:tentative="0">
      <w:start w:val="1"/>
      <w:numFmt w:val="decimal"/>
      <w:lvlText w:val="2.%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6">
    <w:nsid w:val="530659A0"/>
    <w:multiLevelType w:val="multilevel"/>
    <w:tmpl w:val="530659A0"/>
    <w:lvl w:ilvl="0" w:tentative="0">
      <w:start w:val="8"/>
      <w:numFmt w:val="decimal"/>
      <w:lvlText w:val="%1."/>
      <w:lvlJc w:val="left"/>
      <w:pPr>
        <w:tabs>
          <w:tab w:val="left" w:pos="420"/>
        </w:tabs>
        <w:ind w:left="420" w:hanging="420"/>
      </w:pPr>
      <w:rPr>
        <w:rFonts w:hint="eastAsia"/>
      </w:rPr>
    </w:lvl>
    <w:lvl w:ilvl="1" w:tentative="0">
      <w:start w:val="1"/>
      <w:numFmt w:val="decimal"/>
      <w:lvlText w:val="9.%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7">
    <w:nsid w:val="555A9D74"/>
    <w:multiLevelType w:val="multilevel"/>
    <w:tmpl w:val="555A9D74"/>
    <w:lvl w:ilvl="0" w:tentative="0">
      <w:start w:val="1"/>
      <w:numFmt w:val="decimal"/>
      <w:lvlText w:val="%1."/>
      <w:lvlJc w:val="left"/>
      <w:pPr>
        <w:tabs>
          <w:tab w:val="left" w:pos="420"/>
        </w:tabs>
        <w:ind w:left="420" w:hanging="420"/>
      </w:pPr>
      <w:rPr>
        <w:rFonts w:hint="eastAsia"/>
      </w:rPr>
    </w:lvl>
    <w:lvl w:ilvl="1" w:tentative="0">
      <w:start w:val="2"/>
      <w:numFmt w:val="decimal"/>
      <w:lvlText w:val="1.%2"/>
      <w:lvlJc w:val="left"/>
      <w:pPr>
        <w:tabs>
          <w:tab w:val="left" w:pos="300"/>
        </w:tabs>
        <w:ind w:left="30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8">
    <w:nsid w:val="57F9FDFF"/>
    <w:multiLevelType w:val="singleLevel"/>
    <w:tmpl w:val="57F9FDFF"/>
    <w:lvl w:ilvl="0" w:tentative="0">
      <w:start w:val="1"/>
      <w:numFmt w:val="chineseCounting"/>
      <w:suff w:val="nothing"/>
      <w:lvlText w:val="（%1）"/>
      <w:lvlJc w:val="left"/>
      <w:pPr>
        <w:ind w:left="0" w:firstLine="420"/>
      </w:pPr>
      <w:rPr>
        <w:rFonts w:hint="eastAsia"/>
        <w:sz w:val="32"/>
        <w:szCs w:val="32"/>
      </w:rPr>
    </w:lvl>
  </w:abstractNum>
  <w:abstractNum w:abstractNumId="9">
    <w:nsid w:val="6D6CC09B"/>
    <w:multiLevelType w:val="singleLevel"/>
    <w:tmpl w:val="6D6CC09B"/>
    <w:lvl w:ilvl="0" w:tentative="0">
      <w:start w:val="5"/>
      <w:numFmt w:val="chineseCounting"/>
      <w:suff w:val="nothing"/>
      <w:lvlText w:val="%1、"/>
      <w:lvlJc w:val="left"/>
      <w:rPr>
        <w:rFonts w:hint="eastAsia"/>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6"/>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465A"/>
    <w:rsid w:val="000009A9"/>
    <w:rsid w:val="00011027"/>
    <w:rsid w:val="00013BF2"/>
    <w:rsid w:val="00015588"/>
    <w:rsid w:val="0001783E"/>
    <w:rsid w:val="00017B14"/>
    <w:rsid w:val="00022759"/>
    <w:rsid w:val="00022782"/>
    <w:rsid w:val="00022BDE"/>
    <w:rsid w:val="0002394B"/>
    <w:rsid w:val="00027EAB"/>
    <w:rsid w:val="0003103E"/>
    <w:rsid w:val="00032835"/>
    <w:rsid w:val="00033DCE"/>
    <w:rsid w:val="00035134"/>
    <w:rsid w:val="0004058B"/>
    <w:rsid w:val="0004065B"/>
    <w:rsid w:val="00041191"/>
    <w:rsid w:val="0004174C"/>
    <w:rsid w:val="00041B3F"/>
    <w:rsid w:val="0004268E"/>
    <w:rsid w:val="00042B4B"/>
    <w:rsid w:val="00046D9D"/>
    <w:rsid w:val="0005038A"/>
    <w:rsid w:val="00052A23"/>
    <w:rsid w:val="000542C8"/>
    <w:rsid w:val="000572AB"/>
    <w:rsid w:val="0005753A"/>
    <w:rsid w:val="00057B78"/>
    <w:rsid w:val="00060713"/>
    <w:rsid w:val="0006093B"/>
    <w:rsid w:val="000613B2"/>
    <w:rsid w:val="00062AE5"/>
    <w:rsid w:val="000634ED"/>
    <w:rsid w:val="000641D2"/>
    <w:rsid w:val="00064BFD"/>
    <w:rsid w:val="00066B20"/>
    <w:rsid w:val="00067CCF"/>
    <w:rsid w:val="00072FF3"/>
    <w:rsid w:val="00073307"/>
    <w:rsid w:val="00074CC6"/>
    <w:rsid w:val="000769FE"/>
    <w:rsid w:val="0008101B"/>
    <w:rsid w:val="00081216"/>
    <w:rsid w:val="0008138A"/>
    <w:rsid w:val="0008260B"/>
    <w:rsid w:val="000878EB"/>
    <w:rsid w:val="00087F09"/>
    <w:rsid w:val="000900E9"/>
    <w:rsid w:val="00092AA7"/>
    <w:rsid w:val="000930AD"/>
    <w:rsid w:val="00093667"/>
    <w:rsid w:val="0009536F"/>
    <w:rsid w:val="0009548F"/>
    <w:rsid w:val="00096B97"/>
    <w:rsid w:val="000A00A6"/>
    <w:rsid w:val="000A073F"/>
    <w:rsid w:val="000A0CA9"/>
    <w:rsid w:val="000A3002"/>
    <w:rsid w:val="000A4293"/>
    <w:rsid w:val="000A62AD"/>
    <w:rsid w:val="000B01FD"/>
    <w:rsid w:val="000B2BA0"/>
    <w:rsid w:val="000B48E4"/>
    <w:rsid w:val="000B6866"/>
    <w:rsid w:val="000B73A3"/>
    <w:rsid w:val="000B7492"/>
    <w:rsid w:val="000B77D6"/>
    <w:rsid w:val="000C1FE9"/>
    <w:rsid w:val="000C2196"/>
    <w:rsid w:val="000C2650"/>
    <w:rsid w:val="000C2AE8"/>
    <w:rsid w:val="000D2AC7"/>
    <w:rsid w:val="000D3216"/>
    <w:rsid w:val="000D481E"/>
    <w:rsid w:val="000E3C53"/>
    <w:rsid w:val="000E516D"/>
    <w:rsid w:val="000E582C"/>
    <w:rsid w:val="000F0782"/>
    <w:rsid w:val="000F222A"/>
    <w:rsid w:val="000F3DC1"/>
    <w:rsid w:val="00102B3B"/>
    <w:rsid w:val="001052D1"/>
    <w:rsid w:val="00110706"/>
    <w:rsid w:val="00110A36"/>
    <w:rsid w:val="00110DAF"/>
    <w:rsid w:val="001131C0"/>
    <w:rsid w:val="0011372E"/>
    <w:rsid w:val="00113944"/>
    <w:rsid w:val="0011482B"/>
    <w:rsid w:val="00115ED9"/>
    <w:rsid w:val="00116FDE"/>
    <w:rsid w:val="0011756C"/>
    <w:rsid w:val="00120012"/>
    <w:rsid w:val="001212B2"/>
    <w:rsid w:val="00121759"/>
    <w:rsid w:val="001244CA"/>
    <w:rsid w:val="0012649D"/>
    <w:rsid w:val="0012658E"/>
    <w:rsid w:val="00127B8F"/>
    <w:rsid w:val="001311A2"/>
    <w:rsid w:val="00133005"/>
    <w:rsid w:val="00133998"/>
    <w:rsid w:val="00135197"/>
    <w:rsid w:val="00142163"/>
    <w:rsid w:val="001431E3"/>
    <w:rsid w:val="001432F1"/>
    <w:rsid w:val="00143781"/>
    <w:rsid w:val="00145F40"/>
    <w:rsid w:val="00146569"/>
    <w:rsid w:val="00147EED"/>
    <w:rsid w:val="00150F3C"/>
    <w:rsid w:val="001514A8"/>
    <w:rsid w:val="00152EB0"/>
    <w:rsid w:val="00152F48"/>
    <w:rsid w:val="00154198"/>
    <w:rsid w:val="00154D97"/>
    <w:rsid w:val="00155FAC"/>
    <w:rsid w:val="00156AD9"/>
    <w:rsid w:val="00157FF7"/>
    <w:rsid w:val="00163AA3"/>
    <w:rsid w:val="001644B0"/>
    <w:rsid w:val="00164B99"/>
    <w:rsid w:val="001651A4"/>
    <w:rsid w:val="0016659B"/>
    <w:rsid w:val="00166A37"/>
    <w:rsid w:val="00167187"/>
    <w:rsid w:val="001727E1"/>
    <w:rsid w:val="00173DEB"/>
    <w:rsid w:val="00180E5D"/>
    <w:rsid w:val="0018159B"/>
    <w:rsid w:val="001919CB"/>
    <w:rsid w:val="00191E10"/>
    <w:rsid w:val="00193276"/>
    <w:rsid w:val="001954D1"/>
    <w:rsid w:val="001960CD"/>
    <w:rsid w:val="00196B50"/>
    <w:rsid w:val="00197E66"/>
    <w:rsid w:val="001A0F03"/>
    <w:rsid w:val="001A251F"/>
    <w:rsid w:val="001A2600"/>
    <w:rsid w:val="001A4E90"/>
    <w:rsid w:val="001A5C9E"/>
    <w:rsid w:val="001A5DBE"/>
    <w:rsid w:val="001A5F8C"/>
    <w:rsid w:val="001B0A29"/>
    <w:rsid w:val="001B1500"/>
    <w:rsid w:val="001B236E"/>
    <w:rsid w:val="001B31BF"/>
    <w:rsid w:val="001B4C39"/>
    <w:rsid w:val="001B6D17"/>
    <w:rsid w:val="001C0B4E"/>
    <w:rsid w:val="001C0F96"/>
    <w:rsid w:val="001C188E"/>
    <w:rsid w:val="001C24C7"/>
    <w:rsid w:val="001C3EA4"/>
    <w:rsid w:val="001C4259"/>
    <w:rsid w:val="001C6B07"/>
    <w:rsid w:val="001D1446"/>
    <w:rsid w:val="001D1AC3"/>
    <w:rsid w:val="001D31BE"/>
    <w:rsid w:val="001D4F26"/>
    <w:rsid w:val="001D6D87"/>
    <w:rsid w:val="001D7093"/>
    <w:rsid w:val="001D757F"/>
    <w:rsid w:val="001D7E92"/>
    <w:rsid w:val="001E07E4"/>
    <w:rsid w:val="001E17E9"/>
    <w:rsid w:val="001E2F05"/>
    <w:rsid w:val="001E55AF"/>
    <w:rsid w:val="001E5F26"/>
    <w:rsid w:val="001E69E4"/>
    <w:rsid w:val="001F0F99"/>
    <w:rsid w:val="001F1B8B"/>
    <w:rsid w:val="001F1D13"/>
    <w:rsid w:val="001F2CC7"/>
    <w:rsid w:val="001F3839"/>
    <w:rsid w:val="001F53E7"/>
    <w:rsid w:val="00201171"/>
    <w:rsid w:val="00202677"/>
    <w:rsid w:val="002026CD"/>
    <w:rsid w:val="00205588"/>
    <w:rsid w:val="00205A19"/>
    <w:rsid w:val="002070AA"/>
    <w:rsid w:val="00211304"/>
    <w:rsid w:val="0021268D"/>
    <w:rsid w:val="002128E5"/>
    <w:rsid w:val="0021401A"/>
    <w:rsid w:val="00220297"/>
    <w:rsid w:val="002203AD"/>
    <w:rsid w:val="00220B49"/>
    <w:rsid w:val="00221EBD"/>
    <w:rsid w:val="00223096"/>
    <w:rsid w:val="0022352F"/>
    <w:rsid w:val="002255E1"/>
    <w:rsid w:val="00225B4A"/>
    <w:rsid w:val="002310FC"/>
    <w:rsid w:val="00231849"/>
    <w:rsid w:val="00232105"/>
    <w:rsid w:val="00232C8C"/>
    <w:rsid w:val="00233E60"/>
    <w:rsid w:val="00233FEA"/>
    <w:rsid w:val="0023458F"/>
    <w:rsid w:val="002351AC"/>
    <w:rsid w:val="00236C80"/>
    <w:rsid w:val="00237E9A"/>
    <w:rsid w:val="00240015"/>
    <w:rsid w:val="0024068F"/>
    <w:rsid w:val="00245315"/>
    <w:rsid w:val="002459A6"/>
    <w:rsid w:val="0024672F"/>
    <w:rsid w:val="00250C78"/>
    <w:rsid w:val="0025176F"/>
    <w:rsid w:val="00252EAA"/>
    <w:rsid w:val="002530C4"/>
    <w:rsid w:val="002535C2"/>
    <w:rsid w:val="00253CDD"/>
    <w:rsid w:val="00253E69"/>
    <w:rsid w:val="002546B1"/>
    <w:rsid w:val="00255349"/>
    <w:rsid w:val="00256811"/>
    <w:rsid w:val="00257970"/>
    <w:rsid w:val="00262DDA"/>
    <w:rsid w:val="00263186"/>
    <w:rsid w:val="0026628D"/>
    <w:rsid w:val="0026640A"/>
    <w:rsid w:val="00266E7D"/>
    <w:rsid w:val="002675F8"/>
    <w:rsid w:val="0027051D"/>
    <w:rsid w:val="00270910"/>
    <w:rsid w:val="00271C80"/>
    <w:rsid w:val="0027251C"/>
    <w:rsid w:val="00272E5C"/>
    <w:rsid w:val="00273913"/>
    <w:rsid w:val="00275B07"/>
    <w:rsid w:val="0027626E"/>
    <w:rsid w:val="00276DC3"/>
    <w:rsid w:val="00281337"/>
    <w:rsid w:val="002815A4"/>
    <w:rsid w:val="002818DE"/>
    <w:rsid w:val="00281C24"/>
    <w:rsid w:val="00281E2C"/>
    <w:rsid w:val="00283607"/>
    <w:rsid w:val="00287E82"/>
    <w:rsid w:val="00290387"/>
    <w:rsid w:val="002927CB"/>
    <w:rsid w:val="00292E21"/>
    <w:rsid w:val="00293510"/>
    <w:rsid w:val="00294A40"/>
    <w:rsid w:val="00295B32"/>
    <w:rsid w:val="002974A4"/>
    <w:rsid w:val="002A07A2"/>
    <w:rsid w:val="002A26A4"/>
    <w:rsid w:val="002A3CF8"/>
    <w:rsid w:val="002B0D61"/>
    <w:rsid w:val="002B1789"/>
    <w:rsid w:val="002B19DC"/>
    <w:rsid w:val="002B1F66"/>
    <w:rsid w:val="002B2AB3"/>
    <w:rsid w:val="002B3D37"/>
    <w:rsid w:val="002B4074"/>
    <w:rsid w:val="002B49AA"/>
    <w:rsid w:val="002B5131"/>
    <w:rsid w:val="002B5826"/>
    <w:rsid w:val="002B74AD"/>
    <w:rsid w:val="002C286C"/>
    <w:rsid w:val="002C3703"/>
    <w:rsid w:val="002C3DB3"/>
    <w:rsid w:val="002D1877"/>
    <w:rsid w:val="002D38A3"/>
    <w:rsid w:val="002E019E"/>
    <w:rsid w:val="002E0D38"/>
    <w:rsid w:val="002E39F0"/>
    <w:rsid w:val="002E3A98"/>
    <w:rsid w:val="002E3CF6"/>
    <w:rsid w:val="002E485E"/>
    <w:rsid w:val="002E66F7"/>
    <w:rsid w:val="002E674A"/>
    <w:rsid w:val="002E688B"/>
    <w:rsid w:val="002E7F56"/>
    <w:rsid w:val="002F0DBE"/>
    <w:rsid w:val="002F1252"/>
    <w:rsid w:val="002F1BF0"/>
    <w:rsid w:val="002F4599"/>
    <w:rsid w:val="002F4733"/>
    <w:rsid w:val="002F4B3D"/>
    <w:rsid w:val="002F4F9D"/>
    <w:rsid w:val="002F63E4"/>
    <w:rsid w:val="00300F5F"/>
    <w:rsid w:val="003029C3"/>
    <w:rsid w:val="00302C57"/>
    <w:rsid w:val="00302F83"/>
    <w:rsid w:val="003047EC"/>
    <w:rsid w:val="00304E93"/>
    <w:rsid w:val="00307E5A"/>
    <w:rsid w:val="00307F23"/>
    <w:rsid w:val="00310F53"/>
    <w:rsid w:val="00312A78"/>
    <w:rsid w:val="00312F82"/>
    <w:rsid w:val="003177F9"/>
    <w:rsid w:val="00321131"/>
    <w:rsid w:val="00321A9B"/>
    <w:rsid w:val="00322581"/>
    <w:rsid w:val="00323570"/>
    <w:rsid w:val="003263C2"/>
    <w:rsid w:val="003267FC"/>
    <w:rsid w:val="00331BF7"/>
    <w:rsid w:val="003353D1"/>
    <w:rsid w:val="003375C7"/>
    <w:rsid w:val="00342774"/>
    <w:rsid w:val="0034626A"/>
    <w:rsid w:val="00347D24"/>
    <w:rsid w:val="00351581"/>
    <w:rsid w:val="003517DE"/>
    <w:rsid w:val="00351AAB"/>
    <w:rsid w:val="00353146"/>
    <w:rsid w:val="003540E2"/>
    <w:rsid w:val="0035426B"/>
    <w:rsid w:val="00354571"/>
    <w:rsid w:val="00354AE2"/>
    <w:rsid w:val="00355947"/>
    <w:rsid w:val="00355B72"/>
    <w:rsid w:val="00355C33"/>
    <w:rsid w:val="00356021"/>
    <w:rsid w:val="00362267"/>
    <w:rsid w:val="003626A7"/>
    <w:rsid w:val="003626C4"/>
    <w:rsid w:val="00362C4C"/>
    <w:rsid w:val="003653E7"/>
    <w:rsid w:val="003656F1"/>
    <w:rsid w:val="00371783"/>
    <w:rsid w:val="003741B1"/>
    <w:rsid w:val="00374415"/>
    <w:rsid w:val="0037463D"/>
    <w:rsid w:val="00375528"/>
    <w:rsid w:val="0037717E"/>
    <w:rsid w:val="003777AF"/>
    <w:rsid w:val="0038017A"/>
    <w:rsid w:val="00380952"/>
    <w:rsid w:val="00380AD4"/>
    <w:rsid w:val="00380EA2"/>
    <w:rsid w:val="00381164"/>
    <w:rsid w:val="00382455"/>
    <w:rsid w:val="00383024"/>
    <w:rsid w:val="00383856"/>
    <w:rsid w:val="00383E5A"/>
    <w:rsid w:val="0038419D"/>
    <w:rsid w:val="00386379"/>
    <w:rsid w:val="0038798D"/>
    <w:rsid w:val="00387B3A"/>
    <w:rsid w:val="00387BA5"/>
    <w:rsid w:val="00391C47"/>
    <w:rsid w:val="0039235E"/>
    <w:rsid w:val="003925BD"/>
    <w:rsid w:val="00393DAE"/>
    <w:rsid w:val="003950A9"/>
    <w:rsid w:val="003A2F31"/>
    <w:rsid w:val="003A37B6"/>
    <w:rsid w:val="003A4F9B"/>
    <w:rsid w:val="003A4FD2"/>
    <w:rsid w:val="003A5333"/>
    <w:rsid w:val="003B21C4"/>
    <w:rsid w:val="003B2F18"/>
    <w:rsid w:val="003B3814"/>
    <w:rsid w:val="003B5B1B"/>
    <w:rsid w:val="003C08A4"/>
    <w:rsid w:val="003C0D45"/>
    <w:rsid w:val="003C0D52"/>
    <w:rsid w:val="003C2E57"/>
    <w:rsid w:val="003C38E7"/>
    <w:rsid w:val="003C395E"/>
    <w:rsid w:val="003C43FA"/>
    <w:rsid w:val="003C48E3"/>
    <w:rsid w:val="003C5F15"/>
    <w:rsid w:val="003C788E"/>
    <w:rsid w:val="003C7D25"/>
    <w:rsid w:val="003D17C2"/>
    <w:rsid w:val="003D20A5"/>
    <w:rsid w:val="003D7A1B"/>
    <w:rsid w:val="003D7B1C"/>
    <w:rsid w:val="003E2237"/>
    <w:rsid w:val="003E3BEC"/>
    <w:rsid w:val="003E3D5A"/>
    <w:rsid w:val="003E4C3D"/>
    <w:rsid w:val="003E59F0"/>
    <w:rsid w:val="003E7C70"/>
    <w:rsid w:val="003E7FCB"/>
    <w:rsid w:val="003F0C2B"/>
    <w:rsid w:val="003F0D93"/>
    <w:rsid w:val="003F2B4B"/>
    <w:rsid w:val="003F2DD7"/>
    <w:rsid w:val="003F4000"/>
    <w:rsid w:val="003F5915"/>
    <w:rsid w:val="003F67B3"/>
    <w:rsid w:val="003F6A6A"/>
    <w:rsid w:val="004012F5"/>
    <w:rsid w:val="00402D03"/>
    <w:rsid w:val="004109D8"/>
    <w:rsid w:val="004112EE"/>
    <w:rsid w:val="00411E4E"/>
    <w:rsid w:val="00411F37"/>
    <w:rsid w:val="004134E5"/>
    <w:rsid w:val="00413ACF"/>
    <w:rsid w:val="00414E8B"/>
    <w:rsid w:val="00414FB9"/>
    <w:rsid w:val="00415C5B"/>
    <w:rsid w:val="00415D76"/>
    <w:rsid w:val="004201F6"/>
    <w:rsid w:val="00420547"/>
    <w:rsid w:val="00420F7C"/>
    <w:rsid w:val="00422842"/>
    <w:rsid w:val="00423456"/>
    <w:rsid w:val="00424897"/>
    <w:rsid w:val="004258DC"/>
    <w:rsid w:val="00425AB1"/>
    <w:rsid w:val="00426179"/>
    <w:rsid w:val="0042679E"/>
    <w:rsid w:val="00431422"/>
    <w:rsid w:val="00431B83"/>
    <w:rsid w:val="00432A4A"/>
    <w:rsid w:val="00433229"/>
    <w:rsid w:val="00434C43"/>
    <w:rsid w:val="00435A25"/>
    <w:rsid w:val="00437274"/>
    <w:rsid w:val="004431E1"/>
    <w:rsid w:val="004435DD"/>
    <w:rsid w:val="00444F15"/>
    <w:rsid w:val="00445298"/>
    <w:rsid w:val="004462FC"/>
    <w:rsid w:val="00447848"/>
    <w:rsid w:val="00452708"/>
    <w:rsid w:val="0045349D"/>
    <w:rsid w:val="00455D78"/>
    <w:rsid w:val="00456130"/>
    <w:rsid w:val="00457EB8"/>
    <w:rsid w:val="00461BC3"/>
    <w:rsid w:val="00462341"/>
    <w:rsid w:val="004640BD"/>
    <w:rsid w:val="004677CB"/>
    <w:rsid w:val="0047030F"/>
    <w:rsid w:val="00471873"/>
    <w:rsid w:val="00471BDA"/>
    <w:rsid w:val="00472A41"/>
    <w:rsid w:val="0047455A"/>
    <w:rsid w:val="00475A86"/>
    <w:rsid w:val="004767EF"/>
    <w:rsid w:val="00480691"/>
    <w:rsid w:val="00480F24"/>
    <w:rsid w:val="004846FC"/>
    <w:rsid w:val="00485104"/>
    <w:rsid w:val="00485253"/>
    <w:rsid w:val="00485C97"/>
    <w:rsid w:val="00485DD7"/>
    <w:rsid w:val="00486EC9"/>
    <w:rsid w:val="00486FD0"/>
    <w:rsid w:val="00487099"/>
    <w:rsid w:val="00492EA1"/>
    <w:rsid w:val="0049385B"/>
    <w:rsid w:val="00494672"/>
    <w:rsid w:val="004959EB"/>
    <w:rsid w:val="00497BB5"/>
    <w:rsid w:val="004A1808"/>
    <w:rsid w:val="004A1ED5"/>
    <w:rsid w:val="004A4618"/>
    <w:rsid w:val="004A48EB"/>
    <w:rsid w:val="004A53C5"/>
    <w:rsid w:val="004B1649"/>
    <w:rsid w:val="004B1A43"/>
    <w:rsid w:val="004B3D5D"/>
    <w:rsid w:val="004B5CEF"/>
    <w:rsid w:val="004B6E10"/>
    <w:rsid w:val="004B77FC"/>
    <w:rsid w:val="004C02BC"/>
    <w:rsid w:val="004C1708"/>
    <w:rsid w:val="004C38B1"/>
    <w:rsid w:val="004C3D08"/>
    <w:rsid w:val="004C4537"/>
    <w:rsid w:val="004C5D99"/>
    <w:rsid w:val="004C72DC"/>
    <w:rsid w:val="004C77E8"/>
    <w:rsid w:val="004D06B7"/>
    <w:rsid w:val="004D1503"/>
    <w:rsid w:val="004D1D34"/>
    <w:rsid w:val="004D1D81"/>
    <w:rsid w:val="004D3FA5"/>
    <w:rsid w:val="004D5162"/>
    <w:rsid w:val="004D6960"/>
    <w:rsid w:val="004E2FDF"/>
    <w:rsid w:val="004E3D54"/>
    <w:rsid w:val="004E4600"/>
    <w:rsid w:val="004E6272"/>
    <w:rsid w:val="004E72A1"/>
    <w:rsid w:val="004F088F"/>
    <w:rsid w:val="004F09F5"/>
    <w:rsid w:val="004F324F"/>
    <w:rsid w:val="004F3A5D"/>
    <w:rsid w:val="004F3BD4"/>
    <w:rsid w:val="004F4D94"/>
    <w:rsid w:val="004F4DEB"/>
    <w:rsid w:val="004F4E8E"/>
    <w:rsid w:val="00503689"/>
    <w:rsid w:val="00503ED8"/>
    <w:rsid w:val="00504D8D"/>
    <w:rsid w:val="0050566F"/>
    <w:rsid w:val="00507E14"/>
    <w:rsid w:val="00511161"/>
    <w:rsid w:val="00512B9D"/>
    <w:rsid w:val="00514A6F"/>
    <w:rsid w:val="00514C19"/>
    <w:rsid w:val="00514E6A"/>
    <w:rsid w:val="00515B92"/>
    <w:rsid w:val="0051621A"/>
    <w:rsid w:val="00516843"/>
    <w:rsid w:val="00520689"/>
    <w:rsid w:val="0052093E"/>
    <w:rsid w:val="00522D26"/>
    <w:rsid w:val="00523700"/>
    <w:rsid w:val="00523A0A"/>
    <w:rsid w:val="00523D0D"/>
    <w:rsid w:val="005252CE"/>
    <w:rsid w:val="00525E99"/>
    <w:rsid w:val="00527E86"/>
    <w:rsid w:val="005311B3"/>
    <w:rsid w:val="00533EAC"/>
    <w:rsid w:val="0053455D"/>
    <w:rsid w:val="00540B8B"/>
    <w:rsid w:val="00545DDE"/>
    <w:rsid w:val="00547068"/>
    <w:rsid w:val="0054758F"/>
    <w:rsid w:val="00547ECD"/>
    <w:rsid w:val="00551289"/>
    <w:rsid w:val="005531C7"/>
    <w:rsid w:val="00553F3E"/>
    <w:rsid w:val="00555615"/>
    <w:rsid w:val="0055720F"/>
    <w:rsid w:val="005577B2"/>
    <w:rsid w:val="0055796B"/>
    <w:rsid w:val="0055799E"/>
    <w:rsid w:val="005657E9"/>
    <w:rsid w:val="005659F3"/>
    <w:rsid w:val="00565CD1"/>
    <w:rsid w:val="00570365"/>
    <w:rsid w:val="00570D51"/>
    <w:rsid w:val="00572BA3"/>
    <w:rsid w:val="0057388D"/>
    <w:rsid w:val="00576B85"/>
    <w:rsid w:val="005821A0"/>
    <w:rsid w:val="0058306A"/>
    <w:rsid w:val="0058465A"/>
    <w:rsid w:val="00584EC2"/>
    <w:rsid w:val="005877A0"/>
    <w:rsid w:val="00591BC8"/>
    <w:rsid w:val="00593535"/>
    <w:rsid w:val="00595AE3"/>
    <w:rsid w:val="00595D1E"/>
    <w:rsid w:val="00596FE0"/>
    <w:rsid w:val="005A0B99"/>
    <w:rsid w:val="005A18AC"/>
    <w:rsid w:val="005A1C2A"/>
    <w:rsid w:val="005A315D"/>
    <w:rsid w:val="005A4E8A"/>
    <w:rsid w:val="005A5932"/>
    <w:rsid w:val="005A6F2C"/>
    <w:rsid w:val="005A7D91"/>
    <w:rsid w:val="005B5B5A"/>
    <w:rsid w:val="005B64AA"/>
    <w:rsid w:val="005C1A27"/>
    <w:rsid w:val="005C2E5A"/>
    <w:rsid w:val="005C353C"/>
    <w:rsid w:val="005C4146"/>
    <w:rsid w:val="005C5926"/>
    <w:rsid w:val="005C59C0"/>
    <w:rsid w:val="005C681F"/>
    <w:rsid w:val="005C731B"/>
    <w:rsid w:val="005D234C"/>
    <w:rsid w:val="005D4394"/>
    <w:rsid w:val="005D6DDD"/>
    <w:rsid w:val="005D7514"/>
    <w:rsid w:val="005E6E34"/>
    <w:rsid w:val="005E6F8B"/>
    <w:rsid w:val="005E7B18"/>
    <w:rsid w:val="005F092E"/>
    <w:rsid w:val="005F14F2"/>
    <w:rsid w:val="005F2A9D"/>
    <w:rsid w:val="005F3AAC"/>
    <w:rsid w:val="005F3B24"/>
    <w:rsid w:val="005F4355"/>
    <w:rsid w:val="005F7534"/>
    <w:rsid w:val="00601277"/>
    <w:rsid w:val="00603BCF"/>
    <w:rsid w:val="006054F3"/>
    <w:rsid w:val="00605AC7"/>
    <w:rsid w:val="006075C6"/>
    <w:rsid w:val="00613459"/>
    <w:rsid w:val="006141A4"/>
    <w:rsid w:val="00616211"/>
    <w:rsid w:val="00617256"/>
    <w:rsid w:val="00620192"/>
    <w:rsid w:val="00621032"/>
    <w:rsid w:val="00621746"/>
    <w:rsid w:val="006239C8"/>
    <w:rsid w:val="00626D58"/>
    <w:rsid w:val="00630043"/>
    <w:rsid w:val="006307C3"/>
    <w:rsid w:val="0063114C"/>
    <w:rsid w:val="00632BE4"/>
    <w:rsid w:val="00633302"/>
    <w:rsid w:val="0063348D"/>
    <w:rsid w:val="00633A94"/>
    <w:rsid w:val="00634AF0"/>
    <w:rsid w:val="006358E0"/>
    <w:rsid w:val="00635A49"/>
    <w:rsid w:val="00636235"/>
    <w:rsid w:val="006404BC"/>
    <w:rsid w:val="00640B37"/>
    <w:rsid w:val="00643795"/>
    <w:rsid w:val="00644B93"/>
    <w:rsid w:val="00645236"/>
    <w:rsid w:val="00645693"/>
    <w:rsid w:val="006473B3"/>
    <w:rsid w:val="0064741A"/>
    <w:rsid w:val="006524B3"/>
    <w:rsid w:val="00654351"/>
    <w:rsid w:val="00657179"/>
    <w:rsid w:val="00657B9A"/>
    <w:rsid w:val="0066150E"/>
    <w:rsid w:val="00666653"/>
    <w:rsid w:val="00667532"/>
    <w:rsid w:val="0067239C"/>
    <w:rsid w:val="00672D02"/>
    <w:rsid w:val="00673286"/>
    <w:rsid w:val="00681AF2"/>
    <w:rsid w:val="00682D31"/>
    <w:rsid w:val="006836F7"/>
    <w:rsid w:val="00684FA9"/>
    <w:rsid w:val="00686D05"/>
    <w:rsid w:val="00690FCD"/>
    <w:rsid w:val="0069258C"/>
    <w:rsid w:val="0069340B"/>
    <w:rsid w:val="00694562"/>
    <w:rsid w:val="006957A3"/>
    <w:rsid w:val="00695894"/>
    <w:rsid w:val="006A0CDF"/>
    <w:rsid w:val="006A3848"/>
    <w:rsid w:val="006A3FF5"/>
    <w:rsid w:val="006A5D42"/>
    <w:rsid w:val="006A79ED"/>
    <w:rsid w:val="006A7BBE"/>
    <w:rsid w:val="006B0E90"/>
    <w:rsid w:val="006B1100"/>
    <w:rsid w:val="006B161A"/>
    <w:rsid w:val="006B176E"/>
    <w:rsid w:val="006B1ACA"/>
    <w:rsid w:val="006B26A3"/>
    <w:rsid w:val="006B276B"/>
    <w:rsid w:val="006B29E5"/>
    <w:rsid w:val="006B379F"/>
    <w:rsid w:val="006B3A6C"/>
    <w:rsid w:val="006B6D73"/>
    <w:rsid w:val="006C2FCA"/>
    <w:rsid w:val="006C436E"/>
    <w:rsid w:val="006C4800"/>
    <w:rsid w:val="006C5215"/>
    <w:rsid w:val="006C6AC7"/>
    <w:rsid w:val="006D19E8"/>
    <w:rsid w:val="006D289A"/>
    <w:rsid w:val="006D3713"/>
    <w:rsid w:val="006D45D9"/>
    <w:rsid w:val="006D5A63"/>
    <w:rsid w:val="006D6F18"/>
    <w:rsid w:val="006D7F90"/>
    <w:rsid w:val="006E01C4"/>
    <w:rsid w:val="006E2778"/>
    <w:rsid w:val="006E5B0C"/>
    <w:rsid w:val="006E62D7"/>
    <w:rsid w:val="006E6DAB"/>
    <w:rsid w:val="006E6F66"/>
    <w:rsid w:val="006E7340"/>
    <w:rsid w:val="006E7E00"/>
    <w:rsid w:val="006F267E"/>
    <w:rsid w:val="00700E4D"/>
    <w:rsid w:val="00706004"/>
    <w:rsid w:val="00714BA0"/>
    <w:rsid w:val="00714DED"/>
    <w:rsid w:val="00720BA3"/>
    <w:rsid w:val="007257C4"/>
    <w:rsid w:val="007276D0"/>
    <w:rsid w:val="00727E12"/>
    <w:rsid w:val="00731322"/>
    <w:rsid w:val="00733561"/>
    <w:rsid w:val="0073487E"/>
    <w:rsid w:val="00734894"/>
    <w:rsid w:val="00737D2E"/>
    <w:rsid w:val="007415C3"/>
    <w:rsid w:val="007418BA"/>
    <w:rsid w:val="00741C85"/>
    <w:rsid w:val="00743E89"/>
    <w:rsid w:val="00743EC8"/>
    <w:rsid w:val="007449E0"/>
    <w:rsid w:val="00750510"/>
    <w:rsid w:val="00750B6E"/>
    <w:rsid w:val="007520E3"/>
    <w:rsid w:val="00752B98"/>
    <w:rsid w:val="0075310E"/>
    <w:rsid w:val="00756F56"/>
    <w:rsid w:val="007603C4"/>
    <w:rsid w:val="0076159F"/>
    <w:rsid w:val="0076189E"/>
    <w:rsid w:val="00761BDB"/>
    <w:rsid w:val="0076437F"/>
    <w:rsid w:val="00764D31"/>
    <w:rsid w:val="00764F60"/>
    <w:rsid w:val="007659FD"/>
    <w:rsid w:val="00766970"/>
    <w:rsid w:val="00770346"/>
    <w:rsid w:val="00771A69"/>
    <w:rsid w:val="00773286"/>
    <w:rsid w:val="00775486"/>
    <w:rsid w:val="00775AAC"/>
    <w:rsid w:val="00776113"/>
    <w:rsid w:val="00781EF5"/>
    <w:rsid w:val="00784CCB"/>
    <w:rsid w:val="00784F66"/>
    <w:rsid w:val="0078534C"/>
    <w:rsid w:val="00786C44"/>
    <w:rsid w:val="007879B2"/>
    <w:rsid w:val="00791B07"/>
    <w:rsid w:val="00791C6F"/>
    <w:rsid w:val="00795C17"/>
    <w:rsid w:val="00797BCC"/>
    <w:rsid w:val="007A095E"/>
    <w:rsid w:val="007A2C4F"/>
    <w:rsid w:val="007A653A"/>
    <w:rsid w:val="007A7667"/>
    <w:rsid w:val="007B05CE"/>
    <w:rsid w:val="007B0BA0"/>
    <w:rsid w:val="007B0D7B"/>
    <w:rsid w:val="007B1BBF"/>
    <w:rsid w:val="007B1ED6"/>
    <w:rsid w:val="007B1FB1"/>
    <w:rsid w:val="007B2716"/>
    <w:rsid w:val="007B48A8"/>
    <w:rsid w:val="007B4A9C"/>
    <w:rsid w:val="007B5CC4"/>
    <w:rsid w:val="007C002C"/>
    <w:rsid w:val="007C4774"/>
    <w:rsid w:val="007D004C"/>
    <w:rsid w:val="007D0BAC"/>
    <w:rsid w:val="007D2F85"/>
    <w:rsid w:val="007D6DA1"/>
    <w:rsid w:val="007D7036"/>
    <w:rsid w:val="007E07F3"/>
    <w:rsid w:val="007E1ED2"/>
    <w:rsid w:val="007E5CA8"/>
    <w:rsid w:val="007E6124"/>
    <w:rsid w:val="007E6167"/>
    <w:rsid w:val="007E61CB"/>
    <w:rsid w:val="007E674B"/>
    <w:rsid w:val="007E7BF0"/>
    <w:rsid w:val="007F16A5"/>
    <w:rsid w:val="007F1A3A"/>
    <w:rsid w:val="007F220C"/>
    <w:rsid w:val="007F372D"/>
    <w:rsid w:val="007F3ADB"/>
    <w:rsid w:val="007F537F"/>
    <w:rsid w:val="007F671B"/>
    <w:rsid w:val="007F75E7"/>
    <w:rsid w:val="00800836"/>
    <w:rsid w:val="00802174"/>
    <w:rsid w:val="008036C4"/>
    <w:rsid w:val="00803EE2"/>
    <w:rsid w:val="00804190"/>
    <w:rsid w:val="008048BD"/>
    <w:rsid w:val="00806C6A"/>
    <w:rsid w:val="00807536"/>
    <w:rsid w:val="00807CEB"/>
    <w:rsid w:val="00811800"/>
    <w:rsid w:val="008122BA"/>
    <w:rsid w:val="00814090"/>
    <w:rsid w:val="00815699"/>
    <w:rsid w:val="00816E40"/>
    <w:rsid w:val="0081712A"/>
    <w:rsid w:val="008214A6"/>
    <w:rsid w:val="00821574"/>
    <w:rsid w:val="008219B0"/>
    <w:rsid w:val="00822748"/>
    <w:rsid w:val="008252F0"/>
    <w:rsid w:val="008264CF"/>
    <w:rsid w:val="008270AC"/>
    <w:rsid w:val="00832E97"/>
    <w:rsid w:val="008331E6"/>
    <w:rsid w:val="008335A7"/>
    <w:rsid w:val="008335E5"/>
    <w:rsid w:val="00836093"/>
    <w:rsid w:val="008363A1"/>
    <w:rsid w:val="008372EE"/>
    <w:rsid w:val="0084029B"/>
    <w:rsid w:val="00840B3D"/>
    <w:rsid w:val="008431EC"/>
    <w:rsid w:val="00844C76"/>
    <w:rsid w:val="00845132"/>
    <w:rsid w:val="00847C9A"/>
    <w:rsid w:val="00850C51"/>
    <w:rsid w:val="00852B47"/>
    <w:rsid w:val="00852F02"/>
    <w:rsid w:val="008544DD"/>
    <w:rsid w:val="008569A2"/>
    <w:rsid w:val="00856A64"/>
    <w:rsid w:val="00857CF3"/>
    <w:rsid w:val="00862890"/>
    <w:rsid w:val="00862E1B"/>
    <w:rsid w:val="00866A5C"/>
    <w:rsid w:val="00867400"/>
    <w:rsid w:val="00867C0A"/>
    <w:rsid w:val="00870681"/>
    <w:rsid w:val="00870C30"/>
    <w:rsid w:val="00871A2F"/>
    <w:rsid w:val="00872CE0"/>
    <w:rsid w:val="0087464E"/>
    <w:rsid w:val="00874B1D"/>
    <w:rsid w:val="0087607E"/>
    <w:rsid w:val="0088254E"/>
    <w:rsid w:val="00883EAB"/>
    <w:rsid w:val="00883F61"/>
    <w:rsid w:val="00886770"/>
    <w:rsid w:val="008912F0"/>
    <w:rsid w:val="00891E15"/>
    <w:rsid w:val="00893238"/>
    <w:rsid w:val="008942C4"/>
    <w:rsid w:val="008A00AE"/>
    <w:rsid w:val="008A00D8"/>
    <w:rsid w:val="008A1A9A"/>
    <w:rsid w:val="008A2110"/>
    <w:rsid w:val="008A25F9"/>
    <w:rsid w:val="008A2C13"/>
    <w:rsid w:val="008A3C07"/>
    <w:rsid w:val="008A45F5"/>
    <w:rsid w:val="008A52B0"/>
    <w:rsid w:val="008A7CAA"/>
    <w:rsid w:val="008B003F"/>
    <w:rsid w:val="008B0A8B"/>
    <w:rsid w:val="008B0B5E"/>
    <w:rsid w:val="008B0C11"/>
    <w:rsid w:val="008B0CBE"/>
    <w:rsid w:val="008B111D"/>
    <w:rsid w:val="008B33E0"/>
    <w:rsid w:val="008B66F2"/>
    <w:rsid w:val="008B7FA3"/>
    <w:rsid w:val="008C05F1"/>
    <w:rsid w:val="008C1423"/>
    <w:rsid w:val="008C1E08"/>
    <w:rsid w:val="008C586E"/>
    <w:rsid w:val="008C5E0C"/>
    <w:rsid w:val="008C6CEF"/>
    <w:rsid w:val="008C74E7"/>
    <w:rsid w:val="008C7814"/>
    <w:rsid w:val="008D049A"/>
    <w:rsid w:val="008D119A"/>
    <w:rsid w:val="008D2586"/>
    <w:rsid w:val="008D3925"/>
    <w:rsid w:val="008D3993"/>
    <w:rsid w:val="008D5ED7"/>
    <w:rsid w:val="008D7088"/>
    <w:rsid w:val="008D79A2"/>
    <w:rsid w:val="008E5151"/>
    <w:rsid w:val="008E75EC"/>
    <w:rsid w:val="008E7D4D"/>
    <w:rsid w:val="008F1F41"/>
    <w:rsid w:val="008F1F9A"/>
    <w:rsid w:val="008F3565"/>
    <w:rsid w:val="008F3B1D"/>
    <w:rsid w:val="008F4088"/>
    <w:rsid w:val="008F7B00"/>
    <w:rsid w:val="0090291D"/>
    <w:rsid w:val="00903871"/>
    <w:rsid w:val="009054A7"/>
    <w:rsid w:val="00910B3F"/>
    <w:rsid w:val="009131DC"/>
    <w:rsid w:val="0091503E"/>
    <w:rsid w:val="00915EEC"/>
    <w:rsid w:val="00915F4F"/>
    <w:rsid w:val="00921E12"/>
    <w:rsid w:val="00922E71"/>
    <w:rsid w:val="00922FA9"/>
    <w:rsid w:val="00923198"/>
    <w:rsid w:val="00923E99"/>
    <w:rsid w:val="009258C6"/>
    <w:rsid w:val="009258DD"/>
    <w:rsid w:val="00931016"/>
    <w:rsid w:val="00931D8C"/>
    <w:rsid w:val="00931FAF"/>
    <w:rsid w:val="00932FC7"/>
    <w:rsid w:val="00934C15"/>
    <w:rsid w:val="00936492"/>
    <w:rsid w:val="009366CF"/>
    <w:rsid w:val="00937874"/>
    <w:rsid w:val="00943119"/>
    <w:rsid w:val="009443CF"/>
    <w:rsid w:val="00944CE0"/>
    <w:rsid w:val="00945878"/>
    <w:rsid w:val="00945E34"/>
    <w:rsid w:val="00946681"/>
    <w:rsid w:val="00946806"/>
    <w:rsid w:val="00946F59"/>
    <w:rsid w:val="00947EF6"/>
    <w:rsid w:val="00951538"/>
    <w:rsid w:val="00952E12"/>
    <w:rsid w:val="00953141"/>
    <w:rsid w:val="00953A10"/>
    <w:rsid w:val="00954D41"/>
    <w:rsid w:val="00957057"/>
    <w:rsid w:val="00961951"/>
    <w:rsid w:val="009629C2"/>
    <w:rsid w:val="00966C3E"/>
    <w:rsid w:val="00967219"/>
    <w:rsid w:val="00970853"/>
    <w:rsid w:val="009708E9"/>
    <w:rsid w:val="00970A27"/>
    <w:rsid w:val="00973326"/>
    <w:rsid w:val="00973E8A"/>
    <w:rsid w:val="00974316"/>
    <w:rsid w:val="00974318"/>
    <w:rsid w:val="00975EB7"/>
    <w:rsid w:val="00981BAA"/>
    <w:rsid w:val="0098411A"/>
    <w:rsid w:val="00984D25"/>
    <w:rsid w:val="00984F9A"/>
    <w:rsid w:val="0098555F"/>
    <w:rsid w:val="0098776E"/>
    <w:rsid w:val="009919DA"/>
    <w:rsid w:val="00992DB6"/>
    <w:rsid w:val="00993BE4"/>
    <w:rsid w:val="00994603"/>
    <w:rsid w:val="009A6639"/>
    <w:rsid w:val="009A7CEE"/>
    <w:rsid w:val="009B137A"/>
    <w:rsid w:val="009B2C1A"/>
    <w:rsid w:val="009B33F9"/>
    <w:rsid w:val="009B383F"/>
    <w:rsid w:val="009B471B"/>
    <w:rsid w:val="009B5C02"/>
    <w:rsid w:val="009C1217"/>
    <w:rsid w:val="009C3E8E"/>
    <w:rsid w:val="009C6C29"/>
    <w:rsid w:val="009C740D"/>
    <w:rsid w:val="009C7859"/>
    <w:rsid w:val="009D0A2D"/>
    <w:rsid w:val="009D222E"/>
    <w:rsid w:val="009D3044"/>
    <w:rsid w:val="009D5E71"/>
    <w:rsid w:val="009D6F96"/>
    <w:rsid w:val="009D701C"/>
    <w:rsid w:val="009E031E"/>
    <w:rsid w:val="009E5EE1"/>
    <w:rsid w:val="009E62CB"/>
    <w:rsid w:val="009E6713"/>
    <w:rsid w:val="009E67CC"/>
    <w:rsid w:val="009E69A1"/>
    <w:rsid w:val="009E722B"/>
    <w:rsid w:val="009F0EDD"/>
    <w:rsid w:val="009F4D90"/>
    <w:rsid w:val="009F7193"/>
    <w:rsid w:val="00A0127A"/>
    <w:rsid w:val="00A01408"/>
    <w:rsid w:val="00A01A52"/>
    <w:rsid w:val="00A0394D"/>
    <w:rsid w:val="00A11657"/>
    <w:rsid w:val="00A12A5D"/>
    <w:rsid w:val="00A12A8A"/>
    <w:rsid w:val="00A134D2"/>
    <w:rsid w:val="00A16871"/>
    <w:rsid w:val="00A16EDD"/>
    <w:rsid w:val="00A269CE"/>
    <w:rsid w:val="00A35A10"/>
    <w:rsid w:val="00A35E58"/>
    <w:rsid w:val="00A35FED"/>
    <w:rsid w:val="00A365A1"/>
    <w:rsid w:val="00A42B2F"/>
    <w:rsid w:val="00A43A46"/>
    <w:rsid w:val="00A45EC5"/>
    <w:rsid w:val="00A461A0"/>
    <w:rsid w:val="00A47566"/>
    <w:rsid w:val="00A50EFA"/>
    <w:rsid w:val="00A51551"/>
    <w:rsid w:val="00A51582"/>
    <w:rsid w:val="00A52A4D"/>
    <w:rsid w:val="00A55CB9"/>
    <w:rsid w:val="00A6182B"/>
    <w:rsid w:val="00A64F92"/>
    <w:rsid w:val="00A66340"/>
    <w:rsid w:val="00A665A5"/>
    <w:rsid w:val="00A71F89"/>
    <w:rsid w:val="00A75024"/>
    <w:rsid w:val="00A7607B"/>
    <w:rsid w:val="00A8072E"/>
    <w:rsid w:val="00A80747"/>
    <w:rsid w:val="00A80C05"/>
    <w:rsid w:val="00A80C91"/>
    <w:rsid w:val="00A81AEF"/>
    <w:rsid w:val="00A831DB"/>
    <w:rsid w:val="00A844E8"/>
    <w:rsid w:val="00A9271C"/>
    <w:rsid w:val="00A93B88"/>
    <w:rsid w:val="00A9453C"/>
    <w:rsid w:val="00A94E7C"/>
    <w:rsid w:val="00A96BFB"/>
    <w:rsid w:val="00A96DEB"/>
    <w:rsid w:val="00AA17C2"/>
    <w:rsid w:val="00AA1A7B"/>
    <w:rsid w:val="00AA1EB6"/>
    <w:rsid w:val="00AA20D5"/>
    <w:rsid w:val="00AA29B2"/>
    <w:rsid w:val="00AA2D75"/>
    <w:rsid w:val="00AA4076"/>
    <w:rsid w:val="00AA7DA9"/>
    <w:rsid w:val="00AA7E4B"/>
    <w:rsid w:val="00AB02E4"/>
    <w:rsid w:val="00AB2623"/>
    <w:rsid w:val="00AB4E9B"/>
    <w:rsid w:val="00AB5020"/>
    <w:rsid w:val="00AC06B0"/>
    <w:rsid w:val="00AC1CD1"/>
    <w:rsid w:val="00AC3800"/>
    <w:rsid w:val="00AC3E3C"/>
    <w:rsid w:val="00AC4974"/>
    <w:rsid w:val="00AD05B1"/>
    <w:rsid w:val="00AD34C1"/>
    <w:rsid w:val="00AD4079"/>
    <w:rsid w:val="00AD477C"/>
    <w:rsid w:val="00AD5ABF"/>
    <w:rsid w:val="00AD691E"/>
    <w:rsid w:val="00AD6BAC"/>
    <w:rsid w:val="00AD6C72"/>
    <w:rsid w:val="00AD7196"/>
    <w:rsid w:val="00AE1BE7"/>
    <w:rsid w:val="00AE4FDB"/>
    <w:rsid w:val="00AE5DB7"/>
    <w:rsid w:val="00AE68CF"/>
    <w:rsid w:val="00AE6B2B"/>
    <w:rsid w:val="00AE794B"/>
    <w:rsid w:val="00AF3682"/>
    <w:rsid w:val="00AF4AE9"/>
    <w:rsid w:val="00B04BA5"/>
    <w:rsid w:val="00B053F9"/>
    <w:rsid w:val="00B06991"/>
    <w:rsid w:val="00B06DDF"/>
    <w:rsid w:val="00B07A19"/>
    <w:rsid w:val="00B10C30"/>
    <w:rsid w:val="00B1262A"/>
    <w:rsid w:val="00B17387"/>
    <w:rsid w:val="00B17734"/>
    <w:rsid w:val="00B20BB3"/>
    <w:rsid w:val="00B23E71"/>
    <w:rsid w:val="00B25199"/>
    <w:rsid w:val="00B32234"/>
    <w:rsid w:val="00B33430"/>
    <w:rsid w:val="00B339C1"/>
    <w:rsid w:val="00B36BF1"/>
    <w:rsid w:val="00B41E68"/>
    <w:rsid w:val="00B4445B"/>
    <w:rsid w:val="00B4486E"/>
    <w:rsid w:val="00B4579A"/>
    <w:rsid w:val="00B45AA3"/>
    <w:rsid w:val="00B474C0"/>
    <w:rsid w:val="00B50589"/>
    <w:rsid w:val="00B50F6C"/>
    <w:rsid w:val="00B51EFC"/>
    <w:rsid w:val="00B52391"/>
    <w:rsid w:val="00B5248D"/>
    <w:rsid w:val="00B54500"/>
    <w:rsid w:val="00B55669"/>
    <w:rsid w:val="00B56842"/>
    <w:rsid w:val="00B60BF5"/>
    <w:rsid w:val="00B615C9"/>
    <w:rsid w:val="00B61703"/>
    <w:rsid w:val="00B629FC"/>
    <w:rsid w:val="00B634D3"/>
    <w:rsid w:val="00B70DB1"/>
    <w:rsid w:val="00B7212C"/>
    <w:rsid w:val="00B734CB"/>
    <w:rsid w:val="00B7375A"/>
    <w:rsid w:val="00B73AEE"/>
    <w:rsid w:val="00B74470"/>
    <w:rsid w:val="00B75634"/>
    <w:rsid w:val="00B808EB"/>
    <w:rsid w:val="00B8374E"/>
    <w:rsid w:val="00B85681"/>
    <w:rsid w:val="00B85D16"/>
    <w:rsid w:val="00B85E9D"/>
    <w:rsid w:val="00B86608"/>
    <w:rsid w:val="00B912AA"/>
    <w:rsid w:val="00B92058"/>
    <w:rsid w:val="00B9228A"/>
    <w:rsid w:val="00B9274C"/>
    <w:rsid w:val="00B92D61"/>
    <w:rsid w:val="00B931FA"/>
    <w:rsid w:val="00B93B13"/>
    <w:rsid w:val="00BA08A2"/>
    <w:rsid w:val="00BA2871"/>
    <w:rsid w:val="00BA3CD8"/>
    <w:rsid w:val="00BA591A"/>
    <w:rsid w:val="00BA5FED"/>
    <w:rsid w:val="00BA6B21"/>
    <w:rsid w:val="00BA76BE"/>
    <w:rsid w:val="00BB1023"/>
    <w:rsid w:val="00BB2850"/>
    <w:rsid w:val="00BB3269"/>
    <w:rsid w:val="00BB4EA1"/>
    <w:rsid w:val="00BB5C09"/>
    <w:rsid w:val="00BC4144"/>
    <w:rsid w:val="00BC4F71"/>
    <w:rsid w:val="00BC539B"/>
    <w:rsid w:val="00BC66E1"/>
    <w:rsid w:val="00BD2184"/>
    <w:rsid w:val="00BD3C9A"/>
    <w:rsid w:val="00BD3D70"/>
    <w:rsid w:val="00BD3D95"/>
    <w:rsid w:val="00BD7630"/>
    <w:rsid w:val="00BD7F16"/>
    <w:rsid w:val="00BE0940"/>
    <w:rsid w:val="00BE2576"/>
    <w:rsid w:val="00BE2A48"/>
    <w:rsid w:val="00BE5C2B"/>
    <w:rsid w:val="00BE5F07"/>
    <w:rsid w:val="00BE701C"/>
    <w:rsid w:val="00BF18B1"/>
    <w:rsid w:val="00BF56CA"/>
    <w:rsid w:val="00BF580B"/>
    <w:rsid w:val="00BF6AEB"/>
    <w:rsid w:val="00C00FDA"/>
    <w:rsid w:val="00C022B8"/>
    <w:rsid w:val="00C03E4F"/>
    <w:rsid w:val="00C05F85"/>
    <w:rsid w:val="00C068E1"/>
    <w:rsid w:val="00C10253"/>
    <w:rsid w:val="00C10E72"/>
    <w:rsid w:val="00C13A83"/>
    <w:rsid w:val="00C14BA5"/>
    <w:rsid w:val="00C15075"/>
    <w:rsid w:val="00C170EB"/>
    <w:rsid w:val="00C178FC"/>
    <w:rsid w:val="00C23DBC"/>
    <w:rsid w:val="00C2484F"/>
    <w:rsid w:val="00C26281"/>
    <w:rsid w:val="00C265DC"/>
    <w:rsid w:val="00C30438"/>
    <w:rsid w:val="00C31A6C"/>
    <w:rsid w:val="00C3289F"/>
    <w:rsid w:val="00C345F4"/>
    <w:rsid w:val="00C35B1C"/>
    <w:rsid w:val="00C3617F"/>
    <w:rsid w:val="00C375E6"/>
    <w:rsid w:val="00C410AA"/>
    <w:rsid w:val="00C41B41"/>
    <w:rsid w:val="00C43341"/>
    <w:rsid w:val="00C437E2"/>
    <w:rsid w:val="00C43896"/>
    <w:rsid w:val="00C4661C"/>
    <w:rsid w:val="00C469BB"/>
    <w:rsid w:val="00C50A19"/>
    <w:rsid w:val="00C518C5"/>
    <w:rsid w:val="00C53E11"/>
    <w:rsid w:val="00C5562D"/>
    <w:rsid w:val="00C55632"/>
    <w:rsid w:val="00C55D5C"/>
    <w:rsid w:val="00C562C8"/>
    <w:rsid w:val="00C57AA4"/>
    <w:rsid w:val="00C61E49"/>
    <w:rsid w:val="00C62FCF"/>
    <w:rsid w:val="00C6383A"/>
    <w:rsid w:val="00C64F00"/>
    <w:rsid w:val="00C6522E"/>
    <w:rsid w:val="00C6588F"/>
    <w:rsid w:val="00C709B5"/>
    <w:rsid w:val="00C739AA"/>
    <w:rsid w:val="00C73DD9"/>
    <w:rsid w:val="00C756D1"/>
    <w:rsid w:val="00C75B94"/>
    <w:rsid w:val="00C80D25"/>
    <w:rsid w:val="00C81346"/>
    <w:rsid w:val="00C8175A"/>
    <w:rsid w:val="00C820D3"/>
    <w:rsid w:val="00C82FE3"/>
    <w:rsid w:val="00C85C2C"/>
    <w:rsid w:val="00C85D9A"/>
    <w:rsid w:val="00C916AB"/>
    <w:rsid w:val="00C922E5"/>
    <w:rsid w:val="00C92CD7"/>
    <w:rsid w:val="00C92E96"/>
    <w:rsid w:val="00C9564A"/>
    <w:rsid w:val="00C96087"/>
    <w:rsid w:val="00C96105"/>
    <w:rsid w:val="00C974EC"/>
    <w:rsid w:val="00C97803"/>
    <w:rsid w:val="00CA2066"/>
    <w:rsid w:val="00CA2AD2"/>
    <w:rsid w:val="00CA4307"/>
    <w:rsid w:val="00CA5617"/>
    <w:rsid w:val="00CA71C6"/>
    <w:rsid w:val="00CA79C9"/>
    <w:rsid w:val="00CB012D"/>
    <w:rsid w:val="00CB014E"/>
    <w:rsid w:val="00CB0772"/>
    <w:rsid w:val="00CB10F9"/>
    <w:rsid w:val="00CB2A8F"/>
    <w:rsid w:val="00CB3634"/>
    <w:rsid w:val="00CB366C"/>
    <w:rsid w:val="00CB449B"/>
    <w:rsid w:val="00CB5F8E"/>
    <w:rsid w:val="00CC018D"/>
    <w:rsid w:val="00CC1E6F"/>
    <w:rsid w:val="00CC2284"/>
    <w:rsid w:val="00CC3264"/>
    <w:rsid w:val="00CC4B19"/>
    <w:rsid w:val="00CC5281"/>
    <w:rsid w:val="00CC758C"/>
    <w:rsid w:val="00CD0C5B"/>
    <w:rsid w:val="00CD335C"/>
    <w:rsid w:val="00CD3693"/>
    <w:rsid w:val="00CD3D0D"/>
    <w:rsid w:val="00CD4533"/>
    <w:rsid w:val="00CD56AC"/>
    <w:rsid w:val="00CD5BBA"/>
    <w:rsid w:val="00CE5E79"/>
    <w:rsid w:val="00CE6084"/>
    <w:rsid w:val="00CE644D"/>
    <w:rsid w:val="00CF22C3"/>
    <w:rsid w:val="00CF2473"/>
    <w:rsid w:val="00CF3E1C"/>
    <w:rsid w:val="00CF43EA"/>
    <w:rsid w:val="00CF6A8D"/>
    <w:rsid w:val="00CF79FD"/>
    <w:rsid w:val="00D010F2"/>
    <w:rsid w:val="00D01A98"/>
    <w:rsid w:val="00D01D0A"/>
    <w:rsid w:val="00D02C30"/>
    <w:rsid w:val="00D0313B"/>
    <w:rsid w:val="00D052B9"/>
    <w:rsid w:val="00D053DB"/>
    <w:rsid w:val="00D05C36"/>
    <w:rsid w:val="00D0745F"/>
    <w:rsid w:val="00D07F1D"/>
    <w:rsid w:val="00D1054C"/>
    <w:rsid w:val="00D11472"/>
    <w:rsid w:val="00D13785"/>
    <w:rsid w:val="00D14021"/>
    <w:rsid w:val="00D14A62"/>
    <w:rsid w:val="00D16157"/>
    <w:rsid w:val="00D17DD6"/>
    <w:rsid w:val="00D20732"/>
    <w:rsid w:val="00D20A48"/>
    <w:rsid w:val="00D218F3"/>
    <w:rsid w:val="00D21BD9"/>
    <w:rsid w:val="00D24A30"/>
    <w:rsid w:val="00D25E47"/>
    <w:rsid w:val="00D32875"/>
    <w:rsid w:val="00D32A31"/>
    <w:rsid w:val="00D330FC"/>
    <w:rsid w:val="00D3465E"/>
    <w:rsid w:val="00D354C0"/>
    <w:rsid w:val="00D35A86"/>
    <w:rsid w:val="00D35DA5"/>
    <w:rsid w:val="00D37861"/>
    <w:rsid w:val="00D378C2"/>
    <w:rsid w:val="00D42CCD"/>
    <w:rsid w:val="00D433FB"/>
    <w:rsid w:val="00D44E8C"/>
    <w:rsid w:val="00D46B12"/>
    <w:rsid w:val="00D53074"/>
    <w:rsid w:val="00D53974"/>
    <w:rsid w:val="00D54407"/>
    <w:rsid w:val="00D54467"/>
    <w:rsid w:val="00D57620"/>
    <w:rsid w:val="00D6289D"/>
    <w:rsid w:val="00D6600B"/>
    <w:rsid w:val="00D70C8B"/>
    <w:rsid w:val="00D76044"/>
    <w:rsid w:val="00D80D95"/>
    <w:rsid w:val="00D8264A"/>
    <w:rsid w:val="00D8335B"/>
    <w:rsid w:val="00D855DC"/>
    <w:rsid w:val="00D856AE"/>
    <w:rsid w:val="00D85BAA"/>
    <w:rsid w:val="00D86076"/>
    <w:rsid w:val="00D9072A"/>
    <w:rsid w:val="00D9302D"/>
    <w:rsid w:val="00D93D13"/>
    <w:rsid w:val="00D941E3"/>
    <w:rsid w:val="00D9510F"/>
    <w:rsid w:val="00DA235E"/>
    <w:rsid w:val="00DA4E0B"/>
    <w:rsid w:val="00DA7659"/>
    <w:rsid w:val="00DB138C"/>
    <w:rsid w:val="00DB17BE"/>
    <w:rsid w:val="00DB1A85"/>
    <w:rsid w:val="00DB44B6"/>
    <w:rsid w:val="00DB7036"/>
    <w:rsid w:val="00DC0D91"/>
    <w:rsid w:val="00DC67F8"/>
    <w:rsid w:val="00DD0A94"/>
    <w:rsid w:val="00DD12D0"/>
    <w:rsid w:val="00DD1D9B"/>
    <w:rsid w:val="00DD2536"/>
    <w:rsid w:val="00DD2D33"/>
    <w:rsid w:val="00DD47FE"/>
    <w:rsid w:val="00DD69B7"/>
    <w:rsid w:val="00DD6B81"/>
    <w:rsid w:val="00DE3409"/>
    <w:rsid w:val="00DE454A"/>
    <w:rsid w:val="00DE5975"/>
    <w:rsid w:val="00DE5FDD"/>
    <w:rsid w:val="00DE7AE6"/>
    <w:rsid w:val="00DF0D4E"/>
    <w:rsid w:val="00DF60E0"/>
    <w:rsid w:val="00DF770C"/>
    <w:rsid w:val="00E007D1"/>
    <w:rsid w:val="00E00B90"/>
    <w:rsid w:val="00E01717"/>
    <w:rsid w:val="00E04045"/>
    <w:rsid w:val="00E046B9"/>
    <w:rsid w:val="00E04FD6"/>
    <w:rsid w:val="00E052ED"/>
    <w:rsid w:val="00E066EE"/>
    <w:rsid w:val="00E07872"/>
    <w:rsid w:val="00E115F1"/>
    <w:rsid w:val="00E11B0D"/>
    <w:rsid w:val="00E167F3"/>
    <w:rsid w:val="00E17D38"/>
    <w:rsid w:val="00E20BC1"/>
    <w:rsid w:val="00E26A9E"/>
    <w:rsid w:val="00E26D8C"/>
    <w:rsid w:val="00E31CEF"/>
    <w:rsid w:val="00E3282D"/>
    <w:rsid w:val="00E32FA4"/>
    <w:rsid w:val="00E350DA"/>
    <w:rsid w:val="00E35BF3"/>
    <w:rsid w:val="00E35F55"/>
    <w:rsid w:val="00E35FFD"/>
    <w:rsid w:val="00E37A40"/>
    <w:rsid w:val="00E37B13"/>
    <w:rsid w:val="00E435E0"/>
    <w:rsid w:val="00E449FA"/>
    <w:rsid w:val="00E46AD7"/>
    <w:rsid w:val="00E46D46"/>
    <w:rsid w:val="00E478C9"/>
    <w:rsid w:val="00E502E8"/>
    <w:rsid w:val="00E509EB"/>
    <w:rsid w:val="00E51D82"/>
    <w:rsid w:val="00E52D68"/>
    <w:rsid w:val="00E53158"/>
    <w:rsid w:val="00E53BA6"/>
    <w:rsid w:val="00E5442C"/>
    <w:rsid w:val="00E55B45"/>
    <w:rsid w:val="00E569EB"/>
    <w:rsid w:val="00E6095E"/>
    <w:rsid w:val="00E60AA5"/>
    <w:rsid w:val="00E6354D"/>
    <w:rsid w:val="00E63AA5"/>
    <w:rsid w:val="00E643AD"/>
    <w:rsid w:val="00E65478"/>
    <w:rsid w:val="00E66022"/>
    <w:rsid w:val="00E674C3"/>
    <w:rsid w:val="00E7036B"/>
    <w:rsid w:val="00E71730"/>
    <w:rsid w:val="00E801F9"/>
    <w:rsid w:val="00E811FB"/>
    <w:rsid w:val="00E81CB5"/>
    <w:rsid w:val="00E81CD9"/>
    <w:rsid w:val="00E82AD1"/>
    <w:rsid w:val="00E85BEC"/>
    <w:rsid w:val="00E87061"/>
    <w:rsid w:val="00E87128"/>
    <w:rsid w:val="00E90816"/>
    <w:rsid w:val="00E94CC6"/>
    <w:rsid w:val="00E95933"/>
    <w:rsid w:val="00E972E5"/>
    <w:rsid w:val="00E97696"/>
    <w:rsid w:val="00EA3AA5"/>
    <w:rsid w:val="00EA5DB7"/>
    <w:rsid w:val="00EB48FC"/>
    <w:rsid w:val="00EB583F"/>
    <w:rsid w:val="00EB68ED"/>
    <w:rsid w:val="00EB6C68"/>
    <w:rsid w:val="00EC533F"/>
    <w:rsid w:val="00EC6915"/>
    <w:rsid w:val="00EC722A"/>
    <w:rsid w:val="00ED0ED6"/>
    <w:rsid w:val="00ED11CE"/>
    <w:rsid w:val="00ED14B5"/>
    <w:rsid w:val="00ED3C26"/>
    <w:rsid w:val="00ED4DEF"/>
    <w:rsid w:val="00ED52C1"/>
    <w:rsid w:val="00ED540A"/>
    <w:rsid w:val="00ED6C82"/>
    <w:rsid w:val="00ED7050"/>
    <w:rsid w:val="00EE1268"/>
    <w:rsid w:val="00EE1AD4"/>
    <w:rsid w:val="00EE1B2D"/>
    <w:rsid w:val="00EE3049"/>
    <w:rsid w:val="00EE32FF"/>
    <w:rsid w:val="00EE381E"/>
    <w:rsid w:val="00EE42EE"/>
    <w:rsid w:val="00EE5DD0"/>
    <w:rsid w:val="00EF02D1"/>
    <w:rsid w:val="00EF1681"/>
    <w:rsid w:val="00EF17B0"/>
    <w:rsid w:val="00EF1A76"/>
    <w:rsid w:val="00EF1FF7"/>
    <w:rsid w:val="00EF71FB"/>
    <w:rsid w:val="00EF7F1C"/>
    <w:rsid w:val="00F01601"/>
    <w:rsid w:val="00F01E63"/>
    <w:rsid w:val="00F0225A"/>
    <w:rsid w:val="00F04149"/>
    <w:rsid w:val="00F04406"/>
    <w:rsid w:val="00F04693"/>
    <w:rsid w:val="00F0485B"/>
    <w:rsid w:val="00F04A9D"/>
    <w:rsid w:val="00F05263"/>
    <w:rsid w:val="00F073FA"/>
    <w:rsid w:val="00F11037"/>
    <w:rsid w:val="00F13A9F"/>
    <w:rsid w:val="00F14F42"/>
    <w:rsid w:val="00F15D09"/>
    <w:rsid w:val="00F162AB"/>
    <w:rsid w:val="00F16B3E"/>
    <w:rsid w:val="00F16B5C"/>
    <w:rsid w:val="00F16DD8"/>
    <w:rsid w:val="00F21538"/>
    <w:rsid w:val="00F21BC3"/>
    <w:rsid w:val="00F23D2B"/>
    <w:rsid w:val="00F25DF5"/>
    <w:rsid w:val="00F25F90"/>
    <w:rsid w:val="00F26507"/>
    <w:rsid w:val="00F27208"/>
    <w:rsid w:val="00F27431"/>
    <w:rsid w:val="00F2746C"/>
    <w:rsid w:val="00F27C10"/>
    <w:rsid w:val="00F27C67"/>
    <w:rsid w:val="00F30A11"/>
    <w:rsid w:val="00F3135B"/>
    <w:rsid w:val="00F34861"/>
    <w:rsid w:val="00F361B9"/>
    <w:rsid w:val="00F42CA5"/>
    <w:rsid w:val="00F436D9"/>
    <w:rsid w:val="00F43950"/>
    <w:rsid w:val="00F47901"/>
    <w:rsid w:val="00F5238B"/>
    <w:rsid w:val="00F5534F"/>
    <w:rsid w:val="00F554A6"/>
    <w:rsid w:val="00F55C13"/>
    <w:rsid w:val="00F606C8"/>
    <w:rsid w:val="00F6252A"/>
    <w:rsid w:val="00F63B3D"/>
    <w:rsid w:val="00F64C41"/>
    <w:rsid w:val="00F65EDE"/>
    <w:rsid w:val="00F66630"/>
    <w:rsid w:val="00F73935"/>
    <w:rsid w:val="00F75CC5"/>
    <w:rsid w:val="00F77573"/>
    <w:rsid w:val="00F809A5"/>
    <w:rsid w:val="00F82685"/>
    <w:rsid w:val="00F82BBE"/>
    <w:rsid w:val="00F844D7"/>
    <w:rsid w:val="00F869AF"/>
    <w:rsid w:val="00F907AD"/>
    <w:rsid w:val="00F9137B"/>
    <w:rsid w:val="00F91D68"/>
    <w:rsid w:val="00F95F97"/>
    <w:rsid w:val="00F9706E"/>
    <w:rsid w:val="00F972D5"/>
    <w:rsid w:val="00FA043A"/>
    <w:rsid w:val="00FA056F"/>
    <w:rsid w:val="00FA0E8E"/>
    <w:rsid w:val="00FA5B2D"/>
    <w:rsid w:val="00FA6D76"/>
    <w:rsid w:val="00FB0D4E"/>
    <w:rsid w:val="00FB4F25"/>
    <w:rsid w:val="00FB7D50"/>
    <w:rsid w:val="00FB7E98"/>
    <w:rsid w:val="00FC1AC7"/>
    <w:rsid w:val="00FC1B10"/>
    <w:rsid w:val="00FC27C3"/>
    <w:rsid w:val="00FC327B"/>
    <w:rsid w:val="00FC5455"/>
    <w:rsid w:val="00FC5BBE"/>
    <w:rsid w:val="00FC762A"/>
    <w:rsid w:val="00FD2E9F"/>
    <w:rsid w:val="00FD5745"/>
    <w:rsid w:val="00FD664E"/>
    <w:rsid w:val="00FD7D6A"/>
    <w:rsid w:val="00FE229B"/>
    <w:rsid w:val="00FE6CC1"/>
    <w:rsid w:val="00FF02BE"/>
    <w:rsid w:val="00FF124E"/>
    <w:rsid w:val="00FF42D0"/>
    <w:rsid w:val="00FF78D3"/>
    <w:rsid w:val="07A201E1"/>
    <w:rsid w:val="08DF6083"/>
    <w:rsid w:val="095F5183"/>
    <w:rsid w:val="0A5E6F4F"/>
    <w:rsid w:val="0B6A0528"/>
    <w:rsid w:val="0B7D7BE2"/>
    <w:rsid w:val="0DD03DE9"/>
    <w:rsid w:val="12FD3462"/>
    <w:rsid w:val="13A41213"/>
    <w:rsid w:val="15DA4E03"/>
    <w:rsid w:val="1636679A"/>
    <w:rsid w:val="176569EA"/>
    <w:rsid w:val="17A25A81"/>
    <w:rsid w:val="18E46662"/>
    <w:rsid w:val="19A279DE"/>
    <w:rsid w:val="1A724C58"/>
    <w:rsid w:val="1A890FF5"/>
    <w:rsid w:val="1C3C3837"/>
    <w:rsid w:val="20C33B86"/>
    <w:rsid w:val="23922C20"/>
    <w:rsid w:val="24191896"/>
    <w:rsid w:val="241F2D78"/>
    <w:rsid w:val="242154C3"/>
    <w:rsid w:val="24597C2A"/>
    <w:rsid w:val="25C00BB7"/>
    <w:rsid w:val="25ED4D82"/>
    <w:rsid w:val="270C1F95"/>
    <w:rsid w:val="27301891"/>
    <w:rsid w:val="281D414C"/>
    <w:rsid w:val="299E0F43"/>
    <w:rsid w:val="2AEC1392"/>
    <w:rsid w:val="2AFD4101"/>
    <w:rsid w:val="2B95393B"/>
    <w:rsid w:val="2BF07B47"/>
    <w:rsid w:val="30DC3C0B"/>
    <w:rsid w:val="348F6952"/>
    <w:rsid w:val="352E456B"/>
    <w:rsid w:val="35E90A3F"/>
    <w:rsid w:val="38995A4F"/>
    <w:rsid w:val="3B957002"/>
    <w:rsid w:val="3F216934"/>
    <w:rsid w:val="3FB869C8"/>
    <w:rsid w:val="42F65139"/>
    <w:rsid w:val="45F4280C"/>
    <w:rsid w:val="46D109FD"/>
    <w:rsid w:val="474D6076"/>
    <w:rsid w:val="49D72432"/>
    <w:rsid w:val="4D461B27"/>
    <w:rsid w:val="4F6C3733"/>
    <w:rsid w:val="52DC6155"/>
    <w:rsid w:val="534C15EE"/>
    <w:rsid w:val="53E41D0B"/>
    <w:rsid w:val="54931477"/>
    <w:rsid w:val="5C2A1A62"/>
    <w:rsid w:val="5C743236"/>
    <w:rsid w:val="5DBB3AC4"/>
    <w:rsid w:val="5DD658DC"/>
    <w:rsid w:val="61B17FB1"/>
    <w:rsid w:val="63CD3306"/>
    <w:rsid w:val="64041C04"/>
    <w:rsid w:val="64991BA8"/>
    <w:rsid w:val="659C53D8"/>
    <w:rsid w:val="665F731B"/>
    <w:rsid w:val="675C24CB"/>
    <w:rsid w:val="69145C7F"/>
    <w:rsid w:val="694A47FB"/>
    <w:rsid w:val="6A415B9F"/>
    <w:rsid w:val="6BB629F4"/>
    <w:rsid w:val="6BE13FE0"/>
    <w:rsid w:val="6CD57FDB"/>
    <w:rsid w:val="6D701E56"/>
    <w:rsid w:val="6F072947"/>
    <w:rsid w:val="6FA84AD5"/>
    <w:rsid w:val="70B22505"/>
    <w:rsid w:val="71232F8B"/>
    <w:rsid w:val="7139719C"/>
    <w:rsid w:val="75B14A95"/>
    <w:rsid w:val="7845282E"/>
    <w:rsid w:val="7B0D321A"/>
    <w:rsid w:val="7CB23E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
    <w:qFormat/>
    <w:uiPriority w:val="0"/>
    <w:pPr>
      <w:keepNext/>
      <w:autoSpaceDE w:val="0"/>
      <w:autoSpaceDN w:val="0"/>
      <w:jc w:val="center"/>
      <w:outlineLvl w:val="0"/>
    </w:pPr>
    <w:rPr>
      <w:rFonts w:ascii="宋体" w:hAnsi="宋体"/>
      <w:b/>
      <w:color w:val="000000"/>
      <w:kern w:val="0"/>
      <w:sz w:val="36"/>
      <w:szCs w:val="18"/>
    </w:rPr>
  </w:style>
  <w:style w:type="paragraph" w:styleId="5">
    <w:name w:val="heading 2"/>
    <w:basedOn w:val="1"/>
    <w:next w:val="1"/>
    <w:link w:val="59"/>
    <w:qFormat/>
    <w:uiPriority w:val="0"/>
    <w:pPr>
      <w:keepNext/>
      <w:autoSpaceDE w:val="0"/>
      <w:autoSpaceDN w:val="0"/>
      <w:spacing w:before="120" w:after="120"/>
      <w:jc w:val="center"/>
      <w:outlineLvl w:val="1"/>
    </w:pPr>
    <w:rPr>
      <w:rFonts w:ascii="宋体" w:hAnsi="宋体"/>
      <w:b/>
      <w:color w:val="000000"/>
      <w:kern w:val="0"/>
      <w:sz w:val="30"/>
      <w:szCs w:val="18"/>
    </w:rPr>
  </w:style>
  <w:style w:type="paragraph" w:styleId="6">
    <w:name w:val="heading 3"/>
    <w:basedOn w:val="1"/>
    <w:next w:val="1"/>
    <w:link w:val="86"/>
    <w:qFormat/>
    <w:uiPriority w:val="0"/>
    <w:pPr>
      <w:keepNext/>
      <w:autoSpaceDE w:val="0"/>
      <w:autoSpaceDN w:val="0"/>
      <w:jc w:val="center"/>
      <w:outlineLvl w:val="2"/>
    </w:pPr>
    <w:rPr>
      <w:kern w:val="0"/>
      <w:sz w:val="20"/>
    </w:rPr>
  </w:style>
  <w:style w:type="paragraph" w:styleId="7">
    <w:name w:val="heading 4"/>
    <w:basedOn w:val="1"/>
    <w:next w:val="1"/>
    <w:link w:val="69"/>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88"/>
    <w:qFormat/>
    <w:uiPriority w:val="0"/>
    <w:pPr>
      <w:keepNext/>
      <w:keepLines/>
      <w:spacing w:before="280" w:after="290" w:line="376" w:lineRule="auto"/>
      <w:outlineLvl w:val="4"/>
    </w:pPr>
    <w:rPr>
      <w:b/>
      <w:bCs/>
      <w:sz w:val="28"/>
      <w:szCs w:val="28"/>
    </w:rPr>
  </w:style>
  <w:style w:type="paragraph" w:styleId="9">
    <w:name w:val="heading 6"/>
    <w:basedOn w:val="1"/>
    <w:next w:val="1"/>
    <w:link w:val="70"/>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75"/>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79"/>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103"/>
    <w:qFormat/>
    <w:uiPriority w:val="0"/>
    <w:pPr>
      <w:keepNext/>
      <w:keepLines/>
      <w:spacing w:before="240" w:after="64" w:line="317" w:lineRule="auto"/>
      <w:outlineLvl w:val="8"/>
    </w:pPr>
    <w:rPr>
      <w:rFonts w:ascii="Cambria" w:hAnsi="Cambria"/>
      <w:szCs w:val="21"/>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link w:val="61"/>
    <w:qFormat/>
    <w:uiPriority w:val="0"/>
    <w:pPr>
      <w:spacing w:after="120"/>
    </w:pPr>
    <w:rPr>
      <w:kern w:val="0"/>
      <w:sz w:val="20"/>
    </w:rPr>
  </w:style>
  <w:style w:type="paragraph" w:styleId="13">
    <w:name w:val="Normal Indent"/>
    <w:basedOn w:val="1"/>
    <w:link w:val="56"/>
    <w:qFormat/>
    <w:uiPriority w:val="0"/>
    <w:pPr>
      <w:ind w:firstLine="420" w:firstLineChars="200"/>
    </w:pPr>
    <w:rPr>
      <w:szCs w:val="20"/>
    </w:rPr>
  </w:style>
  <w:style w:type="paragraph" w:styleId="14">
    <w:name w:val="List Bullet"/>
    <w:basedOn w:val="1"/>
    <w:qFormat/>
    <w:uiPriority w:val="0"/>
    <w:pPr>
      <w:tabs>
        <w:tab w:val="left" w:pos="360"/>
      </w:tabs>
      <w:ind w:left="360" w:hanging="360"/>
    </w:pPr>
  </w:style>
  <w:style w:type="paragraph" w:styleId="15">
    <w:name w:val="Document Map"/>
    <w:basedOn w:val="1"/>
    <w:link w:val="95"/>
    <w:qFormat/>
    <w:uiPriority w:val="0"/>
    <w:pPr>
      <w:shd w:val="clear" w:color="auto" w:fill="000080"/>
    </w:pPr>
    <w:rPr>
      <w:kern w:val="0"/>
      <w:sz w:val="20"/>
    </w:rPr>
  </w:style>
  <w:style w:type="paragraph" w:styleId="16">
    <w:name w:val="annotation text"/>
    <w:basedOn w:val="1"/>
    <w:link w:val="68"/>
    <w:qFormat/>
    <w:uiPriority w:val="99"/>
    <w:pPr>
      <w:jc w:val="left"/>
    </w:pPr>
    <w:rPr>
      <w:kern w:val="0"/>
      <w:sz w:val="20"/>
    </w:rPr>
  </w:style>
  <w:style w:type="paragraph" w:styleId="17">
    <w:name w:val="Body Text 3"/>
    <w:basedOn w:val="1"/>
    <w:link w:val="87"/>
    <w:qFormat/>
    <w:uiPriority w:val="99"/>
    <w:pPr>
      <w:spacing w:after="120"/>
    </w:pPr>
    <w:rPr>
      <w:kern w:val="0"/>
      <w:sz w:val="16"/>
      <w:szCs w:val="16"/>
    </w:rPr>
  </w:style>
  <w:style w:type="paragraph" w:styleId="18">
    <w:name w:val="Body Text Indent"/>
    <w:basedOn w:val="1"/>
    <w:link w:val="74"/>
    <w:qFormat/>
    <w:uiPriority w:val="0"/>
    <w:pPr>
      <w:ind w:firstLine="660"/>
    </w:pPr>
    <w:rPr>
      <w:rFonts w:ascii="宋体" w:hAnsi="宋体"/>
      <w:color w:val="FF0000"/>
      <w:kern w:val="0"/>
      <w:sz w:val="30"/>
    </w:rPr>
  </w:style>
  <w:style w:type="paragraph" w:styleId="19">
    <w:name w:val="index 4"/>
    <w:basedOn w:val="1"/>
    <w:next w:val="1"/>
    <w:qFormat/>
    <w:uiPriority w:val="0"/>
    <w:pPr>
      <w:ind w:left="600" w:leftChars="600"/>
    </w:pPr>
  </w:style>
  <w:style w:type="paragraph" w:styleId="20">
    <w:name w:val="toc 5"/>
    <w:basedOn w:val="1"/>
    <w:next w:val="1"/>
    <w:unhideWhenUsed/>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kern w:val="0"/>
      <w:sz w:val="20"/>
      <w:szCs w:val="21"/>
    </w:rPr>
  </w:style>
  <w:style w:type="paragraph" w:styleId="23">
    <w:name w:val="Date"/>
    <w:basedOn w:val="1"/>
    <w:next w:val="1"/>
    <w:link w:val="54"/>
    <w:qFormat/>
    <w:uiPriority w:val="0"/>
    <w:rPr>
      <w:kern w:val="0"/>
      <w:sz w:val="20"/>
    </w:rPr>
  </w:style>
  <w:style w:type="paragraph" w:styleId="24">
    <w:name w:val="Body Text Indent 2"/>
    <w:basedOn w:val="1"/>
    <w:link w:val="53"/>
    <w:qFormat/>
    <w:uiPriority w:val="0"/>
    <w:pPr>
      <w:ind w:firstLine="600" w:firstLineChars="200"/>
    </w:pPr>
    <w:rPr>
      <w:rFonts w:ascii="宋体" w:hAnsi="宋体"/>
      <w:color w:val="FF0000"/>
      <w:kern w:val="0"/>
      <w:sz w:val="30"/>
    </w:rPr>
  </w:style>
  <w:style w:type="paragraph" w:styleId="25">
    <w:name w:val="Balloon Text"/>
    <w:basedOn w:val="1"/>
    <w:link w:val="83"/>
    <w:qFormat/>
    <w:uiPriority w:val="0"/>
    <w:rPr>
      <w:kern w:val="0"/>
      <w:sz w:val="18"/>
      <w:szCs w:val="18"/>
    </w:rPr>
  </w:style>
  <w:style w:type="paragraph" w:styleId="26">
    <w:name w:val="footer"/>
    <w:basedOn w:val="1"/>
    <w:link w:val="65"/>
    <w:qFormat/>
    <w:uiPriority w:val="0"/>
    <w:pPr>
      <w:tabs>
        <w:tab w:val="center" w:pos="4153"/>
        <w:tab w:val="right" w:pos="8306"/>
      </w:tabs>
      <w:snapToGrid w:val="0"/>
      <w:jc w:val="left"/>
    </w:pPr>
    <w:rPr>
      <w:kern w:val="0"/>
      <w:sz w:val="18"/>
      <w:szCs w:val="18"/>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style>
  <w:style w:type="paragraph" w:styleId="29">
    <w:name w:val="toc 4"/>
    <w:basedOn w:val="1"/>
    <w:next w:val="1"/>
    <w:unhideWhenUsed/>
    <w:qFormat/>
    <w:uiPriority w:val="0"/>
    <w:pPr>
      <w:ind w:left="1260" w:leftChars="600"/>
    </w:pPr>
  </w:style>
  <w:style w:type="paragraph" w:styleId="30">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31">
    <w:name w:val="Body Text Indent 3"/>
    <w:basedOn w:val="1"/>
    <w:link w:val="55"/>
    <w:qFormat/>
    <w:uiPriority w:val="0"/>
    <w:pPr>
      <w:spacing w:line="500" w:lineRule="exact"/>
      <w:ind w:firstLine="660"/>
    </w:pPr>
    <w:rPr>
      <w:rFonts w:ascii="仿宋_GB2312" w:hAnsi="宋体" w:eastAsia="仿宋_GB2312"/>
      <w:color w:val="000000"/>
      <w:kern w:val="0"/>
      <w:sz w:val="28"/>
    </w:rPr>
  </w:style>
  <w:style w:type="paragraph" w:styleId="32">
    <w:name w:val="toc 2"/>
    <w:basedOn w:val="1"/>
    <w:next w:val="1"/>
    <w:qFormat/>
    <w:uiPriority w:val="39"/>
    <w:pPr>
      <w:ind w:left="420" w:leftChars="200"/>
    </w:pPr>
  </w:style>
  <w:style w:type="paragraph" w:styleId="33">
    <w:name w:val="Body Text 2"/>
    <w:basedOn w:val="1"/>
    <w:link w:val="93"/>
    <w:unhideWhenUsed/>
    <w:qFormat/>
    <w:uiPriority w:val="99"/>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51"/>
    <w:qFormat/>
    <w:uiPriority w:val="0"/>
    <w:pPr>
      <w:spacing w:before="240" w:after="60"/>
      <w:jc w:val="center"/>
      <w:outlineLvl w:val="0"/>
    </w:pPr>
    <w:rPr>
      <w:rFonts w:ascii="Cambria" w:hAnsi="Cambria"/>
      <w:b/>
      <w:bCs/>
      <w:sz w:val="32"/>
      <w:szCs w:val="32"/>
    </w:rPr>
  </w:style>
  <w:style w:type="paragraph" w:styleId="36">
    <w:name w:val="annotation subject"/>
    <w:basedOn w:val="16"/>
    <w:next w:val="16"/>
    <w:link w:val="62"/>
    <w:qFormat/>
    <w:uiPriority w:val="0"/>
    <w:rPr>
      <w:b/>
      <w:bCs/>
    </w:rPr>
  </w:style>
  <w:style w:type="paragraph" w:styleId="37">
    <w:name w:val="Body Text First Indent 2"/>
    <w:basedOn w:val="18"/>
    <w:next w:val="3"/>
    <w:link w:val="102"/>
    <w:qFormat/>
    <w:uiPriority w:val="99"/>
    <w:pPr>
      <w:spacing w:after="120"/>
      <w:ind w:left="420" w:leftChars="200" w:firstLine="420" w:firstLineChars="200"/>
    </w:pPr>
    <w:rPr>
      <w:rFonts w:ascii="Times New Roman" w:hAnsi="Times New Roman"/>
      <w:color w:val="auto"/>
      <w:kern w:val="2"/>
      <w:sz w:val="21"/>
      <w:szCs w:val="20"/>
    </w:rPr>
  </w:style>
  <w:style w:type="table" w:styleId="39">
    <w:name w:val="Table Grid"/>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rPr>
      <w:rFonts w:eastAsia="宋体"/>
      <w:kern w:val="2"/>
      <w:sz w:val="24"/>
      <w:szCs w:val="24"/>
      <w:lang w:val="en-US" w:eastAsia="zh-CN" w:bidi="ar-SA"/>
    </w:rPr>
  </w:style>
  <w:style w:type="character" w:styleId="43">
    <w:name w:val="Emphasis"/>
    <w:qFormat/>
    <w:uiPriority w:val="0"/>
    <w:rPr>
      <w:i/>
      <w:iCs/>
    </w:rPr>
  </w:style>
  <w:style w:type="character" w:styleId="44">
    <w:name w:val="Hyperlink"/>
    <w:qFormat/>
    <w:uiPriority w:val="99"/>
    <w:rPr>
      <w:rFonts w:eastAsia="宋体"/>
      <w:color w:val="0000FF"/>
      <w:kern w:val="2"/>
      <w:sz w:val="24"/>
      <w:szCs w:val="24"/>
      <w:u w:val="single"/>
      <w:lang w:val="en-US" w:eastAsia="zh-CN" w:bidi="ar-SA"/>
    </w:rPr>
  </w:style>
  <w:style w:type="character" w:styleId="45">
    <w:name w:val="annotation reference"/>
    <w:qFormat/>
    <w:uiPriority w:val="0"/>
    <w:rPr>
      <w:rFonts w:eastAsia="宋体"/>
      <w:kern w:val="2"/>
      <w:sz w:val="21"/>
      <w:szCs w:val="21"/>
      <w:lang w:val="en-US" w:eastAsia="zh-CN" w:bidi="ar-SA"/>
    </w:rPr>
  </w:style>
  <w:style w:type="character" w:customStyle="1" w:styleId="46">
    <w:name w:val="正文首行缩进 2 Char1"/>
    <w:semiHidden/>
    <w:qFormat/>
    <w:uiPriority w:val="99"/>
    <w:rPr>
      <w:rFonts w:ascii="宋体" w:hAnsi="宋体" w:eastAsia="宋体" w:cs="Times New Roman"/>
      <w:color w:val="FF0000"/>
      <w:kern w:val="2"/>
      <w:sz w:val="21"/>
      <w:szCs w:val="24"/>
    </w:rPr>
  </w:style>
  <w:style w:type="character" w:customStyle="1" w:styleId="47">
    <w:name w:val="正文文本 Char1"/>
    <w:qFormat/>
    <w:uiPriority w:val="0"/>
    <w:rPr>
      <w:kern w:val="2"/>
      <w:sz w:val="21"/>
      <w:szCs w:val="22"/>
    </w:rPr>
  </w:style>
  <w:style w:type="character" w:customStyle="1" w:styleId="48">
    <w:name w:val="Subtle Emphasis"/>
    <w:qFormat/>
    <w:uiPriority w:val="0"/>
    <w:rPr>
      <w:i/>
      <w:iCs/>
      <w:color w:val="808080"/>
    </w:rPr>
  </w:style>
  <w:style w:type="character" w:customStyle="1" w:styleId="49">
    <w:name w:val="副标题 Char"/>
    <w:link w:val="30"/>
    <w:qFormat/>
    <w:uiPriority w:val="0"/>
    <w:rPr>
      <w:rFonts w:ascii="Cambria" w:hAnsi="Cambria"/>
      <w:b/>
      <w:bCs/>
      <w:kern w:val="28"/>
      <w:sz w:val="32"/>
      <w:szCs w:val="32"/>
    </w:rPr>
  </w:style>
  <w:style w:type="character" w:customStyle="1" w:styleId="50">
    <w:name w:val="textcontents"/>
    <w:qFormat/>
    <w:uiPriority w:val="0"/>
    <w:rPr>
      <w:rFonts w:cs="Times New Roman"/>
    </w:rPr>
  </w:style>
  <w:style w:type="character" w:customStyle="1" w:styleId="51">
    <w:name w:val="标题 Char"/>
    <w:link w:val="35"/>
    <w:qFormat/>
    <w:uiPriority w:val="0"/>
    <w:rPr>
      <w:rFonts w:ascii="Cambria" w:hAnsi="Cambria"/>
      <w:b/>
      <w:bCs/>
      <w:kern w:val="2"/>
      <w:sz w:val="32"/>
      <w:szCs w:val="32"/>
    </w:rPr>
  </w:style>
  <w:style w:type="character" w:customStyle="1" w:styleId="52">
    <w:name w:val="引用 Char1"/>
    <w:qFormat/>
    <w:uiPriority w:val="99"/>
    <w:rPr>
      <w:i/>
      <w:iCs/>
      <w:color w:val="000000"/>
      <w:kern w:val="2"/>
      <w:sz w:val="21"/>
      <w:szCs w:val="24"/>
    </w:rPr>
  </w:style>
  <w:style w:type="character" w:customStyle="1" w:styleId="53">
    <w:name w:val="正文文本缩进 2 Char"/>
    <w:link w:val="24"/>
    <w:qFormat/>
    <w:uiPriority w:val="0"/>
    <w:rPr>
      <w:rFonts w:ascii="宋体" w:hAnsi="宋体" w:eastAsia="宋体" w:cs="Times New Roman"/>
      <w:color w:val="FF0000"/>
      <w:sz w:val="30"/>
      <w:szCs w:val="24"/>
    </w:rPr>
  </w:style>
  <w:style w:type="character" w:customStyle="1" w:styleId="54">
    <w:name w:val="日期 Char1"/>
    <w:link w:val="23"/>
    <w:qFormat/>
    <w:uiPriority w:val="0"/>
    <w:rPr>
      <w:rFonts w:ascii="Times New Roman" w:hAnsi="Times New Roman" w:eastAsia="宋体" w:cs="Times New Roman"/>
      <w:szCs w:val="24"/>
    </w:rPr>
  </w:style>
  <w:style w:type="character" w:customStyle="1" w:styleId="55">
    <w:name w:val="正文文本缩进 3 Char"/>
    <w:link w:val="31"/>
    <w:qFormat/>
    <w:uiPriority w:val="0"/>
    <w:rPr>
      <w:rFonts w:ascii="仿宋_GB2312" w:hAnsi="宋体" w:eastAsia="仿宋_GB2312" w:cs="Times New Roman"/>
      <w:color w:val="000000"/>
      <w:sz w:val="28"/>
      <w:szCs w:val="24"/>
    </w:rPr>
  </w:style>
  <w:style w:type="character" w:customStyle="1" w:styleId="56">
    <w:name w:val="正文缩进 Char"/>
    <w:link w:val="13"/>
    <w:qFormat/>
    <w:uiPriority w:val="0"/>
    <w:rPr>
      <w:kern w:val="2"/>
      <w:sz w:val="21"/>
    </w:rPr>
  </w:style>
  <w:style w:type="character" w:customStyle="1" w:styleId="57">
    <w:name w:val="批注主题 Char"/>
    <w:qFormat/>
    <w:uiPriority w:val="0"/>
    <w:rPr>
      <w:rFonts w:eastAsia="宋体"/>
      <w:b/>
      <w:bCs/>
      <w:szCs w:val="24"/>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2 Char"/>
    <w:link w:val="5"/>
    <w:qFormat/>
    <w:uiPriority w:val="0"/>
    <w:rPr>
      <w:rFonts w:ascii="宋体" w:hAnsi="宋体" w:eastAsia="宋体" w:cs="Times New Roman"/>
      <w:b/>
      <w:color w:val="000000"/>
      <w:kern w:val="0"/>
      <w:sz w:val="30"/>
      <w:szCs w:val="18"/>
    </w:rPr>
  </w:style>
  <w:style w:type="character" w:customStyle="1" w:styleId="60">
    <w:name w:val="Intense Reference"/>
    <w:qFormat/>
    <w:uiPriority w:val="0"/>
    <w:rPr>
      <w:b/>
      <w:bCs/>
      <w:smallCaps/>
      <w:color w:val="C0504D"/>
      <w:spacing w:val="5"/>
      <w:u w:val="single"/>
    </w:rPr>
  </w:style>
  <w:style w:type="character" w:customStyle="1" w:styleId="61">
    <w:name w:val="正文文本 Char"/>
    <w:link w:val="3"/>
    <w:qFormat/>
    <w:uiPriority w:val="0"/>
    <w:rPr>
      <w:rFonts w:ascii="Times New Roman" w:hAnsi="Times New Roman" w:eastAsia="宋体" w:cs="Times New Roman"/>
      <w:szCs w:val="24"/>
    </w:rPr>
  </w:style>
  <w:style w:type="character" w:customStyle="1" w:styleId="62">
    <w:name w:val="批注主题 Char1"/>
    <w:link w:val="36"/>
    <w:qFormat/>
    <w:uiPriority w:val="0"/>
    <w:rPr>
      <w:rFonts w:ascii="Times New Roman" w:hAnsi="Times New Roman" w:eastAsia="宋体" w:cs="Times New Roman"/>
      <w:b/>
      <w:bCs/>
      <w:szCs w:val="24"/>
    </w:rPr>
  </w:style>
  <w:style w:type="character" w:customStyle="1" w:styleId="63">
    <w:name w:val="页眉 Char1"/>
    <w:link w:val="27"/>
    <w:semiHidden/>
    <w:qFormat/>
    <w:uiPriority w:val="99"/>
    <w:rPr>
      <w:rFonts w:ascii="Times New Roman" w:hAnsi="Times New Roman" w:eastAsia="宋体" w:cs="Times New Roman"/>
      <w:sz w:val="18"/>
      <w:szCs w:val="18"/>
    </w:rPr>
  </w:style>
  <w:style w:type="character" w:customStyle="1" w:styleId="64">
    <w:name w:val="文档结构图 Char1"/>
    <w:qFormat/>
    <w:uiPriority w:val="0"/>
    <w:rPr>
      <w:rFonts w:ascii="宋体"/>
      <w:kern w:val="2"/>
      <w:sz w:val="18"/>
      <w:szCs w:val="18"/>
    </w:rPr>
  </w:style>
  <w:style w:type="character" w:customStyle="1" w:styleId="65">
    <w:name w:val="页脚 Char1"/>
    <w:link w:val="26"/>
    <w:qFormat/>
    <w:uiPriority w:val="0"/>
    <w:rPr>
      <w:rFonts w:ascii="Times New Roman" w:hAnsi="Times New Roman" w:eastAsia="宋体" w:cs="Times New Roman"/>
      <w:sz w:val="18"/>
      <w:szCs w:val="18"/>
    </w:rPr>
  </w:style>
  <w:style w:type="character" w:customStyle="1" w:styleId="66">
    <w:name w:val="px_10"/>
    <w:qFormat/>
    <w:uiPriority w:val="0"/>
    <w:rPr>
      <w:rFonts w:eastAsia="宋体"/>
      <w:kern w:val="2"/>
      <w:sz w:val="24"/>
      <w:szCs w:val="24"/>
      <w:lang w:val="en-US" w:eastAsia="zh-CN" w:bidi="ar-SA"/>
    </w:rPr>
  </w:style>
  <w:style w:type="character" w:customStyle="1" w:styleId="67">
    <w:name w:val="页眉 Char"/>
    <w:qFormat/>
    <w:uiPriority w:val="0"/>
    <w:rPr>
      <w:rFonts w:eastAsia="宋体"/>
      <w:sz w:val="18"/>
      <w:szCs w:val="18"/>
    </w:rPr>
  </w:style>
  <w:style w:type="character" w:customStyle="1" w:styleId="68">
    <w:name w:val="批注文字 Char1"/>
    <w:link w:val="16"/>
    <w:semiHidden/>
    <w:qFormat/>
    <w:uiPriority w:val="99"/>
    <w:rPr>
      <w:rFonts w:ascii="Times New Roman" w:hAnsi="Times New Roman" w:eastAsia="宋体" w:cs="Times New Roman"/>
      <w:szCs w:val="24"/>
    </w:rPr>
  </w:style>
  <w:style w:type="character" w:customStyle="1" w:styleId="69">
    <w:name w:val="标题 4 Char"/>
    <w:link w:val="7"/>
    <w:qFormat/>
    <w:uiPriority w:val="0"/>
    <w:rPr>
      <w:rFonts w:ascii="Cambria" w:hAnsi="Cambria" w:eastAsia="宋体" w:cs="Times New Roman"/>
      <w:b/>
      <w:bCs/>
      <w:kern w:val="2"/>
      <w:sz w:val="28"/>
      <w:szCs w:val="28"/>
    </w:rPr>
  </w:style>
  <w:style w:type="character" w:customStyle="1" w:styleId="70">
    <w:name w:val="标题 6 Char"/>
    <w:link w:val="9"/>
    <w:qFormat/>
    <w:uiPriority w:val="0"/>
    <w:rPr>
      <w:rFonts w:ascii="Cambria" w:hAnsi="Cambria"/>
      <w:b/>
      <w:bCs/>
      <w:kern w:val="2"/>
      <w:sz w:val="24"/>
      <w:szCs w:val="24"/>
    </w:rPr>
  </w:style>
  <w:style w:type="character" w:customStyle="1" w:styleId="71">
    <w:name w:val="明显引用 Char1"/>
    <w:qFormat/>
    <w:uiPriority w:val="99"/>
    <w:rPr>
      <w:b/>
      <w:bCs/>
      <w:i/>
      <w:iCs/>
      <w:color w:val="4F81BD"/>
      <w:kern w:val="2"/>
      <w:sz w:val="21"/>
      <w:szCs w:val="24"/>
    </w:rPr>
  </w:style>
  <w:style w:type="character" w:customStyle="1" w:styleId="72">
    <w:name w:val="Default Char"/>
    <w:link w:val="73"/>
    <w:qFormat/>
    <w:locked/>
    <w:uiPriority w:val="0"/>
    <w:rPr>
      <w:rFonts w:ascii="宋体"/>
      <w:color w:val="000000"/>
      <w:sz w:val="24"/>
      <w:szCs w:val="24"/>
      <w:lang w:val="en-US" w:eastAsia="zh-CN" w:bidi="ar-SA"/>
    </w:rPr>
  </w:style>
  <w:style w:type="paragraph" w:customStyle="1" w:styleId="73">
    <w:name w:val="Default"/>
    <w:link w:val="7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4">
    <w:name w:val="正文文本缩进 Char"/>
    <w:link w:val="18"/>
    <w:qFormat/>
    <w:uiPriority w:val="0"/>
    <w:rPr>
      <w:rFonts w:ascii="宋体" w:hAnsi="宋体" w:eastAsia="宋体" w:cs="Times New Roman"/>
      <w:color w:val="FF0000"/>
      <w:sz w:val="30"/>
      <w:szCs w:val="24"/>
    </w:rPr>
  </w:style>
  <w:style w:type="character" w:customStyle="1" w:styleId="75">
    <w:name w:val="标题 7 Char"/>
    <w:link w:val="10"/>
    <w:qFormat/>
    <w:uiPriority w:val="0"/>
    <w:rPr>
      <w:rFonts w:ascii="Calibri" w:hAnsi="Calibri"/>
      <w:b/>
      <w:bCs/>
      <w:kern w:val="2"/>
      <w:sz w:val="24"/>
      <w:szCs w:val="24"/>
    </w:rPr>
  </w:style>
  <w:style w:type="character" w:customStyle="1" w:styleId="76">
    <w:name w:val="引用 Char"/>
    <w:link w:val="77"/>
    <w:qFormat/>
    <w:uiPriority w:val="0"/>
    <w:rPr>
      <w:i/>
      <w:iCs/>
      <w:color w:val="000000"/>
      <w:kern w:val="2"/>
      <w:sz w:val="21"/>
      <w:szCs w:val="22"/>
    </w:rPr>
  </w:style>
  <w:style w:type="paragraph" w:styleId="77">
    <w:name w:val="Quote"/>
    <w:basedOn w:val="1"/>
    <w:next w:val="1"/>
    <w:link w:val="76"/>
    <w:qFormat/>
    <w:uiPriority w:val="0"/>
    <w:rPr>
      <w:i/>
      <w:iCs/>
      <w:color w:val="000000"/>
      <w:szCs w:val="22"/>
    </w:rPr>
  </w:style>
  <w:style w:type="character" w:customStyle="1" w:styleId="78">
    <w:name w:val="Subtle Reference"/>
    <w:qFormat/>
    <w:uiPriority w:val="0"/>
    <w:rPr>
      <w:smallCaps/>
      <w:color w:val="C0504D"/>
      <w:u w:val="single"/>
    </w:rPr>
  </w:style>
  <w:style w:type="character" w:customStyle="1" w:styleId="79">
    <w:name w:val="标题 8 Char"/>
    <w:link w:val="11"/>
    <w:qFormat/>
    <w:uiPriority w:val="0"/>
    <w:rPr>
      <w:rFonts w:ascii="Cambria" w:hAnsi="Cambria"/>
      <w:kern w:val="2"/>
      <w:sz w:val="24"/>
      <w:szCs w:val="24"/>
    </w:rPr>
  </w:style>
  <w:style w:type="character" w:customStyle="1" w:styleId="80">
    <w:name w:val="批注文字 Char"/>
    <w:qFormat/>
    <w:uiPriority w:val="0"/>
    <w:rPr>
      <w:rFonts w:eastAsia="宋体"/>
      <w:szCs w:val="24"/>
    </w:rPr>
  </w:style>
  <w:style w:type="character" w:customStyle="1" w:styleId="81">
    <w:name w:val="页脚 Char"/>
    <w:qFormat/>
    <w:uiPriority w:val="0"/>
    <w:rPr>
      <w:rFonts w:eastAsia="宋体"/>
      <w:sz w:val="18"/>
      <w:szCs w:val="18"/>
    </w:rPr>
  </w:style>
  <w:style w:type="character" w:customStyle="1" w:styleId="82">
    <w:name w:val="标题 1 Char"/>
    <w:link w:val="4"/>
    <w:qFormat/>
    <w:uiPriority w:val="0"/>
    <w:rPr>
      <w:rFonts w:ascii="宋体" w:hAnsi="宋体" w:eastAsia="宋体" w:cs="Times New Roman"/>
      <w:b/>
      <w:color w:val="000000"/>
      <w:kern w:val="0"/>
      <w:sz w:val="36"/>
      <w:szCs w:val="18"/>
    </w:rPr>
  </w:style>
  <w:style w:type="character" w:customStyle="1" w:styleId="83">
    <w:name w:val="批注框文本 Char1"/>
    <w:link w:val="25"/>
    <w:qFormat/>
    <w:uiPriority w:val="0"/>
    <w:rPr>
      <w:rFonts w:ascii="Times New Roman" w:hAnsi="Times New Roman" w:eastAsia="宋体" w:cs="Times New Roman"/>
      <w:sz w:val="18"/>
      <w:szCs w:val="18"/>
    </w:rPr>
  </w:style>
  <w:style w:type="character" w:customStyle="1" w:styleId="84">
    <w:name w:val="副标题 Char1"/>
    <w:qFormat/>
    <w:uiPriority w:val="11"/>
    <w:rPr>
      <w:rFonts w:ascii="Cambria" w:hAnsi="Cambria" w:cs="Times New Roman"/>
      <w:b/>
      <w:bCs/>
      <w:kern w:val="28"/>
      <w:sz w:val="32"/>
      <w:szCs w:val="32"/>
    </w:rPr>
  </w:style>
  <w:style w:type="character" w:customStyle="1" w:styleId="85">
    <w:name w:val="标题 Char1"/>
    <w:qFormat/>
    <w:uiPriority w:val="10"/>
    <w:rPr>
      <w:rFonts w:ascii="Cambria" w:hAnsi="Cambria" w:cs="Times New Roman"/>
      <w:b/>
      <w:bCs/>
      <w:kern w:val="2"/>
      <w:sz w:val="32"/>
      <w:szCs w:val="32"/>
    </w:rPr>
  </w:style>
  <w:style w:type="character" w:customStyle="1" w:styleId="86">
    <w:name w:val="标题 3 Char"/>
    <w:link w:val="6"/>
    <w:qFormat/>
    <w:uiPriority w:val="0"/>
    <w:rPr>
      <w:rFonts w:ascii="Times New Roman" w:hAnsi="Times New Roman" w:eastAsia="宋体" w:cs="Times New Roman"/>
      <w:kern w:val="0"/>
      <w:szCs w:val="24"/>
    </w:rPr>
  </w:style>
  <w:style w:type="character" w:customStyle="1" w:styleId="87">
    <w:name w:val="正文文本 3 Char"/>
    <w:link w:val="17"/>
    <w:qFormat/>
    <w:uiPriority w:val="99"/>
    <w:rPr>
      <w:rFonts w:ascii="Times New Roman" w:hAnsi="Times New Roman" w:eastAsia="宋体" w:cs="Times New Roman"/>
      <w:sz w:val="16"/>
      <w:szCs w:val="16"/>
    </w:rPr>
  </w:style>
  <w:style w:type="character" w:customStyle="1" w:styleId="88">
    <w:name w:val="标题 5 Char"/>
    <w:link w:val="8"/>
    <w:qFormat/>
    <w:uiPriority w:val="0"/>
    <w:rPr>
      <w:b/>
      <w:bCs/>
      <w:kern w:val="2"/>
      <w:sz w:val="28"/>
      <w:szCs w:val="28"/>
    </w:rPr>
  </w:style>
  <w:style w:type="character" w:customStyle="1" w:styleId="89">
    <w:name w:val="明显引用 Char"/>
    <w:link w:val="90"/>
    <w:qFormat/>
    <w:uiPriority w:val="0"/>
    <w:rPr>
      <w:b/>
      <w:bCs/>
      <w:i/>
      <w:iCs/>
      <w:color w:val="4F81BD"/>
      <w:kern w:val="2"/>
      <w:sz w:val="21"/>
      <w:szCs w:val="22"/>
    </w:rPr>
  </w:style>
  <w:style w:type="paragraph" w:styleId="90">
    <w:name w:val="Intense Quote"/>
    <w:basedOn w:val="1"/>
    <w:next w:val="1"/>
    <w:link w:val="89"/>
    <w:qFormat/>
    <w:uiPriority w:val="0"/>
    <w:pPr>
      <w:pBdr>
        <w:bottom w:val="single" w:color="4F81BD" w:sz="4" w:space="4"/>
      </w:pBdr>
      <w:spacing w:before="200" w:after="280"/>
      <w:ind w:left="936" w:right="936"/>
    </w:pPr>
    <w:rPr>
      <w:b/>
      <w:bCs/>
      <w:i/>
      <w:iCs/>
      <w:color w:val="4F81BD"/>
      <w:szCs w:val="22"/>
    </w:rPr>
  </w:style>
  <w:style w:type="character" w:customStyle="1" w:styleId="91">
    <w:name w:val="apple-converted-space"/>
    <w:basedOn w:val="40"/>
    <w:qFormat/>
    <w:uiPriority w:val="0"/>
  </w:style>
  <w:style w:type="character" w:customStyle="1" w:styleId="92">
    <w:name w:val="纯文本 Char"/>
    <w:link w:val="22"/>
    <w:qFormat/>
    <w:uiPriority w:val="0"/>
    <w:rPr>
      <w:rFonts w:ascii="宋体" w:hAnsi="Courier New" w:eastAsia="宋体" w:cs="Courier New"/>
      <w:szCs w:val="21"/>
    </w:rPr>
  </w:style>
  <w:style w:type="character" w:customStyle="1" w:styleId="93">
    <w:name w:val="正文文本 2 Char"/>
    <w:link w:val="33"/>
    <w:semiHidden/>
    <w:qFormat/>
    <w:uiPriority w:val="99"/>
    <w:rPr>
      <w:kern w:val="2"/>
      <w:sz w:val="21"/>
      <w:szCs w:val="24"/>
    </w:rPr>
  </w:style>
  <w:style w:type="character" w:customStyle="1" w:styleId="94">
    <w:name w:val="日期 Char"/>
    <w:qFormat/>
    <w:uiPriority w:val="0"/>
    <w:rPr>
      <w:rFonts w:ascii="宋体" w:eastAsia="宋体"/>
      <w:sz w:val="32"/>
      <w:szCs w:val="24"/>
    </w:rPr>
  </w:style>
  <w:style w:type="character" w:customStyle="1" w:styleId="95">
    <w:name w:val="文档结构图 Char"/>
    <w:link w:val="15"/>
    <w:qFormat/>
    <w:uiPriority w:val="0"/>
    <w:rPr>
      <w:rFonts w:ascii="Times New Roman" w:hAnsi="Times New Roman" w:eastAsia="宋体" w:cs="Times New Roman"/>
      <w:szCs w:val="24"/>
      <w:shd w:val="clear" w:color="auto" w:fill="000080"/>
    </w:rPr>
  </w:style>
  <w:style w:type="character" w:customStyle="1" w:styleId="96">
    <w:name w:val="Intense Emphasis"/>
    <w:qFormat/>
    <w:uiPriority w:val="0"/>
    <w:rPr>
      <w:b/>
      <w:bCs/>
      <w:i/>
      <w:iCs/>
      <w:color w:val="4F81BD"/>
    </w:rPr>
  </w:style>
  <w:style w:type="character" w:customStyle="1" w:styleId="97">
    <w:name w:val="Book Title"/>
    <w:qFormat/>
    <w:uiPriority w:val="0"/>
    <w:rPr>
      <w:b/>
      <w:bCs/>
      <w:smallCaps/>
      <w:spacing w:val="5"/>
    </w:rPr>
  </w:style>
  <w:style w:type="character" w:customStyle="1" w:styleId="98">
    <w:name w:val="标题4 Char Char"/>
    <w:link w:val="99"/>
    <w:qFormat/>
    <w:uiPriority w:val="0"/>
    <w:rPr>
      <w:rFonts w:ascii="Arial" w:hAnsi="Arial"/>
      <w:b/>
      <w:bCs/>
      <w:sz w:val="24"/>
      <w:szCs w:val="32"/>
    </w:rPr>
  </w:style>
  <w:style w:type="paragraph" w:customStyle="1" w:styleId="99">
    <w:name w:val="标题4"/>
    <w:basedOn w:val="5"/>
    <w:next w:val="19"/>
    <w:link w:val="98"/>
    <w:qFormat/>
    <w:uiPriority w:val="0"/>
    <w:pPr>
      <w:keepLines/>
      <w:autoSpaceDE/>
      <w:autoSpaceDN/>
      <w:spacing w:before="260" w:after="260" w:line="413" w:lineRule="auto"/>
      <w:jc w:val="both"/>
    </w:pPr>
    <w:rPr>
      <w:rFonts w:ascii="Arial" w:hAnsi="Arial"/>
      <w:bCs/>
      <w:color w:val="auto"/>
      <w:sz w:val="24"/>
      <w:szCs w:val="32"/>
    </w:rPr>
  </w:style>
  <w:style w:type="character" w:customStyle="1" w:styleId="100">
    <w:name w:val="列出段落 Char"/>
    <w:link w:val="101"/>
    <w:qFormat/>
    <w:locked/>
    <w:uiPriority w:val="99"/>
    <w:rPr>
      <w:sz w:val="24"/>
      <w:szCs w:val="24"/>
    </w:rPr>
  </w:style>
  <w:style w:type="paragraph" w:styleId="101">
    <w:name w:val="List Paragraph"/>
    <w:basedOn w:val="1"/>
    <w:link w:val="100"/>
    <w:qFormat/>
    <w:uiPriority w:val="99"/>
    <w:pPr>
      <w:autoSpaceDE w:val="0"/>
      <w:autoSpaceDN w:val="0"/>
      <w:adjustRightInd w:val="0"/>
      <w:jc w:val="left"/>
    </w:pPr>
    <w:rPr>
      <w:kern w:val="0"/>
      <w:sz w:val="24"/>
    </w:rPr>
  </w:style>
  <w:style w:type="character" w:customStyle="1" w:styleId="102">
    <w:name w:val="正文首行缩进 2 Char"/>
    <w:link w:val="37"/>
    <w:qFormat/>
    <w:uiPriority w:val="99"/>
    <w:rPr>
      <w:rFonts w:ascii="宋体" w:hAnsi="宋体" w:eastAsia="宋体" w:cs="Times New Roman"/>
      <w:color w:val="FF0000"/>
      <w:kern w:val="2"/>
      <w:sz w:val="21"/>
      <w:szCs w:val="24"/>
    </w:rPr>
  </w:style>
  <w:style w:type="character" w:customStyle="1" w:styleId="103">
    <w:name w:val="标题 9 Char"/>
    <w:link w:val="12"/>
    <w:qFormat/>
    <w:uiPriority w:val="0"/>
    <w:rPr>
      <w:rFonts w:ascii="Cambria" w:hAnsi="Cambria"/>
      <w:kern w:val="2"/>
      <w:sz w:val="21"/>
      <w:szCs w:val="21"/>
    </w:rPr>
  </w:style>
  <w:style w:type="character" w:customStyle="1" w:styleId="104">
    <w:name w:val="批注框文本 Char"/>
    <w:qFormat/>
    <w:uiPriority w:val="0"/>
    <w:rPr>
      <w:rFonts w:eastAsia="宋体"/>
      <w:sz w:val="18"/>
      <w:szCs w:val="18"/>
    </w:rPr>
  </w:style>
  <w:style w:type="character" w:customStyle="1" w:styleId="105">
    <w:name w:val="标题5 Char Char"/>
    <w:link w:val="106"/>
    <w:qFormat/>
    <w:uiPriority w:val="0"/>
    <w:rPr>
      <w:rFonts w:ascii="Arial" w:hAnsi="Arial"/>
      <w:b/>
      <w:bCs/>
      <w:sz w:val="24"/>
      <w:szCs w:val="32"/>
    </w:rPr>
  </w:style>
  <w:style w:type="paragraph" w:customStyle="1" w:styleId="106">
    <w:name w:val="标题5"/>
    <w:basedOn w:val="6"/>
    <w:link w:val="105"/>
    <w:qFormat/>
    <w:uiPriority w:val="0"/>
    <w:pPr>
      <w:keepLines/>
      <w:autoSpaceDE/>
      <w:autoSpaceDN/>
      <w:spacing w:before="260" w:after="260" w:line="413" w:lineRule="auto"/>
      <w:jc w:val="both"/>
    </w:pPr>
    <w:rPr>
      <w:rFonts w:ascii="Arial" w:hAnsi="Arial"/>
      <w:b/>
      <w:bCs/>
      <w:sz w:val="24"/>
      <w:szCs w:val="32"/>
    </w:rPr>
  </w:style>
  <w:style w:type="paragraph" w:customStyle="1" w:styleId="107">
    <w:name w:val="BodyTextIndent"/>
    <w:basedOn w:val="1"/>
    <w:qFormat/>
    <w:uiPriority w:val="0"/>
    <w:pPr>
      <w:spacing w:line="360" w:lineRule="auto"/>
      <w:ind w:firstLine="570"/>
    </w:pPr>
    <w:rPr>
      <w:sz w:val="24"/>
    </w:rPr>
  </w:style>
  <w:style w:type="paragraph" w:customStyle="1" w:styleId="10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BodyText"/>
    <w:basedOn w:val="1"/>
    <w:next w:val="1"/>
    <w:qFormat/>
    <w:uiPriority w:val="0"/>
    <w:pPr>
      <w:tabs>
        <w:tab w:val="left" w:pos="567"/>
      </w:tabs>
      <w:spacing w:before="120" w:line="240" w:lineRule="atLeast"/>
    </w:pPr>
    <w:rPr>
      <w:rFonts w:ascii="宋体" w:hAnsi="宋体"/>
      <w:sz w:val="24"/>
    </w:rPr>
  </w:style>
  <w:style w:type="paragraph" w:styleId="11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样式 标题 2 + Times New Roman 四号 非加粗 段前: 5 磅 段后: 0 磅 行距: 固定值 20..."/>
    <w:basedOn w:val="5"/>
    <w:next w:val="27"/>
    <w:qFormat/>
    <w:uiPriority w:val="0"/>
    <w:pPr>
      <w:keepLines/>
      <w:autoSpaceDE/>
      <w:autoSpaceDN/>
      <w:spacing w:before="100" w:after="0" w:line="400" w:lineRule="exact"/>
      <w:jc w:val="both"/>
    </w:pPr>
    <w:rPr>
      <w:rFonts w:ascii="Times New Roman" w:hAnsi="Times New Roman" w:eastAsia="黑体"/>
      <w:b w:val="0"/>
      <w:color w:val="auto"/>
      <w:kern w:val="2"/>
      <w:sz w:val="28"/>
      <w:szCs w:val="28"/>
    </w:rPr>
  </w:style>
  <w:style w:type="paragraph" w:customStyle="1" w:styleId="114">
    <w:name w:val="普通文字"/>
    <w:basedOn w:val="1"/>
    <w:qFormat/>
    <w:uiPriority w:val="0"/>
    <w:rPr>
      <w:rFonts w:ascii="宋体" w:hAnsi="Courier New"/>
    </w:rPr>
  </w:style>
  <w:style w:type="paragraph" w:customStyle="1" w:styleId="115">
    <w:name w:val="p0"/>
    <w:basedOn w:val="1"/>
    <w:qFormat/>
    <w:uiPriority w:val="0"/>
    <w:pPr>
      <w:widowControl/>
    </w:pPr>
    <w:rPr>
      <w:kern w:val="0"/>
      <w:szCs w:val="21"/>
    </w:rPr>
  </w:style>
  <w:style w:type="paragraph" w:customStyle="1" w:styleId="116">
    <w:name w:val="p18"/>
    <w:basedOn w:val="1"/>
    <w:qFormat/>
    <w:uiPriority w:val="0"/>
    <w:pPr>
      <w:widowControl/>
    </w:pPr>
    <w:rPr>
      <w:rFonts w:ascii="宋体" w:hAnsi="宋体" w:cs="宋体"/>
      <w:kern w:val="0"/>
      <w:szCs w:val="21"/>
    </w:rPr>
  </w:style>
  <w:style w:type="paragraph" w:customStyle="1" w:styleId="117">
    <w:name w:val="Char Char Char Char Char Char Char Char Char Char Char Char"/>
    <w:basedOn w:val="1"/>
    <w:qFormat/>
    <w:uiPriority w:val="0"/>
    <w:pPr>
      <w:snapToGrid w:val="0"/>
      <w:spacing w:line="360" w:lineRule="auto"/>
      <w:ind w:firstLine="200" w:firstLineChars="200"/>
    </w:pPr>
    <w:rPr>
      <w:rFonts w:eastAsia="仿宋_GB2312"/>
      <w:sz w:val="24"/>
    </w:rPr>
  </w:style>
  <w:style w:type="paragraph" w:customStyle="1" w:styleId="118">
    <w:name w:val="样式1"/>
    <w:basedOn w:val="1"/>
    <w:qFormat/>
    <w:uiPriority w:val="0"/>
    <w:rPr>
      <w:rFonts w:ascii="宋体" w:hAnsi="宋体"/>
      <w:szCs w:val="21"/>
    </w:rPr>
  </w:style>
  <w:style w:type="paragraph" w:customStyle="1" w:styleId="119">
    <w:name w:val="BodyText1I"/>
    <w:basedOn w:val="110"/>
    <w:next w:val="120"/>
    <w:qFormat/>
    <w:uiPriority w:val="0"/>
    <w:pPr>
      <w:spacing w:before="0" w:after="120" w:line="240" w:lineRule="auto"/>
      <w:ind w:firstLine="420"/>
    </w:pPr>
    <w:rPr>
      <w:rFonts w:ascii="Calibri" w:hAnsi="Calibri" w:eastAsia="楷体_GB2312"/>
      <w:kern w:val="0"/>
      <w:sz w:val="32"/>
      <w:szCs w:val="20"/>
    </w:rPr>
  </w:style>
  <w:style w:type="paragraph" w:customStyle="1" w:styleId="120">
    <w:name w:val="BodyText1I2"/>
    <w:basedOn w:val="107"/>
    <w:qFormat/>
    <w:uiPriority w:val="0"/>
    <w:pPr>
      <w:spacing w:after="120" w:line="240" w:lineRule="auto"/>
      <w:ind w:left="420" w:leftChars="200" w:firstLine="420" w:firstLineChars="200"/>
    </w:pPr>
    <w:rPr>
      <w:kern w:val="0"/>
      <w:sz w:val="28"/>
    </w:rPr>
  </w:style>
  <w:style w:type="paragraph" w:customStyle="1" w:styleId="121">
    <w:name w:val="TOC Heading"/>
    <w:basedOn w:val="4"/>
    <w:next w:val="1"/>
    <w:qFormat/>
    <w:uiPriority w:val="0"/>
    <w:pPr>
      <w:keepLines/>
      <w:autoSpaceDE/>
      <w:autoSpaceDN/>
      <w:spacing w:before="340" w:after="330" w:line="578" w:lineRule="auto"/>
      <w:jc w:val="both"/>
      <w:outlineLvl w:val="9"/>
    </w:pPr>
    <w:rPr>
      <w:rFonts w:ascii="Times New Roman" w:hAnsi="Times New Roman"/>
      <w:bCs/>
      <w:color w:val="auto"/>
      <w:kern w:val="44"/>
      <w:sz w:val="44"/>
      <w:szCs w:val="44"/>
    </w:rPr>
  </w:style>
  <w:style w:type="paragraph" w:customStyle="1" w:styleId="122">
    <w:name w:val="Char"/>
    <w:basedOn w:val="1"/>
    <w:qFormat/>
    <w:uiPriority w:val="0"/>
    <w:rPr>
      <w:rFonts w:ascii="Tahoma" w:hAnsi="Tahoma"/>
      <w:sz w:val="30"/>
      <w:szCs w:val="30"/>
    </w:rPr>
  </w:style>
  <w:style w:type="paragraph" w:customStyle="1" w:styleId="123">
    <w:name w:val="p16"/>
    <w:basedOn w:val="1"/>
    <w:qFormat/>
    <w:uiPriority w:val="0"/>
    <w:pPr>
      <w:widowControl/>
      <w:ind w:left="360" w:hanging="420"/>
    </w:pPr>
    <w:rPr>
      <w:kern w:val="0"/>
      <w:szCs w:val="21"/>
    </w:rPr>
  </w:style>
  <w:style w:type="paragraph" w:customStyle="1" w:styleId="124">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封面1"/>
    <w:basedOn w:val="1"/>
    <w:next w:val="1"/>
    <w:qFormat/>
    <w:uiPriority w:val="0"/>
    <w:pPr>
      <w:widowControl/>
      <w:tabs>
        <w:tab w:val="left" w:pos="2265"/>
      </w:tabs>
      <w:spacing w:before="360" w:after="360" w:line="360" w:lineRule="auto"/>
      <w:ind w:firstLine="560" w:firstLineChars="200"/>
      <w:jc w:val="center"/>
    </w:pPr>
    <w:rPr>
      <w:rFonts w:eastAsia="黑体"/>
      <w:kern w:val="0"/>
      <w:sz w:val="52"/>
      <w:szCs w:val="20"/>
    </w:rPr>
  </w:style>
  <w:style w:type="paragraph" w:customStyle="1" w:styleId="126">
    <w:name w:val="标题 21"/>
    <w:basedOn w:val="1"/>
    <w:qFormat/>
    <w:uiPriority w:val="1"/>
    <w:pPr>
      <w:autoSpaceDE w:val="0"/>
      <w:autoSpaceDN w:val="0"/>
      <w:adjustRightInd w:val="0"/>
      <w:jc w:val="left"/>
      <w:outlineLvl w:val="1"/>
    </w:pPr>
    <w:rPr>
      <w:rFonts w:ascii="Microsoft JhengHei" w:eastAsia="Microsoft JhengHei" w:cs="Microsoft JhengHei"/>
      <w:kern w:val="0"/>
      <w:sz w:val="32"/>
      <w:szCs w:val="32"/>
    </w:rPr>
  </w:style>
  <w:style w:type="paragraph" w:customStyle="1" w:styleId="12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列出段落1"/>
    <w:basedOn w:val="1"/>
    <w:qFormat/>
    <w:uiPriority w:val="0"/>
    <w:pPr>
      <w:ind w:firstLine="420" w:firstLineChars="200"/>
    </w:pPr>
    <w:rPr>
      <w:rFonts w:ascii="Calibri" w:hAnsi="Calibri"/>
      <w:szCs w:val="22"/>
    </w:rPr>
  </w:style>
  <w:style w:type="paragraph" w:customStyle="1" w:styleId="129">
    <w:name w:val="Revision"/>
    <w:qFormat/>
    <w:uiPriority w:val="0"/>
    <w:rPr>
      <w:rFonts w:ascii="Times New Roman" w:hAnsi="Times New Roman" w:eastAsia="宋体" w:cs="Times New Roman"/>
      <w:kern w:val="2"/>
      <w:sz w:val="21"/>
      <w:szCs w:val="24"/>
      <w:lang w:val="en-US" w:eastAsia="zh-CN" w:bidi="ar-SA"/>
    </w:rPr>
  </w:style>
  <w:style w:type="paragraph" w:customStyle="1" w:styleId="130">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131">
    <w:name w:val="列出段落2"/>
    <w:basedOn w:val="1"/>
    <w:qFormat/>
    <w:uiPriority w:val="0"/>
    <w:pPr>
      <w:widowControl/>
      <w:ind w:firstLine="420" w:firstLineChars="200"/>
      <w:jc w:val="left"/>
    </w:pPr>
    <w:rPr>
      <w:kern w:val="0"/>
      <w:sz w:val="20"/>
      <w:szCs w:val="20"/>
    </w:rPr>
  </w:style>
  <w:style w:type="paragraph" w:customStyle="1" w:styleId="132">
    <w:name w:val="正文（首行缩进一字）"/>
    <w:basedOn w:val="1"/>
    <w:qFormat/>
    <w:uiPriority w:val="0"/>
  </w:style>
  <w:style w:type="paragraph" w:customStyle="1" w:styleId="133">
    <w:name w:val="p15"/>
    <w:basedOn w:val="1"/>
    <w:uiPriority w:val="0"/>
    <w:pPr>
      <w:widowControl/>
    </w:pPr>
    <w:rPr>
      <w:kern w:val="0"/>
      <w:szCs w:val="21"/>
    </w:rPr>
  </w:style>
  <w:style w:type="paragraph" w:customStyle="1" w:styleId="134">
    <w:name w:val="Table Paragraph"/>
    <w:basedOn w:val="1"/>
    <w:qFormat/>
    <w:uiPriority w:val="1"/>
    <w:pPr>
      <w:autoSpaceDE w:val="0"/>
      <w:autoSpaceDN w:val="0"/>
      <w:adjustRightInd w:val="0"/>
      <w:jc w:val="left"/>
    </w:pPr>
    <w:rPr>
      <w:kern w:val="0"/>
      <w:sz w:val="24"/>
    </w:rPr>
  </w:style>
  <w:style w:type="paragraph" w:customStyle="1" w:styleId="135">
    <w:name w:val="样式 标题 1 + 四号 居中 段前: 12 磅 段后: 12 磅 行距: 单倍行距"/>
    <w:basedOn w:val="4"/>
    <w:qFormat/>
    <w:uiPriority w:val="0"/>
    <w:pPr>
      <w:spacing w:before="240" w:after="240"/>
    </w:pPr>
    <w:rPr>
      <w:rFonts w:cs="宋体"/>
      <w:sz w:val="28"/>
      <w:szCs w:val="20"/>
    </w:rPr>
  </w:style>
  <w:style w:type="paragraph" w:customStyle="1" w:styleId="136">
    <w:name w:val="正文文本缩进 21"/>
    <w:basedOn w:val="1"/>
    <w:qFormat/>
    <w:uiPriority w:val="0"/>
    <w:pPr>
      <w:spacing w:line="360" w:lineRule="auto"/>
      <w:ind w:left="1140"/>
    </w:pPr>
    <w:rPr>
      <w:rFonts w:ascii="宋体" w:hAnsi="宋体" w:cs="宋体"/>
      <w:sz w:val="24"/>
      <w:szCs w:val="20"/>
    </w:rPr>
  </w:style>
  <w:style w:type="paragraph" w:customStyle="1" w:styleId="137">
    <w:name w:val="标题 31"/>
    <w:basedOn w:val="1"/>
    <w:qFormat/>
    <w:uiPriority w:val="1"/>
    <w:pPr>
      <w:autoSpaceDE w:val="0"/>
      <w:autoSpaceDN w:val="0"/>
      <w:adjustRightInd w:val="0"/>
      <w:ind w:left="237"/>
      <w:jc w:val="left"/>
      <w:outlineLvl w:val="2"/>
    </w:pPr>
    <w:rPr>
      <w:rFonts w:ascii="Microsoft JhengHei" w:eastAsia="Microsoft JhengHei" w:cs="Microsoft JhengHei"/>
      <w:kern w:val="0"/>
      <w:sz w:val="28"/>
      <w:szCs w:val="28"/>
    </w:rPr>
  </w:style>
  <w:style w:type="paragraph" w:customStyle="1" w:styleId="138">
    <w:name w:val="Char Char Char Char1"/>
    <w:basedOn w:val="1"/>
    <w:qFormat/>
    <w:uiPriority w:val="0"/>
    <w:pPr>
      <w:snapToGrid w:val="0"/>
      <w:spacing w:line="360" w:lineRule="auto"/>
      <w:ind w:firstLine="200" w:firstLineChars="200"/>
    </w:pPr>
    <w:rPr>
      <w:rFonts w:eastAsia="仿宋_GB2312"/>
      <w:sz w:val="24"/>
    </w:rPr>
  </w:style>
  <w:style w:type="paragraph" w:customStyle="1" w:styleId="139">
    <w:name w:val="p19"/>
    <w:basedOn w:val="1"/>
    <w:qFormat/>
    <w:uiPriority w:val="0"/>
    <w:pPr>
      <w:widowControl/>
    </w:pPr>
    <w:rPr>
      <w:kern w:val="0"/>
      <w:szCs w:val="21"/>
    </w:rPr>
  </w:style>
  <w:style w:type="paragraph" w:customStyle="1" w:styleId="14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41">
    <w:name w:val="列出段落11"/>
    <w:basedOn w:val="1"/>
    <w:qFormat/>
    <w:uiPriority w:val="99"/>
    <w:pPr>
      <w:ind w:firstLine="420" w:firstLineChars="200"/>
    </w:pPr>
    <w:rPr>
      <w:rFonts w:ascii="Calibri" w:hAnsi="Calibri"/>
      <w:szCs w:val="22"/>
    </w:rPr>
  </w:style>
  <w:style w:type="paragraph" w:customStyle="1" w:styleId="142">
    <w:name w:val="标题 11"/>
    <w:basedOn w:val="1"/>
    <w:qFormat/>
    <w:uiPriority w:val="1"/>
    <w:pPr>
      <w:autoSpaceDE w:val="0"/>
      <w:autoSpaceDN w:val="0"/>
      <w:adjustRightInd w:val="0"/>
      <w:ind w:left="2"/>
      <w:jc w:val="left"/>
      <w:outlineLvl w:val="0"/>
    </w:pPr>
    <w:rPr>
      <w:rFonts w:ascii="Microsoft JhengHei" w:eastAsia="Microsoft JhengHei" w:cs="Microsoft JhengHei"/>
      <w:kern w:val="0"/>
      <w:sz w:val="44"/>
      <w:szCs w:val="44"/>
    </w:rPr>
  </w:style>
  <w:style w:type="character" w:customStyle="1" w:styleId="143">
    <w:name w:val="ca-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C17B5-2DD2-4250-9B19-953A6F290563}">
  <ds:schemaRefs/>
</ds:datastoreItem>
</file>

<file path=docProps/app.xml><?xml version="1.0" encoding="utf-8"?>
<Properties xmlns="http://schemas.openxmlformats.org/officeDocument/2006/extended-properties" xmlns:vt="http://schemas.openxmlformats.org/officeDocument/2006/docPropsVTypes">
  <Template>Normal</Template>
  <Company>www.upanboot.com</Company>
  <Pages>55</Pages>
  <Words>3721</Words>
  <Characters>21214</Characters>
  <Lines>176</Lines>
  <Paragraphs>49</Paragraphs>
  <TotalTime>10</TotalTime>
  <ScaleCrop>false</ScaleCrop>
  <LinksUpToDate>false</LinksUpToDate>
  <CharactersWithSpaces>24886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2020-11-20T02:05:00Z</dcterms:created>
  <dc:creator>Administrator</dc:creator>
  <cp:lastModifiedBy>河南招标七部</cp:lastModifiedBy>
  <cp:lastPrinted>2020-04-03T04:04:00Z</cp:lastPrinted>
  <dcterms:modified xsi:type="dcterms:W3CDTF">2020-11-26T09:52:55Z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