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ind w:firstLine="602"/>
        <w:contextualSpacing/>
        <w:jc w:val="center"/>
        <w:rPr>
          <w:rFonts w:ascii="宋体" w:hAnsi="宋体" w:cs="宋体"/>
          <w:color w:val="auto"/>
          <w:sz w:val="24"/>
          <w:highlight w:val="none"/>
        </w:rPr>
      </w:pPr>
      <w:r>
        <w:rPr>
          <w:rFonts w:hint="eastAsia" w:ascii="宋体" w:hAnsi="宋体" w:cs="宋体"/>
          <w:b/>
          <w:bCs/>
          <w:color w:val="auto"/>
          <w:sz w:val="24"/>
          <w:highlight w:val="none"/>
        </w:rPr>
        <w:t>特 别 提 示</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1、投标人注册 </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首先通过“驻马店市公共资源交易中心（www.zmdggzy.gov.cn/tpfront）”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2、投标文件制作 </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2.1、投标人通过“驻马店市公共资源交易中心（www.zmdggzy.gov.cn/tpfront）”网站下载中心（政府采购类）：下载“新点投标文件制作软件（驻马店）”。</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2.2、投标人凭 CA 密钥登陆交易系统下载招标文件(.rntf 格 式)。</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2.3、投标人须在投标文件递交截止时间前制作并提交：</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（1）加密的电子投标文件（.rntf 格式）,应在投标文件截止时间前通过“驻马店市公共资源交易中心（www.zmdggzy.gov.cn/tpfront）”电子交易平台内上传；</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（2）未加密的电子投标文件（.nrntf 格式）1 份（U 盘介质），密封提交；</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（3）纸质投标文件正本一份（A4 纸打印并胶装），密封提交。</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2.4、加密的电子投标文件为“驻马店市公共资源交易中心（www.zmdggzy.gov.cn）”网站提供的“新点投标文件制作软件（驻马店）”制作生成的加密版投标文件。未加密的电子投标文件应与加密的电子投标文件为同时生成的版本。</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2.5、投标人在编制电子投标文件时，生成后的电子投标文件须按招标文件的格式要求完成电子签字或盖章。“开标一览表”报价将作为电子开标的唱标依据。其他要求签字盖章的招标文件格式内容，投标人须将盖章签字后的扫描图片替换到相应格式中。纸质投标文件须按招标文件格式要求加盖投标人的公章并经法定代表人或授权代表签字。</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2.6、招标文件格式所要求包含的全部资料应全部制作在投标文件内，严格按照本项目招标文件所有格式如实填写（不涉及的内容除外），不应存在漏项或缺项，否则将存在投标文件被拒绝的风险。</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2.7、投标文件以外的任何资料采购人和采购代理机构将拒收。</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2.8、投标人编辑电子投标文件时，根据招标文件要求用法人 CA 密钥和企业CA 密钥进行签章制作；最后一步生成电子投标文件（.rntf 格式和.rntf 格式）时，只能用本单位的企业 CA 密钥。</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2.9、电子投标文件制作流程，可参考驻马店市公共资源交易中心官方网站的，下载中心板块的视频（http://www.zmdggzy.gov.cn/TPFront/InfoDetail/?InfoID=844e0ea7-2b6c-425d-99f6-91bd5b500e5e&amp;CategoryNum=026002）</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3、澄清与变更 </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采购人、采购代理机构对已发出的招标文件进行的澄清、更正或更改，澄清、更正或更改的内容将作为招标文件的组成部分。采购代理机构将通过网站“变更公告”和“答疑文件”告知投标人。各投标人须下载招标文件和最新的答疑文件，以此编制投标文件。</w:t>
      </w:r>
    </w:p>
    <w:p>
      <w:pPr>
        <w:spacing w:beforeLines="50" w:after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4、因汝南县公共资源交易中心平台在开标前具有保密性，投标人在投标文件递交截止时间前须自行查看项目进展、变更通知、澄清及回复，因投标人未及时查看而造成的后果自负。 </w:t>
      </w:r>
    </w:p>
    <w:p>
      <w:pPr>
        <w:spacing w:beforeLines="50" w:afterLines="50"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注：若因系统原因或不可抗力导致无法使用电子投标文件评标，将采用纸质投标文件评标。</w:t>
      </w:r>
    </w:p>
    <w:p>
      <w:pPr>
        <w:spacing w:beforeLines="50" w:afterLines="50" w:line="360" w:lineRule="auto"/>
        <w:ind w:firstLine="482" w:firstLineChars="200"/>
        <w:contextualSpacing/>
        <w:rPr>
          <w:rFonts w:ascii="宋体" w:hAnsi="宋体" w:cs="宋体"/>
          <w:b/>
          <w:color w:val="auto"/>
          <w:sz w:val="24"/>
          <w:highlight w:val="none"/>
        </w:rPr>
      </w:pPr>
    </w:p>
    <w:p>
      <w:pPr>
        <w:spacing w:beforeLines="50" w:afterLines="50" w:line="360" w:lineRule="auto"/>
        <w:ind w:firstLine="482" w:firstLineChars="200"/>
        <w:contextualSpacing/>
        <w:rPr>
          <w:rFonts w:ascii="宋体" w:hAnsi="宋体" w:cs="宋体"/>
          <w:b/>
          <w:color w:val="auto"/>
          <w:sz w:val="24"/>
          <w:highlight w:val="none"/>
        </w:rPr>
      </w:pPr>
    </w:p>
    <w:p>
      <w:pPr>
        <w:spacing w:beforeLines="50" w:afterLines="50" w:line="360" w:lineRule="auto"/>
        <w:ind w:firstLine="482" w:firstLineChars="200"/>
        <w:contextualSpacing/>
        <w:rPr>
          <w:rFonts w:ascii="宋体" w:hAnsi="宋体" w:cs="宋体"/>
          <w:b/>
          <w:color w:val="auto"/>
          <w:sz w:val="24"/>
          <w:highlight w:val="none"/>
        </w:rPr>
      </w:pPr>
    </w:p>
    <w:p>
      <w:pPr>
        <w:spacing w:beforeLines="50" w:afterLines="50" w:line="360" w:lineRule="auto"/>
        <w:ind w:firstLine="482" w:firstLineChars="200"/>
        <w:contextualSpacing/>
        <w:rPr>
          <w:rFonts w:ascii="宋体" w:hAnsi="宋体" w:cs="宋体"/>
          <w:b/>
          <w:color w:val="auto"/>
          <w:sz w:val="24"/>
          <w:highlight w:val="none"/>
        </w:rPr>
      </w:pPr>
    </w:p>
    <w:p>
      <w:pPr>
        <w:spacing w:beforeLines="50" w:afterLines="50" w:line="360" w:lineRule="auto"/>
        <w:ind w:firstLine="482" w:firstLineChars="200"/>
        <w:contextualSpacing/>
        <w:rPr>
          <w:rFonts w:ascii="宋体" w:hAnsi="宋体" w:cs="宋体"/>
          <w:b/>
          <w:color w:val="auto"/>
          <w:sz w:val="24"/>
          <w:highlight w:val="none"/>
        </w:rPr>
      </w:pPr>
    </w:p>
    <w:p>
      <w:pPr>
        <w:spacing w:beforeLines="50" w:afterLines="50" w:line="360" w:lineRule="auto"/>
        <w:ind w:firstLine="482" w:firstLineChars="200"/>
        <w:contextualSpacing/>
        <w:rPr>
          <w:rFonts w:ascii="宋体" w:hAnsi="宋体" w:cs="宋体"/>
          <w:b/>
          <w:color w:val="auto"/>
          <w:sz w:val="24"/>
          <w:highlight w:val="none"/>
        </w:rPr>
      </w:pPr>
    </w:p>
    <w:p>
      <w:pPr>
        <w:spacing w:beforeLines="50" w:afterLines="50" w:line="360" w:lineRule="auto"/>
        <w:ind w:firstLine="482" w:firstLineChars="200"/>
        <w:contextualSpacing/>
        <w:rPr>
          <w:rFonts w:ascii="宋体" w:hAnsi="宋体" w:cs="宋体"/>
          <w:b/>
          <w:color w:val="auto"/>
          <w:sz w:val="24"/>
          <w:highlight w:val="none"/>
        </w:rPr>
      </w:pPr>
    </w:p>
    <w:p>
      <w:pPr>
        <w:widowControl/>
        <w:snapToGrid w:val="0"/>
        <w:spacing w:line="360" w:lineRule="auto"/>
        <w:jc w:val="center"/>
        <w:rPr>
          <w:rFonts w:ascii="宋体" w:hAnsi="宋体" w:cs="宋体"/>
          <w:b/>
          <w:color w:val="auto"/>
          <w:kern w:val="0"/>
          <w:sz w:val="24"/>
          <w:highlight w:val="none"/>
        </w:rPr>
      </w:pPr>
      <w:r>
        <w:rPr>
          <w:rFonts w:hint="eastAsia" w:ascii="宋体" w:hAnsi="宋体" w:cs="宋体"/>
          <w:b/>
          <w:color w:val="auto"/>
          <w:kern w:val="0"/>
          <w:sz w:val="32"/>
          <w:szCs w:val="32"/>
          <w:highlight w:val="none"/>
        </w:rPr>
        <w:br w:type="page"/>
      </w:r>
      <w:r>
        <w:rPr>
          <w:rFonts w:hint="eastAsia" w:ascii="宋体" w:hAnsi="宋体" w:cs="宋体"/>
          <w:b/>
          <w:bCs/>
          <w:color w:val="auto"/>
          <w:kern w:val="0"/>
          <w:sz w:val="32"/>
          <w:szCs w:val="32"/>
          <w:highlight w:val="none"/>
        </w:rPr>
        <w:t>采购</w:t>
      </w:r>
      <w:r>
        <w:rPr>
          <w:rFonts w:hint="eastAsia" w:ascii="宋体" w:hAnsi="宋体" w:cs="宋体"/>
          <w:b/>
          <w:color w:val="auto"/>
          <w:kern w:val="0"/>
          <w:sz w:val="32"/>
          <w:szCs w:val="32"/>
          <w:highlight w:val="none"/>
        </w:rPr>
        <w:t>需求</w:t>
      </w:r>
    </w:p>
    <w:p>
      <w:pPr>
        <w:spacing w:line="360" w:lineRule="auto"/>
        <w:rPr>
          <w:b/>
          <w:bCs/>
          <w:color w:val="auto"/>
          <w:sz w:val="28"/>
          <w:szCs w:val="36"/>
          <w:highlight w:val="none"/>
        </w:rPr>
      </w:pPr>
      <w:r>
        <w:rPr>
          <w:rFonts w:hint="eastAsia"/>
          <w:b/>
          <w:bCs/>
          <w:color w:val="auto"/>
          <w:sz w:val="28"/>
          <w:szCs w:val="36"/>
          <w:highlight w:val="none"/>
        </w:rPr>
        <w:t>一、资格要求：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1.满足《中华人民共和国政府采购法》第二十二条规定；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2.落实政府采购政策需满足的资格要求：无</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3.本项目的特定资格要求：无</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4.具有独立承担民事责任的能力（提供营业执照原件）；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5.具有良好的商业信誉和健全的财务会计制度（提供经审计的2018年度或2019年度财务报告或银行出具的资信证明或财政部门认可的政府采购专业担保机构出具的投标担保函）；</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6.具有履行合同所必需的设备和专业技术能力的证明材料（提供承诺书，格式自拟）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7.供应商有依法缴纳税收和社会保障资金的良好记录，依法免税或不需要缴纳社会保障资金的供应商，应提供相应文件证明其依法免税或不需要缴纳社会保障资金；（提供相关证明）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8.参加政府采购活动前三年内，在经营活动中没有重大违法记录的书面声明；</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根据《关于在政府采购活动中查询及使用信用记录有关问题的通知》(财库[2016]125号)的规定，采购代理机构将通过“信用中国”网站（http://www.creditchina.gov.cn/），“中国政府采购网”（www.ccgp.gov.cn）查询相关主体信用记录。查询内容为在“信用中国”网站中查询“失信被执行人”和“重大税收违法案件当事人名单”、“中国政府采购网”网站中查询“政府采购严重违法失信行为记录名单”，无以上记录的供应商为合格供应商。本项目信用记录截止时间为投标截止时间；</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10.单位负责人为同一人或者存在直接控股、管理关系的不同供应商，不得参加同一合同项下的政府采购活动。</w:t>
      </w:r>
    </w:p>
    <w:p>
      <w:pPr>
        <w:spacing w:line="360" w:lineRule="auto"/>
        <w:ind w:firstLine="480" w:firstLineChars="200"/>
        <w:rPr>
          <w:color w:val="auto"/>
          <w:sz w:val="28"/>
          <w:szCs w:val="36"/>
          <w:highlight w:val="none"/>
        </w:rPr>
      </w:pPr>
      <w:r>
        <w:rPr>
          <w:rFonts w:hint="eastAsia" w:ascii="宋体" w:hAnsi="宋体"/>
          <w:color w:val="auto"/>
          <w:sz w:val="24"/>
          <w:highlight w:val="none"/>
        </w:rPr>
        <w:t>11.提供法定代表人授权委托书（原件）、被授权人身份证明（原件）。</w:t>
      </w:r>
    </w:p>
    <w:p>
      <w:pPr>
        <w:widowControl/>
        <w:spacing w:line="360" w:lineRule="auto"/>
        <w:jc w:val="left"/>
        <w:rPr>
          <w:rFonts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本次招标不接受联合体投标，不允许转包和分包。</w:t>
      </w:r>
    </w:p>
    <w:p>
      <w:pPr>
        <w:spacing w:line="276" w:lineRule="auto"/>
        <w:rPr>
          <w:rFonts w:ascii="宋体" w:hAnsi="宋体" w:cs="宋体"/>
          <w:b/>
          <w:color w:val="auto"/>
          <w:sz w:val="24"/>
          <w:highlight w:val="none"/>
        </w:rPr>
      </w:pPr>
      <w:r>
        <w:rPr>
          <w:rFonts w:hint="eastAsia" w:ascii="宋体" w:hAnsi="宋体" w:cs="宋体"/>
          <w:b/>
          <w:color w:val="auto"/>
          <w:sz w:val="24"/>
          <w:highlight w:val="none"/>
        </w:rPr>
        <w:t>二、资金来源及资金预算：</w:t>
      </w:r>
    </w:p>
    <w:p>
      <w:pPr>
        <w:spacing w:line="276"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资金预算：约25301100.00元 ；资金来源：财政资金；最高限价:843.37元/套。</w:t>
      </w:r>
    </w:p>
    <w:p>
      <w:pPr>
        <w:spacing w:line="360" w:lineRule="auto"/>
        <w:rPr>
          <w:b/>
          <w:bCs/>
          <w:color w:val="auto"/>
          <w:sz w:val="28"/>
          <w:szCs w:val="36"/>
          <w:highlight w:val="none"/>
        </w:rPr>
      </w:pPr>
      <w:r>
        <w:rPr>
          <w:rFonts w:hint="eastAsia"/>
          <w:b/>
          <w:bCs/>
          <w:color w:val="auto"/>
          <w:sz w:val="28"/>
          <w:szCs w:val="36"/>
          <w:highlight w:val="none"/>
        </w:rPr>
        <w:t>三、</w:t>
      </w:r>
      <w:r>
        <w:rPr>
          <w:b/>
          <w:bCs/>
          <w:color w:val="auto"/>
          <w:sz w:val="28"/>
          <w:szCs w:val="36"/>
          <w:highlight w:val="none"/>
        </w:rPr>
        <w:t>采购设备名称、数量、具体技术参数及配置要求</w:t>
      </w:r>
      <w:r>
        <w:rPr>
          <w:rFonts w:hint="eastAsia"/>
          <w:b/>
          <w:bCs/>
          <w:color w:val="auto"/>
          <w:sz w:val="28"/>
          <w:szCs w:val="36"/>
          <w:highlight w:val="none"/>
        </w:rPr>
        <w:t>：</w:t>
      </w:r>
    </w:p>
    <w:p>
      <w:pPr>
        <w:spacing w:line="360" w:lineRule="auto"/>
        <w:rPr>
          <w:color w:val="auto"/>
          <w:sz w:val="20"/>
          <w:highlight w:val="none"/>
        </w:rPr>
      </w:pPr>
      <w:r>
        <w:rPr>
          <w:color w:val="auto"/>
          <w:spacing w:val="5"/>
          <w:szCs w:val="18"/>
          <w:highlight w:val="none"/>
        </w:rPr>
        <w:t>主要技术参数表：</w:t>
      </w:r>
    </w:p>
    <w:tbl>
      <w:tblPr>
        <w:tblStyle w:val="7"/>
        <w:tblW w:w="8859" w:type="dxa"/>
        <w:tblInd w:w="113" w:type="dxa"/>
        <w:tblLayout w:type="fixed"/>
        <w:tblCellMar>
          <w:top w:w="0" w:type="dxa"/>
          <w:left w:w="0" w:type="dxa"/>
          <w:bottom w:w="0" w:type="dxa"/>
          <w:right w:w="0" w:type="dxa"/>
        </w:tblCellMar>
      </w:tblPr>
      <w:tblGrid>
        <w:gridCol w:w="1382"/>
        <w:gridCol w:w="841"/>
        <w:gridCol w:w="6636"/>
      </w:tblGrid>
      <w:tr>
        <w:tblPrEx>
          <w:tblCellMar>
            <w:top w:w="0" w:type="dxa"/>
            <w:left w:w="0" w:type="dxa"/>
            <w:bottom w:w="0" w:type="dxa"/>
            <w:right w:w="0" w:type="dxa"/>
          </w:tblCellMar>
        </w:tblPrEx>
        <w:trPr>
          <w:trHeight w:val="496" w:hRule="exact"/>
        </w:trPr>
        <w:tc>
          <w:tcPr>
            <w:tcW w:w="1382" w:type="dxa"/>
            <w:tcBorders>
              <w:top w:val="single" w:color="000000" w:sz="6" w:space="0"/>
              <w:left w:val="single" w:color="000000" w:sz="6" w:space="0"/>
              <w:bottom w:val="single" w:color="000000" w:sz="6" w:space="0"/>
              <w:right w:val="single" w:color="000000" w:sz="6" w:space="0"/>
            </w:tcBorders>
            <w:vAlign w:val="center"/>
          </w:tcPr>
          <w:p>
            <w:pPr>
              <w:pStyle w:val="9"/>
              <w:spacing w:before="53"/>
              <w:ind w:left="434"/>
              <w:rPr>
                <w:rFonts w:ascii="宋体" w:hAnsi="宋体" w:cs="宋体"/>
                <w:color w:val="auto"/>
                <w:sz w:val="24"/>
                <w:szCs w:val="24"/>
                <w:highlight w:val="none"/>
              </w:rPr>
            </w:pPr>
            <w:r>
              <w:rPr>
                <w:rFonts w:hint="eastAsia" w:ascii="宋体" w:hAnsi="宋体" w:cs="宋体"/>
                <w:b/>
                <w:bCs/>
                <w:color w:val="auto"/>
                <w:spacing w:val="15"/>
                <w:sz w:val="24"/>
                <w:szCs w:val="24"/>
                <w:highlight w:val="none"/>
              </w:rPr>
              <w:t>名称</w:t>
            </w:r>
          </w:p>
        </w:tc>
        <w:tc>
          <w:tcPr>
            <w:tcW w:w="841" w:type="dxa"/>
            <w:tcBorders>
              <w:top w:val="single" w:color="000000" w:sz="6" w:space="0"/>
              <w:left w:val="single" w:color="000000" w:sz="6" w:space="0"/>
              <w:bottom w:val="single" w:color="000000" w:sz="6" w:space="0"/>
              <w:right w:val="single" w:color="000000" w:sz="6" w:space="0"/>
            </w:tcBorders>
            <w:vAlign w:val="center"/>
          </w:tcPr>
          <w:p>
            <w:pPr>
              <w:pStyle w:val="9"/>
              <w:spacing w:before="53"/>
              <w:ind w:left="148"/>
              <w:rPr>
                <w:rFonts w:ascii="宋体" w:hAnsi="宋体" w:cs="宋体"/>
                <w:color w:val="auto"/>
                <w:sz w:val="24"/>
                <w:szCs w:val="24"/>
                <w:highlight w:val="none"/>
              </w:rPr>
            </w:pPr>
            <w:r>
              <w:rPr>
                <w:rFonts w:hint="eastAsia" w:ascii="宋体" w:hAnsi="宋体" w:cs="宋体"/>
                <w:b/>
                <w:bCs/>
                <w:color w:val="auto"/>
                <w:spacing w:val="15"/>
                <w:sz w:val="24"/>
                <w:szCs w:val="24"/>
                <w:highlight w:val="none"/>
              </w:rPr>
              <w:t>数量</w:t>
            </w: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spacing w:before="53"/>
              <w:ind w:right="13"/>
              <w:jc w:val="center"/>
              <w:rPr>
                <w:rFonts w:ascii="宋体" w:hAnsi="宋体" w:cs="宋体"/>
                <w:color w:val="auto"/>
                <w:sz w:val="24"/>
                <w:szCs w:val="24"/>
                <w:highlight w:val="none"/>
              </w:rPr>
            </w:pPr>
            <w:r>
              <w:rPr>
                <w:rFonts w:hint="eastAsia" w:ascii="宋体" w:hAnsi="宋体" w:cs="宋体"/>
                <w:b/>
                <w:bCs/>
                <w:color w:val="auto"/>
                <w:spacing w:val="15"/>
                <w:sz w:val="24"/>
                <w:szCs w:val="24"/>
                <w:highlight w:val="none"/>
              </w:rPr>
              <w:t>技术参数要求</w:t>
            </w:r>
          </w:p>
        </w:tc>
      </w:tr>
      <w:tr>
        <w:tblPrEx>
          <w:tblCellMar>
            <w:top w:w="0" w:type="dxa"/>
            <w:left w:w="0" w:type="dxa"/>
            <w:bottom w:w="0" w:type="dxa"/>
            <w:right w:w="0" w:type="dxa"/>
          </w:tblCellMar>
        </w:tblPrEx>
        <w:trPr>
          <w:trHeight w:val="496" w:hRule="exact"/>
        </w:trPr>
        <w:tc>
          <w:tcPr>
            <w:tcW w:w="1382" w:type="dxa"/>
            <w:vMerge w:val="restart"/>
            <w:tcBorders>
              <w:top w:val="single" w:color="000000" w:sz="6" w:space="0"/>
              <w:left w:val="single" w:color="000000" w:sz="6" w:space="0"/>
              <w:right w:val="single" w:color="000000" w:sz="6" w:space="0"/>
            </w:tcBorders>
            <w:vAlign w:val="center"/>
          </w:tcPr>
          <w:p>
            <w:pPr>
              <w:pStyle w:val="9"/>
              <w:jc w:val="center"/>
              <w:rPr>
                <w:color w:val="auto"/>
                <w:sz w:val="24"/>
                <w:szCs w:val="24"/>
                <w:highlight w:val="none"/>
              </w:rPr>
            </w:pPr>
            <w:r>
              <w:rPr>
                <w:rFonts w:hint="eastAsia"/>
                <w:color w:val="auto"/>
                <w:sz w:val="24"/>
                <w:szCs w:val="24"/>
                <w:highlight w:val="none"/>
              </w:rPr>
              <w:t>一体式三格化粪池</w:t>
            </w:r>
          </w:p>
          <w:p>
            <w:pPr>
              <w:pStyle w:val="9"/>
              <w:jc w:val="center"/>
              <w:rPr>
                <w:color w:val="auto"/>
                <w:sz w:val="24"/>
                <w:szCs w:val="24"/>
                <w:highlight w:val="none"/>
              </w:rPr>
            </w:pPr>
          </w:p>
        </w:tc>
        <w:tc>
          <w:tcPr>
            <w:tcW w:w="841" w:type="dxa"/>
            <w:vMerge w:val="restart"/>
            <w:tcBorders>
              <w:top w:val="single" w:color="000000" w:sz="6" w:space="0"/>
              <w:left w:val="single" w:color="000000" w:sz="6" w:space="0"/>
              <w:right w:val="single" w:color="000000" w:sz="6" w:space="0"/>
            </w:tcBorders>
            <w:vAlign w:val="center"/>
          </w:tcPr>
          <w:p>
            <w:pPr>
              <w:pStyle w:val="9"/>
              <w:jc w:val="center"/>
              <w:rPr>
                <w:color w:val="auto"/>
                <w:sz w:val="24"/>
                <w:szCs w:val="24"/>
                <w:highlight w:val="none"/>
              </w:rPr>
            </w:pPr>
            <w:r>
              <w:rPr>
                <w:rFonts w:hint="eastAsia"/>
                <w:color w:val="auto"/>
                <w:sz w:val="24"/>
                <w:szCs w:val="24"/>
                <w:highlight w:val="none"/>
              </w:rPr>
              <w:t>套</w:t>
            </w: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rPr>
            </w:pPr>
            <w:r>
              <w:rPr>
                <w:rFonts w:hint="eastAsia"/>
                <w:color w:val="auto"/>
                <w:sz w:val="24"/>
                <w:szCs w:val="24"/>
                <w:highlight w:val="none"/>
              </w:rPr>
              <w:t>★材料：聚乙烯或聚丙烯，注塑成型</w:t>
            </w:r>
          </w:p>
        </w:tc>
      </w:tr>
      <w:tr>
        <w:tblPrEx>
          <w:tblCellMar>
            <w:top w:w="0" w:type="dxa"/>
            <w:left w:w="0" w:type="dxa"/>
            <w:bottom w:w="0" w:type="dxa"/>
            <w:right w:w="0" w:type="dxa"/>
          </w:tblCellMar>
        </w:tblPrEx>
        <w:trPr>
          <w:trHeight w:val="496" w:hRule="exact"/>
        </w:trPr>
        <w:tc>
          <w:tcPr>
            <w:tcW w:w="1382"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841"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rPr>
            </w:pPr>
            <w:r>
              <w:rPr>
                <w:rFonts w:hint="eastAsia"/>
                <w:color w:val="auto"/>
                <w:sz w:val="24"/>
                <w:szCs w:val="24"/>
                <w:highlight w:val="none"/>
              </w:rPr>
              <w:t>★有效容积：≥1.5m³</w:t>
            </w:r>
          </w:p>
        </w:tc>
      </w:tr>
      <w:tr>
        <w:tblPrEx>
          <w:tblCellMar>
            <w:top w:w="0" w:type="dxa"/>
            <w:left w:w="0" w:type="dxa"/>
            <w:bottom w:w="0" w:type="dxa"/>
            <w:right w:w="0" w:type="dxa"/>
          </w:tblCellMar>
        </w:tblPrEx>
        <w:trPr>
          <w:trHeight w:val="496" w:hRule="exact"/>
        </w:trPr>
        <w:tc>
          <w:tcPr>
            <w:tcW w:w="1382"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841"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rPr>
            </w:pPr>
            <w:r>
              <w:rPr>
                <w:rFonts w:hint="eastAsia"/>
                <w:color w:val="auto"/>
                <w:sz w:val="24"/>
                <w:szCs w:val="24"/>
                <w:highlight w:val="none"/>
              </w:rPr>
              <w:t>★三腔室比：2:1:3</w:t>
            </w:r>
          </w:p>
        </w:tc>
      </w:tr>
      <w:tr>
        <w:tblPrEx>
          <w:tblCellMar>
            <w:top w:w="0" w:type="dxa"/>
            <w:left w:w="0" w:type="dxa"/>
            <w:bottom w:w="0" w:type="dxa"/>
            <w:right w:w="0" w:type="dxa"/>
          </w:tblCellMar>
        </w:tblPrEx>
        <w:trPr>
          <w:trHeight w:val="496" w:hRule="exact"/>
        </w:trPr>
        <w:tc>
          <w:tcPr>
            <w:tcW w:w="1382"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841"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rPr>
            </w:pPr>
            <w:r>
              <w:rPr>
                <w:rFonts w:hint="eastAsia"/>
                <w:color w:val="auto"/>
                <w:sz w:val="24"/>
                <w:szCs w:val="24"/>
                <w:highlight w:val="none"/>
              </w:rPr>
              <w:t>★壁厚：≥4mm</w:t>
            </w:r>
          </w:p>
        </w:tc>
      </w:tr>
      <w:tr>
        <w:tblPrEx>
          <w:tblCellMar>
            <w:top w:w="0" w:type="dxa"/>
            <w:left w:w="0" w:type="dxa"/>
            <w:bottom w:w="0" w:type="dxa"/>
            <w:right w:w="0" w:type="dxa"/>
          </w:tblCellMar>
        </w:tblPrEx>
        <w:trPr>
          <w:trHeight w:val="421" w:hRule="exact"/>
        </w:trPr>
        <w:tc>
          <w:tcPr>
            <w:tcW w:w="1382"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841"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rPr>
            </w:pPr>
            <w:r>
              <w:rPr>
                <w:rFonts w:hint="eastAsia"/>
                <w:color w:val="auto"/>
                <w:sz w:val="24"/>
                <w:szCs w:val="24"/>
                <w:highlight w:val="none"/>
              </w:rPr>
              <w:t>清掏口φ≥315mm，检查口φ≥200mm</w:t>
            </w:r>
          </w:p>
        </w:tc>
      </w:tr>
      <w:tr>
        <w:tblPrEx>
          <w:tblCellMar>
            <w:top w:w="0" w:type="dxa"/>
            <w:left w:w="0" w:type="dxa"/>
            <w:bottom w:w="0" w:type="dxa"/>
            <w:right w:w="0" w:type="dxa"/>
          </w:tblCellMar>
        </w:tblPrEx>
        <w:trPr>
          <w:trHeight w:val="402" w:hRule="exact"/>
        </w:trPr>
        <w:tc>
          <w:tcPr>
            <w:tcW w:w="1382"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841"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rPr>
            </w:pPr>
            <w:r>
              <w:rPr>
                <w:rFonts w:hint="eastAsia"/>
                <w:color w:val="auto"/>
                <w:sz w:val="24"/>
                <w:szCs w:val="24"/>
                <w:highlight w:val="none"/>
              </w:rPr>
              <w:t>加装密封材料结构胶和双面胶，防止变形和渗漏</w:t>
            </w:r>
          </w:p>
        </w:tc>
      </w:tr>
      <w:tr>
        <w:tblPrEx>
          <w:tblCellMar>
            <w:top w:w="0" w:type="dxa"/>
            <w:left w:w="0" w:type="dxa"/>
            <w:bottom w:w="0" w:type="dxa"/>
            <w:right w:w="0" w:type="dxa"/>
          </w:tblCellMar>
        </w:tblPrEx>
        <w:trPr>
          <w:trHeight w:val="458" w:hRule="exact"/>
        </w:trPr>
        <w:tc>
          <w:tcPr>
            <w:tcW w:w="1382"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841" w:type="dxa"/>
            <w:vMerge w:val="continue"/>
            <w:tcBorders>
              <w:left w:val="single" w:color="000000" w:sz="6" w:space="0"/>
              <w:right w:val="single" w:color="000000" w:sz="6" w:space="0"/>
            </w:tcBorders>
            <w:vAlign w:val="center"/>
          </w:tcPr>
          <w:p>
            <w:pPr>
              <w:pStyle w:val="9"/>
              <w:jc w:val="center"/>
              <w:rPr>
                <w:color w:val="auto"/>
                <w:sz w:val="24"/>
                <w:szCs w:val="24"/>
                <w:highlight w:val="none"/>
              </w:rPr>
            </w:pP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rPr>
            </w:pPr>
            <w:r>
              <w:rPr>
                <w:rFonts w:hint="eastAsia"/>
                <w:color w:val="auto"/>
                <w:sz w:val="24"/>
                <w:szCs w:val="24"/>
                <w:highlight w:val="none"/>
              </w:rPr>
              <w:t>加强挡板的牢固性，防止脱落和变形</w:t>
            </w:r>
          </w:p>
        </w:tc>
      </w:tr>
      <w:tr>
        <w:tblPrEx>
          <w:tblCellMar>
            <w:top w:w="0" w:type="dxa"/>
            <w:left w:w="0" w:type="dxa"/>
            <w:bottom w:w="0" w:type="dxa"/>
            <w:right w:w="0" w:type="dxa"/>
          </w:tblCellMar>
        </w:tblPrEx>
        <w:trPr>
          <w:trHeight w:val="2374" w:hRule="exact"/>
        </w:trPr>
        <w:tc>
          <w:tcPr>
            <w:tcW w:w="1382" w:type="dxa"/>
            <w:tcBorders>
              <w:top w:val="single" w:color="000000" w:sz="6" w:space="0"/>
              <w:left w:val="single" w:color="000000" w:sz="6" w:space="0"/>
              <w:bottom w:val="single" w:color="000000" w:sz="6" w:space="0"/>
              <w:right w:val="single" w:color="000000" w:sz="6" w:space="0"/>
            </w:tcBorders>
            <w:vAlign w:val="center"/>
          </w:tcPr>
          <w:p>
            <w:pPr>
              <w:pStyle w:val="9"/>
              <w:jc w:val="center"/>
              <w:rPr>
                <w:color w:val="auto"/>
                <w:sz w:val="24"/>
                <w:szCs w:val="24"/>
                <w:highlight w:val="none"/>
              </w:rPr>
            </w:pPr>
            <w:r>
              <w:rPr>
                <w:rFonts w:hint="eastAsia"/>
                <w:color w:val="auto"/>
                <w:sz w:val="24"/>
                <w:szCs w:val="24"/>
                <w:highlight w:val="none"/>
              </w:rPr>
              <w:t>进粪管、过粪管、弯头排气管、检查口、密封性</w:t>
            </w:r>
          </w:p>
        </w:tc>
        <w:tc>
          <w:tcPr>
            <w:tcW w:w="841" w:type="dxa"/>
            <w:vMerge w:val="restart"/>
            <w:tcBorders>
              <w:top w:val="single" w:color="000000" w:sz="6" w:space="0"/>
              <w:left w:val="single" w:color="000000" w:sz="6" w:space="0"/>
              <w:right w:val="single" w:color="000000" w:sz="6" w:space="0"/>
            </w:tcBorders>
            <w:vAlign w:val="center"/>
          </w:tcPr>
          <w:p>
            <w:pPr>
              <w:pStyle w:val="9"/>
              <w:jc w:val="center"/>
              <w:rPr>
                <w:color w:val="auto"/>
                <w:sz w:val="24"/>
                <w:szCs w:val="24"/>
                <w:highlight w:val="none"/>
              </w:rPr>
            </w:pPr>
            <w:r>
              <w:rPr>
                <w:rFonts w:hint="eastAsia"/>
                <w:color w:val="auto"/>
                <w:sz w:val="24"/>
                <w:szCs w:val="24"/>
                <w:highlight w:val="none"/>
              </w:rPr>
              <w:t>满足化粪池安装配套</w:t>
            </w: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rPr>
            </w:pPr>
            <w:r>
              <w:rPr>
                <w:rFonts w:hint="eastAsia"/>
                <w:color w:val="auto"/>
                <w:sz w:val="24"/>
                <w:szCs w:val="24"/>
                <w:highlight w:val="none"/>
              </w:rPr>
              <w:t>材料：PVC 管材、管件进粪管直径 110mm*2.3mm，长度大于等于 2.5m，进粪管与蹲便器紧密连接。</w:t>
            </w:r>
          </w:p>
          <w:p>
            <w:pPr>
              <w:pStyle w:val="9"/>
              <w:rPr>
                <w:color w:val="auto"/>
                <w:sz w:val="24"/>
                <w:szCs w:val="24"/>
                <w:highlight w:val="none"/>
              </w:rPr>
            </w:pPr>
            <w:r>
              <w:rPr>
                <w:rFonts w:hint="eastAsia"/>
                <w:color w:val="auto"/>
                <w:sz w:val="24"/>
                <w:szCs w:val="24"/>
                <w:highlight w:val="none"/>
              </w:rPr>
              <w:t>过粪管直径110mm弯头：90度φ75mm</w:t>
            </w:r>
            <w:r>
              <w:rPr>
                <w:rFonts w:hint="eastAsia"/>
                <w:color w:val="auto"/>
                <w:sz w:val="24"/>
                <w:szCs w:val="24"/>
                <w:highlight w:val="none"/>
                <w:lang w:eastAsia="zh-CN"/>
              </w:rPr>
              <w:t>、</w:t>
            </w:r>
            <w:r>
              <w:rPr>
                <w:rFonts w:hint="eastAsia"/>
                <w:color w:val="auto"/>
                <w:sz w:val="24"/>
                <w:szCs w:val="24"/>
                <w:highlight w:val="none"/>
              </w:rPr>
              <w:t>2个排气管直75mm*1.8mm，高度大于等于2.5m，带透气帽弯头：密封：密封性良好，防止渗漏，阻止臭气扩散池体连接处有密封材料（结构胶和双面胶密封），组装后充分密封无渗漏。</w:t>
            </w:r>
          </w:p>
          <w:p>
            <w:pPr>
              <w:pStyle w:val="9"/>
              <w:rPr>
                <w:color w:val="auto"/>
                <w:sz w:val="24"/>
                <w:szCs w:val="24"/>
                <w:highlight w:val="none"/>
                <w:lang w:eastAsia="zh-CN"/>
              </w:rPr>
            </w:pPr>
            <w:r>
              <w:rPr>
                <w:rFonts w:hint="eastAsia"/>
                <w:color w:val="auto"/>
                <w:sz w:val="24"/>
                <w:szCs w:val="24"/>
                <w:highlight w:val="none"/>
              </w:rPr>
              <w:t>隔板要求整块式并带有卡扣，防止变形和渗漏，并有支撑功能</w:t>
            </w:r>
            <w:r>
              <w:rPr>
                <w:rFonts w:hint="eastAsia"/>
                <w:color w:val="auto"/>
                <w:sz w:val="24"/>
                <w:szCs w:val="24"/>
                <w:highlight w:val="none"/>
                <w:lang w:eastAsia="zh-CN"/>
              </w:rPr>
              <w:t>。</w:t>
            </w:r>
          </w:p>
        </w:tc>
      </w:tr>
      <w:tr>
        <w:tblPrEx>
          <w:tblCellMar>
            <w:top w:w="0" w:type="dxa"/>
            <w:left w:w="0" w:type="dxa"/>
            <w:bottom w:w="0" w:type="dxa"/>
            <w:right w:w="0" w:type="dxa"/>
          </w:tblCellMar>
        </w:tblPrEx>
        <w:trPr>
          <w:trHeight w:val="759" w:hRule="exact"/>
        </w:trPr>
        <w:tc>
          <w:tcPr>
            <w:tcW w:w="1382" w:type="dxa"/>
            <w:tcBorders>
              <w:top w:val="single" w:color="000000" w:sz="6" w:space="0"/>
              <w:left w:val="single" w:color="000000" w:sz="6" w:space="0"/>
              <w:bottom w:val="single" w:color="000000" w:sz="6" w:space="0"/>
              <w:right w:val="single" w:color="000000" w:sz="6" w:space="0"/>
            </w:tcBorders>
            <w:vAlign w:val="center"/>
          </w:tcPr>
          <w:p>
            <w:pPr>
              <w:pStyle w:val="9"/>
              <w:jc w:val="center"/>
              <w:rPr>
                <w:color w:val="auto"/>
                <w:sz w:val="24"/>
                <w:szCs w:val="24"/>
                <w:highlight w:val="none"/>
              </w:rPr>
            </w:pPr>
            <w:r>
              <w:rPr>
                <w:rFonts w:hint="eastAsia"/>
                <w:color w:val="auto"/>
                <w:sz w:val="24"/>
                <w:szCs w:val="24"/>
                <w:highlight w:val="none"/>
              </w:rPr>
              <w:t>三格化粪池罐盖</w:t>
            </w:r>
          </w:p>
        </w:tc>
        <w:tc>
          <w:tcPr>
            <w:tcW w:w="841" w:type="dxa"/>
            <w:vMerge w:val="continue"/>
            <w:tcBorders>
              <w:left w:val="single" w:color="000000" w:sz="6" w:space="0"/>
              <w:right w:val="single" w:color="000000" w:sz="6" w:space="0"/>
            </w:tcBorders>
            <w:vAlign w:val="center"/>
          </w:tcPr>
          <w:p>
            <w:pPr>
              <w:pStyle w:val="9"/>
              <w:rPr>
                <w:color w:val="auto"/>
                <w:sz w:val="24"/>
                <w:szCs w:val="24"/>
                <w:highlight w:val="none"/>
              </w:rPr>
            </w:pP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rPr>
            </w:pPr>
            <w:r>
              <w:rPr>
                <w:rFonts w:hint="eastAsia"/>
                <w:color w:val="auto"/>
                <w:sz w:val="24"/>
                <w:szCs w:val="24"/>
                <w:highlight w:val="none"/>
              </w:rPr>
              <w:t>材料：聚乙烯或聚丙烯位于三个腔室顶部，开关方便，便于清理 废渣、废液。</w:t>
            </w:r>
          </w:p>
        </w:tc>
      </w:tr>
      <w:tr>
        <w:tblPrEx>
          <w:tblCellMar>
            <w:top w:w="0" w:type="dxa"/>
            <w:left w:w="0" w:type="dxa"/>
            <w:bottom w:w="0" w:type="dxa"/>
            <w:right w:w="0" w:type="dxa"/>
          </w:tblCellMar>
        </w:tblPrEx>
        <w:trPr>
          <w:trHeight w:val="702" w:hRule="exact"/>
        </w:trPr>
        <w:tc>
          <w:tcPr>
            <w:tcW w:w="1382" w:type="dxa"/>
            <w:tcBorders>
              <w:top w:val="single" w:color="000000" w:sz="6" w:space="0"/>
              <w:left w:val="single" w:color="000000" w:sz="6" w:space="0"/>
              <w:bottom w:val="single" w:color="000000" w:sz="6" w:space="0"/>
              <w:right w:val="single" w:color="000000" w:sz="6" w:space="0"/>
            </w:tcBorders>
            <w:vAlign w:val="center"/>
          </w:tcPr>
          <w:p>
            <w:pPr>
              <w:pStyle w:val="9"/>
              <w:jc w:val="center"/>
              <w:rPr>
                <w:color w:val="auto"/>
                <w:sz w:val="24"/>
                <w:szCs w:val="24"/>
                <w:highlight w:val="none"/>
              </w:rPr>
            </w:pPr>
            <w:r>
              <w:rPr>
                <w:rFonts w:hint="eastAsia"/>
                <w:color w:val="auto"/>
                <w:sz w:val="24"/>
                <w:szCs w:val="24"/>
                <w:highlight w:val="none"/>
              </w:rPr>
              <w:t>高压冲水系统</w:t>
            </w:r>
          </w:p>
        </w:tc>
        <w:tc>
          <w:tcPr>
            <w:tcW w:w="841" w:type="dxa"/>
            <w:vMerge w:val="continue"/>
            <w:tcBorders>
              <w:left w:val="single" w:color="000000" w:sz="6" w:space="0"/>
              <w:right w:val="single" w:color="000000" w:sz="6" w:space="0"/>
            </w:tcBorders>
            <w:vAlign w:val="center"/>
          </w:tcPr>
          <w:p>
            <w:pPr>
              <w:pStyle w:val="9"/>
              <w:rPr>
                <w:color w:val="auto"/>
                <w:sz w:val="24"/>
                <w:szCs w:val="24"/>
                <w:highlight w:val="none"/>
              </w:rPr>
            </w:pP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rPr>
            </w:pPr>
            <w:r>
              <w:rPr>
                <w:rFonts w:hint="eastAsia"/>
                <w:color w:val="auto"/>
                <w:sz w:val="24"/>
                <w:szCs w:val="24"/>
                <w:highlight w:val="none"/>
              </w:rPr>
              <w:t>高压冲水桶主要原材料为 PE/PP/PVC材质，总容积应不小于35L，出水量每次0.3L～0.4L。</w:t>
            </w:r>
          </w:p>
        </w:tc>
      </w:tr>
      <w:tr>
        <w:tblPrEx>
          <w:tblCellMar>
            <w:top w:w="0" w:type="dxa"/>
            <w:left w:w="0" w:type="dxa"/>
            <w:bottom w:w="0" w:type="dxa"/>
            <w:right w:w="0" w:type="dxa"/>
          </w:tblCellMar>
        </w:tblPrEx>
        <w:trPr>
          <w:trHeight w:val="763" w:hRule="exact"/>
        </w:trPr>
        <w:tc>
          <w:tcPr>
            <w:tcW w:w="1382" w:type="dxa"/>
            <w:tcBorders>
              <w:top w:val="single" w:color="000000" w:sz="6" w:space="0"/>
              <w:left w:val="single" w:color="000000" w:sz="6" w:space="0"/>
              <w:bottom w:val="single" w:color="000000" w:sz="6" w:space="0"/>
              <w:right w:val="single" w:color="000000" w:sz="6" w:space="0"/>
            </w:tcBorders>
            <w:vAlign w:val="center"/>
          </w:tcPr>
          <w:p>
            <w:pPr>
              <w:pStyle w:val="9"/>
              <w:jc w:val="center"/>
              <w:rPr>
                <w:color w:val="auto"/>
                <w:sz w:val="24"/>
                <w:szCs w:val="24"/>
                <w:highlight w:val="none"/>
              </w:rPr>
            </w:pPr>
            <w:r>
              <w:rPr>
                <w:rFonts w:hint="eastAsia"/>
                <w:color w:val="auto"/>
                <w:sz w:val="24"/>
                <w:szCs w:val="24"/>
                <w:highlight w:val="none"/>
              </w:rPr>
              <w:t>ABS 塑料蹲便器</w:t>
            </w:r>
          </w:p>
        </w:tc>
        <w:tc>
          <w:tcPr>
            <w:tcW w:w="841" w:type="dxa"/>
            <w:vMerge w:val="continue"/>
            <w:tcBorders>
              <w:left w:val="single" w:color="000000" w:sz="6" w:space="0"/>
              <w:bottom w:val="single" w:color="000000" w:sz="6" w:space="0"/>
              <w:right w:val="single" w:color="000000" w:sz="6" w:space="0"/>
            </w:tcBorders>
            <w:vAlign w:val="center"/>
          </w:tcPr>
          <w:p>
            <w:pPr>
              <w:pStyle w:val="9"/>
              <w:rPr>
                <w:color w:val="auto"/>
                <w:sz w:val="24"/>
                <w:szCs w:val="24"/>
                <w:highlight w:val="none"/>
              </w:rPr>
            </w:pPr>
          </w:p>
        </w:tc>
        <w:tc>
          <w:tcPr>
            <w:tcW w:w="6636" w:type="dxa"/>
            <w:tcBorders>
              <w:top w:val="single" w:color="000000" w:sz="6" w:space="0"/>
              <w:left w:val="single" w:color="000000" w:sz="6" w:space="0"/>
              <w:bottom w:val="single" w:color="000000" w:sz="6" w:space="0"/>
              <w:right w:val="single" w:color="000000" w:sz="6" w:space="0"/>
            </w:tcBorders>
            <w:vAlign w:val="center"/>
          </w:tcPr>
          <w:p>
            <w:pPr>
              <w:pStyle w:val="9"/>
              <w:rPr>
                <w:color w:val="auto"/>
                <w:sz w:val="24"/>
                <w:szCs w:val="24"/>
                <w:highlight w:val="none"/>
                <w:lang w:eastAsia="zh-CN"/>
              </w:rPr>
            </w:pPr>
            <w:r>
              <w:rPr>
                <w:rFonts w:hint="eastAsia"/>
                <w:color w:val="auto"/>
                <w:sz w:val="24"/>
                <w:szCs w:val="24"/>
                <w:highlight w:val="none"/>
              </w:rPr>
              <w:t>ABS塑料≥550mm×430mm×155mm(高）表面平滑光洁，色泽均匀</w:t>
            </w:r>
            <w:r>
              <w:rPr>
                <w:rFonts w:hint="eastAsia"/>
                <w:color w:val="auto"/>
                <w:sz w:val="24"/>
                <w:szCs w:val="24"/>
                <w:highlight w:val="none"/>
                <w:lang w:eastAsia="zh-CN"/>
              </w:rPr>
              <w:t>。</w:t>
            </w:r>
          </w:p>
        </w:tc>
      </w:tr>
      <w:tr>
        <w:tblPrEx>
          <w:tblCellMar>
            <w:top w:w="0" w:type="dxa"/>
            <w:left w:w="0" w:type="dxa"/>
            <w:bottom w:w="0" w:type="dxa"/>
            <w:right w:w="0" w:type="dxa"/>
          </w:tblCellMar>
        </w:tblPrEx>
        <w:trPr>
          <w:trHeight w:val="1071" w:hRule="exact"/>
        </w:trPr>
        <w:tc>
          <w:tcPr>
            <w:tcW w:w="8859" w:type="dxa"/>
            <w:gridSpan w:val="3"/>
            <w:tcBorders>
              <w:top w:val="single" w:color="auto" w:sz="4" w:space="0"/>
              <w:left w:val="single" w:color="000000" w:sz="6" w:space="0"/>
              <w:bottom w:val="single" w:color="000000" w:sz="6" w:space="0"/>
              <w:right w:val="single" w:color="000000" w:sz="6" w:space="0"/>
            </w:tcBorders>
            <w:vAlign w:val="center"/>
          </w:tcPr>
          <w:p>
            <w:pPr>
              <w:pStyle w:val="9"/>
              <w:rPr>
                <w:color w:val="auto"/>
                <w:sz w:val="24"/>
                <w:szCs w:val="24"/>
                <w:highlight w:val="none"/>
                <w:lang w:eastAsia="zh-CN"/>
              </w:rPr>
            </w:pPr>
            <w:r>
              <w:rPr>
                <w:rFonts w:hint="eastAsia"/>
                <w:color w:val="auto"/>
                <w:sz w:val="24"/>
                <w:szCs w:val="24"/>
                <w:highlight w:val="none"/>
              </w:rPr>
              <w:t>★供应商提供一体式三格式化粪池必须达到河南省一体式化粪池地方标准（DB41/T1605-2018）；需提供由省级及以上质量检测机构出具的一体式三格式化粪池设备合格检验报告</w:t>
            </w:r>
            <w:r>
              <w:rPr>
                <w:rFonts w:hint="eastAsia"/>
                <w:color w:val="auto"/>
                <w:sz w:val="24"/>
                <w:szCs w:val="24"/>
                <w:highlight w:val="none"/>
                <w:lang w:eastAsia="zh-CN"/>
              </w:rPr>
              <w:t>。如不提供此报告的视为无效投标。</w:t>
            </w:r>
          </w:p>
        </w:tc>
      </w:tr>
    </w:tbl>
    <w:p>
      <w:pPr>
        <w:spacing w:line="360" w:lineRule="auto"/>
        <w:rPr>
          <w:b/>
          <w:bCs/>
          <w:color w:val="auto"/>
          <w:sz w:val="28"/>
          <w:szCs w:val="36"/>
          <w:highlight w:val="none"/>
        </w:rPr>
      </w:pPr>
      <w:r>
        <w:rPr>
          <w:b/>
          <w:bCs/>
          <w:color w:val="auto"/>
          <w:sz w:val="28"/>
          <w:szCs w:val="36"/>
          <w:highlight w:val="none"/>
        </w:rPr>
        <w:t>四、商务要求：</w:t>
      </w:r>
    </w:p>
    <w:tbl>
      <w:tblPr>
        <w:tblStyle w:val="7"/>
        <w:tblW w:w="8868" w:type="dxa"/>
        <w:tblInd w:w="122" w:type="dxa"/>
        <w:tblLayout w:type="fixed"/>
        <w:tblCellMar>
          <w:top w:w="0" w:type="dxa"/>
          <w:left w:w="0" w:type="dxa"/>
          <w:bottom w:w="0" w:type="dxa"/>
          <w:right w:w="0" w:type="dxa"/>
        </w:tblCellMar>
      </w:tblPr>
      <w:tblGrid>
        <w:gridCol w:w="2381"/>
        <w:gridCol w:w="6487"/>
      </w:tblGrid>
      <w:tr>
        <w:tblPrEx>
          <w:tblCellMar>
            <w:top w:w="0" w:type="dxa"/>
            <w:left w:w="0" w:type="dxa"/>
            <w:bottom w:w="0" w:type="dxa"/>
            <w:right w:w="0" w:type="dxa"/>
          </w:tblCellMar>
        </w:tblPrEx>
        <w:trPr>
          <w:trHeight w:val="482" w:hRule="exact"/>
        </w:trPr>
        <w:tc>
          <w:tcPr>
            <w:tcW w:w="2381" w:type="dxa"/>
            <w:tcBorders>
              <w:top w:val="single" w:color="000000" w:sz="6" w:space="0"/>
              <w:left w:val="single" w:color="000000" w:sz="6" w:space="0"/>
              <w:bottom w:val="single" w:color="000000" w:sz="6" w:space="0"/>
              <w:right w:val="single" w:color="000000" w:sz="6" w:space="0"/>
            </w:tcBorders>
          </w:tcPr>
          <w:p>
            <w:pPr>
              <w:pStyle w:val="9"/>
              <w:spacing w:before="37"/>
              <w:ind w:left="104"/>
              <w:jc w:val="center"/>
              <w:rPr>
                <w:rFonts w:ascii="宋体" w:hAnsi="宋体" w:cs="宋体"/>
                <w:color w:val="auto"/>
                <w:sz w:val="24"/>
                <w:szCs w:val="24"/>
                <w:highlight w:val="none"/>
              </w:rPr>
            </w:pPr>
            <w:r>
              <w:rPr>
                <w:rFonts w:ascii="宋体" w:hAnsi="宋体" w:cs="宋体"/>
                <w:color w:val="auto"/>
                <w:sz w:val="24"/>
                <w:szCs w:val="24"/>
                <w:highlight w:val="none"/>
              </w:rPr>
              <w:t>质保期</w:t>
            </w:r>
          </w:p>
        </w:tc>
        <w:tc>
          <w:tcPr>
            <w:tcW w:w="6487" w:type="dxa"/>
            <w:tcBorders>
              <w:top w:val="single" w:color="000000" w:sz="6" w:space="0"/>
              <w:left w:val="single" w:color="000000" w:sz="6" w:space="0"/>
              <w:bottom w:val="single" w:color="000000" w:sz="6" w:space="0"/>
              <w:right w:val="single" w:color="000000" w:sz="6" w:space="0"/>
            </w:tcBorders>
          </w:tcPr>
          <w:p>
            <w:pPr>
              <w:pStyle w:val="9"/>
              <w:spacing w:before="37"/>
              <w:ind w:left="118"/>
              <w:rPr>
                <w:rFonts w:ascii="宋体" w:hAnsi="宋体" w:cs="宋体"/>
                <w:color w:val="auto"/>
                <w:sz w:val="24"/>
                <w:szCs w:val="24"/>
                <w:highlight w:val="none"/>
              </w:rPr>
            </w:pPr>
            <w:r>
              <w:rPr>
                <w:rFonts w:hint="eastAsia" w:ascii="宋体" w:hAnsi="宋体" w:cs="宋体"/>
                <w:color w:val="auto"/>
                <w:sz w:val="24"/>
                <w:szCs w:val="24"/>
                <w:highlight w:val="none"/>
                <w:lang w:eastAsia="zh-CN"/>
              </w:rPr>
              <w:t>二</w:t>
            </w:r>
            <w:r>
              <w:rPr>
                <w:rFonts w:ascii="宋体" w:hAnsi="宋体" w:cs="宋体"/>
                <w:color w:val="auto"/>
                <w:sz w:val="24"/>
                <w:szCs w:val="24"/>
                <w:highlight w:val="none"/>
              </w:rPr>
              <w:t>年</w:t>
            </w:r>
          </w:p>
        </w:tc>
      </w:tr>
      <w:tr>
        <w:tblPrEx>
          <w:tblCellMar>
            <w:top w:w="0" w:type="dxa"/>
            <w:left w:w="0" w:type="dxa"/>
            <w:bottom w:w="0" w:type="dxa"/>
            <w:right w:w="0" w:type="dxa"/>
          </w:tblCellMar>
        </w:tblPrEx>
        <w:trPr>
          <w:trHeight w:val="694" w:hRule="exact"/>
        </w:trPr>
        <w:tc>
          <w:tcPr>
            <w:tcW w:w="2381" w:type="dxa"/>
            <w:tcBorders>
              <w:top w:val="single" w:color="000000" w:sz="6" w:space="0"/>
              <w:left w:val="single" w:color="000000" w:sz="6" w:space="0"/>
              <w:bottom w:val="single" w:color="000000" w:sz="6" w:space="0"/>
              <w:right w:val="single" w:color="000000" w:sz="6" w:space="0"/>
            </w:tcBorders>
            <w:vAlign w:val="center"/>
          </w:tcPr>
          <w:p>
            <w:pPr>
              <w:pStyle w:val="9"/>
              <w:ind w:left="104"/>
              <w:jc w:val="center"/>
              <w:rPr>
                <w:rFonts w:ascii="宋体" w:hAnsi="宋体" w:cs="宋体"/>
                <w:color w:val="auto"/>
                <w:sz w:val="24"/>
                <w:szCs w:val="24"/>
                <w:highlight w:val="none"/>
              </w:rPr>
            </w:pPr>
            <w:r>
              <w:rPr>
                <w:rFonts w:ascii="宋体" w:hAnsi="宋体" w:cs="宋体"/>
                <w:color w:val="auto"/>
                <w:sz w:val="24"/>
                <w:szCs w:val="24"/>
                <w:highlight w:val="none"/>
              </w:rPr>
              <w:t>交货时间及地点</w:t>
            </w:r>
          </w:p>
        </w:tc>
        <w:tc>
          <w:tcPr>
            <w:tcW w:w="6487" w:type="dxa"/>
            <w:tcBorders>
              <w:top w:val="single" w:color="000000" w:sz="6" w:space="0"/>
              <w:left w:val="single" w:color="000000" w:sz="6" w:space="0"/>
              <w:bottom w:val="single" w:color="000000" w:sz="6" w:space="0"/>
              <w:right w:val="single" w:color="000000" w:sz="6" w:space="0"/>
            </w:tcBorders>
          </w:tcPr>
          <w:p>
            <w:pPr>
              <w:pStyle w:val="9"/>
              <w:spacing w:before="20"/>
              <w:ind w:left="119"/>
              <w:rPr>
                <w:rFonts w:ascii="宋体" w:hAnsi="宋体" w:cs="宋体"/>
                <w:color w:val="auto"/>
                <w:spacing w:val="-1"/>
                <w:sz w:val="24"/>
                <w:szCs w:val="24"/>
                <w:highlight w:val="none"/>
              </w:rPr>
            </w:pPr>
            <w:r>
              <w:rPr>
                <w:rFonts w:ascii="宋体" w:hAnsi="宋体" w:cs="宋体"/>
                <w:color w:val="auto"/>
                <w:sz w:val="24"/>
                <w:szCs w:val="24"/>
                <w:highlight w:val="none"/>
              </w:rPr>
              <w:t>交货时间：自签订合同之日起</w:t>
            </w:r>
            <w:r>
              <w:rPr>
                <w:rFonts w:ascii="宋体" w:hAnsi="宋体" w:cs="宋体"/>
                <w:color w:val="auto"/>
                <w:spacing w:val="1"/>
                <w:sz w:val="24"/>
                <w:szCs w:val="24"/>
                <w:highlight w:val="none"/>
              </w:rPr>
              <w:t xml:space="preserve"> </w:t>
            </w:r>
            <w:r>
              <w:rPr>
                <w:rFonts w:ascii="宋体" w:hAnsi="宋体" w:cs="宋体"/>
                <w:color w:val="auto"/>
                <w:spacing w:val="-1"/>
                <w:sz w:val="24"/>
                <w:szCs w:val="24"/>
                <w:highlight w:val="none"/>
              </w:rPr>
              <w:t>7日内</w:t>
            </w:r>
            <w:r>
              <w:rPr>
                <w:rFonts w:hint="eastAsia" w:ascii="宋体" w:hAnsi="宋体" w:cs="宋体"/>
                <w:color w:val="auto"/>
                <w:spacing w:val="-1"/>
                <w:sz w:val="24"/>
                <w:szCs w:val="24"/>
                <w:highlight w:val="none"/>
                <w:lang w:eastAsia="zh-CN"/>
              </w:rPr>
              <w:t>根据采购人需求</w:t>
            </w:r>
            <w:r>
              <w:rPr>
                <w:rFonts w:ascii="宋体" w:hAnsi="宋体" w:cs="宋体"/>
                <w:color w:val="auto"/>
                <w:spacing w:val="-1"/>
                <w:sz w:val="24"/>
                <w:szCs w:val="24"/>
                <w:highlight w:val="none"/>
              </w:rPr>
              <w:t>开始供货。</w:t>
            </w:r>
          </w:p>
          <w:p>
            <w:pPr>
              <w:pStyle w:val="9"/>
              <w:spacing w:before="20"/>
              <w:ind w:left="119"/>
              <w:rPr>
                <w:rFonts w:ascii="宋体" w:hAnsi="宋体" w:cs="宋体"/>
                <w:color w:val="auto"/>
                <w:sz w:val="24"/>
                <w:szCs w:val="24"/>
                <w:highlight w:val="none"/>
              </w:rPr>
            </w:pPr>
            <w:r>
              <w:rPr>
                <w:rFonts w:ascii="宋体" w:hAnsi="宋体" w:cs="宋体"/>
                <w:color w:val="auto"/>
                <w:sz w:val="24"/>
                <w:szCs w:val="24"/>
                <w:highlight w:val="none"/>
              </w:rPr>
              <w:t>地点：采购人指定地点</w:t>
            </w:r>
          </w:p>
        </w:tc>
      </w:tr>
      <w:tr>
        <w:tblPrEx>
          <w:tblCellMar>
            <w:top w:w="0" w:type="dxa"/>
            <w:left w:w="0" w:type="dxa"/>
            <w:bottom w:w="0" w:type="dxa"/>
            <w:right w:w="0" w:type="dxa"/>
          </w:tblCellMar>
        </w:tblPrEx>
        <w:trPr>
          <w:trHeight w:val="819" w:hRule="exact"/>
        </w:trPr>
        <w:tc>
          <w:tcPr>
            <w:tcW w:w="2381" w:type="dxa"/>
            <w:tcBorders>
              <w:top w:val="single" w:color="000000" w:sz="6" w:space="0"/>
              <w:left w:val="single" w:color="000000" w:sz="6" w:space="0"/>
              <w:bottom w:val="single" w:color="000000" w:sz="6" w:space="0"/>
              <w:right w:val="single" w:color="000000" w:sz="6" w:space="0"/>
            </w:tcBorders>
            <w:vAlign w:val="center"/>
          </w:tcPr>
          <w:p>
            <w:pPr>
              <w:pStyle w:val="9"/>
              <w:spacing w:before="52"/>
              <w:ind w:left="104"/>
              <w:jc w:val="center"/>
              <w:rPr>
                <w:rFonts w:ascii="宋体" w:hAnsi="宋体" w:cs="宋体"/>
                <w:color w:val="auto"/>
                <w:sz w:val="24"/>
                <w:szCs w:val="24"/>
                <w:highlight w:val="none"/>
              </w:rPr>
            </w:pPr>
            <w:r>
              <w:rPr>
                <w:rFonts w:ascii="宋体" w:hAnsi="宋体" w:cs="宋体"/>
                <w:color w:val="auto"/>
                <w:sz w:val="24"/>
                <w:szCs w:val="24"/>
                <w:highlight w:val="none"/>
              </w:rPr>
              <w:t>供货周期</w:t>
            </w:r>
          </w:p>
        </w:tc>
        <w:tc>
          <w:tcPr>
            <w:tcW w:w="6487" w:type="dxa"/>
            <w:tcBorders>
              <w:top w:val="single" w:color="000000" w:sz="6" w:space="0"/>
              <w:left w:val="single" w:color="000000" w:sz="6" w:space="0"/>
              <w:bottom w:val="single" w:color="000000" w:sz="6" w:space="0"/>
              <w:right w:val="single" w:color="000000" w:sz="6" w:space="0"/>
            </w:tcBorders>
            <w:vAlign w:val="center"/>
          </w:tcPr>
          <w:p>
            <w:pPr>
              <w:pStyle w:val="9"/>
              <w:spacing w:before="20"/>
              <w:ind w:left="119"/>
              <w:rPr>
                <w:rFonts w:ascii="宋体" w:hAnsi="宋体" w:cs="宋体"/>
                <w:color w:val="auto"/>
                <w:spacing w:val="-1"/>
                <w:sz w:val="24"/>
                <w:szCs w:val="24"/>
                <w:highlight w:val="none"/>
              </w:rPr>
            </w:pPr>
            <w:r>
              <w:rPr>
                <w:rFonts w:ascii="宋体" w:hAnsi="宋体" w:cs="宋体"/>
                <w:color w:val="auto"/>
                <w:sz w:val="24"/>
                <w:szCs w:val="24"/>
                <w:highlight w:val="none"/>
              </w:rPr>
              <w:t>自签订合同之日起</w:t>
            </w:r>
            <w:r>
              <w:rPr>
                <w:rFonts w:ascii="宋体" w:hAnsi="宋体" w:cs="宋体"/>
                <w:color w:val="auto"/>
                <w:spacing w:val="1"/>
                <w:sz w:val="24"/>
                <w:szCs w:val="24"/>
                <w:highlight w:val="none"/>
              </w:rPr>
              <w:t xml:space="preserve"> </w:t>
            </w:r>
            <w:r>
              <w:rPr>
                <w:rFonts w:ascii="宋体" w:hAnsi="宋体" w:cs="宋体"/>
                <w:color w:val="auto"/>
                <w:spacing w:val="-1"/>
                <w:sz w:val="24"/>
                <w:szCs w:val="24"/>
                <w:highlight w:val="none"/>
              </w:rPr>
              <w:t>7日内</w:t>
            </w:r>
            <w:r>
              <w:rPr>
                <w:rFonts w:hint="eastAsia" w:ascii="宋体" w:hAnsi="宋体" w:cs="宋体"/>
                <w:color w:val="auto"/>
                <w:spacing w:val="-1"/>
                <w:sz w:val="24"/>
                <w:szCs w:val="24"/>
                <w:highlight w:val="none"/>
                <w:lang w:eastAsia="zh-CN"/>
              </w:rPr>
              <w:t>根据采购人需求</w:t>
            </w:r>
            <w:r>
              <w:rPr>
                <w:rFonts w:ascii="宋体" w:hAnsi="宋体" w:cs="宋体"/>
                <w:color w:val="auto"/>
                <w:spacing w:val="-1"/>
                <w:sz w:val="24"/>
                <w:szCs w:val="24"/>
                <w:highlight w:val="none"/>
              </w:rPr>
              <w:t>开始供货。</w:t>
            </w:r>
          </w:p>
          <w:p>
            <w:pPr>
              <w:pStyle w:val="9"/>
              <w:spacing w:before="52"/>
              <w:ind w:left="118"/>
              <w:rPr>
                <w:rFonts w:ascii="宋体" w:hAnsi="宋体" w:cs="宋体"/>
                <w:color w:val="auto"/>
                <w:sz w:val="24"/>
                <w:szCs w:val="24"/>
                <w:highlight w:val="none"/>
              </w:rPr>
            </w:pPr>
            <w:r>
              <w:rPr>
                <w:rFonts w:ascii="宋体" w:hAnsi="宋体" w:cs="宋体"/>
                <w:color w:val="auto"/>
                <w:sz w:val="24"/>
                <w:szCs w:val="24"/>
                <w:highlight w:val="none"/>
              </w:rPr>
              <w:t>按保障施工进度供货。</w:t>
            </w:r>
          </w:p>
        </w:tc>
      </w:tr>
      <w:tr>
        <w:tblPrEx>
          <w:tblCellMar>
            <w:top w:w="0" w:type="dxa"/>
            <w:left w:w="0" w:type="dxa"/>
            <w:bottom w:w="0" w:type="dxa"/>
            <w:right w:w="0" w:type="dxa"/>
          </w:tblCellMar>
        </w:tblPrEx>
        <w:trPr>
          <w:trHeight w:val="1128" w:hRule="exact"/>
        </w:trPr>
        <w:tc>
          <w:tcPr>
            <w:tcW w:w="2381" w:type="dxa"/>
            <w:tcBorders>
              <w:top w:val="single" w:color="000000" w:sz="6" w:space="0"/>
              <w:left w:val="single" w:color="000000" w:sz="6" w:space="0"/>
              <w:bottom w:val="single" w:color="000000" w:sz="6" w:space="0"/>
              <w:right w:val="single" w:color="000000" w:sz="6" w:space="0"/>
            </w:tcBorders>
            <w:vAlign w:val="center"/>
          </w:tcPr>
          <w:p>
            <w:pPr>
              <w:pStyle w:val="9"/>
              <w:ind w:left="104"/>
              <w:jc w:val="center"/>
              <w:rPr>
                <w:rFonts w:ascii="宋体" w:hAnsi="宋体" w:cs="宋体"/>
                <w:color w:val="auto"/>
                <w:sz w:val="24"/>
                <w:szCs w:val="24"/>
                <w:highlight w:val="none"/>
              </w:rPr>
            </w:pPr>
            <w:r>
              <w:rPr>
                <w:rFonts w:ascii="宋体" w:hAnsi="宋体" w:cs="宋体"/>
                <w:color w:val="auto"/>
                <w:sz w:val="24"/>
                <w:szCs w:val="24"/>
                <w:highlight w:val="none"/>
              </w:rPr>
              <w:t>售后服务要求：</w:t>
            </w:r>
          </w:p>
        </w:tc>
        <w:tc>
          <w:tcPr>
            <w:tcW w:w="6487" w:type="dxa"/>
            <w:tcBorders>
              <w:top w:val="single" w:color="000000" w:sz="6" w:space="0"/>
              <w:left w:val="single" w:color="000000" w:sz="6" w:space="0"/>
              <w:bottom w:val="single" w:color="000000" w:sz="6" w:space="0"/>
              <w:right w:val="single" w:color="000000" w:sz="6" w:space="0"/>
            </w:tcBorders>
            <w:vAlign w:val="center"/>
          </w:tcPr>
          <w:p>
            <w:pPr>
              <w:pStyle w:val="9"/>
              <w:ind w:left="119"/>
              <w:rPr>
                <w:rFonts w:ascii="宋体" w:hAnsi="宋体" w:cs="宋体"/>
                <w:color w:val="auto"/>
                <w:sz w:val="24"/>
                <w:szCs w:val="24"/>
                <w:highlight w:val="none"/>
              </w:rPr>
            </w:pPr>
            <w:r>
              <w:rPr>
                <w:rFonts w:ascii="宋体" w:hAnsi="宋体" w:cs="宋体"/>
                <w:color w:val="auto"/>
                <w:sz w:val="24"/>
                <w:szCs w:val="24"/>
                <w:highlight w:val="none"/>
              </w:rPr>
              <w:t>在产品质保期内，售后服务</w:t>
            </w:r>
            <w:r>
              <w:rPr>
                <w:rFonts w:ascii="宋体" w:hAnsi="宋体" w:cs="宋体"/>
                <w:color w:val="auto"/>
                <w:spacing w:val="-62"/>
                <w:sz w:val="24"/>
                <w:szCs w:val="24"/>
                <w:highlight w:val="none"/>
              </w:rPr>
              <w:t xml:space="preserve"> </w:t>
            </w:r>
            <w:r>
              <w:rPr>
                <w:rFonts w:ascii="宋体" w:hAnsi="宋体" w:cs="宋体"/>
                <w:color w:val="auto"/>
                <w:sz w:val="24"/>
                <w:szCs w:val="24"/>
                <w:highlight w:val="none"/>
              </w:rPr>
              <w:t>12</w:t>
            </w:r>
            <w:r>
              <w:rPr>
                <w:rFonts w:ascii="宋体" w:hAnsi="宋体" w:cs="宋体"/>
                <w:color w:val="auto"/>
                <w:spacing w:val="-60"/>
                <w:sz w:val="24"/>
                <w:szCs w:val="24"/>
                <w:highlight w:val="none"/>
              </w:rPr>
              <w:t xml:space="preserve"> </w:t>
            </w:r>
            <w:r>
              <w:rPr>
                <w:rFonts w:ascii="宋体" w:hAnsi="宋体" w:cs="宋体"/>
                <w:color w:val="auto"/>
                <w:sz w:val="24"/>
                <w:szCs w:val="24"/>
                <w:highlight w:val="none"/>
              </w:rPr>
              <w:t>小时响应产品质量、技术、</w:t>
            </w:r>
          </w:p>
          <w:p>
            <w:pPr>
              <w:pStyle w:val="9"/>
              <w:ind w:left="119"/>
              <w:rPr>
                <w:rFonts w:ascii="宋体" w:hAnsi="宋体" w:cs="宋体"/>
                <w:color w:val="auto"/>
                <w:sz w:val="24"/>
                <w:szCs w:val="24"/>
                <w:highlight w:val="none"/>
              </w:rPr>
            </w:pPr>
            <w:r>
              <w:rPr>
                <w:rFonts w:ascii="宋体" w:hAnsi="宋体" w:cs="宋体"/>
                <w:color w:val="auto"/>
                <w:sz w:val="24"/>
                <w:szCs w:val="24"/>
                <w:highlight w:val="none"/>
              </w:rPr>
              <w:t>维修等服务。</w:t>
            </w:r>
          </w:p>
        </w:tc>
      </w:tr>
      <w:tr>
        <w:tblPrEx>
          <w:tblCellMar>
            <w:top w:w="0" w:type="dxa"/>
            <w:left w:w="0" w:type="dxa"/>
            <w:bottom w:w="0" w:type="dxa"/>
            <w:right w:w="0" w:type="dxa"/>
          </w:tblCellMar>
        </w:tblPrEx>
        <w:trPr>
          <w:trHeight w:val="1858" w:hRule="exact"/>
        </w:trPr>
        <w:tc>
          <w:tcPr>
            <w:tcW w:w="2381" w:type="dxa"/>
            <w:tcBorders>
              <w:top w:val="single" w:color="000000" w:sz="6" w:space="0"/>
              <w:left w:val="single" w:color="000000" w:sz="6" w:space="0"/>
              <w:bottom w:val="single" w:color="000000" w:sz="6" w:space="0"/>
              <w:right w:val="single" w:color="000000" w:sz="6" w:space="0"/>
            </w:tcBorders>
            <w:vAlign w:val="center"/>
          </w:tcPr>
          <w:p>
            <w:pPr>
              <w:pStyle w:val="9"/>
              <w:ind w:left="104"/>
              <w:jc w:val="center"/>
              <w:rPr>
                <w:rFonts w:ascii="宋体" w:hAnsi="宋体" w:cs="宋体"/>
                <w:color w:val="auto"/>
                <w:sz w:val="24"/>
                <w:szCs w:val="24"/>
                <w:highlight w:val="none"/>
              </w:rPr>
            </w:pPr>
            <w:r>
              <w:rPr>
                <w:rFonts w:ascii="宋体" w:hAnsi="宋体" w:cs="宋体"/>
                <w:color w:val="auto"/>
                <w:sz w:val="24"/>
                <w:szCs w:val="24"/>
                <w:highlight w:val="none"/>
              </w:rPr>
              <w:t>付款方式</w:t>
            </w:r>
          </w:p>
        </w:tc>
        <w:tc>
          <w:tcPr>
            <w:tcW w:w="6487" w:type="dxa"/>
            <w:tcBorders>
              <w:top w:val="single" w:color="000000" w:sz="6" w:space="0"/>
              <w:left w:val="single" w:color="000000" w:sz="6" w:space="0"/>
              <w:bottom w:val="single" w:color="000000" w:sz="6" w:space="0"/>
              <w:right w:val="single" w:color="000000" w:sz="6" w:space="0"/>
            </w:tcBorders>
            <w:vAlign w:val="center"/>
          </w:tcPr>
          <w:p>
            <w:pPr>
              <w:pStyle w:val="9"/>
              <w:spacing w:before="20"/>
              <w:ind w:left="119"/>
              <w:rPr>
                <w:rFonts w:ascii="宋体" w:hAnsi="宋体" w:cs="宋体"/>
                <w:color w:val="auto"/>
                <w:sz w:val="24"/>
                <w:szCs w:val="24"/>
                <w:highlight w:val="none"/>
              </w:rPr>
            </w:pPr>
            <w:r>
              <w:rPr>
                <w:rFonts w:hint="eastAsia" w:ascii="宋体" w:hAnsi="宋体" w:cs="宋体"/>
                <w:color w:val="auto"/>
                <w:sz w:val="24"/>
                <w:szCs w:val="24"/>
                <w:highlight w:val="none"/>
              </w:rPr>
              <w:t>付款方式：合同签订后，甲方向乙方预付合同总额的30%，厕具组装结束，由乡村验收合格后出具验收报告，据实支付至合同总价的97%，余款3%作为质量保证金，质保期满如无质量问题退还质量保证金（不计利息）。</w:t>
            </w:r>
          </w:p>
        </w:tc>
      </w:tr>
      <w:tr>
        <w:tblPrEx>
          <w:tblCellMar>
            <w:top w:w="0" w:type="dxa"/>
            <w:left w:w="0" w:type="dxa"/>
            <w:bottom w:w="0" w:type="dxa"/>
            <w:right w:w="0" w:type="dxa"/>
          </w:tblCellMar>
        </w:tblPrEx>
        <w:trPr>
          <w:trHeight w:val="857" w:hRule="exact"/>
        </w:trPr>
        <w:tc>
          <w:tcPr>
            <w:tcW w:w="2381" w:type="dxa"/>
            <w:tcBorders>
              <w:top w:val="single" w:color="000000" w:sz="6" w:space="0"/>
              <w:left w:val="single" w:color="000000" w:sz="6" w:space="0"/>
              <w:bottom w:val="single" w:color="000000" w:sz="6" w:space="0"/>
              <w:right w:val="single" w:color="000000" w:sz="6" w:space="0"/>
            </w:tcBorders>
            <w:vAlign w:val="center"/>
          </w:tcPr>
          <w:p>
            <w:pPr>
              <w:pStyle w:val="9"/>
              <w:ind w:left="104"/>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履约保证金</w:t>
            </w:r>
          </w:p>
        </w:tc>
        <w:tc>
          <w:tcPr>
            <w:tcW w:w="6487" w:type="dxa"/>
            <w:tcBorders>
              <w:top w:val="single" w:color="000000" w:sz="6" w:space="0"/>
              <w:left w:val="single" w:color="000000" w:sz="6" w:space="0"/>
              <w:bottom w:val="single" w:color="000000" w:sz="6" w:space="0"/>
              <w:right w:val="single" w:color="000000" w:sz="6" w:space="0"/>
            </w:tcBorders>
            <w:vAlign w:val="center"/>
          </w:tcPr>
          <w:p>
            <w:pPr>
              <w:pStyle w:val="9"/>
              <w:spacing w:before="20"/>
              <w:rPr>
                <w:rFonts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不要求履约保证金</w:t>
            </w:r>
          </w:p>
        </w:tc>
      </w:tr>
      <w:tr>
        <w:tblPrEx>
          <w:tblCellMar>
            <w:top w:w="0" w:type="dxa"/>
            <w:left w:w="0" w:type="dxa"/>
            <w:bottom w:w="0" w:type="dxa"/>
            <w:right w:w="0" w:type="dxa"/>
          </w:tblCellMar>
        </w:tblPrEx>
        <w:trPr>
          <w:trHeight w:val="857" w:hRule="exact"/>
        </w:trPr>
        <w:tc>
          <w:tcPr>
            <w:tcW w:w="2381" w:type="dxa"/>
            <w:tcBorders>
              <w:top w:val="single" w:color="000000" w:sz="6" w:space="0"/>
              <w:left w:val="single" w:color="000000" w:sz="6" w:space="0"/>
              <w:bottom w:val="single" w:color="000000" w:sz="6" w:space="0"/>
              <w:right w:val="single" w:color="000000" w:sz="6" w:space="0"/>
            </w:tcBorders>
            <w:vAlign w:val="center"/>
          </w:tcPr>
          <w:p>
            <w:pPr>
              <w:pStyle w:val="9"/>
              <w:ind w:left="104"/>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合同签订日期：</w:t>
            </w:r>
          </w:p>
        </w:tc>
        <w:tc>
          <w:tcPr>
            <w:tcW w:w="6487" w:type="dxa"/>
            <w:tcBorders>
              <w:top w:val="single" w:color="000000" w:sz="6" w:space="0"/>
              <w:left w:val="single" w:color="000000" w:sz="6" w:space="0"/>
              <w:bottom w:val="single" w:color="000000" w:sz="6" w:space="0"/>
              <w:right w:val="single" w:color="000000" w:sz="6" w:space="0"/>
            </w:tcBorders>
            <w:vAlign w:val="center"/>
          </w:tcPr>
          <w:p>
            <w:pPr>
              <w:pStyle w:val="9"/>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中标通知书发出之日起2个工作日内。</w:t>
            </w:r>
          </w:p>
        </w:tc>
      </w:tr>
      <w:tr>
        <w:tblPrEx>
          <w:tblCellMar>
            <w:top w:w="0" w:type="dxa"/>
            <w:left w:w="0" w:type="dxa"/>
            <w:bottom w:w="0" w:type="dxa"/>
            <w:right w:w="0" w:type="dxa"/>
          </w:tblCellMar>
        </w:tblPrEx>
        <w:trPr>
          <w:trHeight w:val="765" w:hRule="exact"/>
        </w:trPr>
        <w:tc>
          <w:tcPr>
            <w:tcW w:w="2381" w:type="dxa"/>
            <w:tcBorders>
              <w:top w:val="single" w:color="000000" w:sz="6" w:space="0"/>
              <w:left w:val="single" w:color="000000" w:sz="6" w:space="0"/>
              <w:bottom w:val="single" w:color="000000" w:sz="6" w:space="0"/>
              <w:right w:val="single" w:color="000000" w:sz="6" w:space="0"/>
            </w:tcBorders>
            <w:vAlign w:val="center"/>
          </w:tcPr>
          <w:p>
            <w:pPr>
              <w:pStyle w:val="9"/>
              <w:jc w:val="center"/>
              <w:rPr>
                <w:rFonts w:ascii="宋体" w:hAnsi="宋体" w:cs="宋体"/>
                <w:color w:val="auto"/>
                <w:sz w:val="24"/>
                <w:szCs w:val="24"/>
                <w:highlight w:val="none"/>
              </w:rPr>
            </w:pPr>
            <w:r>
              <w:rPr>
                <w:rFonts w:ascii="宋体" w:hAnsi="宋体" w:cs="宋体"/>
                <w:color w:val="auto"/>
                <w:sz w:val="24"/>
                <w:szCs w:val="24"/>
                <w:highlight w:val="none"/>
              </w:rPr>
              <w:t>其他要求</w:t>
            </w:r>
          </w:p>
        </w:tc>
        <w:tc>
          <w:tcPr>
            <w:tcW w:w="6487" w:type="dxa"/>
            <w:tcBorders>
              <w:top w:val="single" w:color="000000" w:sz="6" w:space="0"/>
              <w:left w:val="single" w:color="000000" w:sz="6" w:space="0"/>
              <w:bottom w:val="single" w:color="000000" w:sz="6" w:space="0"/>
              <w:right w:val="single" w:color="000000" w:sz="6" w:space="0"/>
            </w:tcBorders>
            <w:vAlign w:val="center"/>
          </w:tcPr>
          <w:p>
            <w:pPr>
              <w:pStyle w:val="9"/>
              <w:spacing w:before="20"/>
              <w:ind w:left="119"/>
              <w:rPr>
                <w:rFonts w:ascii="宋体" w:hAnsi="宋体" w:cs="宋体"/>
                <w:color w:val="auto"/>
                <w:sz w:val="24"/>
                <w:szCs w:val="24"/>
                <w:highlight w:val="none"/>
              </w:rPr>
            </w:pPr>
            <w:r>
              <w:rPr>
                <w:rFonts w:ascii="宋体" w:hAnsi="宋体" w:cs="宋体"/>
                <w:color w:val="auto"/>
                <w:sz w:val="24"/>
                <w:szCs w:val="24"/>
                <w:highlight w:val="none"/>
              </w:rPr>
              <w:t>1.投标报价包含产品及其配套设备等所有费用。</w:t>
            </w:r>
          </w:p>
          <w:p>
            <w:pPr>
              <w:pStyle w:val="9"/>
              <w:spacing w:before="20"/>
              <w:ind w:left="119"/>
              <w:rPr>
                <w:rFonts w:ascii="宋体" w:hAnsi="宋体" w:cs="宋体"/>
                <w:color w:val="auto"/>
                <w:sz w:val="24"/>
                <w:szCs w:val="24"/>
                <w:highlight w:val="none"/>
              </w:rPr>
            </w:pPr>
            <w:r>
              <w:rPr>
                <w:rFonts w:ascii="宋体" w:hAnsi="宋体" w:cs="宋体"/>
                <w:color w:val="auto"/>
                <w:sz w:val="24"/>
                <w:szCs w:val="24"/>
                <w:highlight w:val="none"/>
              </w:rPr>
              <w:t>2.运输方式及费用负担：由投标人负责。</w:t>
            </w:r>
          </w:p>
          <w:p>
            <w:pPr>
              <w:pStyle w:val="9"/>
              <w:spacing w:before="154" w:line="301" w:lineRule="auto"/>
              <w:ind w:left="118"/>
              <w:rPr>
                <w:rFonts w:ascii="宋体" w:hAnsi="宋体" w:cs="宋体"/>
                <w:color w:val="auto"/>
                <w:sz w:val="24"/>
                <w:szCs w:val="24"/>
                <w:highlight w:val="none"/>
              </w:rPr>
            </w:pPr>
            <w:r>
              <w:rPr>
                <w:rFonts w:ascii="宋体" w:hAnsi="宋体" w:cs="宋体"/>
                <w:color w:val="auto"/>
                <w:spacing w:val="1"/>
                <w:sz w:val="24"/>
                <w:szCs w:val="24"/>
                <w:highlight w:val="none"/>
              </w:rPr>
              <w:t>3.投标人组织有关人员对农户进行培训，对农户进行技术</w:t>
            </w:r>
            <w:r>
              <w:rPr>
                <w:rFonts w:ascii="宋体" w:hAnsi="宋体" w:cs="宋体"/>
                <w:color w:val="auto"/>
                <w:spacing w:val="38"/>
                <w:sz w:val="24"/>
                <w:szCs w:val="24"/>
                <w:highlight w:val="none"/>
              </w:rPr>
              <w:t xml:space="preserve"> </w:t>
            </w:r>
            <w:r>
              <w:rPr>
                <w:rFonts w:ascii="宋体" w:hAnsi="宋体" w:cs="宋体"/>
                <w:color w:val="auto"/>
                <w:sz w:val="24"/>
                <w:szCs w:val="24"/>
                <w:highlight w:val="none"/>
              </w:rPr>
              <w:t>指导</w:t>
            </w:r>
          </w:p>
        </w:tc>
      </w:tr>
    </w:tbl>
    <w:p>
      <w:pPr>
        <w:spacing w:line="360" w:lineRule="auto"/>
        <w:ind w:right="560"/>
        <w:rPr>
          <w:rFonts w:ascii="宋体" w:hAnsi="宋体" w:cs="宋体"/>
          <w:color w:val="auto"/>
          <w:sz w:val="24"/>
          <w:highlight w:val="none"/>
        </w:rPr>
      </w:pPr>
    </w:p>
    <w:p>
      <w:pPr>
        <w:wordWrap/>
        <w:spacing w:line="360" w:lineRule="auto"/>
        <w:ind w:right="960"/>
        <w:jc w:val="center"/>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汝南县农业农村局</w:t>
      </w:r>
    </w:p>
    <w:p>
      <w:pPr>
        <w:jc w:val="cente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2020年12月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54D69"/>
    <w:rsid w:val="46A5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99"/>
  </w:style>
  <w:style w:type="paragraph" w:styleId="3">
    <w:name w:val="Body Text"/>
    <w:basedOn w:val="1"/>
    <w:next w:val="4"/>
    <w:unhideWhenUsed/>
    <w:qFormat/>
    <w:uiPriority w:val="99"/>
    <w:pPr>
      <w:spacing w:after="120"/>
    </w:pPr>
  </w:style>
  <w:style w:type="paragraph" w:styleId="4">
    <w:name w:val="Body Text 2"/>
    <w:basedOn w:val="1"/>
    <w:next w:val="3"/>
    <w:qFormat/>
    <w:uiPriority w:val="0"/>
    <w:pPr>
      <w:spacing w:after="120" w:line="480" w:lineRule="auto"/>
    </w:pPr>
  </w:style>
  <w:style w:type="paragraph" w:styleId="5">
    <w:name w:val="Body Text First Indent 2"/>
    <w:basedOn w:val="6"/>
    <w:qFormat/>
    <w:uiPriority w:val="99"/>
    <w:pPr>
      <w:widowControl/>
      <w:spacing w:before="100" w:beforeAutospacing="1" w:after="100" w:afterAutospacing="1"/>
      <w:ind w:left="0" w:leftChars="0" w:firstLine="420" w:firstLineChars="200"/>
      <w:jc w:val="left"/>
    </w:pPr>
    <w:rPr>
      <w:rFonts w:ascii="宋体" w:hAnsi="宋体" w:cs="宋体"/>
      <w:kern w:val="0"/>
      <w:sz w:val="24"/>
    </w:rPr>
  </w:style>
  <w:style w:type="paragraph" w:styleId="6">
    <w:name w:val="Body Text Indent"/>
    <w:basedOn w:val="1"/>
    <w:unhideWhenUsed/>
    <w:qFormat/>
    <w:uiPriority w:val="0"/>
    <w:pPr>
      <w:spacing w:after="120"/>
      <w:ind w:left="420" w:leftChars="200"/>
    </w:pPr>
  </w:style>
  <w:style w:type="paragraph" w:customStyle="1" w:styleId="9">
    <w:name w:val="Table Paragraph"/>
    <w:basedOn w:val="1"/>
    <w:qFormat/>
    <w:uiPriority w:val="0"/>
    <w:rPr>
      <w:rFonts w:ascii="Calibri" w:hAnsi="Calibri" w:cs="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2020-12-09T09:15:00Z</dcterms:created>
  <dc:creator>wang</dc:creator>
  <cp:lastModifiedBy>wang</cp:lastModifiedBy>
  <dcterms:modified xsi:type="dcterms:W3CDTF">2020-12-09T09:15:54Z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