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仿宋" w:asciiTheme="majorEastAsia" w:hAnsiTheme="majorEastAsia" w:eastAsiaTheme="majorEastAsia"/>
          <w:sz w:val="21"/>
          <w:szCs w:val="21"/>
          <w:lang w:val="en-US"/>
        </w:rPr>
      </w:pPr>
      <w:r>
        <w:rPr>
          <w:rFonts w:hint="eastAsia" w:cs="仿宋" w:asciiTheme="majorEastAsia" w:hAnsiTheme="majorEastAsia" w:eastAsiaTheme="majorEastAsia"/>
          <w:b/>
          <w:bCs/>
          <w:sz w:val="21"/>
          <w:szCs w:val="21"/>
          <w:lang w:val="en-US"/>
        </w:rPr>
        <w:t>郑州市教育局电化教育馆双回路电源改造设为购置（二期）项目230万元</w:t>
      </w:r>
    </w:p>
    <w:p>
      <w:pPr>
        <w:spacing w:line="360" w:lineRule="auto"/>
        <w:ind w:firstLine="422" w:firstLineChars="200"/>
        <w:rPr>
          <w:rFonts w:cs="仿宋" w:asciiTheme="majorEastAsia" w:hAnsiTheme="majorEastAsia" w:eastAsiaTheme="majorEastAsia"/>
          <w:b/>
          <w:bCs/>
          <w:sz w:val="21"/>
          <w:szCs w:val="21"/>
          <w:lang w:val="en-US"/>
        </w:rPr>
      </w:pPr>
    </w:p>
    <w:p>
      <w:pPr>
        <w:spacing w:line="360" w:lineRule="auto"/>
        <w:ind w:firstLine="422" w:firstLineChars="200"/>
        <w:rPr>
          <w:rFonts w:cs="黑体" w:asciiTheme="majorEastAsia" w:hAnsiTheme="majorEastAsia" w:eastAsiaTheme="majorEastAsia"/>
          <w:b/>
          <w:bCs/>
          <w:sz w:val="21"/>
          <w:szCs w:val="21"/>
          <w:lang w:val="en-US"/>
        </w:rPr>
      </w:pPr>
      <w:r>
        <w:rPr>
          <w:rFonts w:hint="eastAsia" w:cs="黑体" w:asciiTheme="majorEastAsia" w:hAnsiTheme="majorEastAsia" w:eastAsiaTheme="majorEastAsia"/>
          <w:b/>
          <w:bCs/>
          <w:sz w:val="21"/>
          <w:szCs w:val="21"/>
          <w:lang w:val="en-US"/>
        </w:rPr>
        <w:t>一、项目现状</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郑州市教育局电化教育馆现供电电源配置负荷分级与规定不符：依据《全国民用建筑工程设计技术措施—电气》(2009版)及民用建筑电气设计规范中规定，电视台、广播电台用电设备负荷包含特别重要负荷、一级负荷、二级负荷如下表：</w:t>
      </w:r>
    </w:p>
    <w:p>
      <w:pPr>
        <w:widowControl/>
        <w:spacing w:line="360" w:lineRule="auto"/>
        <w:rPr>
          <w:rFonts w:asciiTheme="majorEastAsia" w:hAnsiTheme="majorEastAsia" w:eastAsiaTheme="majorEastAsia"/>
          <w:sz w:val="21"/>
          <w:szCs w:val="21"/>
        </w:rPr>
      </w:pPr>
      <w:r>
        <w:rPr>
          <w:rFonts w:asciiTheme="majorEastAsia" w:hAnsiTheme="majorEastAsia" w:eastAsiaTheme="majorEastAsia"/>
          <w:sz w:val="21"/>
          <w:szCs w:val="21"/>
          <w:lang w:val="en-US" w:bidi="ar-SA"/>
        </w:rPr>
        <w:drawing>
          <wp:inline distT="0" distB="0" distL="114300" distR="114300">
            <wp:extent cx="5471160" cy="1828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471160" cy="1828800"/>
                    </a:xfrm>
                    <a:prstGeom prst="rect">
                      <a:avLst/>
                    </a:prstGeom>
                    <a:noFill/>
                    <a:ln>
                      <a:noFill/>
                    </a:ln>
                  </pic:spPr>
                </pic:pic>
              </a:graphicData>
            </a:graphic>
          </wp:inline>
        </w:drawing>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依据《供配电系统设计规范GB 50052》对不同负荷供电要求如下：</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一级负荷应由双重电源供电，当一电源发生故障时，另一电源不应同时受到损坏。</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 xml:space="preserve"> 一级负荷中特别重要的负荷供电，应符合下列要求：</w:t>
      </w:r>
      <w:r>
        <w:rPr>
          <w:rFonts w:hint="eastAsia" w:cs="仿宋" w:asciiTheme="majorEastAsia" w:hAnsiTheme="majorEastAsia" w:eastAsiaTheme="majorEastAsia"/>
          <w:sz w:val="21"/>
          <w:szCs w:val="21"/>
          <w:lang w:val="en-US"/>
        </w:rPr>
        <w:br w:type="textWrapping"/>
      </w:r>
      <w:r>
        <w:rPr>
          <w:rFonts w:hint="eastAsia" w:cs="仿宋" w:asciiTheme="majorEastAsia" w:hAnsiTheme="majorEastAsia" w:eastAsiaTheme="majorEastAsia"/>
          <w:sz w:val="21"/>
          <w:szCs w:val="21"/>
          <w:lang w:val="en-US"/>
        </w:rPr>
        <w:t>  除应由双重电源供电外，尚应增设应急电源，并严禁将其他负荷接入应急供电系统。</w:t>
      </w:r>
      <w:r>
        <w:rPr>
          <w:rFonts w:hint="eastAsia" w:cs="仿宋" w:asciiTheme="majorEastAsia" w:hAnsiTheme="majorEastAsia" w:eastAsiaTheme="majorEastAsia"/>
          <w:sz w:val="21"/>
          <w:szCs w:val="21"/>
          <w:lang w:val="en-US"/>
        </w:rPr>
        <w:br w:type="textWrapping"/>
      </w:r>
      <w:r>
        <w:rPr>
          <w:rFonts w:hint="eastAsia" w:cs="仿宋" w:asciiTheme="majorEastAsia" w:hAnsiTheme="majorEastAsia" w:eastAsiaTheme="majorEastAsia"/>
          <w:sz w:val="21"/>
          <w:szCs w:val="21"/>
          <w:lang w:val="en-US"/>
        </w:rPr>
        <w:t>  设备的供电电源的切换时间，应满足设备允许中断供电的要求。</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二级负荷的供电系统，宜由两回线路供电。在负荷较小或地区供电条件困难时，二级负荷可由一回6kV及以上专用的架空线路供电。</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根据以上条文规定，电视台单电源供电不能满足现行规范要求。</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现有系统运行方式不可靠：单电源运行，运行方式不灵活，市电检修停电或故障停电后，无法调整供电电源，影响一二级负荷供电，造成经济社会效益影响。</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现有运维操作方式落后：随着经济社会的发展和互联网技术的飞速发展，配电网技术已迈向智能时代，智能化的运维、良好的人机界面，便于维护和管理。</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建设方案主要内容</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依据现行相关规范、规程要求，根据本项目负荷性质，须双电源供电，拟装设变压器容量为2台500KVA变压器（箱变，原有一台500KVA箱变），结合周围电力分布情况，考虑从南阳路立交桥东侧环网柜和原有电源点各出一路电缆引入本项目地块内。在本项目地块内建设高压室和变压器低压室，高压室高压开关柜设置母联柜实现高压双电源自动切换，箱变低压柜设置联络柜实现两台变压器的互相备用，可满足本项目需求。</w:t>
      </w:r>
    </w:p>
    <w:p>
      <w:pPr>
        <w:spacing w:line="360" w:lineRule="auto"/>
        <w:rPr>
          <w:rFonts w:cs="黑体" w:asciiTheme="majorEastAsia" w:hAnsiTheme="majorEastAsia" w:eastAsiaTheme="majorEastAsia"/>
          <w:sz w:val="21"/>
          <w:szCs w:val="21"/>
          <w:lang w:val="en-US"/>
        </w:rPr>
      </w:pPr>
      <w:r>
        <w:rPr>
          <w:rFonts w:hint="eastAsia" w:cs="黑体" w:asciiTheme="majorEastAsia" w:hAnsiTheme="majorEastAsia" w:eastAsiaTheme="majorEastAsia"/>
          <w:sz w:val="21"/>
          <w:szCs w:val="21"/>
          <w:lang w:val="en-US"/>
        </w:rPr>
        <w:t>二、建设需要及目标</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一期2020年投建高压室I段母线高压柜，500KVA箱变及低压联络，一期完成后，可先实现低压双回路供电，当一台变压器检修或故障时，另一台变压器带全部一二级负荷或部分三级负荷；</w:t>
      </w:r>
    </w:p>
    <w:p>
      <w:pPr>
        <w:autoSpaceDE/>
        <w:autoSpaceDN/>
        <w:adjustRightInd/>
        <w:snapToGrid/>
        <w:spacing w:line="360" w:lineRule="auto"/>
        <w:ind w:firstLine="420" w:firstLineChars="200"/>
        <w:rPr>
          <w:rFonts w:cs="仿宋" w:asciiTheme="majorEastAsia" w:hAnsiTheme="majorEastAsia" w:eastAsiaTheme="majorEastAsia"/>
          <w:sz w:val="21"/>
          <w:szCs w:val="21"/>
          <w:lang w:val="en-US"/>
        </w:rPr>
      </w:pPr>
      <w:r>
        <w:rPr>
          <w:rFonts w:hint="eastAsia" w:cs="仿宋" w:asciiTheme="majorEastAsia" w:hAnsiTheme="majorEastAsia" w:eastAsiaTheme="majorEastAsia"/>
          <w:sz w:val="21"/>
          <w:szCs w:val="21"/>
          <w:lang w:val="en-US"/>
        </w:rPr>
        <w:t>二期2021年投建外网及高压II母线高压柜、后台系统等，二期完工后，可实现双电源可靠供电，当一路高压市电检修或故障时，立刻转换为另一路高压供电，带全部变压器供电；当一台变压器检修或故障时，另一台变压器带全部一二级负荷或部分三级负荷，从而满足用电单位安全稳定的供电需求。</w:t>
      </w:r>
    </w:p>
    <w:p>
      <w:pPr>
        <w:spacing w:line="360" w:lineRule="auto"/>
        <w:ind w:firstLine="420" w:firstLineChars="200"/>
        <w:rPr>
          <w:rFonts w:cs="黑体" w:asciiTheme="majorEastAsia" w:hAnsiTheme="majorEastAsia" w:eastAsiaTheme="majorEastAsia"/>
          <w:sz w:val="21"/>
          <w:szCs w:val="21"/>
          <w:lang w:val="en-US"/>
        </w:rPr>
      </w:pPr>
      <w:r>
        <w:rPr>
          <w:rFonts w:hint="eastAsia" w:cs="黑体" w:asciiTheme="majorEastAsia" w:hAnsiTheme="majorEastAsia" w:eastAsiaTheme="majorEastAsia"/>
          <w:sz w:val="21"/>
          <w:szCs w:val="21"/>
          <w:lang w:val="en-US"/>
        </w:rPr>
        <w:t>三、设备需求及参数</w:t>
      </w:r>
    </w:p>
    <w:tbl>
      <w:tblPr>
        <w:tblStyle w:val="11"/>
        <w:tblW w:w="9275" w:type="dxa"/>
        <w:tblInd w:w="-4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769"/>
        <w:gridCol w:w="5387"/>
        <w:gridCol w:w="708"/>
        <w:gridCol w:w="7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序号</w:t>
            </w:r>
          </w:p>
        </w:tc>
        <w:tc>
          <w:tcPr>
            <w:tcW w:w="1769"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名称</w:t>
            </w:r>
          </w:p>
        </w:tc>
        <w:tc>
          <w:tcPr>
            <w:tcW w:w="5387"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规格参数</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单位</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高压柜</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1.型号：KYN28A-12（进线，计量，PT，出线，分段），采购，一、二次安装，调试</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2.卖方应提供开关柜需要的母线（铜母排含铜99.9%）导体，主母排按照一次系统图配置，系统连接铜母排，按连接断路器的额定电流值放大一级配置。</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3.高压真空断路器主回路必须采用全铜、固封极柱式，机械寿命＞3万次以上。</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4.真空断路器：选用 1250KA/31.5KA同系列产品</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5.中标厂家应配2台断路器运转小车，接地开关操作手柄2把，断路器手车摇把4个，储能摇把4个。</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6.电流互感器选用：LZZBJ9-12大连第一互感器厂系列产品，精度要求：0.2级（计量）0.5级（测量、保护）5P级（保护）规格.</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7.电压互感器：选用大连第一互感器厂产品，精度要求：0.2级（计量）0.5级（测量、保护）6P级（保护）规格</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8.综合保护选用：定时限过流保护，电流速断保护，温度保护，单相接地报警，变压器开门报警，备自投，满足后台监控通信智慧电网服务协议。</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9.开关柜智能操控显示装置：</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1）具有一次动态模拟显示图。</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2）具备开关柜开关状态指示。</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3）具备语音防误操作提示音。</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4）具备LCD液晶屏显示。</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5）带温湿度检测及温湿度数据显示。</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6）具备加热除湿排风输出功能。</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7）具备带电显示及闭锁。</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8）具备RS485通信功能。</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9）具备照明控制功能。</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10具备人体红外感应功能</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11）具备远方就地操作、分合闸、储能指示、分合闸回路完好指示。</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12）带万转开关、预分预合闪光指示。</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13）电 源：DC220V、工作环境：-20 ～+60 绝缘性能：外壳与端子间</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绝缘大于100MΩ。</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14) 抗干扰：符合GB/T17626.8-1998标准</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面</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电力电缆</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1.电缆：ZRYJLV22-8.7/10-3*240；</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2.内容：采购、敷设、调试等；</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3.需要送第三方外检。不允许存在跳码、变径等情况，电缆必须为总厂生产，不允许分厂生产；</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4.必须郑州供电公司备案产品。</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5.相关机构的检测报告，及备案证书。</w:t>
            </w:r>
          </w:p>
        </w:tc>
        <w:tc>
          <w:tcPr>
            <w:tcW w:w="708" w:type="dxa"/>
          </w:tcPr>
          <w:p>
            <w:pPr>
              <w:spacing w:line="360" w:lineRule="auto"/>
              <w:jc w:val="both"/>
              <w:rPr>
                <w:rFonts w:asciiTheme="majorEastAsia" w:hAnsiTheme="majorEastAsia" w:eastAsiaTheme="majorEastAsia"/>
                <w:sz w:val="21"/>
                <w:szCs w:val="21"/>
                <w:lang w:val="en-US"/>
              </w:rPr>
            </w:pPr>
            <w:r>
              <w:rPr>
                <w:rFonts w:hint="eastAsia" w:asciiTheme="majorEastAsia" w:hAnsiTheme="majorEastAsia" w:eastAsiaTheme="majorEastAsia"/>
                <w:sz w:val="21"/>
                <w:szCs w:val="21"/>
                <w:lang w:val="en-US"/>
              </w:rPr>
              <w:t>米</w:t>
            </w:r>
          </w:p>
        </w:tc>
        <w:tc>
          <w:tcPr>
            <w:tcW w:w="742" w:type="dxa"/>
          </w:tcPr>
          <w:p>
            <w:pPr>
              <w:spacing w:line="360" w:lineRule="auto"/>
              <w:jc w:val="both"/>
              <w:rPr>
                <w:rFonts w:asciiTheme="majorEastAsia" w:hAnsiTheme="majorEastAsia" w:eastAsiaTheme="majorEastAsia"/>
                <w:sz w:val="21"/>
                <w:szCs w:val="21"/>
                <w:lang w:val="en-US"/>
              </w:rPr>
            </w:pPr>
            <w:r>
              <w:rPr>
                <w:rFonts w:hint="eastAsia" w:asciiTheme="majorEastAsia" w:hAnsiTheme="majorEastAsia" w:eastAsiaTheme="majorEastAsia"/>
                <w:sz w:val="21"/>
                <w:szCs w:val="21"/>
                <w:lang w:val="en-US"/>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电力电缆头及故障指示器</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1.型号：户内冷缩终端头，铜铝3*240</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2.内容：采购、含电缆头接线、安装、调试等</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套</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电力电缆头及故障指示器</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1.型号：户外冷缩终端头，铜铝3*240</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2.内容：采购、含电缆头接线、安装、调试等</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套</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电力电缆中间头</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1.型号：热熔，铝3*240，配中间头保护盒，灭火弹3只</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2.内容：采购、含电缆头接线、安装、调试等</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套</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肘型插拔头</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1.型号：肘型插拔头</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2.内容：采购、含电缆头接线、安装、调试等</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套</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柱上断路器</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1.柱上断路器1台，隔离开关1组，避雷器2组，</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2.金具，跳线，接地等1批</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3.安装，调试。</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项</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电力电缆井</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1.型号：钢筋混凝电缆井，3.0*2.0*1.9,</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2.内容：按国网典型设计</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座</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顶管</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1.型号：MPP-φ200/14</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米</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配电室标准化</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1.配电室电缆沟，0.8*1200；10米</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2.配电室环氧树脂地坪40平方米</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3.配电室设备基础地坪，墙体粉刷，防火门新建2座；</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4.配电室照明，通风。</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5.值班室装修。</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项</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安全工器具</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工具柜2台；胶鞋2双;手套2双；验电笔2个；灭火器箱2个；灭火器8个；安全护栏1套；接地线2组；标志牌1套；绝缘垫200公斤</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项</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直流屏</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采用26Ah免维护铅酸蓄电池,防护等级不低于IP30。母线过压告警整定值为：110%额定电压；母线欠压告警整定值为：90%额定电压。转换效率：≥95%。直流屏，交流输入二路三相380V，互为备用，具备自动切换和手动切换功能，并可任选一路作为电源。交流电源输入应为三相四线制，三相电源应无相序要求。三相电源缺相应发报警信号。输出为直流 220V。充电模块选用恒瑞HR-SM22005,监控选用JTM-011柜体颜色色号为计算机灰RAL-7035（同低压柜颜色），壁挂式。</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面</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模拟屏</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一、屏体：</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1、屏体采用铝合金拼装而成，外框采用0.8mm镜面不锈钢包边；</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2、骨架采用2mm冷轧板压折，用5mm锣栓坚固，横梁用2.00mm冷轧板压折，板面与横梁之间用50mm×8mm双头锣栓连接固定，前后可调；</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二、面板：</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1、面板采用25mm×25mm模块拼结而成；</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2、模块材料采用进口原材料PPO注塑而成，具有10年不变色，抗静电，阻燃等特点；</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3、单个模块平面度公差值≤0.1mm；</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4、相邻模块之间的间隙≤0.1mm；</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5、相邻模块的平整度公差值≤0.2mm；</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6、模块颜色采用国际灰色（或用户提供颜色）均匀一致，无反光及伤痕；</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7、阻燃氧指数为≥27；</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8、图形符号采用模具压铸，丝网印刷及雕刻工艺；</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9、线符号宽6-9mm，线路符号宽3-5mm；</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10、线条宽度公差值≤0.05mm；</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11、线条的直线度在任意1000mm的范围内≤2mm；</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12、大字采用白底红字楷体。</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三、屏面布局：</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1、标题大字在屏面上侧；</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2、两侧按放周波、安全运行等；</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3、屏面为电力系统模拟图，2层分布。</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4、开关刀闸均用微机灯（双色）显示，4种状态,红、绿、黄、灭各站安装有功功率表，小数点自动移位、不固定。</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块</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后台系统</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后台系统：</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1、温度数据直观显示：后台软件能够显示开关柜的结构及实时温度。</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2、参数设置：所有的参数包括但不限于预警温度、报警温度、通信参数、报警声等能够灵活设置。</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3、数据查询：系统可查询实时温度数据、历史温度数据、并根据需要可设置为3D、曲线、柱状、饼状显示。</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4、事件记录：系统可记录包括但不限于越限报警、变位报警、故障报警、操作事件、系统事件等。</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5.包含控制线安装、系统调试等所有相关工作。</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6.内含后台系统、电脑、电脑桌、椅子</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套</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无线测温系统传感器</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无线测温传感器：</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1、工作电流：大于等于3A小于5000A电流，就能稳定工作。2、温度接收间隔时间：≤3S(可设置)；</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3、温度测量范围：-25～+125℃。</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4、测量精度：±1℃（0～75℃）。</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5、无线传输距离：不少于150米（空旷）。</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6、抗干扰能力：装置应有较强的抗电磁干扰能力，符合GB/T15153.1998及GB/T17626.4-2008要求。</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7.包含安装，调试。</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个</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无线测温系统主机</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接收装置性能：</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1、接收无线温度传感器上传的温度和传感器工作电压。</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2、彩色显示接收到的数据，可显示站点或者开关柜名称以及测温部位的名称，并可在现场进行编辑，显示效果直观，背光开关可控。</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3、接收测点数量不少于240只。</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4、所有参数灵活可设，操作方便，掉电数据不丢失。</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5、数据记录，可查询每个测温点历史曲线，可查询最近一个月每个温度点的历史数据，方便导出到EXCEL表格，记录没个测温点每月的最高温度记录，并生成最高记录柱状图，每个测温点数据冻结密度设置为5min时，可冻结3年的历史数据</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6、报警输出：当有预警事件或报警事件发生时，能发出报警声提示。</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7、通讯接口：主机自带2路RS485接口，2路RS232接口，2路USB接品，1路网口，1路4G卡口，1路内存卡口。</w:t>
            </w:r>
          </w:p>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8.包含安装，调试。</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套</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智慧用电管理系统</w:t>
            </w:r>
          </w:p>
        </w:tc>
        <w:tc>
          <w:tcPr>
            <w:tcW w:w="5387" w:type="dxa"/>
            <w:vAlign w:val="center"/>
          </w:tcPr>
          <w:p>
            <w:pPr>
              <w:widowControl/>
              <w:spacing w:line="360" w:lineRule="auto"/>
              <w:jc w:val="left"/>
              <w:textAlignment w:val="center"/>
              <w:rPr>
                <w:rFonts w:asciiTheme="majorEastAsia" w:hAnsiTheme="majorEastAsia" w:eastAsiaTheme="majorEastAsia"/>
                <w:color w:val="000000"/>
                <w:kern w:val="2"/>
                <w:sz w:val="21"/>
                <w:szCs w:val="21"/>
                <w:lang w:val="en-US" w:bidi="ar-SA"/>
              </w:rPr>
            </w:pPr>
            <w:r>
              <w:rPr>
                <w:rFonts w:hint="eastAsia" w:asciiTheme="majorEastAsia" w:hAnsiTheme="majorEastAsia" w:eastAsiaTheme="majorEastAsia"/>
                <w:color w:val="000000"/>
                <w:sz w:val="21"/>
                <w:szCs w:val="21"/>
                <w:lang w:val="en-US" w:bidi="ar"/>
              </w:rPr>
              <w:t>1、专门适用于电力系统无人值守站，中低压变电站、配电房、售电服务公司及工程运维公司等的配电运维系统。</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2、 部署于云服务器平台，采用Internet进行发布和访问，也可安装部署于企业内部局域网，采用有线网络或者wifi进行发布和访问。</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3、用户人机交互方式以WEB浏览器及手机APP为主，同时提供专门的客户端人机界面进行系统的维护和诊断。</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4、支持Linux/Windows跨平台技术，数据库支持MS SQL Server、MySQL等主流商业数据库，数据库服务器与应用服务器在物理上可位于不同的服务器节点，并分别支持主备冗余功能。</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5、运维系统的数据中心及核心应用服务端，按角色可划分为应用服务器、数据库服务器和WEB服务器。</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6、允许多台运行工作站，维护工作站，手机，平板电脑等同时访问运维系统。</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7、多站分用户访问：运维系统在一个运行实例中最多支持64个厂站（厂站是个逻辑概念，可能是一个实际的变电站，也可能是由同一地域的几个小站组合在一起的逻辑站）</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8、系统图形及图表显示：系统支持基于Html5的SVG矢量图，用于一次主接线图、图表（曲线、棒图、饼图、图形表格等）以及动画等用户自定义矢量图的动态显示。</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9、实时语音报警：统可按用户定义，将遥信变位、遥测越限、保护动作/恢复、通道中断/恢复、系统进程异常等事件记录在报警窗口中实时显示并弹出，同时以语音方式提示用户。</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10、历史数据查询。</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11、事件记录存储及查看：系统报警事件、操作事件及SOE事件等可即时存储，并在人机界面上进行查询以显示和打印。</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12、用户自定义电气数据报表：用户可根据需要，定义Excel报表模板，并可定时生成或者即时召唤实际报表，以显示和下载打印。</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13、故障录波查看：系统可召唤故障录波文件，并对标准Comtrade格式故障录波文件进行波形显示。</w:t>
            </w:r>
            <w:r>
              <w:rPr>
                <w:rFonts w:hint="eastAsia" w:asciiTheme="majorEastAsia" w:hAnsiTheme="majorEastAsia" w:eastAsiaTheme="majorEastAsia"/>
                <w:color w:val="000000"/>
                <w:sz w:val="21"/>
                <w:szCs w:val="21"/>
                <w:lang w:val="en-US" w:bidi="ar"/>
              </w:rPr>
              <w:br w:type="textWrapping"/>
            </w:r>
            <w:r>
              <w:rPr>
                <w:rFonts w:hint="eastAsia" w:asciiTheme="majorEastAsia" w:hAnsiTheme="majorEastAsia" w:eastAsiaTheme="majorEastAsia"/>
                <w:color w:val="000000"/>
                <w:sz w:val="21"/>
                <w:szCs w:val="21"/>
                <w:lang w:val="en-US" w:bidi="ar"/>
              </w:rPr>
              <w:t>14.包含安装，调试及其所需所有配件。</w:t>
            </w:r>
          </w:p>
        </w:tc>
        <w:tc>
          <w:tcPr>
            <w:tcW w:w="708"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套</w:t>
            </w:r>
          </w:p>
        </w:tc>
        <w:tc>
          <w:tcPr>
            <w:tcW w:w="742" w:type="dxa"/>
            <w:vAlign w:val="center"/>
          </w:tcPr>
          <w:p>
            <w:pPr>
              <w:widowControl/>
              <w:spacing w:line="360" w:lineRule="auto"/>
              <w:jc w:val="center"/>
              <w:textAlignment w:val="center"/>
              <w:rPr>
                <w:rFonts w:asciiTheme="majorEastAsia" w:hAnsiTheme="majorEastAsia" w:eastAsiaTheme="majorEastAsia"/>
                <w:sz w:val="21"/>
                <w:szCs w:val="21"/>
              </w:rPr>
            </w:pPr>
            <w:r>
              <w:rPr>
                <w:rFonts w:hint="eastAsia" w:asciiTheme="majorEastAsia" w:hAnsiTheme="majorEastAsia" w:eastAsiaTheme="majorEastAsia"/>
                <w:color w:val="000000"/>
                <w:sz w:val="21"/>
                <w:szCs w:val="21"/>
                <w:lang w:val="en-US"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9" w:type="dxa"/>
            <w:vAlign w:val="center"/>
          </w:tcPr>
          <w:p>
            <w:pPr>
              <w:numPr>
                <w:ilvl w:val="0"/>
                <w:numId w:val="1"/>
              </w:numPr>
              <w:spacing w:line="360" w:lineRule="auto"/>
              <w:jc w:val="center"/>
              <w:rPr>
                <w:rFonts w:asciiTheme="majorEastAsia" w:hAnsiTheme="majorEastAsia" w:eastAsiaTheme="majorEastAsia"/>
                <w:sz w:val="21"/>
                <w:szCs w:val="21"/>
              </w:rPr>
            </w:pPr>
          </w:p>
        </w:tc>
        <w:tc>
          <w:tcPr>
            <w:tcW w:w="1769" w:type="dxa"/>
            <w:vAlign w:val="center"/>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技术调试</w:t>
            </w:r>
          </w:p>
        </w:tc>
        <w:tc>
          <w:tcPr>
            <w:tcW w:w="5387"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供电试验，调试、供电接剪火、实验、规划设计，验收校验、等</w:t>
            </w:r>
          </w:p>
        </w:tc>
        <w:tc>
          <w:tcPr>
            <w:tcW w:w="708"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项</w:t>
            </w:r>
          </w:p>
        </w:tc>
        <w:tc>
          <w:tcPr>
            <w:tcW w:w="742" w:type="dxa"/>
          </w:tcPr>
          <w:p>
            <w:pPr>
              <w:widowControl/>
              <w:spacing w:line="360" w:lineRule="auto"/>
              <w:jc w:val="left"/>
              <w:textAlignment w:val="center"/>
              <w:rPr>
                <w:rFonts w:asciiTheme="majorEastAsia" w:hAnsiTheme="majorEastAsia" w:eastAsiaTheme="majorEastAsia"/>
                <w:color w:val="000000"/>
                <w:sz w:val="21"/>
                <w:szCs w:val="21"/>
                <w:lang w:val="en-US" w:bidi="ar"/>
              </w:rPr>
            </w:pPr>
            <w:r>
              <w:rPr>
                <w:rFonts w:hint="eastAsia" w:asciiTheme="majorEastAsia" w:hAnsiTheme="majorEastAsia" w:eastAsiaTheme="majorEastAsia"/>
                <w:color w:val="000000"/>
                <w:sz w:val="21"/>
                <w:szCs w:val="21"/>
                <w:lang w:val="en-US" w:bidi="ar"/>
              </w:rPr>
              <w:t>1</w:t>
            </w:r>
          </w:p>
        </w:tc>
      </w:tr>
    </w:tbl>
    <w:p>
      <w:pPr>
        <w:pStyle w:val="7"/>
        <w:widowControl/>
        <w:autoSpaceDE/>
        <w:autoSpaceDN/>
        <w:adjustRightInd/>
        <w:snapToGrid/>
        <w:spacing w:before="0" w:beforeAutospacing="0" w:after="0" w:afterAutospacing="0" w:line="360" w:lineRule="auto"/>
        <w:ind w:firstLine="420" w:firstLineChars="200"/>
        <w:jc w:val="both"/>
        <w:rPr>
          <w:rFonts w:asciiTheme="majorEastAsia" w:hAnsiTheme="majorEastAsia" w:eastAsiaTheme="majorEastAsia"/>
          <w:sz w:val="21"/>
          <w:szCs w:val="21"/>
        </w:rPr>
      </w:pPr>
      <w:bookmarkStart w:id="0" w:name="_GoBack"/>
      <w:bookmarkEnd w:id="0"/>
    </w:p>
    <w:p>
      <w:pPr>
        <w:spacing w:line="360" w:lineRule="auto"/>
        <w:ind w:firstLine="105" w:firstLineChars="50"/>
        <w:jc w:val="center"/>
        <w:rPr>
          <w:rFonts w:asciiTheme="majorEastAsia" w:hAnsiTheme="majorEastAsia" w:eastAsiaTheme="majorEastAsia"/>
          <w:sz w:val="21"/>
          <w:szCs w:val="21"/>
          <w:lang w:val="en-US"/>
        </w:rPr>
      </w:pPr>
    </w:p>
    <w:p>
      <w:pPr>
        <w:spacing w:line="360" w:lineRule="auto"/>
        <w:rPr>
          <w:rFonts w:asciiTheme="majorEastAsia" w:hAnsiTheme="majorEastAsia" w:eastAsiaTheme="majorEastAsia"/>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BCCC98"/>
    <w:multiLevelType w:val="singleLevel"/>
    <w:tmpl w:val="EABCCC9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7548BB"/>
    <w:rsid w:val="00017C68"/>
    <w:rsid w:val="0006704B"/>
    <w:rsid w:val="000F225C"/>
    <w:rsid w:val="00192E2A"/>
    <w:rsid w:val="00235BFE"/>
    <w:rsid w:val="003020C7"/>
    <w:rsid w:val="003505CE"/>
    <w:rsid w:val="004609B1"/>
    <w:rsid w:val="00552FF5"/>
    <w:rsid w:val="0072030D"/>
    <w:rsid w:val="007A4D57"/>
    <w:rsid w:val="00816DB7"/>
    <w:rsid w:val="008A206C"/>
    <w:rsid w:val="00946771"/>
    <w:rsid w:val="00CE0BA2"/>
    <w:rsid w:val="00CE479A"/>
    <w:rsid w:val="00E72974"/>
    <w:rsid w:val="00E93B03"/>
    <w:rsid w:val="0C7548BB"/>
    <w:rsid w:val="0E945D61"/>
    <w:rsid w:val="13523C61"/>
    <w:rsid w:val="24F714A5"/>
    <w:rsid w:val="30192FB7"/>
    <w:rsid w:val="38F16D7C"/>
    <w:rsid w:val="44A66FBE"/>
    <w:rsid w:val="475316CD"/>
    <w:rsid w:val="47D319C5"/>
    <w:rsid w:val="71243D0D"/>
    <w:rsid w:val="71DE2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snapToGrid w:val="0"/>
    </w:pPr>
    <w:rPr>
      <w:rFonts w:ascii="宋体" w:hAnsi="宋体" w:eastAsia="宋体" w:cs="宋体"/>
      <w:sz w:val="22"/>
      <w:szCs w:val="22"/>
      <w:lang w:val="zh-CN" w:eastAsia="zh-CN" w:bidi="zh-CN"/>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line="360" w:lineRule="auto"/>
      <w:ind w:left="516"/>
    </w:pPr>
    <w:rPr>
      <w:sz w:val="21"/>
      <w:szCs w:val="21"/>
    </w:rPr>
  </w:style>
  <w:style w:type="paragraph" w:styleId="3">
    <w:name w:val="annotation text"/>
    <w:basedOn w:val="1"/>
    <w:link w:val="17"/>
    <w:uiPriority w:val="0"/>
  </w:style>
  <w:style w:type="paragraph" w:styleId="4">
    <w:name w:val="Balloon Text"/>
    <w:basedOn w:val="1"/>
    <w:link w:val="19"/>
    <w:uiPriority w:val="0"/>
    <w:rPr>
      <w:sz w:val="18"/>
      <w:szCs w:val="18"/>
    </w:rPr>
  </w:style>
  <w:style w:type="paragraph" w:styleId="5">
    <w:name w:val="footer"/>
    <w:basedOn w:val="1"/>
    <w:uiPriority w:val="0"/>
    <w:pPr>
      <w:tabs>
        <w:tab w:val="center" w:pos="4153"/>
        <w:tab w:val="right" w:pos="8306"/>
      </w:tabs>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7">
    <w:name w:val="Normal (Web)"/>
    <w:basedOn w:val="1"/>
    <w:qFormat/>
    <w:uiPriority w:val="0"/>
    <w:pPr>
      <w:spacing w:before="100" w:beforeAutospacing="1" w:after="100" w:afterAutospacing="1"/>
    </w:pPr>
    <w:rPr>
      <w:sz w:val="24"/>
      <w:lang w:val="en-US"/>
    </w:rPr>
  </w:style>
  <w:style w:type="paragraph" w:styleId="8">
    <w:name w:val="annotation subject"/>
    <w:basedOn w:val="3"/>
    <w:next w:val="3"/>
    <w:link w:val="18"/>
    <w:uiPriority w:val="0"/>
    <w:rPr>
      <w:b/>
      <w:bCs/>
    </w:rPr>
  </w:style>
  <w:style w:type="paragraph" w:styleId="9">
    <w:name w:val="Body Text First Indent"/>
    <w:basedOn w:val="2"/>
    <w:qFormat/>
    <w:uiPriority w:val="0"/>
    <w:pPr>
      <w:ind w:firstLine="420" w:firstLineChars="100"/>
    </w:pPr>
    <w:rPr>
      <w:rFonts w:ascii="Times New Roman" w:hAnsi="Times New Roman"/>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333333"/>
      <w:u w:val="none"/>
    </w:rPr>
  </w:style>
  <w:style w:type="character" w:styleId="14">
    <w:name w:val="annotation reference"/>
    <w:basedOn w:val="12"/>
    <w:uiPriority w:val="0"/>
    <w:rPr>
      <w:sz w:val="21"/>
      <w:szCs w:val="21"/>
    </w:rPr>
  </w:style>
  <w:style w:type="paragraph" w:customStyle="1" w:styleId="15">
    <w:name w:val="列出段落1"/>
    <w:basedOn w:val="1"/>
    <w:qFormat/>
    <w:uiPriority w:val="34"/>
    <w:pPr>
      <w:autoSpaceDE/>
      <w:autoSpaceDN/>
      <w:adjustRightInd/>
      <w:snapToGrid/>
      <w:ind w:firstLine="200" w:firstLineChars="200"/>
      <w:jc w:val="both"/>
    </w:pPr>
    <w:rPr>
      <w:rFonts w:ascii="Calibri" w:hAnsi="Calibri" w:eastAsiaTheme="minorEastAsia" w:cstheme="minorBidi"/>
      <w:kern w:val="2"/>
      <w:sz w:val="21"/>
      <w:lang w:val="en-US" w:bidi="ar-SA"/>
    </w:rPr>
  </w:style>
  <w:style w:type="paragraph" w:styleId="16">
    <w:name w:val="List Paragraph"/>
    <w:basedOn w:val="1"/>
    <w:qFormat/>
    <w:uiPriority w:val="1"/>
    <w:pPr>
      <w:spacing w:before="139"/>
      <w:ind w:left="518" w:hanging="424"/>
    </w:pPr>
  </w:style>
  <w:style w:type="character" w:customStyle="1" w:styleId="17">
    <w:name w:val="批注文字 字符"/>
    <w:basedOn w:val="12"/>
    <w:link w:val="3"/>
    <w:uiPriority w:val="0"/>
    <w:rPr>
      <w:rFonts w:ascii="宋体" w:hAnsi="宋体" w:cs="宋体"/>
      <w:sz w:val="22"/>
      <w:szCs w:val="22"/>
      <w:lang w:val="zh-CN" w:bidi="zh-CN"/>
    </w:rPr>
  </w:style>
  <w:style w:type="character" w:customStyle="1" w:styleId="18">
    <w:name w:val="批注主题 字符"/>
    <w:basedOn w:val="17"/>
    <w:link w:val="8"/>
    <w:uiPriority w:val="0"/>
    <w:rPr>
      <w:rFonts w:ascii="宋体" w:hAnsi="宋体" w:cs="宋体"/>
      <w:b/>
      <w:bCs/>
      <w:sz w:val="22"/>
      <w:szCs w:val="22"/>
      <w:lang w:val="zh-CN" w:bidi="zh-CN"/>
    </w:rPr>
  </w:style>
  <w:style w:type="character" w:customStyle="1" w:styleId="19">
    <w:name w:val="批注框文本 字符"/>
    <w:basedOn w:val="12"/>
    <w:link w:val="4"/>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723</Words>
  <Characters>4127</Characters>
  <Lines>34</Lines>
  <Paragraphs>9</Paragraphs>
  <TotalTime>26</TotalTime>
  <ScaleCrop>false</ScaleCrop>
  <LinksUpToDate>false</LinksUpToDate>
  <CharactersWithSpaces>4841</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2020-05-22T11:13:00Z</dcterms:created>
  <dc:creator>Ke笑1375932622</dc:creator>
  <cp:lastModifiedBy>Administrator</cp:lastModifiedBy>
  <dcterms:modified xsi:type="dcterms:W3CDTF">2021-03-29T07:43:37Z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286C1CDAF17847E5A82DD87828098DF1</vt:lpwstr>
  </property>
</Properties>
</file>