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757" w:tblpY="678"/>
        <w:tblOverlap w:val="never"/>
        <w:tblW w:w="9227" w:type="dxa"/>
        <w:tblInd w:w="0" w:type="dxa"/>
        <w:tblLayout w:type="fixed"/>
        <w:tblCellMar>
          <w:top w:w="0" w:type="dxa"/>
          <w:left w:w="108" w:type="dxa"/>
          <w:bottom w:w="0" w:type="dxa"/>
          <w:right w:w="108" w:type="dxa"/>
        </w:tblCellMar>
      </w:tblPr>
      <w:tblGrid>
        <w:gridCol w:w="818"/>
        <w:gridCol w:w="1332"/>
        <w:gridCol w:w="1145"/>
        <w:gridCol w:w="1528"/>
        <w:gridCol w:w="586"/>
        <w:gridCol w:w="347"/>
        <w:gridCol w:w="1044"/>
        <w:gridCol w:w="1275"/>
        <w:gridCol w:w="1152"/>
      </w:tblGrid>
      <w:tr>
        <w:tblPrEx>
          <w:tblCellMar>
            <w:top w:w="0" w:type="dxa"/>
            <w:left w:w="108" w:type="dxa"/>
            <w:bottom w:w="0" w:type="dxa"/>
            <w:right w:w="108" w:type="dxa"/>
          </w:tblCellMar>
        </w:tblPrEx>
        <w:trPr>
          <w:trHeight w:val="685" w:hRule="atLeast"/>
        </w:trPr>
        <w:tc>
          <w:tcPr>
            <w:tcW w:w="818" w:type="dxa"/>
            <w:tcBorders>
              <w:top w:val="single" w:color="auto" w:sz="4" w:space="0"/>
              <w:left w:val="single" w:color="auto" w:sz="4" w:space="0"/>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序号</w:t>
            </w:r>
          </w:p>
        </w:tc>
        <w:tc>
          <w:tcPr>
            <w:tcW w:w="1332"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产品名称</w:t>
            </w:r>
          </w:p>
        </w:tc>
        <w:tc>
          <w:tcPr>
            <w:tcW w:w="1145"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品牌型号</w:t>
            </w:r>
          </w:p>
        </w:tc>
        <w:tc>
          <w:tcPr>
            <w:tcW w:w="1528"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生产厂商全称</w:t>
            </w:r>
          </w:p>
        </w:tc>
        <w:tc>
          <w:tcPr>
            <w:tcW w:w="586"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数量</w:t>
            </w:r>
          </w:p>
        </w:tc>
        <w:tc>
          <w:tcPr>
            <w:tcW w:w="347"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单位</w:t>
            </w:r>
          </w:p>
        </w:tc>
        <w:tc>
          <w:tcPr>
            <w:tcW w:w="1044"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单价</w:t>
            </w:r>
          </w:p>
        </w:tc>
        <w:tc>
          <w:tcPr>
            <w:tcW w:w="1275"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金额（元）</w:t>
            </w:r>
          </w:p>
        </w:tc>
        <w:tc>
          <w:tcPr>
            <w:tcW w:w="1152" w:type="dxa"/>
            <w:tcBorders>
              <w:top w:val="single" w:color="auto" w:sz="4" w:space="0"/>
              <w:left w:val="nil"/>
              <w:bottom w:val="nil"/>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备注（三年售后）</w:t>
            </w:r>
          </w:p>
        </w:tc>
      </w:tr>
      <w:tr>
        <w:tblPrEx>
          <w:tblCellMar>
            <w:top w:w="0" w:type="dxa"/>
            <w:left w:w="108" w:type="dxa"/>
            <w:bottom w:w="0" w:type="dxa"/>
            <w:right w:w="108" w:type="dxa"/>
          </w:tblCellMar>
        </w:tblPrEx>
        <w:trPr>
          <w:trHeight w:val="543" w:hRule="atLeast"/>
        </w:trPr>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防火墙</w:t>
            </w:r>
          </w:p>
        </w:tc>
        <w:tc>
          <w:tcPr>
            <w:tcW w:w="114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网御星云P</w:t>
            </w:r>
            <w:r>
              <w:rPr>
                <w:rFonts w:hint="eastAsia" w:asciiTheme="minorEastAsia" w:hAnsiTheme="minorEastAsia" w:eastAsiaTheme="minorEastAsia" w:cstheme="minorEastAsia"/>
                <w:color w:val="000000"/>
                <w:sz w:val="21"/>
                <w:szCs w:val="21"/>
                <w:lang w:val="en-US" w:bidi="ar-SA"/>
              </w:rPr>
              <w:t>ower V6000-F2510ED</w:t>
            </w:r>
          </w:p>
        </w:tc>
        <w:tc>
          <w:tcPr>
            <w:tcW w:w="152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套</w:t>
            </w:r>
          </w:p>
        </w:tc>
        <w:tc>
          <w:tcPr>
            <w:tcW w:w="1044"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98,000</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98,000</w:t>
            </w:r>
          </w:p>
        </w:tc>
        <w:tc>
          <w:tcPr>
            <w:tcW w:w="115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w:t>
            </w:r>
            <w:r>
              <w:rPr>
                <w:rFonts w:hint="eastAsia" w:asciiTheme="minorEastAsia" w:hAnsiTheme="minorEastAsia" w:eastAsiaTheme="minorEastAsia" w:cstheme="minorEastAsia"/>
                <w:color w:val="000000"/>
                <w:sz w:val="21"/>
                <w:szCs w:val="21"/>
                <w:lang w:val="en-US" w:bidi="ar-SA"/>
              </w:rPr>
              <w:t>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2</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入侵防护</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PowerV6000-P2200</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90,000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90,000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三年特征库升级</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3</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入侵检测</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TD3000-FS-HD</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96,000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96,000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三年特征库升级</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4</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出口防火墙</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网御星云P</w:t>
            </w:r>
            <w:r>
              <w:rPr>
                <w:rFonts w:hint="eastAsia" w:asciiTheme="minorEastAsia" w:hAnsiTheme="minorEastAsia" w:eastAsiaTheme="minorEastAsia" w:cstheme="minorEastAsia"/>
                <w:color w:val="000000"/>
                <w:sz w:val="21"/>
                <w:szCs w:val="21"/>
                <w:lang w:val="en-US" w:bidi="ar-SA"/>
              </w:rPr>
              <w:t>ower V6000-F2410E</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套</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98,000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98,000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5</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防病毒</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PowerV6000-A2310</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105,000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105,000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三年特征库升级</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6</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上网行为管理</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LeadsecACM-N2015</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112,600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112,600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三年特征库升级</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7</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漏洞扫描</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网御星云T</w:t>
            </w:r>
            <w:r>
              <w:rPr>
                <w:rFonts w:hint="eastAsia" w:asciiTheme="minorEastAsia" w:hAnsiTheme="minorEastAsia" w:eastAsiaTheme="minorEastAsia" w:cstheme="minorEastAsia"/>
                <w:color w:val="000000"/>
                <w:sz w:val="21"/>
                <w:szCs w:val="21"/>
                <w:lang w:val="en-US" w:bidi="ar-SA"/>
              </w:rPr>
              <w:t>S-SC-E1010</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95,000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95,000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100IP 授权</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8</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日志审计</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Leadsec-RS-300</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108,000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108,000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30个授权</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9</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运维安全网关</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LA-OS-4600-S</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95,000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95,000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50个授权</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10</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数据库审计</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网御星云</w:t>
            </w:r>
            <w:r>
              <w:rPr>
                <w:rFonts w:hint="eastAsia" w:asciiTheme="minorEastAsia" w:hAnsiTheme="minorEastAsia" w:eastAsiaTheme="minorEastAsia" w:cstheme="minorEastAsia"/>
                <w:color w:val="000000"/>
                <w:sz w:val="21"/>
                <w:szCs w:val="21"/>
                <w:lang w:val="en-US" w:bidi="ar-SA"/>
              </w:rPr>
              <w:t>LA-DAP-1200-UR</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套</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138,000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138,000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11</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杀毒软件</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三六零</w:t>
            </w:r>
            <w:r>
              <w:rPr>
                <w:rFonts w:hint="eastAsia" w:asciiTheme="minorEastAsia" w:hAnsiTheme="minorEastAsia" w:eastAsiaTheme="minorEastAsia" w:cstheme="minorEastAsia"/>
                <w:color w:val="000000"/>
                <w:sz w:val="21"/>
                <w:szCs w:val="21"/>
                <w:lang w:val="en-US" w:bidi="ar-SA"/>
              </w:rPr>
              <w:t>EN-EP1000-C-SW</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三六零安全科技股份有限公司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套</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100,000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100,000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500个终端</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12</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技术服务费</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技术服务费</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河北华测信息技术有限公司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4</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项</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75,000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300,000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四个系统三级测评</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13</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机房改造</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bCs/>
                <w:sz w:val="21"/>
                <w:szCs w:val="21"/>
                <w:lang w:val="en-US" w:bidi="ar-SA"/>
              </w:rPr>
              <w:t>机房整改</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现场施工服务　</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项</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120,000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120,000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14</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交换机</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rPr>
              <w:t>华为</w:t>
            </w:r>
            <w:r>
              <w:rPr>
                <w:rFonts w:hint="eastAsia" w:asciiTheme="minorEastAsia" w:hAnsiTheme="minorEastAsia" w:eastAsiaTheme="minorEastAsia" w:cstheme="minorEastAsia"/>
                <w:color w:val="000000"/>
                <w:sz w:val="21"/>
                <w:szCs w:val="21"/>
                <w:lang w:val="en-US" w:bidi="ar-SA"/>
              </w:rPr>
              <w:t>s5720s-52p-si-ac　</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　华为技术有限公司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5</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5,000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25,000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质保一年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15</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电视机</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PHILIPS55PUF7295　</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冠捷显示科技（厦门）有限公司　</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2,700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2,700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提供节能证书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16</w:t>
            </w:r>
          </w:p>
        </w:tc>
        <w:tc>
          <w:tcPr>
            <w:tcW w:w="1332" w:type="dxa"/>
            <w:tcBorders>
              <w:top w:val="nil"/>
              <w:left w:val="nil"/>
              <w:bottom w:val="nil"/>
              <w:right w:val="nil"/>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网络整改服务</w:t>
            </w:r>
          </w:p>
        </w:tc>
        <w:tc>
          <w:tcPr>
            <w:tcW w:w="1145"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ind w:firstLine="105" w:firstLineChars="50"/>
              <w:rPr>
                <w:rFonts w:hint="eastAsia" w:asciiTheme="minorEastAsia" w:hAnsiTheme="minorEastAsia" w:eastAsiaTheme="minorEastAsia" w:cstheme="minorEastAsia"/>
                <w:sz w:val="21"/>
                <w:szCs w:val="21"/>
                <w:lang w:val="en-US" w:bidi="ar-SA"/>
              </w:rPr>
            </w:pPr>
            <w:r>
              <w:rPr>
                <w:rFonts w:hint="eastAsia" w:asciiTheme="minorEastAsia" w:hAnsiTheme="minorEastAsia" w:eastAsiaTheme="minorEastAsia" w:cstheme="minorEastAsia"/>
                <w:sz w:val="21"/>
                <w:szCs w:val="21"/>
                <w:lang w:val="en-US" w:bidi="ar-SA"/>
              </w:rPr>
              <w:t>整个中医院网络布线服务</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现场施工服务　</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60,000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60,000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Cs/>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17</w:t>
            </w:r>
          </w:p>
        </w:tc>
        <w:tc>
          <w:tcPr>
            <w:tcW w:w="133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机柜</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ind w:firstLine="105" w:firstLineChars="50"/>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sz w:val="21"/>
                <w:szCs w:val="21"/>
                <w:lang w:val="en-US" w:bidi="ar-SA"/>
              </w:rPr>
              <w:t>越腾</w:t>
            </w:r>
            <w:r>
              <w:rPr>
                <w:rFonts w:hint="eastAsia" w:asciiTheme="minorEastAsia" w:hAnsiTheme="minorEastAsia" w:eastAsiaTheme="minorEastAsia" w:cstheme="minorEastAsia"/>
                <w:color w:val="000000"/>
                <w:sz w:val="21"/>
                <w:szCs w:val="21"/>
                <w:lang w:val="en-US" w:bidi="ar-SA"/>
              </w:rPr>
              <w:t>42U标准服务器机柜</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sz w:val="21"/>
                <w:szCs w:val="21"/>
                <w:lang w:val="en-US" w:bidi="ar-SA"/>
              </w:rPr>
            </w:pPr>
            <w:r>
              <w:rPr>
                <w:rFonts w:hint="eastAsia" w:asciiTheme="minorEastAsia" w:hAnsiTheme="minorEastAsia" w:eastAsiaTheme="minorEastAsia" w:cstheme="minorEastAsia"/>
                <w:b/>
                <w:bCs/>
                <w:sz w:val="21"/>
                <w:szCs w:val="21"/>
                <w:lang w:val="en-US" w:bidi="ar-SA"/>
              </w:rPr>
              <w:t>河南越腾网络设备有限公司　</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台</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3,500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3,500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Cs/>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　</w:t>
            </w:r>
          </w:p>
        </w:tc>
      </w:tr>
      <w:tr>
        <w:tblPrEx>
          <w:tblCellMar>
            <w:top w:w="0" w:type="dxa"/>
            <w:left w:w="108" w:type="dxa"/>
            <w:bottom w:w="0" w:type="dxa"/>
            <w:right w:w="108" w:type="dxa"/>
          </w:tblCellMar>
        </w:tblPrEx>
        <w:trPr>
          <w:trHeight w:val="543"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18</w:t>
            </w:r>
          </w:p>
        </w:tc>
        <w:tc>
          <w:tcPr>
            <w:tcW w:w="133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安全运维服务</w:t>
            </w:r>
          </w:p>
        </w:tc>
        <w:tc>
          <w:tcPr>
            <w:tcW w:w="114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技术服务费</w:t>
            </w:r>
          </w:p>
        </w:tc>
        <w:tc>
          <w:tcPr>
            <w:tcW w:w="1528"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北京网御星云信息技术有限公司</w:t>
            </w:r>
          </w:p>
        </w:tc>
        <w:tc>
          <w:tcPr>
            <w:tcW w:w="58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3</w:t>
            </w:r>
          </w:p>
        </w:tc>
        <w:tc>
          <w:tcPr>
            <w:tcW w:w="347"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年</w:t>
            </w:r>
          </w:p>
        </w:tc>
        <w:tc>
          <w:tcPr>
            <w:tcW w:w="1044"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50,000</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150,000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Cs/>
                <w:color w:val="000000"/>
                <w:sz w:val="21"/>
                <w:szCs w:val="21"/>
                <w:lang w:val="en-US" w:bidi="ar-SA"/>
              </w:rPr>
            </w:pPr>
            <w:r>
              <w:rPr>
                <w:rFonts w:hint="eastAsia" w:asciiTheme="minorEastAsia" w:hAnsiTheme="minorEastAsia" w:eastAsiaTheme="minorEastAsia" w:cstheme="minorEastAsia"/>
                <w:bCs/>
                <w:color w:val="000000"/>
                <w:sz w:val="21"/>
                <w:szCs w:val="21"/>
                <w:lang w:val="en-US" w:bidi="ar-SA"/>
              </w:rPr>
              <w:t>三年售后　</w:t>
            </w:r>
          </w:p>
        </w:tc>
      </w:tr>
      <w:tr>
        <w:tblPrEx>
          <w:tblCellMar>
            <w:top w:w="0" w:type="dxa"/>
            <w:left w:w="108" w:type="dxa"/>
            <w:bottom w:w="0" w:type="dxa"/>
            <w:right w:w="108" w:type="dxa"/>
          </w:tblCellMar>
        </w:tblPrEx>
        <w:trPr>
          <w:trHeight w:val="543" w:hRule="atLeast"/>
        </w:trPr>
        <w:tc>
          <w:tcPr>
            <w:tcW w:w="680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合计：</w:t>
            </w:r>
          </w:p>
        </w:tc>
        <w:tc>
          <w:tcPr>
            <w:tcW w:w="127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1,796,800</w:t>
            </w:r>
          </w:p>
        </w:tc>
        <w:tc>
          <w:tcPr>
            <w:tcW w:w="1152"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　</w:t>
            </w:r>
          </w:p>
        </w:tc>
      </w:tr>
    </w:tbl>
    <w:p>
      <w:pPr>
        <w:spacing w:line="240" w:lineRule="auto"/>
        <w:rPr>
          <w:rFonts w:hint="eastAsia" w:asciiTheme="minorEastAsia" w:hAnsiTheme="minorEastAsia" w:eastAsiaTheme="minorEastAsia" w:cstheme="minorEastAsia"/>
          <w:sz w:val="21"/>
          <w:szCs w:val="21"/>
        </w:rPr>
        <w:sectPr>
          <w:headerReference r:id="rId3" w:type="default"/>
          <w:footerReference r:id="rId4" w:type="default"/>
          <w:pgSz w:w="11906" w:h="16838"/>
          <w:pgMar w:top="1440" w:right="1800" w:bottom="1440" w:left="1800" w:header="851" w:footer="992" w:gutter="0"/>
          <w:cols w:space="425" w:num="1"/>
          <w:docGrid w:type="linesAndChars" w:linePitch="312" w:charSpace="0"/>
        </w:sectPr>
      </w:pPr>
    </w:p>
    <w:p>
      <w:pPr>
        <w:spacing w:line="240" w:lineRule="auto"/>
        <w:rPr>
          <w:rFonts w:hint="eastAsia" w:asciiTheme="minorEastAsia" w:hAnsiTheme="minorEastAsia" w:eastAsiaTheme="minorEastAsia" w:cstheme="minorEastAsia"/>
          <w:sz w:val="21"/>
          <w:szCs w:val="21"/>
        </w:rPr>
      </w:pPr>
    </w:p>
    <w:tbl>
      <w:tblPr>
        <w:tblStyle w:val="6"/>
        <w:tblpPr w:leftFromText="180" w:rightFromText="180" w:vertAnchor="text" w:horzAnchor="margin" w:tblpX="-239" w:tblpY="16"/>
        <w:tblW w:w="9246" w:type="dxa"/>
        <w:tblInd w:w="0" w:type="dxa"/>
        <w:tblLayout w:type="fixed"/>
        <w:tblCellMar>
          <w:top w:w="0" w:type="dxa"/>
          <w:left w:w="108" w:type="dxa"/>
          <w:bottom w:w="0" w:type="dxa"/>
          <w:right w:w="108" w:type="dxa"/>
        </w:tblCellMar>
      </w:tblPr>
      <w:tblGrid>
        <w:gridCol w:w="960"/>
        <w:gridCol w:w="1291"/>
        <w:gridCol w:w="6995"/>
      </w:tblGrid>
      <w:tr>
        <w:tblPrEx>
          <w:tblCellMar>
            <w:top w:w="0" w:type="dxa"/>
            <w:left w:w="108" w:type="dxa"/>
            <w:bottom w:w="0" w:type="dxa"/>
            <w:right w:w="108" w:type="dxa"/>
          </w:tblCellMar>
        </w:tblPrEx>
        <w:trPr>
          <w:trHeight w:val="70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序号</w:t>
            </w:r>
          </w:p>
        </w:tc>
        <w:tc>
          <w:tcPr>
            <w:tcW w:w="129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名称</w:t>
            </w:r>
          </w:p>
        </w:tc>
        <w:tc>
          <w:tcPr>
            <w:tcW w:w="699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eastAsia="zh-CN" w:bidi="ar-SA"/>
              </w:rPr>
            </w:pPr>
            <w:r>
              <w:rPr>
                <w:rFonts w:hint="eastAsia" w:asciiTheme="minorEastAsia" w:hAnsiTheme="minorEastAsia" w:eastAsiaTheme="minorEastAsia" w:cstheme="minorEastAsia"/>
                <w:b/>
                <w:bCs/>
                <w:color w:val="000000"/>
                <w:sz w:val="21"/>
                <w:szCs w:val="21"/>
                <w:lang w:val="en-US" w:eastAsia="zh-CN" w:bidi="ar-SA"/>
              </w:rPr>
              <w:t>参数</w:t>
            </w:r>
          </w:p>
        </w:tc>
      </w:tr>
      <w:tr>
        <w:tblPrEx>
          <w:tblCellMar>
            <w:top w:w="0" w:type="dxa"/>
            <w:left w:w="108" w:type="dxa"/>
            <w:bottom w:w="0" w:type="dxa"/>
            <w:right w:w="108" w:type="dxa"/>
          </w:tblCellMar>
        </w:tblPrEx>
        <w:trPr>
          <w:trHeight w:val="656"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防火墙系统</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配置：1U机架式设备，10个10/100/1000M Base-TX，4光SFP接口，冗余电源，配置一块64G SSD硬盘；整机吞吐20Gbps，每秒新建连接数18万，并发连接数350万；</w:t>
            </w:r>
          </w:p>
        </w:tc>
      </w:tr>
      <w:tr>
        <w:tblPrEx>
          <w:tblCellMar>
            <w:top w:w="0" w:type="dxa"/>
            <w:left w:w="108" w:type="dxa"/>
            <w:bottom w:w="0" w:type="dxa"/>
            <w:right w:w="108" w:type="dxa"/>
          </w:tblCellMar>
        </w:tblPrEx>
        <w:trPr>
          <w:trHeight w:val="537"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★.产品具有《多核多线程ASIC并行操作系统软件著作权登记证书》（已提供证明文件扫描件）；(详见八、技术部分8.1.1)</w:t>
            </w:r>
          </w:p>
        </w:tc>
      </w:tr>
      <w:tr>
        <w:tblPrEx>
          <w:tblCellMar>
            <w:top w:w="0" w:type="dxa"/>
            <w:left w:w="108" w:type="dxa"/>
            <w:bottom w:w="0" w:type="dxa"/>
            <w:right w:w="108" w:type="dxa"/>
          </w:tblCellMar>
        </w:tblPrEx>
        <w:trPr>
          <w:trHeight w:val="66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★.支持≥3个操作系统，并可WEB界面上配置启动顺序，要求除恢复系统之外，还可支持系统一键式切换及完整备份（已提供证明文件扫描件）；(详见八、技术部分8.1.1)</w:t>
            </w:r>
          </w:p>
        </w:tc>
      </w:tr>
      <w:tr>
        <w:tblPrEx>
          <w:tblCellMar>
            <w:top w:w="0" w:type="dxa"/>
            <w:left w:w="108" w:type="dxa"/>
            <w:bottom w:w="0" w:type="dxa"/>
            <w:right w:w="108" w:type="dxa"/>
          </w:tblCellMar>
        </w:tblPrEx>
        <w:trPr>
          <w:trHeight w:val="72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★.支持入侵防御事件库至少应包括木马后门、间谍软件、可疑行为、安全漏洞及网络数据库攻击等的特征事件，提供界面截图扫描件（每种特征一张共5张）；(详见八、技术部分8.1.1)</w:t>
            </w:r>
          </w:p>
        </w:tc>
      </w:tr>
      <w:tr>
        <w:tblPrEx>
          <w:tblCellMar>
            <w:top w:w="0" w:type="dxa"/>
            <w:left w:w="108" w:type="dxa"/>
            <w:bottom w:w="0" w:type="dxa"/>
            <w:right w:w="108" w:type="dxa"/>
          </w:tblCellMar>
        </w:tblPrEx>
        <w:trPr>
          <w:trHeight w:val="725"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☆.产品支持节能降耗电子信息技术，入围工信部《电子信息节能技术开发与应用方案推荐目录》（已提供证明文件扫描件）；(详见八、技术部分8.1.2)</w:t>
            </w:r>
          </w:p>
        </w:tc>
      </w:tr>
      <w:tr>
        <w:tblPrEx>
          <w:tblCellMar>
            <w:top w:w="0" w:type="dxa"/>
            <w:left w:w="108" w:type="dxa"/>
            <w:bottom w:w="0" w:type="dxa"/>
            <w:right w:w="108" w:type="dxa"/>
          </w:tblCellMar>
        </w:tblPrEx>
        <w:trPr>
          <w:trHeight w:val="645"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★.支持具备先进的专利级别的技术，支持多重冗余协议(MRP)，实现链路备份、端口冗余、双机热备份、集群备份等（已提供证明文件扫描件）；(详见八、技术部分8.1.1)</w:t>
            </w:r>
          </w:p>
        </w:tc>
      </w:tr>
      <w:tr>
        <w:tblPrEx>
          <w:tblCellMar>
            <w:top w:w="0" w:type="dxa"/>
            <w:left w:w="108" w:type="dxa"/>
            <w:bottom w:w="0" w:type="dxa"/>
            <w:right w:w="108" w:type="dxa"/>
          </w:tblCellMar>
        </w:tblPrEx>
        <w:trPr>
          <w:trHeight w:val="62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★.具有《下一代防火墙计算机软件著作权登记证书》注明NGFW字样（已提供证明文件扫描件）；(详见八、技术部分8.1.1)</w:t>
            </w:r>
          </w:p>
        </w:tc>
      </w:tr>
      <w:tr>
        <w:tblPrEx>
          <w:tblCellMar>
            <w:top w:w="0" w:type="dxa"/>
            <w:left w:w="108" w:type="dxa"/>
            <w:bottom w:w="0" w:type="dxa"/>
            <w:right w:w="108" w:type="dxa"/>
          </w:tblCellMar>
        </w:tblPrEx>
        <w:trPr>
          <w:trHeight w:val="537"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☆.支持IPv6 Ready第二阶段核心金牌认证证书（已提供证明文件扫描件）,(详见八、技术部分8.1.2)</w:t>
            </w:r>
          </w:p>
        </w:tc>
      </w:tr>
      <w:tr>
        <w:tblPrEx>
          <w:tblCellMar>
            <w:top w:w="0" w:type="dxa"/>
            <w:left w:w="108" w:type="dxa"/>
            <w:bottom w:w="0" w:type="dxa"/>
            <w:right w:w="108" w:type="dxa"/>
          </w:tblCellMar>
        </w:tblPrEx>
        <w:trPr>
          <w:trHeight w:val="1336"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2</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入侵防护系统</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配置：1U标准机架式硬件设备，采用自主版权的高性能多核多平台并行安全操作系统；端口配置：6个10/100/1000M Base-TX；12个combo接口；最大整机吞吐量8GB，最大并发连接500万，每秒新建连接10万，含三年特征库升级，为方便统一安全运维管理，与防火墙为同一品牌。</w:t>
            </w:r>
          </w:p>
        </w:tc>
      </w:tr>
      <w:tr>
        <w:tblPrEx>
          <w:tblCellMar>
            <w:top w:w="0" w:type="dxa"/>
            <w:left w:w="108" w:type="dxa"/>
            <w:bottom w:w="0" w:type="dxa"/>
            <w:right w:w="108" w:type="dxa"/>
          </w:tblCellMar>
        </w:tblPrEx>
        <w:trPr>
          <w:trHeight w:val="1124"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3</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入侵检测系统</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配置：1U硬件平台，配置6个10/100/1000MBase-TX，入侵事件处理能力500M，并发连接数100万，存储不少于1T；含1个监听口授权，含特3年特征库升级，方便统一安全运维管理，与防火墙为同一品牌。</w:t>
            </w:r>
          </w:p>
        </w:tc>
      </w:tr>
      <w:tr>
        <w:tblPrEx>
          <w:tblCellMar>
            <w:top w:w="0" w:type="dxa"/>
            <w:left w:w="108" w:type="dxa"/>
            <w:bottom w:w="0" w:type="dxa"/>
            <w:right w:w="108" w:type="dxa"/>
          </w:tblCellMar>
        </w:tblPrEx>
        <w:trPr>
          <w:trHeight w:val="1358"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IDS为专业的旁路检测类产品，承诺IDS和IPS非同一系统架构，不能串接部署，由厂商提供承诺函，同时产品具有自主知识产权，提供多核多线程ASIC并行操作系统软件著作权登记证书（已提供证明文件扫描件）(详见八、技术部分8.1.1)</w:t>
            </w:r>
          </w:p>
        </w:tc>
      </w:tr>
      <w:tr>
        <w:tblPrEx>
          <w:tblCellMar>
            <w:top w:w="0" w:type="dxa"/>
            <w:left w:w="108" w:type="dxa"/>
            <w:bottom w:w="0" w:type="dxa"/>
            <w:right w:w="108" w:type="dxa"/>
          </w:tblCellMar>
        </w:tblPrEx>
        <w:trPr>
          <w:trHeight w:val="174"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4</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互联网防火墙</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配置：标准1U设备；6个千兆电口，1个扩展槽位；配置一块64G SSD硬盘；整机吞吐量≥20bps；最大并发连接数≥800万，每秒新建连接数≥20万；</w:t>
            </w:r>
          </w:p>
        </w:tc>
      </w:tr>
      <w:tr>
        <w:tblPrEx>
          <w:tblCellMar>
            <w:top w:w="0" w:type="dxa"/>
            <w:left w:w="108" w:type="dxa"/>
            <w:bottom w:w="0" w:type="dxa"/>
            <w:right w:w="108" w:type="dxa"/>
          </w:tblCellMar>
        </w:tblPrEx>
        <w:trPr>
          <w:trHeight w:val="565"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★.产品具有《多核多线程ASIC并行操作系统软件著作权登记证书》（已提供证明文件扫描件）；(详见八、技术部分8.1.1)</w:t>
            </w:r>
          </w:p>
        </w:tc>
      </w:tr>
      <w:tr>
        <w:tblPrEx>
          <w:tblCellMar>
            <w:top w:w="0" w:type="dxa"/>
            <w:left w:w="108" w:type="dxa"/>
            <w:bottom w:w="0" w:type="dxa"/>
            <w:right w:w="108" w:type="dxa"/>
          </w:tblCellMar>
        </w:tblPrEx>
        <w:trPr>
          <w:trHeight w:val="27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★.支持≥3个操作系统，并可WEB界面上配置启动顺序，要求除恢复系统之外，还可支持系统一键式切换及完整备份（已提供证明文件扫描件）；(详见八、技术部分8.1.1)</w:t>
            </w:r>
          </w:p>
        </w:tc>
      </w:tr>
      <w:tr>
        <w:tblPrEx>
          <w:tblCellMar>
            <w:top w:w="0" w:type="dxa"/>
            <w:left w:w="108" w:type="dxa"/>
            <w:bottom w:w="0" w:type="dxa"/>
            <w:right w:w="108" w:type="dxa"/>
          </w:tblCellMar>
        </w:tblPrEx>
        <w:trPr>
          <w:trHeight w:val="596"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☆.支持节能降耗电子信息技术，入围工信部《电子信息节能技术开发与应用方案推荐目录》（已提供证明文件扫描件）；(详见八、技术部分8.1.1)</w:t>
            </w:r>
          </w:p>
        </w:tc>
      </w:tr>
      <w:tr>
        <w:tblPrEx>
          <w:tblCellMar>
            <w:top w:w="0" w:type="dxa"/>
            <w:left w:w="108" w:type="dxa"/>
            <w:bottom w:w="0" w:type="dxa"/>
            <w:right w:w="108" w:type="dxa"/>
          </w:tblCellMar>
        </w:tblPrEx>
        <w:trPr>
          <w:trHeight w:val="568"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★.产品具有《下一代防火墙计算机软件著作权登记证书》（已提供证明文件扫描件）；(详见八、技术部分8.1.1)</w:t>
            </w:r>
          </w:p>
        </w:tc>
      </w:tr>
      <w:tr>
        <w:tblPrEx>
          <w:tblCellMar>
            <w:top w:w="0" w:type="dxa"/>
            <w:left w:w="108" w:type="dxa"/>
            <w:bottom w:w="0" w:type="dxa"/>
            <w:right w:w="108" w:type="dxa"/>
          </w:tblCellMar>
        </w:tblPrEx>
        <w:trPr>
          <w:trHeight w:val="881"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★.支持具备先进的专利级别的技术，支持多重冗余协议(MRP)，实现链路备份、端口冗余、双机热备份、集群备份等（已提供证明文件扫描件）(详见八、技术部分8.1.1)</w:t>
            </w:r>
          </w:p>
        </w:tc>
      </w:tr>
      <w:tr>
        <w:tblPrEx>
          <w:tblCellMar>
            <w:top w:w="0" w:type="dxa"/>
            <w:left w:w="108" w:type="dxa"/>
            <w:bottom w:w="0" w:type="dxa"/>
            <w:right w:w="108" w:type="dxa"/>
          </w:tblCellMar>
        </w:tblPrEx>
        <w:trPr>
          <w:trHeight w:val="576"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☆.产品应具有IPv6 Ready第二阶段核心金牌认证证书（已提供证明文件扫描件）.(详见八、技术部分8.1.2)</w:t>
            </w:r>
          </w:p>
        </w:tc>
      </w:tr>
      <w:tr>
        <w:tblPrEx>
          <w:tblCellMar>
            <w:top w:w="0" w:type="dxa"/>
            <w:left w:w="108" w:type="dxa"/>
            <w:bottom w:w="0" w:type="dxa"/>
            <w:right w:w="108" w:type="dxa"/>
          </w:tblCellMar>
        </w:tblPrEx>
        <w:trPr>
          <w:trHeight w:val="858"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5</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防病毒网关</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配置：1U机箱 ，6个10/100/1000M Base-TX；1个SFP插槽；整机吞吐量≥6Gbps，AV吞吐量4Gbps，并发连接数≥350万，含3年病毒库升级，为方便统一安全运维管理，与防火墙为同一品牌；</w:t>
            </w:r>
          </w:p>
        </w:tc>
      </w:tr>
      <w:tr>
        <w:tblPrEx>
          <w:tblCellMar>
            <w:top w:w="0" w:type="dxa"/>
            <w:left w:w="108" w:type="dxa"/>
            <w:bottom w:w="0" w:type="dxa"/>
            <w:right w:w="108" w:type="dxa"/>
          </w:tblCellMar>
        </w:tblPrEx>
        <w:trPr>
          <w:trHeight w:val="2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☆.产品具有公安部销售许可证（增强级）（已提供证明文件扫描件）(详见八、技术部分8.1.2)</w:t>
            </w:r>
          </w:p>
        </w:tc>
      </w:tr>
      <w:tr>
        <w:tblPrEx>
          <w:tblCellMar>
            <w:top w:w="0" w:type="dxa"/>
            <w:left w:w="108" w:type="dxa"/>
            <w:bottom w:w="0" w:type="dxa"/>
            <w:right w:w="108" w:type="dxa"/>
          </w:tblCellMar>
        </w:tblPrEx>
        <w:trPr>
          <w:trHeight w:val="1210"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6</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上网行为管理</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网络吞吐4Gbps，支持用户数5000人，1U标准机架式，专用硬件平台和安全操作系统，4GE(电)+10GE（光），存储容量500G，适用于500M带宽接入网络，支持软硬件Bypass，设备断电或出现故障时保障业务链路的正常运行，含三年特征库升级；</w:t>
            </w:r>
          </w:p>
        </w:tc>
      </w:tr>
      <w:tr>
        <w:tblPrEx>
          <w:tblCellMar>
            <w:top w:w="0" w:type="dxa"/>
            <w:left w:w="108" w:type="dxa"/>
            <w:bottom w:w="0" w:type="dxa"/>
            <w:right w:w="108" w:type="dxa"/>
          </w:tblCellMar>
        </w:tblPrEx>
        <w:trPr>
          <w:trHeight w:val="246"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★.多核架构设计，不允许采用X86架构，已提供CPU型号类型截图证明扫描件(详见八、技术部分8.1.1)</w:t>
            </w:r>
          </w:p>
        </w:tc>
      </w:tr>
      <w:tr>
        <w:tblPrEx>
          <w:tblCellMar>
            <w:top w:w="0" w:type="dxa"/>
            <w:left w:w="108" w:type="dxa"/>
            <w:bottom w:w="0" w:type="dxa"/>
            <w:right w:w="108" w:type="dxa"/>
          </w:tblCellMar>
        </w:tblPrEx>
        <w:trPr>
          <w:trHeight w:val="31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★.产品界面要求必须含有“上网行为管理”字样（已提供截图证明扫描件）；(详见八、技术部分8.1.1)</w:t>
            </w:r>
          </w:p>
        </w:tc>
      </w:tr>
      <w:tr>
        <w:tblPrEx>
          <w:tblCellMar>
            <w:top w:w="0" w:type="dxa"/>
            <w:left w:w="108" w:type="dxa"/>
            <w:bottom w:w="0" w:type="dxa"/>
            <w:right w:w="108" w:type="dxa"/>
          </w:tblCellMar>
        </w:tblPrEx>
        <w:trPr>
          <w:trHeight w:val="50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★.产品具有《上网行为管理系统》计算机软件著作权登记证书（已提供证明文件扫描件）；(详见八、技术部分8.1.1)</w:t>
            </w:r>
          </w:p>
        </w:tc>
      </w:tr>
      <w:tr>
        <w:tblPrEx>
          <w:tblCellMar>
            <w:top w:w="0" w:type="dxa"/>
            <w:left w:w="108" w:type="dxa"/>
            <w:bottom w:w="0" w:type="dxa"/>
            <w:right w:w="108" w:type="dxa"/>
          </w:tblCellMar>
        </w:tblPrEx>
        <w:trPr>
          <w:trHeight w:val="78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☆.产品具有公安部公共信息网络安全监察局颁发的《互联网公共上网服务场所信息安全管理系统》证书（已提供证明文件扫描件）.(详见八、技术部分8.1.2)</w:t>
            </w:r>
          </w:p>
        </w:tc>
      </w:tr>
      <w:tr>
        <w:tblPrEx>
          <w:tblCellMar>
            <w:top w:w="0" w:type="dxa"/>
            <w:left w:w="108" w:type="dxa"/>
            <w:bottom w:w="0" w:type="dxa"/>
            <w:right w:w="108" w:type="dxa"/>
          </w:tblCellMar>
        </w:tblPrEx>
        <w:trPr>
          <w:trHeight w:val="877"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7</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漏洞扫描系统</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配置：1U标准机架式硬件设备，采用自主版权的高性能多核多平台并行安全操作系统；端口配置：6个10/100/1000BASE-T 接口，1个扩展槽，扫描地址数无限制，≧1T存储空间；含100个IP授权，三合一漏扫；</w:t>
            </w:r>
          </w:p>
        </w:tc>
      </w:tr>
      <w:tr>
        <w:tblPrEx>
          <w:tblCellMar>
            <w:top w:w="0" w:type="dxa"/>
            <w:left w:w="108" w:type="dxa"/>
            <w:bottom w:w="0" w:type="dxa"/>
            <w:right w:w="108" w:type="dxa"/>
          </w:tblCellMar>
        </w:tblPrEx>
        <w:trPr>
          <w:trHeight w:val="67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☆.支持Windows域扫描技术，利用域管理员权限使扫描更深入、更准确（已提供界面截图证明扫描件）；为方便统一安全运维管理，与防火墙为同一品牌；(详见八、技术部分8.1.2)</w:t>
            </w:r>
          </w:p>
        </w:tc>
      </w:tr>
      <w:tr>
        <w:tblPrEx>
          <w:tblCellMar>
            <w:top w:w="0" w:type="dxa"/>
            <w:left w:w="108" w:type="dxa"/>
            <w:bottom w:w="0" w:type="dxa"/>
            <w:right w:w="108" w:type="dxa"/>
          </w:tblCellMar>
        </w:tblPrEx>
        <w:trPr>
          <w:trHeight w:val="841"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☆.支持漏洞知识库与国际 CVE 标准兼容，并提供CVE C mpatible 证书，同时漏洞知识库与 bugtraq标准兼容；（已提供证明文件扫描件）(详见八、技术部分8.1.2)</w:t>
            </w:r>
          </w:p>
        </w:tc>
      </w:tr>
      <w:tr>
        <w:tblPrEx>
          <w:tblCellMar>
            <w:top w:w="0" w:type="dxa"/>
            <w:left w:w="108" w:type="dxa"/>
            <w:bottom w:w="0" w:type="dxa"/>
            <w:right w:w="108" w:type="dxa"/>
          </w:tblCellMar>
        </w:tblPrEx>
        <w:trPr>
          <w:trHeight w:val="52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☆.产品具有中国网络安全审查技术与认证中心颁发的《网络关键设备和网络安全专用产品安全认证》增强级（已提供证明文件扫描件）；(详见八、技术部分8.1.2)</w:t>
            </w:r>
          </w:p>
        </w:tc>
      </w:tr>
      <w:tr>
        <w:tblPrEx>
          <w:tblCellMar>
            <w:top w:w="0" w:type="dxa"/>
            <w:left w:w="108" w:type="dxa"/>
            <w:bottom w:w="0" w:type="dxa"/>
            <w:right w:w="108" w:type="dxa"/>
          </w:tblCellMar>
        </w:tblPrEx>
        <w:trPr>
          <w:trHeight w:val="43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☆.产品具有《信息技术产品安全测评证书》EAL3+级别（已提供证明文件扫描件）(详见八、技术部分8.1.2)</w:t>
            </w:r>
          </w:p>
        </w:tc>
      </w:tr>
      <w:tr>
        <w:tblPrEx>
          <w:tblCellMar>
            <w:top w:w="0" w:type="dxa"/>
            <w:left w:w="108" w:type="dxa"/>
            <w:bottom w:w="0" w:type="dxa"/>
            <w:right w:w="108" w:type="dxa"/>
          </w:tblCellMar>
        </w:tblPrEx>
        <w:trPr>
          <w:trHeight w:val="297"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8</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日志审计系统</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1U标准机架式，专用千兆硬件平台和安全操作系统；</w:t>
            </w:r>
          </w:p>
        </w:tc>
      </w:tr>
      <w:tr>
        <w:tblPrEx>
          <w:tblCellMar>
            <w:top w:w="0" w:type="dxa"/>
            <w:left w:w="108" w:type="dxa"/>
            <w:bottom w:w="0" w:type="dxa"/>
            <w:right w:w="108" w:type="dxa"/>
          </w:tblCellMar>
        </w:tblPrEx>
        <w:trPr>
          <w:trHeight w:val="32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标配6个千兆电口，单电源，2个USB接口，存储容量2TB；</w:t>
            </w:r>
          </w:p>
        </w:tc>
      </w:tr>
      <w:tr>
        <w:tblPrEx>
          <w:tblCellMar>
            <w:top w:w="0" w:type="dxa"/>
            <w:left w:w="108" w:type="dxa"/>
            <w:bottom w:w="0" w:type="dxa"/>
            <w:right w:w="108" w:type="dxa"/>
          </w:tblCellMar>
        </w:tblPrEx>
        <w:trPr>
          <w:trHeight w:val="377"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设备支持具备大数据分析和高性能海量数据存储能力，为方便统一安全运维管理，已按要求与防火墙为同一品牌；</w:t>
            </w:r>
          </w:p>
        </w:tc>
      </w:tr>
      <w:tr>
        <w:tblPrEx>
          <w:tblCellMar>
            <w:top w:w="0" w:type="dxa"/>
            <w:left w:w="108" w:type="dxa"/>
            <w:bottom w:w="0" w:type="dxa"/>
            <w:right w:w="108" w:type="dxa"/>
          </w:tblCellMar>
        </w:tblPrEx>
        <w:trPr>
          <w:trHeight w:val="500"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支持系统基于资产的拓扑视图，可以按列表和拓扑两种模式显示资产拓扑节点；</w:t>
            </w:r>
          </w:p>
        </w:tc>
      </w:tr>
      <w:tr>
        <w:tblPrEx>
          <w:tblCellMar>
            <w:top w:w="0" w:type="dxa"/>
            <w:left w:w="108" w:type="dxa"/>
            <w:bottom w:w="0" w:type="dxa"/>
            <w:right w:w="108" w:type="dxa"/>
          </w:tblCellMar>
        </w:tblPrEx>
        <w:trPr>
          <w:trHeight w:val="351"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系统采用自主版权的高性能多核多平台并行安全操作系统；</w:t>
            </w:r>
          </w:p>
        </w:tc>
      </w:tr>
      <w:tr>
        <w:tblPrEx>
          <w:tblCellMar>
            <w:top w:w="0" w:type="dxa"/>
            <w:left w:w="108" w:type="dxa"/>
            <w:bottom w:w="0" w:type="dxa"/>
            <w:right w:w="108" w:type="dxa"/>
          </w:tblCellMar>
        </w:tblPrEx>
        <w:trPr>
          <w:trHeight w:val="61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性能指标：事件采集可达到 10000EPS,支持标准的信息技术服务运行维护功能，事件关联分析可达到 3000EPS,事件入库性能可达 5000EPS；</w:t>
            </w:r>
          </w:p>
        </w:tc>
      </w:tr>
      <w:tr>
        <w:tblPrEx>
          <w:tblCellMar>
            <w:top w:w="0" w:type="dxa"/>
            <w:left w:w="108" w:type="dxa"/>
            <w:bottom w:w="0" w:type="dxa"/>
            <w:right w:w="108" w:type="dxa"/>
          </w:tblCellMar>
        </w:tblPrEx>
        <w:trPr>
          <w:trHeight w:val="542"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☆.产品具备中华人民共和国公安部的《计算机信息系统安全专用产品销售许可证》（日志分析-三级）（已提供证明文件扫描件）；(详见八、技术部分8.1.2)</w:t>
            </w:r>
          </w:p>
        </w:tc>
      </w:tr>
      <w:tr>
        <w:tblPrEx>
          <w:tblCellMar>
            <w:top w:w="0" w:type="dxa"/>
            <w:left w:w="108" w:type="dxa"/>
            <w:bottom w:w="0" w:type="dxa"/>
            <w:right w:w="108" w:type="dxa"/>
          </w:tblCellMar>
        </w:tblPrEx>
        <w:trPr>
          <w:trHeight w:val="728"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☆.产品具备《中国国家信息安全认证产品证书》增强级（已提供证明材料加盖厂商公章）；(详见八、技术部分8.1.2)</w:t>
            </w:r>
          </w:p>
        </w:tc>
      </w:tr>
      <w:tr>
        <w:tblPrEx>
          <w:tblCellMar>
            <w:top w:w="0" w:type="dxa"/>
            <w:left w:w="108" w:type="dxa"/>
            <w:bottom w:w="0" w:type="dxa"/>
            <w:right w:w="108" w:type="dxa"/>
          </w:tblCellMar>
        </w:tblPrEx>
        <w:trPr>
          <w:trHeight w:val="60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☆.产品具备《信息技术产品安全测评证书》EAL3+级（已提供证明文件扫描件）(详见八、技术部分8.1.2)</w:t>
            </w:r>
          </w:p>
        </w:tc>
      </w:tr>
      <w:tr>
        <w:tblPrEx>
          <w:tblCellMar>
            <w:top w:w="0" w:type="dxa"/>
            <w:left w:w="108" w:type="dxa"/>
            <w:bottom w:w="0" w:type="dxa"/>
            <w:right w:w="108" w:type="dxa"/>
          </w:tblCellMar>
        </w:tblPrEx>
        <w:trPr>
          <w:trHeight w:val="459"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9</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运维安全网关</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配置：标准机架式硬件设备，采用自主版权的高性能多核多平台并行安全操作系统；端口配置：6 个10/100/1000BASE-T 电口，授权管理设备数：大于50个，日志存储1T硬盘；</w:t>
            </w:r>
          </w:p>
        </w:tc>
      </w:tr>
      <w:tr>
        <w:tblPrEx>
          <w:tblCellMar>
            <w:top w:w="0" w:type="dxa"/>
            <w:left w:w="108" w:type="dxa"/>
            <w:bottom w:w="0" w:type="dxa"/>
            <w:right w:w="108" w:type="dxa"/>
          </w:tblCellMar>
        </w:tblPrEx>
        <w:trPr>
          <w:trHeight w:val="606"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支持提供二次授权模式，可实现用户访问一次申请一次， 批准后一次或时间段内有效；为方便统一安全运维管理，与防火墙为同一品牌；</w:t>
            </w:r>
          </w:p>
        </w:tc>
      </w:tr>
      <w:tr>
        <w:tblPrEx>
          <w:tblCellMar>
            <w:top w:w="0" w:type="dxa"/>
            <w:left w:w="108" w:type="dxa"/>
            <w:bottom w:w="0" w:type="dxa"/>
            <w:right w:w="108" w:type="dxa"/>
          </w:tblCellMar>
        </w:tblPrEx>
        <w:trPr>
          <w:trHeight w:val="446"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支持登录托管(自动登录)：登录托管实现了设备资源账户自动登录；</w:t>
            </w:r>
          </w:p>
        </w:tc>
      </w:tr>
      <w:tr>
        <w:tblPrEx>
          <w:tblCellMar>
            <w:top w:w="0" w:type="dxa"/>
            <w:left w:w="108" w:type="dxa"/>
            <w:bottom w:w="0" w:type="dxa"/>
            <w:right w:w="108" w:type="dxa"/>
          </w:tblCellMar>
        </w:tblPrEx>
        <w:trPr>
          <w:trHeight w:val="618"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支持标准的信息技术服务运行维护功能， 管理员将设备资源账户及口令配置到运维堡垒机中，运维人员通过认证和授权后，系统根据配置策略实现后台设备资源的自动登录；</w:t>
            </w:r>
          </w:p>
        </w:tc>
      </w:tr>
      <w:tr>
        <w:tblPrEx>
          <w:tblCellMar>
            <w:top w:w="0" w:type="dxa"/>
            <w:left w:w="108" w:type="dxa"/>
            <w:bottom w:w="0" w:type="dxa"/>
            <w:right w:w="108" w:type="dxa"/>
          </w:tblCellMar>
        </w:tblPrEx>
        <w:trPr>
          <w:trHeight w:val="31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★.产品具有计算机信息系统安全专用产品销售许可证《运维安全管理产品》（增强级）（已提供证明文件扫描件）；(详见八、技术部分8.1.1)</w:t>
            </w:r>
          </w:p>
        </w:tc>
      </w:tr>
      <w:tr>
        <w:tblPrEx>
          <w:tblCellMar>
            <w:top w:w="0" w:type="dxa"/>
            <w:left w:w="108" w:type="dxa"/>
            <w:bottom w:w="0" w:type="dxa"/>
            <w:right w:w="108" w:type="dxa"/>
          </w:tblCellMar>
        </w:tblPrEx>
        <w:trPr>
          <w:trHeight w:val="19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☆.产品具有中国国家信息安全产品认证证书（增强级）（已提供证明文件扫描件）(详见八、技术部分8.1.2)</w:t>
            </w:r>
          </w:p>
        </w:tc>
      </w:tr>
      <w:tr>
        <w:tblPrEx>
          <w:tblCellMar>
            <w:top w:w="0" w:type="dxa"/>
            <w:left w:w="108" w:type="dxa"/>
            <w:bottom w:w="0" w:type="dxa"/>
            <w:right w:w="108" w:type="dxa"/>
          </w:tblCellMar>
        </w:tblPrEx>
        <w:trPr>
          <w:trHeight w:val="284"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10</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数据库审计系统</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标准2U机架式硬件设备，采用自主版权的高性能多核多平台并行安全操作系统,冗余电源；</w:t>
            </w:r>
          </w:p>
        </w:tc>
      </w:tr>
      <w:tr>
        <w:tblPrEx>
          <w:tblCellMar>
            <w:top w:w="0" w:type="dxa"/>
            <w:left w:w="108" w:type="dxa"/>
            <w:bottom w:w="0" w:type="dxa"/>
            <w:right w:w="108" w:type="dxa"/>
          </w:tblCellMar>
        </w:tblPrEx>
        <w:trPr>
          <w:trHeight w:val="305"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端口配置：6个10/100/1000BASE-T 电口，日处理事件数1.5亿条，硬盘2TB，可审计流量500MB，每秒入库速度25000；为方便统一安全运维管理，与防火墙为同一品牌；</w:t>
            </w:r>
          </w:p>
        </w:tc>
      </w:tr>
      <w:tr>
        <w:tblPrEx>
          <w:tblCellMar>
            <w:top w:w="0" w:type="dxa"/>
            <w:left w:w="108" w:type="dxa"/>
            <w:bottom w:w="0" w:type="dxa"/>
            <w:right w:w="108" w:type="dxa"/>
          </w:tblCellMar>
        </w:tblPrEx>
        <w:trPr>
          <w:trHeight w:val="574"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★.产品具有中国信息安全认证中心颁发《中国国家信息安全产品认证证书》（增强级）（已提供证明文件扫描件）；(详见八、技术部分8.1.1)</w:t>
            </w:r>
          </w:p>
        </w:tc>
      </w:tr>
      <w:tr>
        <w:tblPrEx>
          <w:tblCellMar>
            <w:top w:w="0" w:type="dxa"/>
            <w:left w:w="108" w:type="dxa"/>
            <w:bottom w:w="0" w:type="dxa"/>
            <w:right w:w="108" w:type="dxa"/>
          </w:tblCellMar>
        </w:tblPrEx>
        <w:trPr>
          <w:trHeight w:val="332"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☆.产品具有中华人民共和国公安部颁发的《计算机信息系统安全专用产品销售许可证》（增强级）（已提供证明文件扫描件）；(详见八、技术部分8.1.2)</w:t>
            </w:r>
          </w:p>
        </w:tc>
      </w:tr>
      <w:tr>
        <w:tblPrEx>
          <w:tblCellMar>
            <w:top w:w="0" w:type="dxa"/>
            <w:left w:w="108" w:type="dxa"/>
            <w:bottom w:w="0" w:type="dxa"/>
            <w:right w:w="108" w:type="dxa"/>
          </w:tblCellMar>
        </w:tblPrEx>
        <w:trPr>
          <w:trHeight w:val="458"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☆.产品具有中华人民共和国公安部颁发的《计算机信息系统安全专用产品销售许可证》（增强级）（已提供证明文件扫描件）；(详见八、技术部分8.1.2)</w:t>
            </w:r>
          </w:p>
        </w:tc>
      </w:tr>
      <w:tr>
        <w:tblPrEx>
          <w:tblCellMar>
            <w:top w:w="0" w:type="dxa"/>
            <w:left w:w="108" w:type="dxa"/>
            <w:bottom w:w="0" w:type="dxa"/>
            <w:right w:w="108" w:type="dxa"/>
          </w:tblCellMar>
        </w:tblPrEx>
        <w:trPr>
          <w:trHeight w:val="155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11</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杀毒软件</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标准网络版管理中心：系统服务端软件，提供防病毒策略管理、下发任务、病毒告警分析、报表等功能，可管理win系列客户端、Linux系列客户端，可安装在Windows2008R2及以上操作系统、Win7sp1、Win10或 centos7.0、Redhat7.0 及以上操作系统；标准网络版win系列客户端授权500个，服务器端10个。系统客户端软件授权，支持windows环境（Windows XP SP3(32位)、Windows 7(32/64位)、Windows 10(32/64位)、Windows Server 2003(32位)、Windows Server 2008(32/64位)、Windows Server 2012(64位)、Windows Server 2016(32/64位)），含3年产品软件升级服务.</w:t>
            </w:r>
          </w:p>
        </w:tc>
      </w:tr>
      <w:tr>
        <w:tblPrEx>
          <w:tblCellMar>
            <w:top w:w="0" w:type="dxa"/>
            <w:left w:w="108" w:type="dxa"/>
            <w:bottom w:w="0" w:type="dxa"/>
            <w:right w:w="108" w:type="dxa"/>
          </w:tblCellMar>
        </w:tblPrEx>
        <w:trPr>
          <w:trHeight w:val="932" w:hRule="atLeast"/>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12</w:t>
            </w:r>
          </w:p>
        </w:tc>
        <w:tc>
          <w:tcPr>
            <w:tcW w:w="1291" w:type="dxa"/>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技术服务费</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HIS、LIS、EMR、PACS四个系统三级等保测评服务。参照国家等级保护2.0技术标准对汝州市中医院信息系统按照等级保护第三级标准开展测评和差距分析，出具整改意见和测评报告，协助完成系统定级专家评审工作，完成本次测评报告在网安部门的备案工作，并取得有效的备案证明。</w:t>
            </w:r>
          </w:p>
        </w:tc>
      </w:tr>
      <w:tr>
        <w:tblPrEx>
          <w:tblCellMar>
            <w:top w:w="0" w:type="dxa"/>
            <w:left w:w="108" w:type="dxa"/>
            <w:bottom w:w="0" w:type="dxa"/>
            <w:right w:w="108" w:type="dxa"/>
          </w:tblCellMar>
        </w:tblPrEx>
        <w:trPr>
          <w:trHeight w:val="86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测评包括：IT网络设备、主机系统、应用系统、安全设备等。具体安全技术测评包含物理安全、网络安全、主机系统安全、应用安全和数据安全等五个层面；安全管理测评包括：安全管理机构、安全管理制度、人员安全管理、系统建设管理和系统运维管理等方面的安全控制测评对10个大类进行测评。</w:t>
            </w:r>
          </w:p>
        </w:tc>
      </w:tr>
      <w:tr>
        <w:tblPrEx>
          <w:tblCellMar>
            <w:top w:w="0" w:type="dxa"/>
            <w:left w:w="108" w:type="dxa"/>
            <w:bottom w:w="0" w:type="dxa"/>
            <w:right w:w="108" w:type="dxa"/>
          </w:tblCellMar>
        </w:tblPrEx>
        <w:trPr>
          <w:trHeight w:val="333"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依据《GB/T 20984-2007 信息安全风险评估规范》对学校网络进行针对性风险评估，主要针对拓扑评估、数据库基础、安全分区、边界安全性、完整性等进行分析和风险评估。</w:t>
            </w:r>
          </w:p>
        </w:tc>
      </w:tr>
      <w:tr>
        <w:tblPrEx>
          <w:tblCellMar>
            <w:top w:w="0" w:type="dxa"/>
            <w:left w:w="108" w:type="dxa"/>
            <w:bottom w:w="0" w:type="dxa"/>
            <w:right w:w="108" w:type="dxa"/>
          </w:tblCellMar>
        </w:tblPrEx>
        <w:trPr>
          <w:trHeight w:val="508"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☆.服务商应具有信息安全服务资质风险评估类证书，已提供证明资料。(详见八、技术部分8.1.2)</w:t>
            </w:r>
          </w:p>
        </w:tc>
      </w:tr>
      <w:tr>
        <w:tblPrEx>
          <w:tblCellMar>
            <w:top w:w="0" w:type="dxa"/>
            <w:left w:w="108" w:type="dxa"/>
            <w:bottom w:w="0" w:type="dxa"/>
            <w:right w:w="108" w:type="dxa"/>
          </w:tblCellMar>
        </w:tblPrEx>
        <w:trPr>
          <w:trHeight w:val="605"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针对等保测评系统由安全工程师现场部署渗透环境，通过真实模拟黑客使用的工具、分析方法来对网站进行模拟攻击，并结合智能工具扫描结果，进行深入的人工测试和分析，识别工具弱点扫描无法发现的问题，主要分析内容包括逻辑缺陷、上传绕过、输入输出校验绕过、数据篡改、功能绕过、异常错误等以及其他专项内容测试与分析。</w:t>
            </w:r>
          </w:p>
        </w:tc>
      </w:tr>
      <w:tr>
        <w:tblPrEx>
          <w:tblCellMar>
            <w:top w:w="0" w:type="dxa"/>
            <w:left w:w="108" w:type="dxa"/>
            <w:bottom w:w="0" w:type="dxa"/>
            <w:right w:w="108" w:type="dxa"/>
          </w:tblCellMar>
        </w:tblPrEx>
        <w:trPr>
          <w:trHeight w:val="509" w:hRule="atLeast"/>
        </w:trPr>
        <w:tc>
          <w:tcPr>
            <w:tcW w:w="960"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rPr>
                <w:rFonts w:hint="eastAsia" w:asciiTheme="minorEastAsia" w:hAnsiTheme="minorEastAsia" w:eastAsiaTheme="minorEastAsia" w:cstheme="minorEastAsia"/>
                <w:b/>
                <w:bCs/>
                <w:color w:val="000000"/>
                <w:sz w:val="21"/>
                <w:szCs w:val="21"/>
                <w:lang w:val="en-US" w:bidi="ar-SA"/>
              </w:rPr>
            </w:pPr>
          </w:p>
        </w:tc>
        <w:tc>
          <w:tcPr>
            <w:tcW w:w="1291" w:type="dxa"/>
            <w:vMerge w:val="continue"/>
            <w:tcBorders>
              <w:top w:val="nil"/>
              <w:left w:val="single" w:color="auto" w:sz="4" w:space="0"/>
              <w:bottom w:val="single" w:color="auto" w:sz="4" w:space="0"/>
              <w:right w:val="single" w:color="auto" w:sz="4" w:space="0"/>
            </w:tcBorders>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渗透测试后出具正式的分析报告和解决方案，针对渗透测试出的问题、漏洞、缺陷等，完成整改及后续验证工作，每项渗透内容报告需要包括问题整改和验证的过程记录及详细的解决方案。</w:t>
            </w:r>
          </w:p>
        </w:tc>
      </w:tr>
      <w:tr>
        <w:tblPrEx>
          <w:tblCellMar>
            <w:top w:w="0" w:type="dxa"/>
            <w:left w:w="108" w:type="dxa"/>
            <w:bottom w:w="0" w:type="dxa"/>
            <w:right w:w="108" w:type="dxa"/>
          </w:tblCellMar>
        </w:tblPrEx>
        <w:trPr>
          <w:trHeight w:val="478"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13</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机房改造</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内外网分离、吊顶、铺设20平方米防静电地板、防雷系统、门禁系统、消防系统、视频监控系统、辅材施工、安装等。</w:t>
            </w:r>
          </w:p>
        </w:tc>
      </w:tr>
      <w:tr>
        <w:tblPrEx>
          <w:tblCellMar>
            <w:top w:w="0" w:type="dxa"/>
            <w:left w:w="108" w:type="dxa"/>
            <w:bottom w:w="0" w:type="dxa"/>
            <w:right w:w="108" w:type="dxa"/>
          </w:tblCellMar>
        </w:tblPrEx>
        <w:trPr>
          <w:trHeight w:val="112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14</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交换机</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配置：</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华为</w:t>
            </w:r>
            <w:r>
              <w:rPr>
                <w:rFonts w:hint="eastAsia" w:asciiTheme="minorEastAsia" w:hAnsiTheme="minorEastAsia" w:eastAsiaTheme="minorEastAsia" w:cstheme="minorEastAsia"/>
                <w:color w:val="000000"/>
                <w:sz w:val="21"/>
                <w:szCs w:val="21"/>
                <w:lang w:val="en-US" w:bidi="ar-SA"/>
              </w:rPr>
              <w:t>s5720s-52p-si-ac</w:t>
            </w:r>
            <w:r>
              <w:rPr>
                <w:rFonts w:hint="eastAsia" w:asciiTheme="minorEastAsia" w:hAnsiTheme="minorEastAsia" w:eastAsiaTheme="minorEastAsia" w:cstheme="minorEastAsia"/>
                <w:color w:val="000000"/>
                <w:sz w:val="21"/>
                <w:szCs w:val="21"/>
                <w:lang w:val="en-US" w:bidi="ar-SA"/>
              </w:rPr>
              <w:t>参数</w:t>
            </w:r>
            <w:r>
              <w:rPr>
                <w:rFonts w:hint="eastAsia" w:asciiTheme="minorEastAsia" w:hAnsiTheme="minorEastAsia" w:eastAsiaTheme="minorEastAsia" w:cstheme="minorEastAsia"/>
                <w:color w:val="000000"/>
                <w:sz w:val="21"/>
                <w:szCs w:val="21"/>
                <w:lang w:val="en-US" w:bidi="ar-SA"/>
              </w:rPr>
              <w:t>千兆以太网交换机；应用层级：三层；传输速率：10/100/1000Mbps；交换方式：存储-转发；背板带宽 336Gbps/3.024Tbps；包转发率 132Mpps；MAC地址表 16K；端口参数；端口结构 非模块化；端口数量 52个；端口描述 48个10/100/1000Base-T，4个千兆SFP；传输模式 ：全双工/半双工自适应。</w:t>
            </w:r>
          </w:p>
        </w:tc>
      </w:tr>
      <w:tr>
        <w:tblPrEx>
          <w:tblCellMar>
            <w:top w:w="0" w:type="dxa"/>
            <w:left w:w="108" w:type="dxa"/>
            <w:bottom w:w="0" w:type="dxa"/>
            <w:right w:w="108" w:type="dxa"/>
          </w:tblCellMar>
        </w:tblPrEx>
        <w:trPr>
          <w:trHeight w:val="1594"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15</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电视机</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　</w:t>
            </w:r>
            <w:r>
              <w:rPr>
                <w:rFonts w:hint="eastAsia" w:asciiTheme="minorEastAsia" w:hAnsiTheme="minorEastAsia" w:eastAsiaTheme="minorEastAsia" w:cstheme="minorEastAsia"/>
                <w:color w:val="000000"/>
                <w:sz w:val="21"/>
                <w:szCs w:val="21"/>
                <w:lang w:val="en-US" w:bidi="ar-SA"/>
              </w:rPr>
              <w:t>55寸LED网络电视，支持高清接口及无线控制。（根据《财政部 发展改革委 生态环境部 市场监管总局关于调整优化节能产品环境标志产品政府采购执行机制的通知》（财库〔2019〕9号）和财政部《关于印发节能产品政府采购品目清单的通知》（财库〔2019〕19号）的规定，电视机属于节能产品政府采购品目清单内的政府强制采购节能产品，即所投电视机已提供节能产品认证证书，（详见十二、其它材料）</w:t>
            </w:r>
          </w:p>
        </w:tc>
      </w:tr>
      <w:tr>
        <w:tblPrEx>
          <w:tblCellMar>
            <w:top w:w="0" w:type="dxa"/>
            <w:left w:w="108" w:type="dxa"/>
            <w:bottom w:w="0" w:type="dxa"/>
            <w:right w:w="108" w:type="dxa"/>
          </w:tblCellMar>
        </w:tblPrEx>
        <w:trPr>
          <w:trHeight w:val="349"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16</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网络改造服务费</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　对</w:t>
            </w:r>
            <w:r>
              <w:rPr>
                <w:rFonts w:hint="eastAsia" w:asciiTheme="minorEastAsia" w:hAnsiTheme="minorEastAsia" w:eastAsiaTheme="minorEastAsia" w:cstheme="minorEastAsia"/>
                <w:color w:val="000000"/>
                <w:sz w:val="21"/>
                <w:szCs w:val="21"/>
                <w:lang w:val="en-US" w:bidi="ar-SA"/>
              </w:rPr>
              <w:t>整个中医院信息化网络线路重新规划整理、内外网隔离、网络线路加固梳理，网络TOP图规划设计等。</w:t>
            </w:r>
          </w:p>
        </w:tc>
      </w:tr>
      <w:tr>
        <w:tblPrEx>
          <w:tblCellMar>
            <w:top w:w="0" w:type="dxa"/>
            <w:left w:w="108" w:type="dxa"/>
            <w:bottom w:w="0" w:type="dxa"/>
            <w:right w:w="108" w:type="dxa"/>
          </w:tblCellMar>
        </w:tblPrEx>
        <w:trPr>
          <w:trHeight w:val="90"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17</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机柜</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　越腾机柜 YT6242</w:t>
            </w:r>
          </w:p>
        </w:tc>
      </w:tr>
      <w:tr>
        <w:tblPrEx>
          <w:tblCellMar>
            <w:top w:w="0" w:type="dxa"/>
            <w:left w:w="108" w:type="dxa"/>
            <w:bottom w:w="0" w:type="dxa"/>
            <w:right w:w="108" w:type="dxa"/>
          </w:tblCellMar>
        </w:tblPrEx>
        <w:trPr>
          <w:trHeight w:val="497" w:hRule="atLeas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240" w:lineRule="auto"/>
              <w:jc w:val="right"/>
              <w:rPr>
                <w:rFonts w:hint="eastAsia" w:asciiTheme="minorEastAsia" w:hAnsiTheme="minorEastAsia" w:eastAsiaTheme="minorEastAsia" w:cstheme="minorEastAsia"/>
                <w:b/>
                <w:bCs/>
                <w:color w:val="000000"/>
                <w:sz w:val="21"/>
                <w:szCs w:val="21"/>
                <w:lang w:val="en-US" w:bidi="ar-SA"/>
              </w:rPr>
            </w:pPr>
            <w:r>
              <w:rPr>
                <w:rFonts w:hint="eastAsia" w:asciiTheme="minorEastAsia" w:hAnsiTheme="minorEastAsia" w:eastAsiaTheme="minorEastAsia" w:cstheme="minorEastAsia"/>
                <w:b/>
                <w:bCs/>
                <w:color w:val="000000"/>
                <w:sz w:val="21"/>
                <w:szCs w:val="21"/>
                <w:lang w:val="en-US" w:bidi="ar-SA"/>
              </w:rPr>
              <w:t>18</w:t>
            </w:r>
          </w:p>
        </w:tc>
        <w:tc>
          <w:tcPr>
            <w:tcW w:w="1291"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jc w:val="center"/>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安全运维服务</w:t>
            </w:r>
          </w:p>
        </w:tc>
        <w:tc>
          <w:tcPr>
            <w:tcW w:w="6995"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uto"/>
              <w:rPr>
                <w:rFonts w:hint="eastAsia" w:asciiTheme="minorEastAsia" w:hAnsiTheme="minorEastAsia" w:eastAsiaTheme="minorEastAsia" w:cstheme="minorEastAsia"/>
                <w:color w:val="000000"/>
                <w:sz w:val="21"/>
                <w:szCs w:val="21"/>
                <w:lang w:val="en-US" w:bidi="ar-SA"/>
              </w:rPr>
            </w:pPr>
            <w:r>
              <w:rPr>
                <w:rFonts w:hint="eastAsia" w:asciiTheme="minorEastAsia" w:hAnsiTheme="minorEastAsia" w:eastAsiaTheme="minorEastAsia" w:cstheme="minorEastAsia"/>
                <w:color w:val="000000"/>
                <w:sz w:val="21"/>
                <w:szCs w:val="21"/>
                <w:lang w:val="en-US" w:bidi="ar-SA"/>
              </w:rPr>
              <w:t>　</w:t>
            </w:r>
            <w:r>
              <w:rPr>
                <w:rFonts w:hint="eastAsia" w:asciiTheme="minorEastAsia" w:hAnsiTheme="minorEastAsia" w:eastAsiaTheme="minorEastAsia" w:cstheme="minorEastAsia"/>
                <w:color w:val="000000"/>
                <w:sz w:val="21"/>
                <w:szCs w:val="21"/>
                <w:lang w:val="en-US" w:bidi="ar-SA"/>
              </w:rPr>
              <w:t>1年四次网络安全定期安全运维服务，并出具</w:t>
            </w:r>
            <w:bookmarkStart w:id="0" w:name="_GoBack"/>
            <w:bookmarkEnd w:id="0"/>
            <w:r>
              <w:rPr>
                <w:rFonts w:hint="eastAsia" w:asciiTheme="minorEastAsia" w:hAnsiTheme="minorEastAsia" w:eastAsiaTheme="minorEastAsia" w:cstheme="minorEastAsia"/>
                <w:color w:val="000000"/>
                <w:sz w:val="21"/>
                <w:szCs w:val="21"/>
                <w:lang w:val="en-US" w:bidi="ar-SA"/>
              </w:rPr>
              <w:t>检查漏洞及整改后的原厂报告说明，每个季度须安排原厂技术人员现场针对所有安全设备及网络环境巡检，出具巡检报告，并符合公安等保检查要求。</w:t>
            </w:r>
          </w:p>
        </w:tc>
      </w:tr>
    </w:tbl>
    <w:p>
      <w:pPr>
        <w:tabs>
          <w:tab w:val="left" w:pos="4560"/>
        </w:tabs>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
      </w:r>
    </w:p>
    <w:p>
      <w:pPr>
        <w:spacing w:line="240" w:lineRule="auto"/>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thinThickSmallGap" w:color="823B0B" w:themeColor="accent2" w:themeShade="7F" w:sz="24" w:space="1"/>
      </w:pBdr>
      <w:rPr>
        <w:rFonts w:asciiTheme="majorHAnsi" w:hAnsiTheme="majorHAnsi"/>
      </w:rPr>
    </w:pPr>
    <w:r>
      <w:rPr>
        <w:rFonts w:hint="eastAsia"/>
        <w:sz w:val="24"/>
        <w:szCs w:val="24"/>
      </w:rPr>
      <w:t>投标单位：汝州市鸿图电脑有限公司        联系电话：0375-6751777</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Pr>
        <w:rFonts w:asciiTheme="majorHAnsi" w:hAnsiTheme="majorHAnsi"/>
      </w:rPr>
      <w:t>37</w:t>
    </w:r>
    <w:r>
      <w:rPr>
        <w:rFonts w:asciiTheme="majorHAnsi" w:hAnsiTheme="majorHAnsi"/>
      </w:rPr>
      <w:fldChar w:fldCharType="end"/>
    </w:r>
  </w:p>
  <w:p>
    <w:pPr>
      <w:pStyle w:val="4"/>
      <w:jc w:val="center"/>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b/>
        <w:sz w:val="24"/>
        <w:szCs w:val="24"/>
      </w:rPr>
    </w:pPr>
    <w:r>
      <w:rPr>
        <w:rFonts w:hint="eastAsia"/>
        <w:b/>
        <w:sz w:val="24"/>
        <w:szCs w:val="24"/>
      </w:rPr>
      <w:t>汝州市中医院网络安全设备采购项目     招标编号：汝财招标采购-</w:t>
    </w:r>
    <w:r>
      <w:rPr>
        <w:rFonts w:hint="eastAsia"/>
        <w:b/>
        <w:sz w:val="24"/>
        <w:szCs w:val="24"/>
        <w:lang w:val="en-US"/>
      </w:rPr>
      <w:t>2021-72</w:t>
    </w:r>
  </w:p>
  <w:p>
    <w:pPr>
      <w:pStyle w:val="2"/>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944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微软雅黑" w:cs="宋体"/>
      <w:sz w:val="24"/>
      <w:szCs w:val="22"/>
      <w:lang w:val="zh-CN" w:eastAsia="zh-CN" w:bidi="zh-CN"/>
    </w:rPr>
  </w:style>
  <w:style w:type="paragraph" w:styleId="3">
    <w:name w:val="heading 1"/>
    <w:basedOn w:val="1"/>
    <w:next w:val="1"/>
    <w:qFormat/>
    <w:uiPriority w:val="0"/>
    <w:pPr>
      <w:keepNext/>
      <w:keepLines/>
      <w:spacing w:line="360" w:lineRule="auto"/>
      <w:jc w:val="center"/>
      <w:outlineLvl w:val="0"/>
    </w:pPr>
    <w:rPr>
      <w:b/>
      <w:bCs/>
      <w:kern w:val="44"/>
      <w:sz w:val="36"/>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rPr>
      <w:rFonts w:ascii="Calibri" w:hAnsi="Calibri"/>
      <w:kern w:val="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2021-07-07T11:33:00Z</dcterms:created>
  <dc:creator>阿丹，</dc:creator>
  <cp:lastModifiedBy>Administrator</cp:lastModifiedBy>
  <dcterms:modified xsi:type="dcterms:W3CDTF">2021-07-07T03:46:14Z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E14C995EF6153CEA7020E560F306C48C</vt:lpwstr>
  </property>
</Properties>
</file>